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1.xml" ContentType="application/vnd.openxmlformats-officedocument.themeOverride+xml"/>
  <Override PartName="/word/charts/chart12.xml" ContentType="application/vnd.openxmlformats-officedocument.drawingml.chart+xml"/>
  <Override PartName="/word/theme/themeOverride2.xml" ContentType="application/vnd.openxmlformats-officedocument.themeOverride+xml"/>
  <Override PartName="/word/charts/chart13.xml" ContentType="application/vnd.openxmlformats-officedocument.drawingml.chart+xml"/>
  <Override PartName="/word/theme/themeOverride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88" w:rsidRPr="00FC1A2C" w:rsidRDefault="0085014F" w:rsidP="00FC1A2C">
      <w:pPr>
        <w:pStyle w:val="2"/>
        <w:jc w:val="center"/>
        <w:rPr>
          <w:rFonts w:ascii="Times New Roman" w:hAnsi="Times New Roman" w:cs="Times New Roman"/>
          <w:b w:val="0"/>
          <w:color w:val="auto"/>
          <w:sz w:val="28"/>
          <w:szCs w:val="28"/>
          <w:lang w:val="uk-UA"/>
        </w:rPr>
      </w:pPr>
      <w:r w:rsidRPr="00FC1A2C">
        <w:rPr>
          <w:rFonts w:ascii="Times New Roman" w:hAnsi="Times New Roman" w:cs="Times New Roman"/>
          <w:b w:val="0"/>
          <w:color w:val="auto"/>
          <w:sz w:val="28"/>
          <w:szCs w:val="28"/>
          <w:lang w:val="uk-UA"/>
        </w:rPr>
        <w:t>М</w:t>
      </w:r>
      <w:r w:rsidRPr="00FC1A2C">
        <w:rPr>
          <w:rFonts w:ascii="Times New Roman" w:hAnsi="Times New Roman" w:cs="Times New Roman"/>
          <w:b w:val="0"/>
          <w:color w:val="auto"/>
          <w:sz w:val="28"/>
          <w:szCs w:val="28"/>
          <w:lang w:val="en-US"/>
        </w:rPr>
        <w:t>I</w:t>
      </w:r>
      <w:r w:rsidRPr="00FC1A2C">
        <w:rPr>
          <w:rFonts w:ascii="Times New Roman" w:hAnsi="Times New Roman" w:cs="Times New Roman"/>
          <w:b w:val="0"/>
          <w:color w:val="auto"/>
          <w:sz w:val="28"/>
          <w:szCs w:val="28"/>
          <w:lang w:val="uk-UA"/>
        </w:rPr>
        <w:t>Н</w:t>
      </w:r>
      <w:r w:rsidRPr="00FC1A2C">
        <w:rPr>
          <w:rFonts w:ascii="Times New Roman" w:hAnsi="Times New Roman" w:cs="Times New Roman"/>
          <w:b w:val="0"/>
          <w:color w:val="auto"/>
          <w:sz w:val="28"/>
          <w:szCs w:val="28"/>
          <w:lang w:val="en-US"/>
        </w:rPr>
        <w:t>I</w:t>
      </w:r>
      <w:r w:rsidRPr="00FC1A2C">
        <w:rPr>
          <w:rFonts w:ascii="Times New Roman" w:hAnsi="Times New Roman" w:cs="Times New Roman"/>
          <w:b w:val="0"/>
          <w:color w:val="auto"/>
          <w:sz w:val="28"/>
          <w:szCs w:val="28"/>
          <w:lang w:val="uk-UA"/>
        </w:rPr>
        <w:t>СТЕРСТВО ОСВ</w:t>
      </w:r>
      <w:r w:rsidRPr="00FC1A2C">
        <w:rPr>
          <w:rFonts w:ascii="Times New Roman" w:hAnsi="Times New Roman" w:cs="Times New Roman"/>
          <w:b w:val="0"/>
          <w:color w:val="auto"/>
          <w:sz w:val="28"/>
          <w:szCs w:val="28"/>
          <w:lang w:val="en-US"/>
        </w:rPr>
        <w:t>I</w:t>
      </w:r>
      <w:r w:rsidRPr="00FC1A2C">
        <w:rPr>
          <w:rFonts w:ascii="Times New Roman" w:hAnsi="Times New Roman" w:cs="Times New Roman"/>
          <w:b w:val="0"/>
          <w:color w:val="auto"/>
          <w:sz w:val="28"/>
          <w:szCs w:val="28"/>
          <w:lang w:val="uk-UA"/>
        </w:rPr>
        <w:t xml:space="preserve">ТИ </w:t>
      </w:r>
      <w:r w:rsidRPr="00FC1A2C">
        <w:rPr>
          <w:rFonts w:ascii="Times New Roman" w:hAnsi="Times New Roman" w:cs="Times New Roman"/>
          <w:b w:val="0"/>
          <w:color w:val="auto"/>
          <w:sz w:val="28"/>
          <w:szCs w:val="28"/>
          <w:lang w:val="en-US"/>
        </w:rPr>
        <w:t>I</w:t>
      </w:r>
      <w:r w:rsidR="00B87A88" w:rsidRPr="00FC1A2C">
        <w:rPr>
          <w:rFonts w:ascii="Times New Roman" w:hAnsi="Times New Roman" w:cs="Times New Roman"/>
          <w:b w:val="0"/>
          <w:color w:val="auto"/>
          <w:sz w:val="28"/>
          <w:szCs w:val="28"/>
          <w:lang w:val="uk-UA"/>
        </w:rPr>
        <w:t xml:space="preserve"> НАУКИ УКРАЇНИ</w:t>
      </w:r>
    </w:p>
    <w:p w:rsidR="00B87A88" w:rsidRPr="00B87A88" w:rsidRDefault="0085014F"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СУМСЬКИЙ ДЕРЖАВНИЙ УН</w:t>
      </w:r>
      <w:r>
        <w:rPr>
          <w:rFonts w:ascii="Times New Roman" w:hAnsi="Times New Roman" w:cs="Times New Roman"/>
          <w:sz w:val="28"/>
          <w:szCs w:val="28"/>
          <w:lang w:val="en-US"/>
        </w:rPr>
        <w:t>I</w:t>
      </w:r>
      <w:r w:rsidR="00B87A88" w:rsidRPr="00B87A88">
        <w:rPr>
          <w:rFonts w:ascii="Times New Roman" w:hAnsi="Times New Roman" w:cs="Times New Roman"/>
          <w:sz w:val="28"/>
          <w:szCs w:val="28"/>
          <w:lang w:val="uk-UA"/>
        </w:rPr>
        <w:t>ВЕРСИТЕТ</w:t>
      </w:r>
    </w:p>
    <w:p w:rsidR="00B87A88" w:rsidRPr="00584FF6" w:rsidRDefault="00B87A88" w:rsidP="00B87A88">
      <w:pPr>
        <w:spacing w:after="0" w:line="360" w:lineRule="auto"/>
        <w:jc w:val="center"/>
        <w:rPr>
          <w:rFonts w:ascii="Times New Roman" w:hAnsi="Times New Roman" w:cs="Times New Roman"/>
          <w:sz w:val="28"/>
          <w:szCs w:val="28"/>
        </w:rPr>
      </w:pPr>
    </w:p>
    <w:p w:rsidR="009F6913" w:rsidRDefault="009F6913"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rPr>
        <w:t>М</w:t>
      </w:r>
      <w:r w:rsidR="0085014F">
        <w:rPr>
          <w:rFonts w:ascii="Times New Roman" w:hAnsi="Times New Roman" w:cs="Times New Roman"/>
          <w:sz w:val="28"/>
          <w:szCs w:val="28"/>
          <w:lang w:val="en-US"/>
        </w:rPr>
        <w:t>I</w:t>
      </w:r>
      <w:r w:rsidR="0085014F">
        <w:rPr>
          <w:rFonts w:ascii="Times New Roman" w:hAnsi="Times New Roman" w:cs="Times New Roman"/>
          <w:sz w:val="28"/>
          <w:szCs w:val="28"/>
          <w:lang w:val="uk-UA"/>
        </w:rPr>
        <w:t>Н</w:t>
      </w:r>
      <w:r w:rsidR="0085014F">
        <w:rPr>
          <w:rFonts w:ascii="Times New Roman" w:hAnsi="Times New Roman" w:cs="Times New Roman"/>
          <w:sz w:val="28"/>
          <w:szCs w:val="28"/>
          <w:lang w:val="en-US"/>
        </w:rPr>
        <w:t>I</w:t>
      </w:r>
      <w:r>
        <w:rPr>
          <w:rFonts w:ascii="Times New Roman" w:hAnsi="Times New Roman" w:cs="Times New Roman"/>
          <w:sz w:val="28"/>
          <w:szCs w:val="28"/>
          <w:lang w:val="uk-UA"/>
        </w:rPr>
        <w:t>СТЕРСТВО ОХОРОНИ ЗДОРОВʼЯ УКРАЇНИ</w:t>
      </w:r>
    </w:p>
    <w:p w:rsidR="009F6913" w:rsidRPr="009F6913" w:rsidRDefault="0085014F"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ХАРК</w:t>
      </w:r>
      <w:r>
        <w:rPr>
          <w:rFonts w:ascii="Times New Roman" w:hAnsi="Times New Roman" w:cs="Times New Roman"/>
          <w:sz w:val="28"/>
          <w:szCs w:val="28"/>
          <w:lang w:val="en-US"/>
        </w:rPr>
        <w:t>I</w:t>
      </w:r>
      <w:r>
        <w:rPr>
          <w:rFonts w:ascii="Times New Roman" w:hAnsi="Times New Roman" w:cs="Times New Roman"/>
          <w:sz w:val="28"/>
          <w:szCs w:val="28"/>
          <w:lang w:val="uk-UA"/>
        </w:rPr>
        <w:t>ВСЬКИЙ НАЦ</w:t>
      </w:r>
      <w:r>
        <w:rPr>
          <w:rFonts w:ascii="Times New Roman" w:hAnsi="Times New Roman" w:cs="Times New Roman"/>
          <w:sz w:val="28"/>
          <w:szCs w:val="28"/>
          <w:lang w:val="en-US"/>
        </w:rPr>
        <w:t>I</w:t>
      </w:r>
      <w:r>
        <w:rPr>
          <w:rFonts w:ascii="Times New Roman" w:hAnsi="Times New Roman" w:cs="Times New Roman"/>
          <w:sz w:val="28"/>
          <w:szCs w:val="28"/>
          <w:lang w:val="uk-UA"/>
        </w:rPr>
        <w:t>ОНАЛЬНИЙ МЕДИЧНИЙ УН</w:t>
      </w:r>
      <w:r>
        <w:rPr>
          <w:rFonts w:ascii="Times New Roman" w:hAnsi="Times New Roman" w:cs="Times New Roman"/>
          <w:sz w:val="28"/>
          <w:szCs w:val="28"/>
          <w:lang w:val="en-US"/>
        </w:rPr>
        <w:t>I</w:t>
      </w:r>
      <w:r w:rsidR="009F6913">
        <w:rPr>
          <w:rFonts w:ascii="Times New Roman" w:hAnsi="Times New Roman" w:cs="Times New Roman"/>
          <w:sz w:val="28"/>
          <w:szCs w:val="28"/>
          <w:lang w:val="uk-UA"/>
        </w:rPr>
        <w:t>ВЕРСИТЕТ</w:t>
      </w:r>
    </w:p>
    <w:p w:rsidR="00932AEE" w:rsidRDefault="00932AEE" w:rsidP="00E926F8">
      <w:pPr>
        <w:spacing w:after="0" w:line="360" w:lineRule="auto"/>
        <w:jc w:val="right"/>
        <w:rPr>
          <w:rFonts w:ascii="Times New Roman" w:hAnsi="Times New Roman" w:cs="Times New Roman"/>
          <w:sz w:val="28"/>
          <w:szCs w:val="28"/>
          <w:lang w:val="uk-UA"/>
        </w:rPr>
      </w:pPr>
    </w:p>
    <w:p w:rsidR="002E4763" w:rsidRPr="002E4763" w:rsidRDefault="0085014F" w:rsidP="002E4763">
      <w:pPr>
        <w:spacing w:after="0" w:line="360" w:lineRule="auto"/>
        <w:ind w:firstLine="6237"/>
        <w:rPr>
          <w:rFonts w:ascii="Calibri" w:eastAsia="Times New Roman" w:hAnsi="Calibri" w:cs="Calibri"/>
          <w:color w:val="000000"/>
          <w:lang w:val="uk-UA" w:eastAsia="uk-UA"/>
        </w:rPr>
      </w:pPr>
      <w:r>
        <w:rPr>
          <w:rFonts w:ascii="Times New Roman" w:eastAsia="Times New Roman" w:hAnsi="Times New Roman" w:cs="Times New Roman"/>
          <w:color w:val="000000"/>
          <w:sz w:val="28"/>
          <w:szCs w:val="28"/>
          <w:lang w:val="uk-UA" w:eastAsia="uk-UA"/>
        </w:rPr>
        <w:t>Квал</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ф</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кац</w:t>
      </w:r>
      <w:r>
        <w:rPr>
          <w:rFonts w:ascii="Times New Roman" w:eastAsia="Times New Roman" w:hAnsi="Times New Roman" w:cs="Times New Roman"/>
          <w:color w:val="000000"/>
          <w:sz w:val="28"/>
          <w:szCs w:val="28"/>
          <w:lang w:val="en-US" w:eastAsia="uk-UA"/>
        </w:rPr>
        <w:t>i</w:t>
      </w:r>
      <w:r w:rsidR="002E4763" w:rsidRPr="002E4763">
        <w:rPr>
          <w:rFonts w:ascii="Times New Roman" w:eastAsia="Times New Roman" w:hAnsi="Times New Roman" w:cs="Times New Roman"/>
          <w:color w:val="000000"/>
          <w:sz w:val="28"/>
          <w:szCs w:val="28"/>
          <w:lang w:val="uk-UA" w:eastAsia="uk-UA"/>
        </w:rPr>
        <w:t xml:space="preserve">йна наукова </w:t>
      </w:r>
    </w:p>
    <w:p w:rsidR="00E926F8" w:rsidRPr="002E4763" w:rsidRDefault="002E4763" w:rsidP="002E4763">
      <w:pPr>
        <w:spacing w:after="0" w:line="360" w:lineRule="auto"/>
        <w:ind w:firstLine="6237"/>
        <w:rPr>
          <w:rFonts w:ascii="Calibri" w:eastAsia="Times New Roman" w:hAnsi="Calibri" w:cs="Calibri"/>
          <w:color w:val="000000"/>
          <w:lang w:val="uk-UA" w:eastAsia="uk-UA"/>
        </w:rPr>
      </w:pPr>
      <w:r w:rsidRPr="002E4763">
        <w:rPr>
          <w:rFonts w:ascii="Times New Roman" w:eastAsia="Times New Roman" w:hAnsi="Times New Roman" w:cs="Times New Roman"/>
          <w:color w:val="000000"/>
          <w:sz w:val="28"/>
          <w:szCs w:val="28"/>
          <w:lang w:val="uk-UA" w:eastAsia="uk-UA"/>
        </w:rPr>
        <w:t>праця на правах рукопису</w:t>
      </w:r>
    </w:p>
    <w:p w:rsidR="00B87A88" w:rsidRPr="00B87A88" w:rsidRDefault="00B87A88"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ЧЕРНАЦЬКА ОЛЬГА МИКОЛАЇВНА</w:t>
      </w:r>
    </w:p>
    <w:p w:rsidR="00B87A88" w:rsidRPr="00B87A88" w:rsidRDefault="00B87A88" w:rsidP="00B87A88">
      <w:pPr>
        <w:spacing w:after="0" w:line="360" w:lineRule="auto"/>
        <w:jc w:val="center"/>
        <w:rPr>
          <w:rFonts w:ascii="Times New Roman" w:hAnsi="Times New Roman" w:cs="Times New Roman"/>
          <w:sz w:val="28"/>
          <w:szCs w:val="28"/>
          <w:lang w:val="uk-UA"/>
        </w:rPr>
      </w:pPr>
    </w:p>
    <w:p w:rsidR="00EB239E" w:rsidRPr="00B87A88" w:rsidRDefault="00B87A88" w:rsidP="00B87A88">
      <w:pPr>
        <w:spacing w:after="0" w:line="360" w:lineRule="auto"/>
        <w:jc w:val="center"/>
        <w:rPr>
          <w:rFonts w:ascii="Times New Roman" w:hAnsi="Times New Roman" w:cs="Times New Roman"/>
          <w:sz w:val="28"/>
          <w:szCs w:val="28"/>
          <w:lang w:val="uk-UA"/>
        </w:rPr>
      </w:pPr>
      <w:r w:rsidRPr="00B87A88">
        <w:rPr>
          <w:rFonts w:ascii="Times New Roman" w:hAnsi="Times New Roman" w:cs="Times New Roman"/>
          <w:sz w:val="28"/>
          <w:szCs w:val="28"/>
          <w:lang w:val="uk-UA"/>
        </w:rPr>
        <w:t>УДК</w:t>
      </w:r>
      <w:r w:rsidR="00F45CB5" w:rsidRPr="00A266F4">
        <w:rPr>
          <w:rFonts w:ascii="Times New Roman" w:hAnsi="Times New Roman" w:cs="Times New Roman"/>
          <w:sz w:val="28"/>
          <w:szCs w:val="28"/>
          <w:lang w:val="uk-UA"/>
        </w:rPr>
        <w:t>:</w:t>
      </w:r>
      <w:r w:rsidRPr="00F45CB5">
        <w:rPr>
          <w:rFonts w:ascii="Times New Roman" w:hAnsi="Times New Roman" w:cs="Times New Roman"/>
          <w:sz w:val="28"/>
          <w:szCs w:val="28"/>
          <w:lang w:val="uk-UA"/>
        </w:rPr>
        <w:t xml:space="preserve"> </w:t>
      </w:r>
      <w:r w:rsidR="00140A51" w:rsidRPr="0085014F">
        <w:rPr>
          <w:rFonts w:ascii="Times New Roman" w:hAnsi="Times New Roman" w:cs="Times New Roman"/>
          <w:sz w:val="28"/>
          <w:szCs w:val="28"/>
          <w:lang w:val="uk-UA"/>
        </w:rPr>
        <w:t>616.12-008.331.1+616.379-008.64+616.61]-08-06:616.153:577.125(043.5)</w:t>
      </w:r>
    </w:p>
    <w:p w:rsidR="00EB239E" w:rsidRPr="000C5DC2" w:rsidRDefault="0085014F" w:rsidP="00FB69F1">
      <w:pPr>
        <w:spacing w:after="0" w:line="360" w:lineRule="auto"/>
        <w:jc w:val="center"/>
        <w:rPr>
          <w:rFonts w:ascii="Times New Roman" w:hAnsi="Times New Roman" w:cs="Times New Roman"/>
          <w:b/>
          <w:sz w:val="28"/>
          <w:szCs w:val="28"/>
          <w:lang w:val="uk-UA"/>
        </w:rPr>
      </w:pPr>
      <w:r w:rsidRPr="000C5DC2">
        <w:rPr>
          <w:rFonts w:ascii="Times New Roman" w:hAnsi="Times New Roman" w:cs="Times New Roman"/>
          <w:b/>
          <w:sz w:val="28"/>
          <w:szCs w:val="28"/>
          <w:lang w:val="uk-UA"/>
        </w:rPr>
        <w:t>ДИСЕРТАЦ</w:t>
      </w:r>
      <w:r w:rsidRPr="000C5DC2">
        <w:rPr>
          <w:rFonts w:ascii="Times New Roman" w:hAnsi="Times New Roman" w:cs="Times New Roman"/>
          <w:b/>
          <w:sz w:val="28"/>
          <w:szCs w:val="28"/>
          <w:lang w:val="en-US"/>
        </w:rPr>
        <w:t>I</w:t>
      </w:r>
      <w:r w:rsidR="00FB69F1" w:rsidRPr="000C5DC2">
        <w:rPr>
          <w:rFonts w:ascii="Times New Roman" w:hAnsi="Times New Roman" w:cs="Times New Roman"/>
          <w:b/>
          <w:sz w:val="28"/>
          <w:szCs w:val="28"/>
          <w:lang w:val="uk-UA"/>
        </w:rPr>
        <w:t>Я</w:t>
      </w:r>
    </w:p>
    <w:p w:rsidR="00CF783B" w:rsidRDefault="0085014F" w:rsidP="00CF783B">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ЕНДОТЕЛ</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АЛЬН</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 СТРУКТУРНО-ФУНКЦ</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ОНАЛЬН</w:t>
      </w:r>
      <w:r>
        <w:rPr>
          <w:rFonts w:ascii="Times New Roman" w:hAnsi="Times New Roman" w:cs="Times New Roman"/>
          <w:color w:val="000000"/>
          <w:sz w:val="28"/>
          <w:szCs w:val="28"/>
          <w:lang w:val="en-US"/>
        </w:rPr>
        <w:t>I</w:t>
      </w:r>
      <w:r w:rsidR="00CF783B">
        <w:rPr>
          <w:rFonts w:ascii="Times New Roman" w:hAnsi="Times New Roman" w:cs="Times New Roman"/>
          <w:color w:val="000000"/>
          <w:sz w:val="28"/>
          <w:szCs w:val="28"/>
          <w:lang w:val="uk-UA"/>
        </w:rPr>
        <w:t xml:space="preserve"> </w:t>
      </w:r>
    </w:p>
    <w:p w:rsidR="00CF783B" w:rsidRDefault="00CF783B" w:rsidP="00CF783B">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ТА </w:t>
      </w:r>
      <w:r w:rsidR="0085014F">
        <w:rPr>
          <w:rFonts w:ascii="Times New Roman" w:hAnsi="Times New Roman" w:cs="Times New Roman"/>
          <w:color w:val="000000"/>
          <w:sz w:val="28"/>
          <w:szCs w:val="28"/>
          <w:lang w:val="en-US"/>
        </w:rPr>
        <w:t>I</w:t>
      </w:r>
      <w:r w:rsidR="0085014F">
        <w:rPr>
          <w:rFonts w:ascii="Times New Roman" w:hAnsi="Times New Roman" w:cs="Times New Roman"/>
          <w:color w:val="000000"/>
          <w:sz w:val="28"/>
          <w:szCs w:val="28"/>
          <w:lang w:val="uk-UA"/>
        </w:rPr>
        <w:t>МУНОЗАПАЛЬН</w:t>
      </w:r>
      <w:r w:rsidR="0085014F">
        <w:rPr>
          <w:rFonts w:ascii="Times New Roman" w:hAnsi="Times New Roman" w:cs="Times New Roman"/>
          <w:color w:val="000000"/>
          <w:sz w:val="28"/>
          <w:szCs w:val="28"/>
          <w:lang w:val="en-US"/>
        </w:rPr>
        <w:t>I</w:t>
      </w:r>
      <w:r w:rsidR="00DE31C9">
        <w:rPr>
          <w:rFonts w:ascii="Times New Roman" w:hAnsi="Times New Roman" w:cs="Times New Roman"/>
          <w:color w:val="000000"/>
          <w:sz w:val="28"/>
          <w:szCs w:val="28"/>
          <w:lang w:val="uk-UA"/>
        </w:rPr>
        <w:t xml:space="preserve"> </w:t>
      </w:r>
      <w:r w:rsidR="0085014F">
        <w:rPr>
          <w:rFonts w:ascii="Times New Roman" w:hAnsi="Times New Roman" w:cs="Times New Roman"/>
          <w:color w:val="000000"/>
          <w:sz w:val="28"/>
          <w:szCs w:val="28"/>
          <w:lang w:val="uk-UA"/>
        </w:rPr>
        <w:t>АСПЕКТИ МЕТАБОЛ</w:t>
      </w:r>
      <w:r w:rsidR="0085014F">
        <w:rPr>
          <w:rFonts w:ascii="Times New Roman" w:hAnsi="Times New Roman" w:cs="Times New Roman"/>
          <w:color w:val="000000"/>
          <w:sz w:val="28"/>
          <w:szCs w:val="28"/>
          <w:lang w:val="en-US"/>
        </w:rPr>
        <w:t>I</w:t>
      </w:r>
      <w:r w:rsidR="00E82C97">
        <w:rPr>
          <w:rFonts w:ascii="Times New Roman" w:hAnsi="Times New Roman" w:cs="Times New Roman"/>
          <w:color w:val="000000"/>
          <w:sz w:val="28"/>
          <w:szCs w:val="28"/>
          <w:lang w:val="uk-UA"/>
        </w:rPr>
        <w:t xml:space="preserve">ЧНИХ ПОРУШЕНЬ </w:t>
      </w:r>
    </w:p>
    <w:p w:rsidR="00CF783B" w:rsidRDefault="00E82C97" w:rsidP="00CF783B">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 </w:t>
      </w:r>
      <w:r w:rsidR="00DE31C9">
        <w:rPr>
          <w:rFonts w:ascii="Times New Roman" w:hAnsi="Times New Roman" w:cs="Times New Roman"/>
          <w:color w:val="000000"/>
          <w:sz w:val="28"/>
          <w:szCs w:val="28"/>
          <w:lang w:val="uk-UA"/>
        </w:rPr>
        <w:t>ХВОР</w:t>
      </w:r>
      <w:r w:rsidR="0085014F">
        <w:rPr>
          <w:rFonts w:ascii="Times New Roman" w:hAnsi="Times New Roman" w:cs="Times New Roman"/>
          <w:color w:val="000000"/>
          <w:sz w:val="28"/>
          <w:szCs w:val="28"/>
          <w:lang w:val="uk-UA"/>
        </w:rPr>
        <w:t>ИХ НА АРТЕР</w:t>
      </w:r>
      <w:r w:rsidR="0085014F">
        <w:rPr>
          <w:rFonts w:ascii="Times New Roman" w:hAnsi="Times New Roman" w:cs="Times New Roman"/>
          <w:color w:val="000000"/>
          <w:sz w:val="28"/>
          <w:szCs w:val="28"/>
          <w:lang w:val="en-US"/>
        </w:rPr>
        <w:t>I</w:t>
      </w:r>
      <w:r w:rsidR="0085014F">
        <w:rPr>
          <w:rFonts w:ascii="Times New Roman" w:hAnsi="Times New Roman" w:cs="Times New Roman"/>
          <w:color w:val="000000"/>
          <w:sz w:val="28"/>
          <w:szCs w:val="28"/>
          <w:lang w:val="uk-UA"/>
        </w:rPr>
        <w:t>АЛЬНУ Г</w:t>
      </w:r>
      <w:r w:rsidR="0085014F">
        <w:rPr>
          <w:rFonts w:ascii="Times New Roman" w:hAnsi="Times New Roman" w:cs="Times New Roman"/>
          <w:color w:val="000000"/>
          <w:sz w:val="28"/>
          <w:szCs w:val="28"/>
          <w:lang w:val="en-US"/>
        </w:rPr>
        <w:t>I</w:t>
      </w:r>
      <w:r w:rsidR="0085014F">
        <w:rPr>
          <w:rFonts w:ascii="Times New Roman" w:hAnsi="Times New Roman" w:cs="Times New Roman"/>
          <w:color w:val="000000"/>
          <w:sz w:val="28"/>
          <w:szCs w:val="28"/>
          <w:lang w:val="uk-UA"/>
        </w:rPr>
        <w:t>ПЕРТЕНЗ</w:t>
      </w:r>
      <w:r w:rsidR="0085014F">
        <w:rPr>
          <w:rFonts w:ascii="Times New Roman" w:hAnsi="Times New Roman" w:cs="Times New Roman"/>
          <w:color w:val="000000"/>
          <w:sz w:val="28"/>
          <w:szCs w:val="28"/>
          <w:lang w:val="en-US"/>
        </w:rPr>
        <w:t>I</w:t>
      </w:r>
      <w:r w:rsidR="0085014F">
        <w:rPr>
          <w:rFonts w:ascii="Times New Roman" w:hAnsi="Times New Roman" w:cs="Times New Roman"/>
          <w:color w:val="000000"/>
          <w:sz w:val="28"/>
          <w:szCs w:val="28"/>
          <w:lang w:val="uk-UA"/>
        </w:rPr>
        <w:t xml:space="preserve">Ю </w:t>
      </w:r>
      <w:r w:rsidR="0085014F">
        <w:rPr>
          <w:rFonts w:ascii="Times New Roman" w:hAnsi="Times New Roman" w:cs="Times New Roman"/>
          <w:color w:val="000000"/>
          <w:sz w:val="28"/>
          <w:szCs w:val="28"/>
          <w:lang w:val="en-US"/>
        </w:rPr>
        <w:t>I</w:t>
      </w:r>
      <w:r w:rsidR="00DE31C9">
        <w:rPr>
          <w:rFonts w:ascii="Times New Roman" w:hAnsi="Times New Roman" w:cs="Times New Roman"/>
          <w:color w:val="000000"/>
          <w:sz w:val="28"/>
          <w:szCs w:val="28"/>
          <w:lang w:val="uk-UA"/>
        </w:rPr>
        <w:t xml:space="preserve"> ЦУКРОВИЙ </w:t>
      </w:r>
    </w:p>
    <w:p w:rsidR="00DE31C9" w:rsidRPr="00CF783B" w:rsidRDefault="0085014F" w:rsidP="00CF783B">
      <w:pPr>
        <w:spacing w:after="0"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Pr>
          <w:rFonts w:ascii="Times New Roman" w:hAnsi="Times New Roman" w:cs="Times New Roman"/>
          <w:color w:val="000000"/>
          <w:sz w:val="28"/>
          <w:szCs w:val="28"/>
          <w:lang w:val="en-US"/>
        </w:rPr>
        <w:t>I</w:t>
      </w:r>
      <w:r w:rsidR="00DE31C9">
        <w:rPr>
          <w:rFonts w:ascii="Times New Roman" w:hAnsi="Times New Roman" w:cs="Times New Roman"/>
          <w:color w:val="000000"/>
          <w:sz w:val="28"/>
          <w:szCs w:val="28"/>
          <w:lang w:val="uk-UA"/>
        </w:rPr>
        <w:t>АБЕТ 2</w:t>
      </w:r>
      <w:r w:rsidR="004224BE" w:rsidRPr="004224BE">
        <w:rPr>
          <w:rFonts w:ascii="Times New Roman" w:hAnsi="Times New Roman" w:cs="Times New Roman"/>
          <w:color w:val="000000"/>
          <w:sz w:val="28"/>
          <w:szCs w:val="28"/>
          <w:lang w:val="uk-UA"/>
        </w:rPr>
        <w:t>-</w:t>
      </w:r>
      <w:r w:rsidR="004224BE">
        <w:rPr>
          <w:rFonts w:ascii="Times New Roman" w:hAnsi="Times New Roman" w:cs="Times New Roman"/>
          <w:color w:val="000000"/>
          <w:sz w:val="28"/>
          <w:szCs w:val="28"/>
          <w:lang w:val="uk-UA"/>
        </w:rPr>
        <w:t>ГО</w:t>
      </w:r>
      <w:r>
        <w:rPr>
          <w:rFonts w:ascii="Times New Roman" w:hAnsi="Times New Roman" w:cs="Times New Roman"/>
          <w:color w:val="000000"/>
          <w:sz w:val="28"/>
          <w:szCs w:val="28"/>
          <w:lang w:val="uk-UA"/>
        </w:rPr>
        <w:t xml:space="preserve"> ТИПУ ТА ЇХ КОРЕКЦ</w:t>
      </w:r>
      <w:r>
        <w:rPr>
          <w:rFonts w:ascii="Times New Roman" w:hAnsi="Times New Roman" w:cs="Times New Roman"/>
          <w:color w:val="000000"/>
          <w:sz w:val="28"/>
          <w:szCs w:val="28"/>
          <w:lang w:val="en-US"/>
        </w:rPr>
        <w:t>I</w:t>
      </w:r>
      <w:r w:rsidR="00DE31C9">
        <w:rPr>
          <w:rFonts w:ascii="Times New Roman" w:hAnsi="Times New Roman" w:cs="Times New Roman"/>
          <w:color w:val="000000"/>
          <w:sz w:val="28"/>
          <w:szCs w:val="28"/>
          <w:lang w:val="uk-UA"/>
        </w:rPr>
        <w:t>Я</w:t>
      </w:r>
    </w:p>
    <w:p w:rsidR="00DE31C9" w:rsidRDefault="00DE31C9" w:rsidP="00B87A88">
      <w:pPr>
        <w:spacing w:after="0" w:line="360" w:lineRule="auto"/>
        <w:jc w:val="center"/>
        <w:rPr>
          <w:rFonts w:ascii="Times New Roman" w:hAnsi="Times New Roman" w:cs="Times New Roman"/>
          <w:sz w:val="28"/>
          <w:szCs w:val="28"/>
          <w:lang w:val="uk-UA"/>
        </w:rPr>
      </w:pPr>
    </w:p>
    <w:p w:rsidR="00B87A88" w:rsidRPr="00B87A88" w:rsidRDefault="00930E13" w:rsidP="002E476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c</w:t>
      </w:r>
      <w:r w:rsidR="0085014F">
        <w:rPr>
          <w:rFonts w:ascii="Times New Roman" w:hAnsi="Times New Roman" w:cs="Times New Roman"/>
          <w:sz w:val="28"/>
          <w:szCs w:val="28"/>
          <w:lang w:val="uk-UA"/>
        </w:rPr>
        <w:t>пец</w:t>
      </w:r>
      <w:r w:rsidR="0085014F">
        <w:rPr>
          <w:rFonts w:ascii="Times New Roman" w:hAnsi="Times New Roman" w:cs="Times New Roman"/>
          <w:sz w:val="28"/>
          <w:szCs w:val="28"/>
          <w:lang w:val="en-US"/>
        </w:rPr>
        <w:t>i</w:t>
      </w:r>
      <w:r w:rsidR="0085014F">
        <w:rPr>
          <w:rFonts w:ascii="Times New Roman" w:hAnsi="Times New Roman" w:cs="Times New Roman"/>
          <w:sz w:val="28"/>
          <w:szCs w:val="28"/>
          <w:lang w:val="uk-UA"/>
        </w:rPr>
        <w:t>альн</w:t>
      </w:r>
      <w:r w:rsidR="0085014F">
        <w:rPr>
          <w:rFonts w:ascii="Times New Roman" w:hAnsi="Times New Roman" w:cs="Times New Roman"/>
          <w:sz w:val="28"/>
          <w:szCs w:val="28"/>
          <w:lang w:val="en-US"/>
        </w:rPr>
        <w:t>i</w:t>
      </w:r>
      <w:r w:rsidR="00454B6E">
        <w:rPr>
          <w:rFonts w:ascii="Times New Roman" w:hAnsi="Times New Roman" w:cs="Times New Roman"/>
          <w:sz w:val="28"/>
          <w:szCs w:val="28"/>
          <w:lang w:val="uk-UA"/>
        </w:rPr>
        <w:t xml:space="preserve">сть </w:t>
      </w:r>
      <w:r w:rsidR="0085014F">
        <w:rPr>
          <w:rFonts w:ascii="Times New Roman" w:hAnsi="Times New Roman" w:cs="Times New Roman"/>
          <w:sz w:val="28"/>
          <w:szCs w:val="28"/>
          <w:lang w:val="uk-UA"/>
        </w:rPr>
        <w:t>14.01.02 – внутр</w:t>
      </w:r>
      <w:r w:rsidR="0085014F">
        <w:rPr>
          <w:rFonts w:ascii="Times New Roman" w:hAnsi="Times New Roman" w:cs="Times New Roman"/>
          <w:sz w:val="28"/>
          <w:szCs w:val="28"/>
          <w:lang w:val="en-US"/>
        </w:rPr>
        <w:t>i</w:t>
      </w:r>
      <w:r w:rsidR="0085014F">
        <w:rPr>
          <w:rFonts w:ascii="Times New Roman" w:hAnsi="Times New Roman" w:cs="Times New Roman"/>
          <w:sz w:val="28"/>
          <w:szCs w:val="28"/>
          <w:lang w:val="uk-UA"/>
        </w:rPr>
        <w:t>шн</w:t>
      </w:r>
      <w:r w:rsidR="0085014F">
        <w:rPr>
          <w:rFonts w:ascii="Times New Roman" w:hAnsi="Times New Roman" w:cs="Times New Roman"/>
          <w:sz w:val="28"/>
          <w:szCs w:val="28"/>
          <w:lang w:val="en-US"/>
        </w:rPr>
        <w:t>i</w:t>
      </w:r>
      <w:r w:rsidR="00B87A88" w:rsidRPr="00B87A88">
        <w:rPr>
          <w:rFonts w:ascii="Times New Roman" w:hAnsi="Times New Roman" w:cs="Times New Roman"/>
          <w:sz w:val="28"/>
          <w:szCs w:val="28"/>
          <w:lang w:val="uk-UA"/>
        </w:rPr>
        <w:t xml:space="preserve"> хвороби</w:t>
      </w:r>
    </w:p>
    <w:p w:rsidR="002E4763" w:rsidRPr="002E4763" w:rsidRDefault="002E4763" w:rsidP="002E4763">
      <w:pPr>
        <w:spacing w:after="0" w:line="360" w:lineRule="auto"/>
        <w:rPr>
          <w:rFonts w:ascii="Calibri" w:eastAsia="Times New Roman" w:hAnsi="Calibri" w:cs="Calibri"/>
          <w:color w:val="000000"/>
          <w:lang w:val="uk-UA" w:eastAsia="uk-UA"/>
        </w:rPr>
      </w:pPr>
      <w:r w:rsidRPr="002E4763">
        <w:rPr>
          <w:rFonts w:ascii="Times New Roman" w:eastAsia="Times New Roman" w:hAnsi="Times New Roman" w:cs="Times New Roman"/>
          <w:color w:val="000000"/>
          <w:sz w:val="28"/>
          <w:szCs w:val="28"/>
          <w:lang w:val="uk-UA" w:eastAsia="uk-UA"/>
        </w:rPr>
        <w:t>Подається на здобуття нау</w:t>
      </w:r>
      <w:r>
        <w:rPr>
          <w:rFonts w:ascii="Times New Roman" w:eastAsia="Times New Roman" w:hAnsi="Times New Roman" w:cs="Times New Roman"/>
          <w:color w:val="000000"/>
          <w:sz w:val="28"/>
          <w:szCs w:val="28"/>
          <w:lang w:val="uk-UA" w:eastAsia="uk-UA"/>
        </w:rPr>
        <w:t>кового ступеня</w:t>
      </w:r>
      <w:r w:rsidRPr="002E4763">
        <w:rPr>
          <w:rFonts w:ascii="Times New Roman" w:eastAsia="Times New Roman" w:hAnsi="Times New Roman" w:cs="Times New Roman"/>
          <w:color w:val="000000"/>
          <w:sz w:val="28"/>
          <w:szCs w:val="28"/>
          <w:lang w:eastAsia="uk-UA"/>
        </w:rPr>
        <w:t xml:space="preserve"> кандидата медичних наук</w:t>
      </w:r>
      <w:r w:rsidR="00E82C97">
        <w:rPr>
          <w:rFonts w:ascii="Times New Roman" w:eastAsia="Times New Roman" w:hAnsi="Times New Roman" w:cs="Times New Roman"/>
          <w:color w:val="000000"/>
          <w:sz w:val="28"/>
          <w:szCs w:val="28"/>
          <w:lang w:eastAsia="uk-UA"/>
        </w:rPr>
        <w:t>.</w:t>
      </w:r>
    </w:p>
    <w:p w:rsidR="002E4763" w:rsidRDefault="002E4763" w:rsidP="002E4763">
      <w:pPr>
        <w:spacing w:after="0"/>
        <w:rPr>
          <w:rFonts w:ascii="Times New Roman" w:eastAsia="Times New Roman" w:hAnsi="Times New Roman" w:cs="Times New Roman"/>
          <w:color w:val="000000"/>
          <w:sz w:val="28"/>
          <w:szCs w:val="28"/>
          <w:lang w:val="uk-UA" w:eastAsia="uk-UA"/>
        </w:rPr>
      </w:pPr>
    </w:p>
    <w:p w:rsidR="002E4763" w:rsidRPr="002E4763" w:rsidRDefault="0085014F" w:rsidP="002E4763">
      <w:pPr>
        <w:spacing w:after="0"/>
        <w:jc w:val="both"/>
        <w:rPr>
          <w:rFonts w:ascii="Times New Roman" w:eastAsia="Times New Roman" w:hAnsi="Times New Roman" w:cs="Times New Roman"/>
          <w:color w:val="000000"/>
          <w:sz w:val="20"/>
          <w:szCs w:val="20"/>
          <w:lang w:val="uk-UA" w:eastAsia="uk-UA"/>
        </w:rPr>
      </w:pPr>
      <w:r>
        <w:rPr>
          <w:rFonts w:ascii="Times New Roman" w:eastAsia="Times New Roman" w:hAnsi="Times New Roman" w:cs="Times New Roman"/>
          <w:color w:val="000000"/>
          <w:sz w:val="28"/>
          <w:szCs w:val="28"/>
          <w:lang w:val="uk-UA" w:eastAsia="uk-UA"/>
        </w:rPr>
        <w:t>Дисертац</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я м</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стить результати власних досл</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 xml:space="preserve">джень. Використання </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дей, результат</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 xml:space="preserve">в </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 xml:space="preserve"> текст</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 xml:space="preserve">в </w:t>
      </w:r>
      <w:r>
        <w:rPr>
          <w:rFonts w:ascii="Times New Roman" w:eastAsia="Times New Roman" w:hAnsi="Times New Roman" w:cs="Times New Roman"/>
          <w:color w:val="000000"/>
          <w:sz w:val="28"/>
          <w:szCs w:val="28"/>
          <w:lang w:val="en-US" w:eastAsia="uk-UA"/>
        </w:rPr>
        <w:t>i</w:t>
      </w:r>
      <w:r w:rsidR="002E4763" w:rsidRPr="002E4763">
        <w:rPr>
          <w:rFonts w:ascii="Times New Roman" w:eastAsia="Times New Roman" w:hAnsi="Times New Roman" w:cs="Times New Roman"/>
          <w:color w:val="000000"/>
          <w:sz w:val="28"/>
          <w:szCs w:val="28"/>
          <w:lang w:val="uk-UA" w:eastAsia="uk-UA"/>
        </w:rPr>
        <w:t xml:space="preserve">нших </w:t>
      </w:r>
      <w:r>
        <w:rPr>
          <w:rFonts w:ascii="Times New Roman" w:eastAsia="Times New Roman" w:hAnsi="Times New Roman" w:cs="Times New Roman"/>
          <w:color w:val="000000"/>
          <w:sz w:val="28"/>
          <w:szCs w:val="28"/>
          <w:lang w:val="uk-UA" w:eastAsia="uk-UA"/>
        </w:rPr>
        <w:t>автор</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в мають посилання на в</w:t>
      </w:r>
      <w:r>
        <w:rPr>
          <w:rFonts w:ascii="Times New Roman" w:eastAsia="Times New Roman" w:hAnsi="Times New Roman" w:cs="Times New Roman"/>
          <w:color w:val="000000"/>
          <w:sz w:val="28"/>
          <w:szCs w:val="28"/>
          <w:lang w:val="en-US" w:eastAsia="uk-UA"/>
        </w:rPr>
        <w:t>i</w:t>
      </w:r>
      <w:r>
        <w:rPr>
          <w:rFonts w:ascii="Times New Roman" w:eastAsia="Times New Roman" w:hAnsi="Times New Roman" w:cs="Times New Roman"/>
          <w:color w:val="000000"/>
          <w:sz w:val="28"/>
          <w:szCs w:val="28"/>
          <w:lang w:val="uk-UA" w:eastAsia="uk-UA"/>
        </w:rPr>
        <w:t>дпов</w:t>
      </w:r>
      <w:r>
        <w:rPr>
          <w:rFonts w:ascii="Times New Roman" w:eastAsia="Times New Roman" w:hAnsi="Times New Roman" w:cs="Times New Roman"/>
          <w:color w:val="000000"/>
          <w:sz w:val="28"/>
          <w:szCs w:val="28"/>
          <w:lang w:val="en-US" w:eastAsia="uk-UA"/>
        </w:rPr>
        <w:t>i</w:t>
      </w:r>
      <w:r w:rsidR="002E4763" w:rsidRPr="002E4763">
        <w:rPr>
          <w:rFonts w:ascii="Times New Roman" w:eastAsia="Times New Roman" w:hAnsi="Times New Roman" w:cs="Times New Roman"/>
          <w:color w:val="000000"/>
          <w:sz w:val="28"/>
          <w:szCs w:val="28"/>
          <w:lang w:val="uk-UA" w:eastAsia="uk-UA"/>
        </w:rPr>
        <w:t>дне джерело</w:t>
      </w:r>
      <w:r w:rsidR="00E82C97">
        <w:rPr>
          <w:rFonts w:ascii="Times New Roman" w:eastAsia="Times New Roman" w:hAnsi="Times New Roman" w:cs="Times New Roman"/>
          <w:color w:val="000000"/>
          <w:sz w:val="28"/>
          <w:szCs w:val="28"/>
          <w:lang w:val="uk-UA" w:eastAsia="uk-UA"/>
        </w:rPr>
        <w:t>.</w:t>
      </w:r>
      <w:r w:rsidR="00D00A30">
        <w:rPr>
          <w:rFonts w:ascii="Times New Roman" w:eastAsia="Times New Roman" w:hAnsi="Times New Roman" w:cs="Times New Roman"/>
          <w:color w:val="000000"/>
          <w:sz w:val="28"/>
          <w:szCs w:val="28"/>
          <w:lang w:val="uk-UA" w:eastAsia="uk-UA"/>
        </w:rPr>
        <w:t xml:space="preserve"> ____________Чернацька О.</w:t>
      </w:r>
      <w:r w:rsidR="004A1187" w:rsidRPr="004A1187">
        <w:rPr>
          <w:rFonts w:ascii="Times New Roman" w:eastAsia="Times New Roman" w:hAnsi="Times New Roman" w:cs="Times New Roman"/>
          <w:color w:val="000000"/>
          <w:sz w:val="28"/>
          <w:szCs w:val="28"/>
          <w:lang w:eastAsia="uk-UA"/>
        </w:rPr>
        <w:t xml:space="preserve"> </w:t>
      </w:r>
      <w:r w:rsidR="00D00A30">
        <w:rPr>
          <w:rFonts w:ascii="Times New Roman" w:eastAsia="Times New Roman" w:hAnsi="Times New Roman" w:cs="Times New Roman"/>
          <w:color w:val="000000"/>
          <w:sz w:val="28"/>
          <w:szCs w:val="28"/>
          <w:lang w:val="uk-UA" w:eastAsia="uk-UA"/>
        </w:rPr>
        <w:t>М.</w:t>
      </w:r>
      <w:r w:rsidR="002E4763" w:rsidRPr="002E4763">
        <w:rPr>
          <w:rFonts w:ascii="Times New Roman" w:eastAsia="Times New Roman" w:hAnsi="Times New Roman" w:cs="Times New Roman"/>
          <w:color w:val="000000"/>
          <w:sz w:val="28"/>
          <w:szCs w:val="28"/>
          <w:lang w:val="uk-UA" w:eastAsia="uk-UA"/>
        </w:rPr>
        <w:t xml:space="preserve">                  </w:t>
      </w:r>
    </w:p>
    <w:p w:rsidR="00B87A88" w:rsidRPr="005B4B6A" w:rsidRDefault="00B87A88" w:rsidP="005B4B6A">
      <w:pPr>
        <w:spacing w:after="0" w:line="360" w:lineRule="auto"/>
        <w:rPr>
          <w:rFonts w:ascii="Times New Roman" w:hAnsi="Times New Roman" w:cs="Times New Roman"/>
          <w:sz w:val="28"/>
          <w:szCs w:val="28"/>
          <w:lang w:val="uk-UA"/>
        </w:rPr>
      </w:pPr>
    </w:p>
    <w:p w:rsidR="00833624" w:rsidRDefault="00B87A88"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4B6A">
        <w:rPr>
          <w:rFonts w:ascii="Times New Roman" w:hAnsi="Times New Roman" w:cs="Times New Roman"/>
          <w:sz w:val="28"/>
          <w:szCs w:val="28"/>
          <w:lang w:val="uk-UA"/>
        </w:rPr>
        <w:t xml:space="preserve">             </w:t>
      </w:r>
      <w:r w:rsidR="00B04BB7">
        <w:rPr>
          <w:rFonts w:ascii="Times New Roman" w:hAnsi="Times New Roman" w:cs="Times New Roman"/>
          <w:sz w:val="28"/>
          <w:szCs w:val="28"/>
          <w:lang w:val="uk-UA"/>
        </w:rPr>
        <w:t xml:space="preserve">  </w:t>
      </w:r>
    </w:p>
    <w:p w:rsidR="00B87A88" w:rsidRPr="00B87A88" w:rsidRDefault="00833624"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5014F">
        <w:rPr>
          <w:rFonts w:ascii="Times New Roman" w:hAnsi="Times New Roman" w:cs="Times New Roman"/>
          <w:sz w:val="28"/>
          <w:szCs w:val="28"/>
          <w:lang w:val="uk-UA"/>
        </w:rPr>
        <w:t>Науковий кер</w:t>
      </w:r>
      <w:r w:rsidR="0085014F">
        <w:rPr>
          <w:rFonts w:ascii="Times New Roman" w:hAnsi="Times New Roman" w:cs="Times New Roman"/>
          <w:sz w:val="28"/>
          <w:szCs w:val="28"/>
          <w:lang w:val="en-US"/>
        </w:rPr>
        <w:t>i</w:t>
      </w:r>
      <w:r w:rsidR="00B87A88">
        <w:rPr>
          <w:rFonts w:ascii="Times New Roman" w:hAnsi="Times New Roman" w:cs="Times New Roman"/>
          <w:sz w:val="28"/>
          <w:szCs w:val="28"/>
          <w:lang w:val="uk-UA"/>
        </w:rPr>
        <w:t>вник</w:t>
      </w:r>
      <w:r w:rsidR="00E82C97">
        <w:rPr>
          <w:rFonts w:ascii="Times New Roman" w:hAnsi="Times New Roman" w:cs="Times New Roman"/>
          <w:sz w:val="28"/>
          <w:szCs w:val="28"/>
          <w:lang w:val="uk-UA"/>
        </w:rPr>
        <w:t xml:space="preserve"> −</w:t>
      </w:r>
    </w:p>
    <w:p w:rsidR="00B87A88" w:rsidRPr="00B87A88" w:rsidRDefault="00B87A88" w:rsidP="00B87A88">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4B6A">
        <w:rPr>
          <w:rFonts w:ascii="Times New Roman" w:hAnsi="Times New Roman" w:cs="Times New Roman"/>
          <w:sz w:val="28"/>
          <w:szCs w:val="28"/>
          <w:lang w:val="uk-UA"/>
        </w:rPr>
        <w:t xml:space="preserve">            </w:t>
      </w:r>
      <w:r w:rsidR="0085014F">
        <w:rPr>
          <w:rFonts w:ascii="Times New Roman" w:hAnsi="Times New Roman" w:cs="Times New Roman"/>
          <w:sz w:val="28"/>
          <w:szCs w:val="28"/>
          <w:lang w:val="uk-UA"/>
        </w:rPr>
        <w:t>Дем</w:t>
      </w:r>
      <w:r w:rsidR="0085014F">
        <w:rPr>
          <w:rFonts w:ascii="Times New Roman" w:hAnsi="Times New Roman" w:cs="Times New Roman"/>
          <w:sz w:val="28"/>
          <w:szCs w:val="28"/>
          <w:lang w:val="en-US"/>
        </w:rPr>
        <w:t>i</w:t>
      </w:r>
      <w:r w:rsidR="0085014F">
        <w:rPr>
          <w:rFonts w:ascii="Times New Roman" w:hAnsi="Times New Roman" w:cs="Times New Roman"/>
          <w:sz w:val="28"/>
          <w:szCs w:val="28"/>
          <w:lang w:val="uk-UA"/>
        </w:rPr>
        <w:t>хова Над</w:t>
      </w:r>
      <w:r w:rsidR="0085014F">
        <w:rPr>
          <w:rFonts w:ascii="Times New Roman" w:hAnsi="Times New Roman" w:cs="Times New Roman"/>
          <w:sz w:val="28"/>
          <w:szCs w:val="28"/>
          <w:lang w:val="en-US"/>
        </w:rPr>
        <w:t>i</w:t>
      </w:r>
      <w:r w:rsidR="0085014F">
        <w:rPr>
          <w:rFonts w:ascii="Times New Roman" w:hAnsi="Times New Roman" w:cs="Times New Roman"/>
          <w:sz w:val="28"/>
          <w:szCs w:val="28"/>
          <w:lang w:val="uk-UA"/>
        </w:rPr>
        <w:t>я Володимир</w:t>
      </w:r>
      <w:r w:rsidR="0085014F">
        <w:rPr>
          <w:rFonts w:ascii="Times New Roman" w:hAnsi="Times New Roman" w:cs="Times New Roman"/>
          <w:sz w:val="28"/>
          <w:szCs w:val="28"/>
          <w:lang w:val="en-US"/>
        </w:rPr>
        <w:t>i</w:t>
      </w:r>
      <w:r>
        <w:rPr>
          <w:rFonts w:ascii="Times New Roman" w:hAnsi="Times New Roman" w:cs="Times New Roman"/>
          <w:sz w:val="28"/>
          <w:szCs w:val="28"/>
          <w:lang w:val="uk-UA"/>
        </w:rPr>
        <w:t>вна</w:t>
      </w:r>
      <w:r w:rsidR="00E926F8">
        <w:rPr>
          <w:rFonts w:ascii="Times New Roman" w:hAnsi="Times New Roman" w:cs="Times New Roman"/>
          <w:sz w:val="28"/>
          <w:szCs w:val="28"/>
          <w:lang w:val="uk-UA"/>
        </w:rPr>
        <w:t>,</w:t>
      </w:r>
    </w:p>
    <w:p w:rsidR="00B87A88" w:rsidRPr="00656290" w:rsidRDefault="00B87A88" w:rsidP="00B87A88">
      <w:pPr>
        <w:spacing w:after="0" w:line="36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00B04BB7">
        <w:rPr>
          <w:rFonts w:ascii="Times New Roman" w:hAnsi="Times New Roman" w:cs="Times New Roman"/>
          <w:sz w:val="28"/>
          <w:szCs w:val="28"/>
          <w:lang w:val="uk-UA"/>
        </w:rPr>
        <w:t xml:space="preserve">                        </w:t>
      </w:r>
      <w:r w:rsidRPr="00B87A88">
        <w:rPr>
          <w:rFonts w:ascii="Times New Roman" w:hAnsi="Times New Roman" w:cs="Times New Roman"/>
          <w:sz w:val="28"/>
          <w:szCs w:val="28"/>
          <w:lang w:val="uk-UA"/>
        </w:rPr>
        <w:t>докто</w:t>
      </w:r>
      <w:r w:rsidR="00D2768A">
        <w:rPr>
          <w:rFonts w:ascii="Times New Roman" w:hAnsi="Times New Roman" w:cs="Times New Roman"/>
          <w:sz w:val="28"/>
          <w:szCs w:val="28"/>
          <w:lang w:val="uk-UA"/>
        </w:rPr>
        <w:t>р медичних наук</w:t>
      </w:r>
      <w:r w:rsidR="00287295">
        <w:rPr>
          <w:rFonts w:ascii="Times New Roman" w:hAnsi="Times New Roman" w:cs="Times New Roman"/>
          <w:sz w:val="28"/>
          <w:szCs w:val="28"/>
          <w:lang w:val="uk-UA"/>
        </w:rPr>
        <w:t>, професор</w:t>
      </w:r>
    </w:p>
    <w:p w:rsidR="00833624" w:rsidRPr="00833624" w:rsidRDefault="00ED26E4" w:rsidP="00833624">
      <w:pPr>
        <w:spacing w:after="0" w:line="360" w:lineRule="auto"/>
        <w:rPr>
          <w:rFonts w:ascii="Times New Roman" w:hAnsi="Times New Roman" w:cs="Times New Roman"/>
          <w:sz w:val="28"/>
          <w:szCs w:val="28"/>
          <w:lang w:val="uk-UA"/>
        </w:rPr>
      </w:pPr>
      <w:r w:rsidRPr="00ED26E4">
        <w:rPr>
          <w:rFonts w:ascii="Times New Roman" w:hAnsi="Times New Roman" w:cs="Times New Roman"/>
          <w:sz w:val="28"/>
          <w:szCs w:val="28"/>
        </w:rPr>
        <w:t xml:space="preserve">                                                                  </w:t>
      </w:r>
    </w:p>
    <w:p w:rsidR="00ED26E4" w:rsidRDefault="00ED26E4" w:rsidP="00ED26E4">
      <w:pPr>
        <w:spacing w:after="0" w:line="360" w:lineRule="auto"/>
        <w:jc w:val="center"/>
        <w:rPr>
          <w:rFonts w:ascii="Times New Roman" w:hAnsi="Times New Roman" w:cs="Times New Roman"/>
          <w:sz w:val="28"/>
          <w:szCs w:val="28"/>
          <w:lang w:val="uk-UA"/>
        </w:rPr>
      </w:pPr>
    </w:p>
    <w:p w:rsidR="00EB239E" w:rsidRPr="00ED26E4" w:rsidRDefault="008B1328" w:rsidP="00ED26E4">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Суми – 201</w:t>
      </w:r>
      <w:r w:rsidR="00ED26E4">
        <w:rPr>
          <w:rFonts w:ascii="Times New Roman" w:hAnsi="Times New Roman" w:cs="Times New Roman"/>
          <w:sz w:val="28"/>
          <w:szCs w:val="28"/>
          <w:lang w:val="uk-UA"/>
        </w:rPr>
        <w:t>9</w:t>
      </w:r>
    </w:p>
    <w:p w:rsidR="00A7751B" w:rsidRDefault="00A7751B" w:rsidP="00A7751B">
      <w:pPr>
        <w:jc w:val="center"/>
        <w:rPr>
          <w:rFonts w:ascii="Times New Roman" w:hAnsi="Times New Roman" w:cs="Times New Roman"/>
          <w:b/>
          <w:sz w:val="28"/>
          <w:szCs w:val="28"/>
          <w:lang w:val="uk-UA"/>
        </w:rPr>
      </w:pPr>
      <w:r w:rsidRPr="00F858B6">
        <w:rPr>
          <w:rFonts w:ascii="Times New Roman" w:hAnsi="Times New Roman" w:cs="Times New Roman"/>
          <w:b/>
          <w:sz w:val="28"/>
          <w:szCs w:val="28"/>
          <w:lang w:val="uk-UA"/>
        </w:rPr>
        <w:lastRenderedPageBreak/>
        <w:t>АНОТАЦІЯ</w:t>
      </w:r>
    </w:p>
    <w:p w:rsidR="00DE31C9" w:rsidRPr="00DE31C9" w:rsidRDefault="00A7751B" w:rsidP="00DE31C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i/>
          <w:sz w:val="28"/>
          <w:szCs w:val="28"/>
          <w:lang w:val="uk-UA"/>
        </w:rPr>
        <w:t>Чернацька О.</w:t>
      </w:r>
      <w:r w:rsidR="00E877CA">
        <w:rPr>
          <w:rFonts w:ascii="Times New Roman" w:hAnsi="Times New Roman" w:cs="Times New Roman"/>
          <w:i/>
          <w:sz w:val="28"/>
          <w:szCs w:val="28"/>
          <w:lang w:val="uk-UA"/>
        </w:rPr>
        <w:t xml:space="preserve"> </w:t>
      </w:r>
      <w:r>
        <w:rPr>
          <w:rFonts w:ascii="Times New Roman" w:hAnsi="Times New Roman" w:cs="Times New Roman"/>
          <w:i/>
          <w:sz w:val="28"/>
          <w:szCs w:val="28"/>
          <w:lang w:val="uk-UA"/>
        </w:rPr>
        <w:t>М.</w:t>
      </w:r>
      <w:r w:rsidRPr="00F858B6">
        <w:rPr>
          <w:lang w:val="uk-UA"/>
        </w:rPr>
        <w:t xml:space="preserve"> </w:t>
      </w:r>
      <w:r w:rsidR="00DE31C9">
        <w:rPr>
          <w:lang w:val="uk-UA"/>
        </w:rPr>
        <w:t>«</w:t>
      </w:r>
      <w:r w:rsidR="004A5CDB">
        <w:rPr>
          <w:rFonts w:ascii="Times New Roman" w:hAnsi="Times New Roman" w:cs="Times New Roman"/>
          <w:sz w:val="28"/>
          <w:szCs w:val="28"/>
          <w:lang w:val="uk-UA"/>
        </w:rPr>
        <w:t>Ендотел</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альн</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структурно-функц</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ональн</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xml:space="preserve"> та </w:t>
      </w:r>
      <w:r w:rsidR="004A5CDB">
        <w:rPr>
          <w:rFonts w:ascii="Times New Roman" w:hAnsi="Times New Roman" w:cs="Times New Roman"/>
          <w:sz w:val="28"/>
          <w:szCs w:val="28"/>
          <w:lang w:val="en-US"/>
        </w:rPr>
        <w:t>i</w:t>
      </w:r>
      <w:r w:rsidR="00DE31C9" w:rsidRPr="00DE31C9">
        <w:rPr>
          <w:rFonts w:ascii="Times New Roman" w:hAnsi="Times New Roman" w:cs="Times New Roman"/>
          <w:sz w:val="28"/>
          <w:szCs w:val="28"/>
          <w:lang w:val="uk-UA"/>
        </w:rPr>
        <w:t>муно-</w:t>
      </w:r>
    </w:p>
    <w:p w:rsidR="00A7751B" w:rsidRDefault="004A5CDB" w:rsidP="00DE31C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запальн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аспекти метабол</w:t>
      </w:r>
      <w:r>
        <w:rPr>
          <w:rFonts w:ascii="Times New Roman" w:hAnsi="Times New Roman" w:cs="Times New Roman"/>
          <w:sz w:val="28"/>
          <w:szCs w:val="28"/>
          <w:lang w:val="en-US"/>
        </w:rPr>
        <w:t>i</w:t>
      </w:r>
      <w:r w:rsidR="00DE31C9" w:rsidRPr="00DE31C9">
        <w:rPr>
          <w:rFonts w:ascii="Times New Roman" w:hAnsi="Times New Roman" w:cs="Times New Roman"/>
          <w:sz w:val="28"/>
          <w:szCs w:val="28"/>
          <w:lang w:val="uk-UA"/>
        </w:rPr>
        <w:t>чних п</w:t>
      </w:r>
      <w:r>
        <w:rPr>
          <w:rFonts w:ascii="Times New Roman" w:hAnsi="Times New Roman" w:cs="Times New Roman"/>
          <w:sz w:val="28"/>
          <w:szCs w:val="28"/>
          <w:lang w:val="uk-UA"/>
        </w:rPr>
        <w:t>орушень у хворих на артер</w:t>
      </w:r>
      <w:r>
        <w:rPr>
          <w:rFonts w:ascii="Times New Roman" w:hAnsi="Times New Roman" w:cs="Times New Roman"/>
          <w:sz w:val="28"/>
          <w:szCs w:val="28"/>
          <w:lang w:val="en-US"/>
        </w:rPr>
        <w:t>i</w:t>
      </w:r>
      <w:r w:rsidR="00DE31C9">
        <w:rPr>
          <w:rFonts w:ascii="Times New Roman" w:hAnsi="Times New Roman" w:cs="Times New Roman"/>
          <w:sz w:val="28"/>
          <w:szCs w:val="28"/>
          <w:lang w:val="uk-UA"/>
        </w:rPr>
        <w:t xml:space="preserve">альну </w:t>
      </w:r>
      <w:r>
        <w:rPr>
          <w:rFonts w:ascii="Times New Roman" w:hAnsi="Times New Roman" w:cs="Times New Roman"/>
          <w:sz w:val="28"/>
          <w:szCs w:val="28"/>
          <w:lang w:val="uk-UA"/>
        </w:rPr>
        <w:t>г</w:t>
      </w:r>
      <w:r>
        <w:rPr>
          <w:rFonts w:ascii="Times New Roman" w:hAnsi="Times New Roman" w:cs="Times New Roman"/>
          <w:sz w:val="28"/>
          <w:szCs w:val="28"/>
          <w:lang w:val="en-US"/>
        </w:rPr>
        <w:t>i</w:t>
      </w:r>
      <w:r>
        <w:rPr>
          <w:rFonts w:ascii="Times New Roman" w:hAnsi="Times New Roman" w:cs="Times New Roman"/>
          <w:sz w:val="28"/>
          <w:szCs w:val="28"/>
          <w:lang w:val="uk-UA"/>
        </w:rPr>
        <w:t>пертенз</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ю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цукровий д</w:t>
      </w:r>
      <w:r>
        <w:rPr>
          <w:rFonts w:ascii="Times New Roman" w:hAnsi="Times New Roman" w:cs="Times New Roman"/>
          <w:sz w:val="28"/>
          <w:szCs w:val="28"/>
          <w:lang w:val="en-US"/>
        </w:rPr>
        <w:t>i</w:t>
      </w:r>
      <w:r w:rsidR="00DE31C9" w:rsidRPr="00DE31C9">
        <w:rPr>
          <w:rFonts w:ascii="Times New Roman" w:hAnsi="Times New Roman" w:cs="Times New Roman"/>
          <w:sz w:val="28"/>
          <w:szCs w:val="28"/>
          <w:lang w:val="uk-UA"/>
        </w:rPr>
        <w:t>абет 2</w:t>
      </w:r>
      <w:r w:rsidR="004224BE">
        <w:rPr>
          <w:rFonts w:ascii="Times New Roman" w:hAnsi="Times New Roman" w:cs="Times New Roman"/>
          <w:sz w:val="28"/>
          <w:szCs w:val="28"/>
          <w:lang w:val="uk-UA"/>
        </w:rPr>
        <w:t>-го</w:t>
      </w:r>
      <w:r>
        <w:rPr>
          <w:rFonts w:ascii="Times New Roman" w:hAnsi="Times New Roman" w:cs="Times New Roman"/>
          <w:sz w:val="28"/>
          <w:szCs w:val="28"/>
          <w:lang w:val="uk-UA"/>
        </w:rPr>
        <w:t xml:space="preserve"> типу та їх корекц</w:t>
      </w:r>
      <w:r>
        <w:rPr>
          <w:rFonts w:ascii="Times New Roman" w:hAnsi="Times New Roman" w:cs="Times New Roman"/>
          <w:sz w:val="28"/>
          <w:szCs w:val="28"/>
          <w:lang w:val="en-US"/>
        </w:rPr>
        <w:t>i</w:t>
      </w:r>
      <w:r w:rsidR="00DE31C9" w:rsidRPr="00DE31C9">
        <w:rPr>
          <w:rFonts w:ascii="Times New Roman" w:hAnsi="Times New Roman" w:cs="Times New Roman"/>
          <w:sz w:val="28"/>
          <w:szCs w:val="28"/>
          <w:lang w:val="uk-UA"/>
        </w:rPr>
        <w:t>я</w:t>
      </w:r>
      <w:r w:rsidR="00DE31C9">
        <w:rPr>
          <w:rFonts w:ascii="Times New Roman" w:hAnsi="Times New Roman" w:cs="Times New Roman"/>
          <w:sz w:val="28"/>
          <w:szCs w:val="28"/>
          <w:lang w:val="uk-UA"/>
        </w:rPr>
        <w:t xml:space="preserve">» </w:t>
      </w:r>
      <w:r w:rsidR="00A7751B">
        <w:rPr>
          <w:rFonts w:ascii="Times New Roman" w:hAnsi="Times New Roman" w:cs="Times New Roman"/>
          <w:sz w:val="28"/>
          <w:szCs w:val="28"/>
          <w:lang w:val="uk-UA"/>
        </w:rPr>
        <w:t xml:space="preserve">– </w:t>
      </w:r>
      <w:r>
        <w:rPr>
          <w:rFonts w:ascii="Times New Roman" w:hAnsi="Times New Roman" w:cs="Times New Roman"/>
          <w:sz w:val="28"/>
          <w:szCs w:val="28"/>
          <w:lang w:val="uk-UA"/>
        </w:rPr>
        <w:t>Квал</w:t>
      </w:r>
      <w:r>
        <w:rPr>
          <w:rFonts w:ascii="Times New Roman" w:hAnsi="Times New Roman" w:cs="Times New Roman"/>
          <w:sz w:val="28"/>
          <w:szCs w:val="28"/>
          <w:lang w:val="en-US"/>
        </w:rPr>
        <w:t>i</w:t>
      </w:r>
      <w:r>
        <w:rPr>
          <w:rFonts w:ascii="Times New Roman" w:hAnsi="Times New Roman" w:cs="Times New Roman"/>
          <w:sz w:val="28"/>
          <w:szCs w:val="28"/>
          <w:lang w:val="uk-UA"/>
        </w:rPr>
        <w:t>ф</w:t>
      </w:r>
      <w:r>
        <w:rPr>
          <w:rFonts w:ascii="Times New Roman" w:hAnsi="Times New Roman" w:cs="Times New Roman"/>
          <w:sz w:val="28"/>
          <w:szCs w:val="28"/>
          <w:lang w:val="en-US"/>
        </w:rPr>
        <w:t>i</w:t>
      </w:r>
      <w:r>
        <w:rPr>
          <w:rFonts w:ascii="Times New Roman" w:hAnsi="Times New Roman" w:cs="Times New Roman"/>
          <w:sz w:val="28"/>
          <w:szCs w:val="28"/>
          <w:lang w:val="uk-UA"/>
        </w:rPr>
        <w:t>кац</w:t>
      </w:r>
      <w:r>
        <w:rPr>
          <w:rFonts w:ascii="Times New Roman" w:hAnsi="Times New Roman" w:cs="Times New Roman"/>
          <w:sz w:val="28"/>
          <w:szCs w:val="28"/>
          <w:lang w:val="en-US"/>
        </w:rPr>
        <w:t>i</w:t>
      </w:r>
      <w:r w:rsidR="00A7751B" w:rsidRPr="00F858B6">
        <w:rPr>
          <w:rFonts w:ascii="Times New Roman" w:hAnsi="Times New Roman" w:cs="Times New Roman"/>
          <w:sz w:val="28"/>
          <w:szCs w:val="28"/>
          <w:lang w:val="uk-UA"/>
        </w:rPr>
        <w:t>йна наукова праця на правах рукопису.</w:t>
      </w:r>
    </w:p>
    <w:p w:rsidR="0009698F" w:rsidRDefault="004A5CDB" w:rsidP="000969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Дисертац</w:t>
      </w:r>
      <w:r>
        <w:rPr>
          <w:rFonts w:ascii="Times New Roman" w:hAnsi="Times New Roman" w:cs="Times New Roman"/>
          <w:sz w:val="28"/>
          <w:szCs w:val="28"/>
          <w:lang w:val="en-US"/>
        </w:rPr>
        <w:t>i</w:t>
      </w:r>
      <w:r w:rsidR="00A7751B" w:rsidRPr="00F858B6">
        <w:rPr>
          <w:rFonts w:ascii="Times New Roman" w:hAnsi="Times New Roman" w:cs="Times New Roman"/>
          <w:sz w:val="28"/>
          <w:szCs w:val="28"/>
          <w:lang w:val="uk-UA"/>
        </w:rPr>
        <w:t>я на здобуття наукового ступеня кандидата</w:t>
      </w:r>
      <w:r w:rsidR="00A7751B">
        <w:rPr>
          <w:rFonts w:ascii="Times New Roman" w:hAnsi="Times New Roman" w:cs="Times New Roman"/>
          <w:sz w:val="28"/>
          <w:szCs w:val="28"/>
          <w:lang w:val="uk-UA"/>
        </w:rPr>
        <w:t xml:space="preserve"> меди</w:t>
      </w:r>
      <w:r w:rsidR="0009698F">
        <w:rPr>
          <w:rFonts w:ascii="Times New Roman" w:hAnsi="Times New Roman" w:cs="Times New Roman"/>
          <w:sz w:val="28"/>
          <w:szCs w:val="28"/>
          <w:lang w:val="uk-UA"/>
        </w:rPr>
        <w:t>чних наук</w:t>
      </w:r>
      <w:r>
        <w:rPr>
          <w:rFonts w:ascii="Times New Roman" w:hAnsi="Times New Roman" w:cs="Times New Roman"/>
          <w:sz w:val="28"/>
          <w:szCs w:val="28"/>
          <w:lang w:val="uk-UA"/>
        </w:rPr>
        <w:t xml:space="preserve"> за спец</w:t>
      </w:r>
      <w:r>
        <w:rPr>
          <w:rFonts w:ascii="Times New Roman" w:hAnsi="Times New Roman" w:cs="Times New Roman"/>
          <w:sz w:val="28"/>
          <w:szCs w:val="28"/>
          <w:lang w:val="en-US"/>
        </w:rPr>
        <w:t>i</w:t>
      </w:r>
      <w:r>
        <w:rPr>
          <w:rFonts w:ascii="Times New Roman" w:hAnsi="Times New Roman" w:cs="Times New Roman"/>
          <w:sz w:val="28"/>
          <w:szCs w:val="28"/>
          <w:lang w:val="uk-UA"/>
        </w:rPr>
        <w:t>альн</w:t>
      </w:r>
      <w:r>
        <w:rPr>
          <w:rFonts w:ascii="Times New Roman" w:hAnsi="Times New Roman" w:cs="Times New Roman"/>
          <w:sz w:val="28"/>
          <w:szCs w:val="28"/>
          <w:lang w:val="en-US"/>
        </w:rPr>
        <w:t>i</w:t>
      </w:r>
      <w:r w:rsidR="00A7751B">
        <w:rPr>
          <w:rFonts w:ascii="Times New Roman" w:hAnsi="Times New Roman" w:cs="Times New Roman"/>
          <w:sz w:val="28"/>
          <w:szCs w:val="28"/>
          <w:lang w:val="uk-UA"/>
        </w:rPr>
        <w:t>стю 14.01.02</w:t>
      </w:r>
      <w:r w:rsidR="0009698F">
        <w:rPr>
          <w:rFonts w:ascii="Times New Roman" w:hAnsi="Times New Roman" w:cs="Times New Roman"/>
          <w:sz w:val="28"/>
          <w:szCs w:val="28"/>
          <w:lang w:val="uk-UA"/>
        </w:rPr>
        <w:t xml:space="preserve"> </w:t>
      </w:r>
      <w:r w:rsidR="00643C8B">
        <w:rPr>
          <w:rFonts w:ascii="Times New Roman" w:hAnsi="Times New Roman" w:cs="Times New Roman"/>
          <w:sz w:val="28"/>
          <w:szCs w:val="28"/>
          <w:lang w:val="uk-UA"/>
        </w:rPr>
        <w:t>«</w:t>
      </w:r>
      <w:r>
        <w:rPr>
          <w:rFonts w:ascii="Times New Roman" w:hAnsi="Times New Roman" w:cs="Times New Roman"/>
          <w:sz w:val="28"/>
          <w:szCs w:val="28"/>
          <w:lang w:val="uk-UA"/>
        </w:rPr>
        <w:t>Внутр</w:t>
      </w:r>
      <w:r>
        <w:rPr>
          <w:rFonts w:ascii="Times New Roman" w:hAnsi="Times New Roman" w:cs="Times New Roman"/>
          <w:sz w:val="28"/>
          <w:szCs w:val="28"/>
          <w:lang w:val="en-US"/>
        </w:rPr>
        <w:t>i</w:t>
      </w:r>
      <w:r>
        <w:rPr>
          <w:rFonts w:ascii="Times New Roman" w:hAnsi="Times New Roman" w:cs="Times New Roman"/>
          <w:sz w:val="28"/>
          <w:szCs w:val="28"/>
          <w:lang w:val="uk-UA"/>
        </w:rPr>
        <w:t>шн</w:t>
      </w:r>
      <w:r>
        <w:rPr>
          <w:rFonts w:ascii="Times New Roman" w:hAnsi="Times New Roman" w:cs="Times New Roman"/>
          <w:sz w:val="28"/>
          <w:szCs w:val="28"/>
          <w:lang w:val="en-US"/>
        </w:rPr>
        <w:t>i</w:t>
      </w:r>
      <w:r w:rsidR="0009698F">
        <w:rPr>
          <w:rFonts w:ascii="Times New Roman" w:hAnsi="Times New Roman" w:cs="Times New Roman"/>
          <w:sz w:val="28"/>
          <w:szCs w:val="28"/>
          <w:lang w:val="uk-UA"/>
        </w:rPr>
        <w:t xml:space="preserve"> хвороби</w:t>
      </w:r>
      <w:r w:rsidR="00643C8B">
        <w:rPr>
          <w:rFonts w:ascii="Times New Roman" w:hAnsi="Times New Roman" w:cs="Times New Roman"/>
          <w:sz w:val="28"/>
          <w:szCs w:val="28"/>
          <w:lang w:val="uk-UA"/>
        </w:rPr>
        <w:t>»</w:t>
      </w:r>
      <w:r w:rsidR="0009698F" w:rsidRPr="0009698F">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Медичний </w:t>
      </w:r>
      <w:r>
        <w:rPr>
          <w:rFonts w:ascii="Times New Roman" w:hAnsi="Times New Roman" w:cs="Times New Roman"/>
          <w:sz w:val="28"/>
          <w:szCs w:val="28"/>
          <w:lang w:val="en-US"/>
        </w:rPr>
        <w:t>i</w:t>
      </w:r>
      <w:r w:rsidR="00E877CA">
        <w:rPr>
          <w:rFonts w:ascii="Times New Roman" w:hAnsi="Times New Roman" w:cs="Times New Roman"/>
          <w:sz w:val="28"/>
          <w:szCs w:val="28"/>
          <w:lang w:val="uk-UA"/>
        </w:rPr>
        <w:t>нститут Сумського державного</w:t>
      </w:r>
      <w:r>
        <w:rPr>
          <w:rFonts w:ascii="Times New Roman" w:hAnsi="Times New Roman" w:cs="Times New Roman"/>
          <w:sz w:val="28"/>
          <w:szCs w:val="28"/>
          <w:lang w:val="uk-UA"/>
        </w:rPr>
        <w:t xml:space="preserve"> ун</w:t>
      </w:r>
      <w:r>
        <w:rPr>
          <w:rFonts w:ascii="Times New Roman" w:hAnsi="Times New Roman" w:cs="Times New Roman"/>
          <w:sz w:val="28"/>
          <w:szCs w:val="28"/>
          <w:lang w:val="en-US"/>
        </w:rPr>
        <w:t>i</w:t>
      </w:r>
      <w:r w:rsidR="00A7751B">
        <w:rPr>
          <w:rFonts w:ascii="Times New Roman" w:hAnsi="Times New Roman" w:cs="Times New Roman"/>
          <w:sz w:val="28"/>
          <w:szCs w:val="28"/>
          <w:lang w:val="uk-UA"/>
        </w:rPr>
        <w:t>верситет</w:t>
      </w:r>
      <w:r w:rsidR="00E877CA">
        <w:rPr>
          <w:rFonts w:ascii="Times New Roman" w:hAnsi="Times New Roman" w:cs="Times New Roman"/>
          <w:sz w:val="28"/>
          <w:szCs w:val="28"/>
          <w:lang w:val="uk-UA"/>
        </w:rPr>
        <w:t>у</w:t>
      </w:r>
      <w:r w:rsidR="0009698F" w:rsidRPr="0009698F">
        <w:rPr>
          <w:rFonts w:ascii="Times New Roman" w:hAnsi="Times New Roman" w:cs="Times New Roman"/>
          <w:sz w:val="28"/>
          <w:szCs w:val="28"/>
          <w:lang w:val="uk-UA"/>
        </w:rPr>
        <w:t xml:space="preserve"> МОН Укра</w:t>
      </w:r>
      <w:r w:rsidR="0009698F">
        <w:rPr>
          <w:rFonts w:ascii="Times New Roman" w:hAnsi="Times New Roman" w:cs="Times New Roman"/>
          <w:sz w:val="28"/>
          <w:szCs w:val="28"/>
          <w:lang w:val="uk-UA"/>
        </w:rPr>
        <w:t>їни. – Суми, 2018</w:t>
      </w:r>
      <w:r w:rsidR="00207749">
        <w:rPr>
          <w:rFonts w:ascii="Times New Roman" w:hAnsi="Times New Roman" w:cs="Times New Roman"/>
          <w:sz w:val="28"/>
          <w:szCs w:val="28"/>
          <w:lang w:val="uk-UA"/>
        </w:rPr>
        <w:t>.</w:t>
      </w:r>
      <w:r w:rsidR="00A7751B">
        <w:rPr>
          <w:rFonts w:ascii="Times New Roman" w:hAnsi="Times New Roman" w:cs="Times New Roman"/>
          <w:sz w:val="28"/>
          <w:szCs w:val="28"/>
          <w:lang w:val="uk-UA"/>
        </w:rPr>
        <w:t xml:space="preserve"> </w:t>
      </w:r>
      <w:r w:rsidR="0009698F">
        <w:rPr>
          <w:rFonts w:ascii="Times New Roman" w:hAnsi="Times New Roman" w:cs="Times New Roman"/>
          <w:sz w:val="28"/>
          <w:szCs w:val="28"/>
          <w:lang w:val="uk-UA"/>
        </w:rPr>
        <w:t xml:space="preserve">     </w:t>
      </w:r>
    </w:p>
    <w:p w:rsidR="00A7751B" w:rsidRDefault="004A5CDB" w:rsidP="0009698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Харк</w:t>
      </w:r>
      <w:r>
        <w:rPr>
          <w:rFonts w:ascii="Times New Roman" w:hAnsi="Times New Roman" w:cs="Times New Roman"/>
          <w:sz w:val="28"/>
          <w:szCs w:val="28"/>
          <w:lang w:val="en-US"/>
        </w:rPr>
        <w:t>i</w:t>
      </w:r>
      <w:r>
        <w:rPr>
          <w:rFonts w:ascii="Times New Roman" w:hAnsi="Times New Roman" w:cs="Times New Roman"/>
          <w:sz w:val="28"/>
          <w:szCs w:val="28"/>
          <w:lang w:val="uk-UA"/>
        </w:rPr>
        <w:t>вський нац</w:t>
      </w:r>
      <w:r>
        <w:rPr>
          <w:rFonts w:ascii="Times New Roman" w:hAnsi="Times New Roman" w:cs="Times New Roman"/>
          <w:sz w:val="28"/>
          <w:szCs w:val="28"/>
          <w:lang w:val="en-US"/>
        </w:rPr>
        <w:t>i</w:t>
      </w:r>
      <w:r>
        <w:rPr>
          <w:rFonts w:ascii="Times New Roman" w:hAnsi="Times New Roman" w:cs="Times New Roman"/>
          <w:sz w:val="28"/>
          <w:szCs w:val="28"/>
          <w:lang w:val="uk-UA"/>
        </w:rPr>
        <w:t>ональний медичний ун</w:t>
      </w:r>
      <w:r>
        <w:rPr>
          <w:rFonts w:ascii="Times New Roman" w:hAnsi="Times New Roman" w:cs="Times New Roman"/>
          <w:sz w:val="28"/>
          <w:szCs w:val="28"/>
          <w:lang w:val="en-US"/>
        </w:rPr>
        <w:t>i</w:t>
      </w:r>
      <w:r w:rsidR="002B44AC">
        <w:rPr>
          <w:rFonts w:ascii="Times New Roman" w:hAnsi="Times New Roman" w:cs="Times New Roman"/>
          <w:sz w:val="28"/>
          <w:szCs w:val="28"/>
          <w:lang w:val="uk-UA"/>
        </w:rPr>
        <w:t>верситет</w:t>
      </w:r>
      <w:r w:rsidR="0009698F">
        <w:rPr>
          <w:rFonts w:ascii="Times New Roman" w:hAnsi="Times New Roman" w:cs="Times New Roman"/>
          <w:sz w:val="28"/>
          <w:szCs w:val="28"/>
          <w:lang w:val="uk-UA"/>
        </w:rPr>
        <w:t xml:space="preserve"> МОЗ України. –</w:t>
      </w:r>
      <w:r w:rsidR="002B44AC">
        <w:rPr>
          <w:rFonts w:ascii="Times New Roman" w:hAnsi="Times New Roman" w:cs="Times New Roman"/>
          <w:sz w:val="28"/>
          <w:szCs w:val="28"/>
          <w:lang w:val="uk-UA"/>
        </w:rPr>
        <w:t xml:space="preserve"> </w:t>
      </w:r>
      <w:r w:rsidR="00B300E5">
        <w:rPr>
          <w:rFonts w:ascii="Times New Roman" w:hAnsi="Times New Roman" w:cs="Times New Roman"/>
          <w:sz w:val="28"/>
          <w:szCs w:val="28"/>
          <w:lang w:val="uk-UA"/>
        </w:rPr>
        <w:t xml:space="preserve">Харків, </w:t>
      </w:r>
      <w:r w:rsidR="002763A9">
        <w:rPr>
          <w:rFonts w:ascii="Times New Roman" w:hAnsi="Times New Roman" w:cs="Times New Roman"/>
          <w:sz w:val="28"/>
          <w:szCs w:val="28"/>
          <w:lang w:val="uk-UA"/>
        </w:rPr>
        <w:t>201</w:t>
      </w:r>
      <w:r w:rsidR="00AF2010" w:rsidRPr="00AF2010">
        <w:rPr>
          <w:rFonts w:ascii="Times New Roman" w:hAnsi="Times New Roman" w:cs="Times New Roman"/>
          <w:sz w:val="28"/>
          <w:szCs w:val="28"/>
        </w:rPr>
        <w:t>9</w:t>
      </w:r>
      <w:r w:rsidR="00A7751B">
        <w:rPr>
          <w:rFonts w:ascii="Times New Roman" w:hAnsi="Times New Roman" w:cs="Times New Roman"/>
          <w:sz w:val="28"/>
          <w:szCs w:val="28"/>
          <w:lang w:val="uk-UA"/>
        </w:rPr>
        <w:t>.</w:t>
      </w:r>
    </w:p>
    <w:p w:rsidR="007F2DE2" w:rsidRPr="00981651" w:rsidRDefault="004A5CDB" w:rsidP="009816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Актуальн</w:t>
      </w:r>
      <w:r>
        <w:rPr>
          <w:rFonts w:ascii="Times New Roman" w:hAnsi="Times New Roman" w:cs="Times New Roman"/>
          <w:sz w:val="28"/>
          <w:szCs w:val="28"/>
          <w:lang w:val="en-US"/>
        </w:rPr>
        <w:t>i</w:t>
      </w:r>
      <w:r w:rsidR="00A7751B" w:rsidRPr="008930A1">
        <w:rPr>
          <w:rFonts w:ascii="Times New Roman" w:hAnsi="Times New Roman" w:cs="Times New Roman"/>
          <w:sz w:val="28"/>
          <w:szCs w:val="28"/>
          <w:lang w:val="uk-UA"/>
        </w:rPr>
        <w:t>сть теми.</w:t>
      </w:r>
      <w:r w:rsidR="00A7751B" w:rsidRPr="00951374">
        <w:rPr>
          <w:rFonts w:ascii="Times New Roman" w:hAnsi="Times New Roman" w:cs="Times New Roman"/>
          <w:sz w:val="28"/>
          <w:szCs w:val="28"/>
          <w:lang w:val="uk-UA"/>
        </w:rPr>
        <w:t xml:space="preserve"> </w:t>
      </w:r>
      <w:r w:rsidR="00A87B0B" w:rsidRPr="00A87B0B">
        <w:rPr>
          <w:rFonts w:ascii="Times New Roman" w:hAnsi="Times New Roman" w:cs="Times New Roman"/>
          <w:sz w:val="28"/>
          <w:szCs w:val="28"/>
          <w:lang w:val="uk-UA"/>
        </w:rPr>
        <w:t>Арте</w:t>
      </w:r>
      <w:r w:rsidR="00D4619E">
        <w:rPr>
          <w:rFonts w:ascii="Times New Roman" w:hAnsi="Times New Roman" w:cs="Times New Roman"/>
          <w:sz w:val="28"/>
          <w:szCs w:val="28"/>
          <w:lang w:val="uk-UA"/>
        </w:rPr>
        <w:t>рі</w:t>
      </w:r>
      <w:r w:rsidR="00A87B0B">
        <w:rPr>
          <w:rFonts w:ascii="Times New Roman" w:hAnsi="Times New Roman" w:cs="Times New Roman"/>
          <w:sz w:val="28"/>
          <w:szCs w:val="28"/>
          <w:lang w:val="uk-UA"/>
        </w:rPr>
        <w:t>альна гіпертензія (</w:t>
      </w:r>
      <w:r>
        <w:rPr>
          <w:rFonts w:ascii="Times New Roman" w:hAnsi="Times New Roman" w:cs="Times New Roman"/>
          <w:sz w:val="28"/>
          <w:szCs w:val="28"/>
          <w:lang w:val="uk-UA"/>
        </w:rPr>
        <w:t>АГ</w:t>
      </w:r>
      <w:r w:rsidR="00A87B0B">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Pr>
          <w:rFonts w:ascii="Times New Roman" w:hAnsi="Times New Roman" w:cs="Times New Roman"/>
          <w:sz w:val="28"/>
          <w:szCs w:val="28"/>
          <w:lang w:val="en-US"/>
        </w:rPr>
        <w:t>i</w:t>
      </w:r>
      <w:r w:rsidR="00D17640">
        <w:rPr>
          <w:rFonts w:ascii="Times New Roman" w:hAnsi="Times New Roman" w:cs="Times New Roman"/>
          <w:sz w:val="28"/>
          <w:szCs w:val="28"/>
          <w:lang w:val="uk-UA"/>
        </w:rPr>
        <w:t>дзна</w:t>
      </w:r>
      <w:r w:rsidR="00560F9F" w:rsidRPr="00762A25">
        <w:rPr>
          <w:rFonts w:ascii="Times New Roman" w:hAnsi="Times New Roman" w:cs="Times New Roman"/>
          <w:sz w:val="28"/>
          <w:szCs w:val="28"/>
          <w:lang w:val="uk-UA"/>
        </w:rPr>
        <w:t>чається приблизно у четвертої частини</w:t>
      </w:r>
      <w:r>
        <w:rPr>
          <w:rFonts w:ascii="Times New Roman" w:hAnsi="Times New Roman" w:cs="Times New Roman"/>
          <w:sz w:val="28"/>
          <w:szCs w:val="28"/>
          <w:lang w:val="uk-UA"/>
        </w:rPr>
        <w:t xml:space="preserve"> населення земної кул</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D17640">
        <w:rPr>
          <w:rFonts w:ascii="Times New Roman" w:hAnsi="Times New Roman" w:cs="Times New Roman"/>
          <w:sz w:val="28"/>
          <w:szCs w:val="28"/>
          <w:lang w:val="uk-UA"/>
        </w:rPr>
        <w:t xml:space="preserve"> є основн</w:t>
      </w:r>
      <w:r>
        <w:rPr>
          <w:rFonts w:ascii="Times New Roman" w:hAnsi="Times New Roman" w:cs="Times New Roman"/>
          <w:sz w:val="28"/>
          <w:szCs w:val="28"/>
          <w:lang w:val="uk-UA"/>
        </w:rPr>
        <w:t>ою причиною кард</w:t>
      </w:r>
      <w:r>
        <w:rPr>
          <w:rFonts w:ascii="Times New Roman" w:hAnsi="Times New Roman" w:cs="Times New Roman"/>
          <w:sz w:val="28"/>
          <w:szCs w:val="28"/>
          <w:lang w:val="en-US"/>
        </w:rPr>
        <w:t>i</w:t>
      </w:r>
      <w:r>
        <w:rPr>
          <w:rFonts w:ascii="Times New Roman" w:hAnsi="Times New Roman" w:cs="Times New Roman"/>
          <w:sz w:val="28"/>
          <w:szCs w:val="28"/>
          <w:lang w:val="uk-UA"/>
        </w:rPr>
        <w:t>оваскулярної смертност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у б</w:t>
      </w:r>
      <w:r>
        <w:rPr>
          <w:rFonts w:ascii="Times New Roman" w:hAnsi="Times New Roman" w:cs="Times New Roman"/>
          <w:sz w:val="28"/>
          <w:szCs w:val="28"/>
          <w:lang w:val="en-US"/>
        </w:rPr>
        <w:t>i</w:t>
      </w:r>
      <w:r>
        <w:rPr>
          <w:rFonts w:ascii="Times New Roman" w:hAnsi="Times New Roman" w:cs="Times New Roman"/>
          <w:sz w:val="28"/>
          <w:szCs w:val="28"/>
          <w:lang w:val="uk-UA"/>
        </w:rPr>
        <w:t>льшост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країн св</w:t>
      </w:r>
      <w:r>
        <w:rPr>
          <w:rFonts w:ascii="Times New Roman" w:hAnsi="Times New Roman" w:cs="Times New Roman"/>
          <w:sz w:val="28"/>
          <w:szCs w:val="28"/>
          <w:lang w:val="en-US"/>
        </w:rPr>
        <w:t>i</w:t>
      </w:r>
      <w:r>
        <w:rPr>
          <w:rFonts w:ascii="Times New Roman" w:hAnsi="Times New Roman" w:cs="Times New Roman"/>
          <w:sz w:val="28"/>
          <w:szCs w:val="28"/>
          <w:lang w:val="uk-UA"/>
        </w:rPr>
        <w:t>ту</w:t>
      </w:r>
      <w:r w:rsidR="007E3EB8">
        <w:rPr>
          <w:rFonts w:ascii="Times New Roman" w:hAnsi="Times New Roman" w:cs="Times New Roman"/>
          <w:sz w:val="28"/>
          <w:szCs w:val="28"/>
          <w:lang w:val="uk-UA"/>
        </w:rPr>
        <w:t xml:space="preserve"> (</w:t>
      </w:r>
      <w:r w:rsidR="007E3EB8">
        <w:rPr>
          <w:rFonts w:ascii="Times New Roman" w:hAnsi="Times New Roman" w:cs="Times New Roman"/>
          <w:sz w:val="28"/>
          <w:szCs w:val="28"/>
          <w:lang w:val="en-US"/>
        </w:rPr>
        <w:t>S</w:t>
      </w:r>
      <w:r w:rsidR="007E3EB8" w:rsidRPr="007E3EB8">
        <w:rPr>
          <w:rFonts w:ascii="Times New Roman" w:hAnsi="Times New Roman" w:cs="Times New Roman"/>
          <w:sz w:val="28"/>
          <w:szCs w:val="28"/>
          <w:lang w:val="uk-UA"/>
        </w:rPr>
        <w:t>. Oparil, 2018</w:t>
      </w:r>
      <w:r w:rsidR="006F0E1A">
        <w:rPr>
          <w:rFonts w:ascii="Times New Roman" w:hAnsi="Times New Roman" w:cs="Times New Roman"/>
          <w:sz w:val="28"/>
          <w:szCs w:val="28"/>
          <w:lang w:val="uk-UA"/>
        </w:rPr>
        <w:t>)</w:t>
      </w:r>
      <w:r>
        <w:rPr>
          <w:rFonts w:ascii="Times New Roman" w:hAnsi="Times New Roman" w:cs="Times New Roman"/>
          <w:sz w:val="28"/>
          <w:szCs w:val="28"/>
          <w:lang w:val="uk-UA"/>
        </w:rPr>
        <w:t>. Сучасний пац</w:t>
      </w:r>
      <w:r>
        <w:rPr>
          <w:rFonts w:ascii="Times New Roman" w:hAnsi="Times New Roman" w:cs="Times New Roman"/>
          <w:sz w:val="28"/>
          <w:szCs w:val="28"/>
          <w:lang w:val="en-US"/>
        </w:rPr>
        <w:t>i</w:t>
      </w:r>
      <w:r w:rsidR="00560F9F" w:rsidRPr="00762A25">
        <w:rPr>
          <w:rFonts w:ascii="Times New Roman" w:hAnsi="Times New Roman" w:cs="Times New Roman"/>
          <w:sz w:val="28"/>
          <w:szCs w:val="28"/>
          <w:lang w:val="uk-UA"/>
        </w:rPr>
        <w:t>єн</w:t>
      </w:r>
      <w:r w:rsidR="004B41F0">
        <w:rPr>
          <w:rFonts w:ascii="Times New Roman" w:hAnsi="Times New Roman" w:cs="Times New Roman"/>
          <w:sz w:val="28"/>
          <w:szCs w:val="28"/>
          <w:lang w:val="uk-UA"/>
        </w:rPr>
        <w:t xml:space="preserve">т </w:t>
      </w:r>
      <w:r w:rsidR="00B6695A">
        <w:rPr>
          <w:rFonts w:ascii="Times New Roman" w:hAnsi="Times New Roman" w:cs="Times New Roman"/>
          <w:sz w:val="28"/>
          <w:szCs w:val="28"/>
          <w:lang w:val="uk-UA"/>
        </w:rPr>
        <w:t>і</w:t>
      </w:r>
      <w:r w:rsidR="004B41F0">
        <w:rPr>
          <w:rFonts w:ascii="Times New Roman" w:hAnsi="Times New Roman" w:cs="Times New Roman"/>
          <w:sz w:val="28"/>
          <w:szCs w:val="28"/>
          <w:lang w:val="uk-UA"/>
        </w:rPr>
        <w:t>з АГ</w:t>
      </w:r>
      <w:r w:rsidR="004B41F0" w:rsidRPr="004B41F0">
        <w:rPr>
          <w:rFonts w:ascii="Times New Roman" w:hAnsi="Times New Roman" w:cs="Times New Roman"/>
          <w:sz w:val="28"/>
          <w:szCs w:val="28"/>
          <w:lang w:val="uk-UA"/>
        </w:rPr>
        <w:t xml:space="preserve"> </w:t>
      </w:r>
      <w:r w:rsidR="004B41F0">
        <w:rPr>
          <w:rFonts w:ascii="Times New Roman" w:hAnsi="Times New Roman" w:cs="Times New Roman"/>
          <w:sz w:val="28"/>
          <w:szCs w:val="28"/>
          <w:lang w:val="uk-UA"/>
        </w:rPr>
        <w:t>зазвичай</w:t>
      </w:r>
      <w:r w:rsidR="00D17640">
        <w:rPr>
          <w:rFonts w:ascii="Times New Roman" w:hAnsi="Times New Roman" w:cs="Times New Roman"/>
          <w:sz w:val="28"/>
          <w:szCs w:val="28"/>
          <w:lang w:val="uk-UA"/>
        </w:rPr>
        <w:t xml:space="preserve"> належить</w:t>
      </w:r>
      <w:r w:rsidR="00560F9F" w:rsidRPr="00762A25">
        <w:rPr>
          <w:rFonts w:ascii="Times New Roman" w:hAnsi="Times New Roman" w:cs="Times New Roman"/>
          <w:sz w:val="28"/>
          <w:szCs w:val="28"/>
          <w:lang w:val="uk-UA"/>
        </w:rPr>
        <w:t xml:space="preserve"> до групи хворих </w:t>
      </w:r>
      <w:r w:rsidR="00B6695A">
        <w:rPr>
          <w:rFonts w:ascii="Times New Roman" w:hAnsi="Times New Roman" w:cs="Times New Roman"/>
          <w:sz w:val="28"/>
          <w:szCs w:val="28"/>
        </w:rPr>
        <w:t xml:space="preserve">на </w:t>
      </w:r>
      <w:r w:rsidR="00B6695A">
        <w:rPr>
          <w:rFonts w:ascii="Times New Roman" w:hAnsi="Times New Roman" w:cs="Times New Roman"/>
          <w:sz w:val="28"/>
          <w:szCs w:val="28"/>
          <w:lang w:val="uk-UA"/>
        </w:rPr>
        <w:t>поєднану</w:t>
      </w:r>
      <w:r>
        <w:rPr>
          <w:rFonts w:ascii="Times New Roman" w:hAnsi="Times New Roman" w:cs="Times New Roman"/>
          <w:sz w:val="28"/>
          <w:szCs w:val="28"/>
          <w:lang w:val="uk-UA"/>
        </w:rPr>
        <w:t xml:space="preserve"> патолог</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ю, </w:t>
      </w:r>
      <w:r w:rsidR="00B6695A">
        <w:rPr>
          <w:rFonts w:ascii="Times New Roman" w:hAnsi="Times New Roman" w:cs="Times New Roman"/>
          <w:sz w:val="28"/>
          <w:szCs w:val="28"/>
          <w:lang w:val="uk-UA"/>
        </w:rPr>
        <w:t xml:space="preserve">яка </w:t>
      </w:r>
      <w:r>
        <w:rPr>
          <w:rFonts w:ascii="Times New Roman" w:hAnsi="Times New Roman" w:cs="Times New Roman"/>
          <w:sz w:val="28"/>
          <w:szCs w:val="28"/>
          <w:lang w:val="uk-UA"/>
        </w:rPr>
        <w:t>негативно в</w:t>
      </w:r>
      <w:r>
        <w:rPr>
          <w:rFonts w:ascii="Times New Roman" w:hAnsi="Times New Roman" w:cs="Times New Roman"/>
          <w:sz w:val="28"/>
          <w:szCs w:val="28"/>
          <w:lang w:val="en-US"/>
        </w:rPr>
        <w:t>i</w:t>
      </w:r>
      <w:r>
        <w:rPr>
          <w:rFonts w:ascii="Times New Roman" w:hAnsi="Times New Roman" w:cs="Times New Roman"/>
          <w:sz w:val="28"/>
          <w:szCs w:val="28"/>
          <w:lang w:val="uk-UA"/>
        </w:rPr>
        <w:t>дображається на переб</w:t>
      </w:r>
      <w:r>
        <w:rPr>
          <w:rFonts w:ascii="Times New Roman" w:hAnsi="Times New Roman" w:cs="Times New Roman"/>
          <w:sz w:val="28"/>
          <w:szCs w:val="28"/>
          <w:lang w:val="en-US"/>
        </w:rPr>
        <w:t>i</w:t>
      </w:r>
      <w:r>
        <w:rPr>
          <w:rFonts w:ascii="Times New Roman" w:hAnsi="Times New Roman" w:cs="Times New Roman"/>
          <w:sz w:val="28"/>
          <w:szCs w:val="28"/>
          <w:lang w:val="uk-UA"/>
        </w:rPr>
        <w:t>гу АГ, ефективност</w:t>
      </w:r>
      <w:r>
        <w:rPr>
          <w:rFonts w:ascii="Times New Roman" w:hAnsi="Times New Roman" w:cs="Times New Roman"/>
          <w:sz w:val="28"/>
          <w:szCs w:val="28"/>
          <w:lang w:val="en-US"/>
        </w:rPr>
        <w:t>i</w:t>
      </w:r>
      <w:r w:rsidR="00560F9F" w:rsidRPr="00762A25">
        <w:rPr>
          <w:rFonts w:ascii="Times New Roman" w:hAnsi="Times New Roman" w:cs="Times New Roman"/>
          <w:sz w:val="28"/>
          <w:szCs w:val="28"/>
          <w:lang w:val="uk-UA"/>
        </w:rPr>
        <w:t xml:space="preserve"> л</w:t>
      </w:r>
      <w:r>
        <w:rPr>
          <w:rFonts w:ascii="Times New Roman" w:hAnsi="Times New Roman" w:cs="Times New Roman"/>
          <w:sz w:val="28"/>
          <w:szCs w:val="28"/>
          <w:lang w:val="en-US"/>
        </w:rPr>
        <w:t>i</w:t>
      </w:r>
      <w:r w:rsidR="00D17640">
        <w:rPr>
          <w:rFonts w:ascii="Times New Roman" w:hAnsi="Times New Roman" w:cs="Times New Roman"/>
          <w:sz w:val="28"/>
          <w:szCs w:val="28"/>
          <w:lang w:val="uk-UA"/>
        </w:rPr>
        <w:t xml:space="preserve">кування. </w:t>
      </w:r>
      <w:r w:rsidR="0023108C">
        <w:rPr>
          <w:rFonts w:ascii="Times New Roman" w:hAnsi="Times New Roman" w:cs="Times New Roman"/>
          <w:sz w:val="28"/>
          <w:szCs w:val="28"/>
          <w:lang w:val="uk-UA"/>
        </w:rPr>
        <w:t>Артеріальна гіпертензія</w:t>
      </w:r>
      <w:r w:rsidR="007E3EB8" w:rsidRPr="007E3EB8">
        <w:rPr>
          <w:rFonts w:ascii="Times New Roman" w:hAnsi="Times New Roman" w:cs="Times New Roman"/>
          <w:sz w:val="28"/>
          <w:szCs w:val="28"/>
          <w:lang w:val="uk-UA"/>
        </w:rPr>
        <w:t xml:space="preserve"> визначається у двох третин пацієнтів із цук</w:t>
      </w:r>
      <w:r w:rsidR="007E3EB8">
        <w:rPr>
          <w:rFonts w:ascii="Times New Roman" w:hAnsi="Times New Roman" w:cs="Times New Roman"/>
          <w:sz w:val="28"/>
          <w:szCs w:val="28"/>
          <w:lang w:val="uk-UA"/>
        </w:rPr>
        <w:t>ровим діабетом (ЦД) 2-го типу</w:t>
      </w:r>
      <w:r w:rsidR="007E3EB8" w:rsidRPr="007E3EB8">
        <w:rPr>
          <w:rFonts w:ascii="Times New Roman" w:hAnsi="Times New Roman" w:cs="Times New Roman"/>
          <w:sz w:val="28"/>
          <w:szCs w:val="28"/>
          <w:lang w:val="uk-UA"/>
        </w:rPr>
        <w:t xml:space="preserve"> (D. I. Pavlou, 2018).           </w:t>
      </w:r>
    </w:p>
    <w:p w:rsidR="007F2DE2" w:rsidRPr="00823C42" w:rsidRDefault="00DA613F" w:rsidP="005F440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Pr="00DA613F">
        <w:rPr>
          <w:rFonts w:ascii="Times New Roman" w:hAnsi="Times New Roman" w:cs="Times New Roman"/>
          <w:sz w:val="28"/>
          <w:szCs w:val="28"/>
          <w:lang w:val="uk-UA"/>
        </w:rPr>
        <w:t>укровий д</w:t>
      </w:r>
      <w:r>
        <w:rPr>
          <w:rFonts w:ascii="Times New Roman" w:hAnsi="Times New Roman" w:cs="Times New Roman"/>
          <w:sz w:val="28"/>
          <w:szCs w:val="28"/>
          <w:lang w:val="uk-UA"/>
        </w:rPr>
        <w:t>іабет</w:t>
      </w:r>
      <w:r w:rsidR="004A5CDB">
        <w:rPr>
          <w:rFonts w:ascii="Times New Roman" w:hAnsi="Times New Roman" w:cs="Times New Roman"/>
          <w:sz w:val="28"/>
          <w:szCs w:val="28"/>
          <w:lang w:val="uk-UA"/>
        </w:rPr>
        <w:t xml:space="preserve"> визнано не</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нфекц</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йною еп</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дем</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єю сучасност</w:t>
      </w:r>
      <w:r w:rsidR="004A5CDB">
        <w:rPr>
          <w:rFonts w:ascii="Times New Roman" w:hAnsi="Times New Roman" w:cs="Times New Roman"/>
          <w:sz w:val="28"/>
          <w:szCs w:val="28"/>
          <w:lang w:val="en-US"/>
        </w:rPr>
        <w:t>i</w:t>
      </w:r>
      <w:r w:rsidR="007F2DE2" w:rsidRPr="00951374">
        <w:rPr>
          <w:rFonts w:ascii="Times New Roman" w:hAnsi="Times New Roman" w:cs="Times New Roman"/>
          <w:sz w:val="28"/>
          <w:szCs w:val="28"/>
          <w:lang w:val="uk-UA"/>
        </w:rPr>
        <w:t xml:space="preserve"> (</w:t>
      </w:r>
      <w:r w:rsidR="006F0E1A">
        <w:rPr>
          <w:rFonts w:ascii="Times New Roman" w:hAnsi="Times New Roman" w:cs="Times New Roman"/>
          <w:sz w:val="28"/>
          <w:szCs w:val="28"/>
          <w:lang w:val="en-US"/>
        </w:rPr>
        <w:t>WHO</w:t>
      </w:r>
      <w:r w:rsidR="006F0E1A">
        <w:rPr>
          <w:rFonts w:ascii="Times New Roman" w:hAnsi="Times New Roman" w:cs="Times New Roman"/>
          <w:sz w:val="28"/>
          <w:szCs w:val="28"/>
          <w:lang w:val="uk-UA"/>
        </w:rPr>
        <w:t>, 2014</w:t>
      </w:r>
      <w:r w:rsidR="004A5CDB">
        <w:rPr>
          <w:rFonts w:ascii="Times New Roman" w:hAnsi="Times New Roman" w:cs="Times New Roman"/>
          <w:sz w:val="28"/>
          <w:szCs w:val="28"/>
          <w:lang w:val="uk-UA"/>
        </w:rPr>
        <w:t>). На сьогодн</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xml:space="preserve"> у св</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т</w:t>
      </w:r>
      <w:r w:rsidR="004A5CDB">
        <w:rPr>
          <w:rFonts w:ascii="Times New Roman" w:hAnsi="Times New Roman" w:cs="Times New Roman"/>
          <w:sz w:val="28"/>
          <w:szCs w:val="28"/>
          <w:lang w:val="en-US"/>
        </w:rPr>
        <w:t>i</w:t>
      </w:r>
      <w:r w:rsidR="007F2DE2" w:rsidRPr="00951374">
        <w:rPr>
          <w:rFonts w:ascii="Times New Roman" w:hAnsi="Times New Roman" w:cs="Times New Roman"/>
          <w:sz w:val="28"/>
          <w:szCs w:val="28"/>
          <w:lang w:val="uk-UA"/>
        </w:rPr>
        <w:t xml:space="preserve"> н</w:t>
      </w:r>
      <w:r w:rsidR="004A5CDB">
        <w:rPr>
          <w:rFonts w:ascii="Times New Roman" w:hAnsi="Times New Roman" w:cs="Times New Roman"/>
          <w:sz w:val="28"/>
          <w:szCs w:val="28"/>
          <w:lang w:val="uk-UA"/>
        </w:rPr>
        <w:t>араховується б</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льше н</w:t>
      </w:r>
      <w:r w:rsidR="004A5CDB">
        <w:rPr>
          <w:rFonts w:ascii="Times New Roman" w:hAnsi="Times New Roman" w:cs="Times New Roman"/>
          <w:sz w:val="28"/>
          <w:szCs w:val="28"/>
          <w:lang w:val="en-US"/>
        </w:rPr>
        <w:t>i</w:t>
      </w:r>
      <w:r w:rsidR="006F0E1A">
        <w:rPr>
          <w:rFonts w:ascii="Times New Roman" w:hAnsi="Times New Roman" w:cs="Times New Roman"/>
          <w:sz w:val="28"/>
          <w:szCs w:val="28"/>
          <w:lang w:val="uk-UA"/>
        </w:rPr>
        <w:t>ж 4</w:t>
      </w:r>
      <w:r w:rsidR="006F0E1A" w:rsidRPr="006F0E1A">
        <w:rPr>
          <w:rFonts w:ascii="Times New Roman" w:hAnsi="Times New Roman" w:cs="Times New Roman"/>
          <w:sz w:val="28"/>
          <w:szCs w:val="28"/>
          <w:lang w:val="uk-UA"/>
        </w:rPr>
        <w:t>25</w:t>
      </w:r>
      <w:r w:rsidR="007F2DE2">
        <w:rPr>
          <w:rFonts w:ascii="Times New Roman" w:hAnsi="Times New Roman" w:cs="Times New Roman"/>
          <w:sz w:val="28"/>
          <w:szCs w:val="28"/>
          <w:lang w:val="uk-UA"/>
        </w:rPr>
        <w:t xml:space="preserve"> млн</w:t>
      </w:r>
      <w:r w:rsidR="004A5CDB">
        <w:rPr>
          <w:rFonts w:ascii="Times New Roman" w:hAnsi="Times New Roman" w:cs="Times New Roman"/>
          <w:sz w:val="28"/>
          <w:szCs w:val="28"/>
          <w:lang w:val="uk-UA"/>
        </w:rPr>
        <w:t xml:space="preserve"> </w:t>
      </w:r>
      <w:r w:rsidR="007F2DE2" w:rsidRPr="00951374">
        <w:rPr>
          <w:rFonts w:ascii="Times New Roman" w:hAnsi="Times New Roman" w:cs="Times New Roman"/>
          <w:sz w:val="28"/>
          <w:szCs w:val="28"/>
          <w:lang w:val="uk-UA"/>
        </w:rPr>
        <w:t xml:space="preserve">хворих </w:t>
      </w:r>
      <w:r w:rsidR="006F0E1A">
        <w:rPr>
          <w:rFonts w:ascii="Times New Roman" w:hAnsi="Times New Roman" w:cs="Times New Roman"/>
          <w:sz w:val="28"/>
          <w:szCs w:val="28"/>
          <w:lang w:val="uk-UA"/>
        </w:rPr>
        <w:t>на ЦД</w:t>
      </w:r>
      <w:r w:rsidR="00B6695A">
        <w:rPr>
          <w:rFonts w:ascii="Times New Roman" w:hAnsi="Times New Roman" w:cs="Times New Roman"/>
          <w:sz w:val="28"/>
          <w:szCs w:val="28"/>
          <w:lang w:val="uk-UA"/>
        </w:rPr>
        <w:t xml:space="preserve">, серед яких </w:t>
      </w:r>
      <w:r w:rsidR="00824E09" w:rsidRPr="00824E09">
        <w:rPr>
          <w:rFonts w:ascii="Times New Roman" w:hAnsi="Times New Roman" w:cs="Times New Roman"/>
          <w:sz w:val="28"/>
          <w:szCs w:val="28"/>
          <w:lang w:val="uk-UA"/>
        </w:rPr>
        <w:t xml:space="preserve">на ЦД 2-го типу припадає </w:t>
      </w:r>
      <w:r w:rsidR="007F2DE2" w:rsidRPr="00951374">
        <w:rPr>
          <w:rFonts w:ascii="Times New Roman" w:hAnsi="Times New Roman" w:cs="Times New Roman"/>
          <w:sz w:val="28"/>
          <w:szCs w:val="28"/>
          <w:lang w:val="uk-UA"/>
        </w:rPr>
        <w:t>90</w:t>
      </w:r>
      <w:r w:rsidR="007F2DE2">
        <w:rPr>
          <w:rFonts w:ascii="Times New Roman" w:hAnsi="Times New Roman" w:cs="Times New Roman"/>
          <w:sz w:val="28"/>
          <w:szCs w:val="28"/>
          <w:lang w:val="uk-UA"/>
        </w:rPr>
        <w:t xml:space="preserve"> % у</w:t>
      </w:r>
      <w:r w:rsidR="004A5CDB">
        <w:rPr>
          <w:rFonts w:ascii="Times New Roman" w:hAnsi="Times New Roman" w:cs="Times New Roman"/>
          <w:sz w:val="28"/>
          <w:szCs w:val="28"/>
          <w:lang w:val="uk-UA"/>
        </w:rPr>
        <w:t>с</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х випадк</w:t>
      </w:r>
      <w:r w:rsidR="004A5CDB">
        <w:rPr>
          <w:rFonts w:ascii="Times New Roman" w:hAnsi="Times New Roman" w:cs="Times New Roman"/>
          <w:sz w:val="28"/>
          <w:szCs w:val="28"/>
          <w:lang w:val="en-US"/>
        </w:rPr>
        <w:t>i</w:t>
      </w:r>
      <w:r w:rsidR="007F2DE2" w:rsidRPr="00951374">
        <w:rPr>
          <w:rFonts w:ascii="Times New Roman" w:hAnsi="Times New Roman" w:cs="Times New Roman"/>
          <w:sz w:val="28"/>
          <w:szCs w:val="28"/>
          <w:lang w:val="uk-UA"/>
        </w:rPr>
        <w:t>в (</w:t>
      </w:r>
      <w:r w:rsidR="006F0E1A">
        <w:rPr>
          <w:rFonts w:ascii="Times New Roman" w:hAnsi="Times New Roman" w:cs="Times New Roman"/>
          <w:sz w:val="28"/>
          <w:szCs w:val="28"/>
          <w:lang w:val="en-US"/>
        </w:rPr>
        <w:t>IDF</w:t>
      </w:r>
      <w:r w:rsidR="006F0E1A">
        <w:rPr>
          <w:rFonts w:ascii="Times New Roman" w:hAnsi="Times New Roman" w:cs="Times New Roman"/>
          <w:sz w:val="28"/>
          <w:szCs w:val="28"/>
          <w:lang w:val="uk-UA"/>
        </w:rPr>
        <w:t>, 201</w:t>
      </w:r>
      <w:r w:rsidR="006F0E1A" w:rsidRPr="00823C42">
        <w:rPr>
          <w:rFonts w:ascii="Times New Roman" w:hAnsi="Times New Roman" w:cs="Times New Roman"/>
          <w:sz w:val="28"/>
          <w:szCs w:val="28"/>
          <w:lang w:val="uk-UA"/>
        </w:rPr>
        <w:t>7</w:t>
      </w:r>
      <w:r w:rsidR="007F2DE2" w:rsidRPr="00951374">
        <w:rPr>
          <w:rFonts w:ascii="Times New Roman" w:hAnsi="Times New Roman" w:cs="Times New Roman"/>
          <w:sz w:val="28"/>
          <w:szCs w:val="28"/>
          <w:lang w:val="uk-UA"/>
        </w:rPr>
        <w:t>).</w:t>
      </w:r>
    </w:p>
    <w:p w:rsidR="006913A0" w:rsidRPr="006913A0" w:rsidRDefault="00B6695A" w:rsidP="00B6695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A5CDB">
        <w:rPr>
          <w:rFonts w:ascii="Times New Roman" w:hAnsi="Times New Roman" w:cs="Times New Roman"/>
          <w:sz w:val="28"/>
          <w:szCs w:val="28"/>
          <w:lang w:val="uk-UA"/>
        </w:rPr>
        <w:t xml:space="preserve">заємозв’язок АГ </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xml:space="preserve"> ЦД </w:t>
      </w:r>
      <w:r w:rsidR="004A5CDB">
        <w:rPr>
          <w:rFonts w:ascii="Times New Roman" w:hAnsi="Times New Roman" w:cs="Times New Roman"/>
          <w:sz w:val="28"/>
          <w:szCs w:val="28"/>
          <w:lang w:val="en-US"/>
        </w:rPr>
        <w:t>i</w:t>
      </w:r>
      <w:r w:rsidR="006913A0" w:rsidRPr="00562E43">
        <w:rPr>
          <w:rFonts w:ascii="Times New Roman" w:hAnsi="Times New Roman" w:cs="Times New Roman"/>
          <w:sz w:val="28"/>
          <w:szCs w:val="28"/>
          <w:lang w:val="uk-UA"/>
        </w:rPr>
        <w:t>з високим</w:t>
      </w:r>
      <w:r>
        <w:rPr>
          <w:rFonts w:ascii="Times New Roman" w:hAnsi="Times New Roman" w:cs="Times New Roman"/>
          <w:sz w:val="28"/>
          <w:szCs w:val="28"/>
          <w:lang w:val="uk-UA"/>
        </w:rPr>
        <w:t xml:space="preserve"> </w:t>
      </w:r>
      <w:r w:rsidR="006913A0" w:rsidRPr="00562E43">
        <w:rPr>
          <w:rFonts w:ascii="Times New Roman" w:hAnsi="Times New Roman" w:cs="Times New Roman"/>
          <w:sz w:val="28"/>
          <w:szCs w:val="28"/>
          <w:lang w:val="uk-UA"/>
        </w:rPr>
        <w:t>ризиком розвитку серцево-судинних ускладнень</w:t>
      </w:r>
      <w:r w:rsidR="00261DB6" w:rsidRPr="00562E43">
        <w:rPr>
          <w:rFonts w:ascii="Times New Roman" w:hAnsi="Times New Roman" w:cs="Times New Roman"/>
          <w:sz w:val="28"/>
          <w:szCs w:val="28"/>
          <w:lang w:val="uk-UA"/>
        </w:rPr>
        <w:t xml:space="preserve"> (ССУ)</w:t>
      </w:r>
      <w:r w:rsidR="006913A0" w:rsidRPr="00562E43">
        <w:rPr>
          <w:rFonts w:ascii="Times New Roman" w:hAnsi="Times New Roman" w:cs="Times New Roman"/>
          <w:sz w:val="28"/>
          <w:szCs w:val="28"/>
          <w:lang w:val="uk-UA"/>
        </w:rPr>
        <w:t xml:space="preserve"> </w:t>
      </w:r>
      <w:r w:rsidR="004A5CDB">
        <w:rPr>
          <w:rFonts w:ascii="Times New Roman" w:hAnsi="Times New Roman" w:cs="Times New Roman"/>
          <w:sz w:val="28"/>
          <w:szCs w:val="28"/>
          <w:lang w:val="uk-UA"/>
        </w:rPr>
        <w:t xml:space="preserve">потребує подальшого </w:t>
      </w:r>
      <w:r w:rsidR="004B41F0">
        <w:rPr>
          <w:rFonts w:ascii="Times New Roman" w:hAnsi="Times New Roman" w:cs="Times New Roman"/>
          <w:sz w:val="28"/>
          <w:szCs w:val="28"/>
          <w:lang w:val="uk-UA"/>
        </w:rPr>
        <w:t>детального</w:t>
      </w:r>
      <w:r w:rsidR="004A5CDB">
        <w:rPr>
          <w:rFonts w:ascii="Times New Roman" w:hAnsi="Times New Roman" w:cs="Times New Roman"/>
          <w:sz w:val="28"/>
          <w:szCs w:val="28"/>
          <w:lang w:val="uk-UA"/>
        </w:rPr>
        <w:t xml:space="preserve"> вивчення для </w:t>
      </w:r>
      <w:r w:rsidR="007E3EB8" w:rsidRPr="007E3EB8">
        <w:rPr>
          <w:rFonts w:ascii="Times New Roman" w:hAnsi="Times New Roman" w:cs="Times New Roman"/>
          <w:sz w:val="28"/>
          <w:szCs w:val="28"/>
          <w:lang w:val="uk-UA"/>
        </w:rPr>
        <w:t>первинно</w:t>
      </w:r>
      <w:r w:rsidR="007E3EB8">
        <w:rPr>
          <w:rFonts w:ascii="Times New Roman" w:hAnsi="Times New Roman" w:cs="Times New Roman"/>
          <w:sz w:val="28"/>
          <w:szCs w:val="28"/>
          <w:lang w:val="uk-UA"/>
        </w:rPr>
        <w:t xml:space="preserve">ї та вторинної </w:t>
      </w:r>
      <w:r w:rsidR="004A5CDB">
        <w:rPr>
          <w:rFonts w:ascii="Times New Roman" w:hAnsi="Times New Roman" w:cs="Times New Roman"/>
          <w:sz w:val="28"/>
          <w:szCs w:val="28"/>
          <w:lang w:val="uk-UA"/>
        </w:rPr>
        <w:t>проф</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xml:space="preserve">лактики цих </w:t>
      </w:r>
      <w:r>
        <w:rPr>
          <w:rFonts w:ascii="Times New Roman" w:hAnsi="Times New Roman" w:cs="Times New Roman"/>
          <w:sz w:val="28"/>
          <w:szCs w:val="28"/>
          <w:lang w:val="uk-UA"/>
        </w:rPr>
        <w:t>подій</w:t>
      </w:r>
      <w:r w:rsidR="006913A0" w:rsidRPr="006913A0">
        <w:rPr>
          <w:rFonts w:ascii="Times New Roman" w:hAnsi="Times New Roman" w:cs="Times New Roman"/>
          <w:sz w:val="28"/>
          <w:szCs w:val="28"/>
          <w:lang w:val="uk-UA"/>
        </w:rPr>
        <w:t>.</w:t>
      </w:r>
    </w:p>
    <w:p w:rsidR="00A7751B" w:rsidRPr="00951374" w:rsidRDefault="00DC4676" w:rsidP="00D16F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B5DA2">
        <w:rPr>
          <w:rFonts w:ascii="Times New Roman" w:hAnsi="Times New Roman" w:cs="Times New Roman"/>
          <w:sz w:val="28"/>
          <w:szCs w:val="28"/>
          <w:lang w:val="uk-UA"/>
        </w:rPr>
        <w:t>проба розробки</w:t>
      </w:r>
      <w:r w:rsidR="004A5CDB">
        <w:rPr>
          <w:rFonts w:ascii="Times New Roman" w:hAnsi="Times New Roman" w:cs="Times New Roman"/>
          <w:sz w:val="28"/>
          <w:szCs w:val="28"/>
          <w:lang w:val="uk-UA"/>
        </w:rPr>
        <w:t xml:space="preserve"> диференц</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йованого п</w:t>
      </w:r>
      <w:r w:rsidR="004A5CDB">
        <w:rPr>
          <w:rFonts w:ascii="Times New Roman" w:hAnsi="Times New Roman" w:cs="Times New Roman"/>
          <w:sz w:val="28"/>
          <w:szCs w:val="28"/>
          <w:lang w:val="en-US"/>
        </w:rPr>
        <w:t>i</w:t>
      </w:r>
      <w:r w:rsidR="00D16FBA">
        <w:rPr>
          <w:rFonts w:ascii="Times New Roman" w:hAnsi="Times New Roman" w:cs="Times New Roman"/>
          <w:sz w:val="28"/>
          <w:szCs w:val="28"/>
          <w:lang w:val="uk-UA"/>
        </w:rPr>
        <w:t>дходу до призначення</w:t>
      </w:r>
      <w:r w:rsidR="004A5CDB">
        <w:rPr>
          <w:rFonts w:ascii="Times New Roman" w:hAnsi="Times New Roman" w:cs="Times New Roman"/>
          <w:sz w:val="28"/>
          <w:szCs w:val="28"/>
          <w:lang w:val="uk-UA"/>
        </w:rPr>
        <w:t xml:space="preserve"> антиг</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xml:space="preserve">пертензивних </w:t>
      </w:r>
      <w:r>
        <w:rPr>
          <w:rFonts w:ascii="Times New Roman" w:hAnsi="Times New Roman" w:cs="Times New Roman"/>
          <w:sz w:val="28"/>
          <w:szCs w:val="28"/>
          <w:lang w:val="uk-UA"/>
        </w:rPr>
        <w:t>препаратів, які мають органопротекторну</w:t>
      </w:r>
      <w:r w:rsidR="004A5CDB">
        <w:rPr>
          <w:rFonts w:ascii="Times New Roman" w:hAnsi="Times New Roman" w:cs="Times New Roman"/>
          <w:sz w:val="28"/>
          <w:szCs w:val="28"/>
          <w:lang w:val="uk-UA"/>
        </w:rPr>
        <w:t xml:space="preserve"> </w:t>
      </w:r>
      <w:r w:rsidR="00B573A1">
        <w:rPr>
          <w:rFonts w:ascii="Times New Roman" w:hAnsi="Times New Roman" w:cs="Times New Roman"/>
          <w:sz w:val="28"/>
          <w:szCs w:val="28"/>
          <w:lang w:val="uk-UA"/>
        </w:rPr>
        <w:t xml:space="preserve">дію, </w:t>
      </w:r>
      <w:r>
        <w:rPr>
          <w:rFonts w:ascii="Times New Roman" w:hAnsi="Times New Roman" w:cs="Times New Roman"/>
          <w:sz w:val="28"/>
          <w:szCs w:val="28"/>
          <w:lang w:val="uk-UA"/>
        </w:rPr>
        <w:t>є в</w:t>
      </w:r>
      <w:r w:rsidRPr="00DC4676">
        <w:rPr>
          <w:rFonts w:ascii="Times New Roman" w:hAnsi="Times New Roman" w:cs="Times New Roman"/>
          <w:sz w:val="28"/>
          <w:szCs w:val="28"/>
          <w:lang w:val="uk-UA"/>
        </w:rPr>
        <w:t>ажливим елементом оптимізації лiкування хворих на АГ та ЦД 2-го типу</w:t>
      </w:r>
      <w:r w:rsidR="00D16FBA">
        <w:rPr>
          <w:rFonts w:ascii="Times New Roman" w:hAnsi="Times New Roman" w:cs="Times New Roman"/>
          <w:sz w:val="28"/>
          <w:szCs w:val="28"/>
          <w:lang w:val="uk-UA"/>
        </w:rPr>
        <w:t>.</w:t>
      </w:r>
    </w:p>
    <w:p w:rsidR="009D428B" w:rsidRDefault="004A5CDB" w:rsidP="00A7751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досл</w:t>
      </w:r>
      <w:r>
        <w:rPr>
          <w:rFonts w:ascii="Times New Roman" w:hAnsi="Times New Roman" w:cs="Times New Roman"/>
          <w:sz w:val="28"/>
          <w:szCs w:val="28"/>
          <w:lang w:val="en-US"/>
        </w:rPr>
        <w:t>i</w:t>
      </w:r>
      <w:r w:rsidR="00A7751B" w:rsidRPr="00932AEE">
        <w:rPr>
          <w:rFonts w:ascii="Times New Roman" w:hAnsi="Times New Roman" w:cs="Times New Roman"/>
          <w:sz w:val="28"/>
          <w:szCs w:val="28"/>
          <w:lang w:val="uk-UA"/>
        </w:rPr>
        <w:t>дження</w:t>
      </w:r>
      <w:r w:rsidR="00ED7D3E">
        <w:rPr>
          <w:rFonts w:ascii="Times New Roman" w:hAnsi="Times New Roman" w:cs="Times New Roman"/>
          <w:sz w:val="28"/>
          <w:szCs w:val="28"/>
          <w:lang w:val="uk-UA"/>
        </w:rPr>
        <w:t xml:space="preserve"> є у</w:t>
      </w:r>
      <w:r w:rsidR="00ED7D3E" w:rsidRPr="00ED7D3E">
        <w:rPr>
          <w:rFonts w:ascii="Times New Roman" w:hAnsi="Times New Roman" w:cs="Times New Roman"/>
          <w:sz w:val="28"/>
          <w:szCs w:val="28"/>
          <w:lang w:val="uk-UA"/>
        </w:rPr>
        <w:t xml:space="preserve">досконалення діагностики і лікування пацієнтів із артеріальною гіпертензією та цукровим діабетом 2-го типу на підставі комплексного вивчення зв’язку між показниками функціонального стану </w:t>
      </w:r>
      <w:r w:rsidR="00ED7D3E" w:rsidRPr="00ED7D3E">
        <w:rPr>
          <w:rFonts w:ascii="Times New Roman" w:hAnsi="Times New Roman" w:cs="Times New Roman"/>
          <w:sz w:val="28"/>
          <w:szCs w:val="28"/>
          <w:lang w:val="uk-UA"/>
        </w:rPr>
        <w:lastRenderedPageBreak/>
        <w:t>ендотелію, нирок, серця, маркерами імунного запалення, урикемією, проатерогенною спрямованістю після визначення типів дисліпідемії, вмісту атерогенних та антиатерогенних ліпопротеїдів, оцінки геометрії лівого шлуночка</w:t>
      </w:r>
      <w:r w:rsidR="00D66B4C" w:rsidRPr="00D66B4C">
        <w:rPr>
          <w:rFonts w:ascii="Times New Roman" w:hAnsi="Times New Roman" w:cs="Times New Roman"/>
          <w:sz w:val="28"/>
          <w:szCs w:val="28"/>
          <w:lang w:val="uk-UA"/>
        </w:rPr>
        <w:t>.</w:t>
      </w:r>
      <w:r w:rsidR="009D428B">
        <w:rPr>
          <w:rFonts w:ascii="Times New Roman" w:hAnsi="Times New Roman" w:cs="Times New Roman"/>
          <w:sz w:val="28"/>
          <w:szCs w:val="28"/>
          <w:lang w:val="uk-UA"/>
        </w:rPr>
        <w:t xml:space="preserve"> </w:t>
      </w:r>
    </w:p>
    <w:p w:rsidR="00A7751B" w:rsidRPr="003E0448" w:rsidRDefault="00A7751B" w:rsidP="00A7751B">
      <w:pPr>
        <w:spacing w:after="0" w:line="360" w:lineRule="auto"/>
        <w:ind w:firstLine="708"/>
        <w:jc w:val="both"/>
        <w:rPr>
          <w:rFonts w:ascii="Times New Roman" w:hAnsi="Times New Roman" w:cs="Times New Roman"/>
          <w:sz w:val="28"/>
          <w:szCs w:val="28"/>
          <w:lang w:val="uk-UA"/>
        </w:rPr>
      </w:pPr>
      <w:r w:rsidRPr="003E0448">
        <w:rPr>
          <w:rFonts w:ascii="Times New Roman" w:hAnsi="Times New Roman" w:cs="Times New Roman"/>
          <w:sz w:val="28"/>
          <w:szCs w:val="28"/>
          <w:lang w:val="uk-UA"/>
        </w:rPr>
        <w:t>Для</w:t>
      </w:r>
      <w:r w:rsidR="004A5CDB">
        <w:rPr>
          <w:rFonts w:ascii="Times New Roman" w:hAnsi="Times New Roman" w:cs="Times New Roman"/>
          <w:sz w:val="28"/>
          <w:szCs w:val="28"/>
          <w:lang w:val="uk-UA"/>
        </w:rPr>
        <w:t xml:space="preserve"> досягнення мети були поставлен</w:t>
      </w:r>
      <w:r w:rsidR="004A5CDB">
        <w:rPr>
          <w:rFonts w:ascii="Times New Roman" w:hAnsi="Times New Roman" w:cs="Times New Roman"/>
          <w:sz w:val="28"/>
          <w:szCs w:val="28"/>
          <w:lang w:val="en-US"/>
        </w:rPr>
        <w:t>i</w:t>
      </w:r>
      <w:r w:rsidR="004A5CDB">
        <w:rPr>
          <w:rFonts w:ascii="Times New Roman" w:hAnsi="Times New Roman" w:cs="Times New Roman"/>
          <w:sz w:val="28"/>
          <w:szCs w:val="28"/>
          <w:lang w:val="uk-UA"/>
        </w:rPr>
        <w:t xml:space="preserve"> так</w:t>
      </w:r>
      <w:r w:rsidR="004A5CDB">
        <w:rPr>
          <w:rFonts w:ascii="Times New Roman" w:hAnsi="Times New Roman" w:cs="Times New Roman"/>
          <w:sz w:val="28"/>
          <w:szCs w:val="28"/>
          <w:lang w:val="en-US"/>
        </w:rPr>
        <w:t>i</w:t>
      </w:r>
      <w:r w:rsidRPr="003E0448">
        <w:rPr>
          <w:rFonts w:ascii="Times New Roman" w:hAnsi="Times New Roman" w:cs="Times New Roman"/>
          <w:sz w:val="28"/>
          <w:szCs w:val="28"/>
          <w:lang w:val="uk-UA"/>
        </w:rPr>
        <w:t xml:space="preserve"> завдання:</w:t>
      </w:r>
    </w:p>
    <w:p w:rsidR="0043718B" w:rsidRPr="00D47B05" w:rsidRDefault="0043718B" w:rsidP="0043718B">
      <w:pPr>
        <w:spacing w:after="0" w:line="360" w:lineRule="auto"/>
        <w:ind w:firstLine="708"/>
        <w:jc w:val="both"/>
        <w:rPr>
          <w:rFonts w:ascii="Times New Roman" w:hAnsi="Times New Roman" w:cs="Times New Roman"/>
          <w:sz w:val="28"/>
          <w:szCs w:val="28"/>
          <w:lang w:val="uk-UA"/>
        </w:rPr>
      </w:pPr>
      <w:r w:rsidRPr="0043718B">
        <w:rPr>
          <w:rFonts w:ascii="Times New Roman" w:hAnsi="Times New Roman" w:cs="Times New Roman"/>
          <w:sz w:val="28"/>
          <w:szCs w:val="28"/>
          <w:lang w:val="uk-UA"/>
        </w:rPr>
        <w:t>1.</w:t>
      </w:r>
      <w:r w:rsidR="00D47B05" w:rsidRPr="00D47B05">
        <w:rPr>
          <w:rFonts w:ascii="Times New Roman" w:hAnsi="Times New Roman" w:cs="Times New Roman"/>
          <w:sz w:val="28"/>
          <w:szCs w:val="28"/>
          <w:lang w:val="uk-UA"/>
        </w:rPr>
        <w:t xml:space="preserve"> Оцінити показники ліпідного спектр</w:t>
      </w:r>
      <w:r w:rsidR="00D47B05" w:rsidRPr="00D47B05">
        <w:rPr>
          <w:rFonts w:ascii="Times New Roman" w:hAnsi="Times New Roman" w:cs="Times New Roman"/>
          <w:sz w:val="28"/>
          <w:szCs w:val="28"/>
          <w:lang w:val="en-US"/>
        </w:rPr>
        <w:t>a</w:t>
      </w:r>
      <w:r w:rsidR="00D47B05" w:rsidRPr="00D47B05">
        <w:rPr>
          <w:rFonts w:ascii="Times New Roman" w:hAnsi="Times New Roman" w:cs="Times New Roman"/>
          <w:sz w:val="28"/>
          <w:szCs w:val="28"/>
          <w:lang w:val="uk-UA"/>
        </w:rPr>
        <w:t xml:space="preserve"> крові та визначити тип дисліпідемії в порівняльному аспекті у хворих на АГ та супутній ЦД 2-го типу і </w:t>
      </w:r>
      <w:r w:rsidR="006065F2">
        <w:rPr>
          <w:rFonts w:ascii="Times New Roman" w:hAnsi="Times New Roman" w:cs="Times New Roman"/>
          <w:sz w:val="28"/>
          <w:szCs w:val="28"/>
          <w:lang w:val="uk-UA"/>
        </w:rPr>
        <w:t xml:space="preserve">у </w:t>
      </w:r>
      <w:r w:rsidR="00D47B05" w:rsidRPr="00D47B05">
        <w:rPr>
          <w:rFonts w:ascii="Times New Roman" w:hAnsi="Times New Roman" w:cs="Times New Roman"/>
          <w:sz w:val="28"/>
          <w:szCs w:val="28"/>
          <w:lang w:val="uk-UA"/>
        </w:rPr>
        <w:t>пацієнтів із АГ.</w:t>
      </w:r>
    </w:p>
    <w:p w:rsidR="0043718B" w:rsidRPr="0043718B" w:rsidRDefault="0043718B" w:rsidP="0043718B">
      <w:pPr>
        <w:spacing w:after="0" w:line="360" w:lineRule="auto"/>
        <w:ind w:firstLine="708"/>
        <w:jc w:val="both"/>
        <w:rPr>
          <w:rFonts w:ascii="Times New Roman" w:hAnsi="Times New Roman" w:cs="Times New Roman"/>
          <w:sz w:val="28"/>
          <w:szCs w:val="28"/>
          <w:lang w:val="uk-UA"/>
        </w:rPr>
      </w:pPr>
      <w:r w:rsidRPr="0043718B">
        <w:rPr>
          <w:rFonts w:ascii="Times New Roman" w:hAnsi="Times New Roman" w:cs="Times New Roman"/>
          <w:sz w:val="28"/>
          <w:szCs w:val="28"/>
          <w:lang w:val="uk-UA"/>
        </w:rPr>
        <w:t>2. Проаналізувати зв’язок між стадіями ЦД 2-го типу та показниками ліпідного профілю у хворих на АГ та ЦД 2-го типу.</w:t>
      </w:r>
    </w:p>
    <w:p w:rsidR="0043718B" w:rsidRPr="0043718B" w:rsidRDefault="0043718B" w:rsidP="0043718B">
      <w:pPr>
        <w:spacing w:after="0" w:line="360" w:lineRule="auto"/>
        <w:ind w:firstLine="708"/>
        <w:jc w:val="both"/>
        <w:rPr>
          <w:rFonts w:ascii="Times New Roman" w:hAnsi="Times New Roman" w:cs="Times New Roman"/>
          <w:sz w:val="28"/>
          <w:szCs w:val="28"/>
          <w:lang w:val="uk-UA"/>
        </w:rPr>
      </w:pPr>
      <w:r w:rsidRPr="0043718B">
        <w:rPr>
          <w:rFonts w:ascii="Times New Roman" w:hAnsi="Times New Roman" w:cs="Times New Roman"/>
          <w:sz w:val="28"/>
          <w:szCs w:val="28"/>
          <w:lang w:val="uk-UA"/>
        </w:rPr>
        <w:t>3. Дослідити в порівняльному аспекті вплив функціонального стану ендотелію та імунного запалення на вираженість проатерогенної спрямованості шляхом аналізу зв’язку між коефіцієнтом атерогенності (КА) та концентрацією розчинної форми молекули адгезії судинного ендотелію    1-го типу (sVCAM-1) у пацієнтів із АГ і коморбідним ЦД 2-го типу та            у хворих на АГ.</w:t>
      </w:r>
    </w:p>
    <w:p w:rsidR="0043718B" w:rsidRPr="0043718B" w:rsidRDefault="0043718B" w:rsidP="0043718B">
      <w:pPr>
        <w:spacing w:after="0" w:line="360" w:lineRule="auto"/>
        <w:ind w:firstLine="708"/>
        <w:jc w:val="both"/>
        <w:rPr>
          <w:rFonts w:ascii="Times New Roman" w:hAnsi="Times New Roman" w:cs="Times New Roman"/>
          <w:sz w:val="28"/>
          <w:szCs w:val="28"/>
          <w:lang w:val="uk-UA"/>
        </w:rPr>
      </w:pPr>
      <w:r w:rsidRPr="0043718B">
        <w:rPr>
          <w:rFonts w:ascii="Times New Roman" w:hAnsi="Times New Roman" w:cs="Times New Roman"/>
          <w:sz w:val="28"/>
          <w:szCs w:val="28"/>
          <w:lang w:val="uk-UA"/>
        </w:rPr>
        <w:t xml:space="preserve">4. Надати оцінку зв’язків між маркерами функціонального стану нирок та вмістом ендотеліну-1 (ЕТ-1), концентрацією sVCAM-1, урикемією </w:t>
      </w:r>
      <w:r w:rsidR="00131604" w:rsidRPr="00131604">
        <w:rPr>
          <w:rFonts w:ascii="Times New Roman" w:hAnsi="Times New Roman" w:cs="Times New Roman"/>
          <w:sz w:val="28"/>
          <w:szCs w:val="28"/>
          <w:lang w:val="uk-UA"/>
        </w:rPr>
        <w:t xml:space="preserve">             </w:t>
      </w:r>
      <w:r w:rsidRPr="0043718B">
        <w:rPr>
          <w:rFonts w:ascii="Times New Roman" w:hAnsi="Times New Roman" w:cs="Times New Roman"/>
          <w:sz w:val="28"/>
          <w:szCs w:val="28"/>
          <w:lang w:val="uk-UA"/>
        </w:rPr>
        <w:t>у пацієнтів із АГ та ЦД 2-го типу.</w:t>
      </w:r>
    </w:p>
    <w:p w:rsidR="0043718B" w:rsidRPr="0043718B" w:rsidRDefault="0043718B" w:rsidP="0043718B">
      <w:pPr>
        <w:spacing w:after="0" w:line="360" w:lineRule="auto"/>
        <w:ind w:firstLine="708"/>
        <w:jc w:val="both"/>
        <w:rPr>
          <w:rFonts w:ascii="Times New Roman" w:hAnsi="Times New Roman" w:cs="Times New Roman"/>
          <w:sz w:val="28"/>
          <w:szCs w:val="28"/>
          <w:lang w:val="uk-UA"/>
        </w:rPr>
      </w:pPr>
      <w:r w:rsidRPr="0043718B">
        <w:rPr>
          <w:rFonts w:ascii="Times New Roman" w:hAnsi="Times New Roman" w:cs="Times New Roman"/>
          <w:sz w:val="28"/>
          <w:szCs w:val="28"/>
          <w:lang w:val="uk-UA"/>
        </w:rPr>
        <w:t xml:space="preserve">5. Визначити особливості серцевої недостатності (СН), тип геометрії лівого шлуночка (ЛШ) та характер зв’язків між структурно-функціональними характеристиками міокарда, показниками стану ендотелію та імунного запалення в порівняльному аспекті у хворих на АГ та ЦД 2-го типу і </w:t>
      </w:r>
      <w:r w:rsidR="008210C1">
        <w:rPr>
          <w:rFonts w:ascii="Times New Roman" w:hAnsi="Times New Roman" w:cs="Times New Roman"/>
          <w:sz w:val="28"/>
          <w:szCs w:val="28"/>
          <w:lang w:val="uk-UA"/>
        </w:rPr>
        <w:t xml:space="preserve">у </w:t>
      </w:r>
      <w:r w:rsidRPr="0043718B">
        <w:rPr>
          <w:rFonts w:ascii="Times New Roman" w:hAnsi="Times New Roman" w:cs="Times New Roman"/>
          <w:sz w:val="28"/>
          <w:szCs w:val="28"/>
          <w:lang w:val="uk-UA"/>
        </w:rPr>
        <w:t>пацієнтів із АГ.</w:t>
      </w:r>
    </w:p>
    <w:p w:rsidR="0043718B" w:rsidRDefault="0043718B" w:rsidP="0043718B">
      <w:pPr>
        <w:spacing w:after="0" w:line="360" w:lineRule="auto"/>
        <w:ind w:firstLine="708"/>
        <w:jc w:val="both"/>
        <w:rPr>
          <w:rFonts w:ascii="Times New Roman" w:hAnsi="Times New Roman" w:cs="Times New Roman"/>
          <w:sz w:val="28"/>
          <w:szCs w:val="28"/>
          <w:lang w:val="uk-UA"/>
        </w:rPr>
      </w:pPr>
      <w:r w:rsidRPr="0043718B">
        <w:rPr>
          <w:rFonts w:ascii="Times New Roman" w:hAnsi="Times New Roman" w:cs="Times New Roman"/>
          <w:sz w:val="28"/>
          <w:szCs w:val="28"/>
          <w:lang w:val="uk-UA"/>
        </w:rPr>
        <w:t>6. Розробити та обґрунтувати диференційований підхід до призначення оптимального антигіпертензивного препарату залежно від вмісту ЕТ-1           у хворих на АГ та ЦД 2-го типу.</w:t>
      </w:r>
    </w:p>
    <w:p w:rsidR="00A7751B" w:rsidRPr="00D1646D" w:rsidRDefault="00634D52" w:rsidP="00824E0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Методи досл</w:t>
      </w:r>
      <w:r>
        <w:rPr>
          <w:rFonts w:ascii="Times New Roman" w:hAnsi="Times New Roman" w:cs="Times New Roman"/>
          <w:sz w:val="28"/>
          <w:szCs w:val="28"/>
          <w:lang w:val="en-US"/>
        </w:rPr>
        <w:t>i</w:t>
      </w:r>
      <w:r w:rsidR="00A7751B" w:rsidRPr="00932AEE">
        <w:rPr>
          <w:rFonts w:ascii="Times New Roman" w:hAnsi="Times New Roman" w:cs="Times New Roman"/>
          <w:sz w:val="28"/>
          <w:szCs w:val="28"/>
          <w:lang w:val="uk-UA"/>
        </w:rPr>
        <w:t>дження</w:t>
      </w:r>
      <w:r>
        <w:rPr>
          <w:rFonts w:ascii="Times New Roman" w:hAnsi="Times New Roman" w:cs="Times New Roman"/>
          <w:sz w:val="28"/>
          <w:szCs w:val="28"/>
          <w:lang w:val="uk-UA"/>
        </w:rPr>
        <w:t xml:space="preserve">: </w:t>
      </w:r>
      <w:r w:rsidR="000B3438" w:rsidRPr="000B3438">
        <w:rPr>
          <w:rFonts w:ascii="Times New Roman" w:hAnsi="Times New Roman" w:cs="Times New Roman"/>
          <w:sz w:val="28"/>
          <w:szCs w:val="28"/>
          <w:lang w:val="uk-UA"/>
        </w:rPr>
        <w:t>клiнiчні, антропометричнi, біохімічні, імуноферментні, iнструментальнi, статистичнi.</w:t>
      </w:r>
    </w:p>
    <w:p w:rsidR="002D6502" w:rsidRDefault="002D6502" w:rsidP="00BE1C5A">
      <w:pPr>
        <w:spacing w:after="0" w:line="360" w:lineRule="auto"/>
        <w:ind w:firstLine="708"/>
        <w:jc w:val="both"/>
        <w:rPr>
          <w:rFonts w:ascii="Times New Roman" w:hAnsi="Times New Roman" w:cs="Times New Roman"/>
          <w:sz w:val="28"/>
          <w:szCs w:val="28"/>
          <w:lang w:val="uk-UA"/>
        </w:rPr>
      </w:pPr>
      <w:r w:rsidRPr="002D6502">
        <w:rPr>
          <w:rFonts w:ascii="Times New Roman" w:hAnsi="Times New Roman" w:cs="Times New Roman"/>
          <w:sz w:val="28"/>
          <w:szCs w:val="28"/>
          <w:lang w:val="uk-UA"/>
        </w:rPr>
        <w:lastRenderedPageBreak/>
        <w:t xml:space="preserve">Для пацiєнтiв із </w:t>
      </w:r>
      <w:r>
        <w:rPr>
          <w:rFonts w:ascii="Times New Roman" w:hAnsi="Times New Roman" w:cs="Times New Roman"/>
          <w:sz w:val="28"/>
          <w:szCs w:val="28"/>
          <w:lang w:val="uk-UA"/>
        </w:rPr>
        <w:t xml:space="preserve">АГ </w:t>
      </w:r>
      <w:r w:rsidRPr="002D6502">
        <w:rPr>
          <w:rFonts w:ascii="Times New Roman" w:hAnsi="Times New Roman" w:cs="Times New Roman"/>
          <w:sz w:val="28"/>
          <w:szCs w:val="28"/>
          <w:lang w:val="uk-UA"/>
        </w:rPr>
        <w:t xml:space="preserve">та супутнiм </w:t>
      </w:r>
      <w:r>
        <w:rPr>
          <w:rFonts w:ascii="Times New Roman" w:hAnsi="Times New Roman" w:cs="Times New Roman"/>
          <w:sz w:val="28"/>
          <w:szCs w:val="28"/>
          <w:lang w:val="uk-UA"/>
        </w:rPr>
        <w:t xml:space="preserve">ЦД </w:t>
      </w:r>
      <w:r w:rsidRPr="002D6502">
        <w:rPr>
          <w:rFonts w:ascii="Times New Roman" w:hAnsi="Times New Roman" w:cs="Times New Roman"/>
          <w:sz w:val="28"/>
          <w:szCs w:val="28"/>
          <w:lang w:val="uk-UA"/>
        </w:rPr>
        <w:t>2-го типу характерним є комбiнований тип</w:t>
      </w:r>
      <w:r>
        <w:rPr>
          <w:rFonts w:ascii="Times New Roman" w:hAnsi="Times New Roman" w:cs="Times New Roman"/>
          <w:sz w:val="28"/>
          <w:szCs w:val="28"/>
          <w:lang w:val="uk-UA"/>
        </w:rPr>
        <w:t xml:space="preserve"> дислiпiдемiї, </w:t>
      </w:r>
      <w:r w:rsidRPr="002D6502">
        <w:rPr>
          <w:rFonts w:ascii="Times New Roman" w:hAnsi="Times New Roman" w:cs="Times New Roman"/>
          <w:sz w:val="28"/>
          <w:szCs w:val="28"/>
          <w:lang w:val="uk-UA"/>
        </w:rPr>
        <w:t xml:space="preserve">що характеризується пiдвищенням вмісту загального холестерину, холестерину лiпопротеїдiв низької щiльностi, триглiцеридiв, зниженням – холестерину </w:t>
      </w:r>
      <w:r w:rsidR="0008441C">
        <w:rPr>
          <w:rFonts w:ascii="Times New Roman" w:hAnsi="Times New Roman" w:cs="Times New Roman"/>
          <w:sz w:val="28"/>
          <w:szCs w:val="28"/>
          <w:lang w:val="uk-UA"/>
        </w:rPr>
        <w:t>ліпопротеїдiв високої щільності;</w:t>
      </w:r>
      <w:r w:rsidRPr="002D6502">
        <w:rPr>
          <w:rFonts w:ascii="Times New Roman" w:hAnsi="Times New Roman" w:cs="Times New Roman"/>
          <w:sz w:val="28"/>
          <w:szCs w:val="28"/>
          <w:lang w:val="uk-UA"/>
        </w:rPr>
        <w:t xml:space="preserve"> достовiрно вищі значення атерогенних, нижчі – антиатерогенних </w:t>
      </w:r>
      <w:r>
        <w:rPr>
          <w:rFonts w:ascii="Times New Roman" w:hAnsi="Times New Roman" w:cs="Times New Roman"/>
          <w:sz w:val="28"/>
          <w:szCs w:val="28"/>
          <w:lang w:val="uk-UA"/>
        </w:rPr>
        <w:t>ліпопротеїдів</w:t>
      </w:r>
      <w:r w:rsidRPr="002D6502">
        <w:rPr>
          <w:rFonts w:ascii="Times New Roman" w:hAnsi="Times New Roman" w:cs="Times New Roman"/>
          <w:sz w:val="28"/>
          <w:szCs w:val="28"/>
          <w:lang w:val="uk-UA"/>
        </w:rPr>
        <w:t xml:space="preserve">.     </w:t>
      </w:r>
    </w:p>
    <w:p w:rsidR="001E39FD" w:rsidRPr="00BE1C5A" w:rsidRDefault="00AF2E5C" w:rsidP="00BE1C5A">
      <w:pPr>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Д</w:t>
      </w:r>
      <w:r w:rsidR="00634D52">
        <w:rPr>
          <w:rFonts w:ascii="Times New Roman" w:hAnsi="Times New Roman" w:cs="Times New Roman"/>
          <w:sz w:val="28"/>
          <w:szCs w:val="28"/>
          <w:lang w:val="uk-UA"/>
        </w:rPr>
        <w:t>остов</w:t>
      </w:r>
      <w:r w:rsidR="00634D52">
        <w:rPr>
          <w:rFonts w:ascii="Times New Roman" w:hAnsi="Times New Roman" w:cs="Times New Roman"/>
          <w:sz w:val="28"/>
          <w:szCs w:val="28"/>
          <w:lang w:val="en-US"/>
        </w:rPr>
        <w:t>i</w:t>
      </w:r>
      <w:r w:rsidR="00634D52">
        <w:rPr>
          <w:rFonts w:ascii="Times New Roman" w:hAnsi="Times New Roman" w:cs="Times New Roman"/>
          <w:sz w:val="28"/>
          <w:szCs w:val="28"/>
          <w:lang w:val="uk-UA"/>
        </w:rPr>
        <w:t>рно б</w:t>
      </w:r>
      <w:r w:rsidR="00634D52">
        <w:rPr>
          <w:rFonts w:ascii="Times New Roman" w:hAnsi="Times New Roman" w:cs="Times New Roman"/>
          <w:sz w:val="28"/>
          <w:szCs w:val="28"/>
          <w:lang w:val="en-US"/>
        </w:rPr>
        <w:t>i</w:t>
      </w:r>
      <w:r w:rsidR="00634D52">
        <w:rPr>
          <w:rFonts w:ascii="Times New Roman" w:hAnsi="Times New Roman" w:cs="Times New Roman"/>
          <w:sz w:val="28"/>
          <w:szCs w:val="28"/>
          <w:lang w:val="uk-UA"/>
        </w:rPr>
        <w:t>льш</w:t>
      </w:r>
      <w:r w:rsidR="0008441C" w:rsidRPr="0008441C">
        <w:rPr>
          <w:rFonts w:ascii="Times New Roman" w:hAnsi="Times New Roman" w:cs="Times New Roman"/>
          <w:sz w:val="28"/>
          <w:szCs w:val="28"/>
          <w:lang w:val="uk-UA"/>
        </w:rPr>
        <w:t>ий</w:t>
      </w:r>
      <w:r w:rsidR="0008441C">
        <w:rPr>
          <w:rFonts w:ascii="Times New Roman" w:hAnsi="Times New Roman" w:cs="Times New Roman"/>
          <w:sz w:val="28"/>
          <w:szCs w:val="28"/>
          <w:lang w:val="uk-UA"/>
        </w:rPr>
        <w:t xml:space="preserve"> вміст</w:t>
      </w:r>
      <w:r w:rsidR="00BE1C5A" w:rsidRPr="00BE1C5A">
        <w:rPr>
          <w:rFonts w:ascii="Times New Roman" w:hAnsi="Times New Roman" w:cs="Times New Roman"/>
          <w:sz w:val="28"/>
          <w:szCs w:val="28"/>
          <w:lang w:val="uk-UA"/>
        </w:rPr>
        <w:t xml:space="preserve"> </w:t>
      </w:r>
      <w:r w:rsidR="004E36C0">
        <w:rPr>
          <w:rFonts w:ascii="Times New Roman" w:hAnsi="Times New Roman" w:cs="Times New Roman"/>
          <w:sz w:val="28"/>
          <w:szCs w:val="28"/>
          <w:lang w:val="uk-UA"/>
        </w:rPr>
        <w:t>тригліцеридів (</w:t>
      </w:r>
      <w:r w:rsidR="00BE1C5A" w:rsidRPr="00850960">
        <w:rPr>
          <w:rFonts w:ascii="Times New Roman" w:hAnsi="Times New Roman" w:cs="Times New Roman"/>
          <w:sz w:val="28"/>
          <w:szCs w:val="28"/>
          <w:lang w:val="uk-UA"/>
        </w:rPr>
        <w:t>ТГ</w:t>
      </w:r>
      <w:r w:rsidR="004E36C0">
        <w:rPr>
          <w:rFonts w:ascii="Times New Roman" w:hAnsi="Times New Roman" w:cs="Times New Roman"/>
          <w:sz w:val="28"/>
          <w:szCs w:val="28"/>
          <w:lang w:val="uk-UA"/>
        </w:rPr>
        <w:t xml:space="preserve">) (р = 0,0018), </w:t>
      </w:r>
      <w:r w:rsidR="00634D52">
        <w:rPr>
          <w:rFonts w:ascii="Times New Roman" w:hAnsi="Times New Roman" w:cs="Times New Roman"/>
          <w:sz w:val="28"/>
          <w:szCs w:val="28"/>
          <w:lang w:val="uk-UA"/>
        </w:rPr>
        <w:t>нижч</w:t>
      </w:r>
      <w:r w:rsidR="0008441C">
        <w:rPr>
          <w:rFonts w:ascii="Times New Roman" w:hAnsi="Times New Roman" w:cs="Times New Roman"/>
          <w:sz w:val="28"/>
          <w:szCs w:val="28"/>
          <w:lang w:val="uk-UA"/>
        </w:rPr>
        <w:t>ий</w:t>
      </w:r>
      <w:r w:rsidR="00BE1C5A" w:rsidRPr="00BE1C5A">
        <w:rPr>
          <w:rFonts w:ascii="Times New Roman" w:hAnsi="Times New Roman" w:cs="Times New Roman"/>
          <w:sz w:val="28"/>
          <w:szCs w:val="28"/>
          <w:lang w:val="uk-UA"/>
        </w:rPr>
        <w:t xml:space="preserve"> – </w:t>
      </w:r>
      <w:r w:rsidR="004E36C0">
        <w:rPr>
          <w:rFonts w:ascii="Times New Roman" w:hAnsi="Times New Roman" w:cs="Times New Roman"/>
          <w:sz w:val="28"/>
          <w:szCs w:val="28"/>
          <w:lang w:val="uk-UA"/>
        </w:rPr>
        <w:t>холестерину ліпопротеїдів високої щільності (</w:t>
      </w:r>
      <w:r w:rsidR="00E80B36">
        <w:rPr>
          <w:rFonts w:ascii="Times New Roman" w:hAnsi="Times New Roman" w:cs="Times New Roman"/>
          <w:sz w:val="28"/>
          <w:szCs w:val="28"/>
          <w:lang w:val="uk-UA"/>
        </w:rPr>
        <w:t xml:space="preserve">ХС </w:t>
      </w:r>
      <w:r w:rsidR="00BE1C5A" w:rsidRPr="00850960">
        <w:rPr>
          <w:rFonts w:ascii="Times New Roman" w:hAnsi="Times New Roman" w:cs="Times New Roman"/>
          <w:sz w:val="28"/>
          <w:szCs w:val="28"/>
          <w:lang w:val="uk-UA"/>
        </w:rPr>
        <w:t>ЛПВЩ</w:t>
      </w:r>
      <w:r w:rsidR="004E36C0">
        <w:rPr>
          <w:rFonts w:ascii="Times New Roman" w:hAnsi="Times New Roman" w:cs="Times New Roman"/>
          <w:sz w:val="28"/>
          <w:szCs w:val="28"/>
          <w:lang w:val="uk-UA"/>
        </w:rPr>
        <w:t xml:space="preserve">) </w:t>
      </w:r>
      <w:r w:rsidR="00634D52">
        <w:rPr>
          <w:rFonts w:ascii="Times New Roman" w:hAnsi="Times New Roman" w:cs="Times New Roman"/>
          <w:sz w:val="28"/>
          <w:szCs w:val="28"/>
          <w:lang w:val="uk-UA"/>
        </w:rPr>
        <w:t>(p = 0,0367)</w:t>
      </w:r>
      <w:r w:rsidR="00E80B36">
        <w:rPr>
          <w:rFonts w:ascii="Times New Roman" w:hAnsi="Times New Roman" w:cs="Times New Roman"/>
          <w:sz w:val="28"/>
          <w:szCs w:val="28"/>
          <w:lang w:val="uk-UA"/>
        </w:rPr>
        <w:t xml:space="preserve"> </w:t>
      </w:r>
      <w:r w:rsidR="0008441C">
        <w:rPr>
          <w:rFonts w:ascii="Times New Roman" w:hAnsi="Times New Roman" w:cs="Times New Roman"/>
          <w:sz w:val="28"/>
          <w:szCs w:val="28"/>
          <w:lang w:val="uk-UA"/>
        </w:rPr>
        <w:t>був характерним</w:t>
      </w:r>
      <w:r w:rsidR="00E80B36">
        <w:rPr>
          <w:rFonts w:ascii="Times New Roman" w:hAnsi="Times New Roman" w:cs="Times New Roman"/>
          <w:sz w:val="28"/>
          <w:szCs w:val="28"/>
          <w:lang w:val="uk-UA"/>
        </w:rPr>
        <w:t xml:space="preserve"> для пацієнтів із АГ та ЦД 2-го типу</w:t>
      </w:r>
      <w:r w:rsidR="00E80B36" w:rsidRPr="00E80B36">
        <w:rPr>
          <w:rFonts w:ascii="Times New Roman" w:hAnsi="Times New Roman" w:cs="Times New Roman"/>
          <w:sz w:val="28"/>
          <w:szCs w:val="28"/>
          <w:lang w:val="uk-UA"/>
        </w:rPr>
        <w:t xml:space="preserve">, якi мали </w:t>
      </w:r>
      <w:r w:rsidR="004E36C0">
        <w:rPr>
          <w:rFonts w:ascii="Times New Roman" w:hAnsi="Times New Roman" w:cs="Times New Roman"/>
          <w:sz w:val="28"/>
          <w:szCs w:val="28"/>
          <w:lang w:val="uk-UA"/>
        </w:rPr>
        <w:t>глікозильований гемоглобін (</w:t>
      </w:r>
      <w:r w:rsidR="00E80B36" w:rsidRPr="00E80B36">
        <w:rPr>
          <w:rFonts w:ascii="Times New Roman" w:hAnsi="Times New Roman" w:cs="Times New Roman"/>
          <w:sz w:val="28"/>
          <w:szCs w:val="28"/>
          <w:lang w:val="uk-UA"/>
        </w:rPr>
        <w:t>HbA1с</w:t>
      </w:r>
      <w:r w:rsidR="004E36C0">
        <w:rPr>
          <w:rFonts w:ascii="Times New Roman" w:hAnsi="Times New Roman" w:cs="Times New Roman"/>
          <w:sz w:val="28"/>
          <w:szCs w:val="28"/>
          <w:lang w:val="uk-UA"/>
        </w:rPr>
        <w:t>)</w:t>
      </w:r>
      <w:r w:rsidR="00E80B36" w:rsidRPr="00E80B36">
        <w:rPr>
          <w:rFonts w:ascii="Times New Roman" w:hAnsi="Times New Roman" w:cs="Times New Roman"/>
          <w:sz w:val="28"/>
          <w:szCs w:val="28"/>
          <w:lang w:val="uk-UA"/>
        </w:rPr>
        <w:t xml:space="preserve"> &gt; 8,0 %,</w:t>
      </w:r>
      <w:r w:rsidR="00E80B36">
        <w:rPr>
          <w:rFonts w:ascii="Times New Roman" w:hAnsi="Times New Roman" w:cs="Times New Roman"/>
          <w:sz w:val="28"/>
          <w:szCs w:val="28"/>
          <w:lang w:val="uk-UA"/>
        </w:rPr>
        <w:t xml:space="preserve"> порiвняно з хворими з HbA1с </w:t>
      </w:r>
      <w:r w:rsidR="00E80B36" w:rsidRPr="00E80B36">
        <w:rPr>
          <w:rFonts w:ascii="Times New Roman" w:hAnsi="Times New Roman" w:cs="Times New Roman"/>
          <w:sz w:val="28"/>
          <w:szCs w:val="28"/>
          <w:lang w:val="uk-UA"/>
        </w:rPr>
        <w:t>≤ 8 %</w:t>
      </w:r>
      <w:r w:rsidR="00634D52">
        <w:rPr>
          <w:rFonts w:ascii="Times New Roman" w:hAnsi="Times New Roman" w:cs="Times New Roman"/>
          <w:sz w:val="28"/>
          <w:szCs w:val="28"/>
          <w:lang w:val="uk-UA"/>
        </w:rPr>
        <w:t>, що св</w:t>
      </w:r>
      <w:r w:rsidR="00634D52">
        <w:rPr>
          <w:rFonts w:ascii="Times New Roman" w:hAnsi="Times New Roman" w:cs="Times New Roman"/>
          <w:sz w:val="28"/>
          <w:szCs w:val="28"/>
          <w:lang w:val="en-US"/>
        </w:rPr>
        <w:t>i</w:t>
      </w:r>
      <w:r w:rsidR="00BE1C5A" w:rsidRPr="00BE1C5A">
        <w:rPr>
          <w:rFonts w:ascii="Times New Roman" w:hAnsi="Times New Roman" w:cs="Times New Roman"/>
          <w:sz w:val="28"/>
          <w:szCs w:val="28"/>
          <w:lang w:val="uk-UA"/>
        </w:rPr>
        <w:t>дчить про вагому роль саме цих фра</w:t>
      </w:r>
      <w:r w:rsidR="00634D52">
        <w:rPr>
          <w:rFonts w:ascii="Times New Roman" w:hAnsi="Times New Roman" w:cs="Times New Roman"/>
          <w:sz w:val="28"/>
          <w:szCs w:val="28"/>
          <w:lang w:val="uk-UA"/>
        </w:rPr>
        <w:t>кц</w:t>
      </w:r>
      <w:r w:rsidR="00634D52">
        <w:rPr>
          <w:rFonts w:ascii="Times New Roman" w:hAnsi="Times New Roman" w:cs="Times New Roman"/>
          <w:sz w:val="28"/>
          <w:szCs w:val="28"/>
          <w:lang w:val="en-US"/>
        </w:rPr>
        <w:t>i</w:t>
      </w:r>
      <w:r w:rsidR="00634D52">
        <w:rPr>
          <w:rFonts w:ascii="Times New Roman" w:hAnsi="Times New Roman" w:cs="Times New Roman"/>
          <w:sz w:val="28"/>
          <w:szCs w:val="28"/>
          <w:lang w:val="uk-UA"/>
        </w:rPr>
        <w:t>й л</w:t>
      </w:r>
      <w:r w:rsidR="00634D52">
        <w:rPr>
          <w:rFonts w:ascii="Times New Roman" w:hAnsi="Times New Roman" w:cs="Times New Roman"/>
          <w:sz w:val="28"/>
          <w:szCs w:val="28"/>
          <w:lang w:val="en-US"/>
        </w:rPr>
        <w:t>i</w:t>
      </w:r>
      <w:r w:rsidR="00634D52">
        <w:rPr>
          <w:rFonts w:ascii="Times New Roman" w:hAnsi="Times New Roman" w:cs="Times New Roman"/>
          <w:sz w:val="28"/>
          <w:szCs w:val="28"/>
          <w:lang w:val="uk-UA"/>
        </w:rPr>
        <w:t>попротеїд</w:t>
      </w:r>
      <w:r w:rsidR="00634D52">
        <w:rPr>
          <w:rFonts w:ascii="Times New Roman" w:hAnsi="Times New Roman" w:cs="Times New Roman"/>
          <w:sz w:val="28"/>
          <w:szCs w:val="28"/>
          <w:lang w:val="en-US"/>
        </w:rPr>
        <w:t>i</w:t>
      </w:r>
      <w:r w:rsidR="00634D52">
        <w:rPr>
          <w:rFonts w:ascii="Times New Roman" w:hAnsi="Times New Roman" w:cs="Times New Roman"/>
          <w:sz w:val="28"/>
          <w:szCs w:val="28"/>
          <w:lang w:val="uk-UA"/>
        </w:rPr>
        <w:t xml:space="preserve">в у </w:t>
      </w:r>
      <w:r w:rsidR="00902DA1">
        <w:rPr>
          <w:rFonts w:ascii="Times New Roman" w:hAnsi="Times New Roman" w:cs="Times New Roman"/>
          <w:sz w:val="28"/>
          <w:szCs w:val="28"/>
          <w:lang w:val="uk-UA"/>
        </w:rPr>
        <w:t xml:space="preserve">декомпенсації </w:t>
      </w:r>
      <w:r w:rsidR="00BE1C5A" w:rsidRPr="00BE1C5A">
        <w:rPr>
          <w:rFonts w:ascii="Times New Roman" w:hAnsi="Times New Roman" w:cs="Times New Roman"/>
          <w:sz w:val="28"/>
          <w:szCs w:val="28"/>
          <w:lang w:val="uk-UA"/>
        </w:rPr>
        <w:t xml:space="preserve">ЦД </w:t>
      </w:r>
      <w:r w:rsidR="00E80B36">
        <w:rPr>
          <w:rFonts w:ascii="Times New Roman" w:hAnsi="Times New Roman" w:cs="Times New Roman"/>
          <w:sz w:val="28"/>
          <w:szCs w:val="28"/>
          <w:lang w:val="uk-UA"/>
        </w:rPr>
        <w:t>2-го типу</w:t>
      </w:r>
      <w:r w:rsidR="00BE1C5A" w:rsidRPr="00BE1C5A">
        <w:rPr>
          <w:rFonts w:ascii="Times New Roman" w:hAnsi="Times New Roman" w:cs="Times New Roman"/>
          <w:sz w:val="28"/>
          <w:szCs w:val="28"/>
          <w:lang w:val="uk-UA"/>
        </w:rPr>
        <w:t>.</w:t>
      </w:r>
      <w:r w:rsidR="00BE1C5A">
        <w:rPr>
          <w:rFonts w:ascii="Times New Roman" w:hAnsi="Times New Roman" w:cs="Times New Roman"/>
          <w:sz w:val="28"/>
          <w:szCs w:val="28"/>
          <w:lang w:val="uk-UA"/>
        </w:rPr>
        <w:t xml:space="preserve"> </w:t>
      </w:r>
      <w:r w:rsidR="00AB1B0F">
        <w:rPr>
          <w:rFonts w:ascii="Times New Roman" w:hAnsi="Times New Roman" w:cs="Times New Roman"/>
          <w:sz w:val="28"/>
          <w:szCs w:val="28"/>
          <w:lang w:val="uk-UA"/>
        </w:rPr>
        <w:t xml:space="preserve">Зі збільшенням вмісту </w:t>
      </w:r>
      <w:r w:rsidR="00AB1B0F" w:rsidRPr="00AB1B0F">
        <w:rPr>
          <w:rFonts w:ascii="Times New Roman" w:hAnsi="Times New Roman" w:cs="Times New Roman"/>
          <w:sz w:val="28"/>
          <w:szCs w:val="28"/>
          <w:lang w:val="uk-UA"/>
        </w:rPr>
        <w:t>sVCAM-1</w:t>
      </w:r>
      <w:r w:rsidR="00AB1B0F">
        <w:rPr>
          <w:rFonts w:ascii="Times New Roman" w:hAnsi="Times New Roman" w:cs="Times New Roman"/>
          <w:sz w:val="28"/>
          <w:szCs w:val="28"/>
          <w:lang w:val="uk-UA"/>
        </w:rPr>
        <w:t xml:space="preserve"> зростав КА</w:t>
      </w:r>
      <w:r w:rsidR="004E36C0">
        <w:rPr>
          <w:rFonts w:ascii="Times New Roman" w:hAnsi="Times New Roman" w:cs="Times New Roman"/>
          <w:sz w:val="28"/>
          <w:szCs w:val="28"/>
          <w:lang w:val="uk-UA"/>
        </w:rPr>
        <w:t xml:space="preserve"> у пацієнтів І групи </w:t>
      </w:r>
      <w:r w:rsidR="00385CAB">
        <w:rPr>
          <w:rFonts w:ascii="Times New Roman" w:hAnsi="Times New Roman" w:cs="Times New Roman"/>
          <w:sz w:val="28"/>
          <w:szCs w:val="28"/>
          <w:lang w:val="uk-UA"/>
        </w:rPr>
        <w:t xml:space="preserve">           </w:t>
      </w:r>
      <w:r w:rsidR="00E80B36">
        <w:rPr>
          <w:rFonts w:ascii="Times New Roman" w:hAnsi="Times New Roman" w:cs="Times New Roman"/>
          <w:sz w:val="28"/>
          <w:szCs w:val="28"/>
          <w:lang w:val="uk-UA"/>
        </w:rPr>
        <w:t>(</w:t>
      </w:r>
      <w:r w:rsidR="00E80B36" w:rsidRPr="00E80B36">
        <w:rPr>
          <w:rFonts w:ascii="Times New Roman" w:hAnsi="Times New Roman" w:cs="Times New Roman"/>
          <w:sz w:val="28"/>
          <w:szCs w:val="28"/>
          <w:lang w:val="uk-UA"/>
        </w:rPr>
        <w:t>р = 0,0495</w:t>
      </w:r>
      <w:r w:rsidR="00E80B36">
        <w:rPr>
          <w:rFonts w:ascii="Times New Roman" w:hAnsi="Times New Roman" w:cs="Times New Roman"/>
          <w:sz w:val="28"/>
          <w:szCs w:val="28"/>
          <w:lang w:val="uk-UA"/>
        </w:rPr>
        <w:t>)</w:t>
      </w:r>
      <w:r w:rsidR="007B52B0">
        <w:rPr>
          <w:rFonts w:ascii="Times New Roman" w:hAnsi="Times New Roman" w:cs="Times New Roman"/>
          <w:sz w:val="28"/>
          <w:szCs w:val="28"/>
          <w:lang w:val="uk-UA"/>
        </w:rPr>
        <w:t xml:space="preserve">, </w:t>
      </w:r>
      <w:r w:rsidR="00CF4EBC">
        <w:rPr>
          <w:rFonts w:ascii="Times New Roman" w:hAnsi="Times New Roman" w:cs="Times New Roman"/>
          <w:sz w:val="28"/>
          <w:szCs w:val="28"/>
          <w:lang w:val="uk-UA"/>
        </w:rPr>
        <w:t>що є доказом зв’язку між</w:t>
      </w:r>
      <w:r w:rsidR="00634D52">
        <w:rPr>
          <w:rFonts w:ascii="Times New Roman" w:hAnsi="Times New Roman" w:cs="Times New Roman"/>
          <w:sz w:val="28"/>
          <w:szCs w:val="28"/>
          <w:lang w:val="uk-UA"/>
        </w:rPr>
        <w:t xml:space="preserve"> </w:t>
      </w:r>
      <w:r w:rsidR="003F6244">
        <w:rPr>
          <w:rFonts w:ascii="Times New Roman" w:hAnsi="Times New Roman" w:cs="Times New Roman"/>
          <w:sz w:val="28"/>
          <w:szCs w:val="28"/>
          <w:lang w:val="uk-UA"/>
        </w:rPr>
        <w:t>виражені</w:t>
      </w:r>
      <w:r w:rsidR="00634D52">
        <w:rPr>
          <w:rFonts w:ascii="Times New Roman" w:hAnsi="Times New Roman" w:cs="Times New Roman"/>
          <w:sz w:val="28"/>
          <w:szCs w:val="28"/>
          <w:lang w:val="uk-UA"/>
        </w:rPr>
        <w:t>ст</w:t>
      </w:r>
      <w:r w:rsidR="00634D52">
        <w:rPr>
          <w:rFonts w:ascii="Times New Roman" w:hAnsi="Times New Roman" w:cs="Times New Roman"/>
          <w:sz w:val="28"/>
          <w:szCs w:val="28"/>
          <w:lang w:val="en-US"/>
        </w:rPr>
        <w:t>i</w:t>
      </w:r>
      <w:r w:rsidR="003F6244">
        <w:rPr>
          <w:rFonts w:ascii="Times New Roman" w:hAnsi="Times New Roman" w:cs="Times New Roman"/>
          <w:sz w:val="28"/>
          <w:szCs w:val="28"/>
          <w:lang w:val="uk-UA"/>
        </w:rPr>
        <w:t xml:space="preserve">ю проатерогенної спрямованості </w:t>
      </w:r>
      <w:r w:rsidR="00CF4EBC">
        <w:rPr>
          <w:rFonts w:ascii="Times New Roman" w:hAnsi="Times New Roman" w:cs="Times New Roman"/>
          <w:sz w:val="28"/>
          <w:szCs w:val="28"/>
          <w:lang w:val="uk-UA"/>
        </w:rPr>
        <w:t>та</w:t>
      </w:r>
      <w:r w:rsidR="00634D52">
        <w:rPr>
          <w:rFonts w:ascii="Times New Roman" w:hAnsi="Times New Roman" w:cs="Times New Roman"/>
          <w:sz w:val="28"/>
          <w:szCs w:val="28"/>
          <w:lang w:val="uk-UA"/>
        </w:rPr>
        <w:t xml:space="preserve"> р</w:t>
      </w:r>
      <w:r w:rsidR="00634D52">
        <w:rPr>
          <w:rFonts w:ascii="Times New Roman" w:hAnsi="Times New Roman" w:cs="Times New Roman"/>
          <w:sz w:val="28"/>
          <w:szCs w:val="28"/>
          <w:lang w:val="en-US"/>
        </w:rPr>
        <w:t>i</w:t>
      </w:r>
      <w:r w:rsidR="00634D52">
        <w:rPr>
          <w:rFonts w:ascii="Times New Roman" w:hAnsi="Times New Roman" w:cs="Times New Roman"/>
          <w:sz w:val="28"/>
          <w:szCs w:val="28"/>
          <w:lang w:val="uk-UA"/>
        </w:rPr>
        <w:t xml:space="preserve">внем </w:t>
      </w:r>
      <w:r w:rsidR="00E80B36">
        <w:rPr>
          <w:rFonts w:ascii="Times New Roman" w:hAnsi="Times New Roman" w:cs="Times New Roman"/>
          <w:sz w:val="28"/>
          <w:szCs w:val="28"/>
          <w:lang w:val="uk-UA"/>
        </w:rPr>
        <w:t>експресії вказаної молекули адгезії</w:t>
      </w:r>
      <w:r w:rsidR="001D329D">
        <w:rPr>
          <w:rFonts w:ascii="Times New Roman" w:hAnsi="Times New Roman" w:cs="Times New Roman"/>
          <w:sz w:val="28"/>
          <w:szCs w:val="28"/>
          <w:lang w:val="uk-UA"/>
        </w:rPr>
        <w:t>.</w:t>
      </w:r>
    </w:p>
    <w:p w:rsidR="00A7751B" w:rsidRPr="003F40D8" w:rsidRDefault="00207749" w:rsidP="00A7751B">
      <w:pPr>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В</w:t>
      </w:r>
      <w:r w:rsidR="00B26685">
        <w:rPr>
          <w:rFonts w:ascii="Times New Roman" w:hAnsi="Times New Roman" w:cs="Times New Roman"/>
          <w:sz w:val="28"/>
          <w:szCs w:val="28"/>
          <w:lang w:val="uk-UA"/>
        </w:rPr>
        <w:t>изначення сп</w:t>
      </w:r>
      <w:r w:rsidR="00B26685">
        <w:rPr>
          <w:rFonts w:ascii="Times New Roman" w:hAnsi="Times New Roman" w:cs="Times New Roman"/>
          <w:sz w:val="28"/>
          <w:szCs w:val="28"/>
          <w:lang w:val="en-US"/>
        </w:rPr>
        <w:t>i</w:t>
      </w:r>
      <w:r w:rsidR="00B26685">
        <w:rPr>
          <w:rFonts w:ascii="Times New Roman" w:hAnsi="Times New Roman" w:cs="Times New Roman"/>
          <w:sz w:val="28"/>
          <w:szCs w:val="28"/>
          <w:lang w:val="uk-UA"/>
        </w:rPr>
        <w:t>вв</w:t>
      </w:r>
      <w:r w:rsidR="00B26685">
        <w:rPr>
          <w:rFonts w:ascii="Times New Roman" w:hAnsi="Times New Roman" w:cs="Times New Roman"/>
          <w:sz w:val="28"/>
          <w:szCs w:val="28"/>
          <w:lang w:val="en-US"/>
        </w:rPr>
        <w:t>i</w:t>
      </w:r>
      <w:r w:rsidR="007D6861">
        <w:rPr>
          <w:rFonts w:ascii="Times New Roman" w:hAnsi="Times New Roman" w:cs="Times New Roman"/>
          <w:sz w:val="28"/>
          <w:szCs w:val="28"/>
          <w:lang w:val="uk-UA"/>
        </w:rPr>
        <w:t>дношення альбум</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ну до креатин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ну в одноразов</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й ранков</w:t>
      </w:r>
      <w:r w:rsidR="007D6861">
        <w:rPr>
          <w:rFonts w:ascii="Times New Roman" w:hAnsi="Times New Roman" w:cs="Times New Roman"/>
          <w:sz w:val="28"/>
          <w:szCs w:val="28"/>
          <w:lang w:val="en-US"/>
        </w:rPr>
        <w:t>i</w:t>
      </w:r>
      <w:r w:rsidR="003132A4" w:rsidRPr="003132A4">
        <w:rPr>
          <w:rFonts w:ascii="Times New Roman" w:hAnsi="Times New Roman" w:cs="Times New Roman"/>
          <w:sz w:val="28"/>
          <w:szCs w:val="28"/>
          <w:lang w:val="uk-UA"/>
        </w:rPr>
        <w:t>й порц</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ї сеч</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 є б</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льш точним методом, н</w:t>
      </w:r>
      <w:r w:rsidR="007D6861">
        <w:rPr>
          <w:rFonts w:ascii="Times New Roman" w:hAnsi="Times New Roman" w:cs="Times New Roman"/>
          <w:sz w:val="28"/>
          <w:szCs w:val="28"/>
          <w:lang w:val="en-US"/>
        </w:rPr>
        <w:t>i</w:t>
      </w:r>
      <w:r w:rsidR="0081095E">
        <w:rPr>
          <w:rFonts w:ascii="Times New Roman" w:hAnsi="Times New Roman" w:cs="Times New Roman"/>
          <w:sz w:val="28"/>
          <w:szCs w:val="28"/>
          <w:lang w:val="uk-UA"/>
        </w:rPr>
        <w:t>ж дослідж</w:t>
      </w:r>
      <w:r w:rsidR="007D6861">
        <w:rPr>
          <w:rFonts w:ascii="Times New Roman" w:hAnsi="Times New Roman" w:cs="Times New Roman"/>
          <w:sz w:val="28"/>
          <w:szCs w:val="28"/>
          <w:lang w:val="uk-UA"/>
        </w:rPr>
        <w:t>ення одн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єї лише альбум</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нур</w:t>
      </w:r>
      <w:r w:rsidR="007D6861">
        <w:rPr>
          <w:rFonts w:ascii="Times New Roman" w:hAnsi="Times New Roman" w:cs="Times New Roman"/>
          <w:sz w:val="28"/>
          <w:szCs w:val="28"/>
          <w:lang w:val="en-US"/>
        </w:rPr>
        <w:t>i</w:t>
      </w:r>
      <w:r w:rsidR="003132A4" w:rsidRPr="003132A4">
        <w:rPr>
          <w:rFonts w:ascii="Times New Roman" w:hAnsi="Times New Roman" w:cs="Times New Roman"/>
          <w:sz w:val="28"/>
          <w:szCs w:val="28"/>
          <w:lang w:val="uk-UA"/>
        </w:rPr>
        <w:t>ї.</w:t>
      </w:r>
      <w:r w:rsidR="003132A4" w:rsidRPr="003132A4">
        <w:rPr>
          <w:lang w:val="uk-UA"/>
        </w:rPr>
        <w:t xml:space="preserve"> </w:t>
      </w:r>
      <w:r w:rsidR="003F40D8">
        <w:rPr>
          <w:rFonts w:ascii="Times New Roman" w:hAnsi="Times New Roman" w:cs="Times New Roman"/>
          <w:sz w:val="28"/>
          <w:szCs w:val="28"/>
          <w:lang w:val="uk-UA"/>
        </w:rPr>
        <w:t xml:space="preserve">Із збільшенням </w:t>
      </w:r>
      <w:r w:rsidR="00E80B36">
        <w:rPr>
          <w:rFonts w:ascii="Times New Roman" w:hAnsi="Times New Roman" w:cs="Times New Roman"/>
          <w:sz w:val="28"/>
          <w:szCs w:val="28"/>
          <w:lang w:val="uk-UA"/>
        </w:rPr>
        <w:t xml:space="preserve">вмісту ЕТ-1 констатоване зростання альбумінурії </w:t>
      </w:r>
      <w:r w:rsidR="00A7751B" w:rsidRPr="003132A4">
        <w:rPr>
          <w:rFonts w:ascii="Times New Roman" w:hAnsi="Times New Roman" w:cs="Times New Roman"/>
          <w:sz w:val="28"/>
          <w:szCs w:val="28"/>
          <w:lang w:val="uk-UA"/>
        </w:rPr>
        <w:t>(r</w:t>
      </w:r>
      <w:r w:rsidR="006F5233" w:rsidRPr="003132A4">
        <w:rPr>
          <w:rFonts w:ascii="Times New Roman" w:hAnsi="Times New Roman" w:cs="Times New Roman"/>
          <w:sz w:val="28"/>
          <w:szCs w:val="28"/>
          <w:lang w:val="uk-UA"/>
        </w:rPr>
        <w:t xml:space="preserve"> </w:t>
      </w:r>
      <w:r w:rsidR="00A7751B" w:rsidRPr="003132A4">
        <w:rPr>
          <w:rFonts w:ascii="Times New Roman" w:hAnsi="Times New Roman" w:cs="Times New Roman"/>
          <w:sz w:val="28"/>
          <w:szCs w:val="28"/>
          <w:lang w:val="uk-UA"/>
        </w:rPr>
        <w:t>=</w:t>
      </w:r>
      <w:r w:rsidR="006F5233" w:rsidRPr="003132A4">
        <w:rPr>
          <w:rFonts w:ascii="Times New Roman" w:hAnsi="Times New Roman" w:cs="Times New Roman"/>
          <w:sz w:val="28"/>
          <w:szCs w:val="28"/>
          <w:lang w:val="uk-UA"/>
        </w:rPr>
        <w:t xml:space="preserve"> </w:t>
      </w:r>
      <w:r w:rsidR="00A7751B" w:rsidRPr="003132A4">
        <w:rPr>
          <w:rFonts w:ascii="Times New Roman" w:hAnsi="Times New Roman" w:cs="Times New Roman"/>
          <w:sz w:val="28"/>
          <w:szCs w:val="28"/>
          <w:lang w:val="uk-UA"/>
        </w:rPr>
        <w:t>0,57</w:t>
      </w:r>
      <w:r w:rsidR="00142C6E" w:rsidRPr="003132A4">
        <w:rPr>
          <w:rFonts w:ascii="Times New Roman" w:hAnsi="Times New Roman" w:cs="Times New Roman"/>
          <w:sz w:val="28"/>
          <w:szCs w:val="28"/>
          <w:lang w:val="uk-UA"/>
        </w:rPr>
        <w:t>;</w:t>
      </w:r>
      <w:r w:rsidR="00A7751B" w:rsidRPr="003132A4">
        <w:rPr>
          <w:rFonts w:ascii="Times New Roman" w:hAnsi="Times New Roman" w:cs="Times New Roman"/>
          <w:sz w:val="28"/>
          <w:szCs w:val="28"/>
          <w:lang w:val="uk-UA"/>
        </w:rPr>
        <w:t xml:space="preserve"> p</w:t>
      </w:r>
      <w:r w:rsidR="00F23E88" w:rsidRPr="003132A4">
        <w:rPr>
          <w:rFonts w:ascii="Times New Roman" w:hAnsi="Times New Roman" w:cs="Times New Roman"/>
          <w:sz w:val="28"/>
          <w:szCs w:val="28"/>
          <w:lang w:val="uk-UA"/>
        </w:rPr>
        <w:t xml:space="preserve"> &lt; 0,0001</w:t>
      </w:r>
      <w:r w:rsidR="003F40D8">
        <w:rPr>
          <w:rFonts w:ascii="Times New Roman" w:hAnsi="Times New Roman" w:cs="Times New Roman"/>
          <w:sz w:val="28"/>
          <w:szCs w:val="28"/>
          <w:lang w:val="uk-UA"/>
        </w:rPr>
        <w:t xml:space="preserve">), що </w:t>
      </w:r>
      <w:r w:rsidR="007D6861">
        <w:rPr>
          <w:rFonts w:ascii="Times New Roman" w:hAnsi="Times New Roman" w:cs="Times New Roman"/>
          <w:sz w:val="28"/>
          <w:szCs w:val="28"/>
          <w:lang w:val="uk-UA"/>
        </w:rPr>
        <w:t>св</w:t>
      </w:r>
      <w:r w:rsidR="007D6861">
        <w:rPr>
          <w:rFonts w:ascii="Times New Roman" w:hAnsi="Times New Roman" w:cs="Times New Roman"/>
          <w:sz w:val="28"/>
          <w:szCs w:val="28"/>
          <w:lang w:val="en-US"/>
        </w:rPr>
        <w:t>i</w:t>
      </w:r>
      <w:r w:rsidR="00A7751B" w:rsidRPr="003132A4">
        <w:rPr>
          <w:rFonts w:ascii="Times New Roman" w:hAnsi="Times New Roman" w:cs="Times New Roman"/>
          <w:sz w:val="28"/>
          <w:szCs w:val="28"/>
          <w:lang w:val="uk-UA"/>
        </w:rPr>
        <w:t>дчить п</w:t>
      </w:r>
      <w:r w:rsidR="00E80B36">
        <w:rPr>
          <w:rFonts w:ascii="Times New Roman" w:hAnsi="Times New Roman" w:cs="Times New Roman"/>
          <w:sz w:val="28"/>
          <w:szCs w:val="28"/>
          <w:lang w:val="uk-UA"/>
        </w:rPr>
        <w:t xml:space="preserve">ро вагому роль </w:t>
      </w:r>
      <w:r w:rsidR="006D3829">
        <w:rPr>
          <w:rFonts w:ascii="Times New Roman" w:hAnsi="Times New Roman" w:cs="Times New Roman"/>
          <w:sz w:val="28"/>
          <w:szCs w:val="28"/>
          <w:lang w:val="uk-UA"/>
        </w:rPr>
        <w:t xml:space="preserve">зазначеного вазоконстриктора </w:t>
      </w:r>
      <w:r w:rsidR="007D6284">
        <w:rPr>
          <w:rFonts w:ascii="Times New Roman" w:hAnsi="Times New Roman" w:cs="Times New Roman"/>
          <w:sz w:val="28"/>
          <w:szCs w:val="28"/>
          <w:lang w:val="uk-UA"/>
        </w:rPr>
        <w:t>у розвитку нефропатії</w:t>
      </w:r>
      <w:r w:rsidR="000A0D71" w:rsidRPr="003F40D8">
        <w:rPr>
          <w:rFonts w:ascii="Times New Roman" w:hAnsi="Times New Roman" w:cs="Times New Roman"/>
          <w:sz w:val="28"/>
          <w:szCs w:val="28"/>
          <w:lang w:val="uk-UA"/>
        </w:rPr>
        <w:t>.</w:t>
      </w:r>
    </w:p>
    <w:p w:rsidR="00062EE3" w:rsidRPr="00062EE3" w:rsidRDefault="008E70BA" w:rsidP="006E042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Чим </w:t>
      </w:r>
      <w:r w:rsidR="007D6861">
        <w:rPr>
          <w:rFonts w:ascii="Times New Roman" w:hAnsi="Times New Roman" w:cs="Times New Roman"/>
          <w:sz w:val="28"/>
          <w:szCs w:val="28"/>
          <w:lang w:val="uk-UA"/>
        </w:rPr>
        <w:t>б</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льшим був </w:t>
      </w:r>
      <w:r w:rsidR="00E80B36">
        <w:rPr>
          <w:rFonts w:ascii="Times New Roman" w:hAnsi="Times New Roman" w:cs="Times New Roman"/>
          <w:sz w:val="28"/>
          <w:szCs w:val="28"/>
          <w:lang w:val="uk-UA"/>
        </w:rPr>
        <w:t xml:space="preserve">вміст </w:t>
      </w:r>
      <w:r w:rsidR="007D6861">
        <w:rPr>
          <w:rFonts w:ascii="Times New Roman" w:hAnsi="Times New Roman" w:cs="Times New Roman"/>
          <w:sz w:val="28"/>
          <w:szCs w:val="28"/>
          <w:lang w:val="uk-UA"/>
        </w:rPr>
        <w:t xml:space="preserve">ЕТ-1 </w:t>
      </w:r>
      <w:r w:rsidR="00E80B36">
        <w:rPr>
          <w:rFonts w:ascii="Times New Roman" w:hAnsi="Times New Roman" w:cs="Times New Roman"/>
          <w:sz w:val="28"/>
          <w:szCs w:val="28"/>
          <w:lang w:val="uk-UA"/>
        </w:rPr>
        <w:t>у пацієнтів і</w:t>
      </w:r>
      <w:r w:rsidR="007D6861">
        <w:rPr>
          <w:rFonts w:ascii="Times New Roman" w:hAnsi="Times New Roman" w:cs="Times New Roman"/>
          <w:sz w:val="28"/>
          <w:szCs w:val="28"/>
          <w:lang w:val="uk-UA"/>
        </w:rPr>
        <w:t>з АГ та супутн</w:t>
      </w:r>
      <w:r w:rsidR="007D6861">
        <w:rPr>
          <w:rFonts w:ascii="Times New Roman" w:hAnsi="Times New Roman" w:cs="Times New Roman"/>
          <w:sz w:val="28"/>
          <w:szCs w:val="28"/>
          <w:lang w:val="en-US"/>
        </w:rPr>
        <w:t>i</w:t>
      </w:r>
      <w:r>
        <w:rPr>
          <w:rFonts w:ascii="Times New Roman" w:hAnsi="Times New Roman" w:cs="Times New Roman"/>
          <w:sz w:val="28"/>
          <w:szCs w:val="28"/>
          <w:lang w:val="uk-UA"/>
        </w:rPr>
        <w:t>м ЦД 2-го ти</w:t>
      </w:r>
      <w:r w:rsidR="007D6861">
        <w:rPr>
          <w:rFonts w:ascii="Times New Roman" w:hAnsi="Times New Roman" w:cs="Times New Roman"/>
          <w:sz w:val="28"/>
          <w:szCs w:val="28"/>
          <w:lang w:val="uk-UA"/>
        </w:rPr>
        <w:t xml:space="preserve">пу, тим вищим виявився </w:t>
      </w:r>
      <w:r w:rsidR="00062EE3" w:rsidRPr="00062EE3">
        <w:rPr>
          <w:rFonts w:ascii="Times New Roman" w:hAnsi="Times New Roman" w:cs="Times New Roman"/>
          <w:sz w:val="28"/>
          <w:szCs w:val="28"/>
          <w:lang w:val="en-US"/>
        </w:rPr>
        <w:t>HbA</w:t>
      </w:r>
      <w:r w:rsidR="00062EE3" w:rsidRPr="00062EE3">
        <w:rPr>
          <w:rFonts w:ascii="Times New Roman" w:hAnsi="Times New Roman" w:cs="Times New Roman"/>
          <w:sz w:val="28"/>
          <w:szCs w:val="28"/>
          <w:lang w:val="uk-UA"/>
        </w:rPr>
        <w:t>1с (</w:t>
      </w:r>
      <w:r w:rsidR="00062EE3" w:rsidRPr="00062EE3">
        <w:rPr>
          <w:rFonts w:ascii="Times New Roman" w:hAnsi="Times New Roman" w:cs="Times New Roman"/>
          <w:sz w:val="28"/>
          <w:szCs w:val="28"/>
          <w:lang w:val="en-US"/>
        </w:rPr>
        <w:t>r</w:t>
      </w:r>
      <w:r w:rsidR="00062EE3" w:rsidRPr="00062EE3">
        <w:rPr>
          <w:rFonts w:ascii="Times New Roman" w:hAnsi="Times New Roman" w:cs="Times New Roman"/>
          <w:sz w:val="28"/>
          <w:szCs w:val="28"/>
          <w:lang w:val="uk-UA"/>
        </w:rPr>
        <w:t xml:space="preserve"> = 0,4; </w:t>
      </w:r>
      <w:r w:rsidR="00062EE3" w:rsidRPr="00062EE3">
        <w:rPr>
          <w:rFonts w:ascii="Times New Roman" w:hAnsi="Times New Roman" w:cs="Times New Roman"/>
          <w:sz w:val="28"/>
          <w:szCs w:val="28"/>
          <w:lang w:val="en-US"/>
        </w:rPr>
        <w:t>p</w:t>
      </w:r>
      <w:r w:rsidR="00062EE3" w:rsidRPr="00062EE3">
        <w:rPr>
          <w:rFonts w:ascii="Times New Roman" w:hAnsi="Times New Roman" w:cs="Times New Roman"/>
          <w:sz w:val="28"/>
          <w:szCs w:val="28"/>
          <w:lang w:val="uk-UA"/>
        </w:rPr>
        <w:t xml:space="preserve"> &lt; 0,0001), що поясню</w:t>
      </w:r>
      <w:r w:rsidR="007D6861">
        <w:rPr>
          <w:rFonts w:ascii="Times New Roman" w:hAnsi="Times New Roman" w:cs="Times New Roman"/>
          <w:sz w:val="28"/>
          <w:szCs w:val="28"/>
          <w:lang w:val="uk-UA"/>
        </w:rPr>
        <w:t xml:space="preserve">є </w:t>
      </w:r>
      <w:r w:rsidR="00FF1F00">
        <w:rPr>
          <w:rFonts w:ascii="Times New Roman" w:hAnsi="Times New Roman" w:cs="Times New Roman"/>
          <w:sz w:val="28"/>
          <w:szCs w:val="28"/>
          <w:lang w:val="uk-UA"/>
        </w:rPr>
        <w:t>ва</w:t>
      </w:r>
      <w:r w:rsidR="007D6284">
        <w:rPr>
          <w:rFonts w:ascii="Times New Roman" w:hAnsi="Times New Roman" w:cs="Times New Roman"/>
          <w:sz w:val="28"/>
          <w:szCs w:val="28"/>
          <w:lang w:val="uk-UA"/>
        </w:rPr>
        <w:t>жливе</w:t>
      </w:r>
      <w:r w:rsidR="00FF1F00">
        <w:rPr>
          <w:rFonts w:ascii="Times New Roman" w:hAnsi="Times New Roman" w:cs="Times New Roman"/>
          <w:sz w:val="28"/>
          <w:szCs w:val="28"/>
          <w:lang w:val="uk-UA"/>
        </w:rPr>
        <w:t xml:space="preserve"> значення</w:t>
      </w:r>
      <w:r w:rsidR="0035682A">
        <w:rPr>
          <w:rFonts w:ascii="Times New Roman" w:hAnsi="Times New Roman" w:cs="Times New Roman"/>
          <w:sz w:val="28"/>
          <w:szCs w:val="28"/>
          <w:lang w:val="uk-UA"/>
        </w:rPr>
        <w:t xml:space="preserve"> функціонального стану ендотелію у </w:t>
      </w:r>
      <w:r w:rsidR="00FF1F00">
        <w:rPr>
          <w:rFonts w:ascii="Times New Roman" w:hAnsi="Times New Roman" w:cs="Times New Roman"/>
          <w:sz w:val="28"/>
          <w:szCs w:val="28"/>
          <w:lang w:val="uk-UA"/>
        </w:rPr>
        <w:t xml:space="preserve">розвитку </w:t>
      </w:r>
      <w:r w:rsidR="0035682A">
        <w:rPr>
          <w:rFonts w:ascii="Times New Roman" w:hAnsi="Times New Roman" w:cs="Times New Roman"/>
          <w:sz w:val="28"/>
          <w:szCs w:val="28"/>
          <w:lang w:val="uk-UA"/>
        </w:rPr>
        <w:t>де</w:t>
      </w:r>
      <w:r w:rsidR="007D6861">
        <w:rPr>
          <w:rFonts w:ascii="Times New Roman" w:hAnsi="Times New Roman" w:cs="Times New Roman"/>
          <w:sz w:val="28"/>
          <w:szCs w:val="28"/>
          <w:lang w:val="uk-UA"/>
        </w:rPr>
        <w:t>компенсац</w:t>
      </w:r>
      <w:r w:rsidR="007D6861">
        <w:rPr>
          <w:rFonts w:ascii="Times New Roman" w:hAnsi="Times New Roman" w:cs="Times New Roman"/>
          <w:sz w:val="28"/>
          <w:szCs w:val="28"/>
          <w:lang w:val="en-US"/>
        </w:rPr>
        <w:t>i</w:t>
      </w:r>
      <w:r w:rsidR="00F23C23">
        <w:rPr>
          <w:rFonts w:ascii="Times New Roman" w:hAnsi="Times New Roman" w:cs="Times New Roman"/>
          <w:sz w:val="28"/>
          <w:szCs w:val="28"/>
          <w:lang w:val="uk-UA"/>
        </w:rPr>
        <w:t xml:space="preserve">ї </w:t>
      </w:r>
      <w:r w:rsidR="008B70BA" w:rsidRPr="008B70BA">
        <w:rPr>
          <w:rFonts w:ascii="Times New Roman" w:hAnsi="Times New Roman" w:cs="Times New Roman"/>
          <w:sz w:val="28"/>
          <w:szCs w:val="28"/>
          <w:lang w:val="uk-UA"/>
        </w:rPr>
        <w:t xml:space="preserve">          </w:t>
      </w:r>
      <w:r w:rsidR="00F23C23">
        <w:rPr>
          <w:rFonts w:ascii="Times New Roman" w:hAnsi="Times New Roman" w:cs="Times New Roman"/>
          <w:sz w:val="28"/>
          <w:szCs w:val="28"/>
          <w:lang w:val="uk-UA"/>
        </w:rPr>
        <w:t xml:space="preserve">ЦД 2-го типу. </w:t>
      </w:r>
      <w:r w:rsidR="009A772B">
        <w:rPr>
          <w:rFonts w:ascii="Times New Roman" w:hAnsi="Times New Roman" w:cs="Times New Roman"/>
          <w:sz w:val="28"/>
          <w:szCs w:val="28"/>
          <w:lang w:val="uk-UA"/>
        </w:rPr>
        <w:t xml:space="preserve">Позитивна </w:t>
      </w:r>
      <w:r w:rsidR="007D6861">
        <w:rPr>
          <w:rFonts w:ascii="Times New Roman" w:hAnsi="Times New Roman" w:cs="Times New Roman"/>
          <w:sz w:val="28"/>
          <w:szCs w:val="28"/>
          <w:lang w:val="uk-UA"/>
        </w:rPr>
        <w:t>залежн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сть між </w:t>
      </w:r>
      <w:r w:rsidR="00E80B36">
        <w:rPr>
          <w:rFonts w:ascii="Times New Roman" w:hAnsi="Times New Roman" w:cs="Times New Roman"/>
          <w:sz w:val="28"/>
          <w:szCs w:val="28"/>
          <w:lang w:val="uk-UA"/>
        </w:rPr>
        <w:t xml:space="preserve">концентрацією </w:t>
      </w:r>
      <w:r w:rsidR="009A772B" w:rsidRPr="009A772B">
        <w:rPr>
          <w:rFonts w:ascii="Times New Roman" w:hAnsi="Times New Roman" w:cs="Times New Roman"/>
          <w:sz w:val="28"/>
          <w:szCs w:val="28"/>
          <w:lang w:val="uk-UA"/>
        </w:rPr>
        <w:t>sVCAM-1</w:t>
      </w:r>
      <w:r w:rsidR="00E80B36">
        <w:rPr>
          <w:rFonts w:ascii="Times New Roman" w:hAnsi="Times New Roman" w:cs="Times New Roman"/>
          <w:sz w:val="28"/>
          <w:szCs w:val="28"/>
          <w:lang w:val="uk-UA"/>
        </w:rPr>
        <w:t xml:space="preserve"> </w:t>
      </w:r>
      <w:r w:rsidR="007D6861">
        <w:rPr>
          <w:rFonts w:ascii="Times New Roman" w:hAnsi="Times New Roman" w:cs="Times New Roman"/>
          <w:sz w:val="28"/>
          <w:szCs w:val="28"/>
          <w:lang w:val="en-US"/>
        </w:rPr>
        <w:t>i</w:t>
      </w:r>
      <w:r w:rsidR="009A772B" w:rsidRPr="009A77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D6861">
        <w:rPr>
          <w:rFonts w:ascii="Times New Roman" w:hAnsi="Times New Roman" w:cs="Times New Roman"/>
          <w:sz w:val="28"/>
          <w:szCs w:val="28"/>
          <w:lang w:val="uk-UA"/>
        </w:rPr>
        <w:t xml:space="preserve"> альбум</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нур</w:t>
      </w:r>
      <w:r w:rsidR="007D6861">
        <w:rPr>
          <w:rFonts w:ascii="Times New Roman" w:hAnsi="Times New Roman" w:cs="Times New Roman"/>
          <w:sz w:val="28"/>
          <w:szCs w:val="28"/>
          <w:lang w:val="en-US"/>
        </w:rPr>
        <w:t>i</w:t>
      </w:r>
      <w:r w:rsidR="009A772B" w:rsidRPr="009A772B">
        <w:rPr>
          <w:rFonts w:ascii="Times New Roman" w:hAnsi="Times New Roman" w:cs="Times New Roman"/>
          <w:sz w:val="28"/>
          <w:szCs w:val="28"/>
          <w:lang w:val="uk-UA"/>
        </w:rPr>
        <w:t>єю (r = 0,36;</w:t>
      </w:r>
      <w:r w:rsidR="009A772B">
        <w:rPr>
          <w:rFonts w:ascii="Times New Roman" w:hAnsi="Times New Roman" w:cs="Times New Roman"/>
          <w:sz w:val="28"/>
          <w:szCs w:val="28"/>
          <w:lang w:val="uk-UA"/>
        </w:rPr>
        <w:t xml:space="preserve"> p =</w:t>
      </w:r>
      <w:r w:rsidR="007D6861">
        <w:rPr>
          <w:rFonts w:ascii="Times New Roman" w:hAnsi="Times New Roman" w:cs="Times New Roman"/>
          <w:sz w:val="28"/>
          <w:szCs w:val="28"/>
          <w:lang w:val="uk-UA"/>
        </w:rPr>
        <w:t xml:space="preserve"> 0,0003) п</w:t>
      </w:r>
      <w:r w:rsidR="007D6861">
        <w:rPr>
          <w:rFonts w:ascii="Times New Roman" w:hAnsi="Times New Roman" w:cs="Times New Roman"/>
          <w:sz w:val="28"/>
          <w:szCs w:val="28"/>
          <w:lang w:val="en-US"/>
        </w:rPr>
        <w:t>i</w:t>
      </w:r>
      <w:r>
        <w:rPr>
          <w:rFonts w:ascii="Times New Roman" w:hAnsi="Times New Roman" w:cs="Times New Roman"/>
          <w:sz w:val="28"/>
          <w:szCs w:val="28"/>
          <w:lang w:val="uk-UA"/>
        </w:rPr>
        <w:t>дтве</w:t>
      </w:r>
      <w:r w:rsidR="007D6861">
        <w:rPr>
          <w:rFonts w:ascii="Times New Roman" w:hAnsi="Times New Roman" w:cs="Times New Roman"/>
          <w:sz w:val="28"/>
          <w:szCs w:val="28"/>
          <w:lang w:val="uk-UA"/>
        </w:rPr>
        <w:t xml:space="preserve">рджує </w:t>
      </w:r>
      <w:r w:rsidR="007D6284">
        <w:rPr>
          <w:rFonts w:ascii="Times New Roman" w:hAnsi="Times New Roman" w:cs="Times New Roman"/>
          <w:sz w:val="28"/>
          <w:szCs w:val="28"/>
          <w:lang w:val="uk-UA"/>
        </w:rPr>
        <w:t xml:space="preserve">вплив </w:t>
      </w:r>
      <w:r w:rsidR="007D6861">
        <w:rPr>
          <w:rFonts w:ascii="Times New Roman" w:hAnsi="Times New Roman" w:cs="Times New Roman"/>
          <w:sz w:val="28"/>
          <w:szCs w:val="28"/>
          <w:lang w:val="en-US"/>
        </w:rPr>
        <w:t>i</w:t>
      </w:r>
      <w:r>
        <w:rPr>
          <w:rFonts w:ascii="Times New Roman" w:hAnsi="Times New Roman" w:cs="Times New Roman"/>
          <w:sz w:val="28"/>
          <w:szCs w:val="28"/>
          <w:lang w:val="uk-UA"/>
        </w:rPr>
        <w:t>муно</w:t>
      </w:r>
      <w:r w:rsidR="009A772B">
        <w:rPr>
          <w:rFonts w:ascii="Times New Roman" w:hAnsi="Times New Roman" w:cs="Times New Roman"/>
          <w:sz w:val="28"/>
          <w:szCs w:val="28"/>
          <w:lang w:val="uk-UA"/>
        </w:rPr>
        <w:t xml:space="preserve">запального </w:t>
      </w:r>
      <w:r w:rsidR="007D6861">
        <w:rPr>
          <w:rFonts w:ascii="Times New Roman" w:hAnsi="Times New Roman" w:cs="Times New Roman"/>
          <w:sz w:val="28"/>
          <w:szCs w:val="28"/>
          <w:lang w:val="uk-UA"/>
        </w:rPr>
        <w:t xml:space="preserve">компонента та </w:t>
      </w:r>
      <w:r w:rsidR="00FF1F00">
        <w:rPr>
          <w:rFonts w:ascii="Times New Roman" w:hAnsi="Times New Roman" w:cs="Times New Roman"/>
          <w:sz w:val="28"/>
          <w:szCs w:val="28"/>
          <w:lang w:val="uk-UA"/>
        </w:rPr>
        <w:t xml:space="preserve">ендотелію </w:t>
      </w:r>
      <w:r w:rsidR="007D6284">
        <w:rPr>
          <w:rFonts w:ascii="Times New Roman" w:hAnsi="Times New Roman" w:cs="Times New Roman"/>
          <w:sz w:val="28"/>
          <w:szCs w:val="28"/>
          <w:lang w:val="uk-UA"/>
        </w:rPr>
        <w:t>на погіршення функції нирок</w:t>
      </w:r>
      <w:r w:rsidR="00FD26CE">
        <w:rPr>
          <w:rFonts w:ascii="Times New Roman" w:hAnsi="Times New Roman" w:cs="Times New Roman"/>
          <w:sz w:val="28"/>
          <w:szCs w:val="28"/>
          <w:lang w:val="uk-UA"/>
        </w:rPr>
        <w:t xml:space="preserve"> у хворих на АГ та </w:t>
      </w:r>
      <w:r w:rsidR="008B70BA" w:rsidRPr="008B70BA">
        <w:rPr>
          <w:rFonts w:ascii="Times New Roman" w:hAnsi="Times New Roman" w:cs="Times New Roman"/>
          <w:sz w:val="28"/>
          <w:szCs w:val="28"/>
          <w:lang w:val="uk-UA"/>
        </w:rPr>
        <w:t xml:space="preserve">      </w:t>
      </w:r>
      <w:r w:rsidR="00FD26CE">
        <w:rPr>
          <w:rFonts w:ascii="Times New Roman" w:hAnsi="Times New Roman" w:cs="Times New Roman"/>
          <w:sz w:val="28"/>
          <w:szCs w:val="28"/>
          <w:lang w:val="uk-UA"/>
        </w:rPr>
        <w:t>ЦД 2-го типу</w:t>
      </w:r>
      <w:r w:rsidR="009A772B">
        <w:rPr>
          <w:rFonts w:ascii="Times New Roman" w:hAnsi="Times New Roman" w:cs="Times New Roman"/>
          <w:sz w:val="28"/>
          <w:szCs w:val="28"/>
          <w:lang w:val="uk-UA"/>
        </w:rPr>
        <w:t xml:space="preserve">. </w:t>
      </w:r>
    </w:p>
    <w:p w:rsidR="001E39FD" w:rsidRDefault="00CF4EBC" w:rsidP="00562E4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CF4EBC">
        <w:rPr>
          <w:rFonts w:ascii="Times New Roman" w:hAnsi="Times New Roman" w:cs="Times New Roman"/>
          <w:sz w:val="28"/>
          <w:szCs w:val="28"/>
          <w:lang w:val="uk-UA"/>
        </w:rPr>
        <w:t xml:space="preserve">аявнiсть гiперурикемiї у 26 % пацiєнтiв iз коморбiдною </w:t>
      </w:r>
      <w:r>
        <w:rPr>
          <w:rFonts w:ascii="Times New Roman" w:hAnsi="Times New Roman" w:cs="Times New Roman"/>
          <w:sz w:val="28"/>
          <w:szCs w:val="28"/>
          <w:lang w:val="uk-UA"/>
        </w:rPr>
        <w:t>патологією,</w:t>
      </w:r>
      <w:r w:rsidRPr="00CF4EB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6D6333">
        <w:rPr>
          <w:rFonts w:ascii="Times New Roman" w:hAnsi="Times New Roman" w:cs="Times New Roman"/>
          <w:sz w:val="28"/>
          <w:szCs w:val="28"/>
          <w:lang w:val="uk-UA"/>
        </w:rPr>
        <w:t>озитивний</w:t>
      </w:r>
      <w:r w:rsidR="00F609AD">
        <w:rPr>
          <w:rFonts w:ascii="Times New Roman" w:hAnsi="Times New Roman" w:cs="Times New Roman"/>
          <w:sz w:val="28"/>
          <w:szCs w:val="28"/>
          <w:lang w:val="uk-UA"/>
        </w:rPr>
        <w:t xml:space="preserve"> </w:t>
      </w:r>
      <w:r w:rsidR="006D6333">
        <w:rPr>
          <w:rFonts w:ascii="Times New Roman" w:hAnsi="Times New Roman" w:cs="Times New Roman"/>
          <w:sz w:val="28"/>
          <w:szCs w:val="28"/>
          <w:lang w:val="uk-UA"/>
        </w:rPr>
        <w:t>звʼязок</w:t>
      </w:r>
      <w:r w:rsidR="007D6861">
        <w:rPr>
          <w:rFonts w:ascii="Times New Roman" w:hAnsi="Times New Roman" w:cs="Times New Roman"/>
          <w:sz w:val="28"/>
          <w:szCs w:val="28"/>
          <w:lang w:val="uk-UA"/>
        </w:rPr>
        <w:t xml:space="preserve"> між </w:t>
      </w:r>
      <w:r w:rsidR="00FD26CE">
        <w:rPr>
          <w:rFonts w:ascii="Times New Roman" w:hAnsi="Times New Roman" w:cs="Times New Roman"/>
          <w:sz w:val="28"/>
          <w:szCs w:val="28"/>
          <w:lang w:val="uk-UA"/>
        </w:rPr>
        <w:t xml:space="preserve">вмістом </w:t>
      </w:r>
      <w:r w:rsidR="007D6861">
        <w:rPr>
          <w:rFonts w:ascii="Times New Roman" w:hAnsi="Times New Roman" w:cs="Times New Roman"/>
          <w:sz w:val="28"/>
          <w:szCs w:val="28"/>
          <w:lang w:val="uk-UA"/>
        </w:rPr>
        <w:t>сечової кислоти та сп</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вв</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дношенням альбум</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ну до креатин</w:t>
      </w:r>
      <w:r w:rsidR="007D6861">
        <w:rPr>
          <w:rFonts w:ascii="Times New Roman" w:hAnsi="Times New Roman" w:cs="Times New Roman"/>
          <w:sz w:val="28"/>
          <w:szCs w:val="28"/>
          <w:lang w:val="en-US"/>
        </w:rPr>
        <w:t>i</w:t>
      </w:r>
      <w:r w:rsidR="00062EE3" w:rsidRPr="00062EE3">
        <w:rPr>
          <w:rFonts w:ascii="Times New Roman" w:hAnsi="Times New Roman" w:cs="Times New Roman"/>
          <w:sz w:val="28"/>
          <w:szCs w:val="28"/>
          <w:lang w:val="uk-UA"/>
        </w:rPr>
        <w:t>ну (r = 0,25; p = 0,</w:t>
      </w:r>
      <w:r w:rsidR="00F609AD">
        <w:rPr>
          <w:rFonts w:ascii="Times New Roman" w:hAnsi="Times New Roman" w:cs="Times New Roman"/>
          <w:sz w:val="28"/>
          <w:szCs w:val="28"/>
          <w:lang w:val="uk-UA"/>
        </w:rPr>
        <w:t xml:space="preserve">0135) та </w:t>
      </w:r>
      <w:r w:rsidR="00F609AD" w:rsidRPr="00850960">
        <w:rPr>
          <w:rFonts w:ascii="Times New Roman" w:hAnsi="Times New Roman" w:cs="Times New Roman"/>
          <w:sz w:val="28"/>
          <w:szCs w:val="28"/>
          <w:lang w:val="uk-UA"/>
        </w:rPr>
        <w:t>негативний</w:t>
      </w:r>
      <w:r w:rsidR="00062EE3" w:rsidRPr="00062EE3">
        <w:rPr>
          <w:rFonts w:ascii="Times New Roman" w:hAnsi="Times New Roman" w:cs="Times New Roman"/>
          <w:sz w:val="28"/>
          <w:szCs w:val="28"/>
          <w:lang w:val="uk-UA"/>
        </w:rPr>
        <w:t xml:space="preserve"> </w:t>
      </w:r>
      <w:r w:rsidR="007F15C5">
        <w:rPr>
          <w:rFonts w:ascii="Times New Roman" w:hAnsi="Times New Roman" w:cs="Times New Roman"/>
          <w:sz w:val="28"/>
          <w:szCs w:val="28"/>
          <w:lang w:val="uk-UA"/>
        </w:rPr>
        <w:t>−</w:t>
      </w:r>
      <w:r w:rsidR="007D6861">
        <w:rPr>
          <w:rFonts w:ascii="Times New Roman" w:hAnsi="Times New Roman" w:cs="Times New Roman"/>
          <w:sz w:val="28"/>
          <w:szCs w:val="28"/>
          <w:lang w:val="uk-UA"/>
        </w:rPr>
        <w:t xml:space="preserve"> м</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ж </w:t>
      </w:r>
      <w:r w:rsidR="00FD26CE">
        <w:rPr>
          <w:rFonts w:ascii="Times New Roman" w:hAnsi="Times New Roman" w:cs="Times New Roman"/>
          <w:sz w:val="28"/>
          <w:szCs w:val="28"/>
          <w:lang w:val="uk-UA"/>
        </w:rPr>
        <w:t xml:space="preserve">вмістом </w:t>
      </w:r>
      <w:r w:rsidR="007D6861">
        <w:rPr>
          <w:rFonts w:ascii="Times New Roman" w:hAnsi="Times New Roman" w:cs="Times New Roman"/>
          <w:sz w:val="28"/>
          <w:szCs w:val="28"/>
          <w:lang w:val="uk-UA"/>
        </w:rPr>
        <w:lastRenderedPageBreak/>
        <w:t xml:space="preserve">сечової кислоти </w:t>
      </w:r>
      <w:r w:rsidR="007D6861">
        <w:rPr>
          <w:rFonts w:ascii="Times New Roman" w:hAnsi="Times New Roman" w:cs="Times New Roman"/>
          <w:sz w:val="28"/>
          <w:szCs w:val="28"/>
          <w:lang w:val="en-US"/>
        </w:rPr>
        <w:t>i</w:t>
      </w:r>
      <w:r w:rsidR="007611A9">
        <w:rPr>
          <w:rFonts w:ascii="Times New Roman" w:hAnsi="Times New Roman" w:cs="Times New Roman"/>
          <w:sz w:val="28"/>
          <w:szCs w:val="28"/>
          <w:lang w:val="uk-UA"/>
        </w:rPr>
        <w:t xml:space="preserve"> </w:t>
      </w:r>
      <w:r w:rsidR="0061462A">
        <w:rPr>
          <w:rFonts w:ascii="Times New Roman" w:hAnsi="Times New Roman" w:cs="Times New Roman"/>
          <w:sz w:val="28"/>
          <w:szCs w:val="28"/>
          <w:lang w:val="uk-UA"/>
        </w:rPr>
        <w:t>швидкістю клубочкової фільтрації (</w:t>
      </w:r>
      <w:r w:rsidR="007611A9">
        <w:rPr>
          <w:rFonts w:ascii="Times New Roman" w:hAnsi="Times New Roman" w:cs="Times New Roman"/>
          <w:sz w:val="28"/>
          <w:szCs w:val="28"/>
          <w:lang w:val="uk-UA"/>
        </w:rPr>
        <w:t>ШКФ</w:t>
      </w:r>
      <w:r w:rsidR="0061462A">
        <w:rPr>
          <w:rFonts w:ascii="Times New Roman" w:hAnsi="Times New Roman" w:cs="Times New Roman"/>
          <w:sz w:val="28"/>
          <w:szCs w:val="28"/>
          <w:lang w:val="uk-UA"/>
        </w:rPr>
        <w:t>)</w:t>
      </w:r>
      <w:r w:rsidR="007611A9">
        <w:rPr>
          <w:rFonts w:ascii="Times New Roman" w:hAnsi="Times New Roman" w:cs="Times New Roman"/>
          <w:sz w:val="28"/>
          <w:szCs w:val="28"/>
          <w:lang w:val="uk-UA"/>
        </w:rPr>
        <w:t xml:space="preserve"> (r = −</w:t>
      </w:r>
      <w:r w:rsidR="0061462A">
        <w:rPr>
          <w:rFonts w:ascii="Times New Roman" w:hAnsi="Times New Roman" w:cs="Times New Roman"/>
          <w:sz w:val="28"/>
          <w:szCs w:val="28"/>
          <w:lang w:val="uk-UA"/>
        </w:rPr>
        <w:t xml:space="preserve"> </w:t>
      </w:r>
      <w:r w:rsidR="00F609AD">
        <w:rPr>
          <w:rFonts w:ascii="Times New Roman" w:hAnsi="Times New Roman" w:cs="Times New Roman"/>
          <w:sz w:val="28"/>
          <w:szCs w:val="28"/>
          <w:lang w:val="uk-UA"/>
        </w:rPr>
        <w:t xml:space="preserve">0,2; </w:t>
      </w:r>
      <w:r w:rsidR="0061462A">
        <w:rPr>
          <w:rFonts w:ascii="Times New Roman" w:hAnsi="Times New Roman" w:cs="Times New Roman"/>
          <w:sz w:val="28"/>
          <w:szCs w:val="28"/>
          <w:lang w:val="uk-UA"/>
        </w:rPr>
        <w:t xml:space="preserve">            </w:t>
      </w:r>
      <w:r w:rsidR="00F609AD">
        <w:rPr>
          <w:rFonts w:ascii="Times New Roman" w:hAnsi="Times New Roman" w:cs="Times New Roman"/>
          <w:sz w:val="28"/>
          <w:szCs w:val="28"/>
          <w:lang w:val="uk-UA"/>
        </w:rPr>
        <w:t>р</w:t>
      </w:r>
      <w:r w:rsidR="007611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0,0495) </w:t>
      </w:r>
      <w:r w:rsidR="007D6861">
        <w:rPr>
          <w:rFonts w:ascii="Times New Roman" w:hAnsi="Times New Roman" w:cs="Times New Roman"/>
          <w:sz w:val="28"/>
          <w:szCs w:val="28"/>
          <w:lang w:val="uk-UA"/>
        </w:rPr>
        <w:t>св</w:t>
      </w:r>
      <w:r w:rsidR="007D6861">
        <w:rPr>
          <w:rFonts w:ascii="Times New Roman" w:hAnsi="Times New Roman" w:cs="Times New Roman"/>
          <w:sz w:val="28"/>
          <w:szCs w:val="28"/>
          <w:lang w:val="en-US"/>
        </w:rPr>
        <w:t>i</w:t>
      </w:r>
      <w:r w:rsidR="007F15C5">
        <w:rPr>
          <w:rFonts w:ascii="Times New Roman" w:hAnsi="Times New Roman" w:cs="Times New Roman"/>
          <w:sz w:val="28"/>
          <w:szCs w:val="28"/>
          <w:lang w:val="uk-UA"/>
        </w:rPr>
        <w:t xml:space="preserve">дчать про її роль </w:t>
      </w:r>
      <w:r w:rsidR="007D6284">
        <w:rPr>
          <w:rFonts w:ascii="Times New Roman" w:hAnsi="Times New Roman" w:cs="Times New Roman"/>
          <w:sz w:val="28"/>
          <w:szCs w:val="28"/>
          <w:lang w:val="uk-UA"/>
        </w:rPr>
        <w:t>у погіршенні функціонального стану нирок</w:t>
      </w:r>
      <w:r w:rsidR="00062EE3" w:rsidRPr="00062EE3">
        <w:rPr>
          <w:rFonts w:ascii="Times New Roman" w:hAnsi="Times New Roman" w:cs="Times New Roman"/>
          <w:sz w:val="28"/>
          <w:szCs w:val="28"/>
          <w:lang w:val="uk-UA"/>
        </w:rPr>
        <w:t>.</w:t>
      </w:r>
    </w:p>
    <w:p w:rsidR="009C3A98" w:rsidRPr="00A05EE0" w:rsidRDefault="00C66954" w:rsidP="001940F5">
      <w:pPr>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І</w:t>
      </w:r>
      <w:r w:rsidRPr="00C66954">
        <w:rPr>
          <w:rFonts w:ascii="Times New Roman" w:hAnsi="Times New Roman" w:cs="Times New Roman"/>
          <w:sz w:val="28"/>
          <w:szCs w:val="28"/>
          <w:lang w:val="uk-UA"/>
        </w:rPr>
        <w:t>ндекс маси м</w:t>
      </w:r>
      <w:r w:rsidRPr="00C66954">
        <w:rPr>
          <w:rFonts w:ascii="Times New Roman" w:hAnsi="Times New Roman" w:cs="Times New Roman"/>
          <w:sz w:val="28"/>
          <w:szCs w:val="28"/>
          <w:lang w:val="en-US"/>
        </w:rPr>
        <w:t>i</w:t>
      </w:r>
      <w:r w:rsidRPr="00C66954">
        <w:rPr>
          <w:rFonts w:ascii="Times New Roman" w:hAnsi="Times New Roman" w:cs="Times New Roman"/>
          <w:sz w:val="28"/>
          <w:szCs w:val="28"/>
          <w:lang w:val="uk-UA"/>
        </w:rPr>
        <w:t xml:space="preserve">окарда </w:t>
      </w:r>
      <w:r w:rsidR="007B52B0">
        <w:rPr>
          <w:rFonts w:ascii="Times New Roman" w:hAnsi="Times New Roman" w:cs="Times New Roman"/>
          <w:sz w:val="28"/>
          <w:szCs w:val="28"/>
          <w:lang w:val="uk-UA"/>
        </w:rPr>
        <w:t xml:space="preserve">ЛШ </w:t>
      </w:r>
      <w:r w:rsidR="007D6861">
        <w:rPr>
          <w:rFonts w:ascii="Times New Roman" w:hAnsi="Times New Roman" w:cs="Times New Roman"/>
          <w:sz w:val="28"/>
          <w:szCs w:val="28"/>
          <w:lang w:val="uk-UA"/>
        </w:rPr>
        <w:t>був достов</w:t>
      </w:r>
      <w:r w:rsidR="007D6861">
        <w:rPr>
          <w:rFonts w:ascii="Times New Roman" w:hAnsi="Times New Roman" w:cs="Times New Roman"/>
          <w:sz w:val="28"/>
          <w:szCs w:val="28"/>
          <w:lang w:val="en-US"/>
        </w:rPr>
        <w:t>i</w:t>
      </w:r>
      <w:r w:rsidR="009C3A98" w:rsidRPr="00AC03D4">
        <w:rPr>
          <w:rFonts w:ascii="Times New Roman" w:hAnsi="Times New Roman" w:cs="Times New Roman"/>
          <w:sz w:val="28"/>
          <w:szCs w:val="28"/>
          <w:lang w:val="uk-UA"/>
        </w:rPr>
        <w:t>р</w:t>
      </w:r>
      <w:r w:rsidR="007D6861">
        <w:rPr>
          <w:rFonts w:ascii="Times New Roman" w:hAnsi="Times New Roman" w:cs="Times New Roman"/>
          <w:sz w:val="28"/>
          <w:szCs w:val="28"/>
          <w:lang w:val="uk-UA"/>
        </w:rPr>
        <w:t>но вищим у пац</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єнт</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в І групи пор</w:t>
      </w:r>
      <w:r w:rsidR="007D6861">
        <w:rPr>
          <w:rFonts w:ascii="Times New Roman" w:hAnsi="Times New Roman" w:cs="Times New Roman"/>
          <w:sz w:val="28"/>
          <w:szCs w:val="28"/>
          <w:lang w:val="en-US"/>
        </w:rPr>
        <w:t>i</w:t>
      </w:r>
      <w:r w:rsidR="007F15C5">
        <w:rPr>
          <w:rFonts w:ascii="Times New Roman" w:hAnsi="Times New Roman" w:cs="Times New Roman"/>
          <w:sz w:val="28"/>
          <w:szCs w:val="28"/>
          <w:lang w:val="uk-UA"/>
        </w:rPr>
        <w:t xml:space="preserve">вняно </w:t>
      </w:r>
      <w:r w:rsidR="009C3A98" w:rsidRPr="00AC03D4">
        <w:rPr>
          <w:rFonts w:ascii="Times New Roman" w:hAnsi="Times New Roman" w:cs="Times New Roman"/>
          <w:sz w:val="28"/>
          <w:szCs w:val="28"/>
          <w:lang w:val="uk-UA"/>
        </w:rPr>
        <w:t xml:space="preserve">з </w:t>
      </w:r>
      <w:r w:rsidR="00FD26CE">
        <w:rPr>
          <w:rFonts w:ascii="Times New Roman" w:hAnsi="Times New Roman" w:cs="Times New Roman"/>
          <w:sz w:val="28"/>
          <w:szCs w:val="28"/>
          <w:lang w:val="uk-UA"/>
        </w:rPr>
        <w:t xml:space="preserve">хворими </w:t>
      </w:r>
      <w:r w:rsidR="009C3A98" w:rsidRPr="00AC03D4">
        <w:rPr>
          <w:rFonts w:ascii="Times New Roman" w:hAnsi="Times New Roman" w:cs="Times New Roman"/>
          <w:sz w:val="28"/>
          <w:szCs w:val="28"/>
          <w:lang w:val="uk-UA"/>
        </w:rPr>
        <w:t>ІІ групи (</w:t>
      </w:r>
      <w:r w:rsidR="009C3A98" w:rsidRPr="00C66954">
        <w:rPr>
          <w:rFonts w:ascii="Times New Roman" w:hAnsi="Times New Roman" w:cs="Times New Roman"/>
          <w:sz w:val="28"/>
          <w:szCs w:val="28"/>
          <w:lang w:val="en-US"/>
        </w:rPr>
        <w:t>p</w:t>
      </w:r>
      <w:r w:rsidR="00AC03D4" w:rsidRPr="00AC03D4">
        <w:rPr>
          <w:rFonts w:ascii="Times New Roman" w:hAnsi="Times New Roman" w:cs="Times New Roman"/>
          <w:sz w:val="28"/>
          <w:szCs w:val="28"/>
          <w:lang w:val="uk-UA"/>
        </w:rPr>
        <w:t xml:space="preserve"> = 0,0017</w:t>
      </w:r>
      <w:r w:rsidR="007D6861">
        <w:rPr>
          <w:rFonts w:ascii="Times New Roman" w:hAnsi="Times New Roman" w:cs="Times New Roman"/>
          <w:sz w:val="28"/>
          <w:szCs w:val="28"/>
          <w:lang w:val="uk-UA"/>
        </w:rPr>
        <w:t xml:space="preserve">), що </w:t>
      </w:r>
      <w:r w:rsidR="00FD26CE">
        <w:rPr>
          <w:rFonts w:ascii="Times New Roman" w:hAnsi="Times New Roman" w:cs="Times New Roman"/>
          <w:sz w:val="28"/>
          <w:szCs w:val="28"/>
          <w:lang w:val="uk-UA"/>
        </w:rPr>
        <w:t xml:space="preserve">доводить </w:t>
      </w:r>
      <w:r w:rsidR="007D6861">
        <w:rPr>
          <w:rFonts w:ascii="Times New Roman" w:hAnsi="Times New Roman" w:cs="Times New Roman"/>
          <w:sz w:val="28"/>
          <w:szCs w:val="28"/>
          <w:lang w:val="uk-UA"/>
        </w:rPr>
        <w:t>б</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льш виражену г</w:t>
      </w:r>
      <w:r w:rsidR="007D6861">
        <w:rPr>
          <w:rFonts w:ascii="Times New Roman" w:hAnsi="Times New Roman" w:cs="Times New Roman"/>
          <w:sz w:val="28"/>
          <w:szCs w:val="28"/>
          <w:lang w:val="en-US"/>
        </w:rPr>
        <w:t>i</w:t>
      </w:r>
      <w:r w:rsidR="009C3A98" w:rsidRPr="00AC03D4">
        <w:rPr>
          <w:rFonts w:ascii="Times New Roman" w:hAnsi="Times New Roman" w:cs="Times New Roman"/>
          <w:sz w:val="28"/>
          <w:szCs w:val="28"/>
          <w:lang w:val="uk-UA"/>
        </w:rPr>
        <w:t>пер</w:t>
      </w:r>
      <w:r w:rsidR="007D6861">
        <w:rPr>
          <w:rFonts w:ascii="Times New Roman" w:hAnsi="Times New Roman" w:cs="Times New Roman"/>
          <w:sz w:val="28"/>
          <w:szCs w:val="28"/>
          <w:lang w:val="uk-UA"/>
        </w:rPr>
        <w:t>троф</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ю м</w:t>
      </w:r>
      <w:r w:rsidR="007D6861">
        <w:rPr>
          <w:rFonts w:ascii="Times New Roman" w:hAnsi="Times New Roman" w:cs="Times New Roman"/>
          <w:sz w:val="28"/>
          <w:szCs w:val="28"/>
          <w:lang w:val="en-US"/>
        </w:rPr>
        <w:t>i</w:t>
      </w:r>
      <w:r w:rsidR="00FD26CE">
        <w:rPr>
          <w:rFonts w:ascii="Times New Roman" w:hAnsi="Times New Roman" w:cs="Times New Roman"/>
          <w:sz w:val="28"/>
          <w:szCs w:val="28"/>
          <w:lang w:val="uk-UA"/>
        </w:rPr>
        <w:t>окарда ЛШ</w:t>
      </w:r>
      <w:r w:rsidR="009C3A98" w:rsidRPr="00AC03D4">
        <w:rPr>
          <w:rFonts w:ascii="Times New Roman" w:hAnsi="Times New Roman" w:cs="Times New Roman"/>
          <w:sz w:val="28"/>
          <w:szCs w:val="28"/>
          <w:lang w:val="uk-UA"/>
        </w:rPr>
        <w:t>.</w:t>
      </w:r>
      <w:r w:rsidR="00FD26CE">
        <w:rPr>
          <w:rFonts w:ascii="Times New Roman" w:hAnsi="Times New Roman" w:cs="Times New Roman"/>
          <w:sz w:val="28"/>
          <w:szCs w:val="28"/>
          <w:lang w:val="uk-UA"/>
        </w:rPr>
        <w:t xml:space="preserve"> У пацієнтів</w:t>
      </w:r>
      <w:r w:rsidR="00F609AD">
        <w:rPr>
          <w:rFonts w:ascii="Times New Roman" w:hAnsi="Times New Roman" w:cs="Times New Roman"/>
          <w:sz w:val="28"/>
          <w:szCs w:val="28"/>
          <w:lang w:val="uk-UA"/>
        </w:rPr>
        <w:t xml:space="preserve"> </w:t>
      </w:r>
      <w:r w:rsidR="00FD26CE">
        <w:rPr>
          <w:rFonts w:ascii="Times New Roman" w:hAnsi="Times New Roman" w:cs="Times New Roman"/>
          <w:sz w:val="28"/>
          <w:szCs w:val="28"/>
          <w:lang w:val="uk-UA"/>
        </w:rPr>
        <w:t xml:space="preserve">І групи </w:t>
      </w:r>
      <w:r w:rsidR="007D6861">
        <w:rPr>
          <w:rFonts w:ascii="Times New Roman" w:hAnsi="Times New Roman" w:cs="Times New Roman"/>
          <w:sz w:val="28"/>
          <w:szCs w:val="28"/>
          <w:lang w:val="en-US"/>
        </w:rPr>
        <w:t>i</w:t>
      </w:r>
      <w:r w:rsidR="00B4110F" w:rsidRPr="00B4110F">
        <w:rPr>
          <w:rFonts w:ascii="Times New Roman" w:hAnsi="Times New Roman" w:cs="Times New Roman"/>
          <w:sz w:val="28"/>
          <w:szCs w:val="28"/>
          <w:lang w:val="uk-UA"/>
        </w:rPr>
        <w:t>з І</w:t>
      </w:r>
      <w:r w:rsidR="00070828">
        <w:rPr>
          <w:rFonts w:ascii="Times New Roman" w:hAnsi="Times New Roman" w:cs="Times New Roman"/>
          <w:sz w:val="28"/>
          <w:szCs w:val="28"/>
          <w:lang w:val="uk-UA"/>
        </w:rPr>
        <w:t>І</w:t>
      </w:r>
      <w:r w:rsidR="007D6861">
        <w:rPr>
          <w:rFonts w:ascii="Times New Roman" w:hAnsi="Times New Roman" w:cs="Times New Roman"/>
          <w:sz w:val="28"/>
          <w:szCs w:val="28"/>
          <w:lang w:val="uk-UA"/>
        </w:rPr>
        <w:t xml:space="preserve"> </w:t>
      </w:r>
      <w:r w:rsidR="0061462A">
        <w:rPr>
          <w:rFonts w:ascii="Times New Roman" w:hAnsi="Times New Roman" w:cs="Times New Roman"/>
          <w:sz w:val="28"/>
          <w:szCs w:val="28"/>
          <w:lang w:val="uk-UA"/>
        </w:rPr>
        <w:t>функціональним класом (</w:t>
      </w:r>
      <w:r w:rsidR="007D6861">
        <w:rPr>
          <w:rFonts w:ascii="Times New Roman" w:hAnsi="Times New Roman" w:cs="Times New Roman"/>
          <w:sz w:val="28"/>
          <w:szCs w:val="28"/>
          <w:lang w:val="uk-UA"/>
        </w:rPr>
        <w:t>ФК</w:t>
      </w:r>
      <w:r w:rsidR="0061462A">
        <w:rPr>
          <w:rFonts w:ascii="Times New Roman" w:hAnsi="Times New Roman" w:cs="Times New Roman"/>
          <w:sz w:val="28"/>
          <w:szCs w:val="28"/>
          <w:lang w:val="uk-UA"/>
        </w:rPr>
        <w:t>) хронічної серцевої недостатності</w:t>
      </w:r>
      <w:r w:rsidR="007D6861">
        <w:rPr>
          <w:rFonts w:ascii="Times New Roman" w:hAnsi="Times New Roman" w:cs="Times New Roman"/>
          <w:sz w:val="28"/>
          <w:szCs w:val="28"/>
          <w:lang w:val="uk-UA"/>
        </w:rPr>
        <w:t xml:space="preserve"> </w:t>
      </w:r>
      <w:r w:rsidR="0061462A">
        <w:rPr>
          <w:rFonts w:ascii="Times New Roman" w:hAnsi="Times New Roman" w:cs="Times New Roman"/>
          <w:sz w:val="28"/>
          <w:szCs w:val="28"/>
          <w:lang w:val="uk-UA"/>
        </w:rPr>
        <w:t>(</w:t>
      </w:r>
      <w:r w:rsidR="007D6861">
        <w:rPr>
          <w:rFonts w:ascii="Times New Roman" w:hAnsi="Times New Roman" w:cs="Times New Roman"/>
          <w:sz w:val="28"/>
          <w:szCs w:val="28"/>
          <w:lang w:val="uk-UA"/>
        </w:rPr>
        <w:t>ХСН</w:t>
      </w:r>
      <w:r w:rsidR="0061462A">
        <w:rPr>
          <w:rFonts w:ascii="Times New Roman" w:hAnsi="Times New Roman" w:cs="Times New Roman"/>
          <w:sz w:val="28"/>
          <w:szCs w:val="28"/>
          <w:lang w:val="uk-UA"/>
        </w:rPr>
        <w:t>)</w:t>
      </w:r>
      <w:r w:rsidR="007D6861">
        <w:rPr>
          <w:rFonts w:ascii="Times New Roman" w:hAnsi="Times New Roman" w:cs="Times New Roman"/>
          <w:sz w:val="28"/>
          <w:szCs w:val="28"/>
          <w:lang w:val="uk-UA"/>
        </w:rPr>
        <w:t xml:space="preserve"> </w:t>
      </w:r>
      <w:r w:rsidR="00FD26CE">
        <w:rPr>
          <w:rFonts w:ascii="Times New Roman" w:hAnsi="Times New Roman" w:cs="Times New Roman"/>
          <w:sz w:val="28"/>
          <w:szCs w:val="28"/>
          <w:lang w:val="uk-UA"/>
        </w:rPr>
        <w:t xml:space="preserve">вміст </w:t>
      </w:r>
      <w:r w:rsidR="007D6861">
        <w:rPr>
          <w:rFonts w:ascii="Times New Roman" w:hAnsi="Times New Roman" w:cs="Times New Roman"/>
          <w:sz w:val="28"/>
          <w:szCs w:val="28"/>
          <w:lang w:val="uk-UA"/>
        </w:rPr>
        <w:t>ЕТ-1 достов</w:t>
      </w:r>
      <w:r w:rsidR="007D6861">
        <w:rPr>
          <w:rFonts w:ascii="Times New Roman" w:hAnsi="Times New Roman" w:cs="Times New Roman"/>
          <w:sz w:val="28"/>
          <w:szCs w:val="28"/>
          <w:lang w:val="en-US"/>
        </w:rPr>
        <w:t>i</w:t>
      </w:r>
      <w:r w:rsidR="00B4110F" w:rsidRPr="00B4110F">
        <w:rPr>
          <w:rFonts w:ascii="Times New Roman" w:hAnsi="Times New Roman" w:cs="Times New Roman"/>
          <w:sz w:val="28"/>
          <w:szCs w:val="28"/>
          <w:lang w:val="uk-UA"/>
        </w:rPr>
        <w:t>рно менший, 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ж </w:t>
      </w:r>
      <w:r w:rsidR="007D6861">
        <w:rPr>
          <w:rFonts w:ascii="Times New Roman" w:hAnsi="Times New Roman" w:cs="Times New Roman"/>
          <w:sz w:val="28"/>
          <w:szCs w:val="28"/>
          <w:lang w:val="en-US"/>
        </w:rPr>
        <w:t>i</w:t>
      </w:r>
      <w:r w:rsidR="00070828">
        <w:rPr>
          <w:rFonts w:ascii="Times New Roman" w:hAnsi="Times New Roman" w:cs="Times New Roman"/>
          <w:sz w:val="28"/>
          <w:szCs w:val="28"/>
          <w:lang w:val="uk-UA"/>
        </w:rPr>
        <w:t>з</w:t>
      </w:r>
      <w:r w:rsidR="00A05EE0">
        <w:rPr>
          <w:rFonts w:ascii="Times New Roman" w:hAnsi="Times New Roman" w:cs="Times New Roman"/>
          <w:sz w:val="28"/>
          <w:szCs w:val="28"/>
          <w:lang w:val="uk-UA"/>
        </w:rPr>
        <w:t xml:space="preserve"> III ФК ХСН </w:t>
      </w:r>
      <w:r w:rsidR="00A05EE0" w:rsidRPr="000C3F6B">
        <w:rPr>
          <w:rFonts w:ascii="Times New Roman" w:hAnsi="Times New Roman" w:cs="Times New Roman"/>
          <w:sz w:val="28"/>
          <w:szCs w:val="28"/>
          <w:lang w:val="uk-UA"/>
        </w:rPr>
        <w:t>(р = 0,02),</w:t>
      </w:r>
      <w:r w:rsidR="00A05EE0" w:rsidRPr="00A05EE0">
        <w:rPr>
          <w:rFonts w:ascii="Times New Roman" w:hAnsi="Times New Roman" w:cs="Times New Roman"/>
          <w:sz w:val="28"/>
          <w:szCs w:val="28"/>
          <w:lang w:val="uk-UA"/>
        </w:rPr>
        <w:t xml:space="preserve"> </w:t>
      </w:r>
      <w:r w:rsidR="007D6861">
        <w:rPr>
          <w:rFonts w:ascii="Times New Roman" w:hAnsi="Times New Roman" w:cs="Times New Roman"/>
          <w:sz w:val="28"/>
          <w:szCs w:val="28"/>
          <w:lang w:val="uk-UA"/>
        </w:rPr>
        <w:t>що св</w:t>
      </w:r>
      <w:r w:rsidR="007D6861">
        <w:rPr>
          <w:rFonts w:ascii="Times New Roman" w:hAnsi="Times New Roman" w:cs="Times New Roman"/>
          <w:sz w:val="28"/>
          <w:szCs w:val="28"/>
          <w:lang w:val="en-US"/>
        </w:rPr>
        <w:t>i</w:t>
      </w:r>
      <w:r w:rsidR="00A05EE0">
        <w:rPr>
          <w:rFonts w:ascii="Times New Roman" w:hAnsi="Times New Roman" w:cs="Times New Roman"/>
          <w:sz w:val="28"/>
          <w:szCs w:val="28"/>
          <w:lang w:val="uk-UA"/>
        </w:rPr>
        <w:t xml:space="preserve">дчить про </w:t>
      </w:r>
      <w:r w:rsidR="00492114">
        <w:rPr>
          <w:rFonts w:ascii="Times New Roman" w:hAnsi="Times New Roman" w:cs="Times New Roman"/>
          <w:sz w:val="28"/>
          <w:szCs w:val="28"/>
          <w:lang w:val="uk-UA"/>
        </w:rPr>
        <w:t xml:space="preserve">порушення функціонального стану ендотелію </w:t>
      </w:r>
      <w:r w:rsidR="00A05EE0">
        <w:rPr>
          <w:rFonts w:ascii="Times New Roman" w:hAnsi="Times New Roman" w:cs="Times New Roman"/>
          <w:sz w:val="28"/>
          <w:szCs w:val="28"/>
          <w:lang w:val="uk-UA"/>
        </w:rPr>
        <w:t>у</w:t>
      </w:r>
      <w:r w:rsidR="007D6861">
        <w:rPr>
          <w:rFonts w:ascii="Times New Roman" w:hAnsi="Times New Roman" w:cs="Times New Roman"/>
          <w:sz w:val="28"/>
          <w:szCs w:val="28"/>
          <w:lang w:val="uk-UA"/>
        </w:rPr>
        <w:t xml:space="preserve"> м</w:t>
      </w:r>
      <w:r w:rsidR="007D6861">
        <w:rPr>
          <w:rFonts w:ascii="Times New Roman" w:hAnsi="Times New Roman" w:cs="Times New Roman"/>
          <w:sz w:val="28"/>
          <w:szCs w:val="28"/>
          <w:lang w:val="en-US"/>
        </w:rPr>
        <w:t>i</w:t>
      </w:r>
      <w:r w:rsidR="007611A9">
        <w:rPr>
          <w:rFonts w:ascii="Times New Roman" w:hAnsi="Times New Roman" w:cs="Times New Roman"/>
          <w:sz w:val="28"/>
          <w:szCs w:val="28"/>
          <w:lang w:val="uk-UA"/>
        </w:rPr>
        <w:t>ру прогресування ХСН у комор</w:t>
      </w:r>
      <w:r w:rsidR="007D6861">
        <w:rPr>
          <w:rFonts w:ascii="Times New Roman" w:hAnsi="Times New Roman" w:cs="Times New Roman"/>
          <w:sz w:val="28"/>
          <w:szCs w:val="28"/>
          <w:lang w:val="uk-UA"/>
        </w:rPr>
        <w:t>б</w:t>
      </w:r>
      <w:r w:rsidR="007D6861">
        <w:rPr>
          <w:rFonts w:ascii="Times New Roman" w:hAnsi="Times New Roman" w:cs="Times New Roman"/>
          <w:sz w:val="28"/>
          <w:szCs w:val="28"/>
          <w:lang w:val="en-US"/>
        </w:rPr>
        <w:t>i</w:t>
      </w:r>
      <w:r w:rsidR="00A05EE0">
        <w:rPr>
          <w:rFonts w:ascii="Times New Roman" w:hAnsi="Times New Roman" w:cs="Times New Roman"/>
          <w:sz w:val="28"/>
          <w:szCs w:val="28"/>
          <w:lang w:val="uk-UA"/>
        </w:rPr>
        <w:t>дних хворих.</w:t>
      </w:r>
    </w:p>
    <w:p w:rsidR="00AC03D4" w:rsidRDefault="007D6861" w:rsidP="001940F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610EBA">
        <w:rPr>
          <w:rFonts w:ascii="Times New Roman" w:hAnsi="Times New Roman" w:cs="Times New Roman"/>
          <w:sz w:val="28"/>
          <w:szCs w:val="28"/>
          <w:lang w:val="uk-UA"/>
        </w:rPr>
        <w:t>пацієнтів і</w:t>
      </w:r>
      <w:r w:rsidR="00061B3B" w:rsidRPr="00AC03D4">
        <w:rPr>
          <w:rFonts w:ascii="Times New Roman" w:hAnsi="Times New Roman" w:cs="Times New Roman"/>
          <w:sz w:val="28"/>
          <w:szCs w:val="28"/>
          <w:lang w:val="uk-UA"/>
        </w:rPr>
        <w:t xml:space="preserve">з </w:t>
      </w:r>
      <w:r w:rsidR="00F609AD">
        <w:rPr>
          <w:rFonts w:ascii="Times New Roman" w:hAnsi="Times New Roman" w:cs="Times New Roman"/>
          <w:sz w:val="28"/>
          <w:szCs w:val="28"/>
          <w:lang w:val="uk-UA"/>
        </w:rPr>
        <w:t>АГ та ЦД 2-го типу</w:t>
      </w:r>
      <w:r>
        <w:rPr>
          <w:rFonts w:ascii="Times New Roman" w:hAnsi="Times New Roman" w:cs="Times New Roman"/>
          <w:sz w:val="28"/>
          <w:szCs w:val="28"/>
          <w:lang w:val="uk-UA"/>
        </w:rPr>
        <w:t xml:space="preserve"> характерною є д</w:t>
      </w:r>
      <w:r>
        <w:rPr>
          <w:rFonts w:ascii="Times New Roman" w:hAnsi="Times New Roman" w:cs="Times New Roman"/>
          <w:sz w:val="28"/>
          <w:szCs w:val="28"/>
          <w:lang w:val="en-US"/>
        </w:rPr>
        <w:t>i</w:t>
      </w:r>
      <w:r>
        <w:rPr>
          <w:rFonts w:ascii="Times New Roman" w:hAnsi="Times New Roman" w:cs="Times New Roman"/>
          <w:sz w:val="28"/>
          <w:szCs w:val="28"/>
          <w:lang w:val="uk-UA"/>
        </w:rPr>
        <w:t>астол</w:t>
      </w:r>
      <w:r>
        <w:rPr>
          <w:rFonts w:ascii="Times New Roman" w:hAnsi="Times New Roman" w:cs="Times New Roman"/>
          <w:sz w:val="28"/>
          <w:szCs w:val="28"/>
          <w:lang w:val="en-US"/>
        </w:rPr>
        <w:t>i</w:t>
      </w:r>
      <w:r>
        <w:rPr>
          <w:rFonts w:ascii="Times New Roman" w:hAnsi="Times New Roman" w:cs="Times New Roman"/>
          <w:sz w:val="28"/>
          <w:szCs w:val="28"/>
          <w:lang w:val="uk-UA"/>
        </w:rPr>
        <w:t>чна дисфункц</w:t>
      </w:r>
      <w:r>
        <w:rPr>
          <w:rFonts w:ascii="Times New Roman" w:hAnsi="Times New Roman" w:cs="Times New Roman"/>
          <w:sz w:val="28"/>
          <w:szCs w:val="28"/>
          <w:lang w:val="en-US"/>
        </w:rPr>
        <w:t>i</w:t>
      </w:r>
      <w:r>
        <w:rPr>
          <w:rFonts w:ascii="Times New Roman" w:hAnsi="Times New Roman" w:cs="Times New Roman"/>
          <w:sz w:val="28"/>
          <w:szCs w:val="28"/>
          <w:lang w:val="uk-UA"/>
        </w:rPr>
        <w:t>я, яка розвивається внасл</w:t>
      </w:r>
      <w:r>
        <w:rPr>
          <w:rFonts w:ascii="Times New Roman" w:hAnsi="Times New Roman" w:cs="Times New Roman"/>
          <w:sz w:val="28"/>
          <w:szCs w:val="28"/>
          <w:lang w:val="en-US"/>
        </w:rPr>
        <w:t>i</w:t>
      </w:r>
      <w:r>
        <w:rPr>
          <w:rFonts w:ascii="Times New Roman" w:hAnsi="Times New Roman" w:cs="Times New Roman"/>
          <w:sz w:val="28"/>
          <w:szCs w:val="28"/>
          <w:lang w:val="uk-UA"/>
        </w:rPr>
        <w:t>док п</w:t>
      </w:r>
      <w:r>
        <w:rPr>
          <w:rFonts w:ascii="Times New Roman" w:hAnsi="Times New Roman" w:cs="Times New Roman"/>
          <w:sz w:val="28"/>
          <w:szCs w:val="28"/>
          <w:lang w:val="en-US"/>
        </w:rPr>
        <w:t>i</w:t>
      </w:r>
      <w:r w:rsidR="00061B3B" w:rsidRPr="00AC03D4">
        <w:rPr>
          <w:rFonts w:ascii="Times New Roman" w:hAnsi="Times New Roman" w:cs="Times New Roman"/>
          <w:sz w:val="28"/>
          <w:szCs w:val="28"/>
          <w:lang w:val="uk-UA"/>
        </w:rPr>
        <w:t>двищення ж</w:t>
      </w:r>
      <w:r>
        <w:rPr>
          <w:rFonts w:ascii="Times New Roman" w:hAnsi="Times New Roman" w:cs="Times New Roman"/>
          <w:sz w:val="28"/>
          <w:szCs w:val="28"/>
          <w:lang w:val="uk-UA"/>
        </w:rPr>
        <w:t>орсткост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м</w:t>
      </w:r>
      <w:r>
        <w:rPr>
          <w:rFonts w:ascii="Times New Roman" w:hAnsi="Times New Roman" w:cs="Times New Roman"/>
          <w:sz w:val="28"/>
          <w:szCs w:val="28"/>
          <w:lang w:val="en-US"/>
        </w:rPr>
        <w:t>i</w:t>
      </w:r>
      <w:r w:rsidR="007611A9">
        <w:rPr>
          <w:rFonts w:ascii="Times New Roman" w:hAnsi="Times New Roman" w:cs="Times New Roman"/>
          <w:sz w:val="28"/>
          <w:szCs w:val="28"/>
          <w:lang w:val="uk-UA"/>
        </w:rPr>
        <w:t>окарда</w:t>
      </w:r>
      <w:r>
        <w:rPr>
          <w:rFonts w:ascii="Times New Roman" w:hAnsi="Times New Roman" w:cs="Times New Roman"/>
          <w:sz w:val="28"/>
          <w:szCs w:val="28"/>
          <w:lang w:val="uk-UA"/>
        </w:rPr>
        <w:t xml:space="preserve">, </w:t>
      </w:r>
      <w:r w:rsidR="00D41FB3" w:rsidRPr="00D41FB3">
        <w:rPr>
          <w:rFonts w:ascii="Times New Roman" w:hAnsi="Times New Roman" w:cs="Times New Roman"/>
          <w:sz w:val="28"/>
          <w:szCs w:val="28"/>
          <w:lang w:val="uk-UA"/>
        </w:rPr>
        <w:t xml:space="preserve">на </w:t>
      </w:r>
      <w:r w:rsidR="00D41FB3">
        <w:rPr>
          <w:rFonts w:ascii="Times New Roman" w:hAnsi="Times New Roman" w:cs="Times New Roman"/>
          <w:sz w:val="28"/>
          <w:szCs w:val="28"/>
          <w:lang w:val="uk-UA"/>
        </w:rPr>
        <w:t xml:space="preserve">користь якої </w:t>
      </w:r>
      <w:r>
        <w:rPr>
          <w:rFonts w:ascii="Times New Roman" w:hAnsi="Times New Roman" w:cs="Times New Roman"/>
          <w:sz w:val="28"/>
          <w:szCs w:val="28"/>
          <w:lang w:val="uk-UA"/>
        </w:rPr>
        <w:t>св</w:t>
      </w:r>
      <w:r>
        <w:rPr>
          <w:rFonts w:ascii="Times New Roman" w:hAnsi="Times New Roman" w:cs="Times New Roman"/>
          <w:sz w:val="28"/>
          <w:szCs w:val="28"/>
          <w:lang w:val="en-US"/>
        </w:rPr>
        <w:t>i</w:t>
      </w:r>
      <w:r>
        <w:rPr>
          <w:rFonts w:ascii="Times New Roman" w:hAnsi="Times New Roman" w:cs="Times New Roman"/>
          <w:sz w:val="28"/>
          <w:szCs w:val="28"/>
          <w:lang w:val="uk-UA"/>
        </w:rPr>
        <w:t>дчать вищ</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значення </w:t>
      </w:r>
      <w:r>
        <w:rPr>
          <w:rFonts w:ascii="Times New Roman" w:hAnsi="Times New Roman" w:cs="Times New Roman"/>
          <w:sz w:val="28"/>
          <w:szCs w:val="28"/>
          <w:lang w:val="en-US"/>
        </w:rPr>
        <w:t>I</w:t>
      </w:r>
      <w:r w:rsidR="00061B3B" w:rsidRPr="00AC03D4">
        <w:rPr>
          <w:rFonts w:ascii="Times New Roman" w:hAnsi="Times New Roman" w:cs="Times New Roman"/>
          <w:sz w:val="28"/>
          <w:szCs w:val="28"/>
          <w:lang w:val="uk-UA"/>
        </w:rPr>
        <w:t>ММЛШ (</w:t>
      </w:r>
      <w:r w:rsidR="00061B3B" w:rsidRPr="00AC03D4">
        <w:rPr>
          <w:rFonts w:ascii="Times New Roman" w:hAnsi="Times New Roman" w:cs="Times New Roman"/>
          <w:sz w:val="28"/>
          <w:szCs w:val="28"/>
          <w:lang w:val="en-US"/>
        </w:rPr>
        <w:t>p</w:t>
      </w:r>
      <w:r w:rsidR="00061B3B" w:rsidRPr="00AC03D4">
        <w:rPr>
          <w:rFonts w:ascii="Times New Roman" w:hAnsi="Times New Roman" w:cs="Times New Roman"/>
          <w:sz w:val="28"/>
          <w:szCs w:val="28"/>
          <w:lang w:val="uk-UA"/>
        </w:rPr>
        <w:t xml:space="preserve"> &lt; 0</w:t>
      </w:r>
      <w:r>
        <w:rPr>
          <w:rFonts w:ascii="Times New Roman" w:hAnsi="Times New Roman" w:cs="Times New Roman"/>
          <w:sz w:val="28"/>
          <w:szCs w:val="28"/>
          <w:lang w:val="uk-UA"/>
        </w:rPr>
        <w:t>,05), менше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7611A9">
        <w:rPr>
          <w:rFonts w:ascii="Times New Roman" w:hAnsi="Times New Roman" w:cs="Times New Roman"/>
          <w:sz w:val="28"/>
          <w:szCs w:val="28"/>
          <w:lang w:val="uk-UA"/>
        </w:rPr>
        <w:t xml:space="preserve">дношення </w:t>
      </w:r>
      <w:r w:rsidR="0061462A">
        <w:rPr>
          <w:rFonts w:ascii="Times New Roman" w:hAnsi="Times New Roman" w:cs="Times New Roman"/>
          <w:sz w:val="28"/>
          <w:szCs w:val="28"/>
          <w:lang w:val="uk-UA"/>
        </w:rPr>
        <w:t>максимальної швидкості потоку раннього передсердного наповнення (</w:t>
      </w:r>
      <w:r w:rsidR="007611A9">
        <w:rPr>
          <w:rFonts w:ascii="Times New Roman" w:hAnsi="Times New Roman" w:cs="Times New Roman"/>
          <w:sz w:val="28"/>
          <w:szCs w:val="28"/>
          <w:lang w:val="uk-UA"/>
        </w:rPr>
        <w:t>Е</w:t>
      </w:r>
      <w:r w:rsidR="0061462A">
        <w:rPr>
          <w:rFonts w:ascii="Times New Roman" w:hAnsi="Times New Roman" w:cs="Times New Roman"/>
          <w:sz w:val="28"/>
          <w:szCs w:val="28"/>
          <w:lang w:val="uk-UA"/>
        </w:rPr>
        <w:t>) до максимальної швидкості потоку крові передсердної систоли (</w:t>
      </w:r>
      <w:r w:rsidR="007611A9">
        <w:rPr>
          <w:rFonts w:ascii="Times New Roman" w:hAnsi="Times New Roman" w:cs="Times New Roman"/>
          <w:sz w:val="28"/>
          <w:szCs w:val="28"/>
          <w:lang w:val="uk-UA"/>
        </w:rPr>
        <w:t>А</w:t>
      </w:r>
      <w:r w:rsidR="0061462A">
        <w:rPr>
          <w:rFonts w:ascii="Times New Roman" w:hAnsi="Times New Roman" w:cs="Times New Roman"/>
          <w:sz w:val="28"/>
          <w:szCs w:val="28"/>
          <w:lang w:val="uk-UA"/>
        </w:rPr>
        <w:t>)</w:t>
      </w:r>
      <w:r w:rsidR="00061B3B" w:rsidRPr="00AC03D4">
        <w:rPr>
          <w:rFonts w:ascii="Times New Roman" w:hAnsi="Times New Roman" w:cs="Times New Roman"/>
          <w:sz w:val="28"/>
          <w:szCs w:val="28"/>
          <w:lang w:val="uk-UA"/>
        </w:rPr>
        <w:t xml:space="preserve"> пор</w:t>
      </w:r>
      <w:r>
        <w:rPr>
          <w:rFonts w:ascii="Times New Roman" w:hAnsi="Times New Roman" w:cs="Times New Roman"/>
          <w:sz w:val="28"/>
          <w:szCs w:val="28"/>
          <w:lang w:val="en-US"/>
        </w:rPr>
        <w:t>i</w:t>
      </w:r>
      <w:r w:rsidR="007611A9">
        <w:rPr>
          <w:rFonts w:ascii="Times New Roman" w:hAnsi="Times New Roman" w:cs="Times New Roman"/>
          <w:sz w:val="28"/>
          <w:szCs w:val="28"/>
          <w:lang w:val="uk-UA"/>
        </w:rPr>
        <w:t xml:space="preserve">вняно </w:t>
      </w:r>
      <w:r w:rsidR="001669A7" w:rsidRPr="00AC03D4">
        <w:rPr>
          <w:rFonts w:ascii="Times New Roman" w:hAnsi="Times New Roman" w:cs="Times New Roman"/>
          <w:sz w:val="28"/>
          <w:szCs w:val="28"/>
          <w:lang w:val="uk-UA"/>
        </w:rPr>
        <w:t xml:space="preserve">з </w:t>
      </w:r>
      <w:r w:rsidR="00610EBA">
        <w:rPr>
          <w:rFonts w:ascii="Times New Roman" w:hAnsi="Times New Roman" w:cs="Times New Roman"/>
          <w:sz w:val="28"/>
          <w:szCs w:val="28"/>
          <w:lang w:val="uk-UA"/>
        </w:rPr>
        <w:t xml:space="preserve">хворими </w:t>
      </w:r>
      <w:r w:rsidR="001669A7" w:rsidRPr="00AC03D4">
        <w:rPr>
          <w:rFonts w:ascii="Times New Roman" w:hAnsi="Times New Roman" w:cs="Times New Roman"/>
          <w:sz w:val="28"/>
          <w:szCs w:val="28"/>
          <w:lang w:val="uk-UA"/>
        </w:rPr>
        <w:t>ІІ груп</w:t>
      </w:r>
      <w:r w:rsidR="00610EBA">
        <w:rPr>
          <w:rFonts w:ascii="Times New Roman" w:hAnsi="Times New Roman" w:cs="Times New Roman"/>
          <w:sz w:val="28"/>
          <w:szCs w:val="28"/>
          <w:lang w:val="uk-UA"/>
        </w:rPr>
        <w:t>и</w:t>
      </w:r>
      <w:r w:rsidR="001669A7" w:rsidRPr="00AC03D4">
        <w:rPr>
          <w:rFonts w:ascii="Times New Roman" w:hAnsi="Times New Roman" w:cs="Times New Roman"/>
          <w:sz w:val="28"/>
          <w:szCs w:val="28"/>
          <w:lang w:val="uk-UA"/>
        </w:rPr>
        <w:t xml:space="preserve"> (</w:t>
      </w:r>
      <w:r w:rsidR="001669A7" w:rsidRPr="00AC03D4">
        <w:rPr>
          <w:rFonts w:ascii="Times New Roman" w:hAnsi="Times New Roman" w:cs="Times New Roman"/>
          <w:sz w:val="28"/>
          <w:szCs w:val="28"/>
          <w:lang w:val="en-US"/>
        </w:rPr>
        <w:t>p</w:t>
      </w:r>
      <w:r w:rsidR="001669A7" w:rsidRPr="00AC03D4">
        <w:rPr>
          <w:rFonts w:ascii="Times New Roman" w:hAnsi="Times New Roman" w:cs="Times New Roman"/>
          <w:sz w:val="28"/>
          <w:szCs w:val="28"/>
          <w:lang w:val="uk-UA"/>
        </w:rPr>
        <w:t xml:space="preserve"> &lt; 0,05).</w:t>
      </w:r>
      <w:r w:rsidR="00681E21" w:rsidRPr="00AC03D4">
        <w:rPr>
          <w:rFonts w:ascii="Times New Roman" w:hAnsi="Times New Roman" w:cs="Times New Roman"/>
          <w:sz w:val="28"/>
          <w:szCs w:val="28"/>
          <w:lang w:val="uk-UA"/>
        </w:rPr>
        <w:t xml:space="preserve"> </w:t>
      </w:r>
    </w:p>
    <w:p w:rsidR="00AC03D4" w:rsidRDefault="00AC03D4" w:rsidP="001940F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D6861">
        <w:rPr>
          <w:rFonts w:ascii="Times New Roman" w:hAnsi="Times New Roman" w:cs="Times New Roman"/>
          <w:sz w:val="28"/>
          <w:szCs w:val="28"/>
          <w:lang w:val="uk-UA"/>
        </w:rPr>
        <w:t xml:space="preserve"> 9 </w:t>
      </w:r>
      <w:r w:rsidR="00CF4EBC">
        <w:rPr>
          <w:rFonts w:ascii="Times New Roman" w:hAnsi="Times New Roman" w:cs="Times New Roman"/>
          <w:sz w:val="28"/>
          <w:szCs w:val="28"/>
          <w:lang w:val="uk-UA"/>
        </w:rPr>
        <w:t xml:space="preserve">пацієнтів </w:t>
      </w:r>
      <w:r w:rsidRPr="00AC03D4">
        <w:rPr>
          <w:rFonts w:ascii="Times New Roman" w:hAnsi="Times New Roman" w:cs="Times New Roman"/>
          <w:sz w:val="28"/>
          <w:szCs w:val="28"/>
          <w:lang w:val="uk-UA"/>
        </w:rPr>
        <w:t>(9,38</w:t>
      </w:r>
      <w:r w:rsidR="007611A9">
        <w:rPr>
          <w:rFonts w:ascii="Times New Roman" w:hAnsi="Times New Roman" w:cs="Times New Roman"/>
          <w:sz w:val="28"/>
          <w:szCs w:val="28"/>
          <w:lang w:val="uk-UA"/>
        </w:rPr>
        <w:t xml:space="preserve"> </w:t>
      </w:r>
      <w:r w:rsidR="00CF4EBC">
        <w:rPr>
          <w:rFonts w:ascii="Times New Roman" w:hAnsi="Times New Roman" w:cs="Times New Roman"/>
          <w:sz w:val="28"/>
          <w:szCs w:val="28"/>
          <w:lang w:val="uk-UA"/>
        </w:rPr>
        <w:t>%) із АГ та ЦД 2-го типу</w:t>
      </w:r>
      <w:r w:rsidR="007D6861">
        <w:rPr>
          <w:rFonts w:ascii="Times New Roman" w:hAnsi="Times New Roman" w:cs="Times New Roman"/>
          <w:sz w:val="28"/>
          <w:szCs w:val="28"/>
          <w:lang w:val="uk-UA"/>
        </w:rPr>
        <w:t xml:space="preserve"> </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ММЛШ був п</w:t>
      </w:r>
      <w:r w:rsidR="007D6861">
        <w:rPr>
          <w:rFonts w:ascii="Times New Roman" w:hAnsi="Times New Roman" w:cs="Times New Roman"/>
          <w:sz w:val="28"/>
          <w:szCs w:val="28"/>
          <w:lang w:val="en-US"/>
        </w:rPr>
        <w:t>i</w:t>
      </w:r>
      <w:r w:rsidRPr="00AC03D4">
        <w:rPr>
          <w:rFonts w:ascii="Times New Roman" w:hAnsi="Times New Roman" w:cs="Times New Roman"/>
          <w:sz w:val="28"/>
          <w:szCs w:val="28"/>
          <w:lang w:val="uk-UA"/>
        </w:rPr>
        <w:t>двищений при його розрахунку як</w:t>
      </w:r>
      <w:r w:rsidR="007D6861">
        <w:rPr>
          <w:rFonts w:ascii="Times New Roman" w:hAnsi="Times New Roman" w:cs="Times New Roman"/>
          <w:sz w:val="28"/>
          <w:szCs w:val="28"/>
          <w:lang w:val="uk-UA"/>
        </w:rPr>
        <w:t xml:space="preserve"> сп</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вв</w:t>
      </w:r>
      <w:r w:rsidR="007D6861">
        <w:rPr>
          <w:rFonts w:ascii="Times New Roman" w:hAnsi="Times New Roman" w:cs="Times New Roman"/>
          <w:sz w:val="28"/>
          <w:szCs w:val="28"/>
          <w:lang w:val="en-US"/>
        </w:rPr>
        <w:t>i</w:t>
      </w:r>
      <w:r w:rsidR="007611A9">
        <w:rPr>
          <w:rFonts w:ascii="Times New Roman" w:hAnsi="Times New Roman" w:cs="Times New Roman"/>
          <w:sz w:val="28"/>
          <w:szCs w:val="28"/>
          <w:lang w:val="uk-UA"/>
        </w:rPr>
        <w:t xml:space="preserve">дношення </w:t>
      </w:r>
      <w:r w:rsidR="0061462A">
        <w:rPr>
          <w:rFonts w:ascii="Times New Roman" w:hAnsi="Times New Roman" w:cs="Times New Roman"/>
          <w:sz w:val="28"/>
          <w:szCs w:val="28"/>
          <w:lang w:val="uk-UA"/>
        </w:rPr>
        <w:t>маси міокарда лівого шлу</w:t>
      </w:r>
      <w:r w:rsidR="0061462A" w:rsidRPr="0061462A">
        <w:rPr>
          <w:rFonts w:ascii="Times New Roman" w:hAnsi="Times New Roman" w:cs="Times New Roman"/>
          <w:sz w:val="28"/>
          <w:szCs w:val="28"/>
          <w:lang w:val="uk-UA"/>
        </w:rPr>
        <w:t>ночка</w:t>
      </w:r>
      <w:r w:rsidR="0061462A">
        <w:rPr>
          <w:rFonts w:ascii="Times New Roman" w:hAnsi="Times New Roman" w:cs="Times New Roman"/>
          <w:sz w:val="28"/>
          <w:szCs w:val="28"/>
          <w:lang w:val="uk-UA"/>
        </w:rPr>
        <w:t xml:space="preserve"> (</w:t>
      </w:r>
      <w:r w:rsidR="007611A9">
        <w:rPr>
          <w:rFonts w:ascii="Times New Roman" w:hAnsi="Times New Roman" w:cs="Times New Roman"/>
          <w:sz w:val="28"/>
          <w:szCs w:val="28"/>
          <w:lang w:val="uk-UA"/>
        </w:rPr>
        <w:t>ММЛШ</w:t>
      </w:r>
      <w:r w:rsidR="0061462A">
        <w:rPr>
          <w:rFonts w:ascii="Times New Roman" w:hAnsi="Times New Roman" w:cs="Times New Roman"/>
          <w:sz w:val="28"/>
          <w:szCs w:val="28"/>
          <w:lang w:val="uk-UA"/>
        </w:rPr>
        <w:t>)</w:t>
      </w:r>
      <w:r w:rsidR="007611A9">
        <w:rPr>
          <w:rFonts w:ascii="Times New Roman" w:hAnsi="Times New Roman" w:cs="Times New Roman"/>
          <w:sz w:val="28"/>
          <w:szCs w:val="28"/>
          <w:lang w:val="uk-UA"/>
        </w:rPr>
        <w:t xml:space="preserve"> до зросту в</w:t>
      </w:r>
      <w:r w:rsidR="007D6861">
        <w:rPr>
          <w:rFonts w:ascii="Times New Roman" w:hAnsi="Times New Roman" w:cs="Times New Roman"/>
          <w:sz w:val="28"/>
          <w:szCs w:val="28"/>
          <w:lang w:val="uk-UA"/>
        </w:rPr>
        <w:t xml:space="preserve"> степен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 2,7, проте мав нормальн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 значення при обчисленн</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 як сп</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вв</w:t>
      </w:r>
      <w:r w:rsidR="007D6861">
        <w:rPr>
          <w:rFonts w:ascii="Times New Roman" w:hAnsi="Times New Roman" w:cs="Times New Roman"/>
          <w:sz w:val="28"/>
          <w:szCs w:val="28"/>
          <w:lang w:val="en-US"/>
        </w:rPr>
        <w:t>i</w:t>
      </w:r>
      <w:r w:rsidRPr="00AC03D4">
        <w:rPr>
          <w:rFonts w:ascii="Times New Roman" w:hAnsi="Times New Roman" w:cs="Times New Roman"/>
          <w:sz w:val="28"/>
          <w:szCs w:val="28"/>
          <w:lang w:val="uk-UA"/>
        </w:rPr>
        <w:t xml:space="preserve">дношення ММЛШ до </w:t>
      </w:r>
      <w:r w:rsidR="0061462A">
        <w:rPr>
          <w:rFonts w:ascii="Times New Roman" w:hAnsi="Times New Roman" w:cs="Times New Roman"/>
          <w:sz w:val="28"/>
          <w:szCs w:val="28"/>
          <w:lang w:val="uk-UA"/>
        </w:rPr>
        <w:t>площі поверхні тіла (</w:t>
      </w:r>
      <w:r w:rsidRPr="00AC03D4">
        <w:rPr>
          <w:rFonts w:ascii="Times New Roman" w:hAnsi="Times New Roman" w:cs="Times New Roman"/>
          <w:sz w:val="28"/>
          <w:szCs w:val="28"/>
          <w:lang w:val="uk-UA"/>
        </w:rPr>
        <w:t>ППТ</w:t>
      </w:r>
      <w:r w:rsidR="0061462A">
        <w:rPr>
          <w:rFonts w:ascii="Times New Roman" w:hAnsi="Times New Roman" w:cs="Times New Roman"/>
          <w:sz w:val="28"/>
          <w:szCs w:val="28"/>
          <w:lang w:val="uk-UA"/>
        </w:rPr>
        <w:t>).</w:t>
      </w:r>
      <w:r w:rsidRPr="00AC03D4">
        <w:rPr>
          <w:rFonts w:ascii="Times New Roman" w:hAnsi="Times New Roman" w:cs="Times New Roman"/>
          <w:sz w:val="28"/>
          <w:szCs w:val="28"/>
          <w:lang w:val="uk-UA"/>
        </w:rPr>
        <w:t xml:space="preserve"> С</w:t>
      </w:r>
      <w:r w:rsidR="007D6861">
        <w:rPr>
          <w:rFonts w:ascii="Times New Roman" w:hAnsi="Times New Roman" w:cs="Times New Roman"/>
          <w:sz w:val="28"/>
          <w:szCs w:val="28"/>
          <w:lang w:val="uk-UA"/>
        </w:rPr>
        <w:t>еред цих 9 пац</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єнт</w:t>
      </w:r>
      <w:r w:rsidR="007D6861">
        <w:rPr>
          <w:rFonts w:ascii="Times New Roman" w:hAnsi="Times New Roman" w:cs="Times New Roman"/>
          <w:sz w:val="28"/>
          <w:szCs w:val="28"/>
          <w:lang w:val="en-US"/>
        </w:rPr>
        <w:t>i</w:t>
      </w:r>
      <w:r w:rsidR="00610EBA">
        <w:rPr>
          <w:rFonts w:ascii="Times New Roman" w:hAnsi="Times New Roman" w:cs="Times New Roman"/>
          <w:sz w:val="28"/>
          <w:szCs w:val="28"/>
          <w:lang w:val="uk-UA"/>
        </w:rPr>
        <w:t>в один хворий мав</w:t>
      </w:r>
      <w:r w:rsidRPr="00AC03D4">
        <w:rPr>
          <w:rFonts w:ascii="Times New Roman" w:hAnsi="Times New Roman" w:cs="Times New Roman"/>
          <w:sz w:val="28"/>
          <w:szCs w:val="28"/>
          <w:lang w:val="uk-UA"/>
        </w:rPr>
        <w:t xml:space="preserve"> І</w:t>
      </w:r>
      <w:r w:rsidR="007D6861">
        <w:rPr>
          <w:rFonts w:ascii="Times New Roman" w:hAnsi="Times New Roman" w:cs="Times New Roman"/>
          <w:sz w:val="28"/>
          <w:szCs w:val="28"/>
          <w:lang w:val="uk-UA"/>
        </w:rPr>
        <w:t>І ступ</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нь ожир</w:t>
      </w:r>
      <w:r w:rsidR="007D6861">
        <w:rPr>
          <w:rFonts w:ascii="Times New Roman" w:hAnsi="Times New Roman" w:cs="Times New Roman"/>
          <w:sz w:val="28"/>
          <w:szCs w:val="28"/>
          <w:lang w:val="en-US"/>
        </w:rPr>
        <w:t>i</w:t>
      </w:r>
      <w:r w:rsidR="00610EBA">
        <w:rPr>
          <w:rFonts w:ascii="Times New Roman" w:hAnsi="Times New Roman" w:cs="Times New Roman"/>
          <w:sz w:val="28"/>
          <w:szCs w:val="28"/>
          <w:lang w:val="uk-UA"/>
        </w:rPr>
        <w:t>ння, троє</w:t>
      </w:r>
      <w:r w:rsidR="007611A9">
        <w:rPr>
          <w:rFonts w:ascii="Times New Roman" w:hAnsi="Times New Roman" w:cs="Times New Roman"/>
          <w:sz w:val="28"/>
          <w:szCs w:val="28"/>
          <w:lang w:val="uk-UA"/>
        </w:rPr>
        <w:t xml:space="preserve"> −</w:t>
      </w:r>
      <w:r w:rsidR="007D6861">
        <w:rPr>
          <w:rFonts w:ascii="Times New Roman" w:hAnsi="Times New Roman" w:cs="Times New Roman"/>
          <w:sz w:val="28"/>
          <w:szCs w:val="28"/>
          <w:lang w:val="uk-UA"/>
        </w:rPr>
        <w:t xml:space="preserve"> І ступ</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нь ожир</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ння, пʼять – надм</w:t>
      </w:r>
      <w:r w:rsidR="007D6861">
        <w:rPr>
          <w:rFonts w:ascii="Times New Roman" w:hAnsi="Times New Roman" w:cs="Times New Roman"/>
          <w:sz w:val="28"/>
          <w:szCs w:val="28"/>
          <w:lang w:val="en-US"/>
        </w:rPr>
        <w:t>i</w:t>
      </w:r>
      <w:r w:rsidRPr="00AC03D4">
        <w:rPr>
          <w:rFonts w:ascii="Times New Roman" w:hAnsi="Times New Roman" w:cs="Times New Roman"/>
          <w:sz w:val="28"/>
          <w:szCs w:val="28"/>
          <w:lang w:val="uk-UA"/>
        </w:rPr>
        <w:t>рну вагу.</w:t>
      </w:r>
    </w:p>
    <w:p w:rsidR="00061B3B" w:rsidRPr="00B4110F" w:rsidRDefault="00610EBA" w:rsidP="001940F5">
      <w:pPr>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З</w:t>
      </w:r>
      <w:r w:rsidR="007D6861">
        <w:rPr>
          <w:rFonts w:ascii="Times New Roman" w:hAnsi="Times New Roman" w:cs="Times New Roman"/>
          <w:sz w:val="28"/>
          <w:szCs w:val="28"/>
          <w:lang w:val="uk-UA"/>
        </w:rPr>
        <w:t xml:space="preserve">ростання </w:t>
      </w:r>
      <w:r>
        <w:rPr>
          <w:rFonts w:ascii="Times New Roman" w:hAnsi="Times New Roman" w:cs="Times New Roman"/>
          <w:sz w:val="28"/>
          <w:szCs w:val="28"/>
          <w:lang w:val="uk-UA"/>
        </w:rPr>
        <w:t xml:space="preserve">вмісту </w:t>
      </w:r>
      <w:r w:rsidR="0061462A">
        <w:rPr>
          <w:rFonts w:ascii="Times New Roman" w:hAnsi="Times New Roman" w:cs="Times New Roman"/>
          <w:sz w:val="28"/>
          <w:szCs w:val="28"/>
          <w:lang w:val="uk-UA"/>
        </w:rPr>
        <w:t xml:space="preserve">фактора некрозу </w:t>
      </w:r>
      <w:r w:rsidR="00E266B4">
        <w:rPr>
          <w:rFonts w:ascii="Times New Roman" w:hAnsi="Times New Roman" w:cs="Times New Roman"/>
          <w:sz w:val="28"/>
          <w:szCs w:val="28"/>
          <w:lang w:val="uk-UA"/>
        </w:rPr>
        <w:t>пухлин-</w:t>
      </w:r>
      <w:r w:rsidR="00E266B4" w:rsidRPr="00E266B4">
        <w:rPr>
          <w:rFonts w:ascii="Times New Roman" w:hAnsi="Times New Roman" w:cs="Times New Roman"/>
          <w:sz w:val="28"/>
          <w:szCs w:val="28"/>
          <w:lang w:val="uk-UA"/>
        </w:rPr>
        <w:t>α</w:t>
      </w:r>
      <w:r w:rsidR="0061462A">
        <w:rPr>
          <w:rFonts w:ascii="Times New Roman" w:hAnsi="Times New Roman" w:cs="Times New Roman"/>
          <w:sz w:val="28"/>
          <w:szCs w:val="28"/>
          <w:lang w:val="uk-UA"/>
        </w:rPr>
        <w:t xml:space="preserve"> (</w:t>
      </w:r>
      <w:r w:rsidR="007D6861">
        <w:rPr>
          <w:rFonts w:ascii="Times New Roman" w:hAnsi="Times New Roman" w:cs="Times New Roman"/>
          <w:sz w:val="28"/>
          <w:szCs w:val="28"/>
          <w:lang w:val="uk-UA"/>
        </w:rPr>
        <w:t>ФНП-α</w:t>
      </w:r>
      <w:r w:rsidR="0061462A">
        <w:rPr>
          <w:rFonts w:ascii="Times New Roman" w:hAnsi="Times New Roman" w:cs="Times New Roman"/>
          <w:sz w:val="28"/>
          <w:szCs w:val="28"/>
          <w:lang w:val="uk-UA"/>
        </w:rPr>
        <w:t>)</w:t>
      </w:r>
      <w:r w:rsidR="007D6861">
        <w:rPr>
          <w:rFonts w:ascii="Times New Roman" w:hAnsi="Times New Roman" w:cs="Times New Roman"/>
          <w:sz w:val="28"/>
          <w:szCs w:val="28"/>
          <w:lang w:val="uk-UA"/>
        </w:rPr>
        <w:t xml:space="preserve"> пропорц</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йно тяжкост</w:t>
      </w:r>
      <w:r w:rsidR="007D6861">
        <w:rPr>
          <w:rFonts w:ascii="Times New Roman" w:hAnsi="Times New Roman" w:cs="Times New Roman"/>
          <w:sz w:val="28"/>
          <w:szCs w:val="28"/>
          <w:lang w:val="en-US"/>
        </w:rPr>
        <w:t>i</w:t>
      </w:r>
      <w:r w:rsidR="008C126F">
        <w:rPr>
          <w:rFonts w:ascii="Times New Roman" w:hAnsi="Times New Roman" w:cs="Times New Roman"/>
          <w:sz w:val="28"/>
          <w:szCs w:val="28"/>
          <w:lang w:val="uk-UA"/>
        </w:rPr>
        <w:t xml:space="preserve"> ХСН</w:t>
      </w:r>
      <w:r>
        <w:rPr>
          <w:rFonts w:ascii="Times New Roman" w:hAnsi="Times New Roman" w:cs="Times New Roman"/>
          <w:sz w:val="28"/>
          <w:szCs w:val="28"/>
          <w:lang w:val="uk-UA"/>
        </w:rPr>
        <w:t xml:space="preserve"> є с</w:t>
      </w:r>
      <w:r w:rsidRPr="00610EBA">
        <w:rPr>
          <w:rFonts w:ascii="Times New Roman" w:hAnsi="Times New Roman" w:cs="Times New Roman"/>
          <w:sz w:val="28"/>
          <w:szCs w:val="28"/>
          <w:lang w:val="uk-UA"/>
        </w:rPr>
        <w:t>вiдченням ролi iмунного за</w:t>
      </w:r>
      <w:r w:rsidR="00417D08">
        <w:rPr>
          <w:rFonts w:ascii="Times New Roman" w:hAnsi="Times New Roman" w:cs="Times New Roman"/>
          <w:sz w:val="28"/>
          <w:szCs w:val="28"/>
          <w:lang w:val="uk-UA"/>
        </w:rPr>
        <w:t>палення у прогресуваннi порушень функціонального стану</w:t>
      </w:r>
      <w:r w:rsidRPr="00610EBA">
        <w:rPr>
          <w:rFonts w:ascii="Times New Roman" w:hAnsi="Times New Roman" w:cs="Times New Roman"/>
          <w:sz w:val="28"/>
          <w:szCs w:val="28"/>
          <w:lang w:val="uk-UA"/>
        </w:rPr>
        <w:t xml:space="preserve"> серця </w:t>
      </w:r>
      <w:r w:rsidR="005A6442">
        <w:rPr>
          <w:rFonts w:ascii="Times New Roman" w:hAnsi="Times New Roman" w:cs="Times New Roman"/>
          <w:sz w:val="28"/>
          <w:szCs w:val="28"/>
          <w:lang w:val="uk-UA"/>
        </w:rPr>
        <w:t>у пацієнтів і</w:t>
      </w:r>
      <w:r w:rsidRPr="00610EBA">
        <w:rPr>
          <w:rFonts w:ascii="Times New Roman" w:hAnsi="Times New Roman" w:cs="Times New Roman"/>
          <w:sz w:val="28"/>
          <w:szCs w:val="28"/>
          <w:lang w:val="uk-UA"/>
        </w:rPr>
        <w:t>з АГ та ЦД 2-го типу</w:t>
      </w:r>
      <w:r w:rsidR="008C126F">
        <w:rPr>
          <w:rFonts w:ascii="Times New Roman" w:hAnsi="Times New Roman" w:cs="Times New Roman"/>
          <w:sz w:val="28"/>
          <w:szCs w:val="28"/>
          <w:lang w:val="uk-UA"/>
        </w:rPr>
        <w:t xml:space="preserve">. </w:t>
      </w:r>
    </w:p>
    <w:p w:rsidR="00A05EE0" w:rsidRPr="005C4B67" w:rsidRDefault="008C126F" w:rsidP="001940F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аторвастатину</w:t>
      </w:r>
      <w:r w:rsidR="00A05EE0" w:rsidRPr="00A05EE0">
        <w:rPr>
          <w:rFonts w:ascii="Times New Roman" w:hAnsi="Times New Roman" w:cs="Times New Roman"/>
          <w:sz w:val="28"/>
          <w:szCs w:val="28"/>
          <w:lang w:val="uk-UA"/>
        </w:rPr>
        <w:t xml:space="preserve"> </w:t>
      </w:r>
      <w:r w:rsidR="007611A9">
        <w:rPr>
          <w:rFonts w:ascii="Times New Roman" w:hAnsi="Times New Roman" w:cs="Times New Roman"/>
          <w:sz w:val="28"/>
          <w:szCs w:val="28"/>
          <w:lang w:val="uk-UA"/>
        </w:rPr>
        <w:t>(10−</w:t>
      </w:r>
      <w:r w:rsidR="00E06C8B">
        <w:rPr>
          <w:rFonts w:ascii="Times New Roman" w:hAnsi="Times New Roman" w:cs="Times New Roman"/>
          <w:sz w:val="28"/>
          <w:szCs w:val="28"/>
          <w:lang w:val="uk-UA"/>
        </w:rPr>
        <w:t>20</w:t>
      </w:r>
      <w:r w:rsidR="00E06C8B" w:rsidRPr="00E06C8B">
        <w:rPr>
          <w:rFonts w:ascii="Times New Roman" w:hAnsi="Times New Roman" w:cs="Times New Roman"/>
          <w:sz w:val="28"/>
          <w:szCs w:val="28"/>
          <w:lang w:val="uk-UA"/>
        </w:rPr>
        <w:t>−</w:t>
      </w:r>
      <w:r w:rsidR="00A05EE0" w:rsidRPr="00A05EE0">
        <w:rPr>
          <w:rFonts w:ascii="Times New Roman" w:hAnsi="Times New Roman" w:cs="Times New Roman"/>
          <w:sz w:val="28"/>
          <w:szCs w:val="28"/>
          <w:lang w:val="uk-UA"/>
        </w:rPr>
        <w:t>40 мг/добу</w:t>
      </w:r>
      <w:r w:rsidR="007611A9">
        <w:rPr>
          <w:rFonts w:ascii="Times New Roman" w:hAnsi="Times New Roman" w:cs="Times New Roman"/>
          <w:sz w:val="28"/>
          <w:szCs w:val="28"/>
          <w:lang w:val="uk-UA"/>
        </w:rPr>
        <w:t>)</w:t>
      </w:r>
      <w:r w:rsidR="00A05EE0" w:rsidRPr="00A05EE0">
        <w:rPr>
          <w:rFonts w:ascii="Times New Roman" w:hAnsi="Times New Roman" w:cs="Times New Roman"/>
          <w:sz w:val="28"/>
          <w:szCs w:val="28"/>
          <w:lang w:val="uk-UA"/>
        </w:rPr>
        <w:t xml:space="preserve"> </w:t>
      </w:r>
      <w:r w:rsidR="005A6442">
        <w:rPr>
          <w:rFonts w:ascii="Times New Roman" w:hAnsi="Times New Roman" w:cs="Times New Roman"/>
          <w:sz w:val="28"/>
          <w:szCs w:val="28"/>
          <w:lang w:val="uk-UA"/>
        </w:rPr>
        <w:t xml:space="preserve">у хворих на </w:t>
      </w:r>
      <w:r>
        <w:rPr>
          <w:rFonts w:ascii="Times New Roman" w:hAnsi="Times New Roman" w:cs="Times New Roman"/>
          <w:sz w:val="28"/>
          <w:szCs w:val="28"/>
          <w:lang w:val="uk-UA"/>
        </w:rPr>
        <w:t xml:space="preserve">АГ та </w:t>
      </w:r>
      <w:r w:rsidR="007774EA">
        <w:rPr>
          <w:rFonts w:ascii="Times New Roman" w:hAnsi="Times New Roman" w:cs="Times New Roman"/>
          <w:sz w:val="28"/>
          <w:szCs w:val="28"/>
          <w:lang w:val="uk-UA"/>
        </w:rPr>
        <w:t xml:space="preserve">    </w:t>
      </w:r>
      <w:r w:rsidR="00981651" w:rsidRPr="00A05EE0">
        <w:rPr>
          <w:rFonts w:ascii="Times New Roman" w:hAnsi="Times New Roman" w:cs="Times New Roman"/>
          <w:sz w:val="28"/>
          <w:szCs w:val="28"/>
          <w:lang w:val="uk-UA"/>
        </w:rPr>
        <w:t>ЦД 2-го</w:t>
      </w:r>
      <w:r w:rsidR="007774EA">
        <w:rPr>
          <w:rFonts w:ascii="Times New Roman" w:hAnsi="Times New Roman" w:cs="Times New Roman"/>
          <w:sz w:val="28"/>
          <w:szCs w:val="28"/>
          <w:lang w:val="uk-UA"/>
        </w:rPr>
        <w:t xml:space="preserve"> типу</w:t>
      </w:r>
      <w:r w:rsidR="007D6861">
        <w:rPr>
          <w:rFonts w:ascii="Times New Roman" w:hAnsi="Times New Roman" w:cs="Times New Roman"/>
          <w:sz w:val="28"/>
          <w:szCs w:val="28"/>
          <w:lang w:val="uk-UA"/>
        </w:rPr>
        <w:t xml:space="preserve"> сприяє досягненню </w:t>
      </w:r>
      <w:r w:rsidR="008F0A86">
        <w:rPr>
          <w:rFonts w:ascii="Times New Roman" w:hAnsi="Times New Roman" w:cs="Times New Roman"/>
          <w:sz w:val="28"/>
          <w:szCs w:val="28"/>
          <w:lang w:val="uk-UA"/>
        </w:rPr>
        <w:t>цільового вмісту</w:t>
      </w:r>
      <w:r>
        <w:rPr>
          <w:rFonts w:ascii="Times New Roman" w:hAnsi="Times New Roman" w:cs="Times New Roman"/>
          <w:sz w:val="28"/>
          <w:szCs w:val="28"/>
          <w:lang w:val="uk-UA"/>
        </w:rPr>
        <w:t xml:space="preserve"> атерогенн</w:t>
      </w:r>
      <w:r w:rsidR="007D6861">
        <w:rPr>
          <w:rFonts w:ascii="Times New Roman" w:hAnsi="Times New Roman" w:cs="Times New Roman"/>
          <w:sz w:val="28"/>
          <w:szCs w:val="28"/>
          <w:lang w:val="uk-UA"/>
        </w:rPr>
        <w:t xml:space="preserve">их </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 антиатерогенних л</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попротеїд</w:t>
      </w:r>
      <w:r w:rsidR="007D6861">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sidR="007B52B0">
        <w:rPr>
          <w:rFonts w:ascii="Times New Roman" w:hAnsi="Times New Roman" w:cs="Times New Roman"/>
          <w:sz w:val="28"/>
          <w:szCs w:val="28"/>
          <w:lang w:val="uk-UA"/>
        </w:rPr>
        <w:t>загального холестерину</w:t>
      </w:r>
      <w:r>
        <w:rPr>
          <w:rFonts w:ascii="Times New Roman" w:hAnsi="Times New Roman" w:cs="Times New Roman"/>
          <w:sz w:val="28"/>
          <w:szCs w:val="28"/>
          <w:lang w:val="uk-UA"/>
        </w:rPr>
        <w:t>.</w:t>
      </w:r>
      <w:r w:rsidR="00A05EE0" w:rsidRPr="00A05EE0">
        <w:rPr>
          <w:rFonts w:ascii="Times New Roman" w:hAnsi="Times New Roman" w:cs="Times New Roman"/>
          <w:sz w:val="28"/>
          <w:szCs w:val="28"/>
          <w:lang w:val="uk-UA"/>
        </w:rPr>
        <w:t xml:space="preserve"> </w:t>
      </w:r>
    </w:p>
    <w:p w:rsidR="00DB1D5D" w:rsidRPr="00AC03D4" w:rsidRDefault="007D6861" w:rsidP="001940F5">
      <w:pPr>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П</w:t>
      </w:r>
      <w:r>
        <w:rPr>
          <w:rFonts w:ascii="Times New Roman" w:hAnsi="Times New Roman" w:cs="Times New Roman"/>
          <w:sz w:val="28"/>
          <w:szCs w:val="28"/>
          <w:lang w:val="en-US"/>
        </w:rPr>
        <w:t>i</w:t>
      </w:r>
      <w:r w:rsidR="00DB1D5D" w:rsidRPr="00A05EE0">
        <w:rPr>
          <w:rFonts w:ascii="Times New Roman" w:hAnsi="Times New Roman" w:cs="Times New Roman"/>
          <w:sz w:val="28"/>
          <w:szCs w:val="28"/>
          <w:lang w:val="uk-UA"/>
        </w:rPr>
        <w:t>д в</w:t>
      </w:r>
      <w:r>
        <w:rPr>
          <w:rFonts w:ascii="Times New Roman" w:hAnsi="Times New Roman" w:cs="Times New Roman"/>
          <w:sz w:val="28"/>
          <w:szCs w:val="28"/>
          <w:lang w:val="uk-UA"/>
        </w:rPr>
        <w:t>пливом л</w:t>
      </w:r>
      <w:r>
        <w:rPr>
          <w:rFonts w:ascii="Times New Roman" w:hAnsi="Times New Roman" w:cs="Times New Roman"/>
          <w:sz w:val="28"/>
          <w:szCs w:val="28"/>
          <w:lang w:val="en-US"/>
        </w:rPr>
        <w:t>i</w:t>
      </w:r>
      <w:r>
        <w:rPr>
          <w:rFonts w:ascii="Times New Roman" w:hAnsi="Times New Roman" w:cs="Times New Roman"/>
          <w:sz w:val="28"/>
          <w:szCs w:val="28"/>
          <w:lang w:val="uk-UA"/>
        </w:rPr>
        <w:t>кування телм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сартаном дозою 40 мг/добу </w:t>
      </w:r>
      <w:r w:rsidR="005A6442">
        <w:rPr>
          <w:rFonts w:ascii="Times New Roman" w:hAnsi="Times New Roman" w:cs="Times New Roman"/>
          <w:sz w:val="28"/>
          <w:szCs w:val="28"/>
          <w:lang w:val="uk-UA"/>
        </w:rPr>
        <w:t>у пацієнтів і</w:t>
      </w:r>
      <w:r>
        <w:rPr>
          <w:rFonts w:ascii="Times New Roman" w:hAnsi="Times New Roman" w:cs="Times New Roman"/>
          <w:sz w:val="28"/>
          <w:szCs w:val="28"/>
          <w:lang w:val="uk-UA"/>
        </w:rPr>
        <w:t xml:space="preserve">з АГ та ЦД 2-го типу </w:t>
      </w:r>
      <w:r>
        <w:rPr>
          <w:rFonts w:ascii="Times New Roman" w:hAnsi="Times New Roman" w:cs="Times New Roman"/>
          <w:sz w:val="28"/>
          <w:szCs w:val="28"/>
          <w:lang w:val="en-US"/>
        </w:rPr>
        <w:t>i</w:t>
      </w:r>
      <w:r w:rsidR="00DB1D5D" w:rsidRPr="00A05EE0">
        <w:rPr>
          <w:rFonts w:ascii="Times New Roman" w:hAnsi="Times New Roman" w:cs="Times New Roman"/>
          <w:sz w:val="28"/>
          <w:szCs w:val="28"/>
          <w:lang w:val="uk-UA"/>
        </w:rPr>
        <w:t xml:space="preserve"> менш</w:t>
      </w:r>
      <w:r>
        <w:rPr>
          <w:rFonts w:ascii="Times New Roman" w:hAnsi="Times New Roman" w:cs="Times New Roman"/>
          <w:sz w:val="28"/>
          <w:szCs w:val="28"/>
          <w:lang w:val="uk-UA"/>
        </w:rPr>
        <w:t xml:space="preserve">им за 10 пг/мл </w:t>
      </w:r>
      <w:r w:rsidR="005A6442">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ЕТ-1 альбум</w:t>
      </w:r>
      <w:r>
        <w:rPr>
          <w:rFonts w:ascii="Times New Roman" w:hAnsi="Times New Roman" w:cs="Times New Roman"/>
          <w:sz w:val="28"/>
          <w:szCs w:val="28"/>
          <w:lang w:val="en-US"/>
        </w:rPr>
        <w:t>i</w:t>
      </w:r>
      <w:r w:rsidR="005A6442">
        <w:rPr>
          <w:rFonts w:ascii="Times New Roman" w:hAnsi="Times New Roman" w:cs="Times New Roman"/>
          <w:sz w:val="28"/>
          <w:szCs w:val="28"/>
          <w:lang w:val="uk-UA"/>
        </w:rPr>
        <w:t>нурія зменшилась</w:t>
      </w:r>
      <w:r w:rsidR="00DB1D5D" w:rsidRPr="00A05EE0">
        <w:rPr>
          <w:rFonts w:ascii="Times New Roman" w:hAnsi="Times New Roman" w:cs="Times New Roman"/>
          <w:sz w:val="28"/>
          <w:szCs w:val="28"/>
          <w:lang w:val="uk-UA"/>
        </w:rPr>
        <w:t xml:space="preserve"> на </w:t>
      </w:r>
      <w:r w:rsidR="00DB1D5D" w:rsidRPr="00B465C0">
        <w:rPr>
          <w:rFonts w:ascii="Times New Roman" w:hAnsi="Times New Roman" w:cs="Times New Roman"/>
          <w:sz w:val="28"/>
          <w:szCs w:val="28"/>
          <w:lang w:val="uk-UA"/>
        </w:rPr>
        <w:t>9,7</w:t>
      </w:r>
      <w:r w:rsidR="007611A9">
        <w:rPr>
          <w:rFonts w:ascii="Times New Roman" w:hAnsi="Times New Roman" w:cs="Times New Roman"/>
          <w:sz w:val="28"/>
          <w:szCs w:val="28"/>
          <w:lang w:val="uk-UA"/>
        </w:rPr>
        <w:t xml:space="preserve"> </w:t>
      </w:r>
      <w:r w:rsidR="00DB1D5D" w:rsidRPr="00B465C0">
        <w:rPr>
          <w:rFonts w:ascii="Times New Roman" w:hAnsi="Times New Roman" w:cs="Times New Roman"/>
          <w:sz w:val="28"/>
          <w:szCs w:val="28"/>
          <w:lang w:val="uk-UA"/>
        </w:rPr>
        <w:t>% (</w:t>
      </w:r>
      <w:r w:rsidR="00DB1D5D" w:rsidRPr="00B465C0">
        <w:rPr>
          <w:rFonts w:ascii="Times New Roman" w:hAnsi="Times New Roman" w:cs="Times New Roman"/>
          <w:sz w:val="28"/>
          <w:szCs w:val="28"/>
          <w:lang w:val="en-US"/>
        </w:rPr>
        <w:t>p</w:t>
      </w:r>
      <w:r w:rsidR="00B465C0" w:rsidRPr="00B465C0">
        <w:rPr>
          <w:rFonts w:ascii="Times New Roman" w:hAnsi="Times New Roman" w:cs="Times New Roman"/>
          <w:sz w:val="28"/>
          <w:szCs w:val="28"/>
          <w:lang w:val="uk-UA"/>
        </w:rPr>
        <w:t xml:space="preserve"> = 0,0328</w:t>
      </w:r>
      <w:r>
        <w:rPr>
          <w:rFonts w:ascii="Times New Roman" w:hAnsi="Times New Roman" w:cs="Times New Roman"/>
          <w:sz w:val="28"/>
          <w:szCs w:val="28"/>
          <w:lang w:val="uk-UA"/>
        </w:rPr>
        <w:t xml:space="preserve">), а </w:t>
      </w:r>
      <w:r>
        <w:rPr>
          <w:rFonts w:ascii="Times New Roman" w:hAnsi="Times New Roman" w:cs="Times New Roman"/>
          <w:sz w:val="28"/>
          <w:szCs w:val="28"/>
          <w:lang w:val="en-US"/>
        </w:rPr>
        <w:t>I</w:t>
      </w:r>
      <w:r w:rsidR="00DB1D5D" w:rsidRPr="00B465C0">
        <w:rPr>
          <w:rFonts w:ascii="Times New Roman" w:hAnsi="Times New Roman" w:cs="Times New Roman"/>
          <w:sz w:val="28"/>
          <w:szCs w:val="28"/>
          <w:lang w:val="uk-UA"/>
        </w:rPr>
        <w:t>ММЛШ – на 6,7</w:t>
      </w:r>
      <w:r w:rsidR="007611A9">
        <w:rPr>
          <w:rFonts w:ascii="Times New Roman" w:hAnsi="Times New Roman" w:cs="Times New Roman"/>
          <w:sz w:val="28"/>
          <w:szCs w:val="28"/>
          <w:lang w:val="uk-UA"/>
        </w:rPr>
        <w:t xml:space="preserve"> </w:t>
      </w:r>
      <w:r w:rsidR="00DB1D5D" w:rsidRPr="00B465C0">
        <w:rPr>
          <w:rFonts w:ascii="Times New Roman" w:hAnsi="Times New Roman" w:cs="Times New Roman"/>
          <w:sz w:val="28"/>
          <w:szCs w:val="28"/>
          <w:lang w:val="uk-UA"/>
        </w:rPr>
        <w:t>% (</w:t>
      </w:r>
      <w:r w:rsidR="00DB1D5D" w:rsidRPr="00B465C0">
        <w:rPr>
          <w:rFonts w:ascii="Times New Roman" w:hAnsi="Times New Roman" w:cs="Times New Roman"/>
          <w:sz w:val="28"/>
          <w:szCs w:val="28"/>
          <w:lang w:val="en-US"/>
        </w:rPr>
        <w:t>p</w:t>
      </w:r>
      <w:r w:rsidR="00B465C0" w:rsidRPr="00B465C0">
        <w:rPr>
          <w:rFonts w:ascii="Times New Roman" w:hAnsi="Times New Roman" w:cs="Times New Roman"/>
          <w:sz w:val="28"/>
          <w:szCs w:val="28"/>
          <w:lang w:val="uk-UA"/>
        </w:rPr>
        <w:t xml:space="preserve"> = 0,0007</w:t>
      </w:r>
      <w:r w:rsidR="00DB1D5D" w:rsidRPr="00B465C0">
        <w:rPr>
          <w:rFonts w:ascii="Times New Roman" w:hAnsi="Times New Roman" w:cs="Times New Roman"/>
          <w:sz w:val="28"/>
          <w:szCs w:val="28"/>
          <w:lang w:val="uk-UA"/>
        </w:rPr>
        <w:t>).</w:t>
      </w:r>
      <w:r>
        <w:rPr>
          <w:rFonts w:ascii="Times New Roman" w:hAnsi="Times New Roman" w:cs="Times New Roman"/>
          <w:sz w:val="28"/>
          <w:szCs w:val="28"/>
          <w:lang w:val="uk-UA"/>
        </w:rPr>
        <w:t xml:space="preserve"> У </w:t>
      </w:r>
      <w:r w:rsidR="005A6442">
        <w:rPr>
          <w:rFonts w:ascii="Times New Roman" w:hAnsi="Times New Roman" w:cs="Times New Roman"/>
          <w:sz w:val="28"/>
          <w:szCs w:val="28"/>
          <w:lang w:val="uk-UA"/>
        </w:rPr>
        <w:t xml:space="preserve">хворих </w:t>
      </w:r>
      <w:r>
        <w:rPr>
          <w:rFonts w:ascii="Times New Roman" w:hAnsi="Times New Roman" w:cs="Times New Roman"/>
          <w:sz w:val="28"/>
          <w:szCs w:val="28"/>
          <w:lang w:val="uk-UA"/>
        </w:rPr>
        <w:t>І групи з б</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льшим за 10 пг/мл </w:t>
      </w:r>
      <w:r w:rsidR="005A6442">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ЕТ-1, як</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отримували 80 </w:t>
      </w:r>
      <w:r>
        <w:rPr>
          <w:rFonts w:ascii="Times New Roman" w:hAnsi="Times New Roman" w:cs="Times New Roman"/>
          <w:sz w:val="28"/>
          <w:szCs w:val="28"/>
          <w:lang w:val="uk-UA"/>
        </w:rPr>
        <w:lastRenderedPageBreak/>
        <w:t>мг/добу телм</w:t>
      </w:r>
      <w:r>
        <w:rPr>
          <w:rFonts w:ascii="Times New Roman" w:hAnsi="Times New Roman" w:cs="Times New Roman"/>
          <w:sz w:val="28"/>
          <w:szCs w:val="28"/>
          <w:lang w:val="en-US"/>
        </w:rPr>
        <w:t>i</w:t>
      </w:r>
      <w:r>
        <w:rPr>
          <w:rFonts w:ascii="Times New Roman" w:hAnsi="Times New Roman" w:cs="Times New Roman"/>
          <w:sz w:val="28"/>
          <w:szCs w:val="28"/>
          <w:lang w:val="uk-UA"/>
        </w:rPr>
        <w:t>сартану,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5A6442">
        <w:rPr>
          <w:rFonts w:ascii="Times New Roman" w:hAnsi="Times New Roman" w:cs="Times New Roman"/>
          <w:sz w:val="28"/>
          <w:szCs w:val="28"/>
          <w:lang w:val="uk-UA"/>
        </w:rPr>
        <w:t>я зменшила</w:t>
      </w:r>
      <w:r w:rsidR="00DB1D5D" w:rsidRPr="00A05EE0">
        <w:rPr>
          <w:rFonts w:ascii="Times New Roman" w:hAnsi="Times New Roman" w:cs="Times New Roman"/>
          <w:sz w:val="28"/>
          <w:szCs w:val="28"/>
          <w:lang w:val="uk-UA"/>
        </w:rPr>
        <w:t xml:space="preserve">ся </w:t>
      </w:r>
      <w:r w:rsidR="00DB1D5D" w:rsidRPr="00B465C0">
        <w:rPr>
          <w:rFonts w:ascii="Times New Roman" w:hAnsi="Times New Roman" w:cs="Times New Roman"/>
          <w:sz w:val="28"/>
          <w:szCs w:val="28"/>
          <w:lang w:val="uk-UA"/>
        </w:rPr>
        <w:t>на 4,9</w:t>
      </w:r>
      <w:r w:rsidR="007611A9">
        <w:rPr>
          <w:rFonts w:ascii="Times New Roman" w:hAnsi="Times New Roman" w:cs="Times New Roman"/>
          <w:sz w:val="28"/>
          <w:szCs w:val="28"/>
          <w:lang w:val="uk-UA"/>
        </w:rPr>
        <w:t xml:space="preserve"> </w:t>
      </w:r>
      <w:r w:rsidR="00DB1D5D" w:rsidRPr="00B465C0">
        <w:rPr>
          <w:rFonts w:ascii="Times New Roman" w:hAnsi="Times New Roman" w:cs="Times New Roman"/>
          <w:sz w:val="28"/>
          <w:szCs w:val="28"/>
          <w:lang w:val="uk-UA"/>
        </w:rPr>
        <w:t>% (</w:t>
      </w:r>
      <w:r w:rsidR="00DB1D5D" w:rsidRPr="00B465C0">
        <w:rPr>
          <w:rFonts w:ascii="Times New Roman" w:hAnsi="Times New Roman" w:cs="Times New Roman"/>
          <w:sz w:val="28"/>
          <w:szCs w:val="28"/>
          <w:lang w:val="en-US"/>
        </w:rPr>
        <w:t>p</w:t>
      </w:r>
      <w:r w:rsidR="00B465C0" w:rsidRPr="00B465C0">
        <w:rPr>
          <w:rFonts w:ascii="Times New Roman" w:hAnsi="Times New Roman" w:cs="Times New Roman"/>
          <w:sz w:val="28"/>
          <w:szCs w:val="28"/>
          <w:lang w:val="uk-UA"/>
        </w:rPr>
        <w:t xml:space="preserve"> = 0,0435</w:t>
      </w:r>
      <w:r>
        <w:rPr>
          <w:rFonts w:ascii="Times New Roman" w:hAnsi="Times New Roman" w:cs="Times New Roman"/>
          <w:sz w:val="28"/>
          <w:szCs w:val="28"/>
          <w:lang w:val="uk-UA"/>
        </w:rPr>
        <w:t xml:space="preserve">), а </w:t>
      </w:r>
      <w:r>
        <w:rPr>
          <w:rFonts w:ascii="Times New Roman" w:hAnsi="Times New Roman" w:cs="Times New Roman"/>
          <w:sz w:val="28"/>
          <w:szCs w:val="28"/>
          <w:lang w:val="en-US"/>
        </w:rPr>
        <w:t>I</w:t>
      </w:r>
      <w:r w:rsidR="00DB1D5D" w:rsidRPr="00B465C0">
        <w:rPr>
          <w:rFonts w:ascii="Times New Roman" w:hAnsi="Times New Roman" w:cs="Times New Roman"/>
          <w:sz w:val="28"/>
          <w:szCs w:val="28"/>
          <w:lang w:val="uk-UA"/>
        </w:rPr>
        <w:t>ММЛШ – на 3,1</w:t>
      </w:r>
      <w:r w:rsidR="007611A9">
        <w:rPr>
          <w:rFonts w:ascii="Times New Roman" w:hAnsi="Times New Roman" w:cs="Times New Roman"/>
          <w:sz w:val="28"/>
          <w:szCs w:val="28"/>
          <w:lang w:val="uk-UA"/>
        </w:rPr>
        <w:t xml:space="preserve"> </w:t>
      </w:r>
      <w:r w:rsidR="00DB1D5D" w:rsidRPr="00B465C0">
        <w:rPr>
          <w:rFonts w:ascii="Times New Roman" w:hAnsi="Times New Roman" w:cs="Times New Roman"/>
          <w:sz w:val="28"/>
          <w:szCs w:val="28"/>
          <w:lang w:val="uk-UA"/>
        </w:rPr>
        <w:t>% (</w:t>
      </w:r>
      <w:r w:rsidR="00DB1D5D" w:rsidRPr="00B465C0">
        <w:rPr>
          <w:rFonts w:ascii="Times New Roman" w:hAnsi="Times New Roman" w:cs="Times New Roman"/>
          <w:sz w:val="28"/>
          <w:szCs w:val="28"/>
          <w:lang w:val="en-US"/>
        </w:rPr>
        <w:t>p</w:t>
      </w:r>
      <w:r w:rsidR="00DB1D5D" w:rsidRPr="00B465C0">
        <w:rPr>
          <w:rFonts w:ascii="Times New Roman" w:hAnsi="Times New Roman" w:cs="Times New Roman"/>
          <w:sz w:val="28"/>
          <w:szCs w:val="28"/>
          <w:lang w:val="uk-UA"/>
        </w:rPr>
        <w:t xml:space="preserve"> &lt; 0,0001).</w:t>
      </w:r>
    </w:p>
    <w:p w:rsidR="007B52B0" w:rsidRDefault="00A7751B" w:rsidP="009D428B">
      <w:pPr>
        <w:spacing w:after="0" w:line="360" w:lineRule="auto"/>
        <w:ind w:firstLine="708"/>
        <w:jc w:val="both"/>
        <w:rPr>
          <w:rFonts w:ascii="Times New Roman" w:hAnsi="Times New Roman" w:cs="Times New Roman"/>
          <w:sz w:val="28"/>
          <w:szCs w:val="28"/>
          <w:lang w:val="uk-UA"/>
        </w:rPr>
      </w:pPr>
      <w:r w:rsidRPr="00D15C60">
        <w:rPr>
          <w:rFonts w:ascii="Times New Roman" w:hAnsi="Times New Roman" w:cs="Times New Roman"/>
          <w:sz w:val="28"/>
          <w:szCs w:val="28"/>
          <w:lang w:val="uk-UA"/>
        </w:rPr>
        <w:t xml:space="preserve">Наукова </w:t>
      </w:r>
      <w:r w:rsidR="00C66954">
        <w:rPr>
          <w:rFonts w:ascii="Times New Roman" w:hAnsi="Times New Roman" w:cs="Times New Roman"/>
          <w:sz w:val="28"/>
          <w:szCs w:val="28"/>
          <w:lang w:val="uk-UA"/>
        </w:rPr>
        <w:t xml:space="preserve">новизна одержаних результатів. </w:t>
      </w:r>
      <w:r w:rsidR="007D6861">
        <w:rPr>
          <w:rFonts w:ascii="Times New Roman" w:hAnsi="Times New Roman" w:cs="Times New Roman"/>
          <w:sz w:val="28"/>
          <w:szCs w:val="28"/>
          <w:lang w:val="uk-UA"/>
        </w:rPr>
        <w:t>На підстав</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 вивчення особливостей дисл</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п</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дем</w:t>
      </w:r>
      <w:r w:rsidR="007D6861">
        <w:rPr>
          <w:rFonts w:ascii="Times New Roman" w:hAnsi="Times New Roman" w:cs="Times New Roman"/>
          <w:sz w:val="28"/>
          <w:szCs w:val="28"/>
          <w:lang w:val="en-US"/>
        </w:rPr>
        <w:t>i</w:t>
      </w:r>
      <w:r w:rsidR="009D428B" w:rsidRPr="00D15C60">
        <w:rPr>
          <w:rFonts w:ascii="Times New Roman" w:hAnsi="Times New Roman" w:cs="Times New Roman"/>
          <w:sz w:val="28"/>
          <w:szCs w:val="28"/>
          <w:lang w:val="uk-UA"/>
        </w:rPr>
        <w:t>ї при ко</w:t>
      </w:r>
      <w:r w:rsidR="007D6861">
        <w:rPr>
          <w:rFonts w:ascii="Times New Roman" w:hAnsi="Times New Roman" w:cs="Times New Roman"/>
          <w:sz w:val="28"/>
          <w:szCs w:val="28"/>
          <w:lang w:val="uk-UA"/>
        </w:rPr>
        <w:t>морб</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дн</w:t>
      </w:r>
      <w:r w:rsidR="007D6861">
        <w:rPr>
          <w:rFonts w:ascii="Times New Roman" w:hAnsi="Times New Roman" w:cs="Times New Roman"/>
          <w:sz w:val="28"/>
          <w:szCs w:val="28"/>
          <w:lang w:val="en-US"/>
        </w:rPr>
        <w:t>i</w:t>
      </w:r>
      <w:r w:rsidR="009D428B" w:rsidRPr="00D15C60">
        <w:rPr>
          <w:rFonts w:ascii="Times New Roman" w:hAnsi="Times New Roman" w:cs="Times New Roman"/>
          <w:sz w:val="28"/>
          <w:szCs w:val="28"/>
          <w:lang w:val="uk-UA"/>
        </w:rPr>
        <w:t>й па</w:t>
      </w:r>
      <w:r w:rsidR="007D6861">
        <w:rPr>
          <w:rFonts w:ascii="Times New Roman" w:hAnsi="Times New Roman" w:cs="Times New Roman"/>
          <w:sz w:val="28"/>
          <w:szCs w:val="28"/>
          <w:lang w:val="uk-UA"/>
        </w:rPr>
        <w:t>толог</w:t>
      </w:r>
      <w:r w:rsidR="007D6861">
        <w:rPr>
          <w:rFonts w:ascii="Times New Roman" w:hAnsi="Times New Roman" w:cs="Times New Roman"/>
          <w:sz w:val="28"/>
          <w:szCs w:val="28"/>
          <w:lang w:val="en-US"/>
        </w:rPr>
        <w:t>i</w:t>
      </w:r>
      <w:r w:rsidR="007D6861">
        <w:rPr>
          <w:rFonts w:ascii="Times New Roman" w:hAnsi="Times New Roman" w:cs="Times New Roman"/>
          <w:sz w:val="28"/>
          <w:szCs w:val="28"/>
          <w:lang w:val="uk-UA"/>
        </w:rPr>
        <w:t xml:space="preserve">ї доведено, що для </w:t>
      </w:r>
      <w:r w:rsidR="00762A3D">
        <w:rPr>
          <w:rFonts w:ascii="Times New Roman" w:hAnsi="Times New Roman" w:cs="Times New Roman"/>
          <w:sz w:val="28"/>
          <w:szCs w:val="28"/>
          <w:lang w:val="uk-UA"/>
        </w:rPr>
        <w:t>пацієнтів і</w:t>
      </w:r>
      <w:r w:rsidR="007D6861">
        <w:rPr>
          <w:rFonts w:ascii="Times New Roman" w:hAnsi="Times New Roman" w:cs="Times New Roman"/>
          <w:sz w:val="28"/>
          <w:szCs w:val="28"/>
          <w:lang w:val="uk-UA"/>
        </w:rPr>
        <w:t>з АГ та супутн</w:t>
      </w:r>
      <w:r w:rsidR="007D6861">
        <w:rPr>
          <w:rFonts w:ascii="Times New Roman" w:hAnsi="Times New Roman" w:cs="Times New Roman"/>
          <w:sz w:val="28"/>
          <w:szCs w:val="28"/>
          <w:lang w:val="en-US"/>
        </w:rPr>
        <w:t>i</w:t>
      </w:r>
      <w:r w:rsidR="009D428B" w:rsidRPr="00D15C60">
        <w:rPr>
          <w:rFonts w:ascii="Times New Roman" w:hAnsi="Times New Roman" w:cs="Times New Roman"/>
          <w:sz w:val="28"/>
          <w:szCs w:val="28"/>
          <w:lang w:val="uk-UA"/>
        </w:rPr>
        <w:t>м Ц</w:t>
      </w:r>
      <w:r w:rsidR="00A033A9">
        <w:rPr>
          <w:rFonts w:ascii="Times New Roman" w:hAnsi="Times New Roman" w:cs="Times New Roman"/>
          <w:sz w:val="28"/>
          <w:szCs w:val="28"/>
          <w:lang w:val="uk-UA"/>
        </w:rPr>
        <w:t>Д 2-го типу характерним є  комб</w:t>
      </w:r>
      <w:r w:rsidR="00A033A9">
        <w:rPr>
          <w:rFonts w:ascii="Times New Roman" w:hAnsi="Times New Roman" w:cs="Times New Roman"/>
          <w:sz w:val="28"/>
          <w:szCs w:val="28"/>
          <w:lang w:val="en-US"/>
        </w:rPr>
        <w:t>i</w:t>
      </w:r>
      <w:r w:rsidR="00A033A9">
        <w:rPr>
          <w:rFonts w:ascii="Times New Roman" w:hAnsi="Times New Roman" w:cs="Times New Roman"/>
          <w:sz w:val="28"/>
          <w:szCs w:val="28"/>
          <w:lang w:val="uk-UA"/>
        </w:rPr>
        <w:t>нований тип дисл</w:t>
      </w:r>
      <w:r w:rsidR="00A033A9">
        <w:rPr>
          <w:rFonts w:ascii="Times New Roman" w:hAnsi="Times New Roman" w:cs="Times New Roman"/>
          <w:sz w:val="28"/>
          <w:szCs w:val="28"/>
          <w:lang w:val="en-US"/>
        </w:rPr>
        <w:t>i</w:t>
      </w:r>
      <w:r w:rsidR="00A033A9">
        <w:rPr>
          <w:rFonts w:ascii="Times New Roman" w:hAnsi="Times New Roman" w:cs="Times New Roman"/>
          <w:sz w:val="28"/>
          <w:szCs w:val="28"/>
          <w:lang w:val="uk-UA"/>
        </w:rPr>
        <w:t>п</w:t>
      </w:r>
      <w:r w:rsidR="00A033A9">
        <w:rPr>
          <w:rFonts w:ascii="Times New Roman" w:hAnsi="Times New Roman" w:cs="Times New Roman"/>
          <w:sz w:val="28"/>
          <w:szCs w:val="28"/>
          <w:lang w:val="en-US"/>
        </w:rPr>
        <w:t>i</w:t>
      </w:r>
      <w:r w:rsidR="00A033A9">
        <w:rPr>
          <w:rFonts w:ascii="Times New Roman" w:hAnsi="Times New Roman" w:cs="Times New Roman"/>
          <w:sz w:val="28"/>
          <w:szCs w:val="28"/>
          <w:lang w:val="uk-UA"/>
        </w:rPr>
        <w:t>дем</w:t>
      </w:r>
      <w:r w:rsidR="00A033A9">
        <w:rPr>
          <w:rFonts w:ascii="Times New Roman" w:hAnsi="Times New Roman" w:cs="Times New Roman"/>
          <w:sz w:val="28"/>
          <w:szCs w:val="28"/>
          <w:lang w:val="en-US"/>
        </w:rPr>
        <w:t>i</w:t>
      </w:r>
      <w:r w:rsidR="00A033A9">
        <w:rPr>
          <w:rFonts w:ascii="Times New Roman" w:hAnsi="Times New Roman" w:cs="Times New Roman"/>
          <w:sz w:val="28"/>
          <w:szCs w:val="28"/>
          <w:lang w:val="uk-UA"/>
        </w:rPr>
        <w:t>ї, який св</w:t>
      </w:r>
      <w:r w:rsidR="00A033A9">
        <w:rPr>
          <w:rFonts w:ascii="Times New Roman" w:hAnsi="Times New Roman" w:cs="Times New Roman"/>
          <w:sz w:val="28"/>
          <w:szCs w:val="28"/>
          <w:lang w:val="en-US"/>
        </w:rPr>
        <w:t>i</w:t>
      </w:r>
      <w:r w:rsidR="00A033A9">
        <w:rPr>
          <w:rFonts w:ascii="Times New Roman" w:hAnsi="Times New Roman" w:cs="Times New Roman"/>
          <w:sz w:val="28"/>
          <w:szCs w:val="28"/>
          <w:lang w:val="uk-UA"/>
        </w:rPr>
        <w:t>дчить про б</w:t>
      </w:r>
      <w:r w:rsidR="00A033A9">
        <w:rPr>
          <w:rFonts w:ascii="Times New Roman" w:hAnsi="Times New Roman" w:cs="Times New Roman"/>
          <w:sz w:val="28"/>
          <w:szCs w:val="28"/>
          <w:lang w:val="en-US"/>
        </w:rPr>
        <w:t>i</w:t>
      </w:r>
      <w:r w:rsidR="00A033A9">
        <w:rPr>
          <w:rFonts w:ascii="Times New Roman" w:hAnsi="Times New Roman" w:cs="Times New Roman"/>
          <w:sz w:val="28"/>
          <w:szCs w:val="28"/>
          <w:lang w:val="uk-UA"/>
        </w:rPr>
        <w:t xml:space="preserve">льшу </w:t>
      </w:r>
      <w:r w:rsidR="0050046C">
        <w:rPr>
          <w:rFonts w:ascii="Times New Roman" w:hAnsi="Times New Roman" w:cs="Times New Roman"/>
          <w:sz w:val="28"/>
          <w:szCs w:val="28"/>
          <w:lang w:val="uk-UA"/>
        </w:rPr>
        <w:t xml:space="preserve">проатерогенну спрямованість </w:t>
      </w:r>
      <w:r w:rsidR="00A033A9">
        <w:rPr>
          <w:rFonts w:ascii="Times New Roman" w:hAnsi="Times New Roman" w:cs="Times New Roman"/>
          <w:sz w:val="28"/>
          <w:szCs w:val="28"/>
          <w:lang w:val="uk-UA"/>
        </w:rPr>
        <w:t>пор</w:t>
      </w:r>
      <w:r w:rsidR="00A033A9">
        <w:rPr>
          <w:rFonts w:ascii="Times New Roman" w:hAnsi="Times New Roman" w:cs="Times New Roman"/>
          <w:sz w:val="28"/>
          <w:szCs w:val="28"/>
          <w:lang w:val="en-US"/>
        </w:rPr>
        <w:t>i</w:t>
      </w:r>
      <w:r w:rsidR="00050854">
        <w:rPr>
          <w:rFonts w:ascii="Times New Roman" w:hAnsi="Times New Roman" w:cs="Times New Roman"/>
          <w:sz w:val="28"/>
          <w:szCs w:val="28"/>
          <w:lang w:val="uk-UA"/>
        </w:rPr>
        <w:t xml:space="preserve">вняно </w:t>
      </w:r>
      <w:r w:rsidR="009D428B" w:rsidRPr="00D15C60">
        <w:rPr>
          <w:rFonts w:ascii="Times New Roman" w:hAnsi="Times New Roman" w:cs="Times New Roman"/>
          <w:sz w:val="28"/>
          <w:szCs w:val="28"/>
          <w:lang w:val="uk-UA"/>
        </w:rPr>
        <w:t>з хворими на АГ.</w:t>
      </w:r>
      <w:r w:rsidR="009D428B">
        <w:rPr>
          <w:rFonts w:ascii="Times New Roman" w:hAnsi="Times New Roman" w:cs="Times New Roman"/>
          <w:sz w:val="28"/>
          <w:szCs w:val="28"/>
          <w:lang w:val="uk-UA"/>
        </w:rPr>
        <w:t xml:space="preserve"> </w:t>
      </w:r>
    </w:p>
    <w:p w:rsidR="007B52B0" w:rsidRDefault="00906B06"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Виявлено </w:t>
      </w:r>
      <w:r w:rsidR="009D428B" w:rsidRPr="009D428B">
        <w:rPr>
          <w:rFonts w:ascii="Times New Roman" w:hAnsi="Times New Roman" w:cs="Times New Roman"/>
          <w:sz w:val="28"/>
          <w:szCs w:val="28"/>
          <w:lang w:val="uk-UA"/>
        </w:rPr>
        <w:t>ваг</w:t>
      </w:r>
      <w:r>
        <w:rPr>
          <w:rFonts w:ascii="Times New Roman" w:hAnsi="Times New Roman" w:cs="Times New Roman"/>
          <w:sz w:val="28"/>
          <w:szCs w:val="28"/>
          <w:lang w:val="uk-UA"/>
        </w:rPr>
        <w:t>ому</w:t>
      </w:r>
      <w:r w:rsidR="0008760D">
        <w:rPr>
          <w:rFonts w:ascii="Times New Roman" w:hAnsi="Times New Roman" w:cs="Times New Roman"/>
          <w:sz w:val="28"/>
          <w:szCs w:val="28"/>
          <w:lang w:val="uk-UA"/>
        </w:rPr>
        <w:t xml:space="preserve"> рол</w:t>
      </w:r>
      <w:r>
        <w:rPr>
          <w:rFonts w:ascii="Times New Roman" w:hAnsi="Times New Roman" w:cs="Times New Roman"/>
          <w:sz w:val="28"/>
          <w:szCs w:val="28"/>
          <w:lang w:val="uk-UA"/>
        </w:rPr>
        <w:t>ь</w:t>
      </w:r>
      <w:r w:rsidR="0008760D">
        <w:rPr>
          <w:rFonts w:ascii="Times New Roman" w:hAnsi="Times New Roman" w:cs="Times New Roman"/>
          <w:sz w:val="28"/>
          <w:szCs w:val="28"/>
          <w:lang w:val="uk-UA"/>
        </w:rPr>
        <w:t xml:space="preserve"> ендотел</w:t>
      </w:r>
      <w:r w:rsidR="0008760D">
        <w:rPr>
          <w:rFonts w:ascii="Times New Roman" w:hAnsi="Times New Roman" w:cs="Times New Roman"/>
          <w:sz w:val="28"/>
          <w:szCs w:val="28"/>
          <w:lang w:val="en-US"/>
        </w:rPr>
        <w:t>i</w:t>
      </w:r>
      <w:r w:rsidR="009D428B">
        <w:rPr>
          <w:rFonts w:ascii="Times New Roman" w:hAnsi="Times New Roman" w:cs="Times New Roman"/>
          <w:sz w:val="28"/>
          <w:szCs w:val="28"/>
          <w:lang w:val="uk-UA"/>
        </w:rPr>
        <w:t xml:space="preserve">ю </w:t>
      </w:r>
      <w:r w:rsidR="0008760D">
        <w:rPr>
          <w:rFonts w:ascii="Times New Roman" w:hAnsi="Times New Roman" w:cs="Times New Roman"/>
          <w:sz w:val="28"/>
          <w:szCs w:val="28"/>
          <w:lang w:val="uk-UA"/>
        </w:rPr>
        <w:t xml:space="preserve">в </w:t>
      </w:r>
      <w:r w:rsidR="0050046C">
        <w:rPr>
          <w:rFonts w:ascii="Times New Roman" w:hAnsi="Times New Roman" w:cs="Times New Roman"/>
          <w:sz w:val="28"/>
          <w:szCs w:val="28"/>
          <w:lang w:val="uk-UA"/>
        </w:rPr>
        <w:t>розвитку порушення функції нирок</w:t>
      </w:r>
      <w:r w:rsidR="00417D08">
        <w:rPr>
          <w:rFonts w:ascii="Times New Roman" w:hAnsi="Times New Roman" w:cs="Times New Roman"/>
          <w:sz w:val="28"/>
          <w:szCs w:val="28"/>
          <w:lang w:val="uk-UA"/>
        </w:rPr>
        <w:t xml:space="preserve"> на підставі </w:t>
      </w:r>
      <w:r w:rsidR="009D428B" w:rsidRPr="009D428B">
        <w:rPr>
          <w:rFonts w:ascii="Times New Roman" w:hAnsi="Times New Roman" w:cs="Times New Roman"/>
          <w:sz w:val="28"/>
          <w:szCs w:val="28"/>
          <w:lang w:val="uk-UA"/>
        </w:rPr>
        <w:t>зроста</w:t>
      </w:r>
      <w:r w:rsidR="0008760D">
        <w:rPr>
          <w:rFonts w:ascii="Times New Roman" w:hAnsi="Times New Roman" w:cs="Times New Roman"/>
          <w:sz w:val="28"/>
          <w:szCs w:val="28"/>
          <w:lang w:val="uk-UA"/>
        </w:rPr>
        <w:t xml:space="preserve">ння </w:t>
      </w:r>
      <w:r w:rsidR="00280B0C">
        <w:rPr>
          <w:rFonts w:ascii="Times New Roman" w:hAnsi="Times New Roman" w:cs="Times New Roman"/>
          <w:sz w:val="28"/>
          <w:szCs w:val="28"/>
          <w:lang w:val="uk-UA"/>
        </w:rPr>
        <w:t xml:space="preserve">вмісту </w:t>
      </w:r>
      <w:r w:rsidR="001E29C5">
        <w:rPr>
          <w:rFonts w:ascii="Times New Roman" w:hAnsi="Times New Roman" w:cs="Times New Roman"/>
          <w:sz w:val="28"/>
          <w:szCs w:val="28"/>
          <w:lang w:val="uk-UA"/>
        </w:rPr>
        <w:t>ЕТ-</w:t>
      </w:r>
      <w:r w:rsidR="001E29C5" w:rsidRPr="001E29C5">
        <w:rPr>
          <w:rFonts w:ascii="Times New Roman" w:hAnsi="Times New Roman" w:cs="Times New Roman"/>
          <w:sz w:val="28"/>
          <w:szCs w:val="28"/>
          <w:lang w:val="uk-UA"/>
        </w:rPr>
        <w:t>1</w:t>
      </w:r>
      <w:r w:rsidR="000A0D71" w:rsidRPr="000A0D71">
        <w:rPr>
          <w:rFonts w:ascii="Times New Roman" w:hAnsi="Times New Roman" w:cs="Times New Roman"/>
          <w:sz w:val="28"/>
          <w:szCs w:val="28"/>
          <w:lang w:val="uk-UA"/>
        </w:rPr>
        <w:t xml:space="preserve"> </w:t>
      </w:r>
      <w:r w:rsidR="0008760D">
        <w:rPr>
          <w:rFonts w:ascii="Times New Roman" w:hAnsi="Times New Roman" w:cs="Times New Roman"/>
          <w:sz w:val="28"/>
          <w:szCs w:val="28"/>
          <w:lang w:val="uk-UA"/>
        </w:rPr>
        <w:t>у м</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ру зб</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льшення  альбум</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нур</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 xml:space="preserve">ї та </w:t>
      </w:r>
      <w:r w:rsidR="001E29C5">
        <w:rPr>
          <w:rFonts w:ascii="Times New Roman" w:hAnsi="Times New Roman" w:cs="Times New Roman"/>
          <w:sz w:val="28"/>
          <w:szCs w:val="28"/>
          <w:lang w:val="uk-UA"/>
        </w:rPr>
        <w:t>HbA1с</w:t>
      </w:r>
      <w:r w:rsidR="0008760D">
        <w:rPr>
          <w:rFonts w:ascii="Times New Roman" w:hAnsi="Times New Roman" w:cs="Times New Roman"/>
          <w:sz w:val="28"/>
          <w:szCs w:val="28"/>
          <w:lang w:val="uk-UA"/>
        </w:rPr>
        <w:t xml:space="preserve">. </w:t>
      </w:r>
      <w:r w:rsidR="007B52B0">
        <w:rPr>
          <w:rFonts w:ascii="Times New Roman" w:hAnsi="Times New Roman" w:cs="Times New Roman"/>
          <w:sz w:val="28"/>
          <w:szCs w:val="28"/>
          <w:lang w:val="uk-UA"/>
        </w:rPr>
        <w:t xml:space="preserve"> </w:t>
      </w:r>
    </w:p>
    <w:p w:rsidR="007B52B0" w:rsidRDefault="0008760D"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Установлено зб</w:t>
      </w:r>
      <w:r>
        <w:rPr>
          <w:rFonts w:ascii="Times New Roman" w:hAnsi="Times New Roman" w:cs="Times New Roman"/>
          <w:sz w:val="28"/>
          <w:szCs w:val="28"/>
          <w:lang w:val="en-US"/>
        </w:rPr>
        <w:t>i</w:t>
      </w:r>
      <w:r>
        <w:rPr>
          <w:rFonts w:ascii="Times New Roman" w:hAnsi="Times New Roman" w:cs="Times New Roman"/>
          <w:sz w:val="28"/>
          <w:szCs w:val="28"/>
          <w:lang w:val="uk-UA"/>
        </w:rPr>
        <w:t>льшення 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дсотка </w:t>
      </w:r>
      <w:r w:rsidR="00280B0C">
        <w:rPr>
          <w:rFonts w:ascii="Times New Roman" w:hAnsi="Times New Roman" w:cs="Times New Roman"/>
          <w:sz w:val="28"/>
          <w:szCs w:val="28"/>
          <w:lang w:val="uk-UA"/>
        </w:rPr>
        <w:t xml:space="preserve">пацієнтів </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з к</w:t>
      </w:r>
      <w:r>
        <w:rPr>
          <w:rFonts w:ascii="Times New Roman" w:hAnsi="Times New Roman" w:cs="Times New Roman"/>
          <w:sz w:val="28"/>
          <w:szCs w:val="28"/>
          <w:lang w:val="uk-UA"/>
        </w:rPr>
        <w:t>онцентричною та ексцентричною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єю ЛШ при АГ</w:t>
      </w:r>
      <w:r>
        <w:rPr>
          <w:rFonts w:ascii="Times New Roman" w:hAnsi="Times New Roman" w:cs="Times New Roman"/>
          <w:sz w:val="28"/>
          <w:szCs w:val="28"/>
          <w:lang w:val="uk-UA"/>
        </w:rPr>
        <w:t xml:space="preserve"> та супутньому ЦД 2-го типу пор</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вняно з </w:t>
      </w:r>
      <w:r w:rsidR="009D428B" w:rsidRPr="009D428B">
        <w:rPr>
          <w:rFonts w:ascii="Times New Roman" w:hAnsi="Times New Roman" w:cs="Times New Roman"/>
          <w:sz w:val="28"/>
          <w:szCs w:val="28"/>
          <w:lang w:val="uk-UA"/>
        </w:rPr>
        <w:t>АГ.</w:t>
      </w:r>
      <w:r w:rsidR="009D428B">
        <w:rPr>
          <w:rFonts w:ascii="Times New Roman" w:hAnsi="Times New Roman" w:cs="Times New Roman"/>
          <w:sz w:val="28"/>
          <w:szCs w:val="28"/>
          <w:lang w:val="uk-UA"/>
        </w:rPr>
        <w:t xml:space="preserve"> </w:t>
      </w:r>
    </w:p>
    <w:p w:rsidR="007B52B0" w:rsidRDefault="00990F95"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Доведена роль порушення функціонального стану</w:t>
      </w:r>
      <w:r w:rsidR="0008760D">
        <w:rPr>
          <w:rFonts w:ascii="Times New Roman" w:hAnsi="Times New Roman" w:cs="Times New Roman"/>
          <w:sz w:val="28"/>
          <w:szCs w:val="28"/>
          <w:lang w:val="uk-UA"/>
        </w:rPr>
        <w:t xml:space="preserve"> ендотел</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ю у прогресуванн</w:t>
      </w:r>
      <w:r w:rsidR="0008760D">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08760D">
        <w:rPr>
          <w:rFonts w:ascii="Times New Roman" w:hAnsi="Times New Roman" w:cs="Times New Roman"/>
          <w:sz w:val="28"/>
          <w:szCs w:val="28"/>
          <w:lang w:val="uk-UA"/>
        </w:rPr>
        <w:t>недостатност</w:t>
      </w:r>
      <w:r w:rsidR="0008760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 ЛШ. </w:t>
      </w:r>
    </w:p>
    <w:p w:rsidR="007B52B0" w:rsidRDefault="00906B06" w:rsidP="007B52B0">
      <w:pPr>
        <w:spacing w:after="0" w:line="360" w:lineRule="auto"/>
        <w:ind w:firstLine="708"/>
        <w:jc w:val="both"/>
        <w:rPr>
          <w:rFonts w:ascii="Times New Roman" w:hAnsi="Times New Roman" w:cs="Times New Roman"/>
          <w:sz w:val="28"/>
          <w:szCs w:val="28"/>
          <w:lang w:val="uk-UA"/>
        </w:rPr>
      </w:pPr>
      <w:r w:rsidRPr="00906B06">
        <w:rPr>
          <w:rFonts w:ascii="Times New Roman" w:hAnsi="Times New Roman" w:cs="Times New Roman"/>
          <w:sz w:val="28"/>
          <w:szCs w:val="28"/>
          <w:lang w:val="uk-UA"/>
        </w:rPr>
        <w:t xml:space="preserve">Обґрунтовано </w:t>
      </w:r>
      <w:r w:rsidR="0008760D">
        <w:rPr>
          <w:rFonts w:ascii="Times New Roman" w:hAnsi="Times New Roman" w:cs="Times New Roman"/>
          <w:sz w:val="28"/>
          <w:szCs w:val="28"/>
          <w:lang w:val="uk-UA"/>
        </w:rPr>
        <w:t>доц</w:t>
      </w:r>
      <w:r w:rsidR="0008760D">
        <w:rPr>
          <w:rFonts w:ascii="Times New Roman" w:hAnsi="Times New Roman" w:cs="Times New Roman"/>
          <w:sz w:val="28"/>
          <w:szCs w:val="28"/>
          <w:lang w:val="en-US"/>
        </w:rPr>
        <w:t>i</w:t>
      </w:r>
      <w:r>
        <w:rPr>
          <w:rFonts w:ascii="Times New Roman" w:hAnsi="Times New Roman" w:cs="Times New Roman"/>
          <w:sz w:val="28"/>
          <w:szCs w:val="28"/>
          <w:lang w:val="uk-UA"/>
        </w:rPr>
        <w:t>льні</w:t>
      </w:r>
      <w:r w:rsidR="0008760D">
        <w:rPr>
          <w:rFonts w:ascii="Times New Roman" w:hAnsi="Times New Roman" w:cs="Times New Roman"/>
          <w:sz w:val="28"/>
          <w:szCs w:val="28"/>
          <w:lang w:val="uk-UA"/>
        </w:rPr>
        <w:t>ст</w:t>
      </w:r>
      <w:r>
        <w:rPr>
          <w:rFonts w:ascii="Times New Roman" w:hAnsi="Times New Roman" w:cs="Times New Roman"/>
          <w:sz w:val="28"/>
          <w:szCs w:val="28"/>
          <w:lang w:val="uk-UA"/>
        </w:rPr>
        <w:t>ь</w:t>
      </w:r>
      <w:r w:rsidR="0008760D">
        <w:rPr>
          <w:rFonts w:ascii="Times New Roman" w:hAnsi="Times New Roman" w:cs="Times New Roman"/>
          <w:sz w:val="28"/>
          <w:szCs w:val="28"/>
          <w:lang w:val="uk-UA"/>
        </w:rPr>
        <w:t xml:space="preserve"> визначення </w:t>
      </w:r>
      <w:r w:rsidR="00280B0C">
        <w:rPr>
          <w:rFonts w:ascii="Times New Roman" w:hAnsi="Times New Roman" w:cs="Times New Roman"/>
          <w:sz w:val="28"/>
          <w:szCs w:val="28"/>
          <w:lang w:val="uk-UA"/>
        </w:rPr>
        <w:t xml:space="preserve">концентрації </w:t>
      </w:r>
      <w:r w:rsidR="0008760D">
        <w:rPr>
          <w:rFonts w:ascii="Times New Roman" w:hAnsi="Times New Roman" w:cs="Times New Roman"/>
          <w:sz w:val="28"/>
          <w:szCs w:val="28"/>
          <w:lang w:val="uk-UA"/>
        </w:rPr>
        <w:t xml:space="preserve">sVCAM-1 </w:t>
      </w:r>
      <w:r w:rsidR="00280B0C">
        <w:rPr>
          <w:rFonts w:ascii="Times New Roman" w:hAnsi="Times New Roman" w:cs="Times New Roman"/>
          <w:sz w:val="28"/>
          <w:szCs w:val="28"/>
          <w:lang w:val="uk-UA"/>
        </w:rPr>
        <w:t xml:space="preserve">в </w:t>
      </w:r>
      <w:r w:rsidR="0008760D">
        <w:rPr>
          <w:rFonts w:ascii="Times New Roman" w:hAnsi="Times New Roman" w:cs="Times New Roman"/>
          <w:sz w:val="28"/>
          <w:szCs w:val="28"/>
          <w:lang w:val="uk-UA"/>
        </w:rPr>
        <w:t>як</w:t>
      </w:r>
      <w:r w:rsidR="00280B0C">
        <w:rPr>
          <w:rFonts w:ascii="Times New Roman" w:hAnsi="Times New Roman" w:cs="Times New Roman"/>
          <w:sz w:val="28"/>
          <w:szCs w:val="28"/>
          <w:lang w:val="uk-UA"/>
        </w:rPr>
        <w:t>ості</w:t>
      </w:r>
      <w:r w:rsidR="00990F95">
        <w:rPr>
          <w:rFonts w:ascii="Times New Roman" w:hAnsi="Times New Roman" w:cs="Times New Roman"/>
          <w:sz w:val="28"/>
          <w:szCs w:val="28"/>
          <w:lang w:val="uk-UA"/>
        </w:rPr>
        <w:t xml:space="preserve"> маркера </w:t>
      </w:r>
      <w:r w:rsidR="0008760D">
        <w:rPr>
          <w:rFonts w:ascii="Times New Roman" w:hAnsi="Times New Roman" w:cs="Times New Roman"/>
          <w:sz w:val="28"/>
          <w:szCs w:val="28"/>
          <w:lang w:val="uk-UA"/>
        </w:rPr>
        <w:t>функц</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ї ендотел</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 xml:space="preserve">ю та </w:t>
      </w:r>
      <w:r w:rsidR="0008760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му</w:t>
      </w:r>
      <w:r w:rsidR="0008760D">
        <w:rPr>
          <w:rFonts w:ascii="Times New Roman" w:hAnsi="Times New Roman" w:cs="Times New Roman"/>
          <w:sz w:val="28"/>
          <w:szCs w:val="28"/>
          <w:lang w:val="uk-UA"/>
        </w:rPr>
        <w:t>нозапального статусу пац</w:t>
      </w:r>
      <w:r w:rsidR="0008760D">
        <w:rPr>
          <w:rFonts w:ascii="Times New Roman" w:hAnsi="Times New Roman" w:cs="Times New Roman"/>
          <w:sz w:val="28"/>
          <w:szCs w:val="28"/>
          <w:lang w:val="en-US"/>
        </w:rPr>
        <w:t>i</w:t>
      </w:r>
      <w:r w:rsidR="0008760D">
        <w:rPr>
          <w:rFonts w:ascii="Times New Roman" w:hAnsi="Times New Roman" w:cs="Times New Roman"/>
          <w:sz w:val="28"/>
          <w:szCs w:val="28"/>
          <w:lang w:val="uk-UA"/>
        </w:rPr>
        <w:t>єнт</w:t>
      </w:r>
      <w:r w:rsidR="0008760D">
        <w:rPr>
          <w:rFonts w:ascii="Times New Roman" w:hAnsi="Times New Roman" w:cs="Times New Roman"/>
          <w:sz w:val="28"/>
          <w:szCs w:val="28"/>
          <w:lang w:val="en-US"/>
        </w:rPr>
        <w:t>i</w:t>
      </w:r>
      <w:r w:rsidR="00390885">
        <w:rPr>
          <w:rFonts w:ascii="Times New Roman" w:hAnsi="Times New Roman" w:cs="Times New Roman"/>
          <w:sz w:val="28"/>
          <w:szCs w:val="28"/>
          <w:lang w:val="uk-UA"/>
        </w:rPr>
        <w:t xml:space="preserve">в </w:t>
      </w:r>
      <w:r w:rsidR="00280B0C">
        <w:rPr>
          <w:rFonts w:ascii="Times New Roman" w:hAnsi="Times New Roman" w:cs="Times New Roman"/>
          <w:sz w:val="28"/>
          <w:szCs w:val="28"/>
          <w:lang w:val="uk-UA"/>
        </w:rPr>
        <w:t>і</w:t>
      </w:r>
      <w:r w:rsidR="0008760D">
        <w:rPr>
          <w:rFonts w:ascii="Times New Roman" w:hAnsi="Times New Roman" w:cs="Times New Roman"/>
          <w:sz w:val="28"/>
          <w:szCs w:val="28"/>
          <w:lang w:val="uk-UA"/>
        </w:rPr>
        <w:t>з АГ та супутн</w:t>
      </w:r>
      <w:r w:rsidR="0008760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м ЦД 2-го типу.</w:t>
      </w:r>
      <w:r w:rsidR="009D42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Виявлено </w:t>
      </w:r>
      <w:r w:rsidR="00922E9A">
        <w:rPr>
          <w:rFonts w:ascii="Times New Roman" w:hAnsi="Times New Roman" w:cs="Times New Roman"/>
          <w:sz w:val="28"/>
          <w:szCs w:val="28"/>
          <w:lang w:val="uk-UA"/>
        </w:rPr>
        <w:t xml:space="preserve">значення </w:t>
      </w:r>
      <w:r w:rsidR="00922E9A">
        <w:rPr>
          <w:rFonts w:ascii="Times New Roman" w:hAnsi="Times New Roman" w:cs="Times New Roman"/>
          <w:sz w:val="28"/>
          <w:szCs w:val="28"/>
          <w:lang w:val="en-US"/>
        </w:rPr>
        <w:t>i</w:t>
      </w:r>
      <w:r w:rsidR="00922E9A">
        <w:rPr>
          <w:rFonts w:ascii="Times New Roman" w:hAnsi="Times New Roman" w:cs="Times New Roman"/>
          <w:sz w:val="28"/>
          <w:szCs w:val="28"/>
          <w:lang w:val="uk-UA"/>
        </w:rPr>
        <w:t>мунозапальних механ</w:t>
      </w:r>
      <w:r w:rsidR="00922E9A">
        <w:rPr>
          <w:rFonts w:ascii="Times New Roman" w:hAnsi="Times New Roman" w:cs="Times New Roman"/>
          <w:sz w:val="28"/>
          <w:szCs w:val="28"/>
          <w:lang w:val="en-US"/>
        </w:rPr>
        <w:t>i</w:t>
      </w:r>
      <w:r w:rsidR="00922E9A">
        <w:rPr>
          <w:rFonts w:ascii="Times New Roman" w:hAnsi="Times New Roman" w:cs="Times New Roman"/>
          <w:sz w:val="28"/>
          <w:szCs w:val="28"/>
          <w:lang w:val="uk-UA"/>
        </w:rPr>
        <w:t>зм</w:t>
      </w:r>
      <w:r w:rsidR="00922E9A">
        <w:rPr>
          <w:rFonts w:ascii="Times New Roman" w:hAnsi="Times New Roman" w:cs="Times New Roman"/>
          <w:sz w:val="28"/>
          <w:szCs w:val="28"/>
          <w:lang w:val="en-US"/>
        </w:rPr>
        <w:t>i</w:t>
      </w:r>
      <w:r w:rsidR="00922E9A">
        <w:rPr>
          <w:rFonts w:ascii="Times New Roman" w:hAnsi="Times New Roman" w:cs="Times New Roman"/>
          <w:sz w:val="28"/>
          <w:szCs w:val="28"/>
          <w:lang w:val="uk-UA"/>
        </w:rPr>
        <w:t xml:space="preserve">в </w:t>
      </w:r>
      <w:r w:rsidR="002F73F7">
        <w:rPr>
          <w:rFonts w:ascii="Times New Roman" w:hAnsi="Times New Roman" w:cs="Times New Roman"/>
          <w:sz w:val="28"/>
          <w:szCs w:val="28"/>
          <w:lang w:val="uk-UA"/>
        </w:rPr>
        <w:t xml:space="preserve">           </w:t>
      </w:r>
      <w:r w:rsidR="00922E9A">
        <w:rPr>
          <w:rFonts w:ascii="Times New Roman" w:hAnsi="Times New Roman" w:cs="Times New Roman"/>
          <w:sz w:val="28"/>
          <w:szCs w:val="28"/>
          <w:lang w:val="uk-UA"/>
        </w:rPr>
        <w:t>у порушенн</w:t>
      </w:r>
      <w:r w:rsidR="00922E9A">
        <w:rPr>
          <w:rFonts w:ascii="Times New Roman" w:hAnsi="Times New Roman" w:cs="Times New Roman"/>
          <w:sz w:val="28"/>
          <w:szCs w:val="28"/>
          <w:lang w:val="en-US"/>
        </w:rPr>
        <w:t>i</w:t>
      </w:r>
      <w:r w:rsidR="00922E9A">
        <w:rPr>
          <w:rFonts w:ascii="Times New Roman" w:hAnsi="Times New Roman" w:cs="Times New Roman"/>
          <w:sz w:val="28"/>
          <w:szCs w:val="28"/>
          <w:lang w:val="uk-UA"/>
        </w:rPr>
        <w:t xml:space="preserve"> кард</w:t>
      </w:r>
      <w:r w:rsidR="00922E9A">
        <w:rPr>
          <w:rFonts w:ascii="Times New Roman" w:hAnsi="Times New Roman" w:cs="Times New Roman"/>
          <w:sz w:val="28"/>
          <w:szCs w:val="28"/>
          <w:lang w:val="en-US"/>
        </w:rPr>
        <w:t>i</w:t>
      </w:r>
      <w:r w:rsidR="007530AD">
        <w:rPr>
          <w:rFonts w:ascii="Times New Roman" w:hAnsi="Times New Roman" w:cs="Times New Roman"/>
          <w:sz w:val="28"/>
          <w:szCs w:val="28"/>
          <w:lang w:val="uk-UA"/>
        </w:rPr>
        <w:t>оваскулярної функц</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ї</w:t>
      </w:r>
      <w:r w:rsidR="007530AD">
        <w:rPr>
          <w:rFonts w:ascii="Times New Roman" w:hAnsi="Times New Roman" w:cs="Times New Roman"/>
          <w:sz w:val="28"/>
          <w:szCs w:val="28"/>
          <w:lang w:val="uk-UA"/>
        </w:rPr>
        <w:t xml:space="preserve">. </w:t>
      </w:r>
    </w:p>
    <w:p w:rsidR="00B300E5" w:rsidRDefault="007530AD"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Установлено зростання </w:t>
      </w:r>
      <w:r w:rsidR="00280B0C">
        <w:rPr>
          <w:rFonts w:ascii="Times New Roman" w:hAnsi="Times New Roman" w:cs="Times New Roman"/>
          <w:sz w:val="28"/>
          <w:szCs w:val="28"/>
          <w:lang w:val="uk-UA"/>
        </w:rPr>
        <w:t xml:space="preserve">вмісту </w:t>
      </w:r>
      <w:r w:rsidR="00DE2629">
        <w:rPr>
          <w:rFonts w:ascii="Times New Roman" w:hAnsi="Times New Roman" w:cs="Times New Roman"/>
          <w:sz w:val="28"/>
          <w:szCs w:val="28"/>
          <w:lang w:val="uk-UA"/>
        </w:rPr>
        <w:t>ФНП-α</w:t>
      </w:r>
      <w:r>
        <w:rPr>
          <w:rFonts w:ascii="Times New Roman" w:hAnsi="Times New Roman" w:cs="Times New Roman"/>
          <w:sz w:val="28"/>
          <w:szCs w:val="28"/>
          <w:lang w:val="uk-UA"/>
        </w:rPr>
        <w:t xml:space="preserve"> у м</w:t>
      </w:r>
      <w:r>
        <w:rPr>
          <w:rFonts w:ascii="Times New Roman" w:hAnsi="Times New Roman" w:cs="Times New Roman"/>
          <w:sz w:val="28"/>
          <w:szCs w:val="28"/>
          <w:lang w:val="en-US"/>
        </w:rPr>
        <w:t>i</w:t>
      </w:r>
      <w:r>
        <w:rPr>
          <w:rFonts w:ascii="Times New Roman" w:hAnsi="Times New Roman" w:cs="Times New Roman"/>
          <w:sz w:val="28"/>
          <w:szCs w:val="28"/>
          <w:lang w:val="uk-UA"/>
        </w:rPr>
        <w:t>ру прогресування функц</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он</w:t>
      </w:r>
      <w:r>
        <w:rPr>
          <w:rFonts w:ascii="Times New Roman" w:hAnsi="Times New Roman" w:cs="Times New Roman"/>
          <w:sz w:val="28"/>
          <w:szCs w:val="28"/>
          <w:lang w:val="uk-UA"/>
        </w:rPr>
        <w:t>альної недостатност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ЛШ </w:t>
      </w:r>
      <w:r w:rsidR="00280B0C">
        <w:rPr>
          <w:rFonts w:ascii="Times New Roman" w:hAnsi="Times New Roman" w:cs="Times New Roman"/>
          <w:sz w:val="28"/>
          <w:szCs w:val="28"/>
          <w:lang w:val="uk-UA"/>
        </w:rPr>
        <w:t>у пацієнтів і</w:t>
      </w:r>
      <w:r w:rsidR="002F73F7">
        <w:rPr>
          <w:rFonts w:ascii="Times New Roman" w:hAnsi="Times New Roman" w:cs="Times New Roman"/>
          <w:sz w:val="28"/>
          <w:szCs w:val="28"/>
          <w:lang w:val="uk-UA"/>
        </w:rPr>
        <w:t>з АГ та ЦД 2-го типу</w:t>
      </w:r>
      <w:r w:rsidR="009D428B" w:rsidRPr="009D428B">
        <w:rPr>
          <w:rFonts w:ascii="Times New Roman" w:hAnsi="Times New Roman" w:cs="Times New Roman"/>
          <w:sz w:val="28"/>
          <w:szCs w:val="28"/>
          <w:lang w:val="uk-UA"/>
        </w:rPr>
        <w:t>.</w:t>
      </w:r>
    </w:p>
    <w:p w:rsidR="00B300E5" w:rsidRDefault="007530AD"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розрахунку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ММЛШ </w:t>
      </w:r>
      <w:r w:rsidR="00CC6D90">
        <w:rPr>
          <w:rFonts w:ascii="Times New Roman" w:hAnsi="Times New Roman" w:cs="Times New Roman"/>
          <w:sz w:val="28"/>
          <w:szCs w:val="28"/>
          <w:lang w:val="uk-UA"/>
        </w:rPr>
        <w:t xml:space="preserve">у хворих на </w:t>
      </w:r>
      <w:r>
        <w:rPr>
          <w:rFonts w:ascii="Times New Roman" w:hAnsi="Times New Roman" w:cs="Times New Roman"/>
          <w:sz w:val="28"/>
          <w:szCs w:val="28"/>
          <w:lang w:val="uk-UA"/>
        </w:rPr>
        <w:t xml:space="preserve">АГ та </w:t>
      </w:r>
      <w:r w:rsidR="002F73F7">
        <w:rPr>
          <w:rFonts w:ascii="Times New Roman" w:hAnsi="Times New Roman" w:cs="Times New Roman"/>
          <w:sz w:val="28"/>
          <w:szCs w:val="28"/>
          <w:lang w:val="uk-UA"/>
        </w:rPr>
        <w:t xml:space="preserve">ЦД 2-го типу </w:t>
      </w:r>
      <w:r>
        <w:rPr>
          <w:rFonts w:ascii="Times New Roman" w:hAnsi="Times New Roman" w:cs="Times New Roman"/>
          <w:sz w:val="28"/>
          <w:szCs w:val="28"/>
          <w:lang w:val="uk-UA"/>
        </w:rPr>
        <w:t>обґрунтовано доц</w:t>
      </w:r>
      <w:r>
        <w:rPr>
          <w:rFonts w:ascii="Times New Roman" w:hAnsi="Times New Roman" w:cs="Times New Roman"/>
          <w:sz w:val="28"/>
          <w:szCs w:val="28"/>
          <w:lang w:val="en-US"/>
        </w:rPr>
        <w:t>i</w:t>
      </w:r>
      <w:r>
        <w:rPr>
          <w:rFonts w:ascii="Times New Roman" w:hAnsi="Times New Roman" w:cs="Times New Roman"/>
          <w:sz w:val="28"/>
          <w:szCs w:val="28"/>
          <w:lang w:val="uk-UA"/>
        </w:rPr>
        <w:t>льн</w:t>
      </w:r>
      <w:r>
        <w:rPr>
          <w:rFonts w:ascii="Times New Roman" w:hAnsi="Times New Roman" w:cs="Times New Roman"/>
          <w:sz w:val="28"/>
          <w:szCs w:val="28"/>
          <w:lang w:val="en-US"/>
        </w:rPr>
        <w:t>i</w:t>
      </w:r>
      <w:r>
        <w:rPr>
          <w:rFonts w:ascii="Times New Roman" w:hAnsi="Times New Roman" w:cs="Times New Roman"/>
          <w:sz w:val="28"/>
          <w:szCs w:val="28"/>
          <w:lang w:val="uk-UA"/>
        </w:rPr>
        <w:t>сть використання саме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дношення </w:t>
      </w:r>
      <w:r w:rsidR="00DE2629">
        <w:rPr>
          <w:rFonts w:ascii="Times New Roman" w:hAnsi="Times New Roman" w:cs="Times New Roman"/>
          <w:sz w:val="28"/>
          <w:szCs w:val="28"/>
          <w:lang w:val="uk-UA"/>
        </w:rPr>
        <w:t>ММЛШ</w:t>
      </w:r>
      <w:r>
        <w:rPr>
          <w:rFonts w:ascii="Times New Roman" w:hAnsi="Times New Roman" w:cs="Times New Roman"/>
          <w:sz w:val="28"/>
          <w:szCs w:val="28"/>
          <w:lang w:val="uk-UA"/>
        </w:rPr>
        <w:t xml:space="preserve"> до зросту в степен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2,7 з метою уникнення г</w:t>
      </w:r>
      <w:r>
        <w:rPr>
          <w:rFonts w:ascii="Times New Roman" w:hAnsi="Times New Roman" w:cs="Times New Roman"/>
          <w:sz w:val="28"/>
          <w:szCs w:val="28"/>
          <w:lang w:val="en-US"/>
        </w:rPr>
        <w:t>i</w:t>
      </w:r>
      <w:r>
        <w:rPr>
          <w:rFonts w:ascii="Times New Roman" w:hAnsi="Times New Roman" w:cs="Times New Roman"/>
          <w:sz w:val="28"/>
          <w:szCs w:val="28"/>
          <w:lang w:val="uk-UA"/>
        </w:rPr>
        <w:t>под</w:t>
      </w:r>
      <w:r>
        <w:rPr>
          <w:rFonts w:ascii="Times New Roman" w:hAnsi="Times New Roman" w:cs="Times New Roman"/>
          <w:sz w:val="28"/>
          <w:szCs w:val="28"/>
          <w:lang w:val="en-US"/>
        </w:rPr>
        <w:t>i</w:t>
      </w:r>
      <w:r>
        <w:rPr>
          <w:rFonts w:ascii="Times New Roman" w:hAnsi="Times New Roman" w:cs="Times New Roman"/>
          <w:sz w:val="28"/>
          <w:szCs w:val="28"/>
          <w:lang w:val="uk-UA"/>
        </w:rPr>
        <w:t>агностики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Pr>
          <w:rFonts w:ascii="Times New Roman" w:hAnsi="Times New Roman" w:cs="Times New Roman"/>
          <w:sz w:val="28"/>
          <w:szCs w:val="28"/>
          <w:lang w:val="uk-UA"/>
        </w:rPr>
        <w:t>ї м</w:t>
      </w:r>
      <w:r>
        <w:rPr>
          <w:rFonts w:ascii="Times New Roman" w:hAnsi="Times New Roman" w:cs="Times New Roman"/>
          <w:sz w:val="28"/>
          <w:szCs w:val="28"/>
          <w:lang w:val="en-US"/>
        </w:rPr>
        <w:t>i</w:t>
      </w:r>
      <w:r>
        <w:rPr>
          <w:rFonts w:ascii="Times New Roman" w:hAnsi="Times New Roman" w:cs="Times New Roman"/>
          <w:sz w:val="28"/>
          <w:szCs w:val="28"/>
          <w:lang w:val="uk-UA"/>
        </w:rPr>
        <w:t>окарда ЛШ, зважаючи на наявн</w:t>
      </w:r>
      <w:r>
        <w:rPr>
          <w:rFonts w:ascii="Times New Roman" w:hAnsi="Times New Roman" w:cs="Times New Roman"/>
          <w:sz w:val="28"/>
          <w:szCs w:val="28"/>
          <w:lang w:val="en-US"/>
        </w:rPr>
        <w:t>i</w:t>
      </w:r>
      <w:r>
        <w:rPr>
          <w:rFonts w:ascii="Times New Roman" w:hAnsi="Times New Roman" w:cs="Times New Roman"/>
          <w:sz w:val="28"/>
          <w:szCs w:val="28"/>
          <w:lang w:val="uk-UA"/>
        </w:rPr>
        <w:t>сть супутнього ожир</w:t>
      </w:r>
      <w:r>
        <w:rPr>
          <w:rFonts w:ascii="Times New Roman" w:hAnsi="Times New Roman" w:cs="Times New Roman"/>
          <w:sz w:val="28"/>
          <w:szCs w:val="28"/>
          <w:lang w:val="en-US"/>
        </w:rPr>
        <w:t>i</w:t>
      </w:r>
      <w:r>
        <w:rPr>
          <w:rFonts w:ascii="Times New Roman" w:hAnsi="Times New Roman" w:cs="Times New Roman"/>
          <w:sz w:val="28"/>
          <w:szCs w:val="28"/>
          <w:lang w:val="uk-UA"/>
        </w:rPr>
        <w:t>ння</w:t>
      </w:r>
      <w:r w:rsidR="009D428B" w:rsidRPr="009D428B">
        <w:rPr>
          <w:rFonts w:ascii="Times New Roman" w:hAnsi="Times New Roman" w:cs="Times New Roman"/>
          <w:sz w:val="28"/>
          <w:szCs w:val="28"/>
          <w:lang w:val="uk-UA"/>
        </w:rPr>
        <w:t>.</w:t>
      </w:r>
      <w:r w:rsidR="009D428B">
        <w:rPr>
          <w:rFonts w:ascii="Times New Roman" w:hAnsi="Times New Roman" w:cs="Times New Roman"/>
          <w:sz w:val="28"/>
          <w:szCs w:val="28"/>
          <w:lang w:val="uk-UA"/>
        </w:rPr>
        <w:t xml:space="preserve"> </w:t>
      </w:r>
    </w:p>
    <w:p w:rsidR="00B300E5" w:rsidRDefault="00B53621"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53621">
        <w:rPr>
          <w:rFonts w:ascii="Times New Roman" w:hAnsi="Times New Roman" w:cs="Times New Roman"/>
          <w:sz w:val="28"/>
          <w:szCs w:val="28"/>
          <w:lang w:val="uk-UA"/>
        </w:rPr>
        <w:t xml:space="preserve"> пацієнтів із АГ та ЦД 2-го типу в міру збільшення вмісту сечової кислоти в крові зростає співвідношення альбуміну до креатиніну в сечі,</w:t>
      </w:r>
      <w:r>
        <w:rPr>
          <w:rFonts w:ascii="Times New Roman" w:hAnsi="Times New Roman" w:cs="Times New Roman"/>
          <w:sz w:val="28"/>
          <w:szCs w:val="28"/>
          <w:lang w:val="uk-UA"/>
        </w:rPr>
        <w:t xml:space="preserve"> ІММЛШ,</w:t>
      </w:r>
      <w:r w:rsidRPr="00B53621">
        <w:rPr>
          <w:rFonts w:ascii="Times New Roman" w:hAnsi="Times New Roman" w:cs="Times New Roman"/>
          <w:sz w:val="28"/>
          <w:szCs w:val="28"/>
          <w:lang w:val="uk-UA"/>
        </w:rPr>
        <w:t xml:space="preserve"> зменшується</w:t>
      </w:r>
      <w:r w:rsidR="00DE2629" w:rsidRPr="00DE2629">
        <w:rPr>
          <w:rFonts w:ascii="Times New Roman" w:hAnsi="Times New Roman" w:cs="Times New Roman"/>
          <w:sz w:val="28"/>
          <w:szCs w:val="28"/>
          <w:lang w:val="uk-UA"/>
        </w:rPr>
        <w:t xml:space="preserve"> </w:t>
      </w:r>
      <w:r w:rsidR="00DE2629">
        <w:rPr>
          <w:rFonts w:ascii="Times New Roman" w:hAnsi="Times New Roman" w:cs="Times New Roman"/>
          <w:sz w:val="28"/>
          <w:szCs w:val="28"/>
          <w:lang w:val="uk-UA"/>
        </w:rPr>
        <w:t>ШКФ</w:t>
      </w:r>
      <w:r w:rsidRPr="00B53621">
        <w:rPr>
          <w:rFonts w:ascii="Times New Roman" w:hAnsi="Times New Roman" w:cs="Times New Roman"/>
          <w:sz w:val="28"/>
          <w:szCs w:val="28"/>
          <w:lang w:val="uk-UA"/>
        </w:rPr>
        <w:t xml:space="preserve">, що свідчить про </w:t>
      </w:r>
      <w:r w:rsidR="002F73F7">
        <w:rPr>
          <w:rFonts w:ascii="Times New Roman" w:hAnsi="Times New Roman" w:cs="Times New Roman"/>
          <w:sz w:val="28"/>
          <w:szCs w:val="28"/>
          <w:lang w:val="uk-UA"/>
        </w:rPr>
        <w:t xml:space="preserve">порушення функції нирок та </w:t>
      </w:r>
      <w:r>
        <w:rPr>
          <w:rFonts w:ascii="Times New Roman" w:hAnsi="Times New Roman" w:cs="Times New Roman"/>
          <w:sz w:val="28"/>
          <w:szCs w:val="28"/>
          <w:lang w:val="uk-UA"/>
        </w:rPr>
        <w:t>серця</w:t>
      </w:r>
      <w:r w:rsidRPr="00B5362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300E5" w:rsidRDefault="00906B06" w:rsidP="007B52B0">
      <w:pPr>
        <w:spacing w:after="0" w:line="360" w:lineRule="auto"/>
        <w:ind w:firstLine="708"/>
        <w:jc w:val="both"/>
        <w:rPr>
          <w:rFonts w:ascii="Times New Roman" w:hAnsi="Times New Roman" w:cs="Times New Roman"/>
          <w:sz w:val="28"/>
          <w:szCs w:val="28"/>
          <w:lang w:val="uk-UA"/>
        </w:rPr>
      </w:pPr>
      <w:r w:rsidRPr="00906B06">
        <w:rPr>
          <w:rFonts w:ascii="Times New Roman" w:hAnsi="Times New Roman" w:cs="Times New Roman"/>
          <w:sz w:val="28"/>
          <w:szCs w:val="28"/>
          <w:lang w:val="uk-UA"/>
        </w:rPr>
        <w:t xml:space="preserve">Обґрунтовано </w:t>
      </w:r>
      <w:r w:rsidR="007530AD">
        <w:rPr>
          <w:rFonts w:ascii="Times New Roman" w:hAnsi="Times New Roman" w:cs="Times New Roman"/>
          <w:sz w:val="28"/>
          <w:szCs w:val="28"/>
          <w:lang w:val="uk-UA"/>
        </w:rPr>
        <w:t>доц</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льн</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сть</w:t>
      </w:r>
      <w:r w:rsidR="00981651">
        <w:rPr>
          <w:rFonts w:ascii="Times New Roman" w:hAnsi="Times New Roman" w:cs="Times New Roman"/>
          <w:sz w:val="28"/>
          <w:szCs w:val="28"/>
          <w:lang w:val="uk-UA"/>
        </w:rPr>
        <w:t xml:space="preserve"> застосування аторвастатину </w:t>
      </w:r>
      <w:r w:rsidR="00F63C21">
        <w:rPr>
          <w:rFonts w:ascii="Times New Roman" w:hAnsi="Times New Roman" w:cs="Times New Roman"/>
          <w:sz w:val="28"/>
          <w:szCs w:val="28"/>
          <w:lang w:val="uk-UA"/>
        </w:rPr>
        <w:t>у пацієнтів і</w:t>
      </w:r>
      <w:r w:rsidR="009D428B" w:rsidRPr="009D428B">
        <w:rPr>
          <w:rFonts w:ascii="Times New Roman" w:hAnsi="Times New Roman" w:cs="Times New Roman"/>
          <w:sz w:val="28"/>
          <w:szCs w:val="28"/>
          <w:lang w:val="uk-UA"/>
        </w:rPr>
        <w:t xml:space="preserve">з АГ та ЦД 2-го </w:t>
      </w:r>
      <w:r w:rsidR="007530AD">
        <w:rPr>
          <w:rFonts w:ascii="Times New Roman" w:hAnsi="Times New Roman" w:cs="Times New Roman"/>
          <w:sz w:val="28"/>
          <w:szCs w:val="28"/>
          <w:lang w:val="uk-UA"/>
        </w:rPr>
        <w:t xml:space="preserve">типу з метою </w:t>
      </w:r>
      <w:r w:rsidR="000E15C4">
        <w:rPr>
          <w:rFonts w:ascii="Times New Roman" w:hAnsi="Times New Roman" w:cs="Times New Roman"/>
          <w:sz w:val="28"/>
          <w:szCs w:val="28"/>
          <w:lang w:val="uk-UA"/>
        </w:rPr>
        <w:t>зниження вмісту атерогенних, підвищення</w:t>
      </w:r>
      <w:r w:rsidR="00FB3217">
        <w:rPr>
          <w:rFonts w:ascii="Times New Roman" w:hAnsi="Times New Roman" w:cs="Times New Roman"/>
          <w:sz w:val="28"/>
          <w:szCs w:val="28"/>
          <w:lang w:val="uk-UA"/>
        </w:rPr>
        <w:t xml:space="preserve"> </w:t>
      </w:r>
      <w:r w:rsidR="00FB3217">
        <w:rPr>
          <w:rFonts w:ascii="Times New Roman" w:hAnsi="Times New Roman" w:cs="Times New Roman"/>
          <w:sz w:val="28"/>
          <w:szCs w:val="28"/>
          <w:lang w:val="uk-UA"/>
        </w:rPr>
        <w:lastRenderedPageBreak/>
        <w:t xml:space="preserve">антиатерогенних ліпопротеїдів. </w:t>
      </w:r>
      <w:r w:rsidR="007530AD">
        <w:rPr>
          <w:rFonts w:ascii="Times New Roman" w:hAnsi="Times New Roman" w:cs="Times New Roman"/>
          <w:sz w:val="28"/>
          <w:szCs w:val="28"/>
          <w:lang w:val="uk-UA"/>
        </w:rPr>
        <w:t>На п</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дстав</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 xml:space="preserve"> пор</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вняння органопротекторних властив</w:t>
      </w:r>
      <w:r w:rsidR="007530AD">
        <w:rPr>
          <w:rFonts w:ascii="Times New Roman" w:hAnsi="Times New Roman" w:cs="Times New Roman"/>
          <w:sz w:val="28"/>
          <w:szCs w:val="28"/>
          <w:lang w:val="uk-UA"/>
        </w:rPr>
        <w:t>остей телм</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сартану та л</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зиноприлу доведено, що телм</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сартан </w:t>
      </w:r>
      <w:r w:rsidR="007530AD">
        <w:rPr>
          <w:rFonts w:ascii="Times New Roman" w:hAnsi="Times New Roman" w:cs="Times New Roman"/>
          <w:sz w:val="28"/>
          <w:szCs w:val="28"/>
          <w:lang w:val="uk-UA"/>
        </w:rPr>
        <w:t>не поступається л</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з</w:t>
      </w:r>
      <w:r w:rsidR="007530AD">
        <w:rPr>
          <w:rFonts w:ascii="Times New Roman" w:hAnsi="Times New Roman" w:cs="Times New Roman"/>
          <w:sz w:val="28"/>
          <w:szCs w:val="28"/>
          <w:lang w:val="uk-UA"/>
        </w:rPr>
        <w:t>иноприлу за нефропротекторною д</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єю, яка полягає </w:t>
      </w:r>
      <w:r w:rsidR="007530AD">
        <w:rPr>
          <w:rFonts w:ascii="Times New Roman" w:hAnsi="Times New Roman" w:cs="Times New Roman"/>
          <w:sz w:val="28"/>
          <w:szCs w:val="28"/>
          <w:lang w:val="uk-UA"/>
        </w:rPr>
        <w:t>в зниженн</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 xml:space="preserve"> </w:t>
      </w:r>
      <w:r w:rsidR="007E07A2">
        <w:rPr>
          <w:rFonts w:ascii="Times New Roman" w:hAnsi="Times New Roman" w:cs="Times New Roman"/>
          <w:sz w:val="28"/>
          <w:szCs w:val="28"/>
          <w:lang w:val="uk-UA"/>
        </w:rPr>
        <w:t xml:space="preserve">вмісту </w:t>
      </w:r>
      <w:r w:rsidR="007530AD">
        <w:rPr>
          <w:rFonts w:ascii="Times New Roman" w:hAnsi="Times New Roman" w:cs="Times New Roman"/>
          <w:sz w:val="28"/>
          <w:szCs w:val="28"/>
          <w:lang w:val="uk-UA"/>
        </w:rPr>
        <w:t>альбум</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нур</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ї, HbA1с, та кард</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опротекторними властив</w:t>
      </w:r>
      <w:r w:rsidR="007530AD">
        <w:rPr>
          <w:rFonts w:ascii="Times New Roman" w:hAnsi="Times New Roman" w:cs="Times New Roman"/>
          <w:sz w:val="28"/>
          <w:szCs w:val="28"/>
          <w:lang w:val="uk-UA"/>
        </w:rPr>
        <w:t>остями,</w:t>
      </w:r>
      <w:r>
        <w:rPr>
          <w:rFonts w:ascii="Times New Roman" w:hAnsi="Times New Roman" w:cs="Times New Roman"/>
          <w:sz w:val="28"/>
          <w:szCs w:val="28"/>
          <w:lang w:val="uk-UA"/>
        </w:rPr>
        <w:t xml:space="preserve"> </w:t>
      </w:r>
      <w:r w:rsidR="007530AD">
        <w:rPr>
          <w:rFonts w:ascii="Times New Roman" w:hAnsi="Times New Roman" w:cs="Times New Roman"/>
          <w:sz w:val="28"/>
          <w:szCs w:val="28"/>
          <w:lang w:val="uk-UA"/>
        </w:rPr>
        <w:t>що виявляються в регрес</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ї </w:t>
      </w:r>
      <w:r w:rsidR="007530AD">
        <w:rPr>
          <w:rFonts w:ascii="Times New Roman" w:hAnsi="Times New Roman" w:cs="Times New Roman"/>
          <w:sz w:val="28"/>
          <w:szCs w:val="28"/>
          <w:lang w:val="uk-UA"/>
        </w:rPr>
        <w:t>гіпертроф</w:t>
      </w:r>
      <w:r w:rsidR="007530AD">
        <w:rPr>
          <w:rFonts w:ascii="Times New Roman" w:hAnsi="Times New Roman" w:cs="Times New Roman"/>
          <w:sz w:val="28"/>
          <w:szCs w:val="28"/>
          <w:lang w:val="en-US"/>
        </w:rPr>
        <w:t>i</w:t>
      </w:r>
      <w:r w:rsidR="007530AD">
        <w:rPr>
          <w:rFonts w:ascii="Times New Roman" w:hAnsi="Times New Roman" w:cs="Times New Roman"/>
          <w:sz w:val="28"/>
          <w:szCs w:val="28"/>
          <w:lang w:val="uk-UA"/>
        </w:rPr>
        <w:t>ї м</w:t>
      </w:r>
      <w:r w:rsidR="007530AD">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окарда ЛШ у хво</w:t>
      </w:r>
      <w:r w:rsidR="00390885">
        <w:rPr>
          <w:rFonts w:ascii="Times New Roman" w:hAnsi="Times New Roman" w:cs="Times New Roman"/>
          <w:sz w:val="28"/>
          <w:szCs w:val="28"/>
          <w:lang w:val="uk-UA"/>
        </w:rPr>
        <w:t xml:space="preserve">рих на АГ та </w:t>
      </w:r>
      <w:r w:rsidR="009D428B" w:rsidRPr="009D428B">
        <w:rPr>
          <w:rFonts w:ascii="Times New Roman" w:hAnsi="Times New Roman" w:cs="Times New Roman"/>
          <w:sz w:val="28"/>
          <w:szCs w:val="28"/>
          <w:lang w:val="uk-UA"/>
        </w:rPr>
        <w:t>ЦД 2-го типу.</w:t>
      </w:r>
      <w:r w:rsidR="009D428B">
        <w:rPr>
          <w:rFonts w:ascii="Times New Roman" w:hAnsi="Times New Roman" w:cs="Times New Roman"/>
          <w:sz w:val="28"/>
          <w:szCs w:val="28"/>
          <w:lang w:val="uk-UA"/>
        </w:rPr>
        <w:t xml:space="preserve"> </w:t>
      </w:r>
    </w:p>
    <w:p w:rsidR="00A7751B" w:rsidRPr="009D428B" w:rsidRDefault="007530AD" w:rsidP="007B52B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Уперше розроблено диференц</w:t>
      </w:r>
      <w:r>
        <w:rPr>
          <w:rFonts w:ascii="Times New Roman" w:hAnsi="Times New Roman" w:cs="Times New Roman"/>
          <w:sz w:val="28"/>
          <w:szCs w:val="28"/>
          <w:lang w:val="en-US"/>
        </w:rPr>
        <w:t>i</w:t>
      </w:r>
      <w:r>
        <w:rPr>
          <w:rFonts w:ascii="Times New Roman" w:hAnsi="Times New Roman" w:cs="Times New Roman"/>
          <w:sz w:val="28"/>
          <w:szCs w:val="28"/>
          <w:lang w:val="uk-UA"/>
        </w:rPr>
        <w:t>йований п</w:t>
      </w:r>
      <w:r>
        <w:rPr>
          <w:rFonts w:ascii="Times New Roman" w:hAnsi="Times New Roman" w:cs="Times New Roman"/>
          <w:sz w:val="28"/>
          <w:szCs w:val="28"/>
          <w:lang w:val="en-US"/>
        </w:rPr>
        <w:t>i</w:t>
      </w:r>
      <w:r>
        <w:rPr>
          <w:rFonts w:ascii="Times New Roman" w:hAnsi="Times New Roman" w:cs="Times New Roman"/>
          <w:sz w:val="28"/>
          <w:szCs w:val="28"/>
          <w:lang w:val="uk-UA"/>
        </w:rPr>
        <w:t>дх</w:t>
      </w:r>
      <w:r>
        <w:rPr>
          <w:rFonts w:ascii="Times New Roman" w:hAnsi="Times New Roman" w:cs="Times New Roman"/>
          <w:sz w:val="28"/>
          <w:szCs w:val="28"/>
          <w:lang w:val="en-US"/>
        </w:rPr>
        <w:t>i</w:t>
      </w:r>
      <w:r w:rsidR="00DE2629">
        <w:rPr>
          <w:rFonts w:ascii="Times New Roman" w:hAnsi="Times New Roman" w:cs="Times New Roman"/>
          <w:sz w:val="28"/>
          <w:szCs w:val="28"/>
          <w:lang w:val="uk-UA"/>
        </w:rPr>
        <w:t xml:space="preserve">д </w:t>
      </w:r>
      <w:r w:rsidR="009D428B" w:rsidRPr="009D428B">
        <w:rPr>
          <w:rFonts w:ascii="Times New Roman" w:hAnsi="Times New Roman" w:cs="Times New Roman"/>
          <w:sz w:val="28"/>
          <w:szCs w:val="28"/>
          <w:lang w:val="uk-UA"/>
        </w:rPr>
        <w:t>до п</w:t>
      </w:r>
      <w:r>
        <w:rPr>
          <w:rFonts w:ascii="Times New Roman" w:hAnsi="Times New Roman" w:cs="Times New Roman"/>
          <w:sz w:val="28"/>
          <w:szCs w:val="28"/>
          <w:lang w:val="uk-UA"/>
        </w:rPr>
        <w:t>ризначення телм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сартану </w:t>
      </w:r>
      <w:r w:rsidR="00B83956">
        <w:rPr>
          <w:rFonts w:ascii="Times New Roman" w:hAnsi="Times New Roman" w:cs="Times New Roman"/>
          <w:sz w:val="28"/>
          <w:szCs w:val="28"/>
          <w:lang w:val="uk-UA"/>
        </w:rPr>
        <w:t>у пацієнтів і</w:t>
      </w:r>
      <w:r>
        <w:rPr>
          <w:rFonts w:ascii="Times New Roman" w:hAnsi="Times New Roman" w:cs="Times New Roman"/>
          <w:sz w:val="28"/>
          <w:szCs w:val="28"/>
          <w:lang w:val="uk-UA"/>
        </w:rPr>
        <w:t>з АГ та супутн</w:t>
      </w:r>
      <w:r>
        <w:rPr>
          <w:rFonts w:ascii="Times New Roman" w:hAnsi="Times New Roman" w:cs="Times New Roman"/>
          <w:sz w:val="28"/>
          <w:szCs w:val="28"/>
          <w:lang w:val="en-US"/>
        </w:rPr>
        <w:t>i</w:t>
      </w:r>
      <w:r w:rsidR="00DE2629">
        <w:rPr>
          <w:rFonts w:ascii="Times New Roman" w:hAnsi="Times New Roman" w:cs="Times New Roman"/>
          <w:sz w:val="28"/>
          <w:szCs w:val="28"/>
          <w:lang w:val="uk-UA"/>
        </w:rPr>
        <w:t>м ЦД 2-го типу</w:t>
      </w:r>
      <w:r w:rsidR="00B83956">
        <w:rPr>
          <w:rFonts w:ascii="Times New Roman" w:hAnsi="Times New Roman" w:cs="Times New Roman"/>
          <w:sz w:val="28"/>
          <w:szCs w:val="28"/>
          <w:lang w:val="uk-UA"/>
        </w:rPr>
        <w:t xml:space="preserve"> </w:t>
      </w:r>
      <w:r>
        <w:rPr>
          <w:rFonts w:ascii="Times New Roman" w:hAnsi="Times New Roman" w:cs="Times New Roman"/>
          <w:sz w:val="28"/>
          <w:szCs w:val="28"/>
          <w:lang w:val="uk-UA"/>
        </w:rPr>
        <w:t>з метою кард</w:t>
      </w:r>
      <w:r>
        <w:rPr>
          <w:rFonts w:ascii="Times New Roman" w:hAnsi="Times New Roman" w:cs="Times New Roman"/>
          <w:sz w:val="28"/>
          <w:szCs w:val="28"/>
          <w:lang w:val="en-US"/>
        </w:rPr>
        <w:t>i</w:t>
      </w:r>
      <w:r>
        <w:rPr>
          <w:rFonts w:ascii="Times New Roman" w:hAnsi="Times New Roman" w:cs="Times New Roman"/>
          <w:sz w:val="28"/>
          <w:szCs w:val="28"/>
          <w:lang w:val="uk-UA"/>
        </w:rPr>
        <w:t>о- та нефропротекц</w:t>
      </w:r>
      <w:r>
        <w:rPr>
          <w:rFonts w:ascii="Times New Roman" w:hAnsi="Times New Roman" w:cs="Times New Roman"/>
          <w:sz w:val="28"/>
          <w:szCs w:val="28"/>
          <w:lang w:val="en-US"/>
        </w:rPr>
        <w:t>i</w:t>
      </w:r>
      <w:r>
        <w:rPr>
          <w:rFonts w:ascii="Times New Roman" w:hAnsi="Times New Roman" w:cs="Times New Roman"/>
          <w:sz w:val="28"/>
          <w:szCs w:val="28"/>
          <w:lang w:val="uk-UA"/>
        </w:rPr>
        <w:t>ї залежно 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 </w:t>
      </w:r>
      <w:r w:rsidR="00B83956">
        <w:rPr>
          <w:rFonts w:ascii="Times New Roman" w:hAnsi="Times New Roman" w:cs="Times New Roman"/>
          <w:sz w:val="28"/>
          <w:szCs w:val="28"/>
          <w:lang w:val="uk-UA"/>
        </w:rPr>
        <w:t xml:space="preserve">вмісту </w:t>
      </w:r>
      <w:r w:rsidR="009D428B" w:rsidRPr="009D428B">
        <w:rPr>
          <w:rFonts w:ascii="Times New Roman" w:hAnsi="Times New Roman" w:cs="Times New Roman"/>
          <w:sz w:val="28"/>
          <w:szCs w:val="28"/>
          <w:lang w:val="uk-UA"/>
        </w:rPr>
        <w:t>Е</w:t>
      </w:r>
      <w:r w:rsidR="00DE2629">
        <w:rPr>
          <w:rFonts w:ascii="Times New Roman" w:hAnsi="Times New Roman" w:cs="Times New Roman"/>
          <w:sz w:val="28"/>
          <w:szCs w:val="28"/>
          <w:lang w:val="uk-UA"/>
        </w:rPr>
        <w:t xml:space="preserve">Т-1, який полягає у </w:t>
      </w:r>
      <w:r>
        <w:rPr>
          <w:rFonts w:ascii="Times New Roman" w:hAnsi="Times New Roman" w:cs="Times New Roman"/>
          <w:sz w:val="28"/>
          <w:szCs w:val="28"/>
          <w:lang w:val="uk-UA"/>
        </w:rPr>
        <w:t>призначенн</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 40 мг/д</w:t>
      </w:r>
      <w:r>
        <w:rPr>
          <w:rFonts w:ascii="Times New Roman" w:hAnsi="Times New Roman" w:cs="Times New Roman"/>
          <w:sz w:val="28"/>
          <w:szCs w:val="28"/>
          <w:lang w:val="uk-UA"/>
        </w:rPr>
        <w:t>обу телм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сартану, якщо </w:t>
      </w:r>
      <w:r w:rsidR="00B83956">
        <w:rPr>
          <w:rFonts w:ascii="Times New Roman" w:hAnsi="Times New Roman" w:cs="Times New Roman"/>
          <w:sz w:val="28"/>
          <w:szCs w:val="28"/>
          <w:lang w:val="uk-UA"/>
        </w:rPr>
        <w:t xml:space="preserve">вміст </w:t>
      </w:r>
      <w:r w:rsidR="009D428B" w:rsidRPr="009D428B">
        <w:rPr>
          <w:rFonts w:ascii="Times New Roman" w:hAnsi="Times New Roman" w:cs="Times New Roman"/>
          <w:sz w:val="28"/>
          <w:szCs w:val="28"/>
          <w:lang w:val="uk-UA"/>
        </w:rPr>
        <w:t>ЕТ-1 не пере</w:t>
      </w:r>
      <w:r>
        <w:rPr>
          <w:rFonts w:ascii="Times New Roman" w:hAnsi="Times New Roman" w:cs="Times New Roman"/>
          <w:sz w:val="28"/>
          <w:szCs w:val="28"/>
          <w:lang w:val="uk-UA"/>
        </w:rPr>
        <w:t>вищує 10 пг/мл, та 80 мг/добу в</w:t>
      </w:r>
      <w:r>
        <w:rPr>
          <w:rFonts w:ascii="Times New Roman" w:hAnsi="Times New Roman" w:cs="Times New Roman"/>
          <w:sz w:val="28"/>
          <w:szCs w:val="28"/>
          <w:lang w:val="en-US"/>
        </w:rPr>
        <w:t>i</w:t>
      </w:r>
      <w:r>
        <w:rPr>
          <w:rFonts w:ascii="Times New Roman" w:hAnsi="Times New Roman" w:cs="Times New Roman"/>
          <w:sz w:val="28"/>
          <w:szCs w:val="28"/>
          <w:lang w:val="uk-UA"/>
        </w:rPr>
        <w:t>дпов</w:t>
      </w:r>
      <w:r>
        <w:rPr>
          <w:rFonts w:ascii="Times New Roman" w:hAnsi="Times New Roman" w:cs="Times New Roman"/>
          <w:sz w:val="28"/>
          <w:szCs w:val="28"/>
          <w:lang w:val="en-US"/>
        </w:rPr>
        <w:t>i</w:t>
      </w:r>
      <w:r w:rsidR="00B83956">
        <w:rPr>
          <w:rFonts w:ascii="Times New Roman" w:hAnsi="Times New Roman" w:cs="Times New Roman"/>
          <w:sz w:val="28"/>
          <w:szCs w:val="28"/>
          <w:lang w:val="uk-UA"/>
        </w:rPr>
        <w:t>дного препарату, якщо вміст</w:t>
      </w:r>
      <w:r>
        <w:rPr>
          <w:rFonts w:ascii="Times New Roman" w:hAnsi="Times New Roman" w:cs="Times New Roman"/>
          <w:sz w:val="28"/>
          <w:szCs w:val="28"/>
          <w:lang w:val="uk-UA"/>
        </w:rPr>
        <w:t xml:space="preserve"> ЕТ-1 є б</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льшим за 10 пг/мл.</w:t>
      </w:r>
    </w:p>
    <w:p w:rsidR="003277CB" w:rsidRPr="00A05EE0" w:rsidRDefault="003277CB" w:rsidP="003277CB">
      <w:pPr>
        <w:spacing w:after="0" w:line="360" w:lineRule="auto"/>
        <w:ind w:firstLine="708"/>
        <w:jc w:val="both"/>
        <w:rPr>
          <w:rFonts w:ascii="Times New Roman" w:hAnsi="Times New Roman" w:cs="Times New Roman"/>
          <w:sz w:val="28"/>
          <w:szCs w:val="28"/>
          <w:lang w:val="uk-UA"/>
        </w:rPr>
      </w:pPr>
      <w:r w:rsidRPr="009D428B">
        <w:rPr>
          <w:rFonts w:ascii="Times New Roman" w:hAnsi="Times New Roman" w:cs="Times New Roman"/>
          <w:sz w:val="28"/>
          <w:szCs w:val="28"/>
          <w:lang w:val="uk-UA"/>
        </w:rPr>
        <w:t>Практичне значення одержаних результа</w:t>
      </w:r>
      <w:r w:rsidR="007530AD">
        <w:rPr>
          <w:rFonts w:ascii="Times New Roman" w:hAnsi="Times New Roman" w:cs="Times New Roman"/>
          <w:sz w:val="28"/>
          <w:szCs w:val="28"/>
          <w:lang w:val="uk-UA"/>
        </w:rPr>
        <w:t>т</w:t>
      </w:r>
      <w:r w:rsidR="007530AD">
        <w:rPr>
          <w:rFonts w:ascii="Times New Roman" w:hAnsi="Times New Roman" w:cs="Times New Roman"/>
          <w:sz w:val="28"/>
          <w:szCs w:val="28"/>
          <w:lang w:val="en-US"/>
        </w:rPr>
        <w:t>i</w:t>
      </w:r>
      <w:r w:rsidR="007611A9">
        <w:rPr>
          <w:rFonts w:ascii="Times New Roman" w:hAnsi="Times New Roman" w:cs="Times New Roman"/>
          <w:sz w:val="28"/>
          <w:szCs w:val="28"/>
          <w:lang w:val="uk-UA"/>
        </w:rPr>
        <w:t>в</w:t>
      </w:r>
    </w:p>
    <w:p w:rsidR="009D428B" w:rsidRPr="009D428B" w:rsidRDefault="007530AD" w:rsidP="009D42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 Обґрунтування доц</w:t>
      </w:r>
      <w:r>
        <w:rPr>
          <w:rFonts w:ascii="Times New Roman" w:hAnsi="Times New Roman" w:cs="Times New Roman"/>
          <w:sz w:val="28"/>
          <w:szCs w:val="28"/>
          <w:lang w:val="en-US"/>
        </w:rPr>
        <w:t>i</w:t>
      </w:r>
      <w:r>
        <w:rPr>
          <w:rFonts w:ascii="Times New Roman" w:hAnsi="Times New Roman" w:cs="Times New Roman"/>
          <w:sz w:val="28"/>
          <w:szCs w:val="28"/>
          <w:lang w:val="uk-UA"/>
        </w:rPr>
        <w:t>льност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призначення 40 мг/добу телм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сартану, якщо </w:t>
      </w:r>
      <w:r w:rsidR="00520A82">
        <w:rPr>
          <w:rFonts w:ascii="Times New Roman" w:hAnsi="Times New Roman" w:cs="Times New Roman"/>
          <w:sz w:val="28"/>
          <w:szCs w:val="28"/>
          <w:lang w:val="uk-UA"/>
        </w:rPr>
        <w:t xml:space="preserve">вміст </w:t>
      </w:r>
      <w:r w:rsidR="009D428B" w:rsidRPr="009D428B">
        <w:rPr>
          <w:rFonts w:ascii="Times New Roman" w:hAnsi="Times New Roman" w:cs="Times New Roman"/>
          <w:sz w:val="28"/>
          <w:szCs w:val="28"/>
          <w:lang w:val="uk-UA"/>
        </w:rPr>
        <w:t>ЕТ-1 не пере</w:t>
      </w:r>
      <w:r>
        <w:rPr>
          <w:rFonts w:ascii="Times New Roman" w:hAnsi="Times New Roman" w:cs="Times New Roman"/>
          <w:sz w:val="28"/>
          <w:szCs w:val="28"/>
          <w:lang w:val="uk-UA"/>
        </w:rPr>
        <w:t>вищує 10 пг/мл, та 80 мг/добу в</w:t>
      </w:r>
      <w:r>
        <w:rPr>
          <w:rFonts w:ascii="Times New Roman" w:hAnsi="Times New Roman" w:cs="Times New Roman"/>
          <w:sz w:val="28"/>
          <w:szCs w:val="28"/>
          <w:lang w:val="en-US"/>
        </w:rPr>
        <w:t>i</w:t>
      </w:r>
      <w:r>
        <w:rPr>
          <w:rFonts w:ascii="Times New Roman" w:hAnsi="Times New Roman" w:cs="Times New Roman"/>
          <w:sz w:val="28"/>
          <w:szCs w:val="28"/>
          <w:lang w:val="uk-UA"/>
        </w:rPr>
        <w:t>дпов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дного препарату, якщо </w:t>
      </w:r>
      <w:r w:rsidR="00520A82">
        <w:rPr>
          <w:rFonts w:ascii="Times New Roman" w:hAnsi="Times New Roman" w:cs="Times New Roman"/>
          <w:sz w:val="28"/>
          <w:szCs w:val="28"/>
          <w:lang w:val="uk-UA"/>
        </w:rPr>
        <w:t xml:space="preserve">вміст </w:t>
      </w:r>
      <w:r w:rsidR="009D428B" w:rsidRPr="009D428B">
        <w:rPr>
          <w:rFonts w:ascii="Times New Roman" w:hAnsi="Times New Roman" w:cs="Times New Roman"/>
          <w:sz w:val="28"/>
          <w:szCs w:val="28"/>
          <w:lang w:val="uk-UA"/>
        </w:rPr>
        <w:t>ЕТ-</w:t>
      </w:r>
      <w:r>
        <w:rPr>
          <w:rFonts w:ascii="Times New Roman" w:hAnsi="Times New Roman" w:cs="Times New Roman"/>
          <w:sz w:val="28"/>
          <w:szCs w:val="28"/>
          <w:lang w:val="uk-UA"/>
        </w:rPr>
        <w:t>1 є б</w:t>
      </w:r>
      <w:r>
        <w:rPr>
          <w:rFonts w:ascii="Times New Roman" w:hAnsi="Times New Roman" w:cs="Times New Roman"/>
          <w:sz w:val="28"/>
          <w:szCs w:val="28"/>
          <w:lang w:val="en-US"/>
        </w:rPr>
        <w:t>i</w:t>
      </w:r>
      <w:r w:rsidR="00520A82">
        <w:rPr>
          <w:rFonts w:ascii="Times New Roman" w:hAnsi="Times New Roman" w:cs="Times New Roman"/>
          <w:sz w:val="28"/>
          <w:szCs w:val="28"/>
          <w:lang w:val="uk-UA"/>
        </w:rPr>
        <w:t>льшим за 10 пг/мл у пацієнтів і</w:t>
      </w:r>
      <w:r w:rsidR="009D428B" w:rsidRPr="009D428B">
        <w:rPr>
          <w:rFonts w:ascii="Times New Roman" w:hAnsi="Times New Roman" w:cs="Times New Roman"/>
          <w:sz w:val="28"/>
          <w:szCs w:val="28"/>
          <w:lang w:val="uk-UA"/>
        </w:rPr>
        <w:t xml:space="preserve">з АГ та </w:t>
      </w:r>
      <w:r w:rsidR="00520A82">
        <w:rPr>
          <w:rFonts w:ascii="Times New Roman" w:hAnsi="Times New Roman" w:cs="Times New Roman"/>
          <w:sz w:val="28"/>
          <w:szCs w:val="28"/>
          <w:lang w:val="uk-UA"/>
        </w:rPr>
        <w:t xml:space="preserve">        </w:t>
      </w:r>
      <w:r w:rsidR="009D428B" w:rsidRPr="009D428B">
        <w:rPr>
          <w:rFonts w:ascii="Times New Roman" w:hAnsi="Times New Roman" w:cs="Times New Roman"/>
          <w:sz w:val="28"/>
          <w:szCs w:val="28"/>
          <w:lang w:val="uk-UA"/>
        </w:rPr>
        <w:t>ЦД 2-го типу</w:t>
      </w:r>
      <w:r w:rsidR="00390885">
        <w:rPr>
          <w:rFonts w:ascii="Times New Roman" w:hAnsi="Times New Roman" w:cs="Times New Roman"/>
          <w:sz w:val="28"/>
          <w:szCs w:val="28"/>
          <w:lang w:val="uk-UA"/>
        </w:rPr>
        <w:t>,</w:t>
      </w:r>
      <w:r>
        <w:rPr>
          <w:rFonts w:ascii="Times New Roman" w:hAnsi="Times New Roman" w:cs="Times New Roman"/>
          <w:sz w:val="28"/>
          <w:szCs w:val="28"/>
          <w:lang w:val="uk-UA"/>
        </w:rPr>
        <w:t xml:space="preserve"> дозволяє л</w:t>
      </w:r>
      <w:r>
        <w:rPr>
          <w:rFonts w:ascii="Times New Roman" w:hAnsi="Times New Roman" w:cs="Times New Roman"/>
          <w:sz w:val="28"/>
          <w:szCs w:val="28"/>
          <w:lang w:val="en-US"/>
        </w:rPr>
        <w:t>i</w:t>
      </w:r>
      <w:r w:rsidR="00520A82">
        <w:rPr>
          <w:rFonts w:ascii="Times New Roman" w:hAnsi="Times New Roman" w:cs="Times New Roman"/>
          <w:sz w:val="28"/>
          <w:szCs w:val="28"/>
          <w:lang w:val="uk-UA"/>
        </w:rPr>
        <w:t>карям терапевтам</w:t>
      </w:r>
      <w:r w:rsidR="009D428B" w:rsidRPr="009D428B">
        <w:rPr>
          <w:rFonts w:ascii="Times New Roman" w:hAnsi="Times New Roman" w:cs="Times New Roman"/>
          <w:sz w:val="28"/>
          <w:szCs w:val="28"/>
          <w:lang w:val="uk-UA"/>
        </w:rPr>
        <w:t>, загальної практики</w:t>
      </w:r>
      <w:r w:rsidR="00390885">
        <w:rPr>
          <w:rFonts w:ascii="Times New Roman" w:hAnsi="Times New Roman" w:cs="Times New Roman"/>
          <w:sz w:val="28"/>
          <w:szCs w:val="28"/>
          <w:lang w:val="uk-UA"/>
        </w:rPr>
        <w:t xml:space="preserve"> </w:t>
      </w:r>
      <w:r w:rsidR="009D428B" w:rsidRPr="009D428B">
        <w:rPr>
          <w:rFonts w:ascii="Times New Roman" w:hAnsi="Times New Roman" w:cs="Times New Roman"/>
          <w:sz w:val="28"/>
          <w:szCs w:val="28"/>
          <w:lang w:val="uk-UA"/>
        </w:rPr>
        <w:t>−</w:t>
      </w:r>
      <w:r w:rsidR="0039088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мейної</w:t>
      </w:r>
      <w:r w:rsidR="00D71055">
        <w:rPr>
          <w:rFonts w:ascii="Times New Roman" w:hAnsi="Times New Roman" w:cs="Times New Roman"/>
          <w:sz w:val="28"/>
          <w:szCs w:val="28"/>
          <w:lang w:val="uk-UA"/>
        </w:rPr>
        <w:t xml:space="preserve"> медицини, ендокринологам</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390885">
        <w:rPr>
          <w:rFonts w:ascii="Times New Roman" w:hAnsi="Times New Roman" w:cs="Times New Roman"/>
          <w:sz w:val="28"/>
          <w:szCs w:val="28"/>
          <w:lang w:val="uk-UA"/>
        </w:rPr>
        <w:t>стотно</w:t>
      </w:r>
      <w:r>
        <w:rPr>
          <w:rFonts w:ascii="Times New Roman" w:hAnsi="Times New Roman" w:cs="Times New Roman"/>
          <w:sz w:val="28"/>
          <w:szCs w:val="28"/>
          <w:lang w:val="uk-UA"/>
        </w:rPr>
        <w:t xml:space="preserve"> п</w:t>
      </w:r>
      <w:r>
        <w:rPr>
          <w:rFonts w:ascii="Times New Roman" w:hAnsi="Times New Roman" w:cs="Times New Roman"/>
          <w:sz w:val="28"/>
          <w:szCs w:val="28"/>
          <w:lang w:val="en-US"/>
        </w:rPr>
        <w:t>i</w:t>
      </w:r>
      <w:r>
        <w:rPr>
          <w:rFonts w:ascii="Times New Roman" w:hAnsi="Times New Roman" w:cs="Times New Roman"/>
          <w:sz w:val="28"/>
          <w:szCs w:val="28"/>
          <w:lang w:val="uk-UA"/>
        </w:rPr>
        <w:t>двищити ефективн</w:t>
      </w:r>
      <w:r>
        <w:rPr>
          <w:rFonts w:ascii="Times New Roman" w:hAnsi="Times New Roman" w:cs="Times New Roman"/>
          <w:sz w:val="28"/>
          <w:szCs w:val="28"/>
          <w:lang w:val="en-US"/>
        </w:rPr>
        <w:t>i</w:t>
      </w:r>
      <w:r>
        <w:rPr>
          <w:rFonts w:ascii="Times New Roman" w:hAnsi="Times New Roman" w:cs="Times New Roman"/>
          <w:sz w:val="28"/>
          <w:szCs w:val="28"/>
          <w:lang w:val="uk-UA"/>
        </w:rPr>
        <w:t>сть л</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кування к</w:t>
      </w:r>
      <w:r>
        <w:rPr>
          <w:rFonts w:ascii="Times New Roman" w:hAnsi="Times New Roman" w:cs="Times New Roman"/>
          <w:sz w:val="28"/>
          <w:szCs w:val="28"/>
          <w:lang w:val="uk-UA"/>
        </w:rPr>
        <w:t>оморб</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дних хворих шля</w:t>
      </w:r>
      <w:r w:rsidR="0074380A">
        <w:rPr>
          <w:rFonts w:ascii="Times New Roman" w:hAnsi="Times New Roman" w:cs="Times New Roman"/>
          <w:sz w:val="28"/>
          <w:szCs w:val="28"/>
          <w:lang w:val="uk-UA"/>
        </w:rPr>
        <w:t>хом забезпечення васкуло-, кард</w:t>
      </w:r>
      <w:r w:rsidR="0074380A">
        <w:rPr>
          <w:rFonts w:ascii="Times New Roman" w:hAnsi="Times New Roman" w:cs="Times New Roman"/>
          <w:sz w:val="28"/>
          <w:szCs w:val="28"/>
          <w:lang w:val="en-US"/>
        </w:rPr>
        <w:t>i</w:t>
      </w:r>
      <w:r w:rsidR="0074380A">
        <w:rPr>
          <w:rFonts w:ascii="Times New Roman" w:hAnsi="Times New Roman" w:cs="Times New Roman"/>
          <w:sz w:val="28"/>
          <w:szCs w:val="28"/>
          <w:lang w:val="uk-UA"/>
        </w:rPr>
        <w:t>о-, нефропротекц</w:t>
      </w:r>
      <w:r w:rsidR="0074380A">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ї. </w:t>
      </w:r>
    </w:p>
    <w:p w:rsidR="009D428B" w:rsidRPr="009D428B" w:rsidRDefault="0074380A" w:rsidP="009D42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Доведення доц</w:t>
      </w:r>
      <w:r>
        <w:rPr>
          <w:rFonts w:ascii="Times New Roman" w:hAnsi="Times New Roman" w:cs="Times New Roman"/>
          <w:sz w:val="28"/>
          <w:szCs w:val="28"/>
          <w:lang w:val="en-US"/>
        </w:rPr>
        <w:t>i</w:t>
      </w:r>
      <w:r>
        <w:rPr>
          <w:rFonts w:ascii="Times New Roman" w:hAnsi="Times New Roman" w:cs="Times New Roman"/>
          <w:sz w:val="28"/>
          <w:szCs w:val="28"/>
          <w:lang w:val="uk-UA"/>
        </w:rPr>
        <w:t>льност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визначення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Pr>
          <w:rFonts w:ascii="Times New Roman" w:hAnsi="Times New Roman" w:cs="Times New Roman"/>
          <w:sz w:val="28"/>
          <w:szCs w:val="28"/>
          <w:lang w:val="uk-UA"/>
        </w:rPr>
        <w:t>дношення альбум</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ну     </w:t>
      </w:r>
      <w:r>
        <w:rPr>
          <w:rFonts w:ascii="Times New Roman" w:hAnsi="Times New Roman" w:cs="Times New Roman"/>
          <w:sz w:val="28"/>
          <w:szCs w:val="28"/>
          <w:lang w:val="uk-UA"/>
        </w:rPr>
        <w:t xml:space="preserve">     до креатин</w:t>
      </w:r>
      <w:r>
        <w:rPr>
          <w:rFonts w:ascii="Times New Roman" w:hAnsi="Times New Roman" w:cs="Times New Roman"/>
          <w:sz w:val="28"/>
          <w:szCs w:val="28"/>
          <w:lang w:val="en-US"/>
        </w:rPr>
        <w:t>i</w:t>
      </w:r>
      <w:r>
        <w:rPr>
          <w:rFonts w:ascii="Times New Roman" w:hAnsi="Times New Roman" w:cs="Times New Roman"/>
          <w:sz w:val="28"/>
          <w:szCs w:val="28"/>
          <w:lang w:val="uk-UA"/>
        </w:rPr>
        <w:t>ну в сеч</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851268">
        <w:rPr>
          <w:rFonts w:ascii="Times New Roman" w:hAnsi="Times New Roman" w:cs="Times New Roman"/>
          <w:sz w:val="28"/>
          <w:szCs w:val="28"/>
          <w:lang w:val="uk-UA"/>
        </w:rPr>
        <w:t>пацієнтів і</w:t>
      </w:r>
      <w:r w:rsidR="000A6805">
        <w:rPr>
          <w:rFonts w:ascii="Times New Roman" w:hAnsi="Times New Roman" w:cs="Times New Roman"/>
          <w:sz w:val="28"/>
          <w:szCs w:val="28"/>
          <w:lang w:val="uk-UA"/>
        </w:rPr>
        <w:t xml:space="preserve">з АГ та </w:t>
      </w:r>
      <w:r w:rsidR="000A6805" w:rsidRPr="000A6805">
        <w:rPr>
          <w:rFonts w:ascii="Times New Roman" w:hAnsi="Times New Roman" w:cs="Times New Roman"/>
          <w:sz w:val="28"/>
          <w:szCs w:val="28"/>
          <w:lang w:val="uk-UA"/>
        </w:rPr>
        <w:t>Ц</w:t>
      </w:r>
      <w:r w:rsidR="000A6805">
        <w:rPr>
          <w:rFonts w:ascii="Times New Roman" w:hAnsi="Times New Roman" w:cs="Times New Roman"/>
          <w:sz w:val="28"/>
          <w:szCs w:val="28"/>
          <w:lang w:val="uk-UA"/>
        </w:rPr>
        <w:t>Д 2-го типу</w:t>
      </w:r>
      <w:bookmarkStart w:id="0" w:name="_GoBack"/>
      <w:bookmarkEnd w:id="0"/>
      <w:r>
        <w:rPr>
          <w:rFonts w:ascii="Times New Roman" w:hAnsi="Times New Roman" w:cs="Times New Roman"/>
          <w:sz w:val="28"/>
          <w:szCs w:val="28"/>
          <w:lang w:val="uk-UA"/>
        </w:rPr>
        <w:t xml:space="preserve"> дозволяє л</w:t>
      </w:r>
      <w:r>
        <w:rPr>
          <w:rFonts w:ascii="Times New Roman" w:hAnsi="Times New Roman" w:cs="Times New Roman"/>
          <w:sz w:val="28"/>
          <w:szCs w:val="28"/>
          <w:lang w:val="en-US"/>
        </w:rPr>
        <w:t>i</w:t>
      </w:r>
      <w:r w:rsidR="00851268">
        <w:rPr>
          <w:rFonts w:ascii="Times New Roman" w:hAnsi="Times New Roman" w:cs="Times New Roman"/>
          <w:sz w:val="28"/>
          <w:szCs w:val="28"/>
          <w:lang w:val="uk-UA"/>
        </w:rPr>
        <w:t>карям терапевтам</w:t>
      </w:r>
      <w:r w:rsidR="009D428B" w:rsidRPr="009D428B">
        <w:rPr>
          <w:rFonts w:ascii="Times New Roman" w:hAnsi="Times New Roman" w:cs="Times New Roman"/>
          <w:sz w:val="28"/>
          <w:szCs w:val="28"/>
          <w:lang w:val="uk-UA"/>
        </w:rPr>
        <w:t>, загальної практики</w:t>
      </w:r>
      <w:r w:rsidR="00390885">
        <w:rPr>
          <w:rFonts w:ascii="Times New Roman" w:hAnsi="Times New Roman" w:cs="Times New Roman"/>
          <w:sz w:val="28"/>
          <w:szCs w:val="28"/>
          <w:lang w:val="uk-UA"/>
        </w:rPr>
        <w:t xml:space="preserve"> </w:t>
      </w:r>
      <w:r w:rsidR="009D428B" w:rsidRPr="009D428B">
        <w:rPr>
          <w:rFonts w:ascii="Times New Roman" w:hAnsi="Times New Roman" w:cs="Times New Roman"/>
          <w:sz w:val="28"/>
          <w:szCs w:val="28"/>
          <w:lang w:val="uk-UA"/>
        </w:rPr>
        <w:t>−</w:t>
      </w:r>
      <w:r w:rsidR="00390885">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мейної медицини, ендокрин</w:t>
      </w:r>
      <w:r w:rsidR="0059106F">
        <w:rPr>
          <w:rFonts w:ascii="Times New Roman" w:hAnsi="Times New Roman" w:cs="Times New Roman"/>
          <w:sz w:val="28"/>
          <w:szCs w:val="28"/>
          <w:lang w:val="uk-UA"/>
        </w:rPr>
        <w:t>ологам, нефрологам</w:t>
      </w:r>
      <w:r>
        <w:rPr>
          <w:rFonts w:ascii="Times New Roman" w:hAnsi="Times New Roman" w:cs="Times New Roman"/>
          <w:sz w:val="28"/>
          <w:szCs w:val="28"/>
          <w:lang w:val="uk-UA"/>
        </w:rPr>
        <w:t xml:space="preserve"> п</w:t>
      </w:r>
      <w:r>
        <w:rPr>
          <w:rFonts w:ascii="Times New Roman" w:hAnsi="Times New Roman" w:cs="Times New Roman"/>
          <w:sz w:val="28"/>
          <w:szCs w:val="28"/>
          <w:lang w:val="en-US"/>
        </w:rPr>
        <w:t>i</w:t>
      </w:r>
      <w:r>
        <w:rPr>
          <w:rFonts w:ascii="Times New Roman" w:hAnsi="Times New Roman" w:cs="Times New Roman"/>
          <w:sz w:val="28"/>
          <w:szCs w:val="28"/>
          <w:lang w:val="uk-UA"/>
        </w:rPr>
        <w:t>двищити р</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ве</w:t>
      </w:r>
      <w:r>
        <w:rPr>
          <w:rFonts w:ascii="Times New Roman" w:hAnsi="Times New Roman" w:cs="Times New Roman"/>
          <w:sz w:val="28"/>
          <w:szCs w:val="28"/>
          <w:lang w:val="uk-UA"/>
        </w:rPr>
        <w:t>нь оц</w:t>
      </w:r>
      <w:r>
        <w:rPr>
          <w:rFonts w:ascii="Times New Roman" w:hAnsi="Times New Roman" w:cs="Times New Roman"/>
          <w:sz w:val="28"/>
          <w:szCs w:val="28"/>
          <w:lang w:val="en-US"/>
        </w:rPr>
        <w:t>i</w:t>
      </w:r>
      <w:r w:rsidR="00390885">
        <w:rPr>
          <w:rFonts w:ascii="Times New Roman" w:hAnsi="Times New Roman" w:cs="Times New Roman"/>
          <w:sz w:val="28"/>
          <w:szCs w:val="28"/>
          <w:lang w:val="uk-UA"/>
        </w:rPr>
        <w:t>нювання</w:t>
      </w:r>
      <w:r>
        <w:rPr>
          <w:rFonts w:ascii="Times New Roman" w:hAnsi="Times New Roman" w:cs="Times New Roman"/>
          <w:sz w:val="28"/>
          <w:szCs w:val="28"/>
          <w:lang w:val="uk-UA"/>
        </w:rPr>
        <w:t xml:space="preserve"> функц</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ональног</w:t>
      </w:r>
      <w:r w:rsidR="00390885">
        <w:rPr>
          <w:rFonts w:ascii="Times New Roman" w:hAnsi="Times New Roman" w:cs="Times New Roman"/>
          <w:sz w:val="28"/>
          <w:szCs w:val="28"/>
          <w:lang w:val="uk-UA"/>
        </w:rPr>
        <w:t>о стану нирок та зменшити ризик</w:t>
      </w:r>
      <w:r w:rsidR="00851268">
        <w:rPr>
          <w:rFonts w:ascii="Times New Roman" w:hAnsi="Times New Roman" w:cs="Times New Roman"/>
          <w:sz w:val="28"/>
          <w:szCs w:val="28"/>
          <w:lang w:val="uk-UA"/>
        </w:rPr>
        <w:t xml:space="preserve"> розвитку ССУ </w:t>
      </w:r>
      <w:r>
        <w:rPr>
          <w:rFonts w:ascii="Times New Roman" w:hAnsi="Times New Roman" w:cs="Times New Roman"/>
          <w:sz w:val="28"/>
          <w:szCs w:val="28"/>
          <w:lang w:val="uk-UA"/>
        </w:rPr>
        <w:t>при коморб</w:t>
      </w:r>
      <w:r>
        <w:rPr>
          <w:rFonts w:ascii="Times New Roman" w:hAnsi="Times New Roman" w:cs="Times New Roman"/>
          <w:sz w:val="28"/>
          <w:szCs w:val="28"/>
          <w:lang w:val="en-US"/>
        </w:rPr>
        <w:t>i</w:t>
      </w:r>
      <w:r>
        <w:rPr>
          <w:rFonts w:ascii="Times New Roman" w:hAnsi="Times New Roman" w:cs="Times New Roman"/>
          <w:sz w:val="28"/>
          <w:szCs w:val="28"/>
          <w:lang w:val="uk-UA"/>
        </w:rPr>
        <w:t>дн</w:t>
      </w:r>
      <w:r>
        <w:rPr>
          <w:rFonts w:ascii="Times New Roman" w:hAnsi="Times New Roman" w:cs="Times New Roman"/>
          <w:sz w:val="28"/>
          <w:szCs w:val="28"/>
          <w:lang w:val="en-US"/>
        </w:rPr>
        <w:t>i</w:t>
      </w:r>
      <w:r>
        <w:rPr>
          <w:rFonts w:ascii="Times New Roman" w:hAnsi="Times New Roman" w:cs="Times New Roman"/>
          <w:sz w:val="28"/>
          <w:szCs w:val="28"/>
          <w:lang w:val="uk-UA"/>
        </w:rPr>
        <w:t>й патолог</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ї.</w:t>
      </w:r>
    </w:p>
    <w:p w:rsidR="009D428B" w:rsidRPr="009D428B" w:rsidRDefault="0074380A" w:rsidP="009D42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Обґрунтування доц</w:t>
      </w:r>
      <w:r>
        <w:rPr>
          <w:rFonts w:ascii="Times New Roman" w:hAnsi="Times New Roman" w:cs="Times New Roman"/>
          <w:sz w:val="28"/>
          <w:szCs w:val="28"/>
          <w:lang w:val="en-US"/>
        </w:rPr>
        <w:t>i</w:t>
      </w:r>
      <w:r>
        <w:rPr>
          <w:rFonts w:ascii="Times New Roman" w:hAnsi="Times New Roman" w:cs="Times New Roman"/>
          <w:sz w:val="28"/>
          <w:szCs w:val="28"/>
          <w:lang w:val="uk-UA"/>
        </w:rPr>
        <w:t>льност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розрахунку </w:t>
      </w:r>
      <w:r>
        <w:rPr>
          <w:rFonts w:ascii="Times New Roman" w:hAnsi="Times New Roman" w:cs="Times New Roman"/>
          <w:sz w:val="28"/>
          <w:szCs w:val="28"/>
          <w:lang w:val="en-US"/>
        </w:rPr>
        <w:t>I</w:t>
      </w:r>
      <w:r>
        <w:rPr>
          <w:rFonts w:ascii="Times New Roman" w:hAnsi="Times New Roman" w:cs="Times New Roman"/>
          <w:sz w:val="28"/>
          <w:szCs w:val="28"/>
          <w:lang w:val="uk-UA"/>
        </w:rPr>
        <w:t>ММЛШ як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дношення ММЛШ </w:t>
      </w:r>
      <w:r>
        <w:rPr>
          <w:rFonts w:ascii="Times New Roman" w:hAnsi="Times New Roman" w:cs="Times New Roman"/>
          <w:sz w:val="28"/>
          <w:szCs w:val="28"/>
          <w:lang w:val="uk-UA"/>
        </w:rPr>
        <w:t>до зросту в степен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2,7 </w:t>
      </w:r>
      <w:r w:rsidR="00851268">
        <w:rPr>
          <w:rFonts w:ascii="Times New Roman" w:hAnsi="Times New Roman" w:cs="Times New Roman"/>
          <w:sz w:val="28"/>
          <w:szCs w:val="28"/>
          <w:lang w:val="uk-UA"/>
        </w:rPr>
        <w:t>у пацієнтів і</w:t>
      </w:r>
      <w:r>
        <w:rPr>
          <w:rFonts w:ascii="Times New Roman" w:hAnsi="Times New Roman" w:cs="Times New Roman"/>
          <w:sz w:val="28"/>
          <w:szCs w:val="28"/>
          <w:lang w:val="uk-UA"/>
        </w:rPr>
        <w:t xml:space="preserve">з АГ, ЦД 2-го типу </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 xml:space="preserve"> с</w:t>
      </w:r>
      <w:r>
        <w:rPr>
          <w:rFonts w:ascii="Times New Roman" w:hAnsi="Times New Roman" w:cs="Times New Roman"/>
          <w:sz w:val="28"/>
          <w:szCs w:val="28"/>
          <w:lang w:val="uk-UA"/>
        </w:rPr>
        <w:t>упутн</w:t>
      </w:r>
      <w:r>
        <w:rPr>
          <w:rFonts w:ascii="Times New Roman" w:hAnsi="Times New Roman" w:cs="Times New Roman"/>
          <w:sz w:val="28"/>
          <w:szCs w:val="28"/>
          <w:lang w:val="en-US"/>
        </w:rPr>
        <w:t>i</w:t>
      </w:r>
      <w:r>
        <w:rPr>
          <w:rFonts w:ascii="Times New Roman" w:hAnsi="Times New Roman" w:cs="Times New Roman"/>
          <w:sz w:val="28"/>
          <w:szCs w:val="28"/>
          <w:lang w:val="uk-UA"/>
        </w:rPr>
        <w:t>м ожир</w:t>
      </w:r>
      <w:r>
        <w:rPr>
          <w:rFonts w:ascii="Times New Roman" w:hAnsi="Times New Roman" w:cs="Times New Roman"/>
          <w:sz w:val="28"/>
          <w:szCs w:val="28"/>
          <w:lang w:val="en-US"/>
        </w:rPr>
        <w:t>i</w:t>
      </w:r>
      <w:r>
        <w:rPr>
          <w:rFonts w:ascii="Times New Roman" w:hAnsi="Times New Roman" w:cs="Times New Roman"/>
          <w:sz w:val="28"/>
          <w:szCs w:val="28"/>
          <w:lang w:val="uk-UA"/>
        </w:rPr>
        <w:t>нням чи надм</w:t>
      </w:r>
      <w:r>
        <w:rPr>
          <w:rFonts w:ascii="Times New Roman" w:hAnsi="Times New Roman" w:cs="Times New Roman"/>
          <w:sz w:val="28"/>
          <w:szCs w:val="28"/>
          <w:lang w:val="en-US"/>
        </w:rPr>
        <w:t>i</w:t>
      </w:r>
      <w:r>
        <w:rPr>
          <w:rFonts w:ascii="Times New Roman" w:hAnsi="Times New Roman" w:cs="Times New Roman"/>
          <w:sz w:val="28"/>
          <w:szCs w:val="28"/>
          <w:lang w:val="uk-UA"/>
        </w:rPr>
        <w:t>рною вагою дозволяє л</w:t>
      </w:r>
      <w:r>
        <w:rPr>
          <w:rFonts w:ascii="Times New Roman" w:hAnsi="Times New Roman" w:cs="Times New Roman"/>
          <w:sz w:val="28"/>
          <w:szCs w:val="28"/>
          <w:lang w:val="en-US"/>
        </w:rPr>
        <w:t>i</w:t>
      </w:r>
      <w:r w:rsidR="00851268">
        <w:rPr>
          <w:rFonts w:ascii="Times New Roman" w:hAnsi="Times New Roman" w:cs="Times New Roman"/>
          <w:sz w:val="28"/>
          <w:szCs w:val="28"/>
          <w:lang w:val="uk-UA"/>
        </w:rPr>
        <w:t>карям</w:t>
      </w:r>
      <w:r>
        <w:rPr>
          <w:rFonts w:ascii="Times New Roman" w:hAnsi="Times New Roman" w:cs="Times New Roman"/>
          <w:sz w:val="28"/>
          <w:szCs w:val="28"/>
          <w:lang w:val="uk-UA"/>
        </w:rPr>
        <w:t xml:space="preserve"> ультразвукової д</w:t>
      </w:r>
      <w:r>
        <w:rPr>
          <w:rFonts w:ascii="Times New Roman" w:hAnsi="Times New Roman" w:cs="Times New Roman"/>
          <w:sz w:val="28"/>
          <w:szCs w:val="28"/>
          <w:lang w:val="en-US"/>
        </w:rPr>
        <w:t>i</w:t>
      </w:r>
      <w:r>
        <w:rPr>
          <w:rFonts w:ascii="Times New Roman" w:hAnsi="Times New Roman" w:cs="Times New Roman"/>
          <w:sz w:val="28"/>
          <w:szCs w:val="28"/>
          <w:lang w:val="uk-UA"/>
        </w:rPr>
        <w:t>агностики, кард</w:t>
      </w:r>
      <w:r>
        <w:rPr>
          <w:rFonts w:ascii="Times New Roman" w:hAnsi="Times New Roman" w:cs="Times New Roman"/>
          <w:sz w:val="28"/>
          <w:szCs w:val="28"/>
          <w:lang w:val="en-US"/>
        </w:rPr>
        <w:t>i</w:t>
      </w:r>
      <w:r w:rsidR="0059106F">
        <w:rPr>
          <w:rFonts w:ascii="Times New Roman" w:hAnsi="Times New Roman" w:cs="Times New Roman"/>
          <w:sz w:val="28"/>
          <w:szCs w:val="28"/>
          <w:lang w:val="uk-UA"/>
        </w:rPr>
        <w:t>ологам</w:t>
      </w:r>
      <w:r>
        <w:rPr>
          <w:rFonts w:ascii="Times New Roman" w:hAnsi="Times New Roman" w:cs="Times New Roman"/>
          <w:sz w:val="28"/>
          <w:szCs w:val="28"/>
          <w:lang w:val="uk-UA"/>
        </w:rPr>
        <w:t xml:space="preserve"> оптим</w:t>
      </w:r>
      <w:r>
        <w:rPr>
          <w:rFonts w:ascii="Times New Roman" w:hAnsi="Times New Roman" w:cs="Times New Roman"/>
          <w:sz w:val="28"/>
          <w:szCs w:val="28"/>
          <w:lang w:val="en-US"/>
        </w:rPr>
        <w:t>i</w:t>
      </w:r>
      <w:r>
        <w:rPr>
          <w:rFonts w:ascii="Times New Roman" w:hAnsi="Times New Roman" w:cs="Times New Roman"/>
          <w:sz w:val="28"/>
          <w:szCs w:val="28"/>
          <w:lang w:val="uk-UA"/>
        </w:rPr>
        <w:t>зувати вериф</w:t>
      </w:r>
      <w:r>
        <w:rPr>
          <w:rFonts w:ascii="Times New Roman" w:hAnsi="Times New Roman" w:cs="Times New Roman"/>
          <w:sz w:val="28"/>
          <w:szCs w:val="28"/>
          <w:lang w:val="en-US"/>
        </w:rPr>
        <w:t>i</w:t>
      </w:r>
      <w:r>
        <w:rPr>
          <w:rFonts w:ascii="Times New Roman" w:hAnsi="Times New Roman" w:cs="Times New Roman"/>
          <w:sz w:val="28"/>
          <w:szCs w:val="28"/>
          <w:lang w:val="uk-UA"/>
        </w:rPr>
        <w:t>кац</w:t>
      </w:r>
      <w:r>
        <w:rPr>
          <w:rFonts w:ascii="Times New Roman" w:hAnsi="Times New Roman" w:cs="Times New Roman"/>
          <w:sz w:val="28"/>
          <w:szCs w:val="28"/>
          <w:lang w:val="en-US"/>
        </w:rPr>
        <w:t>i</w:t>
      </w:r>
      <w:r>
        <w:rPr>
          <w:rFonts w:ascii="Times New Roman" w:hAnsi="Times New Roman" w:cs="Times New Roman"/>
          <w:sz w:val="28"/>
          <w:szCs w:val="28"/>
          <w:lang w:val="uk-UA"/>
        </w:rPr>
        <w:t>ю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Pr>
          <w:rFonts w:ascii="Times New Roman" w:hAnsi="Times New Roman" w:cs="Times New Roman"/>
          <w:sz w:val="28"/>
          <w:szCs w:val="28"/>
          <w:lang w:val="uk-UA"/>
        </w:rPr>
        <w:t>ї м</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окарда ЛШ</w:t>
      </w:r>
      <w:r w:rsidR="0059106F">
        <w:rPr>
          <w:rFonts w:ascii="Times New Roman" w:hAnsi="Times New Roman" w:cs="Times New Roman"/>
          <w:sz w:val="28"/>
          <w:szCs w:val="28"/>
          <w:lang w:val="uk-UA"/>
        </w:rPr>
        <w:t xml:space="preserve"> </w:t>
      </w:r>
      <w:r>
        <w:rPr>
          <w:rFonts w:ascii="Times New Roman" w:hAnsi="Times New Roman" w:cs="Times New Roman"/>
          <w:sz w:val="28"/>
          <w:szCs w:val="28"/>
          <w:lang w:val="uk-UA"/>
        </w:rPr>
        <w:t>у коморб</w:t>
      </w:r>
      <w:r>
        <w:rPr>
          <w:rFonts w:ascii="Times New Roman" w:hAnsi="Times New Roman" w:cs="Times New Roman"/>
          <w:sz w:val="28"/>
          <w:szCs w:val="28"/>
          <w:lang w:val="en-US"/>
        </w:rPr>
        <w:t>i</w:t>
      </w:r>
      <w:r w:rsidR="009D428B" w:rsidRPr="009D428B">
        <w:rPr>
          <w:rFonts w:ascii="Times New Roman" w:hAnsi="Times New Roman" w:cs="Times New Roman"/>
          <w:sz w:val="28"/>
          <w:szCs w:val="28"/>
          <w:lang w:val="uk-UA"/>
        </w:rPr>
        <w:t>дних хворих.</w:t>
      </w:r>
    </w:p>
    <w:p w:rsidR="00914BCA" w:rsidRPr="005B27DF" w:rsidRDefault="0074380A" w:rsidP="00914BC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768F9" w:rsidRPr="003768F9">
        <w:rPr>
          <w:rFonts w:ascii="Times New Roman" w:hAnsi="Times New Roman" w:cs="Times New Roman"/>
          <w:sz w:val="28"/>
          <w:szCs w:val="28"/>
          <w:lang w:val="uk-UA"/>
        </w:rPr>
        <w:t>Доведені дані про доцільність призначення</w:t>
      </w:r>
      <w:r w:rsidR="00451730">
        <w:rPr>
          <w:rFonts w:ascii="Times New Roman" w:hAnsi="Times New Roman" w:cs="Times New Roman"/>
          <w:sz w:val="28"/>
          <w:szCs w:val="28"/>
          <w:lang w:val="uk-UA"/>
        </w:rPr>
        <w:t xml:space="preserve"> 10−20−40 мг/добу аторвастатину </w:t>
      </w:r>
      <w:r w:rsidR="003768F9" w:rsidRPr="003768F9">
        <w:rPr>
          <w:rFonts w:ascii="Times New Roman" w:hAnsi="Times New Roman" w:cs="Times New Roman"/>
          <w:sz w:val="28"/>
          <w:szCs w:val="28"/>
          <w:lang w:val="uk-UA"/>
        </w:rPr>
        <w:t xml:space="preserve">з метою зниження вмісту атерогенних та підвищення </w:t>
      </w:r>
      <w:r w:rsidR="003768F9" w:rsidRPr="003768F9">
        <w:rPr>
          <w:rFonts w:ascii="Times New Roman" w:hAnsi="Times New Roman" w:cs="Times New Roman"/>
          <w:sz w:val="28"/>
          <w:szCs w:val="28"/>
          <w:lang w:val="uk-UA"/>
        </w:rPr>
        <w:lastRenderedPageBreak/>
        <w:t>антиатерогенних ліпопротеїдів у пацієнтів із АГ та ЦД 2-го типу дозволяють лікарям практичних закладів охорони здоров’я підвищити ефективність корекції дисліпідемії.</w:t>
      </w:r>
    </w:p>
    <w:p w:rsidR="00A7751B" w:rsidRPr="008C58FF" w:rsidRDefault="0074380A" w:rsidP="00914BC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Ключов</w:t>
      </w:r>
      <w:r>
        <w:rPr>
          <w:rFonts w:ascii="Times New Roman" w:hAnsi="Times New Roman" w:cs="Times New Roman"/>
          <w:sz w:val="28"/>
          <w:szCs w:val="28"/>
          <w:lang w:val="en-US"/>
        </w:rPr>
        <w:t>i</w:t>
      </w:r>
      <w:r w:rsidR="00A7751B" w:rsidRPr="00932AEE">
        <w:rPr>
          <w:rFonts w:ascii="Times New Roman" w:hAnsi="Times New Roman" w:cs="Times New Roman"/>
          <w:sz w:val="28"/>
          <w:szCs w:val="28"/>
          <w:lang w:val="uk-UA"/>
        </w:rPr>
        <w:t xml:space="preserve"> слова:</w:t>
      </w:r>
      <w:r>
        <w:rPr>
          <w:rFonts w:ascii="Times New Roman" w:hAnsi="Times New Roman" w:cs="Times New Roman"/>
          <w:sz w:val="28"/>
          <w:szCs w:val="28"/>
          <w:lang w:val="uk-UA"/>
        </w:rPr>
        <w:t xml:space="preserve"> </w:t>
      </w:r>
      <w:r w:rsidR="008C11C9" w:rsidRPr="008C11C9">
        <w:rPr>
          <w:rFonts w:ascii="Times New Roman" w:hAnsi="Times New Roman" w:cs="Times New Roman"/>
          <w:sz w:val="28"/>
          <w:szCs w:val="28"/>
          <w:lang w:val="uk-UA"/>
        </w:rPr>
        <w:t xml:space="preserve">артерiальна </w:t>
      </w:r>
      <w:r w:rsidR="008C11C9">
        <w:rPr>
          <w:rFonts w:ascii="Times New Roman" w:hAnsi="Times New Roman" w:cs="Times New Roman"/>
          <w:sz w:val="28"/>
          <w:szCs w:val="28"/>
          <w:lang w:val="uk-UA"/>
        </w:rPr>
        <w:t>гіпертензія,</w:t>
      </w:r>
      <w:r w:rsidR="008C11C9" w:rsidRPr="008C11C9">
        <w:rPr>
          <w:rFonts w:ascii="Times New Roman" w:hAnsi="Times New Roman" w:cs="Times New Roman"/>
          <w:sz w:val="28"/>
          <w:szCs w:val="28"/>
          <w:lang w:val="uk-UA"/>
        </w:rPr>
        <w:t xml:space="preserve"> </w:t>
      </w:r>
      <w:r>
        <w:rPr>
          <w:rFonts w:ascii="Times New Roman" w:hAnsi="Times New Roman" w:cs="Times New Roman"/>
          <w:sz w:val="28"/>
          <w:szCs w:val="28"/>
          <w:lang w:val="uk-UA"/>
        </w:rPr>
        <w:t>цукровий д</w:t>
      </w:r>
      <w:r>
        <w:rPr>
          <w:rFonts w:ascii="Times New Roman" w:hAnsi="Times New Roman" w:cs="Times New Roman"/>
          <w:sz w:val="28"/>
          <w:szCs w:val="28"/>
          <w:lang w:val="en-US"/>
        </w:rPr>
        <w:t>i</w:t>
      </w:r>
      <w:r>
        <w:rPr>
          <w:rFonts w:ascii="Times New Roman" w:hAnsi="Times New Roman" w:cs="Times New Roman"/>
          <w:sz w:val="28"/>
          <w:szCs w:val="28"/>
          <w:lang w:val="uk-UA"/>
        </w:rPr>
        <w:t>абет 2-го типу, ендотел</w:t>
      </w:r>
      <w:r>
        <w:rPr>
          <w:rFonts w:ascii="Times New Roman" w:hAnsi="Times New Roman" w:cs="Times New Roman"/>
          <w:sz w:val="28"/>
          <w:szCs w:val="28"/>
          <w:lang w:val="en-US"/>
        </w:rPr>
        <w:t>i</w:t>
      </w:r>
      <w:r w:rsidR="00A7751B">
        <w:rPr>
          <w:rFonts w:ascii="Times New Roman" w:hAnsi="Times New Roman" w:cs="Times New Roman"/>
          <w:sz w:val="28"/>
          <w:szCs w:val="28"/>
          <w:lang w:val="uk-UA"/>
        </w:rPr>
        <w:t xml:space="preserve">н-1, </w:t>
      </w:r>
      <w:r>
        <w:rPr>
          <w:rFonts w:ascii="Times New Roman" w:hAnsi="Times New Roman" w:cs="Times New Roman"/>
          <w:sz w:val="28"/>
          <w:szCs w:val="28"/>
          <w:lang w:val="uk-UA"/>
        </w:rPr>
        <w:t>дисл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демія, д</w:t>
      </w:r>
      <w:r>
        <w:rPr>
          <w:rFonts w:ascii="Times New Roman" w:hAnsi="Times New Roman" w:cs="Times New Roman"/>
          <w:sz w:val="28"/>
          <w:szCs w:val="28"/>
          <w:lang w:val="en-US"/>
        </w:rPr>
        <w:t>i</w:t>
      </w:r>
      <w:r>
        <w:rPr>
          <w:rFonts w:ascii="Times New Roman" w:hAnsi="Times New Roman" w:cs="Times New Roman"/>
          <w:sz w:val="28"/>
          <w:szCs w:val="28"/>
          <w:lang w:val="uk-UA"/>
        </w:rPr>
        <w:t>астол</w:t>
      </w:r>
      <w:r>
        <w:rPr>
          <w:rFonts w:ascii="Times New Roman" w:hAnsi="Times New Roman" w:cs="Times New Roman"/>
          <w:sz w:val="28"/>
          <w:szCs w:val="28"/>
          <w:lang w:val="en-US"/>
        </w:rPr>
        <w:t>i</w:t>
      </w:r>
      <w:r>
        <w:rPr>
          <w:rFonts w:ascii="Times New Roman" w:hAnsi="Times New Roman" w:cs="Times New Roman"/>
          <w:sz w:val="28"/>
          <w:szCs w:val="28"/>
          <w:lang w:val="uk-UA"/>
        </w:rPr>
        <w:t>чна дисфункц</w:t>
      </w:r>
      <w:r>
        <w:rPr>
          <w:rFonts w:ascii="Times New Roman" w:hAnsi="Times New Roman" w:cs="Times New Roman"/>
          <w:sz w:val="28"/>
          <w:szCs w:val="28"/>
          <w:lang w:val="en-US"/>
        </w:rPr>
        <w:t>i</w:t>
      </w:r>
      <w:r>
        <w:rPr>
          <w:rFonts w:ascii="Times New Roman" w:hAnsi="Times New Roman" w:cs="Times New Roman"/>
          <w:sz w:val="28"/>
          <w:szCs w:val="28"/>
          <w:lang w:val="uk-UA"/>
        </w:rPr>
        <w:t>я л</w:t>
      </w:r>
      <w:r>
        <w:rPr>
          <w:rFonts w:ascii="Times New Roman" w:hAnsi="Times New Roman" w:cs="Times New Roman"/>
          <w:sz w:val="28"/>
          <w:szCs w:val="28"/>
          <w:lang w:val="en-US"/>
        </w:rPr>
        <w:t>i</w:t>
      </w:r>
      <w:r w:rsidR="008C58FF">
        <w:rPr>
          <w:rFonts w:ascii="Times New Roman" w:hAnsi="Times New Roman" w:cs="Times New Roman"/>
          <w:sz w:val="28"/>
          <w:szCs w:val="28"/>
          <w:lang w:val="uk-UA"/>
        </w:rPr>
        <w:t>вого шлуночка, фактор некро</w:t>
      </w:r>
      <w:r>
        <w:rPr>
          <w:rFonts w:ascii="Times New Roman" w:hAnsi="Times New Roman" w:cs="Times New Roman"/>
          <w:sz w:val="28"/>
          <w:szCs w:val="28"/>
          <w:lang w:val="uk-UA"/>
        </w:rPr>
        <w:t>зу пухлин-альфа, молекула адгез</w:t>
      </w:r>
      <w:r>
        <w:rPr>
          <w:rFonts w:ascii="Times New Roman" w:hAnsi="Times New Roman" w:cs="Times New Roman"/>
          <w:sz w:val="28"/>
          <w:szCs w:val="28"/>
          <w:lang w:val="en-US"/>
        </w:rPr>
        <w:t>i</w:t>
      </w:r>
      <w:r w:rsidR="008C58FF">
        <w:rPr>
          <w:rFonts w:ascii="Times New Roman" w:hAnsi="Times New Roman" w:cs="Times New Roman"/>
          <w:sz w:val="28"/>
          <w:szCs w:val="28"/>
          <w:lang w:val="uk-UA"/>
        </w:rPr>
        <w:t xml:space="preserve">ї </w:t>
      </w:r>
      <w:r w:rsidR="008C58FF">
        <w:rPr>
          <w:rFonts w:ascii="Times New Roman" w:hAnsi="Times New Roman" w:cs="Times New Roman"/>
          <w:sz w:val="28"/>
          <w:szCs w:val="28"/>
          <w:lang w:val="en-US"/>
        </w:rPr>
        <w:t>sVCAM</w:t>
      </w:r>
      <w:r w:rsidR="008C58FF" w:rsidRPr="008C58FF">
        <w:rPr>
          <w:rFonts w:ascii="Times New Roman" w:hAnsi="Times New Roman" w:cs="Times New Roman"/>
          <w:sz w:val="28"/>
          <w:szCs w:val="28"/>
          <w:lang w:val="uk-UA"/>
        </w:rPr>
        <w:t>-1.</w:t>
      </w:r>
    </w:p>
    <w:p w:rsidR="00A973A6" w:rsidRPr="008A7142" w:rsidRDefault="00A973A6" w:rsidP="00E3719A">
      <w:pPr>
        <w:spacing w:after="0" w:line="360" w:lineRule="auto"/>
        <w:jc w:val="center"/>
        <w:rPr>
          <w:rFonts w:ascii="Times New Roman" w:hAnsi="Times New Roman" w:cs="Times New Roman"/>
          <w:sz w:val="28"/>
          <w:szCs w:val="28"/>
          <w:lang w:val="uk-UA"/>
        </w:rPr>
      </w:pPr>
    </w:p>
    <w:p w:rsidR="00A973A6" w:rsidRPr="008A7142" w:rsidRDefault="00A973A6" w:rsidP="00E3719A">
      <w:pPr>
        <w:spacing w:after="0" w:line="360" w:lineRule="auto"/>
        <w:jc w:val="center"/>
        <w:rPr>
          <w:rFonts w:ascii="Times New Roman" w:hAnsi="Times New Roman" w:cs="Times New Roman"/>
          <w:sz w:val="28"/>
          <w:szCs w:val="28"/>
          <w:lang w:val="uk-UA"/>
        </w:rPr>
      </w:pPr>
    </w:p>
    <w:p w:rsidR="00A973A6" w:rsidRPr="008A7142" w:rsidRDefault="00A973A6" w:rsidP="00E3719A">
      <w:pPr>
        <w:spacing w:after="0" w:line="360" w:lineRule="auto"/>
        <w:jc w:val="center"/>
        <w:rPr>
          <w:rFonts w:ascii="Times New Roman" w:hAnsi="Times New Roman" w:cs="Times New Roman"/>
          <w:sz w:val="28"/>
          <w:szCs w:val="28"/>
          <w:lang w:val="uk-UA"/>
        </w:rPr>
      </w:pPr>
    </w:p>
    <w:p w:rsidR="00A973A6" w:rsidRPr="00A650E1" w:rsidRDefault="00A973A6" w:rsidP="00117B55">
      <w:pPr>
        <w:spacing w:after="0" w:line="360" w:lineRule="auto"/>
        <w:rPr>
          <w:rFonts w:ascii="Times New Roman" w:hAnsi="Times New Roman" w:cs="Times New Roman"/>
          <w:sz w:val="28"/>
          <w:szCs w:val="28"/>
          <w:lang w:val="uk-UA"/>
        </w:rPr>
      </w:pPr>
    </w:p>
    <w:p w:rsidR="002F2899" w:rsidRPr="00C70B25" w:rsidRDefault="002F2899" w:rsidP="00E3719A">
      <w:pPr>
        <w:spacing w:after="0" w:line="360" w:lineRule="auto"/>
        <w:jc w:val="center"/>
        <w:rPr>
          <w:rFonts w:ascii="Times New Roman" w:hAnsi="Times New Roman" w:cs="Times New Roman"/>
          <w:sz w:val="28"/>
          <w:szCs w:val="28"/>
          <w:lang w:val="uk-UA"/>
        </w:rPr>
      </w:pPr>
    </w:p>
    <w:p w:rsidR="002F2899" w:rsidRPr="00C70B25" w:rsidRDefault="002F2899" w:rsidP="00E3719A">
      <w:pPr>
        <w:spacing w:after="0" w:line="360" w:lineRule="auto"/>
        <w:jc w:val="center"/>
        <w:rPr>
          <w:rFonts w:ascii="Times New Roman" w:hAnsi="Times New Roman" w:cs="Times New Roman"/>
          <w:sz w:val="28"/>
          <w:szCs w:val="28"/>
          <w:lang w:val="uk-UA"/>
        </w:rPr>
      </w:pPr>
    </w:p>
    <w:p w:rsidR="002F2899" w:rsidRPr="00C70B25" w:rsidRDefault="002F2899" w:rsidP="00E3719A">
      <w:pPr>
        <w:spacing w:after="0" w:line="360" w:lineRule="auto"/>
        <w:jc w:val="center"/>
        <w:rPr>
          <w:rFonts w:ascii="Times New Roman" w:hAnsi="Times New Roman" w:cs="Times New Roman"/>
          <w:sz w:val="28"/>
          <w:szCs w:val="28"/>
          <w:lang w:val="uk-UA"/>
        </w:rPr>
      </w:pPr>
    </w:p>
    <w:p w:rsidR="002F2899" w:rsidRPr="00C70B25" w:rsidRDefault="002F2899" w:rsidP="00E3719A">
      <w:pPr>
        <w:spacing w:after="0" w:line="360" w:lineRule="auto"/>
        <w:jc w:val="center"/>
        <w:rPr>
          <w:rFonts w:ascii="Times New Roman" w:hAnsi="Times New Roman" w:cs="Times New Roman"/>
          <w:sz w:val="28"/>
          <w:szCs w:val="28"/>
          <w:lang w:val="uk-UA"/>
        </w:rPr>
      </w:pPr>
    </w:p>
    <w:p w:rsidR="00D87597" w:rsidRPr="00EA5664" w:rsidRDefault="00D87597" w:rsidP="00E3719A">
      <w:pPr>
        <w:spacing w:after="0" w:line="360" w:lineRule="auto"/>
        <w:jc w:val="center"/>
        <w:rPr>
          <w:rFonts w:ascii="Times New Roman" w:hAnsi="Times New Roman" w:cs="Times New Roman"/>
          <w:b/>
          <w:sz w:val="28"/>
          <w:szCs w:val="28"/>
          <w:lang w:val="uk-UA"/>
        </w:rPr>
      </w:pPr>
    </w:p>
    <w:p w:rsidR="00D87597" w:rsidRPr="00EA5664" w:rsidRDefault="00D87597" w:rsidP="00E3719A">
      <w:pPr>
        <w:spacing w:after="0" w:line="360" w:lineRule="auto"/>
        <w:jc w:val="center"/>
        <w:rPr>
          <w:rFonts w:ascii="Times New Roman" w:hAnsi="Times New Roman" w:cs="Times New Roman"/>
          <w:b/>
          <w:sz w:val="28"/>
          <w:szCs w:val="28"/>
          <w:lang w:val="uk-UA"/>
        </w:rPr>
      </w:pPr>
    </w:p>
    <w:p w:rsidR="00D87597" w:rsidRPr="00EA5664" w:rsidRDefault="00D87597" w:rsidP="00E3719A">
      <w:pPr>
        <w:spacing w:after="0" w:line="360" w:lineRule="auto"/>
        <w:jc w:val="center"/>
        <w:rPr>
          <w:rFonts w:ascii="Times New Roman" w:hAnsi="Times New Roman" w:cs="Times New Roman"/>
          <w:b/>
          <w:sz w:val="28"/>
          <w:szCs w:val="28"/>
          <w:lang w:val="uk-UA"/>
        </w:rPr>
      </w:pPr>
    </w:p>
    <w:p w:rsidR="00D87597" w:rsidRPr="00EA5664" w:rsidRDefault="00D87597" w:rsidP="00E3719A">
      <w:pPr>
        <w:spacing w:after="0" w:line="360" w:lineRule="auto"/>
        <w:jc w:val="center"/>
        <w:rPr>
          <w:rFonts w:ascii="Times New Roman" w:hAnsi="Times New Roman" w:cs="Times New Roman"/>
          <w:b/>
          <w:sz w:val="28"/>
          <w:szCs w:val="28"/>
          <w:lang w:val="uk-UA"/>
        </w:rPr>
      </w:pPr>
    </w:p>
    <w:p w:rsidR="00D87597" w:rsidRPr="00EA5664" w:rsidRDefault="00D87597" w:rsidP="00E3719A">
      <w:pPr>
        <w:spacing w:after="0" w:line="360" w:lineRule="auto"/>
        <w:jc w:val="center"/>
        <w:rPr>
          <w:rFonts w:ascii="Times New Roman" w:hAnsi="Times New Roman" w:cs="Times New Roman"/>
          <w:b/>
          <w:sz w:val="28"/>
          <w:szCs w:val="28"/>
          <w:lang w:val="uk-UA"/>
        </w:rPr>
      </w:pPr>
    </w:p>
    <w:p w:rsidR="00D87597" w:rsidRPr="00EA5664" w:rsidRDefault="00D87597" w:rsidP="00E3719A">
      <w:pPr>
        <w:spacing w:after="0" w:line="360" w:lineRule="auto"/>
        <w:jc w:val="center"/>
        <w:rPr>
          <w:rFonts w:ascii="Times New Roman" w:hAnsi="Times New Roman" w:cs="Times New Roman"/>
          <w:b/>
          <w:sz w:val="28"/>
          <w:szCs w:val="28"/>
          <w:lang w:val="uk-UA"/>
        </w:rPr>
      </w:pPr>
    </w:p>
    <w:p w:rsidR="00906B06" w:rsidRPr="006F6CC5" w:rsidRDefault="00906B06" w:rsidP="006F6CC5">
      <w:pPr>
        <w:spacing w:after="0" w:line="360" w:lineRule="auto"/>
        <w:rPr>
          <w:rFonts w:ascii="Times New Roman" w:hAnsi="Times New Roman" w:cs="Times New Roman"/>
          <w:b/>
          <w:sz w:val="28"/>
          <w:szCs w:val="28"/>
          <w:lang w:val="uk-UA"/>
        </w:rPr>
      </w:pPr>
    </w:p>
    <w:p w:rsidR="00E04D43" w:rsidRDefault="00E04D43" w:rsidP="00E3719A">
      <w:pPr>
        <w:spacing w:after="0" w:line="360" w:lineRule="auto"/>
        <w:jc w:val="center"/>
        <w:rPr>
          <w:rFonts w:ascii="Times New Roman" w:hAnsi="Times New Roman" w:cs="Times New Roman"/>
          <w:b/>
          <w:sz w:val="28"/>
          <w:szCs w:val="28"/>
          <w:lang w:val="uk-UA"/>
        </w:rPr>
      </w:pPr>
    </w:p>
    <w:p w:rsidR="00E04D43" w:rsidRDefault="00E04D43" w:rsidP="00E3719A">
      <w:pPr>
        <w:spacing w:after="0" w:line="360" w:lineRule="auto"/>
        <w:jc w:val="center"/>
        <w:rPr>
          <w:rFonts w:ascii="Times New Roman" w:hAnsi="Times New Roman" w:cs="Times New Roman"/>
          <w:b/>
          <w:sz w:val="28"/>
          <w:szCs w:val="28"/>
          <w:lang w:val="uk-UA"/>
        </w:rPr>
      </w:pPr>
    </w:p>
    <w:p w:rsidR="00E04D43" w:rsidRDefault="00E04D43" w:rsidP="00E3719A">
      <w:pPr>
        <w:spacing w:after="0" w:line="360" w:lineRule="auto"/>
        <w:jc w:val="center"/>
        <w:rPr>
          <w:rFonts w:ascii="Times New Roman" w:hAnsi="Times New Roman" w:cs="Times New Roman"/>
          <w:b/>
          <w:sz w:val="28"/>
          <w:szCs w:val="28"/>
          <w:lang w:val="uk-UA"/>
        </w:rPr>
      </w:pPr>
    </w:p>
    <w:p w:rsidR="00E04D43" w:rsidRDefault="00E04D43" w:rsidP="00E3719A">
      <w:pPr>
        <w:spacing w:after="0" w:line="360" w:lineRule="auto"/>
        <w:jc w:val="center"/>
        <w:rPr>
          <w:rFonts w:ascii="Times New Roman" w:hAnsi="Times New Roman" w:cs="Times New Roman"/>
          <w:b/>
          <w:sz w:val="28"/>
          <w:szCs w:val="28"/>
          <w:lang w:val="uk-UA"/>
        </w:rPr>
      </w:pPr>
    </w:p>
    <w:p w:rsidR="00E04D43" w:rsidRDefault="00E04D43" w:rsidP="00E3719A">
      <w:pPr>
        <w:spacing w:after="0" w:line="360" w:lineRule="auto"/>
        <w:jc w:val="center"/>
        <w:rPr>
          <w:rFonts w:ascii="Times New Roman" w:hAnsi="Times New Roman" w:cs="Times New Roman"/>
          <w:b/>
          <w:sz w:val="28"/>
          <w:szCs w:val="28"/>
          <w:lang w:val="uk-UA"/>
        </w:rPr>
      </w:pPr>
    </w:p>
    <w:p w:rsidR="00080D13" w:rsidRDefault="00080D13" w:rsidP="00E3719A">
      <w:pPr>
        <w:spacing w:after="0" w:line="360" w:lineRule="auto"/>
        <w:jc w:val="center"/>
        <w:rPr>
          <w:rFonts w:ascii="Times New Roman" w:hAnsi="Times New Roman" w:cs="Times New Roman"/>
          <w:b/>
          <w:sz w:val="28"/>
          <w:szCs w:val="28"/>
          <w:lang w:val="uk-UA"/>
        </w:rPr>
      </w:pPr>
    </w:p>
    <w:p w:rsidR="00080D13" w:rsidRDefault="00080D13" w:rsidP="00E3719A">
      <w:pPr>
        <w:spacing w:after="0" w:line="360" w:lineRule="auto"/>
        <w:jc w:val="center"/>
        <w:rPr>
          <w:rFonts w:ascii="Times New Roman" w:hAnsi="Times New Roman" w:cs="Times New Roman"/>
          <w:b/>
          <w:sz w:val="28"/>
          <w:szCs w:val="28"/>
          <w:lang w:val="uk-UA"/>
        </w:rPr>
      </w:pPr>
    </w:p>
    <w:p w:rsidR="00080D13" w:rsidRDefault="00080D13" w:rsidP="00E3719A">
      <w:pPr>
        <w:spacing w:after="0" w:line="360" w:lineRule="auto"/>
        <w:jc w:val="center"/>
        <w:rPr>
          <w:rFonts w:ascii="Times New Roman" w:hAnsi="Times New Roman" w:cs="Times New Roman"/>
          <w:b/>
          <w:sz w:val="28"/>
          <w:szCs w:val="28"/>
          <w:lang w:val="uk-UA"/>
        </w:rPr>
      </w:pPr>
    </w:p>
    <w:p w:rsidR="00B300E5" w:rsidRDefault="00B300E5" w:rsidP="00A14E19">
      <w:pPr>
        <w:spacing w:after="0" w:line="360" w:lineRule="auto"/>
        <w:rPr>
          <w:rFonts w:ascii="Times New Roman" w:hAnsi="Times New Roman" w:cs="Times New Roman"/>
          <w:b/>
          <w:sz w:val="28"/>
          <w:szCs w:val="28"/>
          <w:lang w:val="uk-UA"/>
        </w:rPr>
      </w:pPr>
    </w:p>
    <w:p w:rsidR="00E3719A" w:rsidRPr="002F2899" w:rsidRDefault="00E96C23" w:rsidP="00E3719A">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SUMMARY</w:t>
      </w:r>
    </w:p>
    <w:p w:rsidR="00E3719A" w:rsidRPr="004224BE" w:rsidRDefault="00DD0065" w:rsidP="004224B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Chernatska O.</w:t>
      </w:r>
      <w:r w:rsidR="00001F3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 </w:t>
      </w:r>
      <w:r w:rsidR="00117B55" w:rsidRPr="00117B55">
        <w:rPr>
          <w:rFonts w:ascii="Times New Roman" w:hAnsi="Times New Roman" w:cs="Times New Roman"/>
          <w:sz w:val="28"/>
          <w:szCs w:val="28"/>
          <w:lang w:val="en-US"/>
        </w:rPr>
        <w:t>Endothelial, s</w:t>
      </w:r>
      <w:r w:rsidR="004224BE">
        <w:rPr>
          <w:rFonts w:ascii="Times New Roman" w:hAnsi="Times New Roman" w:cs="Times New Roman"/>
          <w:sz w:val="28"/>
          <w:szCs w:val="28"/>
          <w:lang w:val="en-US"/>
        </w:rPr>
        <w:t>tructural-functional and immuno</w:t>
      </w:r>
      <w:r w:rsidR="00117B55">
        <w:rPr>
          <w:rFonts w:ascii="Times New Roman" w:hAnsi="Times New Roman" w:cs="Times New Roman"/>
          <w:sz w:val="28"/>
          <w:szCs w:val="28"/>
          <w:lang w:val="en-US"/>
        </w:rPr>
        <w:t>i</w:t>
      </w:r>
      <w:r w:rsidR="00117B55" w:rsidRPr="00117B55">
        <w:rPr>
          <w:rFonts w:ascii="Times New Roman" w:hAnsi="Times New Roman" w:cs="Times New Roman"/>
          <w:sz w:val="28"/>
          <w:szCs w:val="28"/>
          <w:lang w:val="en-US"/>
        </w:rPr>
        <w:t>nflammatory aspects of metabolic disorders in patients with arterial hypertension and type 2 diabetes and their correction</w:t>
      </w:r>
      <w:r w:rsidR="00001F32">
        <w:rPr>
          <w:rFonts w:ascii="Times New Roman" w:hAnsi="Times New Roman" w:cs="Times New Roman"/>
          <w:sz w:val="28"/>
          <w:szCs w:val="28"/>
          <w:lang w:val="en-US"/>
        </w:rPr>
        <w:t xml:space="preserve"> − </w:t>
      </w:r>
      <w:r w:rsidR="00E3719A" w:rsidRPr="00E3719A">
        <w:rPr>
          <w:rFonts w:ascii="Times New Roman" w:hAnsi="Times New Roman" w:cs="Times New Roman"/>
          <w:sz w:val="28"/>
          <w:szCs w:val="28"/>
          <w:lang w:val="en-US"/>
        </w:rPr>
        <w:t>Qualifying scientific work on the manuscript.</w:t>
      </w:r>
    </w:p>
    <w:p w:rsidR="00643C8B" w:rsidRPr="00643C8B" w:rsidRDefault="00AA74D2" w:rsidP="00643C8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Thesis for candidateʼ</w:t>
      </w:r>
      <w:r w:rsidR="00E3719A" w:rsidRPr="00E3719A">
        <w:rPr>
          <w:rFonts w:ascii="Times New Roman" w:hAnsi="Times New Roman" w:cs="Times New Roman"/>
          <w:sz w:val="28"/>
          <w:szCs w:val="28"/>
          <w:lang w:val="en-US"/>
        </w:rPr>
        <w:t xml:space="preserve">s degree (PhD) in </w:t>
      </w:r>
      <w:r w:rsidR="002F2899">
        <w:rPr>
          <w:rFonts w:ascii="Times New Roman" w:hAnsi="Times New Roman" w:cs="Times New Roman"/>
          <w:sz w:val="28"/>
          <w:szCs w:val="28"/>
          <w:lang w:val="en-US"/>
        </w:rPr>
        <w:t xml:space="preserve">medical sciences, </w:t>
      </w:r>
      <w:r w:rsidR="00E3719A" w:rsidRPr="00E3719A">
        <w:rPr>
          <w:rFonts w:ascii="Times New Roman" w:hAnsi="Times New Roman" w:cs="Times New Roman"/>
          <w:sz w:val="28"/>
          <w:szCs w:val="28"/>
          <w:lang w:val="en-US"/>
        </w:rPr>
        <w:t>specialt</w:t>
      </w:r>
      <w:r w:rsidR="00643C8B">
        <w:rPr>
          <w:rFonts w:ascii="Times New Roman" w:hAnsi="Times New Roman" w:cs="Times New Roman"/>
          <w:sz w:val="28"/>
          <w:szCs w:val="28"/>
          <w:lang w:val="en-US"/>
        </w:rPr>
        <w:t>y 14.01.02 "Internal Medicine"</w:t>
      </w:r>
      <w:r w:rsidR="00643C8B">
        <w:rPr>
          <w:rFonts w:ascii="Times New Roman" w:hAnsi="Times New Roman" w:cs="Times New Roman"/>
          <w:sz w:val="28"/>
          <w:szCs w:val="28"/>
          <w:lang w:val="uk-UA"/>
        </w:rPr>
        <w:t xml:space="preserve">. − </w:t>
      </w:r>
      <w:r w:rsidR="00E3719A" w:rsidRPr="00E3719A">
        <w:rPr>
          <w:rFonts w:ascii="Times New Roman" w:hAnsi="Times New Roman" w:cs="Times New Roman"/>
          <w:sz w:val="28"/>
          <w:szCs w:val="28"/>
          <w:lang w:val="en-US"/>
        </w:rPr>
        <w:t>Sumy State University, Medical Institu</w:t>
      </w:r>
      <w:r w:rsidR="00643C8B">
        <w:rPr>
          <w:rFonts w:ascii="Times New Roman" w:hAnsi="Times New Roman" w:cs="Times New Roman"/>
          <w:sz w:val="28"/>
          <w:szCs w:val="28"/>
          <w:lang w:val="en-US"/>
        </w:rPr>
        <w:t>te</w:t>
      </w:r>
      <w:r w:rsidR="00643C8B">
        <w:rPr>
          <w:rFonts w:ascii="Times New Roman" w:hAnsi="Times New Roman" w:cs="Times New Roman"/>
          <w:sz w:val="28"/>
          <w:szCs w:val="28"/>
          <w:lang w:val="uk-UA"/>
        </w:rPr>
        <w:t xml:space="preserve"> </w:t>
      </w:r>
      <w:r w:rsidR="00643C8B">
        <w:rPr>
          <w:rFonts w:ascii="Times New Roman" w:hAnsi="Times New Roman" w:cs="Times New Roman"/>
          <w:sz w:val="28"/>
          <w:szCs w:val="28"/>
          <w:lang w:val="en-US"/>
        </w:rPr>
        <w:t xml:space="preserve">of </w:t>
      </w:r>
      <w:r w:rsidR="00643C8B" w:rsidRPr="00643C8B">
        <w:rPr>
          <w:rFonts w:ascii="Times New Roman" w:hAnsi="Times New Roman" w:cs="Times New Roman"/>
          <w:sz w:val="28"/>
          <w:szCs w:val="28"/>
          <w:lang w:val="en-US"/>
        </w:rPr>
        <w:t xml:space="preserve">Ministry of Education and </w:t>
      </w:r>
      <w:r w:rsidR="00643C8B">
        <w:rPr>
          <w:rFonts w:ascii="Times New Roman" w:hAnsi="Times New Roman" w:cs="Times New Roman"/>
          <w:sz w:val="28"/>
          <w:szCs w:val="28"/>
          <w:lang w:val="en-US"/>
        </w:rPr>
        <w:t>Science of Ukraine. – Sumy, 2018</w:t>
      </w:r>
      <w:r w:rsidR="00643C8B" w:rsidRPr="00643C8B">
        <w:rPr>
          <w:rFonts w:ascii="Times New Roman" w:hAnsi="Times New Roman" w:cs="Times New Roman"/>
          <w:sz w:val="28"/>
          <w:szCs w:val="28"/>
          <w:lang w:val="en-US"/>
        </w:rPr>
        <w:t>.</w:t>
      </w:r>
    </w:p>
    <w:p w:rsidR="00E3719A" w:rsidRPr="00E3719A" w:rsidRDefault="00643C8B" w:rsidP="00643C8B">
      <w:pPr>
        <w:spacing w:after="0" w:line="360" w:lineRule="auto"/>
        <w:ind w:firstLine="708"/>
        <w:jc w:val="both"/>
        <w:rPr>
          <w:rFonts w:ascii="Times New Roman" w:hAnsi="Times New Roman" w:cs="Times New Roman"/>
          <w:sz w:val="28"/>
          <w:szCs w:val="28"/>
          <w:lang w:val="en-US"/>
        </w:rPr>
      </w:pPr>
      <w:r w:rsidRPr="00643C8B">
        <w:rPr>
          <w:rFonts w:ascii="Times New Roman" w:hAnsi="Times New Roman" w:cs="Times New Roman"/>
          <w:sz w:val="28"/>
          <w:szCs w:val="28"/>
          <w:lang w:val="en-US"/>
        </w:rPr>
        <w:t>Kharkiv National Medical University of the Ministry of Hea</w:t>
      </w:r>
      <w:r w:rsidR="00AF2010">
        <w:rPr>
          <w:rFonts w:ascii="Times New Roman" w:hAnsi="Times New Roman" w:cs="Times New Roman"/>
          <w:sz w:val="28"/>
          <w:szCs w:val="28"/>
          <w:lang w:val="en-US"/>
        </w:rPr>
        <w:t>lth of Ukraine. – Kharkiv, 2019</w:t>
      </w:r>
      <w:r w:rsidR="00E3719A" w:rsidRPr="00E3719A">
        <w:rPr>
          <w:rFonts w:ascii="Times New Roman" w:hAnsi="Times New Roman" w:cs="Times New Roman"/>
          <w:sz w:val="28"/>
          <w:szCs w:val="28"/>
          <w:lang w:val="en-US"/>
        </w:rPr>
        <w:t xml:space="preserve">. </w:t>
      </w:r>
    </w:p>
    <w:p w:rsidR="00D92738" w:rsidRDefault="002F2899" w:rsidP="00011893">
      <w:pPr>
        <w:tabs>
          <w:tab w:val="left" w:pos="1418"/>
        </w:tabs>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Topic</w:t>
      </w:r>
      <w:r w:rsidR="001A726A">
        <w:rPr>
          <w:rFonts w:ascii="Times New Roman" w:hAnsi="Times New Roman" w:cs="Times New Roman"/>
          <w:sz w:val="28"/>
          <w:szCs w:val="28"/>
          <w:lang w:val="en-US"/>
        </w:rPr>
        <w:t>ality</w:t>
      </w:r>
      <w:r w:rsidR="00E3719A" w:rsidRPr="00E3719A">
        <w:rPr>
          <w:rFonts w:ascii="Times New Roman" w:hAnsi="Times New Roman" w:cs="Times New Roman"/>
          <w:sz w:val="28"/>
          <w:szCs w:val="28"/>
          <w:lang w:val="en-US"/>
        </w:rPr>
        <w:t xml:space="preserve">. </w:t>
      </w:r>
      <w:r w:rsidR="00D92738">
        <w:rPr>
          <w:rFonts w:ascii="Times New Roman" w:hAnsi="Times New Roman" w:cs="Times New Roman"/>
          <w:sz w:val="28"/>
          <w:szCs w:val="28"/>
          <w:lang w:val="en-US"/>
        </w:rPr>
        <w:t>A</w:t>
      </w:r>
      <w:r w:rsidR="00B863A2">
        <w:rPr>
          <w:rFonts w:ascii="Times New Roman" w:hAnsi="Times New Roman" w:cs="Times New Roman"/>
          <w:sz w:val="28"/>
          <w:szCs w:val="28"/>
          <w:lang w:val="en-US"/>
        </w:rPr>
        <w:t>rterial hypertension (AH) is</w:t>
      </w:r>
      <w:r w:rsidR="00D92738">
        <w:rPr>
          <w:rFonts w:ascii="Times New Roman" w:hAnsi="Times New Roman" w:cs="Times New Roman"/>
          <w:sz w:val="28"/>
          <w:szCs w:val="28"/>
          <w:lang w:val="en-US"/>
        </w:rPr>
        <w:t xml:space="preserve"> observed in</w:t>
      </w:r>
      <w:r w:rsidR="00D92738" w:rsidRPr="001C388F">
        <w:rPr>
          <w:rFonts w:ascii="Times New Roman" w:hAnsi="Times New Roman" w:cs="Times New Roman"/>
          <w:sz w:val="28"/>
          <w:szCs w:val="28"/>
          <w:lang w:val="en-US"/>
        </w:rPr>
        <w:t xml:space="preserve"> about quarte</w:t>
      </w:r>
      <w:r w:rsidR="007074CE">
        <w:rPr>
          <w:rFonts w:ascii="Times New Roman" w:hAnsi="Times New Roman" w:cs="Times New Roman"/>
          <w:sz w:val="28"/>
          <w:szCs w:val="28"/>
          <w:lang w:val="en-US"/>
        </w:rPr>
        <w:t>r of the world</w:t>
      </w:r>
      <w:r w:rsidR="00D92738">
        <w:rPr>
          <w:rFonts w:ascii="Times New Roman" w:hAnsi="Times New Roman" w:cs="Times New Roman"/>
          <w:sz w:val="28"/>
          <w:szCs w:val="28"/>
          <w:lang w:val="en-US"/>
        </w:rPr>
        <w:t xml:space="preserve"> population. Furthermore, it </w:t>
      </w:r>
      <w:r w:rsidR="00D92738" w:rsidRPr="001C388F">
        <w:rPr>
          <w:rFonts w:ascii="Times New Roman" w:hAnsi="Times New Roman" w:cs="Times New Roman"/>
          <w:sz w:val="28"/>
          <w:szCs w:val="28"/>
          <w:lang w:val="en-US"/>
        </w:rPr>
        <w:t xml:space="preserve">is the leading cause of cardiovascular mortality in </w:t>
      </w:r>
      <w:r w:rsidR="00D92738">
        <w:rPr>
          <w:rFonts w:ascii="Times New Roman" w:hAnsi="Times New Roman" w:cs="Times New Roman"/>
          <w:sz w:val="28"/>
          <w:szCs w:val="28"/>
          <w:lang w:val="en-US"/>
        </w:rPr>
        <w:t xml:space="preserve">many </w:t>
      </w:r>
      <w:r w:rsidR="00D92738" w:rsidRPr="001C388F">
        <w:rPr>
          <w:rFonts w:ascii="Times New Roman" w:hAnsi="Times New Roman" w:cs="Times New Roman"/>
          <w:sz w:val="28"/>
          <w:szCs w:val="28"/>
          <w:lang w:val="en-US"/>
        </w:rPr>
        <w:t>countries</w:t>
      </w:r>
      <w:r w:rsidR="00906B06">
        <w:rPr>
          <w:rFonts w:ascii="Times New Roman" w:hAnsi="Times New Roman" w:cs="Times New Roman"/>
          <w:sz w:val="28"/>
          <w:szCs w:val="28"/>
          <w:lang w:val="uk-UA"/>
        </w:rPr>
        <w:t xml:space="preserve"> (</w:t>
      </w:r>
      <w:r w:rsidR="00080D13" w:rsidRPr="00080D13">
        <w:rPr>
          <w:rFonts w:ascii="Times New Roman" w:hAnsi="Times New Roman" w:cs="Times New Roman"/>
          <w:sz w:val="28"/>
          <w:szCs w:val="28"/>
          <w:lang w:val="uk-UA"/>
        </w:rPr>
        <w:t>S. Oparil, 2018</w:t>
      </w:r>
      <w:r w:rsidR="00906B06">
        <w:rPr>
          <w:rFonts w:ascii="Times New Roman" w:hAnsi="Times New Roman" w:cs="Times New Roman"/>
          <w:sz w:val="28"/>
          <w:szCs w:val="28"/>
          <w:lang w:val="uk-UA"/>
        </w:rPr>
        <w:t>)</w:t>
      </w:r>
      <w:r w:rsidR="00D92738" w:rsidRPr="001C388F">
        <w:rPr>
          <w:rFonts w:ascii="Times New Roman" w:hAnsi="Times New Roman" w:cs="Times New Roman"/>
          <w:sz w:val="28"/>
          <w:szCs w:val="28"/>
          <w:lang w:val="en-US"/>
        </w:rPr>
        <w:t>. Modern p</w:t>
      </w:r>
      <w:r w:rsidR="00B863A2">
        <w:rPr>
          <w:rFonts w:ascii="Times New Roman" w:hAnsi="Times New Roman" w:cs="Times New Roman"/>
          <w:sz w:val="28"/>
          <w:szCs w:val="28"/>
          <w:lang w:val="en-US"/>
        </w:rPr>
        <w:t>atient with hypertension</w:t>
      </w:r>
      <w:r w:rsidR="00D92738" w:rsidRPr="001C388F">
        <w:rPr>
          <w:rFonts w:ascii="Times New Roman" w:hAnsi="Times New Roman" w:cs="Times New Roman"/>
          <w:sz w:val="28"/>
          <w:szCs w:val="28"/>
          <w:lang w:val="en-US"/>
        </w:rPr>
        <w:t xml:space="preserve"> </w:t>
      </w:r>
      <w:r w:rsidR="007074CE">
        <w:rPr>
          <w:rFonts w:ascii="Times New Roman" w:hAnsi="Times New Roman" w:cs="Times New Roman"/>
          <w:sz w:val="28"/>
          <w:szCs w:val="28"/>
          <w:lang w:val="en-US"/>
        </w:rPr>
        <w:t>often has coexiste</w:t>
      </w:r>
      <w:r w:rsidR="00080D13">
        <w:rPr>
          <w:rFonts w:ascii="Times New Roman" w:hAnsi="Times New Roman" w:cs="Times New Roman"/>
          <w:sz w:val="28"/>
          <w:szCs w:val="28"/>
          <w:lang w:val="en-US"/>
        </w:rPr>
        <w:t>nt diseases</w:t>
      </w:r>
      <w:r w:rsidR="00080D13">
        <w:rPr>
          <w:rFonts w:ascii="Times New Roman" w:hAnsi="Times New Roman" w:cs="Times New Roman"/>
          <w:sz w:val="28"/>
          <w:szCs w:val="28"/>
          <w:lang w:val="uk-UA"/>
        </w:rPr>
        <w:t xml:space="preserve">, </w:t>
      </w:r>
      <w:r w:rsidR="00080D13">
        <w:rPr>
          <w:rFonts w:ascii="Times New Roman" w:hAnsi="Times New Roman" w:cs="Times New Roman"/>
          <w:sz w:val="28"/>
          <w:szCs w:val="28"/>
          <w:lang w:val="en-US"/>
        </w:rPr>
        <w:t>such as</w:t>
      </w:r>
      <w:r w:rsidR="00B863A2">
        <w:rPr>
          <w:rFonts w:ascii="Times New Roman" w:hAnsi="Times New Roman" w:cs="Times New Roman"/>
          <w:sz w:val="28"/>
          <w:szCs w:val="28"/>
          <w:lang w:val="en-US"/>
        </w:rPr>
        <w:t xml:space="preserve"> </w:t>
      </w:r>
      <w:r w:rsidR="00080D13">
        <w:rPr>
          <w:rFonts w:ascii="Times New Roman" w:hAnsi="Times New Roman" w:cs="Times New Roman"/>
          <w:sz w:val="28"/>
          <w:szCs w:val="28"/>
          <w:lang w:val="en-US"/>
        </w:rPr>
        <w:t>t</w:t>
      </w:r>
      <w:r w:rsidR="00D92738" w:rsidRPr="001C388F">
        <w:rPr>
          <w:rFonts w:ascii="Times New Roman" w:hAnsi="Times New Roman" w:cs="Times New Roman"/>
          <w:sz w:val="28"/>
          <w:szCs w:val="28"/>
          <w:lang w:val="en-US"/>
        </w:rPr>
        <w:t>ype 2</w:t>
      </w:r>
      <w:r w:rsidR="00D92738">
        <w:rPr>
          <w:rFonts w:ascii="Times New Roman" w:hAnsi="Times New Roman" w:cs="Times New Roman"/>
          <w:sz w:val="28"/>
          <w:szCs w:val="28"/>
          <w:lang w:val="en-US"/>
        </w:rPr>
        <w:t xml:space="preserve"> d</w:t>
      </w:r>
      <w:r w:rsidR="00D92738" w:rsidRPr="00E3719A">
        <w:rPr>
          <w:rFonts w:ascii="Times New Roman" w:hAnsi="Times New Roman" w:cs="Times New Roman"/>
          <w:sz w:val="28"/>
          <w:szCs w:val="28"/>
          <w:lang w:val="en-US"/>
        </w:rPr>
        <w:t xml:space="preserve">iabetes mellitus </w:t>
      </w:r>
      <w:r w:rsidR="00D92738">
        <w:rPr>
          <w:rFonts w:ascii="Times New Roman" w:hAnsi="Times New Roman" w:cs="Times New Roman"/>
          <w:sz w:val="28"/>
          <w:szCs w:val="28"/>
          <w:lang w:val="en-US"/>
        </w:rPr>
        <w:t>(DM)</w:t>
      </w:r>
      <w:r w:rsidR="00B863A2">
        <w:rPr>
          <w:rFonts w:ascii="Times New Roman" w:hAnsi="Times New Roman" w:cs="Times New Roman"/>
          <w:sz w:val="28"/>
          <w:szCs w:val="28"/>
          <w:lang w:val="en-US"/>
        </w:rPr>
        <w:t xml:space="preserve"> </w:t>
      </w:r>
      <w:r w:rsidR="00D92738">
        <w:rPr>
          <w:rFonts w:ascii="Times New Roman" w:hAnsi="Times New Roman" w:cs="Times New Roman"/>
          <w:sz w:val="28"/>
          <w:szCs w:val="28"/>
          <w:lang w:val="en-US"/>
        </w:rPr>
        <w:t>(</w:t>
      </w:r>
      <w:r w:rsidR="00080D13" w:rsidRPr="00080D13">
        <w:rPr>
          <w:rFonts w:ascii="Times New Roman" w:hAnsi="Times New Roman" w:cs="Times New Roman"/>
          <w:sz w:val="28"/>
          <w:szCs w:val="28"/>
          <w:lang w:val="en-US"/>
        </w:rPr>
        <w:t>D. I. Pavlou, 2018</w:t>
      </w:r>
      <w:r w:rsidR="00D92738">
        <w:rPr>
          <w:rFonts w:ascii="Times New Roman" w:hAnsi="Times New Roman" w:cs="Times New Roman"/>
          <w:sz w:val="28"/>
          <w:szCs w:val="28"/>
          <w:lang w:val="en-US"/>
        </w:rPr>
        <w:t>)</w:t>
      </w:r>
      <w:r w:rsidR="00D92738" w:rsidRPr="00562E43">
        <w:rPr>
          <w:rFonts w:ascii="Times New Roman" w:hAnsi="Times New Roman" w:cs="Times New Roman"/>
          <w:sz w:val="28"/>
          <w:szCs w:val="28"/>
          <w:lang w:val="en-US"/>
        </w:rPr>
        <w:t>.</w:t>
      </w:r>
      <w:r w:rsidR="00D92738">
        <w:rPr>
          <w:rFonts w:ascii="Times New Roman" w:hAnsi="Times New Roman" w:cs="Times New Roman"/>
          <w:sz w:val="28"/>
          <w:szCs w:val="28"/>
          <w:lang w:val="en-US"/>
        </w:rPr>
        <w:t xml:space="preserve"> </w:t>
      </w:r>
      <w:r w:rsidR="00BF133C">
        <w:rPr>
          <w:rFonts w:ascii="Times New Roman" w:hAnsi="Times New Roman" w:cs="Times New Roman"/>
          <w:sz w:val="28"/>
          <w:szCs w:val="28"/>
          <w:lang w:val="en-US"/>
        </w:rPr>
        <w:t>Patients with DM</w:t>
      </w:r>
      <w:r w:rsidR="00BF133C" w:rsidRPr="00BF133C">
        <w:rPr>
          <w:rFonts w:ascii="Times New Roman" w:hAnsi="Times New Roman" w:cs="Times New Roman"/>
          <w:sz w:val="28"/>
          <w:szCs w:val="28"/>
          <w:lang w:val="en-US"/>
        </w:rPr>
        <w:t xml:space="preserve"> are especially vulnerable to hypertensive injury.</w:t>
      </w:r>
      <w:r w:rsidR="00BF133C">
        <w:rPr>
          <w:rFonts w:ascii="Times New Roman" w:hAnsi="Times New Roman" w:cs="Times New Roman"/>
          <w:sz w:val="28"/>
          <w:szCs w:val="28"/>
          <w:lang w:val="en-US"/>
        </w:rPr>
        <w:t xml:space="preserve"> No doubt that the coexistence of AH</w:t>
      </w:r>
      <w:r w:rsidR="00BF133C" w:rsidRPr="00BF133C">
        <w:rPr>
          <w:rFonts w:ascii="Times New Roman" w:hAnsi="Times New Roman" w:cs="Times New Roman"/>
          <w:sz w:val="28"/>
          <w:szCs w:val="28"/>
          <w:lang w:val="en-US"/>
        </w:rPr>
        <w:t xml:space="preserve"> has a significant impact of the poor prognosis for patients with diabetes because of its effect on the micro and macro vasculature</w:t>
      </w:r>
      <w:r w:rsidR="00BF133C">
        <w:rPr>
          <w:rFonts w:ascii="Times New Roman" w:hAnsi="Times New Roman" w:cs="Times New Roman"/>
          <w:sz w:val="28"/>
          <w:szCs w:val="28"/>
          <w:lang w:val="en-US"/>
        </w:rPr>
        <w:t xml:space="preserve"> </w:t>
      </w:r>
      <w:r w:rsidR="00451730">
        <w:rPr>
          <w:rFonts w:ascii="Times New Roman" w:hAnsi="Times New Roman" w:cs="Times New Roman"/>
          <w:sz w:val="28"/>
          <w:szCs w:val="28"/>
          <w:lang w:val="uk-UA"/>
        </w:rPr>
        <w:t xml:space="preserve">                </w:t>
      </w:r>
      <w:r w:rsidR="00BF133C">
        <w:rPr>
          <w:rFonts w:ascii="Times New Roman" w:hAnsi="Times New Roman" w:cs="Times New Roman"/>
          <w:sz w:val="28"/>
          <w:szCs w:val="28"/>
          <w:lang w:val="en-US"/>
        </w:rPr>
        <w:t>(B. H. Chew, 2015)</w:t>
      </w:r>
      <w:r w:rsidR="00BF133C" w:rsidRPr="00BF133C">
        <w:rPr>
          <w:rFonts w:ascii="Times New Roman" w:hAnsi="Times New Roman" w:cs="Times New Roman"/>
          <w:sz w:val="28"/>
          <w:szCs w:val="28"/>
          <w:lang w:val="en-US"/>
        </w:rPr>
        <w:t>.</w:t>
      </w:r>
    </w:p>
    <w:p w:rsidR="00E3719A" w:rsidRPr="00297D2E" w:rsidRDefault="0063197C" w:rsidP="00E3719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63197C">
        <w:rPr>
          <w:rFonts w:ascii="Times New Roman" w:hAnsi="Times New Roman" w:cs="Times New Roman"/>
          <w:sz w:val="28"/>
          <w:szCs w:val="28"/>
          <w:lang w:val="en-US"/>
        </w:rPr>
        <w:t>iabetes mellitus</w:t>
      </w:r>
      <w:r w:rsidR="00E3719A" w:rsidRPr="00E3719A">
        <w:rPr>
          <w:rFonts w:ascii="Times New Roman" w:hAnsi="Times New Roman" w:cs="Times New Roman"/>
          <w:sz w:val="28"/>
          <w:szCs w:val="28"/>
          <w:lang w:val="en-US"/>
        </w:rPr>
        <w:t xml:space="preserve"> is the noninfectious epidemic nowadays (</w:t>
      </w:r>
      <w:r w:rsidR="00906B06">
        <w:rPr>
          <w:rFonts w:ascii="Times New Roman" w:hAnsi="Times New Roman" w:cs="Times New Roman"/>
          <w:sz w:val="28"/>
          <w:szCs w:val="28"/>
          <w:lang w:val="en-US"/>
        </w:rPr>
        <w:t>WHO, 201</w:t>
      </w:r>
      <w:r w:rsidR="00906B06">
        <w:rPr>
          <w:rFonts w:ascii="Times New Roman" w:hAnsi="Times New Roman" w:cs="Times New Roman"/>
          <w:sz w:val="28"/>
          <w:szCs w:val="28"/>
          <w:lang w:val="uk-UA"/>
        </w:rPr>
        <w:t>4</w:t>
      </w:r>
      <w:r w:rsidR="00E3719A" w:rsidRPr="00E3719A">
        <w:rPr>
          <w:rFonts w:ascii="Times New Roman" w:hAnsi="Times New Roman" w:cs="Times New Roman"/>
          <w:sz w:val="28"/>
          <w:szCs w:val="28"/>
          <w:lang w:val="en-US"/>
        </w:rPr>
        <w:t>). At thi</w:t>
      </w:r>
      <w:r w:rsidR="00906B06">
        <w:rPr>
          <w:rFonts w:ascii="Times New Roman" w:hAnsi="Times New Roman" w:cs="Times New Roman"/>
          <w:sz w:val="28"/>
          <w:szCs w:val="28"/>
          <w:lang w:val="en-US"/>
        </w:rPr>
        <w:t>s moment there are more than 4</w:t>
      </w:r>
      <w:r w:rsidR="00906B06">
        <w:rPr>
          <w:rFonts w:ascii="Times New Roman" w:hAnsi="Times New Roman" w:cs="Times New Roman"/>
          <w:sz w:val="28"/>
          <w:szCs w:val="28"/>
          <w:lang w:val="uk-UA"/>
        </w:rPr>
        <w:t>25</w:t>
      </w:r>
      <w:r w:rsidR="00E3719A" w:rsidRPr="00E3719A">
        <w:rPr>
          <w:rFonts w:ascii="Times New Roman" w:hAnsi="Times New Roman" w:cs="Times New Roman"/>
          <w:sz w:val="28"/>
          <w:szCs w:val="28"/>
          <w:lang w:val="en-US"/>
        </w:rPr>
        <w:t xml:space="preserve"> mill</w:t>
      </w:r>
      <w:r w:rsidR="00906B06">
        <w:rPr>
          <w:rFonts w:ascii="Times New Roman" w:hAnsi="Times New Roman" w:cs="Times New Roman"/>
          <w:sz w:val="28"/>
          <w:szCs w:val="28"/>
          <w:lang w:val="en-US"/>
        </w:rPr>
        <w:t>ion people with DM in the world</w:t>
      </w:r>
      <w:r w:rsidR="00E3719A" w:rsidRPr="00E3719A">
        <w:rPr>
          <w:rFonts w:ascii="Times New Roman" w:hAnsi="Times New Roman" w:cs="Times New Roman"/>
          <w:sz w:val="28"/>
          <w:szCs w:val="28"/>
          <w:lang w:val="en-US"/>
        </w:rPr>
        <w:t>. The percent of type 2 DM is about 90</w:t>
      </w:r>
      <w:r w:rsidR="00001F32">
        <w:rPr>
          <w:rFonts w:ascii="Times New Roman" w:hAnsi="Times New Roman" w:cs="Times New Roman"/>
          <w:sz w:val="28"/>
          <w:szCs w:val="28"/>
          <w:lang w:val="en-US"/>
        </w:rPr>
        <w:t xml:space="preserve"> </w:t>
      </w:r>
      <w:r w:rsidR="00E3719A" w:rsidRPr="00E3719A">
        <w:rPr>
          <w:rFonts w:ascii="Times New Roman" w:hAnsi="Times New Roman" w:cs="Times New Roman"/>
          <w:sz w:val="28"/>
          <w:szCs w:val="28"/>
          <w:lang w:val="en-US"/>
        </w:rPr>
        <w:t>% among all cases of DM (</w:t>
      </w:r>
      <w:r w:rsidR="00906B06">
        <w:rPr>
          <w:rFonts w:ascii="Times New Roman" w:hAnsi="Times New Roman" w:cs="Times New Roman"/>
          <w:sz w:val="28"/>
          <w:szCs w:val="28"/>
          <w:lang w:val="en-US"/>
        </w:rPr>
        <w:t>IDF, 2017</w:t>
      </w:r>
      <w:r w:rsidR="00E3719A" w:rsidRPr="00E3719A">
        <w:rPr>
          <w:rFonts w:ascii="Times New Roman" w:hAnsi="Times New Roman" w:cs="Times New Roman"/>
          <w:sz w:val="28"/>
          <w:szCs w:val="28"/>
          <w:lang w:val="en-US"/>
        </w:rPr>
        <w:t>).</w:t>
      </w:r>
    </w:p>
    <w:p w:rsidR="00E3719A" w:rsidRPr="009542F5" w:rsidRDefault="00CC673F" w:rsidP="009542F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Moreover, t</w:t>
      </w:r>
      <w:r w:rsidR="00562E43" w:rsidRPr="00562E43">
        <w:rPr>
          <w:rFonts w:ascii="Times New Roman" w:hAnsi="Times New Roman" w:cs="Times New Roman"/>
          <w:sz w:val="28"/>
          <w:szCs w:val="28"/>
          <w:lang w:val="en-US"/>
        </w:rPr>
        <w:t>here is the confirmed relationship between AH, DM and high risk of cardiovascular complications (CVC) which needs to be stud</w:t>
      </w:r>
      <w:r w:rsidR="007074CE">
        <w:rPr>
          <w:rFonts w:ascii="Times New Roman" w:hAnsi="Times New Roman" w:cs="Times New Roman"/>
          <w:sz w:val="28"/>
          <w:szCs w:val="28"/>
          <w:lang w:val="en-US"/>
        </w:rPr>
        <w:t>i</w:t>
      </w:r>
      <w:r w:rsidR="00562E43" w:rsidRPr="00562E43">
        <w:rPr>
          <w:rFonts w:ascii="Times New Roman" w:hAnsi="Times New Roman" w:cs="Times New Roman"/>
          <w:sz w:val="28"/>
          <w:szCs w:val="28"/>
          <w:lang w:val="en-US"/>
        </w:rPr>
        <w:t>ed for prevention these complicat</w:t>
      </w:r>
      <w:r w:rsidR="00562E43">
        <w:rPr>
          <w:rFonts w:ascii="Times New Roman" w:hAnsi="Times New Roman" w:cs="Times New Roman"/>
          <w:sz w:val="28"/>
          <w:szCs w:val="28"/>
          <w:lang w:val="en-US"/>
        </w:rPr>
        <w:t xml:space="preserve">ions and improvement </w:t>
      </w:r>
      <w:r w:rsidR="009E738D">
        <w:rPr>
          <w:rFonts w:ascii="Times New Roman" w:hAnsi="Times New Roman" w:cs="Times New Roman"/>
          <w:sz w:val="28"/>
          <w:szCs w:val="28"/>
          <w:lang w:val="en-US"/>
        </w:rPr>
        <w:t xml:space="preserve">of </w:t>
      </w:r>
      <w:r w:rsidR="00562E43">
        <w:rPr>
          <w:rFonts w:ascii="Times New Roman" w:hAnsi="Times New Roman" w:cs="Times New Roman"/>
          <w:sz w:val="28"/>
          <w:szCs w:val="28"/>
          <w:lang w:val="en-US"/>
        </w:rPr>
        <w:t>prognosis (</w:t>
      </w:r>
      <w:r w:rsidR="002D725D">
        <w:rPr>
          <w:rFonts w:ascii="Times New Roman" w:hAnsi="Times New Roman" w:cs="Times New Roman"/>
          <w:sz w:val="28"/>
          <w:szCs w:val="28"/>
          <w:lang w:val="en-US"/>
        </w:rPr>
        <w:t>M.</w:t>
      </w:r>
      <w:r w:rsidR="00AA74D2">
        <w:rPr>
          <w:rFonts w:ascii="Times New Roman" w:hAnsi="Times New Roman" w:cs="Times New Roman"/>
          <w:sz w:val="28"/>
          <w:szCs w:val="28"/>
          <w:lang w:val="uk-UA"/>
        </w:rPr>
        <w:t xml:space="preserve"> </w:t>
      </w:r>
      <w:r w:rsidR="002D725D">
        <w:rPr>
          <w:rFonts w:ascii="Times New Roman" w:hAnsi="Times New Roman" w:cs="Times New Roman"/>
          <w:sz w:val="28"/>
          <w:szCs w:val="28"/>
          <w:lang w:val="en-US"/>
        </w:rPr>
        <w:t xml:space="preserve">G. </w:t>
      </w:r>
      <w:r w:rsidR="00562E43">
        <w:rPr>
          <w:rFonts w:ascii="Times New Roman" w:hAnsi="Times New Roman" w:cs="Times New Roman"/>
          <w:sz w:val="28"/>
          <w:szCs w:val="28"/>
          <w:lang w:val="en-US"/>
        </w:rPr>
        <w:t>Ilyasch</w:t>
      </w:r>
      <w:r w:rsidR="002D725D">
        <w:rPr>
          <w:rFonts w:ascii="Times New Roman" w:hAnsi="Times New Roman" w:cs="Times New Roman"/>
          <w:sz w:val="28"/>
          <w:szCs w:val="28"/>
          <w:lang w:val="en-US"/>
        </w:rPr>
        <w:t>, 2016</w:t>
      </w:r>
      <w:r w:rsidR="00562E43" w:rsidRPr="00562E43">
        <w:rPr>
          <w:rFonts w:ascii="Times New Roman" w:hAnsi="Times New Roman" w:cs="Times New Roman"/>
          <w:sz w:val="28"/>
          <w:szCs w:val="28"/>
          <w:lang w:val="en-US"/>
        </w:rPr>
        <w:t>).</w:t>
      </w:r>
      <w:r w:rsidR="009542F5">
        <w:rPr>
          <w:rFonts w:ascii="Times New Roman" w:hAnsi="Times New Roman" w:cs="Times New Roman"/>
          <w:sz w:val="28"/>
          <w:szCs w:val="28"/>
          <w:lang w:val="en-US"/>
        </w:rPr>
        <w:t xml:space="preserve"> </w:t>
      </w:r>
      <w:r w:rsidR="002D725D">
        <w:rPr>
          <w:rFonts w:ascii="Times New Roman" w:hAnsi="Times New Roman" w:cs="Times New Roman"/>
          <w:sz w:val="28"/>
          <w:szCs w:val="28"/>
          <w:lang w:val="en-US"/>
        </w:rPr>
        <w:t>Furthermore</w:t>
      </w:r>
      <w:r w:rsidR="002D725D" w:rsidRPr="002D725D">
        <w:rPr>
          <w:rFonts w:ascii="Times New Roman" w:hAnsi="Times New Roman" w:cs="Times New Roman"/>
          <w:sz w:val="28"/>
          <w:szCs w:val="28"/>
          <w:lang w:val="en-US"/>
        </w:rPr>
        <w:t>,</w:t>
      </w:r>
      <w:r w:rsidR="002D725D" w:rsidRPr="00E3719A">
        <w:rPr>
          <w:rFonts w:ascii="Times New Roman" w:hAnsi="Times New Roman" w:cs="Times New Roman"/>
          <w:sz w:val="28"/>
          <w:szCs w:val="28"/>
          <w:lang w:val="en-US"/>
        </w:rPr>
        <w:t xml:space="preserve"> </w:t>
      </w:r>
      <w:r w:rsidR="002D725D">
        <w:rPr>
          <w:rFonts w:ascii="Times New Roman" w:hAnsi="Times New Roman" w:cs="Times New Roman"/>
          <w:sz w:val="28"/>
          <w:szCs w:val="28"/>
          <w:lang w:val="en-US"/>
        </w:rPr>
        <w:t>t</w:t>
      </w:r>
      <w:r w:rsidR="00E3719A" w:rsidRPr="00E3719A">
        <w:rPr>
          <w:rFonts w:ascii="Times New Roman" w:hAnsi="Times New Roman" w:cs="Times New Roman"/>
          <w:sz w:val="28"/>
          <w:szCs w:val="28"/>
          <w:lang w:val="en-US"/>
        </w:rPr>
        <w:t>he coexi</w:t>
      </w:r>
      <w:r w:rsidR="004F004D">
        <w:rPr>
          <w:rFonts w:ascii="Times New Roman" w:hAnsi="Times New Roman" w:cs="Times New Roman"/>
          <w:sz w:val="28"/>
          <w:szCs w:val="28"/>
          <w:lang w:val="en-US"/>
        </w:rPr>
        <w:t>stence</w:t>
      </w:r>
      <w:r w:rsidR="002D725D">
        <w:rPr>
          <w:rFonts w:ascii="Times New Roman" w:hAnsi="Times New Roman" w:cs="Times New Roman"/>
          <w:sz w:val="28"/>
          <w:szCs w:val="28"/>
          <w:lang w:val="en-US"/>
        </w:rPr>
        <w:t xml:space="preserve"> of AH</w:t>
      </w:r>
      <w:r w:rsidR="00E3719A" w:rsidRPr="00E3719A">
        <w:rPr>
          <w:rFonts w:ascii="Times New Roman" w:hAnsi="Times New Roman" w:cs="Times New Roman"/>
          <w:sz w:val="28"/>
          <w:szCs w:val="28"/>
          <w:lang w:val="en-US"/>
        </w:rPr>
        <w:t xml:space="preserve"> and type 2 DM connected with</w:t>
      </w:r>
      <w:r w:rsidR="007074CE">
        <w:rPr>
          <w:rFonts w:ascii="Times New Roman" w:hAnsi="Times New Roman" w:cs="Times New Roman"/>
          <w:sz w:val="28"/>
          <w:szCs w:val="28"/>
          <w:lang w:val="en-US"/>
        </w:rPr>
        <w:t xml:space="preserve"> the</w:t>
      </w:r>
      <w:r w:rsidR="00E3719A" w:rsidRPr="00E3719A">
        <w:rPr>
          <w:rFonts w:ascii="Times New Roman" w:hAnsi="Times New Roman" w:cs="Times New Roman"/>
          <w:sz w:val="28"/>
          <w:szCs w:val="28"/>
          <w:lang w:val="en-US"/>
        </w:rPr>
        <w:t xml:space="preserve"> increase</w:t>
      </w:r>
      <w:r w:rsidR="002D725D">
        <w:rPr>
          <w:rFonts w:ascii="Times New Roman" w:hAnsi="Times New Roman" w:cs="Times New Roman"/>
          <w:sz w:val="28"/>
          <w:szCs w:val="28"/>
          <w:lang w:val="en-US"/>
        </w:rPr>
        <w:t xml:space="preserve">d </w:t>
      </w:r>
      <w:r w:rsidR="00E3719A" w:rsidRPr="00E3719A">
        <w:rPr>
          <w:rFonts w:ascii="Times New Roman" w:hAnsi="Times New Roman" w:cs="Times New Roman"/>
          <w:sz w:val="28"/>
          <w:szCs w:val="28"/>
          <w:lang w:val="en-US"/>
        </w:rPr>
        <w:t xml:space="preserve"> risk of heart failure and stroke in 5</w:t>
      </w:r>
      <w:r w:rsidR="00001F32">
        <w:rPr>
          <w:rFonts w:ascii="Times New Roman" w:hAnsi="Times New Roman" w:cs="Times New Roman"/>
          <w:sz w:val="28"/>
          <w:szCs w:val="28"/>
          <w:lang w:val="en-US"/>
        </w:rPr>
        <w:t>−</w:t>
      </w:r>
      <w:r w:rsidR="00E3719A" w:rsidRPr="00E3719A">
        <w:rPr>
          <w:rFonts w:ascii="Times New Roman" w:hAnsi="Times New Roman" w:cs="Times New Roman"/>
          <w:sz w:val="28"/>
          <w:szCs w:val="28"/>
          <w:lang w:val="en-US"/>
        </w:rPr>
        <w:t>6 times compared with patients with AH (</w:t>
      </w:r>
      <w:r w:rsidR="00001F32" w:rsidRPr="00E3719A">
        <w:rPr>
          <w:rFonts w:ascii="Times New Roman" w:hAnsi="Times New Roman" w:cs="Times New Roman"/>
          <w:sz w:val="28"/>
          <w:szCs w:val="28"/>
          <w:lang w:val="en-US"/>
        </w:rPr>
        <w:t xml:space="preserve">M. K. </w:t>
      </w:r>
      <w:r w:rsidR="00E3719A" w:rsidRPr="00E3719A">
        <w:rPr>
          <w:rFonts w:ascii="Times New Roman" w:hAnsi="Times New Roman" w:cs="Times New Roman"/>
          <w:sz w:val="28"/>
          <w:szCs w:val="28"/>
          <w:lang w:val="en-US"/>
        </w:rPr>
        <w:t xml:space="preserve">Ali et al., 2013). The increase of </w:t>
      </w:r>
      <w:r w:rsidR="00562E43">
        <w:rPr>
          <w:rFonts w:ascii="Times New Roman" w:hAnsi="Times New Roman" w:cs="Times New Roman"/>
          <w:sz w:val="28"/>
          <w:szCs w:val="28"/>
          <w:lang w:val="en-US"/>
        </w:rPr>
        <w:t>CVC</w:t>
      </w:r>
      <w:r w:rsidR="00E3719A" w:rsidRPr="00E3719A">
        <w:rPr>
          <w:rFonts w:ascii="Times New Roman" w:hAnsi="Times New Roman" w:cs="Times New Roman"/>
          <w:sz w:val="28"/>
          <w:szCs w:val="28"/>
          <w:lang w:val="en-US"/>
        </w:rPr>
        <w:t xml:space="preserve"> is connected with dyslipidemia </w:t>
      </w:r>
      <w:r w:rsidR="009D5BD5">
        <w:rPr>
          <w:rFonts w:ascii="Times New Roman" w:hAnsi="Times New Roman" w:cs="Times New Roman"/>
          <w:sz w:val="28"/>
          <w:szCs w:val="28"/>
          <w:lang w:val="en-US"/>
        </w:rPr>
        <w:t xml:space="preserve">       </w:t>
      </w:r>
      <w:r w:rsidR="00E3719A" w:rsidRPr="00E3719A">
        <w:rPr>
          <w:rFonts w:ascii="Times New Roman" w:hAnsi="Times New Roman" w:cs="Times New Roman"/>
          <w:sz w:val="28"/>
          <w:szCs w:val="28"/>
          <w:lang w:val="en-US"/>
        </w:rPr>
        <w:t>(</w:t>
      </w:r>
      <w:r w:rsidR="00001F32" w:rsidRPr="00E3719A">
        <w:rPr>
          <w:rFonts w:ascii="Times New Roman" w:hAnsi="Times New Roman" w:cs="Times New Roman"/>
          <w:sz w:val="28"/>
          <w:szCs w:val="28"/>
          <w:lang w:val="en-US"/>
        </w:rPr>
        <w:t xml:space="preserve">I. </w:t>
      </w:r>
      <w:r w:rsidR="00E3719A" w:rsidRPr="00E3719A">
        <w:rPr>
          <w:rFonts w:ascii="Times New Roman" w:hAnsi="Times New Roman" w:cs="Times New Roman"/>
          <w:sz w:val="28"/>
          <w:szCs w:val="28"/>
          <w:lang w:val="en-US"/>
        </w:rPr>
        <w:t xml:space="preserve">Martin-Timon et al., 2014). </w:t>
      </w:r>
      <w:r w:rsidR="009D5BD5">
        <w:rPr>
          <w:rFonts w:ascii="Times New Roman" w:hAnsi="Times New Roman" w:cs="Times New Roman"/>
          <w:sz w:val="28"/>
          <w:szCs w:val="28"/>
          <w:lang w:val="en-US"/>
        </w:rPr>
        <w:t>In addition, d</w:t>
      </w:r>
      <w:r w:rsidR="00E3719A" w:rsidRPr="00E3719A">
        <w:rPr>
          <w:rFonts w:ascii="Times New Roman" w:hAnsi="Times New Roman" w:cs="Times New Roman"/>
          <w:sz w:val="28"/>
          <w:szCs w:val="28"/>
          <w:lang w:val="en-US"/>
        </w:rPr>
        <w:t>yslipidemia play</w:t>
      </w:r>
      <w:r w:rsidR="004F004D">
        <w:rPr>
          <w:rFonts w:ascii="Times New Roman" w:hAnsi="Times New Roman" w:cs="Times New Roman"/>
          <w:sz w:val="28"/>
          <w:szCs w:val="28"/>
          <w:lang w:val="en-US"/>
        </w:rPr>
        <w:t>s</w:t>
      </w:r>
      <w:r w:rsidR="005728E1">
        <w:rPr>
          <w:rFonts w:ascii="Times New Roman" w:hAnsi="Times New Roman" w:cs="Times New Roman"/>
          <w:sz w:val="28"/>
          <w:szCs w:val="28"/>
          <w:lang w:val="en-US"/>
        </w:rPr>
        <w:t xml:space="preserve"> </w:t>
      </w:r>
      <w:r w:rsidR="00E3719A" w:rsidRPr="00E3719A">
        <w:rPr>
          <w:rFonts w:ascii="Times New Roman" w:hAnsi="Times New Roman" w:cs="Times New Roman"/>
          <w:sz w:val="28"/>
          <w:szCs w:val="28"/>
          <w:lang w:val="en-US"/>
        </w:rPr>
        <w:t>main role in atherosclerosis of heart and kidney (</w:t>
      </w:r>
      <w:r w:rsidR="00001F32" w:rsidRPr="00E3719A">
        <w:rPr>
          <w:rFonts w:ascii="Times New Roman" w:hAnsi="Times New Roman" w:cs="Times New Roman"/>
          <w:sz w:val="28"/>
          <w:szCs w:val="28"/>
          <w:lang w:val="en-US"/>
        </w:rPr>
        <w:t xml:space="preserve">Y. </w:t>
      </w:r>
      <w:r w:rsidR="00E3719A" w:rsidRPr="00E3719A">
        <w:rPr>
          <w:rFonts w:ascii="Times New Roman" w:hAnsi="Times New Roman" w:cs="Times New Roman"/>
          <w:sz w:val="28"/>
          <w:szCs w:val="28"/>
          <w:lang w:val="en-US"/>
        </w:rPr>
        <w:t>Doi et al., 2012</w:t>
      </w:r>
      <w:r w:rsidR="0017204D">
        <w:rPr>
          <w:rFonts w:ascii="Times New Roman" w:hAnsi="Times New Roman" w:cs="Times New Roman"/>
          <w:sz w:val="28"/>
          <w:szCs w:val="28"/>
          <w:lang w:val="en-US"/>
        </w:rPr>
        <w:t>;</w:t>
      </w:r>
      <w:r w:rsidR="00001F32" w:rsidRPr="00001F32">
        <w:rPr>
          <w:rFonts w:ascii="Times New Roman" w:hAnsi="Times New Roman" w:cs="Times New Roman"/>
          <w:sz w:val="28"/>
          <w:szCs w:val="28"/>
          <w:lang w:val="en-US"/>
        </w:rPr>
        <w:t xml:space="preserve"> </w:t>
      </w:r>
      <w:r w:rsidR="009D5BD5">
        <w:rPr>
          <w:rFonts w:ascii="Times New Roman" w:hAnsi="Times New Roman" w:cs="Times New Roman"/>
          <w:sz w:val="28"/>
          <w:szCs w:val="28"/>
          <w:lang w:val="en-US"/>
        </w:rPr>
        <w:t xml:space="preserve">J. </w:t>
      </w:r>
      <w:r w:rsidR="00E3719A" w:rsidRPr="00E3719A">
        <w:rPr>
          <w:rFonts w:ascii="Times New Roman" w:hAnsi="Times New Roman" w:cs="Times New Roman"/>
          <w:sz w:val="28"/>
          <w:szCs w:val="28"/>
          <w:lang w:val="en-US"/>
        </w:rPr>
        <w:t xml:space="preserve">Calabia et al., 2014). </w:t>
      </w:r>
      <w:r w:rsidR="009D5BD5">
        <w:rPr>
          <w:rFonts w:ascii="Times New Roman" w:hAnsi="Times New Roman" w:cs="Times New Roman"/>
          <w:sz w:val="28"/>
          <w:szCs w:val="28"/>
          <w:lang w:val="en-US"/>
        </w:rPr>
        <w:t>Therefore, i</w:t>
      </w:r>
      <w:r w:rsidR="00E3719A" w:rsidRPr="00E3719A">
        <w:rPr>
          <w:rFonts w:ascii="Times New Roman" w:hAnsi="Times New Roman" w:cs="Times New Roman"/>
          <w:sz w:val="28"/>
          <w:szCs w:val="28"/>
          <w:lang w:val="en-US"/>
        </w:rPr>
        <w:t xml:space="preserve">t can be the common link between insulin resistance and AH. There is </w:t>
      </w:r>
      <w:r w:rsidR="00E3719A" w:rsidRPr="00E3719A">
        <w:rPr>
          <w:rFonts w:ascii="Times New Roman" w:hAnsi="Times New Roman" w:cs="Times New Roman"/>
          <w:sz w:val="28"/>
          <w:szCs w:val="28"/>
          <w:lang w:val="en-US"/>
        </w:rPr>
        <w:lastRenderedPageBreak/>
        <w:t>the two-site</w:t>
      </w:r>
      <w:r w:rsidR="004F004D">
        <w:rPr>
          <w:rFonts w:ascii="Times New Roman" w:hAnsi="Times New Roman" w:cs="Times New Roman"/>
          <w:sz w:val="28"/>
          <w:szCs w:val="28"/>
          <w:lang w:val="en-US"/>
        </w:rPr>
        <w:t xml:space="preserve"> connection between development</w:t>
      </w:r>
      <w:r w:rsidR="00E3719A" w:rsidRPr="00E3719A">
        <w:rPr>
          <w:rFonts w:ascii="Times New Roman" w:hAnsi="Times New Roman" w:cs="Times New Roman"/>
          <w:sz w:val="28"/>
          <w:szCs w:val="28"/>
          <w:lang w:val="en-US"/>
        </w:rPr>
        <w:t xml:space="preserve"> of AH and kidney disor</w:t>
      </w:r>
      <w:r w:rsidR="00AC6203">
        <w:rPr>
          <w:rFonts w:ascii="Times New Roman" w:hAnsi="Times New Roman" w:cs="Times New Roman"/>
          <w:sz w:val="28"/>
          <w:szCs w:val="28"/>
          <w:lang w:val="en-US"/>
        </w:rPr>
        <w:t xml:space="preserve">ders, diabetic nephropathy. </w:t>
      </w:r>
      <w:r w:rsidR="00E3719A" w:rsidRPr="00E3719A">
        <w:rPr>
          <w:rFonts w:ascii="Times New Roman" w:hAnsi="Times New Roman" w:cs="Times New Roman"/>
          <w:sz w:val="28"/>
          <w:szCs w:val="28"/>
          <w:lang w:val="en-US"/>
        </w:rPr>
        <w:t>Microalbuminuria is a marker of CVC for patients with type 2 DM (</w:t>
      </w:r>
      <w:r w:rsidR="00AA74D2" w:rsidRPr="00AA74D2">
        <w:rPr>
          <w:rFonts w:ascii="Times New Roman" w:hAnsi="Times New Roman" w:cs="Times New Roman"/>
          <w:sz w:val="28"/>
          <w:szCs w:val="28"/>
          <w:lang w:val="en-US"/>
        </w:rPr>
        <w:t>H. Y. Wu et al., 2013</w:t>
      </w:r>
      <w:r w:rsidR="00AA74D2">
        <w:rPr>
          <w:rFonts w:ascii="Times New Roman" w:hAnsi="Times New Roman" w:cs="Times New Roman"/>
          <w:sz w:val="28"/>
          <w:szCs w:val="28"/>
          <w:lang w:val="uk-UA"/>
        </w:rPr>
        <w:t xml:space="preserve">; </w:t>
      </w:r>
      <w:r w:rsidR="0017204D" w:rsidRPr="00E3719A">
        <w:rPr>
          <w:rFonts w:ascii="Times New Roman" w:hAnsi="Times New Roman" w:cs="Times New Roman"/>
          <w:sz w:val="28"/>
          <w:szCs w:val="28"/>
          <w:lang w:val="en-US"/>
        </w:rPr>
        <w:t xml:space="preserve">A. </w:t>
      </w:r>
      <w:r w:rsidR="00E3719A" w:rsidRPr="00E3719A">
        <w:rPr>
          <w:rFonts w:ascii="Times New Roman" w:hAnsi="Times New Roman" w:cs="Times New Roman"/>
          <w:sz w:val="28"/>
          <w:szCs w:val="28"/>
          <w:lang w:val="en-US"/>
        </w:rPr>
        <w:t>Stoian et</w:t>
      </w:r>
      <w:r w:rsidR="0017204D">
        <w:rPr>
          <w:rFonts w:ascii="Times New Roman" w:hAnsi="Times New Roman" w:cs="Times New Roman"/>
          <w:sz w:val="28"/>
          <w:szCs w:val="28"/>
          <w:lang w:val="en-US"/>
        </w:rPr>
        <w:t xml:space="preserve"> al.</w:t>
      </w:r>
      <w:r w:rsidR="0017204D">
        <w:rPr>
          <w:rFonts w:ascii="Times New Roman" w:hAnsi="Times New Roman" w:cs="Times New Roman"/>
          <w:sz w:val="28"/>
          <w:szCs w:val="28"/>
          <w:lang w:val="uk-UA"/>
        </w:rPr>
        <w:t>,</w:t>
      </w:r>
      <w:r w:rsidR="0017204D">
        <w:rPr>
          <w:rFonts w:ascii="Times New Roman" w:hAnsi="Times New Roman" w:cs="Times New Roman"/>
          <w:sz w:val="28"/>
          <w:szCs w:val="28"/>
          <w:lang w:val="en-US"/>
        </w:rPr>
        <w:t xml:space="preserve"> 2016</w:t>
      </w:r>
      <w:r w:rsidR="00E3719A" w:rsidRPr="00E3719A">
        <w:rPr>
          <w:rFonts w:ascii="Times New Roman" w:hAnsi="Times New Roman" w:cs="Times New Roman"/>
          <w:sz w:val="28"/>
          <w:szCs w:val="28"/>
          <w:lang w:val="en-US"/>
        </w:rPr>
        <w:t>).</w:t>
      </w:r>
    </w:p>
    <w:p w:rsidR="00E3719A" w:rsidRPr="00E3719A" w:rsidRDefault="009D5BD5" w:rsidP="00E3719A">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 doubt that endothelial dysfunction </w:t>
      </w:r>
      <w:r w:rsidR="005728E1">
        <w:rPr>
          <w:rFonts w:ascii="Times New Roman" w:hAnsi="Times New Roman" w:cs="Times New Roman"/>
          <w:sz w:val="28"/>
          <w:szCs w:val="28"/>
          <w:lang w:val="en-US"/>
        </w:rPr>
        <w:t xml:space="preserve">promotes </w:t>
      </w:r>
      <w:r w:rsidR="00E3719A" w:rsidRPr="00E3719A">
        <w:rPr>
          <w:rFonts w:ascii="Times New Roman" w:hAnsi="Times New Roman" w:cs="Times New Roman"/>
          <w:sz w:val="28"/>
          <w:szCs w:val="28"/>
          <w:lang w:val="en-US"/>
        </w:rPr>
        <w:t>atherosclerosis, type 2 DM (</w:t>
      </w:r>
      <w:r w:rsidR="0017204D" w:rsidRPr="00E3719A">
        <w:rPr>
          <w:rFonts w:ascii="Times New Roman" w:hAnsi="Times New Roman" w:cs="Times New Roman"/>
          <w:sz w:val="28"/>
          <w:szCs w:val="28"/>
          <w:lang w:val="en-US"/>
        </w:rPr>
        <w:t>R.</w:t>
      </w:r>
      <w:r w:rsidR="0017204D">
        <w:rPr>
          <w:rFonts w:ascii="Times New Roman" w:hAnsi="Times New Roman" w:cs="Times New Roman"/>
          <w:sz w:val="28"/>
          <w:szCs w:val="28"/>
          <w:lang w:val="uk-UA"/>
        </w:rPr>
        <w:t xml:space="preserve"> </w:t>
      </w:r>
      <w:r w:rsidR="00E3719A" w:rsidRPr="00E3719A">
        <w:rPr>
          <w:rFonts w:ascii="Times New Roman" w:hAnsi="Times New Roman" w:cs="Times New Roman"/>
          <w:sz w:val="28"/>
          <w:szCs w:val="28"/>
          <w:lang w:val="en-US"/>
        </w:rPr>
        <w:t xml:space="preserve">Dhananjayan et al., 2016). </w:t>
      </w:r>
      <w:r>
        <w:rPr>
          <w:rFonts w:ascii="Times New Roman" w:hAnsi="Times New Roman" w:cs="Times New Roman"/>
          <w:sz w:val="28"/>
          <w:szCs w:val="28"/>
          <w:lang w:val="en-US"/>
        </w:rPr>
        <w:t xml:space="preserve">Indeed </w:t>
      </w:r>
      <w:r w:rsidR="00E3719A" w:rsidRPr="00E3719A">
        <w:rPr>
          <w:rFonts w:ascii="Times New Roman" w:hAnsi="Times New Roman" w:cs="Times New Roman"/>
          <w:sz w:val="28"/>
          <w:szCs w:val="28"/>
          <w:lang w:val="en-US"/>
        </w:rPr>
        <w:t>endothelial disorders are detected by the phenomenon of albuminuria (</w:t>
      </w:r>
      <w:r w:rsidR="0017204D">
        <w:rPr>
          <w:rFonts w:ascii="Times New Roman" w:hAnsi="Times New Roman" w:cs="Times New Roman"/>
          <w:sz w:val="28"/>
          <w:szCs w:val="28"/>
          <w:lang w:val="uk-UA"/>
        </w:rPr>
        <w:t xml:space="preserve">А. </w:t>
      </w:r>
      <w:r w:rsidR="0017204D">
        <w:rPr>
          <w:rFonts w:ascii="Times New Roman" w:hAnsi="Times New Roman" w:cs="Times New Roman"/>
          <w:sz w:val="28"/>
          <w:szCs w:val="28"/>
          <w:lang w:val="en-US"/>
        </w:rPr>
        <w:t>Sandoo</w:t>
      </w:r>
      <w:r w:rsidR="00E3719A" w:rsidRPr="00E3719A">
        <w:rPr>
          <w:rFonts w:ascii="Times New Roman" w:hAnsi="Times New Roman" w:cs="Times New Roman"/>
          <w:sz w:val="28"/>
          <w:szCs w:val="28"/>
          <w:lang w:val="en-US"/>
        </w:rPr>
        <w:t>, 2013).</w:t>
      </w:r>
    </w:p>
    <w:p w:rsidR="006C4957" w:rsidRDefault="006C4957" w:rsidP="00E3719A">
      <w:pPr>
        <w:spacing w:after="0" w:line="360" w:lineRule="auto"/>
        <w:ind w:firstLine="708"/>
        <w:jc w:val="both"/>
        <w:rPr>
          <w:rFonts w:ascii="Times New Roman" w:hAnsi="Times New Roman" w:cs="Times New Roman"/>
          <w:sz w:val="28"/>
          <w:szCs w:val="28"/>
          <w:lang w:val="en-US"/>
        </w:rPr>
      </w:pPr>
      <w:r w:rsidRPr="006C4957">
        <w:rPr>
          <w:rFonts w:ascii="Times New Roman" w:hAnsi="Times New Roman" w:cs="Times New Roman"/>
          <w:sz w:val="28"/>
          <w:szCs w:val="28"/>
          <w:lang w:val="en-US"/>
        </w:rPr>
        <w:t>Hyperuricemia is an independent risk factor for cardiov</w:t>
      </w:r>
      <w:r w:rsidR="004F004D">
        <w:rPr>
          <w:rFonts w:ascii="Times New Roman" w:hAnsi="Times New Roman" w:cs="Times New Roman"/>
          <w:sz w:val="28"/>
          <w:szCs w:val="28"/>
          <w:lang w:val="en-US"/>
        </w:rPr>
        <w:t>ascular morbidity and mortality</w:t>
      </w:r>
      <w:r>
        <w:rPr>
          <w:rFonts w:ascii="Times New Roman" w:hAnsi="Times New Roman" w:cs="Times New Roman"/>
          <w:sz w:val="28"/>
          <w:szCs w:val="28"/>
          <w:lang w:val="en-US"/>
        </w:rPr>
        <w:t xml:space="preserve"> </w:t>
      </w:r>
      <w:r w:rsidRPr="006C4957">
        <w:rPr>
          <w:rFonts w:ascii="Times New Roman" w:hAnsi="Times New Roman" w:cs="Times New Roman"/>
          <w:sz w:val="28"/>
          <w:szCs w:val="28"/>
          <w:lang w:val="en-US"/>
        </w:rPr>
        <w:t>confirmed by prospective studies (</w:t>
      </w:r>
      <w:r w:rsidR="0017204D" w:rsidRPr="006C4957">
        <w:rPr>
          <w:rFonts w:ascii="Times New Roman" w:hAnsi="Times New Roman" w:cs="Times New Roman"/>
          <w:sz w:val="28"/>
          <w:szCs w:val="28"/>
          <w:lang w:val="en-US"/>
        </w:rPr>
        <w:t>O</w:t>
      </w:r>
      <w:r w:rsidR="0017204D">
        <w:rPr>
          <w:rFonts w:ascii="Times New Roman" w:hAnsi="Times New Roman" w:cs="Times New Roman"/>
          <w:sz w:val="28"/>
          <w:szCs w:val="28"/>
          <w:lang w:val="uk-UA"/>
        </w:rPr>
        <w:t xml:space="preserve">. </w:t>
      </w:r>
      <w:r w:rsidR="0017204D" w:rsidRPr="006C4957">
        <w:rPr>
          <w:rFonts w:ascii="Times New Roman" w:hAnsi="Times New Roman" w:cs="Times New Roman"/>
          <w:sz w:val="28"/>
          <w:szCs w:val="28"/>
          <w:lang w:val="en-US"/>
        </w:rPr>
        <w:t>V</w:t>
      </w:r>
      <w:r w:rsidR="00523990">
        <w:rPr>
          <w:rFonts w:ascii="Times New Roman" w:hAnsi="Times New Roman" w:cs="Times New Roman"/>
          <w:sz w:val="28"/>
          <w:szCs w:val="28"/>
          <w:lang w:val="uk-UA"/>
        </w:rPr>
        <w:t>.</w:t>
      </w:r>
      <w:r w:rsidR="0017204D" w:rsidRPr="006C4957">
        <w:rPr>
          <w:rFonts w:ascii="Times New Roman" w:hAnsi="Times New Roman" w:cs="Times New Roman"/>
          <w:sz w:val="28"/>
          <w:szCs w:val="28"/>
          <w:lang w:val="en-US"/>
        </w:rPr>
        <w:t xml:space="preserve"> </w:t>
      </w:r>
      <w:r w:rsidRPr="006C4957">
        <w:rPr>
          <w:rFonts w:ascii="Times New Roman" w:hAnsi="Times New Roman" w:cs="Times New Roman"/>
          <w:sz w:val="28"/>
          <w:szCs w:val="28"/>
          <w:lang w:val="en-US"/>
        </w:rPr>
        <w:t xml:space="preserve">Bilchenko, 2015). </w:t>
      </w:r>
      <w:r w:rsidR="005728E1">
        <w:rPr>
          <w:rFonts w:ascii="Times New Roman" w:hAnsi="Times New Roman" w:cs="Times New Roman"/>
          <w:sz w:val="28"/>
          <w:szCs w:val="28"/>
          <w:lang w:val="en-US"/>
        </w:rPr>
        <w:t>The ability to</w:t>
      </w:r>
      <w:r>
        <w:rPr>
          <w:rFonts w:ascii="Times New Roman" w:hAnsi="Times New Roman" w:cs="Times New Roman"/>
          <w:sz w:val="28"/>
          <w:szCs w:val="28"/>
          <w:lang w:val="en-US"/>
        </w:rPr>
        <w:t xml:space="preserve"> reduce uric acid levels is the</w:t>
      </w:r>
      <w:r w:rsidRPr="006C4957">
        <w:rPr>
          <w:rFonts w:ascii="Times New Roman" w:hAnsi="Times New Roman" w:cs="Times New Roman"/>
          <w:sz w:val="28"/>
          <w:szCs w:val="28"/>
          <w:lang w:val="en-US"/>
        </w:rPr>
        <w:t xml:space="preserve"> additional positive aspect of antihypert</w:t>
      </w:r>
      <w:r>
        <w:rPr>
          <w:rFonts w:ascii="Times New Roman" w:hAnsi="Times New Roman" w:cs="Times New Roman"/>
          <w:sz w:val="28"/>
          <w:szCs w:val="28"/>
          <w:lang w:val="en-US"/>
        </w:rPr>
        <w:t>ensive drugs with protective</w:t>
      </w:r>
      <w:r w:rsidRPr="006C4957">
        <w:rPr>
          <w:rFonts w:ascii="Times New Roman" w:hAnsi="Times New Roman" w:cs="Times New Roman"/>
          <w:sz w:val="28"/>
          <w:szCs w:val="28"/>
          <w:lang w:val="en-US"/>
        </w:rPr>
        <w:t xml:space="preserve"> action.</w:t>
      </w:r>
    </w:p>
    <w:p w:rsidR="00E3719A" w:rsidRPr="00E3719A" w:rsidRDefault="00E3719A" w:rsidP="00E3719A">
      <w:pPr>
        <w:spacing w:after="0" w:line="360" w:lineRule="auto"/>
        <w:ind w:firstLine="708"/>
        <w:jc w:val="both"/>
        <w:rPr>
          <w:rFonts w:ascii="Times New Roman" w:hAnsi="Times New Roman" w:cs="Times New Roman"/>
          <w:sz w:val="28"/>
          <w:szCs w:val="28"/>
          <w:lang w:val="en-US"/>
        </w:rPr>
      </w:pPr>
      <w:r w:rsidRPr="00E3719A">
        <w:rPr>
          <w:rFonts w:ascii="Times New Roman" w:hAnsi="Times New Roman" w:cs="Times New Roman"/>
          <w:sz w:val="28"/>
          <w:szCs w:val="28"/>
          <w:lang w:val="en-US"/>
        </w:rPr>
        <w:t>The control of glucose level is n</w:t>
      </w:r>
      <w:r w:rsidR="009D5BD5">
        <w:rPr>
          <w:rFonts w:ascii="Times New Roman" w:hAnsi="Times New Roman" w:cs="Times New Roman"/>
          <w:sz w:val="28"/>
          <w:szCs w:val="28"/>
          <w:lang w:val="en-US"/>
        </w:rPr>
        <w:t xml:space="preserve">ot enough for prevention CVC in patients with type 2 DM. No doubt </w:t>
      </w:r>
      <w:r w:rsidR="002A0E38">
        <w:rPr>
          <w:rFonts w:ascii="Times New Roman" w:hAnsi="Times New Roman" w:cs="Times New Roman"/>
          <w:sz w:val="28"/>
          <w:szCs w:val="28"/>
          <w:lang w:val="en-US"/>
        </w:rPr>
        <w:t>that t</w:t>
      </w:r>
      <w:r w:rsidRPr="00E3719A">
        <w:rPr>
          <w:rFonts w:ascii="Times New Roman" w:hAnsi="Times New Roman" w:cs="Times New Roman"/>
          <w:sz w:val="28"/>
          <w:szCs w:val="28"/>
          <w:lang w:val="en-US"/>
        </w:rPr>
        <w:t>reatment of other key links of pathogenesis is necessary too (</w:t>
      </w:r>
      <w:r w:rsidR="00523990" w:rsidRPr="00E3719A">
        <w:rPr>
          <w:rFonts w:ascii="Times New Roman" w:hAnsi="Times New Roman" w:cs="Times New Roman"/>
          <w:sz w:val="28"/>
          <w:szCs w:val="28"/>
          <w:lang w:val="en-US"/>
        </w:rPr>
        <w:t>L.</w:t>
      </w:r>
      <w:r w:rsidR="00523990">
        <w:rPr>
          <w:rFonts w:ascii="Times New Roman" w:hAnsi="Times New Roman" w:cs="Times New Roman"/>
          <w:sz w:val="28"/>
          <w:szCs w:val="28"/>
          <w:lang w:val="uk-UA"/>
        </w:rPr>
        <w:t xml:space="preserve"> </w:t>
      </w:r>
      <w:r w:rsidRPr="00E3719A">
        <w:rPr>
          <w:rFonts w:ascii="Times New Roman" w:hAnsi="Times New Roman" w:cs="Times New Roman"/>
          <w:sz w:val="28"/>
          <w:szCs w:val="28"/>
          <w:lang w:val="en-US"/>
        </w:rPr>
        <w:t>Casanova et al., 2014).</w:t>
      </w:r>
      <w:r w:rsidRPr="00E3719A">
        <w:rPr>
          <w:lang w:val="en-US"/>
        </w:rPr>
        <w:t xml:space="preserve"> </w:t>
      </w:r>
    </w:p>
    <w:p w:rsidR="002A0E38" w:rsidRDefault="00011893" w:rsidP="000301E4">
      <w:pPr>
        <w:spacing w:after="0" w:line="360" w:lineRule="auto"/>
        <w:ind w:firstLine="708"/>
        <w:jc w:val="both"/>
        <w:rPr>
          <w:rFonts w:ascii="Times New Roman" w:hAnsi="Times New Roman" w:cs="Times New Roman"/>
          <w:sz w:val="28"/>
          <w:szCs w:val="28"/>
          <w:lang w:val="en-US"/>
        </w:rPr>
      </w:pPr>
      <w:r w:rsidRPr="00A8081C">
        <w:rPr>
          <w:rFonts w:ascii="Times New Roman" w:hAnsi="Times New Roman" w:cs="Times New Roman"/>
          <w:sz w:val="28"/>
          <w:szCs w:val="28"/>
          <w:lang w:val="en-US"/>
        </w:rPr>
        <w:t>The aim of our trial wa</w:t>
      </w:r>
      <w:r w:rsidR="00E3719A" w:rsidRPr="00A8081C">
        <w:rPr>
          <w:rFonts w:ascii="Times New Roman" w:hAnsi="Times New Roman" w:cs="Times New Roman"/>
          <w:sz w:val="28"/>
          <w:szCs w:val="28"/>
          <w:lang w:val="en-US"/>
        </w:rPr>
        <w:t xml:space="preserve">s </w:t>
      </w:r>
      <w:r w:rsidR="002A0E38" w:rsidRPr="00A8081C">
        <w:rPr>
          <w:rFonts w:ascii="Times New Roman" w:hAnsi="Times New Roman" w:cs="Times New Roman"/>
          <w:sz w:val="28"/>
          <w:szCs w:val="28"/>
          <w:lang w:val="en-US"/>
        </w:rPr>
        <w:t xml:space="preserve">the improvement of </w:t>
      </w:r>
      <w:r w:rsidR="00AC6203" w:rsidRPr="00A8081C">
        <w:rPr>
          <w:rFonts w:ascii="Times New Roman" w:hAnsi="Times New Roman" w:cs="Times New Roman"/>
          <w:sz w:val="28"/>
          <w:szCs w:val="28"/>
          <w:lang w:val="en-US"/>
        </w:rPr>
        <w:t xml:space="preserve">diagnostic and </w:t>
      </w:r>
      <w:r w:rsidR="002A0E38" w:rsidRPr="00A8081C">
        <w:rPr>
          <w:rFonts w:ascii="Times New Roman" w:hAnsi="Times New Roman" w:cs="Times New Roman"/>
          <w:sz w:val="28"/>
          <w:szCs w:val="28"/>
          <w:lang w:val="en-US"/>
        </w:rPr>
        <w:t xml:space="preserve">treatment for patients with arterial hypertension and </w:t>
      </w:r>
      <w:r w:rsidR="00437F5E" w:rsidRPr="00A8081C">
        <w:rPr>
          <w:rFonts w:ascii="Times New Roman" w:hAnsi="Times New Roman" w:cs="Times New Roman"/>
          <w:sz w:val="28"/>
          <w:szCs w:val="28"/>
          <w:lang w:val="en-US"/>
        </w:rPr>
        <w:t>coexiste</w:t>
      </w:r>
      <w:r w:rsidR="002A0E38" w:rsidRPr="00A8081C">
        <w:rPr>
          <w:rFonts w:ascii="Times New Roman" w:hAnsi="Times New Roman" w:cs="Times New Roman"/>
          <w:sz w:val="28"/>
          <w:szCs w:val="28"/>
          <w:lang w:val="en-US"/>
        </w:rPr>
        <w:t xml:space="preserve">nt type 2 diabetes mellitus by </w:t>
      </w:r>
      <w:r w:rsidR="00E3719A" w:rsidRPr="00A8081C">
        <w:rPr>
          <w:rFonts w:ascii="Times New Roman" w:hAnsi="Times New Roman" w:cs="Times New Roman"/>
          <w:sz w:val="28"/>
          <w:szCs w:val="28"/>
          <w:lang w:val="en-US"/>
        </w:rPr>
        <w:t>the detail analysis of</w:t>
      </w:r>
      <w:r w:rsidR="00A4755B" w:rsidRPr="00A8081C">
        <w:rPr>
          <w:rFonts w:ascii="Times New Roman" w:hAnsi="Times New Roman" w:cs="Times New Roman"/>
          <w:sz w:val="28"/>
          <w:szCs w:val="28"/>
          <w:lang w:val="uk-UA"/>
        </w:rPr>
        <w:t xml:space="preserve"> </w:t>
      </w:r>
      <w:r w:rsidR="00AC6203" w:rsidRPr="00A8081C">
        <w:rPr>
          <w:rFonts w:ascii="Times New Roman" w:hAnsi="Times New Roman" w:cs="Times New Roman"/>
          <w:sz w:val="28"/>
          <w:szCs w:val="28"/>
          <w:lang w:val="en-US"/>
        </w:rPr>
        <w:t>connection betw</w:t>
      </w:r>
      <w:r w:rsidR="00A4755B" w:rsidRPr="00A8081C">
        <w:rPr>
          <w:rFonts w:ascii="Times New Roman" w:hAnsi="Times New Roman" w:cs="Times New Roman"/>
          <w:sz w:val="28"/>
          <w:szCs w:val="28"/>
          <w:lang w:val="en-US"/>
        </w:rPr>
        <w:t>e</w:t>
      </w:r>
      <w:r w:rsidR="00AC6203" w:rsidRPr="00A8081C">
        <w:rPr>
          <w:rFonts w:ascii="Times New Roman" w:hAnsi="Times New Roman" w:cs="Times New Roman"/>
          <w:sz w:val="28"/>
          <w:szCs w:val="28"/>
          <w:lang w:val="en-US"/>
        </w:rPr>
        <w:t>en e</w:t>
      </w:r>
      <w:r w:rsidR="00A4755B" w:rsidRPr="00A8081C">
        <w:rPr>
          <w:rFonts w:ascii="Times New Roman" w:hAnsi="Times New Roman" w:cs="Times New Roman"/>
          <w:sz w:val="28"/>
          <w:szCs w:val="28"/>
          <w:lang w:val="en-US"/>
        </w:rPr>
        <w:t xml:space="preserve">ndothelial, </w:t>
      </w:r>
      <w:r w:rsidR="00A8081C">
        <w:rPr>
          <w:rFonts w:ascii="Times New Roman" w:hAnsi="Times New Roman" w:cs="Times New Roman"/>
          <w:sz w:val="28"/>
          <w:szCs w:val="28"/>
          <w:lang w:val="en-US"/>
        </w:rPr>
        <w:t xml:space="preserve">kidney, heart  </w:t>
      </w:r>
      <w:r w:rsidR="00A8081C" w:rsidRPr="00A8081C">
        <w:rPr>
          <w:rFonts w:ascii="Times New Roman" w:hAnsi="Times New Roman" w:cs="Times New Roman"/>
          <w:sz w:val="28"/>
          <w:szCs w:val="28"/>
          <w:lang w:val="en-US"/>
        </w:rPr>
        <w:t>function</w:t>
      </w:r>
      <w:r w:rsidR="00A8081C">
        <w:rPr>
          <w:rFonts w:ascii="Times New Roman" w:hAnsi="Times New Roman" w:cs="Times New Roman"/>
          <w:sz w:val="28"/>
          <w:szCs w:val="28"/>
          <w:lang w:val="en-US"/>
        </w:rPr>
        <w:t>, markers of immune inflammation, uricemia</w:t>
      </w:r>
      <w:r w:rsidR="000301E4">
        <w:rPr>
          <w:rFonts w:ascii="Times New Roman" w:hAnsi="Times New Roman" w:cs="Times New Roman"/>
          <w:sz w:val="28"/>
          <w:szCs w:val="28"/>
          <w:lang w:val="en-US"/>
        </w:rPr>
        <w:t xml:space="preserve">, </w:t>
      </w:r>
      <w:r w:rsidR="000301E4" w:rsidRPr="000301E4">
        <w:rPr>
          <w:rFonts w:ascii="Times New Roman" w:hAnsi="Times New Roman" w:cs="Times New Roman"/>
          <w:sz w:val="28"/>
          <w:szCs w:val="28"/>
          <w:lang w:val="en-US"/>
        </w:rPr>
        <w:t>proatherogenic orientation</w:t>
      </w:r>
      <w:r w:rsidR="000301E4">
        <w:rPr>
          <w:rFonts w:ascii="Times New Roman" w:hAnsi="Times New Roman" w:cs="Times New Roman"/>
          <w:sz w:val="28"/>
          <w:szCs w:val="28"/>
          <w:lang w:val="en-US"/>
        </w:rPr>
        <w:t xml:space="preserve"> after determination of </w:t>
      </w:r>
      <w:r w:rsidR="000301E4" w:rsidRPr="000301E4">
        <w:rPr>
          <w:rFonts w:ascii="Times New Roman" w:hAnsi="Times New Roman" w:cs="Times New Roman"/>
          <w:sz w:val="28"/>
          <w:szCs w:val="28"/>
          <w:lang w:val="en-US"/>
        </w:rPr>
        <w:t>type of dyslipidemia</w:t>
      </w:r>
      <w:r w:rsidR="000301E4">
        <w:rPr>
          <w:rFonts w:ascii="Times New Roman" w:hAnsi="Times New Roman" w:cs="Times New Roman"/>
          <w:sz w:val="28"/>
          <w:szCs w:val="28"/>
          <w:lang w:val="en-US"/>
        </w:rPr>
        <w:t xml:space="preserve">, </w:t>
      </w:r>
      <w:r w:rsidR="002434F4">
        <w:rPr>
          <w:rFonts w:ascii="Times New Roman" w:hAnsi="Times New Roman" w:cs="Times New Roman"/>
          <w:sz w:val="28"/>
          <w:szCs w:val="28"/>
          <w:lang w:val="en-US"/>
        </w:rPr>
        <w:t>atherogenic and anti</w:t>
      </w:r>
      <w:r w:rsidR="002434F4" w:rsidRPr="002434F4">
        <w:rPr>
          <w:lang w:val="en-US"/>
        </w:rPr>
        <w:t xml:space="preserve"> </w:t>
      </w:r>
      <w:r w:rsidR="002434F4" w:rsidRPr="002434F4">
        <w:rPr>
          <w:rFonts w:ascii="Times New Roman" w:hAnsi="Times New Roman" w:cs="Times New Roman"/>
          <w:sz w:val="28"/>
          <w:szCs w:val="28"/>
          <w:lang w:val="en-US"/>
        </w:rPr>
        <w:t xml:space="preserve">atherogenic </w:t>
      </w:r>
      <w:r w:rsidR="000301E4" w:rsidRPr="000301E4">
        <w:rPr>
          <w:rFonts w:ascii="Times New Roman" w:hAnsi="Times New Roman" w:cs="Times New Roman"/>
          <w:sz w:val="28"/>
          <w:szCs w:val="28"/>
          <w:lang w:val="en-US"/>
        </w:rPr>
        <w:t>lipoproteins</w:t>
      </w:r>
      <w:r w:rsidR="002434F4">
        <w:rPr>
          <w:rFonts w:ascii="Times New Roman" w:hAnsi="Times New Roman" w:cs="Times New Roman"/>
          <w:sz w:val="28"/>
          <w:szCs w:val="28"/>
          <w:lang w:val="en-US"/>
        </w:rPr>
        <w:t xml:space="preserve">, </w:t>
      </w:r>
      <w:r w:rsidR="00A37467" w:rsidRPr="002434F4">
        <w:rPr>
          <w:rFonts w:ascii="Times New Roman" w:hAnsi="Times New Roman" w:cs="Times New Roman"/>
          <w:sz w:val="28"/>
          <w:szCs w:val="28"/>
          <w:lang w:val="en-US"/>
        </w:rPr>
        <w:t>left ventricular geometry.</w:t>
      </w:r>
    </w:p>
    <w:p w:rsidR="00E3719A" w:rsidRPr="00E3719A" w:rsidRDefault="00E3719A" w:rsidP="00E3719A">
      <w:pPr>
        <w:spacing w:after="0" w:line="360" w:lineRule="auto"/>
        <w:ind w:firstLine="708"/>
        <w:jc w:val="both"/>
        <w:rPr>
          <w:rFonts w:ascii="Times New Roman" w:hAnsi="Times New Roman" w:cs="Times New Roman"/>
          <w:sz w:val="28"/>
          <w:szCs w:val="28"/>
          <w:lang w:val="en-US"/>
        </w:rPr>
      </w:pPr>
      <w:r w:rsidRPr="00E3719A">
        <w:rPr>
          <w:rFonts w:ascii="Times New Roman" w:hAnsi="Times New Roman" w:cs="Times New Roman"/>
          <w:sz w:val="28"/>
          <w:szCs w:val="28"/>
          <w:lang w:val="en-US"/>
        </w:rPr>
        <w:t xml:space="preserve">The objectives of our </w:t>
      </w:r>
      <w:r w:rsidR="00FE6DDC">
        <w:rPr>
          <w:rFonts w:ascii="Times New Roman" w:hAnsi="Times New Roman" w:cs="Times New Roman"/>
          <w:sz w:val="28"/>
          <w:szCs w:val="28"/>
          <w:lang w:val="en-US"/>
        </w:rPr>
        <w:t xml:space="preserve">research </w:t>
      </w:r>
      <w:r w:rsidRPr="00E3719A">
        <w:rPr>
          <w:rFonts w:ascii="Times New Roman" w:hAnsi="Times New Roman" w:cs="Times New Roman"/>
          <w:sz w:val="28"/>
          <w:szCs w:val="28"/>
          <w:lang w:val="en-US"/>
        </w:rPr>
        <w:t>were:</w:t>
      </w:r>
    </w:p>
    <w:p w:rsidR="00E3719A" w:rsidRPr="001178F7" w:rsidRDefault="001178F7" w:rsidP="000C3F6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DB04D9">
        <w:rPr>
          <w:rFonts w:ascii="Times New Roman" w:hAnsi="Times New Roman" w:cs="Times New Roman"/>
          <w:sz w:val="28"/>
          <w:szCs w:val="28"/>
          <w:lang w:val="en-US"/>
        </w:rPr>
        <w:t xml:space="preserve"> </w:t>
      </w:r>
      <w:r w:rsidR="00E3719A" w:rsidRPr="001178F7">
        <w:rPr>
          <w:rFonts w:ascii="Times New Roman" w:hAnsi="Times New Roman" w:cs="Times New Roman"/>
          <w:sz w:val="28"/>
          <w:szCs w:val="28"/>
          <w:lang w:val="en-US"/>
        </w:rPr>
        <w:t xml:space="preserve">The determination of </w:t>
      </w:r>
      <w:r w:rsidR="0014613C">
        <w:rPr>
          <w:rFonts w:ascii="Times New Roman" w:hAnsi="Times New Roman" w:cs="Times New Roman"/>
          <w:sz w:val="28"/>
          <w:szCs w:val="28"/>
          <w:lang w:val="en-US"/>
        </w:rPr>
        <w:t xml:space="preserve">type </w:t>
      </w:r>
      <w:r w:rsidR="002A0E38" w:rsidRPr="001178F7">
        <w:rPr>
          <w:rFonts w:ascii="Times New Roman" w:hAnsi="Times New Roman" w:cs="Times New Roman"/>
          <w:sz w:val="28"/>
          <w:szCs w:val="28"/>
          <w:lang w:val="en-US"/>
        </w:rPr>
        <w:t xml:space="preserve">of dyslipidemia </w:t>
      </w:r>
      <w:r w:rsidRPr="001178F7">
        <w:rPr>
          <w:rFonts w:ascii="Times New Roman" w:hAnsi="Times New Roman" w:cs="Times New Roman"/>
          <w:sz w:val="28"/>
          <w:szCs w:val="28"/>
          <w:lang w:val="en-US"/>
        </w:rPr>
        <w:t xml:space="preserve">and assessment the severity of lipid profile changes </w:t>
      </w:r>
      <w:r w:rsidR="007C0C8C" w:rsidRPr="001178F7">
        <w:rPr>
          <w:rFonts w:ascii="Times New Roman" w:hAnsi="Times New Roman" w:cs="Times New Roman"/>
          <w:sz w:val="28"/>
          <w:szCs w:val="28"/>
          <w:lang w:val="en-US"/>
        </w:rPr>
        <w:t xml:space="preserve">for patients with </w:t>
      </w:r>
      <w:r w:rsidRPr="001178F7">
        <w:rPr>
          <w:rFonts w:ascii="Times New Roman" w:hAnsi="Times New Roman" w:cs="Times New Roman"/>
          <w:sz w:val="28"/>
          <w:szCs w:val="28"/>
          <w:lang w:val="en-US"/>
        </w:rPr>
        <w:t>AH and coexistent type 2 DM</w:t>
      </w:r>
      <w:r w:rsidR="007C0C8C" w:rsidRPr="001178F7">
        <w:rPr>
          <w:rFonts w:ascii="Times New Roman" w:hAnsi="Times New Roman" w:cs="Times New Roman"/>
          <w:sz w:val="28"/>
          <w:szCs w:val="28"/>
          <w:lang w:val="en-US"/>
        </w:rPr>
        <w:t>.</w:t>
      </w:r>
    </w:p>
    <w:p w:rsidR="000C3F6B" w:rsidRDefault="001178F7" w:rsidP="000C3F6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DB04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t>
      </w:r>
      <w:r w:rsidRPr="001178F7">
        <w:rPr>
          <w:rFonts w:ascii="Times New Roman" w:hAnsi="Times New Roman" w:cs="Times New Roman"/>
          <w:sz w:val="28"/>
          <w:szCs w:val="28"/>
          <w:lang w:val="en-US"/>
        </w:rPr>
        <w:t xml:space="preserve">analysis of the relationship between the degree of </w:t>
      </w:r>
      <w:r>
        <w:rPr>
          <w:rFonts w:ascii="Times New Roman" w:hAnsi="Times New Roman" w:cs="Times New Roman"/>
          <w:sz w:val="28"/>
          <w:szCs w:val="28"/>
          <w:lang w:val="en-US"/>
        </w:rPr>
        <w:t>type 2 DM compensation and markers</w:t>
      </w:r>
      <w:r w:rsidRPr="001178F7">
        <w:rPr>
          <w:rFonts w:ascii="Times New Roman" w:hAnsi="Times New Roman" w:cs="Times New Roman"/>
          <w:sz w:val="28"/>
          <w:szCs w:val="28"/>
          <w:lang w:val="en-US"/>
        </w:rPr>
        <w:t xml:space="preserve"> of the lipid profile </w:t>
      </w:r>
      <w:r>
        <w:rPr>
          <w:rFonts w:ascii="Times New Roman" w:hAnsi="Times New Roman" w:cs="Times New Roman"/>
          <w:sz w:val="28"/>
          <w:szCs w:val="28"/>
          <w:lang w:val="en-US"/>
        </w:rPr>
        <w:t xml:space="preserve">in </w:t>
      </w:r>
      <w:r w:rsidRPr="001178F7">
        <w:rPr>
          <w:rFonts w:ascii="Times New Roman" w:hAnsi="Times New Roman" w:cs="Times New Roman"/>
          <w:sz w:val="28"/>
          <w:szCs w:val="28"/>
          <w:lang w:val="en-US"/>
        </w:rPr>
        <w:t>patients with AH and coexistent type 2 DM</w:t>
      </w:r>
      <w:r>
        <w:rPr>
          <w:rFonts w:ascii="Times New Roman" w:hAnsi="Times New Roman" w:cs="Times New Roman"/>
          <w:sz w:val="28"/>
          <w:szCs w:val="28"/>
          <w:lang w:val="en-US"/>
        </w:rPr>
        <w:t>.</w:t>
      </w:r>
    </w:p>
    <w:p w:rsidR="00A00D2B" w:rsidRDefault="001178F7" w:rsidP="000C3F6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DB04D9" w:rsidRPr="00DB04D9">
        <w:rPr>
          <w:lang w:val="en-US"/>
        </w:rPr>
        <w:t xml:space="preserve"> </w:t>
      </w:r>
      <w:r w:rsidR="00DB04D9">
        <w:rPr>
          <w:rFonts w:ascii="Times New Roman" w:hAnsi="Times New Roman" w:cs="Times New Roman"/>
          <w:sz w:val="28"/>
          <w:szCs w:val="28"/>
          <w:lang w:val="en-US"/>
        </w:rPr>
        <w:t xml:space="preserve">The investigation </w:t>
      </w:r>
      <w:r w:rsidR="00CE2EED">
        <w:rPr>
          <w:rFonts w:ascii="Times New Roman" w:hAnsi="Times New Roman" w:cs="Times New Roman"/>
          <w:sz w:val="28"/>
          <w:szCs w:val="28"/>
          <w:lang w:val="en-US"/>
        </w:rPr>
        <w:t xml:space="preserve">of endothelial </w:t>
      </w:r>
      <w:r w:rsidR="00DB04D9" w:rsidRPr="00DB04D9">
        <w:rPr>
          <w:rFonts w:ascii="Times New Roman" w:hAnsi="Times New Roman" w:cs="Times New Roman"/>
          <w:sz w:val="28"/>
          <w:szCs w:val="28"/>
          <w:lang w:val="en-US"/>
        </w:rPr>
        <w:t>function and immune inflammation</w:t>
      </w:r>
      <w:r w:rsidR="00DB04D9">
        <w:rPr>
          <w:rFonts w:ascii="Times New Roman" w:hAnsi="Times New Roman" w:cs="Times New Roman"/>
          <w:sz w:val="28"/>
          <w:szCs w:val="28"/>
          <w:lang w:val="en-US"/>
        </w:rPr>
        <w:t xml:space="preserve"> influence</w:t>
      </w:r>
      <w:r w:rsidR="00DB04D9" w:rsidRPr="00DB04D9">
        <w:rPr>
          <w:rFonts w:ascii="Times New Roman" w:hAnsi="Times New Roman" w:cs="Times New Roman"/>
          <w:sz w:val="28"/>
          <w:szCs w:val="28"/>
          <w:lang w:val="en-US"/>
        </w:rPr>
        <w:t xml:space="preserve"> on the severity of </w:t>
      </w:r>
      <w:r w:rsidR="007B37C5" w:rsidRPr="007B37C5">
        <w:rPr>
          <w:rFonts w:ascii="Times New Roman" w:hAnsi="Times New Roman" w:cs="Times New Roman"/>
          <w:sz w:val="28"/>
          <w:szCs w:val="28"/>
          <w:lang w:val="en-US"/>
        </w:rPr>
        <w:t xml:space="preserve">proatherogenic orientation </w:t>
      </w:r>
      <w:r w:rsidR="00DB04D9" w:rsidRPr="00DB04D9">
        <w:rPr>
          <w:rFonts w:ascii="Times New Roman" w:hAnsi="Times New Roman" w:cs="Times New Roman"/>
          <w:sz w:val="28"/>
          <w:szCs w:val="28"/>
          <w:lang w:val="en-US"/>
        </w:rPr>
        <w:t xml:space="preserve">based on the relationship </w:t>
      </w:r>
      <w:r w:rsidR="00DB04D9">
        <w:rPr>
          <w:rFonts w:ascii="Times New Roman" w:hAnsi="Times New Roman" w:cs="Times New Roman"/>
          <w:sz w:val="28"/>
          <w:szCs w:val="28"/>
          <w:lang w:val="en-US"/>
        </w:rPr>
        <w:t>analysis</w:t>
      </w:r>
      <w:r w:rsidR="00DB04D9" w:rsidRPr="00DB04D9">
        <w:rPr>
          <w:rFonts w:ascii="Times New Roman" w:hAnsi="Times New Roman" w:cs="Times New Roman"/>
          <w:sz w:val="28"/>
          <w:szCs w:val="28"/>
          <w:lang w:val="en-US"/>
        </w:rPr>
        <w:t xml:space="preserve"> between the </w:t>
      </w:r>
      <w:r w:rsidR="00DB04D9">
        <w:rPr>
          <w:rFonts w:ascii="Times New Roman" w:hAnsi="Times New Roman" w:cs="Times New Roman"/>
          <w:sz w:val="28"/>
          <w:szCs w:val="28"/>
          <w:lang w:val="en-US"/>
        </w:rPr>
        <w:t>coefficient of atherogenicity</w:t>
      </w:r>
      <w:r w:rsidR="00DB04D9" w:rsidRPr="00DB04D9">
        <w:rPr>
          <w:rFonts w:ascii="Times New Roman" w:hAnsi="Times New Roman" w:cs="Times New Roman"/>
          <w:sz w:val="28"/>
          <w:szCs w:val="28"/>
          <w:lang w:val="en-US"/>
        </w:rPr>
        <w:t xml:space="preserve"> and the level of expression of </w:t>
      </w:r>
      <w:r w:rsidR="00A00D2B">
        <w:rPr>
          <w:rFonts w:ascii="Times New Roman" w:hAnsi="Times New Roman" w:cs="Times New Roman"/>
          <w:sz w:val="28"/>
          <w:szCs w:val="28"/>
          <w:lang w:val="en-US"/>
        </w:rPr>
        <w:t>soluble vascular cell adhesion molecule</w:t>
      </w:r>
      <w:r w:rsidR="00DB04D9">
        <w:rPr>
          <w:rFonts w:ascii="Times New Roman" w:hAnsi="Times New Roman" w:cs="Times New Roman"/>
          <w:sz w:val="28"/>
          <w:szCs w:val="28"/>
          <w:lang w:val="en-US"/>
        </w:rPr>
        <w:t xml:space="preserve"> type 1</w:t>
      </w:r>
      <w:r w:rsidR="00DB04D9" w:rsidRPr="00DB04D9">
        <w:rPr>
          <w:rFonts w:ascii="Times New Roman" w:hAnsi="Times New Roman" w:cs="Times New Roman"/>
          <w:sz w:val="28"/>
          <w:szCs w:val="28"/>
          <w:lang w:val="en-US"/>
        </w:rPr>
        <w:t xml:space="preserve"> in subjects with A</w:t>
      </w:r>
      <w:r w:rsidR="00DB04D9">
        <w:rPr>
          <w:rFonts w:ascii="Times New Roman" w:hAnsi="Times New Roman" w:cs="Times New Roman"/>
          <w:sz w:val="28"/>
          <w:szCs w:val="28"/>
          <w:lang w:val="en-US"/>
        </w:rPr>
        <w:t>H</w:t>
      </w:r>
      <w:r w:rsidR="00A00D2B">
        <w:rPr>
          <w:rFonts w:ascii="Times New Roman" w:hAnsi="Times New Roman" w:cs="Times New Roman"/>
          <w:sz w:val="28"/>
          <w:szCs w:val="28"/>
          <w:lang w:val="en-US"/>
        </w:rPr>
        <w:t xml:space="preserve"> and</w:t>
      </w:r>
      <w:r w:rsidR="00DB04D9" w:rsidRPr="00DB04D9">
        <w:rPr>
          <w:rFonts w:ascii="Times New Roman" w:hAnsi="Times New Roman" w:cs="Times New Roman"/>
          <w:sz w:val="28"/>
          <w:szCs w:val="28"/>
          <w:lang w:val="en-US"/>
        </w:rPr>
        <w:t xml:space="preserve"> type</w:t>
      </w:r>
      <w:r w:rsidR="00A00D2B">
        <w:rPr>
          <w:rFonts w:ascii="Times New Roman" w:hAnsi="Times New Roman" w:cs="Times New Roman"/>
          <w:sz w:val="28"/>
          <w:szCs w:val="28"/>
          <w:lang w:val="en-US"/>
        </w:rPr>
        <w:t xml:space="preserve"> 2 DM</w:t>
      </w:r>
      <w:r w:rsidR="00DB04D9" w:rsidRPr="00DB04D9">
        <w:rPr>
          <w:rFonts w:ascii="Times New Roman" w:hAnsi="Times New Roman" w:cs="Times New Roman"/>
          <w:sz w:val="28"/>
          <w:szCs w:val="28"/>
          <w:lang w:val="en-US"/>
        </w:rPr>
        <w:t>.</w:t>
      </w:r>
    </w:p>
    <w:p w:rsidR="007C0C8C" w:rsidRPr="001178F7" w:rsidRDefault="00A00D2B" w:rsidP="000C3F6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4. </w:t>
      </w:r>
      <w:r w:rsidR="00E3719A" w:rsidRPr="001178F7">
        <w:rPr>
          <w:rFonts w:ascii="Times New Roman" w:hAnsi="Times New Roman" w:cs="Times New Roman"/>
          <w:sz w:val="28"/>
          <w:szCs w:val="28"/>
          <w:lang w:val="en-US"/>
        </w:rPr>
        <w:t>The definition</w:t>
      </w:r>
      <w:r>
        <w:rPr>
          <w:rFonts w:ascii="Times New Roman" w:hAnsi="Times New Roman" w:cs="Times New Roman"/>
          <w:sz w:val="28"/>
          <w:szCs w:val="28"/>
          <w:lang w:val="en-US"/>
        </w:rPr>
        <w:t xml:space="preserve"> and interpretation</w:t>
      </w:r>
      <w:r w:rsidR="00E3719A" w:rsidRPr="001178F7">
        <w:rPr>
          <w:rFonts w:ascii="Times New Roman" w:hAnsi="Times New Roman" w:cs="Times New Roman"/>
          <w:sz w:val="28"/>
          <w:szCs w:val="28"/>
          <w:lang w:val="en-US"/>
        </w:rPr>
        <w:t xml:space="preserve"> of </w:t>
      </w:r>
      <w:r>
        <w:rPr>
          <w:rFonts w:ascii="Times New Roman" w:hAnsi="Times New Roman" w:cs="Times New Roman"/>
          <w:sz w:val="28"/>
          <w:szCs w:val="28"/>
          <w:lang w:val="en-US"/>
        </w:rPr>
        <w:t>connection between nephropathy markers and</w:t>
      </w:r>
      <w:r w:rsidR="007C0C8C" w:rsidRPr="001178F7">
        <w:rPr>
          <w:rFonts w:ascii="Times New Roman" w:hAnsi="Times New Roman" w:cs="Times New Roman"/>
          <w:sz w:val="28"/>
          <w:szCs w:val="28"/>
          <w:lang w:val="en-US"/>
        </w:rPr>
        <w:t xml:space="preserve"> </w:t>
      </w:r>
      <w:r>
        <w:rPr>
          <w:rFonts w:ascii="Times New Roman" w:hAnsi="Times New Roman" w:cs="Times New Roman"/>
          <w:sz w:val="28"/>
          <w:szCs w:val="28"/>
          <w:lang w:val="en-US"/>
        </w:rPr>
        <w:t>endotheli</w:t>
      </w:r>
      <w:r w:rsidR="000A3201">
        <w:rPr>
          <w:rFonts w:ascii="Times New Roman" w:hAnsi="Times New Roman" w:cs="Times New Roman"/>
          <w:sz w:val="28"/>
          <w:szCs w:val="28"/>
          <w:lang w:val="en-US"/>
        </w:rPr>
        <w:t>n-1</w:t>
      </w:r>
      <w:r w:rsidR="00134F52" w:rsidRPr="001178F7">
        <w:rPr>
          <w:rFonts w:ascii="Times New Roman" w:hAnsi="Times New Roman" w:cs="Times New Roman"/>
          <w:sz w:val="28"/>
          <w:szCs w:val="28"/>
          <w:lang w:val="en-US"/>
        </w:rPr>
        <w:t>,</w:t>
      </w:r>
      <w:r w:rsidR="00B465C0" w:rsidRPr="001178F7">
        <w:rPr>
          <w:rFonts w:ascii="Times New Roman" w:hAnsi="Times New Roman" w:cs="Times New Roman"/>
          <w:sz w:val="28"/>
          <w:szCs w:val="28"/>
          <w:lang w:val="en-US"/>
        </w:rPr>
        <w:t xml:space="preserve"> </w:t>
      </w:r>
      <w:r w:rsidR="000A3201" w:rsidRPr="000A3201">
        <w:rPr>
          <w:rFonts w:ascii="Times New Roman" w:hAnsi="Times New Roman" w:cs="Times New Roman"/>
          <w:sz w:val="28"/>
          <w:szCs w:val="28"/>
          <w:lang w:val="en-US"/>
        </w:rPr>
        <w:t>soluble vascular cell adhesion molecule type 1</w:t>
      </w:r>
      <w:r w:rsidR="005F2802" w:rsidRPr="001178F7">
        <w:rPr>
          <w:rFonts w:ascii="Times New Roman" w:hAnsi="Times New Roman" w:cs="Times New Roman"/>
          <w:sz w:val="28"/>
          <w:szCs w:val="28"/>
          <w:lang w:val="en-US"/>
        </w:rPr>
        <w:t>,</w:t>
      </w:r>
      <w:r w:rsidR="00134F52" w:rsidRPr="001178F7">
        <w:rPr>
          <w:rFonts w:ascii="Times New Roman" w:hAnsi="Times New Roman" w:cs="Times New Roman"/>
          <w:sz w:val="28"/>
          <w:szCs w:val="28"/>
          <w:lang w:val="en-US"/>
        </w:rPr>
        <w:t xml:space="preserve"> </w:t>
      </w:r>
      <w:r>
        <w:rPr>
          <w:rFonts w:ascii="Times New Roman" w:hAnsi="Times New Roman" w:cs="Times New Roman"/>
          <w:sz w:val="28"/>
          <w:szCs w:val="28"/>
          <w:lang w:val="en-US"/>
        </w:rPr>
        <w:t>uri</w:t>
      </w:r>
      <w:r w:rsidR="00134F52" w:rsidRPr="001178F7">
        <w:rPr>
          <w:rFonts w:ascii="Times New Roman" w:hAnsi="Times New Roman" w:cs="Times New Roman"/>
          <w:sz w:val="28"/>
          <w:szCs w:val="28"/>
          <w:lang w:val="en-US"/>
        </w:rPr>
        <w:t>cemia</w:t>
      </w:r>
      <w:r>
        <w:rPr>
          <w:rFonts w:ascii="Times New Roman" w:hAnsi="Times New Roman" w:cs="Times New Roman"/>
          <w:sz w:val="28"/>
          <w:szCs w:val="28"/>
          <w:lang w:val="en-US"/>
        </w:rPr>
        <w:t xml:space="preserve"> in</w:t>
      </w:r>
      <w:r w:rsidR="007C0C8C" w:rsidRPr="001178F7">
        <w:rPr>
          <w:rFonts w:ascii="Times New Roman" w:hAnsi="Times New Roman" w:cs="Times New Roman"/>
          <w:sz w:val="28"/>
          <w:szCs w:val="28"/>
          <w:lang w:val="en-US"/>
        </w:rPr>
        <w:t xml:space="preserve"> patients with</w:t>
      </w:r>
      <w:r>
        <w:rPr>
          <w:rFonts w:ascii="Times New Roman" w:hAnsi="Times New Roman" w:cs="Times New Roman"/>
          <w:sz w:val="28"/>
          <w:szCs w:val="28"/>
          <w:lang w:val="en-US"/>
        </w:rPr>
        <w:t xml:space="preserve"> </w:t>
      </w:r>
      <w:r w:rsidR="007C0C8C" w:rsidRPr="001178F7">
        <w:rPr>
          <w:rFonts w:ascii="Times New Roman" w:hAnsi="Times New Roman" w:cs="Times New Roman"/>
          <w:sz w:val="28"/>
          <w:szCs w:val="28"/>
          <w:lang w:val="en-US"/>
        </w:rPr>
        <w:t>AH</w:t>
      </w:r>
      <w:r>
        <w:rPr>
          <w:rFonts w:ascii="Times New Roman" w:hAnsi="Times New Roman" w:cs="Times New Roman"/>
          <w:sz w:val="28"/>
          <w:szCs w:val="28"/>
          <w:lang w:val="en-US"/>
        </w:rPr>
        <w:t xml:space="preserve"> and type 2 DM</w:t>
      </w:r>
      <w:r w:rsidR="007C0C8C" w:rsidRPr="001178F7">
        <w:rPr>
          <w:rFonts w:ascii="Times New Roman" w:hAnsi="Times New Roman" w:cs="Times New Roman"/>
          <w:sz w:val="28"/>
          <w:szCs w:val="28"/>
          <w:lang w:val="en-US"/>
        </w:rPr>
        <w:t>.</w:t>
      </w:r>
    </w:p>
    <w:p w:rsidR="00E3719A" w:rsidRPr="00612E50" w:rsidRDefault="00A00D2B" w:rsidP="00D057B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5.</w:t>
      </w:r>
      <w:r w:rsidRPr="00A00D2B">
        <w:rPr>
          <w:lang w:val="en-US"/>
        </w:rPr>
        <w:t xml:space="preserve"> </w:t>
      </w:r>
      <w:r>
        <w:rPr>
          <w:rFonts w:ascii="Times New Roman" w:hAnsi="Times New Roman" w:cs="Times New Roman"/>
          <w:sz w:val="28"/>
          <w:szCs w:val="28"/>
          <w:lang w:val="en-US"/>
        </w:rPr>
        <w:t xml:space="preserve">The determination of </w:t>
      </w:r>
      <w:r w:rsidRPr="00A00D2B">
        <w:rPr>
          <w:rFonts w:ascii="Times New Roman" w:hAnsi="Times New Roman" w:cs="Times New Roman"/>
          <w:sz w:val="28"/>
          <w:szCs w:val="28"/>
          <w:lang w:val="en-US"/>
        </w:rPr>
        <w:t>heart failure</w:t>
      </w:r>
      <w:r>
        <w:rPr>
          <w:rFonts w:ascii="Times New Roman" w:hAnsi="Times New Roman" w:cs="Times New Roman"/>
          <w:sz w:val="28"/>
          <w:szCs w:val="28"/>
          <w:lang w:val="en-US"/>
        </w:rPr>
        <w:t xml:space="preserve"> features</w:t>
      </w:r>
      <w:r w:rsidR="00612E50">
        <w:rPr>
          <w:rFonts w:ascii="Times New Roman" w:hAnsi="Times New Roman" w:cs="Times New Roman"/>
          <w:sz w:val="28"/>
          <w:szCs w:val="28"/>
          <w:lang w:val="en-US"/>
        </w:rPr>
        <w:t xml:space="preserve">, </w:t>
      </w:r>
      <w:r w:rsidR="00EB7A46">
        <w:rPr>
          <w:rFonts w:ascii="Times New Roman" w:hAnsi="Times New Roman" w:cs="Times New Roman"/>
          <w:sz w:val="28"/>
          <w:szCs w:val="28"/>
          <w:lang w:val="en-US"/>
        </w:rPr>
        <w:t xml:space="preserve">left ventricular geometry and connection between </w:t>
      </w:r>
      <w:r w:rsidR="007C0C8C" w:rsidRPr="00A00D2B">
        <w:rPr>
          <w:rFonts w:ascii="Times New Roman" w:hAnsi="Times New Roman" w:cs="Times New Roman"/>
          <w:sz w:val="28"/>
          <w:szCs w:val="28"/>
          <w:lang w:val="en-US"/>
        </w:rPr>
        <w:t>structural,</w:t>
      </w:r>
      <w:r w:rsidR="00E3719A" w:rsidRPr="00A00D2B">
        <w:rPr>
          <w:rFonts w:ascii="Times New Roman" w:hAnsi="Times New Roman" w:cs="Times New Roman"/>
          <w:sz w:val="28"/>
          <w:szCs w:val="28"/>
          <w:lang w:val="en-US"/>
        </w:rPr>
        <w:t xml:space="preserve"> functional</w:t>
      </w:r>
      <w:r w:rsidR="00EB7A46">
        <w:rPr>
          <w:rFonts w:ascii="Times New Roman" w:hAnsi="Times New Roman" w:cs="Times New Roman"/>
          <w:sz w:val="28"/>
          <w:szCs w:val="28"/>
          <w:lang w:val="en-US"/>
        </w:rPr>
        <w:t xml:space="preserve"> </w:t>
      </w:r>
      <w:r w:rsidR="00EB7A46" w:rsidRPr="00EB7A46">
        <w:rPr>
          <w:rFonts w:ascii="Times New Roman" w:hAnsi="Times New Roman" w:cs="Times New Roman"/>
          <w:sz w:val="28"/>
          <w:szCs w:val="28"/>
          <w:lang w:val="en-US"/>
        </w:rPr>
        <w:t>exponents of myocardium</w:t>
      </w:r>
      <w:r w:rsidR="007C0C8C" w:rsidRPr="00A00D2B">
        <w:rPr>
          <w:rFonts w:ascii="Times New Roman" w:hAnsi="Times New Roman" w:cs="Times New Roman"/>
          <w:sz w:val="28"/>
          <w:szCs w:val="28"/>
          <w:lang w:val="en-US"/>
        </w:rPr>
        <w:t>, endothelial</w:t>
      </w:r>
      <w:r w:rsidR="00117B55" w:rsidRPr="00A00D2B">
        <w:rPr>
          <w:rFonts w:ascii="Times New Roman" w:hAnsi="Times New Roman" w:cs="Times New Roman"/>
          <w:sz w:val="28"/>
          <w:szCs w:val="28"/>
          <w:lang w:val="en-US"/>
        </w:rPr>
        <w:t xml:space="preserve">, </w:t>
      </w:r>
      <w:r w:rsidR="004224BE" w:rsidRPr="00A00D2B">
        <w:rPr>
          <w:rFonts w:ascii="Times New Roman" w:hAnsi="Times New Roman" w:cs="Times New Roman"/>
          <w:sz w:val="28"/>
          <w:szCs w:val="28"/>
          <w:lang w:val="en-US"/>
        </w:rPr>
        <w:t>immune</w:t>
      </w:r>
      <w:r w:rsidR="00117B55" w:rsidRPr="00612E50">
        <w:rPr>
          <w:rFonts w:ascii="Times New Roman" w:hAnsi="Times New Roman" w:cs="Times New Roman"/>
          <w:sz w:val="28"/>
          <w:szCs w:val="28"/>
          <w:lang w:val="en-US"/>
        </w:rPr>
        <w:t>inflammatory</w:t>
      </w:r>
      <w:r w:rsidR="00E3719A" w:rsidRPr="00612E50">
        <w:rPr>
          <w:rFonts w:ascii="Times New Roman" w:hAnsi="Times New Roman" w:cs="Times New Roman"/>
          <w:sz w:val="28"/>
          <w:szCs w:val="28"/>
          <w:lang w:val="en-US"/>
        </w:rPr>
        <w:t xml:space="preserve"> </w:t>
      </w:r>
      <w:r w:rsidR="00EB7A46">
        <w:rPr>
          <w:rFonts w:ascii="Times New Roman" w:hAnsi="Times New Roman" w:cs="Times New Roman"/>
          <w:sz w:val="28"/>
          <w:szCs w:val="28"/>
          <w:lang w:val="en-US"/>
        </w:rPr>
        <w:t xml:space="preserve">characteristics </w:t>
      </w:r>
      <w:r w:rsidR="007C0C8C" w:rsidRPr="00612E50">
        <w:rPr>
          <w:rFonts w:ascii="Times New Roman" w:hAnsi="Times New Roman" w:cs="Times New Roman"/>
          <w:sz w:val="28"/>
          <w:szCs w:val="28"/>
          <w:lang w:val="en-US"/>
        </w:rPr>
        <w:t xml:space="preserve">for patients with </w:t>
      </w:r>
      <w:r w:rsidR="00612E50">
        <w:rPr>
          <w:rFonts w:ascii="Times New Roman" w:hAnsi="Times New Roman" w:cs="Times New Roman"/>
          <w:sz w:val="28"/>
          <w:szCs w:val="28"/>
          <w:lang w:val="en-US"/>
        </w:rPr>
        <w:t xml:space="preserve">AH and </w:t>
      </w:r>
      <w:r w:rsidR="00D057B5">
        <w:rPr>
          <w:rFonts w:ascii="Times New Roman" w:hAnsi="Times New Roman" w:cs="Times New Roman"/>
          <w:sz w:val="28"/>
          <w:szCs w:val="28"/>
          <w:lang w:val="en-US"/>
        </w:rPr>
        <w:t xml:space="preserve">coexistent </w:t>
      </w:r>
      <w:r w:rsidR="007C0C8C" w:rsidRPr="00612E50">
        <w:rPr>
          <w:rFonts w:ascii="Times New Roman" w:hAnsi="Times New Roman" w:cs="Times New Roman"/>
          <w:sz w:val="28"/>
          <w:szCs w:val="28"/>
          <w:lang w:val="en-US"/>
        </w:rPr>
        <w:t xml:space="preserve">type 2 </w:t>
      </w:r>
      <w:r w:rsidR="00612E50">
        <w:rPr>
          <w:rFonts w:ascii="Times New Roman" w:hAnsi="Times New Roman" w:cs="Times New Roman"/>
          <w:sz w:val="28"/>
          <w:szCs w:val="28"/>
          <w:lang w:val="en-US"/>
        </w:rPr>
        <w:t>DM</w:t>
      </w:r>
      <w:r w:rsidR="00D057B5">
        <w:rPr>
          <w:rFonts w:ascii="Times New Roman" w:hAnsi="Times New Roman" w:cs="Times New Roman"/>
          <w:sz w:val="28"/>
          <w:szCs w:val="28"/>
          <w:lang w:val="en-US"/>
        </w:rPr>
        <w:t xml:space="preserve"> </w:t>
      </w:r>
      <w:r w:rsidR="00D057B5" w:rsidRPr="00D057B5">
        <w:rPr>
          <w:rFonts w:ascii="Times New Roman" w:hAnsi="Times New Roman" w:cs="Times New Roman"/>
          <w:sz w:val="28"/>
          <w:szCs w:val="28"/>
          <w:lang w:val="en-US"/>
        </w:rPr>
        <w:t>comparatively</w:t>
      </w:r>
      <w:r w:rsidR="00D057B5">
        <w:rPr>
          <w:rFonts w:ascii="Times New Roman" w:hAnsi="Times New Roman" w:cs="Times New Roman"/>
          <w:sz w:val="28"/>
          <w:szCs w:val="28"/>
          <w:lang w:val="en-US"/>
        </w:rPr>
        <w:t xml:space="preserve"> with AH</w:t>
      </w:r>
      <w:r w:rsidR="007C0C8C" w:rsidRPr="00612E50">
        <w:rPr>
          <w:rFonts w:ascii="Times New Roman" w:hAnsi="Times New Roman" w:cs="Times New Roman"/>
          <w:sz w:val="28"/>
          <w:szCs w:val="28"/>
          <w:lang w:val="en-US"/>
        </w:rPr>
        <w:t>.</w:t>
      </w:r>
    </w:p>
    <w:p w:rsidR="00E3719A" w:rsidRPr="00612E50" w:rsidRDefault="000C3F6B" w:rsidP="00E06B00">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057B5">
        <w:rPr>
          <w:rFonts w:ascii="Times New Roman" w:hAnsi="Times New Roman" w:cs="Times New Roman"/>
          <w:sz w:val="28"/>
          <w:szCs w:val="28"/>
          <w:lang w:val="en-US"/>
        </w:rPr>
        <w:t>6</w:t>
      </w:r>
      <w:r w:rsidR="00593811">
        <w:rPr>
          <w:rFonts w:ascii="Times New Roman" w:hAnsi="Times New Roman" w:cs="Times New Roman"/>
          <w:sz w:val="28"/>
          <w:szCs w:val="28"/>
          <w:lang w:val="en-US"/>
        </w:rPr>
        <w:t xml:space="preserve">. </w:t>
      </w:r>
      <w:r w:rsidR="00593811" w:rsidRPr="00593811">
        <w:rPr>
          <w:rFonts w:ascii="Times New Roman" w:hAnsi="Times New Roman" w:cs="Times New Roman"/>
          <w:sz w:val="28"/>
          <w:szCs w:val="28"/>
          <w:lang w:val="en-US"/>
        </w:rPr>
        <w:t xml:space="preserve">Development </w:t>
      </w:r>
      <w:r w:rsidR="00E06B00">
        <w:rPr>
          <w:rFonts w:ascii="Times New Roman" w:hAnsi="Times New Roman" w:cs="Times New Roman"/>
          <w:sz w:val="28"/>
          <w:szCs w:val="28"/>
          <w:lang w:val="en-US"/>
        </w:rPr>
        <w:t xml:space="preserve">and </w:t>
      </w:r>
      <w:r w:rsidR="00E06B00" w:rsidRPr="00E06B00">
        <w:rPr>
          <w:rFonts w:ascii="Times New Roman" w:hAnsi="Times New Roman" w:cs="Times New Roman"/>
          <w:sz w:val="28"/>
          <w:szCs w:val="28"/>
          <w:lang w:val="en-US"/>
        </w:rPr>
        <w:t xml:space="preserve">justify </w:t>
      </w:r>
      <w:r w:rsidR="00593811" w:rsidRPr="00593811">
        <w:rPr>
          <w:rFonts w:ascii="Times New Roman" w:hAnsi="Times New Roman" w:cs="Times New Roman"/>
          <w:sz w:val="28"/>
          <w:szCs w:val="28"/>
          <w:lang w:val="en-US"/>
        </w:rPr>
        <w:t>of a differentiated approach to the appointment of an optimal antihypertensive drug</w:t>
      </w:r>
      <w:r w:rsidR="00593811">
        <w:rPr>
          <w:rFonts w:ascii="Times New Roman" w:hAnsi="Times New Roman" w:cs="Times New Roman"/>
          <w:sz w:val="28"/>
          <w:szCs w:val="28"/>
          <w:lang w:val="en-US"/>
        </w:rPr>
        <w:t xml:space="preserve"> doses</w:t>
      </w:r>
      <w:r w:rsidR="00593811" w:rsidRPr="00593811">
        <w:rPr>
          <w:rFonts w:ascii="Times New Roman" w:hAnsi="Times New Roman" w:cs="Times New Roman"/>
          <w:sz w:val="28"/>
          <w:szCs w:val="28"/>
          <w:lang w:val="en-US"/>
        </w:rPr>
        <w:t xml:space="preserve"> </w:t>
      </w:r>
      <w:r w:rsidR="00593811" w:rsidRPr="00612E50">
        <w:rPr>
          <w:rFonts w:ascii="Times New Roman" w:hAnsi="Times New Roman" w:cs="Times New Roman"/>
          <w:sz w:val="28"/>
          <w:szCs w:val="28"/>
          <w:lang w:val="en-US"/>
        </w:rPr>
        <w:t>according to the level of ET-1</w:t>
      </w:r>
      <w:r w:rsidR="00593811">
        <w:rPr>
          <w:rFonts w:ascii="Times New Roman" w:hAnsi="Times New Roman" w:cs="Times New Roman"/>
          <w:sz w:val="28"/>
          <w:szCs w:val="28"/>
          <w:lang w:val="en-US"/>
        </w:rPr>
        <w:t xml:space="preserve"> in patients with AH</w:t>
      </w:r>
      <w:r w:rsidR="00593811" w:rsidRPr="00593811">
        <w:rPr>
          <w:rFonts w:ascii="Times New Roman" w:hAnsi="Times New Roman" w:cs="Times New Roman"/>
          <w:sz w:val="28"/>
          <w:szCs w:val="28"/>
          <w:lang w:val="en-US"/>
        </w:rPr>
        <w:t xml:space="preserve"> and type 2 </w:t>
      </w:r>
      <w:r w:rsidR="00593811">
        <w:rPr>
          <w:rFonts w:ascii="Times New Roman" w:hAnsi="Times New Roman" w:cs="Times New Roman"/>
          <w:sz w:val="28"/>
          <w:szCs w:val="28"/>
          <w:lang w:val="en-US"/>
        </w:rPr>
        <w:t>DM.</w:t>
      </w:r>
    </w:p>
    <w:p w:rsidR="00E3719A" w:rsidRPr="00E3719A" w:rsidRDefault="00866F92" w:rsidP="00E3719A">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593811">
        <w:rPr>
          <w:rFonts w:ascii="Times New Roman" w:hAnsi="Times New Roman" w:cs="Times New Roman"/>
          <w:sz w:val="28"/>
          <w:szCs w:val="28"/>
          <w:lang w:val="en-US"/>
        </w:rPr>
        <w:t>The methods of our trial were</w:t>
      </w:r>
      <w:r w:rsidR="00E3719A" w:rsidRPr="00E3719A">
        <w:rPr>
          <w:rFonts w:ascii="Times New Roman" w:hAnsi="Times New Roman" w:cs="Times New Roman"/>
          <w:sz w:val="28"/>
          <w:szCs w:val="28"/>
          <w:lang w:val="en-US"/>
        </w:rPr>
        <w:t xml:space="preserve"> clinical</w:t>
      </w:r>
      <w:r w:rsidR="00593811">
        <w:rPr>
          <w:rFonts w:ascii="Times New Roman" w:hAnsi="Times New Roman" w:cs="Times New Roman"/>
          <w:sz w:val="28"/>
          <w:szCs w:val="28"/>
          <w:lang w:val="en-US"/>
        </w:rPr>
        <w:t xml:space="preserve">, </w:t>
      </w:r>
      <w:r w:rsidR="00B7445D" w:rsidRPr="00B7445D">
        <w:rPr>
          <w:rFonts w:ascii="Times New Roman" w:hAnsi="Times New Roman" w:cs="Times New Roman"/>
          <w:sz w:val="28"/>
          <w:szCs w:val="28"/>
          <w:lang w:val="en-US"/>
        </w:rPr>
        <w:t>anthropometric</w:t>
      </w:r>
      <w:r w:rsidR="00B7445D">
        <w:rPr>
          <w:rFonts w:ascii="Times New Roman" w:hAnsi="Times New Roman" w:cs="Times New Roman"/>
          <w:sz w:val="28"/>
          <w:szCs w:val="28"/>
          <w:lang w:val="en-US"/>
        </w:rPr>
        <w:t xml:space="preserve">, </w:t>
      </w:r>
      <w:r w:rsidR="000B3438" w:rsidRPr="000B3438">
        <w:rPr>
          <w:rFonts w:ascii="Times New Roman" w:hAnsi="Times New Roman" w:cs="Times New Roman"/>
          <w:sz w:val="28"/>
          <w:szCs w:val="28"/>
          <w:lang w:val="en-US"/>
        </w:rPr>
        <w:t>biochemical</w:t>
      </w:r>
      <w:r w:rsidR="00593811">
        <w:rPr>
          <w:rFonts w:ascii="Times New Roman" w:hAnsi="Times New Roman" w:cs="Times New Roman"/>
          <w:sz w:val="28"/>
          <w:szCs w:val="28"/>
          <w:lang w:val="en-US"/>
        </w:rPr>
        <w:t>,</w:t>
      </w:r>
      <w:r w:rsidR="00E3719A" w:rsidRPr="00E3719A">
        <w:rPr>
          <w:rFonts w:ascii="Times New Roman" w:hAnsi="Times New Roman" w:cs="Times New Roman"/>
          <w:sz w:val="28"/>
          <w:szCs w:val="28"/>
          <w:lang w:val="en-US"/>
        </w:rPr>
        <w:t xml:space="preserve"> </w:t>
      </w:r>
      <w:r w:rsidR="000B3438">
        <w:rPr>
          <w:rFonts w:ascii="Times New Roman" w:hAnsi="Times New Roman" w:cs="Times New Roman"/>
          <w:sz w:val="28"/>
          <w:szCs w:val="28"/>
          <w:lang w:val="en-US"/>
        </w:rPr>
        <w:t>immunoassay</w:t>
      </w:r>
      <w:r w:rsidR="00B7445D" w:rsidRPr="00B7445D">
        <w:rPr>
          <w:rFonts w:ascii="Times New Roman" w:hAnsi="Times New Roman" w:cs="Times New Roman"/>
          <w:sz w:val="28"/>
          <w:szCs w:val="28"/>
          <w:lang w:val="en-US"/>
        </w:rPr>
        <w:t>, instrumental</w:t>
      </w:r>
      <w:r w:rsidR="00B7445D">
        <w:rPr>
          <w:rFonts w:ascii="Times New Roman" w:hAnsi="Times New Roman" w:cs="Times New Roman"/>
          <w:sz w:val="28"/>
          <w:szCs w:val="28"/>
          <w:lang w:val="en-US"/>
        </w:rPr>
        <w:t>, statistical</w:t>
      </w:r>
      <w:r w:rsidR="007C0C8C">
        <w:rPr>
          <w:rFonts w:ascii="Times New Roman" w:hAnsi="Times New Roman" w:cs="Times New Roman"/>
          <w:sz w:val="28"/>
          <w:szCs w:val="28"/>
          <w:lang w:val="en-US"/>
        </w:rPr>
        <w:t>.</w:t>
      </w:r>
    </w:p>
    <w:p w:rsidR="00DD0065" w:rsidRPr="007428A2" w:rsidRDefault="00B7445D" w:rsidP="007428A2">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632A5" w:rsidRPr="004632A5">
        <w:rPr>
          <w:rFonts w:ascii="Times New Roman" w:hAnsi="Times New Roman" w:cs="Times New Roman"/>
          <w:sz w:val="28"/>
          <w:szCs w:val="28"/>
          <w:lang w:val="en-US"/>
        </w:rPr>
        <w:t>The</w:t>
      </w:r>
      <w:r w:rsidR="005A3FB1" w:rsidRPr="004632A5">
        <w:rPr>
          <w:rFonts w:ascii="Times New Roman" w:hAnsi="Times New Roman" w:cs="Times New Roman"/>
          <w:sz w:val="28"/>
          <w:szCs w:val="28"/>
          <w:lang w:val="en-US"/>
        </w:rPr>
        <w:t xml:space="preserve"> levels of </w:t>
      </w:r>
      <w:r w:rsidR="000122DB">
        <w:rPr>
          <w:rFonts w:ascii="Times New Roman" w:hAnsi="Times New Roman" w:cs="Times New Roman"/>
          <w:sz w:val="28"/>
          <w:szCs w:val="28"/>
          <w:lang w:val="en-US"/>
        </w:rPr>
        <w:t>general cholesterol, low density lipoproteins, very low density lipoproteins, triglycerides</w:t>
      </w:r>
      <w:r w:rsidR="00A33945" w:rsidRPr="004632A5">
        <w:rPr>
          <w:rFonts w:ascii="Times New Roman" w:hAnsi="Times New Roman" w:cs="Times New Roman"/>
          <w:sz w:val="28"/>
          <w:szCs w:val="28"/>
          <w:lang w:val="en-US"/>
        </w:rPr>
        <w:t xml:space="preserve"> were significantly higher (p &lt;</w:t>
      </w:r>
      <w:r w:rsidR="00B40A82" w:rsidRPr="004632A5">
        <w:rPr>
          <w:rFonts w:ascii="Times New Roman" w:hAnsi="Times New Roman" w:cs="Times New Roman"/>
          <w:sz w:val="28"/>
          <w:szCs w:val="28"/>
          <w:lang w:val="uk-UA"/>
        </w:rPr>
        <w:t xml:space="preserve"> </w:t>
      </w:r>
      <w:r w:rsidR="000122DB">
        <w:rPr>
          <w:rFonts w:ascii="Times New Roman" w:hAnsi="Times New Roman" w:cs="Times New Roman"/>
          <w:sz w:val="28"/>
          <w:szCs w:val="28"/>
          <w:lang w:val="en-US"/>
        </w:rPr>
        <w:t xml:space="preserve">0,05), higher density lipoproteins </w:t>
      </w:r>
      <w:r w:rsidR="00523990">
        <w:rPr>
          <w:rFonts w:ascii="Times New Roman" w:hAnsi="Times New Roman" w:cs="Times New Roman"/>
          <w:sz w:val="28"/>
          <w:szCs w:val="28"/>
          <w:lang w:val="en-US"/>
        </w:rPr>
        <w:t>−</w:t>
      </w:r>
      <w:r w:rsidR="00A33945" w:rsidRPr="004632A5">
        <w:rPr>
          <w:rFonts w:ascii="Times New Roman" w:hAnsi="Times New Roman" w:cs="Times New Roman"/>
          <w:sz w:val="28"/>
          <w:szCs w:val="28"/>
          <w:lang w:val="en-US"/>
        </w:rPr>
        <w:t xml:space="preserve"> significantly lower (p &lt;</w:t>
      </w:r>
      <w:r w:rsidR="00AD1585" w:rsidRPr="004632A5">
        <w:rPr>
          <w:rFonts w:ascii="Times New Roman" w:hAnsi="Times New Roman" w:cs="Times New Roman"/>
          <w:sz w:val="28"/>
          <w:szCs w:val="28"/>
          <w:lang w:val="uk-UA"/>
        </w:rPr>
        <w:t xml:space="preserve"> </w:t>
      </w:r>
      <w:r w:rsidR="003F0C71">
        <w:rPr>
          <w:rFonts w:ascii="Times New Roman" w:hAnsi="Times New Roman" w:cs="Times New Roman"/>
          <w:sz w:val="28"/>
          <w:szCs w:val="28"/>
          <w:lang w:val="en-US"/>
        </w:rPr>
        <w:t>0,05). T</w:t>
      </w:r>
      <w:r>
        <w:rPr>
          <w:rFonts w:ascii="Times New Roman" w:hAnsi="Times New Roman" w:cs="Times New Roman"/>
          <w:sz w:val="28"/>
          <w:szCs w:val="28"/>
          <w:lang w:val="en-US"/>
        </w:rPr>
        <w:t>he</w:t>
      </w:r>
      <w:r>
        <w:rPr>
          <w:rFonts w:ascii="Times New Roman" w:hAnsi="Times New Roman" w:cs="Times New Roman"/>
          <w:sz w:val="28"/>
          <w:szCs w:val="28"/>
          <w:lang w:val="uk-UA"/>
        </w:rPr>
        <w:t xml:space="preserve"> </w:t>
      </w:r>
      <w:r w:rsidRPr="00482B6F">
        <w:rPr>
          <w:rFonts w:ascii="Times New Roman" w:hAnsi="Times New Roman" w:cs="Times New Roman"/>
          <w:sz w:val="28"/>
          <w:szCs w:val="28"/>
          <w:lang w:val="en-US"/>
        </w:rPr>
        <w:t>combi</w:t>
      </w:r>
      <w:r w:rsidRPr="005F2802">
        <w:rPr>
          <w:rFonts w:ascii="Times New Roman" w:hAnsi="Times New Roman" w:cs="Times New Roman"/>
          <w:sz w:val="28"/>
          <w:szCs w:val="28"/>
          <w:lang w:val="en-US"/>
        </w:rPr>
        <w:t>ned type of dyslipidemia</w:t>
      </w:r>
      <w:r>
        <w:rPr>
          <w:rFonts w:ascii="Times New Roman" w:hAnsi="Times New Roman" w:cs="Times New Roman"/>
          <w:sz w:val="28"/>
          <w:szCs w:val="28"/>
          <w:lang w:val="en-US"/>
        </w:rPr>
        <w:t xml:space="preserve"> was present</w:t>
      </w:r>
      <w:r w:rsidR="000122DB">
        <w:rPr>
          <w:rFonts w:ascii="Times New Roman" w:hAnsi="Times New Roman" w:cs="Times New Roman"/>
          <w:sz w:val="28"/>
          <w:szCs w:val="28"/>
          <w:lang w:val="en-US"/>
        </w:rPr>
        <w:t xml:space="preserve"> in</w:t>
      </w:r>
      <w:r w:rsidR="000122DB" w:rsidRPr="004632A5">
        <w:rPr>
          <w:rFonts w:ascii="Times New Roman" w:hAnsi="Times New Roman" w:cs="Times New Roman"/>
          <w:sz w:val="28"/>
          <w:szCs w:val="28"/>
          <w:lang w:val="en-US"/>
        </w:rPr>
        <w:t xml:space="preserve"> patients</w:t>
      </w:r>
      <w:r w:rsidR="000122DB">
        <w:rPr>
          <w:rFonts w:ascii="Times New Roman" w:hAnsi="Times New Roman" w:cs="Times New Roman"/>
          <w:sz w:val="28"/>
          <w:szCs w:val="28"/>
          <w:lang w:val="en-US"/>
        </w:rPr>
        <w:t xml:space="preserve"> with AH and type 2 DM</w:t>
      </w:r>
      <w:r w:rsidR="003F0C71">
        <w:rPr>
          <w:rFonts w:ascii="Times New Roman" w:hAnsi="Times New Roman" w:cs="Times New Roman"/>
          <w:sz w:val="28"/>
          <w:szCs w:val="28"/>
          <w:lang w:val="en-US"/>
        </w:rPr>
        <w:t xml:space="preserve">. It was the confirmation of </w:t>
      </w:r>
      <w:r w:rsidR="003F0C71" w:rsidRPr="004632A5">
        <w:rPr>
          <w:rFonts w:ascii="Times New Roman" w:hAnsi="Times New Roman" w:cs="Times New Roman"/>
          <w:sz w:val="28"/>
          <w:szCs w:val="28"/>
          <w:lang w:val="en-US"/>
        </w:rPr>
        <w:t>greater</w:t>
      </w:r>
      <w:r w:rsidR="00A33945" w:rsidRPr="004632A5">
        <w:rPr>
          <w:rFonts w:ascii="Times New Roman" w:hAnsi="Times New Roman" w:cs="Times New Roman"/>
          <w:sz w:val="28"/>
          <w:szCs w:val="28"/>
          <w:lang w:val="en-US"/>
        </w:rPr>
        <w:t xml:space="preserve"> </w:t>
      </w:r>
      <w:r w:rsidR="005A3FB1" w:rsidRPr="004632A5">
        <w:rPr>
          <w:rFonts w:ascii="Times New Roman" w:hAnsi="Times New Roman" w:cs="Times New Roman"/>
          <w:sz w:val="28"/>
          <w:szCs w:val="28"/>
          <w:lang w:val="en-US"/>
        </w:rPr>
        <w:t xml:space="preserve">disorders in </w:t>
      </w:r>
      <w:r w:rsidR="005C4B67">
        <w:rPr>
          <w:rFonts w:ascii="Times New Roman" w:hAnsi="Times New Roman" w:cs="Times New Roman"/>
          <w:sz w:val="28"/>
          <w:szCs w:val="28"/>
          <w:lang w:val="en-US"/>
        </w:rPr>
        <w:t>lipid metabolism in</w:t>
      </w:r>
      <w:r w:rsidR="005A3FB1" w:rsidRPr="004632A5">
        <w:rPr>
          <w:rFonts w:ascii="Times New Roman" w:hAnsi="Times New Roman" w:cs="Times New Roman"/>
          <w:sz w:val="28"/>
          <w:szCs w:val="28"/>
          <w:lang w:val="en-US"/>
        </w:rPr>
        <w:t xml:space="preserve"> p</w:t>
      </w:r>
      <w:r w:rsidR="000122DB">
        <w:rPr>
          <w:rFonts w:ascii="Times New Roman" w:hAnsi="Times New Roman" w:cs="Times New Roman"/>
          <w:sz w:val="28"/>
          <w:szCs w:val="28"/>
          <w:lang w:val="en-US"/>
        </w:rPr>
        <w:t>ersons</w:t>
      </w:r>
      <w:r w:rsidR="005C4B67">
        <w:rPr>
          <w:rFonts w:ascii="Times New Roman" w:hAnsi="Times New Roman" w:cs="Times New Roman"/>
          <w:sz w:val="28"/>
          <w:szCs w:val="28"/>
          <w:lang w:val="en-US"/>
        </w:rPr>
        <w:t xml:space="preserve"> with coexist</w:t>
      </w:r>
      <w:r w:rsidR="00D559BC">
        <w:rPr>
          <w:rFonts w:ascii="Times New Roman" w:hAnsi="Times New Roman" w:cs="Times New Roman"/>
          <w:sz w:val="28"/>
          <w:szCs w:val="28"/>
          <w:lang w:val="en-US"/>
        </w:rPr>
        <w:t>e</w:t>
      </w:r>
      <w:r w:rsidR="005C4B67">
        <w:rPr>
          <w:rFonts w:ascii="Times New Roman" w:hAnsi="Times New Roman" w:cs="Times New Roman"/>
          <w:sz w:val="28"/>
          <w:szCs w:val="28"/>
          <w:lang w:val="en-US"/>
        </w:rPr>
        <w:t>nt pathology</w:t>
      </w:r>
      <w:r w:rsidR="007428A2">
        <w:rPr>
          <w:rFonts w:ascii="Times New Roman" w:hAnsi="Times New Roman" w:cs="Times New Roman"/>
          <w:sz w:val="28"/>
          <w:szCs w:val="28"/>
          <w:lang w:val="en-US"/>
        </w:rPr>
        <w:t xml:space="preserve">. </w:t>
      </w:r>
      <w:r w:rsidR="00762A25" w:rsidRPr="004632A5">
        <w:rPr>
          <w:rFonts w:ascii="Times New Roman" w:hAnsi="Times New Roman" w:cs="Times New Roman"/>
          <w:sz w:val="28"/>
          <w:szCs w:val="28"/>
          <w:lang w:val="en-US"/>
        </w:rPr>
        <w:t>If</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the</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level</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of</w:t>
      </w:r>
      <w:r w:rsidR="00762A25" w:rsidRPr="004632A5">
        <w:rPr>
          <w:rFonts w:ascii="Times New Roman" w:hAnsi="Times New Roman" w:cs="Times New Roman"/>
          <w:sz w:val="28"/>
          <w:szCs w:val="28"/>
          <w:lang w:val="uk-UA"/>
        </w:rPr>
        <w:t xml:space="preserve"> </w:t>
      </w:r>
      <w:r w:rsidR="007F6FEF">
        <w:rPr>
          <w:rFonts w:ascii="Times New Roman" w:hAnsi="Times New Roman" w:cs="Times New Roman"/>
          <w:sz w:val="28"/>
          <w:szCs w:val="28"/>
          <w:lang w:val="en-US"/>
        </w:rPr>
        <w:t>glycated hemoglobin (</w:t>
      </w:r>
      <w:r w:rsidR="00762A25" w:rsidRPr="004632A5">
        <w:rPr>
          <w:rFonts w:ascii="Times New Roman" w:hAnsi="Times New Roman" w:cs="Times New Roman"/>
          <w:sz w:val="28"/>
          <w:szCs w:val="28"/>
          <w:lang w:val="uk-UA"/>
        </w:rPr>
        <w:t>HbA1с</w:t>
      </w:r>
      <w:r w:rsidR="007F6FEF">
        <w:rPr>
          <w:rFonts w:ascii="Times New Roman" w:hAnsi="Times New Roman" w:cs="Times New Roman"/>
          <w:sz w:val="28"/>
          <w:szCs w:val="28"/>
          <w:lang w:val="en-US"/>
        </w:rPr>
        <w:t>)</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was</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more</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then</w:t>
      </w:r>
      <w:r w:rsidR="00762A25" w:rsidRPr="004632A5">
        <w:rPr>
          <w:rFonts w:ascii="Times New Roman" w:hAnsi="Times New Roman" w:cs="Times New Roman"/>
          <w:sz w:val="28"/>
          <w:szCs w:val="28"/>
          <w:lang w:val="uk-UA"/>
        </w:rPr>
        <w:t xml:space="preserve"> </w:t>
      </w:r>
      <w:r w:rsidR="00F16008">
        <w:rPr>
          <w:rFonts w:ascii="Times New Roman" w:hAnsi="Times New Roman" w:cs="Times New Roman"/>
          <w:sz w:val="28"/>
          <w:szCs w:val="28"/>
          <w:lang w:val="uk-UA"/>
        </w:rPr>
        <w:t>8,</w:t>
      </w:r>
      <w:r w:rsidR="00F16008">
        <w:rPr>
          <w:rFonts w:ascii="Times New Roman" w:hAnsi="Times New Roman" w:cs="Times New Roman"/>
          <w:sz w:val="28"/>
          <w:szCs w:val="28"/>
          <w:lang w:val="en-US"/>
        </w:rPr>
        <w:t>0</w:t>
      </w:r>
      <w:r w:rsidR="00B40A82"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the</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levels</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of</w:t>
      </w:r>
      <w:r w:rsidR="00762A25" w:rsidRPr="004632A5">
        <w:rPr>
          <w:rFonts w:ascii="Times New Roman" w:hAnsi="Times New Roman" w:cs="Times New Roman"/>
          <w:sz w:val="28"/>
          <w:szCs w:val="28"/>
          <w:lang w:val="uk-UA"/>
        </w:rPr>
        <w:t xml:space="preserve"> </w:t>
      </w:r>
      <w:r w:rsidR="000122DB">
        <w:rPr>
          <w:rFonts w:ascii="Times New Roman" w:hAnsi="Times New Roman" w:cs="Times New Roman"/>
          <w:sz w:val="28"/>
          <w:szCs w:val="28"/>
          <w:lang w:val="en-US"/>
        </w:rPr>
        <w:t>triglycerides</w:t>
      </w:r>
      <w:r w:rsidR="00762A25" w:rsidRPr="004632A5">
        <w:rPr>
          <w:rFonts w:ascii="Times New Roman" w:hAnsi="Times New Roman" w:cs="Times New Roman"/>
          <w:sz w:val="28"/>
          <w:szCs w:val="28"/>
          <w:lang w:val="uk-UA"/>
        </w:rPr>
        <w:t xml:space="preserve"> were significan</w:t>
      </w:r>
      <w:r w:rsidR="000122DB">
        <w:rPr>
          <w:rFonts w:ascii="Times New Roman" w:hAnsi="Times New Roman" w:cs="Times New Roman"/>
          <w:sz w:val="28"/>
          <w:szCs w:val="28"/>
          <w:lang w:val="uk-UA"/>
        </w:rPr>
        <w:t xml:space="preserve">tly higher (p </w:t>
      </w:r>
      <w:r w:rsidR="000122DB">
        <w:rPr>
          <w:rFonts w:ascii="Times New Roman" w:hAnsi="Times New Roman" w:cs="Times New Roman"/>
          <w:sz w:val="28"/>
          <w:szCs w:val="28"/>
          <w:lang w:val="en-US"/>
        </w:rPr>
        <w:t>=</w:t>
      </w:r>
      <w:r w:rsidR="000122DB">
        <w:rPr>
          <w:rFonts w:ascii="Times New Roman" w:hAnsi="Times New Roman" w:cs="Times New Roman"/>
          <w:sz w:val="28"/>
          <w:szCs w:val="28"/>
          <w:lang w:val="uk-UA"/>
        </w:rPr>
        <w:t xml:space="preserve"> 0,0</w:t>
      </w:r>
      <w:r w:rsidR="000122DB">
        <w:rPr>
          <w:rFonts w:ascii="Times New Roman" w:hAnsi="Times New Roman" w:cs="Times New Roman"/>
          <w:sz w:val="28"/>
          <w:szCs w:val="28"/>
          <w:lang w:val="en-US"/>
        </w:rPr>
        <w:t>018</w:t>
      </w:r>
      <w:r w:rsidR="000122DB">
        <w:rPr>
          <w:rFonts w:ascii="Times New Roman" w:hAnsi="Times New Roman" w:cs="Times New Roman"/>
          <w:sz w:val="28"/>
          <w:szCs w:val="28"/>
          <w:lang w:val="uk-UA"/>
        </w:rPr>
        <w:t xml:space="preserve">), and </w:t>
      </w:r>
      <w:r w:rsidR="000122DB">
        <w:rPr>
          <w:rFonts w:ascii="Times New Roman" w:hAnsi="Times New Roman" w:cs="Times New Roman"/>
          <w:sz w:val="28"/>
          <w:szCs w:val="28"/>
          <w:lang w:val="en-US"/>
        </w:rPr>
        <w:t>higher density lipoproteins</w:t>
      </w:r>
      <w:r w:rsidR="000122DB">
        <w:rPr>
          <w:rFonts w:ascii="Times New Roman" w:hAnsi="Times New Roman" w:cs="Times New Roman"/>
          <w:sz w:val="28"/>
          <w:szCs w:val="28"/>
          <w:lang w:val="uk-UA"/>
        </w:rPr>
        <w:t xml:space="preserve"> </w:t>
      </w:r>
      <w:r w:rsidR="003A6CAF">
        <w:rPr>
          <w:rFonts w:ascii="Times New Roman" w:hAnsi="Times New Roman" w:cs="Times New Roman"/>
          <w:sz w:val="28"/>
          <w:szCs w:val="28"/>
          <w:lang w:val="uk-UA"/>
        </w:rPr>
        <w:t>−</w:t>
      </w:r>
      <w:r w:rsidR="000122DB">
        <w:rPr>
          <w:rFonts w:ascii="Times New Roman" w:hAnsi="Times New Roman" w:cs="Times New Roman"/>
          <w:sz w:val="28"/>
          <w:szCs w:val="28"/>
          <w:lang w:val="uk-UA"/>
        </w:rPr>
        <w:t xml:space="preserve"> significantly lower</w:t>
      </w:r>
      <w:r w:rsidR="000122DB">
        <w:rPr>
          <w:rFonts w:ascii="Times New Roman" w:hAnsi="Times New Roman" w:cs="Times New Roman"/>
          <w:sz w:val="28"/>
          <w:szCs w:val="28"/>
          <w:lang w:val="en-US"/>
        </w:rPr>
        <w:t xml:space="preserve"> </w:t>
      </w:r>
      <w:r w:rsidR="000122DB">
        <w:rPr>
          <w:rFonts w:ascii="Times New Roman" w:hAnsi="Times New Roman" w:cs="Times New Roman"/>
          <w:sz w:val="28"/>
          <w:szCs w:val="28"/>
          <w:lang w:val="uk-UA"/>
        </w:rPr>
        <w:t xml:space="preserve">(p </w:t>
      </w:r>
      <w:r w:rsidR="000122DB">
        <w:rPr>
          <w:rFonts w:ascii="Times New Roman" w:hAnsi="Times New Roman" w:cs="Times New Roman"/>
          <w:sz w:val="28"/>
          <w:szCs w:val="28"/>
          <w:lang w:val="en-US"/>
        </w:rPr>
        <w:t>=</w:t>
      </w:r>
      <w:r w:rsidR="00AD1585" w:rsidRPr="004632A5">
        <w:rPr>
          <w:rFonts w:ascii="Times New Roman" w:hAnsi="Times New Roman" w:cs="Times New Roman"/>
          <w:sz w:val="28"/>
          <w:szCs w:val="28"/>
          <w:lang w:val="uk-UA"/>
        </w:rPr>
        <w:t xml:space="preserve"> </w:t>
      </w:r>
      <w:r w:rsidR="000122DB">
        <w:rPr>
          <w:rFonts w:ascii="Times New Roman" w:hAnsi="Times New Roman" w:cs="Times New Roman"/>
          <w:sz w:val="28"/>
          <w:szCs w:val="28"/>
          <w:lang w:val="uk-UA"/>
        </w:rPr>
        <w:t>0,0</w:t>
      </w:r>
      <w:r w:rsidR="000122DB">
        <w:rPr>
          <w:rFonts w:ascii="Times New Roman" w:hAnsi="Times New Roman" w:cs="Times New Roman"/>
          <w:sz w:val="28"/>
          <w:szCs w:val="28"/>
          <w:lang w:val="en-US"/>
        </w:rPr>
        <w:t>367</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It</w:t>
      </w:r>
      <w:r w:rsidR="00762A25" w:rsidRPr="004632A5">
        <w:rPr>
          <w:rFonts w:ascii="Times New Roman" w:hAnsi="Times New Roman" w:cs="Times New Roman"/>
          <w:sz w:val="28"/>
          <w:szCs w:val="28"/>
          <w:lang w:val="uk-UA"/>
        </w:rPr>
        <w:t xml:space="preserve"> </w:t>
      </w:r>
      <w:r w:rsidR="003F0C71">
        <w:rPr>
          <w:rFonts w:ascii="Times New Roman" w:hAnsi="Times New Roman" w:cs="Times New Roman"/>
          <w:sz w:val="28"/>
          <w:szCs w:val="28"/>
          <w:lang w:val="en-US"/>
        </w:rPr>
        <w:t>was</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the</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confirmation</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of</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important</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role</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of</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dyslipidemia</w:t>
      </w:r>
      <w:r w:rsidR="00762A25" w:rsidRPr="004632A5">
        <w:rPr>
          <w:rFonts w:ascii="Times New Roman" w:hAnsi="Times New Roman" w:cs="Times New Roman"/>
          <w:sz w:val="28"/>
          <w:szCs w:val="28"/>
          <w:lang w:val="uk-UA"/>
        </w:rPr>
        <w:t xml:space="preserve"> </w:t>
      </w:r>
      <w:r w:rsidR="00762A25" w:rsidRPr="004632A5">
        <w:rPr>
          <w:rFonts w:ascii="Times New Roman" w:hAnsi="Times New Roman" w:cs="Times New Roman"/>
          <w:sz w:val="28"/>
          <w:szCs w:val="28"/>
          <w:lang w:val="en-US"/>
        </w:rPr>
        <w:t>in</w:t>
      </w:r>
      <w:r w:rsidR="00762A25" w:rsidRPr="004632A5">
        <w:rPr>
          <w:rFonts w:ascii="Times New Roman" w:hAnsi="Times New Roman" w:cs="Times New Roman"/>
          <w:sz w:val="28"/>
          <w:szCs w:val="28"/>
          <w:lang w:val="uk-UA"/>
        </w:rPr>
        <w:t xml:space="preserve"> </w:t>
      </w:r>
      <w:r w:rsidR="006F5233" w:rsidRPr="004632A5">
        <w:rPr>
          <w:rFonts w:ascii="Times New Roman" w:hAnsi="Times New Roman" w:cs="Times New Roman"/>
          <w:sz w:val="28"/>
          <w:szCs w:val="28"/>
          <w:lang w:val="en-US"/>
        </w:rPr>
        <w:t>the</w:t>
      </w:r>
      <w:r w:rsidR="006F5233" w:rsidRPr="004632A5">
        <w:rPr>
          <w:rFonts w:ascii="Times New Roman" w:hAnsi="Times New Roman" w:cs="Times New Roman"/>
          <w:sz w:val="28"/>
          <w:szCs w:val="28"/>
          <w:lang w:val="uk-UA"/>
        </w:rPr>
        <w:t xml:space="preserve"> </w:t>
      </w:r>
      <w:r w:rsidR="006F5233" w:rsidRPr="004632A5">
        <w:rPr>
          <w:rFonts w:ascii="Times New Roman" w:hAnsi="Times New Roman" w:cs="Times New Roman"/>
          <w:sz w:val="28"/>
          <w:szCs w:val="28"/>
          <w:lang w:val="en-US"/>
        </w:rPr>
        <w:t>type</w:t>
      </w:r>
      <w:r w:rsidR="006F5233" w:rsidRPr="004632A5">
        <w:rPr>
          <w:rFonts w:ascii="Times New Roman" w:hAnsi="Times New Roman" w:cs="Times New Roman"/>
          <w:sz w:val="28"/>
          <w:szCs w:val="28"/>
          <w:lang w:val="uk-UA"/>
        </w:rPr>
        <w:t xml:space="preserve"> 2 </w:t>
      </w:r>
      <w:r w:rsidR="006F5233" w:rsidRPr="004632A5">
        <w:rPr>
          <w:rFonts w:ascii="Times New Roman" w:hAnsi="Times New Roman" w:cs="Times New Roman"/>
          <w:sz w:val="28"/>
          <w:szCs w:val="28"/>
          <w:lang w:val="en-US"/>
        </w:rPr>
        <w:t>DM</w:t>
      </w:r>
      <w:r w:rsidR="006F5233" w:rsidRPr="004632A5">
        <w:rPr>
          <w:rFonts w:ascii="Times New Roman" w:hAnsi="Times New Roman" w:cs="Times New Roman"/>
          <w:sz w:val="28"/>
          <w:szCs w:val="28"/>
          <w:lang w:val="uk-UA"/>
        </w:rPr>
        <w:t xml:space="preserve"> </w:t>
      </w:r>
      <w:r w:rsidR="00E06B00">
        <w:rPr>
          <w:rFonts w:ascii="Times New Roman" w:hAnsi="Times New Roman" w:cs="Times New Roman"/>
          <w:sz w:val="28"/>
          <w:szCs w:val="28"/>
          <w:lang w:val="en-US"/>
        </w:rPr>
        <w:t>de</w:t>
      </w:r>
      <w:r w:rsidR="00E06B00" w:rsidRPr="00E06B00">
        <w:rPr>
          <w:rFonts w:ascii="Times New Roman" w:hAnsi="Times New Roman" w:cs="Times New Roman"/>
          <w:sz w:val="28"/>
          <w:szCs w:val="28"/>
          <w:lang w:val="uk-UA"/>
        </w:rPr>
        <w:t>compensation</w:t>
      </w:r>
      <w:r w:rsidR="00B40A82" w:rsidRPr="004632A5">
        <w:rPr>
          <w:rFonts w:ascii="Times New Roman" w:hAnsi="Times New Roman" w:cs="Times New Roman"/>
          <w:sz w:val="28"/>
          <w:szCs w:val="28"/>
          <w:lang w:val="uk-UA"/>
        </w:rPr>
        <w:t>.</w:t>
      </w:r>
      <w:r w:rsidR="000C3F6B">
        <w:rPr>
          <w:rFonts w:ascii="Times New Roman" w:hAnsi="Times New Roman" w:cs="Times New Roman"/>
          <w:sz w:val="28"/>
          <w:szCs w:val="28"/>
          <w:lang w:val="en-US"/>
        </w:rPr>
        <w:t xml:space="preserve"> </w:t>
      </w:r>
      <w:r w:rsidR="00482B6F">
        <w:rPr>
          <w:rFonts w:ascii="Times New Roman" w:hAnsi="Times New Roman" w:cs="Times New Roman"/>
          <w:sz w:val="28"/>
          <w:szCs w:val="28"/>
          <w:lang w:val="en-US"/>
        </w:rPr>
        <w:t>For patients with bigger levels of</w:t>
      </w:r>
      <w:r w:rsidR="005C4B67" w:rsidRPr="005C4B67">
        <w:rPr>
          <w:rFonts w:ascii="Times New Roman" w:hAnsi="Times New Roman" w:cs="Times New Roman"/>
          <w:sz w:val="28"/>
          <w:szCs w:val="28"/>
          <w:lang w:val="uk-UA"/>
        </w:rPr>
        <w:t xml:space="preserve"> </w:t>
      </w:r>
      <w:r w:rsidR="00482B6F">
        <w:rPr>
          <w:rFonts w:ascii="Times New Roman" w:hAnsi="Times New Roman" w:cs="Times New Roman"/>
          <w:sz w:val="28"/>
          <w:szCs w:val="28"/>
          <w:lang w:val="en-US"/>
        </w:rPr>
        <w:t>soluble vascular cell adhesion molecule type 1 the levels of coefficient of atherogenicity</w:t>
      </w:r>
      <w:r w:rsidR="00482B6F" w:rsidRPr="00DB04D9">
        <w:rPr>
          <w:rFonts w:ascii="Times New Roman" w:hAnsi="Times New Roman" w:cs="Times New Roman"/>
          <w:sz w:val="28"/>
          <w:szCs w:val="28"/>
          <w:lang w:val="en-US"/>
        </w:rPr>
        <w:t xml:space="preserve"> </w:t>
      </w:r>
      <w:r w:rsidR="00482B6F">
        <w:rPr>
          <w:rFonts w:ascii="Times New Roman" w:hAnsi="Times New Roman" w:cs="Times New Roman"/>
          <w:sz w:val="28"/>
          <w:szCs w:val="28"/>
          <w:lang w:val="en-US"/>
        </w:rPr>
        <w:t>were biggest too</w:t>
      </w:r>
      <w:r w:rsidR="007428A2">
        <w:rPr>
          <w:rFonts w:ascii="Times New Roman" w:hAnsi="Times New Roman" w:cs="Times New Roman"/>
          <w:sz w:val="28"/>
          <w:szCs w:val="28"/>
          <w:lang w:val="en-US"/>
        </w:rPr>
        <w:t>,</w:t>
      </w:r>
      <w:r w:rsidR="00482B6F">
        <w:rPr>
          <w:rFonts w:ascii="Times New Roman" w:hAnsi="Times New Roman" w:cs="Times New Roman"/>
          <w:sz w:val="28"/>
          <w:szCs w:val="28"/>
          <w:lang w:val="en-US"/>
        </w:rPr>
        <w:t xml:space="preserve"> which confirmed</w:t>
      </w:r>
      <w:r w:rsidR="005C4B67" w:rsidRPr="005C4B67">
        <w:rPr>
          <w:rFonts w:ascii="Times New Roman" w:hAnsi="Times New Roman" w:cs="Times New Roman"/>
          <w:sz w:val="28"/>
          <w:szCs w:val="28"/>
          <w:lang w:val="uk-UA"/>
        </w:rPr>
        <w:t xml:space="preserve"> </w:t>
      </w:r>
      <w:r w:rsidR="00482B6F">
        <w:rPr>
          <w:rFonts w:ascii="Times New Roman" w:hAnsi="Times New Roman" w:cs="Times New Roman"/>
          <w:sz w:val="28"/>
          <w:szCs w:val="28"/>
          <w:lang w:val="en-US"/>
        </w:rPr>
        <w:t>the</w:t>
      </w:r>
      <w:r w:rsidR="005C4B67" w:rsidRPr="005C4B67">
        <w:rPr>
          <w:rFonts w:ascii="Times New Roman" w:hAnsi="Times New Roman" w:cs="Times New Roman"/>
          <w:sz w:val="28"/>
          <w:szCs w:val="28"/>
          <w:lang w:val="uk-UA"/>
        </w:rPr>
        <w:t xml:space="preserve"> </w:t>
      </w:r>
      <w:r w:rsidR="005C4B67">
        <w:rPr>
          <w:rFonts w:ascii="Times New Roman" w:hAnsi="Times New Roman" w:cs="Times New Roman"/>
          <w:sz w:val="28"/>
          <w:szCs w:val="28"/>
          <w:lang w:val="en-US"/>
        </w:rPr>
        <w:t>connection</w:t>
      </w:r>
      <w:r w:rsidR="005C4B67" w:rsidRPr="005C4B67">
        <w:rPr>
          <w:rFonts w:ascii="Times New Roman" w:hAnsi="Times New Roman" w:cs="Times New Roman"/>
          <w:sz w:val="28"/>
          <w:szCs w:val="28"/>
          <w:lang w:val="uk-UA"/>
        </w:rPr>
        <w:t xml:space="preserve"> </w:t>
      </w:r>
      <w:r w:rsidR="005C4B67">
        <w:rPr>
          <w:rFonts w:ascii="Times New Roman" w:hAnsi="Times New Roman" w:cs="Times New Roman"/>
          <w:sz w:val="28"/>
          <w:szCs w:val="28"/>
          <w:lang w:val="en-US"/>
        </w:rPr>
        <w:t>between</w:t>
      </w:r>
      <w:r w:rsidR="005C4B67" w:rsidRPr="005C4B67">
        <w:rPr>
          <w:rFonts w:ascii="Times New Roman" w:hAnsi="Times New Roman" w:cs="Times New Roman"/>
          <w:sz w:val="28"/>
          <w:szCs w:val="28"/>
          <w:lang w:val="uk-UA"/>
        </w:rPr>
        <w:t xml:space="preserve"> </w:t>
      </w:r>
      <w:r w:rsidR="00752C6E">
        <w:rPr>
          <w:rFonts w:ascii="Times New Roman" w:hAnsi="Times New Roman" w:cs="Times New Roman"/>
          <w:sz w:val="28"/>
          <w:szCs w:val="28"/>
          <w:lang w:val="en-US"/>
        </w:rPr>
        <w:t xml:space="preserve">proatherogenic orientation </w:t>
      </w:r>
      <w:r w:rsidR="005C4B67">
        <w:rPr>
          <w:rFonts w:ascii="Times New Roman" w:hAnsi="Times New Roman" w:cs="Times New Roman"/>
          <w:sz w:val="28"/>
          <w:szCs w:val="28"/>
          <w:lang w:val="en-US"/>
        </w:rPr>
        <w:t>and</w:t>
      </w:r>
      <w:r w:rsidR="005C4B67" w:rsidRPr="005C4B67">
        <w:rPr>
          <w:rFonts w:ascii="Times New Roman" w:hAnsi="Times New Roman" w:cs="Times New Roman"/>
          <w:sz w:val="28"/>
          <w:szCs w:val="28"/>
          <w:lang w:val="uk-UA"/>
        </w:rPr>
        <w:t xml:space="preserve"> </w:t>
      </w:r>
      <w:r w:rsidR="00482B6F">
        <w:rPr>
          <w:rFonts w:ascii="Times New Roman" w:hAnsi="Times New Roman" w:cs="Times New Roman"/>
          <w:sz w:val="28"/>
          <w:szCs w:val="28"/>
          <w:lang w:val="en-US"/>
        </w:rPr>
        <w:t>this</w:t>
      </w:r>
      <w:r w:rsidR="005C4B67" w:rsidRPr="005C4B67">
        <w:rPr>
          <w:rFonts w:ascii="Times New Roman" w:hAnsi="Times New Roman" w:cs="Times New Roman"/>
          <w:sz w:val="28"/>
          <w:szCs w:val="28"/>
          <w:lang w:val="uk-UA"/>
        </w:rPr>
        <w:t xml:space="preserve"> </w:t>
      </w:r>
      <w:r w:rsidR="000122DB">
        <w:rPr>
          <w:rFonts w:ascii="Times New Roman" w:hAnsi="Times New Roman" w:cs="Times New Roman"/>
          <w:sz w:val="28"/>
          <w:szCs w:val="28"/>
          <w:lang w:val="en-US"/>
        </w:rPr>
        <w:t>marker of endothelial dysfunction</w:t>
      </w:r>
      <w:r w:rsidR="005C4B67">
        <w:rPr>
          <w:rFonts w:ascii="Times New Roman" w:hAnsi="Times New Roman" w:cs="Times New Roman"/>
          <w:sz w:val="28"/>
          <w:szCs w:val="28"/>
          <w:lang w:val="en-US"/>
        </w:rPr>
        <w:t>, inflammatory.</w:t>
      </w:r>
    </w:p>
    <w:p w:rsidR="006F5233" w:rsidRPr="000C3F6B" w:rsidRDefault="00482B6F" w:rsidP="000C3F6B">
      <w:pPr>
        <w:spacing w:after="0" w:line="360" w:lineRule="auto"/>
        <w:ind w:firstLine="360"/>
        <w:jc w:val="both"/>
        <w:rPr>
          <w:lang w:val="en-US"/>
        </w:rPr>
      </w:pPr>
      <w:r>
        <w:rPr>
          <w:rFonts w:ascii="Times New Roman" w:hAnsi="Times New Roman" w:cs="Times New Roman"/>
          <w:sz w:val="28"/>
          <w:szCs w:val="28"/>
          <w:lang w:val="en-US"/>
        </w:rPr>
        <w:t xml:space="preserve">      </w:t>
      </w:r>
      <w:r w:rsidR="00B06F4E" w:rsidRPr="00B06F4E">
        <w:rPr>
          <w:rFonts w:ascii="Times New Roman" w:hAnsi="Times New Roman" w:cs="Times New Roman"/>
          <w:sz w:val="28"/>
          <w:szCs w:val="28"/>
          <w:lang w:val="en-US"/>
        </w:rPr>
        <w:t>The determination of albumin to creatinine ratio in a single morning urine sample is recommended for the nephropathy diagnostic</w:t>
      </w:r>
      <w:r w:rsidR="00B06F4E">
        <w:rPr>
          <w:rFonts w:ascii="Times New Roman" w:hAnsi="Times New Roman" w:cs="Times New Roman"/>
          <w:sz w:val="28"/>
          <w:szCs w:val="28"/>
          <w:lang w:val="en-US"/>
        </w:rPr>
        <w:t>.</w:t>
      </w:r>
      <w:r w:rsidR="000C3F6B">
        <w:rPr>
          <w:lang w:val="en-US"/>
        </w:rPr>
        <w:t xml:space="preserve"> </w:t>
      </w:r>
      <w:r>
        <w:rPr>
          <w:rFonts w:ascii="Times New Roman" w:hAnsi="Times New Roman" w:cs="Times New Roman"/>
          <w:sz w:val="28"/>
          <w:szCs w:val="28"/>
          <w:lang w:val="en-US"/>
        </w:rPr>
        <w:t>The m</w:t>
      </w:r>
      <w:r w:rsidRPr="00B06F4E">
        <w:rPr>
          <w:rFonts w:ascii="Times New Roman" w:hAnsi="Times New Roman" w:cs="Times New Roman"/>
          <w:sz w:val="28"/>
          <w:szCs w:val="28"/>
          <w:lang w:val="en-US"/>
        </w:rPr>
        <w:t xml:space="preserve">edium positive </w:t>
      </w:r>
      <w:r w:rsidR="00D559BC">
        <w:rPr>
          <w:rFonts w:ascii="Times New Roman" w:hAnsi="Times New Roman" w:cs="Times New Roman"/>
          <w:sz w:val="28"/>
          <w:szCs w:val="28"/>
          <w:lang w:val="en-US"/>
        </w:rPr>
        <w:t xml:space="preserve">relationship </w:t>
      </w:r>
      <w:r w:rsidRPr="00B06F4E">
        <w:rPr>
          <w:rFonts w:ascii="Times New Roman" w:hAnsi="Times New Roman" w:cs="Times New Roman"/>
          <w:sz w:val="28"/>
          <w:szCs w:val="28"/>
          <w:lang w:val="en-US"/>
        </w:rPr>
        <w:t>between</w:t>
      </w:r>
      <w:r>
        <w:rPr>
          <w:rFonts w:ascii="Times New Roman" w:hAnsi="Times New Roman" w:cs="Times New Roman"/>
          <w:sz w:val="28"/>
          <w:szCs w:val="28"/>
          <w:lang w:val="en-US"/>
        </w:rPr>
        <w:t xml:space="preserve"> the level of albuminuria and endothelin</w:t>
      </w:r>
      <w:r w:rsidRPr="00B06F4E">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B06F4E">
        <w:rPr>
          <w:rFonts w:ascii="Times New Roman" w:hAnsi="Times New Roman" w:cs="Times New Roman"/>
          <w:sz w:val="28"/>
          <w:szCs w:val="28"/>
          <w:lang w:val="en-US"/>
        </w:rPr>
        <w:t xml:space="preserve">(r = 0,57; </w:t>
      </w:r>
      <w:r w:rsidR="005C3F41">
        <w:rPr>
          <w:rFonts w:ascii="Times New Roman" w:hAnsi="Times New Roman" w:cs="Times New Roman"/>
          <w:sz w:val="28"/>
          <w:szCs w:val="28"/>
          <w:lang w:val="en-US"/>
        </w:rPr>
        <w:t xml:space="preserve">               </w:t>
      </w:r>
      <w:r w:rsidRPr="00B06F4E">
        <w:rPr>
          <w:rFonts w:ascii="Times New Roman" w:hAnsi="Times New Roman" w:cs="Times New Roman"/>
          <w:sz w:val="28"/>
          <w:szCs w:val="28"/>
          <w:lang w:val="en-US"/>
        </w:rPr>
        <w:t>p &lt; 0,0001) con</w:t>
      </w:r>
      <w:r>
        <w:rPr>
          <w:rFonts w:ascii="Times New Roman" w:hAnsi="Times New Roman" w:cs="Times New Roman"/>
          <w:sz w:val="28"/>
          <w:szCs w:val="28"/>
          <w:lang w:val="en-US"/>
        </w:rPr>
        <w:t>nected with important role of endothelial dys</w:t>
      </w:r>
      <w:r w:rsidR="00E21B26">
        <w:rPr>
          <w:rFonts w:ascii="Times New Roman" w:hAnsi="Times New Roman" w:cs="Times New Roman"/>
          <w:sz w:val="28"/>
          <w:szCs w:val="28"/>
          <w:lang w:val="en-US"/>
        </w:rPr>
        <w:t>orders</w:t>
      </w:r>
      <w:r w:rsidRPr="00B06F4E">
        <w:rPr>
          <w:rFonts w:ascii="Times New Roman" w:hAnsi="Times New Roman" w:cs="Times New Roman"/>
          <w:sz w:val="28"/>
          <w:szCs w:val="28"/>
          <w:lang w:val="en-US"/>
        </w:rPr>
        <w:t xml:space="preserve"> in the </w:t>
      </w:r>
      <w:r w:rsidR="005C3F41">
        <w:rPr>
          <w:rFonts w:ascii="Times New Roman" w:hAnsi="Times New Roman" w:cs="Times New Roman"/>
          <w:sz w:val="28"/>
          <w:szCs w:val="28"/>
          <w:lang w:val="en-US"/>
        </w:rPr>
        <w:t>disorders of kidney</w:t>
      </w:r>
      <w:r w:rsidRPr="00B06F4E">
        <w:rPr>
          <w:rFonts w:ascii="Times New Roman" w:hAnsi="Times New Roman" w:cs="Times New Roman"/>
          <w:sz w:val="28"/>
          <w:szCs w:val="28"/>
          <w:lang w:val="en-US"/>
        </w:rPr>
        <w:t>. It is advisable to prescribe the bigger doses of organ pr</w:t>
      </w:r>
      <w:r>
        <w:rPr>
          <w:rFonts w:ascii="Times New Roman" w:hAnsi="Times New Roman" w:cs="Times New Roman"/>
          <w:sz w:val="28"/>
          <w:szCs w:val="28"/>
          <w:lang w:val="en-US"/>
        </w:rPr>
        <w:t xml:space="preserve">otective </w:t>
      </w:r>
      <w:r>
        <w:rPr>
          <w:rFonts w:ascii="Times New Roman" w:hAnsi="Times New Roman" w:cs="Times New Roman"/>
          <w:sz w:val="28"/>
          <w:szCs w:val="28"/>
          <w:lang w:val="en-US"/>
        </w:rPr>
        <w:lastRenderedPageBreak/>
        <w:t>medicines</w:t>
      </w:r>
      <w:r w:rsidRPr="00B06F4E">
        <w:rPr>
          <w:rFonts w:ascii="Times New Roman" w:hAnsi="Times New Roman" w:cs="Times New Roman"/>
          <w:sz w:val="28"/>
          <w:szCs w:val="28"/>
          <w:lang w:val="en-US"/>
        </w:rPr>
        <w:t xml:space="preserve"> for patients with biggest levels of </w:t>
      </w:r>
      <w:r>
        <w:rPr>
          <w:rFonts w:ascii="Times New Roman" w:hAnsi="Times New Roman" w:cs="Times New Roman"/>
          <w:sz w:val="28"/>
          <w:szCs w:val="28"/>
          <w:lang w:val="en-US"/>
        </w:rPr>
        <w:t>endothelin</w:t>
      </w:r>
      <w:r w:rsidRPr="00B06F4E">
        <w:rPr>
          <w:rFonts w:ascii="Times New Roman" w:hAnsi="Times New Roman" w:cs="Times New Roman"/>
          <w:sz w:val="28"/>
          <w:szCs w:val="28"/>
          <w:lang w:val="en-US"/>
        </w:rPr>
        <w:t>-1.</w:t>
      </w:r>
      <w:r w:rsidR="000C3F6B">
        <w:rPr>
          <w:lang w:val="en-US"/>
        </w:rPr>
        <w:t xml:space="preserve"> </w:t>
      </w:r>
      <w:r w:rsidR="00BA0326">
        <w:rPr>
          <w:rFonts w:ascii="Times New Roman" w:hAnsi="Times New Roman" w:cs="Times New Roman"/>
          <w:sz w:val="28"/>
          <w:szCs w:val="28"/>
          <w:lang w:val="en-US"/>
        </w:rPr>
        <w:t xml:space="preserve">A higher level of </w:t>
      </w:r>
      <w:r w:rsidR="000C3E10" w:rsidRPr="004632A5">
        <w:rPr>
          <w:rFonts w:ascii="Times New Roman" w:hAnsi="Times New Roman" w:cs="Times New Roman"/>
          <w:sz w:val="28"/>
          <w:szCs w:val="28"/>
          <w:lang w:val="uk-UA"/>
        </w:rPr>
        <w:t>HbA1с</w:t>
      </w:r>
      <w:r w:rsidR="000C3E10" w:rsidRPr="00BA0326">
        <w:rPr>
          <w:rFonts w:ascii="Times New Roman" w:hAnsi="Times New Roman" w:cs="Times New Roman"/>
          <w:sz w:val="28"/>
          <w:szCs w:val="28"/>
          <w:lang w:val="en-US"/>
        </w:rPr>
        <w:t xml:space="preserve"> </w:t>
      </w:r>
      <w:r w:rsidR="00BA0326" w:rsidRPr="00BA0326">
        <w:rPr>
          <w:rFonts w:ascii="Times New Roman" w:hAnsi="Times New Roman" w:cs="Times New Roman"/>
          <w:sz w:val="28"/>
          <w:szCs w:val="28"/>
          <w:lang w:val="en-US"/>
        </w:rPr>
        <w:t>corresponds to a higher level of endothelin-1</w:t>
      </w:r>
      <w:r w:rsidR="00BA0326">
        <w:rPr>
          <w:rFonts w:ascii="Times New Roman" w:hAnsi="Times New Roman" w:cs="Times New Roman"/>
          <w:sz w:val="28"/>
          <w:szCs w:val="28"/>
          <w:lang w:val="en-US"/>
        </w:rPr>
        <w:t>, which is the confirm</w:t>
      </w:r>
      <w:r w:rsidR="00016193">
        <w:rPr>
          <w:rFonts w:ascii="Times New Roman" w:hAnsi="Times New Roman" w:cs="Times New Roman"/>
          <w:sz w:val="28"/>
          <w:szCs w:val="28"/>
          <w:lang w:val="en-US"/>
        </w:rPr>
        <w:t>ation of endothelial dysorders</w:t>
      </w:r>
      <w:r w:rsidR="004458BE">
        <w:rPr>
          <w:rFonts w:ascii="Times New Roman" w:hAnsi="Times New Roman" w:cs="Times New Roman"/>
          <w:sz w:val="28"/>
          <w:szCs w:val="28"/>
          <w:lang w:val="en-US"/>
        </w:rPr>
        <w:t xml:space="preserve"> according to the decreased compensation of type 2 DM. </w:t>
      </w:r>
      <w:r w:rsidR="004458BE" w:rsidRPr="004458BE">
        <w:rPr>
          <w:rFonts w:ascii="Times New Roman" w:hAnsi="Times New Roman" w:cs="Times New Roman"/>
          <w:sz w:val="28"/>
          <w:szCs w:val="28"/>
          <w:lang w:val="en-US"/>
        </w:rPr>
        <w:t xml:space="preserve">The </w:t>
      </w:r>
      <w:r w:rsidR="00BA0326">
        <w:rPr>
          <w:rFonts w:ascii="Times New Roman" w:hAnsi="Times New Roman" w:cs="Times New Roman"/>
          <w:sz w:val="28"/>
          <w:szCs w:val="28"/>
          <w:lang w:val="en-US"/>
        </w:rPr>
        <w:t xml:space="preserve">relationship </w:t>
      </w:r>
      <w:r w:rsidR="004458BE" w:rsidRPr="004458BE">
        <w:rPr>
          <w:rFonts w:ascii="Times New Roman" w:hAnsi="Times New Roman" w:cs="Times New Roman"/>
          <w:sz w:val="28"/>
          <w:szCs w:val="28"/>
          <w:lang w:val="en-US"/>
        </w:rPr>
        <w:t xml:space="preserve">between the level of </w:t>
      </w:r>
      <w:r w:rsidR="00BA0326">
        <w:rPr>
          <w:rFonts w:ascii="Times New Roman" w:hAnsi="Times New Roman" w:cs="Times New Roman"/>
          <w:sz w:val="28"/>
          <w:szCs w:val="28"/>
          <w:lang w:val="en-US"/>
        </w:rPr>
        <w:t>soluble vascular cell adhesion molecule type 1</w:t>
      </w:r>
      <w:r w:rsidR="004458BE">
        <w:rPr>
          <w:rFonts w:ascii="Times New Roman" w:hAnsi="Times New Roman" w:cs="Times New Roman"/>
          <w:sz w:val="28"/>
          <w:szCs w:val="28"/>
          <w:lang w:val="en-US"/>
        </w:rPr>
        <w:t xml:space="preserve"> and albuminuria is connected</w:t>
      </w:r>
      <w:r w:rsidR="00B06F4E" w:rsidRPr="004458BE">
        <w:rPr>
          <w:rFonts w:ascii="Times New Roman" w:hAnsi="Times New Roman" w:cs="Times New Roman"/>
          <w:sz w:val="28"/>
          <w:szCs w:val="28"/>
          <w:lang w:val="en-US"/>
        </w:rPr>
        <w:t xml:space="preserve"> </w:t>
      </w:r>
      <w:r w:rsidR="00BA0326">
        <w:rPr>
          <w:rFonts w:ascii="Times New Roman" w:hAnsi="Times New Roman" w:cs="Times New Roman"/>
          <w:sz w:val="28"/>
          <w:szCs w:val="28"/>
          <w:lang w:val="en-US"/>
        </w:rPr>
        <w:t>with sig</w:t>
      </w:r>
      <w:r w:rsidR="001C4B90">
        <w:rPr>
          <w:rFonts w:ascii="Times New Roman" w:hAnsi="Times New Roman" w:cs="Times New Roman"/>
          <w:sz w:val="28"/>
          <w:szCs w:val="28"/>
          <w:lang w:val="en-US"/>
        </w:rPr>
        <w:t xml:space="preserve">nificant role of endothelial </w:t>
      </w:r>
      <w:r w:rsidR="00BA0326">
        <w:rPr>
          <w:rFonts w:ascii="Times New Roman" w:hAnsi="Times New Roman" w:cs="Times New Roman"/>
          <w:sz w:val="28"/>
          <w:szCs w:val="28"/>
          <w:lang w:val="en-US"/>
        </w:rPr>
        <w:t>function</w:t>
      </w:r>
      <w:r w:rsidR="001C4B90">
        <w:rPr>
          <w:rFonts w:ascii="Times New Roman" w:hAnsi="Times New Roman" w:cs="Times New Roman"/>
          <w:sz w:val="28"/>
          <w:szCs w:val="28"/>
          <w:lang w:val="en-US"/>
        </w:rPr>
        <w:t xml:space="preserve"> disorders</w:t>
      </w:r>
      <w:r w:rsidR="004458BE">
        <w:rPr>
          <w:rFonts w:ascii="Times New Roman" w:hAnsi="Times New Roman" w:cs="Times New Roman"/>
          <w:sz w:val="28"/>
          <w:szCs w:val="28"/>
          <w:lang w:val="en-US"/>
        </w:rPr>
        <w:t>,</w:t>
      </w:r>
      <w:r w:rsidR="00BA0326">
        <w:rPr>
          <w:rFonts w:ascii="Times New Roman" w:hAnsi="Times New Roman" w:cs="Times New Roman"/>
          <w:sz w:val="28"/>
          <w:szCs w:val="28"/>
          <w:lang w:val="en-US"/>
        </w:rPr>
        <w:t xml:space="preserve"> immune inflammation in nephropathy</w:t>
      </w:r>
      <w:r w:rsidR="004458BE">
        <w:rPr>
          <w:rFonts w:ascii="Times New Roman" w:hAnsi="Times New Roman" w:cs="Times New Roman"/>
          <w:sz w:val="28"/>
          <w:szCs w:val="28"/>
          <w:lang w:val="en-US"/>
        </w:rPr>
        <w:t xml:space="preserve"> progress.</w:t>
      </w:r>
      <w:r w:rsidR="000C3F6B">
        <w:rPr>
          <w:rFonts w:ascii="Times New Roman" w:hAnsi="Times New Roman" w:cs="Times New Roman"/>
          <w:sz w:val="28"/>
          <w:szCs w:val="28"/>
          <w:lang w:val="en-US"/>
        </w:rPr>
        <w:t xml:space="preserve"> </w:t>
      </w:r>
      <w:r w:rsidR="00F91087">
        <w:rPr>
          <w:rFonts w:ascii="Times New Roman" w:hAnsi="Times New Roman" w:cs="Times New Roman"/>
          <w:sz w:val="28"/>
          <w:szCs w:val="28"/>
          <w:lang w:val="en-US"/>
        </w:rPr>
        <w:t>The</w:t>
      </w:r>
      <w:r w:rsidR="00BA0326">
        <w:rPr>
          <w:rFonts w:ascii="Times New Roman" w:hAnsi="Times New Roman" w:cs="Times New Roman"/>
          <w:sz w:val="28"/>
          <w:szCs w:val="28"/>
          <w:lang w:val="en-US"/>
        </w:rPr>
        <w:t xml:space="preserve"> positive connection</w:t>
      </w:r>
      <w:r w:rsidR="00562E43" w:rsidRPr="00744489">
        <w:rPr>
          <w:rFonts w:ascii="Times New Roman" w:hAnsi="Times New Roman" w:cs="Times New Roman"/>
          <w:sz w:val="28"/>
          <w:szCs w:val="28"/>
          <w:lang w:val="en-US"/>
        </w:rPr>
        <w:t xml:space="preserve"> between the level of uric acid and the ratio </w:t>
      </w:r>
      <w:r w:rsidR="009542F5">
        <w:rPr>
          <w:rFonts w:ascii="Times New Roman" w:hAnsi="Times New Roman" w:cs="Times New Roman"/>
          <w:sz w:val="28"/>
          <w:szCs w:val="28"/>
          <w:lang w:val="en-US"/>
        </w:rPr>
        <w:t>of albumin to creatinine</w:t>
      </w:r>
      <w:r w:rsidR="00744489">
        <w:rPr>
          <w:rFonts w:ascii="Times New Roman" w:hAnsi="Times New Roman" w:cs="Times New Roman"/>
          <w:sz w:val="28"/>
          <w:szCs w:val="28"/>
          <w:lang w:val="en-US"/>
        </w:rPr>
        <w:t>;</w:t>
      </w:r>
      <w:r w:rsidR="00DD3192" w:rsidRPr="00744489">
        <w:rPr>
          <w:rFonts w:ascii="Times New Roman" w:hAnsi="Times New Roman" w:cs="Times New Roman"/>
          <w:sz w:val="28"/>
          <w:szCs w:val="28"/>
          <w:lang w:val="en-US"/>
        </w:rPr>
        <w:t xml:space="preserve"> the</w:t>
      </w:r>
      <w:r w:rsidR="00BA0326">
        <w:rPr>
          <w:rFonts w:ascii="Times New Roman" w:hAnsi="Times New Roman" w:cs="Times New Roman"/>
          <w:sz w:val="28"/>
          <w:szCs w:val="28"/>
          <w:lang w:val="en-US"/>
        </w:rPr>
        <w:t xml:space="preserve"> negative connection</w:t>
      </w:r>
      <w:r w:rsidR="00562E43" w:rsidRPr="00744489">
        <w:rPr>
          <w:rFonts w:ascii="Times New Roman" w:hAnsi="Times New Roman" w:cs="Times New Roman"/>
          <w:sz w:val="28"/>
          <w:szCs w:val="28"/>
          <w:lang w:val="en-US"/>
        </w:rPr>
        <w:t xml:space="preserve"> between the lev</w:t>
      </w:r>
      <w:r w:rsidR="001940F5" w:rsidRPr="00744489">
        <w:rPr>
          <w:rFonts w:ascii="Times New Roman" w:hAnsi="Times New Roman" w:cs="Times New Roman"/>
          <w:sz w:val="28"/>
          <w:szCs w:val="28"/>
          <w:lang w:val="en-US"/>
        </w:rPr>
        <w:t>el</w:t>
      </w:r>
      <w:r w:rsidR="00BA0326">
        <w:rPr>
          <w:rFonts w:ascii="Times New Roman" w:hAnsi="Times New Roman" w:cs="Times New Roman"/>
          <w:sz w:val="28"/>
          <w:szCs w:val="28"/>
          <w:lang w:val="en-US"/>
        </w:rPr>
        <w:t xml:space="preserve"> of uric acid and glomerular filtration rate</w:t>
      </w:r>
      <w:r w:rsidR="001A5670">
        <w:rPr>
          <w:rFonts w:ascii="Times New Roman" w:hAnsi="Times New Roman" w:cs="Times New Roman"/>
          <w:sz w:val="28"/>
          <w:szCs w:val="28"/>
          <w:lang w:val="en-US"/>
        </w:rPr>
        <w:t xml:space="preserve">; presence of </w:t>
      </w:r>
      <w:r w:rsidR="00F6717B">
        <w:rPr>
          <w:rFonts w:ascii="Times New Roman" w:hAnsi="Times New Roman" w:cs="Times New Roman"/>
          <w:sz w:val="28"/>
          <w:szCs w:val="28"/>
          <w:lang w:val="en-US"/>
        </w:rPr>
        <w:t>hyper</w:t>
      </w:r>
      <w:r w:rsidR="001A5670">
        <w:rPr>
          <w:rFonts w:ascii="Times New Roman" w:hAnsi="Times New Roman" w:cs="Times New Roman"/>
          <w:sz w:val="28"/>
          <w:szCs w:val="28"/>
          <w:lang w:val="en-US"/>
        </w:rPr>
        <w:t>uricemia in 26</w:t>
      </w:r>
      <w:r w:rsidR="00922574">
        <w:rPr>
          <w:rFonts w:ascii="Times New Roman" w:hAnsi="Times New Roman" w:cs="Times New Roman"/>
          <w:sz w:val="28"/>
          <w:szCs w:val="28"/>
          <w:lang w:val="en-US"/>
        </w:rPr>
        <w:t xml:space="preserve"> </w:t>
      </w:r>
      <w:r w:rsidR="001A5670">
        <w:rPr>
          <w:rFonts w:ascii="Times New Roman" w:hAnsi="Times New Roman" w:cs="Times New Roman"/>
          <w:sz w:val="28"/>
          <w:szCs w:val="28"/>
          <w:lang w:val="en-US"/>
        </w:rPr>
        <w:t xml:space="preserve">% patients with </w:t>
      </w:r>
      <w:r w:rsidR="00BA0326">
        <w:rPr>
          <w:rFonts w:ascii="Times New Roman" w:hAnsi="Times New Roman" w:cs="Times New Roman"/>
          <w:sz w:val="28"/>
          <w:szCs w:val="28"/>
          <w:lang w:val="en-US"/>
        </w:rPr>
        <w:t xml:space="preserve">AH and </w:t>
      </w:r>
      <w:r w:rsidR="001A5670">
        <w:rPr>
          <w:rFonts w:ascii="Times New Roman" w:hAnsi="Times New Roman" w:cs="Times New Roman"/>
          <w:sz w:val="28"/>
          <w:szCs w:val="28"/>
          <w:lang w:val="en-US"/>
        </w:rPr>
        <w:t xml:space="preserve">type 2 DM </w:t>
      </w:r>
      <w:r w:rsidR="001A726A">
        <w:rPr>
          <w:rFonts w:ascii="Times New Roman" w:hAnsi="Times New Roman" w:cs="Times New Roman"/>
          <w:sz w:val="28"/>
          <w:szCs w:val="28"/>
          <w:lang w:val="en-US"/>
        </w:rPr>
        <w:t>confirmed the</w:t>
      </w:r>
      <w:r w:rsidR="001A5670">
        <w:rPr>
          <w:rFonts w:ascii="Times New Roman" w:hAnsi="Times New Roman" w:cs="Times New Roman"/>
          <w:sz w:val="28"/>
          <w:szCs w:val="28"/>
          <w:lang w:val="en-US"/>
        </w:rPr>
        <w:t xml:space="preserve"> impor</w:t>
      </w:r>
      <w:r w:rsidR="001A726A">
        <w:rPr>
          <w:rFonts w:ascii="Times New Roman" w:hAnsi="Times New Roman" w:cs="Times New Roman"/>
          <w:sz w:val="28"/>
          <w:szCs w:val="28"/>
          <w:lang w:val="en-US"/>
        </w:rPr>
        <w:t>tant role of hyperuricemia in</w:t>
      </w:r>
      <w:r w:rsidR="00007445">
        <w:rPr>
          <w:rFonts w:ascii="Times New Roman" w:hAnsi="Times New Roman" w:cs="Times New Roman"/>
          <w:sz w:val="28"/>
          <w:szCs w:val="28"/>
          <w:lang w:val="en-US"/>
        </w:rPr>
        <w:t xml:space="preserve"> kidney disorders</w:t>
      </w:r>
      <w:r w:rsidR="001A5670">
        <w:rPr>
          <w:rFonts w:ascii="Times New Roman" w:hAnsi="Times New Roman" w:cs="Times New Roman"/>
          <w:sz w:val="28"/>
          <w:szCs w:val="28"/>
          <w:lang w:val="en-US"/>
        </w:rPr>
        <w:t>.</w:t>
      </w:r>
    </w:p>
    <w:p w:rsidR="009C3A98" w:rsidRPr="004632A5" w:rsidRDefault="00866F92" w:rsidP="002A63D8">
      <w:pPr>
        <w:spacing w:after="0" w:line="360" w:lineRule="auto"/>
        <w:ind w:firstLine="360"/>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       </w:t>
      </w:r>
      <w:r w:rsidR="009C3A98" w:rsidRPr="00D87597">
        <w:rPr>
          <w:rFonts w:ascii="Times New Roman" w:hAnsi="Times New Roman" w:cs="Times New Roman"/>
          <w:sz w:val="28"/>
          <w:szCs w:val="28"/>
          <w:lang w:val="en-US"/>
        </w:rPr>
        <w:t xml:space="preserve">The </w:t>
      </w:r>
      <w:r w:rsidR="001A726A">
        <w:rPr>
          <w:rFonts w:ascii="Times New Roman" w:hAnsi="Times New Roman" w:cs="Times New Roman"/>
          <w:sz w:val="28"/>
          <w:szCs w:val="28"/>
          <w:lang w:val="en-US"/>
        </w:rPr>
        <w:t>left ventricular</w:t>
      </w:r>
      <w:r w:rsidR="003F0C71">
        <w:rPr>
          <w:rFonts w:ascii="Times New Roman" w:hAnsi="Times New Roman" w:cs="Times New Roman"/>
          <w:sz w:val="28"/>
          <w:szCs w:val="28"/>
          <w:lang w:val="en-US"/>
        </w:rPr>
        <w:t xml:space="preserve"> (LV)</w:t>
      </w:r>
      <w:r w:rsidR="001A726A">
        <w:rPr>
          <w:rFonts w:ascii="Times New Roman" w:hAnsi="Times New Roman" w:cs="Times New Roman"/>
          <w:sz w:val="28"/>
          <w:szCs w:val="28"/>
          <w:lang w:val="en-US"/>
        </w:rPr>
        <w:t xml:space="preserve"> mass</w:t>
      </w:r>
      <w:r w:rsidR="009C3A98" w:rsidRPr="001A726A">
        <w:rPr>
          <w:rFonts w:ascii="Times New Roman" w:hAnsi="Times New Roman" w:cs="Times New Roman"/>
          <w:sz w:val="28"/>
          <w:szCs w:val="28"/>
          <w:lang w:val="en-US"/>
        </w:rPr>
        <w:t xml:space="preserve"> </w:t>
      </w:r>
      <w:r w:rsidR="003F0C71" w:rsidRPr="003F0C71">
        <w:rPr>
          <w:rFonts w:ascii="Times New Roman" w:hAnsi="Times New Roman" w:cs="Times New Roman"/>
          <w:sz w:val="28"/>
          <w:szCs w:val="28"/>
          <w:lang w:val="en-US"/>
        </w:rPr>
        <w:t xml:space="preserve">index </w:t>
      </w:r>
      <w:r w:rsidR="009C3A98" w:rsidRPr="001A726A">
        <w:rPr>
          <w:rFonts w:ascii="Times New Roman" w:hAnsi="Times New Roman" w:cs="Times New Roman"/>
          <w:sz w:val="28"/>
          <w:szCs w:val="28"/>
          <w:lang w:val="en-US"/>
        </w:rPr>
        <w:t>was significantly</w:t>
      </w:r>
      <w:r w:rsidR="001A726A">
        <w:rPr>
          <w:rFonts w:ascii="Times New Roman" w:hAnsi="Times New Roman" w:cs="Times New Roman"/>
          <w:sz w:val="28"/>
          <w:szCs w:val="28"/>
          <w:lang w:val="en-US"/>
        </w:rPr>
        <w:t xml:space="preserve"> higher in patients from the I g</w:t>
      </w:r>
      <w:r w:rsidR="009C3A98" w:rsidRPr="00D87597">
        <w:rPr>
          <w:rFonts w:ascii="Times New Roman" w:hAnsi="Times New Roman" w:cs="Times New Roman"/>
          <w:sz w:val="28"/>
          <w:szCs w:val="28"/>
          <w:lang w:val="en-US"/>
        </w:rPr>
        <w:t>roup compared with p</w:t>
      </w:r>
      <w:r w:rsidR="000C3E10">
        <w:rPr>
          <w:rFonts w:ascii="Times New Roman" w:hAnsi="Times New Roman" w:cs="Times New Roman"/>
          <w:sz w:val="28"/>
          <w:szCs w:val="28"/>
          <w:lang w:val="en-US"/>
        </w:rPr>
        <w:t>ersons from the II g</w:t>
      </w:r>
      <w:r w:rsidR="00D87597" w:rsidRPr="00D87597">
        <w:rPr>
          <w:rFonts w:ascii="Times New Roman" w:hAnsi="Times New Roman" w:cs="Times New Roman"/>
          <w:sz w:val="28"/>
          <w:szCs w:val="28"/>
          <w:lang w:val="en-US"/>
        </w:rPr>
        <w:t>roup (p = 0,0017</w:t>
      </w:r>
      <w:r w:rsidR="001A726A">
        <w:rPr>
          <w:rFonts w:ascii="Times New Roman" w:hAnsi="Times New Roman" w:cs="Times New Roman"/>
          <w:sz w:val="28"/>
          <w:szCs w:val="28"/>
          <w:lang w:val="en-US"/>
        </w:rPr>
        <w:t xml:space="preserve">), which indicated the more pronounced </w:t>
      </w:r>
      <w:r w:rsidR="003F0C71">
        <w:rPr>
          <w:rFonts w:ascii="Times New Roman" w:hAnsi="Times New Roman" w:cs="Times New Roman"/>
          <w:sz w:val="28"/>
          <w:szCs w:val="28"/>
          <w:lang w:val="en-US"/>
        </w:rPr>
        <w:t xml:space="preserve">LV </w:t>
      </w:r>
      <w:r w:rsidR="009C3A98" w:rsidRPr="00D87597">
        <w:rPr>
          <w:rFonts w:ascii="Times New Roman" w:hAnsi="Times New Roman" w:cs="Times New Roman"/>
          <w:sz w:val="28"/>
          <w:szCs w:val="28"/>
          <w:lang w:val="en-US"/>
        </w:rPr>
        <w:t xml:space="preserve">myocardial hypertrophy in patients with </w:t>
      </w:r>
      <w:r w:rsidR="001A726A">
        <w:rPr>
          <w:rFonts w:ascii="Times New Roman" w:hAnsi="Times New Roman" w:cs="Times New Roman"/>
          <w:sz w:val="28"/>
          <w:szCs w:val="28"/>
          <w:lang w:val="en-US"/>
        </w:rPr>
        <w:t xml:space="preserve">AH and </w:t>
      </w:r>
      <w:r w:rsidR="009C3A98" w:rsidRPr="00D87597">
        <w:rPr>
          <w:rFonts w:ascii="Times New Roman" w:hAnsi="Times New Roman" w:cs="Times New Roman"/>
          <w:sz w:val="28"/>
          <w:szCs w:val="28"/>
          <w:lang w:val="en-US"/>
        </w:rPr>
        <w:t xml:space="preserve">concomitant </w:t>
      </w:r>
      <w:r w:rsidR="001A726A">
        <w:rPr>
          <w:rFonts w:ascii="Times New Roman" w:hAnsi="Times New Roman" w:cs="Times New Roman"/>
          <w:sz w:val="28"/>
          <w:szCs w:val="28"/>
          <w:lang w:val="en-US"/>
        </w:rPr>
        <w:t>type 2 DM</w:t>
      </w:r>
      <w:r w:rsidR="009C3A98" w:rsidRPr="00D87597">
        <w:rPr>
          <w:rFonts w:ascii="Times New Roman" w:hAnsi="Times New Roman" w:cs="Times New Roman"/>
          <w:sz w:val="28"/>
          <w:szCs w:val="28"/>
          <w:lang w:val="en-US"/>
        </w:rPr>
        <w:t>.</w:t>
      </w:r>
      <w:r w:rsidR="001940F5" w:rsidRPr="00D87597">
        <w:rPr>
          <w:rFonts w:ascii="Times New Roman" w:hAnsi="Times New Roman" w:cs="Times New Roman"/>
          <w:sz w:val="28"/>
          <w:szCs w:val="28"/>
          <w:lang w:val="uk-UA"/>
        </w:rPr>
        <w:t xml:space="preserve"> </w:t>
      </w:r>
      <w:r w:rsidR="002B7FCF" w:rsidRPr="00D87597">
        <w:rPr>
          <w:rFonts w:ascii="Times New Roman" w:hAnsi="Times New Roman" w:cs="Times New Roman"/>
          <w:sz w:val="28"/>
          <w:szCs w:val="28"/>
          <w:lang w:val="uk-UA"/>
        </w:rPr>
        <w:t xml:space="preserve">In group I </w:t>
      </w:r>
      <w:r w:rsidR="001A726A">
        <w:rPr>
          <w:rFonts w:ascii="Times New Roman" w:hAnsi="Times New Roman" w:cs="Times New Roman"/>
          <w:sz w:val="28"/>
          <w:szCs w:val="28"/>
          <w:lang w:val="uk-UA"/>
        </w:rPr>
        <w:t>the level</w:t>
      </w:r>
      <w:r w:rsidR="001A726A">
        <w:rPr>
          <w:rFonts w:ascii="Times New Roman" w:hAnsi="Times New Roman" w:cs="Times New Roman"/>
          <w:sz w:val="28"/>
          <w:szCs w:val="28"/>
          <w:lang w:val="en-US"/>
        </w:rPr>
        <w:t>s</w:t>
      </w:r>
      <w:r w:rsidR="001A726A">
        <w:rPr>
          <w:rFonts w:ascii="Times New Roman" w:hAnsi="Times New Roman" w:cs="Times New Roman"/>
          <w:sz w:val="28"/>
          <w:szCs w:val="28"/>
          <w:lang w:val="uk-UA"/>
        </w:rPr>
        <w:t xml:space="preserve"> of </w:t>
      </w:r>
      <w:r w:rsidR="001A726A">
        <w:rPr>
          <w:rFonts w:ascii="Times New Roman" w:hAnsi="Times New Roman" w:cs="Times New Roman"/>
          <w:sz w:val="28"/>
          <w:szCs w:val="28"/>
          <w:lang w:val="en-US"/>
        </w:rPr>
        <w:t>endothelin</w:t>
      </w:r>
      <w:r w:rsidR="001A726A">
        <w:rPr>
          <w:rFonts w:ascii="Times New Roman" w:hAnsi="Times New Roman" w:cs="Times New Roman"/>
          <w:sz w:val="28"/>
          <w:szCs w:val="28"/>
          <w:lang w:val="uk-UA"/>
        </w:rPr>
        <w:t xml:space="preserve">-1 </w:t>
      </w:r>
      <w:r w:rsidR="001A726A">
        <w:rPr>
          <w:rFonts w:ascii="Times New Roman" w:hAnsi="Times New Roman" w:cs="Times New Roman"/>
          <w:sz w:val="28"/>
          <w:szCs w:val="28"/>
          <w:lang w:val="en-US"/>
        </w:rPr>
        <w:t>wa</w:t>
      </w:r>
      <w:r w:rsidR="001940F5" w:rsidRPr="00D87597">
        <w:rPr>
          <w:rFonts w:ascii="Times New Roman" w:hAnsi="Times New Roman" w:cs="Times New Roman"/>
          <w:sz w:val="28"/>
          <w:szCs w:val="28"/>
          <w:lang w:val="uk-UA"/>
        </w:rPr>
        <w:t xml:space="preserve">s significantly lower </w:t>
      </w:r>
      <w:r w:rsidR="001A726A">
        <w:rPr>
          <w:rFonts w:ascii="Times New Roman" w:hAnsi="Times New Roman" w:cs="Times New Roman"/>
          <w:sz w:val="28"/>
          <w:szCs w:val="28"/>
          <w:lang w:val="en-US"/>
        </w:rPr>
        <w:t>for</w:t>
      </w:r>
      <w:r w:rsidR="001940F5" w:rsidRPr="00D87597">
        <w:rPr>
          <w:rFonts w:ascii="Times New Roman" w:hAnsi="Times New Roman" w:cs="Times New Roman"/>
          <w:sz w:val="28"/>
          <w:szCs w:val="28"/>
          <w:lang w:val="en-US"/>
        </w:rPr>
        <w:t xml:space="preserve"> I</w:t>
      </w:r>
      <w:r w:rsidR="001A726A">
        <w:rPr>
          <w:rFonts w:ascii="Times New Roman" w:hAnsi="Times New Roman" w:cs="Times New Roman"/>
          <w:sz w:val="28"/>
          <w:szCs w:val="28"/>
          <w:lang w:val="en-US"/>
        </w:rPr>
        <w:t>I</w:t>
      </w:r>
      <w:r w:rsidR="001940F5" w:rsidRPr="00D87597">
        <w:rPr>
          <w:rFonts w:ascii="Times New Roman" w:hAnsi="Times New Roman" w:cs="Times New Roman"/>
          <w:sz w:val="28"/>
          <w:szCs w:val="28"/>
          <w:lang w:val="en-US"/>
        </w:rPr>
        <w:t xml:space="preserve"> functional class of </w:t>
      </w:r>
      <w:r w:rsidR="001A726A">
        <w:rPr>
          <w:rFonts w:ascii="Times New Roman" w:hAnsi="Times New Roman" w:cs="Times New Roman"/>
          <w:sz w:val="28"/>
          <w:szCs w:val="28"/>
          <w:lang w:val="en-US"/>
        </w:rPr>
        <w:t>heart failure compared with</w:t>
      </w:r>
      <w:r w:rsidR="001940F5" w:rsidRPr="00D87597">
        <w:rPr>
          <w:rFonts w:ascii="Times New Roman" w:hAnsi="Times New Roman" w:cs="Times New Roman"/>
          <w:sz w:val="28"/>
          <w:szCs w:val="28"/>
          <w:lang w:val="en-US"/>
        </w:rPr>
        <w:t xml:space="preserve"> </w:t>
      </w:r>
      <w:r w:rsidR="001940F5" w:rsidRPr="00D87597">
        <w:rPr>
          <w:rFonts w:ascii="Times New Roman" w:hAnsi="Times New Roman" w:cs="Times New Roman"/>
          <w:sz w:val="28"/>
          <w:szCs w:val="28"/>
          <w:lang w:val="uk-UA"/>
        </w:rPr>
        <w:t xml:space="preserve">III functional class </w:t>
      </w:r>
      <w:r w:rsidR="001A726A">
        <w:rPr>
          <w:rFonts w:ascii="Times New Roman" w:hAnsi="Times New Roman" w:cs="Times New Roman"/>
          <w:sz w:val="28"/>
          <w:szCs w:val="28"/>
          <w:lang w:val="en-US"/>
        </w:rPr>
        <w:t xml:space="preserve">      </w:t>
      </w:r>
      <w:r w:rsidR="001940F5" w:rsidRPr="00D87597">
        <w:rPr>
          <w:rFonts w:ascii="Times New Roman" w:hAnsi="Times New Roman" w:cs="Times New Roman"/>
          <w:sz w:val="28"/>
          <w:szCs w:val="28"/>
          <w:lang w:val="uk-UA"/>
        </w:rPr>
        <w:t>(p = 0</w:t>
      </w:r>
      <w:r w:rsidR="001940F5" w:rsidRPr="00D87597">
        <w:rPr>
          <w:rFonts w:ascii="Times New Roman" w:hAnsi="Times New Roman" w:cs="Times New Roman"/>
          <w:sz w:val="28"/>
          <w:szCs w:val="28"/>
          <w:lang w:val="en-US"/>
        </w:rPr>
        <w:t>,</w:t>
      </w:r>
      <w:r w:rsidR="001940F5" w:rsidRPr="00D87597">
        <w:rPr>
          <w:rFonts w:ascii="Times New Roman" w:hAnsi="Times New Roman" w:cs="Times New Roman"/>
          <w:sz w:val="28"/>
          <w:szCs w:val="28"/>
          <w:lang w:val="uk-UA"/>
        </w:rPr>
        <w:t>02).</w:t>
      </w:r>
    </w:p>
    <w:p w:rsidR="00991D5F" w:rsidRPr="000C3F6B" w:rsidRDefault="00866F92" w:rsidP="000C3F6B">
      <w:pPr>
        <w:spacing w:after="0" w:line="360" w:lineRule="auto"/>
        <w:ind w:firstLine="360"/>
        <w:jc w:val="both"/>
        <w:rPr>
          <w:lang w:val="en-US"/>
        </w:rPr>
      </w:pPr>
      <w:r>
        <w:rPr>
          <w:rFonts w:ascii="Times New Roman" w:hAnsi="Times New Roman" w:cs="Times New Roman"/>
          <w:sz w:val="28"/>
          <w:szCs w:val="28"/>
          <w:lang w:val="uk-UA"/>
        </w:rPr>
        <w:t xml:space="preserve">       </w:t>
      </w:r>
      <w:r w:rsidR="00991D5F" w:rsidRPr="00D87597">
        <w:rPr>
          <w:rFonts w:ascii="Times New Roman" w:hAnsi="Times New Roman" w:cs="Times New Roman"/>
          <w:sz w:val="28"/>
          <w:szCs w:val="28"/>
          <w:lang w:val="en-US"/>
        </w:rPr>
        <w:t xml:space="preserve">The classic characteristic of </w:t>
      </w:r>
      <w:r w:rsidR="001A726A">
        <w:rPr>
          <w:rFonts w:ascii="Times New Roman" w:hAnsi="Times New Roman" w:cs="Times New Roman"/>
          <w:sz w:val="28"/>
          <w:szCs w:val="28"/>
          <w:lang w:val="en-US"/>
        </w:rPr>
        <w:t>heart failure</w:t>
      </w:r>
      <w:r w:rsidR="00A715CC" w:rsidRPr="00D87597">
        <w:rPr>
          <w:rFonts w:ascii="Times New Roman" w:hAnsi="Times New Roman" w:cs="Times New Roman"/>
          <w:sz w:val="28"/>
          <w:szCs w:val="28"/>
          <w:lang w:val="en-US"/>
        </w:rPr>
        <w:t xml:space="preserve"> f</w:t>
      </w:r>
      <w:r w:rsidR="00A715CC" w:rsidRPr="00D87597">
        <w:rPr>
          <w:rFonts w:ascii="Times New Roman" w:hAnsi="Times New Roman" w:cs="Times New Roman"/>
          <w:sz w:val="28"/>
          <w:szCs w:val="28"/>
          <w:lang w:val="uk-UA"/>
        </w:rPr>
        <w:t xml:space="preserve">or patients with </w:t>
      </w:r>
      <w:r w:rsidR="001A726A">
        <w:rPr>
          <w:rFonts w:ascii="Times New Roman" w:hAnsi="Times New Roman" w:cs="Times New Roman"/>
          <w:sz w:val="28"/>
          <w:szCs w:val="28"/>
          <w:lang w:val="en-US"/>
        </w:rPr>
        <w:t xml:space="preserve">AH and </w:t>
      </w:r>
      <w:r w:rsidR="002854D8">
        <w:rPr>
          <w:rFonts w:ascii="Times New Roman" w:hAnsi="Times New Roman" w:cs="Times New Roman"/>
          <w:sz w:val="28"/>
          <w:szCs w:val="28"/>
          <w:lang w:val="en-US"/>
        </w:rPr>
        <w:t xml:space="preserve">         </w:t>
      </w:r>
      <w:r w:rsidR="00A715CC" w:rsidRPr="00D87597">
        <w:rPr>
          <w:rFonts w:ascii="Times New Roman" w:hAnsi="Times New Roman" w:cs="Times New Roman"/>
          <w:sz w:val="28"/>
          <w:szCs w:val="28"/>
          <w:lang w:val="uk-UA"/>
        </w:rPr>
        <w:t xml:space="preserve">type 2 </w:t>
      </w:r>
      <w:r w:rsidR="00A715CC" w:rsidRPr="00D87597">
        <w:rPr>
          <w:rFonts w:ascii="Times New Roman" w:hAnsi="Times New Roman" w:cs="Times New Roman"/>
          <w:sz w:val="28"/>
          <w:szCs w:val="28"/>
          <w:lang w:val="en-US"/>
        </w:rPr>
        <w:t>DM is</w:t>
      </w:r>
      <w:r w:rsidR="00991D5F" w:rsidRPr="00D87597">
        <w:rPr>
          <w:rFonts w:ascii="Times New Roman" w:hAnsi="Times New Roman" w:cs="Times New Roman"/>
          <w:sz w:val="28"/>
          <w:szCs w:val="28"/>
          <w:lang w:val="uk-UA"/>
        </w:rPr>
        <w:t xml:space="preserve"> diastolic dysfunction result</w:t>
      </w:r>
      <w:r w:rsidR="00074306" w:rsidRPr="00D87597">
        <w:rPr>
          <w:rFonts w:ascii="Times New Roman" w:hAnsi="Times New Roman" w:cs="Times New Roman"/>
          <w:sz w:val="28"/>
          <w:szCs w:val="28"/>
          <w:lang w:val="en-US"/>
        </w:rPr>
        <w:t>ed by</w:t>
      </w:r>
      <w:r w:rsidR="00074306" w:rsidRPr="00D87597">
        <w:rPr>
          <w:rFonts w:ascii="Times New Roman" w:hAnsi="Times New Roman" w:cs="Times New Roman"/>
          <w:sz w:val="28"/>
          <w:szCs w:val="28"/>
          <w:lang w:val="uk-UA"/>
        </w:rPr>
        <w:t xml:space="preserve"> increased rigidity of myocardium, </w:t>
      </w:r>
      <w:r w:rsidR="00074306" w:rsidRPr="00D87597">
        <w:rPr>
          <w:rFonts w:ascii="Times New Roman" w:hAnsi="Times New Roman" w:cs="Times New Roman"/>
          <w:sz w:val="28"/>
          <w:szCs w:val="28"/>
          <w:lang w:val="en-US"/>
        </w:rPr>
        <w:t xml:space="preserve">caused </w:t>
      </w:r>
      <w:r w:rsidR="00074306" w:rsidRPr="00D87597">
        <w:rPr>
          <w:rFonts w:ascii="Times New Roman" w:hAnsi="Times New Roman" w:cs="Times New Roman"/>
          <w:sz w:val="28"/>
          <w:szCs w:val="28"/>
          <w:lang w:val="uk-UA"/>
        </w:rPr>
        <w:t xml:space="preserve">by higher values of </w:t>
      </w:r>
      <w:r w:rsidR="003F0C71">
        <w:rPr>
          <w:rFonts w:ascii="Times New Roman" w:hAnsi="Times New Roman" w:cs="Times New Roman"/>
          <w:sz w:val="28"/>
          <w:szCs w:val="28"/>
          <w:lang w:val="en-US"/>
        </w:rPr>
        <w:t xml:space="preserve">LV </w:t>
      </w:r>
      <w:r w:rsidR="001A726A">
        <w:rPr>
          <w:rFonts w:ascii="Times New Roman" w:hAnsi="Times New Roman" w:cs="Times New Roman"/>
          <w:sz w:val="28"/>
          <w:szCs w:val="28"/>
          <w:lang w:val="en-US"/>
        </w:rPr>
        <w:t>mass</w:t>
      </w:r>
      <w:r w:rsidR="00F16008">
        <w:rPr>
          <w:rFonts w:ascii="Times New Roman" w:hAnsi="Times New Roman" w:cs="Times New Roman"/>
          <w:sz w:val="28"/>
          <w:szCs w:val="28"/>
          <w:lang w:val="en-US"/>
        </w:rPr>
        <w:t xml:space="preserve"> index</w:t>
      </w:r>
      <w:r w:rsidR="00922574">
        <w:rPr>
          <w:rFonts w:ascii="Times New Roman" w:hAnsi="Times New Roman" w:cs="Times New Roman"/>
          <w:sz w:val="28"/>
          <w:szCs w:val="28"/>
          <w:lang w:val="uk-UA"/>
        </w:rPr>
        <w:t>, less E/</w:t>
      </w:r>
      <w:r w:rsidR="009542F5">
        <w:rPr>
          <w:rFonts w:ascii="Times New Roman" w:hAnsi="Times New Roman" w:cs="Times New Roman"/>
          <w:sz w:val="28"/>
          <w:szCs w:val="28"/>
          <w:lang w:val="uk-UA"/>
        </w:rPr>
        <w:t>A</w:t>
      </w:r>
      <w:r w:rsidR="00074306" w:rsidRPr="00D87597">
        <w:rPr>
          <w:rFonts w:ascii="Times New Roman" w:hAnsi="Times New Roman" w:cs="Times New Roman"/>
          <w:sz w:val="28"/>
          <w:szCs w:val="28"/>
          <w:lang w:val="en-US"/>
        </w:rPr>
        <w:t xml:space="preserve"> </w:t>
      </w:r>
      <w:r w:rsidR="00991D5F" w:rsidRPr="00D87597">
        <w:rPr>
          <w:rFonts w:ascii="Times New Roman" w:hAnsi="Times New Roman" w:cs="Times New Roman"/>
          <w:sz w:val="28"/>
          <w:szCs w:val="28"/>
          <w:lang w:val="uk-UA"/>
        </w:rPr>
        <w:t>compared</w:t>
      </w:r>
      <w:r w:rsidR="00074306" w:rsidRPr="00D87597">
        <w:rPr>
          <w:rFonts w:ascii="Times New Roman" w:hAnsi="Times New Roman" w:cs="Times New Roman"/>
          <w:sz w:val="28"/>
          <w:szCs w:val="28"/>
          <w:lang w:val="uk-UA"/>
        </w:rPr>
        <w:t xml:space="preserve"> </w:t>
      </w:r>
      <w:r w:rsidR="00074306" w:rsidRPr="00D87597">
        <w:rPr>
          <w:rFonts w:ascii="Times New Roman" w:hAnsi="Times New Roman" w:cs="Times New Roman"/>
          <w:sz w:val="28"/>
          <w:szCs w:val="28"/>
          <w:lang w:val="en-US"/>
        </w:rPr>
        <w:t>with</w:t>
      </w:r>
      <w:r w:rsidR="00074306" w:rsidRPr="00D87597">
        <w:rPr>
          <w:rFonts w:ascii="Times New Roman" w:hAnsi="Times New Roman" w:cs="Times New Roman"/>
          <w:sz w:val="28"/>
          <w:szCs w:val="28"/>
          <w:lang w:val="uk-UA"/>
        </w:rPr>
        <w:t xml:space="preserve"> </w:t>
      </w:r>
      <w:r w:rsidR="00074306" w:rsidRPr="00D87597">
        <w:rPr>
          <w:rFonts w:ascii="Times New Roman" w:hAnsi="Times New Roman" w:cs="Times New Roman"/>
          <w:sz w:val="28"/>
          <w:szCs w:val="28"/>
          <w:lang w:val="en-US"/>
        </w:rPr>
        <w:t>only hypertensive persons</w:t>
      </w:r>
      <w:r w:rsidR="00074306" w:rsidRPr="00D87597">
        <w:rPr>
          <w:rFonts w:ascii="Times New Roman" w:hAnsi="Times New Roman" w:cs="Times New Roman"/>
          <w:sz w:val="28"/>
          <w:szCs w:val="28"/>
          <w:lang w:val="uk-UA"/>
        </w:rPr>
        <w:t xml:space="preserve"> (p &lt;</w:t>
      </w:r>
      <w:r w:rsidR="00074306" w:rsidRPr="00D87597">
        <w:rPr>
          <w:rFonts w:ascii="Times New Roman" w:hAnsi="Times New Roman" w:cs="Times New Roman"/>
          <w:sz w:val="28"/>
          <w:szCs w:val="28"/>
          <w:lang w:val="en-US"/>
        </w:rPr>
        <w:t xml:space="preserve"> </w:t>
      </w:r>
      <w:r w:rsidR="00074306" w:rsidRPr="00D87597">
        <w:rPr>
          <w:rFonts w:ascii="Times New Roman" w:hAnsi="Times New Roman" w:cs="Times New Roman"/>
          <w:sz w:val="28"/>
          <w:szCs w:val="28"/>
          <w:lang w:val="uk-UA"/>
        </w:rPr>
        <w:t>0,</w:t>
      </w:r>
      <w:r w:rsidR="00991D5F" w:rsidRPr="00D87597">
        <w:rPr>
          <w:rFonts w:ascii="Times New Roman" w:hAnsi="Times New Roman" w:cs="Times New Roman"/>
          <w:sz w:val="28"/>
          <w:szCs w:val="28"/>
          <w:lang w:val="uk-UA"/>
        </w:rPr>
        <w:t>05).</w:t>
      </w:r>
      <w:r w:rsidR="00681E21" w:rsidRPr="00D87597">
        <w:rPr>
          <w:lang w:val="en-US"/>
        </w:rPr>
        <w:t xml:space="preserve"> </w:t>
      </w:r>
      <w:r w:rsidR="00681E21" w:rsidRPr="002A63D8">
        <w:rPr>
          <w:rFonts w:ascii="Times New Roman" w:hAnsi="Times New Roman" w:cs="Times New Roman"/>
          <w:sz w:val="28"/>
          <w:szCs w:val="28"/>
          <w:lang w:val="uk-UA"/>
        </w:rPr>
        <w:t xml:space="preserve">The level of </w:t>
      </w:r>
      <w:r w:rsidR="00EB4B29">
        <w:rPr>
          <w:rFonts w:ascii="Times New Roman" w:hAnsi="Times New Roman" w:cs="Times New Roman"/>
          <w:sz w:val="28"/>
          <w:szCs w:val="28"/>
          <w:lang w:val="en-US"/>
        </w:rPr>
        <w:t>tumor necrosis factor</w:t>
      </w:r>
      <w:r w:rsidR="00681E21" w:rsidRPr="002A63D8">
        <w:rPr>
          <w:rFonts w:ascii="Times New Roman" w:hAnsi="Times New Roman" w:cs="Times New Roman"/>
          <w:sz w:val="28"/>
          <w:szCs w:val="28"/>
          <w:lang w:val="uk-UA"/>
        </w:rPr>
        <w:t>-α increased in p</w:t>
      </w:r>
      <w:r w:rsidR="002B7FCF" w:rsidRPr="002A63D8">
        <w:rPr>
          <w:rFonts w:ascii="Times New Roman" w:hAnsi="Times New Roman" w:cs="Times New Roman"/>
          <w:sz w:val="28"/>
          <w:szCs w:val="28"/>
          <w:lang w:val="uk-UA"/>
        </w:rPr>
        <w:t xml:space="preserve">roportion to the severity of </w:t>
      </w:r>
      <w:r w:rsidR="00EB4B29">
        <w:rPr>
          <w:rFonts w:ascii="Times New Roman" w:hAnsi="Times New Roman" w:cs="Times New Roman"/>
          <w:sz w:val="28"/>
          <w:szCs w:val="28"/>
          <w:lang w:val="en-US"/>
        </w:rPr>
        <w:t>chronic heart failure. It is the confirmation of important role of inflammation in heart failure</w:t>
      </w:r>
      <w:r w:rsidR="006C6549">
        <w:rPr>
          <w:rFonts w:ascii="Times New Roman" w:hAnsi="Times New Roman" w:cs="Times New Roman"/>
          <w:sz w:val="28"/>
          <w:szCs w:val="28"/>
          <w:lang w:val="en-US"/>
        </w:rPr>
        <w:t xml:space="preserve"> disorders</w:t>
      </w:r>
      <w:r w:rsidR="00EB4B29">
        <w:rPr>
          <w:rFonts w:ascii="Times New Roman" w:hAnsi="Times New Roman" w:cs="Times New Roman"/>
          <w:sz w:val="28"/>
          <w:szCs w:val="28"/>
          <w:lang w:val="en-US"/>
        </w:rPr>
        <w:t>.</w:t>
      </w:r>
      <w:r w:rsidR="002B7FCF" w:rsidRPr="002A63D8">
        <w:rPr>
          <w:rFonts w:ascii="Times New Roman" w:hAnsi="Times New Roman" w:cs="Times New Roman"/>
          <w:sz w:val="28"/>
          <w:szCs w:val="28"/>
          <w:lang w:val="uk-UA"/>
        </w:rPr>
        <w:t xml:space="preserve">  </w:t>
      </w:r>
    </w:p>
    <w:p w:rsidR="002505B7" w:rsidRPr="000C3F6B" w:rsidRDefault="00E729DA" w:rsidP="000C3F6B">
      <w:pPr>
        <w:spacing w:after="0" w:line="360" w:lineRule="auto"/>
        <w:ind w:firstLine="360"/>
        <w:jc w:val="both"/>
        <w:rPr>
          <w:rFonts w:ascii="Times New Roman" w:hAnsi="Times New Roman" w:cs="Times New Roman"/>
          <w:sz w:val="28"/>
          <w:szCs w:val="28"/>
          <w:highlight w:val="yellow"/>
          <w:lang w:val="en-US"/>
        </w:rPr>
      </w:pPr>
      <w:r>
        <w:rPr>
          <w:rFonts w:ascii="Times New Roman" w:hAnsi="Times New Roman" w:cs="Times New Roman"/>
          <w:sz w:val="28"/>
          <w:szCs w:val="28"/>
          <w:lang w:val="uk-UA"/>
        </w:rPr>
        <w:t xml:space="preserve">      </w:t>
      </w:r>
      <w:r w:rsidR="00EB4B29">
        <w:rPr>
          <w:rFonts w:ascii="Times New Roman" w:hAnsi="Times New Roman" w:cs="Times New Roman"/>
          <w:sz w:val="28"/>
          <w:szCs w:val="28"/>
          <w:lang w:val="en-US"/>
        </w:rPr>
        <w:t>The consumption of atorvastatin (10−</w:t>
      </w:r>
      <w:r w:rsidR="00296A7B">
        <w:rPr>
          <w:rFonts w:ascii="Times New Roman" w:hAnsi="Times New Roman" w:cs="Times New Roman"/>
          <w:sz w:val="28"/>
          <w:szCs w:val="28"/>
          <w:lang w:val="uk-UA"/>
        </w:rPr>
        <w:t>20</w:t>
      </w:r>
      <w:r w:rsidR="00296A7B" w:rsidRPr="00296A7B">
        <w:rPr>
          <w:rFonts w:ascii="Times New Roman" w:hAnsi="Times New Roman" w:cs="Times New Roman"/>
          <w:sz w:val="28"/>
          <w:szCs w:val="28"/>
          <w:lang w:val="uk-UA"/>
        </w:rPr>
        <w:t>−</w:t>
      </w:r>
      <w:r w:rsidR="00EB4B29">
        <w:rPr>
          <w:rFonts w:ascii="Times New Roman" w:hAnsi="Times New Roman" w:cs="Times New Roman"/>
          <w:sz w:val="28"/>
          <w:szCs w:val="28"/>
          <w:lang w:val="en-US"/>
        </w:rPr>
        <w:t>4</w:t>
      </w:r>
      <w:r w:rsidR="00EB4B29" w:rsidRPr="002A63D8">
        <w:rPr>
          <w:rFonts w:ascii="Times New Roman" w:hAnsi="Times New Roman" w:cs="Times New Roman"/>
          <w:sz w:val="28"/>
          <w:szCs w:val="28"/>
          <w:lang w:val="en-US"/>
        </w:rPr>
        <w:t xml:space="preserve">0 mg/day) </w:t>
      </w:r>
      <w:r w:rsidR="00EB4B29">
        <w:rPr>
          <w:rFonts w:ascii="Times New Roman" w:hAnsi="Times New Roman" w:cs="Times New Roman"/>
          <w:sz w:val="28"/>
          <w:szCs w:val="28"/>
          <w:lang w:val="en-US"/>
        </w:rPr>
        <w:t xml:space="preserve">was connected with improvement of lipid profile disorders in patients with AH and type 2 DM. </w:t>
      </w:r>
      <w:r w:rsidR="00DB1D5D" w:rsidRPr="004458BE">
        <w:rPr>
          <w:rFonts w:ascii="Times New Roman" w:hAnsi="Times New Roman" w:cs="Times New Roman"/>
          <w:sz w:val="28"/>
          <w:szCs w:val="28"/>
          <w:lang w:val="en-US"/>
        </w:rPr>
        <w:t>Under the influence of treatment with</w:t>
      </w:r>
      <w:r w:rsidR="00922574">
        <w:rPr>
          <w:rFonts w:ascii="Times New Roman" w:hAnsi="Times New Roman" w:cs="Times New Roman"/>
          <w:sz w:val="28"/>
          <w:szCs w:val="28"/>
          <w:lang w:val="en-US"/>
        </w:rPr>
        <w:t xml:space="preserve"> telmisartan at a dose of 40 mg/</w:t>
      </w:r>
      <w:r w:rsidR="00DB1D5D" w:rsidRPr="004458BE">
        <w:rPr>
          <w:rFonts w:ascii="Times New Roman" w:hAnsi="Times New Roman" w:cs="Times New Roman"/>
          <w:sz w:val="28"/>
          <w:szCs w:val="28"/>
          <w:lang w:val="en-US"/>
        </w:rPr>
        <w:t>day in subjects with AH an</w:t>
      </w:r>
      <w:r w:rsidR="00922574">
        <w:rPr>
          <w:rFonts w:ascii="Times New Roman" w:hAnsi="Times New Roman" w:cs="Times New Roman"/>
          <w:sz w:val="28"/>
          <w:szCs w:val="28"/>
          <w:lang w:val="en-US"/>
        </w:rPr>
        <w:t>d type 2 DM and less than 10 pg/</w:t>
      </w:r>
      <w:r w:rsidR="00DB1D5D" w:rsidRPr="004458BE">
        <w:rPr>
          <w:rFonts w:ascii="Times New Roman" w:hAnsi="Times New Roman" w:cs="Times New Roman"/>
          <w:sz w:val="28"/>
          <w:szCs w:val="28"/>
          <w:lang w:val="en-US"/>
        </w:rPr>
        <w:t xml:space="preserve">ml level of </w:t>
      </w:r>
      <w:r w:rsidR="002B7DD6">
        <w:rPr>
          <w:rFonts w:ascii="Times New Roman" w:hAnsi="Times New Roman" w:cs="Times New Roman"/>
          <w:sz w:val="28"/>
          <w:szCs w:val="28"/>
          <w:lang w:val="en-US"/>
        </w:rPr>
        <w:t>endothelin</w:t>
      </w:r>
      <w:r w:rsidR="00DB1D5D" w:rsidRPr="004458BE">
        <w:rPr>
          <w:rFonts w:ascii="Times New Roman" w:hAnsi="Times New Roman" w:cs="Times New Roman"/>
          <w:sz w:val="28"/>
          <w:szCs w:val="28"/>
          <w:lang w:val="en-US"/>
        </w:rPr>
        <w:t xml:space="preserve">-1, the values of albuminuria decreased by </w:t>
      </w:r>
      <w:r w:rsidR="00922574">
        <w:rPr>
          <w:rFonts w:ascii="Times New Roman" w:hAnsi="Times New Roman" w:cs="Times New Roman"/>
          <w:sz w:val="28"/>
          <w:szCs w:val="28"/>
          <w:lang w:val="en-US"/>
        </w:rPr>
        <w:t>9,</w:t>
      </w:r>
      <w:r w:rsidR="00DB1D5D" w:rsidRPr="002A63D8">
        <w:rPr>
          <w:rFonts w:ascii="Times New Roman" w:hAnsi="Times New Roman" w:cs="Times New Roman"/>
          <w:sz w:val="28"/>
          <w:szCs w:val="28"/>
          <w:lang w:val="en-US"/>
        </w:rPr>
        <w:t>7</w:t>
      </w:r>
      <w:r w:rsidR="00922574">
        <w:rPr>
          <w:rFonts w:ascii="Times New Roman" w:hAnsi="Times New Roman" w:cs="Times New Roman"/>
          <w:sz w:val="28"/>
          <w:szCs w:val="28"/>
          <w:lang w:val="en-US"/>
        </w:rPr>
        <w:t xml:space="preserve"> </w:t>
      </w:r>
      <w:r w:rsidR="00DB1D5D" w:rsidRPr="002A63D8">
        <w:rPr>
          <w:rFonts w:ascii="Times New Roman" w:hAnsi="Times New Roman" w:cs="Times New Roman"/>
          <w:sz w:val="28"/>
          <w:szCs w:val="28"/>
          <w:lang w:val="en-US"/>
        </w:rPr>
        <w:t xml:space="preserve">% (p = </w:t>
      </w:r>
      <w:r w:rsidR="002A63D8" w:rsidRPr="002A63D8">
        <w:rPr>
          <w:rFonts w:ascii="Times New Roman" w:hAnsi="Times New Roman" w:cs="Times New Roman"/>
          <w:sz w:val="28"/>
          <w:szCs w:val="28"/>
          <w:lang w:val="en-US"/>
        </w:rPr>
        <w:t>0,0328</w:t>
      </w:r>
      <w:r w:rsidR="009F34EE">
        <w:rPr>
          <w:rFonts w:ascii="Times New Roman" w:hAnsi="Times New Roman" w:cs="Times New Roman"/>
          <w:sz w:val="28"/>
          <w:szCs w:val="28"/>
          <w:lang w:val="en-US"/>
        </w:rPr>
        <w:t>), and</w:t>
      </w:r>
      <w:r w:rsidR="002B7DD6">
        <w:rPr>
          <w:rFonts w:ascii="Times New Roman" w:hAnsi="Times New Roman" w:cs="Times New Roman"/>
          <w:sz w:val="28"/>
          <w:szCs w:val="28"/>
          <w:lang w:val="en-US"/>
        </w:rPr>
        <w:t xml:space="preserve"> </w:t>
      </w:r>
      <w:r w:rsidR="003F0C71">
        <w:rPr>
          <w:rFonts w:ascii="Times New Roman" w:hAnsi="Times New Roman" w:cs="Times New Roman"/>
          <w:sz w:val="28"/>
          <w:szCs w:val="28"/>
          <w:lang w:val="en-US"/>
        </w:rPr>
        <w:t xml:space="preserve">LV </w:t>
      </w:r>
      <w:r w:rsidR="002B7DD6">
        <w:rPr>
          <w:rFonts w:ascii="Times New Roman" w:hAnsi="Times New Roman" w:cs="Times New Roman"/>
          <w:sz w:val="28"/>
          <w:szCs w:val="28"/>
          <w:lang w:val="en-US"/>
        </w:rPr>
        <w:t>mass</w:t>
      </w:r>
      <w:r w:rsidR="00922574">
        <w:rPr>
          <w:rFonts w:ascii="Times New Roman" w:hAnsi="Times New Roman" w:cs="Times New Roman"/>
          <w:sz w:val="28"/>
          <w:szCs w:val="28"/>
          <w:lang w:val="en-US"/>
        </w:rPr>
        <w:t xml:space="preserve"> </w:t>
      </w:r>
      <w:r w:rsidR="003F0C71">
        <w:rPr>
          <w:rFonts w:ascii="Times New Roman" w:hAnsi="Times New Roman" w:cs="Times New Roman"/>
          <w:sz w:val="28"/>
          <w:szCs w:val="28"/>
          <w:lang w:val="en-US"/>
        </w:rPr>
        <w:t xml:space="preserve">index </w:t>
      </w:r>
      <w:r w:rsidR="00922574">
        <w:rPr>
          <w:rFonts w:ascii="Times New Roman" w:hAnsi="Times New Roman" w:cs="Times New Roman"/>
          <w:sz w:val="28"/>
          <w:szCs w:val="28"/>
          <w:lang w:val="en-US"/>
        </w:rPr>
        <w:t>−</w:t>
      </w:r>
      <w:r w:rsidR="00A973A6" w:rsidRPr="002A63D8">
        <w:rPr>
          <w:rFonts w:ascii="Times New Roman" w:hAnsi="Times New Roman" w:cs="Times New Roman"/>
          <w:sz w:val="28"/>
          <w:szCs w:val="28"/>
          <w:lang w:val="en-US"/>
        </w:rPr>
        <w:t xml:space="preserve"> b</w:t>
      </w:r>
      <w:r w:rsidR="00922574">
        <w:rPr>
          <w:rFonts w:ascii="Times New Roman" w:hAnsi="Times New Roman" w:cs="Times New Roman"/>
          <w:sz w:val="28"/>
          <w:szCs w:val="28"/>
          <w:lang w:val="en-US"/>
        </w:rPr>
        <w:t>y 6,</w:t>
      </w:r>
      <w:r w:rsidR="002A63D8" w:rsidRPr="002A63D8">
        <w:rPr>
          <w:rFonts w:ascii="Times New Roman" w:hAnsi="Times New Roman" w:cs="Times New Roman"/>
          <w:sz w:val="28"/>
          <w:szCs w:val="28"/>
          <w:lang w:val="en-US"/>
        </w:rPr>
        <w:t>7%</w:t>
      </w:r>
      <w:r w:rsidR="002B7DD6">
        <w:rPr>
          <w:rFonts w:ascii="Times New Roman" w:hAnsi="Times New Roman" w:cs="Times New Roman"/>
          <w:sz w:val="28"/>
          <w:szCs w:val="28"/>
          <w:lang w:val="en-US"/>
        </w:rPr>
        <w:t xml:space="preserve"> </w:t>
      </w:r>
      <w:r w:rsidR="00EA5B5B">
        <w:rPr>
          <w:rFonts w:ascii="Times New Roman" w:hAnsi="Times New Roman" w:cs="Times New Roman"/>
          <w:sz w:val="28"/>
          <w:szCs w:val="28"/>
          <w:lang w:val="en-US"/>
        </w:rPr>
        <w:t xml:space="preserve">       </w:t>
      </w:r>
      <w:r w:rsidR="002A63D8" w:rsidRPr="002A63D8">
        <w:rPr>
          <w:rFonts w:ascii="Times New Roman" w:hAnsi="Times New Roman" w:cs="Times New Roman"/>
          <w:sz w:val="28"/>
          <w:szCs w:val="28"/>
          <w:lang w:val="en-US"/>
        </w:rPr>
        <w:t>(p = 0,0007</w:t>
      </w:r>
      <w:r w:rsidR="00DB1D5D" w:rsidRPr="002A63D8">
        <w:rPr>
          <w:rFonts w:ascii="Times New Roman" w:hAnsi="Times New Roman" w:cs="Times New Roman"/>
          <w:sz w:val="28"/>
          <w:szCs w:val="28"/>
          <w:lang w:val="en-US"/>
        </w:rPr>
        <w:t xml:space="preserve">). In </w:t>
      </w:r>
      <w:r w:rsidR="00893BD4">
        <w:rPr>
          <w:rFonts w:ascii="Times New Roman" w:hAnsi="Times New Roman" w:cs="Times New Roman"/>
          <w:sz w:val="28"/>
          <w:szCs w:val="28"/>
          <w:lang w:val="en-US"/>
        </w:rPr>
        <w:t>coexiste</w:t>
      </w:r>
      <w:r w:rsidR="002B7DD6">
        <w:rPr>
          <w:rFonts w:ascii="Times New Roman" w:hAnsi="Times New Roman" w:cs="Times New Roman"/>
          <w:sz w:val="28"/>
          <w:szCs w:val="28"/>
          <w:lang w:val="en-US"/>
        </w:rPr>
        <w:t xml:space="preserve">nt </w:t>
      </w:r>
      <w:r w:rsidR="00DB1D5D" w:rsidRPr="002A63D8">
        <w:rPr>
          <w:rFonts w:ascii="Times New Roman" w:hAnsi="Times New Roman" w:cs="Times New Roman"/>
          <w:sz w:val="28"/>
          <w:szCs w:val="28"/>
          <w:lang w:val="en-US"/>
        </w:rPr>
        <w:t xml:space="preserve">patients </w:t>
      </w:r>
      <w:r w:rsidR="00922574">
        <w:rPr>
          <w:rFonts w:ascii="Times New Roman" w:hAnsi="Times New Roman" w:cs="Times New Roman"/>
          <w:sz w:val="28"/>
          <w:szCs w:val="28"/>
          <w:lang w:val="en-US"/>
        </w:rPr>
        <w:t>with greater than 10 pg/</w:t>
      </w:r>
      <w:r w:rsidR="00DB1D5D" w:rsidRPr="002A63D8">
        <w:rPr>
          <w:rFonts w:ascii="Times New Roman" w:hAnsi="Times New Roman" w:cs="Times New Roman"/>
          <w:sz w:val="28"/>
          <w:szCs w:val="28"/>
          <w:lang w:val="en-US"/>
        </w:rPr>
        <w:t xml:space="preserve">ml </w:t>
      </w:r>
      <w:r w:rsidR="002B7DD6">
        <w:rPr>
          <w:rFonts w:ascii="Times New Roman" w:hAnsi="Times New Roman" w:cs="Times New Roman"/>
          <w:sz w:val="28"/>
          <w:szCs w:val="28"/>
          <w:lang w:val="en-US"/>
        </w:rPr>
        <w:t xml:space="preserve">level of </w:t>
      </w:r>
      <w:r w:rsidR="00EA5B5B">
        <w:rPr>
          <w:rFonts w:ascii="Times New Roman" w:hAnsi="Times New Roman" w:cs="Times New Roman"/>
          <w:sz w:val="28"/>
          <w:szCs w:val="28"/>
          <w:lang w:val="en-US"/>
        </w:rPr>
        <w:t xml:space="preserve">  </w:t>
      </w:r>
      <w:r w:rsidR="002B7DD6">
        <w:rPr>
          <w:rFonts w:ascii="Times New Roman" w:hAnsi="Times New Roman" w:cs="Times New Roman"/>
          <w:sz w:val="28"/>
          <w:szCs w:val="28"/>
          <w:lang w:val="en-US"/>
        </w:rPr>
        <w:t>endothelin</w:t>
      </w:r>
      <w:r w:rsidR="00A973A6" w:rsidRPr="002A63D8">
        <w:rPr>
          <w:rFonts w:ascii="Times New Roman" w:hAnsi="Times New Roman" w:cs="Times New Roman"/>
          <w:sz w:val="28"/>
          <w:szCs w:val="28"/>
          <w:lang w:val="en-US"/>
        </w:rPr>
        <w:t xml:space="preserve">-1 and </w:t>
      </w:r>
      <w:r w:rsidR="00922574">
        <w:rPr>
          <w:rFonts w:ascii="Times New Roman" w:hAnsi="Times New Roman" w:cs="Times New Roman"/>
          <w:sz w:val="28"/>
          <w:szCs w:val="28"/>
          <w:lang w:val="en-US"/>
        </w:rPr>
        <w:t>80 mg/</w:t>
      </w:r>
      <w:r w:rsidR="00DB1D5D" w:rsidRPr="002A63D8">
        <w:rPr>
          <w:rFonts w:ascii="Times New Roman" w:hAnsi="Times New Roman" w:cs="Times New Roman"/>
          <w:sz w:val="28"/>
          <w:szCs w:val="28"/>
          <w:lang w:val="en-US"/>
        </w:rPr>
        <w:t>day</w:t>
      </w:r>
      <w:r w:rsidR="00A973A6" w:rsidRPr="002A63D8">
        <w:rPr>
          <w:rFonts w:ascii="Times New Roman" w:hAnsi="Times New Roman" w:cs="Times New Roman"/>
          <w:sz w:val="28"/>
          <w:szCs w:val="28"/>
          <w:lang w:val="en-US"/>
        </w:rPr>
        <w:t xml:space="preserve"> dose of</w:t>
      </w:r>
      <w:r w:rsidR="00011893">
        <w:rPr>
          <w:rFonts w:ascii="Times New Roman" w:hAnsi="Times New Roman" w:cs="Times New Roman"/>
          <w:sz w:val="28"/>
          <w:szCs w:val="28"/>
          <w:lang w:val="en-US"/>
        </w:rPr>
        <w:t xml:space="preserve"> telmisartan, the level</w:t>
      </w:r>
      <w:r w:rsidR="002B7DD6">
        <w:rPr>
          <w:rFonts w:ascii="Times New Roman" w:hAnsi="Times New Roman" w:cs="Times New Roman"/>
          <w:sz w:val="28"/>
          <w:szCs w:val="28"/>
          <w:lang w:val="en-US"/>
        </w:rPr>
        <w:t xml:space="preserve"> </w:t>
      </w:r>
      <w:r w:rsidR="00DB1D5D" w:rsidRPr="002A63D8">
        <w:rPr>
          <w:rFonts w:ascii="Times New Roman" w:hAnsi="Times New Roman" w:cs="Times New Roman"/>
          <w:sz w:val="28"/>
          <w:szCs w:val="28"/>
          <w:lang w:val="en-US"/>
        </w:rPr>
        <w:t>of albumin</w:t>
      </w:r>
      <w:r w:rsidR="002B7DD6">
        <w:rPr>
          <w:rFonts w:ascii="Times New Roman" w:hAnsi="Times New Roman" w:cs="Times New Roman"/>
          <w:sz w:val="28"/>
          <w:szCs w:val="28"/>
          <w:lang w:val="en-US"/>
        </w:rPr>
        <w:t xml:space="preserve">uria was reduced by </w:t>
      </w:r>
      <w:r w:rsidR="00922574">
        <w:rPr>
          <w:rFonts w:ascii="Times New Roman" w:hAnsi="Times New Roman" w:cs="Times New Roman"/>
          <w:sz w:val="28"/>
          <w:szCs w:val="28"/>
          <w:lang w:val="en-US"/>
        </w:rPr>
        <w:t>4,</w:t>
      </w:r>
      <w:r w:rsidR="00A973A6" w:rsidRPr="002A63D8">
        <w:rPr>
          <w:rFonts w:ascii="Times New Roman" w:hAnsi="Times New Roman" w:cs="Times New Roman"/>
          <w:sz w:val="28"/>
          <w:szCs w:val="28"/>
          <w:lang w:val="en-US"/>
        </w:rPr>
        <w:t>9</w:t>
      </w:r>
      <w:r w:rsidR="00922574">
        <w:rPr>
          <w:rFonts w:ascii="Times New Roman" w:hAnsi="Times New Roman" w:cs="Times New Roman"/>
          <w:sz w:val="28"/>
          <w:szCs w:val="28"/>
          <w:lang w:val="en-US"/>
        </w:rPr>
        <w:t xml:space="preserve"> </w:t>
      </w:r>
      <w:r w:rsidR="00A973A6" w:rsidRPr="002A63D8">
        <w:rPr>
          <w:rFonts w:ascii="Times New Roman" w:hAnsi="Times New Roman" w:cs="Times New Roman"/>
          <w:sz w:val="28"/>
          <w:szCs w:val="28"/>
          <w:lang w:val="en-US"/>
        </w:rPr>
        <w:t xml:space="preserve">% (p = </w:t>
      </w:r>
      <w:r w:rsidR="002A63D8" w:rsidRPr="002A63D8">
        <w:rPr>
          <w:rFonts w:ascii="Times New Roman" w:hAnsi="Times New Roman" w:cs="Times New Roman"/>
          <w:sz w:val="28"/>
          <w:szCs w:val="28"/>
          <w:lang w:val="en-US"/>
        </w:rPr>
        <w:t>0,0435</w:t>
      </w:r>
      <w:r w:rsidR="009F34EE">
        <w:rPr>
          <w:rFonts w:ascii="Times New Roman" w:hAnsi="Times New Roman" w:cs="Times New Roman"/>
          <w:sz w:val="28"/>
          <w:szCs w:val="28"/>
          <w:lang w:val="en-US"/>
        </w:rPr>
        <w:t>), and</w:t>
      </w:r>
      <w:r w:rsidR="002B7DD6">
        <w:rPr>
          <w:rFonts w:ascii="Times New Roman" w:hAnsi="Times New Roman" w:cs="Times New Roman"/>
          <w:sz w:val="28"/>
          <w:szCs w:val="28"/>
          <w:lang w:val="en-US"/>
        </w:rPr>
        <w:t xml:space="preserve"> </w:t>
      </w:r>
      <w:r w:rsidR="009F34EE">
        <w:rPr>
          <w:rFonts w:ascii="Times New Roman" w:hAnsi="Times New Roman" w:cs="Times New Roman"/>
          <w:sz w:val="28"/>
          <w:szCs w:val="28"/>
          <w:lang w:val="en-US"/>
        </w:rPr>
        <w:t xml:space="preserve">LV </w:t>
      </w:r>
      <w:r w:rsidR="002B7DD6">
        <w:rPr>
          <w:rFonts w:ascii="Times New Roman" w:hAnsi="Times New Roman" w:cs="Times New Roman"/>
          <w:sz w:val="28"/>
          <w:szCs w:val="28"/>
          <w:lang w:val="en-US"/>
        </w:rPr>
        <w:t xml:space="preserve">mass </w:t>
      </w:r>
      <w:r w:rsidR="009F34EE">
        <w:rPr>
          <w:rFonts w:ascii="Times New Roman" w:hAnsi="Times New Roman" w:cs="Times New Roman"/>
          <w:sz w:val="28"/>
          <w:szCs w:val="28"/>
          <w:lang w:val="en-US"/>
        </w:rPr>
        <w:t xml:space="preserve">index </w:t>
      </w:r>
      <w:r w:rsidR="00922574">
        <w:rPr>
          <w:rFonts w:ascii="Times New Roman" w:hAnsi="Times New Roman" w:cs="Times New Roman"/>
          <w:sz w:val="28"/>
          <w:szCs w:val="28"/>
          <w:lang w:val="en-US"/>
        </w:rPr>
        <w:t>−</w:t>
      </w:r>
      <w:r w:rsidR="00A973A6" w:rsidRPr="002A63D8">
        <w:rPr>
          <w:rFonts w:ascii="Times New Roman" w:hAnsi="Times New Roman" w:cs="Times New Roman"/>
          <w:sz w:val="28"/>
          <w:szCs w:val="28"/>
          <w:lang w:val="en-US"/>
        </w:rPr>
        <w:t xml:space="preserve"> by 3,1% (p &lt; 0,</w:t>
      </w:r>
      <w:r w:rsidR="00DB1D5D" w:rsidRPr="002A63D8">
        <w:rPr>
          <w:rFonts w:ascii="Times New Roman" w:hAnsi="Times New Roman" w:cs="Times New Roman"/>
          <w:sz w:val="28"/>
          <w:szCs w:val="28"/>
          <w:lang w:val="en-US"/>
        </w:rPr>
        <w:t>0001)</w:t>
      </w:r>
      <w:r w:rsidR="00A973A6" w:rsidRPr="002A63D8">
        <w:rPr>
          <w:rFonts w:ascii="Times New Roman" w:hAnsi="Times New Roman" w:cs="Times New Roman"/>
          <w:sz w:val="28"/>
          <w:szCs w:val="28"/>
          <w:lang w:val="en-US"/>
        </w:rPr>
        <w:t>.</w:t>
      </w:r>
    </w:p>
    <w:p w:rsidR="00E3719A" w:rsidRDefault="00E729DA" w:rsidP="001A78AF">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     </w:t>
      </w:r>
      <w:r w:rsidR="00E3719A" w:rsidRPr="00E3719A">
        <w:rPr>
          <w:rFonts w:ascii="Times New Roman" w:hAnsi="Times New Roman" w:cs="Times New Roman"/>
          <w:sz w:val="28"/>
          <w:szCs w:val="28"/>
          <w:lang w:val="en-US"/>
        </w:rPr>
        <w:t>Scien</w:t>
      </w:r>
      <w:r w:rsidR="002B7DD6">
        <w:rPr>
          <w:rFonts w:ascii="Times New Roman" w:hAnsi="Times New Roman" w:cs="Times New Roman"/>
          <w:sz w:val="28"/>
          <w:szCs w:val="28"/>
          <w:lang w:val="en-US"/>
        </w:rPr>
        <w:t xml:space="preserve">tific novelty of the results. </w:t>
      </w:r>
      <w:r>
        <w:rPr>
          <w:rFonts w:ascii="Times New Roman" w:hAnsi="Times New Roman" w:cs="Times New Roman"/>
          <w:sz w:val="28"/>
          <w:szCs w:val="28"/>
          <w:lang w:val="en-US"/>
        </w:rPr>
        <w:t>Our findings suggested that comb</w:t>
      </w:r>
      <w:r w:rsidR="00893BD4">
        <w:rPr>
          <w:rFonts w:ascii="Times New Roman" w:hAnsi="Times New Roman" w:cs="Times New Roman"/>
          <w:sz w:val="28"/>
          <w:szCs w:val="28"/>
          <w:lang w:val="en-US"/>
        </w:rPr>
        <w:t>ined type of dyslipidemia confir</w:t>
      </w:r>
      <w:r>
        <w:rPr>
          <w:rFonts w:ascii="Times New Roman" w:hAnsi="Times New Roman" w:cs="Times New Roman"/>
          <w:sz w:val="28"/>
          <w:szCs w:val="28"/>
          <w:lang w:val="en-US"/>
        </w:rPr>
        <w:t xml:space="preserve">med the severe </w:t>
      </w:r>
      <w:r w:rsidR="00F77EA1" w:rsidRPr="00F77EA1">
        <w:rPr>
          <w:rFonts w:ascii="Times New Roman" w:hAnsi="Times New Roman" w:cs="Times New Roman"/>
          <w:sz w:val="28"/>
          <w:szCs w:val="28"/>
          <w:lang w:val="en-US"/>
        </w:rPr>
        <w:t xml:space="preserve">proatherogenic orientation </w:t>
      </w:r>
      <w:r>
        <w:rPr>
          <w:rFonts w:ascii="Times New Roman" w:hAnsi="Times New Roman" w:cs="Times New Roman"/>
          <w:sz w:val="28"/>
          <w:szCs w:val="28"/>
          <w:lang w:val="en-US"/>
        </w:rPr>
        <w:t>in patients with AH and type 2 DM.</w:t>
      </w:r>
      <w:r w:rsidR="00D17964">
        <w:rPr>
          <w:rFonts w:ascii="Times New Roman" w:hAnsi="Times New Roman" w:cs="Times New Roman"/>
          <w:sz w:val="28"/>
          <w:szCs w:val="28"/>
          <w:lang w:val="en-US"/>
        </w:rPr>
        <w:t xml:space="preserve"> The scientific data about</w:t>
      </w:r>
      <w:r w:rsidR="00D17964" w:rsidRPr="00D17964">
        <w:rPr>
          <w:rFonts w:ascii="Times New Roman" w:hAnsi="Times New Roman" w:cs="Times New Roman"/>
          <w:sz w:val="28"/>
          <w:szCs w:val="28"/>
          <w:lang w:val="en-US"/>
        </w:rPr>
        <w:t xml:space="preserve"> the important role of endothelium dys</w:t>
      </w:r>
      <w:r w:rsidR="0073094B">
        <w:rPr>
          <w:rFonts w:ascii="Times New Roman" w:hAnsi="Times New Roman" w:cs="Times New Roman"/>
          <w:sz w:val="28"/>
          <w:szCs w:val="28"/>
          <w:lang w:val="en-US"/>
        </w:rPr>
        <w:t>orders</w:t>
      </w:r>
      <w:r w:rsidR="00D17964" w:rsidRPr="00D17964">
        <w:rPr>
          <w:rFonts w:ascii="Times New Roman" w:hAnsi="Times New Roman" w:cs="Times New Roman"/>
          <w:sz w:val="28"/>
          <w:szCs w:val="28"/>
          <w:lang w:val="en-US"/>
        </w:rPr>
        <w:t xml:space="preserve"> in the development of </w:t>
      </w:r>
      <w:r w:rsidR="00D17964">
        <w:rPr>
          <w:rFonts w:ascii="Times New Roman" w:hAnsi="Times New Roman" w:cs="Times New Roman"/>
          <w:sz w:val="28"/>
          <w:szCs w:val="28"/>
          <w:lang w:val="en-US"/>
        </w:rPr>
        <w:t xml:space="preserve">nephropathy in patients with AH </w:t>
      </w:r>
      <w:r w:rsidR="00D17964" w:rsidRPr="00D17964">
        <w:rPr>
          <w:rFonts w:ascii="Times New Roman" w:hAnsi="Times New Roman" w:cs="Times New Roman"/>
          <w:sz w:val="28"/>
          <w:szCs w:val="28"/>
          <w:lang w:val="en-US"/>
        </w:rPr>
        <w:t xml:space="preserve">is supplemented. The scientific data </w:t>
      </w:r>
      <w:r w:rsidR="00D17964">
        <w:rPr>
          <w:rFonts w:ascii="Times New Roman" w:hAnsi="Times New Roman" w:cs="Times New Roman"/>
          <w:sz w:val="28"/>
          <w:szCs w:val="28"/>
          <w:lang w:val="en-US"/>
        </w:rPr>
        <w:t xml:space="preserve">connected with peculiarities </w:t>
      </w:r>
      <w:r w:rsidR="00D17964" w:rsidRPr="00D17964">
        <w:rPr>
          <w:rFonts w:ascii="Times New Roman" w:hAnsi="Times New Roman" w:cs="Times New Roman"/>
          <w:sz w:val="28"/>
          <w:szCs w:val="28"/>
          <w:lang w:val="en-US"/>
        </w:rPr>
        <w:t xml:space="preserve">of </w:t>
      </w:r>
      <w:r w:rsidR="00D17964">
        <w:rPr>
          <w:rFonts w:ascii="Times New Roman" w:hAnsi="Times New Roman" w:cs="Times New Roman"/>
          <w:sz w:val="28"/>
          <w:szCs w:val="28"/>
          <w:lang w:val="en-US"/>
        </w:rPr>
        <w:t xml:space="preserve">left ventricular geometry in </w:t>
      </w:r>
      <w:r w:rsidR="00D17964" w:rsidRPr="00D17964">
        <w:rPr>
          <w:rFonts w:ascii="Times New Roman" w:hAnsi="Times New Roman" w:cs="Times New Roman"/>
          <w:sz w:val="28"/>
          <w:szCs w:val="28"/>
          <w:lang w:val="en-US"/>
        </w:rPr>
        <w:t>patients</w:t>
      </w:r>
      <w:r w:rsidR="00893BD4">
        <w:rPr>
          <w:rFonts w:ascii="Times New Roman" w:hAnsi="Times New Roman" w:cs="Times New Roman"/>
          <w:sz w:val="28"/>
          <w:szCs w:val="28"/>
          <w:lang w:val="en-US"/>
        </w:rPr>
        <w:t xml:space="preserve"> with coexiste</w:t>
      </w:r>
      <w:r w:rsidR="00D17964">
        <w:rPr>
          <w:rFonts w:ascii="Times New Roman" w:hAnsi="Times New Roman" w:cs="Times New Roman"/>
          <w:sz w:val="28"/>
          <w:szCs w:val="28"/>
          <w:lang w:val="en-US"/>
        </w:rPr>
        <w:t>nt pathology</w:t>
      </w:r>
      <w:r w:rsidR="009F34EE">
        <w:rPr>
          <w:rFonts w:ascii="Times New Roman" w:hAnsi="Times New Roman" w:cs="Times New Roman"/>
          <w:sz w:val="28"/>
          <w:szCs w:val="28"/>
          <w:lang w:val="en-US"/>
        </w:rPr>
        <w:t xml:space="preserve"> is d</w:t>
      </w:r>
      <w:r w:rsidR="00D17964" w:rsidRPr="00D17964">
        <w:rPr>
          <w:rFonts w:ascii="Times New Roman" w:hAnsi="Times New Roman" w:cs="Times New Roman"/>
          <w:sz w:val="28"/>
          <w:szCs w:val="28"/>
          <w:lang w:val="en-US"/>
        </w:rPr>
        <w:t xml:space="preserve">efined. </w:t>
      </w:r>
      <w:r w:rsidR="00D17964">
        <w:rPr>
          <w:rFonts w:ascii="Times New Roman" w:hAnsi="Times New Roman" w:cs="Times New Roman"/>
          <w:sz w:val="28"/>
          <w:szCs w:val="28"/>
          <w:lang w:val="en-US"/>
        </w:rPr>
        <w:t>There is the observation of</w:t>
      </w:r>
      <w:r w:rsidR="00D17964" w:rsidRPr="00D17964">
        <w:rPr>
          <w:rFonts w:ascii="Times New Roman" w:hAnsi="Times New Roman" w:cs="Times New Roman"/>
          <w:sz w:val="28"/>
          <w:szCs w:val="28"/>
          <w:lang w:val="en-US"/>
        </w:rPr>
        <w:t xml:space="preserve"> increase</w:t>
      </w:r>
      <w:r w:rsidR="00D17964">
        <w:rPr>
          <w:rFonts w:ascii="Times New Roman" w:hAnsi="Times New Roman" w:cs="Times New Roman"/>
          <w:sz w:val="28"/>
          <w:szCs w:val="28"/>
          <w:lang w:val="en-US"/>
        </w:rPr>
        <w:t xml:space="preserve"> the percent of</w:t>
      </w:r>
      <w:r w:rsidR="00D17964" w:rsidRPr="00D17964">
        <w:rPr>
          <w:rFonts w:ascii="Times New Roman" w:hAnsi="Times New Roman" w:cs="Times New Roman"/>
          <w:sz w:val="28"/>
          <w:szCs w:val="28"/>
          <w:lang w:val="en-US"/>
        </w:rPr>
        <w:t xml:space="preserve"> concentric and eccentric</w:t>
      </w:r>
      <w:r w:rsidR="00D17964">
        <w:rPr>
          <w:rFonts w:ascii="Times New Roman" w:hAnsi="Times New Roman" w:cs="Times New Roman"/>
          <w:sz w:val="28"/>
          <w:szCs w:val="28"/>
          <w:lang w:val="en-US"/>
        </w:rPr>
        <w:t xml:space="preserve"> </w:t>
      </w:r>
      <w:r w:rsidR="009F34EE">
        <w:rPr>
          <w:rFonts w:ascii="Times New Roman" w:hAnsi="Times New Roman" w:cs="Times New Roman"/>
          <w:sz w:val="28"/>
          <w:szCs w:val="28"/>
          <w:lang w:val="en-US"/>
        </w:rPr>
        <w:t xml:space="preserve">LV </w:t>
      </w:r>
      <w:r w:rsidR="00D17964">
        <w:rPr>
          <w:rFonts w:ascii="Times New Roman" w:hAnsi="Times New Roman" w:cs="Times New Roman"/>
          <w:sz w:val="28"/>
          <w:szCs w:val="28"/>
          <w:lang w:val="en-US"/>
        </w:rPr>
        <w:t xml:space="preserve">hypertrophy </w:t>
      </w:r>
      <w:r w:rsidR="00D17964" w:rsidRPr="00D17964">
        <w:rPr>
          <w:rFonts w:ascii="Times New Roman" w:hAnsi="Times New Roman" w:cs="Times New Roman"/>
          <w:sz w:val="28"/>
          <w:szCs w:val="28"/>
          <w:lang w:val="en-US"/>
        </w:rPr>
        <w:t xml:space="preserve">in </w:t>
      </w:r>
      <w:r w:rsidR="00D17964">
        <w:rPr>
          <w:rFonts w:ascii="Times New Roman" w:hAnsi="Times New Roman" w:cs="Times New Roman"/>
          <w:sz w:val="28"/>
          <w:szCs w:val="28"/>
          <w:lang w:val="en-US"/>
        </w:rPr>
        <w:t>patients with AH and type 2 DM</w:t>
      </w:r>
      <w:r w:rsidR="0073094B">
        <w:rPr>
          <w:rFonts w:ascii="Times New Roman" w:hAnsi="Times New Roman" w:cs="Times New Roman"/>
          <w:sz w:val="28"/>
          <w:szCs w:val="28"/>
          <w:lang w:val="en-US"/>
        </w:rPr>
        <w:t>. The role of endothelial dysorders</w:t>
      </w:r>
      <w:r w:rsidR="00D17964" w:rsidRPr="00D17964">
        <w:rPr>
          <w:rFonts w:ascii="Times New Roman" w:hAnsi="Times New Roman" w:cs="Times New Roman"/>
          <w:sz w:val="28"/>
          <w:szCs w:val="28"/>
          <w:lang w:val="en-US"/>
        </w:rPr>
        <w:t xml:space="preserve"> in the progression of functional </w:t>
      </w:r>
      <w:r w:rsidR="003478ED">
        <w:rPr>
          <w:rFonts w:ascii="Times New Roman" w:hAnsi="Times New Roman" w:cs="Times New Roman"/>
          <w:sz w:val="28"/>
          <w:szCs w:val="28"/>
          <w:lang w:val="en-US"/>
        </w:rPr>
        <w:t xml:space="preserve">heart </w:t>
      </w:r>
      <w:r w:rsidR="00D17964" w:rsidRPr="00D17964">
        <w:rPr>
          <w:rFonts w:ascii="Times New Roman" w:hAnsi="Times New Roman" w:cs="Times New Roman"/>
          <w:sz w:val="28"/>
          <w:szCs w:val="28"/>
          <w:lang w:val="en-US"/>
        </w:rPr>
        <w:t xml:space="preserve">insufficiency is proved. The scientific data </w:t>
      </w:r>
      <w:r w:rsidR="003478ED">
        <w:rPr>
          <w:rFonts w:ascii="Times New Roman" w:hAnsi="Times New Roman" w:cs="Times New Roman"/>
          <w:sz w:val="28"/>
          <w:szCs w:val="28"/>
          <w:lang w:val="en-US"/>
        </w:rPr>
        <w:t xml:space="preserve">about </w:t>
      </w:r>
      <w:r w:rsidR="00B0763D" w:rsidRPr="00B0763D">
        <w:rPr>
          <w:rFonts w:ascii="Times New Roman" w:hAnsi="Times New Roman" w:cs="Times New Roman"/>
          <w:sz w:val="28"/>
          <w:szCs w:val="28"/>
          <w:lang w:val="en-US"/>
        </w:rPr>
        <w:t>expediency</w:t>
      </w:r>
      <w:r w:rsidR="00B0763D">
        <w:rPr>
          <w:rFonts w:ascii="Times New Roman" w:hAnsi="Times New Roman" w:cs="Times New Roman"/>
          <w:sz w:val="28"/>
          <w:szCs w:val="28"/>
          <w:lang w:val="en-US"/>
        </w:rPr>
        <w:t xml:space="preserve"> of determination</w:t>
      </w:r>
      <w:r w:rsidR="00D17964" w:rsidRPr="00D17964">
        <w:rPr>
          <w:rFonts w:ascii="Times New Roman" w:hAnsi="Times New Roman" w:cs="Times New Roman"/>
          <w:sz w:val="28"/>
          <w:szCs w:val="28"/>
          <w:lang w:val="en-US"/>
        </w:rPr>
        <w:t xml:space="preserve"> the level of </w:t>
      </w:r>
      <w:r w:rsidR="003478ED">
        <w:rPr>
          <w:rFonts w:ascii="Times New Roman" w:hAnsi="Times New Roman" w:cs="Times New Roman"/>
          <w:sz w:val="28"/>
          <w:szCs w:val="28"/>
          <w:lang w:val="en-US"/>
        </w:rPr>
        <w:t>soluble vascular cell adhesion molecule type 1</w:t>
      </w:r>
      <w:r w:rsidR="00D17964" w:rsidRPr="00D17964">
        <w:rPr>
          <w:rFonts w:ascii="Times New Roman" w:hAnsi="Times New Roman" w:cs="Times New Roman"/>
          <w:sz w:val="28"/>
          <w:szCs w:val="28"/>
          <w:lang w:val="en-US"/>
        </w:rPr>
        <w:t xml:space="preserve"> as a marker of endothelium dysfunction and i</w:t>
      </w:r>
      <w:r w:rsidR="00B0763D">
        <w:rPr>
          <w:rFonts w:ascii="Times New Roman" w:hAnsi="Times New Roman" w:cs="Times New Roman"/>
          <w:sz w:val="28"/>
          <w:szCs w:val="28"/>
          <w:lang w:val="en-US"/>
        </w:rPr>
        <w:t>mmune-inflammatory status in patients with AH</w:t>
      </w:r>
      <w:r w:rsidR="00D17964" w:rsidRPr="00D17964">
        <w:rPr>
          <w:rFonts w:ascii="Times New Roman" w:hAnsi="Times New Roman" w:cs="Times New Roman"/>
          <w:sz w:val="28"/>
          <w:szCs w:val="28"/>
          <w:lang w:val="en-US"/>
        </w:rPr>
        <w:t xml:space="preserve"> and </w:t>
      </w:r>
      <w:r w:rsidR="00B0763D">
        <w:rPr>
          <w:rFonts w:ascii="Times New Roman" w:hAnsi="Times New Roman" w:cs="Times New Roman"/>
          <w:sz w:val="28"/>
          <w:szCs w:val="28"/>
          <w:lang w:val="en-US"/>
        </w:rPr>
        <w:t>type 2 DM</w:t>
      </w:r>
      <w:r w:rsidR="00D17964" w:rsidRPr="00D17964">
        <w:rPr>
          <w:rFonts w:ascii="Times New Roman" w:hAnsi="Times New Roman" w:cs="Times New Roman"/>
          <w:sz w:val="28"/>
          <w:szCs w:val="28"/>
          <w:lang w:val="en-US"/>
        </w:rPr>
        <w:t xml:space="preserve"> has been refined. </w:t>
      </w:r>
      <w:r w:rsidR="00D17964" w:rsidRPr="00B0763D">
        <w:rPr>
          <w:rFonts w:ascii="Times New Roman" w:hAnsi="Times New Roman" w:cs="Times New Roman"/>
          <w:sz w:val="28"/>
          <w:szCs w:val="28"/>
          <w:lang w:val="en-US"/>
        </w:rPr>
        <w:t>Scien</w:t>
      </w:r>
      <w:r w:rsidR="00B0763D">
        <w:rPr>
          <w:rFonts w:ascii="Times New Roman" w:hAnsi="Times New Roman" w:cs="Times New Roman"/>
          <w:sz w:val="28"/>
          <w:szCs w:val="28"/>
          <w:lang w:val="en-US"/>
        </w:rPr>
        <w:t>tific data about</w:t>
      </w:r>
      <w:r w:rsidR="00D17964" w:rsidRPr="00D17964">
        <w:rPr>
          <w:rFonts w:ascii="Times New Roman" w:hAnsi="Times New Roman" w:cs="Times New Roman"/>
          <w:sz w:val="28"/>
          <w:szCs w:val="28"/>
          <w:lang w:val="en-US"/>
        </w:rPr>
        <w:t xml:space="preserve"> the importance of immune-stimulating mechanisms in cardiovascular function</w:t>
      </w:r>
      <w:r w:rsidR="00B0763D">
        <w:rPr>
          <w:rFonts w:ascii="Times New Roman" w:hAnsi="Times New Roman" w:cs="Times New Roman"/>
          <w:sz w:val="28"/>
          <w:szCs w:val="28"/>
          <w:lang w:val="en-US"/>
        </w:rPr>
        <w:t xml:space="preserve"> disorders</w:t>
      </w:r>
      <w:r w:rsidR="00D17964" w:rsidRPr="00D17964">
        <w:rPr>
          <w:rFonts w:ascii="Times New Roman" w:hAnsi="Times New Roman" w:cs="Times New Roman"/>
          <w:sz w:val="28"/>
          <w:szCs w:val="28"/>
          <w:lang w:val="en-US"/>
        </w:rPr>
        <w:t xml:space="preserve"> are expanded. The </w:t>
      </w:r>
      <w:r w:rsidR="00B0763D">
        <w:rPr>
          <w:rFonts w:ascii="Times New Roman" w:hAnsi="Times New Roman" w:cs="Times New Roman"/>
          <w:sz w:val="28"/>
          <w:szCs w:val="28"/>
          <w:lang w:val="en-US"/>
        </w:rPr>
        <w:t>increased levels</w:t>
      </w:r>
      <w:r w:rsidR="00D17964" w:rsidRPr="00D17964">
        <w:rPr>
          <w:rFonts w:ascii="Times New Roman" w:hAnsi="Times New Roman" w:cs="Times New Roman"/>
          <w:sz w:val="28"/>
          <w:szCs w:val="28"/>
          <w:lang w:val="en-US"/>
        </w:rPr>
        <w:t xml:space="preserve"> of tumor necrosis</w:t>
      </w:r>
      <w:r w:rsidR="00B0763D">
        <w:rPr>
          <w:rFonts w:ascii="Times New Roman" w:hAnsi="Times New Roman" w:cs="Times New Roman"/>
          <w:sz w:val="28"/>
          <w:szCs w:val="28"/>
          <w:lang w:val="en-US"/>
        </w:rPr>
        <w:t xml:space="preserve"> factor-α</w:t>
      </w:r>
      <w:r w:rsidR="00D17964" w:rsidRPr="00D17964">
        <w:rPr>
          <w:rFonts w:ascii="Times New Roman" w:hAnsi="Times New Roman" w:cs="Times New Roman"/>
          <w:sz w:val="28"/>
          <w:szCs w:val="28"/>
          <w:lang w:val="en-US"/>
        </w:rPr>
        <w:t xml:space="preserve"> </w:t>
      </w:r>
      <w:r w:rsidR="00B0763D">
        <w:rPr>
          <w:rFonts w:ascii="Times New Roman" w:hAnsi="Times New Roman" w:cs="Times New Roman"/>
          <w:sz w:val="28"/>
          <w:szCs w:val="28"/>
          <w:lang w:val="en-US"/>
        </w:rPr>
        <w:t xml:space="preserve">were connected </w:t>
      </w:r>
      <w:r w:rsidR="00D17964" w:rsidRPr="00D17964">
        <w:rPr>
          <w:rFonts w:ascii="Times New Roman" w:hAnsi="Times New Roman" w:cs="Times New Roman"/>
          <w:sz w:val="28"/>
          <w:szCs w:val="28"/>
          <w:lang w:val="en-US"/>
        </w:rPr>
        <w:t xml:space="preserve">with the progression of </w:t>
      </w:r>
      <w:r w:rsidR="00B0763D">
        <w:rPr>
          <w:rFonts w:ascii="Times New Roman" w:hAnsi="Times New Roman" w:cs="Times New Roman"/>
          <w:sz w:val="28"/>
          <w:szCs w:val="28"/>
          <w:lang w:val="en-US"/>
        </w:rPr>
        <w:t>heart failure in people with AH and</w:t>
      </w:r>
      <w:r w:rsidR="004D1EA8">
        <w:rPr>
          <w:rFonts w:ascii="Times New Roman" w:hAnsi="Times New Roman" w:cs="Times New Roman"/>
          <w:sz w:val="28"/>
          <w:szCs w:val="28"/>
          <w:lang w:val="en-US"/>
        </w:rPr>
        <w:t xml:space="preserve"> </w:t>
      </w:r>
      <w:r w:rsidR="004D1EA8" w:rsidRPr="004D1EA8">
        <w:rPr>
          <w:rFonts w:ascii="Times New Roman" w:hAnsi="Times New Roman" w:cs="Times New Roman"/>
          <w:sz w:val="28"/>
          <w:szCs w:val="28"/>
          <w:lang w:val="en-US"/>
        </w:rPr>
        <w:t>type 2 DM</w:t>
      </w:r>
      <w:r w:rsidR="00D17964" w:rsidRPr="00D17964">
        <w:rPr>
          <w:rFonts w:ascii="Times New Roman" w:hAnsi="Times New Roman" w:cs="Times New Roman"/>
          <w:sz w:val="28"/>
          <w:szCs w:val="28"/>
          <w:lang w:val="en-US"/>
        </w:rPr>
        <w:t xml:space="preserve">. </w:t>
      </w:r>
      <w:r w:rsidR="00B0763D">
        <w:rPr>
          <w:rFonts w:ascii="Times New Roman" w:hAnsi="Times New Roman" w:cs="Times New Roman"/>
          <w:sz w:val="28"/>
          <w:szCs w:val="28"/>
          <w:lang w:val="en-US"/>
        </w:rPr>
        <w:t xml:space="preserve">It is better to calculate the </w:t>
      </w:r>
      <w:r w:rsidR="009F34EE">
        <w:rPr>
          <w:rFonts w:ascii="Times New Roman" w:hAnsi="Times New Roman" w:cs="Times New Roman"/>
          <w:sz w:val="28"/>
          <w:szCs w:val="28"/>
          <w:lang w:val="en-US"/>
        </w:rPr>
        <w:t>LV mass index</w:t>
      </w:r>
      <w:r w:rsidR="00B0763D" w:rsidRPr="00B0763D">
        <w:rPr>
          <w:rFonts w:ascii="Times New Roman" w:hAnsi="Times New Roman" w:cs="Times New Roman"/>
          <w:sz w:val="28"/>
          <w:szCs w:val="28"/>
          <w:lang w:val="en-US"/>
        </w:rPr>
        <w:t xml:space="preserve"> as a </w:t>
      </w:r>
      <w:r w:rsidR="00B0763D">
        <w:rPr>
          <w:rFonts w:ascii="Times New Roman" w:hAnsi="Times New Roman" w:cs="Times New Roman"/>
          <w:sz w:val="28"/>
          <w:szCs w:val="28"/>
          <w:lang w:val="en-US"/>
        </w:rPr>
        <w:t>left ventricular mass</w:t>
      </w:r>
      <w:r w:rsidR="00B0763D" w:rsidRPr="00B0763D">
        <w:rPr>
          <w:rFonts w:ascii="Times New Roman" w:hAnsi="Times New Roman" w:cs="Times New Roman"/>
          <w:sz w:val="28"/>
          <w:szCs w:val="28"/>
          <w:lang w:val="en-US"/>
        </w:rPr>
        <w:t xml:space="preserve"> </w:t>
      </w:r>
      <w:r w:rsidR="00B0763D">
        <w:rPr>
          <w:rFonts w:ascii="Times New Roman" w:hAnsi="Times New Roman" w:cs="Times New Roman"/>
          <w:sz w:val="28"/>
          <w:szCs w:val="28"/>
          <w:lang w:val="en-US"/>
        </w:rPr>
        <w:t>to</w:t>
      </w:r>
      <w:r w:rsidR="00452696">
        <w:rPr>
          <w:rFonts w:ascii="Times New Roman" w:hAnsi="Times New Roman" w:cs="Times New Roman"/>
          <w:sz w:val="28"/>
          <w:szCs w:val="28"/>
          <w:lang w:val="en-US"/>
        </w:rPr>
        <w:t xml:space="preserve"> height in the degree of 2,</w:t>
      </w:r>
      <w:r w:rsidR="00B0763D" w:rsidRPr="00D17964">
        <w:rPr>
          <w:rFonts w:ascii="Times New Roman" w:hAnsi="Times New Roman" w:cs="Times New Roman"/>
          <w:sz w:val="28"/>
          <w:szCs w:val="28"/>
          <w:lang w:val="en-US"/>
        </w:rPr>
        <w:t>7</w:t>
      </w:r>
      <w:r w:rsidR="00B0763D">
        <w:rPr>
          <w:rFonts w:ascii="Times New Roman" w:hAnsi="Times New Roman" w:cs="Times New Roman"/>
          <w:sz w:val="28"/>
          <w:szCs w:val="28"/>
          <w:lang w:val="en-US"/>
        </w:rPr>
        <w:t xml:space="preserve"> ratio </w:t>
      </w:r>
      <w:r w:rsidR="00D17964" w:rsidRPr="00D17964">
        <w:rPr>
          <w:rFonts w:ascii="Times New Roman" w:hAnsi="Times New Roman" w:cs="Times New Roman"/>
          <w:sz w:val="28"/>
          <w:szCs w:val="28"/>
          <w:lang w:val="en-US"/>
        </w:rPr>
        <w:t>in order to avoid hypodiagnos</w:t>
      </w:r>
      <w:r w:rsidR="00B0763D">
        <w:rPr>
          <w:rFonts w:ascii="Times New Roman" w:hAnsi="Times New Roman" w:cs="Times New Roman"/>
          <w:sz w:val="28"/>
          <w:szCs w:val="28"/>
          <w:lang w:val="en-US"/>
        </w:rPr>
        <w:t>tic</w:t>
      </w:r>
      <w:r w:rsidR="00D17964" w:rsidRPr="00D17964">
        <w:rPr>
          <w:rFonts w:ascii="Times New Roman" w:hAnsi="Times New Roman" w:cs="Times New Roman"/>
          <w:sz w:val="28"/>
          <w:szCs w:val="28"/>
          <w:lang w:val="en-US"/>
        </w:rPr>
        <w:t xml:space="preserve">s of myocardial hypertrophy, due to the presence of concomitant obesity. </w:t>
      </w:r>
      <w:r w:rsidR="00C03A4D">
        <w:rPr>
          <w:rFonts w:ascii="Times New Roman" w:hAnsi="Times New Roman" w:cs="Times New Roman"/>
          <w:sz w:val="28"/>
          <w:szCs w:val="28"/>
          <w:lang w:val="en-US"/>
        </w:rPr>
        <w:t>A</w:t>
      </w:r>
      <w:r w:rsidR="00D17964" w:rsidRPr="00D17964">
        <w:rPr>
          <w:rFonts w:ascii="Times New Roman" w:hAnsi="Times New Roman" w:cs="Times New Roman"/>
          <w:sz w:val="28"/>
          <w:szCs w:val="28"/>
          <w:lang w:val="en-US"/>
        </w:rPr>
        <w:t>torvastatin</w:t>
      </w:r>
      <w:r w:rsidR="001A78AF">
        <w:rPr>
          <w:rFonts w:ascii="Times New Roman" w:hAnsi="Times New Roman" w:cs="Times New Roman"/>
          <w:sz w:val="28"/>
          <w:szCs w:val="28"/>
          <w:lang w:val="en-US"/>
        </w:rPr>
        <w:t xml:space="preserve"> prescription</w:t>
      </w:r>
      <w:r w:rsidR="00D17964" w:rsidRPr="00D17964">
        <w:rPr>
          <w:rFonts w:ascii="Times New Roman" w:hAnsi="Times New Roman" w:cs="Times New Roman"/>
          <w:sz w:val="28"/>
          <w:szCs w:val="28"/>
          <w:lang w:val="en-US"/>
        </w:rPr>
        <w:t xml:space="preserve"> in patients with </w:t>
      </w:r>
      <w:r w:rsidR="001A78AF">
        <w:rPr>
          <w:rFonts w:ascii="Times New Roman" w:hAnsi="Times New Roman" w:cs="Times New Roman"/>
          <w:sz w:val="28"/>
          <w:szCs w:val="28"/>
          <w:lang w:val="en-US"/>
        </w:rPr>
        <w:t>AH</w:t>
      </w:r>
      <w:r w:rsidR="00D17964" w:rsidRPr="00D17964">
        <w:rPr>
          <w:rFonts w:ascii="Times New Roman" w:hAnsi="Times New Roman" w:cs="Times New Roman"/>
          <w:sz w:val="28"/>
          <w:szCs w:val="28"/>
          <w:lang w:val="en-US"/>
        </w:rPr>
        <w:t xml:space="preserve"> and type 2 </w:t>
      </w:r>
      <w:r w:rsidR="001A78AF">
        <w:rPr>
          <w:rFonts w:ascii="Times New Roman" w:hAnsi="Times New Roman" w:cs="Times New Roman"/>
          <w:sz w:val="28"/>
          <w:szCs w:val="28"/>
          <w:lang w:val="en-US"/>
        </w:rPr>
        <w:t xml:space="preserve">DM </w:t>
      </w:r>
      <w:r w:rsidR="001374A8">
        <w:rPr>
          <w:rFonts w:ascii="Times New Roman" w:hAnsi="Times New Roman" w:cs="Times New Roman"/>
          <w:sz w:val="28"/>
          <w:szCs w:val="28"/>
          <w:lang w:val="en-US"/>
        </w:rPr>
        <w:t>is necess</w:t>
      </w:r>
      <w:r w:rsidR="00C03A4D">
        <w:rPr>
          <w:rFonts w:ascii="Times New Roman" w:hAnsi="Times New Roman" w:cs="Times New Roman"/>
          <w:sz w:val="28"/>
          <w:szCs w:val="28"/>
          <w:lang w:val="en-US"/>
        </w:rPr>
        <w:t xml:space="preserve">ary </w:t>
      </w:r>
      <w:r w:rsidR="00D17964" w:rsidRPr="00D17964">
        <w:rPr>
          <w:rFonts w:ascii="Times New Roman" w:hAnsi="Times New Roman" w:cs="Times New Roman"/>
          <w:sz w:val="28"/>
          <w:szCs w:val="28"/>
          <w:lang w:val="en-US"/>
        </w:rPr>
        <w:t xml:space="preserve">for </w:t>
      </w:r>
      <w:r w:rsidR="001A78AF">
        <w:rPr>
          <w:rFonts w:ascii="Times New Roman" w:hAnsi="Times New Roman" w:cs="Times New Roman"/>
          <w:sz w:val="28"/>
          <w:szCs w:val="28"/>
          <w:lang w:val="en-US"/>
        </w:rPr>
        <w:t>correction dyslipidemia, which is the</w:t>
      </w:r>
      <w:r w:rsidR="00D17964" w:rsidRPr="00D17964">
        <w:rPr>
          <w:rFonts w:ascii="Times New Roman" w:hAnsi="Times New Roman" w:cs="Times New Roman"/>
          <w:sz w:val="28"/>
          <w:szCs w:val="28"/>
          <w:lang w:val="en-US"/>
        </w:rPr>
        <w:t xml:space="preserve"> basis of nephros</w:t>
      </w:r>
      <w:r w:rsidR="001A78AF">
        <w:rPr>
          <w:rFonts w:ascii="Times New Roman" w:hAnsi="Times New Roman" w:cs="Times New Roman"/>
          <w:sz w:val="28"/>
          <w:szCs w:val="28"/>
          <w:lang w:val="en-US"/>
        </w:rPr>
        <w:t>clerosis connected with nephropathy</w:t>
      </w:r>
      <w:r w:rsidR="00D17964" w:rsidRPr="00D17964">
        <w:rPr>
          <w:rFonts w:ascii="Times New Roman" w:hAnsi="Times New Roman" w:cs="Times New Roman"/>
          <w:sz w:val="28"/>
          <w:szCs w:val="28"/>
          <w:lang w:val="en-US"/>
        </w:rPr>
        <w:t>, and cardiosclerosis, which leads to increased stiffness of the cardi</w:t>
      </w:r>
      <w:r w:rsidR="001A78AF">
        <w:rPr>
          <w:rFonts w:ascii="Times New Roman" w:hAnsi="Times New Roman" w:cs="Times New Roman"/>
          <w:sz w:val="28"/>
          <w:szCs w:val="28"/>
          <w:lang w:val="en-US"/>
        </w:rPr>
        <w:t>ac muscle and disturbance of</w:t>
      </w:r>
      <w:r w:rsidR="00D17964" w:rsidRPr="00D17964">
        <w:rPr>
          <w:rFonts w:ascii="Times New Roman" w:hAnsi="Times New Roman" w:cs="Times New Roman"/>
          <w:sz w:val="28"/>
          <w:szCs w:val="28"/>
          <w:lang w:val="en-US"/>
        </w:rPr>
        <w:t xml:space="preserve"> diastolic functions</w:t>
      </w:r>
      <w:r w:rsidR="001A78AF">
        <w:rPr>
          <w:rFonts w:ascii="Times New Roman" w:hAnsi="Times New Roman" w:cs="Times New Roman"/>
          <w:sz w:val="28"/>
          <w:szCs w:val="28"/>
          <w:lang w:val="en-US"/>
        </w:rPr>
        <w:t>.</w:t>
      </w:r>
      <w:r w:rsidR="00D17964" w:rsidRPr="00D17964">
        <w:rPr>
          <w:rFonts w:ascii="Times New Roman" w:hAnsi="Times New Roman" w:cs="Times New Roman"/>
          <w:sz w:val="28"/>
          <w:szCs w:val="28"/>
          <w:lang w:val="en-US"/>
        </w:rPr>
        <w:t xml:space="preserve"> </w:t>
      </w:r>
      <w:r w:rsidR="001A78AF">
        <w:rPr>
          <w:rFonts w:ascii="Times New Roman" w:hAnsi="Times New Roman" w:cs="Times New Roman"/>
          <w:sz w:val="28"/>
          <w:szCs w:val="28"/>
          <w:lang w:val="en-US"/>
        </w:rPr>
        <w:t>I</w:t>
      </w:r>
      <w:r w:rsidR="00D17964" w:rsidRPr="00D17964">
        <w:rPr>
          <w:rFonts w:ascii="Times New Roman" w:hAnsi="Times New Roman" w:cs="Times New Roman"/>
          <w:sz w:val="28"/>
          <w:szCs w:val="28"/>
          <w:lang w:val="en-US"/>
        </w:rPr>
        <w:t>t ha</w:t>
      </w:r>
      <w:r w:rsidR="001A78AF">
        <w:rPr>
          <w:rFonts w:ascii="Times New Roman" w:hAnsi="Times New Roman" w:cs="Times New Roman"/>
          <w:sz w:val="28"/>
          <w:szCs w:val="28"/>
          <w:lang w:val="en-US"/>
        </w:rPr>
        <w:t>s been shown that telmisartan was</w:t>
      </w:r>
      <w:r w:rsidR="00D17964" w:rsidRPr="00D17964">
        <w:rPr>
          <w:rFonts w:ascii="Times New Roman" w:hAnsi="Times New Roman" w:cs="Times New Roman"/>
          <w:sz w:val="28"/>
          <w:szCs w:val="28"/>
          <w:lang w:val="en-US"/>
        </w:rPr>
        <w:t xml:space="preserve"> not </w:t>
      </w:r>
      <w:r w:rsidR="001A78AF">
        <w:rPr>
          <w:rFonts w:ascii="Times New Roman" w:hAnsi="Times New Roman" w:cs="Times New Roman"/>
          <w:sz w:val="28"/>
          <w:szCs w:val="28"/>
          <w:lang w:val="en-US"/>
        </w:rPr>
        <w:t>worsed than</w:t>
      </w:r>
      <w:r w:rsidR="00D17964" w:rsidRPr="00D17964">
        <w:rPr>
          <w:rFonts w:ascii="Times New Roman" w:hAnsi="Times New Roman" w:cs="Times New Roman"/>
          <w:sz w:val="28"/>
          <w:szCs w:val="28"/>
          <w:lang w:val="en-US"/>
        </w:rPr>
        <w:t xml:space="preserve"> lisinopril </w:t>
      </w:r>
      <w:r w:rsidR="001A78AF">
        <w:rPr>
          <w:rFonts w:ascii="Times New Roman" w:hAnsi="Times New Roman" w:cs="Times New Roman"/>
          <w:sz w:val="28"/>
          <w:szCs w:val="28"/>
          <w:lang w:val="en-US"/>
        </w:rPr>
        <w:t xml:space="preserve">by </w:t>
      </w:r>
      <w:r w:rsidR="00D17964" w:rsidRPr="00D17964">
        <w:rPr>
          <w:rFonts w:ascii="Times New Roman" w:hAnsi="Times New Roman" w:cs="Times New Roman"/>
          <w:sz w:val="28"/>
          <w:szCs w:val="28"/>
          <w:lang w:val="en-US"/>
        </w:rPr>
        <w:t xml:space="preserve">nephroprotective and cardioprotective properties, in patients with </w:t>
      </w:r>
      <w:r w:rsidR="001A78AF">
        <w:rPr>
          <w:rFonts w:ascii="Times New Roman" w:hAnsi="Times New Roman" w:cs="Times New Roman"/>
          <w:sz w:val="28"/>
          <w:szCs w:val="28"/>
          <w:lang w:val="en-US"/>
        </w:rPr>
        <w:t>AH</w:t>
      </w:r>
      <w:r w:rsidR="001374A8">
        <w:rPr>
          <w:rFonts w:ascii="Times New Roman" w:hAnsi="Times New Roman" w:cs="Times New Roman"/>
          <w:sz w:val="28"/>
          <w:szCs w:val="28"/>
          <w:lang w:val="en-US"/>
        </w:rPr>
        <w:t xml:space="preserve"> and type 2 DM</w:t>
      </w:r>
      <w:r w:rsidR="00D17964" w:rsidRPr="00D17964">
        <w:rPr>
          <w:rFonts w:ascii="Times New Roman" w:hAnsi="Times New Roman" w:cs="Times New Roman"/>
          <w:sz w:val="28"/>
          <w:szCs w:val="28"/>
          <w:lang w:val="en-US"/>
        </w:rPr>
        <w:t xml:space="preserve">. </w:t>
      </w:r>
      <w:r w:rsidR="001A78AF">
        <w:rPr>
          <w:rFonts w:ascii="Times New Roman" w:hAnsi="Times New Roman" w:cs="Times New Roman"/>
          <w:sz w:val="28"/>
          <w:szCs w:val="28"/>
          <w:lang w:val="en-US"/>
        </w:rPr>
        <w:t>At first w</w:t>
      </w:r>
      <w:r w:rsidR="00E3719A" w:rsidRPr="00E729DA">
        <w:rPr>
          <w:rFonts w:ascii="Times New Roman" w:hAnsi="Times New Roman" w:cs="Times New Roman"/>
          <w:sz w:val="28"/>
          <w:szCs w:val="28"/>
          <w:lang w:val="en-US"/>
        </w:rPr>
        <w:t>e developed</w:t>
      </w:r>
      <w:r w:rsidR="00E3719A" w:rsidRPr="00E3719A">
        <w:rPr>
          <w:rFonts w:ascii="Times New Roman" w:hAnsi="Times New Roman" w:cs="Times New Roman"/>
          <w:sz w:val="28"/>
          <w:szCs w:val="28"/>
          <w:lang w:val="en-US"/>
        </w:rPr>
        <w:t xml:space="preserve"> the differentiated approach of telmisartan pre</w:t>
      </w:r>
      <w:r w:rsidR="00452696">
        <w:rPr>
          <w:rFonts w:ascii="Times New Roman" w:hAnsi="Times New Roman" w:cs="Times New Roman"/>
          <w:sz w:val="28"/>
          <w:szCs w:val="28"/>
          <w:lang w:val="en-US"/>
        </w:rPr>
        <w:t>scription for patients with</w:t>
      </w:r>
      <w:r w:rsidR="00E3719A" w:rsidRPr="00E3719A">
        <w:rPr>
          <w:rFonts w:ascii="Times New Roman" w:hAnsi="Times New Roman" w:cs="Times New Roman"/>
          <w:sz w:val="28"/>
          <w:szCs w:val="28"/>
          <w:lang w:val="en-US"/>
        </w:rPr>
        <w:t xml:space="preserve"> </w:t>
      </w:r>
      <w:r w:rsidR="001A78AF">
        <w:rPr>
          <w:rFonts w:ascii="Times New Roman" w:hAnsi="Times New Roman" w:cs="Times New Roman"/>
          <w:sz w:val="28"/>
          <w:szCs w:val="28"/>
          <w:lang w:val="en-US"/>
        </w:rPr>
        <w:t xml:space="preserve">AH and type </w:t>
      </w:r>
      <w:r w:rsidR="00E3719A" w:rsidRPr="00E3719A">
        <w:rPr>
          <w:rFonts w:ascii="Times New Roman" w:hAnsi="Times New Roman" w:cs="Times New Roman"/>
          <w:sz w:val="28"/>
          <w:szCs w:val="28"/>
          <w:lang w:val="en-US"/>
        </w:rPr>
        <w:t xml:space="preserve">2 DM for nephro- and cardioprotection according to the level of </w:t>
      </w:r>
      <w:r>
        <w:rPr>
          <w:rFonts w:ascii="Times New Roman" w:hAnsi="Times New Roman" w:cs="Times New Roman"/>
          <w:sz w:val="28"/>
          <w:szCs w:val="28"/>
          <w:lang w:val="en-US"/>
        </w:rPr>
        <w:t>endothelin</w:t>
      </w:r>
      <w:r w:rsidR="00E3719A" w:rsidRPr="00E3719A">
        <w:rPr>
          <w:rFonts w:ascii="Times New Roman" w:hAnsi="Times New Roman" w:cs="Times New Roman"/>
          <w:sz w:val="28"/>
          <w:szCs w:val="28"/>
          <w:lang w:val="en-US"/>
        </w:rPr>
        <w:t xml:space="preserve">-1. If the level of </w:t>
      </w:r>
      <w:r>
        <w:rPr>
          <w:rFonts w:ascii="Times New Roman" w:hAnsi="Times New Roman" w:cs="Times New Roman"/>
          <w:sz w:val="28"/>
          <w:szCs w:val="28"/>
          <w:lang w:val="en-US"/>
        </w:rPr>
        <w:t xml:space="preserve">this indicator </w:t>
      </w:r>
      <w:r w:rsidR="00E3719A" w:rsidRPr="00E3719A">
        <w:rPr>
          <w:rFonts w:ascii="Times New Roman" w:hAnsi="Times New Roman" w:cs="Times New Roman"/>
          <w:sz w:val="28"/>
          <w:szCs w:val="28"/>
          <w:lang w:val="en-US"/>
        </w:rPr>
        <w:t xml:space="preserve">is less </w:t>
      </w:r>
      <w:r>
        <w:rPr>
          <w:rFonts w:ascii="Times New Roman" w:hAnsi="Times New Roman" w:cs="Times New Roman"/>
          <w:sz w:val="28"/>
          <w:szCs w:val="28"/>
          <w:lang w:val="en-US"/>
        </w:rPr>
        <w:t xml:space="preserve">than </w:t>
      </w:r>
      <w:r w:rsidR="00E3719A" w:rsidRPr="00E3719A">
        <w:rPr>
          <w:rFonts w:ascii="Times New Roman" w:hAnsi="Times New Roman" w:cs="Times New Roman"/>
          <w:sz w:val="28"/>
          <w:szCs w:val="28"/>
          <w:lang w:val="en-US"/>
        </w:rPr>
        <w:t>10 pg/ml, the dose o</w:t>
      </w:r>
      <w:r>
        <w:rPr>
          <w:rFonts w:ascii="Times New Roman" w:hAnsi="Times New Roman" w:cs="Times New Roman"/>
          <w:sz w:val="28"/>
          <w:szCs w:val="28"/>
          <w:lang w:val="en-US"/>
        </w:rPr>
        <w:t xml:space="preserve">f telmisartan is </w:t>
      </w:r>
      <w:r w:rsidR="00E3719A" w:rsidRPr="00E3719A">
        <w:rPr>
          <w:rFonts w:ascii="Times New Roman" w:hAnsi="Times New Roman" w:cs="Times New Roman"/>
          <w:sz w:val="28"/>
          <w:szCs w:val="28"/>
          <w:lang w:val="en-US"/>
        </w:rPr>
        <w:t>40 mg/</w:t>
      </w:r>
      <w:r>
        <w:rPr>
          <w:rFonts w:ascii="Times New Roman" w:hAnsi="Times New Roman" w:cs="Times New Roman"/>
          <w:sz w:val="28"/>
          <w:szCs w:val="28"/>
          <w:lang w:val="en-US"/>
        </w:rPr>
        <w:t>day, if the level of endothelin-1</w:t>
      </w:r>
      <w:r w:rsidR="00E3719A" w:rsidRPr="00E3719A">
        <w:rPr>
          <w:rFonts w:ascii="Times New Roman" w:hAnsi="Times New Roman" w:cs="Times New Roman"/>
          <w:sz w:val="28"/>
          <w:szCs w:val="28"/>
          <w:lang w:val="en-US"/>
        </w:rPr>
        <w:t xml:space="preserve"> is more</w:t>
      </w:r>
      <w:r w:rsidR="00452696">
        <w:rPr>
          <w:rFonts w:ascii="Times New Roman" w:hAnsi="Times New Roman" w:cs="Times New Roman"/>
          <w:sz w:val="28"/>
          <w:szCs w:val="28"/>
          <w:lang w:val="en-US"/>
        </w:rPr>
        <w:t xml:space="preserve"> than</w:t>
      </w:r>
      <w:r w:rsidR="00E3719A" w:rsidRPr="00E3719A">
        <w:rPr>
          <w:rFonts w:ascii="Times New Roman" w:hAnsi="Times New Roman" w:cs="Times New Roman"/>
          <w:sz w:val="28"/>
          <w:szCs w:val="28"/>
          <w:lang w:val="en-US"/>
        </w:rPr>
        <w:t xml:space="preserve"> 10 pg/ml</w:t>
      </w:r>
      <w:r w:rsidR="001A78AF">
        <w:rPr>
          <w:rFonts w:ascii="Times New Roman" w:hAnsi="Times New Roman" w:cs="Times New Roman"/>
          <w:sz w:val="28"/>
          <w:szCs w:val="28"/>
          <w:lang w:val="en-US"/>
        </w:rPr>
        <w:t>,</w:t>
      </w:r>
      <w:r w:rsidR="00E3719A" w:rsidRPr="00E3719A">
        <w:rPr>
          <w:rFonts w:ascii="Times New Roman" w:hAnsi="Times New Roman" w:cs="Times New Roman"/>
          <w:sz w:val="28"/>
          <w:szCs w:val="28"/>
          <w:lang w:val="en-US"/>
        </w:rPr>
        <w:t xml:space="preserve"> the dose of telmisartan is 80 mg / day.</w:t>
      </w:r>
    </w:p>
    <w:p w:rsidR="00302EB0" w:rsidRPr="00E3719A" w:rsidRDefault="00866F92" w:rsidP="000C3F6B">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2B58A2">
        <w:rPr>
          <w:rFonts w:ascii="Times New Roman" w:hAnsi="Times New Roman" w:cs="Times New Roman"/>
          <w:sz w:val="28"/>
          <w:szCs w:val="28"/>
          <w:lang w:val="en-US"/>
        </w:rPr>
        <w:t xml:space="preserve">Practical importance of </w:t>
      </w:r>
      <w:r w:rsidR="00FE6DDC">
        <w:rPr>
          <w:rFonts w:ascii="Times New Roman" w:hAnsi="Times New Roman" w:cs="Times New Roman"/>
          <w:sz w:val="28"/>
          <w:szCs w:val="28"/>
          <w:lang w:val="en-US"/>
        </w:rPr>
        <w:t xml:space="preserve">the </w:t>
      </w:r>
      <w:r w:rsidR="002B58A2">
        <w:rPr>
          <w:rFonts w:ascii="Times New Roman" w:hAnsi="Times New Roman" w:cs="Times New Roman"/>
          <w:sz w:val="28"/>
          <w:szCs w:val="28"/>
          <w:lang w:val="en-US"/>
        </w:rPr>
        <w:t xml:space="preserve">results. </w:t>
      </w:r>
      <w:r w:rsidR="00FE6DDC">
        <w:rPr>
          <w:rFonts w:ascii="Times New Roman" w:hAnsi="Times New Roman" w:cs="Times New Roman"/>
          <w:sz w:val="28"/>
          <w:szCs w:val="28"/>
          <w:lang w:val="en-US"/>
        </w:rPr>
        <w:t>Such differential metho</w:t>
      </w:r>
      <w:r w:rsidR="00E21DCC">
        <w:rPr>
          <w:rFonts w:ascii="Times New Roman" w:hAnsi="Times New Roman" w:cs="Times New Roman"/>
          <w:sz w:val="28"/>
          <w:szCs w:val="28"/>
          <w:lang w:val="en-US"/>
        </w:rPr>
        <w:t>d of prescription telmisartan</w:t>
      </w:r>
      <w:r w:rsidR="00DE3D48">
        <w:rPr>
          <w:rFonts w:ascii="Times New Roman" w:hAnsi="Times New Roman" w:cs="Times New Roman"/>
          <w:sz w:val="28"/>
          <w:szCs w:val="28"/>
          <w:lang w:val="en-US"/>
        </w:rPr>
        <w:t xml:space="preserve"> 40 mg</w:t>
      </w:r>
      <w:r w:rsidR="00E21DCC">
        <w:rPr>
          <w:rFonts w:ascii="Times New Roman" w:hAnsi="Times New Roman" w:cs="Times New Roman"/>
          <w:sz w:val="28"/>
          <w:szCs w:val="28"/>
          <w:lang w:val="en-US"/>
        </w:rPr>
        <w:t>/day</w:t>
      </w:r>
      <w:r w:rsidR="001374A8">
        <w:rPr>
          <w:rFonts w:ascii="Times New Roman" w:hAnsi="Times New Roman" w:cs="Times New Roman"/>
          <w:sz w:val="28"/>
          <w:szCs w:val="28"/>
          <w:lang w:val="en-US"/>
        </w:rPr>
        <w:t>,</w:t>
      </w:r>
      <w:r w:rsidR="00DE3D48">
        <w:rPr>
          <w:rFonts w:ascii="Times New Roman" w:hAnsi="Times New Roman" w:cs="Times New Roman"/>
          <w:sz w:val="28"/>
          <w:szCs w:val="28"/>
          <w:lang w:val="en-US"/>
        </w:rPr>
        <w:t xml:space="preserve"> </w:t>
      </w:r>
      <w:r w:rsidR="002B58A2" w:rsidRPr="002B58A2">
        <w:rPr>
          <w:rFonts w:ascii="Times New Roman" w:hAnsi="Times New Roman" w:cs="Times New Roman"/>
          <w:sz w:val="28"/>
          <w:szCs w:val="28"/>
          <w:lang w:val="en-US"/>
        </w:rPr>
        <w:t xml:space="preserve">if the level of </w:t>
      </w:r>
      <w:r w:rsidR="00E21DCC">
        <w:rPr>
          <w:rFonts w:ascii="Times New Roman" w:hAnsi="Times New Roman" w:cs="Times New Roman"/>
          <w:sz w:val="28"/>
          <w:szCs w:val="28"/>
          <w:lang w:val="en-US"/>
        </w:rPr>
        <w:t>endothelin</w:t>
      </w:r>
      <w:r w:rsidR="002B58A2" w:rsidRPr="002B58A2">
        <w:rPr>
          <w:rFonts w:ascii="Times New Roman" w:hAnsi="Times New Roman" w:cs="Times New Roman"/>
          <w:sz w:val="28"/>
          <w:szCs w:val="28"/>
          <w:lang w:val="en-US"/>
        </w:rPr>
        <w:t xml:space="preserve"> </w:t>
      </w:r>
      <w:r w:rsidR="00DE3D48">
        <w:rPr>
          <w:rFonts w:ascii="Times New Roman" w:hAnsi="Times New Roman" w:cs="Times New Roman"/>
          <w:sz w:val="28"/>
          <w:szCs w:val="28"/>
          <w:lang w:val="en-US"/>
        </w:rPr>
        <w:t xml:space="preserve">is </w:t>
      </w:r>
      <w:r w:rsidR="00922574">
        <w:rPr>
          <w:rFonts w:ascii="Times New Roman" w:hAnsi="Times New Roman" w:cs="Times New Roman"/>
          <w:sz w:val="28"/>
          <w:szCs w:val="28"/>
          <w:lang w:val="en-US"/>
        </w:rPr>
        <w:t>less than 10 pg/</w:t>
      </w:r>
      <w:r w:rsidR="00E21DCC">
        <w:rPr>
          <w:rFonts w:ascii="Times New Roman" w:hAnsi="Times New Roman" w:cs="Times New Roman"/>
          <w:sz w:val="28"/>
          <w:szCs w:val="28"/>
          <w:lang w:val="en-US"/>
        </w:rPr>
        <w:t>ml</w:t>
      </w:r>
      <w:r w:rsidR="001374A8">
        <w:rPr>
          <w:rFonts w:ascii="Times New Roman" w:hAnsi="Times New Roman" w:cs="Times New Roman"/>
          <w:sz w:val="28"/>
          <w:szCs w:val="28"/>
          <w:lang w:val="en-US"/>
        </w:rPr>
        <w:t>,</w:t>
      </w:r>
      <w:r w:rsidR="00E21DCC">
        <w:rPr>
          <w:rFonts w:ascii="Times New Roman" w:hAnsi="Times New Roman" w:cs="Times New Roman"/>
          <w:sz w:val="28"/>
          <w:szCs w:val="28"/>
          <w:lang w:val="en-US"/>
        </w:rPr>
        <w:t xml:space="preserve"> and</w:t>
      </w:r>
      <w:r w:rsidR="00DE3D48">
        <w:rPr>
          <w:rFonts w:ascii="Times New Roman" w:hAnsi="Times New Roman" w:cs="Times New Roman"/>
          <w:sz w:val="28"/>
          <w:szCs w:val="28"/>
          <w:lang w:val="en-US"/>
        </w:rPr>
        <w:t xml:space="preserve"> 80 mg</w:t>
      </w:r>
      <w:r w:rsidR="00452696">
        <w:rPr>
          <w:rFonts w:ascii="Times New Roman" w:hAnsi="Times New Roman" w:cs="Times New Roman"/>
          <w:sz w:val="28"/>
          <w:szCs w:val="28"/>
          <w:lang w:val="en-US"/>
        </w:rPr>
        <w:t>/</w:t>
      </w:r>
      <w:r w:rsidR="00E21DCC">
        <w:rPr>
          <w:rFonts w:ascii="Times New Roman" w:hAnsi="Times New Roman" w:cs="Times New Roman"/>
          <w:sz w:val="28"/>
          <w:szCs w:val="28"/>
          <w:lang w:val="en-US"/>
        </w:rPr>
        <w:t>day</w:t>
      </w:r>
      <w:r w:rsidR="00DE3D48">
        <w:rPr>
          <w:rFonts w:ascii="Times New Roman" w:hAnsi="Times New Roman" w:cs="Times New Roman"/>
          <w:sz w:val="28"/>
          <w:szCs w:val="28"/>
          <w:lang w:val="en-US"/>
        </w:rPr>
        <w:t xml:space="preserve"> of</w:t>
      </w:r>
      <w:r w:rsidR="002B58A2" w:rsidRPr="002B58A2">
        <w:rPr>
          <w:rFonts w:ascii="Times New Roman" w:hAnsi="Times New Roman" w:cs="Times New Roman"/>
          <w:sz w:val="28"/>
          <w:szCs w:val="28"/>
          <w:lang w:val="en-US"/>
        </w:rPr>
        <w:t xml:space="preserve"> </w:t>
      </w:r>
      <w:r w:rsidR="002B58A2" w:rsidRPr="007428A2">
        <w:rPr>
          <w:rFonts w:ascii="Times New Roman" w:hAnsi="Times New Roman" w:cs="Times New Roman"/>
          <w:sz w:val="28"/>
          <w:szCs w:val="28"/>
          <w:lang w:val="en-US"/>
        </w:rPr>
        <w:t>corresponding</w:t>
      </w:r>
      <w:r w:rsidR="002B58A2" w:rsidRPr="002B58A2">
        <w:rPr>
          <w:rFonts w:ascii="Times New Roman" w:hAnsi="Times New Roman" w:cs="Times New Roman"/>
          <w:sz w:val="28"/>
          <w:szCs w:val="28"/>
          <w:lang w:val="en-US"/>
        </w:rPr>
        <w:t xml:space="preserve"> drug, if the leve</w:t>
      </w:r>
      <w:r w:rsidR="00922574">
        <w:rPr>
          <w:rFonts w:ascii="Times New Roman" w:hAnsi="Times New Roman" w:cs="Times New Roman"/>
          <w:sz w:val="28"/>
          <w:szCs w:val="28"/>
          <w:lang w:val="en-US"/>
        </w:rPr>
        <w:t>l of ET-1 is greater than 10 pg</w:t>
      </w:r>
      <w:r w:rsidR="002B58A2" w:rsidRPr="002B58A2">
        <w:rPr>
          <w:rFonts w:ascii="Times New Roman" w:hAnsi="Times New Roman" w:cs="Times New Roman"/>
          <w:sz w:val="28"/>
          <w:szCs w:val="28"/>
          <w:lang w:val="en-US"/>
        </w:rPr>
        <w:t>/</w:t>
      </w:r>
      <w:r w:rsidR="009542F5">
        <w:rPr>
          <w:rFonts w:ascii="Times New Roman" w:hAnsi="Times New Roman" w:cs="Times New Roman"/>
          <w:sz w:val="28"/>
          <w:szCs w:val="28"/>
          <w:lang w:val="en-US"/>
        </w:rPr>
        <w:t xml:space="preserve">ml in </w:t>
      </w:r>
      <w:r w:rsidR="009542F5">
        <w:rPr>
          <w:rFonts w:ascii="Times New Roman" w:hAnsi="Times New Roman" w:cs="Times New Roman"/>
          <w:sz w:val="28"/>
          <w:szCs w:val="28"/>
          <w:lang w:val="en-US"/>
        </w:rPr>
        <w:lastRenderedPageBreak/>
        <w:t xml:space="preserve">patients </w:t>
      </w:r>
      <w:r w:rsidR="00DE3D48">
        <w:rPr>
          <w:rFonts w:ascii="Times New Roman" w:hAnsi="Times New Roman" w:cs="Times New Roman"/>
          <w:sz w:val="28"/>
          <w:szCs w:val="28"/>
          <w:lang w:val="en-US"/>
        </w:rPr>
        <w:t>with</w:t>
      </w:r>
      <w:r w:rsidR="002B58A2" w:rsidRPr="002B58A2">
        <w:rPr>
          <w:rFonts w:ascii="Times New Roman" w:hAnsi="Times New Roman" w:cs="Times New Roman"/>
          <w:sz w:val="28"/>
          <w:szCs w:val="28"/>
          <w:lang w:val="en-US"/>
        </w:rPr>
        <w:t xml:space="preserve"> </w:t>
      </w:r>
      <w:r w:rsidR="00E21DCC">
        <w:rPr>
          <w:rFonts w:ascii="Times New Roman" w:hAnsi="Times New Roman" w:cs="Times New Roman"/>
          <w:sz w:val="28"/>
          <w:szCs w:val="28"/>
          <w:lang w:val="en-US"/>
        </w:rPr>
        <w:t xml:space="preserve">AH and </w:t>
      </w:r>
      <w:r w:rsidR="002B58A2" w:rsidRPr="002B58A2">
        <w:rPr>
          <w:rFonts w:ascii="Times New Roman" w:hAnsi="Times New Roman" w:cs="Times New Roman"/>
          <w:sz w:val="28"/>
          <w:szCs w:val="28"/>
          <w:lang w:val="en-US"/>
        </w:rPr>
        <w:t>type 2</w:t>
      </w:r>
      <w:r w:rsidR="00DE3D48">
        <w:rPr>
          <w:rFonts w:ascii="Times New Roman" w:hAnsi="Times New Roman" w:cs="Times New Roman"/>
          <w:sz w:val="28"/>
          <w:szCs w:val="28"/>
          <w:lang w:val="en-US"/>
        </w:rPr>
        <w:t xml:space="preserve"> DM</w:t>
      </w:r>
      <w:r w:rsidR="00E21DCC">
        <w:rPr>
          <w:rFonts w:ascii="Times New Roman" w:hAnsi="Times New Roman" w:cs="Times New Roman"/>
          <w:sz w:val="28"/>
          <w:szCs w:val="28"/>
          <w:lang w:val="en-US"/>
        </w:rPr>
        <w:t xml:space="preserve"> is important for vasculo-, cardio-, nephroprotection. </w:t>
      </w:r>
      <w:r w:rsidR="00261DB6">
        <w:rPr>
          <w:rFonts w:ascii="Times New Roman" w:hAnsi="Times New Roman" w:cs="Times New Roman"/>
          <w:sz w:val="28"/>
          <w:szCs w:val="28"/>
          <w:lang w:val="en-US"/>
        </w:rPr>
        <w:t>The d</w:t>
      </w:r>
      <w:r w:rsidR="00261DB6">
        <w:rPr>
          <w:rFonts w:ascii="Times New Roman" w:hAnsi="Times New Roman" w:cs="Times New Roman"/>
          <w:sz w:val="28"/>
          <w:szCs w:val="28"/>
          <w:lang w:val="uk-UA"/>
        </w:rPr>
        <w:t>etermin</w:t>
      </w:r>
      <w:r w:rsidR="00261DB6">
        <w:rPr>
          <w:rFonts w:ascii="Times New Roman" w:hAnsi="Times New Roman" w:cs="Times New Roman"/>
          <w:sz w:val="28"/>
          <w:szCs w:val="28"/>
          <w:lang w:val="en-US"/>
        </w:rPr>
        <w:t>ation</w:t>
      </w:r>
      <w:r w:rsidR="00261DB6" w:rsidRPr="00261DB6">
        <w:rPr>
          <w:rFonts w:ascii="Times New Roman" w:hAnsi="Times New Roman" w:cs="Times New Roman"/>
          <w:sz w:val="28"/>
          <w:szCs w:val="28"/>
          <w:lang w:val="uk-UA"/>
        </w:rPr>
        <w:t xml:space="preserve"> </w:t>
      </w:r>
      <w:r w:rsidR="00261DB6">
        <w:rPr>
          <w:rFonts w:ascii="Times New Roman" w:hAnsi="Times New Roman" w:cs="Times New Roman"/>
          <w:sz w:val="28"/>
          <w:szCs w:val="28"/>
          <w:lang w:val="en-US"/>
        </w:rPr>
        <w:t xml:space="preserve">of </w:t>
      </w:r>
      <w:r w:rsidR="00261DB6" w:rsidRPr="00261DB6">
        <w:rPr>
          <w:rFonts w:ascii="Times New Roman" w:hAnsi="Times New Roman" w:cs="Times New Roman"/>
          <w:sz w:val="28"/>
          <w:szCs w:val="28"/>
          <w:lang w:val="uk-UA"/>
        </w:rPr>
        <w:t xml:space="preserve">albumin to creatinine </w:t>
      </w:r>
      <w:r w:rsidR="00261DB6">
        <w:rPr>
          <w:rFonts w:ascii="Times New Roman" w:hAnsi="Times New Roman" w:cs="Times New Roman"/>
          <w:sz w:val="28"/>
          <w:szCs w:val="28"/>
          <w:lang w:val="en-US"/>
        </w:rPr>
        <w:t xml:space="preserve">ratio </w:t>
      </w:r>
      <w:r w:rsidR="00261DB6" w:rsidRPr="00261DB6">
        <w:rPr>
          <w:rFonts w:ascii="Times New Roman" w:hAnsi="Times New Roman" w:cs="Times New Roman"/>
          <w:sz w:val="28"/>
          <w:szCs w:val="28"/>
          <w:lang w:val="uk-UA"/>
        </w:rPr>
        <w:t xml:space="preserve">in a single morning urine </w:t>
      </w:r>
      <w:r w:rsidR="00261DB6">
        <w:rPr>
          <w:rFonts w:ascii="Times New Roman" w:hAnsi="Times New Roman" w:cs="Times New Roman"/>
          <w:sz w:val="28"/>
          <w:szCs w:val="28"/>
          <w:lang w:val="en-US"/>
        </w:rPr>
        <w:t xml:space="preserve">sample is </w:t>
      </w:r>
      <w:r w:rsidR="009542F5">
        <w:rPr>
          <w:rFonts w:ascii="Times New Roman" w:hAnsi="Times New Roman" w:cs="Times New Roman"/>
          <w:sz w:val="28"/>
          <w:szCs w:val="28"/>
          <w:lang w:val="en-US"/>
        </w:rPr>
        <w:t>required</w:t>
      </w:r>
      <w:r w:rsidR="00E21DCC">
        <w:rPr>
          <w:rFonts w:ascii="Times New Roman" w:hAnsi="Times New Roman" w:cs="Times New Roman"/>
          <w:sz w:val="28"/>
          <w:szCs w:val="28"/>
          <w:lang w:val="en-US"/>
        </w:rPr>
        <w:t xml:space="preserve"> </w:t>
      </w:r>
      <w:r w:rsidR="00261DB6">
        <w:rPr>
          <w:rFonts w:ascii="Times New Roman" w:hAnsi="Times New Roman" w:cs="Times New Roman"/>
          <w:sz w:val="28"/>
          <w:szCs w:val="28"/>
          <w:lang w:val="en-US"/>
        </w:rPr>
        <w:t xml:space="preserve">for </w:t>
      </w:r>
      <w:r w:rsidR="00E21DCC">
        <w:rPr>
          <w:rFonts w:ascii="Times New Roman" w:hAnsi="Times New Roman" w:cs="Times New Roman"/>
          <w:sz w:val="28"/>
          <w:szCs w:val="28"/>
          <w:lang w:val="en-US"/>
        </w:rPr>
        <w:t xml:space="preserve">improvement of </w:t>
      </w:r>
      <w:r w:rsidR="00261DB6">
        <w:rPr>
          <w:rFonts w:ascii="Times New Roman" w:hAnsi="Times New Roman" w:cs="Times New Roman"/>
          <w:sz w:val="28"/>
          <w:szCs w:val="28"/>
          <w:lang w:val="en-US"/>
        </w:rPr>
        <w:t xml:space="preserve">the </w:t>
      </w:r>
      <w:r w:rsidR="00E21DCC">
        <w:rPr>
          <w:rFonts w:ascii="Times New Roman" w:hAnsi="Times New Roman" w:cs="Times New Roman"/>
          <w:sz w:val="28"/>
          <w:szCs w:val="28"/>
          <w:lang w:val="en-US"/>
        </w:rPr>
        <w:t>nephropathy diagnostic.</w:t>
      </w:r>
      <w:r w:rsidR="000C3F6B">
        <w:rPr>
          <w:rFonts w:ascii="Times New Roman" w:hAnsi="Times New Roman" w:cs="Times New Roman"/>
          <w:sz w:val="28"/>
          <w:szCs w:val="28"/>
          <w:lang w:val="en-US"/>
        </w:rPr>
        <w:t xml:space="preserve"> </w:t>
      </w:r>
      <w:r w:rsidR="00E21DCC">
        <w:rPr>
          <w:rFonts w:ascii="Times New Roman" w:hAnsi="Times New Roman" w:cs="Times New Roman"/>
          <w:sz w:val="28"/>
          <w:szCs w:val="28"/>
          <w:lang w:val="en-US"/>
        </w:rPr>
        <w:t>T</w:t>
      </w:r>
      <w:r w:rsidR="002B332C">
        <w:rPr>
          <w:rFonts w:ascii="Times New Roman" w:hAnsi="Times New Roman" w:cs="Times New Roman"/>
          <w:sz w:val="28"/>
          <w:szCs w:val="28"/>
          <w:lang w:val="uk-UA"/>
        </w:rPr>
        <w:t>he calculation</w:t>
      </w:r>
      <w:r w:rsidR="00634A21">
        <w:rPr>
          <w:rFonts w:ascii="Times New Roman" w:hAnsi="Times New Roman" w:cs="Times New Roman"/>
          <w:sz w:val="28"/>
          <w:szCs w:val="28"/>
          <w:lang w:val="en-US"/>
        </w:rPr>
        <w:t xml:space="preserve"> of </w:t>
      </w:r>
      <w:r w:rsidR="002B332C">
        <w:rPr>
          <w:rFonts w:ascii="Times New Roman" w:hAnsi="Times New Roman" w:cs="Times New Roman"/>
          <w:sz w:val="28"/>
          <w:szCs w:val="28"/>
          <w:lang w:val="en-US"/>
        </w:rPr>
        <w:t xml:space="preserve">LV </w:t>
      </w:r>
      <w:r w:rsidR="00634A21">
        <w:rPr>
          <w:rFonts w:ascii="Times New Roman" w:hAnsi="Times New Roman" w:cs="Times New Roman"/>
          <w:sz w:val="28"/>
          <w:szCs w:val="28"/>
          <w:lang w:val="en-US"/>
        </w:rPr>
        <w:t>mass</w:t>
      </w:r>
      <w:r w:rsidR="002B332C">
        <w:rPr>
          <w:rFonts w:ascii="Times New Roman" w:hAnsi="Times New Roman" w:cs="Times New Roman"/>
          <w:sz w:val="28"/>
          <w:szCs w:val="28"/>
          <w:lang w:val="en-US"/>
        </w:rPr>
        <w:t xml:space="preserve"> </w:t>
      </w:r>
      <w:r w:rsidR="002B332C" w:rsidRPr="002B332C">
        <w:rPr>
          <w:rFonts w:ascii="Times New Roman" w:hAnsi="Times New Roman" w:cs="Times New Roman"/>
          <w:sz w:val="28"/>
          <w:szCs w:val="28"/>
          <w:lang w:val="en-US"/>
        </w:rPr>
        <w:t>index</w:t>
      </w:r>
      <w:r w:rsidR="002938C1" w:rsidRPr="002938C1">
        <w:rPr>
          <w:rFonts w:ascii="Times New Roman" w:hAnsi="Times New Roman" w:cs="Times New Roman"/>
          <w:sz w:val="28"/>
          <w:szCs w:val="28"/>
          <w:lang w:val="uk-UA"/>
        </w:rPr>
        <w:t xml:space="preserve"> </w:t>
      </w:r>
      <w:r w:rsidR="002938C1">
        <w:rPr>
          <w:rFonts w:ascii="Times New Roman" w:hAnsi="Times New Roman" w:cs="Times New Roman"/>
          <w:sz w:val="28"/>
          <w:szCs w:val="28"/>
          <w:lang w:val="en-US"/>
        </w:rPr>
        <w:t>for</w:t>
      </w:r>
      <w:r w:rsidR="002938C1">
        <w:rPr>
          <w:rFonts w:ascii="Times New Roman" w:hAnsi="Times New Roman" w:cs="Times New Roman"/>
          <w:sz w:val="28"/>
          <w:szCs w:val="28"/>
          <w:lang w:val="uk-UA"/>
        </w:rPr>
        <w:t xml:space="preserve"> patients with </w:t>
      </w:r>
      <w:r w:rsidR="00634A21">
        <w:rPr>
          <w:rFonts w:ascii="Times New Roman" w:hAnsi="Times New Roman" w:cs="Times New Roman"/>
          <w:sz w:val="28"/>
          <w:szCs w:val="28"/>
          <w:lang w:val="en-US"/>
        </w:rPr>
        <w:t xml:space="preserve">AH and </w:t>
      </w:r>
      <w:r w:rsidR="002938C1">
        <w:rPr>
          <w:rFonts w:ascii="Times New Roman" w:hAnsi="Times New Roman" w:cs="Times New Roman"/>
          <w:sz w:val="28"/>
          <w:szCs w:val="28"/>
          <w:lang w:val="uk-UA"/>
        </w:rPr>
        <w:t xml:space="preserve">type 2 </w:t>
      </w:r>
      <w:r w:rsidR="002938C1">
        <w:rPr>
          <w:rFonts w:ascii="Times New Roman" w:hAnsi="Times New Roman" w:cs="Times New Roman"/>
          <w:sz w:val="28"/>
          <w:szCs w:val="28"/>
          <w:lang w:val="en-US"/>
        </w:rPr>
        <w:t>DM,</w:t>
      </w:r>
      <w:r w:rsidR="002938C1" w:rsidRPr="002938C1">
        <w:rPr>
          <w:rFonts w:ascii="Times New Roman" w:hAnsi="Times New Roman" w:cs="Times New Roman"/>
          <w:sz w:val="28"/>
          <w:szCs w:val="28"/>
          <w:lang w:val="uk-UA"/>
        </w:rPr>
        <w:t xml:space="preserve"> </w:t>
      </w:r>
      <w:r w:rsidR="00634A21">
        <w:rPr>
          <w:rFonts w:ascii="Times New Roman" w:hAnsi="Times New Roman" w:cs="Times New Roman"/>
          <w:sz w:val="28"/>
          <w:szCs w:val="28"/>
          <w:lang w:val="uk-UA"/>
        </w:rPr>
        <w:t>obesity</w:t>
      </w:r>
      <w:r w:rsidR="00F6717B">
        <w:rPr>
          <w:rFonts w:ascii="Times New Roman" w:hAnsi="Times New Roman" w:cs="Times New Roman"/>
          <w:sz w:val="28"/>
          <w:szCs w:val="28"/>
          <w:lang w:val="en-US"/>
        </w:rPr>
        <w:t xml:space="preserve"> as a</w:t>
      </w:r>
      <w:r w:rsidR="002938C1">
        <w:rPr>
          <w:rFonts w:ascii="Times New Roman" w:hAnsi="Times New Roman" w:cs="Times New Roman"/>
          <w:sz w:val="28"/>
          <w:szCs w:val="28"/>
          <w:lang w:val="uk-UA"/>
        </w:rPr>
        <w:t xml:space="preserve"> </w:t>
      </w:r>
      <w:r w:rsidR="002B332C">
        <w:rPr>
          <w:rFonts w:ascii="Times New Roman" w:hAnsi="Times New Roman" w:cs="Times New Roman"/>
          <w:sz w:val="28"/>
          <w:szCs w:val="28"/>
          <w:lang w:val="en-US"/>
        </w:rPr>
        <w:t xml:space="preserve">LV </w:t>
      </w:r>
      <w:r w:rsidR="00634A21">
        <w:rPr>
          <w:rFonts w:ascii="Times New Roman" w:hAnsi="Times New Roman" w:cs="Times New Roman"/>
          <w:sz w:val="28"/>
          <w:szCs w:val="28"/>
          <w:lang w:val="en-US"/>
        </w:rPr>
        <w:t>mass</w:t>
      </w:r>
      <w:r w:rsidR="00634A21" w:rsidRPr="002938C1">
        <w:rPr>
          <w:rFonts w:ascii="Times New Roman" w:hAnsi="Times New Roman" w:cs="Times New Roman"/>
          <w:sz w:val="28"/>
          <w:szCs w:val="28"/>
          <w:lang w:val="uk-UA"/>
        </w:rPr>
        <w:t xml:space="preserve"> </w:t>
      </w:r>
      <w:r w:rsidR="002938C1" w:rsidRPr="002938C1">
        <w:rPr>
          <w:rFonts w:ascii="Times New Roman" w:hAnsi="Times New Roman" w:cs="Times New Roman"/>
          <w:sz w:val="28"/>
          <w:szCs w:val="28"/>
          <w:lang w:val="uk-UA"/>
        </w:rPr>
        <w:t>to height in the</w:t>
      </w:r>
      <w:r w:rsidR="00634A21">
        <w:rPr>
          <w:rFonts w:ascii="Times New Roman" w:hAnsi="Times New Roman" w:cs="Times New Roman"/>
          <w:sz w:val="28"/>
          <w:szCs w:val="28"/>
          <w:lang w:val="uk-UA"/>
        </w:rPr>
        <w:t xml:space="preserve"> degree of 2</w:t>
      </w:r>
      <w:r w:rsidR="00634A21">
        <w:rPr>
          <w:rFonts w:ascii="Times New Roman" w:hAnsi="Times New Roman" w:cs="Times New Roman"/>
          <w:sz w:val="28"/>
          <w:szCs w:val="28"/>
          <w:lang w:val="en-US"/>
        </w:rPr>
        <w:t>,</w:t>
      </w:r>
      <w:r w:rsidR="007073AA">
        <w:rPr>
          <w:rFonts w:ascii="Times New Roman" w:hAnsi="Times New Roman" w:cs="Times New Roman"/>
          <w:sz w:val="28"/>
          <w:szCs w:val="28"/>
          <w:lang w:val="uk-UA"/>
        </w:rPr>
        <w:t>7</w:t>
      </w:r>
      <w:r w:rsidR="00634A21">
        <w:rPr>
          <w:rFonts w:ascii="Times New Roman" w:hAnsi="Times New Roman" w:cs="Times New Roman"/>
          <w:sz w:val="28"/>
          <w:szCs w:val="28"/>
          <w:lang w:val="en-US"/>
        </w:rPr>
        <w:t xml:space="preserve"> ratio</w:t>
      </w:r>
      <w:r w:rsidR="00634A21">
        <w:rPr>
          <w:rFonts w:ascii="Times New Roman" w:hAnsi="Times New Roman" w:cs="Times New Roman"/>
          <w:sz w:val="28"/>
          <w:szCs w:val="28"/>
          <w:lang w:val="uk-UA"/>
        </w:rPr>
        <w:t xml:space="preserve"> </w:t>
      </w:r>
      <w:r w:rsidR="00634A21">
        <w:rPr>
          <w:rFonts w:ascii="Times New Roman" w:hAnsi="Times New Roman" w:cs="Times New Roman"/>
          <w:sz w:val="28"/>
          <w:szCs w:val="28"/>
          <w:lang w:val="en-US"/>
        </w:rPr>
        <w:t xml:space="preserve">would </w:t>
      </w:r>
      <w:r w:rsidR="00634A21" w:rsidRPr="00656FE7">
        <w:rPr>
          <w:rFonts w:ascii="Times New Roman" w:hAnsi="Times New Roman" w:cs="Times New Roman"/>
          <w:sz w:val="28"/>
          <w:szCs w:val="28"/>
          <w:lang w:val="en-US"/>
        </w:rPr>
        <w:t xml:space="preserve">help to </w:t>
      </w:r>
      <w:r w:rsidR="007073AA" w:rsidRPr="00656FE7">
        <w:rPr>
          <w:rFonts w:ascii="Times New Roman" w:hAnsi="Times New Roman" w:cs="Times New Roman"/>
          <w:sz w:val="28"/>
          <w:szCs w:val="28"/>
          <w:lang w:val="uk-UA"/>
        </w:rPr>
        <w:t>optimiz</w:t>
      </w:r>
      <w:r w:rsidR="00634A21" w:rsidRPr="00656FE7">
        <w:rPr>
          <w:rFonts w:ascii="Times New Roman" w:hAnsi="Times New Roman" w:cs="Times New Roman"/>
          <w:sz w:val="28"/>
          <w:szCs w:val="28"/>
          <w:lang w:val="en-US"/>
        </w:rPr>
        <w:t>e</w:t>
      </w:r>
      <w:r w:rsidR="002938C1" w:rsidRPr="002938C1">
        <w:rPr>
          <w:rFonts w:ascii="Times New Roman" w:hAnsi="Times New Roman" w:cs="Times New Roman"/>
          <w:sz w:val="28"/>
          <w:szCs w:val="28"/>
          <w:lang w:val="uk-UA"/>
        </w:rPr>
        <w:t xml:space="preserve"> the detection and avo</w:t>
      </w:r>
      <w:r w:rsidR="00634A21">
        <w:rPr>
          <w:rFonts w:ascii="Times New Roman" w:hAnsi="Times New Roman" w:cs="Times New Roman"/>
          <w:sz w:val="28"/>
          <w:szCs w:val="28"/>
          <w:lang w:val="uk-UA"/>
        </w:rPr>
        <w:t xml:space="preserve">idance of hypo diagnostics of </w:t>
      </w:r>
      <w:r w:rsidR="002B332C">
        <w:rPr>
          <w:rFonts w:ascii="Times New Roman" w:hAnsi="Times New Roman" w:cs="Times New Roman"/>
          <w:sz w:val="28"/>
          <w:szCs w:val="28"/>
          <w:lang w:val="en-US"/>
        </w:rPr>
        <w:t xml:space="preserve">LV </w:t>
      </w:r>
      <w:r w:rsidR="002938C1" w:rsidRPr="002938C1">
        <w:rPr>
          <w:rFonts w:ascii="Times New Roman" w:hAnsi="Times New Roman" w:cs="Times New Roman"/>
          <w:sz w:val="28"/>
          <w:szCs w:val="28"/>
          <w:lang w:val="uk-UA"/>
        </w:rPr>
        <w:t>hyp</w:t>
      </w:r>
      <w:r w:rsidR="007073AA">
        <w:rPr>
          <w:rFonts w:ascii="Times New Roman" w:hAnsi="Times New Roman" w:cs="Times New Roman"/>
          <w:sz w:val="28"/>
          <w:szCs w:val="28"/>
          <w:lang w:val="uk-UA"/>
        </w:rPr>
        <w:t>ertrophy</w:t>
      </w:r>
      <w:r w:rsidR="007073AA">
        <w:rPr>
          <w:rFonts w:ascii="Times New Roman" w:hAnsi="Times New Roman" w:cs="Times New Roman"/>
          <w:sz w:val="28"/>
          <w:szCs w:val="28"/>
          <w:lang w:val="en-US"/>
        </w:rPr>
        <w:t>.</w:t>
      </w:r>
      <w:r w:rsidR="000C3F6B">
        <w:rPr>
          <w:rFonts w:ascii="Times New Roman" w:hAnsi="Times New Roman" w:cs="Times New Roman"/>
          <w:sz w:val="28"/>
          <w:szCs w:val="28"/>
          <w:lang w:val="en-US"/>
        </w:rPr>
        <w:t xml:space="preserve"> </w:t>
      </w:r>
      <w:r w:rsidR="00820CDB">
        <w:rPr>
          <w:rFonts w:ascii="Times New Roman" w:hAnsi="Times New Roman" w:cs="Times New Roman"/>
          <w:sz w:val="28"/>
          <w:szCs w:val="28"/>
          <w:lang w:val="uk-UA"/>
        </w:rPr>
        <w:t>С</w:t>
      </w:r>
      <w:r w:rsidR="00820CDB" w:rsidRPr="00820CDB">
        <w:rPr>
          <w:rFonts w:ascii="Times New Roman" w:hAnsi="Times New Roman" w:cs="Times New Roman"/>
          <w:sz w:val="28"/>
          <w:szCs w:val="28"/>
          <w:lang w:val="en-US"/>
        </w:rPr>
        <w:t>orrection</w:t>
      </w:r>
      <w:r w:rsidR="00820CDB">
        <w:rPr>
          <w:rFonts w:ascii="Times New Roman" w:hAnsi="Times New Roman" w:cs="Times New Roman"/>
          <w:sz w:val="28"/>
          <w:szCs w:val="28"/>
          <w:lang w:val="uk-UA"/>
        </w:rPr>
        <w:t xml:space="preserve"> </w:t>
      </w:r>
      <w:r w:rsidR="00820CDB">
        <w:rPr>
          <w:rFonts w:ascii="Times New Roman" w:hAnsi="Times New Roman" w:cs="Times New Roman"/>
          <w:sz w:val="28"/>
          <w:szCs w:val="28"/>
          <w:lang w:val="en-US"/>
        </w:rPr>
        <w:t>of</w:t>
      </w:r>
      <w:r w:rsidR="00820CDB" w:rsidRPr="00820CDB">
        <w:rPr>
          <w:rFonts w:ascii="Times New Roman" w:hAnsi="Times New Roman" w:cs="Times New Roman"/>
          <w:sz w:val="28"/>
          <w:szCs w:val="28"/>
          <w:lang w:val="en-US"/>
        </w:rPr>
        <w:t xml:space="preserve"> </w:t>
      </w:r>
      <w:r w:rsidR="00820CDB">
        <w:rPr>
          <w:rFonts w:ascii="Times New Roman" w:hAnsi="Times New Roman" w:cs="Times New Roman"/>
          <w:sz w:val="28"/>
          <w:szCs w:val="28"/>
          <w:lang w:val="en-US"/>
        </w:rPr>
        <w:t>dyslipidemia</w:t>
      </w:r>
      <w:r w:rsidR="00656FE7">
        <w:rPr>
          <w:rFonts w:ascii="Times New Roman" w:hAnsi="Times New Roman" w:cs="Times New Roman"/>
          <w:sz w:val="28"/>
          <w:szCs w:val="28"/>
          <w:lang w:val="en-US"/>
        </w:rPr>
        <w:t xml:space="preserve"> in</w:t>
      </w:r>
      <w:r w:rsidR="00820CDB">
        <w:rPr>
          <w:rFonts w:ascii="Times New Roman" w:hAnsi="Times New Roman" w:cs="Times New Roman"/>
          <w:sz w:val="28"/>
          <w:szCs w:val="28"/>
          <w:lang w:val="en-US"/>
        </w:rPr>
        <w:t xml:space="preserve"> </w:t>
      </w:r>
      <w:r w:rsidR="00820CDB" w:rsidRPr="00820CDB">
        <w:rPr>
          <w:rFonts w:ascii="Times New Roman" w:hAnsi="Times New Roman" w:cs="Times New Roman"/>
          <w:sz w:val="28"/>
          <w:szCs w:val="28"/>
          <w:lang w:val="en-US"/>
        </w:rPr>
        <w:t xml:space="preserve">individuals with </w:t>
      </w:r>
      <w:r w:rsidR="00820CDB">
        <w:rPr>
          <w:rFonts w:ascii="Times New Roman" w:hAnsi="Times New Roman" w:cs="Times New Roman"/>
          <w:sz w:val="28"/>
          <w:szCs w:val="28"/>
          <w:lang w:val="en-US"/>
        </w:rPr>
        <w:t xml:space="preserve">type </w:t>
      </w:r>
      <w:r w:rsidR="00656FE7">
        <w:rPr>
          <w:rFonts w:ascii="Times New Roman" w:hAnsi="Times New Roman" w:cs="Times New Roman"/>
          <w:sz w:val="28"/>
          <w:szCs w:val="28"/>
          <w:lang w:val="en-US"/>
        </w:rPr>
        <w:t>AH and type 2 DM</w:t>
      </w:r>
      <w:r w:rsidR="00820CDB">
        <w:rPr>
          <w:rFonts w:ascii="Times New Roman" w:hAnsi="Times New Roman" w:cs="Times New Roman"/>
          <w:sz w:val="28"/>
          <w:szCs w:val="28"/>
          <w:lang w:val="en-US"/>
        </w:rPr>
        <w:t xml:space="preserve"> by</w:t>
      </w:r>
      <w:r w:rsidR="00820CDB" w:rsidRPr="00820CDB">
        <w:rPr>
          <w:rFonts w:ascii="Times New Roman" w:hAnsi="Times New Roman" w:cs="Times New Roman"/>
          <w:sz w:val="28"/>
          <w:szCs w:val="28"/>
          <w:lang w:val="en-US"/>
        </w:rPr>
        <w:t xml:space="preserve"> atorvastatin </w:t>
      </w:r>
      <w:r w:rsidR="00820CDB">
        <w:rPr>
          <w:rFonts w:ascii="Times New Roman" w:hAnsi="Times New Roman" w:cs="Times New Roman"/>
          <w:sz w:val="28"/>
          <w:szCs w:val="28"/>
          <w:lang w:val="en-US"/>
        </w:rPr>
        <w:t xml:space="preserve">prescription </w:t>
      </w:r>
      <w:r w:rsidR="00C3630F">
        <w:rPr>
          <w:rFonts w:ascii="Times New Roman" w:hAnsi="Times New Roman" w:cs="Times New Roman"/>
          <w:sz w:val="28"/>
          <w:szCs w:val="28"/>
          <w:lang w:val="en-US"/>
        </w:rPr>
        <w:t xml:space="preserve">  </w:t>
      </w:r>
      <w:r w:rsidR="00820CDB">
        <w:rPr>
          <w:rFonts w:ascii="Times New Roman" w:hAnsi="Times New Roman" w:cs="Times New Roman"/>
          <w:sz w:val="28"/>
          <w:szCs w:val="28"/>
          <w:lang w:val="en-US"/>
        </w:rPr>
        <w:t>(</w:t>
      </w:r>
      <w:r w:rsidR="00922574">
        <w:rPr>
          <w:rFonts w:ascii="Times New Roman" w:hAnsi="Times New Roman" w:cs="Times New Roman"/>
          <w:sz w:val="28"/>
          <w:szCs w:val="28"/>
          <w:lang w:val="en-US"/>
        </w:rPr>
        <w:t>10−</w:t>
      </w:r>
      <w:r w:rsidR="00296A7B">
        <w:rPr>
          <w:rFonts w:ascii="Times New Roman" w:hAnsi="Times New Roman" w:cs="Times New Roman"/>
          <w:sz w:val="28"/>
          <w:szCs w:val="28"/>
          <w:lang w:val="uk-UA"/>
        </w:rPr>
        <w:t>20</w:t>
      </w:r>
      <w:r w:rsidR="00296A7B" w:rsidRPr="00296A7B">
        <w:rPr>
          <w:rFonts w:ascii="Times New Roman" w:hAnsi="Times New Roman" w:cs="Times New Roman"/>
          <w:sz w:val="28"/>
          <w:szCs w:val="28"/>
          <w:lang w:val="uk-UA"/>
        </w:rPr>
        <w:t>−</w:t>
      </w:r>
      <w:r w:rsidR="002A63D8">
        <w:rPr>
          <w:rFonts w:ascii="Times New Roman" w:hAnsi="Times New Roman" w:cs="Times New Roman"/>
          <w:sz w:val="28"/>
          <w:szCs w:val="28"/>
          <w:lang w:val="en-US"/>
        </w:rPr>
        <w:t>4</w:t>
      </w:r>
      <w:r w:rsidR="00820CDB" w:rsidRPr="00820CDB">
        <w:rPr>
          <w:rFonts w:ascii="Times New Roman" w:hAnsi="Times New Roman" w:cs="Times New Roman"/>
          <w:sz w:val="28"/>
          <w:szCs w:val="28"/>
          <w:lang w:val="en-US"/>
        </w:rPr>
        <w:t>0 mg</w:t>
      </w:r>
      <w:r w:rsidR="00820CDB">
        <w:rPr>
          <w:rFonts w:ascii="Times New Roman" w:hAnsi="Times New Roman" w:cs="Times New Roman"/>
          <w:sz w:val="28"/>
          <w:szCs w:val="28"/>
          <w:lang w:val="en-US"/>
        </w:rPr>
        <w:t>/day)</w:t>
      </w:r>
      <w:r w:rsidR="00820CDB" w:rsidRPr="00820CDB">
        <w:rPr>
          <w:rFonts w:ascii="Times New Roman" w:hAnsi="Times New Roman" w:cs="Times New Roman"/>
          <w:sz w:val="28"/>
          <w:szCs w:val="28"/>
          <w:lang w:val="en-US"/>
        </w:rPr>
        <w:t xml:space="preserve"> </w:t>
      </w:r>
      <w:r w:rsidR="00656FE7">
        <w:rPr>
          <w:rFonts w:ascii="Times New Roman" w:hAnsi="Times New Roman" w:cs="Times New Roman"/>
          <w:sz w:val="28"/>
          <w:szCs w:val="28"/>
          <w:lang w:val="en-US"/>
        </w:rPr>
        <w:t xml:space="preserve">is important </w:t>
      </w:r>
      <w:r w:rsidR="00EB1B5F">
        <w:rPr>
          <w:rFonts w:ascii="Times New Roman" w:hAnsi="Times New Roman" w:cs="Times New Roman"/>
          <w:sz w:val="28"/>
          <w:szCs w:val="28"/>
          <w:lang w:val="en-US"/>
        </w:rPr>
        <w:t>for higher density lipoproteins increase and low density lipoproteins decrease</w:t>
      </w:r>
      <w:r w:rsidR="00820CDB" w:rsidRPr="00820CDB">
        <w:rPr>
          <w:rFonts w:ascii="Times New Roman" w:hAnsi="Times New Roman" w:cs="Times New Roman"/>
          <w:sz w:val="28"/>
          <w:szCs w:val="28"/>
          <w:lang w:val="en-US"/>
        </w:rPr>
        <w:t>.</w:t>
      </w:r>
    </w:p>
    <w:p w:rsidR="00866F92" w:rsidRPr="00656FE7" w:rsidRDefault="00866F92" w:rsidP="00656FE7">
      <w:pPr>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00922574">
        <w:rPr>
          <w:rFonts w:ascii="Times New Roman" w:hAnsi="Times New Roman" w:cs="Times New Roman"/>
          <w:sz w:val="28"/>
          <w:szCs w:val="28"/>
          <w:lang w:val="en-US"/>
        </w:rPr>
        <w:t>Key</w:t>
      </w:r>
      <w:r w:rsidR="00E3719A" w:rsidRPr="00E3719A">
        <w:rPr>
          <w:rFonts w:ascii="Times New Roman" w:hAnsi="Times New Roman" w:cs="Times New Roman"/>
          <w:sz w:val="28"/>
          <w:szCs w:val="28"/>
          <w:lang w:val="en-US"/>
        </w:rPr>
        <w:t xml:space="preserve"> words: </w:t>
      </w:r>
      <w:r w:rsidR="00275122" w:rsidRPr="00275122">
        <w:rPr>
          <w:rFonts w:ascii="Times New Roman" w:hAnsi="Times New Roman" w:cs="Times New Roman"/>
          <w:sz w:val="28"/>
          <w:szCs w:val="28"/>
          <w:lang w:val="en-US"/>
        </w:rPr>
        <w:t>arterial hypertension</w:t>
      </w:r>
      <w:r w:rsidR="00275122">
        <w:rPr>
          <w:rFonts w:ascii="Times New Roman" w:hAnsi="Times New Roman" w:cs="Times New Roman"/>
          <w:sz w:val="28"/>
          <w:szCs w:val="28"/>
          <w:lang w:val="uk-UA"/>
        </w:rPr>
        <w:t>,</w:t>
      </w:r>
      <w:r w:rsidR="00275122" w:rsidRPr="00275122">
        <w:rPr>
          <w:rFonts w:ascii="Times New Roman" w:hAnsi="Times New Roman" w:cs="Times New Roman"/>
          <w:sz w:val="28"/>
          <w:szCs w:val="28"/>
          <w:lang w:val="en-US"/>
        </w:rPr>
        <w:t xml:space="preserve"> </w:t>
      </w:r>
      <w:r w:rsidR="00275122">
        <w:rPr>
          <w:rFonts w:ascii="Times New Roman" w:hAnsi="Times New Roman" w:cs="Times New Roman"/>
          <w:sz w:val="28"/>
          <w:szCs w:val="28"/>
          <w:lang w:val="en-US"/>
        </w:rPr>
        <w:t>type 2 diabetes mellitus,</w:t>
      </w:r>
      <w:r w:rsidR="00275122">
        <w:rPr>
          <w:rFonts w:ascii="Times New Roman" w:hAnsi="Times New Roman" w:cs="Times New Roman"/>
          <w:sz w:val="28"/>
          <w:szCs w:val="28"/>
          <w:lang w:val="uk-UA"/>
        </w:rPr>
        <w:t xml:space="preserve"> </w:t>
      </w:r>
      <w:r w:rsidR="00E3719A" w:rsidRPr="00E3719A">
        <w:rPr>
          <w:rFonts w:ascii="Times New Roman" w:hAnsi="Times New Roman" w:cs="Times New Roman"/>
          <w:sz w:val="28"/>
          <w:szCs w:val="28"/>
          <w:lang w:val="en-US"/>
        </w:rPr>
        <w:t xml:space="preserve">endothelin-1, </w:t>
      </w:r>
      <w:r w:rsidR="00525E28" w:rsidRPr="00525E28">
        <w:rPr>
          <w:rFonts w:ascii="Times New Roman" w:hAnsi="Times New Roman" w:cs="Times New Roman"/>
          <w:sz w:val="28"/>
          <w:szCs w:val="28"/>
          <w:lang w:val="en-US"/>
        </w:rPr>
        <w:t>dyslipidemia, left ventricular diastolic dysfunction,</w:t>
      </w:r>
      <w:r w:rsidR="008C58FF">
        <w:rPr>
          <w:rFonts w:ascii="Times New Roman" w:hAnsi="Times New Roman" w:cs="Times New Roman"/>
          <w:sz w:val="28"/>
          <w:szCs w:val="28"/>
          <w:lang w:val="en-US"/>
        </w:rPr>
        <w:t xml:space="preserve"> </w:t>
      </w:r>
      <w:r w:rsidR="00E96C23">
        <w:rPr>
          <w:rFonts w:ascii="Times New Roman" w:hAnsi="Times New Roman" w:cs="Times New Roman"/>
          <w:sz w:val="28"/>
          <w:szCs w:val="28"/>
          <w:lang w:val="en-US"/>
        </w:rPr>
        <w:t>tumor necrosis factor-α</w:t>
      </w:r>
      <w:r w:rsidR="00E96C23" w:rsidRPr="00E96C23">
        <w:rPr>
          <w:rFonts w:ascii="Times New Roman" w:hAnsi="Times New Roman" w:cs="Times New Roman"/>
          <w:sz w:val="28"/>
          <w:szCs w:val="28"/>
          <w:lang w:val="en-US"/>
        </w:rPr>
        <w:t xml:space="preserve">, </w:t>
      </w:r>
      <w:r w:rsidR="00922574">
        <w:rPr>
          <w:rFonts w:ascii="Times New Roman" w:hAnsi="Times New Roman" w:cs="Times New Roman"/>
          <w:sz w:val="28"/>
          <w:szCs w:val="28"/>
          <w:lang w:val="en-US"/>
        </w:rPr>
        <w:t xml:space="preserve">soluble </w:t>
      </w:r>
      <w:r w:rsidR="00E96C23" w:rsidRPr="00E96C23">
        <w:rPr>
          <w:rFonts w:ascii="Times New Roman" w:hAnsi="Times New Roman" w:cs="Times New Roman"/>
          <w:sz w:val="28"/>
          <w:szCs w:val="28"/>
          <w:lang w:val="en-US"/>
        </w:rPr>
        <w:t>v</w:t>
      </w:r>
      <w:r w:rsidR="00E96C23">
        <w:rPr>
          <w:rFonts w:ascii="Times New Roman" w:hAnsi="Times New Roman" w:cs="Times New Roman"/>
          <w:sz w:val="28"/>
          <w:szCs w:val="28"/>
          <w:lang w:val="en-US"/>
        </w:rPr>
        <w:t>ascula</w:t>
      </w:r>
      <w:r w:rsidR="00656FE7">
        <w:rPr>
          <w:rFonts w:ascii="Times New Roman" w:hAnsi="Times New Roman" w:cs="Times New Roman"/>
          <w:sz w:val="28"/>
          <w:szCs w:val="28"/>
          <w:lang w:val="en-US"/>
        </w:rPr>
        <w:t>r cell adhesion molecule.</w:t>
      </w:r>
    </w:p>
    <w:p w:rsidR="00866F92" w:rsidRDefault="00866F92" w:rsidP="005B1D65">
      <w:pPr>
        <w:autoSpaceDE w:val="0"/>
        <w:autoSpaceDN w:val="0"/>
        <w:adjustRightInd w:val="0"/>
        <w:spacing w:after="0" w:line="240" w:lineRule="auto"/>
        <w:ind w:firstLine="360"/>
        <w:jc w:val="center"/>
        <w:rPr>
          <w:rFonts w:ascii="Times New Roman" w:hAnsi="Times New Roman" w:cs="Times New Roman"/>
          <w:b/>
          <w:sz w:val="28"/>
          <w:szCs w:val="28"/>
          <w:lang w:val="uk-UA"/>
        </w:rPr>
      </w:pPr>
    </w:p>
    <w:p w:rsidR="000C3F6B" w:rsidRDefault="000C3F6B"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0C3F6B" w:rsidRDefault="000C3F6B"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0C3F6B" w:rsidRDefault="000C3F6B"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0C3F6B" w:rsidRDefault="000C3F6B"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7428A2" w:rsidRDefault="007428A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7428A2" w:rsidRDefault="007428A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7428A2" w:rsidRDefault="007428A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7428A2" w:rsidRDefault="007428A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7428A2" w:rsidRDefault="007428A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9542F5" w:rsidRDefault="009542F5"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A24756" w:rsidRPr="000509AF" w:rsidRDefault="00A24756" w:rsidP="000509AF">
      <w:pPr>
        <w:autoSpaceDE w:val="0"/>
        <w:autoSpaceDN w:val="0"/>
        <w:adjustRightInd w:val="0"/>
        <w:spacing w:after="0" w:line="240" w:lineRule="auto"/>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823932" w:rsidRDefault="00823932" w:rsidP="005B1D65">
      <w:pPr>
        <w:autoSpaceDE w:val="0"/>
        <w:autoSpaceDN w:val="0"/>
        <w:adjustRightInd w:val="0"/>
        <w:spacing w:after="0" w:line="240" w:lineRule="auto"/>
        <w:ind w:firstLine="360"/>
        <w:jc w:val="center"/>
        <w:rPr>
          <w:rFonts w:ascii="Times New Roman" w:hAnsi="Times New Roman" w:cs="Times New Roman"/>
          <w:b/>
          <w:sz w:val="28"/>
          <w:szCs w:val="28"/>
          <w:lang w:val="en-US"/>
        </w:rPr>
      </w:pPr>
    </w:p>
    <w:p w:rsidR="006617A0" w:rsidRPr="00E07658" w:rsidRDefault="00E07658" w:rsidP="005B1D65">
      <w:pPr>
        <w:autoSpaceDE w:val="0"/>
        <w:autoSpaceDN w:val="0"/>
        <w:adjustRightInd w:val="0"/>
        <w:spacing w:after="0" w:line="240" w:lineRule="auto"/>
        <w:ind w:firstLine="360"/>
        <w:jc w:val="center"/>
        <w:rPr>
          <w:rFonts w:ascii="Times New Roman" w:hAnsi="Times New Roman" w:cs="Times New Roman"/>
          <w:b/>
          <w:sz w:val="28"/>
          <w:szCs w:val="28"/>
          <w:lang w:val="uk-UA"/>
        </w:rPr>
      </w:pPr>
      <w:r w:rsidRPr="00E07658">
        <w:rPr>
          <w:rFonts w:ascii="Times New Roman" w:hAnsi="Times New Roman" w:cs="Times New Roman"/>
          <w:b/>
          <w:sz w:val="28"/>
          <w:szCs w:val="28"/>
          <w:lang w:val="uk-UA"/>
        </w:rPr>
        <w:lastRenderedPageBreak/>
        <w:t>СПИСОК ПУБЛІКАЦІЙ ЗДОБУВАЧА</w:t>
      </w:r>
    </w:p>
    <w:p w:rsidR="006617A0" w:rsidRDefault="006617A0" w:rsidP="0077070B">
      <w:pPr>
        <w:autoSpaceDE w:val="0"/>
        <w:autoSpaceDN w:val="0"/>
        <w:adjustRightInd w:val="0"/>
        <w:spacing w:after="0" w:line="240" w:lineRule="auto"/>
        <w:jc w:val="center"/>
        <w:rPr>
          <w:rFonts w:ascii="Times New Roman" w:hAnsi="Times New Roman" w:cs="Times New Roman"/>
          <w:b/>
          <w:sz w:val="28"/>
          <w:szCs w:val="28"/>
          <w:lang w:val="uk-UA"/>
        </w:rPr>
      </w:pPr>
    </w:p>
    <w:p w:rsidR="0008439D" w:rsidRPr="00800072" w:rsidRDefault="00800072" w:rsidP="00800072">
      <w:pPr>
        <w:spacing w:after="0" w:line="360" w:lineRule="auto"/>
        <w:ind w:firstLine="709"/>
        <w:jc w:val="both"/>
        <w:rPr>
          <w:rFonts w:ascii="Times New Roman" w:hAnsi="Times New Roman" w:cs="Times New Roman"/>
          <w:b/>
          <w:sz w:val="28"/>
          <w:szCs w:val="28"/>
        </w:rPr>
      </w:pPr>
      <w:r w:rsidRPr="00800072">
        <w:rPr>
          <w:rFonts w:ascii="Times New Roman" w:hAnsi="Times New Roman" w:cs="Times New Roman"/>
          <w:b/>
          <w:sz w:val="28"/>
          <w:szCs w:val="28"/>
        </w:rPr>
        <w:t>Наукові праці, в яких опубліковані основні наукові результати дисертації:</w:t>
      </w:r>
    </w:p>
    <w:p w:rsidR="0008439D" w:rsidRPr="003268E3" w:rsidRDefault="00800072" w:rsidP="009461CD">
      <w:pPr>
        <w:spacing w:after="0" w:line="360" w:lineRule="auto"/>
        <w:ind w:firstLine="709"/>
        <w:jc w:val="both"/>
        <w:rPr>
          <w:rFonts w:ascii="Times New Roman" w:hAnsi="Times New Roman" w:cs="Times New Roman"/>
          <w:sz w:val="28"/>
          <w:szCs w:val="28"/>
          <w:lang w:val="uk-UA"/>
        </w:rPr>
      </w:pPr>
      <w:r w:rsidRPr="00800072">
        <w:rPr>
          <w:rFonts w:ascii="Times New Roman" w:hAnsi="Times New Roman" w:cs="Times New Roman"/>
          <w:sz w:val="28"/>
          <w:szCs w:val="28"/>
        </w:rPr>
        <w:t>1.</w:t>
      </w:r>
      <w:r w:rsidR="003268E3">
        <w:rPr>
          <w:rFonts w:ascii="Times New Roman" w:hAnsi="Times New Roman" w:cs="Times New Roman"/>
          <w:sz w:val="28"/>
          <w:szCs w:val="28"/>
          <w:lang w:val="uk-UA"/>
        </w:rPr>
        <w:t xml:space="preserve"> </w:t>
      </w:r>
      <w:r w:rsidR="003268E3" w:rsidRPr="003268E3">
        <w:rPr>
          <w:rFonts w:ascii="Times New Roman" w:hAnsi="Times New Roman" w:cs="Times New Roman"/>
          <w:sz w:val="28"/>
          <w:szCs w:val="28"/>
          <w:lang w:val="uk-UA"/>
        </w:rPr>
        <w:t>Чернацька О. М.</w:t>
      </w:r>
      <w:r w:rsidR="003268E3">
        <w:rPr>
          <w:rFonts w:ascii="Times New Roman" w:hAnsi="Times New Roman" w:cs="Times New Roman"/>
          <w:sz w:val="28"/>
          <w:szCs w:val="28"/>
          <w:lang w:val="uk-UA"/>
        </w:rPr>
        <w:t xml:space="preserve"> Особливості ліпідного обміну в осіб з артеріальною гіпертензіє</w:t>
      </w:r>
      <w:r w:rsidR="008374CA">
        <w:rPr>
          <w:rFonts w:ascii="Times New Roman" w:hAnsi="Times New Roman" w:cs="Times New Roman"/>
          <w:sz w:val="28"/>
          <w:szCs w:val="28"/>
          <w:lang w:val="uk-UA"/>
        </w:rPr>
        <w:t>ю і цукровим діабетом 2-го типу / О. М. Чернацька //</w:t>
      </w:r>
      <w:r w:rsidR="003268E3">
        <w:rPr>
          <w:rFonts w:ascii="Times New Roman" w:hAnsi="Times New Roman" w:cs="Times New Roman"/>
          <w:sz w:val="28"/>
          <w:szCs w:val="28"/>
          <w:lang w:val="uk-UA"/>
        </w:rPr>
        <w:t xml:space="preserve"> </w:t>
      </w:r>
      <w:r w:rsidR="00E0027A" w:rsidRPr="00E0027A">
        <w:rPr>
          <w:rFonts w:ascii="Times New Roman" w:hAnsi="Times New Roman" w:cs="Times New Roman"/>
          <w:sz w:val="28"/>
          <w:szCs w:val="28"/>
          <w:lang w:val="uk-UA"/>
        </w:rPr>
        <w:t>Журнал клінічних та експериментальних медичних досліджень</w:t>
      </w:r>
      <w:r w:rsidR="00936B1A">
        <w:rPr>
          <w:rFonts w:ascii="Times New Roman" w:hAnsi="Times New Roman" w:cs="Times New Roman"/>
          <w:sz w:val="28"/>
          <w:szCs w:val="28"/>
          <w:lang w:val="uk-UA"/>
        </w:rPr>
        <w:t>. – 2018.</w:t>
      </w:r>
      <w:r w:rsidR="00936B1A" w:rsidRPr="008C155B">
        <w:rPr>
          <w:lang w:val="uk-UA"/>
        </w:rPr>
        <w:t xml:space="preserve"> </w:t>
      </w:r>
      <w:r w:rsidR="00936B1A" w:rsidRPr="00936B1A">
        <w:rPr>
          <w:rFonts w:ascii="Times New Roman" w:hAnsi="Times New Roman" w:cs="Times New Roman"/>
          <w:sz w:val="28"/>
          <w:szCs w:val="28"/>
          <w:lang w:val="uk-UA"/>
        </w:rPr>
        <w:t>–</w:t>
      </w:r>
      <w:r w:rsidR="00936B1A">
        <w:rPr>
          <w:rFonts w:ascii="Times New Roman" w:hAnsi="Times New Roman" w:cs="Times New Roman"/>
          <w:sz w:val="28"/>
          <w:szCs w:val="28"/>
          <w:lang w:val="uk-UA"/>
        </w:rPr>
        <w:t xml:space="preserve"> </w:t>
      </w:r>
      <w:r w:rsidR="00CE43A0">
        <w:rPr>
          <w:rFonts w:ascii="Times New Roman" w:hAnsi="Times New Roman" w:cs="Times New Roman"/>
          <w:sz w:val="28"/>
          <w:szCs w:val="28"/>
          <w:lang w:val="uk-UA"/>
        </w:rPr>
        <w:t>Том 6, № 2</w:t>
      </w:r>
      <w:r w:rsidR="00936B1A">
        <w:rPr>
          <w:rFonts w:ascii="Times New Roman" w:hAnsi="Times New Roman" w:cs="Times New Roman"/>
          <w:sz w:val="28"/>
          <w:szCs w:val="28"/>
          <w:lang w:val="uk-UA"/>
        </w:rPr>
        <w:t xml:space="preserve">. – С. </w:t>
      </w:r>
      <w:r w:rsidR="00CE43A0">
        <w:rPr>
          <w:rFonts w:ascii="Times New Roman" w:hAnsi="Times New Roman" w:cs="Times New Roman"/>
          <w:sz w:val="28"/>
          <w:szCs w:val="28"/>
          <w:lang w:val="uk-UA"/>
        </w:rPr>
        <w:t>238</w:t>
      </w:r>
      <w:r w:rsidR="00CE43A0" w:rsidRPr="00CE43A0">
        <w:rPr>
          <w:rFonts w:ascii="Times New Roman" w:hAnsi="Times New Roman" w:cs="Times New Roman"/>
          <w:sz w:val="28"/>
          <w:szCs w:val="28"/>
          <w:lang w:val="uk-UA"/>
        </w:rPr>
        <w:t>–</w:t>
      </w:r>
      <w:r w:rsidR="00AE437A">
        <w:rPr>
          <w:rFonts w:ascii="Times New Roman" w:hAnsi="Times New Roman" w:cs="Times New Roman"/>
          <w:sz w:val="28"/>
          <w:szCs w:val="28"/>
          <w:lang w:val="uk-UA"/>
        </w:rPr>
        <w:t>244.</w:t>
      </w:r>
    </w:p>
    <w:p w:rsidR="00800072" w:rsidRPr="00936B1A" w:rsidRDefault="00800072" w:rsidP="009461CD">
      <w:pPr>
        <w:spacing w:after="0" w:line="360" w:lineRule="auto"/>
        <w:ind w:firstLine="709"/>
        <w:jc w:val="both"/>
        <w:rPr>
          <w:rFonts w:ascii="Times New Roman" w:hAnsi="Times New Roman" w:cs="Times New Roman"/>
          <w:sz w:val="28"/>
          <w:szCs w:val="28"/>
          <w:lang w:val="uk-UA"/>
        </w:rPr>
      </w:pPr>
      <w:r w:rsidRPr="00936B1A">
        <w:rPr>
          <w:rFonts w:ascii="Times New Roman" w:hAnsi="Times New Roman" w:cs="Times New Roman"/>
          <w:sz w:val="28"/>
          <w:szCs w:val="28"/>
          <w:lang w:val="uk-UA"/>
        </w:rPr>
        <w:t>2.</w:t>
      </w:r>
      <w:r w:rsidR="00936B1A">
        <w:rPr>
          <w:rFonts w:ascii="Times New Roman" w:hAnsi="Times New Roman" w:cs="Times New Roman"/>
          <w:sz w:val="28"/>
          <w:szCs w:val="28"/>
          <w:lang w:val="uk-UA"/>
        </w:rPr>
        <w:t xml:space="preserve"> </w:t>
      </w:r>
      <w:r w:rsidR="00936B1A" w:rsidRPr="00936B1A">
        <w:rPr>
          <w:rFonts w:ascii="Times New Roman" w:hAnsi="Times New Roman" w:cs="Times New Roman"/>
          <w:sz w:val="28"/>
          <w:szCs w:val="28"/>
          <w:lang w:val="uk-UA"/>
        </w:rPr>
        <w:t>Чернацька О. М.</w:t>
      </w:r>
      <w:r w:rsidR="00936B1A">
        <w:rPr>
          <w:rFonts w:ascii="Times New Roman" w:hAnsi="Times New Roman" w:cs="Times New Roman"/>
          <w:sz w:val="28"/>
          <w:szCs w:val="28"/>
          <w:lang w:val="uk-UA"/>
        </w:rPr>
        <w:t xml:space="preserve"> Взаємозв</w:t>
      </w:r>
      <w:r w:rsidR="00DC6D47" w:rsidRPr="00DC6D47">
        <w:rPr>
          <w:rFonts w:ascii="Times New Roman" w:hAnsi="Times New Roman" w:cs="Times New Roman"/>
          <w:sz w:val="28"/>
          <w:szCs w:val="28"/>
          <w:lang w:val="uk-UA"/>
        </w:rPr>
        <w:t>ʼ</w:t>
      </w:r>
      <w:r w:rsidR="00936B1A">
        <w:rPr>
          <w:rFonts w:ascii="Times New Roman" w:hAnsi="Times New Roman" w:cs="Times New Roman"/>
          <w:sz w:val="28"/>
          <w:szCs w:val="28"/>
          <w:lang w:val="uk-UA"/>
        </w:rPr>
        <w:t xml:space="preserve">язок між коефіцієнтом атерогенності та рівнем розчинної форми молекули </w:t>
      </w:r>
      <w:r w:rsidR="00EB52B3">
        <w:rPr>
          <w:rFonts w:ascii="Times New Roman" w:hAnsi="Times New Roman" w:cs="Times New Roman"/>
          <w:sz w:val="28"/>
          <w:szCs w:val="28"/>
          <w:lang w:val="uk-UA"/>
        </w:rPr>
        <w:t>адгезії судинного ендотелію 1</w:t>
      </w:r>
      <w:r w:rsidR="00936B1A">
        <w:rPr>
          <w:rFonts w:ascii="Times New Roman" w:hAnsi="Times New Roman" w:cs="Times New Roman"/>
          <w:sz w:val="28"/>
          <w:szCs w:val="28"/>
          <w:lang w:val="uk-UA"/>
        </w:rPr>
        <w:t xml:space="preserve"> типу в осіб з артеріальною гіпер</w:t>
      </w:r>
      <w:r w:rsidR="00EB52B3">
        <w:rPr>
          <w:rFonts w:ascii="Times New Roman" w:hAnsi="Times New Roman" w:cs="Times New Roman"/>
          <w:sz w:val="28"/>
          <w:szCs w:val="28"/>
          <w:lang w:val="uk-UA"/>
        </w:rPr>
        <w:t>тензією і цукровим діабетом 2</w:t>
      </w:r>
      <w:r w:rsidR="008374CA">
        <w:rPr>
          <w:rFonts w:ascii="Times New Roman" w:hAnsi="Times New Roman" w:cs="Times New Roman"/>
          <w:sz w:val="28"/>
          <w:szCs w:val="28"/>
          <w:lang w:val="uk-UA"/>
        </w:rPr>
        <w:t xml:space="preserve"> типу </w:t>
      </w:r>
      <w:r w:rsidR="008374CA" w:rsidRPr="008374CA">
        <w:rPr>
          <w:rFonts w:ascii="Times New Roman" w:hAnsi="Times New Roman" w:cs="Times New Roman"/>
          <w:sz w:val="28"/>
          <w:szCs w:val="28"/>
          <w:lang w:val="uk-UA"/>
        </w:rPr>
        <w:t xml:space="preserve">/ О. М. Чернацька // </w:t>
      </w:r>
      <w:r w:rsidR="00936B1A">
        <w:rPr>
          <w:rFonts w:ascii="Times New Roman" w:hAnsi="Times New Roman" w:cs="Times New Roman"/>
          <w:sz w:val="28"/>
          <w:szCs w:val="28"/>
          <w:lang w:val="uk-UA"/>
        </w:rPr>
        <w:t xml:space="preserve"> </w:t>
      </w:r>
      <w:r w:rsidR="00B95DDE" w:rsidRPr="00B95DDE">
        <w:rPr>
          <w:rFonts w:ascii="Times New Roman" w:hAnsi="Times New Roman" w:cs="Times New Roman"/>
          <w:sz w:val="28"/>
          <w:szCs w:val="28"/>
          <w:lang w:val="uk-UA"/>
        </w:rPr>
        <w:t>Науково-практичний журнал «</w:t>
      </w:r>
      <w:r w:rsidR="00936B1A">
        <w:rPr>
          <w:rFonts w:ascii="Times New Roman" w:hAnsi="Times New Roman" w:cs="Times New Roman"/>
          <w:sz w:val="28"/>
          <w:szCs w:val="28"/>
          <w:lang w:val="uk-UA"/>
        </w:rPr>
        <w:t>Проблеми безперервної медичної освіти та науки</w:t>
      </w:r>
      <w:r w:rsidR="00B95DDE" w:rsidRPr="00B95DDE">
        <w:rPr>
          <w:rFonts w:ascii="Times New Roman" w:hAnsi="Times New Roman" w:cs="Times New Roman"/>
          <w:sz w:val="28"/>
          <w:szCs w:val="28"/>
          <w:lang w:val="uk-UA"/>
        </w:rPr>
        <w:t>»</w:t>
      </w:r>
      <w:r w:rsidR="00936B1A">
        <w:rPr>
          <w:rFonts w:ascii="Times New Roman" w:hAnsi="Times New Roman" w:cs="Times New Roman"/>
          <w:sz w:val="28"/>
          <w:szCs w:val="28"/>
          <w:lang w:val="uk-UA"/>
        </w:rPr>
        <w:t xml:space="preserve">. – 2018. </w:t>
      </w:r>
      <w:r w:rsidR="00936B1A" w:rsidRPr="00936B1A">
        <w:rPr>
          <w:rFonts w:ascii="Times New Roman" w:hAnsi="Times New Roman" w:cs="Times New Roman"/>
          <w:sz w:val="28"/>
          <w:szCs w:val="28"/>
          <w:lang w:val="uk-UA"/>
        </w:rPr>
        <w:t>–</w:t>
      </w:r>
      <w:r w:rsidR="00936B1A">
        <w:rPr>
          <w:rFonts w:ascii="Times New Roman" w:hAnsi="Times New Roman" w:cs="Times New Roman"/>
          <w:sz w:val="28"/>
          <w:szCs w:val="28"/>
          <w:lang w:val="uk-UA"/>
        </w:rPr>
        <w:t xml:space="preserve"> №</w:t>
      </w:r>
      <w:r w:rsidR="00FB4C3C">
        <w:rPr>
          <w:rFonts w:ascii="Times New Roman" w:hAnsi="Times New Roman" w:cs="Times New Roman"/>
          <w:sz w:val="28"/>
          <w:szCs w:val="28"/>
          <w:lang w:val="uk-UA"/>
        </w:rPr>
        <w:t xml:space="preserve"> </w:t>
      </w:r>
      <w:r w:rsidR="00936B1A">
        <w:rPr>
          <w:rFonts w:ascii="Times New Roman" w:hAnsi="Times New Roman" w:cs="Times New Roman"/>
          <w:sz w:val="28"/>
          <w:szCs w:val="28"/>
          <w:lang w:val="uk-UA"/>
        </w:rPr>
        <w:t>2</w:t>
      </w:r>
      <w:r w:rsidR="00EB52B3">
        <w:rPr>
          <w:rFonts w:ascii="Times New Roman" w:hAnsi="Times New Roman" w:cs="Times New Roman"/>
          <w:sz w:val="28"/>
          <w:szCs w:val="28"/>
          <w:lang w:val="uk-UA"/>
        </w:rPr>
        <w:t xml:space="preserve"> (29)</w:t>
      </w:r>
      <w:r w:rsidR="00936B1A">
        <w:rPr>
          <w:rFonts w:ascii="Times New Roman" w:hAnsi="Times New Roman" w:cs="Times New Roman"/>
          <w:sz w:val="28"/>
          <w:szCs w:val="28"/>
          <w:lang w:val="uk-UA"/>
        </w:rPr>
        <w:t>.</w:t>
      </w:r>
      <w:r w:rsidR="00936B1A" w:rsidRPr="008C155B">
        <w:rPr>
          <w:lang w:val="uk-UA"/>
        </w:rPr>
        <w:t xml:space="preserve"> </w:t>
      </w:r>
      <w:r w:rsidR="00936B1A" w:rsidRPr="00936B1A">
        <w:rPr>
          <w:rFonts w:ascii="Times New Roman" w:hAnsi="Times New Roman" w:cs="Times New Roman"/>
          <w:sz w:val="28"/>
          <w:szCs w:val="28"/>
          <w:lang w:val="uk-UA"/>
        </w:rPr>
        <w:t xml:space="preserve">– С. </w:t>
      </w:r>
      <w:r w:rsidR="00EB52B3">
        <w:rPr>
          <w:rFonts w:ascii="Times New Roman" w:hAnsi="Times New Roman" w:cs="Times New Roman"/>
          <w:sz w:val="28"/>
          <w:szCs w:val="28"/>
          <w:lang w:val="uk-UA"/>
        </w:rPr>
        <w:t>82</w:t>
      </w:r>
      <w:r w:rsidR="00EB52B3" w:rsidRPr="00EB52B3">
        <w:rPr>
          <w:rFonts w:ascii="Times New Roman" w:hAnsi="Times New Roman" w:cs="Times New Roman"/>
          <w:sz w:val="28"/>
          <w:szCs w:val="28"/>
          <w:lang w:val="uk-UA"/>
        </w:rPr>
        <w:t>–</w:t>
      </w:r>
      <w:r w:rsidR="00EB52B3">
        <w:rPr>
          <w:rFonts w:ascii="Times New Roman" w:hAnsi="Times New Roman" w:cs="Times New Roman"/>
          <w:sz w:val="28"/>
          <w:szCs w:val="28"/>
          <w:lang w:val="uk-UA"/>
        </w:rPr>
        <w:t>85.</w:t>
      </w:r>
      <w:r w:rsidR="00936B1A">
        <w:rPr>
          <w:rFonts w:ascii="Times New Roman" w:hAnsi="Times New Roman" w:cs="Times New Roman"/>
          <w:sz w:val="28"/>
          <w:szCs w:val="28"/>
          <w:lang w:val="uk-UA"/>
        </w:rPr>
        <w:t xml:space="preserve"> </w:t>
      </w:r>
    </w:p>
    <w:p w:rsidR="00800072" w:rsidRPr="00936B1A" w:rsidRDefault="00800072" w:rsidP="009461CD">
      <w:pPr>
        <w:spacing w:after="0" w:line="360" w:lineRule="auto"/>
        <w:ind w:firstLine="709"/>
        <w:jc w:val="both"/>
        <w:rPr>
          <w:rFonts w:ascii="Times New Roman" w:hAnsi="Times New Roman" w:cs="Times New Roman"/>
          <w:sz w:val="28"/>
          <w:szCs w:val="28"/>
          <w:lang w:val="uk-UA"/>
        </w:rPr>
      </w:pPr>
      <w:r w:rsidRPr="00936B1A">
        <w:rPr>
          <w:rFonts w:ascii="Times New Roman" w:hAnsi="Times New Roman" w:cs="Times New Roman"/>
          <w:sz w:val="28"/>
          <w:szCs w:val="28"/>
          <w:lang w:val="uk-UA"/>
        </w:rPr>
        <w:t>3.</w:t>
      </w:r>
      <w:r w:rsidR="00936B1A">
        <w:rPr>
          <w:rFonts w:ascii="Times New Roman" w:hAnsi="Times New Roman" w:cs="Times New Roman"/>
          <w:sz w:val="28"/>
          <w:szCs w:val="28"/>
          <w:lang w:val="uk-UA"/>
        </w:rPr>
        <w:t xml:space="preserve"> </w:t>
      </w:r>
      <w:r w:rsidRPr="00936B1A">
        <w:rPr>
          <w:rFonts w:ascii="Times New Roman" w:hAnsi="Times New Roman" w:cs="Times New Roman"/>
          <w:sz w:val="28"/>
          <w:szCs w:val="28"/>
          <w:lang w:val="uk-UA"/>
        </w:rPr>
        <w:t xml:space="preserve"> </w:t>
      </w:r>
      <w:r w:rsidR="00936B1A" w:rsidRPr="00936B1A">
        <w:rPr>
          <w:rFonts w:ascii="Times New Roman" w:hAnsi="Times New Roman" w:cs="Times New Roman"/>
          <w:sz w:val="28"/>
          <w:szCs w:val="28"/>
          <w:lang w:val="uk-UA"/>
        </w:rPr>
        <w:t>Чернацька О. М.</w:t>
      </w:r>
      <w:r w:rsidR="00936B1A">
        <w:rPr>
          <w:rFonts w:ascii="Times New Roman" w:hAnsi="Times New Roman" w:cs="Times New Roman"/>
          <w:sz w:val="28"/>
          <w:szCs w:val="28"/>
          <w:lang w:val="uk-UA"/>
        </w:rPr>
        <w:t xml:space="preserve"> Структурно-функціональні особливості міокарда </w:t>
      </w:r>
      <w:r w:rsidR="000A0319" w:rsidRPr="000A0319">
        <w:rPr>
          <w:rFonts w:ascii="Times New Roman" w:hAnsi="Times New Roman" w:cs="Times New Roman"/>
          <w:sz w:val="28"/>
          <w:szCs w:val="28"/>
          <w:lang w:val="uk-UA"/>
        </w:rPr>
        <w:t xml:space="preserve">   </w:t>
      </w:r>
      <w:r w:rsidR="00936B1A">
        <w:rPr>
          <w:rFonts w:ascii="Times New Roman" w:hAnsi="Times New Roman" w:cs="Times New Roman"/>
          <w:sz w:val="28"/>
          <w:szCs w:val="28"/>
          <w:lang w:val="uk-UA"/>
        </w:rPr>
        <w:t>в осіб з артеріальною гіпертензією</w:t>
      </w:r>
      <w:r w:rsidR="008374CA">
        <w:rPr>
          <w:rFonts w:ascii="Times New Roman" w:hAnsi="Times New Roman" w:cs="Times New Roman"/>
          <w:sz w:val="28"/>
          <w:szCs w:val="28"/>
          <w:lang w:val="uk-UA"/>
        </w:rPr>
        <w:t xml:space="preserve"> та цукровим діабетом 2-го типу                     </w:t>
      </w:r>
      <w:r w:rsidR="00055341">
        <w:rPr>
          <w:rFonts w:ascii="Times New Roman" w:hAnsi="Times New Roman" w:cs="Times New Roman"/>
          <w:sz w:val="28"/>
          <w:szCs w:val="28"/>
          <w:lang w:val="uk-UA"/>
        </w:rPr>
        <w:t xml:space="preserve">/ О. М. Чернацька // </w:t>
      </w:r>
      <w:r w:rsidR="00C21D3C" w:rsidRPr="00C21D3C">
        <w:rPr>
          <w:rFonts w:ascii="Times New Roman" w:hAnsi="Times New Roman" w:cs="Times New Roman"/>
          <w:sz w:val="28"/>
          <w:szCs w:val="28"/>
          <w:lang w:val="uk-UA"/>
        </w:rPr>
        <w:t>Медицина сьогодні і завтра</w:t>
      </w:r>
      <w:r w:rsidR="00C21D3C">
        <w:rPr>
          <w:rFonts w:ascii="Times New Roman" w:hAnsi="Times New Roman" w:cs="Times New Roman"/>
          <w:sz w:val="28"/>
          <w:szCs w:val="28"/>
          <w:lang w:val="uk-UA"/>
        </w:rPr>
        <w:t xml:space="preserve">. </w:t>
      </w:r>
      <w:r w:rsidR="00F63614">
        <w:rPr>
          <w:rFonts w:ascii="Times New Roman" w:hAnsi="Times New Roman" w:cs="Times New Roman"/>
          <w:sz w:val="28"/>
          <w:szCs w:val="28"/>
          <w:lang w:val="uk-UA"/>
        </w:rPr>
        <w:t>– 2017</w:t>
      </w:r>
      <w:r w:rsidR="00C21D3C" w:rsidRPr="00C21D3C">
        <w:rPr>
          <w:rFonts w:ascii="Times New Roman" w:hAnsi="Times New Roman" w:cs="Times New Roman"/>
          <w:sz w:val="28"/>
          <w:szCs w:val="28"/>
          <w:lang w:val="uk-UA"/>
        </w:rPr>
        <w:t>.</w:t>
      </w:r>
      <w:r w:rsidR="00F63614">
        <w:rPr>
          <w:rFonts w:ascii="Times New Roman" w:hAnsi="Times New Roman" w:cs="Times New Roman"/>
          <w:sz w:val="28"/>
          <w:szCs w:val="28"/>
          <w:lang w:val="uk-UA"/>
        </w:rPr>
        <w:t xml:space="preserve"> – </w:t>
      </w:r>
      <w:r w:rsidR="00323C36" w:rsidRPr="00323C36">
        <w:rPr>
          <w:rFonts w:ascii="Times New Roman" w:hAnsi="Times New Roman" w:cs="Times New Roman"/>
          <w:sz w:val="28"/>
          <w:szCs w:val="28"/>
          <w:lang w:val="uk-UA"/>
        </w:rPr>
        <w:t>№</w:t>
      </w:r>
      <w:r w:rsidR="00FB4C3C">
        <w:rPr>
          <w:rFonts w:ascii="Times New Roman" w:hAnsi="Times New Roman" w:cs="Times New Roman"/>
          <w:sz w:val="28"/>
          <w:szCs w:val="28"/>
          <w:lang w:val="uk-UA"/>
        </w:rPr>
        <w:t xml:space="preserve"> </w:t>
      </w:r>
      <w:r w:rsidR="00323C36" w:rsidRPr="00323C36">
        <w:rPr>
          <w:rFonts w:ascii="Times New Roman" w:hAnsi="Times New Roman" w:cs="Times New Roman"/>
          <w:sz w:val="28"/>
          <w:szCs w:val="28"/>
          <w:lang w:val="uk-UA"/>
        </w:rPr>
        <w:t>3–4 (76–77)</w:t>
      </w:r>
      <w:r w:rsidR="00323C36">
        <w:rPr>
          <w:rFonts w:ascii="Times New Roman" w:hAnsi="Times New Roman" w:cs="Times New Roman"/>
          <w:sz w:val="28"/>
          <w:szCs w:val="28"/>
          <w:lang w:val="uk-UA"/>
        </w:rPr>
        <w:t xml:space="preserve">         </w:t>
      </w:r>
      <w:r w:rsidR="00C21D3C" w:rsidRPr="00C21D3C">
        <w:rPr>
          <w:rFonts w:ascii="Times New Roman" w:hAnsi="Times New Roman" w:cs="Times New Roman"/>
          <w:sz w:val="28"/>
          <w:szCs w:val="28"/>
          <w:lang w:val="uk-UA"/>
        </w:rPr>
        <w:t>– С.</w:t>
      </w:r>
      <w:r w:rsidR="00055341">
        <w:rPr>
          <w:rFonts w:ascii="Times New Roman" w:hAnsi="Times New Roman" w:cs="Times New Roman"/>
          <w:sz w:val="28"/>
          <w:szCs w:val="28"/>
          <w:lang w:val="uk-UA"/>
        </w:rPr>
        <w:t xml:space="preserve"> 55</w:t>
      </w:r>
      <w:r w:rsidR="00055341" w:rsidRPr="00055341">
        <w:rPr>
          <w:rFonts w:ascii="Times New Roman" w:hAnsi="Times New Roman" w:cs="Times New Roman"/>
          <w:sz w:val="28"/>
          <w:szCs w:val="28"/>
          <w:lang w:val="uk-UA"/>
        </w:rPr>
        <w:t>–</w:t>
      </w:r>
      <w:r w:rsidR="00055341">
        <w:rPr>
          <w:rFonts w:ascii="Times New Roman" w:hAnsi="Times New Roman" w:cs="Times New Roman"/>
          <w:sz w:val="28"/>
          <w:szCs w:val="28"/>
          <w:lang w:val="uk-UA"/>
        </w:rPr>
        <w:t>62.</w:t>
      </w:r>
    </w:p>
    <w:p w:rsidR="00D7447C" w:rsidRPr="00D7447C" w:rsidRDefault="00800072" w:rsidP="009461CD">
      <w:pPr>
        <w:spacing w:after="0" w:line="360" w:lineRule="auto"/>
        <w:ind w:firstLine="709"/>
        <w:jc w:val="both"/>
        <w:rPr>
          <w:rFonts w:ascii="Times New Roman" w:hAnsi="Times New Roman" w:cs="Times New Roman"/>
          <w:sz w:val="28"/>
          <w:szCs w:val="28"/>
          <w:lang w:val="uk-UA"/>
        </w:rPr>
      </w:pPr>
      <w:r w:rsidRPr="00936B1A">
        <w:rPr>
          <w:rFonts w:ascii="Times New Roman" w:hAnsi="Times New Roman" w:cs="Times New Roman"/>
          <w:sz w:val="28"/>
          <w:szCs w:val="28"/>
          <w:lang w:val="uk-UA"/>
        </w:rPr>
        <w:t xml:space="preserve">4. </w:t>
      </w:r>
      <w:r w:rsidR="00D7447C" w:rsidRPr="00D7447C">
        <w:rPr>
          <w:rFonts w:ascii="Times New Roman" w:hAnsi="Times New Roman" w:cs="Times New Roman"/>
          <w:sz w:val="28"/>
          <w:szCs w:val="28"/>
          <w:lang w:val="uk-UA"/>
        </w:rPr>
        <w:t>Чернацька О. М. В</w:t>
      </w:r>
      <w:r w:rsidR="00D7447C">
        <w:rPr>
          <w:rFonts w:ascii="Times New Roman" w:hAnsi="Times New Roman" w:cs="Times New Roman"/>
          <w:sz w:val="28"/>
          <w:szCs w:val="28"/>
          <w:lang w:val="uk-UA"/>
        </w:rPr>
        <w:t>заємозв</w:t>
      </w:r>
      <w:r w:rsidR="00D7447C" w:rsidRPr="00D7447C">
        <w:rPr>
          <w:rFonts w:ascii="Times New Roman" w:hAnsi="Times New Roman" w:cs="Times New Roman"/>
          <w:sz w:val="28"/>
          <w:szCs w:val="28"/>
          <w:lang w:val="uk-UA"/>
        </w:rPr>
        <w:t>’</w:t>
      </w:r>
      <w:r w:rsidR="00D7447C">
        <w:rPr>
          <w:rFonts w:ascii="Times New Roman" w:hAnsi="Times New Roman" w:cs="Times New Roman"/>
          <w:sz w:val="28"/>
          <w:szCs w:val="28"/>
          <w:lang w:val="uk-UA"/>
        </w:rPr>
        <w:t xml:space="preserve">язок між урикемією та показниками функції серця в осіб з артеріальною гіпертензією і цукровим діабетом </w:t>
      </w:r>
      <w:r w:rsidR="00B725EB" w:rsidRPr="00B725EB">
        <w:rPr>
          <w:rFonts w:ascii="Times New Roman" w:hAnsi="Times New Roman" w:cs="Times New Roman"/>
          <w:sz w:val="28"/>
          <w:szCs w:val="28"/>
          <w:lang w:val="uk-UA"/>
        </w:rPr>
        <w:t xml:space="preserve">          </w:t>
      </w:r>
      <w:r w:rsidR="00D7447C">
        <w:rPr>
          <w:rFonts w:ascii="Times New Roman" w:hAnsi="Times New Roman" w:cs="Times New Roman"/>
          <w:sz w:val="28"/>
          <w:szCs w:val="28"/>
          <w:lang w:val="uk-UA"/>
        </w:rPr>
        <w:t>2-го типу</w:t>
      </w:r>
      <w:r w:rsidR="00D7447C" w:rsidRPr="00D7447C">
        <w:rPr>
          <w:rFonts w:ascii="Times New Roman" w:hAnsi="Times New Roman" w:cs="Times New Roman"/>
          <w:sz w:val="28"/>
          <w:szCs w:val="28"/>
          <w:lang w:val="uk-UA"/>
        </w:rPr>
        <w:t xml:space="preserve"> / О. М. Чернацька // Журнал клінічних та експериментальних медичних досліджень. – 2</w:t>
      </w:r>
      <w:r w:rsidR="00B725EB">
        <w:rPr>
          <w:rFonts w:ascii="Times New Roman" w:hAnsi="Times New Roman" w:cs="Times New Roman"/>
          <w:sz w:val="28"/>
          <w:szCs w:val="28"/>
          <w:lang w:val="uk-UA"/>
        </w:rPr>
        <w:t>018. –</w:t>
      </w:r>
      <w:r w:rsidR="00D7447C">
        <w:rPr>
          <w:rFonts w:ascii="Times New Roman" w:hAnsi="Times New Roman" w:cs="Times New Roman"/>
          <w:sz w:val="28"/>
          <w:szCs w:val="28"/>
          <w:lang w:val="uk-UA"/>
        </w:rPr>
        <w:t xml:space="preserve"> Том 6, № </w:t>
      </w:r>
      <w:r w:rsidR="00D7447C" w:rsidRPr="00D7447C">
        <w:rPr>
          <w:rFonts w:ascii="Times New Roman" w:hAnsi="Times New Roman" w:cs="Times New Roman"/>
          <w:sz w:val="28"/>
          <w:szCs w:val="28"/>
          <w:lang w:val="uk-UA"/>
        </w:rPr>
        <w:t>3</w:t>
      </w:r>
      <w:r w:rsidR="00D7447C">
        <w:rPr>
          <w:rFonts w:ascii="Times New Roman" w:hAnsi="Times New Roman" w:cs="Times New Roman"/>
          <w:sz w:val="28"/>
          <w:szCs w:val="28"/>
          <w:lang w:val="uk-UA"/>
        </w:rPr>
        <w:t xml:space="preserve">. – </w:t>
      </w:r>
      <w:r w:rsidR="00D7447C" w:rsidRPr="007C377C">
        <w:rPr>
          <w:rFonts w:ascii="Times New Roman" w:hAnsi="Times New Roman" w:cs="Times New Roman"/>
          <w:sz w:val="28"/>
          <w:szCs w:val="28"/>
          <w:lang w:val="uk-UA"/>
        </w:rPr>
        <w:t xml:space="preserve">С. </w:t>
      </w:r>
      <w:r w:rsidR="007C377C" w:rsidRPr="007C377C">
        <w:rPr>
          <w:rFonts w:ascii="Times New Roman" w:hAnsi="Times New Roman" w:cs="Times New Roman"/>
          <w:sz w:val="28"/>
          <w:szCs w:val="28"/>
          <w:lang w:val="uk-UA"/>
        </w:rPr>
        <w:t>341–345</w:t>
      </w:r>
      <w:r w:rsidR="00D7447C" w:rsidRPr="007C377C">
        <w:rPr>
          <w:rFonts w:ascii="Times New Roman" w:hAnsi="Times New Roman" w:cs="Times New Roman"/>
          <w:sz w:val="28"/>
          <w:szCs w:val="28"/>
          <w:lang w:val="uk-UA"/>
        </w:rPr>
        <w:t>.</w:t>
      </w:r>
    </w:p>
    <w:p w:rsidR="00800072" w:rsidRPr="00936B1A" w:rsidRDefault="00D7447C" w:rsidP="009461CD">
      <w:pPr>
        <w:spacing w:after="0" w:line="360" w:lineRule="auto"/>
        <w:ind w:firstLine="709"/>
        <w:jc w:val="both"/>
        <w:rPr>
          <w:rFonts w:ascii="Times New Roman" w:hAnsi="Times New Roman" w:cs="Times New Roman"/>
          <w:sz w:val="28"/>
          <w:szCs w:val="28"/>
          <w:lang w:val="uk-UA"/>
        </w:rPr>
      </w:pPr>
      <w:r w:rsidRPr="00D7447C">
        <w:rPr>
          <w:rFonts w:ascii="Times New Roman" w:hAnsi="Times New Roman" w:cs="Times New Roman"/>
          <w:sz w:val="28"/>
          <w:szCs w:val="28"/>
          <w:lang w:val="uk-UA"/>
        </w:rPr>
        <w:t xml:space="preserve">5. </w:t>
      </w:r>
      <w:r w:rsidR="00C21D3C" w:rsidRPr="00C21D3C">
        <w:rPr>
          <w:rFonts w:ascii="Times New Roman" w:hAnsi="Times New Roman" w:cs="Times New Roman"/>
          <w:sz w:val="28"/>
          <w:szCs w:val="28"/>
          <w:lang w:val="uk-UA"/>
        </w:rPr>
        <w:t>Чернацька О. М.</w:t>
      </w:r>
      <w:r w:rsidR="00C21D3C">
        <w:rPr>
          <w:rFonts w:ascii="Times New Roman" w:hAnsi="Times New Roman" w:cs="Times New Roman"/>
          <w:sz w:val="28"/>
          <w:szCs w:val="28"/>
          <w:lang w:val="uk-UA"/>
        </w:rPr>
        <w:t xml:space="preserve"> Структурно-функціональні та ендотеліальні особливості діабетичної нефропатії у пацієнтів з артеріальною гіпертензією / О. М. Чернацька, Н. В. Деміхова // Український </w:t>
      </w:r>
      <w:r w:rsidR="00C21D3C" w:rsidRPr="00C21D3C">
        <w:rPr>
          <w:rFonts w:ascii="Times New Roman" w:hAnsi="Times New Roman" w:cs="Times New Roman"/>
          <w:sz w:val="28"/>
          <w:szCs w:val="28"/>
          <w:lang w:val="uk-UA"/>
        </w:rPr>
        <w:t>журнал нефрології та діалізу</w:t>
      </w:r>
      <w:r w:rsidR="00C21D3C">
        <w:rPr>
          <w:rFonts w:ascii="Times New Roman" w:hAnsi="Times New Roman" w:cs="Times New Roman"/>
          <w:sz w:val="28"/>
          <w:szCs w:val="28"/>
          <w:lang w:val="uk-UA"/>
        </w:rPr>
        <w:t xml:space="preserve">. 2018 </w:t>
      </w:r>
      <w:r w:rsidR="00C21D3C" w:rsidRPr="00C21D3C">
        <w:rPr>
          <w:rFonts w:ascii="Times New Roman" w:hAnsi="Times New Roman" w:cs="Times New Roman"/>
          <w:sz w:val="28"/>
          <w:szCs w:val="28"/>
          <w:lang w:val="uk-UA"/>
        </w:rPr>
        <w:t>–</w:t>
      </w:r>
      <w:r w:rsidR="00C21D3C">
        <w:rPr>
          <w:rFonts w:ascii="Times New Roman" w:hAnsi="Times New Roman" w:cs="Times New Roman"/>
          <w:sz w:val="28"/>
          <w:szCs w:val="28"/>
          <w:lang w:val="uk-UA"/>
        </w:rPr>
        <w:t xml:space="preserve"> </w:t>
      </w:r>
      <w:r w:rsidR="00C21D3C" w:rsidRPr="00C21D3C">
        <w:rPr>
          <w:rFonts w:ascii="Times New Roman" w:hAnsi="Times New Roman" w:cs="Times New Roman"/>
          <w:sz w:val="28"/>
          <w:szCs w:val="28"/>
          <w:lang w:val="uk-UA"/>
        </w:rPr>
        <w:t>№2</w:t>
      </w:r>
      <w:r w:rsidR="00DB5F48" w:rsidRPr="004062FC">
        <w:rPr>
          <w:rFonts w:ascii="Times New Roman" w:hAnsi="Times New Roman" w:cs="Times New Roman"/>
          <w:sz w:val="28"/>
          <w:szCs w:val="28"/>
          <w:lang w:val="uk-UA"/>
        </w:rPr>
        <w:t xml:space="preserve"> (58)</w:t>
      </w:r>
      <w:r w:rsidR="00C21D3C" w:rsidRPr="00C21D3C">
        <w:rPr>
          <w:rFonts w:ascii="Times New Roman" w:hAnsi="Times New Roman" w:cs="Times New Roman"/>
          <w:sz w:val="28"/>
          <w:szCs w:val="28"/>
          <w:lang w:val="uk-UA"/>
        </w:rPr>
        <w:t>. – С.</w:t>
      </w:r>
      <w:r w:rsidR="004062FC">
        <w:rPr>
          <w:rFonts w:ascii="Times New Roman" w:hAnsi="Times New Roman" w:cs="Times New Roman"/>
          <w:sz w:val="28"/>
          <w:szCs w:val="28"/>
          <w:lang w:val="uk-UA"/>
        </w:rPr>
        <w:t xml:space="preserve"> 13</w:t>
      </w:r>
      <w:r w:rsidR="004062FC" w:rsidRPr="004062FC">
        <w:rPr>
          <w:rFonts w:ascii="Times New Roman" w:hAnsi="Times New Roman" w:cs="Times New Roman"/>
          <w:sz w:val="28"/>
          <w:szCs w:val="28"/>
          <w:lang w:val="uk-UA"/>
        </w:rPr>
        <w:t>–</w:t>
      </w:r>
      <w:r w:rsidR="004062FC">
        <w:rPr>
          <w:rFonts w:ascii="Times New Roman" w:hAnsi="Times New Roman" w:cs="Times New Roman"/>
          <w:sz w:val="28"/>
          <w:szCs w:val="28"/>
          <w:lang w:val="uk-UA"/>
        </w:rPr>
        <w:t>17.</w:t>
      </w:r>
      <w:r w:rsidR="0093040B">
        <w:rPr>
          <w:rFonts w:ascii="Times New Roman" w:hAnsi="Times New Roman" w:cs="Times New Roman"/>
          <w:sz w:val="28"/>
          <w:szCs w:val="28"/>
          <w:lang w:val="uk-UA"/>
        </w:rPr>
        <w:t xml:space="preserve"> </w:t>
      </w:r>
      <w:r w:rsidR="0093040B" w:rsidRPr="004062FC">
        <w:rPr>
          <w:rFonts w:ascii="Times New Roman" w:hAnsi="Times New Roman" w:cs="Times New Roman"/>
          <w:i/>
          <w:sz w:val="28"/>
          <w:szCs w:val="28"/>
          <w:lang w:val="uk-UA"/>
        </w:rPr>
        <w:t>(З</w:t>
      </w:r>
      <w:r w:rsidR="00C21D3C" w:rsidRPr="004062FC">
        <w:rPr>
          <w:rFonts w:ascii="Times New Roman" w:hAnsi="Times New Roman" w:cs="Times New Roman"/>
          <w:i/>
          <w:sz w:val="28"/>
          <w:szCs w:val="28"/>
          <w:lang w:val="uk-UA"/>
        </w:rPr>
        <w:t xml:space="preserve">добувач зібрав клінічний матеріал, </w:t>
      </w:r>
      <w:r w:rsidR="00C971DA" w:rsidRPr="004062FC">
        <w:rPr>
          <w:rFonts w:ascii="Times New Roman" w:hAnsi="Times New Roman" w:cs="Times New Roman"/>
          <w:i/>
          <w:sz w:val="28"/>
          <w:szCs w:val="28"/>
          <w:lang w:val="uk-UA"/>
        </w:rPr>
        <w:t>про</w:t>
      </w:r>
      <w:r w:rsidR="00C21D3C" w:rsidRPr="004062FC">
        <w:rPr>
          <w:rFonts w:ascii="Times New Roman" w:hAnsi="Times New Roman" w:cs="Times New Roman"/>
          <w:i/>
          <w:sz w:val="28"/>
          <w:szCs w:val="28"/>
          <w:lang w:val="uk-UA"/>
        </w:rPr>
        <w:t>аналіз</w:t>
      </w:r>
      <w:r w:rsidR="00C971DA" w:rsidRPr="004062FC">
        <w:rPr>
          <w:rFonts w:ascii="Times New Roman" w:hAnsi="Times New Roman" w:cs="Times New Roman"/>
          <w:i/>
          <w:sz w:val="28"/>
          <w:szCs w:val="28"/>
          <w:lang w:val="uk-UA"/>
        </w:rPr>
        <w:t>ував отримані дані, статистично обробив і узагальнив результати, сформулював  висновки</w:t>
      </w:r>
      <w:r w:rsidR="00C21D3C" w:rsidRPr="004062FC">
        <w:rPr>
          <w:rFonts w:ascii="Times New Roman" w:hAnsi="Times New Roman" w:cs="Times New Roman"/>
          <w:i/>
          <w:sz w:val="28"/>
          <w:szCs w:val="28"/>
          <w:lang w:val="uk-UA"/>
        </w:rPr>
        <w:t>)</w:t>
      </w:r>
      <w:r w:rsidR="00C21D3C">
        <w:rPr>
          <w:rFonts w:ascii="Times New Roman" w:hAnsi="Times New Roman" w:cs="Times New Roman"/>
          <w:sz w:val="28"/>
          <w:szCs w:val="28"/>
          <w:lang w:val="uk-UA"/>
        </w:rPr>
        <w:t>.</w:t>
      </w:r>
    </w:p>
    <w:p w:rsidR="00800072" w:rsidRPr="004062FC" w:rsidRDefault="00D7447C" w:rsidP="009461CD">
      <w:pPr>
        <w:spacing w:after="0" w:line="360" w:lineRule="auto"/>
        <w:ind w:firstLine="709"/>
        <w:jc w:val="both"/>
        <w:rPr>
          <w:rFonts w:ascii="Times New Roman" w:hAnsi="Times New Roman" w:cs="Times New Roman"/>
          <w:i/>
          <w:sz w:val="28"/>
          <w:szCs w:val="28"/>
          <w:lang w:val="uk-UA"/>
        </w:rPr>
      </w:pPr>
      <w:r>
        <w:rPr>
          <w:rFonts w:ascii="Times New Roman" w:hAnsi="Times New Roman" w:cs="Times New Roman"/>
          <w:sz w:val="28"/>
          <w:szCs w:val="28"/>
          <w:lang w:val="uk-UA"/>
        </w:rPr>
        <w:t>6</w:t>
      </w:r>
      <w:r w:rsidR="00800072" w:rsidRPr="00936B1A">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Chernatska</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O</w:t>
      </w:r>
      <w:r w:rsidR="00852B50">
        <w:rPr>
          <w:rFonts w:ascii="Times New Roman" w:hAnsi="Times New Roman" w:cs="Times New Roman"/>
          <w:sz w:val="28"/>
          <w:szCs w:val="28"/>
          <w:lang w:val="uk-UA"/>
        </w:rPr>
        <w:t>.</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Improvement</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of</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treatment</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in</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persons</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with</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arterial</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hypertension</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and</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type</w:t>
      </w:r>
      <w:r w:rsidR="00C971DA" w:rsidRPr="000B3438">
        <w:rPr>
          <w:rFonts w:ascii="Times New Roman" w:hAnsi="Times New Roman" w:cs="Times New Roman"/>
          <w:sz w:val="28"/>
          <w:szCs w:val="28"/>
          <w:lang w:val="uk-UA"/>
        </w:rPr>
        <w:t xml:space="preserve"> 2 </w:t>
      </w:r>
      <w:r w:rsidR="00C971DA">
        <w:rPr>
          <w:rFonts w:ascii="Times New Roman" w:hAnsi="Times New Roman" w:cs="Times New Roman"/>
          <w:sz w:val="28"/>
          <w:szCs w:val="28"/>
          <w:lang w:val="en-US"/>
        </w:rPr>
        <w:t>diabetes</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mellitus</w:t>
      </w:r>
      <w:r w:rsidR="00C971DA" w:rsidRPr="000B3438">
        <w:rPr>
          <w:rFonts w:ascii="Times New Roman" w:hAnsi="Times New Roman" w:cs="Times New Roman"/>
          <w:sz w:val="28"/>
          <w:szCs w:val="28"/>
          <w:lang w:val="uk-UA"/>
        </w:rPr>
        <w:t xml:space="preserve"> / </w:t>
      </w:r>
      <w:r w:rsidR="00C971DA">
        <w:rPr>
          <w:rFonts w:ascii="Times New Roman" w:hAnsi="Times New Roman" w:cs="Times New Roman"/>
          <w:sz w:val="28"/>
          <w:szCs w:val="28"/>
          <w:lang w:val="en-US"/>
        </w:rPr>
        <w:t>O</w:t>
      </w:r>
      <w:r w:rsidR="00C971DA" w:rsidRPr="000B3438">
        <w:rPr>
          <w:rFonts w:ascii="Times New Roman" w:hAnsi="Times New Roman" w:cs="Times New Roman"/>
          <w:sz w:val="28"/>
          <w:szCs w:val="28"/>
          <w:lang w:val="uk-UA"/>
        </w:rPr>
        <w:t xml:space="preserve">. </w:t>
      </w:r>
      <w:r w:rsidR="00C971DA" w:rsidRPr="00C971DA">
        <w:rPr>
          <w:rFonts w:ascii="Times New Roman" w:hAnsi="Times New Roman" w:cs="Times New Roman"/>
          <w:sz w:val="28"/>
          <w:szCs w:val="28"/>
          <w:lang w:val="en-US"/>
        </w:rPr>
        <w:t>Chernatska</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N</w:t>
      </w:r>
      <w:r w:rsidR="00852B50">
        <w:rPr>
          <w:rFonts w:ascii="Times New Roman" w:hAnsi="Times New Roman" w:cs="Times New Roman"/>
          <w:sz w:val="28"/>
          <w:szCs w:val="28"/>
          <w:lang w:val="uk-UA"/>
        </w:rPr>
        <w:t>.</w:t>
      </w:r>
      <w:r w:rsidR="00852B50">
        <w:rPr>
          <w:rFonts w:ascii="Times New Roman" w:hAnsi="Times New Roman" w:cs="Times New Roman"/>
          <w:sz w:val="28"/>
          <w:szCs w:val="28"/>
          <w:lang w:val="en-US"/>
        </w:rPr>
        <w:t xml:space="preserve"> </w:t>
      </w:r>
      <w:r w:rsidR="00C971DA">
        <w:rPr>
          <w:rFonts w:ascii="Times New Roman" w:hAnsi="Times New Roman" w:cs="Times New Roman"/>
          <w:sz w:val="28"/>
          <w:szCs w:val="28"/>
          <w:lang w:val="en-US"/>
        </w:rPr>
        <w:t>Demikhova</w:t>
      </w:r>
      <w:r w:rsidR="00C971DA" w:rsidRPr="000B3438">
        <w:rPr>
          <w:rFonts w:ascii="Times New Roman" w:hAnsi="Times New Roman" w:cs="Times New Roman"/>
          <w:sz w:val="28"/>
          <w:szCs w:val="28"/>
          <w:lang w:val="uk-UA"/>
        </w:rPr>
        <w:t xml:space="preserve"> // </w:t>
      </w:r>
      <w:r w:rsidR="00C971DA">
        <w:rPr>
          <w:rFonts w:ascii="Times New Roman" w:hAnsi="Times New Roman" w:cs="Times New Roman"/>
          <w:sz w:val="28"/>
          <w:szCs w:val="28"/>
          <w:lang w:val="en-US"/>
        </w:rPr>
        <w:t>Georgian</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Medical</w:t>
      </w:r>
      <w:r w:rsidR="00C971DA" w:rsidRPr="000B3438">
        <w:rPr>
          <w:rFonts w:ascii="Times New Roman" w:hAnsi="Times New Roman" w:cs="Times New Roman"/>
          <w:sz w:val="28"/>
          <w:szCs w:val="28"/>
          <w:lang w:val="uk-UA"/>
        </w:rPr>
        <w:t xml:space="preserve"> </w:t>
      </w:r>
      <w:r w:rsidR="00C971DA">
        <w:rPr>
          <w:rFonts w:ascii="Times New Roman" w:hAnsi="Times New Roman" w:cs="Times New Roman"/>
          <w:sz w:val="28"/>
          <w:szCs w:val="28"/>
          <w:lang w:val="en-US"/>
        </w:rPr>
        <w:t>News</w:t>
      </w:r>
      <w:r w:rsidR="00C971DA" w:rsidRPr="000B3438">
        <w:rPr>
          <w:rFonts w:ascii="Times New Roman" w:hAnsi="Times New Roman" w:cs="Times New Roman"/>
          <w:sz w:val="28"/>
          <w:szCs w:val="28"/>
          <w:lang w:val="uk-UA"/>
        </w:rPr>
        <w:t xml:space="preserve">. – 2018. </w:t>
      </w:r>
      <w:r w:rsidR="00852B50">
        <w:rPr>
          <w:rFonts w:ascii="Times New Roman" w:hAnsi="Times New Roman" w:cs="Times New Roman"/>
          <w:sz w:val="28"/>
          <w:szCs w:val="28"/>
          <w:lang w:val="uk-UA"/>
        </w:rPr>
        <w:t>– № 11 (284). – C. 47–51.</w:t>
      </w:r>
      <w:r w:rsidR="00852B50">
        <w:rPr>
          <w:rFonts w:ascii="Times New Roman" w:hAnsi="Times New Roman" w:cs="Times New Roman"/>
          <w:sz w:val="28"/>
          <w:szCs w:val="28"/>
          <w:lang w:val="en-US"/>
        </w:rPr>
        <w:t xml:space="preserve"> </w:t>
      </w:r>
      <w:r w:rsidR="00C971DA" w:rsidRPr="004062FC">
        <w:rPr>
          <w:rFonts w:ascii="Times New Roman" w:hAnsi="Times New Roman" w:cs="Times New Roman"/>
          <w:i/>
          <w:sz w:val="28"/>
          <w:szCs w:val="28"/>
          <w:lang w:val="uk-UA"/>
        </w:rPr>
        <w:t>(</w:t>
      </w:r>
      <w:r w:rsidR="0093040B" w:rsidRPr="004062FC">
        <w:rPr>
          <w:rFonts w:ascii="Times New Roman" w:hAnsi="Times New Roman" w:cs="Times New Roman"/>
          <w:i/>
          <w:sz w:val="28"/>
          <w:szCs w:val="28"/>
          <w:lang w:val="uk-UA"/>
        </w:rPr>
        <w:t>З</w:t>
      </w:r>
      <w:r w:rsidR="00C971DA" w:rsidRPr="004062FC">
        <w:rPr>
          <w:rFonts w:ascii="Times New Roman" w:hAnsi="Times New Roman" w:cs="Times New Roman"/>
          <w:i/>
          <w:sz w:val="28"/>
          <w:szCs w:val="28"/>
          <w:lang w:val="uk-UA"/>
        </w:rPr>
        <w:t xml:space="preserve">добувач зібрав </w:t>
      </w:r>
      <w:r w:rsidR="00C971DA" w:rsidRPr="004062FC">
        <w:rPr>
          <w:rFonts w:ascii="Times New Roman" w:hAnsi="Times New Roman" w:cs="Times New Roman"/>
          <w:i/>
          <w:sz w:val="28"/>
          <w:szCs w:val="28"/>
          <w:lang w:val="uk-UA"/>
        </w:rPr>
        <w:lastRenderedPageBreak/>
        <w:t>матеріали, статистично обробив результати, сформулював висновки,</w:t>
      </w:r>
      <w:r w:rsidR="000B3438" w:rsidRPr="004062FC">
        <w:rPr>
          <w:rFonts w:ascii="Times New Roman" w:hAnsi="Times New Roman" w:cs="Times New Roman"/>
          <w:i/>
          <w:sz w:val="28"/>
          <w:szCs w:val="28"/>
          <w:lang w:val="uk-UA"/>
        </w:rPr>
        <w:t xml:space="preserve"> підготував публікацію до друку</w:t>
      </w:r>
      <w:r w:rsidR="00C971DA" w:rsidRPr="004062FC">
        <w:rPr>
          <w:rFonts w:ascii="Times New Roman" w:hAnsi="Times New Roman" w:cs="Times New Roman"/>
          <w:i/>
          <w:sz w:val="28"/>
          <w:szCs w:val="28"/>
          <w:lang w:val="uk-UA"/>
        </w:rPr>
        <w:t>)</w:t>
      </w:r>
      <w:r w:rsidR="000B3438" w:rsidRPr="004062FC">
        <w:rPr>
          <w:rFonts w:ascii="Times New Roman" w:hAnsi="Times New Roman" w:cs="Times New Roman"/>
          <w:i/>
          <w:sz w:val="28"/>
          <w:szCs w:val="28"/>
          <w:lang w:val="uk-UA"/>
        </w:rPr>
        <w:t>.</w:t>
      </w:r>
    </w:p>
    <w:p w:rsidR="00800072" w:rsidRPr="00936B1A" w:rsidRDefault="00800072" w:rsidP="009461CD">
      <w:pPr>
        <w:spacing w:after="0" w:line="360" w:lineRule="auto"/>
        <w:ind w:firstLine="709"/>
        <w:jc w:val="both"/>
        <w:rPr>
          <w:rFonts w:ascii="Times New Roman" w:hAnsi="Times New Roman" w:cs="Times New Roman"/>
          <w:b/>
          <w:sz w:val="28"/>
          <w:szCs w:val="28"/>
          <w:lang w:val="uk-UA"/>
        </w:rPr>
      </w:pPr>
      <w:r w:rsidRPr="00936B1A">
        <w:rPr>
          <w:rFonts w:ascii="Times New Roman" w:hAnsi="Times New Roman" w:cs="Times New Roman"/>
          <w:b/>
          <w:sz w:val="28"/>
          <w:szCs w:val="28"/>
          <w:lang w:val="uk-UA"/>
        </w:rPr>
        <w:t>Наукові праці, які засвідчують апробацію матеріалів дисертації:</w:t>
      </w:r>
    </w:p>
    <w:p w:rsidR="009461CD" w:rsidRPr="008C155B" w:rsidRDefault="00D7447C" w:rsidP="009461C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B4BA8">
        <w:rPr>
          <w:rFonts w:ascii="Times New Roman" w:hAnsi="Times New Roman" w:cs="Times New Roman"/>
          <w:sz w:val="28"/>
          <w:szCs w:val="28"/>
          <w:lang w:val="uk-UA"/>
        </w:rPr>
        <w:t>. Чернацька О. М</w:t>
      </w:r>
      <w:r w:rsidR="009461CD" w:rsidRPr="00936B1A">
        <w:rPr>
          <w:rFonts w:ascii="Times New Roman" w:hAnsi="Times New Roman" w:cs="Times New Roman"/>
          <w:sz w:val="28"/>
          <w:szCs w:val="28"/>
          <w:lang w:val="uk-UA"/>
        </w:rPr>
        <w:t xml:space="preserve">. Основні аспекти ліпідного обміну в осіб із </w:t>
      </w:r>
      <w:r w:rsidR="009461CD" w:rsidRPr="008C155B">
        <w:rPr>
          <w:rFonts w:ascii="Times New Roman" w:hAnsi="Times New Roman" w:cs="Times New Roman"/>
          <w:sz w:val="28"/>
          <w:szCs w:val="28"/>
          <w:lang w:val="uk-UA"/>
        </w:rPr>
        <w:t>цукровим діабетом 2-го типу й артеріальною гіпертензією /                             В. Ф. Орловський, О. М. Чернацька, Н. В. Деміхова // Всеукраїнська науково-практична конференція за міжнародної участі з сімейної медицини «Від науки до практики», м. Дніпро, 1−2 червня 2017 р.</w:t>
      </w:r>
      <w:r w:rsidR="00D95278">
        <w:rPr>
          <w:rFonts w:ascii="Times New Roman" w:hAnsi="Times New Roman" w:cs="Times New Roman"/>
          <w:sz w:val="28"/>
          <w:szCs w:val="28"/>
          <w:lang w:val="uk-UA"/>
        </w:rPr>
        <w:t xml:space="preserve"> </w:t>
      </w:r>
      <w:r w:rsidR="009461CD" w:rsidRPr="008C155B">
        <w:rPr>
          <w:rFonts w:ascii="Times New Roman" w:hAnsi="Times New Roman" w:cs="Times New Roman"/>
          <w:sz w:val="28"/>
          <w:szCs w:val="28"/>
          <w:lang w:val="uk-UA"/>
        </w:rPr>
        <w:t>; Медичні перспективи. – 2017. – Т. ХХІ</w:t>
      </w:r>
      <w:r w:rsidR="00207983" w:rsidRPr="00207983">
        <w:rPr>
          <w:rFonts w:ascii="Times New Roman" w:hAnsi="Times New Roman" w:cs="Times New Roman"/>
          <w:sz w:val="28"/>
          <w:szCs w:val="28"/>
          <w:lang w:val="uk-UA"/>
        </w:rPr>
        <w:t>І</w:t>
      </w:r>
      <w:r w:rsidR="00892B87">
        <w:rPr>
          <w:rFonts w:ascii="Times New Roman" w:hAnsi="Times New Roman" w:cs="Times New Roman"/>
          <w:sz w:val="28"/>
          <w:szCs w:val="28"/>
          <w:lang w:val="uk-UA"/>
        </w:rPr>
        <w:t>, № 2, ч. 1. – С. 5</w:t>
      </w:r>
      <w:r w:rsidR="00892B87" w:rsidRPr="00892B87">
        <w:rPr>
          <w:rFonts w:ascii="Times New Roman" w:hAnsi="Times New Roman" w:cs="Times New Roman"/>
          <w:sz w:val="28"/>
          <w:szCs w:val="28"/>
          <w:lang w:val="uk-UA"/>
        </w:rPr>
        <w:t>4</w:t>
      </w:r>
      <w:r w:rsidR="00D95278">
        <w:rPr>
          <w:rFonts w:ascii="Times New Roman" w:hAnsi="Times New Roman" w:cs="Times New Roman"/>
          <w:sz w:val="28"/>
          <w:szCs w:val="28"/>
          <w:lang w:val="uk-UA"/>
        </w:rPr>
        <w:t>.</w:t>
      </w:r>
      <w:r w:rsidR="009461CD" w:rsidRPr="008C155B">
        <w:rPr>
          <w:rFonts w:ascii="Times New Roman" w:hAnsi="Times New Roman" w:cs="Times New Roman"/>
          <w:sz w:val="28"/>
          <w:szCs w:val="28"/>
          <w:lang w:val="uk-UA"/>
        </w:rPr>
        <w:t xml:space="preserve"> </w:t>
      </w:r>
      <w:r w:rsidR="0047752A">
        <w:rPr>
          <w:rFonts w:ascii="Times New Roman" w:hAnsi="Times New Roman" w:cs="Times New Roman"/>
          <w:i/>
          <w:sz w:val="28"/>
          <w:szCs w:val="28"/>
          <w:lang w:val="uk-UA"/>
        </w:rPr>
        <w:t xml:space="preserve">(Здобувач </w:t>
      </w:r>
      <w:r w:rsidR="009461CD" w:rsidRPr="004062FC">
        <w:rPr>
          <w:rFonts w:ascii="Times New Roman" w:hAnsi="Times New Roman" w:cs="Times New Roman"/>
          <w:i/>
          <w:sz w:val="28"/>
          <w:szCs w:val="28"/>
          <w:lang w:val="uk-UA"/>
        </w:rPr>
        <w:t>статистично обробив результати, сформулював висновки)</w:t>
      </w:r>
      <w:r w:rsidR="009461CD" w:rsidRPr="008C155B">
        <w:rPr>
          <w:rFonts w:ascii="Times New Roman" w:hAnsi="Times New Roman" w:cs="Times New Roman"/>
          <w:sz w:val="28"/>
          <w:szCs w:val="28"/>
          <w:lang w:val="uk-UA"/>
        </w:rPr>
        <w:t>.</w:t>
      </w:r>
    </w:p>
    <w:p w:rsidR="009461CD" w:rsidRPr="004062FC" w:rsidRDefault="00D7447C" w:rsidP="009461CD">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lang w:val="uk-UA"/>
        </w:rPr>
        <w:t>8</w:t>
      </w:r>
      <w:r w:rsidR="009461CD" w:rsidRPr="008C155B">
        <w:rPr>
          <w:rFonts w:ascii="Times New Roman" w:hAnsi="Times New Roman" w:cs="Times New Roman"/>
          <w:sz w:val="28"/>
          <w:szCs w:val="28"/>
          <w:lang w:val="uk-UA"/>
        </w:rPr>
        <w:t>. Чернацька О. М. Маркери діабетичної нефропатії в осіб із супутньою артеріальною гіпертензією / О. М. Чернацька, А. О. Масленко, Н. В. Деміхова</w:t>
      </w:r>
      <w:r w:rsidR="00D95278">
        <w:rPr>
          <w:rFonts w:ascii="Times New Roman" w:hAnsi="Times New Roman" w:cs="Times New Roman"/>
          <w:sz w:val="28"/>
          <w:szCs w:val="28"/>
          <w:lang w:val="uk-UA"/>
        </w:rPr>
        <w:t xml:space="preserve"> </w:t>
      </w:r>
      <w:r w:rsidR="009461CD" w:rsidRPr="008C155B">
        <w:rPr>
          <w:rFonts w:ascii="Times New Roman" w:hAnsi="Times New Roman" w:cs="Times New Roman"/>
          <w:sz w:val="28"/>
          <w:szCs w:val="28"/>
          <w:lang w:val="uk-UA"/>
        </w:rPr>
        <w:t>//</w:t>
      </w:r>
      <w:r w:rsidR="007068FF">
        <w:rPr>
          <w:rFonts w:ascii="Times New Roman" w:hAnsi="Times New Roman" w:cs="Times New Roman"/>
          <w:sz w:val="28"/>
          <w:szCs w:val="28"/>
          <w:lang w:val="uk-UA"/>
        </w:rPr>
        <w:t xml:space="preserve"> V з’їзд нефрологів України, </w:t>
      </w:r>
      <w:r w:rsidR="00A578C3">
        <w:rPr>
          <w:rFonts w:ascii="Times New Roman" w:hAnsi="Times New Roman" w:cs="Times New Roman"/>
          <w:sz w:val="28"/>
          <w:szCs w:val="28"/>
          <w:lang w:val="uk-UA"/>
        </w:rPr>
        <w:t>м. Вінниця, 2</w:t>
      </w:r>
      <w:r w:rsidR="00A578C3" w:rsidRPr="00A578C3">
        <w:rPr>
          <w:rFonts w:ascii="Times New Roman" w:hAnsi="Times New Roman" w:cs="Times New Roman"/>
          <w:sz w:val="28"/>
          <w:szCs w:val="28"/>
          <w:lang w:val="uk-UA"/>
        </w:rPr>
        <w:t>0</w:t>
      </w:r>
      <w:r w:rsidR="007068FF" w:rsidRPr="007068FF">
        <w:rPr>
          <w:rFonts w:ascii="Times New Roman" w:hAnsi="Times New Roman" w:cs="Times New Roman"/>
          <w:sz w:val="28"/>
          <w:szCs w:val="28"/>
          <w:lang w:val="uk-UA"/>
        </w:rPr>
        <w:t>−22 вересня 2017р.</w:t>
      </w:r>
      <w:r w:rsidR="007068FF">
        <w:rPr>
          <w:rFonts w:ascii="Times New Roman" w:hAnsi="Times New Roman" w:cs="Times New Roman"/>
          <w:sz w:val="28"/>
          <w:szCs w:val="28"/>
          <w:lang w:val="uk-UA"/>
        </w:rPr>
        <w:t xml:space="preserve">; </w:t>
      </w:r>
      <w:r w:rsidR="009461CD" w:rsidRPr="008C155B">
        <w:rPr>
          <w:rFonts w:ascii="Times New Roman" w:hAnsi="Times New Roman" w:cs="Times New Roman"/>
          <w:sz w:val="28"/>
          <w:szCs w:val="28"/>
          <w:lang w:val="uk-UA"/>
        </w:rPr>
        <w:t>Український журнал нефрології та діалізу. – 2017. – № 3 (55). – С. 36</w:t>
      </w:r>
      <w:r w:rsidR="007068FF" w:rsidRPr="007068FF">
        <w:rPr>
          <w:rFonts w:ascii="Times New Roman" w:hAnsi="Times New Roman" w:cs="Times New Roman"/>
          <w:sz w:val="28"/>
          <w:szCs w:val="28"/>
          <w:lang w:val="uk-UA"/>
        </w:rPr>
        <w:t>–</w:t>
      </w:r>
      <w:r w:rsidR="007068FF">
        <w:rPr>
          <w:rFonts w:ascii="Times New Roman" w:hAnsi="Times New Roman" w:cs="Times New Roman"/>
          <w:sz w:val="28"/>
          <w:szCs w:val="28"/>
          <w:lang w:val="uk-UA"/>
        </w:rPr>
        <w:t>37</w:t>
      </w:r>
      <w:r w:rsidR="00D95278">
        <w:rPr>
          <w:rFonts w:ascii="Times New Roman" w:hAnsi="Times New Roman" w:cs="Times New Roman"/>
          <w:sz w:val="28"/>
          <w:szCs w:val="28"/>
          <w:lang w:val="uk-UA"/>
        </w:rPr>
        <w:t>.</w:t>
      </w:r>
      <w:r w:rsidR="009461CD" w:rsidRPr="008C155B">
        <w:rPr>
          <w:rFonts w:ascii="Times New Roman" w:hAnsi="Times New Roman" w:cs="Times New Roman"/>
          <w:sz w:val="28"/>
          <w:szCs w:val="28"/>
          <w:lang w:val="uk-UA"/>
        </w:rPr>
        <w:t xml:space="preserve"> </w:t>
      </w:r>
      <w:r w:rsidR="009461CD" w:rsidRPr="004062FC">
        <w:rPr>
          <w:rFonts w:ascii="Times New Roman" w:hAnsi="Times New Roman" w:cs="Times New Roman"/>
          <w:i/>
          <w:sz w:val="28"/>
          <w:szCs w:val="28"/>
        </w:rPr>
        <w:t>(Здобувач проаналізував матеріали, статистично обробив результати, підготував публікацію до друку).</w:t>
      </w:r>
    </w:p>
    <w:p w:rsidR="009461CD" w:rsidRPr="00D15C60" w:rsidRDefault="00D7447C" w:rsidP="00946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9</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О</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Кардіоренальні</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зв</w:t>
      </w:r>
      <w:r w:rsidR="009461CD" w:rsidRPr="00757210">
        <w:rPr>
          <w:rFonts w:ascii="Times New Roman" w:hAnsi="Times New Roman" w:cs="Times New Roman"/>
          <w:sz w:val="28"/>
          <w:szCs w:val="28"/>
        </w:rPr>
        <w:t>’</w:t>
      </w:r>
      <w:r w:rsidR="009461CD" w:rsidRPr="009461CD">
        <w:rPr>
          <w:rFonts w:ascii="Times New Roman" w:hAnsi="Times New Roman" w:cs="Times New Roman"/>
          <w:sz w:val="28"/>
          <w:szCs w:val="28"/>
        </w:rPr>
        <w:t>язки</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у</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пацієнтів</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з</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артеріальною</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гіпертензією</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цукровим</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діабетом</w:t>
      </w:r>
      <w:r w:rsidR="009461CD" w:rsidRPr="00757210">
        <w:rPr>
          <w:rFonts w:ascii="Times New Roman" w:hAnsi="Times New Roman" w:cs="Times New Roman"/>
          <w:sz w:val="28"/>
          <w:szCs w:val="28"/>
        </w:rPr>
        <w:t xml:space="preserve"> 2-</w:t>
      </w:r>
      <w:r w:rsidR="009461CD" w:rsidRPr="009461CD">
        <w:rPr>
          <w:rFonts w:ascii="Times New Roman" w:hAnsi="Times New Roman" w:cs="Times New Roman"/>
          <w:sz w:val="28"/>
          <w:szCs w:val="28"/>
        </w:rPr>
        <w:t>го</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типу</w:t>
      </w:r>
      <w:r w:rsidR="009461CD" w:rsidRPr="00757210">
        <w:rPr>
          <w:rFonts w:ascii="Times New Roman" w:hAnsi="Times New Roman" w:cs="Times New Roman"/>
          <w:sz w:val="28"/>
          <w:szCs w:val="28"/>
        </w:rPr>
        <w:t xml:space="preserve"> / </w:t>
      </w:r>
      <w:r w:rsidR="009461CD" w:rsidRPr="009461CD">
        <w:rPr>
          <w:rFonts w:ascii="Times New Roman" w:hAnsi="Times New Roman" w:cs="Times New Roman"/>
          <w:sz w:val="28"/>
          <w:szCs w:val="28"/>
        </w:rPr>
        <w:t>О</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757210">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D15C60">
        <w:rPr>
          <w:rFonts w:ascii="Times New Roman" w:hAnsi="Times New Roman" w:cs="Times New Roman"/>
          <w:sz w:val="28"/>
          <w:szCs w:val="28"/>
        </w:rPr>
        <w:t xml:space="preserve"> // </w:t>
      </w:r>
      <w:r w:rsidR="009461CD" w:rsidRPr="009461CD">
        <w:rPr>
          <w:rFonts w:ascii="Times New Roman" w:hAnsi="Times New Roman" w:cs="Times New Roman"/>
          <w:sz w:val="28"/>
          <w:szCs w:val="28"/>
        </w:rPr>
        <w:t>Актуальні</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питання</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теоретичної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практичної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медицини</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збірник</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тез</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доповідей</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І</w:t>
      </w:r>
      <w:r w:rsidR="009461CD" w:rsidRPr="009461CD">
        <w:rPr>
          <w:rFonts w:ascii="Times New Roman" w:hAnsi="Times New Roman" w:cs="Times New Roman"/>
          <w:sz w:val="28"/>
          <w:szCs w:val="28"/>
          <w:lang w:val="en-US"/>
        </w:rPr>
        <w:t>V</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Міжнародної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науково</w:t>
      </w:r>
      <w:r w:rsidR="009461CD" w:rsidRPr="00D15C60">
        <w:rPr>
          <w:rFonts w:ascii="Times New Roman" w:hAnsi="Times New Roman" w:cs="Times New Roman"/>
          <w:sz w:val="28"/>
          <w:szCs w:val="28"/>
        </w:rPr>
        <w:t>-</w:t>
      </w:r>
      <w:r w:rsidR="009461CD" w:rsidRPr="009461CD">
        <w:rPr>
          <w:rFonts w:ascii="Times New Roman" w:hAnsi="Times New Roman" w:cs="Times New Roman"/>
          <w:sz w:val="28"/>
          <w:szCs w:val="28"/>
        </w:rPr>
        <w:t>практичної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конференції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студентів</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молодих</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учених</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Суми</w:t>
      </w:r>
      <w:r w:rsidR="009461CD" w:rsidRPr="00D15C60">
        <w:rPr>
          <w:rFonts w:ascii="Times New Roman" w:hAnsi="Times New Roman" w:cs="Times New Roman"/>
          <w:sz w:val="28"/>
          <w:szCs w:val="28"/>
        </w:rPr>
        <w:t xml:space="preserve">, 21−22 </w:t>
      </w:r>
      <w:r w:rsidR="009461CD" w:rsidRPr="009461CD">
        <w:rPr>
          <w:rFonts w:ascii="Times New Roman" w:hAnsi="Times New Roman" w:cs="Times New Roman"/>
          <w:sz w:val="28"/>
          <w:szCs w:val="28"/>
        </w:rPr>
        <w:t>квітня</w:t>
      </w:r>
      <w:r w:rsidR="009461CD" w:rsidRPr="00D15C60">
        <w:rPr>
          <w:rFonts w:ascii="Times New Roman" w:hAnsi="Times New Roman" w:cs="Times New Roman"/>
          <w:sz w:val="28"/>
          <w:szCs w:val="28"/>
        </w:rPr>
        <w:t xml:space="preserve"> 2016 </w:t>
      </w:r>
      <w:r w:rsidR="009461CD" w:rsidRPr="009461CD">
        <w:rPr>
          <w:rFonts w:ascii="Times New Roman" w:hAnsi="Times New Roman" w:cs="Times New Roman"/>
          <w:sz w:val="28"/>
          <w:szCs w:val="28"/>
        </w:rPr>
        <w:t>р</w:t>
      </w:r>
      <w:r w:rsidR="009461CD" w:rsidRPr="00D15C60">
        <w:rPr>
          <w:rFonts w:ascii="Times New Roman" w:hAnsi="Times New Roman" w:cs="Times New Roman"/>
          <w:sz w:val="28"/>
          <w:szCs w:val="28"/>
        </w:rPr>
        <w:t xml:space="preserve">. – </w:t>
      </w:r>
      <w:r w:rsidR="009461CD" w:rsidRPr="009461CD">
        <w:rPr>
          <w:rFonts w:ascii="Times New Roman" w:hAnsi="Times New Roman" w:cs="Times New Roman"/>
          <w:sz w:val="28"/>
          <w:szCs w:val="28"/>
        </w:rPr>
        <w:t>Суми</w:t>
      </w:r>
      <w:r w:rsidR="009461CD" w:rsidRPr="00D15C60">
        <w:rPr>
          <w:rFonts w:ascii="Times New Roman" w:hAnsi="Times New Roman" w:cs="Times New Roman"/>
          <w:sz w:val="28"/>
          <w:szCs w:val="28"/>
        </w:rPr>
        <w:t xml:space="preserve"> : </w:t>
      </w:r>
      <w:r w:rsidR="009461CD" w:rsidRPr="009461CD">
        <w:rPr>
          <w:rFonts w:ascii="Times New Roman" w:hAnsi="Times New Roman" w:cs="Times New Roman"/>
          <w:sz w:val="28"/>
          <w:szCs w:val="28"/>
        </w:rPr>
        <w:t>СумДУ</w:t>
      </w:r>
      <w:r w:rsidR="009461CD" w:rsidRPr="00D15C60">
        <w:rPr>
          <w:rFonts w:ascii="Times New Roman" w:hAnsi="Times New Roman" w:cs="Times New Roman"/>
          <w:sz w:val="28"/>
          <w:szCs w:val="28"/>
        </w:rPr>
        <w:t xml:space="preserve">, 2016. – </w:t>
      </w:r>
      <w:r w:rsidR="009461CD" w:rsidRPr="009461CD">
        <w:rPr>
          <w:rFonts w:ascii="Times New Roman" w:hAnsi="Times New Roman" w:cs="Times New Roman"/>
          <w:sz w:val="28"/>
          <w:szCs w:val="28"/>
        </w:rPr>
        <w:t>Т</w:t>
      </w:r>
      <w:r w:rsidR="009461CD" w:rsidRPr="00D15C60">
        <w:rPr>
          <w:rFonts w:ascii="Times New Roman" w:hAnsi="Times New Roman" w:cs="Times New Roman"/>
          <w:sz w:val="28"/>
          <w:szCs w:val="28"/>
        </w:rPr>
        <w:t xml:space="preserve">. 2. – </w:t>
      </w:r>
      <w:r w:rsidR="009461CD" w:rsidRPr="009461CD">
        <w:rPr>
          <w:rFonts w:ascii="Times New Roman" w:hAnsi="Times New Roman" w:cs="Times New Roman"/>
          <w:sz w:val="28"/>
          <w:szCs w:val="28"/>
        </w:rPr>
        <w:t>С</w:t>
      </w:r>
      <w:r w:rsidR="009461CD" w:rsidRPr="00D15C60">
        <w:rPr>
          <w:rFonts w:ascii="Times New Roman" w:hAnsi="Times New Roman" w:cs="Times New Roman"/>
          <w:sz w:val="28"/>
          <w:szCs w:val="28"/>
        </w:rPr>
        <w:t>. 105.</w:t>
      </w:r>
    </w:p>
    <w:p w:rsidR="009461CD" w:rsidRPr="009461CD" w:rsidRDefault="00D7447C" w:rsidP="00946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10</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Порівняльна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ефективність</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телмісартану</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лізиноприлу</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щодо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впливу</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на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рівень</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співвідношення</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мікроальбумін</w:t>
      </w:r>
      <w:r w:rsidR="009461CD" w:rsidRPr="00D15C60">
        <w:rPr>
          <w:rFonts w:ascii="Times New Roman" w:hAnsi="Times New Roman" w:cs="Times New Roman"/>
          <w:sz w:val="28"/>
          <w:szCs w:val="28"/>
        </w:rPr>
        <w:t>/</w:t>
      </w:r>
      <w:r w:rsidR="009461CD" w:rsidRPr="009461CD">
        <w:rPr>
          <w:rFonts w:ascii="Times New Roman" w:hAnsi="Times New Roman" w:cs="Times New Roman"/>
          <w:sz w:val="28"/>
          <w:szCs w:val="28"/>
        </w:rPr>
        <w:t>креатинін</w:t>
      </w:r>
      <w:r w:rsidR="009461CD" w:rsidRPr="00D15C60">
        <w:rPr>
          <w:rFonts w:ascii="Times New Roman" w:hAnsi="Times New Roman" w:cs="Times New Roman"/>
          <w:sz w:val="28"/>
          <w:szCs w:val="28"/>
        </w:rPr>
        <w:t xml:space="preserve"> </w:t>
      </w:r>
      <w:r w:rsidR="00D95278">
        <w:rPr>
          <w:rFonts w:ascii="Times New Roman" w:hAnsi="Times New Roman" w:cs="Times New Roman"/>
          <w:sz w:val="28"/>
          <w:szCs w:val="28"/>
          <w:lang w:val="uk-UA"/>
        </w:rPr>
        <w:t>в</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осіб</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з</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артеріальною</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гіпертензією</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ІІІ стадії та ц</w:t>
      </w:r>
      <w:r w:rsidR="00D95278">
        <w:rPr>
          <w:rFonts w:ascii="Times New Roman" w:hAnsi="Times New Roman" w:cs="Times New Roman"/>
          <w:sz w:val="28"/>
          <w:szCs w:val="28"/>
        </w:rPr>
        <w:t>укровим діабетом 2-го типу / О.</w:t>
      </w:r>
      <w:r w:rsidR="00D95278">
        <w:rPr>
          <w:rFonts w:ascii="Times New Roman" w:hAnsi="Times New Roman" w:cs="Times New Roman"/>
          <w:sz w:val="28"/>
          <w:szCs w:val="28"/>
          <w:lang w:val="uk-UA"/>
        </w:rPr>
        <w:t xml:space="preserve"> </w:t>
      </w:r>
      <w:r w:rsidR="009461CD" w:rsidRPr="009461CD">
        <w:rPr>
          <w:rFonts w:ascii="Times New Roman" w:hAnsi="Times New Roman" w:cs="Times New Roman"/>
          <w:sz w:val="28"/>
          <w:szCs w:val="28"/>
        </w:rPr>
        <w:t xml:space="preserve">М. Чернацька // Щорічні терапевтичні читання: профілактика неінфекційних захворювань на перехресті </w:t>
      </w:r>
      <w:r w:rsidR="00D95278">
        <w:rPr>
          <w:rFonts w:ascii="Times New Roman" w:hAnsi="Times New Roman" w:cs="Times New Roman"/>
          <w:sz w:val="28"/>
          <w:szCs w:val="28"/>
        </w:rPr>
        <w:t xml:space="preserve">терапевтичних наук : матеріали </w:t>
      </w:r>
      <w:r w:rsidR="00D95278">
        <w:rPr>
          <w:rFonts w:ascii="Times New Roman" w:hAnsi="Times New Roman" w:cs="Times New Roman"/>
          <w:sz w:val="28"/>
          <w:szCs w:val="28"/>
          <w:lang w:val="uk-UA"/>
        </w:rPr>
        <w:t>н</w:t>
      </w:r>
      <w:r w:rsidR="009461CD" w:rsidRPr="009461CD">
        <w:rPr>
          <w:rFonts w:ascii="Times New Roman" w:hAnsi="Times New Roman" w:cs="Times New Roman"/>
          <w:sz w:val="28"/>
          <w:szCs w:val="28"/>
        </w:rPr>
        <w:t>ауково-практичної конференції за міжнародної участі, присвяченій памʼяті академіка Л. Т. Малої, м. Харків, 21 квітня 2016 р. / за ред. Г. Д. Фадєєнко. – Харків, 2016. – С. 344.</w:t>
      </w:r>
    </w:p>
    <w:p w:rsidR="009461CD" w:rsidRPr="009461CD" w:rsidRDefault="00800072" w:rsidP="00946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7447C">
        <w:rPr>
          <w:rFonts w:ascii="Times New Roman" w:hAnsi="Times New Roman" w:cs="Times New Roman"/>
          <w:sz w:val="28"/>
          <w:szCs w:val="28"/>
          <w:lang w:val="uk-UA"/>
        </w:rPr>
        <w:t>1</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Особливості</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діастолічної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дисфункції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лівого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шлуночка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під</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впливом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лікування</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телмісартаном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в</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осіб</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похилого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віку</w:t>
      </w:r>
      <w:r w:rsidR="009461CD" w:rsidRPr="00D15C60">
        <w:rPr>
          <w:rFonts w:ascii="Times New Roman" w:hAnsi="Times New Roman" w:cs="Times New Roman"/>
          <w:sz w:val="28"/>
          <w:szCs w:val="28"/>
        </w:rPr>
        <w:t xml:space="preserve"> </w:t>
      </w:r>
      <w:r w:rsidR="00DC6D47" w:rsidRPr="00DC6D47">
        <w:rPr>
          <w:rFonts w:ascii="Times New Roman" w:hAnsi="Times New Roman" w:cs="Times New Roman"/>
          <w:sz w:val="28"/>
          <w:szCs w:val="28"/>
        </w:rPr>
        <w:t xml:space="preserve">             </w:t>
      </w:r>
      <w:r w:rsidR="009461CD" w:rsidRPr="009461CD">
        <w:rPr>
          <w:rFonts w:ascii="Times New Roman" w:hAnsi="Times New Roman" w:cs="Times New Roman"/>
          <w:sz w:val="28"/>
          <w:szCs w:val="28"/>
        </w:rPr>
        <w:t>з</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артеріальною</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гіпертензією</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цукровим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діабетом</w:t>
      </w:r>
      <w:r w:rsidR="009461CD" w:rsidRPr="00D15C60">
        <w:rPr>
          <w:rFonts w:ascii="Times New Roman" w:hAnsi="Times New Roman" w:cs="Times New Roman"/>
          <w:sz w:val="28"/>
          <w:szCs w:val="28"/>
        </w:rPr>
        <w:t xml:space="preserve"> 2-</w:t>
      </w:r>
      <w:r w:rsidR="009461CD" w:rsidRPr="009461CD">
        <w:rPr>
          <w:rFonts w:ascii="Times New Roman" w:hAnsi="Times New Roman" w:cs="Times New Roman"/>
          <w:sz w:val="28"/>
          <w:szCs w:val="28"/>
        </w:rPr>
        <w:t>го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типу</w:t>
      </w:r>
      <w:r w:rsidR="009461CD" w:rsidRPr="00D15C60">
        <w:rPr>
          <w:rFonts w:ascii="Times New Roman" w:hAnsi="Times New Roman" w:cs="Times New Roman"/>
          <w:sz w:val="28"/>
          <w:szCs w:val="28"/>
        </w:rPr>
        <w:t xml:space="preserve"> / </w:t>
      </w:r>
      <w:r w:rsidR="00DC6D47" w:rsidRPr="00DC6D47">
        <w:rPr>
          <w:rFonts w:ascii="Times New Roman" w:hAnsi="Times New Roman" w:cs="Times New Roman"/>
          <w:sz w:val="28"/>
          <w:szCs w:val="28"/>
        </w:rPr>
        <w:t xml:space="preserve">                        </w:t>
      </w:r>
      <w:r w:rsidR="009461CD" w:rsidRPr="009461CD">
        <w:rPr>
          <w:rFonts w:ascii="Times New Roman" w:hAnsi="Times New Roman" w:cs="Times New Roman"/>
          <w:sz w:val="28"/>
          <w:szCs w:val="28"/>
        </w:rPr>
        <w:t>О</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D15C60">
        <w:rPr>
          <w:rFonts w:ascii="Times New Roman" w:hAnsi="Times New Roman" w:cs="Times New Roman"/>
          <w:sz w:val="28"/>
          <w:szCs w:val="28"/>
        </w:rPr>
        <w:t xml:space="preserve"> // </w:t>
      </w:r>
      <w:r w:rsidR="009461CD" w:rsidRPr="009461CD">
        <w:rPr>
          <w:rFonts w:ascii="Times New Roman" w:hAnsi="Times New Roman" w:cs="Times New Roman"/>
          <w:sz w:val="28"/>
          <w:szCs w:val="28"/>
        </w:rPr>
        <w:t>Досягнення</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перспективи</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експериментальної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і</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клінічної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ендокринології</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П</w:t>
      </w:r>
      <w:r w:rsidR="009461CD" w:rsidRPr="00D15C60">
        <w:rPr>
          <w:rFonts w:ascii="Times New Roman" w:hAnsi="Times New Roman" w:cs="Times New Roman"/>
          <w:sz w:val="28"/>
          <w:szCs w:val="28"/>
        </w:rPr>
        <w:t>’</w:t>
      </w:r>
      <w:r w:rsidR="009461CD" w:rsidRPr="009461CD">
        <w:rPr>
          <w:rFonts w:ascii="Times New Roman" w:hAnsi="Times New Roman" w:cs="Times New Roman"/>
          <w:sz w:val="28"/>
          <w:szCs w:val="28"/>
        </w:rPr>
        <w:t>ятнадцяті</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Данилевські</w:t>
      </w:r>
      <w:r w:rsidR="009461CD" w:rsidRPr="00D15C60">
        <w:rPr>
          <w:rFonts w:ascii="Times New Roman" w:hAnsi="Times New Roman" w:cs="Times New Roman"/>
          <w:sz w:val="28"/>
          <w:szCs w:val="28"/>
        </w:rPr>
        <w:t xml:space="preserve"> </w:t>
      </w:r>
      <w:r w:rsidR="009461CD" w:rsidRPr="009461CD">
        <w:rPr>
          <w:rFonts w:ascii="Times New Roman" w:hAnsi="Times New Roman" w:cs="Times New Roman"/>
          <w:sz w:val="28"/>
          <w:szCs w:val="28"/>
        </w:rPr>
        <w:t>читання</w:t>
      </w:r>
      <w:r w:rsidR="009461CD" w:rsidRPr="00D15C60">
        <w:rPr>
          <w:rFonts w:ascii="Times New Roman" w:hAnsi="Times New Roman" w:cs="Times New Roman"/>
          <w:sz w:val="28"/>
          <w:szCs w:val="28"/>
        </w:rPr>
        <w:t xml:space="preserve">) : </w:t>
      </w:r>
      <w:r w:rsidR="009461CD" w:rsidRPr="009461CD">
        <w:rPr>
          <w:rFonts w:ascii="Times New Roman" w:hAnsi="Times New Roman" w:cs="Times New Roman"/>
          <w:sz w:val="28"/>
          <w:szCs w:val="28"/>
        </w:rPr>
        <w:t>матер</w:t>
      </w:r>
      <w:r w:rsidR="009461CD" w:rsidRPr="00D15C60">
        <w:rPr>
          <w:rFonts w:ascii="Times New Roman" w:hAnsi="Times New Roman" w:cs="Times New Roman"/>
          <w:sz w:val="28"/>
          <w:szCs w:val="28"/>
        </w:rPr>
        <w:t xml:space="preserve">. </w:t>
      </w:r>
      <w:r w:rsidR="00D95278">
        <w:rPr>
          <w:rFonts w:ascii="Times New Roman" w:hAnsi="Times New Roman" w:cs="Times New Roman"/>
          <w:sz w:val="28"/>
          <w:szCs w:val="28"/>
          <w:lang w:val="uk-UA"/>
        </w:rPr>
        <w:t>н</w:t>
      </w:r>
      <w:r w:rsidR="009461CD" w:rsidRPr="009461CD">
        <w:rPr>
          <w:rFonts w:ascii="Times New Roman" w:hAnsi="Times New Roman" w:cs="Times New Roman"/>
          <w:sz w:val="28"/>
          <w:szCs w:val="28"/>
        </w:rPr>
        <w:t xml:space="preserve">аук.-практ. конф. за міжнар. участі (Харків, 10−11 березня 2016 р.) / за ред. Ю. І. Караченцева,                  О. В. Козакова, Н. О. Кравчун </w:t>
      </w:r>
      <w:r w:rsidR="00656290" w:rsidRPr="00656290">
        <w:rPr>
          <w:rFonts w:ascii="Times New Roman" w:hAnsi="Times New Roman" w:cs="Times New Roman"/>
          <w:sz w:val="28"/>
          <w:szCs w:val="28"/>
        </w:rPr>
        <w:t xml:space="preserve">Т. І. Єфіменко; НАМН України, МОЗ України, Департамент охорони здоров’я Харківської обласної державної адміністрації, Департамент охорони здоров’я ХМР, ДУ «Інститут проблем ендокринної патології ім. В. Я. Данилевського НАМН України», ХНМУ МОЗ України, ХМАПО МОЗ України. </w:t>
      </w:r>
      <w:r w:rsidR="009461CD" w:rsidRPr="009461CD">
        <w:rPr>
          <w:rFonts w:ascii="Times New Roman" w:hAnsi="Times New Roman" w:cs="Times New Roman"/>
          <w:sz w:val="28"/>
          <w:szCs w:val="28"/>
        </w:rPr>
        <w:t>– Харків, 2016. –  С. 143−144.</w:t>
      </w:r>
    </w:p>
    <w:p w:rsidR="009461CD" w:rsidRPr="00D11213" w:rsidRDefault="00800072" w:rsidP="009461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7447C">
        <w:rPr>
          <w:rFonts w:ascii="Times New Roman" w:hAnsi="Times New Roman" w:cs="Times New Roman"/>
          <w:sz w:val="28"/>
          <w:szCs w:val="28"/>
          <w:lang w:val="uk-UA"/>
        </w:rPr>
        <w:t>2</w:t>
      </w:r>
      <w:r w:rsidR="009461CD" w:rsidRPr="009461CD">
        <w:rPr>
          <w:rFonts w:ascii="Times New Roman" w:hAnsi="Times New Roman" w:cs="Times New Roman"/>
          <w:sz w:val="28"/>
          <w:szCs w:val="28"/>
        </w:rPr>
        <w:t xml:space="preserve">. Чернацька О. М. Особливості серцевої недостатності в осіб </w:t>
      </w:r>
      <w:r w:rsidR="00DC6D47" w:rsidRPr="00DC6D47">
        <w:rPr>
          <w:rFonts w:ascii="Times New Roman" w:hAnsi="Times New Roman" w:cs="Times New Roman"/>
          <w:sz w:val="28"/>
          <w:szCs w:val="28"/>
        </w:rPr>
        <w:t xml:space="preserve">            </w:t>
      </w:r>
      <w:r w:rsidR="009461CD" w:rsidRPr="009461CD">
        <w:rPr>
          <w:rFonts w:ascii="Times New Roman" w:hAnsi="Times New Roman" w:cs="Times New Roman"/>
          <w:sz w:val="28"/>
          <w:szCs w:val="28"/>
        </w:rPr>
        <w:t xml:space="preserve">із артеріальною гіпертензією ІІІ стадії і цукровим діабетом 2-го типу та </w:t>
      </w:r>
      <w:r w:rsidR="00DC6D47" w:rsidRPr="00DC6D47">
        <w:rPr>
          <w:rFonts w:ascii="Times New Roman" w:hAnsi="Times New Roman" w:cs="Times New Roman"/>
          <w:sz w:val="28"/>
          <w:szCs w:val="28"/>
        </w:rPr>
        <w:t xml:space="preserve">          </w:t>
      </w:r>
      <w:r w:rsidR="009461CD" w:rsidRPr="009461CD">
        <w:rPr>
          <w:rFonts w:ascii="Times New Roman" w:hAnsi="Times New Roman" w:cs="Times New Roman"/>
          <w:sz w:val="28"/>
          <w:szCs w:val="28"/>
        </w:rPr>
        <w:t>її корекція / О. М. Чернацька // ІІ Міжнародна науково-практична конференція «Терапевтичні читання: сучасні аспекти діагностики і лікування захворювань внутрішніх органів»</w:t>
      </w:r>
      <w:r w:rsidR="00D95278">
        <w:rPr>
          <w:rFonts w:ascii="Times New Roman" w:hAnsi="Times New Roman" w:cs="Times New Roman"/>
          <w:sz w:val="28"/>
          <w:szCs w:val="28"/>
          <w:lang w:val="uk-UA"/>
        </w:rPr>
        <w:t>,</w:t>
      </w:r>
      <w:r w:rsidR="00D95278">
        <w:rPr>
          <w:rFonts w:ascii="Times New Roman" w:hAnsi="Times New Roman" w:cs="Times New Roman"/>
          <w:sz w:val="28"/>
          <w:szCs w:val="28"/>
        </w:rPr>
        <w:t xml:space="preserve"> присвячен</w:t>
      </w:r>
      <w:r w:rsidR="00D95278">
        <w:rPr>
          <w:rFonts w:ascii="Times New Roman" w:hAnsi="Times New Roman" w:cs="Times New Roman"/>
          <w:sz w:val="28"/>
          <w:szCs w:val="28"/>
          <w:lang w:val="uk-UA"/>
        </w:rPr>
        <w:t>а</w:t>
      </w:r>
      <w:r w:rsidR="009461CD" w:rsidRPr="009461CD">
        <w:rPr>
          <w:rFonts w:ascii="Times New Roman" w:hAnsi="Times New Roman" w:cs="Times New Roman"/>
          <w:sz w:val="28"/>
          <w:szCs w:val="28"/>
        </w:rPr>
        <w:t xml:space="preserve"> пам’яті академ</w:t>
      </w:r>
      <w:r w:rsidR="00DC6D47">
        <w:rPr>
          <w:rFonts w:ascii="Times New Roman" w:hAnsi="Times New Roman" w:cs="Times New Roman"/>
          <w:sz w:val="28"/>
          <w:szCs w:val="28"/>
        </w:rPr>
        <w:t>іка НАМН України</w:t>
      </w:r>
      <w:r w:rsidR="00DC6D47" w:rsidRPr="00DC6D47">
        <w:rPr>
          <w:rFonts w:ascii="Times New Roman" w:hAnsi="Times New Roman" w:cs="Times New Roman"/>
          <w:sz w:val="28"/>
          <w:szCs w:val="28"/>
        </w:rPr>
        <w:t xml:space="preserve"> </w:t>
      </w:r>
      <w:r w:rsidR="009461CD" w:rsidRPr="009461CD">
        <w:rPr>
          <w:rFonts w:ascii="Times New Roman" w:hAnsi="Times New Roman" w:cs="Times New Roman"/>
          <w:sz w:val="28"/>
          <w:szCs w:val="28"/>
        </w:rPr>
        <w:t xml:space="preserve">Є. М. Нейка, Івано-Франківськ − Яремче, 6−7 жовтня 2016 / </w:t>
      </w:r>
      <w:r w:rsidR="00DC6D47" w:rsidRPr="00DC6D47">
        <w:rPr>
          <w:rFonts w:ascii="Times New Roman" w:hAnsi="Times New Roman" w:cs="Times New Roman"/>
          <w:sz w:val="28"/>
          <w:szCs w:val="28"/>
        </w:rPr>
        <w:t xml:space="preserve">            </w:t>
      </w:r>
      <w:r w:rsidR="009461CD" w:rsidRPr="009461CD">
        <w:rPr>
          <w:rFonts w:ascii="Times New Roman" w:hAnsi="Times New Roman" w:cs="Times New Roman"/>
          <w:sz w:val="28"/>
          <w:szCs w:val="28"/>
        </w:rPr>
        <w:t>з</w:t>
      </w:r>
      <w:r w:rsidR="001D62A1">
        <w:rPr>
          <w:rFonts w:ascii="Times New Roman" w:hAnsi="Times New Roman" w:cs="Times New Roman"/>
          <w:sz w:val="28"/>
          <w:szCs w:val="28"/>
        </w:rPr>
        <w:t xml:space="preserve">а редакцією </w:t>
      </w:r>
      <w:r w:rsidR="00D95278">
        <w:rPr>
          <w:rFonts w:ascii="Times New Roman" w:hAnsi="Times New Roman" w:cs="Times New Roman"/>
          <w:sz w:val="28"/>
          <w:szCs w:val="28"/>
        </w:rPr>
        <w:t>І. П. Вакалюка</w:t>
      </w:r>
      <w:r w:rsidR="009461CD" w:rsidRPr="009461CD">
        <w:rPr>
          <w:rFonts w:ascii="Times New Roman" w:hAnsi="Times New Roman" w:cs="Times New Roman"/>
          <w:sz w:val="28"/>
          <w:szCs w:val="28"/>
        </w:rPr>
        <w:t xml:space="preserve"> – </w:t>
      </w:r>
      <w:r w:rsidR="00D95278">
        <w:rPr>
          <w:rFonts w:ascii="Times New Roman" w:hAnsi="Times New Roman" w:cs="Times New Roman"/>
          <w:sz w:val="28"/>
          <w:szCs w:val="28"/>
          <w:lang w:val="uk-UA"/>
        </w:rPr>
        <w:t xml:space="preserve">м. </w:t>
      </w:r>
      <w:r w:rsidR="00D95278" w:rsidRPr="009461CD">
        <w:rPr>
          <w:rFonts w:ascii="Times New Roman" w:hAnsi="Times New Roman" w:cs="Times New Roman"/>
          <w:sz w:val="28"/>
          <w:szCs w:val="28"/>
        </w:rPr>
        <w:t xml:space="preserve">Івано-Франківськ </w:t>
      </w:r>
      <w:r w:rsidR="00763E85">
        <w:rPr>
          <w:rFonts w:ascii="Times New Roman" w:hAnsi="Times New Roman" w:cs="Times New Roman"/>
          <w:sz w:val="28"/>
          <w:szCs w:val="28"/>
        </w:rPr>
        <w:t>–</w:t>
      </w:r>
      <w:r w:rsidR="00D95278" w:rsidRPr="009461CD">
        <w:rPr>
          <w:rFonts w:ascii="Times New Roman" w:hAnsi="Times New Roman" w:cs="Times New Roman"/>
          <w:sz w:val="28"/>
          <w:szCs w:val="28"/>
        </w:rPr>
        <w:t xml:space="preserve"> Яремче</w:t>
      </w:r>
      <w:r w:rsidR="00763E85">
        <w:rPr>
          <w:rFonts w:ascii="Times New Roman" w:hAnsi="Times New Roman" w:cs="Times New Roman"/>
          <w:sz w:val="28"/>
          <w:szCs w:val="28"/>
          <w:lang w:val="uk-UA"/>
        </w:rPr>
        <w:t>,</w:t>
      </w:r>
      <w:r w:rsidR="00D95278" w:rsidRPr="009461CD">
        <w:rPr>
          <w:rFonts w:ascii="Times New Roman" w:hAnsi="Times New Roman" w:cs="Times New Roman"/>
          <w:sz w:val="28"/>
          <w:szCs w:val="28"/>
        </w:rPr>
        <w:t xml:space="preserve"> </w:t>
      </w:r>
      <w:r w:rsidR="001D62A1">
        <w:rPr>
          <w:rFonts w:ascii="Times New Roman" w:hAnsi="Times New Roman" w:cs="Times New Roman"/>
          <w:sz w:val="28"/>
          <w:szCs w:val="28"/>
        </w:rPr>
        <w:t>2016.</w:t>
      </w:r>
      <w:r w:rsidR="001D62A1" w:rsidRPr="001D62A1">
        <w:rPr>
          <w:rFonts w:ascii="Times New Roman" w:hAnsi="Times New Roman" w:cs="Times New Roman"/>
          <w:sz w:val="28"/>
          <w:szCs w:val="28"/>
        </w:rPr>
        <w:t xml:space="preserve">                  </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C</w:t>
      </w:r>
      <w:r w:rsidR="009461CD" w:rsidRPr="00D11213">
        <w:rPr>
          <w:rFonts w:ascii="Times New Roman" w:hAnsi="Times New Roman" w:cs="Times New Roman"/>
          <w:sz w:val="28"/>
          <w:szCs w:val="28"/>
        </w:rPr>
        <w:t>. 270−272.</w:t>
      </w:r>
    </w:p>
    <w:p w:rsidR="009461CD" w:rsidRPr="00D11213" w:rsidRDefault="00800072" w:rsidP="009461CD">
      <w:pPr>
        <w:spacing w:after="0" w:line="360" w:lineRule="auto"/>
        <w:ind w:firstLine="709"/>
        <w:jc w:val="both"/>
        <w:rPr>
          <w:rFonts w:ascii="Times New Roman" w:hAnsi="Times New Roman" w:cs="Times New Roman"/>
          <w:sz w:val="28"/>
          <w:szCs w:val="28"/>
        </w:rPr>
      </w:pPr>
      <w:r w:rsidRPr="00D11213">
        <w:rPr>
          <w:rFonts w:ascii="Times New Roman" w:hAnsi="Times New Roman" w:cs="Times New Roman"/>
          <w:sz w:val="28"/>
          <w:szCs w:val="28"/>
        </w:rPr>
        <w:t>1</w:t>
      </w:r>
      <w:r w:rsidR="00D7447C">
        <w:rPr>
          <w:rFonts w:ascii="Times New Roman" w:hAnsi="Times New Roman" w:cs="Times New Roman"/>
          <w:sz w:val="28"/>
          <w:szCs w:val="28"/>
          <w:lang w:val="uk-UA"/>
        </w:rPr>
        <w:t>3</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О</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Особливості</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ендотеліальної</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дисфункції</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у</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пацієнтів</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із</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діабетичною</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нефропатією</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артеріальною</w:t>
      </w:r>
      <w:r w:rsidR="009461CD" w:rsidRPr="00D11213">
        <w:rPr>
          <w:rFonts w:ascii="Times New Roman" w:hAnsi="Times New Roman" w:cs="Times New Roman"/>
          <w:sz w:val="28"/>
          <w:szCs w:val="28"/>
        </w:rPr>
        <w:t xml:space="preserve"> </w:t>
      </w:r>
      <w:r w:rsidR="009461CD">
        <w:rPr>
          <w:rFonts w:ascii="Times New Roman" w:hAnsi="Times New Roman" w:cs="Times New Roman"/>
          <w:sz w:val="28"/>
          <w:szCs w:val="28"/>
        </w:rPr>
        <w:t>гіпертензією</w:t>
      </w:r>
      <w:r w:rsidR="009461CD" w:rsidRPr="00D11213">
        <w:rPr>
          <w:rFonts w:ascii="Times New Roman" w:hAnsi="Times New Roman" w:cs="Times New Roman"/>
          <w:sz w:val="28"/>
          <w:szCs w:val="28"/>
        </w:rPr>
        <w:t xml:space="preserve"> / </w:t>
      </w:r>
      <w:r w:rsidR="009461CD" w:rsidRPr="009461CD">
        <w:rPr>
          <w:rFonts w:ascii="Times New Roman" w:hAnsi="Times New Roman" w:cs="Times New Roman"/>
          <w:sz w:val="28"/>
          <w:szCs w:val="28"/>
        </w:rPr>
        <w:t>О</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М</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Чернацька</w:t>
      </w:r>
      <w:r w:rsidR="009461CD" w:rsidRPr="00D11213">
        <w:rPr>
          <w:rFonts w:ascii="Times New Roman" w:hAnsi="Times New Roman" w:cs="Times New Roman"/>
          <w:sz w:val="28"/>
          <w:szCs w:val="28"/>
        </w:rPr>
        <w:t xml:space="preserve"> // </w:t>
      </w:r>
      <w:r w:rsidR="009461CD" w:rsidRPr="009461CD">
        <w:rPr>
          <w:rFonts w:ascii="Times New Roman" w:hAnsi="Times New Roman" w:cs="Times New Roman"/>
          <w:sz w:val="28"/>
          <w:szCs w:val="28"/>
        </w:rPr>
        <w:t>Актуальні</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питання</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теоретичної</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та</w:t>
      </w:r>
      <w:r w:rsidR="009461CD" w:rsidRPr="00D11213">
        <w:rPr>
          <w:rFonts w:ascii="Times New Roman" w:hAnsi="Times New Roman" w:cs="Times New Roman"/>
          <w:sz w:val="28"/>
          <w:szCs w:val="28"/>
        </w:rPr>
        <w:t xml:space="preserve"> </w:t>
      </w:r>
      <w:r w:rsidR="00D92D8F">
        <w:rPr>
          <w:rFonts w:ascii="Times New Roman" w:hAnsi="Times New Roman" w:cs="Times New Roman"/>
          <w:sz w:val="28"/>
          <w:szCs w:val="28"/>
          <w:lang w:val="uk-UA"/>
        </w:rPr>
        <w:t xml:space="preserve">клінічної </w:t>
      </w:r>
      <w:r w:rsidR="00D92D8F">
        <w:rPr>
          <w:rFonts w:ascii="Times New Roman" w:hAnsi="Times New Roman" w:cs="Times New Roman"/>
          <w:sz w:val="28"/>
          <w:szCs w:val="28"/>
        </w:rPr>
        <w:t>медицини</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збірник</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тез</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д</w:t>
      </w:r>
      <w:r w:rsidR="00D92D8F">
        <w:rPr>
          <w:rFonts w:ascii="Times New Roman" w:hAnsi="Times New Roman" w:cs="Times New Roman"/>
          <w:sz w:val="28"/>
          <w:szCs w:val="28"/>
        </w:rPr>
        <w:t>оповідей</w:t>
      </w:r>
      <w:r w:rsidR="00D92D8F"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V</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Міжнародної</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науково</w:t>
      </w:r>
      <w:r w:rsidR="009461CD" w:rsidRPr="00D11213">
        <w:rPr>
          <w:rFonts w:ascii="Times New Roman" w:hAnsi="Times New Roman" w:cs="Times New Roman"/>
          <w:sz w:val="28"/>
          <w:szCs w:val="28"/>
        </w:rPr>
        <w:t>-</w:t>
      </w:r>
      <w:r w:rsidR="009461CD" w:rsidRPr="009461CD">
        <w:rPr>
          <w:rFonts w:ascii="Times New Roman" w:hAnsi="Times New Roman" w:cs="Times New Roman"/>
          <w:sz w:val="28"/>
          <w:szCs w:val="28"/>
        </w:rPr>
        <w:t>практичної</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конференції</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студенті</w:t>
      </w:r>
      <w:r w:rsidR="00D92D8F">
        <w:rPr>
          <w:rFonts w:ascii="Times New Roman" w:hAnsi="Times New Roman" w:cs="Times New Roman"/>
          <w:sz w:val="28"/>
          <w:szCs w:val="28"/>
        </w:rPr>
        <w:t>в</w:t>
      </w:r>
      <w:r w:rsidR="00D92D8F" w:rsidRPr="00D11213">
        <w:rPr>
          <w:rFonts w:ascii="Times New Roman" w:hAnsi="Times New Roman" w:cs="Times New Roman"/>
          <w:sz w:val="28"/>
          <w:szCs w:val="28"/>
        </w:rPr>
        <w:t xml:space="preserve"> </w:t>
      </w:r>
      <w:r w:rsidR="00D92D8F">
        <w:rPr>
          <w:rFonts w:ascii="Times New Roman" w:hAnsi="Times New Roman" w:cs="Times New Roman"/>
          <w:sz w:val="28"/>
          <w:szCs w:val="28"/>
        </w:rPr>
        <w:t>та</w:t>
      </w:r>
      <w:r w:rsidR="00D92D8F" w:rsidRPr="00D11213">
        <w:rPr>
          <w:rFonts w:ascii="Times New Roman" w:hAnsi="Times New Roman" w:cs="Times New Roman"/>
          <w:sz w:val="28"/>
          <w:szCs w:val="28"/>
        </w:rPr>
        <w:t xml:space="preserve"> </w:t>
      </w:r>
      <w:r w:rsidR="00D92D8F">
        <w:rPr>
          <w:rFonts w:ascii="Times New Roman" w:hAnsi="Times New Roman" w:cs="Times New Roman"/>
          <w:sz w:val="28"/>
          <w:szCs w:val="28"/>
        </w:rPr>
        <w:t>молодих</w:t>
      </w:r>
      <w:r w:rsidR="00D92D8F" w:rsidRPr="00D11213">
        <w:rPr>
          <w:rFonts w:ascii="Times New Roman" w:hAnsi="Times New Roman" w:cs="Times New Roman"/>
          <w:sz w:val="28"/>
          <w:szCs w:val="28"/>
        </w:rPr>
        <w:t xml:space="preserve"> </w:t>
      </w:r>
      <w:r w:rsidR="00D92D8F">
        <w:rPr>
          <w:rFonts w:ascii="Times New Roman" w:hAnsi="Times New Roman" w:cs="Times New Roman"/>
          <w:sz w:val="28"/>
          <w:szCs w:val="28"/>
        </w:rPr>
        <w:t>учених</w:t>
      </w:r>
      <w:r w:rsidR="00D92D8F" w:rsidRPr="00D11213">
        <w:rPr>
          <w:rFonts w:ascii="Times New Roman" w:hAnsi="Times New Roman" w:cs="Times New Roman"/>
          <w:sz w:val="28"/>
          <w:szCs w:val="28"/>
        </w:rPr>
        <w:t xml:space="preserve">, </w:t>
      </w:r>
      <w:r w:rsidR="00D92D8F">
        <w:rPr>
          <w:rFonts w:ascii="Times New Roman" w:hAnsi="Times New Roman" w:cs="Times New Roman"/>
          <w:sz w:val="28"/>
          <w:szCs w:val="28"/>
        </w:rPr>
        <w:t>м</w:t>
      </w:r>
      <w:r w:rsidR="00D92D8F" w:rsidRPr="00D11213">
        <w:rPr>
          <w:rFonts w:ascii="Times New Roman" w:hAnsi="Times New Roman" w:cs="Times New Roman"/>
          <w:sz w:val="28"/>
          <w:szCs w:val="28"/>
        </w:rPr>
        <w:t xml:space="preserve">. </w:t>
      </w:r>
      <w:r w:rsidR="00D92D8F">
        <w:rPr>
          <w:rFonts w:ascii="Times New Roman" w:hAnsi="Times New Roman" w:cs="Times New Roman"/>
          <w:sz w:val="28"/>
          <w:szCs w:val="28"/>
        </w:rPr>
        <w:t>Суми</w:t>
      </w:r>
      <w:r w:rsidR="00D92D8F" w:rsidRPr="00D11213">
        <w:rPr>
          <w:rFonts w:ascii="Times New Roman" w:hAnsi="Times New Roman" w:cs="Times New Roman"/>
          <w:sz w:val="28"/>
          <w:szCs w:val="28"/>
        </w:rPr>
        <w:t>, 2</w:t>
      </w:r>
      <w:r w:rsidR="00D92D8F">
        <w:rPr>
          <w:rFonts w:ascii="Times New Roman" w:hAnsi="Times New Roman" w:cs="Times New Roman"/>
          <w:sz w:val="28"/>
          <w:szCs w:val="28"/>
          <w:lang w:val="uk-UA"/>
        </w:rPr>
        <w:t>0</w:t>
      </w:r>
      <w:r w:rsidR="009461CD" w:rsidRPr="00D11213">
        <w:rPr>
          <w:rFonts w:ascii="Times New Roman" w:hAnsi="Times New Roman" w:cs="Times New Roman"/>
          <w:sz w:val="28"/>
          <w:szCs w:val="28"/>
        </w:rPr>
        <w:t>−</w:t>
      </w:r>
      <w:r w:rsidR="00D92D8F" w:rsidRPr="00D11213">
        <w:rPr>
          <w:rFonts w:ascii="Times New Roman" w:hAnsi="Times New Roman" w:cs="Times New Roman"/>
          <w:sz w:val="28"/>
          <w:szCs w:val="28"/>
        </w:rPr>
        <w:t>2</w:t>
      </w:r>
      <w:r w:rsidR="00D92D8F">
        <w:rPr>
          <w:rFonts w:ascii="Times New Roman" w:hAnsi="Times New Roman" w:cs="Times New Roman"/>
          <w:sz w:val="28"/>
          <w:szCs w:val="28"/>
          <w:lang w:val="uk-UA"/>
        </w:rPr>
        <w:t>1</w:t>
      </w:r>
      <w:r w:rsidR="00D92D8F" w:rsidRPr="00D11213">
        <w:rPr>
          <w:rFonts w:ascii="Times New Roman" w:hAnsi="Times New Roman" w:cs="Times New Roman"/>
          <w:sz w:val="28"/>
          <w:szCs w:val="28"/>
        </w:rPr>
        <w:t xml:space="preserve"> </w:t>
      </w:r>
      <w:r w:rsidR="00D92D8F">
        <w:rPr>
          <w:rFonts w:ascii="Times New Roman" w:hAnsi="Times New Roman" w:cs="Times New Roman"/>
          <w:sz w:val="28"/>
          <w:szCs w:val="28"/>
        </w:rPr>
        <w:t>квітня</w:t>
      </w:r>
      <w:r w:rsidR="00D92D8F" w:rsidRPr="00D11213">
        <w:rPr>
          <w:rFonts w:ascii="Times New Roman" w:hAnsi="Times New Roman" w:cs="Times New Roman"/>
          <w:sz w:val="28"/>
          <w:szCs w:val="28"/>
        </w:rPr>
        <w:t xml:space="preserve"> 2017 </w:t>
      </w:r>
      <w:r w:rsidR="00D92D8F">
        <w:rPr>
          <w:rFonts w:ascii="Times New Roman" w:hAnsi="Times New Roman" w:cs="Times New Roman"/>
          <w:sz w:val="28"/>
          <w:szCs w:val="28"/>
        </w:rPr>
        <w:t>р</w:t>
      </w:r>
      <w:r w:rsidR="00D92D8F" w:rsidRPr="00D11213">
        <w:rPr>
          <w:rFonts w:ascii="Times New Roman" w:hAnsi="Times New Roman" w:cs="Times New Roman"/>
          <w:sz w:val="28"/>
          <w:szCs w:val="28"/>
        </w:rPr>
        <w:t xml:space="preserve">. − </w:t>
      </w:r>
      <w:r w:rsidR="00D92D8F">
        <w:rPr>
          <w:rFonts w:ascii="Times New Roman" w:hAnsi="Times New Roman" w:cs="Times New Roman"/>
          <w:sz w:val="28"/>
          <w:szCs w:val="28"/>
        </w:rPr>
        <w:t>Суми</w:t>
      </w:r>
      <w:r w:rsidR="009461CD" w:rsidRPr="00D11213">
        <w:rPr>
          <w:rFonts w:ascii="Times New Roman" w:hAnsi="Times New Roman" w:cs="Times New Roman"/>
          <w:sz w:val="28"/>
          <w:szCs w:val="28"/>
        </w:rPr>
        <w:t xml:space="preserve">: </w:t>
      </w:r>
      <w:r w:rsidR="009461CD" w:rsidRPr="009461CD">
        <w:rPr>
          <w:rFonts w:ascii="Times New Roman" w:hAnsi="Times New Roman" w:cs="Times New Roman"/>
          <w:sz w:val="28"/>
          <w:szCs w:val="28"/>
        </w:rPr>
        <w:t>СумДУ</w:t>
      </w:r>
      <w:r w:rsidR="009461CD" w:rsidRPr="00D11213">
        <w:rPr>
          <w:rFonts w:ascii="Times New Roman" w:hAnsi="Times New Roman" w:cs="Times New Roman"/>
          <w:sz w:val="28"/>
          <w:szCs w:val="28"/>
        </w:rPr>
        <w:t>, 2017.</w:t>
      </w:r>
      <w:r w:rsidR="000120E6" w:rsidRPr="00D11213">
        <w:rPr>
          <w:rFonts w:ascii="Times New Roman" w:hAnsi="Times New Roman" w:cs="Times New Roman"/>
          <w:sz w:val="28"/>
          <w:szCs w:val="28"/>
        </w:rPr>
        <w:t xml:space="preserve"> </w:t>
      </w:r>
      <w:r w:rsidR="001D62A1" w:rsidRPr="001D62A1">
        <w:rPr>
          <w:rFonts w:ascii="Times New Roman" w:hAnsi="Times New Roman" w:cs="Times New Roman"/>
          <w:sz w:val="28"/>
          <w:szCs w:val="28"/>
        </w:rPr>
        <w:t xml:space="preserve">           </w:t>
      </w:r>
      <w:r w:rsidR="000120E6" w:rsidRPr="00D11213">
        <w:rPr>
          <w:rFonts w:ascii="Times New Roman" w:hAnsi="Times New Roman" w:cs="Times New Roman"/>
          <w:sz w:val="28"/>
          <w:szCs w:val="28"/>
        </w:rPr>
        <w:t xml:space="preserve">– </w:t>
      </w:r>
      <w:r w:rsidR="004062FC">
        <w:rPr>
          <w:rFonts w:ascii="Times New Roman" w:hAnsi="Times New Roman" w:cs="Times New Roman"/>
          <w:sz w:val="28"/>
          <w:szCs w:val="28"/>
          <w:lang w:val="uk-UA"/>
        </w:rPr>
        <w:t xml:space="preserve"> </w:t>
      </w:r>
      <w:r w:rsidR="000120E6">
        <w:rPr>
          <w:rFonts w:ascii="Times New Roman" w:hAnsi="Times New Roman" w:cs="Times New Roman"/>
          <w:sz w:val="28"/>
          <w:szCs w:val="28"/>
          <w:lang w:val="en-US"/>
        </w:rPr>
        <w:t>C</w:t>
      </w:r>
      <w:r w:rsidR="000120E6" w:rsidRPr="00D11213">
        <w:rPr>
          <w:rFonts w:ascii="Times New Roman" w:hAnsi="Times New Roman" w:cs="Times New Roman"/>
          <w:sz w:val="28"/>
          <w:szCs w:val="28"/>
        </w:rPr>
        <w:t>. 270.</w:t>
      </w:r>
      <w:r w:rsidR="009461CD" w:rsidRPr="00D11213">
        <w:rPr>
          <w:rFonts w:ascii="Times New Roman" w:hAnsi="Times New Roman" w:cs="Times New Roman"/>
          <w:sz w:val="28"/>
          <w:szCs w:val="28"/>
        </w:rPr>
        <w:t xml:space="preserve"> </w:t>
      </w:r>
    </w:p>
    <w:p w:rsidR="009461CD" w:rsidRPr="0047752A" w:rsidRDefault="00800072" w:rsidP="009461CD">
      <w:pPr>
        <w:spacing w:after="0" w:line="360" w:lineRule="auto"/>
        <w:ind w:firstLine="709"/>
        <w:jc w:val="both"/>
        <w:rPr>
          <w:rFonts w:ascii="Times New Roman" w:hAnsi="Times New Roman" w:cs="Times New Roman"/>
          <w:i/>
          <w:sz w:val="28"/>
          <w:szCs w:val="28"/>
        </w:rPr>
      </w:pPr>
      <w:r w:rsidRPr="00D11213">
        <w:rPr>
          <w:rFonts w:ascii="Times New Roman" w:hAnsi="Times New Roman" w:cs="Times New Roman"/>
          <w:sz w:val="28"/>
          <w:szCs w:val="28"/>
        </w:rPr>
        <w:t>1</w:t>
      </w:r>
      <w:r w:rsidR="00D7447C">
        <w:rPr>
          <w:rFonts w:ascii="Times New Roman" w:hAnsi="Times New Roman" w:cs="Times New Roman"/>
          <w:sz w:val="28"/>
          <w:szCs w:val="28"/>
          <w:lang w:val="uk-UA"/>
        </w:rPr>
        <w:t>4</w:t>
      </w:r>
      <w:r w:rsidR="009461CD" w:rsidRPr="00D11213">
        <w:rPr>
          <w:rFonts w:ascii="Times New Roman" w:hAnsi="Times New Roman" w:cs="Times New Roman"/>
          <w:sz w:val="28"/>
          <w:szCs w:val="28"/>
        </w:rPr>
        <w:t xml:space="preserve">. </w:t>
      </w:r>
      <w:r w:rsidR="0047752A">
        <w:rPr>
          <w:rFonts w:ascii="Times New Roman" w:hAnsi="Times New Roman" w:cs="Times New Roman"/>
          <w:sz w:val="28"/>
          <w:szCs w:val="28"/>
          <w:lang w:val="uk-UA"/>
        </w:rPr>
        <w:t>Чернацька О. М</w:t>
      </w:r>
      <w:r w:rsidR="009461CD" w:rsidRPr="00D11213">
        <w:rPr>
          <w:rFonts w:ascii="Times New Roman" w:hAnsi="Times New Roman" w:cs="Times New Roman"/>
          <w:sz w:val="28"/>
          <w:szCs w:val="28"/>
        </w:rPr>
        <w:t xml:space="preserve">. </w:t>
      </w:r>
      <w:r w:rsidR="0043183D" w:rsidRPr="00F63614">
        <w:rPr>
          <w:rFonts w:ascii="Times New Roman" w:hAnsi="Times New Roman" w:cs="Times New Roman"/>
          <w:sz w:val="28"/>
          <w:szCs w:val="28"/>
        </w:rPr>
        <w:t>Оптим</w:t>
      </w:r>
      <w:r w:rsidR="0043183D" w:rsidRPr="00F63614">
        <w:rPr>
          <w:rFonts w:ascii="Times New Roman" w:hAnsi="Times New Roman" w:cs="Times New Roman"/>
          <w:sz w:val="28"/>
          <w:szCs w:val="28"/>
          <w:lang w:val="uk-UA"/>
        </w:rPr>
        <w:t>ізація корекції діабетичної нефропатії в амбулаторних умовах</w:t>
      </w:r>
      <w:r w:rsidR="0043183D">
        <w:rPr>
          <w:rFonts w:ascii="Times New Roman" w:hAnsi="Times New Roman" w:cs="Times New Roman"/>
          <w:sz w:val="28"/>
          <w:szCs w:val="28"/>
          <w:lang w:val="uk-UA"/>
        </w:rPr>
        <w:t xml:space="preserve"> </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В</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Ф</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Ор</w:t>
      </w:r>
      <w:r w:rsidR="0043183D">
        <w:rPr>
          <w:rFonts w:ascii="Times New Roman" w:hAnsi="Times New Roman" w:cs="Times New Roman"/>
          <w:sz w:val="28"/>
          <w:szCs w:val="28"/>
        </w:rPr>
        <w:t>ловський</w:t>
      </w:r>
      <w:r w:rsidR="0043183D" w:rsidRPr="00D11213">
        <w:rPr>
          <w:rFonts w:ascii="Times New Roman" w:hAnsi="Times New Roman" w:cs="Times New Roman"/>
          <w:sz w:val="28"/>
          <w:szCs w:val="28"/>
        </w:rPr>
        <w:t xml:space="preserve">, </w:t>
      </w:r>
      <w:r w:rsidR="0043183D">
        <w:rPr>
          <w:rFonts w:ascii="Times New Roman" w:hAnsi="Times New Roman" w:cs="Times New Roman"/>
          <w:sz w:val="28"/>
          <w:szCs w:val="28"/>
        </w:rPr>
        <w:t>О</w:t>
      </w:r>
      <w:r w:rsidR="0043183D" w:rsidRPr="00D11213">
        <w:rPr>
          <w:rFonts w:ascii="Times New Roman" w:hAnsi="Times New Roman" w:cs="Times New Roman"/>
          <w:sz w:val="28"/>
          <w:szCs w:val="28"/>
        </w:rPr>
        <w:t xml:space="preserve">. </w:t>
      </w:r>
      <w:r w:rsidR="0043183D">
        <w:rPr>
          <w:rFonts w:ascii="Times New Roman" w:hAnsi="Times New Roman" w:cs="Times New Roman"/>
          <w:sz w:val="28"/>
          <w:szCs w:val="28"/>
        </w:rPr>
        <w:t>М</w:t>
      </w:r>
      <w:r w:rsidR="0043183D" w:rsidRPr="00D11213">
        <w:rPr>
          <w:rFonts w:ascii="Times New Roman" w:hAnsi="Times New Roman" w:cs="Times New Roman"/>
          <w:sz w:val="28"/>
          <w:szCs w:val="28"/>
        </w:rPr>
        <w:t xml:space="preserve">. </w:t>
      </w:r>
      <w:r w:rsidR="0043183D">
        <w:rPr>
          <w:rFonts w:ascii="Times New Roman" w:hAnsi="Times New Roman" w:cs="Times New Roman"/>
          <w:sz w:val="28"/>
          <w:szCs w:val="28"/>
        </w:rPr>
        <w:t>Чернацька</w:t>
      </w:r>
      <w:r w:rsidR="0043183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Р</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В</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Безсмертна</w:t>
      </w:r>
      <w:r w:rsidR="009461CD" w:rsidRPr="00D11213">
        <w:rPr>
          <w:rFonts w:ascii="Times New Roman" w:hAnsi="Times New Roman" w:cs="Times New Roman"/>
          <w:sz w:val="28"/>
          <w:szCs w:val="28"/>
        </w:rPr>
        <w:t xml:space="preserve"> // </w:t>
      </w:r>
      <w:r w:rsidR="009461CD" w:rsidRPr="00D15C60">
        <w:rPr>
          <w:rFonts w:ascii="Times New Roman" w:hAnsi="Times New Roman" w:cs="Times New Roman"/>
          <w:sz w:val="28"/>
          <w:szCs w:val="28"/>
        </w:rPr>
        <w:t>Науково</w:t>
      </w:r>
      <w:r w:rsidR="009461CD" w:rsidRPr="00D11213">
        <w:rPr>
          <w:rFonts w:ascii="Times New Roman" w:hAnsi="Times New Roman" w:cs="Times New Roman"/>
          <w:sz w:val="28"/>
          <w:szCs w:val="28"/>
        </w:rPr>
        <w:t>-</w:t>
      </w:r>
      <w:r w:rsidR="009461CD" w:rsidRPr="00D15C60">
        <w:rPr>
          <w:rFonts w:ascii="Times New Roman" w:hAnsi="Times New Roman" w:cs="Times New Roman"/>
          <w:sz w:val="28"/>
          <w:szCs w:val="28"/>
        </w:rPr>
        <w:t>практична</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конференція</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за</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міжнародної</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участі</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Актуальні</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питання</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сімейної</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медицини</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та</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перспективи</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її</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розвитку</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в</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рамках</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Всесвітнього</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дня</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сімейного</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лікаря</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м</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Київ</w:t>
      </w:r>
      <w:r w:rsidR="009461CD" w:rsidRPr="00D11213">
        <w:rPr>
          <w:rFonts w:ascii="Times New Roman" w:hAnsi="Times New Roman" w:cs="Times New Roman"/>
          <w:sz w:val="28"/>
          <w:szCs w:val="28"/>
        </w:rPr>
        <w:t xml:space="preserve">, 18−19 </w:t>
      </w:r>
      <w:r w:rsidR="009461CD" w:rsidRPr="00D15C60">
        <w:rPr>
          <w:rFonts w:ascii="Times New Roman" w:hAnsi="Times New Roman" w:cs="Times New Roman"/>
          <w:sz w:val="28"/>
          <w:szCs w:val="28"/>
        </w:rPr>
        <w:t>травня</w:t>
      </w:r>
      <w:r w:rsidR="009461CD" w:rsidRPr="00D11213">
        <w:rPr>
          <w:rFonts w:ascii="Times New Roman" w:hAnsi="Times New Roman" w:cs="Times New Roman"/>
          <w:sz w:val="28"/>
          <w:szCs w:val="28"/>
        </w:rPr>
        <w:t xml:space="preserve"> 2017; </w:t>
      </w:r>
      <w:r w:rsidR="009461CD" w:rsidRPr="00D15C60">
        <w:rPr>
          <w:rFonts w:ascii="Times New Roman" w:hAnsi="Times New Roman" w:cs="Times New Roman"/>
          <w:sz w:val="28"/>
          <w:szCs w:val="28"/>
        </w:rPr>
        <w:t>Здоров</w:t>
      </w:r>
      <w:r w:rsidR="009461CD" w:rsidRPr="00D11213">
        <w:rPr>
          <w:rFonts w:ascii="Times New Roman" w:hAnsi="Times New Roman" w:cs="Times New Roman"/>
          <w:sz w:val="28"/>
          <w:szCs w:val="28"/>
        </w:rPr>
        <w:t>ʼ</w:t>
      </w:r>
      <w:r w:rsidR="009461CD" w:rsidRPr="00D15C60">
        <w:rPr>
          <w:rFonts w:ascii="Times New Roman" w:hAnsi="Times New Roman" w:cs="Times New Roman"/>
          <w:sz w:val="28"/>
          <w:szCs w:val="28"/>
        </w:rPr>
        <w:t>я</w:t>
      </w:r>
      <w:r w:rsidR="009461CD" w:rsidRPr="00D11213">
        <w:rPr>
          <w:rFonts w:ascii="Times New Roman" w:hAnsi="Times New Roman" w:cs="Times New Roman"/>
          <w:sz w:val="28"/>
          <w:szCs w:val="28"/>
        </w:rPr>
        <w:t xml:space="preserve"> </w:t>
      </w:r>
      <w:r w:rsidR="009461CD" w:rsidRPr="00D15C60">
        <w:rPr>
          <w:rFonts w:ascii="Times New Roman" w:hAnsi="Times New Roman" w:cs="Times New Roman"/>
          <w:sz w:val="28"/>
          <w:szCs w:val="28"/>
        </w:rPr>
        <w:t>суспільства</w:t>
      </w:r>
      <w:r w:rsidR="009461CD" w:rsidRPr="00D11213">
        <w:rPr>
          <w:rFonts w:ascii="Times New Roman" w:hAnsi="Times New Roman" w:cs="Times New Roman"/>
          <w:sz w:val="28"/>
          <w:szCs w:val="28"/>
        </w:rPr>
        <w:t xml:space="preserve">. – 2017. </w:t>
      </w:r>
      <w:r w:rsidR="009461CD" w:rsidRPr="00D11213">
        <w:rPr>
          <w:rFonts w:ascii="Times New Roman" w:hAnsi="Times New Roman" w:cs="Times New Roman"/>
          <w:sz w:val="28"/>
          <w:szCs w:val="28"/>
        </w:rPr>
        <w:lastRenderedPageBreak/>
        <w:t xml:space="preserve">– № 1−2. – </w:t>
      </w:r>
      <w:r w:rsidR="009461CD" w:rsidRPr="009461CD">
        <w:rPr>
          <w:rFonts w:ascii="Times New Roman" w:hAnsi="Times New Roman" w:cs="Times New Roman"/>
          <w:sz w:val="28"/>
          <w:szCs w:val="28"/>
          <w:lang w:val="en-US"/>
        </w:rPr>
        <w:t>C</w:t>
      </w:r>
      <w:r w:rsidR="009461CD" w:rsidRPr="00D11213">
        <w:rPr>
          <w:rFonts w:ascii="Times New Roman" w:hAnsi="Times New Roman" w:cs="Times New Roman"/>
          <w:sz w:val="28"/>
          <w:szCs w:val="28"/>
        </w:rPr>
        <w:t>. 111</w:t>
      </w:r>
      <w:r w:rsidR="00763E85">
        <w:rPr>
          <w:rFonts w:ascii="Times New Roman" w:hAnsi="Times New Roman" w:cs="Times New Roman"/>
          <w:sz w:val="28"/>
          <w:szCs w:val="28"/>
          <w:lang w:val="uk-UA"/>
        </w:rPr>
        <w:t>.</w:t>
      </w:r>
      <w:r w:rsidR="009461CD" w:rsidRPr="00D11213">
        <w:rPr>
          <w:rFonts w:ascii="Times New Roman" w:hAnsi="Times New Roman" w:cs="Times New Roman"/>
          <w:sz w:val="28"/>
          <w:szCs w:val="28"/>
        </w:rPr>
        <w:t xml:space="preserve"> </w:t>
      </w:r>
      <w:r w:rsidR="009461CD" w:rsidRPr="0047752A">
        <w:rPr>
          <w:rFonts w:ascii="Times New Roman" w:hAnsi="Times New Roman" w:cs="Times New Roman"/>
          <w:i/>
          <w:sz w:val="28"/>
          <w:szCs w:val="28"/>
        </w:rPr>
        <w:t>(</w:t>
      </w:r>
      <w:r w:rsidR="009461CD" w:rsidRPr="004062FC">
        <w:rPr>
          <w:rFonts w:ascii="Times New Roman" w:hAnsi="Times New Roman" w:cs="Times New Roman"/>
          <w:i/>
          <w:sz w:val="28"/>
          <w:szCs w:val="28"/>
        </w:rPr>
        <w:t>Здобувач</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зібрав</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матеріали</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узагальнив</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та</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сформулював</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висновки</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підготував</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публікацію</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до</w:t>
      </w:r>
      <w:r w:rsidR="009461CD" w:rsidRPr="0047752A">
        <w:rPr>
          <w:rFonts w:ascii="Times New Roman" w:hAnsi="Times New Roman" w:cs="Times New Roman"/>
          <w:i/>
          <w:sz w:val="28"/>
          <w:szCs w:val="28"/>
        </w:rPr>
        <w:t xml:space="preserve"> </w:t>
      </w:r>
      <w:r w:rsidR="009461CD" w:rsidRPr="004062FC">
        <w:rPr>
          <w:rFonts w:ascii="Times New Roman" w:hAnsi="Times New Roman" w:cs="Times New Roman"/>
          <w:i/>
          <w:sz w:val="28"/>
          <w:szCs w:val="28"/>
        </w:rPr>
        <w:t>друку</w:t>
      </w:r>
      <w:r w:rsidR="009461CD" w:rsidRPr="0047752A">
        <w:rPr>
          <w:rFonts w:ascii="Times New Roman" w:hAnsi="Times New Roman" w:cs="Times New Roman"/>
          <w:i/>
          <w:sz w:val="28"/>
          <w:szCs w:val="28"/>
        </w:rPr>
        <w:t>).</w:t>
      </w:r>
    </w:p>
    <w:p w:rsidR="009461CD" w:rsidRPr="009461CD" w:rsidRDefault="00800072" w:rsidP="009461CD">
      <w:pPr>
        <w:spacing w:after="0" w:line="360" w:lineRule="auto"/>
        <w:ind w:firstLine="709"/>
        <w:jc w:val="both"/>
        <w:rPr>
          <w:rFonts w:ascii="Times New Roman" w:hAnsi="Times New Roman" w:cs="Times New Roman"/>
          <w:sz w:val="28"/>
          <w:szCs w:val="28"/>
        </w:rPr>
      </w:pPr>
      <w:r w:rsidRPr="00C66954">
        <w:rPr>
          <w:rFonts w:ascii="Times New Roman" w:hAnsi="Times New Roman" w:cs="Times New Roman"/>
          <w:sz w:val="28"/>
          <w:szCs w:val="28"/>
        </w:rPr>
        <w:t>1</w:t>
      </w:r>
      <w:r w:rsidR="00D7447C">
        <w:rPr>
          <w:rFonts w:ascii="Times New Roman" w:hAnsi="Times New Roman" w:cs="Times New Roman"/>
          <w:sz w:val="28"/>
          <w:szCs w:val="28"/>
          <w:lang w:val="uk-UA"/>
        </w:rPr>
        <w:t>5</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Chernatska</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O</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M</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The</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peculiarities</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of</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uricemia</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for</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patients</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with</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diabetic</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nephropathy</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and</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arterial</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hypertension</w:t>
      </w:r>
      <w:r w:rsidR="009461CD" w:rsidRPr="00C66954">
        <w:rPr>
          <w:rFonts w:ascii="Times New Roman" w:hAnsi="Times New Roman" w:cs="Times New Roman"/>
          <w:sz w:val="28"/>
          <w:szCs w:val="28"/>
        </w:rPr>
        <w:t xml:space="preserve"> / </w:t>
      </w:r>
      <w:r w:rsidR="009461CD" w:rsidRPr="009461CD">
        <w:rPr>
          <w:rFonts w:ascii="Times New Roman" w:hAnsi="Times New Roman" w:cs="Times New Roman"/>
          <w:sz w:val="28"/>
          <w:szCs w:val="28"/>
          <w:lang w:val="en-US"/>
        </w:rPr>
        <w:t>O</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M</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Chernatska</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L</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N</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lang w:val="en-US"/>
        </w:rPr>
        <w:t>Prystupa</w:t>
      </w:r>
      <w:r w:rsidR="00763E85" w:rsidRPr="00C66954">
        <w:rPr>
          <w:rFonts w:ascii="Times New Roman" w:hAnsi="Times New Roman" w:cs="Times New Roman"/>
          <w:sz w:val="28"/>
          <w:szCs w:val="28"/>
        </w:rPr>
        <w:t xml:space="preserve"> // </w:t>
      </w:r>
      <w:r w:rsidR="009461CD" w:rsidRPr="00D15C60">
        <w:rPr>
          <w:rFonts w:ascii="Times New Roman" w:hAnsi="Times New Roman" w:cs="Times New Roman"/>
          <w:sz w:val="28"/>
          <w:szCs w:val="28"/>
        </w:rPr>
        <w:t>Перспективи</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р</w:t>
      </w:r>
      <w:r w:rsidR="00763E85">
        <w:rPr>
          <w:rFonts w:ascii="Times New Roman" w:hAnsi="Times New Roman" w:cs="Times New Roman"/>
          <w:sz w:val="28"/>
          <w:szCs w:val="28"/>
        </w:rPr>
        <w:t>озвитку</w:t>
      </w:r>
      <w:r w:rsidR="00763E85" w:rsidRPr="00C66954">
        <w:rPr>
          <w:rFonts w:ascii="Times New Roman" w:hAnsi="Times New Roman" w:cs="Times New Roman"/>
          <w:sz w:val="28"/>
          <w:szCs w:val="28"/>
        </w:rPr>
        <w:t xml:space="preserve"> </w:t>
      </w:r>
      <w:r w:rsidR="00763E85">
        <w:rPr>
          <w:rFonts w:ascii="Times New Roman" w:hAnsi="Times New Roman" w:cs="Times New Roman"/>
          <w:sz w:val="28"/>
          <w:szCs w:val="28"/>
        </w:rPr>
        <w:t>медичної</w:t>
      </w:r>
      <w:r w:rsidR="00763E85" w:rsidRPr="00C66954">
        <w:rPr>
          <w:rFonts w:ascii="Times New Roman" w:hAnsi="Times New Roman" w:cs="Times New Roman"/>
          <w:sz w:val="28"/>
          <w:szCs w:val="28"/>
        </w:rPr>
        <w:t xml:space="preserve"> </w:t>
      </w:r>
      <w:r w:rsidR="00763E85">
        <w:rPr>
          <w:rFonts w:ascii="Times New Roman" w:hAnsi="Times New Roman" w:cs="Times New Roman"/>
          <w:sz w:val="28"/>
          <w:szCs w:val="28"/>
        </w:rPr>
        <w:t>науки</w:t>
      </w:r>
      <w:r w:rsidR="00763E85" w:rsidRPr="00C66954">
        <w:rPr>
          <w:rFonts w:ascii="Times New Roman" w:hAnsi="Times New Roman" w:cs="Times New Roman"/>
          <w:sz w:val="28"/>
          <w:szCs w:val="28"/>
        </w:rPr>
        <w:t xml:space="preserve"> </w:t>
      </w:r>
      <w:r w:rsidR="00763E85">
        <w:rPr>
          <w:rFonts w:ascii="Times New Roman" w:hAnsi="Times New Roman" w:cs="Times New Roman"/>
          <w:sz w:val="28"/>
          <w:szCs w:val="28"/>
        </w:rPr>
        <w:t>і</w:t>
      </w:r>
      <w:r w:rsidR="00763E85" w:rsidRPr="00C66954">
        <w:rPr>
          <w:rFonts w:ascii="Times New Roman" w:hAnsi="Times New Roman" w:cs="Times New Roman"/>
          <w:sz w:val="28"/>
          <w:szCs w:val="28"/>
        </w:rPr>
        <w:t xml:space="preserve"> </w:t>
      </w:r>
      <w:r w:rsidR="00763E85">
        <w:rPr>
          <w:rFonts w:ascii="Times New Roman" w:hAnsi="Times New Roman" w:cs="Times New Roman"/>
          <w:sz w:val="28"/>
          <w:szCs w:val="28"/>
        </w:rPr>
        <w:t>освіти</w:t>
      </w:r>
      <w:r w:rsidR="00763E85">
        <w:rPr>
          <w:rFonts w:ascii="Times New Roman" w:hAnsi="Times New Roman" w:cs="Times New Roman"/>
          <w:sz w:val="28"/>
          <w:szCs w:val="28"/>
          <w:lang w:val="uk-UA"/>
        </w:rPr>
        <w:t xml:space="preserve"> </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збірник</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тез</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доповідей</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Всеукраїнської</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науково</w:t>
      </w:r>
      <w:r w:rsidR="009461CD" w:rsidRPr="00C66954">
        <w:rPr>
          <w:rFonts w:ascii="Times New Roman" w:hAnsi="Times New Roman" w:cs="Times New Roman"/>
          <w:sz w:val="28"/>
          <w:szCs w:val="28"/>
        </w:rPr>
        <w:t>-</w:t>
      </w:r>
      <w:r w:rsidR="009461CD" w:rsidRPr="00D15C60">
        <w:rPr>
          <w:rFonts w:ascii="Times New Roman" w:hAnsi="Times New Roman" w:cs="Times New Roman"/>
          <w:sz w:val="28"/>
          <w:szCs w:val="28"/>
        </w:rPr>
        <w:t>методичної</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конференції</w:t>
      </w:r>
      <w:r w:rsidR="009461CD" w:rsidRPr="00C66954">
        <w:rPr>
          <w:rFonts w:ascii="Times New Roman" w:hAnsi="Times New Roman" w:cs="Times New Roman"/>
          <w:sz w:val="28"/>
          <w:szCs w:val="28"/>
        </w:rPr>
        <w:t xml:space="preserve">, </w:t>
      </w:r>
      <w:r w:rsidR="009461CD" w:rsidRPr="00D15C60">
        <w:rPr>
          <w:rFonts w:ascii="Times New Roman" w:hAnsi="Times New Roman" w:cs="Times New Roman"/>
          <w:sz w:val="28"/>
          <w:szCs w:val="28"/>
        </w:rPr>
        <w:t>присвяченої</w:t>
      </w:r>
      <w:r w:rsidR="009461CD" w:rsidRPr="00C66954">
        <w:rPr>
          <w:rFonts w:ascii="Times New Roman" w:hAnsi="Times New Roman" w:cs="Times New Roman"/>
          <w:sz w:val="28"/>
          <w:szCs w:val="28"/>
        </w:rPr>
        <w:t xml:space="preserve"> 25-</w:t>
      </w:r>
      <w:r w:rsidR="009461CD" w:rsidRPr="00D15C60">
        <w:rPr>
          <w:rFonts w:ascii="Times New Roman" w:hAnsi="Times New Roman" w:cs="Times New Roman"/>
          <w:sz w:val="28"/>
          <w:szCs w:val="28"/>
        </w:rPr>
        <w:t>річчю</w:t>
      </w:r>
      <w:r w:rsidR="009461CD" w:rsidRPr="00C66954">
        <w:rPr>
          <w:rFonts w:ascii="Times New Roman" w:hAnsi="Times New Roman" w:cs="Times New Roman"/>
          <w:sz w:val="28"/>
          <w:szCs w:val="28"/>
        </w:rPr>
        <w:t xml:space="preserve"> </w:t>
      </w:r>
      <w:r w:rsidR="009461CD" w:rsidRPr="009461CD">
        <w:rPr>
          <w:rFonts w:ascii="Times New Roman" w:hAnsi="Times New Roman" w:cs="Times New Roman"/>
          <w:sz w:val="28"/>
          <w:szCs w:val="28"/>
        </w:rPr>
        <w:t>Медичного інституту Сумського державного університету, м. Суми, 16−17 листопада 2017 р. – Суми, 2017. – С. 111</w:t>
      </w:r>
      <w:r w:rsidR="00763E85">
        <w:rPr>
          <w:rFonts w:ascii="Times New Roman" w:hAnsi="Times New Roman" w:cs="Times New Roman"/>
          <w:sz w:val="28"/>
          <w:szCs w:val="28"/>
          <w:lang w:val="uk-UA"/>
        </w:rPr>
        <w:t>.</w:t>
      </w:r>
      <w:r w:rsidR="009461CD" w:rsidRPr="009461CD">
        <w:rPr>
          <w:rFonts w:ascii="Times New Roman" w:hAnsi="Times New Roman" w:cs="Times New Roman"/>
          <w:sz w:val="28"/>
          <w:szCs w:val="28"/>
        </w:rPr>
        <w:t xml:space="preserve"> </w:t>
      </w:r>
      <w:r w:rsidR="009461CD" w:rsidRPr="004062FC">
        <w:rPr>
          <w:rFonts w:ascii="Times New Roman" w:hAnsi="Times New Roman" w:cs="Times New Roman"/>
          <w:i/>
          <w:sz w:val="28"/>
          <w:szCs w:val="28"/>
        </w:rPr>
        <w:t>(Здобувач зібрав матеріали, статистично обробив результати, сформулював висновки)</w:t>
      </w:r>
      <w:r w:rsidR="009461CD" w:rsidRPr="009461CD">
        <w:rPr>
          <w:rFonts w:ascii="Times New Roman" w:hAnsi="Times New Roman" w:cs="Times New Roman"/>
          <w:sz w:val="28"/>
          <w:szCs w:val="28"/>
        </w:rPr>
        <w:t xml:space="preserve">. </w:t>
      </w:r>
    </w:p>
    <w:p w:rsidR="00E50BA4" w:rsidRPr="00E50BA4" w:rsidRDefault="00E50BA4" w:rsidP="00E50BA4">
      <w:pPr>
        <w:spacing w:after="0" w:line="360" w:lineRule="auto"/>
        <w:ind w:firstLine="709"/>
        <w:jc w:val="both"/>
        <w:rPr>
          <w:rFonts w:ascii="Times New Roman" w:hAnsi="Times New Roman" w:cs="Times New Roman"/>
          <w:sz w:val="28"/>
          <w:szCs w:val="28"/>
          <w:lang w:val="uk-UA"/>
        </w:rPr>
      </w:pPr>
      <w:r w:rsidRPr="00E50BA4">
        <w:rPr>
          <w:rFonts w:ascii="Times New Roman" w:hAnsi="Times New Roman" w:cs="Times New Roman"/>
          <w:sz w:val="28"/>
          <w:szCs w:val="28"/>
          <w:lang w:val="uk-UA"/>
        </w:rPr>
        <w:t>16. Чернацька О. М. Імунозапальні особливості функціонального стану серця в осіб із артеріальною гіпертензією та цукровим діабетом 2-го типу /  О. М. Чернацька, Н. В. Деміхова // Коморбідність: міждисциплінарні аспекти та сучасний пацієнт: матеріали науково-прак</w:t>
      </w:r>
      <w:r w:rsidR="001D62A1">
        <w:rPr>
          <w:rFonts w:ascii="Times New Roman" w:hAnsi="Times New Roman" w:cs="Times New Roman"/>
          <w:sz w:val="28"/>
          <w:szCs w:val="28"/>
          <w:lang w:val="uk-UA"/>
        </w:rPr>
        <w:t>тичної конференції, присвяченої 80-річчю</w:t>
      </w:r>
      <w:r w:rsidR="001D62A1" w:rsidRPr="001D62A1">
        <w:rPr>
          <w:rFonts w:ascii="Times New Roman" w:hAnsi="Times New Roman" w:cs="Times New Roman"/>
          <w:sz w:val="28"/>
          <w:szCs w:val="28"/>
        </w:rPr>
        <w:t xml:space="preserve"> </w:t>
      </w:r>
      <w:r w:rsidRPr="00E50BA4">
        <w:rPr>
          <w:rFonts w:ascii="Times New Roman" w:hAnsi="Times New Roman" w:cs="Times New Roman"/>
          <w:sz w:val="28"/>
          <w:szCs w:val="28"/>
          <w:lang w:val="uk-UA"/>
        </w:rPr>
        <w:t>кафедри пропедевтики внутрішньої медицини № 2 та медсестринства ХНМУ, м. Харків, 27 вересня 2018 р.). – Харків : ХНМУ, 2018. – С. 77−78</w:t>
      </w:r>
      <w:r>
        <w:rPr>
          <w:rFonts w:ascii="Times New Roman" w:hAnsi="Times New Roman" w:cs="Times New Roman"/>
          <w:sz w:val="28"/>
          <w:szCs w:val="28"/>
          <w:lang w:val="uk-UA"/>
        </w:rPr>
        <w:t xml:space="preserve"> </w:t>
      </w:r>
      <w:r w:rsidRPr="00E50BA4">
        <w:rPr>
          <w:rFonts w:ascii="Times New Roman" w:hAnsi="Times New Roman" w:cs="Times New Roman"/>
          <w:i/>
          <w:sz w:val="28"/>
          <w:szCs w:val="28"/>
          <w:lang w:val="uk-UA"/>
        </w:rPr>
        <w:t>(Здобувач проаналізував матеріали, статистично обробив результати, підготував публікацію до друку).</w:t>
      </w:r>
    </w:p>
    <w:p w:rsidR="00E50BA4" w:rsidRPr="00E50BA4" w:rsidRDefault="00E50BA4" w:rsidP="00E50BA4">
      <w:pPr>
        <w:spacing w:after="0" w:line="360" w:lineRule="auto"/>
        <w:ind w:firstLine="709"/>
        <w:jc w:val="both"/>
        <w:rPr>
          <w:rFonts w:ascii="Times New Roman" w:hAnsi="Times New Roman" w:cs="Times New Roman"/>
          <w:sz w:val="28"/>
          <w:szCs w:val="28"/>
          <w:lang w:val="uk-UA"/>
        </w:rPr>
      </w:pPr>
      <w:r w:rsidRPr="00E50BA4">
        <w:rPr>
          <w:rFonts w:ascii="Times New Roman" w:hAnsi="Times New Roman" w:cs="Times New Roman"/>
          <w:sz w:val="28"/>
          <w:szCs w:val="28"/>
          <w:lang w:val="uk-UA"/>
        </w:rPr>
        <w:t>17. Chernatska O. M. Endothelial peculiarities of heart failure in patients with arterial hypertension and type 2 diabetes mellitus / O. M. Chernatska // Topical issues of theoretical and clinical medicine: abstract book of International Scientific and Practical Conference of Students, Postgraduates and Young Scientists, Sumy, October 17−19, 2018. – Sumy: Sumy State University Medical Institute, 2018. – P. 88.</w:t>
      </w:r>
    </w:p>
    <w:p w:rsidR="00800072" w:rsidRPr="00800072" w:rsidRDefault="00800072" w:rsidP="00800072">
      <w:pPr>
        <w:spacing w:after="0" w:line="360" w:lineRule="auto"/>
        <w:ind w:firstLine="709"/>
        <w:jc w:val="both"/>
        <w:rPr>
          <w:rFonts w:ascii="Times New Roman" w:hAnsi="Times New Roman" w:cs="Times New Roman"/>
          <w:b/>
          <w:sz w:val="28"/>
          <w:szCs w:val="28"/>
        </w:rPr>
      </w:pPr>
      <w:r w:rsidRPr="00800072">
        <w:rPr>
          <w:rFonts w:ascii="Times New Roman" w:hAnsi="Times New Roman" w:cs="Times New Roman"/>
          <w:b/>
          <w:sz w:val="28"/>
          <w:szCs w:val="28"/>
        </w:rPr>
        <w:t>Наукові праці, які додатково відображають наукові результати дисертації:</w:t>
      </w:r>
    </w:p>
    <w:p w:rsidR="00656290" w:rsidRPr="0047752A" w:rsidRDefault="00800072" w:rsidP="0047752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1</w:t>
      </w:r>
      <w:r w:rsidR="00E50BA4">
        <w:rPr>
          <w:rFonts w:ascii="Times New Roman" w:hAnsi="Times New Roman" w:cs="Times New Roman"/>
          <w:sz w:val="28"/>
          <w:szCs w:val="28"/>
          <w:lang w:val="uk-UA"/>
        </w:rPr>
        <w:t>8</w:t>
      </w:r>
      <w:r w:rsidR="009461CD" w:rsidRPr="009461CD">
        <w:rPr>
          <w:rFonts w:ascii="Times New Roman" w:hAnsi="Times New Roman" w:cs="Times New Roman"/>
          <w:sz w:val="28"/>
          <w:szCs w:val="28"/>
        </w:rPr>
        <w:t xml:space="preserve">. Пат. 112621, </w:t>
      </w:r>
      <w:r w:rsidR="009461CD" w:rsidRPr="009461CD">
        <w:rPr>
          <w:rFonts w:ascii="Times New Roman" w:hAnsi="Times New Roman" w:cs="Times New Roman"/>
          <w:sz w:val="28"/>
          <w:szCs w:val="28"/>
          <w:lang w:val="en-US"/>
        </w:rPr>
        <w:t>UA</w:t>
      </w:r>
      <w:r w:rsidR="009461CD" w:rsidRPr="009461CD">
        <w:rPr>
          <w:rFonts w:ascii="Times New Roman" w:hAnsi="Times New Roman" w:cs="Times New Roman"/>
          <w:sz w:val="28"/>
          <w:szCs w:val="28"/>
        </w:rPr>
        <w:t>, МПК А61К 31/00, А61Р 5/00. Спосіб корекції дисфункції ендотелію у пацієнтів з артеріальною гіпертензією та цукровим діабетом 2-го типу / Н. В. Деміхова, О. М. Чернацька, Ю. О. Сміянова (Україна)</w:t>
      </w:r>
      <w:r w:rsidR="00763E85">
        <w:rPr>
          <w:rFonts w:ascii="Times New Roman" w:hAnsi="Times New Roman" w:cs="Times New Roman"/>
          <w:sz w:val="28"/>
          <w:szCs w:val="28"/>
          <w:lang w:val="uk-UA"/>
        </w:rPr>
        <w:t xml:space="preserve"> </w:t>
      </w:r>
      <w:r w:rsidR="009461CD" w:rsidRPr="009461CD">
        <w:rPr>
          <w:rFonts w:ascii="Times New Roman" w:hAnsi="Times New Roman" w:cs="Times New Roman"/>
          <w:sz w:val="28"/>
          <w:szCs w:val="28"/>
        </w:rPr>
        <w:t xml:space="preserve">; СумДУ. – № </w:t>
      </w:r>
      <w:r w:rsidR="009461CD" w:rsidRPr="009461CD">
        <w:rPr>
          <w:rFonts w:ascii="Times New Roman" w:hAnsi="Times New Roman" w:cs="Times New Roman"/>
          <w:sz w:val="28"/>
          <w:szCs w:val="28"/>
          <w:lang w:val="en-US"/>
        </w:rPr>
        <w:t>u</w:t>
      </w:r>
      <w:r w:rsidR="009461CD" w:rsidRPr="009461CD">
        <w:rPr>
          <w:rFonts w:ascii="Times New Roman" w:hAnsi="Times New Roman" w:cs="Times New Roman"/>
          <w:sz w:val="28"/>
          <w:szCs w:val="28"/>
        </w:rPr>
        <w:t>201606179</w:t>
      </w:r>
      <w:r w:rsidR="00763E85">
        <w:rPr>
          <w:rFonts w:ascii="Times New Roman" w:hAnsi="Times New Roman" w:cs="Times New Roman"/>
          <w:sz w:val="28"/>
          <w:szCs w:val="28"/>
          <w:lang w:val="uk-UA"/>
        </w:rPr>
        <w:t xml:space="preserve"> </w:t>
      </w:r>
      <w:r w:rsidR="009461CD" w:rsidRPr="009461CD">
        <w:rPr>
          <w:rFonts w:ascii="Times New Roman" w:hAnsi="Times New Roman" w:cs="Times New Roman"/>
          <w:sz w:val="28"/>
          <w:szCs w:val="28"/>
        </w:rPr>
        <w:t>; заяв</w:t>
      </w:r>
      <w:r w:rsidR="00763E85">
        <w:rPr>
          <w:rFonts w:ascii="Times New Roman" w:hAnsi="Times New Roman" w:cs="Times New Roman"/>
          <w:sz w:val="28"/>
          <w:szCs w:val="28"/>
          <w:lang w:val="uk-UA"/>
        </w:rPr>
        <w:t>л</w:t>
      </w:r>
      <w:r w:rsidR="009461CD" w:rsidRPr="009461CD">
        <w:rPr>
          <w:rFonts w:ascii="Times New Roman" w:hAnsi="Times New Roman" w:cs="Times New Roman"/>
          <w:sz w:val="28"/>
          <w:szCs w:val="28"/>
        </w:rPr>
        <w:t xml:space="preserve">. </w:t>
      </w:r>
      <w:r w:rsidR="009461CD" w:rsidRPr="00D15C60">
        <w:rPr>
          <w:rFonts w:ascii="Times New Roman" w:hAnsi="Times New Roman" w:cs="Times New Roman"/>
          <w:sz w:val="28"/>
          <w:szCs w:val="28"/>
        </w:rPr>
        <w:t>07.06.2016</w:t>
      </w:r>
      <w:r w:rsidR="00763E85">
        <w:rPr>
          <w:rFonts w:ascii="Times New Roman" w:hAnsi="Times New Roman" w:cs="Times New Roman"/>
          <w:sz w:val="28"/>
          <w:szCs w:val="28"/>
          <w:lang w:val="uk-UA"/>
        </w:rPr>
        <w:t xml:space="preserve"> </w:t>
      </w:r>
      <w:r w:rsidR="009461CD" w:rsidRPr="00D15C60">
        <w:rPr>
          <w:rFonts w:ascii="Times New Roman" w:hAnsi="Times New Roman" w:cs="Times New Roman"/>
          <w:sz w:val="28"/>
          <w:szCs w:val="28"/>
        </w:rPr>
        <w:t>; опубл. 26.12.2016, Бюл. № 24.</w:t>
      </w:r>
    </w:p>
    <w:p w:rsidR="00A03291" w:rsidRDefault="006D7177" w:rsidP="00D66CC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w:t>
      </w:r>
      <w:r>
        <w:rPr>
          <w:rFonts w:ascii="Times New Roman" w:hAnsi="Times New Roman" w:cs="Times New Roman"/>
          <w:b/>
          <w:sz w:val="28"/>
          <w:szCs w:val="28"/>
          <w:lang w:val="en-US"/>
        </w:rPr>
        <w:t>I</w:t>
      </w:r>
      <w:r w:rsidR="00A03291" w:rsidRPr="00A03291">
        <w:rPr>
          <w:rFonts w:ascii="Times New Roman" w:hAnsi="Times New Roman" w:cs="Times New Roman"/>
          <w:b/>
          <w:sz w:val="28"/>
          <w:szCs w:val="28"/>
          <w:lang w:val="uk-UA"/>
        </w:rPr>
        <w:t>СТ</w:t>
      </w:r>
    </w:p>
    <w:p w:rsidR="003F3BFD" w:rsidRPr="00A03291" w:rsidRDefault="006D7177" w:rsidP="003F3BFD">
      <w:pPr>
        <w:overflowPunct w:val="0"/>
        <w:autoSpaceDE w:val="0"/>
        <w:autoSpaceDN w:val="0"/>
        <w:adjustRightInd w:val="0"/>
        <w:spacing w:after="0" w:line="360" w:lineRule="auto"/>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АНОТАЦ</w:t>
      </w:r>
      <w:r>
        <w:rPr>
          <w:rFonts w:ascii="Times New Roman" w:eastAsia="Times New Roman" w:hAnsi="Times New Roman" w:cs="Times New Roman"/>
          <w:sz w:val="28"/>
          <w:szCs w:val="28"/>
          <w:lang w:val="en-US" w:eastAsia="ru-RU"/>
        </w:rPr>
        <w:t>I</w:t>
      </w:r>
      <w:r w:rsidR="003F3BFD">
        <w:rPr>
          <w:rFonts w:ascii="Times New Roman" w:eastAsia="Times New Roman" w:hAnsi="Times New Roman" w:cs="Times New Roman"/>
          <w:sz w:val="28"/>
          <w:szCs w:val="28"/>
          <w:lang w:val="uk-UA" w:eastAsia="ru-RU"/>
        </w:rPr>
        <w:t>Я …………………………………………………</w:t>
      </w:r>
      <w:r w:rsidR="0068539B">
        <w:rPr>
          <w:rFonts w:ascii="Times New Roman" w:eastAsia="Times New Roman" w:hAnsi="Times New Roman" w:cs="Times New Roman"/>
          <w:sz w:val="28"/>
          <w:szCs w:val="28"/>
          <w:lang w:val="uk-UA" w:eastAsia="ru-RU"/>
        </w:rPr>
        <w:t>………………..</w:t>
      </w:r>
      <w:r w:rsidR="003F3BFD">
        <w:rPr>
          <w:rFonts w:ascii="Times New Roman" w:eastAsia="Times New Roman" w:hAnsi="Times New Roman" w:cs="Times New Roman"/>
          <w:sz w:val="28"/>
          <w:szCs w:val="28"/>
          <w:lang w:val="uk-UA" w:eastAsia="ru-RU"/>
        </w:rPr>
        <w:t>….</w:t>
      </w:r>
      <w:r w:rsidR="008D6381">
        <w:rPr>
          <w:rFonts w:ascii="Times New Roman" w:eastAsia="Times New Roman" w:hAnsi="Times New Roman" w:cs="Times New Roman"/>
          <w:sz w:val="28"/>
          <w:szCs w:val="28"/>
          <w:lang w:val="uk-UA" w:eastAsia="ru-RU"/>
        </w:rPr>
        <w:t>2</w:t>
      </w:r>
      <w:r w:rsidR="003F3BFD">
        <w:rPr>
          <w:rFonts w:ascii="Times New Roman" w:eastAsia="Times New Roman" w:hAnsi="Times New Roman" w:cs="Times New Roman"/>
          <w:sz w:val="28"/>
          <w:szCs w:val="28"/>
          <w:lang w:val="uk-UA" w:eastAsia="ru-RU"/>
        </w:rPr>
        <w:t xml:space="preserve"> </w:t>
      </w:r>
    </w:p>
    <w:p w:rsidR="0068539B" w:rsidRPr="002704B2" w:rsidRDefault="006D7177" w:rsidP="00A03291">
      <w:pPr>
        <w:overflowPunct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ЗМ</w:t>
      </w:r>
      <w:r>
        <w:rPr>
          <w:rFonts w:ascii="Times New Roman" w:eastAsia="Times New Roman" w:hAnsi="Times New Roman" w:cs="Times New Roman"/>
          <w:sz w:val="28"/>
          <w:szCs w:val="28"/>
          <w:lang w:val="en-US" w:eastAsia="ru-RU"/>
        </w:rPr>
        <w:t>I</w:t>
      </w:r>
      <w:r w:rsidR="0068539B">
        <w:rPr>
          <w:rFonts w:ascii="Times New Roman" w:eastAsia="Times New Roman" w:hAnsi="Times New Roman" w:cs="Times New Roman"/>
          <w:sz w:val="28"/>
          <w:szCs w:val="28"/>
          <w:lang w:val="uk-UA" w:eastAsia="ru-RU"/>
        </w:rPr>
        <w:t>СТ…</w:t>
      </w:r>
      <w:r w:rsidR="00FC528C">
        <w:rPr>
          <w:rFonts w:ascii="Times New Roman" w:eastAsia="Times New Roman" w:hAnsi="Times New Roman" w:cs="Times New Roman"/>
          <w:sz w:val="28"/>
          <w:szCs w:val="28"/>
          <w:lang w:val="uk-UA" w:eastAsia="ru-RU"/>
        </w:rPr>
        <w:t>……………………………………………………………………</w:t>
      </w:r>
      <w:r w:rsidR="005C1405">
        <w:rPr>
          <w:rFonts w:ascii="Times New Roman" w:eastAsia="Times New Roman" w:hAnsi="Times New Roman" w:cs="Times New Roman"/>
          <w:sz w:val="28"/>
          <w:szCs w:val="28"/>
          <w:lang w:val="uk-UA" w:eastAsia="ru-RU"/>
        </w:rPr>
        <w:t>.</w:t>
      </w:r>
      <w:r w:rsidR="00FC528C">
        <w:rPr>
          <w:rFonts w:ascii="Times New Roman" w:eastAsia="Times New Roman" w:hAnsi="Times New Roman" w:cs="Times New Roman"/>
          <w:sz w:val="28"/>
          <w:szCs w:val="28"/>
          <w:lang w:val="uk-UA" w:eastAsia="ru-RU"/>
        </w:rPr>
        <w:t>…...</w:t>
      </w:r>
      <w:r w:rsidR="002704B2">
        <w:rPr>
          <w:rFonts w:ascii="Times New Roman" w:eastAsia="Times New Roman" w:hAnsi="Times New Roman" w:cs="Times New Roman"/>
          <w:sz w:val="28"/>
          <w:szCs w:val="28"/>
          <w:lang w:val="uk-UA" w:eastAsia="ru-RU"/>
        </w:rPr>
        <w:t>19</w:t>
      </w:r>
    </w:p>
    <w:p w:rsidR="00B845D3" w:rsidRPr="002704B2" w:rsidRDefault="006D7177" w:rsidP="00A03291">
      <w:pPr>
        <w:overflowPunct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ПЕРЕЛ</w:t>
      </w:r>
      <w:r>
        <w:rPr>
          <w:rFonts w:ascii="Times New Roman" w:eastAsia="Times New Roman" w:hAnsi="Times New Roman" w:cs="Times New Roman"/>
          <w:sz w:val="28"/>
          <w:szCs w:val="28"/>
          <w:lang w:val="en-US" w:eastAsia="ru-RU"/>
        </w:rPr>
        <w:t>I</w:t>
      </w:r>
      <w:r w:rsidR="00A03291" w:rsidRPr="00A03291">
        <w:rPr>
          <w:rFonts w:ascii="Times New Roman" w:eastAsia="Times New Roman" w:hAnsi="Times New Roman" w:cs="Times New Roman"/>
          <w:sz w:val="28"/>
          <w:szCs w:val="28"/>
          <w:lang w:val="uk-UA" w:eastAsia="ru-RU"/>
        </w:rPr>
        <w:t xml:space="preserve">К УМОВНИХ </w:t>
      </w:r>
      <w:r w:rsidR="00755F0C">
        <w:rPr>
          <w:rFonts w:ascii="Times New Roman" w:eastAsia="Times New Roman" w:hAnsi="Times New Roman" w:cs="Times New Roman"/>
          <w:sz w:val="28"/>
          <w:szCs w:val="28"/>
          <w:lang w:val="uk-UA" w:eastAsia="ru-RU"/>
        </w:rPr>
        <w:t>ПОЗНАЧЕНЬ</w:t>
      </w:r>
      <w:r w:rsidR="00A03291" w:rsidRPr="00A03291">
        <w:rPr>
          <w:rFonts w:ascii="Times New Roman" w:eastAsia="Times New Roman" w:hAnsi="Times New Roman" w:cs="Times New Roman"/>
          <w:sz w:val="28"/>
          <w:szCs w:val="28"/>
          <w:lang w:val="uk-UA" w:eastAsia="ru-RU"/>
        </w:rPr>
        <w:t>………….....................</w:t>
      </w:r>
      <w:r w:rsidR="0068539B">
        <w:rPr>
          <w:rFonts w:ascii="Times New Roman" w:eastAsia="Times New Roman" w:hAnsi="Times New Roman" w:cs="Times New Roman"/>
          <w:sz w:val="28"/>
          <w:szCs w:val="28"/>
          <w:lang w:val="uk-UA" w:eastAsia="ru-RU"/>
        </w:rPr>
        <w:t>........</w:t>
      </w:r>
      <w:r w:rsidR="00A03291">
        <w:rPr>
          <w:rFonts w:ascii="Times New Roman" w:eastAsia="Times New Roman" w:hAnsi="Times New Roman" w:cs="Times New Roman"/>
          <w:sz w:val="28"/>
          <w:szCs w:val="28"/>
          <w:lang w:val="uk-UA" w:eastAsia="ru-RU"/>
        </w:rPr>
        <w:t>.......</w:t>
      </w:r>
      <w:r w:rsidR="0068539B">
        <w:rPr>
          <w:rFonts w:ascii="Times New Roman" w:eastAsia="Times New Roman" w:hAnsi="Times New Roman" w:cs="Times New Roman"/>
          <w:sz w:val="28"/>
          <w:szCs w:val="28"/>
          <w:lang w:val="uk-UA" w:eastAsia="ru-RU"/>
        </w:rPr>
        <w:t>......</w:t>
      </w:r>
      <w:r w:rsidR="00A03291">
        <w:rPr>
          <w:rFonts w:ascii="Times New Roman" w:eastAsia="Times New Roman" w:hAnsi="Times New Roman" w:cs="Times New Roman"/>
          <w:sz w:val="28"/>
          <w:szCs w:val="28"/>
          <w:lang w:val="uk-UA" w:eastAsia="ru-RU"/>
        </w:rPr>
        <w:t>.</w:t>
      </w:r>
      <w:r w:rsidR="005C1405">
        <w:rPr>
          <w:rFonts w:ascii="Times New Roman" w:eastAsia="Times New Roman" w:hAnsi="Times New Roman" w:cs="Times New Roman"/>
          <w:sz w:val="28"/>
          <w:szCs w:val="28"/>
          <w:lang w:val="uk-UA" w:eastAsia="ru-RU"/>
        </w:rPr>
        <w:t>..</w:t>
      </w:r>
      <w:r w:rsidR="00A03291">
        <w:rPr>
          <w:rFonts w:ascii="Times New Roman" w:eastAsia="Times New Roman" w:hAnsi="Times New Roman" w:cs="Times New Roman"/>
          <w:sz w:val="28"/>
          <w:szCs w:val="28"/>
          <w:lang w:val="uk-UA" w:eastAsia="ru-RU"/>
        </w:rPr>
        <w:t>..</w:t>
      </w:r>
      <w:r w:rsidR="001B4456">
        <w:rPr>
          <w:rFonts w:ascii="Times New Roman" w:eastAsia="Times New Roman" w:hAnsi="Times New Roman" w:cs="Times New Roman"/>
          <w:sz w:val="28"/>
          <w:szCs w:val="28"/>
          <w:lang w:val="uk-UA" w:eastAsia="ru-RU"/>
        </w:rPr>
        <w:t>...</w:t>
      </w:r>
      <w:r w:rsidR="00C97E83">
        <w:rPr>
          <w:rFonts w:ascii="Times New Roman" w:eastAsia="Times New Roman" w:hAnsi="Times New Roman" w:cs="Times New Roman"/>
          <w:sz w:val="28"/>
          <w:szCs w:val="28"/>
          <w:lang w:val="uk-UA" w:eastAsia="ru-RU"/>
        </w:rPr>
        <w:t>2</w:t>
      </w:r>
      <w:r w:rsidR="002704B2">
        <w:rPr>
          <w:rFonts w:ascii="Times New Roman" w:eastAsia="Times New Roman" w:hAnsi="Times New Roman" w:cs="Times New Roman"/>
          <w:sz w:val="28"/>
          <w:szCs w:val="28"/>
          <w:lang w:val="uk-UA" w:eastAsia="ru-RU"/>
        </w:rPr>
        <w:t>2</w:t>
      </w:r>
    </w:p>
    <w:p w:rsidR="00A03291" w:rsidRPr="00A03291" w:rsidRDefault="00A03291" w:rsidP="00A03291">
      <w:pPr>
        <w:spacing w:after="0" w:line="360" w:lineRule="auto"/>
        <w:jc w:val="both"/>
        <w:rPr>
          <w:rFonts w:ascii="Times New Roman" w:eastAsia="Times New Roman" w:hAnsi="Times New Roman" w:cs="Times New Roman"/>
          <w:sz w:val="28"/>
          <w:szCs w:val="28"/>
          <w:lang w:val="uk-UA" w:eastAsia="ru-RU"/>
        </w:rPr>
      </w:pPr>
      <w:r w:rsidRPr="00A03291">
        <w:rPr>
          <w:rFonts w:ascii="Times New Roman" w:eastAsia="Times New Roman" w:hAnsi="Times New Roman" w:cs="Times New Roman"/>
          <w:sz w:val="28"/>
          <w:szCs w:val="28"/>
          <w:lang w:val="uk-UA" w:eastAsia="ru-RU"/>
        </w:rPr>
        <w:t>ВСТУ</w:t>
      </w:r>
      <w:r>
        <w:rPr>
          <w:rFonts w:ascii="Times New Roman" w:eastAsia="Times New Roman" w:hAnsi="Times New Roman" w:cs="Times New Roman"/>
          <w:sz w:val="28"/>
          <w:szCs w:val="28"/>
          <w:lang w:val="uk-UA" w:eastAsia="ru-RU"/>
        </w:rPr>
        <w:t>П……………………………………………………………………</w:t>
      </w:r>
      <w:r w:rsidR="0068539B">
        <w:rPr>
          <w:rFonts w:ascii="Times New Roman" w:eastAsia="Times New Roman" w:hAnsi="Times New Roman" w:cs="Times New Roman"/>
          <w:sz w:val="28"/>
          <w:szCs w:val="28"/>
          <w:lang w:val="uk-UA" w:eastAsia="ru-RU"/>
        </w:rPr>
        <w:t>…</w:t>
      </w:r>
      <w:r w:rsidR="005C1405">
        <w:rPr>
          <w:rFonts w:ascii="Times New Roman" w:eastAsia="Times New Roman" w:hAnsi="Times New Roman" w:cs="Times New Roman"/>
          <w:sz w:val="28"/>
          <w:szCs w:val="28"/>
          <w:lang w:val="uk-UA" w:eastAsia="ru-RU"/>
        </w:rPr>
        <w:t>.</w:t>
      </w:r>
      <w:r w:rsidR="0068539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00C97E83">
        <w:rPr>
          <w:rFonts w:ascii="Times New Roman" w:eastAsia="Times New Roman" w:hAnsi="Times New Roman" w:cs="Times New Roman"/>
          <w:sz w:val="28"/>
          <w:szCs w:val="28"/>
          <w:lang w:val="uk-UA" w:eastAsia="ru-RU"/>
        </w:rPr>
        <w:t>2</w:t>
      </w:r>
      <w:r w:rsidR="002704B2">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006D7177">
        <w:rPr>
          <w:rFonts w:ascii="Times New Roman" w:eastAsia="Times New Roman" w:hAnsi="Times New Roman" w:cs="Times New Roman"/>
          <w:sz w:val="28"/>
          <w:szCs w:val="28"/>
          <w:lang w:val="uk-UA" w:eastAsia="ru-RU"/>
        </w:rPr>
        <w:br/>
        <w:t>РОЗД</w:t>
      </w:r>
      <w:r w:rsidR="006D7177">
        <w:rPr>
          <w:rFonts w:ascii="Times New Roman" w:eastAsia="Times New Roman" w:hAnsi="Times New Roman" w:cs="Times New Roman"/>
          <w:sz w:val="28"/>
          <w:szCs w:val="28"/>
          <w:lang w:val="en-US" w:eastAsia="ru-RU"/>
        </w:rPr>
        <w:t>I</w:t>
      </w:r>
      <w:r w:rsidRPr="00A03291">
        <w:rPr>
          <w:rFonts w:ascii="Times New Roman" w:eastAsia="Times New Roman" w:hAnsi="Times New Roman" w:cs="Times New Roman"/>
          <w:sz w:val="28"/>
          <w:szCs w:val="28"/>
          <w:lang w:val="uk-UA" w:eastAsia="ru-RU"/>
        </w:rPr>
        <w:t>Л</w:t>
      </w:r>
      <w:r w:rsidR="006D7177">
        <w:rPr>
          <w:rFonts w:ascii="Times New Roman" w:eastAsia="Times New Roman" w:hAnsi="Times New Roman" w:cs="Times New Roman"/>
          <w:sz w:val="28"/>
          <w:szCs w:val="28"/>
          <w:lang w:val="uk-UA" w:eastAsia="ru-RU"/>
        </w:rPr>
        <w:t xml:space="preserve"> 1. ОГЛЯД Л</w:t>
      </w:r>
      <w:r w:rsidR="006D7177">
        <w:rPr>
          <w:rFonts w:ascii="Times New Roman" w:eastAsia="Times New Roman" w:hAnsi="Times New Roman" w:cs="Times New Roman"/>
          <w:sz w:val="28"/>
          <w:szCs w:val="28"/>
          <w:lang w:val="en-US" w:eastAsia="ru-RU"/>
        </w:rPr>
        <w:t>I</w:t>
      </w:r>
      <w:r w:rsidRPr="00A03291">
        <w:rPr>
          <w:rFonts w:ascii="Times New Roman" w:eastAsia="Times New Roman" w:hAnsi="Times New Roman" w:cs="Times New Roman"/>
          <w:sz w:val="28"/>
          <w:szCs w:val="28"/>
          <w:lang w:val="uk-UA" w:eastAsia="ru-RU"/>
        </w:rPr>
        <w:t>ТЕРАТУРИ.</w:t>
      </w:r>
      <w:r w:rsidRPr="00A03291">
        <w:rPr>
          <w:rFonts w:ascii="Times New Roman" w:hAnsi="Times New Roman" w:cs="Times New Roman"/>
          <w:sz w:val="28"/>
          <w:szCs w:val="28"/>
          <w:lang w:val="uk-UA"/>
        </w:rPr>
        <w:t xml:space="preserve"> </w:t>
      </w:r>
      <w:r w:rsidR="006D7177">
        <w:rPr>
          <w:rFonts w:ascii="Times New Roman" w:eastAsia="Times New Roman" w:hAnsi="Times New Roman" w:cs="Times New Roman"/>
          <w:sz w:val="28"/>
          <w:szCs w:val="28"/>
          <w:lang w:val="uk-UA" w:eastAsia="ru-RU"/>
        </w:rPr>
        <w:t>КЛЮЧОВ</w:t>
      </w:r>
      <w:r w:rsidR="006D7177">
        <w:rPr>
          <w:rFonts w:ascii="Times New Roman" w:eastAsia="Times New Roman" w:hAnsi="Times New Roman" w:cs="Times New Roman"/>
          <w:sz w:val="28"/>
          <w:szCs w:val="28"/>
          <w:lang w:val="en-US" w:eastAsia="ru-RU"/>
        </w:rPr>
        <w:t>I</w:t>
      </w:r>
      <w:r w:rsidR="006D7177">
        <w:rPr>
          <w:rFonts w:ascii="Times New Roman" w:eastAsia="Times New Roman" w:hAnsi="Times New Roman" w:cs="Times New Roman"/>
          <w:sz w:val="28"/>
          <w:szCs w:val="28"/>
          <w:lang w:val="uk-UA" w:eastAsia="ru-RU"/>
        </w:rPr>
        <w:t xml:space="preserve"> ЛАНКИ ПАТОГЕНЕЗУ МЕТАБОЛ</w:t>
      </w:r>
      <w:r w:rsidR="006D7177">
        <w:rPr>
          <w:rFonts w:ascii="Times New Roman" w:eastAsia="Times New Roman" w:hAnsi="Times New Roman" w:cs="Times New Roman"/>
          <w:sz w:val="28"/>
          <w:szCs w:val="28"/>
          <w:lang w:val="en-US" w:eastAsia="ru-RU"/>
        </w:rPr>
        <w:t>I</w:t>
      </w:r>
      <w:r w:rsidR="006D7177">
        <w:rPr>
          <w:rFonts w:ascii="Times New Roman" w:eastAsia="Times New Roman" w:hAnsi="Times New Roman" w:cs="Times New Roman"/>
          <w:sz w:val="28"/>
          <w:szCs w:val="28"/>
          <w:lang w:val="uk-UA" w:eastAsia="ru-RU"/>
        </w:rPr>
        <w:t>ЧНИХ ПОРУШЕНЬ ПРИ ПОЄДНАНН</w:t>
      </w:r>
      <w:r w:rsidR="006D7177">
        <w:rPr>
          <w:rFonts w:ascii="Times New Roman" w:eastAsia="Times New Roman" w:hAnsi="Times New Roman" w:cs="Times New Roman"/>
          <w:sz w:val="28"/>
          <w:szCs w:val="28"/>
          <w:lang w:val="en-US" w:eastAsia="ru-RU"/>
        </w:rPr>
        <w:t>I</w:t>
      </w:r>
      <w:r w:rsidR="006D7177">
        <w:rPr>
          <w:rFonts w:ascii="Times New Roman" w:eastAsia="Times New Roman" w:hAnsi="Times New Roman" w:cs="Times New Roman"/>
          <w:sz w:val="28"/>
          <w:szCs w:val="28"/>
          <w:lang w:val="uk-UA" w:eastAsia="ru-RU"/>
        </w:rPr>
        <w:t xml:space="preserve"> АРТЕР</w:t>
      </w:r>
      <w:r w:rsidR="006D7177">
        <w:rPr>
          <w:rFonts w:ascii="Times New Roman" w:eastAsia="Times New Roman" w:hAnsi="Times New Roman" w:cs="Times New Roman"/>
          <w:sz w:val="28"/>
          <w:szCs w:val="28"/>
          <w:lang w:val="en-US" w:eastAsia="ru-RU"/>
        </w:rPr>
        <w:t>I</w:t>
      </w:r>
      <w:r w:rsidR="006D7177">
        <w:rPr>
          <w:rFonts w:ascii="Times New Roman" w:eastAsia="Times New Roman" w:hAnsi="Times New Roman" w:cs="Times New Roman"/>
          <w:sz w:val="28"/>
          <w:szCs w:val="28"/>
          <w:lang w:val="uk-UA" w:eastAsia="ru-RU"/>
        </w:rPr>
        <w:t>АЛЬНОЇ Г</w:t>
      </w:r>
      <w:r w:rsidR="0095249C">
        <w:rPr>
          <w:rFonts w:ascii="Times New Roman" w:eastAsia="Times New Roman" w:hAnsi="Times New Roman" w:cs="Times New Roman"/>
          <w:sz w:val="28"/>
          <w:szCs w:val="28"/>
          <w:lang w:val="en-US" w:eastAsia="ru-RU"/>
        </w:rPr>
        <w:t>I</w:t>
      </w:r>
      <w:r w:rsidR="0095249C">
        <w:rPr>
          <w:rFonts w:ascii="Times New Roman" w:eastAsia="Times New Roman" w:hAnsi="Times New Roman" w:cs="Times New Roman"/>
          <w:sz w:val="28"/>
          <w:szCs w:val="28"/>
          <w:lang w:val="uk-UA" w:eastAsia="ru-RU"/>
        </w:rPr>
        <w:t>ПЕРТЕНЗ</w:t>
      </w:r>
      <w:r w:rsidR="0095249C">
        <w:rPr>
          <w:rFonts w:ascii="Times New Roman" w:eastAsia="Times New Roman" w:hAnsi="Times New Roman" w:cs="Times New Roman"/>
          <w:sz w:val="28"/>
          <w:szCs w:val="28"/>
          <w:lang w:val="en-US" w:eastAsia="ru-RU"/>
        </w:rPr>
        <w:t>I</w:t>
      </w:r>
      <w:r w:rsidR="0095249C">
        <w:rPr>
          <w:rFonts w:ascii="Times New Roman" w:eastAsia="Times New Roman" w:hAnsi="Times New Roman" w:cs="Times New Roman"/>
          <w:sz w:val="28"/>
          <w:szCs w:val="28"/>
          <w:lang w:val="uk-UA" w:eastAsia="ru-RU"/>
        </w:rPr>
        <w:t>Ї ТА ЦУКРОВОГО Д</w:t>
      </w:r>
      <w:r w:rsidR="0095249C">
        <w:rPr>
          <w:rFonts w:ascii="Times New Roman" w:eastAsia="Times New Roman" w:hAnsi="Times New Roman" w:cs="Times New Roman"/>
          <w:sz w:val="28"/>
          <w:szCs w:val="28"/>
          <w:lang w:val="en-US" w:eastAsia="ru-RU"/>
        </w:rPr>
        <w:t>I</w:t>
      </w:r>
      <w:r w:rsidRPr="00A03291">
        <w:rPr>
          <w:rFonts w:ascii="Times New Roman" w:eastAsia="Times New Roman" w:hAnsi="Times New Roman" w:cs="Times New Roman"/>
          <w:sz w:val="28"/>
          <w:szCs w:val="28"/>
          <w:lang w:val="uk-UA" w:eastAsia="ru-RU"/>
        </w:rPr>
        <w:t>АБЕТУ 2</w:t>
      </w:r>
      <w:r w:rsidR="008A013C">
        <w:rPr>
          <w:rFonts w:ascii="Times New Roman" w:eastAsia="Times New Roman" w:hAnsi="Times New Roman" w:cs="Times New Roman"/>
          <w:sz w:val="28"/>
          <w:szCs w:val="28"/>
          <w:lang w:val="uk-UA" w:eastAsia="ru-RU"/>
        </w:rPr>
        <w:t>-ГО</w:t>
      </w:r>
      <w:r w:rsidRPr="00A03291">
        <w:rPr>
          <w:rFonts w:ascii="Times New Roman" w:eastAsia="Times New Roman" w:hAnsi="Times New Roman" w:cs="Times New Roman"/>
          <w:sz w:val="28"/>
          <w:szCs w:val="28"/>
          <w:lang w:val="uk-UA" w:eastAsia="ru-RU"/>
        </w:rPr>
        <w:t xml:space="preserve"> ТИПУ</w:t>
      </w:r>
    </w:p>
    <w:p w:rsidR="00A03291" w:rsidRPr="00C97E83" w:rsidRDefault="0095249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 Основн</w:t>
      </w:r>
      <w:r>
        <w:rPr>
          <w:rFonts w:ascii="Times New Roman" w:hAnsi="Times New Roman" w:cs="Times New Roman"/>
          <w:sz w:val="28"/>
          <w:szCs w:val="28"/>
          <w:lang w:val="en-US"/>
        </w:rPr>
        <w:t>i</w:t>
      </w:r>
      <w:r w:rsidR="00002D96" w:rsidRPr="00002D96">
        <w:rPr>
          <w:rFonts w:ascii="Times New Roman" w:hAnsi="Times New Roman" w:cs="Times New Roman"/>
          <w:color w:val="FFFFFF" w:themeColor="background1"/>
          <w:sz w:val="28"/>
          <w:szCs w:val="28"/>
          <w:lang w:val="en-US"/>
        </w:rPr>
        <w:t>o</w:t>
      </w:r>
      <w:r w:rsidR="00002D96">
        <w:rPr>
          <w:rFonts w:ascii="Times New Roman" w:hAnsi="Times New Roman" w:cs="Times New Roman"/>
          <w:sz w:val="28"/>
          <w:szCs w:val="28"/>
          <w:lang w:val="uk-UA"/>
        </w:rPr>
        <w:t>аспекти</w:t>
      </w:r>
      <w:r w:rsidR="00002D96" w:rsidRPr="00002D96">
        <w:rPr>
          <w:rFonts w:ascii="Times New Roman" w:hAnsi="Times New Roman" w:cs="Times New Roman"/>
          <w:color w:val="FFFFFF" w:themeColor="background1"/>
          <w:sz w:val="28"/>
          <w:szCs w:val="28"/>
          <w:lang w:val="en-US"/>
        </w:rPr>
        <w:t>o</w:t>
      </w:r>
      <w:r w:rsidR="00002D96">
        <w:rPr>
          <w:rFonts w:ascii="Times New Roman" w:hAnsi="Times New Roman" w:cs="Times New Roman"/>
          <w:sz w:val="28"/>
          <w:szCs w:val="28"/>
          <w:lang w:val="uk-UA"/>
        </w:rPr>
        <w:t>порушень</w:t>
      </w:r>
      <w:r w:rsidR="00002D96" w:rsidRPr="00002D96">
        <w:rPr>
          <w:rFonts w:ascii="Times New Roman" w:hAnsi="Times New Roman" w:cs="Times New Roman"/>
          <w:color w:val="FFFFFF" w:themeColor="background1"/>
          <w:sz w:val="28"/>
          <w:szCs w:val="28"/>
          <w:lang w:val="en-US"/>
        </w:rPr>
        <w:t>o</w:t>
      </w:r>
      <w:r>
        <w:rPr>
          <w:rFonts w:ascii="Times New Roman" w:hAnsi="Times New Roman" w:cs="Times New Roman"/>
          <w:sz w:val="28"/>
          <w:szCs w:val="28"/>
          <w:lang w:val="uk-UA"/>
        </w:rPr>
        <w:t>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sidR="00002D96">
        <w:rPr>
          <w:rFonts w:ascii="Times New Roman" w:hAnsi="Times New Roman" w:cs="Times New Roman"/>
          <w:sz w:val="28"/>
          <w:szCs w:val="28"/>
          <w:lang w:val="uk-UA"/>
        </w:rPr>
        <w:t>дного</w:t>
      </w:r>
      <w:r w:rsidR="00002D96" w:rsidRPr="00002D96">
        <w:rPr>
          <w:rFonts w:ascii="Times New Roman" w:hAnsi="Times New Roman" w:cs="Times New Roman"/>
          <w:color w:val="FFFFFF" w:themeColor="background1"/>
          <w:sz w:val="28"/>
          <w:szCs w:val="28"/>
          <w:lang w:val="en-US"/>
        </w:rPr>
        <w:t>o</w:t>
      </w:r>
      <w:r>
        <w:rPr>
          <w:rFonts w:ascii="Times New Roman" w:hAnsi="Times New Roman" w:cs="Times New Roman"/>
          <w:sz w:val="28"/>
          <w:szCs w:val="28"/>
          <w:lang w:val="uk-UA"/>
        </w:rPr>
        <w:t>обм</w:t>
      </w:r>
      <w:r>
        <w:rPr>
          <w:rFonts w:ascii="Times New Roman" w:hAnsi="Times New Roman" w:cs="Times New Roman"/>
          <w:sz w:val="28"/>
          <w:szCs w:val="28"/>
          <w:lang w:val="en-US"/>
        </w:rPr>
        <w:t>i</w:t>
      </w:r>
      <w:r w:rsidR="00AA74D2">
        <w:rPr>
          <w:rFonts w:ascii="Times New Roman" w:hAnsi="Times New Roman" w:cs="Times New Roman"/>
          <w:sz w:val="28"/>
          <w:szCs w:val="28"/>
          <w:lang w:val="uk-UA"/>
        </w:rPr>
        <w:t xml:space="preserve">ну </w:t>
      </w:r>
      <w:r w:rsidR="00107656">
        <w:rPr>
          <w:rFonts w:ascii="Times New Roman" w:hAnsi="Times New Roman" w:cs="Times New Roman"/>
          <w:sz w:val="28"/>
          <w:szCs w:val="28"/>
          <w:lang w:val="uk-UA"/>
        </w:rPr>
        <w:t>в</w:t>
      </w:r>
      <w:r w:rsidR="00AA74D2">
        <w:rPr>
          <w:rFonts w:ascii="Times New Roman" w:hAnsi="Times New Roman" w:cs="Times New Roman"/>
          <w:sz w:val="28"/>
          <w:szCs w:val="28"/>
          <w:lang w:val="uk-UA"/>
        </w:rPr>
        <w:t xml:space="preserve"> </w:t>
      </w:r>
      <w:r w:rsidR="00002D96">
        <w:rPr>
          <w:rFonts w:ascii="Times New Roman" w:hAnsi="Times New Roman" w:cs="Times New Roman"/>
          <w:sz w:val="28"/>
          <w:szCs w:val="28"/>
          <w:lang w:val="uk-UA"/>
        </w:rPr>
        <w:t>пацієнтів</w:t>
      </w:r>
      <w:r w:rsidR="00002D96" w:rsidRPr="00002D96">
        <w:rPr>
          <w:rFonts w:ascii="Times New Roman" w:hAnsi="Times New Roman" w:cs="Times New Roman"/>
          <w:sz w:val="28"/>
          <w:szCs w:val="28"/>
          <w:lang w:val="uk-UA"/>
        </w:rPr>
        <w:t xml:space="preserve"> </w:t>
      </w:r>
      <w:r w:rsidR="00AA74D2">
        <w:rPr>
          <w:rFonts w:ascii="Times New Roman" w:hAnsi="Times New Roman" w:cs="Times New Roman"/>
          <w:sz w:val="28"/>
          <w:szCs w:val="28"/>
          <w:lang w:val="uk-UA"/>
        </w:rPr>
        <w:t>і</w:t>
      </w:r>
      <w:r w:rsidR="00A03291" w:rsidRPr="00A03291">
        <w:rPr>
          <w:rFonts w:ascii="Times New Roman" w:hAnsi="Times New Roman" w:cs="Times New Roman"/>
          <w:sz w:val="28"/>
          <w:szCs w:val="28"/>
          <w:lang w:val="uk-UA"/>
        </w:rPr>
        <w:t xml:space="preserve">з </w:t>
      </w:r>
      <w:r>
        <w:rPr>
          <w:rFonts w:ascii="Times New Roman" w:hAnsi="Times New Roman" w:cs="Times New Roman"/>
          <w:sz w:val="28"/>
          <w:szCs w:val="28"/>
          <w:lang w:val="uk-UA"/>
        </w:rPr>
        <w:t>артер</w:t>
      </w:r>
      <w:r>
        <w:rPr>
          <w:rFonts w:ascii="Times New Roman" w:hAnsi="Times New Roman" w:cs="Times New Roman"/>
          <w:sz w:val="28"/>
          <w:szCs w:val="28"/>
          <w:lang w:val="en-US"/>
        </w:rPr>
        <w:t>i</w:t>
      </w:r>
      <w:r>
        <w:rPr>
          <w:rFonts w:ascii="Times New Roman" w:hAnsi="Times New Roman" w:cs="Times New Roman"/>
          <w:sz w:val="28"/>
          <w:szCs w:val="28"/>
          <w:lang w:val="uk-UA"/>
        </w:rPr>
        <w:t>альною г</w:t>
      </w:r>
      <w:r>
        <w:rPr>
          <w:rFonts w:ascii="Times New Roman" w:hAnsi="Times New Roman" w:cs="Times New Roman"/>
          <w:sz w:val="28"/>
          <w:szCs w:val="28"/>
          <w:lang w:val="en-US"/>
        </w:rPr>
        <w:t>i</w:t>
      </w:r>
      <w:r>
        <w:rPr>
          <w:rFonts w:ascii="Times New Roman" w:hAnsi="Times New Roman" w:cs="Times New Roman"/>
          <w:sz w:val="28"/>
          <w:szCs w:val="28"/>
          <w:lang w:val="uk-UA"/>
        </w:rPr>
        <w:t>пертенз</w:t>
      </w:r>
      <w:r>
        <w:rPr>
          <w:rFonts w:ascii="Times New Roman" w:hAnsi="Times New Roman" w:cs="Times New Roman"/>
          <w:sz w:val="28"/>
          <w:szCs w:val="28"/>
          <w:lang w:val="en-US"/>
        </w:rPr>
        <w:t>i</w:t>
      </w:r>
      <w:r w:rsidR="001B38C1" w:rsidRPr="00C973CC">
        <w:rPr>
          <w:rFonts w:ascii="Times New Roman" w:hAnsi="Times New Roman" w:cs="Times New Roman"/>
          <w:sz w:val="28"/>
          <w:szCs w:val="28"/>
          <w:lang w:val="uk-UA"/>
        </w:rPr>
        <w:t>єю</w:t>
      </w:r>
      <w:r w:rsidR="001B38C1" w:rsidRPr="00A03291">
        <w:rPr>
          <w:rFonts w:ascii="Times New Roman" w:hAnsi="Times New Roman" w:cs="Times New Roman"/>
          <w:sz w:val="28"/>
          <w:szCs w:val="28"/>
          <w:lang w:val="uk-UA"/>
        </w:rPr>
        <w:t xml:space="preserve"> </w:t>
      </w:r>
      <w:r w:rsidR="001B38C1">
        <w:rPr>
          <w:rFonts w:ascii="Times New Roman" w:hAnsi="Times New Roman" w:cs="Times New Roman"/>
          <w:sz w:val="28"/>
          <w:szCs w:val="28"/>
          <w:lang w:val="uk-UA"/>
        </w:rPr>
        <w:t xml:space="preserve">та </w:t>
      </w:r>
      <w:r>
        <w:rPr>
          <w:rFonts w:ascii="Times New Roman" w:hAnsi="Times New Roman" w:cs="Times New Roman"/>
          <w:sz w:val="28"/>
          <w:szCs w:val="28"/>
          <w:lang w:val="uk-UA"/>
        </w:rPr>
        <w:t>цукровим д</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абетом 2</w:t>
      </w:r>
      <w:r w:rsidR="008A013C">
        <w:rPr>
          <w:rFonts w:ascii="Times New Roman" w:hAnsi="Times New Roman" w:cs="Times New Roman"/>
          <w:sz w:val="28"/>
          <w:szCs w:val="28"/>
          <w:lang w:val="uk-UA"/>
        </w:rPr>
        <w:t>-го</w:t>
      </w:r>
      <w:r w:rsidR="00A03291" w:rsidRPr="00A03291">
        <w:rPr>
          <w:rFonts w:ascii="Times New Roman" w:hAnsi="Times New Roman" w:cs="Times New Roman"/>
          <w:sz w:val="28"/>
          <w:szCs w:val="28"/>
          <w:lang w:val="uk-UA"/>
        </w:rPr>
        <w:t xml:space="preserve"> т</w:t>
      </w:r>
      <w:r w:rsidR="001B38C1">
        <w:rPr>
          <w:rFonts w:ascii="Times New Roman" w:hAnsi="Times New Roman" w:cs="Times New Roman"/>
          <w:sz w:val="28"/>
          <w:szCs w:val="28"/>
          <w:lang w:val="uk-UA"/>
        </w:rPr>
        <w:t>ипу……</w:t>
      </w:r>
      <w:r w:rsidR="00AA74D2">
        <w:rPr>
          <w:rFonts w:ascii="Times New Roman" w:hAnsi="Times New Roman" w:cs="Times New Roman"/>
          <w:sz w:val="28"/>
          <w:szCs w:val="28"/>
          <w:lang w:val="uk-UA"/>
        </w:rPr>
        <w:t>……………</w:t>
      </w:r>
      <w:r w:rsidR="000C3F6B">
        <w:rPr>
          <w:rFonts w:ascii="Times New Roman" w:hAnsi="Times New Roman" w:cs="Times New Roman"/>
          <w:sz w:val="28"/>
          <w:szCs w:val="28"/>
          <w:lang w:val="uk-UA"/>
        </w:rPr>
        <w:t>3</w:t>
      </w:r>
      <w:r w:rsidR="002704B2">
        <w:rPr>
          <w:rFonts w:ascii="Times New Roman" w:hAnsi="Times New Roman" w:cs="Times New Roman"/>
          <w:sz w:val="28"/>
          <w:szCs w:val="28"/>
          <w:lang w:val="uk-UA"/>
        </w:rPr>
        <w:t>3</w:t>
      </w:r>
    </w:p>
    <w:p w:rsidR="00A03291" w:rsidRPr="00C97E83" w:rsidRDefault="00A03291" w:rsidP="00A03291">
      <w:pPr>
        <w:spacing w:after="0" w:line="360" w:lineRule="auto"/>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1.2. </w:t>
      </w:r>
      <w:r w:rsidR="00302F3D">
        <w:rPr>
          <w:rFonts w:ascii="Times New Roman" w:hAnsi="Times New Roman" w:cs="Times New Roman"/>
          <w:sz w:val="28"/>
          <w:szCs w:val="28"/>
          <w:lang w:val="uk-UA"/>
        </w:rPr>
        <w:t>Оцінка впливу показників іму</w:t>
      </w:r>
      <w:r w:rsidR="00D04279">
        <w:rPr>
          <w:rFonts w:ascii="Times New Roman" w:hAnsi="Times New Roman" w:cs="Times New Roman"/>
          <w:sz w:val="28"/>
          <w:szCs w:val="28"/>
          <w:lang w:val="uk-UA"/>
        </w:rPr>
        <w:t>нного запалення, ендотелію, урикемії на функціональний стан нирок у</w:t>
      </w:r>
      <w:r w:rsidR="00D04279" w:rsidRPr="00D04279">
        <w:rPr>
          <w:rFonts w:ascii="Times New Roman" w:hAnsi="Times New Roman" w:cs="Times New Roman"/>
          <w:sz w:val="28"/>
          <w:szCs w:val="28"/>
          <w:lang w:val="uk-UA"/>
        </w:rPr>
        <w:t xml:space="preserve"> пацiєнтiв із артерiальною гiпертензiєю та цукровим дiабетом 2-го типу………</w:t>
      </w:r>
      <w:r w:rsidR="00D04279">
        <w:rPr>
          <w:rFonts w:ascii="Times New Roman" w:hAnsi="Times New Roman" w:cs="Times New Roman"/>
          <w:sz w:val="28"/>
          <w:szCs w:val="28"/>
          <w:lang w:val="uk-UA"/>
        </w:rPr>
        <w:t>…………………………………………..</w:t>
      </w:r>
      <w:r w:rsidR="00E22FFE">
        <w:rPr>
          <w:rFonts w:ascii="Times New Roman" w:hAnsi="Times New Roman" w:cs="Times New Roman"/>
          <w:sz w:val="28"/>
          <w:szCs w:val="28"/>
          <w:lang w:val="uk-UA"/>
        </w:rPr>
        <w:t>.</w:t>
      </w:r>
      <w:r w:rsidR="00C97E83">
        <w:rPr>
          <w:rFonts w:ascii="Times New Roman" w:hAnsi="Times New Roman" w:cs="Times New Roman"/>
          <w:sz w:val="28"/>
          <w:szCs w:val="28"/>
          <w:lang w:val="uk-UA"/>
        </w:rPr>
        <w:t>3</w:t>
      </w:r>
      <w:r w:rsidR="002704B2">
        <w:rPr>
          <w:rFonts w:ascii="Times New Roman" w:hAnsi="Times New Roman" w:cs="Times New Roman"/>
          <w:sz w:val="28"/>
          <w:szCs w:val="28"/>
          <w:lang w:val="uk-UA"/>
        </w:rPr>
        <w:t>7</w:t>
      </w:r>
    </w:p>
    <w:p w:rsidR="00A03291" w:rsidRPr="00C97E83" w:rsidRDefault="00AE13C5"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353E7C" w:rsidRPr="00353E7C">
        <w:rPr>
          <w:rFonts w:ascii="Times New Roman" w:hAnsi="Times New Roman" w:cs="Times New Roman"/>
          <w:sz w:val="28"/>
          <w:szCs w:val="28"/>
          <w:lang w:val="uk-UA"/>
        </w:rPr>
        <w:t>.</w:t>
      </w:r>
      <w:r w:rsidR="00D019C2" w:rsidRPr="00F77D47">
        <w:rPr>
          <w:lang w:val="uk-UA"/>
        </w:rPr>
        <w:t xml:space="preserve"> </w:t>
      </w:r>
      <w:r w:rsidR="007748DB">
        <w:rPr>
          <w:rFonts w:ascii="Times New Roman" w:hAnsi="Times New Roman" w:cs="Times New Roman"/>
          <w:sz w:val="28"/>
          <w:szCs w:val="28"/>
          <w:lang w:val="uk-UA"/>
        </w:rPr>
        <w:t xml:space="preserve">Вплив маркерів імунного запалення, ендотелію на </w:t>
      </w:r>
      <w:r w:rsidR="007748DB" w:rsidRPr="007748DB">
        <w:rPr>
          <w:rFonts w:ascii="Times New Roman" w:hAnsi="Times New Roman" w:cs="Times New Roman"/>
          <w:sz w:val="28"/>
          <w:szCs w:val="28"/>
          <w:lang w:val="uk-UA"/>
        </w:rPr>
        <w:t>с</w:t>
      </w:r>
      <w:r w:rsidR="0095249C" w:rsidRPr="007748DB">
        <w:rPr>
          <w:rFonts w:ascii="Times New Roman" w:hAnsi="Times New Roman" w:cs="Times New Roman"/>
          <w:sz w:val="28"/>
          <w:szCs w:val="28"/>
          <w:lang w:val="uk-UA"/>
        </w:rPr>
        <w:t>труктурно-функц</w:t>
      </w:r>
      <w:r w:rsidR="0095249C" w:rsidRPr="007748DB">
        <w:rPr>
          <w:rFonts w:ascii="Times New Roman" w:hAnsi="Times New Roman" w:cs="Times New Roman"/>
          <w:sz w:val="28"/>
          <w:szCs w:val="28"/>
          <w:lang w:val="en-US"/>
        </w:rPr>
        <w:t>i</w:t>
      </w:r>
      <w:r w:rsidR="0095249C" w:rsidRPr="007748DB">
        <w:rPr>
          <w:rFonts w:ascii="Times New Roman" w:hAnsi="Times New Roman" w:cs="Times New Roman"/>
          <w:sz w:val="28"/>
          <w:szCs w:val="28"/>
          <w:lang w:val="uk-UA"/>
        </w:rPr>
        <w:t>ональн</w:t>
      </w:r>
      <w:r w:rsidR="0095249C" w:rsidRPr="007748DB">
        <w:rPr>
          <w:rFonts w:ascii="Times New Roman" w:hAnsi="Times New Roman" w:cs="Times New Roman"/>
          <w:sz w:val="28"/>
          <w:szCs w:val="28"/>
          <w:lang w:val="en-US"/>
        </w:rPr>
        <w:t>i</w:t>
      </w:r>
      <w:r w:rsidR="007748DB" w:rsidRPr="007748DB">
        <w:rPr>
          <w:rFonts w:ascii="Times New Roman" w:hAnsi="Times New Roman" w:cs="Times New Roman"/>
          <w:sz w:val="28"/>
          <w:szCs w:val="28"/>
          <w:lang w:val="uk-UA"/>
        </w:rPr>
        <w:t xml:space="preserve"> </w:t>
      </w:r>
      <w:r w:rsidR="0095249C" w:rsidRPr="007748DB">
        <w:rPr>
          <w:rFonts w:ascii="Times New Roman" w:hAnsi="Times New Roman" w:cs="Times New Roman"/>
          <w:sz w:val="28"/>
          <w:szCs w:val="28"/>
          <w:lang w:val="uk-UA"/>
        </w:rPr>
        <w:t>показник</w:t>
      </w:r>
      <w:r w:rsidR="007748DB" w:rsidRPr="007748DB">
        <w:rPr>
          <w:rFonts w:ascii="Times New Roman" w:hAnsi="Times New Roman" w:cs="Times New Roman"/>
          <w:sz w:val="28"/>
          <w:szCs w:val="28"/>
          <w:lang w:val="uk-UA"/>
        </w:rPr>
        <w:t xml:space="preserve">и </w:t>
      </w:r>
      <w:r w:rsidR="0095249C" w:rsidRPr="007748DB">
        <w:rPr>
          <w:rFonts w:ascii="Times New Roman" w:hAnsi="Times New Roman" w:cs="Times New Roman"/>
          <w:sz w:val="28"/>
          <w:szCs w:val="28"/>
          <w:lang w:val="uk-UA"/>
        </w:rPr>
        <w:t>м</w:t>
      </w:r>
      <w:r w:rsidR="0095249C" w:rsidRPr="007748DB">
        <w:rPr>
          <w:rFonts w:ascii="Times New Roman" w:hAnsi="Times New Roman" w:cs="Times New Roman"/>
          <w:sz w:val="28"/>
          <w:szCs w:val="28"/>
          <w:lang w:val="en-US"/>
        </w:rPr>
        <w:t>i</w:t>
      </w:r>
      <w:r w:rsidR="002C65B3" w:rsidRPr="007748DB">
        <w:rPr>
          <w:rFonts w:ascii="Times New Roman" w:hAnsi="Times New Roman" w:cs="Times New Roman"/>
          <w:sz w:val="28"/>
          <w:szCs w:val="28"/>
          <w:lang w:val="uk-UA"/>
        </w:rPr>
        <w:t xml:space="preserve">окарда </w:t>
      </w:r>
      <w:r w:rsidR="000F0FD1" w:rsidRPr="007748DB">
        <w:rPr>
          <w:rFonts w:ascii="Times New Roman" w:hAnsi="Times New Roman" w:cs="Times New Roman"/>
          <w:sz w:val="28"/>
          <w:szCs w:val="28"/>
          <w:lang w:val="uk-UA"/>
        </w:rPr>
        <w:t xml:space="preserve">у хворих на </w:t>
      </w:r>
      <w:r w:rsidR="001B38C1" w:rsidRPr="007748DB">
        <w:rPr>
          <w:rFonts w:ascii="Times New Roman" w:hAnsi="Times New Roman" w:cs="Times New Roman"/>
          <w:sz w:val="28"/>
          <w:szCs w:val="28"/>
          <w:lang w:val="uk-UA"/>
        </w:rPr>
        <w:t>артер</w:t>
      </w:r>
      <w:r w:rsidR="0095249C" w:rsidRPr="007748DB">
        <w:rPr>
          <w:rFonts w:ascii="Times New Roman" w:hAnsi="Times New Roman" w:cs="Times New Roman"/>
          <w:sz w:val="28"/>
          <w:szCs w:val="28"/>
          <w:lang w:val="en-US"/>
        </w:rPr>
        <w:t>i</w:t>
      </w:r>
      <w:r w:rsidR="000F0FD1" w:rsidRPr="007748DB">
        <w:rPr>
          <w:rFonts w:ascii="Times New Roman" w:hAnsi="Times New Roman" w:cs="Times New Roman"/>
          <w:sz w:val="28"/>
          <w:szCs w:val="28"/>
          <w:lang w:val="uk-UA"/>
        </w:rPr>
        <w:t>альну</w:t>
      </w:r>
      <w:r w:rsidR="0095249C" w:rsidRPr="007748DB">
        <w:rPr>
          <w:rFonts w:ascii="Times New Roman" w:hAnsi="Times New Roman" w:cs="Times New Roman"/>
          <w:sz w:val="28"/>
          <w:szCs w:val="28"/>
          <w:lang w:val="uk-UA"/>
        </w:rPr>
        <w:t xml:space="preserve"> г</w:t>
      </w:r>
      <w:r w:rsidR="0095249C" w:rsidRPr="007748DB">
        <w:rPr>
          <w:rFonts w:ascii="Times New Roman" w:hAnsi="Times New Roman" w:cs="Times New Roman"/>
          <w:sz w:val="28"/>
          <w:szCs w:val="28"/>
          <w:lang w:val="en-US"/>
        </w:rPr>
        <w:t>i</w:t>
      </w:r>
      <w:r w:rsidR="0095249C" w:rsidRPr="007748DB">
        <w:rPr>
          <w:rFonts w:ascii="Times New Roman" w:hAnsi="Times New Roman" w:cs="Times New Roman"/>
          <w:sz w:val="28"/>
          <w:szCs w:val="28"/>
          <w:lang w:val="uk-UA"/>
        </w:rPr>
        <w:t>пертенз</w:t>
      </w:r>
      <w:r w:rsidR="0095249C" w:rsidRPr="007748DB">
        <w:rPr>
          <w:rFonts w:ascii="Times New Roman" w:hAnsi="Times New Roman" w:cs="Times New Roman"/>
          <w:sz w:val="28"/>
          <w:szCs w:val="28"/>
          <w:lang w:val="en-US"/>
        </w:rPr>
        <w:t>i</w:t>
      </w:r>
      <w:r w:rsidR="001B38C1" w:rsidRPr="007748DB">
        <w:rPr>
          <w:rFonts w:ascii="Times New Roman" w:hAnsi="Times New Roman" w:cs="Times New Roman"/>
          <w:sz w:val="28"/>
          <w:szCs w:val="28"/>
          <w:lang w:val="uk-UA"/>
        </w:rPr>
        <w:t xml:space="preserve">ю та </w:t>
      </w:r>
      <w:r w:rsidR="000F0FD1" w:rsidRPr="007748DB">
        <w:rPr>
          <w:rFonts w:ascii="Times New Roman" w:hAnsi="Times New Roman" w:cs="Times New Roman"/>
          <w:sz w:val="28"/>
          <w:szCs w:val="28"/>
          <w:lang w:val="uk-UA"/>
        </w:rPr>
        <w:t>цукровий</w:t>
      </w:r>
      <w:r w:rsidR="0095249C" w:rsidRPr="007748DB">
        <w:rPr>
          <w:rFonts w:ascii="Times New Roman" w:hAnsi="Times New Roman" w:cs="Times New Roman"/>
          <w:sz w:val="28"/>
          <w:szCs w:val="28"/>
          <w:lang w:val="uk-UA"/>
        </w:rPr>
        <w:t xml:space="preserve"> д</w:t>
      </w:r>
      <w:r w:rsidR="0095249C" w:rsidRPr="007748DB">
        <w:rPr>
          <w:rFonts w:ascii="Times New Roman" w:hAnsi="Times New Roman" w:cs="Times New Roman"/>
          <w:sz w:val="28"/>
          <w:szCs w:val="28"/>
          <w:lang w:val="en-US"/>
        </w:rPr>
        <w:t>i</w:t>
      </w:r>
      <w:r w:rsidR="000F0FD1" w:rsidRPr="007748DB">
        <w:rPr>
          <w:rFonts w:ascii="Times New Roman" w:hAnsi="Times New Roman" w:cs="Times New Roman"/>
          <w:sz w:val="28"/>
          <w:szCs w:val="28"/>
          <w:lang w:val="uk-UA"/>
        </w:rPr>
        <w:t>абет</w:t>
      </w:r>
      <w:r w:rsidR="002C65B3" w:rsidRPr="007748DB">
        <w:rPr>
          <w:rFonts w:ascii="Times New Roman" w:hAnsi="Times New Roman" w:cs="Times New Roman"/>
          <w:sz w:val="28"/>
          <w:szCs w:val="28"/>
          <w:lang w:val="uk-UA"/>
        </w:rPr>
        <w:t xml:space="preserve"> </w:t>
      </w:r>
      <w:r w:rsidR="00D019C2" w:rsidRPr="007748DB">
        <w:rPr>
          <w:rFonts w:ascii="Times New Roman" w:hAnsi="Times New Roman" w:cs="Times New Roman"/>
          <w:sz w:val="28"/>
          <w:szCs w:val="28"/>
          <w:lang w:val="uk-UA"/>
        </w:rPr>
        <w:t>2-го типу</w:t>
      </w:r>
      <w:r w:rsidR="001B38C1">
        <w:rPr>
          <w:rFonts w:ascii="Times New Roman" w:hAnsi="Times New Roman" w:cs="Times New Roman"/>
          <w:sz w:val="28"/>
          <w:szCs w:val="28"/>
          <w:lang w:val="uk-UA"/>
        </w:rPr>
        <w:t>………………………………………</w:t>
      </w:r>
      <w:r w:rsidR="000F0FD1">
        <w:rPr>
          <w:rFonts w:ascii="Times New Roman" w:hAnsi="Times New Roman" w:cs="Times New Roman"/>
          <w:sz w:val="28"/>
          <w:szCs w:val="28"/>
          <w:lang w:val="uk-UA"/>
        </w:rPr>
        <w:t>……………...</w:t>
      </w:r>
      <w:r w:rsidR="00F342A5">
        <w:rPr>
          <w:rFonts w:ascii="Times New Roman" w:hAnsi="Times New Roman" w:cs="Times New Roman"/>
          <w:sz w:val="28"/>
          <w:szCs w:val="28"/>
          <w:lang w:val="uk-UA"/>
        </w:rPr>
        <w:t>4</w:t>
      </w:r>
      <w:r w:rsidR="002704B2">
        <w:rPr>
          <w:rFonts w:ascii="Times New Roman" w:hAnsi="Times New Roman" w:cs="Times New Roman"/>
          <w:sz w:val="28"/>
          <w:szCs w:val="28"/>
          <w:lang w:val="uk-UA"/>
        </w:rPr>
        <w:t>4</w:t>
      </w:r>
    </w:p>
    <w:p w:rsidR="00B03D38" w:rsidRPr="00C97E83" w:rsidRDefault="00F77D47"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B03D38" w:rsidRPr="001B38C1">
        <w:rPr>
          <w:rFonts w:ascii="Times New Roman" w:hAnsi="Times New Roman" w:cs="Times New Roman"/>
          <w:sz w:val="28"/>
          <w:szCs w:val="28"/>
          <w:lang w:val="uk-UA"/>
        </w:rPr>
        <w:t>.</w:t>
      </w:r>
      <w:r w:rsidR="00B03D38" w:rsidRPr="00B03D38">
        <w:rPr>
          <w:rFonts w:ascii="Times New Roman" w:hAnsi="Times New Roman" w:cs="Times New Roman"/>
          <w:sz w:val="28"/>
          <w:szCs w:val="28"/>
          <w:lang w:val="uk-UA"/>
        </w:rPr>
        <w:t xml:space="preserve"> Медикаментозний вплив на ланки патогенезу </w:t>
      </w:r>
      <w:r w:rsidR="0095249C">
        <w:rPr>
          <w:rFonts w:ascii="Times New Roman" w:hAnsi="Times New Roman" w:cs="Times New Roman"/>
          <w:sz w:val="28"/>
          <w:szCs w:val="28"/>
          <w:lang w:val="uk-UA"/>
        </w:rPr>
        <w:t>артер</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альної г</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пертенз</w:t>
      </w:r>
      <w:r w:rsidR="0095249C">
        <w:rPr>
          <w:rFonts w:ascii="Times New Roman" w:hAnsi="Times New Roman" w:cs="Times New Roman"/>
          <w:sz w:val="28"/>
          <w:szCs w:val="28"/>
          <w:lang w:val="en-US"/>
        </w:rPr>
        <w:t>i</w:t>
      </w:r>
      <w:r w:rsidR="001B38C1" w:rsidRPr="00C973CC">
        <w:rPr>
          <w:rFonts w:ascii="Times New Roman" w:hAnsi="Times New Roman" w:cs="Times New Roman"/>
          <w:sz w:val="28"/>
          <w:szCs w:val="28"/>
          <w:lang w:val="uk-UA"/>
        </w:rPr>
        <w:t>ї</w:t>
      </w:r>
      <w:r w:rsidR="0095249C">
        <w:rPr>
          <w:rFonts w:ascii="Times New Roman" w:hAnsi="Times New Roman" w:cs="Times New Roman"/>
          <w:sz w:val="28"/>
          <w:szCs w:val="28"/>
          <w:lang w:val="uk-UA"/>
        </w:rPr>
        <w:t xml:space="preserve"> </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з супутн</w:t>
      </w:r>
      <w:r w:rsidR="0095249C">
        <w:rPr>
          <w:rFonts w:ascii="Times New Roman" w:hAnsi="Times New Roman" w:cs="Times New Roman"/>
          <w:sz w:val="28"/>
          <w:szCs w:val="28"/>
          <w:lang w:val="en-US"/>
        </w:rPr>
        <w:t>i</w:t>
      </w:r>
      <w:r w:rsidR="001B38C1">
        <w:rPr>
          <w:rFonts w:ascii="Times New Roman" w:hAnsi="Times New Roman" w:cs="Times New Roman"/>
          <w:sz w:val="28"/>
          <w:szCs w:val="28"/>
          <w:lang w:val="uk-UA"/>
        </w:rPr>
        <w:t>м</w:t>
      </w:r>
      <w:r w:rsidR="001B38C1" w:rsidRPr="00B03D38">
        <w:rPr>
          <w:rFonts w:ascii="Times New Roman" w:hAnsi="Times New Roman" w:cs="Times New Roman"/>
          <w:sz w:val="28"/>
          <w:szCs w:val="28"/>
          <w:lang w:val="uk-UA"/>
        </w:rPr>
        <w:t xml:space="preserve"> </w:t>
      </w:r>
      <w:r w:rsidR="0095249C">
        <w:rPr>
          <w:rFonts w:ascii="Times New Roman" w:hAnsi="Times New Roman" w:cs="Times New Roman"/>
          <w:sz w:val="28"/>
          <w:szCs w:val="28"/>
          <w:lang w:val="uk-UA"/>
        </w:rPr>
        <w:t>цукровим д</w:t>
      </w:r>
      <w:r w:rsidR="0095249C">
        <w:rPr>
          <w:rFonts w:ascii="Times New Roman" w:hAnsi="Times New Roman" w:cs="Times New Roman"/>
          <w:sz w:val="28"/>
          <w:szCs w:val="28"/>
          <w:lang w:val="en-US"/>
        </w:rPr>
        <w:t>i</w:t>
      </w:r>
      <w:r w:rsidR="001B38C1">
        <w:rPr>
          <w:rFonts w:ascii="Times New Roman" w:hAnsi="Times New Roman" w:cs="Times New Roman"/>
          <w:sz w:val="28"/>
          <w:szCs w:val="28"/>
          <w:lang w:val="uk-UA"/>
        </w:rPr>
        <w:t xml:space="preserve">абетом </w:t>
      </w:r>
      <w:r w:rsidR="00B03D38" w:rsidRPr="00B03D38">
        <w:rPr>
          <w:rFonts w:ascii="Times New Roman" w:hAnsi="Times New Roman" w:cs="Times New Roman"/>
          <w:sz w:val="28"/>
          <w:szCs w:val="28"/>
          <w:lang w:val="uk-UA"/>
        </w:rPr>
        <w:t>2</w:t>
      </w:r>
      <w:r w:rsidR="008A013C">
        <w:rPr>
          <w:rFonts w:ascii="Times New Roman" w:hAnsi="Times New Roman" w:cs="Times New Roman"/>
          <w:sz w:val="28"/>
          <w:szCs w:val="28"/>
          <w:lang w:val="uk-UA"/>
        </w:rPr>
        <w:t>-го</w:t>
      </w:r>
      <w:r w:rsidR="001B38C1">
        <w:rPr>
          <w:rFonts w:ascii="Times New Roman" w:hAnsi="Times New Roman" w:cs="Times New Roman"/>
          <w:sz w:val="28"/>
          <w:szCs w:val="28"/>
          <w:lang w:val="uk-UA"/>
        </w:rPr>
        <w:t xml:space="preserve"> типу……………….</w:t>
      </w:r>
      <w:r w:rsidR="005C1405">
        <w:rPr>
          <w:rFonts w:ascii="Times New Roman" w:hAnsi="Times New Roman" w:cs="Times New Roman"/>
          <w:sz w:val="28"/>
          <w:szCs w:val="28"/>
          <w:lang w:val="uk-UA"/>
        </w:rPr>
        <w:t>.</w:t>
      </w:r>
      <w:r w:rsidR="00107656" w:rsidRPr="001B38C1">
        <w:rPr>
          <w:rFonts w:ascii="Times New Roman" w:hAnsi="Times New Roman" w:cs="Times New Roman"/>
          <w:sz w:val="28"/>
          <w:szCs w:val="28"/>
          <w:lang w:val="uk-UA"/>
        </w:rPr>
        <w:t>……………………</w:t>
      </w:r>
      <w:r w:rsidR="008A013C" w:rsidRPr="001B38C1">
        <w:rPr>
          <w:rFonts w:ascii="Times New Roman" w:hAnsi="Times New Roman" w:cs="Times New Roman"/>
          <w:sz w:val="28"/>
          <w:szCs w:val="28"/>
          <w:lang w:val="uk-UA"/>
        </w:rPr>
        <w:t>…</w:t>
      </w:r>
      <w:r w:rsidR="000F0E63">
        <w:rPr>
          <w:rFonts w:ascii="Times New Roman" w:hAnsi="Times New Roman" w:cs="Times New Roman"/>
          <w:sz w:val="28"/>
          <w:szCs w:val="28"/>
          <w:lang w:val="uk-UA"/>
        </w:rPr>
        <w:t>49</w:t>
      </w:r>
    </w:p>
    <w:p w:rsidR="00A03291" w:rsidRPr="00A03291" w:rsidRDefault="0095249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РОЗДІЛ 2.  МАТЕР</w:t>
      </w:r>
      <w:r>
        <w:rPr>
          <w:rFonts w:ascii="Times New Roman" w:hAnsi="Times New Roman" w:cs="Times New Roman"/>
          <w:sz w:val="28"/>
          <w:szCs w:val="28"/>
          <w:lang w:val="en-US"/>
        </w:rPr>
        <w:t>I</w:t>
      </w:r>
      <w:r w:rsidR="00BE4FA7">
        <w:rPr>
          <w:rFonts w:ascii="Times New Roman" w:hAnsi="Times New Roman" w:cs="Times New Roman"/>
          <w:sz w:val="28"/>
          <w:szCs w:val="28"/>
          <w:lang w:val="uk-UA"/>
        </w:rPr>
        <w:t>ЛИ</w:t>
      </w:r>
      <w:r w:rsidR="00107656">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МЕТОДИ ДОСЛ</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ДЖЕННЯ</w:t>
      </w:r>
    </w:p>
    <w:p w:rsidR="00A03291" w:rsidRPr="00A03291" w:rsidRDefault="00A03291" w:rsidP="00A03291">
      <w:pPr>
        <w:spacing w:after="0" w:line="360" w:lineRule="auto"/>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2.1.</w:t>
      </w:r>
      <w:r w:rsidR="0095249C">
        <w:rPr>
          <w:rFonts w:ascii="Times New Roman" w:hAnsi="Times New Roman" w:cs="Times New Roman"/>
          <w:sz w:val="28"/>
          <w:szCs w:val="28"/>
          <w:lang w:val="uk-UA"/>
        </w:rPr>
        <w:t xml:space="preserve"> Кл</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н</w:t>
      </w:r>
      <w:r w:rsidR="0095249C">
        <w:rPr>
          <w:rFonts w:ascii="Times New Roman" w:hAnsi="Times New Roman" w:cs="Times New Roman"/>
          <w:sz w:val="28"/>
          <w:szCs w:val="28"/>
          <w:lang w:val="en-US"/>
        </w:rPr>
        <w:t>i</w:t>
      </w:r>
      <w:r w:rsidR="00002D96">
        <w:rPr>
          <w:rFonts w:ascii="Times New Roman" w:hAnsi="Times New Roman" w:cs="Times New Roman"/>
          <w:sz w:val="28"/>
          <w:szCs w:val="28"/>
          <w:lang w:val="uk-UA"/>
        </w:rPr>
        <w:t>чна</w:t>
      </w:r>
      <w:r w:rsidR="00002D96" w:rsidRPr="000F0E63">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характеристика обстежених хворих …..................................</w:t>
      </w:r>
      <w:r w:rsidR="000A79FC" w:rsidRPr="000F0E63">
        <w:rPr>
          <w:rFonts w:ascii="Times New Roman" w:hAnsi="Times New Roman" w:cs="Times New Roman"/>
          <w:sz w:val="28"/>
          <w:szCs w:val="28"/>
          <w:lang w:val="uk-UA"/>
        </w:rPr>
        <w:t>......</w:t>
      </w:r>
      <w:r w:rsidR="007B67E1">
        <w:rPr>
          <w:rFonts w:ascii="Times New Roman" w:hAnsi="Times New Roman" w:cs="Times New Roman"/>
          <w:sz w:val="28"/>
          <w:szCs w:val="28"/>
          <w:lang w:val="uk-UA"/>
        </w:rPr>
        <w:t>5</w:t>
      </w:r>
      <w:r w:rsidR="000F0E63">
        <w:rPr>
          <w:rFonts w:ascii="Times New Roman" w:hAnsi="Times New Roman" w:cs="Times New Roman"/>
          <w:sz w:val="28"/>
          <w:szCs w:val="28"/>
          <w:lang w:val="uk-UA"/>
        </w:rPr>
        <w:t>6</w:t>
      </w:r>
      <w:r w:rsidRPr="00A03291">
        <w:rPr>
          <w:rFonts w:ascii="Times New Roman" w:hAnsi="Times New Roman" w:cs="Times New Roman"/>
          <w:sz w:val="28"/>
          <w:szCs w:val="28"/>
          <w:lang w:val="uk-UA"/>
        </w:rPr>
        <w:t xml:space="preserve"> </w:t>
      </w:r>
    </w:p>
    <w:p w:rsidR="00857300" w:rsidRPr="00C97E83" w:rsidRDefault="00876C0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E018F6">
        <w:rPr>
          <w:rFonts w:ascii="Times New Roman" w:hAnsi="Times New Roman" w:cs="Times New Roman"/>
          <w:sz w:val="28"/>
          <w:szCs w:val="28"/>
          <w:lang w:val="uk-UA"/>
        </w:rPr>
        <w:t xml:space="preserve"> </w:t>
      </w:r>
      <w:r w:rsidR="00002D96">
        <w:rPr>
          <w:rFonts w:ascii="Times New Roman" w:hAnsi="Times New Roman" w:cs="Times New Roman"/>
          <w:sz w:val="28"/>
          <w:szCs w:val="28"/>
          <w:lang w:val="uk-UA"/>
        </w:rPr>
        <w:t>Методи</w:t>
      </w:r>
      <w:r w:rsidR="00002D96" w:rsidRPr="00002D96">
        <w:rPr>
          <w:rFonts w:ascii="Times New Roman" w:hAnsi="Times New Roman" w:cs="Times New Roman"/>
          <w:color w:val="FFFFFF" w:themeColor="background1"/>
          <w:sz w:val="28"/>
          <w:szCs w:val="28"/>
          <w:lang w:val="en-US"/>
        </w:rPr>
        <w:t>o</w:t>
      </w:r>
      <w:r w:rsidR="0095249C">
        <w:rPr>
          <w:rFonts w:ascii="Times New Roman" w:hAnsi="Times New Roman" w:cs="Times New Roman"/>
          <w:sz w:val="28"/>
          <w:szCs w:val="28"/>
          <w:lang w:val="uk-UA"/>
        </w:rPr>
        <w:t>досл</w:t>
      </w:r>
      <w:r w:rsidR="0095249C">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дження .................................................</w:t>
      </w:r>
      <w:r w:rsidR="00303710">
        <w:rPr>
          <w:rFonts w:ascii="Times New Roman" w:hAnsi="Times New Roman" w:cs="Times New Roman"/>
          <w:sz w:val="28"/>
          <w:szCs w:val="28"/>
          <w:lang w:val="uk-UA"/>
        </w:rPr>
        <w:t>............................</w:t>
      </w:r>
      <w:r w:rsidR="005C1405">
        <w:rPr>
          <w:rFonts w:ascii="Times New Roman" w:hAnsi="Times New Roman" w:cs="Times New Roman"/>
          <w:sz w:val="28"/>
          <w:szCs w:val="28"/>
          <w:lang w:val="uk-UA"/>
        </w:rPr>
        <w:t>.....</w:t>
      </w:r>
      <w:r w:rsidR="00303710">
        <w:rPr>
          <w:rFonts w:ascii="Times New Roman" w:hAnsi="Times New Roman" w:cs="Times New Roman"/>
          <w:sz w:val="28"/>
          <w:szCs w:val="28"/>
          <w:lang w:val="uk-UA"/>
        </w:rPr>
        <w:t>..</w:t>
      </w:r>
      <w:r w:rsidR="00BF7148">
        <w:rPr>
          <w:rFonts w:ascii="Times New Roman" w:hAnsi="Times New Roman" w:cs="Times New Roman"/>
          <w:sz w:val="28"/>
          <w:szCs w:val="28"/>
          <w:lang w:val="uk-UA"/>
        </w:rPr>
        <w:t>6</w:t>
      </w:r>
      <w:r w:rsidR="000F0E63">
        <w:rPr>
          <w:rFonts w:ascii="Times New Roman" w:hAnsi="Times New Roman" w:cs="Times New Roman"/>
          <w:sz w:val="28"/>
          <w:szCs w:val="28"/>
          <w:lang w:val="uk-UA"/>
        </w:rPr>
        <w:t>3</w:t>
      </w:r>
    </w:p>
    <w:p w:rsidR="00A03291" w:rsidRPr="00A03291" w:rsidRDefault="0095249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w:t>
      </w:r>
      <w:r>
        <w:rPr>
          <w:rFonts w:ascii="Times New Roman" w:hAnsi="Times New Roman" w:cs="Times New Roman"/>
          <w:sz w:val="28"/>
          <w:szCs w:val="28"/>
          <w:lang w:val="en-US"/>
        </w:rPr>
        <w:t>I</w:t>
      </w:r>
      <w:r w:rsidR="00F77D47">
        <w:rPr>
          <w:rFonts w:ascii="Times New Roman" w:hAnsi="Times New Roman" w:cs="Times New Roman"/>
          <w:sz w:val="28"/>
          <w:szCs w:val="28"/>
          <w:lang w:val="uk-UA"/>
        </w:rPr>
        <w:t>Л 3</w:t>
      </w:r>
      <w:r>
        <w:rPr>
          <w:rFonts w:ascii="Times New Roman" w:hAnsi="Times New Roman" w:cs="Times New Roman"/>
          <w:sz w:val="28"/>
          <w:szCs w:val="28"/>
          <w:lang w:val="uk-UA"/>
        </w:rPr>
        <w:t>. ПОКАЗНИКИ 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ДНОГО ОБМ</w:t>
      </w:r>
      <w:r>
        <w:rPr>
          <w:rFonts w:ascii="Times New Roman" w:hAnsi="Times New Roman" w:cs="Times New Roman"/>
          <w:sz w:val="28"/>
          <w:szCs w:val="28"/>
          <w:lang w:val="en-US"/>
        </w:rPr>
        <w:t>I</w:t>
      </w:r>
      <w:r w:rsidR="004C032B">
        <w:rPr>
          <w:rFonts w:ascii="Times New Roman" w:hAnsi="Times New Roman" w:cs="Times New Roman"/>
          <w:sz w:val="28"/>
          <w:szCs w:val="28"/>
          <w:lang w:val="uk-UA"/>
        </w:rPr>
        <w:t>НУ</w:t>
      </w:r>
      <w:r w:rsidR="00107656">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sidR="004E164F">
        <w:rPr>
          <w:rFonts w:ascii="Times New Roman" w:hAnsi="Times New Roman" w:cs="Times New Roman"/>
          <w:sz w:val="28"/>
          <w:szCs w:val="28"/>
          <w:lang w:val="uk-UA"/>
        </w:rPr>
        <w:t xml:space="preserve">В </w:t>
      </w:r>
      <w:r w:rsidR="000F0FD1">
        <w:rPr>
          <w:rFonts w:ascii="Times New Roman" w:hAnsi="Times New Roman" w:cs="Times New Roman"/>
          <w:sz w:val="28"/>
          <w:szCs w:val="28"/>
          <w:lang w:val="uk-UA"/>
        </w:rPr>
        <w:t>І</w:t>
      </w:r>
      <w:r w:rsidR="00A03291" w:rsidRPr="00A03291">
        <w:rPr>
          <w:rFonts w:ascii="Times New Roman" w:hAnsi="Times New Roman" w:cs="Times New Roman"/>
          <w:sz w:val="28"/>
          <w:szCs w:val="28"/>
          <w:lang w:val="uk-UA"/>
        </w:rPr>
        <w:t xml:space="preserve">З </w:t>
      </w:r>
      <w:r>
        <w:rPr>
          <w:rFonts w:ascii="Times New Roman" w:hAnsi="Times New Roman" w:cs="Times New Roman"/>
          <w:sz w:val="28"/>
          <w:szCs w:val="28"/>
          <w:lang w:val="uk-UA"/>
        </w:rPr>
        <w:t>АРТЕР</w:t>
      </w:r>
      <w:r>
        <w:rPr>
          <w:rFonts w:ascii="Times New Roman" w:hAnsi="Times New Roman" w:cs="Times New Roman"/>
          <w:sz w:val="28"/>
          <w:szCs w:val="28"/>
          <w:lang w:val="en-US"/>
        </w:rPr>
        <w:t>I</w:t>
      </w:r>
      <w:r>
        <w:rPr>
          <w:rFonts w:ascii="Times New Roman" w:hAnsi="Times New Roman" w:cs="Times New Roman"/>
          <w:sz w:val="28"/>
          <w:szCs w:val="28"/>
          <w:lang w:val="uk-UA"/>
        </w:rPr>
        <w:t>АЛЬНОЮ Г</w:t>
      </w:r>
      <w:r>
        <w:rPr>
          <w:rFonts w:ascii="Times New Roman" w:hAnsi="Times New Roman" w:cs="Times New Roman"/>
          <w:sz w:val="28"/>
          <w:szCs w:val="28"/>
          <w:lang w:val="en-US"/>
        </w:rPr>
        <w:t>I</w:t>
      </w:r>
      <w:r>
        <w:rPr>
          <w:rFonts w:ascii="Times New Roman" w:hAnsi="Times New Roman" w:cs="Times New Roman"/>
          <w:sz w:val="28"/>
          <w:szCs w:val="28"/>
          <w:lang w:val="uk-UA"/>
        </w:rPr>
        <w:t>ПЕРТЕНЗ</w:t>
      </w:r>
      <w:r>
        <w:rPr>
          <w:rFonts w:ascii="Times New Roman" w:hAnsi="Times New Roman" w:cs="Times New Roman"/>
          <w:sz w:val="28"/>
          <w:szCs w:val="28"/>
          <w:lang w:val="en-US"/>
        </w:rPr>
        <w:t>I</w:t>
      </w:r>
      <w:r w:rsidR="004E164F">
        <w:rPr>
          <w:rFonts w:ascii="Times New Roman" w:hAnsi="Times New Roman" w:cs="Times New Roman"/>
          <w:sz w:val="28"/>
          <w:szCs w:val="28"/>
          <w:lang w:val="uk-UA"/>
        </w:rPr>
        <w:t xml:space="preserve">ЄЮ </w:t>
      </w:r>
      <w:r w:rsidR="001B38C1">
        <w:rPr>
          <w:rFonts w:ascii="Times New Roman" w:hAnsi="Times New Roman" w:cs="Times New Roman"/>
          <w:sz w:val="28"/>
          <w:szCs w:val="28"/>
          <w:lang w:val="uk-UA"/>
        </w:rPr>
        <w:t xml:space="preserve">ТА </w:t>
      </w:r>
      <w:r>
        <w:rPr>
          <w:rFonts w:ascii="Times New Roman" w:hAnsi="Times New Roman" w:cs="Times New Roman"/>
          <w:sz w:val="28"/>
          <w:szCs w:val="28"/>
          <w:lang w:val="uk-UA"/>
        </w:rPr>
        <w:t>ЦУКРОВИМ Д</w:t>
      </w:r>
      <w:r>
        <w:rPr>
          <w:rFonts w:ascii="Times New Roman" w:hAnsi="Times New Roman" w:cs="Times New Roman"/>
          <w:sz w:val="28"/>
          <w:szCs w:val="28"/>
          <w:lang w:val="en-US"/>
        </w:rPr>
        <w:t>I</w:t>
      </w:r>
      <w:r w:rsidR="004E164F">
        <w:rPr>
          <w:rFonts w:ascii="Times New Roman" w:hAnsi="Times New Roman" w:cs="Times New Roman"/>
          <w:sz w:val="28"/>
          <w:szCs w:val="28"/>
          <w:lang w:val="uk-UA"/>
        </w:rPr>
        <w:t xml:space="preserve">АБЕТОМ </w:t>
      </w:r>
      <w:r w:rsidR="003F5403" w:rsidRPr="003F5403">
        <w:rPr>
          <w:rFonts w:ascii="Times New Roman" w:hAnsi="Times New Roman" w:cs="Times New Roman"/>
          <w:sz w:val="28"/>
          <w:szCs w:val="28"/>
          <w:lang w:val="uk-UA"/>
        </w:rPr>
        <w:t xml:space="preserve">                 </w:t>
      </w:r>
      <w:r w:rsidR="00A03291" w:rsidRPr="00A03291">
        <w:rPr>
          <w:rFonts w:ascii="Times New Roman" w:hAnsi="Times New Roman" w:cs="Times New Roman"/>
          <w:sz w:val="28"/>
          <w:szCs w:val="28"/>
          <w:lang w:val="uk-UA"/>
        </w:rPr>
        <w:t>2</w:t>
      </w:r>
      <w:r w:rsidR="008A013C">
        <w:rPr>
          <w:rFonts w:ascii="Times New Roman" w:hAnsi="Times New Roman" w:cs="Times New Roman"/>
          <w:sz w:val="28"/>
          <w:szCs w:val="28"/>
          <w:lang w:val="uk-UA"/>
        </w:rPr>
        <w:t>-ГО</w:t>
      </w:r>
      <w:r w:rsidR="00A03291" w:rsidRPr="00A03291">
        <w:rPr>
          <w:rFonts w:ascii="Times New Roman" w:hAnsi="Times New Roman" w:cs="Times New Roman"/>
          <w:sz w:val="28"/>
          <w:szCs w:val="28"/>
          <w:lang w:val="uk-UA"/>
        </w:rPr>
        <w:t xml:space="preserve"> ТИ</w:t>
      </w:r>
      <w:r w:rsidR="001B38C1">
        <w:rPr>
          <w:rFonts w:ascii="Times New Roman" w:hAnsi="Times New Roman" w:cs="Times New Roman"/>
          <w:sz w:val="28"/>
          <w:szCs w:val="28"/>
          <w:lang w:val="uk-UA"/>
        </w:rPr>
        <w:t>ПУ</w:t>
      </w:r>
    </w:p>
    <w:p w:rsidR="00A03291" w:rsidRPr="00C97E8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B3BB7">
        <w:rPr>
          <w:rFonts w:ascii="Times New Roman" w:hAnsi="Times New Roman" w:cs="Times New Roman"/>
          <w:sz w:val="28"/>
          <w:szCs w:val="28"/>
          <w:lang w:val="uk-UA"/>
        </w:rPr>
        <w:t>.1.</w:t>
      </w:r>
      <w:r w:rsidR="00E018F6">
        <w:rPr>
          <w:rFonts w:ascii="Times New Roman" w:hAnsi="Times New Roman" w:cs="Times New Roman"/>
          <w:sz w:val="28"/>
          <w:szCs w:val="28"/>
          <w:lang w:val="uk-UA"/>
        </w:rPr>
        <w:t xml:space="preserve"> </w:t>
      </w:r>
      <w:r w:rsidR="005F1092" w:rsidRPr="005F1092">
        <w:rPr>
          <w:rFonts w:ascii="Times New Roman" w:hAnsi="Times New Roman" w:cs="Times New Roman"/>
          <w:sz w:val="28"/>
          <w:szCs w:val="28"/>
          <w:lang w:val="uk-UA"/>
        </w:rPr>
        <w:t xml:space="preserve">Особливості </w:t>
      </w:r>
      <w:r w:rsidR="0095249C">
        <w:rPr>
          <w:rFonts w:ascii="Times New Roman" w:hAnsi="Times New Roman" w:cs="Times New Roman"/>
          <w:sz w:val="28"/>
          <w:szCs w:val="28"/>
          <w:lang w:val="uk-UA"/>
        </w:rPr>
        <w:t>л</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дного обм</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ну в пац</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єнт</w:t>
      </w:r>
      <w:r w:rsidR="0095249C">
        <w:rPr>
          <w:rFonts w:ascii="Times New Roman" w:hAnsi="Times New Roman" w:cs="Times New Roman"/>
          <w:sz w:val="28"/>
          <w:szCs w:val="28"/>
          <w:lang w:val="en-US"/>
        </w:rPr>
        <w:t>i</w:t>
      </w:r>
      <w:r w:rsidR="00E459EA">
        <w:rPr>
          <w:rFonts w:ascii="Times New Roman" w:hAnsi="Times New Roman" w:cs="Times New Roman"/>
          <w:sz w:val="28"/>
          <w:szCs w:val="28"/>
          <w:lang w:val="uk-UA"/>
        </w:rPr>
        <w:t xml:space="preserve">в </w:t>
      </w:r>
      <w:r w:rsidR="000F0FD1">
        <w:rPr>
          <w:rFonts w:ascii="Times New Roman" w:hAnsi="Times New Roman" w:cs="Times New Roman"/>
          <w:sz w:val="28"/>
          <w:szCs w:val="28"/>
          <w:lang w:val="uk-UA"/>
        </w:rPr>
        <w:t>і</w:t>
      </w:r>
      <w:r w:rsidR="0095249C">
        <w:rPr>
          <w:rFonts w:ascii="Times New Roman" w:hAnsi="Times New Roman" w:cs="Times New Roman"/>
          <w:sz w:val="28"/>
          <w:szCs w:val="28"/>
          <w:lang w:val="uk-UA"/>
        </w:rPr>
        <w:t>з артер</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альною г</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пертенз</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єю та цукровим д</w:t>
      </w:r>
      <w:r w:rsidR="0095249C">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абетом 2</w:t>
      </w:r>
      <w:r w:rsidR="008A013C" w:rsidRPr="008A013C">
        <w:rPr>
          <w:rFonts w:ascii="Times New Roman" w:hAnsi="Times New Roman" w:cs="Times New Roman"/>
          <w:sz w:val="28"/>
          <w:szCs w:val="28"/>
          <w:lang w:val="uk-UA"/>
        </w:rPr>
        <w:t>-</w:t>
      </w:r>
      <w:r w:rsidR="008A013C">
        <w:rPr>
          <w:rFonts w:ascii="Times New Roman" w:hAnsi="Times New Roman" w:cs="Times New Roman"/>
          <w:sz w:val="28"/>
          <w:szCs w:val="28"/>
          <w:lang w:val="uk-UA"/>
        </w:rPr>
        <w:t>го</w:t>
      </w:r>
      <w:r w:rsidR="00A03291" w:rsidRPr="00A03291">
        <w:rPr>
          <w:rFonts w:ascii="Times New Roman" w:hAnsi="Times New Roman" w:cs="Times New Roman"/>
          <w:sz w:val="28"/>
          <w:szCs w:val="28"/>
          <w:lang w:val="uk-UA"/>
        </w:rPr>
        <w:t xml:space="preserve"> типу……………………………</w:t>
      </w:r>
      <w:r w:rsidR="005C1405">
        <w:rPr>
          <w:rFonts w:ascii="Times New Roman" w:hAnsi="Times New Roman" w:cs="Times New Roman"/>
          <w:sz w:val="28"/>
          <w:szCs w:val="28"/>
          <w:lang w:val="uk-UA"/>
        </w:rPr>
        <w:t>.</w:t>
      </w:r>
      <w:r w:rsidR="0068539B">
        <w:rPr>
          <w:rFonts w:ascii="Times New Roman" w:hAnsi="Times New Roman" w:cs="Times New Roman"/>
          <w:sz w:val="28"/>
          <w:szCs w:val="28"/>
          <w:lang w:val="uk-UA"/>
        </w:rPr>
        <w:t>.</w:t>
      </w:r>
      <w:r w:rsidR="00A03291" w:rsidRPr="00A03291">
        <w:rPr>
          <w:rFonts w:ascii="Times New Roman" w:hAnsi="Times New Roman" w:cs="Times New Roman"/>
          <w:sz w:val="28"/>
          <w:szCs w:val="28"/>
          <w:lang w:val="uk-UA"/>
        </w:rPr>
        <w:t>…</w:t>
      </w:r>
      <w:r w:rsidR="005F1092">
        <w:rPr>
          <w:rFonts w:ascii="Times New Roman" w:hAnsi="Times New Roman" w:cs="Times New Roman"/>
          <w:sz w:val="28"/>
          <w:szCs w:val="28"/>
          <w:lang w:val="uk-UA"/>
        </w:rPr>
        <w:t>………………….</w:t>
      </w:r>
      <w:r w:rsidR="00C97E83">
        <w:rPr>
          <w:rFonts w:ascii="Times New Roman" w:hAnsi="Times New Roman" w:cs="Times New Roman"/>
          <w:sz w:val="28"/>
          <w:szCs w:val="28"/>
          <w:lang w:val="uk-UA"/>
        </w:rPr>
        <w:t>7</w:t>
      </w:r>
      <w:r w:rsidR="000F0E63">
        <w:rPr>
          <w:rFonts w:ascii="Times New Roman" w:hAnsi="Times New Roman" w:cs="Times New Roman"/>
          <w:sz w:val="28"/>
          <w:szCs w:val="28"/>
          <w:lang w:val="uk-UA"/>
        </w:rPr>
        <w:t>2</w:t>
      </w:r>
    </w:p>
    <w:p w:rsidR="00A03291" w:rsidRPr="00C97E8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B3BB7" w:rsidRPr="008B3BB7">
        <w:rPr>
          <w:rFonts w:ascii="Times New Roman" w:hAnsi="Times New Roman" w:cs="Times New Roman"/>
          <w:sz w:val="28"/>
          <w:szCs w:val="28"/>
          <w:lang w:val="uk-UA"/>
        </w:rPr>
        <w:t>.</w:t>
      </w:r>
      <w:r w:rsidR="008B3BB7">
        <w:rPr>
          <w:rFonts w:ascii="Times New Roman" w:hAnsi="Times New Roman" w:cs="Times New Roman"/>
          <w:sz w:val="28"/>
          <w:szCs w:val="28"/>
          <w:lang w:val="uk-UA"/>
        </w:rPr>
        <w:t>2</w:t>
      </w:r>
      <w:r w:rsidR="008B3BB7" w:rsidRPr="008B3BB7">
        <w:rPr>
          <w:rFonts w:ascii="Times New Roman" w:hAnsi="Times New Roman" w:cs="Times New Roman"/>
          <w:sz w:val="28"/>
          <w:szCs w:val="28"/>
          <w:lang w:val="uk-UA"/>
        </w:rPr>
        <w:t xml:space="preserve">. </w:t>
      </w:r>
      <w:r w:rsidR="0095249C">
        <w:rPr>
          <w:rFonts w:ascii="Times New Roman" w:hAnsi="Times New Roman" w:cs="Times New Roman"/>
          <w:sz w:val="28"/>
          <w:szCs w:val="28"/>
          <w:lang w:val="uk-UA"/>
        </w:rPr>
        <w:t>Досл</w:t>
      </w:r>
      <w:r w:rsidR="0095249C">
        <w:rPr>
          <w:rFonts w:ascii="Times New Roman" w:hAnsi="Times New Roman" w:cs="Times New Roman"/>
          <w:sz w:val="28"/>
          <w:szCs w:val="28"/>
          <w:lang w:val="en-US"/>
        </w:rPr>
        <w:t>i</w:t>
      </w:r>
      <w:r w:rsidR="0067631F">
        <w:rPr>
          <w:rFonts w:ascii="Times New Roman" w:hAnsi="Times New Roman" w:cs="Times New Roman"/>
          <w:sz w:val="28"/>
          <w:szCs w:val="28"/>
          <w:lang w:val="uk-UA"/>
        </w:rPr>
        <w:t xml:space="preserve">дження </w:t>
      </w:r>
      <w:r w:rsidR="0095249C">
        <w:rPr>
          <w:rFonts w:ascii="Times New Roman" w:hAnsi="Times New Roman" w:cs="Times New Roman"/>
          <w:sz w:val="28"/>
          <w:szCs w:val="28"/>
          <w:lang w:val="uk-UA"/>
        </w:rPr>
        <w:t>зв’язку м</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 xml:space="preserve">ж </w:t>
      </w:r>
      <w:r w:rsidR="000F0FD1">
        <w:rPr>
          <w:rFonts w:ascii="Times New Roman" w:hAnsi="Times New Roman" w:cs="Times New Roman"/>
          <w:sz w:val="28"/>
          <w:szCs w:val="28"/>
          <w:lang w:val="uk-UA"/>
        </w:rPr>
        <w:t xml:space="preserve">вмістом </w:t>
      </w:r>
      <w:r w:rsidR="0095249C">
        <w:rPr>
          <w:rFonts w:ascii="Times New Roman" w:hAnsi="Times New Roman" w:cs="Times New Roman"/>
          <w:sz w:val="28"/>
          <w:szCs w:val="28"/>
          <w:lang w:val="uk-UA"/>
        </w:rPr>
        <w:t>гл</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козильованого гемоглоб</w:t>
      </w:r>
      <w:r w:rsidR="0095249C">
        <w:rPr>
          <w:rFonts w:ascii="Times New Roman" w:hAnsi="Times New Roman" w:cs="Times New Roman"/>
          <w:sz w:val="28"/>
          <w:szCs w:val="28"/>
          <w:lang w:val="en-US"/>
        </w:rPr>
        <w:t>i</w:t>
      </w:r>
      <w:r w:rsidR="0067631F">
        <w:rPr>
          <w:rFonts w:ascii="Times New Roman" w:hAnsi="Times New Roman" w:cs="Times New Roman"/>
          <w:sz w:val="28"/>
          <w:szCs w:val="28"/>
          <w:lang w:val="uk-UA"/>
        </w:rPr>
        <w:t>ну</w:t>
      </w:r>
      <w:r w:rsidR="0067631F" w:rsidRPr="0067631F">
        <w:rPr>
          <w:rFonts w:ascii="Times New Roman" w:hAnsi="Times New Roman" w:cs="Times New Roman"/>
          <w:sz w:val="28"/>
          <w:szCs w:val="28"/>
          <w:lang w:val="uk-UA"/>
        </w:rPr>
        <w:t xml:space="preserve"> </w:t>
      </w:r>
      <w:r w:rsidR="00E459EA">
        <w:rPr>
          <w:rFonts w:ascii="Times New Roman" w:hAnsi="Times New Roman" w:cs="Times New Roman"/>
          <w:sz w:val="28"/>
          <w:szCs w:val="28"/>
          <w:lang w:val="uk-UA"/>
        </w:rPr>
        <w:t>та п</w:t>
      </w:r>
      <w:r w:rsidR="0095249C">
        <w:rPr>
          <w:rFonts w:ascii="Times New Roman" w:hAnsi="Times New Roman" w:cs="Times New Roman"/>
          <w:sz w:val="28"/>
          <w:szCs w:val="28"/>
          <w:lang w:val="uk-UA"/>
        </w:rPr>
        <w:t>оказниками л</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w:t>
      </w:r>
      <w:r w:rsidR="0095249C">
        <w:rPr>
          <w:rFonts w:ascii="Times New Roman" w:hAnsi="Times New Roman" w:cs="Times New Roman"/>
          <w:sz w:val="28"/>
          <w:szCs w:val="28"/>
          <w:lang w:val="en-US"/>
        </w:rPr>
        <w:t>i</w:t>
      </w:r>
      <w:r w:rsidR="00E459EA">
        <w:rPr>
          <w:rFonts w:ascii="Times New Roman" w:hAnsi="Times New Roman" w:cs="Times New Roman"/>
          <w:sz w:val="28"/>
          <w:szCs w:val="28"/>
          <w:lang w:val="uk-UA"/>
        </w:rPr>
        <w:t>дного спектра</w:t>
      </w:r>
      <w:r w:rsidR="0095249C">
        <w:rPr>
          <w:rFonts w:ascii="Times New Roman" w:hAnsi="Times New Roman" w:cs="Times New Roman"/>
          <w:sz w:val="28"/>
          <w:szCs w:val="28"/>
          <w:lang w:val="uk-UA"/>
        </w:rPr>
        <w:t xml:space="preserve"> кров</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 xml:space="preserve"> у </w:t>
      </w:r>
      <w:r w:rsidR="000F0FD1">
        <w:rPr>
          <w:rFonts w:ascii="Times New Roman" w:hAnsi="Times New Roman" w:cs="Times New Roman"/>
          <w:sz w:val="28"/>
          <w:szCs w:val="28"/>
          <w:lang w:val="uk-UA"/>
        </w:rPr>
        <w:t xml:space="preserve">хворих на </w:t>
      </w:r>
      <w:r w:rsidR="0095249C">
        <w:rPr>
          <w:rFonts w:ascii="Times New Roman" w:hAnsi="Times New Roman" w:cs="Times New Roman"/>
          <w:sz w:val="28"/>
          <w:szCs w:val="28"/>
          <w:lang w:val="uk-UA"/>
        </w:rPr>
        <w:t>артер</w:t>
      </w:r>
      <w:r w:rsidR="0095249C">
        <w:rPr>
          <w:rFonts w:ascii="Times New Roman" w:hAnsi="Times New Roman" w:cs="Times New Roman"/>
          <w:sz w:val="28"/>
          <w:szCs w:val="28"/>
          <w:lang w:val="en-US"/>
        </w:rPr>
        <w:t>i</w:t>
      </w:r>
      <w:r w:rsidR="000F0FD1">
        <w:rPr>
          <w:rFonts w:ascii="Times New Roman" w:hAnsi="Times New Roman" w:cs="Times New Roman"/>
          <w:sz w:val="28"/>
          <w:szCs w:val="28"/>
          <w:lang w:val="uk-UA"/>
        </w:rPr>
        <w:t>альну</w:t>
      </w:r>
      <w:r w:rsidR="0095249C">
        <w:rPr>
          <w:rFonts w:ascii="Times New Roman" w:hAnsi="Times New Roman" w:cs="Times New Roman"/>
          <w:sz w:val="28"/>
          <w:szCs w:val="28"/>
          <w:lang w:val="uk-UA"/>
        </w:rPr>
        <w:t xml:space="preserve"> г</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пертенз</w:t>
      </w:r>
      <w:r w:rsidR="0095249C">
        <w:rPr>
          <w:rFonts w:ascii="Times New Roman" w:hAnsi="Times New Roman" w:cs="Times New Roman"/>
          <w:sz w:val="28"/>
          <w:szCs w:val="28"/>
          <w:lang w:val="en-US"/>
        </w:rPr>
        <w:t>i</w:t>
      </w:r>
      <w:r w:rsidR="001B38C1" w:rsidRPr="00C973CC">
        <w:rPr>
          <w:rFonts w:ascii="Times New Roman" w:hAnsi="Times New Roman" w:cs="Times New Roman"/>
          <w:sz w:val="28"/>
          <w:szCs w:val="28"/>
          <w:lang w:val="uk-UA"/>
        </w:rPr>
        <w:t>ю</w:t>
      </w:r>
      <w:r w:rsidR="001B38C1" w:rsidRPr="00A03291">
        <w:rPr>
          <w:rFonts w:ascii="Times New Roman" w:hAnsi="Times New Roman" w:cs="Times New Roman"/>
          <w:sz w:val="28"/>
          <w:szCs w:val="28"/>
          <w:lang w:val="uk-UA"/>
        </w:rPr>
        <w:t xml:space="preserve"> </w:t>
      </w:r>
      <w:r w:rsidR="000F0FD1">
        <w:rPr>
          <w:rFonts w:ascii="Times New Roman" w:hAnsi="Times New Roman" w:cs="Times New Roman"/>
          <w:sz w:val="28"/>
          <w:szCs w:val="28"/>
          <w:lang w:val="uk-UA"/>
        </w:rPr>
        <w:t>та цукровий</w:t>
      </w:r>
      <w:r w:rsidR="0095249C">
        <w:rPr>
          <w:rFonts w:ascii="Times New Roman" w:hAnsi="Times New Roman" w:cs="Times New Roman"/>
          <w:sz w:val="28"/>
          <w:szCs w:val="28"/>
          <w:lang w:val="uk-UA"/>
        </w:rPr>
        <w:t xml:space="preserve"> д</w:t>
      </w:r>
      <w:r w:rsidR="0095249C">
        <w:rPr>
          <w:rFonts w:ascii="Times New Roman" w:hAnsi="Times New Roman" w:cs="Times New Roman"/>
          <w:sz w:val="28"/>
          <w:szCs w:val="28"/>
          <w:lang w:val="en-US"/>
        </w:rPr>
        <w:t>i</w:t>
      </w:r>
      <w:r w:rsidR="000F0FD1">
        <w:rPr>
          <w:rFonts w:ascii="Times New Roman" w:hAnsi="Times New Roman" w:cs="Times New Roman"/>
          <w:sz w:val="28"/>
          <w:szCs w:val="28"/>
          <w:lang w:val="uk-UA"/>
        </w:rPr>
        <w:t>абет</w:t>
      </w:r>
      <w:r w:rsidR="001B38C1">
        <w:rPr>
          <w:rFonts w:ascii="Times New Roman" w:hAnsi="Times New Roman" w:cs="Times New Roman"/>
          <w:sz w:val="28"/>
          <w:szCs w:val="28"/>
          <w:lang w:val="uk-UA"/>
        </w:rPr>
        <w:t xml:space="preserve"> </w:t>
      </w:r>
      <w:r w:rsidR="00A03291" w:rsidRPr="00A03291">
        <w:rPr>
          <w:rFonts w:ascii="Times New Roman" w:hAnsi="Times New Roman" w:cs="Times New Roman"/>
          <w:sz w:val="28"/>
          <w:szCs w:val="28"/>
          <w:lang w:val="uk-UA"/>
        </w:rPr>
        <w:t>2</w:t>
      </w:r>
      <w:r w:rsidR="008A013C">
        <w:rPr>
          <w:rFonts w:ascii="Times New Roman" w:hAnsi="Times New Roman" w:cs="Times New Roman"/>
          <w:sz w:val="28"/>
          <w:szCs w:val="28"/>
          <w:lang w:val="uk-UA"/>
        </w:rPr>
        <w:t>-го</w:t>
      </w:r>
      <w:r w:rsidR="001B38C1">
        <w:rPr>
          <w:rFonts w:ascii="Times New Roman" w:hAnsi="Times New Roman" w:cs="Times New Roman"/>
          <w:sz w:val="28"/>
          <w:szCs w:val="28"/>
          <w:lang w:val="uk-UA"/>
        </w:rPr>
        <w:t xml:space="preserve"> типу</w:t>
      </w:r>
      <w:r w:rsidR="00E459EA">
        <w:rPr>
          <w:rFonts w:ascii="Times New Roman" w:hAnsi="Times New Roman" w:cs="Times New Roman"/>
          <w:sz w:val="28"/>
          <w:szCs w:val="28"/>
          <w:lang w:val="uk-UA"/>
        </w:rPr>
        <w:t>………………………</w:t>
      </w:r>
      <w:r w:rsidR="008A013C">
        <w:rPr>
          <w:rFonts w:ascii="Times New Roman" w:hAnsi="Times New Roman" w:cs="Times New Roman"/>
          <w:sz w:val="28"/>
          <w:szCs w:val="28"/>
          <w:lang w:val="uk-UA"/>
        </w:rPr>
        <w:t>……</w:t>
      </w:r>
      <w:r w:rsidR="001B38C1">
        <w:rPr>
          <w:rFonts w:ascii="Times New Roman" w:hAnsi="Times New Roman" w:cs="Times New Roman"/>
          <w:sz w:val="28"/>
          <w:szCs w:val="28"/>
          <w:lang w:val="uk-UA"/>
        </w:rPr>
        <w:t>……</w:t>
      </w:r>
      <w:r w:rsidR="0067631F">
        <w:rPr>
          <w:rFonts w:ascii="Times New Roman" w:hAnsi="Times New Roman" w:cs="Times New Roman"/>
          <w:sz w:val="28"/>
          <w:szCs w:val="28"/>
          <w:lang w:val="uk-UA"/>
        </w:rPr>
        <w:t>……………</w:t>
      </w:r>
      <w:r w:rsidR="0067631F" w:rsidRPr="0067631F">
        <w:rPr>
          <w:rFonts w:ascii="Times New Roman" w:hAnsi="Times New Roman" w:cs="Times New Roman"/>
          <w:sz w:val="28"/>
          <w:szCs w:val="28"/>
          <w:lang w:val="uk-UA"/>
        </w:rPr>
        <w:t>...</w:t>
      </w:r>
      <w:r w:rsidR="000F0FD1">
        <w:rPr>
          <w:rFonts w:ascii="Times New Roman" w:hAnsi="Times New Roman" w:cs="Times New Roman"/>
          <w:sz w:val="28"/>
          <w:szCs w:val="28"/>
          <w:lang w:val="uk-UA"/>
        </w:rPr>
        <w:t>.........</w:t>
      </w:r>
      <w:r w:rsidR="00BF7148">
        <w:rPr>
          <w:rFonts w:ascii="Times New Roman" w:hAnsi="Times New Roman" w:cs="Times New Roman"/>
          <w:sz w:val="28"/>
          <w:szCs w:val="28"/>
          <w:lang w:val="uk-UA"/>
        </w:rPr>
        <w:t>7</w:t>
      </w:r>
      <w:r w:rsidR="000F0E63">
        <w:rPr>
          <w:rFonts w:ascii="Times New Roman" w:hAnsi="Times New Roman" w:cs="Times New Roman"/>
          <w:sz w:val="28"/>
          <w:szCs w:val="28"/>
          <w:lang w:val="uk-UA"/>
        </w:rPr>
        <w:t>6</w:t>
      </w:r>
    </w:p>
    <w:p w:rsidR="00D05D69" w:rsidRPr="00833624" w:rsidRDefault="00D05D69"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3.3. </w:t>
      </w:r>
      <w:r w:rsidR="0095249C">
        <w:rPr>
          <w:rFonts w:ascii="Times New Roman" w:hAnsi="Times New Roman" w:cs="Times New Roman"/>
          <w:sz w:val="28"/>
          <w:szCs w:val="28"/>
          <w:lang w:val="uk-UA"/>
        </w:rPr>
        <w:t>Оц</w:t>
      </w:r>
      <w:r w:rsidR="0095249C">
        <w:rPr>
          <w:rFonts w:ascii="Times New Roman" w:hAnsi="Times New Roman" w:cs="Times New Roman"/>
          <w:sz w:val="28"/>
          <w:szCs w:val="28"/>
          <w:lang w:val="en-US"/>
        </w:rPr>
        <w:t>i</w:t>
      </w:r>
      <w:r w:rsidR="001B38C1" w:rsidRPr="001B38C1">
        <w:rPr>
          <w:rFonts w:ascii="Times New Roman" w:hAnsi="Times New Roman" w:cs="Times New Roman"/>
          <w:sz w:val="28"/>
          <w:szCs w:val="28"/>
          <w:lang w:val="uk-UA"/>
        </w:rPr>
        <w:t xml:space="preserve">нювання </w:t>
      </w:r>
      <w:r w:rsidR="0095249C">
        <w:rPr>
          <w:rFonts w:ascii="Times New Roman" w:hAnsi="Times New Roman" w:cs="Times New Roman"/>
          <w:sz w:val="28"/>
          <w:szCs w:val="28"/>
          <w:lang w:val="uk-UA"/>
        </w:rPr>
        <w:t>зв’язку м</w:t>
      </w:r>
      <w:r w:rsidR="0095249C">
        <w:rPr>
          <w:rFonts w:ascii="Times New Roman" w:hAnsi="Times New Roman" w:cs="Times New Roman"/>
          <w:sz w:val="28"/>
          <w:szCs w:val="28"/>
          <w:lang w:val="en-US"/>
        </w:rPr>
        <w:t>i</w:t>
      </w:r>
      <w:r w:rsidR="00002D96">
        <w:rPr>
          <w:rFonts w:ascii="Times New Roman" w:hAnsi="Times New Roman" w:cs="Times New Roman"/>
          <w:sz w:val="28"/>
          <w:szCs w:val="28"/>
          <w:lang w:val="uk-UA"/>
        </w:rPr>
        <w:t>ж</w:t>
      </w:r>
      <w:r w:rsidR="00002D96" w:rsidRPr="00002D96">
        <w:rPr>
          <w:rFonts w:ascii="Times New Roman" w:hAnsi="Times New Roman" w:cs="Times New Roman"/>
          <w:color w:val="FFFFFF" w:themeColor="background1"/>
          <w:sz w:val="28"/>
          <w:szCs w:val="28"/>
          <w:lang w:val="en-US"/>
        </w:rPr>
        <w:t>o</w:t>
      </w:r>
      <w:r w:rsidR="001B38C1" w:rsidRPr="00C973CC">
        <w:rPr>
          <w:rFonts w:ascii="Times New Roman" w:hAnsi="Times New Roman" w:cs="Times New Roman"/>
          <w:sz w:val="28"/>
          <w:szCs w:val="28"/>
          <w:lang w:val="uk-UA"/>
        </w:rPr>
        <w:t>показниками</w:t>
      </w:r>
      <w:r w:rsidR="00002D96" w:rsidRPr="00002D96">
        <w:rPr>
          <w:rFonts w:ascii="Times New Roman" w:hAnsi="Times New Roman" w:cs="Times New Roman"/>
          <w:color w:val="FFFFFF" w:themeColor="background1"/>
          <w:sz w:val="28"/>
          <w:szCs w:val="28"/>
          <w:lang w:val="en-US"/>
        </w:rPr>
        <w:t>o</w:t>
      </w:r>
      <w:r w:rsidR="0095249C">
        <w:rPr>
          <w:rFonts w:ascii="Times New Roman" w:hAnsi="Times New Roman" w:cs="Times New Roman"/>
          <w:sz w:val="28"/>
          <w:szCs w:val="28"/>
          <w:lang w:val="uk-UA"/>
        </w:rPr>
        <w:t>л</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w:t>
      </w:r>
      <w:r w:rsidR="0095249C">
        <w:rPr>
          <w:rFonts w:ascii="Times New Roman" w:hAnsi="Times New Roman" w:cs="Times New Roman"/>
          <w:sz w:val="28"/>
          <w:szCs w:val="28"/>
          <w:lang w:val="en-US"/>
        </w:rPr>
        <w:t>i</w:t>
      </w:r>
      <w:r w:rsidR="00002D96">
        <w:rPr>
          <w:rFonts w:ascii="Times New Roman" w:hAnsi="Times New Roman" w:cs="Times New Roman"/>
          <w:sz w:val="28"/>
          <w:szCs w:val="28"/>
          <w:lang w:val="uk-UA"/>
        </w:rPr>
        <w:t>дного</w:t>
      </w:r>
      <w:r w:rsidR="00002D96" w:rsidRPr="00002D96">
        <w:rPr>
          <w:rFonts w:ascii="Times New Roman" w:hAnsi="Times New Roman" w:cs="Times New Roman"/>
          <w:color w:val="FFFFFF" w:themeColor="background1"/>
          <w:sz w:val="28"/>
          <w:szCs w:val="28"/>
          <w:lang w:val="en-US"/>
        </w:rPr>
        <w:t>o</w:t>
      </w:r>
      <w:r w:rsidR="00002D96">
        <w:rPr>
          <w:rFonts w:ascii="Times New Roman" w:hAnsi="Times New Roman" w:cs="Times New Roman"/>
          <w:sz w:val="28"/>
          <w:szCs w:val="28"/>
          <w:lang w:val="uk-UA"/>
        </w:rPr>
        <w:t>спектра</w:t>
      </w:r>
      <w:r w:rsidR="00002D96" w:rsidRPr="00002D96">
        <w:rPr>
          <w:rFonts w:ascii="Times New Roman" w:hAnsi="Times New Roman" w:cs="Times New Roman"/>
          <w:color w:val="FFFFFF" w:themeColor="background1"/>
          <w:sz w:val="28"/>
          <w:szCs w:val="28"/>
          <w:lang w:val="en-US"/>
        </w:rPr>
        <w:t>o</w:t>
      </w:r>
      <w:r w:rsidR="0095249C">
        <w:rPr>
          <w:rFonts w:ascii="Times New Roman" w:hAnsi="Times New Roman" w:cs="Times New Roman"/>
          <w:sz w:val="28"/>
          <w:szCs w:val="28"/>
          <w:lang w:val="uk-UA"/>
        </w:rPr>
        <w:t>кров</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 xml:space="preserve"> та </w:t>
      </w:r>
      <w:r w:rsidR="000F0FD1">
        <w:rPr>
          <w:rFonts w:ascii="Times New Roman" w:hAnsi="Times New Roman" w:cs="Times New Roman"/>
          <w:sz w:val="28"/>
          <w:szCs w:val="28"/>
          <w:lang w:val="uk-UA"/>
        </w:rPr>
        <w:t xml:space="preserve">концентрацією </w:t>
      </w:r>
      <w:r w:rsidR="0095249C">
        <w:rPr>
          <w:rFonts w:ascii="Times New Roman" w:hAnsi="Times New Roman" w:cs="Times New Roman"/>
          <w:sz w:val="28"/>
          <w:szCs w:val="28"/>
          <w:lang w:val="uk-UA"/>
        </w:rPr>
        <w:t>розчинної форми молекули адгез</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ї судинного ендотел</w:t>
      </w:r>
      <w:r w:rsidR="0095249C">
        <w:rPr>
          <w:rFonts w:ascii="Times New Roman" w:hAnsi="Times New Roman" w:cs="Times New Roman"/>
          <w:sz w:val="28"/>
          <w:szCs w:val="28"/>
          <w:lang w:val="en-US"/>
        </w:rPr>
        <w:t>i</w:t>
      </w:r>
      <w:r w:rsidR="001B38C1" w:rsidRPr="001B38C1">
        <w:rPr>
          <w:rFonts w:ascii="Times New Roman" w:hAnsi="Times New Roman" w:cs="Times New Roman"/>
          <w:sz w:val="28"/>
          <w:szCs w:val="28"/>
          <w:lang w:val="uk-UA"/>
        </w:rPr>
        <w:t>ю 1-го типу</w:t>
      </w:r>
      <w:r w:rsidR="001B38C1">
        <w:rPr>
          <w:rFonts w:ascii="Times New Roman" w:hAnsi="Times New Roman" w:cs="Times New Roman"/>
          <w:sz w:val="28"/>
          <w:szCs w:val="28"/>
          <w:lang w:val="uk-UA"/>
        </w:rPr>
        <w:t>...</w:t>
      </w:r>
      <w:r w:rsidR="000F0FD1">
        <w:rPr>
          <w:rFonts w:ascii="Times New Roman" w:hAnsi="Times New Roman" w:cs="Times New Roman"/>
          <w:sz w:val="28"/>
          <w:szCs w:val="28"/>
          <w:lang w:val="uk-UA"/>
        </w:rPr>
        <w:t>......................................................................................................................</w:t>
      </w:r>
      <w:r w:rsidR="000F0E63">
        <w:rPr>
          <w:rFonts w:ascii="Times New Roman" w:hAnsi="Times New Roman" w:cs="Times New Roman"/>
          <w:sz w:val="28"/>
          <w:szCs w:val="28"/>
          <w:lang w:val="uk-UA"/>
        </w:rPr>
        <w:t>79</w:t>
      </w:r>
    </w:p>
    <w:p w:rsidR="00A03291" w:rsidRPr="00C973CC" w:rsidRDefault="0095249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РОЗД</w:t>
      </w:r>
      <w:r>
        <w:rPr>
          <w:rFonts w:ascii="Times New Roman" w:hAnsi="Times New Roman" w:cs="Times New Roman"/>
          <w:sz w:val="28"/>
          <w:szCs w:val="28"/>
          <w:lang w:val="en-US"/>
        </w:rPr>
        <w:t>I</w:t>
      </w:r>
      <w:r w:rsidR="003A05B4">
        <w:rPr>
          <w:rFonts w:ascii="Times New Roman" w:hAnsi="Times New Roman" w:cs="Times New Roman"/>
          <w:sz w:val="28"/>
          <w:szCs w:val="28"/>
          <w:lang w:val="uk-UA"/>
        </w:rPr>
        <w:t xml:space="preserve">Л </w:t>
      </w:r>
      <w:r w:rsidR="003A05B4" w:rsidRPr="00134F52">
        <w:rPr>
          <w:rFonts w:ascii="Times New Roman" w:hAnsi="Times New Roman" w:cs="Times New Roman"/>
          <w:sz w:val="28"/>
          <w:szCs w:val="28"/>
          <w:lang w:val="uk-UA"/>
        </w:rPr>
        <w:t>4</w:t>
      </w:r>
      <w:r w:rsidR="008B3BB7">
        <w:rPr>
          <w:rFonts w:ascii="Times New Roman" w:hAnsi="Times New Roman" w:cs="Times New Roman"/>
          <w:sz w:val="28"/>
          <w:szCs w:val="28"/>
          <w:lang w:val="uk-UA"/>
        </w:rPr>
        <w:t xml:space="preserve">. </w:t>
      </w:r>
      <w:r w:rsidR="00C2424D" w:rsidRPr="00C2424D">
        <w:rPr>
          <w:rFonts w:ascii="Times New Roman" w:hAnsi="Times New Roman" w:cs="Times New Roman"/>
          <w:sz w:val="28"/>
          <w:szCs w:val="28"/>
          <w:lang w:val="uk-UA"/>
        </w:rPr>
        <w:t>МАРКЕРИ ФУНКЦІОНАЛЬНОГО СТАНУ НИРОК У ПАЦIЄНТIВ ІЗ АРТЕРIАЛЬНОЮ ГIПЕРТЕНЗIЄЮ ТА ЦУКРОВИМ ДIАБЕТОМ 2-ГО ТИПУ</w:t>
      </w:r>
    </w:p>
    <w:p w:rsidR="00A03291" w:rsidRPr="00C97E83" w:rsidRDefault="00704EF6" w:rsidP="00A03291">
      <w:pPr>
        <w:spacing w:after="0" w:line="360" w:lineRule="auto"/>
        <w:jc w:val="both"/>
        <w:rPr>
          <w:rFonts w:ascii="Times New Roman" w:hAnsi="Times New Roman" w:cs="Times New Roman"/>
          <w:sz w:val="28"/>
          <w:szCs w:val="28"/>
          <w:lang w:val="uk-UA"/>
        </w:rPr>
      </w:pPr>
      <w:r w:rsidRPr="00C973CC">
        <w:rPr>
          <w:rFonts w:ascii="Times New Roman" w:hAnsi="Times New Roman" w:cs="Times New Roman"/>
          <w:sz w:val="28"/>
          <w:szCs w:val="28"/>
          <w:lang w:val="uk-UA"/>
        </w:rPr>
        <w:t>4</w:t>
      </w:r>
      <w:r w:rsidR="00A03291" w:rsidRPr="00C973CC">
        <w:rPr>
          <w:rFonts w:ascii="Times New Roman" w:hAnsi="Times New Roman" w:cs="Times New Roman"/>
          <w:sz w:val="28"/>
          <w:szCs w:val="28"/>
          <w:lang w:val="uk-UA"/>
        </w:rPr>
        <w:t>.1. Особ</w:t>
      </w:r>
      <w:r w:rsidR="0095249C">
        <w:rPr>
          <w:rFonts w:ascii="Times New Roman" w:hAnsi="Times New Roman" w:cs="Times New Roman"/>
          <w:sz w:val="28"/>
          <w:szCs w:val="28"/>
          <w:lang w:val="uk-UA"/>
        </w:rPr>
        <w:t>ливост</w:t>
      </w:r>
      <w:r w:rsidR="0095249C">
        <w:rPr>
          <w:rFonts w:ascii="Times New Roman" w:hAnsi="Times New Roman" w:cs="Times New Roman"/>
          <w:sz w:val="28"/>
          <w:szCs w:val="28"/>
          <w:lang w:val="en-US"/>
        </w:rPr>
        <w:t>i</w:t>
      </w:r>
      <w:r w:rsidR="000525C8">
        <w:rPr>
          <w:rFonts w:ascii="Times New Roman" w:hAnsi="Times New Roman" w:cs="Times New Roman"/>
          <w:sz w:val="28"/>
          <w:szCs w:val="28"/>
          <w:lang w:val="uk-UA"/>
        </w:rPr>
        <w:t xml:space="preserve"> функціонального стану нирок у хворих на</w:t>
      </w:r>
      <w:r w:rsidR="00A03291" w:rsidRPr="00C973CC">
        <w:rPr>
          <w:rFonts w:ascii="Times New Roman" w:hAnsi="Times New Roman" w:cs="Times New Roman"/>
          <w:sz w:val="28"/>
          <w:szCs w:val="28"/>
          <w:lang w:val="uk-UA"/>
        </w:rPr>
        <w:t xml:space="preserve"> </w:t>
      </w:r>
      <w:r w:rsidR="0095249C">
        <w:rPr>
          <w:rFonts w:ascii="Times New Roman" w:hAnsi="Times New Roman" w:cs="Times New Roman"/>
          <w:sz w:val="28"/>
          <w:szCs w:val="28"/>
          <w:lang w:val="uk-UA"/>
        </w:rPr>
        <w:t>артер</w:t>
      </w:r>
      <w:r w:rsidR="0095249C">
        <w:rPr>
          <w:rFonts w:ascii="Times New Roman" w:hAnsi="Times New Roman" w:cs="Times New Roman"/>
          <w:sz w:val="28"/>
          <w:szCs w:val="28"/>
          <w:lang w:val="en-US"/>
        </w:rPr>
        <w:t>i</w:t>
      </w:r>
      <w:r w:rsidR="000525C8">
        <w:rPr>
          <w:rFonts w:ascii="Times New Roman" w:hAnsi="Times New Roman" w:cs="Times New Roman"/>
          <w:sz w:val="28"/>
          <w:szCs w:val="28"/>
          <w:lang w:val="uk-UA"/>
        </w:rPr>
        <w:t>альну</w:t>
      </w:r>
      <w:r w:rsidR="0095249C">
        <w:rPr>
          <w:rFonts w:ascii="Times New Roman" w:hAnsi="Times New Roman" w:cs="Times New Roman"/>
          <w:sz w:val="28"/>
          <w:szCs w:val="28"/>
          <w:lang w:val="uk-UA"/>
        </w:rPr>
        <w:t xml:space="preserve"> г</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пертенз</w:t>
      </w:r>
      <w:r w:rsidR="0095249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ю</w:t>
      </w:r>
      <w:r w:rsidR="004729F6" w:rsidRPr="00A03291">
        <w:rPr>
          <w:rFonts w:ascii="Times New Roman" w:hAnsi="Times New Roman" w:cs="Times New Roman"/>
          <w:sz w:val="28"/>
          <w:szCs w:val="28"/>
          <w:lang w:val="uk-UA"/>
        </w:rPr>
        <w:t xml:space="preserve"> </w:t>
      </w:r>
      <w:r w:rsidR="000525C8">
        <w:rPr>
          <w:rFonts w:ascii="Times New Roman" w:hAnsi="Times New Roman" w:cs="Times New Roman"/>
          <w:sz w:val="28"/>
          <w:szCs w:val="28"/>
          <w:lang w:val="uk-UA"/>
        </w:rPr>
        <w:t>та цукровий діабет 2-го типу……………………………………...</w:t>
      </w:r>
      <w:r w:rsidR="00BF7148">
        <w:rPr>
          <w:rFonts w:ascii="Times New Roman" w:hAnsi="Times New Roman" w:cs="Times New Roman"/>
          <w:sz w:val="28"/>
          <w:szCs w:val="28"/>
          <w:lang w:val="uk-UA"/>
        </w:rPr>
        <w:t>8</w:t>
      </w:r>
      <w:r w:rsidR="000F0E63">
        <w:rPr>
          <w:rFonts w:ascii="Times New Roman" w:hAnsi="Times New Roman" w:cs="Times New Roman"/>
          <w:sz w:val="28"/>
          <w:szCs w:val="28"/>
          <w:lang w:val="uk-UA"/>
        </w:rPr>
        <w:t>1</w:t>
      </w:r>
    </w:p>
    <w:p w:rsidR="00A03291" w:rsidRPr="00C97E8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5249C">
        <w:rPr>
          <w:rFonts w:ascii="Times New Roman" w:hAnsi="Times New Roman" w:cs="Times New Roman"/>
          <w:sz w:val="28"/>
          <w:szCs w:val="28"/>
          <w:lang w:val="uk-UA"/>
        </w:rPr>
        <w:t>.2. Досл</w:t>
      </w:r>
      <w:r w:rsidR="0095249C">
        <w:rPr>
          <w:rFonts w:ascii="Times New Roman" w:hAnsi="Times New Roman" w:cs="Times New Roman"/>
          <w:sz w:val="28"/>
          <w:szCs w:val="28"/>
          <w:lang w:val="en-US"/>
        </w:rPr>
        <w:t>i</w:t>
      </w:r>
      <w:r w:rsidR="0067631F">
        <w:rPr>
          <w:rFonts w:ascii="Times New Roman" w:hAnsi="Times New Roman" w:cs="Times New Roman"/>
          <w:sz w:val="28"/>
          <w:szCs w:val="28"/>
          <w:lang w:val="uk-UA"/>
        </w:rPr>
        <w:t>дження</w:t>
      </w:r>
      <w:r w:rsidR="0067631F" w:rsidRPr="0067631F">
        <w:rPr>
          <w:rFonts w:ascii="Times New Roman" w:hAnsi="Times New Roman" w:cs="Times New Roman"/>
          <w:sz w:val="28"/>
          <w:szCs w:val="28"/>
          <w:lang w:val="uk-UA"/>
        </w:rPr>
        <w:t xml:space="preserve"> </w:t>
      </w:r>
      <w:r w:rsidR="0095249C">
        <w:rPr>
          <w:rFonts w:ascii="Times New Roman" w:hAnsi="Times New Roman" w:cs="Times New Roman"/>
          <w:sz w:val="28"/>
          <w:szCs w:val="28"/>
          <w:lang w:val="uk-UA"/>
        </w:rPr>
        <w:t>зв’язку м</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ж ступенем альбум</w:t>
      </w:r>
      <w:r w:rsidR="0095249C">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 xml:space="preserve">нурії </w:t>
      </w:r>
      <w:r w:rsidR="0095249C">
        <w:rPr>
          <w:rFonts w:ascii="Times New Roman" w:hAnsi="Times New Roman" w:cs="Times New Roman"/>
          <w:sz w:val="28"/>
          <w:szCs w:val="28"/>
          <w:lang w:val="uk-UA"/>
        </w:rPr>
        <w:t>та показниками л</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w:t>
      </w:r>
      <w:r w:rsidR="0095249C">
        <w:rPr>
          <w:rFonts w:ascii="Times New Roman" w:hAnsi="Times New Roman" w:cs="Times New Roman"/>
          <w:sz w:val="28"/>
          <w:szCs w:val="28"/>
          <w:lang w:val="en-US"/>
        </w:rPr>
        <w:t>i</w:t>
      </w:r>
      <w:r w:rsidR="00E459EA">
        <w:rPr>
          <w:rFonts w:ascii="Times New Roman" w:hAnsi="Times New Roman" w:cs="Times New Roman"/>
          <w:sz w:val="28"/>
          <w:szCs w:val="28"/>
          <w:lang w:val="uk-UA"/>
        </w:rPr>
        <w:t>дного спектра</w:t>
      </w:r>
      <w:r w:rsidR="0095249C">
        <w:rPr>
          <w:rFonts w:ascii="Times New Roman" w:hAnsi="Times New Roman" w:cs="Times New Roman"/>
          <w:sz w:val="28"/>
          <w:szCs w:val="28"/>
          <w:lang w:val="uk-UA"/>
        </w:rPr>
        <w:t xml:space="preserve"> кров</w:t>
      </w:r>
      <w:r w:rsidR="0095249C">
        <w:rPr>
          <w:rFonts w:ascii="Times New Roman" w:hAnsi="Times New Roman" w:cs="Times New Roman"/>
          <w:sz w:val="28"/>
          <w:szCs w:val="28"/>
          <w:lang w:val="en-US"/>
        </w:rPr>
        <w:t>i</w:t>
      </w:r>
      <w:r w:rsidR="00002D96">
        <w:rPr>
          <w:rFonts w:ascii="Times New Roman" w:hAnsi="Times New Roman" w:cs="Times New Roman"/>
          <w:sz w:val="28"/>
          <w:szCs w:val="28"/>
          <w:lang w:val="uk-UA"/>
        </w:rPr>
        <w:t xml:space="preserve"> </w:t>
      </w:r>
      <w:r w:rsidR="00B555E0">
        <w:rPr>
          <w:rFonts w:ascii="Times New Roman" w:hAnsi="Times New Roman" w:cs="Times New Roman"/>
          <w:sz w:val="28"/>
          <w:szCs w:val="28"/>
          <w:lang w:val="uk-UA"/>
        </w:rPr>
        <w:t xml:space="preserve">у пацієнтів </w:t>
      </w:r>
      <w:r w:rsidR="001C3F87">
        <w:rPr>
          <w:rFonts w:ascii="Times New Roman" w:hAnsi="Times New Roman" w:cs="Times New Roman"/>
          <w:sz w:val="28"/>
          <w:szCs w:val="28"/>
          <w:lang w:val="uk-UA"/>
        </w:rPr>
        <w:t>і</w:t>
      </w:r>
      <w:r w:rsidR="0095249C">
        <w:rPr>
          <w:rFonts w:ascii="Times New Roman" w:hAnsi="Times New Roman" w:cs="Times New Roman"/>
          <w:sz w:val="28"/>
          <w:szCs w:val="28"/>
          <w:lang w:val="uk-UA"/>
        </w:rPr>
        <w:t>з артер</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альною г</w:t>
      </w:r>
      <w:r w:rsidR="0095249C">
        <w:rPr>
          <w:rFonts w:ascii="Times New Roman" w:hAnsi="Times New Roman" w:cs="Times New Roman"/>
          <w:sz w:val="28"/>
          <w:szCs w:val="28"/>
          <w:lang w:val="en-US"/>
        </w:rPr>
        <w:t>i</w:t>
      </w:r>
      <w:r w:rsidR="0095249C">
        <w:rPr>
          <w:rFonts w:ascii="Times New Roman" w:hAnsi="Times New Roman" w:cs="Times New Roman"/>
          <w:sz w:val="28"/>
          <w:szCs w:val="28"/>
          <w:lang w:val="uk-UA"/>
        </w:rPr>
        <w:t>пертензією та цукровим д</w:t>
      </w:r>
      <w:r w:rsidR="0095249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абетом 2-го типу</w:t>
      </w:r>
      <w:r w:rsidR="00A03291" w:rsidRPr="00A03291">
        <w:rPr>
          <w:rFonts w:ascii="Times New Roman" w:hAnsi="Times New Roman" w:cs="Times New Roman"/>
          <w:sz w:val="28"/>
          <w:szCs w:val="28"/>
          <w:lang w:val="uk-UA"/>
        </w:rPr>
        <w:t>………………………………………………</w:t>
      </w:r>
      <w:r w:rsidR="00B03D38">
        <w:rPr>
          <w:rFonts w:ascii="Times New Roman" w:hAnsi="Times New Roman" w:cs="Times New Roman"/>
          <w:sz w:val="28"/>
          <w:szCs w:val="28"/>
          <w:lang w:val="uk-UA"/>
        </w:rPr>
        <w:t>…</w:t>
      </w:r>
      <w:r w:rsidR="00B03D38" w:rsidRPr="004729F6">
        <w:rPr>
          <w:rFonts w:ascii="Times New Roman" w:hAnsi="Times New Roman" w:cs="Times New Roman"/>
          <w:sz w:val="28"/>
          <w:szCs w:val="28"/>
          <w:lang w:val="uk-UA"/>
        </w:rPr>
        <w:t>……</w:t>
      </w:r>
      <w:r w:rsidR="000A79FC" w:rsidRPr="004729F6">
        <w:rPr>
          <w:rFonts w:ascii="Times New Roman" w:hAnsi="Times New Roman" w:cs="Times New Roman"/>
          <w:sz w:val="28"/>
          <w:szCs w:val="28"/>
          <w:lang w:val="uk-UA"/>
        </w:rPr>
        <w:t>…</w:t>
      </w:r>
      <w:r w:rsidR="004729F6">
        <w:rPr>
          <w:rFonts w:ascii="Times New Roman" w:hAnsi="Times New Roman" w:cs="Times New Roman"/>
          <w:sz w:val="28"/>
          <w:szCs w:val="28"/>
          <w:lang w:val="uk-UA"/>
        </w:rPr>
        <w:t>…….</w:t>
      </w:r>
      <w:r w:rsidR="00C97E83">
        <w:rPr>
          <w:rFonts w:ascii="Times New Roman" w:hAnsi="Times New Roman" w:cs="Times New Roman"/>
          <w:sz w:val="28"/>
          <w:szCs w:val="28"/>
          <w:lang w:val="uk-UA"/>
        </w:rPr>
        <w:t>8</w:t>
      </w:r>
      <w:r w:rsidR="000F0E63">
        <w:rPr>
          <w:rFonts w:ascii="Times New Roman" w:hAnsi="Times New Roman" w:cs="Times New Roman"/>
          <w:sz w:val="28"/>
          <w:szCs w:val="28"/>
          <w:lang w:val="uk-UA"/>
        </w:rPr>
        <w:t>6</w:t>
      </w:r>
    </w:p>
    <w:p w:rsidR="00A03291" w:rsidRPr="00C97E8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A03291" w:rsidRPr="00A03291">
        <w:rPr>
          <w:rFonts w:ascii="Times New Roman" w:hAnsi="Times New Roman" w:cs="Times New Roman"/>
          <w:sz w:val="28"/>
          <w:szCs w:val="28"/>
          <w:lang w:val="uk-UA"/>
        </w:rPr>
        <w:t xml:space="preserve">.3. </w:t>
      </w:r>
      <w:r w:rsidR="00CE0C42" w:rsidRPr="00CE0C42">
        <w:rPr>
          <w:rFonts w:ascii="Times New Roman" w:hAnsi="Times New Roman" w:cs="Times New Roman"/>
          <w:sz w:val="28"/>
          <w:szCs w:val="28"/>
          <w:lang w:val="uk-UA"/>
        </w:rPr>
        <w:t xml:space="preserve">Дослiдження зв’язку мiж </w:t>
      </w:r>
      <w:r w:rsidR="00CE0C42">
        <w:rPr>
          <w:rFonts w:ascii="Times New Roman" w:hAnsi="Times New Roman" w:cs="Times New Roman"/>
          <w:sz w:val="28"/>
          <w:szCs w:val="28"/>
          <w:lang w:val="uk-UA"/>
        </w:rPr>
        <w:t xml:space="preserve">маркерами </w:t>
      </w:r>
      <w:r w:rsidR="00CE0C42" w:rsidRPr="00CE0C42">
        <w:rPr>
          <w:rFonts w:ascii="Times New Roman" w:hAnsi="Times New Roman" w:cs="Times New Roman"/>
          <w:sz w:val="28"/>
          <w:szCs w:val="28"/>
          <w:lang w:val="uk-UA"/>
        </w:rPr>
        <w:t>функціонального стану нирок та ендотелію при коморбiднiй патологiї.</w:t>
      </w:r>
      <w:r w:rsidR="0067631F">
        <w:rPr>
          <w:rFonts w:ascii="Times New Roman" w:hAnsi="Times New Roman" w:cs="Times New Roman"/>
          <w:sz w:val="28"/>
          <w:szCs w:val="28"/>
          <w:lang w:val="uk-UA"/>
        </w:rPr>
        <w:t>…</w:t>
      </w:r>
      <w:r w:rsidR="005B1505">
        <w:rPr>
          <w:rFonts w:ascii="Times New Roman" w:hAnsi="Times New Roman" w:cs="Times New Roman"/>
          <w:sz w:val="28"/>
          <w:szCs w:val="28"/>
          <w:lang w:val="uk-UA"/>
        </w:rPr>
        <w:t>………………………………</w:t>
      </w:r>
      <w:r w:rsidR="00CE0C42">
        <w:rPr>
          <w:rFonts w:ascii="Times New Roman" w:hAnsi="Times New Roman" w:cs="Times New Roman"/>
          <w:sz w:val="28"/>
          <w:szCs w:val="28"/>
          <w:lang w:val="uk-UA"/>
        </w:rPr>
        <w:t>………</w:t>
      </w:r>
      <w:r w:rsidR="007B67E1">
        <w:rPr>
          <w:rFonts w:ascii="Times New Roman" w:hAnsi="Times New Roman" w:cs="Times New Roman"/>
          <w:sz w:val="28"/>
          <w:szCs w:val="28"/>
          <w:lang w:val="uk-UA"/>
        </w:rPr>
        <w:t>8</w:t>
      </w:r>
      <w:r w:rsidR="000F0E63">
        <w:rPr>
          <w:rFonts w:ascii="Times New Roman" w:hAnsi="Times New Roman" w:cs="Times New Roman"/>
          <w:sz w:val="28"/>
          <w:szCs w:val="28"/>
          <w:lang w:val="uk-UA"/>
        </w:rPr>
        <w:t>8</w:t>
      </w:r>
    </w:p>
    <w:p w:rsidR="00704EF6" w:rsidRPr="00833624" w:rsidRDefault="0095249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4.4. Особливост</w:t>
      </w:r>
      <w:r>
        <w:rPr>
          <w:rFonts w:ascii="Times New Roman" w:hAnsi="Times New Roman" w:cs="Times New Roman"/>
          <w:sz w:val="28"/>
          <w:szCs w:val="28"/>
          <w:lang w:val="en-US"/>
        </w:rPr>
        <w:t>i</w:t>
      </w:r>
      <w:r w:rsidR="002526C9">
        <w:rPr>
          <w:rFonts w:ascii="Times New Roman" w:hAnsi="Times New Roman" w:cs="Times New Roman"/>
          <w:sz w:val="28"/>
          <w:szCs w:val="28"/>
          <w:lang w:val="uk-UA"/>
        </w:rPr>
        <w:t xml:space="preserve"> </w:t>
      </w:r>
      <w:r>
        <w:rPr>
          <w:rFonts w:ascii="Times New Roman" w:hAnsi="Times New Roman" w:cs="Times New Roman"/>
          <w:sz w:val="28"/>
          <w:szCs w:val="28"/>
          <w:lang w:val="uk-UA"/>
        </w:rPr>
        <w:t>урикем</w:t>
      </w:r>
      <w:r>
        <w:rPr>
          <w:rFonts w:ascii="Times New Roman" w:hAnsi="Times New Roman" w:cs="Times New Roman"/>
          <w:sz w:val="28"/>
          <w:szCs w:val="28"/>
          <w:lang w:val="en-US"/>
        </w:rPr>
        <w:t>i</w:t>
      </w:r>
      <w:r w:rsidR="00E459EA">
        <w:rPr>
          <w:rFonts w:ascii="Times New Roman" w:hAnsi="Times New Roman" w:cs="Times New Roman"/>
          <w:sz w:val="28"/>
          <w:szCs w:val="28"/>
          <w:lang w:val="uk-UA"/>
        </w:rPr>
        <w:t xml:space="preserve">ї </w:t>
      </w:r>
      <w:r w:rsidR="000E194C">
        <w:rPr>
          <w:rFonts w:ascii="Times New Roman" w:hAnsi="Times New Roman" w:cs="Times New Roman"/>
          <w:sz w:val="28"/>
          <w:szCs w:val="28"/>
          <w:lang w:val="uk-UA"/>
        </w:rPr>
        <w:t>у хворих на артерiальну гіпертензію та</w:t>
      </w:r>
      <w:r w:rsidR="000E194C" w:rsidRPr="000E194C">
        <w:rPr>
          <w:rFonts w:ascii="Times New Roman" w:hAnsi="Times New Roman" w:cs="Times New Roman"/>
          <w:sz w:val="28"/>
          <w:szCs w:val="28"/>
          <w:lang w:val="uk-UA"/>
        </w:rPr>
        <w:t xml:space="preserve"> </w:t>
      </w:r>
      <w:r w:rsidR="002A14F4" w:rsidRPr="002A14F4">
        <w:rPr>
          <w:rFonts w:ascii="Times New Roman" w:hAnsi="Times New Roman" w:cs="Times New Roman"/>
          <w:sz w:val="28"/>
          <w:szCs w:val="28"/>
          <w:lang w:val="uk-UA"/>
        </w:rPr>
        <w:t xml:space="preserve">цукровий діабет 2-го типу </w:t>
      </w:r>
      <w:r w:rsidR="000E194C">
        <w:rPr>
          <w:rFonts w:ascii="Times New Roman" w:hAnsi="Times New Roman" w:cs="Times New Roman"/>
          <w:sz w:val="28"/>
          <w:szCs w:val="28"/>
          <w:lang w:val="uk-UA"/>
        </w:rPr>
        <w:t>………………..</w:t>
      </w:r>
      <w:r w:rsidR="003A05B4" w:rsidRPr="003A05B4">
        <w:rPr>
          <w:rFonts w:ascii="Times New Roman" w:hAnsi="Times New Roman" w:cs="Times New Roman"/>
          <w:sz w:val="28"/>
          <w:szCs w:val="28"/>
          <w:lang w:val="uk-UA"/>
        </w:rPr>
        <w:t>………………………………</w:t>
      </w:r>
      <w:r w:rsidR="00876104">
        <w:rPr>
          <w:rFonts w:ascii="Times New Roman" w:hAnsi="Times New Roman" w:cs="Times New Roman"/>
          <w:sz w:val="28"/>
          <w:szCs w:val="28"/>
          <w:lang w:val="uk-UA"/>
        </w:rPr>
        <w:t>……</w:t>
      </w:r>
      <w:r w:rsidR="005C1405">
        <w:rPr>
          <w:rFonts w:ascii="Times New Roman" w:hAnsi="Times New Roman" w:cs="Times New Roman"/>
          <w:sz w:val="28"/>
          <w:szCs w:val="28"/>
          <w:lang w:val="uk-UA"/>
        </w:rPr>
        <w:t>.</w:t>
      </w:r>
      <w:r w:rsidR="00863D6C">
        <w:rPr>
          <w:rFonts w:ascii="Times New Roman" w:hAnsi="Times New Roman" w:cs="Times New Roman"/>
          <w:sz w:val="28"/>
          <w:szCs w:val="28"/>
          <w:lang w:val="uk-UA"/>
        </w:rPr>
        <w:t>…</w:t>
      </w:r>
      <w:r w:rsidR="002A14F4">
        <w:rPr>
          <w:rFonts w:ascii="Times New Roman" w:hAnsi="Times New Roman" w:cs="Times New Roman"/>
          <w:sz w:val="28"/>
          <w:szCs w:val="28"/>
          <w:lang w:val="uk-UA"/>
        </w:rPr>
        <w:t>……….</w:t>
      </w:r>
      <w:r w:rsidR="007B67E1">
        <w:rPr>
          <w:rFonts w:ascii="Times New Roman" w:hAnsi="Times New Roman" w:cs="Times New Roman"/>
          <w:sz w:val="28"/>
          <w:szCs w:val="28"/>
          <w:lang w:val="uk-UA"/>
        </w:rPr>
        <w:t>.9</w:t>
      </w:r>
      <w:r w:rsidR="000F0E63">
        <w:rPr>
          <w:rFonts w:ascii="Times New Roman" w:hAnsi="Times New Roman" w:cs="Times New Roman"/>
          <w:sz w:val="28"/>
          <w:szCs w:val="28"/>
          <w:lang w:val="uk-UA"/>
        </w:rPr>
        <w:t>2</w:t>
      </w:r>
    </w:p>
    <w:p w:rsidR="00A03291" w:rsidRPr="00A03291" w:rsidRDefault="003A05B4"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w:t>
      </w:r>
      <w:r w:rsidRPr="00134F52">
        <w:rPr>
          <w:rFonts w:ascii="Times New Roman" w:hAnsi="Times New Roman" w:cs="Times New Roman"/>
          <w:sz w:val="28"/>
          <w:szCs w:val="28"/>
          <w:lang w:val="uk-UA"/>
        </w:rPr>
        <w:t>5</w:t>
      </w:r>
      <w:r w:rsidR="00A03291" w:rsidRPr="00A03291">
        <w:rPr>
          <w:rFonts w:ascii="Times New Roman" w:hAnsi="Times New Roman" w:cs="Times New Roman"/>
          <w:sz w:val="28"/>
          <w:szCs w:val="28"/>
          <w:lang w:val="uk-UA"/>
        </w:rPr>
        <w:t>.</w:t>
      </w:r>
      <w:r w:rsidR="008B3BB7">
        <w:rPr>
          <w:rFonts w:ascii="Times New Roman" w:hAnsi="Times New Roman" w:cs="Times New Roman"/>
          <w:sz w:val="28"/>
          <w:szCs w:val="28"/>
          <w:lang w:val="uk-UA"/>
        </w:rPr>
        <w:t xml:space="preserve"> ПОКАЗНИКИ</w:t>
      </w:r>
      <w:r w:rsidR="0095249C">
        <w:rPr>
          <w:rFonts w:ascii="Times New Roman" w:hAnsi="Times New Roman" w:cs="Times New Roman"/>
          <w:sz w:val="28"/>
          <w:szCs w:val="28"/>
          <w:lang w:val="uk-UA"/>
        </w:rPr>
        <w:t xml:space="preserve"> М</w:t>
      </w:r>
      <w:r w:rsidR="0095249C">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ОКАР</w:t>
      </w:r>
      <w:r w:rsidR="0095249C">
        <w:rPr>
          <w:rFonts w:ascii="Times New Roman" w:hAnsi="Times New Roman" w:cs="Times New Roman"/>
          <w:sz w:val="28"/>
          <w:szCs w:val="28"/>
          <w:lang w:val="uk-UA"/>
        </w:rPr>
        <w:t>ДА Л</w:t>
      </w:r>
      <w:r w:rsidR="0095249C">
        <w:rPr>
          <w:rFonts w:ascii="Times New Roman" w:hAnsi="Times New Roman" w:cs="Times New Roman"/>
          <w:sz w:val="28"/>
          <w:szCs w:val="28"/>
          <w:lang w:val="en-US"/>
        </w:rPr>
        <w:t>I</w:t>
      </w:r>
      <w:r w:rsidR="007C764C">
        <w:rPr>
          <w:rFonts w:ascii="Times New Roman" w:hAnsi="Times New Roman" w:cs="Times New Roman"/>
          <w:sz w:val="28"/>
          <w:szCs w:val="28"/>
          <w:lang w:val="uk-UA"/>
        </w:rPr>
        <w:t>ВОГО ШЛУНОЧКА У ПАЦ</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ЄНТ</w:t>
      </w:r>
      <w:r w:rsidR="007C764C">
        <w:rPr>
          <w:rFonts w:ascii="Times New Roman" w:hAnsi="Times New Roman" w:cs="Times New Roman"/>
          <w:sz w:val="28"/>
          <w:szCs w:val="28"/>
          <w:lang w:val="en-US"/>
        </w:rPr>
        <w:t>I</w:t>
      </w:r>
      <w:r w:rsidR="004E164F">
        <w:rPr>
          <w:rFonts w:ascii="Times New Roman" w:hAnsi="Times New Roman" w:cs="Times New Roman"/>
          <w:sz w:val="28"/>
          <w:szCs w:val="28"/>
          <w:lang w:val="uk-UA"/>
        </w:rPr>
        <w:t xml:space="preserve">В </w:t>
      </w:r>
      <w:r w:rsidR="00341926">
        <w:rPr>
          <w:rFonts w:ascii="Times New Roman" w:hAnsi="Times New Roman" w:cs="Times New Roman"/>
          <w:sz w:val="28"/>
          <w:szCs w:val="28"/>
          <w:lang w:val="uk-UA"/>
        </w:rPr>
        <w:t>І</w:t>
      </w:r>
      <w:r w:rsidR="00A03291" w:rsidRPr="00A03291">
        <w:rPr>
          <w:rFonts w:ascii="Times New Roman" w:hAnsi="Times New Roman" w:cs="Times New Roman"/>
          <w:sz w:val="28"/>
          <w:szCs w:val="28"/>
          <w:lang w:val="uk-UA"/>
        </w:rPr>
        <w:t xml:space="preserve">З </w:t>
      </w:r>
      <w:r w:rsidR="007C764C">
        <w:rPr>
          <w:rFonts w:ascii="Times New Roman" w:hAnsi="Times New Roman" w:cs="Times New Roman"/>
          <w:sz w:val="28"/>
          <w:szCs w:val="28"/>
          <w:lang w:val="uk-UA"/>
        </w:rPr>
        <w:t>АРТЕР</w:t>
      </w:r>
      <w:r w:rsidR="007C764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АЛЬНОЮ</w:t>
      </w:r>
      <w:r w:rsidR="007C764C">
        <w:rPr>
          <w:rFonts w:ascii="Times New Roman" w:hAnsi="Times New Roman" w:cs="Times New Roman"/>
          <w:sz w:val="28"/>
          <w:szCs w:val="28"/>
          <w:lang w:val="uk-UA"/>
        </w:rPr>
        <w:t xml:space="preserve"> Г</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ПЕРТЕНЗ</w:t>
      </w:r>
      <w:r w:rsidR="007C764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ЄЮ</w:t>
      </w:r>
      <w:r w:rsidR="004729F6">
        <w:rPr>
          <w:rFonts w:ascii="Times New Roman" w:hAnsi="Times New Roman" w:cs="Times New Roman"/>
          <w:sz w:val="28"/>
          <w:szCs w:val="28"/>
          <w:lang w:val="uk-UA"/>
        </w:rPr>
        <w:t xml:space="preserve"> ТА </w:t>
      </w:r>
      <w:r w:rsidR="00A03291" w:rsidRPr="00A03291">
        <w:rPr>
          <w:rFonts w:ascii="Times New Roman" w:hAnsi="Times New Roman" w:cs="Times New Roman"/>
          <w:sz w:val="28"/>
          <w:szCs w:val="28"/>
          <w:lang w:val="uk-UA"/>
        </w:rPr>
        <w:t>ЦУКР</w:t>
      </w:r>
      <w:r w:rsidR="007C764C">
        <w:rPr>
          <w:rFonts w:ascii="Times New Roman" w:hAnsi="Times New Roman" w:cs="Times New Roman"/>
          <w:sz w:val="28"/>
          <w:szCs w:val="28"/>
          <w:lang w:val="uk-UA"/>
        </w:rPr>
        <w:t>ОВИМ Д</w:t>
      </w:r>
      <w:r w:rsidR="007C764C">
        <w:rPr>
          <w:rFonts w:ascii="Times New Roman" w:hAnsi="Times New Roman" w:cs="Times New Roman"/>
          <w:sz w:val="28"/>
          <w:szCs w:val="28"/>
          <w:lang w:val="en-US"/>
        </w:rPr>
        <w:t>I</w:t>
      </w:r>
      <w:r w:rsidR="004E164F">
        <w:rPr>
          <w:rFonts w:ascii="Times New Roman" w:hAnsi="Times New Roman" w:cs="Times New Roman"/>
          <w:sz w:val="28"/>
          <w:szCs w:val="28"/>
          <w:lang w:val="uk-UA"/>
        </w:rPr>
        <w:t xml:space="preserve">АБЕТОМ </w:t>
      </w:r>
      <w:r w:rsidR="00AC362F" w:rsidRPr="00AC362F">
        <w:rPr>
          <w:rFonts w:ascii="Times New Roman" w:hAnsi="Times New Roman" w:cs="Times New Roman"/>
          <w:sz w:val="28"/>
          <w:szCs w:val="28"/>
          <w:lang w:val="uk-UA"/>
        </w:rPr>
        <w:t xml:space="preserve">             </w:t>
      </w:r>
      <w:r w:rsidR="00A03291" w:rsidRPr="00A03291">
        <w:rPr>
          <w:rFonts w:ascii="Times New Roman" w:hAnsi="Times New Roman" w:cs="Times New Roman"/>
          <w:sz w:val="28"/>
          <w:szCs w:val="28"/>
          <w:lang w:val="uk-UA"/>
        </w:rPr>
        <w:t>2</w:t>
      </w:r>
      <w:r w:rsidR="008A013C">
        <w:rPr>
          <w:rFonts w:ascii="Times New Roman" w:hAnsi="Times New Roman" w:cs="Times New Roman"/>
          <w:sz w:val="28"/>
          <w:szCs w:val="28"/>
          <w:lang w:val="uk-UA"/>
        </w:rPr>
        <w:t>-ГО</w:t>
      </w:r>
      <w:r w:rsidR="00A03291" w:rsidRPr="00A03291">
        <w:rPr>
          <w:rFonts w:ascii="Times New Roman" w:hAnsi="Times New Roman" w:cs="Times New Roman"/>
          <w:sz w:val="28"/>
          <w:szCs w:val="28"/>
          <w:lang w:val="uk-UA"/>
        </w:rPr>
        <w:t xml:space="preserve"> Т</w:t>
      </w:r>
      <w:r w:rsidR="004729F6">
        <w:rPr>
          <w:rFonts w:ascii="Times New Roman" w:hAnsi="Times New Roman" w:cs="Times New Roman"/>
          <w:sz w:val="28"/>
          <w:szCs w:val="28"/>
          <w:lang w:val="uk-UA"/>
        </w:rPr>
        <w:t>ИПУ</w:t>
      </w:r>
    </w:p>
    <w:p w:rsidR="00A03291" w:rsidRPr="000F0E63" w:rsidRDefault="00704EF6" w:rsidP="00595A69">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0770A">
        <w:rPr>
          <w:rFonts w:ascii="Times New Roman" w:hAnsi="Times New Roman" w:cs="Times New Roman"/>
          <w:sz w:val="28"/>
          <w:szCs w:val="28"/>
          <w:lang w:val="uk-UA"/>
        </w:rPr>
        <w:t>.1.</w:t>
      </w:r>
      <w:r w:rsidR="00722E55">
        <w:rPr>
          <w:rFonts w:ascii="Times New Roman" w:hAnsi="Times New Roman" w:cs="Times New Roman"/>
          <w:sz w:val="28"/>
          <w:szCs w:val="28"/>
          <w:lang w:val="uk-UA"/>
        </w:rPr>
        <w:t xml:space="preserve"> </w:t>
      </w:r>
      <w:r w:rsidR="0050770A" w:rsidRPr="0050770A">
        <w:rPr>
          <w:rFonts w:ascii="Times New Roman" w:hAnsi="Times New Roman" w:cs="Times New Roman"/>
          <w:sz w:val="28"/>
          <w:szCs w:val="28"/>
          <w:lang w:val="uk-UA"/>
        </w:rPr>
        <w:t>Структурно-фун</w:t>
      </w:r>
      <w:r w:rsidR="007C764C">
        <w:rPr>
          <w:rFonts w:ascii="Times New Roman" w:hAnsi="Times New Roman" w:cs="Times New Roman"/>
          <w:sz w:val="28"/>
          <w:szCs w:val="28"/>
          <w:lang w:val="uk-UA"/>
        </w:rPr>
        <w:t>кц</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ональн</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 xml:space="preserve"> особливост</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 xml:space="preserve"> м</w:t>
      </w:r>
      <w:r w:rsidR="007C764C">
        <w:rPr>
          <w:rFonts w:ascii="Times New Roman" w:hAnsi="Times New Roman" w:cs="Times New Roman"/>
          <w:sz w:val="28"/>
          <w:szCs w:val="28"/>
          <w:lang w:val="en-US"/>
        </w:rPr>
        <w:t>i</w:t>
      </w:r>
      <w:r w:rsidR="007B0442">
        <w:rPr>
          <w:rFonts w:ascii="Times New Roman" w:hAnsi="Times New Roman" w:cs="Times New Roman"/>
          <w:sz w:val="28"/>
          <w:szCs w:val="28"/>
          <w:lang w:val="uk-UA"/>
        </w:rPr>
        <w:t xml:space="preserve">окарда </w:t>
      </w:r>
      <w:r w:rsidR="007C764C">
        <w:rPr>
          <w:rFonts w:ascii="Times New Roman" w:hAnsi="Times New Roman" w:cs="Times New Roman"/>
          <w:sz w:val="28"/>
          <w:szCs w:val="28"/>
          <w:lang w:val="uk-UA"/>
        </w:rPr>
        <w:t>у пац</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єнт</w:t>
      </w:r>
      <w:r w:rsidR="007C764C">
        <w:rPr>
          <w:rFonts w:ascii="Times New Roman" w:hAnsi="Times New Roman" w:cs="Times New Roman"/>
          <w:sz w:val="28"/>
          <w:szCs w:val="28"/>
          <w:lang w:val="en-US"/>
        </w:rPr>
        <w:t>i</w:t>
      </w:r>
      <w:r w:rsidR="0050770A" w:rsidRPr="0050770A">
        <w:rPr>
          <w:rFonts w:ascii="Times New Roman" w:hAnsi="Times New Roman" w:cs="Times New Roman"/>
          <w:sz w:val="28"/>
          <w:szCs w:val="28"/>
          <w:lang w:val="uk-UA"/>
        </w:rPr>
        <w:t xml:space="preserve">в </w:t>
      </w:r>
      <w:r w:rsidR="00595A69">
        <w:rPr>
          <w:rFonts w:ascii="Times New Roman" w:hAnsi="Times New Roman" w:cs="Times New Roman"/>
          <w:sz w:val="28"/>
          <w:szCs w:val="28"/>
          <w:lang w:val="uk-UA"/>
        </w:rPr>
        <w:t xml:space="preserve">                     </w:t>
      </w:r>
      <w:r w:rsidR="00341926">
        <w:rPr>
          <w:rFonts w:ascii="Times New Roman" w:hAnsi="Times New Roman" w:cs="Times New Roman"/>
          <w:sz w:val="28"/>
          <w:szCs w:val="28"/>
          <w:lang w:val="uk-UA"/>
        </w:rPr>
        <w:t>і</w:t>
      </w:r>
      <w:r w:rsidR="007C764C">
        <w:rPr>
          <w:rFonts w:ascii="Times New Roman" w:hAnsi="Times New Roman" w:cs="Times New Roman"/>
          <w:sz w:val="28"/>
          <w:szCs w:val="28"/>
          <w:lang w:val="uk-UA"/>
        </w:rPr>
        <w:t>з артер</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альною г</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пертенз</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єю та цукровим д</w:t>
      </w:r>
      <w:r w:rsidR="007C764C">
        <w:rPr>
          <w:rFonts w:ascii="Times New Roman" w:hAnsi="Times New Roman" w:cs="Times New Roman"/>
          <w:sz w:val="28"/>
          <w:szCs w:val="28"/>
          <w:lang w:val="en-US"/>
        </w:rPr>
        <w:t>i</w:t>
      </w:r>
      <w:r w:rsidR="0050770A" w:rsidRPr="0050770A">
        <w:rPr>
          <w:rFonts w:ascii="Times New Roman" w:hAnsi="Times New Roman" w:cs="Times New Roman"/>
          <w:sz w:val="28"/>
          <w:szCs w:val="28"/>
          <w:lang w:val="uk-UA"/>
        </w:rPr>
        <w:t>абетом 2-го типу</w:t>
      </w:r>
      <w:r w:rsidR="00595A69">
        <w:rPr>
          <w:rFonts w:ascii="Times New Roman" w:hAnsi="Times New Roman" w:cs="Times New Roman"/>
          <w:sz w:val="28"/>
          <w:szCs w:val="28"/>
          <w:lang w:val="uk-UA"/>
        </w:rPr>
        <w:t>………</w:t>
      </w:r>
      <w:r w:rsidR="0050770A">
        <w:rPr>
          <w:rFonts w:ascii="Times New Roman" w:hAnsi="Times New Roman" w:cs="Times New Roman"/>
          <w:sz w:val="28"/>
          <w:szCs w:val="28"/>
          <w:lang w:val="uk-UA"/>
        </w:rPr>
        <w:t>…….</w:t>
      </w:r>
      <w:r w:rsidR="00863D6C">
        <w:rPr>
          <w:rFonts w:ascii="Times New Roman" w:hAnsi="Times New Roman" w:cs="Times New Roman"/>
          <w:sz w:val="28"/>
          <w:szCs w:val="28"/>
          <w:lang w:val="uk-UA"/>
        </w:rPr>
        <w:t>..</w:t>
      </w:r>
      <w:r w:rsidR="0050770A" w:rsidRPr="0050770A">
        <w:rPr>
          <w:rFonts w:ascii="Times New Roman" w:hAnsi="Times New Roman" w:cs="Times New Roman"/>
          <w:sz w:val="28"/>
          <w:szCs w:val="28"/>
          <w:lang w:val="uk-UA"/>
        </w:rPr>
        <w:t xml:space="preserve"> </w:t>
      </w:r>
      <w:r w:rsidR="007B67E1">
        <w:rPr>
          <w:rFonts w:ascii="Times New Roman" w:hAnsi="Times New Roman" w:cs="Times New Roman"/>
          <w:sz w:val="28"/>
          <w:szCs w:val="28"/>
          <w:lang w:val="uk-UA"/>
        </w:rPr>
        <w:t>9</w:t>
      </w:r>
      <w:r w:rsidR="000F0E63">
        <w:rPr>
          <w:rFonts w:ascii="Times New Roman" w:hAnsi="Times New Roman" w:cs="Times New Roman"/>
          <w:sz w:val="28"/>
          <w:szCs w:val="28"/>
          <w:lang w:val="uk-UA"/>
        </w:rPr>
        <w:t>7</w:t>
      </w:r>
    </w:p>
    <w:p w:rsidR="00A03291" w:rsidRPr="000F0E63" w:rsidRDefault="00704EF6" w:rsidP="00E459EA">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03291" w:rsidRPr="00A03291">
        <w:rPr>
          <w:rFonts w:ascii="Times New Roman" w:hAnsi="Times New Roman" w:cs="Times New Roman"/>
          <w:sz w:val="28"/>
          <w:szCs w:val="28"/>
          <w:lang w:val="uk-UA"/>
        </w:rPr>
        <w:t xml:space="preserve">.2. </w:t>
      </w:r>
      <w:r w:rsidR="00FB441C">
        <w:rPr>
          <w:rFonts w:ascii="Times New Roman" w:hAnsi="Times New Roman" w:cs="Times New Roman"/>
          <w:sz w:val="28"/>
          <w:szCs w:val="28"/>
          <w:lang w:val="uk-UA"/>
        </w:rPr>
        <w:t>З</w:t>
      </w:r>
      <w:r w:rsidR="00595A69">
        <w:rPr>
          <w:rFonts w:ascii="Times New Roman" w:hAnsi="Times New Roman" w:cs="Times New Roman"/>
          <w:sz w:val="28"/>
          <w:szCs w:val="28"/>
          <w:lang w:val="uk-UA"/>
        </w:rPr>
        <w:t xml:space="preserve">в’язки </w:t>
      </w:r>
      <w:r w:rsidR="00FB441C">
        <w:rPr>
          <w:rFonts w:ascii="Times New Roman" w:hAnsi="Times New Roman" w:cs="Times New Roman"/>
          <w:sz w:val="28"/>
          <w:szCs w:val="28"/>
          <w:lang w:val="uk-UA"/>
        </w:rPr>
        <w:t xml:space="preserve">між показниками функції серця та нирок </w:t>
      </w:r>
      <w:r w:rsidR="002B0043">
        <w:rPr>
          <w:rFonts w:ascii="Times New Roman" w:hAnsi="Times New Roman" w:cs="Times New Roman"/>
          <w:sz w:val="28"/>
          <w:szCs w:val="28"/>
          <w:lang w:val="uk-UA"/>
        </w:rPr>
        <w:t xml:space="preserve">у хворих на </w:t>
      </w:r>
      <w:r w:rsidR="007C764C">
        <w:rPr>
          <w:rFonts w:ascii="Times New Roman" w:hAnsi="Times New Roman" w:cs="Times New Roman"/>
          <w:sz w:val="28"/>
          <w:szCs w:val="28"/>
          <w:lang w:val="uk-UA"/>
        </w:rPr>
        <w:t>артер</w:t>
      </w:r>
      <w:r w:rsidR="007C764C">
        <w:rPr>
          <w:rFonts w:ascii="Times New Roman" w:hAnsi="Times New Roman" w:cs="Times New Roman"/>
          <w:sz w:val="28"/>
          <w:szCs w:val="28"/>
          <w:lang w:val="en-US"/>
        </w:rPr>
        <w:t>i</w:t>
      </w:r>
      <w:r w:rsidR="002B0043">
        <w:rPr>
          <w:rFonts w:ascii="Times New Roman" w:hAnsi="Times New Roman" w:cs="Times New Roman"/>
          <w:sz w:val="28"/>
          <w:szCs w:val="28"/>
          <w:lang w:val="uk-UA"/>
        </w:rPr>
        <w:t>альну</w:t>
      </w:r>
      <w:r w:rsidR="007C764C">
        <w:rPr>
          <w:rFonts w:ascii="Times New Roman" w:hAnsi="Times New Roman" w:cs="Times New Roman"/>
          <w:sz w:val="28"/>
          <w:szCs w:val="28"/>
          <w:lang w:val="uk-UA"/>
        </w:rPr>
        <w:t xml:space="preserve"> г</w:t>
      </w:r>
      <w:r w:rsidR="007C764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перте</w:t>
      </w:r>
      <w:r w:rsidR="007C764C">
        <w:rPr>
          <w:rFonts w:ascii="Times New Roman" w:hAnsi="Times New Roman" w:cs="Times New Roman"/>
          <w:sz w:val="28"/>
          <w:szCs w:val="28"/>
          <w:lang w:val="uk-UA"/>
        </w:rPr>
        <w:t>нз</w:t>
      </w:r>
      <w:r w:rsidR="007C764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ю</w:t>
      </w:r>
      <w:r w:rsidR="004729F6" w:rsidRPr="0050770A">
        <w:rPr>
          <w:rFonts w:ascii="Times New Roman" w:hAnsi="Times New Roman" w:cs="Times New Roman"/>
          <w:sz w:val="28"/>
          <w:szCs w:val="28"/>
          <w:lang w:val="uk-UA"/>
        </w:rPr>
        <w:t xml:space="preserve"> </w:t>
      </w:r>
      <w:r w:rsidR="004729F6">
        <w:rPr>
          <w:rFonts w:ascii="Times New Roman" w:hAnsi="Times New Roman" w:cs="Times New Roman"/>
          <w:sz w:val="28"/>
          <w:szCs w:val="28"/>
          <w:lang w:val="uk-UA"/>
        </w:rPr>
        <w:t xml:space="preserve">та </w:t>
      </w:r>
      <w:r w:rsidR="002B0043">
        <w:rPr>
          <w:rFonts w:ascii="Times New Roman" w:hAnsi="Times New Roman" w:cs="Times New Roman"/>
          <w:sz w:val="28"/>
          <w:szCs w:val="28"/>
          <w:lang w:val="uk-UA"/>
        </w:rPr>
        <w:t>цукровий</w:t>
      </w:r>
      <w:r w:rsidR="007C764C">
        <w:rPr>
          <w:rFonts w:ascii="Times New Roman" w:hAnsi="Times New Roman" w:cs="Times New Roman"/>
          <w:sz w:val="28"/>
          <w:szCs w:val="28"/>
          <w:lang w:val="uk-UA"/>
        </w:rPr>
        <w:t xml:space="preserve"> д</w:t>
      </w:r>
      <w:r w:rsidR="007C764C">
        <w:rPr>
          <w:rFonts w:ascii="Times New Roman" w:hAnsi="Times New Roman" w:cs="Times New Roman"/>
          <w:sz w:val="28"/>
          <w:szCs w:val="28"/>
          <w:lang w:val="en-US"/>
        </w:rPr>
        <w:t>i</w:t>
      </w:r>
      <w:r w:rsidR="002B0043">
        <w:rPr>
          <w:rFonts w:ascii="Times New Roman" w:hAnsi="Times New Roman" w:cs="Times New Roman"/>
          <w:sz w:val="28"/>
          <w:szCs w:val="28"/>
          <w:lang w:val="uk-UA"/>
        </w:rPr>
        <w:t>абет</w:t>
      </w:r>
      <w:r w:rsidR="0082188A" w:rsidRPr="0082188A">
        <w:rPr>
          <w:rFonts w:ascii="Times New Roman" w:hAnsi="Times New Roman" w:cs="Times New Roman"/>
          <w:sz w:val="28"/>
          <w:szCs w:val="28"/>
          <w:lang w:val="uk-UA"/>
        </w:rPr>
        <w:t xml:space="preserve"> 2-го типу </w:t>
      </w:r>
      <w:r w:rsidR="004729F6">
        <w:rPr>
          <w:rFonts w:ascii="Times New Roman" w:hAnsi="Times New Roman" w:cs="Times New Roman"/>
          <w:sz w:val="28"/>
          <w:szCs w:val="28"/>
          <w:lang w:val="uk-UA"/>
        </w:rPr>
        <w:t>………………………..</w:t>
      </w:r>
      <w:r w:rsidR="00FB441C">
        <w:rPr>
          <w:rFonts w:ascii="Times New Roman" w:hAnsi="Times New Roman" w:cs="Times New Roman"/>
          <w:sz w:val="28"/>
          <w:szCs w:val="28"/>
          <w:lang w:val="uk-UA"/>
        </w:rPr>
        <w:t>…………..</w:t>
      </w:r>
      <w:r w:rsidR="00C973CC">
        <w:rPr>
          <w:rFonts w:ascii="Times New Roman" w:hAnsi="Times New Roman" w:cs="Times New Roman"/>
          <w:sz w:val="28"/>
          <w:szCs w:val="28"/>
          <w:lang w:val="uk-UA"/>
        </w:rPr>
        <w:t>10</w:t>
      </w:r>
      <w:r w:rsidR="000F0E63">
        <w:rPr>
          <w:rFonts w:ascii="Times New Roman" w:hAnsi="Times New Roman" w:cs="Times New Roman"/>
          <w:sz w:val="28"/>
          <w:szCs w:val="28"/>
          <w:lang w:val="uk-UA"/>
        </w:rPr>
        <w:t>4</w:t>
      </w:r>
    </w:p>
    <w:p w:rsidR="00A03291" w:rsidRPr="002869C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03291" w:rsidRPr="00A03291">
        <w:rPr>
          <w:rFonts w:ascii="Times New Roman" w:hAnsi="Times New Roman" w:cs="Times New Roman"/>
          <w:sz w:val="28"/>
          <w:szCs w:val="28"/>
          <w:lang w:val="uk-UA"/>
        </w:rPr>
        <w:t xml:space="preserve">.3. </w:t>
      </w:r>
      <w:r w:rsidR="007C764C">
        <w:rPr>
          <w:rFonts w:ascii="Times New Roman" w:hAnsi="Times New Roman" w:cs="Times New Roman"/>
          <w:sz w:val="28"/>
          <w:szCs w:val="28"/>
          <w:lang w:val="uk-UA"/>
        </w:rPr>
        <w:t>Особливост</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 xml:space="preserve"> ендотел</w:t>
      </w:r>
      <w:r w:rsidR="007C764C">
        <w:rPr>
          <w:rFonts w:ascii="Times New Roman" w:hAnsi="Times New Roman" w:cs="Times New Roman"/>
          <w:sz w:val="28"/>
          <w:szCs w:val="28"/>
          <w:lang w:val="en-US"/>
        </w:rPr>
        <w:t>i</w:t>
      </w:r>
      <w:r w:rsidR="000C3C7A">
        <w:rPr>
          <w:rFonts w:ascii="Times New Roman" w:hAnsi="Times New Roman" w:cs="Times New Roman"/>
          <w:sz w:val="28"/>
          <w:szCs w:val="28"/>
          <w:lang w:val="uk-UA"/>
        </w:rPr>
        <w:t xml:space="preserve">альної </w:t>
      </w:r>
      <w:r w:rsidR="007C764C">
        <w:rPr>
          <w:rFonts w:ascii="Times New Roman" w:hAnsi="Times New Roman" w:cs="Times New Roman"/>
          <w:sz w:val="28"/>
          <w:szCs w:val="28"/>
          <w:lang w:val="uk-UA"/>
        </w:rPr>
        <w:t>функц</w:t>
      </w:r>
      <w:r w:rsidR="007C764C">
        <w:rPr>
          <w:rFonts w:ascii="Times New Roman" w:hAnsi="Times New Roman" w:cs="Times New Roman"/>
          <w:sz w:val="28"/>
          <w:szCs w:val="28"/>
          <w:lang w:val="en-US"/>
        </w:rPr>
        <w:t>i</w:t>
      </w:r>
      <w:r w:rsidR="00F77D47" w:rsidRPr="00F77D47">
        <w:rPr>
          <w:rFonts w:ascii="Times New Roman" w:hAnsi="Times New Roman" w:cs="Times New Roman"/>
          <w:sz w:val="28"/>
          <w:szCs w:val="28"/>
          <w:lang w:val="uk-UA"/>
        </w:rPr>
        <w:t xml:space="preserve">ї </w:t>
      </w:r>
      <w:r w:rsidR="0026229A">
        <w:rPr>
          <w:rFonts w:ascii="Times New Roman" w:hAnsi="Times New Roman" w:cs="Times New Roman"/>
          <w:sz w:val="28"/>
          <w:szCs w:val="28"/>
          <w:lang w:val="uk-UA"/>
        </w:rPr>
        <w:t xml:space="preserve">у пацієнтів </w:t>
      </w:r>
      <w:r w:rsidR="00341926">
        <w:rPr>
          <w:rFonts w:ascii="Times New Roman" w:hAnsi="Times New Roman" w:cs="Times New Roman"/>
          <w:sz w:val="28"/>
          <w:szCs w:val="28"/>
          <w:lang w:val="uk-UA"/>
        </w:rPr>
        <w:t>і</w:t>
      </w:r>
      <w:r w:rsidR="002663B5">
        <w:rPr>
          <w:rFonts w:ascii="Times New Roman" w:hAnsi="Times New Roman" w:cs="Times New Roman"/>
          <w:sz w:val="28"/>
          <w:szCs w:val="28"/>
          <w:lang w:val="uk-UA"/>
        </w:rPr>
        <w:t xml:space="preserve">з </w:t>
      </w:r>
      <w:r w:rsidR="007C764C">
        <w:rPr>
          <w:rFonts w:ascii="Times New Roman" w:hAnsi="Times New Roman" w:cs="Times New Roman"/>
          <w:sz w:val="28"/>
          <w:szCs w:val="28"/>
          <w:lang w:val="uk-UA"/>
        </w:rPr>
        <w:t>артер</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альною г</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пертенз</w:t>
      </w:r>
      <w:r w:rsidR="007C764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єю</w:t>
      </w:r>
      <w:r w:rsidR="004729F6" w:rsidRPr="002663B5">
        <w:rPr>
          <w:rFonts w:ascii="Times New Roman" w:hAnsi="Times New Roman" w:cs="Times New Roman"/>
          <w:sz w:val="28"/>
          <w:szCs w:val="28"/>
          <w:lang w:val="uk-UA"/>
        </w:rPr>
        <w:t xml:space="preserve"> </w:t>
      </w:r>
      <w:r w:rsidR="004729F6">
        <w:rPr>
          <w:rFonts w:ascii="Times New Roman" w:hAnsi="Times New Roman" w:cs="Times New Roman"/>
          <w:sz w:val="28"/>
          <w:szCs w:val="28"/>
          <w:lang w:val="uk-UA"/>
        </w:rPr>
        <w:t xml:space="preserve">та </w:t>
      </w:r>
      <w:r w:rsidR="007C764C">
        <w:rPr>
          <w:rFonts w:ascii="Times New Roman" w:hAnsi="Times New Roman" w:cs="Times New Roman"/>
          <w:sz w:val="28"/>
          <w:szCs w:val="28"/>
          <w:lang w:val="uk-UA"/>
        </w:rPr>
        <w:t>цукровим д</w:t>
      </w:r>
      <w:r w:rsidR="007C764C">
        <w:rPr>
          <w:rFonts w:ascii="Times New Roman" w:hAnsi="Times New Roman" w:cs="Times New Roman"/>
          <w:sz w:val="28"/>
          <w:szCs w:val="28"/>
          <w:lang w:val="en-US"/>
        </w:rPr>
        <w:t>i</w:t>
      </w:r>
      <w:r w:rsidR="002663B5" w:rsidRPr="002663B5">
        <w:rPr>
          <w:rFonts w:ascii="Times New Roman" w:hAnsi="Times New Roman" w:cs="Times New Roman"/>
          <w:sz w:val="28"/>
          <w:szCs w:val="28"/>
          <w:lang w:val="uk-UA"/>
        </w:rPr>
        <w:t>абетом 2-го типу</w:t>
      </w:r>
      <w:r w:rsidR="004729F6">
        <w:rPr>
          <w:rFonts w:ascii="Times New Roman" w:hAnsi="Times New Roman" w:cs="Times New Roman"/>
          <w:sz w:val="28"/>
          <w:szCs w:val="28"/>
          <w:lang w:val="uk-UA"/>
        </w:rPr>
        <w:t>………………………………..</w:t>
      </w:r>
      <w:r w:rsidR="00C973CC">
        <w:rPr>
          <w:rFonts w:ascii="Times New Roman" w:hAnsi="Times New Roman" w:cs="Times New Roman"/>
          <w:sz w:val="28"/>
          <w:szCs w:val="28"/>
          <w:lang w:val="uk-UA"/>
        </w:rPr>
        <w:t>10</w:t>
      </w:r>
      <w:r w:rsidR="002869C3" w:rsidRPr="002869C3">
        <w:rPr>
          <w:rFonts w:ascii="Times New Roman" w:hAnsi="Times New Roman" w:cs="Times New Roman"/>
          <w:sz w:val="28"/>
          <w:szCs w:val="28"/>
          <w:lang w:val="uk-UA"/>
        </w:rPr>
        <w:t>6</w:t>
      </w:r>
    </w:p>
    <w:p w:rsidR="00A7450D" w:rsidRPr="000F0E6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D0D74">
        <w:rPr>
          <w:rFonts w:ascii="Times New Roman" w:hAnsi="Times New Roman" w:cs="Times New Roman"/>
          <w:sz w:val="28"/>
          <w:szCs w:val="28"/>
          <w:lang w:val="uk-UA"/>
        </w:rPr>
        <w:t>.4. Звʼ</w:t>
      </w:r>
      <w:r w:rsidR="007C764C">
        <w:rPr>
          <w:rFonts w:ascii="Times New Roman" w:hAnsi="Times New Roman" w:cs="Times New Roman"/>
          <w:sz w:val="28"/>
          <w:szCs w:val="28"/>
          <w:lang w:val="uk-UA"/>
        </w:rPr>
        <w:t>язок між урикем</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єю та показниками функц</w:t>
      </w:r>
      <w:r w:rsidR="007C764C">
        <w:rPr>
          <w:rFonts w:ascii="Times New Roman" w:hAnsi="Times New Roman" w:cs="Times New Roman"/>
          <w:sz w:val="28"/>
          <w:szCs w:val="28"/>
          <w:lang w:val="en-US"/>
        </w:rPr>
        <w:t>i</w:t>
      </w:r>
      <w:r w:rsidR="003D749D">
        <w:rPr>
          <w:rFonts w:ascii="Times New Roman" w:hAnsi="Times New Roman" w:cs="Times New Roman"/>
          <w:sz w:val="28"/>
          <w:szCs w:val="28"/>
          <w:lang w:val="uk-UA"/>
        </w:rPr>
        <w:t xml:space="preserve">ї серця </w:t>
      </w:r>
      <w:r w:rsidR="000D0D74">
        <w:rPr>
          <w:rFonts w:ascii="Times New Roman" w:hAnsi="Times New Roman" w:cs="Times New Roman"/>
          <w:sz w:val="28"/>
          <w:szCs w:val="28"/>
          <w:lang w:val="uk-UA"/>
        </w:rPr>
        <w:t>у хворих на</w:t>
      </w:r>
      <w:r w:rsidR="003D749D">
        <w:rPr>
          <w:rFonts w:ascii="Times New Roman" w:hAnsi="Times New Roman" w:cs="Times New Roman"/>
          <w:sz w:val="28"/>
          <w:szCs w:val="28"/>
          <w:lang w:val="uk-UA"/>
        </w:rPr>
        <w:t xml:space="preserve"> </w:t>
      </w:r>
      <w:r w:rsidR="004729F6">
        <w:rPr>
          <w:rFonts w:ascii="Times New Roman" w:hAnsi="Times New Roman" w:cs="Times New Roman"/>
          <w:sz w:val="28"/>
          <w:szCs w:val="28"/>
          <w:lang w:val="uk-UA"/>
        </w:rPr>
        <w:t xml:space="preserve">                       </w:t>
      </w:r>
      <w:r w:rsidR="007C764C">
        <w:rPr>
          <w:rFonts w:ascii="Times New Roman" w:hAnsi="Times New Roman" w:cs="Times New Roman"/>
          <w:sz w:val="28"/>
          <w:szCs w:val="28"/>
          <w:lang w:val="uk-UA"/>
        </w:rPr>
        <w:t>артер</w:t>
      </w:r>
      <w:r w:rsidR="007C764C">
        <w:rPr>
          <w:rFonts w:ascii="Times New Roman" w:hAnsi="Times New Roman" w:cs="Times New Roman"/>
          <w:sz w:val="28"/>
          <w:szCs w:val="28"/>
          <w:lang w:val="en-US"/>
        </w:rPr>
        <w:t>i</w:t>
      </w:r>
      <w:r w:rsidR="000D0D74">
        <w:rPr>
          <w:rFonts w:ascii="Times New Roman" w:hAnsi="Times New Roman" w:cs="Times New Roman"/>
          <w:sz w:val="28"/>
          <w:szCs w:val="28"/>
          <w:lang w:val="uk-UA"/>
        </w:rPr>
        <w:t>альну</w:t>
      </w:r>
      <w:r w:rsidR="007C764C">
        <w:rPr>
          <w:rFonts w:ascii="Times New Roman" w:hAnsi="Times New Roman" w:cs="Times New Roman"/>
          <w:sz w:val="28"/>
          <w:szCs w:val="28"/>
          <w:lang w:val="uk-UA"/>
        </w:rPr>
        <w:t xml:space="preserve"> г</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пертенз</w:t>
      </w:r>
      <w:r w:rsidR="007C764C">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єю</w:t>
      </w:r>
      <w:r w:rsidR="004729F6">
        <w:rPr>
          <w:rFonts w:ascii="Times New Roman" w:hAnsi="Times New Roman" w:cs="Times New Roman"/>
          <w:sz w:val="28"/>
          <w:szCs w:val="28"/>
          <w:lang w:val="uk-UA"/>
        </w:rPr>
        <w:t xml:space="preserve"> та </w:t>
      </w:r>
      <w:r w:rsidR="000D0D74">
        <w:rPr>
          <w:rFonts w:ascii="Times New Roman" w:hAnsi="Times New Roman" w:cs="Times New Roman"/>
          <w:sz w:val="28"/>
          <w:szCs w:val="28"/>
          <w:lang w:val="uk-UA"/>
        </w:rPr>
        <w:t>цукровий</w:t>
      </w:r>
      <w:r w:rsidR="007C764C">
        <w:rPr>
          <w:rFonts w:ascii="Times New Roman" w:hAnsi="Times New Roman" w:cs="Times New Roman"/>
          <w:sz w:val="28"/>
          <w:szCs w:val="28"/>
          <w:lang w:val="uk-UA"/>
        </w:rPr>
        <w:t xml:space="preserve"> д</w:t>
      </w:r>
      <w:r w:rsidR="007C764C">
        <w:rPr>
          <w:rFonts w:ascii="Times New Roman" w:hAnsi="Times New Roman" w:cs="Times New Roman"/>
          <w:sz w:val="28"/>
          <w:szCs w:val="28"/>
          <w:lang w:val="en-US"/>
        </w:rPr>
        <w:t>i</w:t>
      </w:r>
      <w:r w:rsidR="000D0D74">
        <w:rPr>
          <w:rFonts w:ascii="Times New Roman" w:hAnsi="Times New Roman" w:cs="Times New Roman"/>
          <w:sz w:val="28"/>
          <w:szCs w:val="28"/>
          <w:lang w:val="uk-UA"/>
        </w:rPr>
        <w:t>абет</w:t>
      </w:r>
      <w:r w:rsidR="003D749D">
        <w:rPr>
          <w:rFonts w:ascii="Times New Roman" w:hAnsi="Times New Roman" w:cs="Times New Roman"/>
          <w:sz w:val="28"/>
          <w:szCs w:val="28"/>
          <w:lang w:val="uk-UA"/>
        </w:rPr>
        <w:t xml:space="preserve"> 2-го типу</w:t>
      </w:r>
      <w:r w:rsidR="004729F6">
        <w:rPr>
          <w:rFonts w:ascii="Times New Roman" w:hAnsi="Times New Roman" w:cs="Times New Roman"/>
          <w:sz w:val="28"/>
          <w:szCs w:val="28"/>
          <w:lang w:val="uk-UA"/>
        </w:rPr>
        <w:t xml:space="preserve"> ……………</w:t>
      </w:r>
      <w:r w:rsidR="00D30DBA">
        <w:rPr>
          <w:rFonts w:ascii="Times New Roman" w:hAnsi="Times New Roman" w:cs="Times New Roman"/>
          <w:sz w:val="28"/>
          <w:szCs w:val="28"/>
          <w:lang w:val="uk-UA"/>
        </w:rPr>
        <w:t>...</w:t>
      </w:r>
      <w:r w:rsidR="000D0D74">
        <w:rPr>
          <w:rFonts w:ascii="Times New Roman" w:hAnsi="Times New Roman" w:cs="Times New Roman"/>
          <w:sz w:val="28"/>
          <w:szCs w:val="28"/>
          <w:lang w:val="uk-UA"/>
        </w:rPr>
        <w:t>..........</w:t>
      </w:r>
      <w:r w:rsidR="00C97E83">
        <w:rPr>
          <w:rFonts w:ascii="Times New Roman" w:hAnsi="Times New Roman" w:cs="Times New Roman"/>
          <w:sz w:val="28"/>
          <w:szCs w:val="28"/>
          <w:lang w:val="uk-UA"/>
        </w:rPr>
        <w:t>10</w:t>
      </w:r>
      <w:r w:rsidR="000F0E63">
        <w:rPr>
          <w:rFonts w:ascii="Times New Roman" w:hAnsi="Times New Roman" w:cs="Times New Roman"/>
          <w:sz w:val="28"/>
          <w:szCs w:val="28"/>
          <w:lang w:val="uk-UA"/>
        </w:rPr>
        <w:t>8</w:t>
      </w:r>
    </w:p>
    <w:p w:rsidR="00704EF6" w:rsidRPr="000F0E63" w:rsidRDefault="00704EF6"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Pr="00704EF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1143D">
        <w:rPr>
          <w:rFonts w:ascii="Times New Roman" w:hAnsi="Times New Roman" w:cs="Times New Roman"/>
          <w:sz w:val="28"/>
          <w:szCs w:val="28"/>
          <w:lang w:val="uk-UA"/>
        </w:rPr>
        <w:t>Оцінка</w:t>
      </w:r>
      <w:r w:rsidR="00623190" w:rsidRPr="00623190">
        <w:rPr>
          <w:rFonts w:ascii="Times New Roman" w:hAnsi="Times New Roman" w:cs="Times New Roman"/>
          <w:sz w:val="28"/>
          <w:szCs w:val="28"/>
          <w:lang w:val="uk-UA"/>
        </w:rPr>
        <w:t xml:space="preserve"> вміст</w:t>
      </w:r>
      <w:r w:rsidR="00C1143D">
        <w:rPr>
          <w:rFonts w:ascii="Times New Roman" w:hAnsi="Times New Roman" w:cs="Times New Roman"/>
          <w:sz w:val="28"/>
          <w:szCs w:val="28"/>
          <w:lang w:val="uk-UA"/>
        </w:rPr>
        <w:t>у</w:t>
      </w:r>
      <w:r w:rsidR="00623190" w:rsidRPr="00623190">
        <w:rPr>
          <w:rFonts w:ascii="Times New Roman" w:hAnsi="Times New Roman" w:cs="Times New Roman"/>
          <w:sz w:val="28"/>
          <w:szCs w:val="28"/>
          <w:lang w:val="uk-UA"/>
        </w:rPr>
        <w:t xml:space="preserve"> фактора некрозу пухлин-α залежно від функціонального стану серця </w:t>
      </w:r>
      <w:r w:rsidR="001B349D" w:rsidRPr="00623190">
        <w:rPr>
          <w:rFonts w:ascii="Times New Roman" w:hAnsi="Times New Roman" w:cs="Times New Roman"/>
          <w:sz w:val="28"/>
          <w:szCs w:val="28"/>
          <w:lang w:val="uk-UA"/>
        </w:rPr>
        <w:t xml:space="preserve">у пацієнтів </w:t>
      </w:r>
      <w:r w:rsidR="00341926" w:rsidRPr="00623190">
        <w:rPr>
          <w:rFonts w:ascii="Times New Roman" w:hAnsi="Times New Roman" w:cs="Times New Roman"/>
          <w:sz w:val="28"/>
          <w:szCs w:val="28"/>
          <w:lang w:val="uk-UA"/>
        </w:rPr>
        <w:t>і</w:t>
      </w:r>
      <w:r w:rsidRPr="00623190">
        <w:rPr>
          <w:rFonts w:ascii="Times New Roman" w:hAnsi="Times New Roman" w:cs="Times New Roman"/>
          <w:sz w:val="28"/>
          <w:szCs w:val="28"/>
          <w:lang w:val="uk-UA"/>
        </w:rPr>
        <w:t xml:space="preserve">з </w:t>
      </w:r>
      <w:r w:rsidR="007C764C" w:rsidRPr="00623190">
        <w:rPr>
          <w:rFonts w:ascii="Times New Roman" w:hAnsi="Times New Roman" w:cs="Times New Roman"/>
          <w:sz w:val="28"/>
          <w:szCs w:val="28"/>
          <w:lang w:val="uk-UA"/>
        </w:rPr>
        <w:t>артер</w:t>
      </w:r>
      <w:r w:rsidR="007C764C" w:rsidRPr="00623190">
        <w:rPr>
          <w:rFonts w:ascii="Times New Roman" w:hAnsi="Times New Roman" w:cs="Times New Roman"/>
          <w:sz w:val="28"/>
          <w:szCs w:val="28"/>
          <w:lang w:val="en-US"/>
        </w:rPr>
        <w:t>i</w:t>
      </w:r>
      <w:r w:rsidR="007C764C" w:rsidRPr="00623190">
        <w:rPr>
          <w:rFonts w:ascii="Times New Roman" w:hAnsi="Times New Roman" w:cs="Times New Roman"/>
          <w:sz w:val="28"/>
          <w:szCs w:val="28"/>
          <w:lang w:val="uk-UA"/>
        </w:rPr>
        <w:t>альною г</w:t>
      </w:r>
      <w:r w:rsidR="007C764C" w:rsidRPr="00623190">
        <w:rPr>
          <w:rFonts w:ascii="Times New Roman" w:hAnsi="Times New Roman" w:cs="Times New Roman"/>
          <w:sz w:val="28"/>
          <w:szCs w:val="28"/>
          <w:lang w:val="en-US"/>
        </w:rPr>
        <w:t>i</w:t>
      </w:r>
      <w:r w:rsidR="007C764C" w:rsidRPr="00623190">
        <w:rPr>
          <w:rFonts w:ascii="Times New Roman" w:hAnsi="Times New Roman" w:cs="Times New Roman"/>
          <w:sz w:val="28"/>
          <w:szCs w:val="28"/>
          <w:lang w:val="uk-UA"/>
        </w:rPr>
        <w:t>пертенз</w:t>
      </w:r>
      <w:r w:rsidR="007C764C" w:rsidRPr="00623190">
        <w:rPr>
          <w:rFonts w:ascii="Times New Roman" w:hAnsi="Times New Roman" w:cs="Times New Roman"/>
          <w:sz w:val="28"/>
          <w:szCs w:val="28"/>
          <w:lang w:val="en-US"/>
        </w:rPr>
        <w:t>i</w:t>
      </w:r>
      <w:r w:rsidR="004729F6" w:rsidRPr="00623190">
        <w:rPr>
          <w:rFonts w:ascii="Times New Roman" w:hAnsi="Times New Roman" w:cs="Times New Roman"/>
          <w:sz w:val="28"/>
          <w:szCs w:val="28"/>
          <w:lang w:val="uk-UA"/>
        </w:rPr>
        <w:t xml:space="preserve">єю та </w:t>
      </w:r>
      <w:r w:rsidR="00623190" w:rsidRPr="00623190">
        <w:rPr>
          <w:rFonts w:ascii="Times New Roman" w:hAnsi="Times New Roman" w:cs="Times New Roman"/>
          <w:sz w:val="28"/>
          <w:szCs w:val="28"/>
          <w:lang w:val="uk-UA"/>
        </w:rPr>
        <w:t xml:space="preserve">супутнім          </w:t>
      </w:r>
      <w:r w:rsidR="007C764C" w:rsidRPr="00623190">
        <w:rPr>
          <w:rFonts w:ascii="Times New Roman" w:hAnsi="Times New Roman" w:cs="Times New Roman"/>
          <w:sz w:val="28"/>
          <w:szCs w:val="28"/>
          <w:lang w:val="uk-UA"/>
        </w:rPr>
        <w:t>цукровим д</w:t>
      </w:r>
      <w:r w:rsidR="007C764C" w:rsidRPr="00623190">
        <w:rPr>
          <w:rFonts w:ascii="Times New Roman" w:hAnsi="Times New Roman" w:cs="Times New Roman"/>
          <w:sz w:val="28"/>
          <w:szCs w:val="28"/>
          <w:lang w:val="en-US"/>
        </w:rPr>
        <w:t>i</w:t>
      </w:r>
      <w:r w:rsidRPr="00623190">
        <w:rPr>
          <w:rFonts w:ascii="Times New Roman" w:hAnsi="Times New Roman" w:cs="Times New Roman"/>
          <w:sz w:val="28"/>
          <w:szCs w:val="28"/>
          <w:lang w:val="uk-UA"/>
        </w:rPr>
        <w:t>абетом 2-го т</w:t>
      </w:r>
      <w:r w:rsidR="004729F6" w:rsidRPr="00623190">
        <w:rPr>
          <w:rFonts w:ascii="Times New Roman" w:hAnsi="Times New Roman" w:cs="Times New Roman"/>
          <w:sz w:val="28"/>
          <w:szCs w:val="28"/>
          <w:lang w:val="uk-UA"/>
        </w:rPr>
        <w:t>ипу….</w:t>
      </w:r>
      <w:r w:rsidR="00623190" w:rsidRPr="00623190">
        <w:rPr>
          <w:rFonts w:ascii="Times New Roman" w:hAnsi="Times New Roman" w:cs="Times New Roman"/>
          <w:sz w:val="28"/>
          <w:szCs w:val="28"/>
          <w:lang w:val="uk-UA"/>
        </w:rPr>
        <w:t>……</w:t>
      </w:r>
      <w:r w:rsidR="00623190">
        <w:rPr>
          <w:rFonts w:ascii="Times New Roman" w:hAnsi="Times New Roman" w:cs="Times New Roman"/>
          <w:sz w:val="28"/>
          <w:szCs w:val="28"/>
          <w:lang w:val="uk-UA"/>
        </w:rPr>
        <w:t>…………………………………………</w:t>
      </w:r>
      <w:r w:rsidR="00C973CC">
        <w:rPr>
          <w:rFonts w:ascii="Times New Roman" w:hAnsi="Times New Roman" w:cs="Times New Roman"/>
          <w:sz w:val="28"/>
          <w:szCs w:val="28"/>
          <w:lang w:val="uk-UA"/>
        </w:rPr>
        <w:t>1</w:t>
      </w:r>
      <w:r w:rsidR="00BF7148">
        <w:rPr>
          <w:rFonts w:ascii="Times New Roman" w:hAnsi="Times New Roman" w:cs="Times New Roman"/>
          <w:sz w:val="28"/>
          <w:szCs w:val="28"/>
          <w:lang w:val="uk-UA"/>
        </w:rPr>
        <w:t>1</w:t>
      </w:r>
      <w:r w:rsidR="000F0E63">
        <w:rPr>
          <w:rFonts w:ascii="Times New Roman" w:hAnsi="Times New Roman" w:cs="Times New Roman"/>
          <w:sz w:val="28"/>
          <w:szCs w:val="28"/>
          <w:lang w:val="uk-UA"/>
        </w:rPr>
        <w:t>0</w:t>
      </w:r>
    </w:p>
    <w:p w:rsidR="00F77D47" w:rsidRDefault="007C764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РОЗД</w:t>
      </w:r>
      <w:r>
        <w:rPr>
          <w:rFonts w:ascii="Times New Roman" w:hAnsi="Times New Roman" w:cs="Times New Roman"/>
          <w:sz w:val="28"/>
          <w:szCs w:val="28"/>
          <w:lang w:val="en-US"/>
        </w:rPr>
        <w:t>I</w:t>
      </w:r>
      <w:r w:rsidR="003A05B4">
        <w:rPr>
          <w:rFonts w:ascii="Times New Roman" w:hAnsi="Times New Roman" w:cs="Times New Roman"/>
          <w:sz w:val="28"/>
          <w:szCs w:val="28"/>
          <w:lang w:val="uk-UA"/>
        </w:rPr>
        <w:t xml:space="preserve">Л </w:t>
      </w:r>
      <w:r w:rsidR="003A05B4" w:rsidRPr="00134F52">
        <w:rPr>
          <w:rFonts w:ascii="Times New Roman" w:hAnsi="Times New Roman" w:cs="Times New Roman"/>
          <w:sz w:val="28"/>
          <w:szCs w:val="28"/>
          <w:lang w:val="uk-UA"/>
        </w:rPr>
        <w:t>6</w:t>
      </w:r>
      <w:r w:rsidR="00A03291" w:rsidRPr="00A03291">
        <w:rPr>
          <w:rFonts w:ascii="Times New Roman" w:hAnsi="Times New Roman" w:cs="Times New Roman"/>
          <w:sz w:val="28"/>
          <w:szCs w:val="28"/>
          <w:lang w:val="uk-UA"/>
        </w:rPr>
        <w:t>.</w:t>
      </w:r>
      <w:r w:rsidR="009702CB">
        <w:rPr>
          <w:rFonts w:ascii="Times New Roman" w:hAnsi="Times New Roman" w:cs="Times New Roman"/>
          <w:sz w:val="28"/>
          <w:szCs w:val="28"/>
          <w:lang w:val="uk-UA"/>
        </w:rPr>
        <w:t xml:space="preserve"> </w:t>
      </w:r>
      <w:r>
        <w:rPr>
          <w:rFonts w:ascii="Times New Roman" w:hAnsi="Times New Roman" w:cs="Times New Roman"/>
          <w:sz w:val="28"/>
          <w:szCs w:val="28"/>
          <w:lang w:val="uk-UA"/>
        </w:rPr>
        <w:t>КОРЕКЦ</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Я МЕТАБО</w:t>
      </w:r>
      <w:r>
        <w:rPr>
          <w:rFonts w:ascii="Times New Roman" w:hAnsi="Times New Roman" w:cs="Times New Roman"/>
          <w:sz w:val="28"/>
          <w:szCs w:val="28"/>
          <w:lang w:val="uk-UA"/>
        </w:rPr>
        <w:t>Л</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 xml:space="preserve">ЧНИХ ПОРУШЕНЬ </w:t>
      </w:r>
      <w:r w:rsidR="003D749D">
        <w:rPr>
          <w:rFonts w:ascii="Times New Roman" w:hAnsi="Times New Roman" w:cs="Times New Roman"/>
          <w:sz w:val="28"/>
          <w:szCs w:val="28"/>
          <w:lang w:val="uk-UA"/>
        </w:rPr>
        <w:t xml:space="preserve">У </w:t>
      </w:r>
      <w:r>
        <w:rPr>
          <w:rFonts w:ascii="Times New Roman" w:hAnsi="Times New Roman" w:cs="Times New Roman"/>
          <w:sz w:val="28"/>
          <w:szCs w:val="28"/>
          <w:lang w:val="uk-UA"/>
        </w:rPr>
        <w:t>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 xml:space="preserve">В </w:t>
      </w:r>
      <w:r w:rsidR="00817002">
        <w:rPr>
          <w:rFonts w:ascii="Times New Roman" w:hAnsi="Times New Roman" w:cs="Times New Roman"/>
          <w:sz w:val="28"/>
          <w:szCs w:val="28"/>
          <w:lang w:val="uk-UA"/>
        </w:rPr>
        <w:t>І</w:t>
      </w:r>
      <w:r w:rsidR="00A03291" w:rsidRPr="00A03291">
        <w:rPr>
          <w:rFonts w:ascii="Times New Roman" w:hAnsi="Times New Roman" w:cs="Times New Roman"/>
          <w:sz w:val="28"/>
          <w:szCs w:val="28"/>
          <w:lang w:val="uk-UA"/>
        </w:rPr>
        <w:t xml:space="preserve">З </w:t>
      </w:r>
      <w:r>
        <w:rPr>
          <w:rFonts w:ascii="Times New Roman" w:hAnsi="Times New Roman" w:cs="Times New Roman"/>
          <w:sz w:val="28"/>
          <w:szCs w:val="28"/>
          <w:lang w:val="uk-UA"/>
        </w:rPr>
        <w:t>АРТЕР</w:t>
      </w:r>
      <w:r>
        <w:rPr>
          <w:rFonts w:ascii="Times New Roman" w:hAnsi="Times New Roman" w:cs="Times New Roman"/>
          <w:sz w:val="28"/>
          <w:szCs w:val="28"/>
          <w:lang w:val="en-US"/>
        </w:rPr>
        <w:t>I</w:t>
      </w:r>
      <w:r>
        <w:rPr>
          <w:rFonts w:ascii="Times New Roman" w:hAnsi="Times New Roman" w:cs="Times New Roman"/>
          <w:sz w:val="28"/>
          <w:szCs w:val="28"/>
          <w:lang w:val="uk-UA"/>
        </w:rPr>
        <w:t>АЛЬНОЮ Г</w:t>
      </w:r>
      <w:r>
        <w:rPr>
          <w:rFonts w:ascii="Times New Roman" w:hAnsi="Times New Roman" w:cs="Times New Roman"/>
          <w:sz w:val="28"/>
          <w:szCs w:val="28"/>
          <w:lang w:val="en-US"/>
        </w:rPr>
        <w:t>I</w:t>
      </w:r>
      <w:r>
        <w:rPr>
          <w:rFonts w:ascii="Times New Roman" w:hAnsi="Times New Roman" w:cs="Times New Roman"/>
          <w:sz w:val="28"/>
          <w:szCs w:val="28"/>
          <w:lang w:val="uk-UA"/>
        </w:rPr>
        <w:t>ПЕРТЕНЗ</w:t>
      </w:r>
      <w:r>
        <w:rPr>
          <w:rFonts w:ascii="Times New Roman" w:hAnsi="Times New Roman" w:cs="Times New Roman"/>
          <w:sz w:val="28"/>
          <w:szCs w:val="28"/>
          <w:lang w:val="en-US"/>
        </w:rPr>
        <w:t>I</w:t>
      </w:r>
      <w:r w:rsidR="004729F6" w:rsidRPr="00C973CC">
        <w:rPr>
          <w:rFonts w:ascii="Times New Roman" w:hAnsi="Times New Roman" w:cs="Times New Roman"/>
          <w:sz w:val="28"/>
          <w:szCs w:val="28"/>
          <w:lang w:val="uk-UA"/>
        </w:rPr>
        <w:t>ЄЮ</w:t>
      </w:r>
      <w:r w:rsidR="004729F6">
        <w:rPr>
          <w:rFonts w:ascii="Times New Roman" w:hAnsi="Times New Roman" w:cs="Times New Roman"/>
          <w:sz w:val="28"/>
          <w:szCs w:val="28"/>
          <w:lang w:val="uk-UA"/>
        </w:rPr>
        <w:t xml:space="preserve"> ТА </w:t>
      </w:r>
      <w:r>
        <w:rPr>
          <w:rFonts w:ascii="Times New Roman" w:hAnsi="Times New Roman" w:cs="Times New Roman"/>
          <w:sz w:val="28"/>
          <w:szCs w:val="28"/>
          <w:lang w:val="uk-UA"/>
        </w:rPr>
        <w:t>ЦУКРОВИМ Д</w:t>
      </w:r>
      <w:r>
        <w:rPr>
          <w:rFonts w:ascii="Times New Roman" w:hAnsi="Times New Roman" w:cs="Times New Roman"/>
          <w:sz w:val="28"/>
          <w:szCs w:val="28"/>
          <w:lang w:val="en-US"/>
        </w:rPr>
        <w:t>I</w:t>
      </w:r>
      <w:r w:rsidR="00D30DBA">
        <w:rPr>
          <w:rFonts w:ascii="Times New Roman" w:hAnsi="Times New Roman" w:cs="Times New Roman"/>
          <w:sz w:val="28"/>
          <w:szCs w:val="28"/>
          <w:lang w:val="uk-UA"/>
        </w:rPr>
        <w:t xml:space="preserve">АБЕТОМ </w:t>
      </w:r>
      <w:r w:rsidR="00717605" w:rsidRPr="00717605">
        <w:rPr>
          <w:rFonts w:ascii="Times New Roman" w:hAnsi="Times New Roman" w:cs="Times New Roman"/>
          <w:sz w:val="28"/>
          <w:szCs w:val="28"/>
          <w:lang w:val="uk-UA"/>
        </w:rPr>
        <w:t xml:space="preserve">                 </w:t>
      </w:r>
      <w:r w:rsidR="00A03291" w:rsidRPr="00A03291">
        <w:rPr>
          <w:rFonts w:ascii="Times New Roman" w:hAnsi="Times New Roman" w:cs="Times New Roman"/>
          <w:sz w:val="28"/>
          <w:szCs w:val="28"/>
          <w:lang w:val="uk-UA"/>
        </w:rPr>
        <w:t>2</w:t>
      </w:r>
      <w:r w:rsidR="008A013C">
        <w:rPr>
          <w:rFonts w:ascii="Times New Roman" w:hAnsi="Times New Roman" w:cs="Times New Roman"/>
          <w:sz w:val="28"/>
          <w:szCs w:val="28"/>
          <w:lang w:val="uk-UA"/>
        </w:rPr>
        <w:t>-ГО</w:t>
      </w:r>
      <w:r w:rsidR="00A03291" w:rsidRPr="00A03291">
        <w:rPr>
          <w:rFonts w:ascii="Times New Roman" w:hAnsi="Times New Roman" w:cs="Times New Roman"/>
          <w:sz w:val="28"/>
          <w:szCs w:val="28"/>
          <w:lang w:val="uk-UA"/>
        </w:rPr>
        <w:t xml:space="preserve"> Т</w:t>
      </w:r>
      <w:r w:rsidR="004729F6">
        <w:rPr>
          <w:rFonts w:ascii="Times New Roman" w:hAnsi="Times New Roman" w:cs="Times New Roman"/>
          <w:sz w:val="28"/>
          <w:szCs w:val="28"/>
          <w:lang w:val="uk-UA"/>
        </w:rPr>
        <w:t>ИПУ</w:t>
      </w:r>
    </w:p>
    <w:p w:rsidR="00F741B0" w:rsidRPr="000F0E63" w:rsidRDefault="008D6381" w:rsidP="00722E55">
      <w:pPr>
        <w:tabs>
          <w:tab w:val="left" w:pos="56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B0442">
        <w:rPr>
          <w:rFonts w:ascii="Times New Roman" w:hAnsi="Times New Roman" w:cs="Times New Roman"/>
          <w:sz w:val="28"/>
          <w:szCs w:val="28"/>
          <w:lang w:val="uk-UA"/>
        </w:rPr>
        <w:t xml:space="preserve">.1. </w:t>
      </w:r>
      <w:r w:rsidR="007C764C">
        <w:rPr>
          <w:rFonts w:ascii="Times New Roman" w:hAnsi="Times New Roman" w:cs="Times New Roman"/>
          <w:sz w:val="28"/>
          <w:szCs w:val="28"/>
          <w:lang w:val="uk-UA"/>
        </w:rPr>
        <w:t>Корекц</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я показник</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в л</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п</w:t>
      </w:r>
      <w:r w:rsidR="007C764C">
        <w:rPr>
          <w:rFonts w:ascii="Times New Roman" w:hAnsi="Times New Roman" w:cs="Times New Roman"/>
          <w:sz w:val="28"/>
          <w:szCs w:val="28"/>
          <w:lang w:val="en-US"/>
        </w:rPr>
        <w:t>i</w:t>
      </w:r>
      <w:r w:rsidR="00F741B0" w:rsidRPr="00F741B0">
        <w:rPr>
          <w:rFonts w:ascii="Times New Roman" w:hAnsi="Times New Roman" w:cs="Times New Roman"/>
          <w:sz w:val="28"/>
          <w:szCs w:val="28"/>
          <w:lang w:val="uk-UA"/>
        </w:rPr>
        <w:t>дного спектр</w:t>
      </w:r>
      <w:r w:rsidR="00D30DBA">
        <w:rPr>
          <w:rFonts w:ascii="Times New Roman" w:hAnsi="Times New Roman" w:cs="Times New Roman"/>
          <w:sz w:val="28"/>
          <w:szCs w:val="28"/>
          <w:lang w:val="uk-UA"/>
        </w:rPr>
        <w:t>а</w:t>
      </w:r>
      <w:r w:rsidR="007C764C">
        <w:rPr>
          <w:rFonts w:ascii="Times New Roman" w:hAnsi="Times New Roman" w:cs="Times New Roman"/>
          <w:sz w:val="28"/>
          <w:szCs w:val="28"/>
          <w:lang w:val="uk-UA"/>
        </w:rPr>
        <w:t xml:space="preserve"> кров</w:t>
      </w:r>
      <w:r w:rsidR="007C764C">
        <w:rPr>
          <w:rFonts w:ascii="Times New Roman" w:hAnsi="Times New Roman" w:cs="Times New Roman"/>
          <w:sz w:val="28"/>
          <w:szCs w:val="28"/>
          <w:lang w:val="en-US"/>
        </w:rPr>
        <w:t>i</w:t>
      </w:r>
      <w:r w:rsidR="00F741B0" w:rsidRPr="00F741B0">
        <w:rPr>
          <w:rFonts w:ascii="Times New Roman" w:hAnsi="Times New Roman" w:cs="Times New Roman"/>
          <w:sz w:val="28"/>
          <w:szCs w:val="28"/>
          <w:lang w:val="uk-UA"/>
        </w:rPr>
        <w:t xml:space="preserve"> за допомогою аторвастатину</w:t>
      </w:r>
      <w:r w:rsidR="00F741B0">
        <w:rPr>
          <w:rFonts w:ascii="Times New Roman" w:hAnsi="Times New Roman" w:cs="Times New Roman"/>
          <w:sz w:val="28"/>
          <w:szCs w:val="28"/>
          <w:lang w:val="uk-UA"/>
        </w:rPr>
        <w:t>…………………………………………………………………</w:t>
      </w:r>
      <w:r w:rsidR="00F73346">
        <w:rPr>
          <w:rFonts w:ascii="Times New Roman" w:hAnsi="Times New Roman" w:cs="Times New Roman"/>
          <w:sz w:val="28"/>
          <w:szCs w:val="28"/>
          <w:lang w:val="uk-UA"/>
        </w:rPr>
        <w:t>..11</w:t>
      </w:r>
      <w:r w:rsidR="00282B43">
        <w:rPr>
          <w:rFonts w:ascii="Times New Roman" w:hAnsi="Times New Roman" w:cs="Times New Roman"/>
          <w:sz w:val="28"/>
          <w:szCs w:val="28"/>
          <w:lang w:val="uk-UA"/>
        </w:rPr>
        <w:t>4</w:t>
      </w:r>
    </w:p>
    <w:p w:rsidR="00A03291" w:rsidRPr="002A771E" w:rsidRDefault="008D6381" w:rsidP="00722E55">
      <w:p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00F741B0">
        <w:rPr>
          <w:rFonts w:ascii="Times New Roman" w:hAnsi="Times New Roman" w:cs="Times New Roman"/>
          <w:sz w:val="28"/>
          <w:szCs w:val="28"/>
          <w:lang w:val="uk-UA"/>
        </w:rPr>
        <w:t>.2</w:t>
      </w:r>
      <w:r w:rsidR="00A40D22">
        <w:rPr>
          <w:rFonts w:ascii="Times New Roman" w:hAnsi="Times New Roman" w:cs="Times New Roman"/>
          <w:sz w:val="28"/>
          <w:szCs w:val="28"/>
          <w:lang w:val="uk-UA"/>
        </w:rPr>
        <w:t xml:space="preserve">. </w:t>
      </w:r>
      <w:r w:rsidR="007C764C">
        <w:rPr>
          <w:rFonts w:ascii="Times New Roman" w:hAnsi="Times New Roman" w:cs="Times New Roman"/>
          <w:sz w:val="28"/>
          <w:szCs w:val="28"/>
          <w:lang w:val="uk-UA"/>
        </w:rPr>
        <w:t>Пор</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вняльна ефективн</w:t>
      </w:r>
      <w:r w:rsidR="007C764C">
        <w:rPr>
          <w:rFonts w:ascii="Times New Roman" w:hAnsi="Times New Roman" w:cs="Times New Roman"/>
          <w:sz w:val="28"/>
          <w:szCs w:val="28"/>
          <w:lang w:val="en-US"/>
        </w:rPr>
        <w:t>i</w:t>
      </w:r>
      <w:r w:rsidR="00EA1BA5">
        <w:rPr>
          <w:rFonts w:ascii="Times New Roman" w:hAnsi="Times New Roman" w:cs="Times New Roman"/>
          <w:sz w:val="28"/>
          <w:szCs w:val="28"/>
          <w:lang w:val="uk-UA"/>
        </w:rPr>
        <w:t>сть органопротекторних властивостей т</w:t>
      </w:r>
      <w:r w:rsidR="007C764C">
        <w:rPr>
          <w:rFonts w:ascii="Times New Roman" w:hAnsi="Times New Roman" w:cs="Times New Roman"/>
          <w:sz w:val="28"/>
          <w:szCs w:val="28"/>
          <w:lang w:val="uk-UA"/>
        </w:rPr>
        <w:t>елм</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сартану та л</w:t>
      </w:r>
      <w:r w:rsidR="007C764C">
        <w:rPr>
          <w:rFonts w:ascii="Times New Roman" w:hAnsi="Times New Roman" w:cs="Times New Roman"/>
          <w:sz w:val="28"/>
          <w:szCs w:val="28"/>
          <w:lang w:val="en-US"/>
        </w:rPr>
        <w:t>i</w:t>
      </w:r>
      <w:r w:rsidR="00EA1BA5">
        <w:rPr>
          <w:rFonts w:ascii="Times New Roman" w:hAnsi="Times New Roman" w:cs="Times New Roman"/>
          <w:sz w:val="28"/>
          <w:szCs w:val="28"/>
          <w:lang w:val="uk-UA"/>
        </w:rPr>
        <w:t>зиноприлу…………………………….</w:t>
      </w:r>
      <w:r w:rsidR="00392FF2">
        <w:rPr>
          <w:rFonts w:ascii="Times New Roman" w:hAnsi="Times New Roman" w:cs="Times New Roman"/>
          <w:sz w:val="28"/>
          <w:szCs w:val="28"/>
          <w:lang w:val="uk-UA"/>
        </w:rPr>
        <w:t>……………………</w:t>
      </w:r>
      <w:r w:rsidR="00F73346">
        <w:rPr>
          <w:rFonts w:ascii="Times New Roman" w:hAnsi="Times New Roman" w:cs="Times New Roman"/>
          <w:sz w:val="28"/>
          <w:szCs w:val="28"/>
          <w:lang w:val="uk-UA"/>
        </w:rPr>
        <w:t>1</w:t>
      </w:r>
      <w:r w:rsidR="00BF7148">
        <w:rPr>
          <w:rFonts w:ascii="Times New Roman" w:hAnsi="Times New Roman" w:cs="Times New Roman"/>
          <w:sz w:val="28"/>
          <w:szCs w:val="28"/>
        </w:rPr>
        <w:t>1</w:t>
      </w:r>
      <w:r w:rsidR="002A771E" w:rsidRPr="002A771E">
        <w:rPr>
          <w:rFonts w:ascii="Times New Roman" w:hAnsi="Times New Roman" w:cs="Times New Roman"/>
          <w:sz w:val="28"/>
          <w:szCs w:val="28"/>
        </w:rPr>
        <w:t>8</w:t>
      </w:r>
    </w:p>
    <w:p w:rsidR="00A03291" w:rsidRPr="002A771E" w:rsidRDefault="008D6381" w:rsidP="00002D96">
      <w:pPr>
        <w:tabs>
          <w:tab w:val="left" w:pos="567"/>
        </w:tab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lang w:val="uk-UA"/>
        </w:rPr>
        <w:t>6</w:t>
      </w:r>
      <w:r w:rsidR="00F741B0">
        <w:rPr>
          <w:rFonts w:ascii="Times New Roman" w:hAnsi="Times New Roman" w:cs="Times New Roman"/>
          <w:sz w:val="28"/>
          <w:szCs w:val="28"/>
          <w:lang w:val="uk-UA"/>
        </w:rPr>
        <w:t>.3</w:t>
      </w:r>
      <w:r w:rsidR="00717605">
        <w:rPr>
          <w:rFonts w:ascii="Times New Roman" w:hAnsi="Times New Roman" w:cs="Times New Roman"/>
          <w:sz w:val="28"/>
          <w:szCs w:val="28"/>
          <w:lang w:val="uk-UA"/>
        </w:rPr>
        <w:t>.</w:t>
      </w:r>
      <w:r w:rsidR="00717605" w:rsidRPr="00717605">
        <w:rPr>
          <w:rFonts w:ascii="Times New Roman" w:hAnsi="Times New Roman" w:cs="Times New Roman"/>
          <w:sz w:val="28"/>
          <w:szCs w:val="28"/>
        </w:rPr>
        <w:t xml:space="preserve"> </w:t>
      </w:r>
      <w:r w:rsidR="007C764C">
        <w:rPr>
          <w:rFonts w:ascii="Times New Roman" w:hAnsi="Times New Roman" w:cs="Times New Roman"/>
          <w:sz w:val="28"/>
          <w:szCs w:val="28"/>
          <w:lang w:val="uk-UA"/>
        </w:rPr>
        <w:t>Диференц</w:t>
      </w:r>
      <w:r w:rsidR="007C764C">
        <w:rPr>
          <w:rFonts w:ascii="Times New Roman" w:hAnsi="Times New Roman" w:cs="Times New Roman"/>
          <w:sz w:val="28"/>
          <w:szCs w:val="28"/>
          <w:lang w:val="en-US"/>
        </w:rPr>
        <w:t>i</w:t>
      </w:r>
      <w:r w:rsidR="00002D96">
        <w:rPr>
          <w:rFonts w:ascii="Times New Roman" w:hAnsi="Times New Roman" w:cs="Times New Roman"/>
          <w:sz w:val="28"/>
          <w:szCs w:val="28"/>
          <w:lang w:val="uk-UA"/>
        </w:rPr>
        <w:t>йований</w:t>
      </w:r>
      <w:r w:rsidR="00002D96" w:rsidRPr="00002D96">
        <w:rPr>
          <w:rFonts w:ascii="Times New Roman" w:hAnsi="Times New Roman" w:cs="Times New Roman"/>
          <w:color w:val="FFFFFF" w:themeColor="background1"/>
          <w:sz w:val="28"/>
          <w:szCs w:val="28"/>
          <w:lang w:val="en-US"/>
        </w:rPr>
        <w:t>o</w:t>
      </w:r>
      <w:r w:rsidR="007C764C">
        <w:rPr>
          <w:rFonts w:ascii="Times New Roman" w:hAnsi="Times New Roman" w:cs="Times New Roman"/>
          <w:sz w:val="28"/>
          <w:szCs w:val="28"/>
          <w:lang w:val="uk-UA"/>
        </w:rPr>
        <w:t>п</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дх</w:t>
      </w:r>
      <w:r w:rsidR="007C764C">
        <w:rPr>
          <w:rFonts w:ascii="Times New Roman" w:hAnsi="Times New Roman" w:cs="Times New Roman"/>
          <w:sz w:val="28"/>
          <w:szCs w:val="28"/>
          <w:lang w:val="en-US"/>
        </w:rPr>
        <w:t>i</w:t>
      </w:r>
      <w:r w:rsidR="00002D96">
        <w:rPr>
          <w:rFonts w:ascii="Times New Roman" w:hAnsi="Times New Roman" w:cs="Times New Roman"/>
          <w:sz w:val="28"/>
          <w:szCs w:val="28"/>
          <w:lang w:val="uk-UA"/>
        </w:rPr>
        <w:t>д</w:t>
      </w:r>
      <w:r w:rsidR="00717605" w:rsidRPr="00717605">
        <w:rPr>
          <w:rFonts w:ascii="Times New Roman" w:hAnsi="Times New Roman" w:cs="Times New Roman"/>
          <w:color w:val="FFFFFF" w:themeColor="background1"/>
          <w:sz w:val="28"/>
          <w:szCs w:val="28"/>
        </w:rPr>
        <w:t xml:space="preserve"> </w:t>
      </w:r>
      <w:r w:rsidR="00717605">
        <w:rPr>
          <w:rFonts w:ascii="Times New Roman" w:hAnsi="Times New Roman" w:cs="Times New Roman"/>
          <w:sz w:val="28"/>
          <w:szCs w:val="28"/>
          <w:lang w:val="uk-UA"/>
        </w:rPr>
        <w:t>до</w:t>
      </w:r>
      <w:r w:rsidR="00717605" w:rsidRPr="00717605">
        <w:rPr>
          <w:rFonts w:ascii="Times New Roman" w:hAnsi="Times New Roman" w:cs="Times New Roman"/>
          <w:sz w:val="28"/>
          <w:szCs w:val="28"/>
        </w:rPr>
        <w:t xml:space="preserve"> </w:t>
      </w:r>
      <w:r w:rsidR="00C05846">
        <w:rPr>
          <w:rFonts w:ascii="Times New Roman" w:hAnsi="Times New Roman" w:cs="Times New Roman"/>
          <w:sz w:val="28"/>
          <w:szCs w:val="28"/>
          <w:lang w:val="uk-UA"/>
        </w:rPr>
        <w:t>призн</w:t>
      </w:r>
      <w:r w:rsidR="007C764C">
        <w:rPr>
          <w:rFonts w:ascii="Times New Roman" w:hAnsi="Times New Roman" w:cs="Times New Roman"/>
          <w:sz w:val="28"/>
          <w:szCs w:val="28"/>
          <w:lang w:val="uk-UA"/>
        </w:rPr>
        <w:t>ачення телм</w:t>
      </w:r>
      <w:r w:rsidR="007C764C">
        <w:rPr>
          <w:rFonts w:ascii="Times New Roman" w:hAnsi="Times New Roman" w:cs="Times New Roman"/>
          <w:sz w:val="28"/>
          <w:szCs w:val="28"/>
          <w:lang w:val="en-US"/>
        </w:rPr>
        <w:t>i</w:t>
      </w:r>
      <w:r w:rsidR="00722E55">
        <w:rPr>
          <w:rFonts w:ascii="Times New Roman" w:hAnsi="Times New Roman" w:cs="Times New Roman"/>
          <w:sz w:val="28"/>
          <w:szCs w:val="28"/>
          <w:lang w:val="uk-UA"/>
        </w:rPr>
        <w:t>сартану                   залежно</w:t>
      </w:r>
      <w:r w:rsidR="007C764C">
        <w:rPr>
          <w:rFonts w:ascii="Times New Roman" w:hAnsi="Times New Roman" w:cs="Times New Roman"/>
          <w:sz w:val="28"/>
          <w:szCs w:val="28"/>
          <w:lang w:val="uk-UA"/>
        </w:rPr>
        <w:t xml:space="preserve"> в</w:t>
      </w:r>
      <w:r w:rsidR="007C764C">
        <w:rPr>
          <w:rFonts w:ascii="Times New Roman" w:hAnsi="Times New Roman" w:cs="Times New Roman"/>
          <w:sz w:val="28"/>
          <w:szCs w:val="28"/>
          <w:lang w:val="en-US"/>
        </w:rPr>
        <w:t>i</w:t>
      </w:r>
      <w:r w:rsidR="007C764C">
        <w:rPr>
          <w:rFonts w:ascii="Times New Roman" w:hAnsi="Times New Roman" w:cs="Times New Roman"/>
          <w:sz w:val="28"/>
          <w:szCs w:val="28"/>
          <w:lang w:val="uk-UA"/>
        </w:rPr>
        <w:t xml:space="preserve">д </w:t>
      </w:r>
      <w:r w:rsidR="00817002">
        <w:rPr>
          <w:rFonts w:ascii="Times New Roman" w:hAnsi="Times New Roman" w:cs="Times New Roman"/>
          <w:sz w:val="28"/>
          <w:szCs w:val="28"/>
          <w:lang w:val="uk-UA"/>
        </w:rPr>
        <w:t xml:space="preserve">вмісту </w:t>
      </w:r>
      <w:r w:rsidR="007C764C">
        <w:rPr>
          <w:rFonts w:ascii="Times New Roman" w:hAnsi="Times New Roman" w:cs="Times New Roman"/>
          <w:sz w:val="28"/>
          <w:szCs w:val="28"/>
          <w:lang w:val="uk-UA"/>
        </w:rPr>
        <w:t>ендотел</w:t>
      </w:r>
      <w:r w:rsidR="007C764C">
        <w:rPr>
          <w:rFonts w:ascii="Times New Roman" w:hAnsi="Times New Roman" w:cs="Times New Roman"/>
          <w:sz w:val="28"/>
          <w:szCs w:val="28"/>
          <w:lang w:val="en-US"/>
        </w:rPr>
        <w:t>i</w:t>
      </w:r>
      <w:r w:rsidR="00D30DBA">
        <w:rPr>
          <w:rFonts w:ascii="Times New Roman" w:hAnsi="Times New Roman" w:cs="Times New Roman"/>
          <w:sz w:val="28"/>
          <w:szCs w:val="28"/>
          <w:lang w:val="uk-UA"/>
        </w:rPr>
        <w:t>ну</w:t>
      </w:r>
      <w:r w:rsidR="00722E55">
        <w:rPr>
          <w:rFonts w:ascii="Times New Roman" w:hAnsi="Times New Roman" w:cs="Times New Roman"/>
          <w:sz w:val="28"/>
          <w:szCs w:val="28"/>
          <w:lang w:val="uk-UA"/>
        </w:rPr>
        <w:t>-1……………………………</w:t>
      </w:r>
      <w:r w:rsidR="00817002">
        <w:rPr>
          <w:rFonts w:ascii="Times New Roman" w:hAnsi="Times New Roman" w:cs="Times New Roman"/>
          <w:sz w:val="28"/>
          <w:szCs w:val="28"/>
          <w:lang w:val="uk-UA"/>
        </w:rPr>
        <w:t>…………………</w:t>
      </w:r>
      <w:r w:rsidR="00F73346">
        <w:rPr>
          <w:rFonts w:ascii="Times New Roman" w:hAnsi="Times New Roman" w:cs="Times New Roman"/>
          <w:sz w:val="28"/>
          <w:szCs w:val="28"/>
          <w:lang w:val="uk-UA"/>
        </w:rPr>
        <w:t>12</w:t>
      </w:r>
      <w:r w:rsidR="002A771E" w:rsidRPr="002A771E">
        <w:rPr>
          <w:rFonts w:ascii="Times New Roman" w:hAnsi="Times New Roman" w:cs="Times New Roman"/>
          <w:sz w:val="28"/>
          <w:szCs w:val="28"/>
        </w:rPr>
        <w:t>3</w:t>
      </w:r>
    </w:p>
    <w:p w:rsidR="00A03291" w:rsidRPr="002A771E" w:rsidRDefault="007C764C"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АНАЛ</w:t>
      </w:r>
      <w:r>
        <w:rPr>
          <w:rFonts w:ascii="Times New Roman" w:hAnsi="Times New Roman" w:cs="Times New Roman"/>
          <w:sz w:val="28"/>
          <w:szCs w:val="28"/>
          <w:lang w:val="en-US"/>
        </w:rPr>
        <w:t>I</w:t>
      </w:r>
      <w:r>
        <w:rPr>
          <w:rFonts w:ascii="Times New Roman" w:hAnsi="Times New Roman" w:cs="Times New Roman"/>
          <w:sz w:val="28"/>
          <w:szCs w:val="28"/>
          <w:lang w:val="uk-UA"/>
        </w:rPr>
        <w:t>З ТА УЗАГАЛЬНЕННЯ РЕЗУЛЬТАТ</w:t>
      </w:r>
      <w:r>
        <w:rPr>
          <w:rFonts w:ascii="Times New Roman" w:hAnsi="Times New Roman" w:cs="Times New Roman"/>
          <w:sz w:val="28"/>
          <w:szCs w:val="28"/>
          <w:lang w:val="en-US"/>
        </w:rPr>
        <w:t>I</w:t>
      </w:r>
      <w:r w:rsidR="00704770">
        <w:rPr>
          <w:rFonts w:ascii="Times New Roman" w:hAnsi="Times New Roman" w:cs="Times New Roman"/>
          <w:sz w:val="28"/>
          <w:szCs w:val="28"/>
          <w:lang w:val="uk-UA"/>
        </w:rPr>
        <w:t>В ……………….……………</w:t>
      </w:r>
      <w:r w:rsidR="00F73346">
        <w:rPr>
          <w:rFonts w:ascii="Times New Roman" w:hAnsi="Times New Roman" w:cs="Times New Roman"/>
          <w:sz w:val="28"/>
          <w:szCs w:val="28"/>
          <w:lang w:val="uk-UA"/>
        </w:rPr>
        <w:t>1</w:t>
      </w:r>
      <w:r w:rsidR="00BF7148">
        <w:rPr>
          <w:rFonts w:ascii="Times New Roman" w:hAnsi="Times New Roman" w:cs="Times New Roman"/>
          <w:sz w:val="28"/>
          <w:szCs w:val="28"/>
        </w:rPr>
        <w:t>2</w:t>
      </w:r>
      <w:r w:rsidR="002A771E" w:rsidRPr="002A771E">
        <w:rPr>
          <w:rFonts w:ascii="Times New Roman" w:hAnsi="Times New Roman" w:cs="Times New Roman"/>
          <w:sz w:val="28"/>
          <w:szCs w:val="28"/>
        </w:rPr>
        <w:t>6</w:t>
      </w:r>
    </w:p>
    <w:p w:rsidR="00A03291" w:rsidRPr="002A771E" w:rsidRDefault="00A03291" w:rsidP="00A03291">
      <w:pPr>
        <w:spacing w:after="0" w:line="360" w:lineRule="auto"/>
        <w:jc w:val="both"/>
        <w:rPr>
          <w:rFonts w:ascii="Times New Roman" w:hAnsi="Times New Roman" w:cs="Times New Roman"/>
          <w:sz w:val="28"/>
          <w:szCs w:val="28"/>
          <w:highlight w:val="yellow"/>
        </w:rPr>
      </w:pPr>
      <w:r w:rsidRPr="00A03291">
        <w:rPr>
          <w:rFonts w:ascii="Times New Roman" w:hAnsi="Times New Roman" w:cs="Times New Roman"/>
          <w:sz w:val="28"/>
          <w:szCs w:val="28"/>
          <w:lang w:val="uk-UA"/>
        </w:rPr>
        <w:t>ВИСНОВКИ ……………………………………………………………</w:t>
      </w:r>
      <w:r w:rsidR="0068539B">
        <w:rPr>
          <w:rFonts w:ascii="Times New Roman" w:hAnsi="Times New Roman" w:cs="Times New Roman"/>
          <w:sz w:val="28"/>
          <w:szCs w:val="28"/>
          <w:lang w:val="uk-UA"/>
        </w:rPr>
        <w:t>….</w:t>
      </w:r>
      <w:r w:rsidRPr="00A03291">
        <w:rPr>
          <w:rFonts w:ascii="Times New Roman" w:hAnsi="Times New Roman" w:cs="Times New Roman"/>
          <w:sz w:val="28"/>
          <w:szCs w:val="28"/>
          <w:lang w:val="uk-UA"/>
        </w:rPr>
        <w:t>…</w:t>
      </w:r>
      <w:r w:rsidR="00303710">
        <w:rPr>
          <w:rFonts w:ascii="Times New Roman" w:hAnsi="Times New Roman" w:cs="Times New Roman"/>
          <w:sz w:val="28"/>
          <w:szCs w:val="28"/>
          <w:lang w:val="uk-UA"/>
        </w:rPr>
        <w:t>.</w:t>
      </w:r>
      <w:r w:rsidR="00C97E83" w:rsidRPr="00C97E83">
        <w:rPr>
          <w:rFonts w:ascii="Times New Roman" w:hAnsi="Times New Roman" w:cs="Times New Roman"/>
          <w:sz w:val="28"/>
          <w:szCs w:val="28"/>
        </w:rPr>
        <w:t>..</w:t>
      </w:r>
      <w:r w:rsidR="00303710" w:rsidRPr="002426FF">
        <w:rPr>
          <w:rFonts w:ascii="Times New Roman" w:hAnsi="Times New Roman" w:cs="Times New Roman"/>
          <w:sz w:val="28"/>
          <w:szCs w:val="28"/>
          <w:lang w:val="uk-UA"/>
        </w:rPr>
        <w:t>1</w:t>
      </w:r>
      <w:r w:rsidR="00BB4D2A">
        <w:rPr>
          <w:rFonts w:ascii="Times New Roman" w:hAnsi="Times New Roman" w:cs="Times New Roman"/>
          <w:sz w:val="28"/>
          <w:szCs w:val="28"/>
        </w:rPr>
        <w:t>3</w:t>
      </w:r>
      <w:r w:rsidR="002A771E" w:rsidRPr="002A771E">
        <w:rPr>
          <w:rFonts w:ascii="Times New Roman" w:hAnsi="Times New Roman" w:cs="Times New Roman"/>
          <w:sz w:val="28"/>
          <w:szCs w:val="28"/>
        </w:rPr>
        <w:t>7</w:t>
      </w:r>
    </w:p>
    <w:p w:rsidR="00A03291" w:rsidRPr="006660D1" w:rsidRDefault="007C764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РЕКОМЕНДАЦ</w:t>
      </w:r>
      <w:r>
        <w:rPr>
          <w:rFonts w:ascii="Times New Roman" w:hAnsi="Times New Roman" w:cs="Times New Roman"/>
          <w:sz w:val="28"/>
          <w:szCs w:val="28"/>
          <w:lang w:val="en-US"/>
        </w:rPr>
        <w:t>I</w:t>
      </w:r>
      <w:r w:rsidR="00A03291" w:rsidRPr="002426FF">
        <w:rPr>
          <w:rFonts w:ascii="Times New Roman" w:hAnsi="Times New Roman" w:cs="Times New Roman"/>
          <w:sz w:val="28"/>
          <w:szCs w:val="28"/>
          <w:lang w:val="uk-UA"/>
        </w:rPr>
        <w:t>Ї …………………………………………</w:t>
      </w:r>
      <w:r w:rsidR="0068539B" w:rsidRPr="002426FF">
        <w:rPr>
          <w:rFonts w:ascii="Times New Roman" w:hAnsi="Times New Roman" w:cs="Times New Roman"/>
          <w:sz w:val="28"/>
          <w:szCs w:val="28"/>
          <w:lang w:val="uk-UA"/>
        </w:rPr>
        <w:t xml:space="preserve"> </w:t>
      </w:r>
      <w:r w:rsidR="0068539B" w:rsidRPr="002426FF">
        <w:rPr>
          <w:rFonts w:ascii="Times New Roman" w:hAnsi="Times New Roman" w:cs="Times New Roman"/>
          <w:sz w:val="28"/>
          <w:szCs w:val="28"/>
        </w:rPr>
        <w:t>…</w:t>
      </w:r>
      <w:r w:rsidR="00BF7148" w:rsidRPr="00BF7148">
        <w:rPr>
          <w:rFonts w:ascii="Times New Roman" w:hAnsi="Times New Roman" w:cs="Times New Roman"/>
          <w:sz w:val="28"/>
          <w:szCs w:val="28"/>
        </w:rPr>
        <w:t>...</w:t>
      </w:r>
      <w:r w:rsidR="0068539B" w:rsidRPr="002426FF">
        <w:rPr>
          <w:rFonts w:ascii="Times New Roman" w:hAnsi="Times New Roman" w:cs="Times New Roman"/>
          <w:sz w:val="28"/>
          <w:szCs w:val="28"/>
        </w:rPr>
        <w:t>1</w:t>
      </w:r>
      <w:r w:rsidR="006660D1">
        <w:rPr>
          <w:rFonts w:ascii="Times New Roman" w:hAnsi="Times New Roman" w:cs="Times New Roman"/>
          <w:sz w:val="28"/>
          <w:szCs w:val="28"/>
          <w:lang w:val="uk-UA"/>
        </w:rPr>
        <w:t>39</w:t>
      </w:r>
    </w:p>
    <w:p w:rsidR="003E7F87" w:rsidRPr="006660D1" w:rsidRDefault="00392FF2" w:rsidP="00F77D47">
      <w:pPr>
        <w:spacing w:after="0" w:line="360" w:lineRule="auto"/>
        <w:jc w:val="both"/>
        <w:rPr>
          <w:rFonts w:ascii="Times New Roman" w:hAnsi="Times New Roman" w:cs="Times New Roman"/>
          <w:sz w:val="28"/>
          <w:szCs w:val="28"/>
          <w:lang w:val="uk-UA"/>
        </w:rPr>
      </w:pPr>
      <w:r w:rsidRPr="002426FF">
        <w:rPr>
          <w:rFonts w:ascii="Times New Roman" w:hAnsi="Times New Roman" w:cs="Times New Roman"/>
          <w:sz w:val="28"/>
          <w:szCs w:val="28"/>
          <w:lang w:val="uk-UA"/>
        </w:rPr>
        <w:t>СПИСОК ВИКОРИСТАНИХ ДЖЕРЕЛ …………………………………</w:t>
      </w:r>
      <w:r w:rsidR="006827AD" w:rsidRPr="002426FF">
        <w:rPr>
          <w:rFonts w:ascii="Times New Roman" w:hAnsi="Times New Roman" w:cs="Times New Roman"/>
          <w:sz w:val="28"/>
          <w:szCs w:val="28"/>
        </w:rPr>
        <w:t>…</w:t>
      </w:r>
      <w:r w:rsidR="00BF7148" w:rsidRPr="00BF7148">
        <w:rPr>
          <w:rFonts w:ascii="Times New Roman" w:hAnsi="Times New Roman" w:cs="Times New Roman"/>
          <w:sz w:val="28"/>
          <w:szCs w:val="28"/>
        </w:rPr>
        <w:t>..</w:t>
      </w:r>
      <w:r w:rsidR="00303710" w:rsidRPr="002426FF">
        <w:rPr>
          <w:rFonts w:ascii="Times New Roman" w:hAnsi="Times New Roman" w:cs="Times New Roman"/>
          <w:sz w:val="28"/>
          <w:szCs w:val="28"/>
          <w:lang w:val="uk-UA"/>
        </w:rPr>
        <w:t>1</w:t>
      </w:r>
      <w:r w:rsidR="00F73346">
        <w:rPr>
          <w:rFonts w:ascii="Times New Roman" w:hAnsi="Times New Roman" w:cs="Times New Roman"/>
          <w:sz w:val="28"/>
          <w:szCs w:val="28"/>
          <w:lang w:val="uk-UA"/>
        </w:rPr>
        <w:t>4</w:t>
      </w:r>
      <w:r w:rsidR="006660D1">
        <w:rPr>
          <w:rFonts w:ascii="Times New Roman" w:hAnsi="Times New Roman" w:cs="Times New Roman"/>
          <w:sz w:val="28"/>
          <w:szCs w:val="28"/>
          <w:lang w:val="uk-UA"/>
        </w:rPr>
        <w:t>0</w:t>
      </w:r>
    </w:p>
    <w:p w:rsidR="00A7450D" w:rsidRPr="006660D1" w:rsidRDefault="002B44AC" w:rsidP="00A03291">
      <w:pPr>
        <w:spacing w:after="0" w:line="360" w:lineRule="auto"/>
        <w:jc w:val="center"/>
        <w:rPr>
          <w:rFonts w:ascii="Times New Roman" w:hAnsi="Times New Roman" w:cs="Times New Roman"/>
          <w:sz w:val="28"/>
          <w:szCs w:val="28"/>
          <w:lang w:val="uk-UA"/>
        </w:rPr>
      </w:pPr>
      <w:r w:rsidRPr="002426FF">
        <w:rPr>
          <w:rFonts w:ascii="Times New Roman" w:hAnsi="Times New Roman" w:cs="Times New Roman"/>
          <w:sz w:val="28"/>
          <w:szCs w:val="28"/>
          <w:lang w:val="uk-UA"/>
        </w:rPr>
        <w:t>ДОДАТ</w:t>
      </w:r>
      <w:r w:rsidR="00F73346">
        <w:rPr>
          <w:rFonts w:ascii="Times New Roman" w:hAnsi="Times New Roman" w:cs="Times New Roman"/>
          <w:sz w:val="28"/>
          <w:szCs w:val="28"/>
          <w:lang w:val="uk-UA"/>
        </w:rPr>
        <w:t>КИ………………………………………………………………………17</w:t>
      </w:r>
      <w:r w:rsidR="006660D1">
        <w:rPr>
          <w:rFonts w:ascii="Times New Roman" w:hAnsi="Times New Roman" w:cs="Times New Roman"/>
          <w:sz w:val="28"/>
          <w:szCs w:val="28"/>
          <w:lang w:val="uk-UA"/>
        </w:rPr>
        <w:t>2</w:t>
      </w: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A7450D" w:rsidRDefault="00A7450D" w:rsidP="00A03291">
      <w:pPr>
        <w:spacing w:after="0" w:line="360" w:lineRule="auto"/>
        <w:jc w:val="center"/>
        <w:rPr>
          <w:rFonts w:ascii="Times New Roman" w:hAnsi="Times New Roman" w:cs="Times New Roman"/>
          <w:b/>
          <w:sz w:val="28"/>
          <w:szCs w:val="28"/>
          <w:lang w:val="uk-UA"/>
        </w:rPr>
      </w:pPr>
    </w:p>
    <w:p w:rsidR="009E6B85" w:rsidRDefault="009E6B85" w:rsidP="006D50FA">
      <w:pPr>
        <w:spacing w:after="0" w:line="360" w:lineRule="auto"/>
        <w:rPr>
          <w:rFonts w:ascii="Times New Roman" w:hAnsi="Times New Roman" w:cs="Times New Roman"/>
          <w:b/>
          <w:sz w:val="28"/>
          <w:szCs w:val="28"/>
          <w:lang w:val="uk-UA"/>
        </w:rPr>
      </w:pPr>
    </w:p>
    <w:p w:rsidR="006D50FA" w:rsidRPr="006D50FA" w:rsidRDefault="006D50FA" w:rsidP="006D50FA">
      <w:pPr>
        <w:spacing w:after="0" w:line="360" w:lineRule="auto"/>
        <w:rPr>
          <w:rFonts w:ascii="Times New Roman" w:hAnsi="Times New Roman" w:cs="Times New Roman"/>
          <w:b/>
          <w:sz w:val="28"/>
          <w:szCs w:val="28"/>
          <w:lang w:val="uk-UA"/>
        </w:rPr>
      </w:pPr>
    </w:p>
    <w:p w:rsidR="00A03291" w:rsidRDefault="007C764C" w:rsidP="00A0329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ПЕРЕЛ</w:t>
      </w:r>
      <w:r w:rsidR="006775BD">
        <w:rPr>
          <w:rFonts w:ascii="Times New Roman" w:hAnsi="Times New Roman" w:cs="Times New Roman"/>
          <w:b/>
          <w:sz w:val="28"/>
          <w:szCs w:val="28"/>
          <w:lang w:val="en-US"/>
        </w:rPr>
        <w:t>I</w:t>
      </w:r>
      <w:r w:rsidR="00A03291" w:rsidRPr="00A03291">
        <w:rPr>
          <w:rFonts w:ascii="Times New Roman" w:hAnsi="Times New Roman" w:cs="Times New Roman"/>
          <w:b/>
          <w:sz w:val="28"/>
          <w:szCs w:val="28"/>
          <w:lang w:val="uk-UA"/>
        </w:rPr>
        <w:t xml:space="preserve">К УМОВНИХ </w:t>
      </w:r>
      <w:r w:rsidR="00755F0C">
        <w:rPr>
          <w:rFonts w:ascii="Times New Roman" w:hAnsi="Times New Roman" w:cs="Times New Roman"/>
          <w:b/>
          <w:sz w:val="28"/>
          <w:szCs w:val="28"/>
          <w:lang w:val="uk-UA"/>
        </w:rPr>
        <w:t>ПОЗНА</w:t>
      </w:r>
      <w:r w:rsidR="00755F0C" w:rsidRPr="00A03291">
        <w:rPr>
          <w:rFonts w:ascii="Times New Roman" w:hAnsi="Times New Roman" w:cs="Times New Roman"/>
          <w:b/>
          <w:sz w:val="28"/>
          <w:szCs w:val="28"/>
          <w:lang w:val="uk-UA"/>
        </w:rPr>
        <w:t>ЧЕНЬ</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 xml:space="preserve">А </w:t>
      </w:r>
      <w:r w:rsidR="00560B2F">
        <w:rPr>
          <w:rFonts w:ascii="Times New Roman" w:hAnsi="Times New Roman" w:cs="Times New Roman"/>
          <w:sz w:val="28"/>
          <w:szCs w:val="28"/>
          <w:lang w:val="uk-UA"/>
        </w:rPr>
        <w:t xml:space="preserve"> </w:t>
      </w:r>
      <w:r w:rsidR="006775BD">
        <w:rPr>
          <w:rFonts w:ascii="Times New Roman" w:hAnsi="Times New Roman" w:cs="Times New Roman"/>
          <w:sz w:val="28"/>
          <w:szCs w:val="28"/>
          <w:lang w:val="uk-UA"/>
        </w:rPr>
        <w:t>– максимальна швидк</w:t>
      </w:r>
      <w:r w:rsidR="006775BD">
        <w:rPr>
          <w:rFonts w:ascii="Times New Roman" w:hAnsi="Times New Roman" w:cs="Times New Roman"/>
          <w:sz w:val="28"/>
          <w:szCs w:val="28"/>
          <w:lang w:val="en-US"/>
        </w:rPr>
        <w:t>i</w:t>
      </w:r>
      <w:r w:rsidR="006775BD">
        <w:rPr>
          <w:rFonts w:ascii="Times New Roman" w:hAnsi="Times New Roman" w:cs="Times New Roman"/>
          <w:sz w:val="28"/>
          <w:szCs w:val="28"/>
          <w:lang w:val="uk-UA"/>
        </w:rPr>
        <w:t>сть потоку кров</w:t>
      </w:r>
      <w:r w:rsidR="006775BD">
        <w:rPr>
          <w:rFonts w:ascii="Times New Roman" w:hAnsi="Times New Roman" w:cs="Times New Roman"/>
          <w:sz w:val="28"/>
          <w:szCs w:val="28"/>
          <w:lang w:val="en-US"/>
        </w:rPr>
        <w:t>i</w:t>
      </w:r>
      <w:r w:rsidRPr="00A03291">
        <w:rPr>
          <w:rFonts w:ascii="Times New Roman" w:hAnsi="Times New Roman" w:cs="Times New Roman"/>
          <w:sz w:val="28"/>
          <w:szCs w:val="28"/>
          <w:lang w:val="uk-UA"/>
        </w:rPr>
        <w:t xml:space="preserve"> передсердної систоли</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 xml:space="preserve">АГ </w:t>
      </w:r>
      <w:r w:rsidR="00560B2F">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w:t>
      </w:r>
      <w:r w:rsidR="006775BD">
        <w:rPr>
          <w:rFonts w:ascii="Times New Roman" w:hAnsi="Times New Roman" w:cs="Times New Roman"/>
          <w:sz w:val="28"/>
          <w:szCs w:val="28"/>
          <w:lang w:val="uk-UA"/>
        </w:rPr>
        <w:t xml:space="preserve">  артер</w:t>
      </w:r>
      <w:r w:rsidR="006775BD">
        <w:rPr>
          <w:rFonts w:ascii="Times New Roman" w:hAnsi="Times New Roman" w:cs="Times New Roman"/>
          <w:sz w:val="28"/>
          <w:szCs w:val="28"/>
          <w:lang w:val="en-US"/>
        </w:rPr>
        <w:t>i</w:t>
      </w:r>
      <w:r w:rsidR="006775BD">
        <w:rPr>
          <w:rFonts w:ascii="Times New Roman" w:hAnsi="Times New Roman" w:cs="Times New Roman"/>
          <w:sz w:val="28"/>
          <w:szCs w:val="28"/>
          <w:lang w:val="uk-UA"/>
        </w:rPr>
        <w:t>альна г</w:t>
      </w:r>
      <w:r w:rsidR="006775BD">
        <w:rPr>
          <w:rFonts w:ascii="Times New Roman" w:hAnsi="Times New Roman" w:cs="Times New Roman"/>
          <w:sz w:val="28"/>
          <w:szCs w:val="28"/>
          <w:lang w:val="en-US"/>
        </w:rPr>
        <w:t>i</w:t>
      </w:r>
      <w:r w:rsidR="006775BD">
        <w:rPr>
          <w:rFonts w:ascii="Times New Roman" w:hAnsi="Times New Roman" w:cs="Times New Roman"/>
          <w:sz w:val="28"/>
          <w:szCs w:val="28"/>
          <w:lang w:val="uk-UA"/>
        </w:rPr>
        <w:t>пертенз</w:t>
      </w:r>
      <w:r w:rsidR="006775BD">
        <w:rPr>
          <w:rFonts w:ascii="Times New Roman" w:hAnsi="Times New Roman" w:cs="Times New Roman"/>
          <w:sz w:val="28"/>
          <w:szCs w:val="28"/>
          <w:lang w:val="en-US"/>
        </w:rPr>
        <w:t>i</w:t>
      </w:r>
      <w:r w:rsidRPr="00A03291">
        <w:rPr>
          <w:rFonts w:ascii="Times New Roman" w:hAnsi="Times New Roman" w:cs="Times New Roman"/>
          <w:sz w:val="28"/>
          <w:szCs w:val="28"/>
          <w:lang w:val="uk-UA"/>
        </w:rPr>
        <w:t>я</w:t>
      </w:r>
      <w:r w:rsidR="00607BFB" w:rsidRPr="00607BFB">
        <w:rPr>
          <w:rFonts w:ascii="Times New Roman" w:hAnsi="Times New Roman" w:cs="Times New Roman"/>
          <w:sz w:val="28"/>
          <w:szCs w:val="28"/>
        </w:rPr>
        <w:t>.</w:t>
      </w:r>
    </w:p>
    <w:p w:rsidR="006E2278" w:rsidRDefault="006E2278"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АлАт – аланінамінотрансфераза.</w:t>
      </w:r>
    </w:p>
    <w:p w:rsidR="006E2278" w:rsidRDefault="006E2278"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АсАт – аспартатамінотрансфераза.</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АТ − артер</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альний тиск</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АТ-ІІ – анг</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отензин ІІ</w:t>
      </w:r>
      <w:r w:rsidR="00607BFB" w:rsidRPr="00607BFB">
        <w:rPr>
          <w:rFonts w:ascii="Times New Roman" w:hAnsi="Times New Roman" w:cs="Times New Roman"/>
          <w:sz w:val="28"/>
          <w:szCs w:val="28"/>
        </w:rPr>
        <w:t>.</w:t>
      </w:r>
    </w:p>
    <w:p w:rsidR="00D009B1" w:rsidRPr="00607BFB" w:rsidRDefault="00CF24BF"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АП</w:t>
      </w:r>
      <w:r w:rsidR="006775BD">
        <w:rPr>
          <w:rFonts w:ascii="Times New Roman" w:hAnsi="Times New Roman" w:cs="Times New Roman"/>
          <w:sz w:val="28"/>
          <w:szCs w:val="28"/>
          <w:lang w:val="uk-UA"/>
        </w:rPr>
        <w:t>Ф – анг</w:t>
      </w:r>
      <w:r w:rsidR="006775BD">
        <w:rPr>
          <w:rFonts w:ascii="Times New Roman" w:hAnsi="Times New Roman" w:cs="Times New Roman"/>
          <w:sz w:val="28"/>
          <w:szCs w:val="28"/>
          <w:lang w:val="en-US"/>
        </w:rPr>
        <w:t>i</w:t>
      </w:r>
      <w:r w:rsidR="00D009B1">
        <w:rPr>
          <w:rFonts w:ascii="Times New Roman" w:hAnsi="Times New Roman" w:cs="Times New Roman"/>
          <w:sz w:val="28"/>
          <w:szCs w:val="28"/>
          <w:lang w:val="uk-UA"/>
        </w:rPr>
        <w:t>отензин-перетворю</w:t>
      </w:r>
      <w:r w:rsidR="007B0442">
        <w:rPr>
          <w:rFonts w:ascii="Times New Roman" w:hAnsi="Times New Roman" w:cs="Times New Roman"/>
          <w:sz w:val="28"/>
          <w:szCs w:val="28"/>
          <w:lang w:val="uk-UA"/>
        </w:rPr>
        <w:t>ючий</w:t>
      </w:r>
      <w:r w:rsidR="00D009B1">
        <w:rPr>
          <w:rFonts w:ascii="Times New Roman" w:hAnsi="Times New Roman" w:cs="Times New Roman"/>
          <w:sz w:val="28"/>
          <w:szCs w:val="28"/>
          <w:lang w:val="uk-UA"/>
        </w:rPr>
        <w:t xml:space="preserve"> фермент</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БРА – блокатори рецептор</w:t>
      </w:r>
      <w:r>
        <w:rPr>
          <w:rFonts w:ascii="Times New Roman" w:hAnsi="Times New Roman" w:cs="Times New Roman"/>
          <w:sz w:val="28"/>
          <w:szCs w:val="28"/>
          <w:lang w:val="en-US"/>
        </w:rPr>
        <w:t>i</w:t>
      </w:r>
      <w:r>
        <w:rPr>
          <w:rFonts w:ascii="Times New Roman" w:hAnsi="Times New Roman" w:cs="Times New Roman"/>
          <w:sz w:val="28"/>
          <w:szCs w:val="28"/>
          <w:lang w:val="uk-UA"/>
        </w:rPr>
        <w:t>в анг</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отензину</w:t>
      </w:r>
      <w:r w:rsidR="00607BFB" w:rsidRPr="00607BFB">
        <w:rPr>
          <w:rFonts w:ascii="Times New Roman" w:hAnsi="Times New Roman" w:cs="Times New Roman"/>
          <w:sz w:val="28"/>
          <w:szCs w:val="28"/>
        </w:rPr>
        <w:t>.</w:t>
      </w:r>
    </w:p>
    <w:p w:rsidR="00A03291" w:rsidRPr="00607BFB" w:rsidRDefault="00C70B25"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ВТС</w:t>
      </w:r>
      <w:r w:rsidR="006775BD">
        <w:rPr>
          <w:rFonts w:ascii="Times New Roman" w:hAnsi="Times New Roman" w:cs="Times New Roman"/>
          <w:sz w:val="28"/>
          <w:szCs w:val="28"/>
          <w:lang w:val="uk-UA"/>
        </w:rPr>
        <w:t>ЛШ − внутр</w:t>
      </w:r>
      <w:r w:rsidR="006775BD">
        <w:rPr>
          <w:rFonts w:ascii="Times New Roman" w:hAnsi="Times New Roman" w:cs="Times New Roman"/>
          <w:sz w:val="28"/>
          <w:szCs w:val="28"/>
          <w:lang w:val="en-US"/>
        </w:rPr>
        <w:t>i</w:t>
      </w:r>
      <w:r w:rsidR="006775BD">
        <w:rPr>
          <w:rFonts w:ascii="Times New Roman" w:hAnsi="Times New Roman" w:cs="Times New Roman"/>
          <w:sz w:val="28"/>
          <w:szCs w:val="28"/>
          <w:lang w:val="uk-UA"/>
        </w:rPr>
        <w:t>шня товщина ст</w:t>
      </w:r>
      <w:r w:rsidR="006775BD">
        <w:rPr>
          <w:rFonts w:ascii="Times New Roman" w:hAnsi="Times New Roman" w:cs="Times New Roman"/>
          <w:sz w:val="28"/>
          <w:szCs w:val="28"/>
          <w:lang w:val="en-US"/>
        </w:rPr>
        <w:t>i</w:t>
      </w:r>
      <w:r w:rsidR="006775BD">
        <w:rPr>
          <w:rFonts w:ascii="Times New Roman" w:hAnsi="Times New Roman" w:cs="Times New Roman"/>
          <w:sz w:val="28"/>
          <w:szCs w:val="28"/>
          <w:lang w:val="uk-UA"/>
        </w:rPr>
        <w:t>нок л</w:t>
      </w:r>
      <w:r w:rsidR="006775BD">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вого шлуночка</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ГПМК – гос</w:t>
      </w:r>
      <w:r w:rsidR="006775BD">
        <w:rPr>
          <w:rFonts w:ascii="Times New Roman" w:hAnsi="Times New Roman" w:cs="Times New Roman"/>
          <w:sz w:val="28"/>
          <w:szCs w:val="28"/>
          <w:lang w:val="uk-UA"/>
        </w:rPr>
        <w:t>тре порушення мозкового кровооб</w:t>
      </w:r>
      <w:r w:rsidR="006775BD">
        <w:rPr>
          <w:rFonts w:ascii="Times New Roman" w:hAnsi="Times New Roman" w:cs="Times New Roman"/>
          <w:sz w:val="28"/>
          <w:szCs w:val="28"/>
          <w:lang w:val="en-US"/>
        </w:rPr>
        <w:t>i</w:t>
      </w:r>
      <w:r w:rsidRPr="00A03291">
        <w:rPr>
          <w:rFonts w:ascii="Times New Roman" w:hAnsi="Times New Roman" w:cs="Times New Roman"/>
          <w:sz w:val="28"/>
          <w:szCs w:val="28"/>
          <w:lang w:val="uk-UA"/>
        </w:rPr>
        <w:t>гу</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ДАТ − д</w:t>
      </w:r>
      <w:r>
        <w:rPr>
          <w:rFonts w:ascii="Times New Roman" w:hAnsi="Times New Roman" w:cs="Times New Roman"/>
          <w:sz w:val="28"/>
          <w:szCs w:val="28"/>
          <w:lang w:val="en-US"/>
        </w:rPr>
        <w:t>i</w:t>
      </w:r>
      <w:r>
        <w:rPr>
          <w:rFonts w:ascii="Times New Roman" w:hAnsi="Times New Roman" w:cs="Times New Roman"/>
          <w:sz w:val="28"/>
          <w:szCs w:val="28"/>
          <w:lang w:val="uk-UA"/>
        </w:rPr>
        <w:t>астол</w:t>
      </w:r>
      <w:r>
        <w:rPr>
          <w:rFonts w:ascii="Times New Roman" w:hAnsi="Times New Roman" w:cs="Times New Roman"/>
          <w:sz w:val="28"/>
          <w:szCs w:val="28"/>
          <w:lang w:val="en-US"/>
        </w:rPr>
        <w:t>i</w:t>
      </w:r>
      <w:r>
        <w:rPr>
          <w:rFonts w:ascii="Times New Roman" w:hAnsi="Times New Roman" w:cs="Times New Roman"/>
          <w:sz w:val="28"/>
          <w:szCs w:val="28"/>
          <w:lang w:val="uk-UA"/>
        </w:rPr>
        <w:t>чний артер</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альний тиск</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ДН – д</w:t>
      </w:r>
      <w:r>
        <w:rPr>
          <w:rFonts w:ascii="Times New Roman" w:hAnsi="Times New Roman" w:cs="Times New Roman"/>
          <w:sz w:val="28"/>
          <w:szCs w:val="28"/>
          <w:lang w:val="en-US"/>
        </w:rPr>
        <w:t>i</w:t>
      </w:r>
      <w:r>
        <w:rPr>
          <w:rFonts w:ascii="Times New Roman" w:hAnsi="Times New Roman" w:cs="Times New Roman"/>
          <w:sz w:val="28"/>
          <w:szCs w:val="28"/>
          <w:lang w:val="uk-UA"/>
        </w:rPr>
        <w:t>абетична нефропат</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я</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Е – максимальна швидк</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сть потоку раннього передсердного наповнення</w:t>
      </w:r>
      <w:r w:rsidR="00607BFB" w:rsidRPr="00607BFB">
        <w:rPr>
          <w:rFonts w:ascii="Times New Roman" w:hAnsi="Times New Roman" w:cs="Times New Roman"/>
          <w:sz w:val="28"/>
          <w:szCs w:val="28"/>
        </w:rPr>
        <w:t>.</w:t>
      </w:r>
    </w:p>
    <w:p w:rsidR="00AE13C5"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ЕД – ендотел</w:t>
      </w:r>
      <w:r>
        <w:rPr>
          <w:rFonts w:ascii="Times New Roman" w:hAnsi="Times New Roman" w:cs="Times New Roman"/>
          <w:sz w:val="28"/>
          <w:szCs w:val="28"/>
          <w:lang w:val="en-US"/>
        </w:rPr>
        <w:t>i</w:t>
      </w:r>
      <w:r>
        <w:rPr>
          <w:rFonts w:ascii="Times New Roman" w:hAnsi="Times New Roman" w:cs="Times New Roman"/>
          <w:sz w:val="28"/>
          <w:szCs w:val="28"/>
          <w:lang w:val="uk-UA"/>
        </w:rPr>
        <w:t>альна дисфункц</w:t>
      </w:r>
      <w:r>
        <w:rPr>
          <w:rFonts w:ascii="Times New Roman" w:hAnsi="Times New Roman" w:cs="Times New Roman"/>
          <w:sz w:val="28"/>
          <w:szCs w:val="28"/>
          <w:lang w:val="en-US"/>
        </w:rPr>
        <w:t>i</w:t>
      </w:r>
      <w:r w:rsidR="00AE13C5">
        <w:rPr>
          <w:rFonts w:ascii="Times New Roman" w:hAnsi="Times New Roman" w:cs="Times New Roman"/>
          <w:sz w:val="28"/>
          <w:szCs w:val="28"/>
          <w:lang w:val="uk-UA"/>
        </w:rPr>
        <w:t>я</w:t>
      </w:r>
      <w:r w:rsidR="00607BFB" w:rsidRPr="00607BFB">
        <w:rPr>
          <w:rFonts w:ascii="Times New Roman" w:hAnsi="Times New Roman" w:cs="Times New Roman"/>
          <w:sz w:val="28"/>
          <w:szCs w:val="28"/>
        </w:rPr>
        <w:t>.</w:t>
      </w:r>
    </w:p>
    <w:p w:rsidR="00A03291" w:rsidRPr="00B93C4B" w:rsidRDefault="006775BD"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ЕТ-1 – ендотел</w:t>
      </w:r>
      <w:r>
        <w:rPr>
          <w:rFonts w:ascii="Times New Roman" w:hAnsi="Times New Roman" w:cs="Times New Roman"/>
          <w:sz w:val="28"/>
          <w:szCs w:val="28"/>
          <w:lang w:val="en-US"/>
        </w:rPr>
        <w:t>i</w:t>
      </w:r>
      <w:r w:rsidR="007C7D55">
        <w:rPr>
          <w:rFonts w:ascii="Times New Roman" w:hAnsi="Times New Roman" w:cs="Times New Roman"/>
          <w:sz w:val="28"/>
          <w:szCs w:val="28"/>
          <w:lang w:val="uk-UA"/>
        </w:rPr>
        <w:t>н-1</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ЗХС – загальний холестерин</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ІАПФ − </w:t>
      </w:r>
      <w:r>
        <w:rPr>
          <w:rFonts w:ascii="Times New Roman" w:hAnsi="Times New Roman" w:cs="Times New Roman"/>
          <w:sz w:val="28"/>
          <w:szCs w:val="28"/>
          <w:lang w:val="en-US"/>
        </w:rPr>
        <w:t>i</w:t>
      </w:r>
      <w:r>
        <w:rPr>
          <w:rFonts w:ascii="Times New Roman" w:hAnsi="Times New Roman" w:cs="Times New Roman"/>
          <w:sz w:val="28"/>
          <w:szCs w:val="28"/>
          <w:lang w:val="uk-UA"/>
        </w:rPr>
        <w:t>нг</w:t>
      </w:r>
      <w:r>
        <w:rPr>
          <w:rFonts w:ascii="Times New Roman" w:hAnsi="Times New Roman" w:cs="Times New Roman"/>
          <w:sz w:val="28"/>
          <w:szCs w:val="28"/>
          <w:lang w:val="en-US"/>
        </w:rPr>
        <w:t>i</w:t>
      </w:r>
      <w:r>
        <w:rPr>
          <w:rFonts w:ascii="Times New Roman" w:hAnsi="Times New Roman" w:cs="Times New Roman"/>
          <w:sz w:val="28"/>
          <w:szCs w:val="28"/>
          <w:lang w:val="uk-UA"/>
        </w:rPr>
        <w:t>б</w:t>
      </w:r>
      <w:r>
        <w:rPr>
          <w:rFonts w:ascii="Times New Roman" w:hAnsi="Times New Roman" w:cs="Times New Roman"/>
          <w:sz w:val="28"/>
          <w:szCs w:val="28"/>
          <w:lang w:val="en-US"/>
        </w:rPr>
        <w:t>i</w:t>
      </w:r>
      <w:r w:rsidR="00C70B25">
        <w:rPr>
          <w:rFonts w:ascii="Times New Roman" w:hAnsi="Times New Roman" w:cs="Times New Roman"/>
          <w:sz w:val="28"/>
          <w:szCs w:val="28"/>
          <w:lang w:val="uk-UA"/>
        </w:rPr>
        <w:t>тор</w:t>
      </w:r>
      <w:r>
        <w:rPr>
          <w:rFonts w:ascii="Times New Roman" w:hAnsi="Times New Roman" w:cs="Times New Roman"/>
          <w:sz w:val="28"/>
          <w:szCs w:val="28"/>
          <w:lang w:val="uk-UA"/>
        </w:rPr>
        <w:t xml:space="preserve"> анг</w:t>
      </w:r>
      <w:r>
        <w:rPr>
          <w:rFonts w:ascii="Times New Roman" w:hAnsi="Times New Roman" w:cs="Times New Roman"/>
          <w:sz w:val="28"/>
          <w:szCs w:val="28"/>
          <w:lang w:val="en-US"/>
        </w:rPr>
        <w:t>i</w:t>
      </w:r>
      <w:r w:rsidR="00FD09B7">
        <w:rPr>
          <w:rFonts w:ascii="Times New Roman" w:hAnsi="Times New Roman" w:cs="Times New Roman"/>
          <w:sz w:val="28"/>
          <w:szCs w:val="28"/>
          <w:lang w:val="uk-UA"/>
        </w:rPr>
        <w:t>отензин-перетворюючого</w:t>
      </w:r>
      <w:r w:rsidR="00A03291" w:rsidRPr="00A03291">
        <w:rPr>
          <w:rFonts w:ascii="Times New Roman" w:hAnsi="Times New Roman" w:cs="Times New Roman"/>
          <w:sz w:val="28"/>
          <w:szCs w:val="28"/>
          <w:lang w:val="uk-UA"/>
        </w:rPr>
        <w:t xml:space="preserve"> ферменту</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ІМ − </w:t>
      </w:r>
      <w:r>
        <w:rPr>
          <w:rFonts w:ascii="Times New Roman" w:hAnsi="Times New Roman" w:cs="Times New Roman"/>
          <w:sz w:val="28"/>
          <w:szCs w:val="28"/>
          <w:lang w:val="en-US"/>
        </w:rPr>
        <w:t>i</w:t>
      </w:r>
      <w:r>
        <w:rPr>
          <w:rFonts w:ascii="Times New Roman" w:hAnsi="Times New Roman" w:cs="Times New Roman"/>
          <w:sz w:val="28"/>
          <w:szCs w:val="28"/>
          <w:lang w:val="uk-UA"/>
        </w:rPr>
        <w:t>нфаркт м</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окарда</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ІММЛШ – </w:t>
      </w:r>
      <w:r>
        <w:rPr>
          <w:rFonts w:ascii="Times New Roman" w:hAnsi="Times New Roman" w:cs="Times New Roman"/>
          <w:sz w:val="28"/>
          <w:szCs w:val="28"/>
          <w:lang w:val="en-US"/>
        </w:rPr>
        <w:t>i</w:t>
      </w:r>
      <w:r>
        <w:rPr>
          <w:rFonts w:ascii="Times New Roman" w:hAnsi="Times New Roman" w:cs="Times New Roman"/>
          <w:sz w:val="28"/>
          <w:szCs w:val="28"/>
          <w:lang w:val="uk-UA"/>
        </w:rPr>
        <w:t>ндекс маси м</w:t>
      </w:r>
      <w:r>
        <w:rPr>
          <w:rFonts w:ascii="Times New Roman" w:hAnsi="Times New Roman" w:cs="Times New Roman"/>
          <w:sz w:val="28"/>
          <w:szCs w:val="28"/>
          <w:lang w:val="en-US"/>
        </w:rPr>
        <w:t>i</w:t>
      </w:r>
      <w:r>
        <w:rPr>
          <w:rFonts w:ascii="Times New Roman" w:hAnsi="Times New Roman" w:cs="Times New Roman"/>
          <w:sz w:val="28"/>
          <w:szCs w:val="28"/>
          <w:lang w:val="uk-UA"/>
        </w:rPr>
        <w:t>окарда л</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вого шлуночка</w:t>
      </w:r>
      <w:r w:rsidR="00607BFB" w:rsidRPr="00607BFB">
        <w:rPr>
          <w:rFonts w:ascii="Times New Roman" w:hAnsi="Times New Roman" w:cs="Times New Roman"/>
          <w:sz w:val="28"/>
          <w:szCs w:val="28"/>
        </w:rPr>
        <w:t>.</w:t>
      </w:r>
    </w:p>
    <w:p w:rsidR="00A03291" w:rsidRPr="00607BFB" w:rsidRDefault="006775BD"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ІМТ – </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ндекс маси тіла</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 xml:space="preserve">ІР </w:t>
      </w:r>
      <w:r w:rsidR="00607BFB">
        <w:rPr>
          <w:rFonts w:ascii="Times New Roman" w:hAnsi="Times New Roman" w:cs="Times New Roman"/>
          <w:sz w:val="28"/>
          <w:szCs w:val="28"/>
          <w:lang w:val="uk-UA"/>
        </w:rPr>
        <w:t>–</w:t>
      </w:r>
      <w:r w:rsidR="006775BD">
        <w:rPr>
          <w:rFonts w:ascii="Times New Roman" w:hAnsi="Times New Roman" w:cs="Times New Roman"/>
          <w:sz w:val="28"/>
          <w:szCs w:val="28"/>
          <w:lang w:val="uk-UA"/>
        </w:rPr>
        <w:t xml:space="preserve"> </w:t>
      </w:r>
      <w:r w:rsidR="006775BD">
        <w:rPr>
          <w:rFonts w:ascii="Times New Roman" w:hAnsi="Times New Roman" w:cs="Times New Roman"/>
          <w:sz w:val="28"/>
          <w:szCs w:val="28"/>
          <w:lang w:val="en-US"/>
        </w:rPr>
        <w:t>i</w:t>
      </w:r>
      <w:r w:rsidR="006775BD">
        <w:rPr>
          <w:rFonts w:ascii="Times New Roman" w:hAnsi="Times New Roman" w:cs="Times New Roman"/>
          <w:sz w:val="28"/>
          <w:szCs w:val="28"/>
          <w:lang w:val="uk-UA"/>
        </w:rPr>
        <w:t>нсул</w:t>
      </w:r>
      <w:r w:rsidR="006775BD">
        <w:rPr>
          <w:rFonts w:ascii="Times New Roman" w:hAnsi="Times New Roman" w:cs="Times New Roman"/>
          <w:sz w:val="28"/>
          <w:szCs w:val="28"/>
          <w:lang w:val="en-US"/>
        </w:rPr>
        <w:t>i</w:t>
      </w:r>
      <w:r w:rsidRPr="00A03291">
        <w:rPr>
          <w:rFonts w:ascii="Times New Roman" w:hAnsi="Times New Roman" w:cs="Times New Roman"/>
          <w:sz w:val="28"/>
          <w:szCs w:val="28"/>
          <w:lang w:val="uk-UA"/>
        </w:rPr>
        <w:t>норезистентність</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КА – коеф</w:t>
      </w:r>
      <w:r>
        <w:rPr>
          <w:rFonts w:ascii="Times New Roman" w:hAnsi="Times New Roman" w:cs="Times New Roman"/>
          <w:sz w:val="28"/>
          <w:szCs w:val="28"/>
          <w:lang w:val="en-US"/>
        </w:rPr>
        <w:t>i</w:t>
      </w:r>
      <w:r>
        <w:rPr>
          <w:rFonts w:ascii="Times New Roman" w:hAnsi="Times New Roman" w:cs="Times New Roman"/>
          <w:sz w:val="28"/>
          <w:szCs w:val="28"/>
          <w:lang w:val="uk-UA"/>
        </w:rPr>
        <w:t>ц</w:t>
      </w:r>
      <w:r>
        <w:rPr>
          <w:rFonts w:ascii="Times New Roman" w:hAnsi="Times New Roman" w:cs="Times New Roman"/>
          <w:sz w:val="28"/>
          <w:szCs w:val="28"/>
          <w:lang w:val="en-US"/>
        </w:rPr>
        <w:t>i</w:t>
      </w:r>
      <w:r>
        <w:rPr>
          <w:rFonts w:ascii="Times New Roman" w:hAnsi="Times New Roman" w:cs="Times New Roman"/>
          <w:sz w:val="28"/>
          <w:szCs w:val="28"/>
          <w:lang w:val="uk-UA"/>
        </w:rPr>
        <w:t>єнт атерогенност</w:t>
      </w:r>
      <w:r>
        <w:rPr>
          <w:rFonts w:ascii="Times New Roman" w:hAnsi="Times New Roman" w:cs="Times New Roman"/>
          <w:sz w:val="28"/>
          <w:szCs w:val="28"/>
          <w:lang w:val="en-US"/>
        </w:rPr>
        <w:t>i</w:t>
      </w:r>
      <w:r w:rsidR="00607BFB" w:rsidRPr="00607BFB">
        <w:rPr>
          <w:rFonts w:ascii="Times New Roman" w:hAnsi="Times New Roman" w:cs="Times New Roman"/>
          <w:sz w:val="28"/>
          <w:szCs w:val="28"/>
        </w:rPr>
        <w:t>.</w:t>
      </w:r>
    </w:p>
    <w:p w:rsidR="0019552C" w:rsidRDefault="0019552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КДО </w:t>
      </w:r>
      <w:r w:rsidRPr="0019552C">
        <w:rPr>
          <w:rFonts w:ascii="Times New Roman" w:hAnsi="Times New Roman" w:cs="Times New Roman"/>
          <w:sz w:val="28"/>
          <w:szCs w:val="28"/>
          <w:lang w:val="uk-UA"/>
        </w:rPr>
        <w:t>–</w:t>
      </w:r>
      <w:r>
        <w:rPr>
          <w:rFonts w:ascii="Times New Roman" w:hAnsi="Times New Roman" w:cs="Times New Roman"/>
          <w:sz w:val="28"/>
          <w:szCs w:val="28"/>
          <w:lang w:val="uk-UA"/>
        </w:rPr>
        <w:t xml:space="preserve"> кiнцево-дiастолiчний об</w:t>
      </w:r>
      <w:r w:rsidRPr="0019552C">
        <w:rPr>
          <w:rFonts w:ascii="Times New Roman" w:hAnsi="Times New Roman" w:cs="Times New Roman"/>
          <w:sz w:val="28"/>
          <w:szCs w:val="28"/>
          <w:lang w:val="uk-UA"/>
        </w:rPr>
        <w:t>’</w:t>
      </w:r>
      <w:r>
        <w:rPr>
          <w:rFonts w:ascii="Times New Roman" w:hAnsi="Times New Roman" w:cs="Times New Roman"/>
          <w:sz w:val="28"/>
          <w:szCs w:val="28"/>
          <w:lang w:val="uk-UA"/>
        </w:rPr>
        <w:t>єм</w:t>
      </w:r>
      <w:r w:rsidRPr="0019552C">
        <w:rPr>
          <w:rFonts w:ascii="Times New Roman" w:hAnsi="Times New Roman" w:cs="Times New Roman"/>
          <w:sz w:val="28"/>
          <w:szCs w:val="28"/>
          <w:lang w:val="uk-UA"/>
        </w:rPr>
        <w:t>.</w:t>
      </w:r>
    </w:p>
    <w:p w:rsidR="0019552C" w:rsidRDefault="0019552C"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КСО </w:t>
      </w:r>
      <w:r w:rsidRPr="0019552C">
        <w:rPr>
          <w:rFonts w:ascii="Times New Roman" w:hAnsi="Times New Roman" w:cs="Times New Roman"/>
          <w:sz w:val="28"/>
          <w:szCs w:val="28"/>
          <w:lang w:val="uk-UA"/>
        </w:rPr>
        <w:t>–</w:t>
      </w:r>
      <w:r>
        <w:rPr>
          <w:rFonts w:ascii="Times New Roman" w:hAnsi="Times New Roman" w:cs="Times New Roman"/>
          <w:sz w:val="28"/>
          <w:szCs w:val="28"/>
          <w:lang w:val="uk-UA"/>
        </w:rPr>
        <w:t xml:space="preserve"> кiнцево-систолiчний об’єм.</w:t>
      </w:r>
    </w:p>
    <w:p w:rsidR="00A03291" w:rsidRPr="000F6430" w:rsidRDefault="00A03291" w:rsidP="00A03291">
      <w:pPr>
        <w:spacing w:after="0" w:line="360" w:lineRule="auto"/>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КДР</w:t>
      </w:r>
      <w:r w:rsidR="00722E55">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w:t>
      </w:r>
      <w:r w:rsidR="00967E2A">
        <w:rPr>
          <w:rFonts w:ascii="Times New Roman" w:hAnsi="Times New Roman" w:cs="Times New Roman"/>
          <w:sz w:val="28"/>
          <w:szCs w:val="28"/>
          <w:lang w:val="uk-UA"/>
        </w:rPr>
        <w:t xml:space="preserve"> к</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нцево-д</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астол</w:t>
      </w:r>
      <w:r w:rsidR="00967E2A">
        <w:rPr>
          <w:rFonts w:ascii="Times New Roman" w:hAnsi="Times New Roman" w:cs="Times New Roman"/>
          <w:sz w:val="28"/>
          <w:szCs w:val="28"/>
          <w:lang w:val="en-US"/>
        </w:rPr>
        <w:t>i</w:t>
      </w:r>
      <w:r w:rsidRPr="00A03291">
        <w:rPr>
          <w:rFonts w:ascii="Times New Roman" w:hAnsi="Times New Roman" w:cs="Times New Roman"/>
          <w:sz w:val="28"/>
          <w:szCs w:val="28"/>
          <w:lang w:val="uk-UA"/>
        </w:rPr>
        <w:t>чний роз</w:t>
      </w:r>
      <w:r w:rsidR="00967E2A">
        <w:rPr>
          <w:rFonts w:ascii="Times New Roman" w:hAnsi="Times New Roman" w:cs="Times New Roman"/>
          <w:sz w:val="28"/>
          <w:szCs w:val="28"/>
          <w:lang w:val="uk-UA"/>
        </w:rPr>
        <w:t>м</w:t>
      </w:r>
      <w:r w:rsidR="00967E2A">
        <w:rPr>
          <w:rFonts w:ascii="Times New Roman" w:hAnsi="Times New Roman" w:cs="Times New Roman"/>
          <w:sz w:val="28"/>
          <w:szCs w:val="28"/>
          <w:lang w:val="en-US"/>
        </w:rPr>
        <w:t>i</w:t>
      </w:r>
      <w:r w:rsidRPr="00A03291">
        <w:rPr>
          <w:rFonts w:ascii="Times New Roman" w:hAnsi="Times New Roman" w:cs="Times New Roman"/>
          <w:sz w:val="28"/>
          <w:szCs w:val="28"/>
          <w:lang w:val="uk-UA"/>
        </w:rPr>
        <w:t>р</w:t>
      </w:r>
      <w:r w:rsidR="00607BFB" w:rsidRPr="000F6430">
        <w:rPr>
          <w:rFonts w:ascii="Times New Roman" w:hAnsi="Times New Roman" w:cs="Times New Roman"/>
          <w:sz w:val="28"/>
          <w:szCs w:val="28"/>
          <w:lang w:val="uk-UA"/>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КСР − к</w:t>
      </w:r>
      <w:r>
        <w:rPr>
          <w:rFonts w:ascii="Times New Roman" w:hAnsi="Times New Roman" w:cs="Times New Roman"/>
          <w:sz w:val="28"/>
          <w:szCs w:val="28"/>
          <w:lang w:val="en-US"/>
        </w:rPr>
        <w:t>i</w:t>
      </w:r>
      <w:r>
        <w:rPr>
          <w:rFonts w:ascii="Times New Roman" w:hAnsi="Times New Roman" w:cs="Times New Roman"/>
          <w:sz w:val="28"/>
          <w:szCs w:val="28"/>
          <w:lang w:val="uk-UA"/>
        </w:rPr>
        <w:t>нцево-систол</w:t>
      </w:r>
      <w:r>
        <w:rPr>
          <w:rFonts w:ascii="Times New Roman" w:hAnsi="Times New Roman" w:cs="Times New Roman"/>
          <w:sz w:val="28"/>
          <w:szCs w:val="28"/>
          <w:lang w:val="en-US"/>
        </w:rPr>
        <w:t>i</w:t>
      </w:r>
      <w:r>
        <w:rPr>
          <w:rFonts w:ascii="Times New Roman" w:hAnsi="Times New Roman" w:cs="Times New Roman"/>
          <w:sz w:val="28"/>
          <w:szCs w:val="28"/>
          <w:lang w:val="uk-UA"/>
        </w:rPr>
        <w:t>чний розм</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р</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ЛП – л</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ве передсердя</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ЛШ − л</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вий шлуночок</w:t>
      </w:r>
      <w:r w:rsidR="00607BFB" w:rsidRPr="00607BFB">
        <w:rPr>
          <w:rFonts w:ascii="Times New Roman" w:hAnsi="Times New Roman" w:cs="Times New Roman"/>
          <w:sz w:val="28"/>
          <w:szCs w:val="28"/>
        </w:rPr>
        <w:t>.</w:t>
      </w:r>
    </w:p>
    <w:p w:rsidR="001325B6" w:rsidRPr="00607BFB" w:rsidRDefault="001325B6"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МАУ </w:t>
      </w:r>
      <w:r w:rsidR="00607BFB">
        <w:rPr>
          <w:rFonts w:ascii="Times New Roman" w:hAnsi="Times New Roman" w:cs="Times New Roman"/>
          <w:sz w:val="28"/>
          <w:szCs w:val="28"/>
          <w:lang w:val="uk-UA"/>
        </w:rPr>
        <w:t>–</w:t>
      </w:r>
      <w:r w:rsidR="00967E2A">
        <w:rPr>
          <w:rFonts w:ascii="Times New Roman" w:hAnsi="Times New Roman" w:cs="Times New Roman"/>
          <w:sz w:val="28"/>
          <w:szCs w:val="28"/>
          <w:lang w:val="uk-UA"/>
        </w:rPr>
        <w:t xml:space="preserve"> м</w:t>
      </w:r>
      <w:r w:rsidR="00967E2A">
        <w:rPr>
          <w:rFonts w:ascii="Times New Roman" w:hAnsi="Times New Roman" w:cs="Times New Roman"/>
          <w:sz w:val="28"/>
          <w:szCs w:val="28"/>
          <w:lang w:val="en-US"/>
        </w:rPr>
        <w:t>i</w:t>
      </w:r>
      <w:r>
        <w:rPr>
          <w:rFonts w:ascii="Times New Roman" w:hAnsi="Times New Roman" w:cs="Times New Roman"/>
          <w:sz w:val="28"/>
          <w:szCs w:val="28"/>
          <w:lang w:val="uk-UA"/>
        </w:rPr>
        <w:t>кроа</w:t>
      </w:r>
      <w:r w:rsidR="00967E2A">
        <w:rPr>
          <w:rFonts w:ascii="Times New Roman" w:hAnsi="Times New Roman" w:cs="Times New Roman"/>
          <w:sz w:val="28"/>
          <w:szCs w:val="28"/>
          <w:lang w:val="uk-UA"/>
        </w:rPr>
        <w:t>льбум</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нур</w:t>
      </w:r>
      <w:r w:rsidR="00967E2A">
        <w:rPr>
          <w:rFonts w:ascii="Times New Roman" w:hAnsi="Times New Roman" w:cs="Times New Roman"/>
          <w:sz w:val="28"/>
          <w:szCs w:val="28"/>
          <w:lang w:val="en-US"/>
        </w:rPr>
        <w:t>i</w:t>
      </w:r>
      <w:r>
        <w:rPr>
          <w:rFonts w:ascii="Times New Roman" w:hAnsi="Times New Roman" w:cs="Times New Roman"/>
          <w:sz w:val="28"/>
          <w:szCs w:val="28"/>
          <w:lang w:val="uk-UA"/>
        </w:rPr>
        <w:t>я</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ММЛШ − маса м</w:t>
      </w:r>
      <w:r>
        <w:rPr>
          <w:rFonts w:ascii="Times New Roman" w:hAnsi="Times New Roman" w:cs="Times New Roman"/>
          <w:sz w:val="28"/>
          <w:szCs w:val="28"/>
          <w:lang w:val="en-US"/>
        </w:rPr>
        <w:t>i</w:t>
      </w:r>
      <w:r w:rsidR="00473CED">
        <w:rPr>
          <w:rFonts w:ascii="Times New Roman" w:hAnsi="Times New Roman" w:cs="Times New Roman"/>
          <w:sz w:val="28"/>
          <w:szCs w:val="28"/>
          <w:lang w:val="uk-UA"/>
        </w:rPr>
        <w:t>окарда</w:t>
      </w:r>
      <w:r>
        <w:rPr>
          <w:rFonts w:ascii="Times New Roman" w:hAnsi="Times New Roman" w:cs="Times New Roman"/>
          <w:sz w:val="28"/>
          <w:szCs w:val="28"/>
          <w:lang w:val="uk-UA"/>
        </w:rPr>
        <w:t xml:space="preserve"> л</w:t>
      </w:r>
      <w:r>
        <w:rPr>
          <w:rFonts w:ascii="Times New Roman" w:hAnsi="Times New Roman" w:cs="Times New Roman"/>
          <w:sz w:val="28"/>
          <w:szCs w:val="28"/>
          <w:lang w:val="en-US"/>
        </w:rPr>
        <w:t>i</w:t>
      </w:r>
      <w:r w:rsidR="00447775">
        <w:rPr>
          <w:rFonts w:ascii="Times New Roman" w:hAnsi="Times New Roman" w:cs="Times New Roman"/>
          <w:sz w:val="28"/>
          <w:szCs w:val="28"/>
          <w:lang w:val="uk-UA"/>
        </w:rPr>
        <w:t>вого шлуночка</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ПП – праве передсердя</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ППТ – площа поверхн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т</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ла</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РААС − рен</w:t>
      </w:r>
      <w:r>
        <w:rPr>
          <w:rFonts w:ascii="Times New Roman" w:hAnsi="Times New Roman" w:cs="Times New Roman"/>
          <w:sz w:val="28"/>
          <w:szCs w:val="28"/>
          <w:lang w:val="en-US"/>
        </w:rPr>
        <w:t>i</w:t>
      </w:r>
      <w:r>
        <w:rPr>
          <w:rFonts w:ascii="Times New Roman" w:hAnsi="Times New Roman" w:cs="Times New Roman"/>
          <w:sz w:val="28"/>
          <w:szCs w:val="28"/>
          <w:lang w:val="uk-UA"/>
        </w:rPr>
        <w:t>н-анг</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отензин-альдостеронова система</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САТ − систол</w:t>
      </w:r>
      <w:r>
        <w:rPr>
          <w:rFonts w:ascii="Times New Roman" w:hAnsi="Times New Roman" w:cs="Times New Roman"/>
          <w:sz w:val="28"/>
          <w:szCs w:val="28"/>
          <w:lang w:val="en-US"/>
        </w:rPr>
        <w:t>i</w:t>
      </w:r>
      <w:r>
        <w:rPr>
          <w:rFonts w:ascii="Times New Roman" w:hAnsi="Times New Roman" w:cs="Times New Roman"/>
          <w:sz w:val="28"/>
          <w:szCs w:val="28"/>
          <w:lang w:val="uk-UA"/>
        </w:rPr>
        <w:t>чний артер</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альний тиск</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СН − серцева недостатн</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сть</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ССЗ – серцево-судинн</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 xml:space="preserve"> захворювання</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ССУ – серцево-судинн</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 xml:space="preserve"> ускладнення</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 xml:space="preserve">ТГ </w:t>
      </w:r>
      <w:r w:rsidR="00607BFB">
        <w:rPr>
          <w:rFonts w:ascii="Times New Roman" w:hAnsi="Times New Roman" w:cs="Times New Roman"/>
          <w:sz w:val="28"/>
          <w:szCs w:val="28"/>
          <w:lang w:val="uk-UA"/>
        </w:rPr>
        <w:t>–</w:t>
      </w:r>
      <w:r w:rsidR="00967E2A">
        <w:rPr>
          <w:rFonts w:ascii="Times New Roman" w:hAnsi="Times New Roman" w:cs="Times New Roman"/>
          <w:sz w:val="28"/>
          <w:szCs w:val="28"/>
          <w:lang w:val="uk-UA"/>
        </w:rPr>
        <w:t xml:space="preserve"> тригл</w:t>
      </w:r>
      <w:r w:rsidR="00967E2A">
        <w:rPr>
          <w:rFonts w:ascii="Times New Roman" w:hAnsi="Times New Roman" w:cs="Times New Roman"/>
          <w:sz w:val="28"/>
          <w:szCs w:val="28"/>
          <w:lang w:val="en-US"/>
        </w:rPr>
        <w:t>i</w:t>
      </w:r>
      <w:r w:rsidRPr="00A03291">
        <w:rPr>
          <w:rFonts w:ascii="Times New Roman" w:hAnsi="Times New Roman" w:cs="Times New Roman"/>
          <w:sz w:val="28"/>
          <w:szCs w:val="28"/>
          <w:lang w:val="uk-UA"/>
        </w:rPr>
        <w:t>цериди</w:t>
      </w:r>
      <w:r w:rsidR="00607BFB" w:rsidRPr="00607BFB">
        <w:rPr>
          <w:rFonts w:ascii="Times New Roman" w:hAnsi="Times New Roman" w:cs="Times New Roman"/>
          <w:sz w:val="28"/>
          <w:szCs w:val="28"/>
        </w:rPr>
        <w:t>.</w:t>
      </w:r>
    </w:p>
    <w:p w:rsidR="00A03291" w:rsidRPr="00607BFB" w:rsidRDefault="00A03291" w:rsidP="00A03291">
      <w:pPr>
        <w:spacing w:after="0" w:line="360" w:lineRule="auto"/>
        <w:jc w:val="both"/>
        <w:rPr>
          <w:rFonts w:ascii="Times New Roman" w:hAnsi="Times New Roman" w:cs="Times New Roman"/>
          <w:sz w:val="28"/>
          <w:szCs w:val="28"/>
        </w:rPr>
      </w:pPr>
      <w:r w:rsidRPr="00A03291">
        <w:rPr>
          <w:rFonts w:ascii="Times New Roman" w:hAnsi="Times New Roman" w:cs="Times New Roman"/>
          <w:sz w:val="28"/>
          <w:szCs w:val="28"/>
          <w:lang w:val="uk-UA"/>
        </w:rPr>
        <w:t>Т</w:t>
      </w:r>
      <w:r w:rsidR="00967E2A">
        <w:rPr>
          <w:rFonts w:ascii="Times New Roman" w:hAnsi="Times New Roman" w:cs="Times New Roman"/>
          <w:sz w:val="28"/>
          <w:szCs w:val="28"/>
          <w:lang w:val="uk-UA"/>
        </w:rPr>
        <w:t>ЗСЛШ − товщина задньої стінки л</w:t>
      </w:r>
      <w:r w:rsidR="00967E2A">
        <w:rPr>
          <w:rFonts w:ascii="Times New Roman" w:hAnsi="Times New Roman" w:cs="Times New Roman"/>
          <w:sz w:val="28"/>
          <w:szCs w:val="28"/>
          <w:lang w:val="en-US"/>
        </w:rPr>
        <w:t>i</w:t>
      </w:r>
      <w:r w:rsidRPr="00A03291">
        <w:rPr>
          <w:rFonts w:ascii="Times New Roman" w:hAnsi="Times New Roman" w:cs="Times New Roman"/>
          <w:sz w:val="28"/>
          <w:szCs w:val="28"/>
          <w:lang w:val="uk-UA"/>
        </w:rPr>
        <w:t>вого шлуночка</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ТІА – транзиторна </w:t>
      </w:r>
      <w:r>
        <w:rPr>
          <w:rFonts w:ascii="Times New Roman" w:hAnsi="Times New Roman" w:cs="Times New Roman"/>
          <w:sz w:val="28"/>
          <w:szCs w:val="28"/>
          <w:lang w:val="en-US"/>
        </w:rPr>
        <w:t>i</w:t>
      </w:r>
      <w:r>
        <w:rPr>
          <w:rFonts w:ascii="Times New Roman" w:hAnsi="Times New Roman" w:cs="Times New Roman"/>
          <w:sz w:val="28"/>
          <w:szCs w:val="28"/>
          <w:lang w:val="uk-UA"/>
        </w:rPr>
        <w:t>шем</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чна атака</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ТМШП − товщина м</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жшлуночкової перегородки</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ФВ − фракц</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я викиду</w:t>
      </w:r>
      <w:r w:rsidR="00607BFB" w:rsidRPr="00607BFB">
        <w:rPr>
          <w:rFonts w:ascii="Times New Roman" w:hAnsi="Times New Roman" w:cs="Times New Roman"/>
          <w:sz w:val="28"/>
          <w:szCs w:val="28"/>
        </w:rPr>
        <w:t>.</w:t>
      </w:r>
    </w:p>
    <w:p w:rsidR="006E2278" w:rsidRDefault="006E2278"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ФК – функціональний клас.</w:t>
      </w:r>
    </w:p>
    <w:p w:rsidR="00453376" w:rsidRPr="00607BFB" w:rsidRDefault="00453376"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ФНП</w:t>
      </w:r>
      <w:r w:rsidRPr="00453376">
        <w:rPr>
          <w:rFonts w:ascii="Times New Roman" w:hAnsi="Times New Roman" w:cs="Times New Roman"/>
          <w:sz w:val="28"/>
          <w:szCs w:val="28"/>
        </w:rPr>
        <w:t>-</w:t>
      </w:r>
      <w:r>
        <w:rPr>
          <w:rFonts w:ascii="Times New Roman" w:hAnsi="Times New Roman" w:cs="Times New Roman"/>
          <w:sz w:val="28"/>
          <w:szCs w:val="28"/>
          <w:lang w:val="en-US"/>
        </w:rPr>
        <w:t>α</w:t>
      </w:r>
      <w:r w:rsidRPr="00453376">
        <w:rPr>
          <w:rFonts w:ascii="Times New Roman" w:hAnsi="Times New Roman" w:cs="Times New Roman"/>
          <w:sz w:val="28"/>
          <w:szCs w:val="28"/>
        </w:rPr>
        <w:t xml:space="preserve"> – </w:t>
      </w:r>
      <w:r>
        <w:rPr>
          <w:rFonts w:ascii="Times New Roman" w:hAnsi="Times New Roman" w:cs="Times New Roman"/>
          <w:sz w:val="28"/>
          <w:szCs w:val="28"/>
          <w:lang w:val="uk-UA"/>
        </w:rPr>
        <w:t>фактор некрозу пухлин-α</w:t>
      </w:r>
      <w:r w:rsidR="00607BFB" w:rsidRPr="00607BFB">
        <w:rPr>
          <w:rFonts w:ascii="Times New Roman" w:hAnsi="Times New Roman" w:cs="Times New Roman"/>
          <w:sz w:val="28"/>
          <w:szCs w:val="28"/>
        </w:rPr>
        <w:t>.</w:t>
      </w:r>
    </w:p>
    <w:p w:rsidR="006E2278" w:rsidRDefault="006E2278" w:rsidP="006E2278">
      <w:pPr>
        <w:spacing w:after="0" w:line="360" w:lineRule="auto"/>
        <w:jc w:val="both"/>
        <w:rPr>
          <w:rFonts w:ascii="Times New Roman" w:hAnsi="Times New Roman" w:cs="Times New Roman"/>
          <w:sz w:val="28"/>
          <w:szCs w:val="28"/>
          <w:lang w:val="uk-UA"/>
        </w:rPr>
      </w:pPr>
      <w:r w:rsidRPr="006E2278">
        <w:rPr>
          <w:rFonts w:ascii="Times New Roman" w:hAnsi="Times New Roman" w:cs="Times New Roman"/>
          <w:sz w:val="28"/>
          <w:szCs w:val="28"/>
          <w:lang w:val="uk-UA"/>
        </w:rPr>
        <w:t>ХС ЛПВЩ – холестерин лiпопротеїдів високої щiльностi.</w:t>
      </w:r>
    </w:p>
    <w:p w:rsidR="006E2278" w:rsidRPr="006E2278" w:rsidRDefault="006E2278" w:rsidP="006E2278">
      <w:pPr>
        <w:spacing w:after="0" w:line="360" w:lineRule="auto"/>
        <w:jc w:val="both"/>
        <w:rPr>
          <w:rFonts w:ascii="Times New Roman" w:hAnsi="Times New Roman" w:cs="Times New Roman"/>
          <w:sz w:val="28"/>
          <w:szCs w:val="28"/>
          <w:lang w:val="uk-UA"/>
        </w:rPr>
      </w:pPr>
      <w:r w:rsidRPr="006E2278">
        <w:rPr>
          <w:rFonts w:ascii="Times New Roman" w:hAnsi="Times New Roman" w:cs="Times New Roman"/>
          <w:sz w:val="28"/>
          <w:szCs w:val="28"/>
          <w:lang w:val="uk-UA"/>
        </w:rPr>
        <w:t>ХС ЛПДНЩ – холестерин лiпопротеїдів дуже низької щiльностi.</w:t>
      </w:r>
    </w:p>
    <w:p w:rsidR="006E2278" w:rsidRPr="006E2278" w:rsidRDefault="006E2278" w:rsidP="006E2278">
      <w:pPr>
        <w:spacing w:after="0" w:line="360" w:lineRule="auto"/>
        <w:jc w:val="both"/>
        <w:rPr>
          <w:rFonts w:ascii="Times New Roman" w:hAnsi="Times New Roman" w:cs="Times New Roman"/>
          <w:sz w:val="28"/>
          <w:szCs w:val="28"/>
          <w:lang w:val="uk-UA"/>
        </w:rPr>
      </w:pPr>
      <w:r w:rsidRPr="006E2278">
        <w:rPr>
          <w:rFonts w:ascii="Times New Roman" w:hAnsi="Times New Roman" w:cs="Times New Roman"/>
          <w:sz w:val="28"/>
          <w:szCs w:val="28"/>
          <w:lang w:val="uk-UA"/>
        </w:rPr>
        <w:t>ХС ЛПНЩ – холестерин лiпопротеїдів низької щiльностi.</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ХСН − хрон</w:t>
      </w:r>
      <w:r>
        <w:rPr>
          <w:rFonts w:ascii="Times New Roman" w:hAnsi="Times New Roman" w:cs="Times New Roman"/>
          <w:sz w:val="28"/>
          <w:szCs w:val="28"/>
          <w:lang w:val="en-US"/>
        </w:rPr>
        <w:t>i</w:t>
      </w:r>
      <w:r>
        <w:rPr>
          <w:rFonts w:ascii="Times New Roman" w:hAnsi="Times New Roman" w:cs="Times New Roman"/>
          <w:sz w:val="28"/>
          <w:szCs w:val="28"/>
          <w:lang w:val="uk-UA"/>
        </w:rPr>
        <w:t>чна серцева недостатн</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сть</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ХХН − хрон</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чна хвороба нирок</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ЦД − цукровий д</w:t>
      </w:r>
      <w:r>
        <w:rPr>
          <w:rFonts w:ascii="Times New Roman" w:hAnsi="Times New Roman" w:cs="Times New Roman"/>
          <w:sz w:val="28"/>
          <w:szCs w:val="28"/>
          <w:lang w:val="en-US"/>
        </w:rPr>
        <w:t>i</w:t>
      </w:r>
      <w:r w:rsidR="00A03291" w:rsidRPr="00C70B25">
        <w:rPr>
          <w:rFonts w:ascii="Times New Roman" w:hAnsi="Times New Roman" w:cs="Times New Roman"/>
          <w:sz w:val="28"/>
          <w:szCs w:val="28"/>
          <w:lang w:val="uk-UA"/>
        </w:rPr>
        <w:t>абет</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ШКФ – швидк</w:t>
      </w:r>
      <w:r>
        <w:rPr>
          <w:rFonts w:ascii="Times New Roman" w:hAnsi="Times New Roman" w:cs="Times New Roman"/>
          <w:sz w:val="28"/>
          <w:szCs w:val="28"/>
          <w:lang w:val="en-US"/>
        </w:rPr>
        <w:t>i</w:t>
      </w:r>
      <w:r>
        <w:rPr>
          <w:rFonts w:ascii="Times New Roman" w:hAnsi="Times New Roman" w:cs="Times New Roman"/>
          <w:sz w:val="28"/>
          <w:szCs w:val="28"/>
          <w:lang w:val="uk-UA"/>
        </w:rPr>
        <w:t>сть клубочкової ф</w:t>
      </w:r>
      <w:r>
        <w:rPr>
          <w:rFonts w:ascii="Times New Roman" w:hAnsi="Times New Roman" w:cs="Times New Roman"/>
          <w:sz w:val="28"/>
          <w:szCs w:val="28"/>
          <w:lang w:val="en-US"/>
        </w:rPr>
        <w:t>i</w:t>
      </w:r>
      <w:r>
        <w:rPr>
          <w:rFonts w:ascii="Times New Roman" w:hAnsi="Times New Roman" w:cs="Times New Roman"/>
          <w:sz w:val="28"/>
          <w:szCs w:val="28"/>
          <w:lang w:val="uk-UA"/>
        </w:rPr>
        <w:t>льтрац</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ї</w:t>
      </w:r>
      <w:r w:rsidR="00607BFB" w:rsidRPr="00607BFB">
        <w:rPr>
          <w:rFonts w:ascii="Times New Roman" w:hAnsi="Times New Roman" w:cs="Times New Roman"/>
          <w:sz w:val="28"/>
          <w:szCs w:val="28"/>
        </w:rPr>
        <w:t>.</w:t>
      </w:r>
    </w:p>
    <w:p w:rsidR="00A03291" w:rsidRPr="00607BFB" w:rsidRDefault="00967E2A"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HbA1c – гл</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козильова</w:t>
      </w:r>
      <w:r w:rsidR="00447775">
        <w:rPr>
          <w:rFonts w:ascii="Times New Roman" w:hAnsi="Times New Roman" w:cs="Times New Roman"/>
          <w:sz w:val="28"/>
          <w:szCs w:val="28"/>
          <w:lang w:val="uk-UA"/>
        </w:rPr>
        <w:t>н</w:t>
      </w:r>
      <w:r>
        <w:rPr>
          <w:rFonts w:ascii="Times New Roman" w:hAnsi="Times New Roman" w:cs="Times New Roman"/>
          <w:sz w:val="28"/>
          <w:szCs w:val="28"/>
          <w:lang w:val="uk-UA"/>
        </w:rPr>
        <w:t>ий гемоглоб</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н</w:t>
      </w:r>
      <w:r w:rsidR="00607BFB" w:rsidRPr="00607BFB">
        <w:rPr>
          <w:rFonts w:ascii="Times New Roman" w:hAnsi="Times New Roman" w:cs="Times New Roman"/>
          <w:sz w:val="28"/>
          <w:szCs w:val="28"/>
        </w:rPr>
        <w:t>.</w:t>
      </w:r>
    </w:p>
    <w:p w:rsidR="00CB07A6" w:rsidRPr="00607BFB" w:rsidRDefault="00CB07A6"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М – середнє арифметичне</w:t>
      </w:r>
      <w:r w:rsidR="00607BFB" w:rsidRPr="00607BFB">
        <w:rPr>
          <w:rFonts w:ascii="Times New Roman" w:hAnsi="Times New Roman" w:cs="Times New Roman"/>
          <w:sz w:val="28"/>
          <w:szCs w:val="28"/>
        </w:rPr>
        <w:t>.</w:t>
      </w:r>
    </w:p>
    <w:p w:rsidR="00CB07A6" w:rsidRPr="00607BFB" w:rsidRDefault="00CB07A6" w:rsidP="00A03291">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m</w:t>
      </w:r>
      <w:r w:rsidRPr="00CB07A6">
        <w:rPr>
          <w:rFonts w:ascii="Times New Roman" w:hAnsi="Times New Roman" w:cs="Times New Roman"/>
          <w:sz w:val="28"/>
          <w:szCs w:val="28"/>
        </w:rPr>
        <w:t xml:space="preserve"> – </w:t>
      </w:r>
      <w:r>
        <w:rPr>
          <w:rFonts w:ascii="Times New Roman" w:hAnsi="Times New Roman" w:cs="Times New Roman"/>
          <w:sz w:val="28"/>
          <w:szCs w:val="28"/>
        </w:rPr>
        <w:t>похибка середнього арифметичного</w:t>
      </w:r>
      <w:r w:rsidR="00607BFB" w:rsidRPr="00607BFB">
        <w:rPr>
          <w:rFonts w:ascii="Times New Roman" w:hAnsi="Times New Roman" w:cs="Times New Roman"/>
          <w:sz w:val="28"/>
          <w:szCs w:val="28"/>
        </w:rPr>
        <w:t>.</w:t>
      </w:r>
    </w:p>
    <w:p w:rsidR="00A03291" w:rsidRPr="00A03291" w:rsidRDefault="00A03291" w:rsidP="00A03291">
      <w:pPr>
        <w:spacing w:after="0" w:line="360" w:lineRule="auto"/>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p − дос</w:t>
      </w:r>
      <w:r w:rsidR="00967E2A">
        <w:rPr>
          <w:rFonts w:ascii="Times New Roman" w:hAnsi="Times New Roman" w:cs="Times New Roman"/>
          <w:sz w:val="28"/>
          <w:szCs w:val="28"/>
          <w:lang w:val="uk-UA"/>
        </w:rPr>
        <w:t>тов</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рн</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сть р</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зниці середн</w:t>
      </w:r>
      <w:r w:rsidR="00967E2A">
        <w:rPr>
          <w:rFonts w:ascii="Times New Roman" w:hAnsi="Times New Roman" w:cs="Times New Roman"/>
          <w:sz w:val="28"/>
          <w:szCs w:val="28"/>
          <w:lang w:val="en-US"/>
        </w:rPr>
        <w:t>i</w:t>
      </w:r>
      <w:r w:rsidRPr="00A03291">
        <w:rPr>
          <w:rFonts w:ascii="Times New Roman" w:hAnsi="Times New Roman" w:cs="Times New Roman"/>
          <w:sz w:val="28"/>
          <w:szCs w:val="28"/>
          <w:lang w:val="uk-UA"/>
        </w:rPr>
        <w:t>х двох груп</w:t>
      </w:r>
      <w:r w:rsidR="00607BFB" w:rsidRPr="00607BFB">
        <w:rPr>
          <w:rFonts w:ascii="Times New Roman" w:hAnsi="Times New Roman" w:cs="Times New Roman"/>
          <w:sz w:val="28"/>
          <w:szCs w:val="28"/>
        </w:rPr>
        <w:t>.</w:t>
      </w:r>
      <w:r w:rsidRPr="00A03291">
        <w:rPr>
          <w:rFonts w:ascii="Times New Roman" w:hAnsi="Times New Roman" w:cs="Times New Roman"/>
          <w:sz w:val="28"/>
          <w:szCs w:val="28"/>
          <w:lang w:val="uk-UA"/>
        </w:rPr>
        <w:t xml:space="preserve"> </w:t>
      </w:r>
    </w:p>
    <w:p w:rsidR="002C310A" w:rsidRPr="00607BFB" w:rsidRDefault="002C310A" w:rsidP="00A03291">
      <w:pPr>
        <w:spacing w:after="0" w:line="360" w:lineRule="auto"/>
        <w:jc w:val="both"/>
        <w:rPr>
          <w:rFonts w:ascii="Times New Roman" w:hAnsi="Times New Roman" w:cs="Times New Roman"/>
          <w:sz w:val="28"/>
          <w:szCs w:val="28"/>
          <w:lang w:val="uk-UA"/>
        </w:rPr>
      </w:pPr>
      <w:r w:rsidRPr="002C310A">
        <w:rPr>
          <w:rFonts w:ascii="Times New Roman" w:hAnsi="Times New Roman" w:cs="Times New Roman"/>
          <w:sz w:val="28"/>
          <w:szCs w:val="28"/>
          <w:lang w:val="uk-UA"/>
        </w:rPr>
        <w:t>PPARγ</w:t>
      </w:r>
      <w:r w:rsidR="004C6E03">
        <w:rPr>
          <w:rFonts w:ascii="Times New Roman" w:hAnsi="Times New Roman" w:cs="Times New Roman"/>
          <w:sz w:val="28"/>
          <w:szCs w:val="28"/>
          <w:lang w:val="uk-UA"/>
        </w:rPr>
        <w:t xml:space="preserve"> – </w:t>
      </w:r>
      <w:r w:rsidR="004C6E03" w:rsidRPr="004C6E03">
        <w:rPr>
          <w:rFonts w:ascii="Times New Roman" w:hAnsi="Times New Roman" w:cs="Times New Roman"/>
          <w:sz w:val="28"/>
          <w:szCs w:val="28"/>
          <w:lang w:val="uk-UA"/>
        </w:rPr>
        <w:t>гамма-рецептор</w:t>
      </w:r>
      <w:r w:rsidR="004C6E03">
        <w:rPr>
          <w:rFonts w:ascii="Times New Roman" w:hAnsi="Times New Roman" w:cs="Times New Roman"/>
          <w:sz w:val="28"/>
          <w:szCs w:val="28"/>
          <w:lang w:val="uk-UA"/>
        </w:rPr>
        <w:t>и</w:t>
      </w:r>
      <w:r w:rsidR="00447775">
        <w:rPr>
          <w:rFonts w:ascii="Times New Roman" w:hAnsi="Times New Roman" w:cs="Times New Roman"/>
          <w:sz w:val="28"/>
          <w:szCs w:val="28"/>
          <w:lang w:val="uk-UA"/>
        </w:rPr>
        <w:t>, що</w:t>
      </w:r>
      <w:r w:rsidR="00967E2A">
        <w:rPr>
          <w:rFonts w:ascii="Times New Roman" w:hAnsi="Times New Roman" w:cs="Times New Roman"/>
          <w:sz w:val="28"/>
          <w:szCs w:val="28"/>
          <w:lang w:val="uk-UA"/>
        </w:rPr>
        <w:t xml:space="preserve"> активують прол</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ферац</w:t>
      </w:r>
      <w:r w:rsidR="00967E2A">
        <w:rPr>
          <w:rFonts w:ascii="Times New Roman" w:hAnsi="Times New Roman" w:cs="Times New Roman"/>
          <w:sz w:val="28"/>
          <w:szCs w:val="28"/>
          <w:lang w:val="en-US"/>
        </w:rPr>
        <w:t>i</w:t>
      </w:r>
      <w:r w:rsidR="004C6E03" w:rsidRPr="004C6E03">
        <w:rPr>
          <w:rFonts w:ascii="Times New Roman" w:hAnsi="Times New Roman" w:cs="Times New Roman"/>
          <w:sz w:val="28"/>
          <w:szCs w:val="28"/>
          <w:lang w:val="uk-UA"/>
        </w:rPr>
        <w:t xml:space="preserve">ю </w:t>
      </w:r>
      <w:r w:rsidR="00967E2A">
        <w:rPr>
          <w:rFonts w:ascii="Times New Roman" w:hAnsi="Times New Roman" w:cs="Times New Roman"/>
          <w:sz w:val="28"/>
          <w:szCs w:val="28"/>
          <w:lang w:val="uk-UA"/>
        </w:rPr>
        <w:t>перокси</w:t>
      </w:r>
      <w:r w:rsidR="00967E2A">
        <w:rPr>
          <w:rFonts w:ascii="Times New Roman" w:hAnsi="Times New Roman" w:cs="Times New Roman"/>
          <w:sz w:val="28"/>
          <w:szCs w:val="28"/>
          <w:lang w:val="en-US"/>
        </w:rPr>
        <w:t>c</w:t>
      </w:r>
      <w:r w:rsidR="00607BFB">
        <w:rPr>
          <w:rFonts w:ascii="Times New Roman" w:hAnsi="Times New Roman" w:cs="Times New Roman"/>
          <w:sz w:val="28"/>
          <w:szCs w:val="28"/>
          <w:lang w:val="uk-UA"/>
        </w:rPr>
        <w:t>ом</w:t>
      </w:r>
      <w:r w:rsidR="00607BFB" w:rsidRPr="00607BFB">
        <w:rPr>
          <w:rFonts w:ascii="Times New Roman" w:hAnsi="Times New Roman" w:cs="Times New Roman"/>
          <w:sz w:val="28"/>
          <w:szCs w:val="28"/>
          <w:lang w:val="uk-UA"/>
        </w:rPr>
        <w:t>.</w:t>
      </w:r>
    </w:p>
    <w:p w:rsidR="00DA5658" w:rsidRPr="00B703B8" w:rsidRDefault="00DA5658" w:rsidP="00A032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r</w:t>
      </w:r>
      <w:r w:rsidRPr="00B703B8">
        <w:rPr>
          <w:rFonts w:ascii="Times New Roman" w:hAnsi="Times New Roman" w:cs="Times New Roman"/>
          <w:sz w:val="28"/>
          <w:szCs w:val="28"/>
          <w:lang w:val="uk-UA"/>
        </w:rPr>
        <w:t xml:space="preserve"> – </w:t>
      </w:r>
      <w:r w:rsidR="00967E2A">
        <w:rPr>
          <w:rFonts w:ascii="Times New Roman" w:hAnsi="Times New Roman" w:cs="Times New Roman"/>
          <w:sz w:val="28"/>
          <w:szCs w:val="28"/>
          <w:lang w:val="uk-UA"/>
        </w:rPr>
        <w:t>коеф</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ц</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єнт кореляц</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ї П</w:t>
      </w:r>
      <w:r w:rsidR="00967E2A">
        <w:rPr>
          <w:rFonts w:ascii="Times New Roman" w:hAnsi="Times New Roman" w:cs="Times New Roman"/>
          <w:sz w:val="28"/>
          <w:szCs w:val="28"/>
          <w:lang w:val="en-US"/>
        </w:rPr>
        <w:t>i</w:t>
      </w:r>
      <w:r>
        <w:rPr>
          <w:rFonts w:ascii="Times New Roman" w:hAnsi="Times New Roman" w:cs="Times New Roman"/>
          <w:sz w:val="28"/>
          <w:szCs w:val="28"/>
          <w:lang w:val="uk-UA"/>
        </w:rPr>
        <w:t>рсона</w:t>
      </w:r>
      <w:r w:rsidR="00607BFB" w:rsidRPr="00B703B8">
        <w:rPr>
          <w:rFonts w:ascii="Times New Roman" w:hAnsi="Times New Roman" w:cs="Times New Roman"/>
          <w:sz w:val="28"/>
          <w:szCs w:val="28"/>
          <w:lang w:val="uk-UA"/>
        </w:rPr>
        <w:t>.</w:t>
      </w:r>
    </w:p>
    <w:p w:rsidR="00B93C4B" w:rsidRDefault="00B93C4B" w:rsidP="00CB07A6">
      <w:pPr>
        <w:spacing w:after="0" w:line="360" w:lineRule="auto"/>
        <w:jc w:val="both"/>
        <w:rPr>
          <w:rFonts w:ascii="Times New Roman" w:hAnsi="Times New Roman" w:cs="Times New Roman"/>
          <w:sz w:val="28"/>
          <w:szCs w:val="28"/>
          <w:lang w:val="uk-UA"/>
        </w:rPr>
      </w:pPr>
      <w:r w:rsidRPr="00B93C4B">
        <w:rPr>
          <w:rFonts w:ascii="Times New Roman" w:hAnsi="Times New Roman" w:cs="Times New Roman"/>
          <w:sz w:val="28"/>
          <w:szCs w:val="28"/>
          <w:lang w:val="uk-UA"/>
        </w:rPr>
        <w:t xml:space="preserve">sVCAM-1 </w:t>
      </w:r>
      <w:r w:rsidR="00967E2A">
        <w:rPr>
          <w:rFonts w:ascii="Times New Roman" w:hAnsi="Times New Roman" w:cs="Times New Roman"/>
          <w:sz w:val="28"/>
          <w:szCs w:val="28"/>
          <w:lang w:val="uk-UA"/>
        </w:rPr>
        <w:t>- розчинна форма молекули адгез</w:t>
      </w:r>
      <w:r w:rsidR="00967E2A">
        <w:rPr>
          <w:rFonts w:ascii="Times New Roman" w:hAnsi="Times New Roman" w:cs="Times New Roman"/>
          <w:sz w:val="28"/>
          <w:szCs w:val="28"/>
          <w:lang w:val="en-US"/>
        </w:rPr>
        <w:t>i</w:t>
      </w:r>
      <w:r w:rsidR="00967E2A">
        <w:rPr>
          <w:rFonts w:ascii="Times New Roman" w:hAnsi="Times New Roman" w:cs="Times New Roman"/>
          <w:sz w:val="28"/>
          <w:szCs w:val="28"/>
          <w:lang w:val="uk-UA"/>
        </w:rPr>
        <w:t>ї судинного ендотел</w:t>
      </w:r>
      <w:r w:rsidR="00967E2A">
        <w:rPr>
          <w:rFonts w:ascii="Times New Roman" w:hAnsi="Times New Roman" w:cs="Times New Roman"/>
          <w:sz w:val="28"/>
          <w:szCs w:val="28"/>
          <w:lang w:val="en-US"/>
        </w:rPr>
        <w:t>i</w:t>
      </w:r>
      <w:r w:rsidRPr="00B93C4B">
        <w:rPr>
          <w:rFonts w:ascii="Times New Roman" w:hAnsi="Times New Roman" w:cs="Times New Roman"/>
          <w:sz w:val="28"/>
          <w:szCs w:val="28"/>
          <w:lang w:val="uk-UA"/>
        </w:rPr>
        <w:t>ю 1-го типу.</w:t>
      </w:r>
    </w:p>
    <w:p w:rsidR="00E06C8B" w:rsidRPr="0019552C" w:rsidRDefault="00967E2A" w:rsidP="0019552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t − критер</w:t>
      </w:r>
      <w:r>
        <w:rPr>
          <w:rFonts w:ascii="Times New Roman" w:hAnsi="Times New Roman" w:cs="Times New Roman"/>
          <w:sz w:val="28"/>
          <w:szCs w:val="28"/>
          <w:lang w:val="en-US"/>
        </w:rPr>
        <w:t>i</w:t>
      </w:r>
      <w:r>
        <w:rPr>
          <w:rFonts w:ascii="Times New Roman" w:hAnsi="Times New Roman" w:cs="Times New Roman"/>
          <w:sz w:val="28"/>
          <w:szCs w:val="28"/>
          <w:lang w:val="uk-UA"/>
        </w:rPr>
        <w:t>й достов</w:t>
      </w:r>
      <w:r>
        <w:rPr>
          <w:rFonts w:ascii="Times New Roman" w:hAnsi="Times New Roman" w:cs="Times New Roman"/>
          <w:sz w:val="28"/>
          <w:szCs w:val="28"/>
          <w:lang w:val="en-US"/>
        </w:rPr>
        <w:t>i</w:t>
      </w:r>
      <w:r>
        <w:rPr>
          <w:rFonts w:ascii="Times New Roman" w:hAnsi="Times New Roman" w:cs="Times New Roman"/>
          <w:sz w:val="28"/>
          <w:szCs w:val="28"/>
          <w:lang w:val="uk-UA"/>
        </w:rPr>
        <w:t>рност</w:t>
      </w:r>
      <w:r>
        <w:rPr>
          <w:rFonts w:ascii="Times New Roman" w:hAnsi="Times New Roman" w:cs="Times New Roman"/>
          <w:sz w:val="28"/>
          <w:szCs w:val="28"/>
          <w:lang w:val="en-US"/>
        </w:rPr>
        <w:t>i</w:t>
      </w:r>
      <w:r w:rsidR="00A03291" w:rsidRPr="00A03291">
        <w:rPr>
          <w:rFonts w:ascii="Times New Roman" w:hAnsi="Times New Roman" w:cs="Times New Roman"/>
          <w:sz w:val="28"/>
          <w:szCs w:val="28"/>
          <w:lang w:val="uk-UA"/>
        </w:rPr>
        <w:t xml:space="preserve"> за Стьюдентом</w:t>
      </w:r>
      <w:r w:rsidR="00607BFB" w:rsidRPr="00607BFB">
        <w:rPr>
          <w:rFonts w:ascii="Times New Roman" w:hAnsi="Times New Roman" w:cs="Times New Roman"/>
          <w:sz w:val="28"/>
          <w:szCs w:val="28"/>
        </w:rPr>
        <w:t>.</w:t>
      </w:r>
    </w:p>
    <w:p w:rsidR="00A03291" w:rsidRPr="00FA1A4A" w:rsidRDefault="00A03291" w:rsidP="00A03291">
      <w:pPr>
        <w:spacing w:after="0" w:line="360" w:lineRule="auto"/>
        <w:jc w:val="center"/>
        <w:rPr>
          <w:rFonts w:ascii="Times New Roman" w:hAnsi="Times New Roman" w:cs="Times New Roman"/>
          <w:b/>
          <w:sz w:val="28"/>
          <w:szCs w:val="28"/>
          <w:lang w:val="uk-UA"/>
        </w:rPr>
      </w:pPr>
      <w:r w:rsidRPr="00FA1A4A">
        <w:rPr>
          <w:rFonts w:ascii="Times New Roman" w:hAnsi="Times New Roman" w:cs="Times New Roman"/>
          <w:b/>
          <w:sz w:val="28"/>
          <w:szCs w:val="28"/>
          <w:lang w:val="uk-UA"/>
        </w:rPr>
        <w:lastRenderedPageBreak/>
        <w:t>ВСТУП</w:t>
      </w:r>
    </w:p>
    <w:p w:rsidR="00180B5A" w:rsidRDefault="006811D5" w:rsidP="00A03291">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Актуальн</w:t>
      </w:r>
      <w:r>
        <w:rPr>
          <w:rFonts w:ascii="Times New Roman" w:hAnsi="Times New Roman" w:cs="Times New Roman"/>
          <w:b/>
          <w:sz w:val="28"/>
          <w:szCs w:val="28"/>
          <w:lang w:val="en-US"/>
        </w:rPr>
        <w:t>i</w:t>
      </w:r>
      <w:r w:rsidR="00180B5A">
        <w:rPr>
          <w:rFonts w:ascii="Times New Roman" w:hAnsi="Times New Roman" w:cs="Times New Roman"/>
          <w:b/>
          <w:sz w:val="28"/>
          <w:szCs w:val="28"/>
          <w:lang w:val="uk-UA"/>
        </w:rPr>
        <w:t>сть теми</w:t>
      </w:r>
      <w:r w:rsidR="00A03291" w:rsidRPr="00A03291">
        <w:rPr>
          <w:rFonts w:ascii="Times New Roman" w:hAnsi="Times New Roman" w:cs="Times New Roman"/>
          <w:b/>
          <w:sz w:val="28"/>
          <w:szCs w:val="28"/>
          <w:lang w:val="uk-UA"/>
        </w:rPr>
        <w:t xml:space="preserve"> </w:t>
      </w:r>
    </w:p>
    <w:p w:rsidR="003E0B6D" w:rsidRDefault="007C769E" w:rsidP="00F26D4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w:t>
      </w:r>
      <w:r w:rsidR="003E0B6D">
        <w:rPr>
          <w:rFonts w:ascii="Times New Roman" w:hAnsi="Times New Roman" w:cs="Times New Roman"/>
          <w:sz w:val="28"/>
          <w:szCs w:val="28"/>
          <w:lang w:val="uk-UA"/>
        </w:rPr>
        <w:t xml:space="preserve">лікування пацієнтів із </w:t>
      </w:r>
      <w:r w:rsidR="008366F8">
        <w:rPr>
          <w:rFonts w:ascii="Times New Roman" w:hAnsi="Times New Roman" w:cs="Times New Roman"/>
          <w:sz w:val="28"/>
          <w:szCs w:val="28"/>
          <w:lang w:val="uk-UA"/>
        </w:rPr>
        <w:t>артеріальною гіпертензією (</w:t>
      </w:r>
      <w:r w:rsidR="003E0B6D">
        <w:rPr>
          <w:rFonts w:ascii="Times New Roman" w:hAnsi="Times New Roman" w:cs="Times New Roman"/>
          <w:sz w:val="28"/>
          <w:szCs w:val="28"/>
          <w:lang w:val="uk-UA"/>
        </w:rPr>
        <w:t>АГ</w:t>
      </w:r>
      <w:r w:rsidR="008366F8">
        <w:rPr>
          <w:rFonts w:ascii="Times New Roman" w:hAnsi="Times New Roman" w:cs="Times New Roman"/>
          <w:sz w:val="28"/>
          <w:szCs w:val="28"/>
          <w:lang w:val="uk-UA"/>
        </w:rPr>
        <w:t>)</w:t>
      </w:r>
      <w:r w:rsidR="003E0B6D">
        <w:rPr>
          <w:rFonts w:ascii="Times New Roman" w:hAnsi="Times New Roman" w:cs="Times New Roman"/>
          <w:sz w:val="28"/>
          <w:szCs w:val="28"/>
          <w:lang w:val="uk-UA"/>
        </w:rPr>
        <w:t xml:space="preserve"> та супутнім </w:t>
      </w:r>
      <w:r w:rsidR="008366F8">
        <w:rPr>
          <w:rFonts w:ascii="Times New Roman" w:hAnsi="Times New Roman" w:cs="Times New Roman"/>
          <w:sz w:val="28"/>
          <w:szCs w:val="28"/>
          <w:lang w:val="uk-UA"/>
        </w:rPr>
        <w:t>цукровим діабетом (</w:t>
      </w:r>
      <w:r w:rsidR="003E0B6D">
        <w:rPr>
          <w:rFonts w:ascii="Times New Roman" w:hAnsi="Times New Roman" w:cs="Times New Roman"/>
          <w:sz w:val="28"/>
          <w:szCs w:val="28"/>
          <w:lang w:val="uk-UA"/>
        </w:rPr>
        <w:t>ЦД</w:t>
      </w:r>
      <w:r w:rsidR="008366F8">
        <w:rPr>
          <w:rFonts w:ascii="Times New Roman" w:hAnsi="Times New Roman" w:cs="Times New Roman"/>
          <w:sz w:val="28"/>
          <w:szCs w:val="28"/>
          <w:lang w:val="uk-UA"/>
        </w:rPr>
        <w:t>)</w:t>
      </w:r>
      <w:r w:rsidR="003E0B6D">
        <w:rPr>
          <w:rFonts w:ascii="Times New Roman" w:hAnsi="Times New Roman" w:cs="Times New Roman"/>
          <w:sz w:val="28"/>
          <w:szCs w:val="28"/>
          <w:lang w:val="uk-UA"/>
        </w:rPr>
        <w:t xml:space="preserve"> 2-го типу шляхом пошуку нових підходів до призначення препаратів із </w:t>
      </w:r>
      <w:r w:rsidR="003F7E08">
        <w:rPr>
          <w:rFonts w:ascii="Times New Roman" w:hAnsi="Times New Roman" w:cs="Times New Roman"/>
          <w:sz w:val="28"/>
          <w:szCs w:val="28"/>
          <w:lang w:val="uk-UA"/>
        </w:rPr>
        <w:t xml:space="preserve">урахуванням їх органопротекторних властивостей </w:t>
      </w:r>
      <w:r w:rsidR="003E0B6D">
        <w:rPr>
          <w:rFonts w:ascii="Times New Roman" w:hAnsi="Times New Roman" w:cs="Times New Roman"/>
          <w:sz w:val="28"/>
          <w:szCs w:val="28"/>
          <w:lang w:val="uk-UA"/>
        </w:rPr>
        <w:t xml:space="preserve">є актуальною проблемою внутрішньої медицини. </w:t>
      </w:r>
      <w:r w:rsidR="00F26D47">
        <w:rPr>
          <w:rFonts w:ascii="Times New Roman" w:hAnsi="Times New Roman" w:cs="Times New Roman"/>
          <w:sz w:val="28"/>
          <w:szCs w:val="28"/>
          <w:lang w:val="uk-UA"/>
        </w:rPr>
        <w:t xml:space="preserve">Констатовано факт динамічної </w:t>
      </w:r>
      <w:r w:rsidR="00F26D47" w:rsidRPr="00F26D47">
        <w:rPr>
          <w:rFonts w:ascii="Times New Roman" w:hAnsi="Times New Roman" w:cs="Times New Roman"/>
          <w:sz w:val="28"/>
          <w:szCs w:val="28"/>
          <w:lang w:val="uk-UA"/>
        </w:rPr>
        <w:t>прогресії питомої ваги коморбідних патологічних станів</w:t>
      </w:r>
      <w:r w:rsidR="00F26D47">
        <w:rPr>
          <w:rFonts w:ascii="Times New Roman" w:hAnsi="Times New Roman" w:cs="Times New Roman"/>
          <w:sz w:val="28"/>
          <w:szCs w:val="28"/>
          <w:lang w:val="uk-UA"/>
        </w:rPr>
        <w:t>, які конкурують за своїм діагностичним та прогностичним значенням</w:t>
      </w:r>
      <w:r w:rsidR="00F26D47" w:rsidRPr="00F26D47">
        <w:rPr>
          <w:rFonts w:ascii="Times New Roman" w:hAnsi="Times New Roman" w:cs="Times New Roman"/>
          <w:sz w:val="28"/>
          <w:szCs w:val="28"/>
          <w:lang w:val="uk-UA"/>
        </w:rPr>
        <w:t xml:space="preserve"> </w:t>
      </w:r>
      <w:r w:rsidR="003F7E08" w:rsidRPr="003F7E08">
        <w:rPr>
          <w:rFonts w:ascii="Times New Roman" w:hAnsi="Times New Roman" w:cs="Times New Roman"/>
          <w:sz w:val="28"/>
          <w:szCs w:val="28"/>
          <w:lang w:val="uk-UA"/>
        </w:rPr>
        <w:t>[</w:t>
      </w:r>
      <w:r w:rsidR="003F7E08" w:rsidRPr="0083391B">
        <w:rPr>
          <w:rFonts w:ascii="Times New Roman" w:hAnsi="Times New Roman" w:cs="Times New Roman"/>
          <w:sz w:val="28"/>
          <w:szCs w:val="28"/>
          <w:lang w:val="uk-UA"/>
        </w:rPr>
        <w:t>1]</w:t>
      </w:r>
      <w:r w:rsidR="003F7E08" w:rsidRPr="003F7E08">
        <w:rPr>
          <w:rFonts w:ascii="Times New Roman" w:hAnsi="Times New Roman" w:cs="Times New Roman"/>
          <w:sz w:val="28"/>
          <w:szCs w:val="28"/>
          <w:lang w:val="uk-UA"/>
        </w:rPr>
        <w:t>.</w:t>
      </w:r>
    </w:p>
    <w:p w:rsidR="009E39D4" w:rsidRDefault="00CD0361" w:rsidP="00C2001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Супутня патологія</w:t>
      </w:r>
      <w:r w:rsidR="00C20012" w:rsidRPr="00C20012">
        <w:rPr>
          <w:rFonts w:ascii="Times New Roman" w:hAnsi="Times New Roman" w:cs="Times New Roman"/>
          <w:sz w:val="28"/>
          <w:szCs w:val="28"/>
          <w:lang w:val="uk-UA"/>
        </w:rPr>
        <w:t xml:space="preserve"> у хворих на</w:t>
      </w:r>
      <w:r w:rsidR="00C20012">
        <w:rPr>
          <w:rFonts w:ascii="Times New Roman" w:hAnsi="Times New Roman" w:cs="Times New Roman"/>
          <w:sz w:val="28"/>
          <w:szCs w:val="28"/>
          <w:lang w:val="uk-UA"/>
        </w:rPr>
        <w:t xml:space="preserve"> АГ</w:t>
      </w:r>
      <w:r>
        <w:rPr>
          <w:rFonts w:ascii="Times New Roman" w:hAnsi="Times New Roman" w:cs="Times New Roman"/>
          <w:sz w:val="28"/>
          <w:szCs w:val="28"/>
          <w:lang w:val="uk-UA"/>
        </w:rPr>
        <w:t xml:space="preserve"> вважається о</w:t>
      </w:r>
      <w:r w:rsidRPr="00CD0361">
        <w:rPr>
          <w:rFonts w:ascii="Times New Roman" w:hAnsi="Times New Roman" w:cs="Times New Roman"/>
          <w:sz w:val="28"/>
          <w:szCs w:val="28"/>
          <w:lang w:val="uk-UA"/>
        </w:rPr>
        <w:t>собливо актуальною</w:t>
      </w:r>
      <w:r w:rsidR="00470587" w:rsidRPr="00470587">
        <w:rPr>
          <w:rFonts w:ascii="Times New Roman" w:hAnsi="Times New Roman" w:cs="Times New Roman"/>
          <w:sz w:val="28"/>
          <w:szCs w:val="28"/>
        </w:rPr>
        <w:t xml:space="preserve"> </w:t>
      </w:r>
      <w:r w:rsidR="00470587">
        <w:rPr>
          <w:rFonts w:ascii="Times New Roman" w:hAnsi="Times New Roman" w:cs="Times New Roman"/>
          <w:sz w:val="28"/>
          <w:szCs w:val="28"/>
          <w:lang w:val="uk-UA"/>
        </w:rPr>
        <w:t xml:space="preserve">зважаючи на те, що </w:t>
      </w:r>
      <w:r w:rsidR="002A753F">
        <w:rPr>
          <w:rFonts w:ascii="Times New Roman" w:hAnsi="Times New Roman" w:cs="Times New Roman"/>
          <w:sz w:val="28"/>
          <w:szCs w:val="28"/>
          <w:lang w:val="uk-UA"/>
        </w:rPr>
        <w:t xml:space="preserve">саме </w:t>
      </w:r>
      <w:r w:rsidR="00470587">
        <w:rPr>
          <w:rFonts w:ascii="Times New Roman" w:hAnsi="Times New Roman" w:cs="Times New Roman"/>
          <w:sz w:val="28"/>
          <w:szCs w:val="28"/>
          <w:lang w:val="uk-UA"/>
        </w:rPr>
        <w:t>АГ</w:t>
      </w:r>
      <w:r w:rsidR="00470587" w:rsidRPr="00470587">
        <w:rPr>
          <w:rFonts w:ascii="Times New Roman" w:hAnsi="Times New Roman" w:cs="Times New Roman"/>
          <w:sz w:val="28"/>
          <w:szCs w:val="28"/>
          <w:lang w:val="uk-UA"/>
        </w:rPr>
        <w:t xml:space="preserve"> визнана основною причиною кардіоваскулярної захворюваності та смертності </w:t>
      </w:r>
      <w:r w:rsidR="00FD6D09">
        <w:rPr>
          <w:rFonts w:ascii="Times New Roman" w:hAnsi="Times New Roman" w:cs="Times New Roman"/>
          <w:sz w:val="28"/>
          <w:szCs w:val="28"/>
          <w:lang w:val="uk-UA"/>
        </w:rPr>
        <w:t xml:space="preserve">у світі та Європі </w:t>
      </w:r>
      <w:r w:rsidR="00470587" w:rsidRPr="0083391B">
        <w:rPr>
          <w:rFonts w:ascii="Times New Roman" w:hAnsi="Times New Roman" w:cs="Times New Roman"/>
          <w:sz w:val="28"/>
          <w:szCs w:val="28"/>
          <w:lang w:val="uk-UA"/>
        </w:rPr>
        <w:t>[</w:t>
      </w:r>
      <w:r w:rsidR="0083391B">
        <w:rPr>
          <w:rFonts w:ascii="Times New Roman" w:hAnsi="Times New Roman" w:cs="Times New Roman"/>
          <w:sz w:val="28"/>
          <w:szCs w:val="28"/>
        </w:rPr>
        <w:t>2</w:t>
      </w:r>
      <w:r w:rsidR="00470587" w:rsidRPr="0083391B">
        <w:rPr>
          <w:rFonts w:ascii="Times New Roman" w:hAnsi="Times New Roman" w:cs="Times New Roman"/>
          <w:sz w:val="28"/>
          <w:szCs w:val="28"/>
          <w:lang w:val="uk-UA"/>
        </w:rPr>
        <w:t>]</w:t>
      </w:r>
      <w:r w:rsidR="00236E12" w:rsidRPr="0083391B">
        <w:rPr>
          <w:rFonts w:ascii="Times New Roman" w:hAnsi="Times New Roman" w:cs="Times New Roman"/>
          <w:sz w:val="28"/>
          <w:szCs w:val="28"/>
          <w:lang w:val="uk-UA"/>
        </w:rPr>
        <w:t>.</w:t>
      </w:r>
      <w:r w:rsidR="00236E12">
        <w:rPr>
          <w:rFonts w:ascii="Times New Roman" w:hAnsi="Times New Roman" w:cs="Times New Roman"/>
          <w:sz w:val="28"/>
          <w:szCs w:val="28"/>
          <w:lang w:val="uk-UA"/>
        </w:rPr>
        <w:t xml:space="preserve"> </w:t>
      </w:r>
      <w:r w:rsidR="002A753F">
        <w:rPr>
          <w:rFonts w:ascii="Times New Roman" w:hAnsi="Times New Roman" w:cs="Times New Roman"/>
          <w:sz w:val="28"/>
          <w:szCs w:val="28"/>
          <w:lang w:val="uk-UA"/>
        </w:rPr>
        <w:t xml:space="preserve">Поширеність АГ </w:t>
      </w:r>
      <w:r w:rsidR="00F33EBA" w:rsidRPr="00F33EBA">
        <w:rPr>
          <w:rFonts w:ascii="Times New Roman" w:hAnsi="Times New Roman" w:cs="Times New Roman"/>
          <w:sz w:val="28"/>
          <w:szCs w:val="28"/>
          <w:lang w:val="uk-UA"/>
        </w:rPr>
        <w:t>складає 35 %</w:t>
      </w:r>
      <w:r w:rsidR="00F33EBA">
        <w:rPr>
          <w:rFonts w:ascii="Times New Roman" w:hAnsi="Times New Roman" w:cs="Times New Roman"/>
          <w:sz w:val="28"/>
          <w:szCs w:val="28"/>
          <w:lang w:val="uk-UA"/>
        </w:rPr>
        <w:t xml:space="preserve"> у </w:t>
      </w:r>
      <w:r w:rsidR="00F33EBA" w:rsidRPr="00F33EBA">
        <w:rPr>
          <w:rFonts w:ascii="Times New Roman" w:hAnsi="Times New Roman" w:cs="Times New Roman"/>
          <w:sz w:val="28"/>
          <w:szCs w:val="28"/>
          <w:lang w:val="uk-UA"/>
        </w:rPr>
        <w:t>високорозвинених країнах</w:t>
      </w:r>
      <w:r w:rsidR="00F33EBA">
        <w:rPr>
          <w:rFonts w:ascii="Times New Roman" w:hAnsi="Times New Roman" w:cs="Times New Roman"/>
          <w:sz w:val="28"/>
          <w:szCs w:val="28"/>
          <w:lang w:val="uk-UA"/>
        </w:rPr>
        <w:t xml:space="preserve"> з</w:t>
      </w:r>
      <w:r w:rsidR="0016463F">
        <w:rPr>
          <w:rFonts w:ascii="Times New Roman" w:hAnsi="Times New Roman" w:cs="Times New Roman"/>
          <w:sz w:val="28"/>
          <w:szCs w:val="28"/>
          <w:lang w:val="uk-UA"/>
        </w:rPr>
        <w:t xml:space="preserve">а даними ВООЗ (2013). </w:t>
      </w:r>
      <w:r w:rsidR="000B1659">
        <w:rPr>
          <w:rFonts w:ascii="Times New Roman" w:hAnsi="Times New Roman" w:cs="Times New Roman"/>
          <w:sz w:val="28"/>
          <w:szCs w:val="28"/>
          <w:lang w:val="uk-UA"/>
        </w:rPr>
        <w:t>Більше девʼяти млн</w:t>
      </w:r>
      <w:r w:rsidR="00446184">
        <w:rPr>
          <w:rFonts w:ascii="Times New Roman" w:hAnsi="Times New Roman" w:cs="Times New Roman"/>
          <w:sz w:val="28"/>
          <w:szCs w:val="28"/>
          <w:lang w:val="uk-UA"/>
        </w:rPr>
        <w:t xml:space="preserve"> хворих у світі </w:t>
      </w:r>
      <w:r>
        <w:rPr>
          <w:rFonts w:ascii="Times New Roman" w:hAnsi="Times New Roman" w:cs="Times New Roman"/>
          <w:sz w:val="28"/>
          <w:szCs w:val="28"/>
          <w:lang w:val="uk-UA"/>
        </w:rPr>
        <w:t xml:space="preserve">помирає від </w:t>
      </w:r>
      <w:r w:rsidRPr="00CD0361">
        <w:rPr>
          <w:rFonts w:ascii="Times New Roman" w:hAnsi="Times New Roman" w:cs="Times New Roman"/>
          <w:sz w:val="28"/>
          <w:szCs w:val="28"/>
          <w:lang w:val="uk-UA"/>
        </w:rPr>
        <w:t>її ускладнень</w:t>
      </w:r>
      <w:r w:rsidR="00446184">
        <w:rPr>
          <w:rFonts w:ascii="Times New Roman" w:hAnsi="Times New Roman" w:cs="Times New Roman"/>
          <w:sz w:val="28"/>
          <w:szCs w:val="28"/>
          <w:lang w:val="uk-UA"/>
        </w:rPr>
        <w:t xml:space="preserve"> щороку</w:t>
      </w:r>
      <w:r w:rsidRPr="00CD0361">
        <w:rPr>
          <w:rFonts w:ascii="Times New Roman" w:hAnsi="Times New Roman" w:cs="Times New Roman"/>
          <w:sz w:val="28"/>
          <w:szCs w:val="28"/>
          <w:lang w:val="uk-UA"/>
        </w:rPr>
        <w:t xml:space="preserve"> </w:t>
      </w:r>
      <w:r w:rsidR="006D0E3C" w:rsidRPr="006D0E3C">
        <w:rPr>
          <w:rFonts w:ascii="Times New Roman" w:hAnsi="Times New Roman" w:cs="Times New Roman"/>
          <w:sz w:val="28"/>
          <w:szCs w:val="28"/>
          <w:lang w:val="uk-UA"/>
        </w:rPr>
        <w:t>[</w:t>
      </w:r>
      <w:r w:rsidR="0083391B">
        <w:rPr>
          <w:rFonts w:ascii="Times New Roman" w:hAnsi="Times New Roman" w:cs="Times New Roman"/>
          <w:sz w:val="28"/>
          <w:szCs w:val="28"/>
          <w:lang w:val="uk-UA"/>
        </w:rPr>
        <w:t>3</w:t>
      </w:r>
      <w:r w:rsidR="0016463F" w:rsidRPr="006D0E3C">
        <w:rPr>
          <w:rFonts w:ascii="Times New Roman" w:hAnsi="Times New Roman" w:cs="Times New Roman"/>
          <w:sz w:val="28"/>
          <w:szCs w:val="28"/>
          <w:lang w:val="uk-UA"/>
        </w:rPr>
        <w:t>].</w:t>
      </w:r>
      <w:r w:rsidR="00394709">
        <w:rPr>
          <w:rFonts w:ascii="Times New Roman" w:hAnsi="Times New Roman" w:cs="Times New Roman"/>
          <w:sz w:val="28"/>
          <w:szCs w:val="28"/>
          <w:lang w:val="uk-UA"/>
        </w:rPr>
        <w:t xml:space="preserve"> </w:t>
      </w:r>
      <w:r w:rsidR="007E50A6">
        <w:rPr>
          <w:rFonts w:ascii="Times New Roman" w:hAnsi="Times New Roman" w:cs="Times New Roman"/>
          <w:sz w:val="28"/>
          <w:szCs w:val="28"/>
          <w:lang w:val="uk-UA"/>
        </w:rPr>
        <w:t>Артеріальна гіпертензія</w:t>
      </w:r>
      <w:r w:rsidR="00394709">
        <w:rPr>
          <w:rFonts w:ascii="Times New Roman" w:hAnsi="Times New Roman" w:cs="Times New Roman"/>
          <w:sz w:val="28"/>
          <w:szCs w:val="28"/>
          <w:lang w:val="uk-UA"/>
        </w:rPr>
        <w:t xml:space="preserve"> і ЦД 2-го типу </w:t>
      </w:r>
      <w:r w:rsidR="0016463F">
        <w:rPr>
          <w:rFonts w:ascii="Times New Roman" w:hAnsi="Times New Roman" w:cs="Times New Roman"/>
          <w:sz w:val="28"/>
          <w:szCs w:val="28"/>
          <w:lang w:val="uk-UA"/>
        </w:rPr>
        <w:t xml:space="preserve">часто співіснують, </w:t>
      </w:r>
      <w:r w:rsidR="000B6733">
        <w:rPr>
          <w:rFonts w:ascii="Times New Roman" w:hAnsi="Times New Roman" w:cs="Times New Roman"/>
          <w:sz w:val="28"/>
          <w:szCs w:val="28"/>
          <w:lang w:val="uk-UA"/>
        </w:rPr>
        <w:t xml:space="preserve">що негативно відображається на перебігу та ефективності лікування зазначеної коморбідної патології </w:t>
      </w:r>
      <w:r w:rsidR="006D0E3C" w:rsidRPr="006D0E3C">
        <w:rPr>
          <w:rFonts w:ascii="Times New Roman" w:hAnsi="Times New Roman" w:cs="Times New Roman"/>
          <w:sz w:val="28"/>
          <w:szCs w:val="28"/>
          <w:lang w:val="uk-UA"/>
        </w:rPr>
        <w:t>[</w:t>
      </w:r>
      <w:r w:rsidR="0083391B">
        <w:rPr>
          <w:rFonts w:ascii="Times New Roman" w:hAnsi="Times New Roman" w:cs="Times New Roman"/>
          <w:sz w:val="28"/>
          <w:szCs w:val="28"/>
          <w:lang w:val="uk-UA"/>
        </w:rPr>
        <w:t>4</w:t>
      </w:r>
      <w:r w:rsidR="000B6733" w:rsidRPr="006D0E3C">
        <w:rPr>
          <w:rFonts w:ascii="Times New Roman" w:hAnsi="Times New Roman" w:cs="Times New Roman"/>
          <w:sz w:val="28"/>
          <w:szCs w:val="28"/>
          <w:lang w:val="uk-UA"/>
        </w:rPr>
        <w:t>].</w:t>
      </w:r>
      <w:r w:rsidR="000B6733">
        <w:rPr>
          <w:rFonts w:ascii="Times New Roman" w:hAnsi="Times New Roman" w:cs="Times New Roman"/>
          <w:sz w:val="28"/>
          <w:szCs w:val="28"/>
          <w:lang w:val="uk-UA"/>
        </w:rPr>
        <w:t xml:space="preserve"> </w:t>
      </w:r>
    </w:p>
    <w:p w:rsidR="00A03291" w:rsidRPr="00A03291" w:rsidRDefault="00A03291" w:rsidP="004054E2">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За даними </w:t>
      </w:r>
      <w:r w:rsidR="00D15A39">
        <w:rPr>
          <w:rFonts w:ascii="Times New Roman" w:hAnsi="Times New Roman" w:cs="Times New Roman"/>
          <w:sz w:val="28"/>
          <w:szCs w:val="28"/>
          <w:lang w:val="en-US"/>
        </w:rPr>
        <w:t>I</w:t>
      </w:r>
      <w:r w:rsidRPr="00A03291">
        <w:rPr>
          <w:rFonts w:ascii="Times New Roman" w:hAnsi="Times New Roman" w:cs="Times New Roman"/>
          <w:sz w:val="28"/>
          <w:szCs w:val="28"/>
          <w:lang w:val="en-US"/>
        </w:rPr>
        <w:t>DF</w:t>
      </w:r>
      <w:r w:rsidR="007B6771">
        <w:rPr>
          <w:rFonts w:ascii="Times New Roman" w:hAnsi="Times New Roman" w:cs="Times New Roman"/>
          <w:sz w:val="28"/>
          <w:szCs w:val="28"/>
          <w:lang w:val="uk-UA"/>
        </w:rPr>
        <w:t>,</w:t>
      </w:r>
      <w:r w:rsidR="007B6771" w:rsidRPr="007B6771">
        <w:rPr>
          <w:rFonts w:ascii="Times New Roman" w:hAnsi="Times New Roman" w:cs="Times New Roman"/>
          <w:sz w:val="28"/>
          <w:szCs w:val="28"/>
        </w:rPr>
        <w:t xml:space="preserve"> </w:t>
      </w:r>
      <w:r w:rsidR="007B6771">
        <w:rPr>
          <w:rFonts w:ascii="Times New Roman" w:hAnsi="Times New Roman" w:cs="Times New Roman"/>
          <w:sz w:val="28"/>
          <w:szCs w:val="28"/>
        </w:rPr>
        <w:t xml:space="preserve">у </w:t>
      </w:r>
      <w:r w:rsidR="007B6771">
        <w:rPr>
          <w:rFonts w:ascii="Times New Roman" w:hAnsi="Times New Roman" w:cs="Times New Roman"/>
          <w:sz w:val="28"/>
          <w:szCs w:val="28"/>
          <w:lang w:val="uk-UA"/>
        </w:rPr>
        <w:t>2017 р. у світі було</w:t>
      </w:r>
      <w:r w:rsidR="00B11D26">
        <w:rPr>
          <w:rFonts w:ascii="Times New Roman" w:hAnsi="Times New Roman" w:cs="Times New Roman"/>
          <w:sz w:val="28"/>
          <w:szCs w:val="28"/>
          <w:lang w:val="uk-UA"/>
        </w:rPr>
        <w:t xml:space="preserve"> більше 4</w:t>
      </w:r>
      <w:r w:rsidR="00B11D26" w:rsidRPr="00B11D26">
        <w:rPr>
          <w:rFonts w:ascii="Times New Roman" w:hAnsi="Times New Roman" w:cs="Times New Roman"/>
          <w:sz w:val="28"/>
          <w:szCs w:val="28"/>
          <w:lang w:val="uk-UA"/>
        </w:rPr>
        <w:t>2</w:t>
      </w:r>
      <w:r w:rsidR="00B73BB6">
        <w:rPr>
          <w:rFonts w:ascii="Times New Roman" w:hAnsi="Times New Roman" w:cs="Times New Roman"/>
          <w:sz w:val="28"/>
          <w:szCs w:val="28"/>
          <w:lang w:val="uk-UA"/>
        </w:rPr>
        <w:t>5 млн</w:t>
      </w:r>
      <w:r w:rsidR="00B11D26">
        <w:rPr>
          <w:rFonts w:ascii="Times New Roman" w:hAnsi="Times New Roman" w:cs="Times New Roman"/>
          <w:sz w:val="28"/>
          <w:szCs w:val="28"/>
          <w:lang w:val="uk-UA"/>
        </w:rPr>
        <w:t xml:space="preserve"> хворих на ЦД</w:t>
      </w:r>
      <w:r w:rsidR="007B6771">
        <w:rPr>
          <w:rFonts w:ascii="Times New Roman" w:hAnsi="Times New Roman" w:cs="Times New Roman"/>
          <w:sz w:val="28"/>
          <w:szCs w:val="28"/>
          <w:lang w:val="uk-UA"/>
        </w:rPr>
        <w:t>.</w:t>
      </w:r>
      <w:r w:rsidR="002D0AA5">
        <w:rPr>
          <w:rFonts w:ascii="Times New Roman" w:hAnsi="Times New Roman" w:cs="Times New Roman"/>
          <w:sz w:val="28"/>
          <w:szCs w:val="28"/>
          <w:lang w:val="uk-UA"/>
        </w:rPr>
        <w:t xml:space="preserve"> Цукровий діабет</w:t>
      </w:r>
      <w:r w:rsidR="00085056" w:rsidRPr="00085056">
        <w:rPr>
          <w:rFonts w:ascii="Times New Roman" w:hAnsi="Times New Roman" w:cs="Times New Roman"/>
          <w:sz w:val="28"/>
          <w:szCs w:val="28"/>
          <w:lang w:val="uk-UA"/>
        </w:rPr>
        <w:t xml:space="preserve"> та його ускладнення </w:t>
      </w:r>
      <w:r w:rsidR="00CD0361">
        <w:rPr>
          <w:rFonts w:ascii="Times New Roman" w:hAnsi="Times New Roman" w:cs="Times New Roman"/>
          <w:sz w:val="28"/>
          <w:szCs w:val="28"/>
          <w:lang w:val="uk-UA"/>
        </w:rPr>
        <w:t>стали</w:t>
      </w:r>
      <w:r w:rsidR="00085056">
        <w:rPr>
          <w:rFonts w:ascii="Times New Roman" w:hAnsi="Times New Roman" w:cs="Times New Roman"/>
          <w:sz w:val="28"/>
          <w:szCs w:val="28"/>
          <w:lang w:val="uk-UA"/>
        </w:rPr>
        <w:t xml:space="preserve"> </w:t>
      </w:r>
      <w:r w:rsidR="00B73BB6">
        <w:rPr>
          <w:rFonts w:ascii="Times New Roman" w:hAnsi="Times New Roman" w:cs="Times New Roman"/>
          <w:sz w:val="28"/>
          <w:szCs w:val="28"/>
          <w:lang w:val="uk-UA"/>
        </w:rPr>
        <w:t>причиною 4 млн</w:t>
      </w:r>
      <w:r w:rsidR="00DB030D">
        <w:rPr>
          <w:rFonts w:ascii="Times New Roman" w:hAnsi="Times New Roman" w:cs="Times New Roman"/>
          <w:sz w:val="28"/>
          <w:szCs w:val="28"/>
          <w:lang w:val="uk-UA"/>
        </w:rPr>
        <w:t xml:space="preserve"> смертей</w:t>
      </w:r>
      <w:r w:rsidR="00085056">
        <w:rPr>
          <w:rFonts w:ascii="Times New Roman" w:hAnsi="Times New Roman" w:cs="Times New Roman"/>
          <w:sz w:val="28"/>
          <w:szCs w:val="28"/>
          <w:lang w:val="uk-UA"/>
        </w:rPr>
        <w:t xml:space="preserve"> </w:t>
      </w:r>
      <w:r w:rsidR="00CF3D6C">
        <w:rPr>
          <w:rFonts w:ascii="Times New Roman" w:hAnsi="Times New Roman" w:cs="Times New Roman"/>
          <w:sz w:val="28"/>
          <w:szCs w:val="28"/>
          <w:lang w:val="uk-UA"/>
        </w:rPr>
        <w:t>[</w:t>
      </w:r>
      <w:r w:rsidR="0083391B">
        <w:rPr>
          <w:rFonts w:ascii="Times New Roman" w:hAnsi="Times New Roman" w:cs="Times New Roman"/>
          <w:sz w:val="28"/>
          <w:szCs w:val="28"/>
          <w:lang w:val="uk-UA"/>
        </w:rPr>
        <w:t>5</w:t>
      </w:r>
      <w:r w:rsidRPr="00A03291">
        <w:rPr>
          <w:rFonts w:ascii="Times New Roman" w:hAnsi="Times New Roman" w:cs="Times New Roman"/>
          <w:sz w:val="28"/>
          <w:szCs w:val="28"/>
          <w:lang w:val="uk-UA"/>
        </w:rPr>
        <w:t>].</w:t>
      </w:r>
      <w:r w:rsidR="00394709">
        <w:rPr>
          <w:rFonts w:ascii="Times New Roman" w:hAnsi="Times New Roman" w:cs="Times New Roman"/>
          <w:sz w:val="28"/>
          <w:szCs w:val="28"/>
          <w:lang w:val="uk-UA"/>
        </w:rPr>
        <w:t xml:space="preserve"> </w:t>
      </w:r>
      <w:r w:rsidR="00BC32DD">
        <w:rPr>
          <w:rFonts w:ascii="Times New Roman" w:hAnsi="Times New Roman" w:cs="Times New Roman"/>
          <w:sz w:val="28"/>
          <w:szCs w:val="28"/>
          <w:lang w:val="uk-UA"/>
        </w:rPr>
        <w:t>Артеріальна гіпертензія</w:t>
      </w:r>
      <w:r w:rsidR="00394709" w:rsidRPr="00394709">
        <w:rPr>
          <w:rFonts w:ascii="Times New Roman" w:hAnsi="Times New Roman" w:cs="Times New Roman"/>
          <w:sz w:val="28"/>
          <w:szCs w:val="28"/>
          <w:lang w:val="uk-UA"/>
        </w:rPr>
        <w:t xml:space="preserve"> відзначається у 60 % пацієнтів із ЦД 2-го типу</w:t>
      </w:r>
      <w:r w:rsidR="00394709">
        <w:rPr>
          <w:rFonts w:ascii="Times New Roman" w:hAnsi="Times New Roman" w:cs="Times New Roman"/>
          <w:sz w:val="28"/>
          <w:szCs w:val="28"/>
          <w:lang w:val="uk-UA"/>
        </w:rPr>
        <w:t xml:space="preserve"> </w:t>
      </w:r>
      <w:r w:rsidR="00394709" w:rsidRPr="0083391B">
        <w:rPr>
          <w:rFonts w:ascii="Times New Roman" w:hAnsi="Times New Roman" w:cs="Times New Roman"/>
          <w:sz w:val="28"/>
          <w:szCs w:val="28"/>
          <w:lang w:val="uk-UA"/>
        </w:rPr>
        <w:t>[</w:t>
      </w:r>
      <w:r w:rsidR="0083391B" w:rsidRPr="0083391B">
        <w:rPr>
          <w:rFonts w:ascii="Times New Roman" w:hAnsi="Times New Roman" w:cs="Times New Roman"/>
          <w:sz w:val="28"/>
          <w:szCs w:val="28"/>
          <w:lang w:val="uk-UA"/>
        </w:rPr>
        <w:t>6</w:t>
      </w:r>
      <w:r w:rsidR="00394709" w:rsidRPr="0083391B">
        <w:rPr>
          <w:rFonts w:ascii="Times New Roman" w:hAnsi="Times New Roman" w:cs="Times New Roman"/>
          <w:sz w:val="28"/>
          <w:szCs w:val="28"/>
          <w:lang w:val="uk-UA"/>
        </w:rPr>
        <w:t>],</w:t>
      </w:r>
      <w:r w:rsidR="00394709">
        <w:rPr>
          <w:rFonts w:ascii="Times New Roman" w:hAnsi="Times New Roman" w:cs="Times New Roman"/>
          <w:sz w:val="28"/>
          <w:szCs w:val="28"/>
          <w:lang w:val="uk-UA"/>
        </w:rPr>
        <w:t xml:space="preserve"> </w:t>
      </w:r>
      <w:r w:rsidR="00403225" w:rsidRPr="00403225">
        <w:rPr>
          <w:rFonts w:ascii="Times New Roman" w:hAnsi="Times New Roman" w:cs="Times New Roman"/>
          <w:sz w:val="28"/>
          <w:szCs w:val="28"/>
          <w:lang w:val="uk-UA"/>
        </w:rPr>
        <w:t xml:space="preserve">  </w:t>
      </w:r>
      <w:r w:rsidR="00394709">
        <w:rPr>
          <w:rFonts w:ascii="Times New Roman" w:hAnsi="Times New Roman" w:cs="Times New Roman"/>
          <w:sz w:val="28"/>
          <w:szCs w:val="28"/>
          <w:lang w:val="uk-UA"/>
        </w:rPr>
        <w:t xml:space="preserve">на який припадає </w:t>
      </w:r>
      <w:r w:rsidR="00394709" w:rsidRPr="00394709">
        <w:rPr>
          <w:rFonts w:ascii="Times New Roman" w:hAnsi="Times New Roman" w:cs="Times New Roman"/>
          <w:sz w:val="28"/>
          <w:szCs w:val="28"/>
          <w:lang w:val="uk-UA"/>
        </w:rPr>
        <w:t>90 % усiх випадкiв ЦД</w:t>
      </w:r>
      <w:r w:rsidR="00394709">
        <w:rPr>
          <w:rFonts w:ascii="Times New Roman" w:hAnsi="Times New Roman" w:cs="Times New Roman"/>
          <w:sz w:val="28"/>
          <w:szCs w:val="28"/>
          <w:lang w:val="uk-UA"/>
        </w:rPr>
        <w:t xml:space="preserve"> [</w:t>
      </w:r>
      <w:r w:rsidR="0083391B">
        <w:rPr>
          <w:rFonts w:ascii="Times New Roman" w:hAnsi="Times New Roman" w:cs="Times New Roman"/>
          <w:sz w:val="28"/>
          <w:szCs w:val="28"/>
          <w:lang w:val="uk-UA"/>
        </w:rPr>
        <w:t>5</w:t>
      </w:r>
      <w:r w:rsidR="00394709">
        <w:rPr>
          <w:rFonts w:ascii="Times New Roman" w:hAnsi="Times New Roman" w:cs="Times New Roman"/>
          <w:sz w:val="28"/>
          <w:szCs w:val="28"/>
          <w:lang w:val="uk-UA"/>
        </w:rPr>
        <w:t>].</w:t>
      </w:r>
    </w:p>
    <w:p w:rsidR="00054992" w:rsidRDefault="001D65C7" w:rsidP="00A0329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Цукровий діабет</w:t>
      </w:r>
      <w:r w:rsidR="001905C2">
        <w:rPr>
          <w:rFonts w:ascii="Times New Roman" w:hAnsi="Times New Roman" w:cs="Times New Roman"/>
          <w:sz w:val="28"/>
          <w:szCs w:val="28"/>
          <w:lang w:val="uk-UA"/>
        </w:rPr>
        <w:t xml:space="preserve"> є незалежним фактором ризику розвитку серцево-судинних захворювань</w:t>
      </w:r>
      <w:r w:rsidR="001905C2" w:rsidRPr="001905C2">
        <w:rPr>
          <w:rFonts w:ascii="Times New Roman" w:hAnsi="Times New Roman" w:cs="Times New Roman"/>
          <w:sz w:val="28"/>
          <w:szCs w:val="28"/>
          <w:lang w:val="uk-UA"/>
        </w:rPr>
        <w:t xml:space="preserve"> (ССЗ)</w:t>
      </w:r>
      <w:r w:rsidR="001905C2">
        <w:rPr>
          <w:rFonts w:ascii="Times New Roman" w:hAnsi="Times New Roman" w:cs="Times New Roman"/>
          <w:sz w:val="28"/>
          <w:szCs w:val="28"/>
          <w:lang w:val="uk-UA"/>
        </w:rPr>
        <w:t xml:space="preserve"> [</w:t>
      </w:r>
      <w:r w:rsidR="0083391B">
        <w:rPr>
          <w:rFonts w:ascii="Times New Roman" w:hAnsi="Times New Roman" w:cs="Times New Roman"/>
          <w:sz w:val="28"/>
          <w:szCs w:val="28"/>
          <w:lang w:val="uk-UA"/>
        </w:rPr>
        <w:t>7</w:t>
      </w:r>
      <w:r w:rsidR="007B6771">
        <w:rPr>
          <w:rFonts w:ascii="Times New Roman" w:hAnsi="Times New Roman" w:cs="Times New Roman"/>
          <w:sz w:val="28"/>
          <w:szCs w:val="28"/>
          <w:lang w:val="uk-UA"/>
        </w:rPr>
        <w:t xml:space="preserve">], які </w:t>
      </w:r>
      <w:r w:rsidR="00186A18">
        <w:rPr>
          <w:rFonts w:ascii="Times New Roman" w:hAnsi="Times New Roman" w:cs="Times New Roman"/>
          <w:sz w:val="28"/>
          <w:szCs w:val="28"/>
          <w:lang w:val="uk-UA"/>
        </w:rPr>
        <w:t>за його наявності</w:t>
      </w:r>
      <w:r w:rsidR="009A4CEE" w:rsidRPr="00054992">
        <w:rPr>
          <w:rFonts w:ascii="Times New Roman" w:hAnsi="Times New Roman" w:cs="Times New Roman"/>
          <w:sz w:val="28"/>
          <w:szCs w:val="28"/>
          <w:lang w:val="uk-UA"/>
        </w:rPr>
        <w:t xml:space="preserve"> зустрічаються </w:t>
      </w:r>
      <w:r w:rsidR="00403225" w:rsidRPr="00403225">
        <w:rPr>
          <w:rFonts w:ascii="Times New Roman" w:hAnsi="Times New Roman" w:cs="Times New Roman"/>
          <w:sz w:val="28"/>
          <w:szCs w:val="28"/>
          <w:lang w:val="uk-UA"/>
        </w:rPr>
        <w:t xml:space="preserve">             </w:t>
      </w:r>
      <w:r w:rsidR="009A4CEE" w:rsidRPr="00054992">
        <w:rPr>
          <w:rFonts w:ascii="Times New Roman" w:hAnsi="Times New Roman" w:cs="Times New Roman"/>
          <w:sz w:val="28"/>
          <w:szCs w:val="28"/>
          <w:lang w:val="uk-UA"/>
        </w:rPr>
        <w:t>у 2-3 рази частіше</w:t>
      </w:r>
      <w:r w:rsidR="009A4CEE">
        <w:rPr>
          <w:rFonts w:ascii="Times New Roman" w:hAnsi="Times New Roman" w:cs="Times New Roman"/>
          <w:sz w:val="28"/>
          <w:szCs w:val="28"/>
          <w:lang w:val="uk-UA"/>
        </w:rPr>
        <w:t xml:space="preserve"> порівняно з хворими без ЦД </w:t>
      </w:r>
      <w:r w:rsidR="00085744">
        <w:rPr>
          <w:rFonts w:ascii="Times New Roman" w:hAnsi="Times New Roman" w:cs="Times New Roman"/>
          <w:sz w:val="28"/>
          <w:szCs w:val="28"/>
          <w:lang w:val="uk-UA"/>
        </w:rPr>
        <w:t xml:space="preserve"> [</w:t>
      </w:r>
      <w:r w:rsidR="0083391B">
        <w:rPr>
          <w:rFonts w:ascii="Times New Roman" w:hAnsi="Times New Roman" w:cs="Times New Roman"/>
          <w:sz w:val="28"/>
          <w:szCs w:val="28"/>
          <w:lang w:val="uk-UA"/>
        </w:rPr>
        <w:t>5</w:t>
      </w:r>
      <w:r w:rsidR="00074DC0">
        <w:rPr>
          <w:rFonts w:ascii="Times New Roman" w:hAnsi="Times New Roman" w:cs="Times New Roman"/>
          <w:sz w:val="28"/>
          <w:szCs w:val="28"/>
          <w:lang w:val="uk-UA"/>
        </w:rPr>
        <w:t xml:space="preserve">]. </w:t>
      </w:r>
    </w:p>
    <w:p w:rsidR="00CA7DC1" w:rsidRPr="00A03291" w:rsidRDefault="00CA7DC1" w:rsidP="006913A0">
      <w:pPr>
        <w:spacing w:after="0" w:line="360" w:lineRule="auto"/>
        <w:ind w:firstLine="708"/>
        <w:jc w:val="both"/>
        <w:rPr>
          <w:rFonts w:ascii="Times New Roman" w:hAnsi="Times New Roman" w:cs="Times New Roman"/>
          <w:sz w:val="28"/>
          <w:szCs w:val="28"/>
          <w:lang w:val="uk-UA"/>
        </w:rPr>
      </w:pPr>
      <w:r w:rsidRPr="00CA7DC1">
        <w:rPr>
          <w:rFonts w:ascii="Times New Roman" w:hAnsi="Times New Roman" w:cs="Times New Roman"/>
          <w:sz w:val="28"/>
          <w:szCs w:val="28"/>
          <w:lang w:val="uk-UA"/>
        </w:rPr>
        <w:t>Дисліпідемія</w:t>
      </w:r>
      <w:r>
        <w:rPr>
          <w:rFonts w:ascii="Times New Roman" w:hAnsi="Times New Roman" w:cs="Times New Roman"/>
          <w:sz w:val="28"/>
          <w:szCs w:val="28"/>
          <w:lang w:val="uk-UA"/>
        </w:rPr>
        <w:t xml:space="preserve">, </w:t>
      </w:r>
      <w:r w:rsidR="007B6771">
        <w:rPr>
          <w:rFonts w:ascii="Times New Roman" w:hAnsi="Times New Roman" w:cs="Times New Roman"/>
          <w:sz w:val="28"/>
          <w:szCs w:val="28"/>
          <w:lang w:val="uk-UA"/>
        </w:rPr>
        <w:t xml:space="preserve">порушення функціонального стану </w:t>
      </w:r>
      <w:r w:rsidR="000B1659">
        <w:rPr>
          <w:rFonts w:ascii="Times New Roman" w:hAnsi="Times New Roman" w:cs="Times New Roman"/>
          <w:sz w:val="28"/>
          <w:szCs w:val="28"/>
          <w:lang w:val="uk-UA"/>
        </w:rPr>
        <w:t xml:space="preserve">нирок, </w:t>
      </w:r>
      <w:r w:rsidR="007B6771">
        <w:rPr>
          <w:rFonts w:ascii="Times New Roman" w:hAnsi="Times New Roman" w:cs="Times New Roman"/>
          <w:sz w:val="28"/>
          <w:szCs w:val="28"/>
          <w:lang w:val="uk-UA"/>
        </w:rPr>
        <w:t xml:space="preserve">серця </w:t>
      </w:r>
      <w:r>
        <w:rPr>
          <w:rFonts w:ascii="Times New Roman" w:hAnsi="Times New Roman" w:cs="Times New Roman"/>
          <w:sz w:val="28"/>
          <w:szCs w:val="28"/>
          <w:lang w:val="uk-UA"/>
        </w:rPr>
        <w:t xml:space="preserve">є ключовими ланками патогенезу </w:t>
      </w:r>
      <w:r w:rsidR="00186A18">
        <w:rPr>
          <w:rFonts w:ascii="Times New Roman" w:hAnsi="Times New Roman" w:cs="Times New Roman"/>
          <w:sz w:val="28"/>
          <w:szCs w:val="28"/>
          <w:lang w:val="uk-UA"/>
        </w:rPr>
        <w:t>коморбідної патології</w:t>
      </w:r>
      <w:r w:rsidR="007B6771">
        <w:rPr>
          <w:rFonts w:ascii="Times New Roman" w:hAnsi="Times New Roman" w:cs="Times New Roman"/>
          <w:sz w:val="28"/>
          <w:szCs w:val="28"/>
          <w:lang w:val="uk-UA"/>
        </w:rPr>
        <w:t xml:space="preserve"> </w:t>
      </w:r>
      <w:r w:rsidR="007B6771" w:rsidRPr="007B6771">
        <w:rPr>
          <w:rFonts w:ascii="Times New Roman" w:hAnsi="Times New Roman" w:cs="Times New Roman"/>
          <w:sz w:val="28"/>
          <w:szCs w:val="28"/>
          <w:lang w:val="uk-UA"/>
        </w:rPr>
        <w:t>−</w:t>
      </w:r>
      <w:r w:rsidR="007B6771">
        <w:rPr>
          <w:rFonts w:ascii="Times New Roman" w:hAnsi="Times New Roman" w:cs="Times New Roman"/>
          <w:sz w:val="28"/>
          <w:szCs w:val="28"/>
          <w:lang w:val="uk-UA"/>
        </w:rPr>
        <w:t xml:space="preserve"> </w:t>
      </w:r>
      <w:r>
        <w:rPr>
          <w:rFonts w:ascii="Times New Roman" w:hAnsi="Times New Roman" w:cs="Times New Roman"/>
          <w:sz w:val="28"/>
          <w:szCs w:val="28"/>
          <w:lang w:val="uk-UA"/>
        </w:rPr>
        <w:t>АГ і ЦД 2-го типу.</w:t>
      </w:r>
    </w:p>
    <w:p w:rsidR="002E4CC6" w:rsidRDefault="002E4CC6" w:rsidP="00E809FE">
      <w:pPr>
        <w:spacing w:after="0" w:line="360" w:lineRule="auto"/>
        <w:ind w:firstLine="708"/>
        <w:jc w:val="both"/>
        <w:rPr>
          <w:rFonts w:ascii="Times New Roman" w:hAnsi="Times New Roman" w:cs="Times New Roman"/>
          <w:sz w:val="28"/>
          <w:szCs w:val="28"/>
          <w:lang w:val="uk-UA"/>
        </w:rPr>
      </w:pPr>
      <w:r w:rsidRPr="002E4CC6">
        <w:rPr>
          <w:rFonts w:ascii="Times New Roman" w:hAnsi="Times New Roman" w:cs="Times New Roman"/>
          <w:sz w:val="28"/>
          <w:szCs w:val="28"/>
          <w:lang w:val="uk-UA"/>
        </w:rPr>
        <w:t>Дисліпідемія</w:t>
      </w:r>
      <w:r w:rsidR="00E0482B">
        <w:rPr>
          <w:rFonts w:ascii="Times New Roman" w:hAnsi="Times New Roman" w:cs="Times New Roman"/>
          <w:sz w:val="28"/>
          <w:szCs w:val="28"/>
          <w:lang w:val="uk-UA"/>
        </w:rPr>
        <w:t xml:space="preserve"> − це незалежний фактор</w:t>
      </w:r>
      <w:r w:rsidRPr="002E4CC6">
        <w:rPr>
          <w:rFonts w:ascii="Times New Roman" w:hAnsi="Times New Roman" w:cs="Times New Roman"/>
          <w:sz w:val="28"/>
          <w:szCs w:val="28"/>
          <w:lang w:val="uk-UA"/>
        </w:rPr>
        <w:t xml:space="preserve"> ризику розвитку </w:t>
      </w:r>
      <w:r w:rsidR="00186A18">
        <w:rPr>
          <w:rFonts w:ascii="Times New Roman" w:hAnsi="Times New Roman" w:cs="Times New Roman"/>
          <w:sz w:val="28"/>
          <w:szCs w:val="28"/>
          <w:lang w:val="uk-UA"/>
        </w:rPr>
        <w:t>серцево-судинних ускладнень (</w:t>
      </w:r>
      <w:r w:rsidRPr="002E4CC6">
        <w:rPr>
          <w:rFonts w:ascii="Times New Roman" w:hAnsi="Times New Roman" w:cs="Times New Roman"/>
          <w:sz w:val="28"/>
          <w:szCs w:val="28"/>
          <w:lang w:val="uk-UA"/>
        </w:rPr>
        <w:t>ССУ</w:t>
      </w:r>
      <w:r w:rsidR="00186A18">
        <w:rPr>
          <w:rFonts w:ascii="Times New Roman" w:hAnsi="Times New Roman" w:cs="Times New Roman"/>
          <w:sz w:val="28"/>
          <w:szCs w:val="28"/>
          <w:lang w:val="uk-UA"/>
        </w:rPr>
        <w:t>)</w:t>
      </w:r>
      <w:r w:rsidRPr="002E4CC6">
        <w:rPr>
          <w:rFonts w:ascii="Times New Roman" w:hAnsi="Times New Roman" w:cs="Times New Roman"/>
          <w:sz w:val="28"/>
          <w:szCs w:val="28"/>
          <w:lang w:val="uk-UA"/>
        </w:rPr>
        <w:t xml:space="preserve"> </w:t>
      </w:r>
      <w:r w:rsidR="00956F3C">
        <w:rPr>
          <w:rFonts w:ascii="Times New Roman" w:hAnsi="Times New Roman" w:cs="Times New Roman"/>
          <w:sz w:val="28"/>
          <w:szCs w:val="28"/>
          <w:lang w:val="uk-UA"/>
        </w:rPr>
        <w:t xml:space="preserve">у </w:t>
      </w:r>
      <w:r w:rsidR="00E0482B">
        <w:rPr>
          <w:rFonts w:ascii="Times New Roman" w:hAnsi="Times New Roman" w:cs="Times New Roman"/>
          <w:sz w:val="28"/>
          <w:szCs w:val="28"/>
          <w:lang w:val="uk-UA"/>
        </w:rPr>
        <w:t xml:space="preserve">хворих на </w:t>
      </w:r>
      <w:r w:rsidRPr="002E4CC6">
        <w:rPr>
          <w:rFonts w:ascii="Times New Roman" w:hAnsi="Times New Roman" w:cs="Times New Roman"/>
          <w:sz w:val="28"/>
          <w:szCs w:val="28"/>
          <w:lang w:val="uk-UA"/>
        </w:rPr>
        <w:t>ЦД</w:t>
      </w:r>
      <w:r w:rsidR="0046090C" w:rsidRPr="0046090C">
        <w:rPr>
          <w:rFonts w:ascii="Times New Roman" w:hAnsi="Times New Roman" w:cs="Times New Roman"/>
          <w:sz w:val="28"/>
          <w:szCs w:val="28"/>
          <w:lang w:val="uk-UA"/>
        </w:rPr>
        <w:t xml:space="preserve">, </w:t>
      </w:r>
      <w:r w:rsidR="0046090C">
        <w:rPr>
          <w:rFonts w:ascii="Times New Roman" w:hAnsi="Times New Roman" w:cs="Times New Roman"/>
          <w:sz w:val="28"/>
          <w:szCs w:val="28"/>
          <w:lang w:val="uk-UA"/>
        </w:rPr>
        <w:t xml:space="preserve">який потребує корекції. </w:t>
      </w:r>
      <w:r w:rsidR="006160A1" w:rsidRPr="006160A1">
        <w:rPr>
          <w:rFonts w:ascii="Times New Roman" w:hAnsi="Times New Roman" w:cs="Times New Roman"/>
          <w:sz w:val="28"/>
          <w:szCs w:val="28"/>
          <w:lang w:val="uk-UA"/>
        </w:rPr>
        <w:t xml:space="preserve">Саме дислiпiдемія вiдiграє важливу роль у формуваннi атеросклеротичного ураження артерiй нирок, серцевого м’яза і може бути сполучною ланкою мiж інсулінорезистентністю (IР) та АГ. </w:t>
      </w:r>
      <w:r w:rsidR="0046090C">
        <w:rPr>
          <w:rFonts w:ascii="Times New Roman" w:hAnsi="Times New Roman" w:cs="Times New Roman"/>
          <w:sz w:val="28"/>
          <w:szCs w:val="28"/>
          <w:lang w:val="uk-UA"/>
        </w:rPr>
        <w:t>Однак д</w:t>
      </w:r>
      <w:r>
        <w:rPr>
          <w:rFonts w:ascii="Times New Roman" w:hAnsi="Times New Roman" w:cs="Times New Roman"/>
          <w:sz w:val="28"/>
          <w:szCs w:val="28"/>
          <w:lang w:val="uk-UA"/>
        </w:rPr>
        <w:t xml:space="preserve">ані щодо використання статинів </w:t>
      </w:r>
      <w:r w:rsidR="000E5BE6">
        <w:rPr>
          <w:rFonts w:ascii="Times New Roman" w:hAnsi="Times New Roman" w:cs="Times New Roman"/>
          <w:sz w:val="28"/>
          <w:szCs w:val="28"/>
          <w:lang w:val="uk-UA"/>
        </w:rPr>
        <w:t xml:space="preserve">   </w:t>
      </w:r>
      <w:r w:rsidR="00956F3C">
        <w:rPr>
          <w:rFonts w:ascii="Times New Roman" w:hAnsi="Times New Roman" w:cs="Times New Roman"/>
          <w:sz w:val="28"/>
          <w:szCs w:val="28"/>
          <w:lang w:val="uk-UA"/>
        </w:rPr>
        <w:t xml:space="preserve">у пацієнтів </w:t>
      </w:r>
      <w:r>
        <w:rPr>
          <w:rFonts w:ascii="Times New Roman" w:hAnsi="Times New Roman" w:cs="Times New Roman"/>
          <w:sz w:val="28"/>
          <w:szCs w:val="28"/>
          <w:lang w:val="uk-UA"/>
        </w:rPr>
        <w:t xml:space="preserve">із супутнім ЦД є </w:t>
      </w:r>
      <w:r w:rsidR="00E0482B">
        <w:rPr>
          <w:rFonts w:ascii="Times New Roman" w:hAnsi="Times New Roman" w:cs="Times New Roman"/>
          <w:sz w:val="28"/>
          <w:szCs w:val="28"/>
          <w:lang w:val="uk-UA"/>
        </w:rPr>
        <w:t xml:space="preserve">дискутабельними </w:t>
      </w:r>
      <w:r w:rsidRPr="002E4CC6">
        <w:rPr>
          <w:rFonts w:ascii="Times New Roman" w:hAnsi="Times New Roman" w:cs="Times New Roman"/>
          <w:sz w:val="28"/>
          <w:szCs w:val="28"/>
          <w:lang w:val="uk-UA"/>
        </w:rPr>
        <w:t>[</w:t>
      </w:r>
      <w:r w:rsidR="0083391B">
        <w:rPr>
          <w:rFonts w:ascii="Times New Roman" w:hAnsi="Times New Roman" w:cs="Times New Roman"/>
          <w:sz w:val="28"/>
          <w:szCs w:val="28"/>
          <w:lang w:val="uk-UA"/>
        </w:rPr>
        <w:t>7</w:t>
      </w:r>
      <w:r w:rsidR="0046090C">
        <w:rPr>
          <w:rFonts w:ascii="Times New Roman" w:hAnsi="Times New Roman" w:cs="Times New Roman"/>
          <w:sz w:val="28"/>
          <w:szCs w:val="28"/>
          <w:lang w:val="uk-UA"/>
        </w:rPr>
        <w:t xml:space="preserve">]. З одного боку, </w:t>
      </w:r>
      <w:r w:rsidR="00385ECA" w:rsidRPr="00385ECA">
        <w:rPr>
          <w:rFonts w:ascii="Times New Roman" w:hAnsi="Times New Roman" w:cs="Times New Roman"/>
          <w:sz w:val="28"/>
          <w:szCs w:val="28"/>
          <w:lang w:val="uk-UA"/>
        </w:rPr>
        <w:t xml:space="preserve">доведена </w:t>
      </w:r>
      <w:r w:rsidR="00385ECA" w:rsidRPr="00385ECA">
        <w:rPr>
          <w:rFonts w:ascii="Times New Roman" w:hAnsi="Times New Roman" w:cs="Times New Roman"/>
          <w:sz w:val="28"/>
          <w:szCs w:val="28"/>
          <w:lang w:val="uk-UA"/>
        </w:rPr>
        <w:lastRenderedPageBreak/>
        <w:t>ефективн</w:t>
      </w:r>
      <w:r w:rsidR="00385ECA">
        <w:rPr>
          <w:rFonts w:ascii="Times New Roman" w:hAnsi="Times New Roman" w:cs="Times New Roman"/>
          <w:sz w:val="28"/>
          <w:szCs w:val="28"/>
          <w:lang w:val="uk-UA"/>
        </w:rPr>
        <w:t xml:space="preserve">ість зазначених </w:t>
      </w:r>
      <w:r w:rsidR="00385ECA" w:rsidRPr="00385ECA">
        <w:rPr>
          <w:rFonts w:ascii="Times New Roman" w:hAnsi="Times New Roman" w:cs="Times New Roman"/>
          <w:sz w:val="28"/>
          <w:szCs w:val="28"/>
          <w:lang w:val="uk-UA"/>
        </w:rPr>
        <w:t xml:space="preserve">ліпідознижувальних препаратів </w:t>
      </w:r>
      <w:r w:rsidR="00385ECA">
        <w:rPr>
          <w:rFonts w:ascii="Times New Roman" w:hAnsi="Times New Roman" w:cs="Times New Roman"/>
          <w:sz w:val="28"/>
          <w:szCs w:val="28"/>
          <w:lang w:val="uk-UA"/>
        </w:rPr>
        <w:t xml:space="preserve">для вторинної профілактики ССУ </w:t>
      </w:r>
      <w:r w:rsidR="0046090C">
        <w:rPr>
          <w:rFonts w:ascii="Times New Roman" w:hAnsi="Times New Roman" w:cs="Times New Roman"/>
          <w:sz w:val="28"/>
          <w:szCs w:val="28"/>
          <w:lang w:val="uk-UA"/>
        </w:rPr>
        <w:t xml:space="preserve">у хворих із дуже високим кардіоваскулярним ризиком; </w:t>
      </w:r>
      <w:r w:rsidR="00C0676B" w:rsidRPr="00C0676B">
        <w:rPr>
          <w:rFonts w:ascii="Times New Roman" w:hAnsi="Times New Roman" w:cs="Times New Roman"/>
          <w:sz w:val="28"/>
          <w:szCs w:val="28"/>
          <w:lang w:val="uk-UA"/>
        </w:rPr>
        <w:t xml:space="preserve">    </w:t>
      </w:r>
      <w:r w:rsidR="008C115E">
        <w:rPr>
          <w:rFonts w:ascii="Times New Roman" w:hAnsi="Times New Roman" w:cs="Times New Roman"/>
          <w:sz w:val="28"/>
          <w:szCs w:val="28"/>
          <w:lang w:val="uk-UA"/>
        </w:rPr>
        <w:t>і</w:t>
      </w:r>
      <w:r w:rsidR="0046090C">
        <w:rPr>
          <w:rFonts w:ascii="Times New Roman" w:hAnsi="Times New Roman" w:cs="Times New Roman"/>
          <w:sz w:val="28"/>
          <w:szCs w:val="28"/>
          <w:lang w:val="uk-UA"/>
        </w:rPr>
        <w:t xml:space="preserve">з іншого </w:t>
      </w:r>
      <w:r w:rsidR="0046090C" w:rsidRPr="0046090C">
        <w:rPr>
          <w:rFonts w:ascii="Times New Roman" w:hAnsi="Times New Roman" w:cs="Times New Roman"/>
          <w:sz w:val="28"/>
          <w:szCs w:val="28"/>
          <w:lang w:val="uk-UA"/>
        </w:rPr>
        <w:t>−</w:t>
      </w:r>
      <w:r w:rsidR="0046090C">
        <w:rPr>
          <w:rFonts w:ascii="Times New Roman" w:hAnsi="Times New Roman" w:cs="Times New Roman"/>
          <w:sz w:val="28"/>
          <w:szCs w:val="28"/>
          <w:lang w:val="uk-UA"/>
        </w:rPr>
        <w:t xml:space="preserve"> здатність підвищувати глікемію </w:t>
      </w:r>
      <w:r w:rsidR="00385ECA" w:rsidRPr="0046090C">
        <w:rPr>
          <w:rFonts w:ascii="Times New Roman" w:hAnsi="Times New Roman" w:cs="Times New Roman"/>
          <w:sz w:val="28"/>
          <w:szCs w:val="28"/>
          <w:lang w:val="uk-UA"/>
        </w:rPr>
        <w:t>[</w:t>
      </w:r>
      <w:r w:rsidR="0083391B">
        <w:rPr>
          <w:rFonts w:ascii="Times New Roman" w:hAnsi="Times New Roman" w:cs="Times New Roman"/>
          <w:sz w:val="28"/>
          <w:szCs w:val="28"/>
          <w:lang w:val="uk-UA"/>
        </w:rPr>
        <w:t>8</w:t>
      </w:r>
      <w:r w:rsidR="0046090C">
        <w:rPr>
          <w:rFonts w:ascii="Times New Roman" w:hAnsi="Times New Roman" w:cs="Times New Roman"/>
          <w:sz w:val="28"/>
          <w:szCs w:val="28"/>
          <w:lang w:val="uk-UA"/>
        </w:rPr>
        <w:t>].</w:t>
      </w:r>
      <w:r w:rsidR="00385ECA" w:rsidRPr="0046090C">
        <w:rPr>
          <w:rFonts w:ascii="Times New Roman" w:hAnsi="Times New Roman" w:cs="Times New Roman"/>
          <w:sz w:val="28"/>
          <w:szCs w:val="28"/>
          <w:lang w:val="uk-UA"/>
        </w:rPr>
        <w:t xml:space="preserve"> </w:t>
      </w:r>
      <w:r w:rsidR="000B74EE">
        <w:rPr>
          <w:rFonts w:ascii="Times New Roman" w:hAnsi="Times New Roman" w:cs="Times New Roman"/>
          <w:sz w:val="28"/>
          <w:szCs w:val="28"/>
          <w:lang w:val="uk-UA"/>
        </w:rPr>
        <w:t>Д</w:t>
      </w:r>
      <w:r>
        <w:rPr>
          <w:rFonts w:ascii="Times New Roman" w:hAnsi="Times New Roman" w:cs="Times New Roman"/>
          <w:sz w:val="28"/>
          <w:szCs w:val="28"/>
          <w:lang w:val="uk-UA"/>
        </w:rPr>
        <w:t xml:space="preserve">ослідженя ефективності </w:t>
      </w:r>
      <w:r w:rsidR="00BB627A">
        <w:rPr>
          <w:rFonts w:ascii="Times New Roman" w:hAnsi="Times New Roman" w:cs="Times New Roman"/>
          <w:sz w:val="28"/>
          <w:szCs w:val="28"/>
          <w:lang w:val="uk-UA"/>
        </w:rPr>
        <w:t xml:space="preserve">статинів </w:t>
      </w:r>
      <w:r w:rsidR="000B74EE">
        <w:rPr>
          <w:rFonts w:ascii="Times New Roman" w:hAnsi="Times New Roman" w:cs="Times New Roman"/>
          <w:sz w:val="28"/>
          <w:szCs w:val="28"/>
          <w:lang w:val="uk-UA"/>
        </w:rPr>
        <w:t xml:space="preserve">є доцільним </w:t>
      </w:r>
      <w:r>
        <w:rPr>
          <w:rFonts w:ascii="Times New Roman" w:hAnsi="Times New Roman" w:cs="Times New Roman"/>
          <w:sz w:val="28"/>
          <w:szCs w:val="28"/>
          <w:lang w:val="uk-UA"/>
        </w:rPr>
        <w:t xml:space="preserve">саме при АГ і коморбідному ЦД 2-го типу. </w:t>
      </w:r>
    </w:p>
    <w:p w:rsidR="001506FC" w:rsidRDefault="00BC32DD" w:rsidP="00A0329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Діабетичну нефропатію</w:t>
      </w:r>
      <w:r w:rsidR="004148D8">
        <w:rPr>
          <w:rFonts w:ascii="Times New Roman" w:hAnsi="Times New Roman" w:cs="Times New Roman"/>
          <w:sz w:val="28"/>
          <w:szCs w:val="28"/>
          <w:lang w:val="uk-UA"/>
        </w:rPr>
        <w:t xml:space="preserve"> </w:t>
      </w:r>
      <w:r w:rsidR="00761193">
        <w:rPr>
          <w:rFonts w:ascii="Times New Roman" w:hAnsi="Times New Roman" w:cs="Times New Roman"/>
          <w:sz w:val="28"/>
          <w:szCs w:val="28"/>
          <w:lang w:val="uk-UA"/>
        </w:rPr>
        <w:t xml:space="preserve">(ДН) </w:t>
      </w:r>
      <w:r w:rsidR="004148D8">
        <w:rPr>
          <w:rFonts w:ascii="Times New Roman" w:hAnsi="Times New Roman" w:cs="Times New Roman"/>
          <w:sz w:val="28"/>
          <w:szCs w:val="28"/>
          <w:lang w:val="uk-UA"/>
        </w:rPr>
        <w:t>констатовано</w:t>
      </w:r>
      <w:r w:rsidR="004148D8" w:rsidRPr="004148D8">
        <w:rPr>
          <w:rFonts w:ascii="Times New Roman" w:hAnsi="Times New Roman" w:cs="Times New Roman"/>
          <w:sz w:val="28"/>
          <w:szCs w:val="28"/>
          <w:lang w:val="uk-UA"/>
        </w:rPr>
        <w:t xml:space="preserve"> </w:t>
      </w:r>
      <w:r w:rsidR="004148D8">
        <w:rPr>
          <w:rFonts w:ascii="Times New Roman" w:hAnsi="Times New Roman" w:cs="Times New Roman"/>
          <w:sz w:val="28"/>
          <w:szCs w:val="28"/>
          <w:lang w:val="uk-UA"/>
        </w:rPr>
        <w:t>у 40 % хворих на ЦД</w:t>
      </w:r>
      <w:r w:rsidR="00FB0A38">
        <w:rPr>
          <w:rFonts w:ascii="Times New Roman" w:hAnsi="Times New Roman" w:cs="Times New Roman"/>
          <w:sz w:val="28"/>
          <w:szCs w:val="28"/>
          <w:lang w:val="uk-UA"/>
        </w:rPr>
        <w:t xml:space="preserve">. Ураження нирок </w:t>
      </w:r>
      <w:r w:rsidR="004D438C">
        <w:rPr>
          <w:rFonts w:ascii="Times New Roman" w:hAnsi="Times New Roman" w:cs="Times New Roman"/>
          <w:sz w:val="28"/>
          <w:szCs w:val="28"/>
          <w:lang w:val="uk-UA"/>
        </w:rPr>
        <w:t>у пацієнтів і</w:t>
      </w:r>
      <w:r w:rsidR="00FB0A38">
        <w:rPr>
          <w:rFonts w:ascii="Times New Roman" w:hAnsi="Times New Roman" w:cs="Times New Roman"/>
          <w:sz w:val="28"/>
          <w:szCs w:val="28"/>
          <w:lang w:val="uk-UA"/>
        </w:rPr>
        <w:t>з АГ, ЦД чи поєднанням цих патологій у 80 % випадків є причиною термінальної ста</w:t>
      </w:r>
      <w:r w:rsidR="004D438C">
        <w:rPr>
          <w:rFonts w:ascii="Times New Roman" w:hAnsi="Times New Roman" w:cs="Times New Roman"/>
          <w:sz w:val="28"/>
          <w:szCs w:val="28"/>
          <w:lang w:val="uk-UA"/>
        </w:rPr>
        <w:t>дії ниркової недостатності, яка посідає друге місце</w:t>
      </w:r>
      <w:r w:rsidR="00FB0A38">
        <w:rPr>
          <w:rFonts w:ascii="Times New Roman" w:hAnsi="Times New Roman" w:cs="Times New Roman"/>
          <w:sz w:val="28"/>
          <w:szCs w:val="28"/>
          <w:lang w:val="uk-UA"/>
        </w:rPr>
        <w:t xml:space="preserve"> </w:t>
      </w:r>
      <w:r w:rsidR="00FB0A38" w:rsidRPr="00FB0A38">
        <w:rPr>
          <w:rFonts w:ascii="Times New Roman" w:hAnsi="Times New Roman" w:cs="Times New Roman"/>
          <w:sz w:val="28"/>
          <w:szCs w:val="28"/>
          <w:lang w:val="uk-UA"/>
        </w:rPr>
        <w:t>пiсля ССЗ серед причин сме</w:t>
      </w:r>
      <w:r w:rsidR="00FB0A38">
        <w:rPr>
          <w:rFonts w:ascii="Times New Roman" w:hAnsi="Times New Roman" w:cs="Times New Roman"/>
          <w:sz w:val="28"/>
          <w:szCs w:val="28"/>
          <w:lang w:val="uk-UA"/>
        </w:rPr>
        <w:t>ртностi хворих на ЦД 2-го типу</w:t>
      </w:r>
      <w:r w:rsidR="00CA6A9B">
        <w:rPr>
          <w:rFonts w:ascii="Times New Roman" w:hAnsi="Times New Roman" w:cs="Times New Roman"/>
          <w:sz w:val="28"/>
          <w:szCs w:val="28"/>
          <w:lang w:val="uk-UA"/>
        </w:rPr>
        <w:t xml:space="preserve"> [</w:t>
      </w:r>
      <w:r w:rsidR="0083391B">
        <w:rPr>
          <w:rFonts w:ascii="Times New Roman" w:hAnsi="Times New Roman" w:cs="Times New Roman"/>
          <w:sz w:val="28"/>
          <w:szCs w:val="28"/>
          <w:lang w:val="uk-UA"/>
        </w:rPr>
        <w:t>5</w:t>
      </w:r>
      <w:r w:rsidR="00D82477">
        <w:rPr>
          <w:rFonts w:ascii="Times New Roman" w:hAnsi="Times New Roman" w:cs="Times New Roman"/>
          <w:sz w:val="28"/>
          <w:szCs w:val="28"/>
          <w:lang w:val="uk-UA"/>
        </w:rPr>
        <w:t xml:space="preserve">]. </w:t>
      </w:r>
    </w:p>
    <w:p w:rsidR="00CB3A55" w:rsidRDefault="00CA7DC1" w:rsidP="009E56B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Діастолічна дисфункція </w:t>
      </w:r>
      <w:r w:rsidR="00B57B50">
        <w:rPr>
          <w:rFonts w:ascii="Times New Roman" w:hAnsi="Times New Roman" w:cs="Times New Roman"/>
          <w:sz w:val="28"/>
          <w:szCs w:val="28"/>
          <w:lang w:val="uk-UA"/>
        </w:rPr>
        <w:t>лівого шлу</w:t>
      </w:r>
      <w:r w:rsidR="00B57B50" w:rsidRPr="00B57B50">
        <w:rPr>
          <w:rFonts w:ascii="Times New Roman" w:hAnsi="Times New Roman" w:cs="Times New Roman"/>
          <w:sz w:val="28"/>
          <w:szCs w:val="28"/>
          <w:lang w:val="uk-UA"/>
        </w:rPr>
        <w:t xml:space="preserve">ночка </w:t>
      </w:r>
      <w:r w:rsidR="00B57B50">
        <w:rPr>
          <w:rFonts w:ascii="Times New Roman" w:hAnsi="Times New Roman" w:cs="Times New Roman"/>
          <w:sz w:val="28"/>
          <w:szCs w:val="28"/>
          <w:lang w:val="uk-UA"/>
        </w:rPr>
        <w:t>(</w:t>
      </w:r>
      <w:r>
        <w:rPr>
          <w:rFonts w:ascii="Times New Roman" w:hAnsi="Times New Roman" w:cs="Times New Roman"/>
          <w:sz w:val="28"/>
          <w:szCs w:val="28"/>
          <w:lang w:val="uk-UA"/>
        </w:rPr>
        <w:t>ЛШ</w:t>
      </w:r>
      <w:r w:rsidR="00B57B50">
        <w:rPr>
          <w:rFonts w:ascii="Times New Roman" w:hAnsi="Times New Roman" w:cs="Times New Roman"/>
          <w:sz w:val="28"/>
          <w:szCs w:val="28"/>
          <w:lang w:val="uk-UA"/>
        </w:rPr>
        <w:t>)</w:t>
      </w:r>
      <w:r w:rsidR="00D11DD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характерною ознакою ураження </w:t>
      </w:r>
      <w:r w:rsidRPr="00CA7DC1">
        <w:rPr>
          <w:rFonts w:ascii="Times New Roman" w:hAnsi="Times New Roman" w:cs="Times New Roman"/>
          <w:sz w:val="28"/>
          <w:szCs w:val="28"/>
          <w:lang w:val="uk-UA"/>
        </w:rPr>
        <w:t>серця при ЦД</w:t>
      </w:r>
      <w:r>
        <w:rPr>
          <w:rFonts w:ascii="Times New Roman" w:hAnsi="Times New Roman" w:cs="Times New Roman"/>
          <w:sz w:val="28"/>
          <w:szCs w:val="28"/>
          <w:lang w:val="uk-UA"/>
        </w:rPr>
        <w:t xml:space="preserve"> та</w:t>
      </w:r>
      <w:r w:rsidR="00D11DD4">
        <w:rPr>
          <w:rFonts w:ascii="Times New Roman" w:hAnsi="Times New Roman" w:cs="Times New Roman"/>
          <w:sz w:val="28"/>
          <w:szCs w:val="28"/>
          <w:lang w:val="uk-UA"/>
        </w:rPr>
        <w:t xml:space="preserve"> незалежни</w:t>
      </w:r>
      <w:r w:rsidR="00E0482B">
        <w:rPr>
          <w:rFonts w:ascii="Times New Roman" w:hAnsi="Times New Roman" w:cs="Times New Roman"/>
          <w:sz w:val="28"/>
          <w:szCs w:val="28"/>
          <w:lang w:val="uk-UA"/>
        </w:rPr>
        <w:t>м фактором ризику розвитку ССУ, що</w:t>
      </w:r>
      <w:r w:rsidR="00D11DD4">
        <w:rPr>
          <w:rFonts w:ascii="Times New Roman" w:hAnsi="Times New Roman" w:cs="Times New Roman"/>
          <w:sz w:val="28"/>
          <w:szCs w:val="28"/>
          <w:lang w:val="uk-UA"/>
        </w:rPr>
        <w:t xml:space="preserve"> потребує лікуван</w:t>
      </w:r>
      <w:r w:rsidR="00446184">
        <w:rPr>
          <w:rFonts w:ascii="Times New Roman" w:hAnsi="Times New Roman" w:cs="Times New Roman"/>
          <w:sz w:val="28"/>
          <w:szCs w:val="28"/>
          <w:lang w:val="uk-UA"/>
        </w:rPr>
        <w:t>н</w:t>
      </w:r>
      <w:r w:rsidR="00D11DD4">
        <w:rPr>
          <w:rFonts w:ascii="Times New Roman" w:hAnsi="Times New Roman" w:cs="Times New Roman"/>
          <w:sz w:val="28"/>
          <w:szCs w:val="28"/>
          <w:lang w:val="uk-UA"/>
        </w:rPr>
        <w:t>я</w:t>
      </w:r>
      <w:r w:rsidR="002B131F" w:rsidRPr="002B131F">
        <w:rPr>
          <w:rFonts w:ascii="Times New Roman" w:hAnsi="Times New Roman" w:cs="Times New Roman"/>
          <w:sz w:val="28"/>
          <w:szCs w:val="28"/>
          <w:lang w:val="uk-UA"/>
        </w:rPr>
        <w:t xml:space="preserve"> [</w:t>
      </w:r>
      <w:r w:rsidR="0083391B">
        <w:rPr>
          <w:rFonts w:ascii="Times New Roman" w:hAnsi="Times New Roman" w:cs="Times New Roman"/>
          <w:sz w:val="28"/>
          <w:szCs w:val="28"/>
          <w:lang w:val="uk-UA"/>
        </w:rPr>
        <w:t>9</w:t>
      </w:r>
      <w:r w:rsidR="002B131F" w:rsidRPr="002B131F">
        <w:rPr>
          <w:rFonts w:ascii="Times New Roman" w:hAnsi="Times New Roman" w:cs="Times New Roman"/>
          <w:sz w:val="28"/>
          <w:szCs w:val="28"/>
          <w:lang w:val="uk-UA"/>
        </w:rPr>
        <w:t>]</w:t>
      </w:r>
      <w:r w:rsidR="00D11DD4">
        <w:rPr>
          <w:rFonts w:ascii="Times New Roman" w:hAnsi="Times New Roman" w:cs="Times New Roman"/>
          <w:sz w:val="28"/>
          <w:szCs w:val="28"/>
          <w:lang w:val="uk-UA"/>
        </w:rPr>
        <w:t xml:space="preserve">. </w:t>
      </w:r>
    </w:p>
    <w:p w:rsidR="00FE6FC5" w:rsidRPr="000406ED" w:rsidRDefault="00E0482B" w:rsidP="00FB32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585811">
        <w:rPr>
          <w:rFonts w:ascii="Times New Roman" w:hAnsi="Times New Roman" w:cs="Times New Roman"/>
          <w:sz w:val="28"/>
          <w:szCs w:val="28"/>
          <w:lang w:val="uk-UA"/>
        </w:rPr>
        <w:t xml:space="preserve">озвиток дисліпідемії </w:t>
      </w:r>
      <w:r w:rsidR="00272C76">
        <w:rPr>
          <w:rFonts w:ascii="Times New Roman" w:hAnsi="Times New Roman" w:cs="Times New Roman"/>
          <w:sz w:val="28"/>
          <w:szCs w:val="28"/>
          <w:lang w:val="uk-UA"/>
        </w:rPr>
        <w:t>[</w:t>
      </w:r>
      <w:r w:rsidR="000756FE" w:rsidRPr="0083391B">
        <w:rPr>
          <w:rFonts w:ascii="Times New Roman" w:hAnsi="Times New Roman" w:cs="Times New Roman"/>
          <w:sz w:val="28"/>
          <w:szCs w:val="28"/>
          <w:lang w:val="uk-UA"/>
        </w:rPr>
        <w:t>10</w:t>
      </w:r>
      <w:r w:rsidR="00585811">
        <w:rPr>
          <w:rFonts w:ascii="Times New Roman" w:hAnsi="Times New Roman" w:cs="Times New Roman"/>
          <w:sz w:val="28"/>
          <w:szCs w:val="28"/>
          <w:lang w:val="uk-UA"/>
        </w:rPr>
        <w:t xml:space="preserve">], </w:t>
      </w:r>
      <w:r w:rsidR="00272C76">
        <w:rPr>
          <w:rFonts w:ascii="Times New Roman" w:hAnsi="Times New Roman" w:cs="Times New Roman"/>
          <w:sz w:val="28"/>
          <w:szCs w:val="28"/>
          <w:lang w:val="uk-UA"/>
        </w:rPr>
        <w:t>ДН</w:t>
      </w:r>
      <w:r w:rsidR="00272C76" w:rsidRPr="00272C76">
        <w:rPr>
          <w:rFonts w:ascii="Times New Roman" w:hAnsi="Times New Roman" w:cs="Times New Roman"/>
          <w:sz w:val="28"/>
          <w:szCs w:val="28"/>
          <w:lang w:val="uk-UA"/>
        </w:rPr>
        <w:t xml:space="preserve"> [</w:t>
      </w:r>
      <w:r w:rsidR="000756FE" w:rsidRPr="0083391B">
        <w:rPr>
          <w:rFonts w:ascii="Times New Roman" w:hAnsi="Times New Roman" w:cs="Times New Roman"/>
          <w:sz w:val="28"/>
          <w:szCs w:val="28"/>
          <w:lang w:val="uk-UA"/>
        </w:rPr>
        <w:t>11</w:t>
      </w:r>
      <w:r w:rsidR="00272C76" w:rsidRPr="00272C76">
        <w:rPr>
          <w:rFonts w:ascii="Times New Roman" w:hAnsi="Times New Roman" w:cs="Times New Roman"/>
          <w:sz w:val="28"/>
          <w:szCs w:val="28"/>
          <w:lang w:val="uk-UA"/>
        </w:rPr>
        <w:t xml:space="preserve">], </w:t>
      </w:r>
      <w:r w:rsidR="006160A1">
        <w:rPr>
          <w:rFonts w:ascii="Times New Roman" w:hAnsi="Times New Roman" w:cs="Times New Roman"/>
          <w:sz w:val="28"/>
          <w:szCs w:val="28"/>
          <w:lang w:val="uk-UA"/>
        </w:rPr>
        <w:t xml:space="preserve">порушення функціонального стану </w:t>
      </w:r>
      <w:r w:rsidR="00272C76">
        <w:rPr>
          <w:rFonts w:ascii="Times New Roman" w:hAnsi="Times New Roman" w:cs="Times New Roman"/>
          <w:sz w:val="28"/>
          <w:szCs w:val="28"/>
          <w:lang w:val="uk-UA"/>
        </w:rPr>
        <w:t>ЛШ</w:t>
      </w:r>
      <w:r w:rsidR="00585811">
        <w:rPr>
          <w:rFonts w:ascii="Times New Roman" w:hAnsi="Times New Roman" w:cs="Times New Roman"/>
          <w:sz w:val="28"/>
          <w:szCs w:val="28"/>
          <w:lang w:val="uk-UA"/>
        </w:rPr>
        <w:t xml:space="preserve"> асоціюється</w:t>
      </w:r>
      <w:r>
        <w:rPr>
          <w:rFonts w:ascii="Times New Roman" w:hAnsi="Times New Roman" w:cs="Times New Roman"/>
          <w:sz w:val="28"/>
          <w:szCs w:val="28"/>
          <w:lang w:val="uk-UA"/>
        </w:rPr>
        <w:t xml:space="preserve"> </w:t>
      </w:r>
      <w:r w:rsidR="00585811">
        <w:rPr>
          <w:rFonts w:ascii="Times New Roman" w:hAnsi="Times New Roman" w:cs="Times New Roman"/>
          <w:sz w:val="28"/>
          <w:szCs w:val="28"/>
          <w:lang w:val="uk-UA"/>
        </w:rPr>
        <w:t xml:space="preserve">із прогресуванням </w:t>
      </w:r>
      <w:r w:rsidR="00336E5E">
        <w:rPr>
          <w:rFonts w:ascii="Times New Roman" w:hAnsi="Times New Roman" w:cs="Times New Roman"/>
          <w:sz w:val="28"/>
          <w:szCs w:val="28"/>
          <w:lang w:val="uk-UA"/>
        </w:rPr>
        <w:t>ендотеліальної дисфункції (</w:t>
      </w:r>
      <w:r w:rsidR="00585811" w:rsidRPr="00585811">
        <w:rPr>
          <w:rFonts w:ascii="Times New Roman" w:hAnsi="Times New Roman" w:cs="Times New Roman"/>
          <w:sz w:val="28"/>
          <w:szCs w:val="28"/>
          <w:lang w:val="uk-UA"/>
        </w:rPr>
        <w:t>ЕД</w:t>
      </w:r>
      <w:r w:rsidR="00336E5E">
        <w:rPr>
          <w:rFonts w:ascii="Times New Roman" w:hAnsi="Times New Roman" w:cs="Times New Roman"/>
          <w:sz w:val="28"/>
          <w:szCs w:val="28"/>
          <w:lang w:val="uk-UA"/>
        </w:rPr>
        <w:t>)</w:t>
      </w:r>
      <w:r w:rsidR="00272C76">
        <w:rPr>
          <w:rFonts w:ascii="Times New Roman" w:hAnsi="Times New Roman" w:cs="Times New Roman"/>
          <w:sz w:val="28"/>
          <w:szCs w:val="28"/>
          <w:lang w:val="uk-UA"/>
        </w:rPr>
        <w:t xml:space="preserve"> [</w:t>
      </w:r>
      <w:r w:rsidR="000756FE" w:rsidRPr="0083391B">
        <w:rPr>
          <w:rFonts w:ascii="Times New Roman" w:hAnsi="Times New Roman" w:cs="Times New Roman"/>
          <w:sz w:val="28"/>
          <w:szCs w:val="28"/>
          <w:lang w:val="uk-UA"/>
        </w:rPr>
        <w:t>12</w:t>
      </w:r>
      <w:r w:rsidR="00585811" w:rsidRPr="0083391B">
        <w:rPr>
          <w:rFonts w:ascii="Times New Roman" w:hAnsi="Times New Roman" w:cs="Times New Roman"/>
          <w:sz w:val="28"/>
          <w:szCs w:val="28"/>
          <w:lang w:val="uk-UA"/>
        </w:rPr>
        <w:t xml:space="preserve">]. </w:t>
      </w:r>
      <w:r w:rsidR="00DE6BFC">
        <w:rPr>
          <w:rFonts w:ascii="Times New Roman" w:hAnsi="Times New Roman" w:cs="Times New Roman"/>
          <w:sz w:val="28"/>
          <w:szCs w:val="28"/>
          <w:lang w:val="uk-UA"/>
        </w:rPr>
        <w:t xml:space="preserve">      </w:t>
      </w:r>
      <w:r w:rsidR="00A1787A" w:rsidRPr="0083391B">
        <w:rPr>
          <w:rFonts w:ascii="Times New Roman" w:hAnsi="Times New Roman" w:cs="Times New Roman"/>
          <w:sz w:val="28"/>
          <w:szCs w:val="28"/>
          <w:lang w:val="uk-UA"/>
        </w:rPr>
        <w:t xml:space="preserve">У </w:t>
      </w:r>
      <w:r w:rsidR="00585811" w:rsidRPr="0083391B">
        <w:rPr>
          <w:rFonts w:ascii="Times New Roman" w:hAnsi="Times New Roman" w:cs="Times New Roman"/>
          <w:sz w:val="28"/>
          <w:szCs w:val="28"/>
          <w:lang w:val="uk-UA"/>
        </w:rPr>
        <w:t>хв</w:t>
      </w:r>
      <w:r w:rsidR="00336E5E">
        <w:rPr>
          <w:rFonts w:ascii="Times New Roman" w:hAnsi="Times New Roman" w:cs="Times New Roman"/>
          <w:sz w:val="28"/>
          <w:szCs w:val="28"/>
          <w:lang w:val="uk-UA"/>
        </w:rPr>
        <w:t xml:space="preserve">орих на АГ покращення функціонального стану </w:t>
      </w:r>
      <w:r w:rsidR="00A1787A" w:rsidRPr="0083391B">
        <w:rPr>
          <w:rFonts w:ascii="Times New Roman" w:hAnsi="Times New Roman" w:cs="Times New Roman"/>
          <w:sz w:val="28"/>
          <w:szCs w:val="28"/>
          <w:lang w:val="uk-UA"/>
        </w:rPr>
        <w:t xml:space="preserve">ендотелію сприяє оптимізації прогнозу щодо ССУ </w:t>
      </w:r>
      <w:r w:rsidR="000D6127" w:rsidRPr="0083391B">
        <w:rPr>
          <w:rFonts w:ascii="Times New Roman" w:hAnsi="Times New Roman" w:cs="Times New Roman"/>
          <w:sz w:val="28"/>
          <w:szCs w:val="28"/>
          <w:lang w:val="uk-UA"/>
        </w:rPr>
        <w:t>[</w:t>
      </w:r>
      <w:r w:rsidR="000756FE" w:rsidRPr="0083391B">
        <w:rPr>
          <w:rFonts w:ascii="Times New Roman" w:hAnsi="Times New Roman" w:cs="Times New Roman"/>
          <w:sz w:val="28"/>
          <w:szCs w:val="28"/>
        </w:rPr>
        <w:t>13</w:t>
      </w:r>
      <w:r w:rsidR="006913A0" w:rsidRPr="0083391B">
        <w:rPr>
          <w:rFonts w:ascii="Times New Roman" w:hAnsi="Times New Roman" w:cs="Times New Roman"/>
          <w:sz w:val="28"/>
          <w:szCs w:val="28"/>
          <w:lang w:val="uk-UA"/>
        </w:rPr>
        <w:t>].</w:t>
      </w:r>
      <w:r w:rsidR="000406ED" w:rsidRPr="0083391B">
        <w:rPr>
          <w:rFonts w:ascii="Times New Roman" w:hAnsi="Times New Roman" w:cs="Times New Roman"/>
          <w:sz w:val="28"/>
          <w:szCs w:val="28"/>
          <w:lang w:val="uk-UA"/>
        </w:rPr>
        <w:t xml:space="preserve"> </w:t>
      </w:r>
      <w:r w:rsidR="00A1787A" w:rsidRPr="0083391B">
        <w:rPr>
          <w:rFonts w:ascii="Times New Roman" w:hAnsi="Times New Roman" w:cs="Times New Roman"/>
          <w:sz w:val="28"/>
          <w:szCs w:val="28"/>
          <w:lang w:val="uk-UA"/>
        </w:rPr>
        <w:t xml:space="preserve">Окрім того, </w:t>
      </w:r>
      <w:r w:rsidR="000406ED" w:rsidRPr="0083391B">
        <w:rPr>
          <w:rFonts w:ascii="Times New Roman" w:hAnsi="Times New Roman" w:cs="Times New Roman"/>
          <w:sz w:val="28"/>
          <w:szCs w:val="28"/>
          <w:lang w:val="uk-UA"/>
        </w:rPr>
        <w:t xml:space="preserve">ЕД є ключовим </w:t>
      </w:r>
      <w:r w:rsidR="00585811" w:rsidRPr="0083391B">
        <w:rPr>
          <w:rFonts w:ascii="Times New Roman" w:hAnsi="Times New Roman" w:cs="Times New Roman"/>
          <w:sz w:val="28"/>
          <w:szCs w:val="28"/>
          <w:lang w:val="uk-UA"/>
        </w:rPr>
        <w:t xml:space="preserve">механізмом атерогенезу у пацієнтів із </w:t>
      </w:r>
      <w:r w:rsidR="000406ED" w:rsidRPr="0083391B">
        <w:rPr>
          <w:rFonts w:ascii="Times New Roman" w:hAnsi="Times New Roman" w:cs="Times New Roman"/>
          <w:sz w:val="28"/>
          <w:szCs w:val="28"/>
          <w:lang w:val="uk-UA"/>
        </w:rPr>
        <w:t>ЦД [</w:t>
      </w:r>
      <w:r w:rsidR="000756FE" w:rsidRPr="0083391B">
        <w:rPr>
          <w:rFonts w:ascii="Times New Roman" w:hAnsi="Times New Roman" w:cs="Times New Roman"/>
          <w:sz w:val="28"/>
          <w:szCs w:val="28"/>
        </w:rPr>
        <w:t>14</w:t>
      </w:r>
      <w:r w:rsidR="000406ED" w:rsidRPr="0083391B">
        <w:rPr>
          <w:rFonts w:ascii="Times New Roman" w:hAnsi="Times New Roman" w:cs="Times New Roman"/>
          <w:sz w:val="28"/>
          <w:szCs w:val="28"/>
          <w:lang w:val="uk-UA"/>
        </w:rPr>
        <w:t>].</w:t>
      </w:r>
    </w:p>
    <w:p w:rsidR="00A03291" w:rsidRPr="00564118" w:rsidRDefault="00D82477" w:rsidP="00FB325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E4944">
        <w:rPr>
          <w:rFonts w:ascii="Times New Roman" w:hAnsi="Times New Roman" w:cs="Times New Roman"/>
          <w:sz w:val="28"/>
          <w:szCs w:val="28"/>
          <w:lang w:val="uk-UA"/>
        </w:rPr>
        <w:t xml:space="preserve">Підвищені концентрації молекул адгезії судинного ендотелію 1-го типу використовуються в якості ранніх маркерів ЕД, </w:t>
      </w:r>
      <w:r w:rsidR="00585811">
        <w:rPr>
          <w:rFonts w:ascii="Times New Roman" w:hAnsi="Times New Roman" w:cs="Times New Roman"/>
          <w:sz w:val="28"/>
          <w:szCs w:val="28"/>
          <w:lang w:val="uk-UA"/>
        </w:rPr>
        <w:t>ССЗ,</w:t>
      </w:r>
      <w:r w:rsidR="00585811" w:rsidRPr="00585811">
        <w:rPr>
          <w:rFonts w:ascii="Times New Roman" w:hAnsi="Times New Roman" w:cs="Times New Roman"/>
          <w:sz w:val="28"/>
          <w:szCs w:val="28"/>
        </w:rPr>
        <w:t xml:space="preserve"> </w:t>
      </w:r>
      <w:r w:rsidR="00585811">
        <w:rPr>
          <w:rFonts w:ascii="Times New Roman" w:hAnsi="Times New Roman" w:cs="Times New Roman"/>
          <w:sz w:val="28"/>
          <w:szCs w:val="28"/>
          <w:lang w:val="uk-UA"/>
        </w:rPr>
        <w:t xml:space="preserve">ЦД 2-го типу. Зростання їх вмісту </w:t>
      </w:r>
      <w:r w:rsidR="004E4944">
        <w:rPr>
          <w:rFonts w:ascii="Times New Roman" w:hAnsi="Times New Roman" w:cs="Times New Roman"/>
          <w:sz w:val="28"/>
          <w:szCs w:val="28"/>
          <w:lang w:val="uk-UA"/>
        </w:rPr>
        <w:t xml:space="preserve">збільшує ризик розвитку ЦД у 1,5-7,5 разів </w:t>
      </w:r>
      <w:r w:rsidR="009E56B1" w:rsidRPr="00317C34">
        <w:rPr>
          <w:rFonts w:ascii="Times New Roman" w:hAnsi="Times New Roman" w:cs="Times New Roman"/>
          <w:sz w:val="28"/>
          <w:szCs w:val="28"/>
          <w:lang w:val="uk-UA"/>
        </w:rPr>
        <w:t>[</w:t>
      </w:r>
      <w:r w:rsidR="000756FE" w:rsidRPr="0083391B">
        <w:rPr>
          <w:rFonts w:ascii="Times New Roman" w:hAnsi="Times New Roman" w:cs="Times New Roman"/>
          <w:sz w:val="28"/>
          <w:szCs w:val="28"/>
          <w:lang w:val="uk-UA"/>
        </w:rPr>
        <w:t>15</w:t>
      </w:r>
      <w:r w:rsidR="009E56B1" w:rsidRPr="00317C34">
        <w:rPr>
          <w:rFonts w:ascii="Times New Roman" w:hAnsi="Times New Roman" w:cs="Times New Roman"/>
          <w:sz w:val="28"/>
          <w:szCs w:val="28"/>
          <w:lang w:val="uk-UA"/>
        </w:rPr>
        <w:t xml:space="preserve">]. </w:t>
      </w:r>
      <w:r w:rsidR="00C407F1">
        <w:rPr>
          <w:rFonts w:ascii="Times New Roman" w:hAnsi="Times New Roman" w:cs="Times New Roman"/>
          <w:sz w:val="28"/>
          <w:szCs w:val="28"/>
          <w:lang w:val="uk-UA"/>
        </w:rPr>
        <w:t>Концентрація м</w:t>
      </w:r>
      <w:r w:rsidR="009E56B1" w:rsidRPr="00A23604">
        <w:rPr>
          <w:rFonts w:ascii="Times New Roman" w:hAnsi="Times New Roman" w:cs="Times New Roman"/>
          <w:sz w:val="28"/>
          <w:szCs w:val="28"/>
          <w:lang w:val="uk-UA"/>
        </w:rPr>
        <w:t>олеку</w:t>
      </w:r>
      <w:r w:rsidR="00C407F1">
        <w:rPr>
          <w:rFonts w:ascii="Times New Roman" w:hAnsi="Times New Roman" w:cs="Times New Roman"/>
          <w:sz w:val="28"/>
          <w:szCs w:val="28"/>
          <w:lang w:val="uk-UA"/>
        </w:rPr>
        <w:t>л</w:t>
      </w:r>
      <w:r w:rsidR="00E84587" w:rsidRPr="00A23604">
        <w:rPr>
          <w:rFonts w:ascii="Times New Roman" w:hAnsi="Times New Roman" w:cs="Times New Roman"/>
          <w:sz w:val="28"/>
          <w:szCs w:val="28"/>
          <w:lang w:val="uk-UA"/>
        </w:rPr>
        <w:t xml:space="preserve"> м</w:t>
      </w:r>
      <w:r w:rsidR="00E84587">
        <w:rPr>
          <w:rFonts w:ascii="Times New Roman" w:hAnsi="Times New Roman" w:cs="Times New Roman"/>
          <w:sz w:val="28"/>
          <w:szCs w:val="28"/>
          <w:lang w:val="en-US"/>
        </w:rPr>
        <w:t>i</w:t>
      </w:r>
      <w:r w:rsidR="00E84587" w:rsidRPr="00A23604">
        <w:rPr>
          <w:rFonts w:ascii="Times New Roman" w:hAnsi="Times New Roman" w:cs="Times New Roman"/>
          <w:sz w:val="28"/>
          <w:szCs w:val="28"/>
          <w:lang w:val="uk-UA"/>
        </w:rPr>
        <w:t>жкл</w:t>
      </w:r>
      <w:r w:rsidR="00E84587">
        <w:rPr>
          <w:rFonts w:ascii="Times New Roman" w:hAnsi="Times New Roman" w:cs="Times New Roman"/>
          <w:sz w:val="28"/>
          <w:szCs w:val="28"/>
          <w:lang w:val="en-US"/>
        </w:rPr>
        <w:t>i</w:t>
      </w:r>
      <w:r w:rsidR="00E84587" w:rsidRPr="00A23604">
        <w:rPr>
          <w:rFonts w:ascii="Times New Roman" w:hAnsi="Times New Roman" w:cs="Times New Roman"/>
          <w:sz w:val="28"/>
          <w:szCs w:val="28"/>
          <w:lang w:val="uk-UA"/>
        </w:rPr>
        <w:t>тинної адгез</w:t>
      </w:r>
      <w:r w:rsidR="00E84587">
        <w:rPr>
          <w:rFonts w:ascii="Times New Roman" w:hAnsi="Times New Roman" w:cs="Times New Roman"/>
          <w:sz w:val="28"/>
          <w:szCs w:val="28"/>
          <w:lang w:val="en-US"/>
        </w:rPr>
        <w:t>i</w:t>
      </w:r>
      <w:r w:rsidR="00C407F1">
        <w:rPr>
          <w:rFonts w:ascii="Times New Roman" w:hAnsi="Times New Roman" w:cs="Times New Roman"/>
          <w:sz w:val="28"/>
          <w:szCs w:val="28"/>
          <w:lang w:val="uk-UA"/>
        </w:rPr>
        <w:t>ї</w:t>
      </w:r>
      <w:r w:rsidR="00E84587" w:rsidRPr="00A23604">
        <w:rPr>
          <w:rFonts w:ascii="Times New Roman" w:hAnsi="Times New Roman" w:cs="Times New Roman"/>
          <w:sz w:val="28"/>
          <w:szCs w:val="28"/>
          <w:lang w:val="uk-UA"/>
        </w:rPr>
        <w:t xml:space="preserve"> в</w:t>
      </w:r>
      <w:r w:rsidR="00E84587">
        <w:rPr>
          <w:rFonts w:ascii="Times New Roman" w:hAnsi="Times New Roman" w:cs="Times New Roman"/>
          <w:sz w:val="28"/>
          <w:szCs w:val="28"/>
          <w:lang w:val="en-US"/>
        </w:rPr>
        <w:t>i</w:t>
      </w:r>
      <w:r w:rsidR="00C407F1">
        <w:rPr>
          <w:rFonts w:ascii="Times New Roman" w:hAnsi="Times New Roman" w:cs="Times New Roman"/>
          <w:sz w:val="28"/>
          <w:szCs w:val="28"/>
          <w:lang w:val="uk-UA"/>
        </w:rPr>
        <w:t>дображає</w:t>
      </w:r>
      <w:r w:rsidR="00E84587" w:rsidRPr="00A23604">
        <w:rPr>
          <w:rFonts w:ascii="Times New Roman" w:hAnsi="Times New Roman" w:cs="Times New Roman"/>
          <w:sz w:val="28"/>
          <w:szCs w:val="28"/>
          <w:lang w:val="uk-UA"/>
        </w:rPr>
        <w:t xml:space="preserve"> </w:t>
      </w:r>
      <w:r w:rsidR="00C407F1">
        <w:rPr>
          <w:rFonts w:ascii="Times New Roman" w:hAnsi="Times New Roman" w:cs="Times New Roman"/>
          <w:sz w:val="28"/>
          <w:szCs w:val="28"/>
          <w:lang w:val="uk-UA"/>
        </w:rPr>
        <w:t xml:space="preserve">функціональний стан ендотелію та ступінь вираженості </w:t>
      </w:r>
      <w:r w:rsidR="009D5B0F">
        <w:rPr>
          <w:rFonts w:ascii="Times New Roman" w:hAnsi="Times New Roman" w:cs="Times New Roman"/>
          <w:sz w:val="28"/>
          <w:szCs w:val="28"/>
          <w:lang w:val="en-US"/>
        </w:rPr>
        <w:t>i</w:t>
      </w:r>
      <w:r w:rsidR="00F312C1" w:rsidRPr="00A23604">
        <w:rPr>
          <w:rFonts w:ascii="Times New Roman" w:hAnsi="Times New Roman" w:cs="Times New Roman"/>
          <w:sz w:val="28"/>
          <w:szCs w:val="28"/>
          <w:lang w:val="uk-UA"/>
        </w:rPr>
        <w:t>муно</w:t>
      </w:r>
      <w:r w:rsidR="009D5B0F" w:rsidRPr="00A23604">
        <w:rPr>
          <w:rFonts w:ascii="Times New Roman" w:hAnsi="Times New Roman" w:cs="Times New Roman"/>
          <w:sz w:val="28"/>
          <w:szCs w:val="28"/>
          <w:lang w:val="uk-UA"/>
        </w:rPr>
        <w:t>запальних реакц</w:t>
      </w:r>
      <w:r w:rsidR="009D5B0F">
        <w:rPr>
          <w:rFonts w:ascii="Times New Roman" w:hAnsi="Times New Roman" w:cs="Times New Roman"/>
          <w:sz w:val="28"/>
          <w:szCs w:val="28"/>
          <w:lang w:val="en-US"/>
        </w:rPr>
        <w:t>i</w:t>
      </w:r>
      <w:r w:rsidR="009D5B0F" w:rsidRPr="00A23604">
        <w:rPr>
          <w:rFonts w:ascii="Times New Roman" w:hAnsi="Times New Roman" w:cs="Times New Roman"/>
          <w:sz w:val="28"/>
          <w:szCs w:val="28"/>
          <w:lang w:val="uk-UA"/>
        </w:rPr>
        <w:t>й, оск</w:t>
      </w:r>
      <w:r w:rsidR="009D5B0F">
        <w:rPr>
          <w:rFonts w:ascii="Times New Roman" w:hAnsi="Times New Roman" w:cs="Times New Roman"/>
          <w:sz w:val="28"/>
          <w:szCs w:val="28"/>
          <w:lang w:val="en-US"/>
        </w:rPr>
        <w:t>i</w:t>
      </w:r>
      <w:r w:rsidR="009D5B0F" w:rsidRPr="00A23604">
        <w:rPr>
          <w:rFonts w:ascii="Times New Roman" w:hAnsi="Times New Roman" w:cs="Times New Roman"/>
          <w:sz w:val="28"/>
          <w:szCs w:val="28"/>
          <w:lang w:val="uk-UA"/>
        </w:rPr>
        <w:t>льки п</w:t>
      </w:r>
      <w:r w:rsidR="009D5B0F">
        <w:rPr>
          <w:rFonts w:ascii="Times New Roman" w:hAnsi="Times New Roman" w:cs="Times New Roman"/>
          <w:sz w:val="28"/>
          <w:szCs w:val="28"/>
          <w:lang w:val="en-US"/>
        </w:rPr>
        <w:t>i</w:t>
      </w:r>
      <w:r w:rsidR="009D5B0F" w:rsidRPr="00A23604">
        <w:rPr>
          <w:rFonts w:ascii="Times New Roman" w:hAnsi="Times New Roman" w:cs="Times New Roman"/>
          <w:sz w:val="28"/>
          <w:szCs w:val="28"/>
          <w:lang w:val="uk-UA"/>
        </w:rPr>
        <w:t>двищення їх продукц</w:t>
      </w:r>
      <w:r w:rsidR="009D5B0F">
        <w:rPr>
          <w:rFonts w:ascii="Times New Roman" w:hAnsi="Times New Roman" w:cs="Times New Roman"/>
          <w:sz w:val="28"/>
          <w:szCs w:val="28"/>
          <w:lang w:val="en-US"/>
        </w:rPr>
        <w:t>i</w:t>
      </w:r>
      <w:r w:rsidR="009D5B0F" w:rsidRPr="00A23604">
        <w:rPr>
          <w:rFonts w:ascii="Times New Roman" w:hAnsi="Times New Roman" w:cs="Times New Roman"/>
          <w:sz w:val="28"/>
          <w:szCs w:val="28"/>
          <w:lang w:val="uk-UA"/>
        </w:rPr>
        <w:t xml:space="preserve">ї обумовлене </w:t>
      </w:r>
      <w:r w:rsidR="00585811">
        <w:rPr>
          <w:rFonts w:ascii="Times New Roman" w:hAnsi="Times New Roman" w:cs="Times New Roman"/>
          <w:sz w:val="28"/>
          <w:szCs w:val="28"/>
          <w:lang w:val="uk-UA"/>
        </w:rPr>
        <w:t xml:space="preserve">збільшенням </w:t>
      </w:r>
      <w:r w:rsidR="009E56B1" w:rsidRPr="00A23604">
        <w:rPr>
          <w:rFonts w:ascii="Times New Roman" w:hAnsi="Times New Roman" w:cs="Times New Roman"/>
          <w:sz w:val="28"/>
          <w:szCs w:val="28"/>
          <w:lang w:val="uk-UA"/>
        </w:rPr>
        <w:t>систем</w:t>
      </w:r>
      <w:r w:rsidR="009D5B0F" w:rsidRPr="00A23604">
        <w:rPr>
          <w:rFonts w:ascii="Times New Roman" w:hAnsi="Times New Roman" w:cs="Times New Roman"/>
          <w:sz w:val="28"/>
          <w:szCs w:val="28"/>
          <w:lang w:val="uk-UA"/>
        </w:rPr>
        <w:t>ної секреції прозапальних циток</w:t>
      </w:r>
      <w:r w:rsidR="009D5B0F">
        <w:rPr>
          <w:rFonts w:ascii="Times New Roman" w:hAnsi="Times New Roman" w:cs="Times New Roman"/>
          <w:sz w:val="28"/>
          <w:szCs w:val="28"/>
          <w:lang w:val="en-US"/>
        </w:rPr>
        <w:t>i</w:t>
      </w:r>
      <w:r w:rsidR="009D5B0F" w:rsidRPr="00A23604">
        <w:rPr>
          <w:rFonts w:ascii="Times New Roman" w:hAnsi="Times New Roman" w:cs="Times New Roman"/>
          <w:sz w:val="28"/>
          <w:szCs w:val="28"/>
          <w:lang w:val="uk-UA"/>
        </w:rPr>
        <w:t>н</w:t>
      </w:r>
      <w:r w:rsidR="009D5B0F">
        <w:rPr>
          <w:rFonts w:ascii="Times New Roman" w:hAnsi="Times New Roman" w:cs="Times New Roman"/>
          <w:sz w:val="28"/>
          <w:szCs w:val="28"/>
          <w:lang w:val="en-US"/>
        </w:rPr>
        <w:t>i</w:t>
      </w:r>
      <w:r w:rsidR="009E56B1" w:rsidRPr="00A23604">
        <w:rPr>
          <w:rFonts w:ascii="Times New Roman" w:hAnsi="Times New Roman" w:cs="Times New Roman"/>
          <w:sz w:val="28"/>
          <w:szCs w:val="28"/>
          <w:lang w:val="uk-UA"/>
        </w:rPr>
        <w:t>в [</w:t>
      </w:r>
      <w:r w:rsidR="000756FE" w:rsidRPr="0083391B">
        <w:rPr>
          <w:rFonts w:ascii="Times New Roman" w:hAnsi="Times New Roman" w:cs="Times New Roman"/>
          <w:sz w:val="28"/>
          <w:szCs w:val="28"/>
          <w:lang w:val="uk-UA"/>
        </w:rPr>
        <w:t>16</w:t>
      </w:r>
      <w:r w:rsidR="00564118">
        <w:rPr>
          <w:rFonts w:ascii="Times New Roman" w:hAnsi="Times New Roman" w:cs="Times New Roman"/>
          <w:sz w:val="28"/>
          <w:szCs w:val="28"/>
          <w:lang w:val="uk-UA"/>
        </w:rPr>
        <w:t>], одним із яких є фактор некрозу пухлин альфа (ФНП-ɑ).</w:t>
      </w:r>
    </w:p>
    <w:p w:rsidR="00A03291" w:rsidRPr="00063315" w:rsidRDefault="00564118" w:rsidP="00A03291">
      <w:pPr>
        <w:spacing w:after="0" w:line="360" w:lineRule="auto"/>
        <w:ind w:firstLine="708"/>
        <w:jc w:val="both"/>
        <w:rPr>
          <w:rFonts w:ascii="Times New Roman" w:hAnsi="Times New Roman" w:cs="Times New Roman"/>
          <w:sz w:val="28"/>
          <w:szCs w:val="28"/>
          <w:lang w:val="uk-UA"/>
        </w:rPr>
      </w:pPr>
      <w:r w:rsidRPr="00564118">
        <w:rPr>
          <w:rFonts w:ascii="Times New Roman" w:hAnsi="Times New Roman" w:cs="Times New Roman"/>
          <w:sz w:val="28"/>
          <w:szCs w:val="28"/>
          <w:lang w:val="uk-UA"/>
        </w:rPr>
        <w:t>Таким чином, АГ і ЦД 2</w:t>
      </w:r>
      <w:r w:rsidR="00B5457F">
        <w:rPr>
          <w:rFonts w:ascii="Times New Roman" w:hAnsi="Times New Roman" w:cs="Times New Roman"/>
          <w:sz w:val="28"/>
          <w:szCs w:val="28"/>
          <w:lang w:val="uk-UA"/>
        </w:rPr>
        <w:t>-го</w:t>
      </w:r>
      <w:r w:rsidRPr="00564118">
        <w:rPr>
          <w:rFonts w:ascii="Times New Roman" w:hAnsi="Times New Roman" w:cs="Times New Roman"/>
          <w:sz w:val="28"/>
          <w:szCs w:val="28"/>
          <w:lang w:val="uk-UA"/>
        </w:rPr>
        <w:t xml:space="preserve"> типу мають </w:t>
      </w:r>
      <w:r>
        <w:rPr>
          <w:rFonts w:ascii="Times New Roman" w:hAnsi="Times New Roman" w:cs="Times New Roman"/>
          <w:sz w:val="28"/>
          <w:szCs w:val="28"/>
          <w:lang w:val="uk-UA"/>
        </w:rPr>
        <w:t xml:space="preserve">спільні патогенетичні механізми </w:t>
      </w:r>
      <w:r w:rsidRPr="00564118">
        <w:rPr>
          <w:rFonts w:ascii="Times New Roman" w:hAnsi="Times New Roman" w:cs="Times New Roman"/>
          <w:sz w:val="28"/>
          <w:szCs w:val="28"/>
        </w:rPr>
        <w:t>[</w:t>
      </w:r>
      <w:r w:rsidR="000756FE" w:rsidRPr="0083391B">
        <w:rPr>
          <w:rFonts w:ascii="Times New Roman" w:hAnsi="Times New Roman" w:cs="Times New Roman"/>
          <w:sz w:val="28"/>
          <w:szCs w:val="28"/>
        </w:rPr>
        <w:t>17</w:t>
      </w:r>
      <w:r w:rsidRPr="0083391B">
        <w:rPr>
          <w:rFonts w:ascii="Times New Roman" w:hAnsi="Times New Roman" w:cs="Times New Roman"/>
          <w:sz w:val="28"/>
          <w:szCs w:val="28"/>
        </w:rPr>
        <w:t>].</w:t>
      </w:r>
      <w:r w:rsidRPr="00564118">
        <w:rPr>
          <w:rFonts w:ascii="Times New Roman" w:hAnsi="Times New Roman" w:cs="Times New Roman"/>
          <w:sz w:val="28"/>
          <w:szCs w:val="28"/>
        </w:rPr>
        <w:t xml:space="preserve"> </w:t>
      </w:r>
      <w:r w:rsidR="00063315">
        <w:rPr>
          <w:rFonts w:ascii="Times New Roman" w:hAnsi="Times New Roman" w:cs="Times New Roman"/>
          <w:sz w:val="28"/>
          <w:szCs w:val="28"/>
          <w:lang w:val="uk-UA"/>
        </w:rPr>
        <w:t xml:space="preserve">Комплексне лікування пацієнтів із зазначеною коморбідною патологією має включати вплив на дисліпідемію, ураження </w:t>
      </w:r>
      <w:r w:rsidR="0037032F">
        <w:rPr>
          <w:rFonts w:ascii="Times New Roman" w:hAnsi="Times New Roman" w:cs="Times New Roman"/>
          <w:sz w:val="28"/>
          <w:szCs w:val="28"/>
          <w:lang w:val="uk-UA"/>
        </w:rPr>
        <w:t xml:space="preserve">нирок, </w:t>
      </w:r>
      <w:r w:rsidR="00063315">
        <w:rPr>
          <w:rFonts w:ascii="Times New Roman" w:hAnsi="Times New Roman" w:cs="Times New Roman"/>
          <w:sz w:val="28"/>
          <w:szCs w:val="28"/>
          <w:lang w:val="uk-UA"/>
        </w:rPr>
        <w:t xml:space="preserve">серця. </w:t>
      </w:r>
    </w:p>
    <w:p w:rsidR="006913A0" w:rsidRPr="00B3160D" w:rsidRDefault="00F13CF8" w:rsidP="0000246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Сучасна еп</w:t>
      </w:r>
      <w:r>
        <w:rPr>
          <w:rFonts w:ascii="Times New Roman" w:hAnsi="Times New Roman" w:cs="Times New Roman"/>
          <w:sz w:val="28"/>
          <w:szCs w:val="28"/>
          <w:lang w:val="en-US"/>
        </w:rPr>
        <w:t>i</w:t>
      </w:r>
      <w:r>
        <w:rPr>
          <w:rFonts w:ascii="Times New Roman" w:hAnsi="Times New Roman" w:cs="Times New Roman"/>
          <w:sz w:val="28"/>
          <w:szCs w:val="28"/>
          <w:lang w:val="uk-UA"/>
        </w:rPr>
        <w:t>дем</w:t>
      </w:r>
      <w:r>
        <w:rPr>
          <w:rFonts w:ascii="Times New Roman" w:hAnsi="Times New Roman" w:cs="Times New Roman"/>
          <w:sz w:val="28"/>
          <w:szCs w:val="28"/>
          <w:lang w:val="en-US"/>
        </w:rPr>
        <w:t>i</w:t>
      </w:r>
      <w:r>
        <w:rPr>
          <w:rFonts w:ascii="Times New Roman" w:hAnsi="Times New Roman" w:cs="Times New Roman"/>
          <w:sz w:val="28"/>
          <w:szCs w:val="28"/>
          <w:lang w:val="uk-UA"/>
        </w:rPr>
        <w:t>олог</w:t>
      </w:r>
      <w:r>
        <w:rPr>
          <w:rFonts w:ascii="Times New Roman" w:hAnsi="Times New Roman" w:cs="Times New Roman"/>
          <w:sz w:val="28"/>
          <w:szCs w:val="28"/>
          <w:lang w:val="en-US"/>
        </w:rPr>
        <w:t>i</w:t>
      </w:r>
      <w:r>
        <w:rPr>
          <w:rFonts w:ascii="Times New Roman" w:hAnsi="Times New Roman" w:cs="Times New Roman"/>
          <w:sz w:val="28"/>
          <w:szCs w:val="28"/>
          <w:lang w:val="uk-UA"/>
        </w:rPr>
        <w:t>чна ситуац</w:t>
      </w:r>
      <w:r>
        <w:rPr>
          <w:rFonts w:ascii="Times New Roman" w:hAnsi="Times New Roman" w:cs="Times New Roman"/>
          <w:sz w:val="28"/>
          <w:szCs w:val="28"/>
          <w:lang w:val="en-US"/>
        </w:rPr>
        <w:t>i</w:t>
      </w:r>
      <w:r w:rsidR="00C17D14">
        <w:rPr>
          <w:rFonts w:ascii="Times New Roman" w:hAnsi="Times New Roman" w:cs="Times New Roman"/>
          <w:sz w:val="28"/>
          <w:szCs w:val="28"/>
          <w:lang w:val="uk-UA"/>
        </w:rPr>
        <w:t>я характеризується, з одного боку, з</w:t>
      </w:r>
      <w:r>
        <w:rPr>
          <w:rFonts w:ascii="Times New Roman" w:hAnsi="Times New Roman" w:cs="Times New Roman"/>
          <w:sz w:val="28"/>
          <w:szCs w:val="28"/>
          <w:lang w:val="uk-UA"/>
        </w:rPr>
        <w:t>начним зростанням захворюваност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на ЦД 2-го типу, а з </w:t>
      </w:r>
      <w:r>
        <w:rPr>
          <w:rFonts w:ascii="Times New Roman" w:hAnsi="Times New Roman" w:cs="Times New Roman"/>
          <w:sz w:val="28"/>
          <w:szCs w:val="28"/>
          <w:lang w:val="en-US"/>
        </w:rPr>
        <w:t>i</w:t>
      </w:r>
      <w:r w:rsidR="00C17D14">
        <w:rPr>
          <w:rFonts w:ascii="Times New Roman" w:hAnsi="Times New Roman" w:cs="Times New Roman"/>
          <w:sz w:val="28"/>
          <w:szCs w:val="28"/>
          <w:lang w:val="uk-UA"/>
        </w:rPr>
        <w:t>ншо</w:t>
      </w:r>
      <w:r>
        <w:rPr>
          <w:rFonts w:ascii="Times New Roman" w:hAnsi="Times New Roman" w:cs="Times New Roman"/>
          <w:sz w:val="28"/>
          <w:szCs w:val="28"/>
          <w:lang w:val="uk-UA"/>
        </w:rPr>
        <w:t>го – недостатньою ефективн</w:t>
      </w:r>
      <w:r>
        <w:rPr>
          <w:rFonts w:ascii="Times New Roman" w:hAnsi="Times New Roman" w:cs="Times New Roman"/>
          <w:sz w:val="28"/>
          <w:szCs w:val="28"/>
          <w:lang w:val="en-US"/>
        </w:rPr>
        <w:t>i</w:t>
      </w:r>
      <w:r w:rsidR="00D82477">
        <w:rPr>
          <w:rFonts w:ascii="Times New Roman" w:hAnsi="Times New Roman" w:cs="Times New Roman"/>
          <w:sz w:val="28"/>
          <w:szCs w:val="28"/>
          <w:lang w:val="uk-UA"/>
        </w:rPr>
        <w:t xml:space="preserve">стю </w:t>
      </w:r>
      <w:r>
        <w:rPr>
          <w:rFonts w:ascii="Times New Roman" w:hAnsi="Times New Roman" w:cs="Times New Roman"/>
          <w:sz w:val="28"/>
          <w:szCs w:val="28"/>
          <w:lang w:val="en-US"/>
        </w:rPr>
        <w:t>i</w:t>
      </w:r>
      <w:r>
        <w:rPr>
          <w:rFonts w:ascii="Times New Roman" w:hAnsi="Times New Roman" w:cs="Times New Roman"/>
          <w:sz w:val="28"/>
          <w:szCs w:val="28"/>
          <w:lang w:val="uk-UA"/>
        </w:rPr>
        <w:t>снуючих метод</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sidR="0037032F">
        <w:rPr>
          <w:rFonts w:ascii="Times New Roman" w:hAnsi="Times New Roman" w:cs="Times New Roman"/>
          <w:sz w:val="28"/>
          <w:szCs w:val="28"/>
          <w:lang w:val="uk-UA"/>
        </w:rPr>
        <w:t xml:space="preserve">лікування </w:t>
      </w:r>
      <w:r w:rsidR="00C17D14" w:rsidRPr="00C17D14">
        <w:rPr>
          <w:rFonts w:ascii="Times New Roman" w:hAnsi="Times New Roman" w:cs="Times New Roman"/>
          <w:sz w:val="28"/>
          <w:szCs w:val="28"/>
          <w:lang w:val="uk-UA"/>
        </w:rPr>
        <w:t>[</w:t>
      </w:r>
      <w:r w:rsidR="0083391B">
        <w:rPr>
          <w:rFonts w:ascii="Times New Roman" w:hAnsi="Times New Roman" w:cs="Times New Roman"/>
          <w:sz w:val="28"/>
          <w:szCs w:val="28"/>
          <w:lang w:val="uk-UA"/>
        </w:rPr>
        <w:t>18</w:t>
      </w:r>
      <w:r w:rsidR="00C17D14" w:rsidRPr="00C17D14">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Антиг</w:t>
      </w:r>
      <w:r>
        <w:rPr>
          <w:rFonts w:ascii="Times New Roman" w:hAnsi="Times New Roman" w:cs="Times New Roman"/>
          <w:sz w:val="28"/>
          <w:szCs w:val="28"/>
          <w:lang w:val="en-US"/>
        </w:rPr>
        <w:t>i</w:t>
      </w:r>
      <w:r w:rsidR="006913A0" w:rsidRPr="006913A0">
        <w:rPr>
          <w:rFonts w:ascii="Times New Roman" w:hAnsi="Times New Roman" w:cs="Times New Roman"/>
          <w:sz w:val="28"/>
          <w:szCs w:val="28"/>
          <w:lang w:val="uk-UA"/>
        </w:rPr>
        <w:t>пер</w:t>
      </w:r>
      <w:r w:rsidR="006913A0">
        <w:rPr>
          <w:rFonts w:ascii="Times New Roman" w:hAnsi="Times New Roman" w:cs="Times New Roman"/>
          <w:sz w:val="28"/>
          <w:szCs w:val="28"/>
          <w:lang w:val="uk-UA"/>
        </w:rPr>
        <w:t>тензивна</w:t>
      </w:r>
      <w:r>
        <w:rPr>
          <w:rFonts w:ascii="Times New Roman" w:hAnsi="Times New Roman" w:cs="Times New Roman"/>
          <w:sz w:val="28"/>
          <w:szCs w:val="28"/>
          <w:lang w:val="uk-UA"/>
        </w:rPr>
        <w:t xml:space="preserve"> терап</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я у </w:t>
      </w:r>
      <w:r w:rsidR="00DE33DD">
        <w:rPr>
          <w:rFonts w:ascii="Times New Roman" w:hAnsi="Times New Roman" w:cs="Times New Roman"/>
          <w:sz w:val="28"/>
          <w:szCs w:val="28"/>
          <w:lang w:val="uk-UA"/>
        </w:rPr>
        <w:t xml:space="preserve">коморбідних хворих </w:t>
      </w:r>
      <w:r w:rsidR="00FC682B">
        <w:rPr>
          <w:rFonts w:ascii="Times New Roman" w:hAnsi="Times New Roman" w:cs="Times New Roman"/>
          <w:sz w:val="28"/>
          <w:szCs w:val="28"/>
          <w:lang w:val="uk-UA"/>
        </w:rPr>
        <w:t>повинна мати</w:t>
      </w:r>
      <w:r>
        <w:rPr>
          <w:rFonts w:ascii="Times New Roman" w:hAnsi="Times New Roman" w:cs="Times New Roman"/>
          <w:sz w:val="28"/>
          <w:szCs w:val="28"/>
          <w:lang w:val="uk-UA"/>
        </w:rPr>
        <w:t xml:space="preserve"> </w:t>
      </w:r>
      <w:r w:rsidR="00FC682B">
        <w:rPr>
          <w:rFonts w:ascii="Times New Roman" w:hAnsi="Times New Roman" w:cs="Times New Roman"/>
          <w:sz w:val="28"/>
          <w:szCs w:val="28"/>
          <w:lang w:val="uk-UA"/>
        </w:rPr>
        <w:t xml:space="preserve">додаткову </w:t>
      </w:r>
      <w:r>
        <w:rPr>
          <w:rFonts w:ascii="Times New Roman" w:hAnsi="Times New Roman" w:cs="Times New Roman"/>
          <w:sz w:val="28"/>
          <w:szCs w:val="28"/>
          <w:lang w:val="uk-UA"/>
        </w:rPr>
        <w:t>органопротекторну д</w:t>
      </w:r>
      <w:r>
        <w:rPr>
          <w:rFonts w:ascii="Times New Roman" w:hAnsi="Times New Roman" w:cs="Times New Roman"/>
          <w:sz w:val="28"/>
          <w:szCs w:val="28"/>
          <w:lang w:val="en-US"/>
        </w:rPr>
        <w:t>i</w:t>
      </w:r>
      <w:r w:rsidR="006913A0" w:rsidRPr="006913A0">
        <w:rPr>
          <w:rFonts w:ascii="Times New Roman" w:hAnsi="Times New Roman" w:cs="Times New Roman"/>
          <w:sz w:val="28"/>
          <w:szCs w:val="28"/>
          <w:lang w:val="uk-UA"/>
        </w:rPr>
        <w:t>ю.</w:t>
      </w:r>
      <w:r w:rsidR="00FC682B">
        <w:rPr>
          <w:rFonts w:ascii="Times New Roman" w:hAnsi="Times New Roman" w:cs="Times New Roman"/>
          <w:sz w:val="28"/>
          <w:szCs w:val="28"/>
          <w:lang w:val="uk-UA"/>
        </w:rPr>
        <w:t xml:space="preserve"> </w:t>
      </w:r>
      <w:r w:rsidR="00DB3114" w:rsidRPr="00DB3114">
        <w:rPr>
          <w:rFonts w:ascii="Times New Roman" w:hAnsi="Times New Roman" w:cs="Times New Roman"/>
          <w:sz w:val="28"/>
          <w:szCs w:val="28"/>
          <w:lang w:val="uk-UA"/>
        </w:rPr>
        <w:t xml:space="preserve">Метою лікування хворих на АГ та супутній </w:t>
      </w:r>
      <w:r w:rsidR="00035A91" w:rsidRPr="00035A91">
        <w:rPr>
          <w:rFonts w:ascii="Times New Roman" w:hAnsi="Times New Roman" w:cs="Times New Roman"/>
          <w:sz w:val="28"/>
          <w:szCs w:val="28"/>
          <w:lang w:val="uk-UA"/>
        </w:rPr>
        <w:t xml:space="preserve">           </w:t>
      </w:r>
      <w:r w:rsidR="00DB3114" w:rsidRPr="00DB3114">
        <w:rPr>
          <w:rFonts w:ascii="Times New Roman" w:hAnsi="Times New Roman" w:cs="Times New Roman"/>
          <w:sz w:val="28"/>
          <w:szCs w:val="28"/>
          <w:lang w:val="uk-UA"/>
        </w:rPr>
        <w:t>ЦД 2-го тип</w:t>
      </w:r>
      <w:r w:rsidR="00DB3114">
        <w:rPr>
          <w:rFonts w:ascii="Times New Roman" w:hAnsi="Times New Roman" w:cs="Times New Roman"/>
          <w:sz w:val="28"/>
          <w:szCs w:val="28"/>
          <w:lang w:val="uk-UA"/>
        </w:rPr>
        <w:t>у є е</w:t>
      </w:r>
      <w:r w:rsidR="0000246E" w:rsidRPr="0000246E">
        <w:rPr>
          <w:rFonts w:ascii="Times New Roman" w:hAnsi="Times New Roman" w:cs="Times New Roman"/>
          <w:sz w:val="28"/>
          <w:szCs w:val="28"/>
          <w:lang w:val="uk-UA"/>
        </w:rPr>
        <w:t>фекти</w:t>
      </w:r>
      <w:r w:rsidR="00FC682B">
        <w:rPr>
          <w:rFonts w:ascii="Times New Roman" w:hAnsi="Times New Roman" w:cs="Times New Roman"/>
          <w:sz w:val="28"/>
          <w:szCs w:val="28"/>
          <w:lang w:val="uk-UA"/>
        </w:rPr>
        <w:t xml:space="preserve">вний контроль </w:t>
      </w:r>
      <w:r w:rsidR="001E27BF">
        <w:rPr>
          <w:rFonts w:ascii="Times New Roman" w:hAnsi="Times New Roman" w:cs="Times New Roman"/>
          <w:sz w:val="28"/>
          <w:szCs w:val="28"/>
          <w:lang w:val="uk-UA"/>
        </w:rPr>
        <w:t>артеріального тиску (</w:t>
      </w:r>
      <w:r w:rsidR="00FC682B">
        <w:rPr>
          <w:rFonts w:ascii="Times New Roman" w:hAnsi="Times New Roman" w:cs="Times New Roman"/>
          <w:sz w:val="28"/>
          <w:szCs w:val="28"/>
          <w:lang w:val="uk-UA"/>
        </w:rPr>
        <w:t>АТ</w:t>
      </w:r>
      <w:r w:rsidR="001E27BF">
        <w:rPr>
          <w:rFonts w:ascii="Times New Roman" w:hAnsi="Times New Roman" w:cs="Times New Roman"/>
          <w:sz w:val="28"/>
          <w:szCs w:val="28"/>
          <w:lang w:val="uk-UA"/>
        </w:rPr>
        <w:t>)</w:t>
      </w:r>
      <w:r w:rsidR="00FC682B">
        <w:rPr>
          <w:rFonts w:ascii="Times New Roman" w:hAnsi="Times New Roman" w:cs="Times New Roman"/>
          <w:sz w:val="28"/>
          <w:szCs w:val="28"/>
          <w:lang w:val="uk-UA"/>
        </w:rPr>
        <w:t xml:space="preserve">, </w:t>
      </w:r>
      <w:r w:rsidR="00B3160D">
        <w:rPr>
          <w:rFonts w:ascii="Times New Roman" w:hAnsi="Times New Roman" w:cs="Times New Roman"/>
          <w:sz w:val="28"/>
          <w:szCs w:val="28"/>
          <w:lang w:val="uk-UA"/>
        </w:rPr>
        <w:t xml:space="preserve">досягнення </w:t>
      </w:r>
      <w:r>
        <w:rPr>
          <w:rFonts w:ascii="Times New Roman" w:hAnsi="Times New Roman" w:cs="Times New Roman"/>
          <w:sz w:val="28"/>
          <w:szCs w:val="28"/>
          <w:lang w:val="uk-UA"/>
        </w:rPr>
        <w:t>повноц</w:t>
      </w:r>
      <w:r>
        <w:rPr>
          <w:rFonts w:ascii="Times New Roman" w:hAnsi="Times New Roman" w:cs="Times New Roman"/>
          <w:sz w:val="28"/>
          <w:szCs w:val="28"/>
          <w:lang w:val="en-US"/>
        </w:rPr>
        <w:t>i</w:t>
      </w:r>
      <w:r w:rsidR="0000246E">
        <w:rPr>
          <w:rFonts w:ascii="Times New Roman" w:hAnsi="Times New Roman" w:cs="Times New Roman"/>
          <w:sz w:val="28"/>
          <w:szCs w:val="28"/>
          <w:lang w:val="uk-UA"/>
        </w:rPr>
        <w:t xml:space="preserve">нного </w:t>
      </w:r>
      <w:r>
        <w:rPr>
          <w:rFonts w:ascii="Times New Roman" w:hAnsi="Times New Roman" w:cs="Times New Roman"/>
          <w:sz w:val="28"/>
          <w:szCs w:val="28"/>
          <w:lang w:val="uk-UA"/>
        </w:rPr>
        <w:t>метабол</w:t>
      </w:r>
      <w:r>
        <w:rPr>
          <w:rFonts w:ascii="Times New Roman" w:hAnsi="Times New Roman" w:cs="Times New Roman"/>
          <w:sz w:val="28"/>
          <w:szCs w:val="28"/>
          <w:lang w:val="en-US"/>
        </w:rPr>
        <w:t>i</w:t>
      </w:r>
      <w:r w:rsidR="0000246E" w:rsidRPr="0000246E">
        <w:rPr>
          <w:rFonts w:ascii="Times New Roman" w:hAnsi="Times New Roman" w:cs="Times New Roman"/>
          <w:sz w:val="28"/>
          <w:szCs w:val="28"/>
          <w:lang w:val="uk-UA"/>
        </w:rPr>
        <w:t>чног</w:t>
      </w:r>
      <w:r w:rsidR="00FC682B">
        <w:rPr>
          <w:rFonts w:ascii="Times New Roman" w:hAnsi="Times New Roman" w:cs="Times New Roman"/>
          <w:sz w:val="28"/>
          <w:szCs w:val="28"/>
          <w:lang w:val="uk-UA"/>
        </w:rPr>
        <w:t xml:space="preserve">о контролю, </w:t>
      </w:r>
      <w:r w:rsidR="0000246E">
        <w:rPr>
          <w:rFonts w:ascii="Times New Roman" w:hAnsi="Times New Roman" w:cs="Times New Roman"/>
          <w:sz w:val="28"/>
          <w:szCs w:val="28"/>
          <w:lang w:val="uk-UA"/>
        </w:rPr>
        <w:t>попередження роз</w:t>
      </w:r>
      <w:r w:rsidR="0000246E" w:rsidRPr="0000246E">
        <w:rPr>
          <w:rFonts w:ascii="Times New Roman" w:hAnsi="Times New Roman" w:cs="Times New Roman"/>
          <w:sz w:val="28"/>
          <w:szCs w:val="28"/>
          <w:lang w:val="uk-UA"/>
        </w:rPr>
        <w:t xml:space="preserve">витку ускладнень </w:t>
      </w:r>
      <w:r>
        <w:rPr>
          <w:rFonts w:ascii="Times New Roman" w:hAnsi="Times New Roman" w:cs="Times New Roman"/>
          <w:sz w:val="28"/>
          <w:szCs w:val="28"/>
          <w:lang w:val="en-US"/>
        </w:rPr>
        <w:t>i</w:t>
      </w:r>
      <w:r>
        <w:rPr>
          <w:rFonts w:ascii="Times New Roman" w:hAnsi="Times New Roman" w:cs="Times New Roman"/>
          <w:sz w:val="28"/>
          <w:szCs w:val="28"/>
          <w:lang w:val="uk-UA"/>
        </w:rPr>
        <w:t>з боку орган</w:t>
      </w:r>
      <w:r>
        <w:rPr>
          <w:rFonts w:ascii="Times New Roman" w:hAnsi="Times New Roman" w:cs="Times New Roman"/>
          <w:sz w:val="28"/>
          <w:szCs w:val="28"/>
          <w:lang w:val="en-US"/>
        </w:rPr>
        <w:t>i</w:t>
      </w:r>
      <w:r>
        <w:rPr>
          <w:rFonts w:ascii="Times New Roman" w:hAnsi="Times New Roman" w:cs="Times New Roman"/>
          <w:sz w:val="28"/>
          <w:szCs w:val="28"/>
          <w:lang w:val="uk-UA"/>
        </w:rPr>
        <w:t>в-м</w:t>
      </w:r>
      <w:r>
        <w:rPr>
          <w:rFonts w:ascii="Times New Roman" w:hAnsi="Times New Roman" w:cs="Times New Roman"/>
          <w:sz w:val="28"/>
          <w:szCs w:val="28"/>
          <w:lang w:val="en-US"/>
        </w:rPr>
        <w:t>i</w:t>
      </w:r>
      <w:r w:rsidR="0000246E" w:rsidRPr="0000246E">
        <w:rPr>
          <w:rFonts w:ascii="Times New Roman" w:hAnsi="Times New Roman" w:cs="Times New Roman"/>
          <w:sz w:val="28"/>
          <w:szCs w:val="28"/>
          <w:lang w:val="uk-UA"/>
        </w:rPr>
        <w:t>шеней</w:t>
      </w:r>
      <w:r w:rsidR="0000246E">
        <w:rPr>
          <w:rFonts w:ascii="Times New Roman" w:hAnsi="Times New Roman" w:cs="Times New Roman"/>
          <w:sz w:val="28"/>
          <w:szCs w:val="28"/>
          <w:lang w:val="uk-UA"/>
        </w:rPr>
        <w:t xml:space="preserve"> </w:t>
      </w:r>
      <w:r w:rsidR="0000246E" w:rsidRPr="0000246E">
        <w:rPr>
          <w:rFonts w:ascii="Times New Roman" w:hAnsi="Times New Roman" w:cs="Times New Roman"/>
          <w:sz w:val="28"/>
          <w:szCs w:val="28"/>
          <w:lang w:val="uk-UA"/>
        </w:rPr>
        <w:t>[</w:t>
      </w:r>
      <w:r w:rsidR="0083391B">
        <w:rPr>
          <w:rFonts w:ascii="Times New Roman" w:hAnsi="Times New Roman" w:cs="Times New Roman"/>
          <w:sz w:val="28"/>
          <w:szCs w:val="28"/>
          <w:lang w:val="uk-UA"/>
        </w:rPr>
        <w:t>19</w:t>
      </w:r>
      <w:r w:rsidR="0000246E" w:rsidRPr="0000246E">
        <w:rPr>
          <w:rFonts w:ascii="Times New Roman" w:hAnsi="Times New Roman" w:cs="Times New Roman"/>
          <w:sz w:val="28"/>
          <w:szCs w:val="28"/>
          <w:lang w:val="uk-UA"/>
        </w:rPr>
        <w:t>].</w:t>
      </w:r>
    </w:p>
    <w:p w:rsidR="00F079DD" w:rsidRPr="002542E3" w:rsidRDefault="00643C8B" w:rsidP="002542E3">
      <w:pPr>
        <w:spacing w:after="0" w:line="360" w:lineRule="auto"/>
        <w:ind w:firstLine="708"/>
        <w:jc w:val="both"/>
        <w:rPr>
          <w:rFonts w:ascii="Times New Roman" w:hAnsi="Times New Roman" w:cs="Times New Roman"/>
          <w:sz w:val="28"/>
          <w:szCs w:val="28"/>
          <w:lang w:val="uk-UA"/>
        </w:rPr>
      </w:pPr>
      <w:r w:rsidRPr="00643C8B">
        <w:rPr>
          <w:rFonts w:ascii="Times New Roman" w:hAnsi="Times New Roman" w:cs="Times New Roman"/>
          <w:sz w:val="28"/>
          <w:szCs w:val="28"/>
          <w:lang w:val="uk-UA"/>
        </w:rPr>
        <w:t>Д</w:t>
      </w:r>
      <w:r w:rsidR="00F13CF8">
        <w:rPr>
          <w:rFonts w:ascii="Times New Roman" w:hAnsi="Times New Roman" w:cs="Times New Roman"/>
          <w:sz w:val="28"/>
          <w:szCs w:val="28"/>
          <w:lang w:val="uk-UA"/>
        </w:rPr>
        <w:t>ане досл</w:t>
      </w:r>
      <w:r w:rsidR="00F13CF8">
        <w:rPr>
          <w:rFonts w:ascii="Times New Roman" w:hAnsi="Times New Roman" w:cs="Times New Roman"/>
          <w:sz w:val="28"/>
          <w:szCs w:val="28"/>
          <w:lang w:val="en-US"/>
        </w:rPr>
        <w:t>i</w:t>
      </w:r>
      <w:r w:rsidR="00BA0B6C">
        <w:rPr>
          <w:rFonts w:ascii="Times New Roman" w:hAnsi="Times New Roman" w:cs="Times New Roman"/>
          <w:sz w:val="28"/>
          <w:szCs w:val="28"/>
          <w:lang w:val="uk-UA"/>
        </w:rPr>
        <w:t xml:space="preserve">дження було проведене </w:t>
      </w:r>
      <w:r w:rsidR="00F13CF8">
        <w:rPr>
          <w:rFonts w:ascii="Times New Roman" w:hAnsi="Times New Roman" w:cs="Times New Roman"/>
          <w:sz w:val="28"/>
          <w:szCs w:val="28"/>
          <w:lang w:val="uk-UA"/>
        </w:rPr>
        <w:t xml:space="preserve">з метою удосконалення </w:t>
      </w:r>
      <w:r w:rsidR="001B2D71">
        <w:rPr>
          <w:rFonts w:ascii="Times New Roman" w:hAnsi="Times New Roman" w:cs="Times New Roman"/>
          <w:sz w:val="28"/>
          <w:szCs w:val="28"/>
          <w:lang w:val="uk-UA"/>
        </w:rPr>
        <w:t xml:space="preserve">діагностики і </w:t>
      </w:r>
      <w:r w:rsidR="00DE33DD">
        <w:rPr>
          <w:rFonts w:ascii="Times New Roman" w:hAnsi="Times New Roman" w:cs="Times New Roman"/>
          <w:sz w:val="28"/>
          <w:szCs w:val="28"/>
          <w:lang w:val="uk-UA"/>
        </w:rPr>
        <w:t xml:space="preserve">лікування </w:t>
      </w:r>
      <w:r w:rsidR="001B2D71">
        <w:rPr>
          <w:rFonts w:ascii="Times New Roman" w:hAnsi="Times New Roman" w:cs="Times New Roman"/>
          <w:sz w:val="28"/>
          <w:szCs w:val="28"/>
          <w:lang w:val="uk-UA"/>
        </w:rPr>
        <w:t xml:space="preserve">хворих на АГ та ЦД 2-го типу </w:t>
      </w:r>
      <w:r w:rsidR="00DE33DD">
        <w:rPr>
          <w:rFonts w:ascii="Times New Roman" w:hAnsi="Times New Roman" w:cs="Times New Roman"/>
          <w:sz w:val="28"/>
          <w:szCs w:val="28"/>
          <w:lang w:val="uk-UA"/>
        </w:rPr>
        <w:t xml:space="preserve">шляхом </w:t>
      </w:r>
      <w:r w:rsidR="00F13CF8">
        <w:rPr>
          <w:rFonts w:ascii="Times New Roman" w:hAnsi="Times New Roman" w:cs="Times New Roman"/>
          <w:sz w:val="28"/>
          <w:szCs w:val="28"/>
          <w:lang w:val="uk-UA"/>
        </w:rPr>
        <w:t>розробки нового персон</w:t>
      </w:r>
      <w:r w:rsidR="00F13CF8">
        <w:rPr>
          <w:rFonts w:ascii="Times New Roman" w:hAnsi="Times New Roman" w:cs="Times New Roman"/>
          <w:sz w:val="28"/>
          <w:szCs w:val="28"/>
          <w:lang w:val="en-US"/>
        </w:rPr>
        <w:t>i</w:t>
      </w:r>
      <w:r w:rsidR="00F13CF8">
        <w:rPr>
          <w:rFonts w:ascii="Times New Roman" w:hAnsi="Times New Roman" w:cs="Times New Roman"/>
          <w:sz w:val="28"/>
          <w:szCs w:val="28"/>
          <w:lang w:val="uk-UA"/>
        </w:rPr>
        <w:t>ф</w:t>
      </w:r>
      <w:r w:rsidR="00F13CF8">
        <w:rPr>
          <w:rFonts w:ascii="Times New Roman" w:hAnsi="Times New Roman" w:cs="Times New Roman"/>
          <w:sz w:val="28"/>
          <w:szCs w:val="28"/>
          <w:lang w:val="en-US"/>
        </w:rPr>
        <w:t>i</w:t>
      </w:r>
      <w:r w:rsidR="00F13CF8">
        <w:rPr>
          <w:rFonts w:ascii="Times New Roman" w:hAnsi="Times New Roman" w:cs="Times New Roman"/>
          <w:sz w:val="28"/>
          <w:szCs w:val="28"/>
          <w:lang w:val="uk-UA"/>
        </w:rPr>
        <w:t>кованого диференц</w:t>
      </w:r>
      <w:r w:rsidR="00F13CF8">
        <w:rPr>
          <w:rFonts w:ascii="Times New Roman" w:hAnsi="Times New Roman" w:cs="Times New Roman"/>
          <w:sz w:val="28"/>
          <w:szCs w:val="28"/>
          <w:lang w:val="en-US"/>
        </w:rPr>
        <w:t>i</w:t>
      </w:r>
      <w:r w:rsidR="00F13CF8">
        <w:rPr>
          <w:rFonts w:ascii="Times New Roman" w:hAnsi="Times New Roman" w:cs="Times New Roman"/>
          <w:sz w:val="28"/>
          <w:szCs w:val="28"/>
          <w:lang w:val="uk-UA"/>
        </w:rPr>
        <w:t>йованого п</w:t>
      </w:r>
      <w:r w:rsidR="00F13CF8">
        <w:rPr>
          <w:rFonts w:ascii="Times New Roman" w:hAnsi="Times New Roman" w:cs="Times New Roman"/>
          <w:sz w:val="28"/>
          <w:szCs w:val="28"/>
          <w:lang w:val="en-US"/>
        </w:rPr>
        <w:t>i</w:t>
      </w:r>
      <w:r w:rsidR="00BA0B6C">
        <w:rPr>
          <w:rFonts w:ascii="Times New Roman" w:hAnsi="Times New Roman" w:cs="Times New Roman"/>
          <w:sz w:val="28"/>
          <w:szCs w:val="28"/>
          <w:lang w:val="uk-UA"/>
        </w:rPr>
        <w:t xml:space="preserve">дходу </w:t>
      </w:r>
      <w:r w:rsidR="00F13CF8">
        <w:rPr>
          <w:rFonts w:ascii="Times New Roman" w:hAnsi="Times New Roman" w:cs="Times New Roman"/>
          <w:sz w:val="28"/>
          <w:szCs w:val="28"/>
          <w:lang w:val="uk-UA"/>
        </w:rPr>
        <w:t>до призначення антиг</w:t>
      </w:r>
      <w:r w:rsidR="00F13CF8">
        <w:rPr>
          <w:rFonts w:ascii="Times New Roman" w:hAnsi="Times New Roman" w:cs="Times New Roman"/>
          <w:sz w:val="28"/>
          <w:szCs w:val="28"/>
          <w:lang w:val="en-US"/>
        </w:rPr>
        <w:t>i</w:t>
      </w:r>
      <w:r w:rsidRPr="00643C8B">
        <w:rPr>
          <w:rFonts w:ascii="Times New Roman" w:hAnsi="Times New Roman" w:cs="Times New Roman"/>
          <w:sz w:val="28"/>
          <w:szCs w:val="28"/>
          <w:lang w:val="uk-UA"/>
        </w:rPr>
        <w:t>пертензивного препарату з доведеними органоп</w:t>
      </w:r>
      <w:r w:rsidR="00F13CF8">
        <w:rPr>
          <w:rFonts w:ascii="Times New Roman" w:hAnsi="Times New Roman" w:cs="Times New Roman"/>
          <w:sz w:val="28"/>
          <w:szCs w:val="28"/>
          <w:lang w:val="uk-UA"/>
        </w:rPr>
        <w:t>ротекторними властивостями</w:t>
      </w:r>
      <w:r w:rsidR="001B2D71">
        <w:rPr>
          <w:rFonts w:ascii="Times New Roman" w:hAnsi="Times New Roman" w:cs="Times New Roman"/>
          <w:sz w:val="28"/>
          <w:szCs w:val="28"/>
          <w:lang w:val="uk-UA"/>
        </w:rPr>
        <w:t xml:space="preserve"> </w:t>
      </w:r>
      <w:r w:rsidR="001B2D71" w:rsidRPr="001B2D71">
        <w:rPr>
          <w:rFonts w:ascii="Times New Roman" w:hAnsi="Times New Roman" w:cs="Times New Roman"/>
          <w:sz w:val="28"/>
          <w:szCs w:val="28"/>
          <w:lang w:val="uk-UA"/>
        </w:rPr>
        <w:t>на підставі комплексного вивчення зв’язку між показниками функціонального стану ендотелію, нирок, серця, маркерами імунного запалення, урикемією, проатерогенною спрямованістю після визначення типів дисліпідемії, вмісту атерогенних та антиатерогенних ліпопротеїдів, о</w:t>
      </w:r>
      <w:r w:rsidR="00435339">
        <w:rPr>
          <w:rFonts w:ascii="Times New Roman" w:hAnsi="Times New Roman" w:cs="Times New Roman"/>
          <w:sz w:val="28"/>
          <w:szCs w:val="28"/>
          <w:lang w:val="uk-UA"/>
        </w:rPr>
        <w:t>цінки геометрії ЛШ</w:t>
      </w:r>
      <w:r w:rsidRPr="00643C8B">
        <w:rPr>
          <w:rFonts w:ascii="Times New Roman" w:hAnsi="Times New Roman" w:cs="Times New Roman"/>
          <w:sz w:val="28"/>
          <w:szCs w:val="28"/>
          <w:lang w:val="uk-UA"/>
        </w:rPr>
        <w:t>.</w:t>
      </w:r>
    </w:p>
    <w:p w:rsidR="00180B5A" w:rsidRDefault="00307280" w:rsidP="00A64856">
      <w:pPr>
        <w:pStyle w:val="a3"/>
        <w:shd w:val="clear" w:color="auto" w:fill="FFFFFF"/>
        <w:spacing w:before="0" w:beforeAutospacing="0" w:after="0" w:afterAutospacing="0" w:line="360" w:lineRule="auto"/>
        <w:ind w:firstLine="708"/>
        <w:jc w:val="both"/>
        <w:rPr>
          <w:b/>
          <w:sz w:val="28"/>
          <w:szCs w:val="28"/>
          <w:lang w:val="uk-UA"/>
        </w:rPr>
      </w:pPr>
      <w:r>
        <w:rPr>
          <w:b/>
          <w:sz w:val="28"/>
          <w:szCs w:val="28"/>
          <w:lang w:val="uk-UA"/>
        </w:rPr>
        <w:t>Звʼ</w:t>
      </w:r>
      <w:r w:rsidR="00A03291" w:rsidRPr="00180B5A">
        <w:rPr>
          <w:b/>
          <w:sz w:val="28"/>
          <w:szCs w:val="28"/>
          <w:lang w:val="uk-UA"/>
        </w:rPr>
        <w:t>язок роботи з науковими програмами, планами, темами</w:t>
      </w:r>
    </w:p>
    <w:p w:rsidR="00307280" w:rsidRPr="006F6CC5" w:rsidRDefault="00D82477" w:rsidP="00A64856">
      <w:pPr>
        <w:pStyle w:val="a3"/>
        <w:shd w:val="clear" w:color="auto" w:fill="FFFFFF"/>
        <w:spacing w:before="0" w:beforeAutospacing="0" w:after="0" w:afterAutospacing="0" w:line="360" w:lineRule="auto"/>
        <w:ind w:firstLine="708"/>
        <w:jc w:val="both"/>
        <w:rPr>
          <w:color w:val="000000"/>
          <w:sz w:val="28"/>
          <w:szCs w:val="28"/>
          <w:lang w:val="uk-UA"/>
        </w:rPr>
      </w:pPr>
      <w:r>
        <w:rPr>
          <w:sz w:val="28"/>
          <w:szCs w:val="28"/>
          <w:lang w:val="uk-UA"/>
        </w:rPr>
        <w:t>Дисертац</w:t>
      </w:r>
      <w:r w:rsidR="006D30E4">
        <w:rPr>
          <w:sz w:val="28"/>
          <w:szCs w:val="28"/>
          <w:lang w:val="en-US"/>
        </w:rPr>
        <w:t>i</w:t>
      </w:r>
      <w:r w:rsidR="00A03291" w:rsidRPr="00180B5A">
        <w:rPr>
          <w:sz w:val="28"/>
          <w:szCs w:val="28"/>
          <w:lang w:val="uk-UA"/>
        </w:rPr>
        <w:t xml:space="preserve">йна робота виконана </w:t>
      </w:r>
      <w:r w:rsidR="00A64856">
        <w:rPr>
          <w:sz w:val="28"/>
          <w:szCs w:val="28"/>
          <w:lang w:val="uk-UA"/>
        </w:rPr>
        <w:t>в рамках науково-до</w:t>
      </w:r>
      <w:r w:rsidR="006D30E4">
        <w:rPr>
          <w:sz w:val="28"/>
          <w:szCs w:val="28"/>
          <w:lang w:val="uk-UA"/>
        </w:rPr>
        <w:t>сл</w:t>
      </w:r>
      <w:r w:rsidR="006D30E4">
        <w:rPr>
          <w:sz w:val="28"/>
          <w:szCs w:val="28"/>
          <w:lang w:val="en-US"/>
        </w:rPr>
        <w:t>i</w:t>
      </w:r>
      <w:r w:rsidR="00A64856">
        <w:rPr>
          <w:sz w:val="28"/>
          <w:szCs w:val="28"/>
          <w:lang w:val="uk-UA"/>
        </w:rPr>
        <w:t xml:space="preserve">дної тематики </w:t>
      </w:r>
      <w:r w:rsidR="006D30E4">
        <w:rPr>
          <w:sz w:val="28"/>
          <w:szCs w:val="28"/>
          <w:lang w:val="uk-UA"/>
        </w:rPr>
        <w:t>кафедри с</w:t>
      </w:r>
      <w:r w:rsidR="006D30E4">
        <w:rPr>
          <w:sz w:val="28"/>
          <w:szCs w:val="28"/>
          <w:lang w:val="en-US"/>
        </w:rPr>
        <w:t>i</w:t>
      </w:r>
      <w:r w:rsidR="00A03291" w:rsidRPr="00A03291">
        <w:rPr>
          <w:sz w:val="28"/>
          <w:szCs w:val="28"/>
          <w:lang w:val="uk-UA"/>
        </w:rPr>
        <w:t>мейної м</w:t>
      </w:r>
      <w:r w:rsidR="006D30E4">
        <w:rPr>
          <w:sz w:val="28"/>
          <w:szCs w:val="28"/>
          <w:lang w:val="uk-UA"/>
        </w:rPr>
        <w:t>едицини Сумського державного ун</w:t>
      </w:r>
      <w:r w:rsidR="006D30E4">
        <w:rPr>
          <w:sz w:val="28"/>
          <w:szCs w:val="28"/>
          <w:lang w:val="en-US"/>
        </w:rPr>
        <w:t>i</w:t>
      </w:r>
      <w:r w:rsidR="00A03291" w:rsidRPr="00A03291">
        <w:rPr>
          <w:sz w:val="28"/>
          <w:szCs w:val="28"/>
          <w:lang w:val="uk-UA"/>
        </w:rPr>
        <w:t>верситету</w:t>
      </w:r>
      <w:r w:rsidR="00F079DD">
        <w:rPr>
          <w:sz w:val="28"/>
          <w:szCs w:val="28"/>
          <w:lang w:val="uk-UA"/>
        </w:rPr>
        <w:t xml:space="preserve"> </w:t>
      </w:r>
      <w:r w:rsidR="00A438FF">
        <w:rPr>
          <w:sz w:val="28"/>
          <w:szCs w:val="28"/>
          <w:lang w:val="en-US"/>
        </w:rPr>
        <w:t>i</w:t>
      </w:r>
      <w:r w:rsidR="00A64856">
        <w:rPr>
          <w:sz w:val="28"/>
          <w:szCs w:val="28"/>
          <w:lang w:val="uk-UA"/>
        </w:rPr>
        <w:t xml:space="preserve"> є фрагментом комплексної НДР «</w:t>
      </w:r>
      <w:r w:rsidR="00F312C1">
        <w:rPr>
          <w:bCs/>
          <w:color w:val="000000"/>
          <w:sz w:val="28"/>
          <w:szCs w:val="28"/>
          <w:lang w:val="uk-UA"/>
        </w:rPr>
        <w:t>Наукове обґрунтування покраща</w:t>
      </w:r>
      <w:r w:rsidR="006D30E4">
        <w:rPr>
          <w:bCs/>
          <w:color w:val="000000"/>
          <w:sz w:val="28"/>
          <w:szCs w:val="28"/>
          <w:lang w:val="uk-UA"/>
        </w:rPr>
        <w:t>ння якост</w:t>
      </w:r>
      <w:r w:rsidR="006D30E4">
        <w:rPr>
          <w:bCs/>
          <w:color w:val="000000"/>
          <w:sz w:val="28"/>
          <w:szCs w:val="28"/>
          <w:lang w:val="en-US"/>
        </w:rPr>
        <w:t>i</w:t>
      </w:r>
      <w:r w:rsidR="00A64856" w:rsidRPr="00A64856">
        <w:rPr>
          <w:bCs/>
          <w:color w:val="000000"/>
          <w:sz w:val="28"/>
          <w:szCs w:val="28"/>
          <w:lang w:val="uk-UA"/>
        </w:rPr>
        <w:t xml:space="preserve"> медичної допомоги</w:t>
      </w:r>
      <w:r w:rsidR="00A64856">
        <w:rPr>
          <w:bCs/>
          <w:color w:val="000000"/>
          <w:sz w:val="28"/>
          <w:szCs w:val="28"/>
          <w:lang w:val="uk-UA"/>
        </w:rPr>
        <w:t xml:space="preserve"> </w:t>
      </w:r>
      <w:r w:rsidR="00D82B7D">
        <w:rPr>
          <w:bCs/>
          <w:color w:val="000000"/>
          <w:sz w:val="28"/>
          <w:szCs w:val="28"/>
          <w:lang w:val="uk-UA"/>
        </w:rPr>
        <w:t>та стану здоров</w:t>
      </w:r>
      <w:r w:rsidR="00D82B7D">
        <w:rPr>
          <w:sz w:val="28"/>
          <w:szCs w:val="28"/>
          <w:lang w:val="uk-UA"/>
        </w:rPr>
        <w:t>’</w:t>
      </w:r>
      <w:r w:rsidR="00D82B7D">
        <w:rPr>
          <w:bCs/>
          <w:color w:val="000000"/>
          <w:sz w:val="28"/>
          <w:szCs w:val="28"/>
          <w:lang w:val="uk-UA"/>
        </w:rPr>
        <w:t>я</w:t>
      </w:r>
      <w:r w:rsidR="00A64856" w:rsidRPr="00A64856">
        <w:rPr>
          <w:bCs/>
          <w:color w:val="000000"/>
          <w:sz w:val="28"/>
          <w:szCs w:val="28"/>
          <w:lang w:val="uk-UA"/>
        </w:rPr>
        <w:t xml:space="preserve"> населення</w:t>
      </w:r>
      <w:r w:rsidR="00A64856">
        <w:rPr>
          <w:bCs/>
          <w:color w:val="000000"/>
          <w:sz w:val="28"/>
          <w:szCs w:val="28"/>
          <w:lang w:val="uk-UA"/>
        </w:rPr>
        <w:t xml:space="preserve">» </w:t>
      </w:r>
      <w:r w:rsidR="00F312C1">
        <w:rPr>
          <w:color w:val="000000"/>
          <w:sz w:val="28"/>
          <w:szCs w:val="28"/>
          <w:lang w:val="uk-UA"/>
        </w:rPr>
        <w:t>(номер</w:t>
      </w:r>
      <w:r w:rsidR="00A64856" w:rsidRPr="00A64856">
        <w:rPr>
          <w:color w:val="000000"/>
          <w:sz w:val="28"/>
          <w:szCs w:val="28"/>
          <w:lang w:val="uk-UA"/>
        </w:rPr>
        <w:t xml:space="preserve"> держреєстрації 0110U007572)</w:t>
      </w:r>
      <w:r w:rsidR="00A64856">
        <w:rPr>
          <w:color w:val="000000"/>
          <w:sz w:val="28"/>
          <w:szCs w:val="28"/>
          <w:lang w:val="uk-UA"/>
        </w:rPr>
        <w:t>.</w:t>
      </w:r>
      <w:r w:rsidR="00643C8B">
        <w:rPr>
          <w:color w:val="000000"/>
          <w:sz w:val="28"/>
          <w:szCs w:val="28"/>
          <w:lang w:val="uk-UA"/>
        </w:rPr>
        <w:t xml:space="preserve"> </w:t>
      </w:r>
    </w:p>
    <w:p w:rsidR="00A64856" w:rsidRDefault="00D82477" w:rsidP="00A64856">
      <w:pPr>
        <w:pStyle w:val="a3"/>
        <w:shd w:val="clear" w:color="auto" w:fill="FFFFFF"/>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Здобувачем </w:t>
      </w:r>
      <w:r w:rsidR="00643C8B" w:rsidRPr="00643C8B">
        <w:rPr>
          <w:color w:val="000000"/>
          <w:sz w:val="28"/>
          <w:szCs w:val="28"/>
          <w:lang w:val="uk-UA"/>
        </w:rPr>
        <w:t>пр</w:t>
      </w:r>
      <w:r w:rsidR="006D30E4">
        <w:rPr>
          <w:color w:val="000000"/>
          <w:sz w:val="28"/>
          <w:szCs w:val="28"/>
          <w:lang w:val="uk-UA"/>
        </w:rPr>
        <w:t xml:space="preserve">оведено </w:t>
      </w:r>
      <w:r w:rsidR="006D30E4">
        <w:rPr>
          <w:color w:val="000000"/>
          <w:sz w:val="28"/>
          <w:szCs w:val="28"/>
          <w:lang w:val="en-US"/>
        </w:rPr>
        <w:t>i</w:t>
      </w:r>
      <w:r w:rsidR="00643C8B" w:rsidRPr="00643C8B">
        <w:rPr>
          <w:color w:val="000000"/>
          <w:sz w:val="28"/>
          <w:szCs w:val="28"/>
          <w:lang w:val="uk-UA"/>
        </w:rPr>
        <w:t>нформ</w:t>
      </w:r>
      <w:r w:rsidR="006D30E4">
        <w:rPr>
          <w:color w:val="000000"/>
          <w:sz w:val="28"/>
          <w:szCs w:val="28"/>
          <w:lang w:val="uk-UA"/>
        </w:rPr>
        <w:t>аційно-патентний пошук, проанал</w:t>
      </w:r>
      <w:r w:rsidR="006D30E4">
        <w:rPr>
          <w:color w:val="000000"/>
          <w:sz w:val="28"/>
          <w:szCs w:val="28"/>
          <w:lang w:val="en-US"/>
        </w:rPr>
        <w:t>i</w:t>
      </w:r>
      <w:r w:rsidR="006D30E4">
        <w:rPr>
          <w:color w:val="000000"/>
          <w:sz w:val="28"/>
          <w:szCs w:val="28"/>
          <w:lang w:val="uk-UA"/>
        </w:rPr>
        <w:t xml:space="preserve">зовано </w:t>
      </w:r>
      <w:r w:rsidR="00C811FF">
        <w:rPr>
          <w:color w:val="000000"/>
          <w:sz w:val="28"/>
          <w:szCs w:val="28"/>
          <w:lang w:val="uk-UA"/>
        </w:rPr>
        <w:t>зарубіж</w:t>
      </w:r>
      <w:r w:rsidR="006D30E4">
        <w:rPr>
          <w:color w:val="000000"/>
          <w:sz w:val="28"/>
          <w:szCs w:val="28"/>
          <w:lang w:val="uk-UA"/>
        </w:rPr>
        <w:t>н</w:t>
      </w:r>
      <w:r w:rsidR="006D30E4">
        <w:rPr>
          <w:color w:val="000000"/>
          <w:sz w:val="28"/>
          <w:szCs w:val="28"/>
          <w:lang w:val="en-US"/>
        </w:rPr>
        <w:t>i</w:t>
      </w:r>
      <w:r w:rsidR="00643C8B" w:rsidRPr="00643C8B">
        <w:rPr>
          <w:color w:val="000000"/>
          <w:sz w:val="28"/>
          <w:szCs w:val="28"/>
          <w:lang w:val="uk-UA"/>
        </w:rPr>
        <w:t xml:space="preserve"> джерела за темою на</w:t>
      </w:r>
      <w:r w:rsidR="006D30E4">
        <w:rPr>
          <w:color w:val="000000"/>
          <w:sz w:val="28"/>
          <w:szCs w:val="28"/>
          <w:lang w:val="uk-UA"/>
        </w:rPr>
        <w:t>укової</w:t>
      </w:r>
      <w:r w:rsidR="00B73BB6">
        <w:rPr>
          <w:color w:val="000000"/>
          <w:sz w:val="28"/>
          <w:szCs w:val="28"/>
          <w:lang w:val="uk-UA"/>
        </w:rPr>
        <w:t xml:space="preserve"> роботи, </w:t>
      </w:r>
      <w:r w:rsidR="00307280" w:rsidRPr="00307280">
        <w:rPr>
          <w:color w:val="000000"/>
          <w:sz w:val="28"/>
          <w:szCs w:val="28"/>
          <w:lang w:val="uk-UA"/>
        </w:rPr>
        <w:t>здійснено динамічне спостереження за пацієнтами з подальшим оцінюванням органопротекторної ді</w:t>
      </w:r>
      <w:r w:rsidR="00307280">
        <w:rPr>
          <w:color w:val="000000"/>
          <w:sz w:val="28"/>
          <w:szCs w:val="28"/>
          <w:lang w:val="uk-UA"/>
        </w:rPr>
        <w:t>ї антигіпертензивних препаратів</w:t>
      </w:r>
      <w:r w:rsidR="00643C8B" w:rsidRPr="00643C8B">
        <w:rPr>
          <w:color w:val="000000"/>
          <w:sz w:val="28"/>
          <w:szCs w:val="28"/>
          <w:lang w:val="uk-UA"/>
        </w:rPr>
        <w:t>.</w:t>
      </w:r>
    </w:p>
    <w:p w:rsidR="000509AF" w:rsidRPr="000509AF" w:rsidRDefault="000509AF" w:rsidP="000509AF">
      <w:pPr>
        <w:spacing w:after="0" w:line="360" w:lineRule="auto"/>
        <w:ind w:firstLine="708"/>
        <w:jc w:val="both"/>
        <w:rPr>
          <w:rFonts w:ascii="Times New Roman" w:hAnsi="Times New Roman" w:cs="Times New Roman"/>
          <w:sz w:val="28"/>
          <w:szCs w:val="28"/>
          <w:lang w:val="uk-UA"/>
        </w:rPr>
      </w:pPr>
      <w:r w:rsidRPr="000509AF">
        <w:rPr>
          <w:rFonts w:ascii="Times New Roman" w:hAnsi="Times New Roman" w:cs="Times New Roman"/>
          <w:b/>
          <w:bCs/>
          <w:sz w:val="28"/>
          <w:szCs w:val="28"/>
          <w:lang w:val="uk-UA"/>
        </w:rPr>
        <w:t>Мета дослідження</w:t>
      </w:r>
      <w:r w:rsidRPr="000509AF">
        <w:rPr>
          <w:rFonts w:ascii="Times New Roman" w:hAnsi="Times New Roman" w:cs="Times New Roman"/>
          <w:b/>
          <w:sz w:val="28"/>
          <w:szCs w:val="28"/>
          <w:lang w:val="uk-UA"/>
        </w:rPr>
        <w:t xml:space="preserve">. </w:t>
      </w:r>
      <w:r w:rsidRPr="000509AF">
        <w:rPr>
          <w:rFonts w:ascii="Times New Roman" w:hAnsi="Times New Roman" w:cs="Times New Roman"/>
          <w:sz w:val="28"/>
          <w:szCs w:val="28"/>
          <w:lang w:val="uk-UA"/>
        </w:rPr>
        <w:t xml:space="preserve">Удосконалення діагностики і лікування пацієнтів </w:t>
      </w:r>
      <w:r w:rsidR="00035A91" w:rsidRPr="00035A91">
        <w:rPr>
          <w:rFonts w:ascii="Times New Roman" w:hAnsi="Times New Roman" w:cs="Times New Roman"/>
          <w:sz w:val="28"/>
          <w:szCs w:val="28"/>
          <w:lang w:val="uk-UA"/>
        </w:rPr>
        <w:t xml:space="preserve">  </w:t>
      </w:r>
      <w:r w:rsidRPr="000509AF">
        <w:rPr>
          <w:rFonts w:ascii="Times New Roman" w:hAnsi="Times New Roman" w:cs="Times New Roman"/>
          <w:sz w:val="28"/>
          <w:szCs w:val="28"/>
          <w:lang w:val="uk-UA"/>
        </w:rPr>
        <w:t xml:space="preserve">із артеріальною гіпертензією та цукровим діабетом 2-го типу на підставі комплексного вивчення зв’язку між показниками функціонального стану ендотелію, нирок, серця, маркерами імунного запалення, урикемією, проатерогенною спрямованістю після визначення типів дисліпідемії, вмісту </w:t>
      </w:r>
      <w:r w:rsidRPr="000509AF">
        <w:rPr>
          <w:rFonts w:ascii="Times New Roman" w:hAnsi="Times New Roman" w:cs="Times New Roman"/>
          <w:sz w:val="28"/>
          <w:szCs w:val="28"/>
          <w:lang w:val="uk-UA"/>
        </w:rPr>
        <w:lastRenderedPageBreak/>
        <w:t xml:space="preserve">атерогенних та антиатерогенних ліпопротеїдів, оцінки геометрії лівого шлуночка.    </w:t>
      </w:r>
    </w:p>
    <w:p w:rsidR="000509AF" w:rsidRPr="000509AF" w:rsidRDefault="000509AF" w:rsidP="000509AF">
      <w:pPr>
        <w:spacing w:after="0" w:line="360" w:lineRule="auto"/>
        <w:ind w:firstLine="708"/>
        <w:jc w:val="both"/>
        <w:rPr>
          <w:rFonts w:ascii="Times New Roman" w:hAnsi="Times New Roman" w:cs="Times New Roman"/>
          <w:b/>
          <w:sz w:val="28"/>
          <w:szCs w:val="28"/>
          <w:lang w:val="uk-UA"/>
        </w:rPr>
      </w:pPr>
      <w:r w:rsidRPr="000509AF">
        <w:rPr>
          <w:rFonts w:ascii="Times New Roman" w:hAnsi="Times New Roman" w:cs="Times New Roman"/>
          <w:b/>
          <w:sz w:val="28"/>
          <w:szCs w:val="28"/>
          <w:lang w:val="uk-UA"/>
        </w:rPr>
        <w:t>Завдання дослідження:</w:t>
      </w:r>
    </w:p>
    <w:p w:rsidR="000509AF" w:rsidRPr="000509AF" w:rsidRDefault="000509AF" w:rsidP="000509AF">
      <w:pPr>
        <w:spacing w:after="0" w:line="360" w:lineRule="auto"/>
        <w:ind w:firstLine="708"/>
        <w:jc w:val="both"/>
        <w:rPr>
          <w:rFonts w:ascii="Times New Roman" w:hAnsi="Times New Roman" w:cs="Times New Roman"/>
          <w:sz w:val="28"/>
          <w:szCs w:val="28"/>
          <w:lang w:val="uk-UA"/>
        </w:rPr>
      </w:pPr>
      <w:r w:rsidRPr="000509AF">
        <w:rPr>
          <w:rFonts w:ascii="Times New Roman" w:hAnsi="Times New Roman" w:cs="Times New Roman"/>
          <w:sz w:val="28"/>
          <w:szCs w:val="28"/>
          <w:lang w:val="uk-UA"/>
        </w:rPr>
        <w:t>1.</w:t>
      </w:r>
      <w:r w:rsidR="00AB6C59" w:rsidRPr="00AB6C59">
        <w:rPr>
          <w:rFonts w:ascii="Times New Roman" w:hAnsi="Times New Roman" w:cs="Times New Roman"/>
          <w:sz w:val="28"/>
          <w:szCs w:val="28"/>
          <w:lang w:val="uk-UA"/>
        </w:rPr>
        <w:t xml:space="preserve"> Оцінити показники ліпідного спектр</w:t>
      </w:r>
      <w:r w:rsidR="00AB6C59" w:rsidRPr="00AB6C59">
        <w:rPr>
          <w:rFonts w:ascii="Times New Roman" w:hAnsi="Times New Roman" w:cs="Times New Roman"/>
          <w:sz w:val="28"/>
          <w:szCs w:val="28"/>
          <w:lang w:val="en-US"/>
        </w:rPr>
        <w:t>a</w:t>
      </w:r>
      <w:r w:rsidR="00AB6C59" w:rsidRPr="00AB6C59">
        <w:rPr>
          <w:rFonts w:ascii="Times New Roman" w:hAnsi="Times New Roman" w:cs="Times New Roman"/>
          <w:sz w:val="28"/>
          <w:szCs w:val="28"/>
          <w:lang w:val="uk-UA"/>
        </w:rPr>
        <w:t xml:space="preserve"> крові та визначити тип дисліпідемії в порівняльному аспекті у хворих на АГ та супутній </w:t>
      </w:r>
      <w:r w:rsidR="00037EB7" w:rsidRPr="00037EB7">
        <w:rPr>
          <w:rFonts w:ascii="Times New Roman" w:hAnsi="Times New Roman" w:cs="Times New Roman"/>
          <w:sz w:val="28"/>
          <w:szCs w:val="28"/>
          <w:lang w:val="uk-UA"/>
        </w:rPr>
        <w:t xml:space="preserve">                </w:t>
      </w:r>
      <w:r w:rsidR="00AB6C59" w:rsidRPr="00AB6C59">
        <w:rPr>
          <w:rFonts w:ascii="Times New Roman" w:hAnsi="Times New Roman" w:cs="Times New Roman"/>
          <w:sz w:val="28"/>
          <w:szCs w:val="28"/>
          <w:lang w:val="uk-UA"/>
        </w:rPr>
        <w:t xml:space="preserve">ЦД 2-го типу і </w:t>
      </w:r>
      <w:r w:rsidR="00567B63">
        <w:rPr>
          <w:rFonts w:ascii="Times New Roman" w:hAnsi="Times New Roman" w:cs="Times New Roman"/>
          <w:sz w:val="28"/>
          <w:szCs w:val="28"/>
          <w:lang w:val="uk-UA"/>
        </w:rPr>
        <w:t xml:space="preserve">у </w:t>
      </w:r>
      <w:r w:rsidR="00AB6C59" w:rsidRPr="00AB6C59">
        <w:rPr>
          <w:rFonts w:ascii="Times New Roman" w:hAnsi="Times New Roman" w:cs="Times New Roman"/>
          <w:sz w:val="28"/>
          <w:szCs w:val="28"/>
          <w:lang w:val="uk-UA"/>
        </w:rPr>
        <w:t>пацієнтів із АГ</w:t>
      </w:r>
      <w:r w:rsidRPr="000509AF">
        <w:rPr>
          <w:rFonts w:ascii="Times New Roman" w:hAnsi="Times New Roman" w:cs="Times New Roman"/>
          <w:sz w:val="28"/>
          <w:szCs w:val="28"/>
          <w:lang w:val="uk-UA"/>
        </w:rPr>
        <w:t>.</w:t>
      </w:r>
    </w:p>
    <w:p w:rsidR="000509AF" w:rsidRPr="000509AF" w:rsidRDefault="000509AF" w:rsidP="000509AF">
      <w:pPr>
        <w:spacing w:after="0" w:line="360" w:lineRule="auto"/>
        <w:ind w:firstLine="708"/>
        <w:jc w:val="both"/>
        <w:rPr>
          <w:rFonts w:ascii="Times New Roman" w:hAnsi="Times New Roman" w:cs="Times New Roman"/>
          <w:sz w:val="28"/>
          <w:szCs w:val="28"/>
          <w:lang w:val="uk-UA"/>
        </w:rPr>
      </w:pPr>
      <w:r w:rsidRPr="000509AF">
        <w:rPr>
          <w:rFonts w:ascii="Times New Roman" w:hAnsi="Times New Roman" w:cs="Times New Roman"/>
          <w:sz w:val="28"/>
          <w:szCs w:val="28"/>
          <w:lang w:val="uk-UA"/>
        </w:rPr>
        <w:t>2. Проаналізувати зв’язок між стадіями ЦД 2-го типу та показниками ліпідного профілю у хворих на АГ та ЦД 2-го типу.</w:t>
      </w:r>
    </w:p>
    <w:p w:rsidR="000509AF" w:rsidRPr="000509AF" w:rsidRDefault="000509AF" w:rsidP="000509AF">
      <w:pPr>
        <w:spacing w:after="0" w:line="360" w:lineRule="auto"/>
        <w:ind w:firstLine="708"/>
        <w:jc w:val="both"/>
        <w:rPr>
          <w:rFonts w:ascii="Times New Roman" w:hAnsi="Times New Roman" w:cs="Times New Roman"/>
          <w:sz w:val="28"/>
          <w:szCs w:val="28"/>
          <w:lang w:val="uk-UA"/>
        </w:rPr>
      </w:pPr>
      <w:r w:rsidRPr="000509AF">
        <w:rPr>
          <w:rFonts w:ascii="Times New Roman" w:hAnsi="Times New Roman" w:cs="Times New Roman"/>
          <w:sz w:val="28"/>
          <w:szCs w:val="28"/>
          <w:lang w:val="uk-UA"/>
        </w:rPr>
        <w:t>3. Дослідити в порівняльному аспекті вплив функціонального стану ендотелію та імунного запалення на вираженість проатерогенної спрямованості шляхом аналізу зв’язку між коефіцієнтом атерогенності (КА) та концентрацією розчинної форми молекули адгезії судинного ендотелію    1-го типу (sVCAM-1) у пацієнтів із АГ і коморбідним ЦД 2-го типу та            у хворих на АГ.</w:t>
      </w:r>
    </w:p>
    <w:p w:rsidR="000509AF" w:rsidRPr="000509AF" w:rsidRDefault="000509AF" w:rsidP="000509AF">
      <w:pPr>
        <w:spacing w:after="0" w:line="360" w:lineRule="auto"/>
        <w:ind w:firstLine="708"/>
        <w:jc w:val="both"/>
        <w:rPr>
          <w:rFonts w:ascii="Times New Roman" w:hAnsi="Times New Roman" w:cs="Times New Roman"/>
          <w:sz w:val="28"/>
          <w:szCs w:val="28"/>
          <w:lang w:val="uk-UA"/>
        </w:rPr>
      </w:pPr>
      <w:r w:rsidRPr="000509AF">
        <w:rPr>
          <w:rFonts w:ascii="Times New Roman" w:hAnsi="Times New Roman" w:cs="Times New Roman"/>
          <w:sz w:val="28"/>
          <w:szCs w:val="28"/>
          <w:lang w:val="uk-UA"/>
        </w:rPr>
        <w:t xml:space="preserve">4. Надати оцінку зв’язків між маркерами функціонального стану нирок та вмістом ендотеліну-1 (ЕТ-1), концентрацією sVCAM-1, урикемією </w:t>
      </w:r>
      <w:r w:rsidR="00037EB7" w:rsidRPr="00037EB7">
        <w:rPr>
          <w:rFonts w:ascii="Times New Roman" w:hAnsi="Times New Roman" w:cs="Times New Roman"/>
          <w:sz w:val="28"/>
          <w:szCs w:val="28"/>
          <w:lang w:val="uk-UA"/>
        </w:rPr>
        <w:t xml:space="preserve">            </w:t>
      </w:r>
      <w:r w:rsidRPr="000509AF">
        <w:rPr>
          <w:rFonts w:ascii="Times New Roman" w:hAnsi="Times New Roman" w:cs="Times New Roman"/>
          <w:sz w:val="28"/>
          <w:szCs w:val="28"/>
          <w:lang w:val="uk-UA"/>
        </w:rPr>
        <w:t>у пацієнтів із АГ та ЦД 2-го типу.</w:t>
      </w:r>
    </w:p>
    <w:p w:rsidR="000509AF" w:rsidRPr="000509AF" w:rsidRDefault="000509AF" w:rsidP="000509AF">
      <w:pPr>
        <w:spacing w:after="0" w:line="360" w:lineRule="auto"/>
        <w:ind w:firstLine="708"/>
        <w:jc w:val="both"/>
        <w:rPr>
          <w:rFonts w:ascii="Times New Roman" w:hAnsi="Times New Roman" w:cs="Times New Roman"/>
          <w:sz w:val="28"/>
          <w:szCs w:val="28"/>
          <w:lang w:val="uk-UA"/>
        </w:rPr>
      </w:pPr>
      <w:r w:rsidRPr="000509AF">
        <w:rPr>
          <w:rFonts w:ascii="Times New Roman" w:hAnsi="Times New Roman" w:cs="Times New Roman"/>
          <w:sz w:val="28"/>
          <w:szCs w:val="28"/>
          <w:lang w:val="uk-UA"/>
        </w:rPr>
        <w:t>5. Визначити особливості серцевої недостатності (СН),</w:t>
      </w:r>
      <w:r w:rsidR="005A149B">
        <w:rPr>
          <w:rFonts w:ascii="Times New Roman" w:hAnsi="Times New Roman" w:cs="Times New Roman"/>
          <w:sz w:val="28"/>
          <w:szCs w:val="28"/>
          <w:lang w:val="uk-UA"/>
        </w:rPr>
        <w:t xml:space="preserve"> тип геометрії ЛШ</w:t>
      </w:r>
      <w:r w:rsidRPr="000509AF">
        <w:rPr>
          <w:rFonts w:ascii="Times New Roman" w:hAnsi="Times New Roman" w:cs="Times New Roman"/>
          <w:sz w:val="28"/>
          <w:szCs w:val="28"/>
          <w:lang w:val="uk-UA"/>
        </w:rPr>
        <w:t xml:space="preserve"> та характер зв’язків між структурно-функціональними характеристиками міокарда, показниками стану ендотелію та імунного запалення </w:t>
      </w:r>
      <w:r w:rsidR="00B01A4A" w:rsidRPr="00B01A4A">
        <w:rPr>
          <w:rFonts w:ascii="Times New Roman" w:hAnsi="Times New Roman" w:cs="Times New Roman"/>
          <w:sz w:val="28"/>
          <w:szCs w:val="28"/>
          <w:lang w:val="uk-UA"/>
        </w:rPr>
        <w:t xml:space="preserve">                        </w:t>
      </w:r>
      <w:r w:rsidRPr="000509AF">
        <w:rPr>
          <w:rFonts w:ascii="Times New Roman" w:hAnsi="Times New Roman" w:cs="Times New Roman"/>
          <w:sz w:val="28"/>
          <w:szCs w:val="28"/>
          <w:lang w:val="uk-UA"/>
        </w:rPr>
        <w:t xml:space="preserve">в порівняльному аспекті у хворих на АГ та ЦД 2-го типу і </w:t>
      </w:r>
      <w:r w:rsidR="005A149B">
        <w:rPr>
          <w:rFonts w:ascii="Times New Roman" w:hAnsi="Times New Roman" w:cs="Times New Roman"/>
          <w:sz w:val="28"/>
          <w:szCs w:val="28"/>
          <w:lang w:val="uk-UA"/>
        </w:rPr>
        <w:t xml:space="preserve">у </w:t>
      </w:r>
      <w:r w:rsidRPr="000509AF">
        <w:rPr>
          <w:rFonts w:ascii="Times New Roman" w:hAnsi="Times New Roman" w:cs="Times New Roman"/>
          <w:sz w:val="28"/>
          <w:szCs w:val="28"/>
          <w:lang w:val="uk-UA"/>
        </w:rPr>
        <w:t>пацієнтів із АГ.</w:t>
      </w:r>
    </w:p>
    <w:p w:rsidR="000509AF" w:rsidRPr="000509AF" w:rsidRDefault="000509AF" w:rsidP="000509AF">
      <w:pPr>
        <w:spacing w:after="0" w:line="360" w:lineRule="auto"/>
        <w:ind w:firstLine="708"/>
        <w:jc w:val="both"/>
        <w:rPr>
          <w:rFonts w:ascii="Times New Roman" w:hAnsi="Times New Roman" w:cs="Times New Roman"/>
          <w:sz w:val="28"/>
          <w:szCs w:val="28"/>
        </w:rPr>
      </w:pPr>
      <w:r w:rsidRPr="000509AF">
        <w:rPr>
          <w:rFonts w:ascii="Times New Roman" w:hAnsi="Times New Roman" w:cs="Times New Roman"/>
          <w:sz w:val="28"/>
          <w:szCs w:val="28"/>
          <w:lang w:val="uk-UA"/>
        </w:rPr>
        <w:t xml:space="preserve">6. Розробити та обґрунтувати диференційований підхід до призначення оптимального антигіпертензивного препарату залежно від вмісту ЕТ-1 </w:t>
      </w:r>
      <w:r w:rsidRPr="000509AF">
        <w:rPr>
          <w:rFonts w:ascii="Times New Roman" w:hAnsi="Times New Roman" w:cs="Times New Roman"/>
          <w:sz w:val="28"/>
          <w:szCs w:val="28"/>
        </w:rPr>
        <w:t xml:space="preserve">          </w:t>
      </w:r>
      <w:r w:rsidRPr="000509AF">
        <w:rPr>
          <w:rFonts w:ascii="Times New Roman" w:hAnsi="Times New Roman" w:cs="Times New Roman"/>
          <w:sz w:val="28"/>
          <w:szCs w:val="28"/>
          <w:lang w:val="uk-UA"/>
        </w:rPr>
        <w:t>у хворих на АГ та ЦД 2-го типу.</w:t>
      </w:r>
    </w:p>
    <w:p w:rsidR="00A03291" w:rsidRPr="00A03291" w:rsidRDefault="00140B24" w:rsidP="00093365">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Обʼ</w:t>
      </w:r>
      <w:r w:rsidR="00A03291" w:rsidRPr="00A03291">
        <w:rPr>
          <w:rFonts w:ascii="Times New Roman" w:hAnsi="Times New Roman" w:cs="Times New Roman"/>
          <w:b/>
          <w:sz w:val="28"/>
          <w:szCs w:val="28"/>
          <w:lang w:val="uk-UA"/>
        </w:rPr>
        <w:t xml:space="preserve">єкт дослідження </w:t>
      </w:r>
      <w:r w:rsidR="00A03291" w:rsidRPr="00A03291">
        <w:rPr>
          <w:rFonts w:ascii="Times New Roman" w:hAnsi="Times New Roman" w:cs="Times New Roman"/>
          <w:sz w:val="28"/>
          <w:szCs w:val="28"/>
          <w:lang w:val="uk-UA"/>
        </w:rPr>
        <w:t>–</w:t>
      </w:r>
      <w:r w:rsidR="00C22488">
        <w:rPr>
          <w:rFonts w:ascii="Times New Roman" w:hAnsi="Times New Roman" w:cs="Times New Roman"/>
          <w:sz w:val="28"/>
          <w:szCs w:val="28"/>
          <w:lang w:val="uk-UA"/>
        </w:rPr>
        <w:t xml:space="preserve"> </w:t>
      </w:r>
      <w:r w:rsidR="00D66B4C">
        <w:rPr>
          <w:rFonts w:ascii="Times New Roman" w:hAnsi="Times New Roman" w:cs="Times New Roman"/>
          <w:sz w:val="28"/>
          <w:szCs w:val="28"/>
          <w:lang w:val="uk-UA"/>
        </w:rPr>
        <w:t xml:space="preserve">АГ та </w:t>
      </w:r>
      <w:r w:rsidR="009702CB">
        <w:rPr>
          <w:rFonts w:ascii="Times New Roman" w:hAnsi="Times New Roman" w:cs="Times New Roman"/>
          <w:sz w:val="28"/>
          <w:szCs w:val="28"/>
          <w:lang w:val="uk-UA"/>
        </w:rPr>
        <w:t>ЦД</w:t>
      </w:r>
      <w:r w:rsidR="00A03291" w:rsidRPr="00A03291">
        <w:rPr>
          <w:rFonts w:ascii="Times New Roman" w:hAnsi="Times New Roman" w:cs="Times New Roman"/>
          <w:sz w:val="28"/>
          <w:szCs w:val="28"/>
          <w:lang w:val="uk-UA"/>
        </w:rPr>
        <w:t xml:space="preserve"> 2</w:t>
      </w:r>
      <w:r w:rsidR="00D66B4C">
        <w:rPr>
          <w:rFonts w:ascii="Times New Roman" w:hAnsi="Times New Roman" w:cs="Times New Roman"/>
          <w:sz w:val="28"/>
          <w:szCs w:val="28"/>
          <w:lang w:val="uk-UA"/>
        </w:rPr>
        <w:t>-го типу</w:t>
      </w:r>
      <w:r w:rsidR="00A03291" w:rsidRPr="00A03291">
        <w:rPr>
          <w:rFonts w:ascii="Times New Roman" w:hAnsi="Times New Roman" w:cs="Times New Roman"/>
          <w:sz w:val="28"/>
          <w:szCs w:val="28"/>
          <w:lang w:val="uk-UA"/>
        </w:rPr>
        <w:t>.</w:t>
      </w:r>
    </w:p>
    <w:p w:rsidR="00587A7C" w:rsidRDefault="00A03291" w:rsidP="00093365">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b/>
          <w:sz w:val="28"/>
          <w:szCs w:val="28"/>
          <w:lang w:val="uk-UA"/>
        </w:rPr>
        <w:t>Предмет дослідження</w:t>
      </w:r>
      <w:r w:rsidRPr="00A03291">
        <w:rPr>
          <w:rFonts w:ascii="Times New Roman" w:hAnsi="Times New Roman" w:cs="Times New Roman"/>
          <w:sz w:val="28"/>
          <w:szCs w:val="28"/>
          <w:lang w:val="uk-UA"/>
        </w:rPr>
        <w:t xml:space="preserve"> – </w:t>
      </w:r>
      <w:r w:rsidR="000509AF" w:rsidRPr="000509AF">
        <w:rPr>
          <w:rFonts w:ascii="Times New Roman" w:hAnsi="Times New Roman" w:cs="Times New Roman"/>
          <w:sz w:val="28"/>
          <w:szCs w:val="28"/>
          <w:lang w:val="uk-UA"/>
        </w:rPr>
        <w:t>показники ліпідного спектра крові, функціонального стану нирок, ендотелію, імунозапальних реакцій, структурно-функціональні показники міокарда, урикемія.</w:t>
      </w:r>
    </w:p>
    <w:p w:rsidR="00FD4469" w:rsidRDefault="00A03291" w:rsidP="00FD4469">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b/>
          <w:sz w:val="28"/>
          <w:szCs w:val="28"/>
          <w:lang w:val="uk-UA"/>
        </w:rPr>
        <w:t xml:space="preserve">Методи дослідження: </w:t>
      </w:r>
      <w:r w:rsidR="00D82477" w:rsidRPr="003A7804">
        <w:rPr>
          <w:rFonts w:ascii="Times New Roman" w:hAnsi="Times New Roman" w:cs="Times New Roman"/>
          <w:sz w:val="28"/>
          <w:szCs w:val="28"/>
          <w:lang w:val="uk-UA"/>
        </w:rPr>
        <w:t>кл</w:t>
      </w:r>
      <w:r w:rsidR="00182857" w:rsidRPr="003A7804">
        <w:rPr>
          <w:rFonts w:ascii="Times New Roman" w:hAnsi="Times New Roman" w:cs="Times New Roman"/>
          <w:sz w:val="28"/>
          <w:szCs w:val="28"/>
          <w:lang w:val="en-US"/>
        </w:rPr>
        <w:t>i</w:t>
      </w:r>
      <w:r w:rsidR="00182857" w:rsidRPr="003A7804">
        <w:rPr>
          <w:rFonts w:ascii="Times New Roman" w:hAnsi="Times New Roman" w:cs="Times New Roman"/>
          <w:sz w:val="28"/>
          <w:szCs w:val="28"/>
          <w:lang w:val="uk-UA"/>
        </w:rPr>
        <w:t>н</w:t>
      </w:r>
      <w:r w:rsidR="00182857" w:rsidRPr="003A7804">
        <w:rPr>
          <w:rFonts w:ascii="Times New Roman" w:hAnsi="Times New Roman" w:cs="Times New Roman"/>
          <w:sz w:val="28"/>
          <w:szCs w:val="28"/>
          <w:lang w:val="en-US"/>
        </w:rPr>
        <w:t>i</w:t>
      </w:r>
      <w:r w:rsidR="003A7804" w:rsidRPr="003A7804">
        <w:rPr>
          <w:rFonts w:ascii="Times New Roman" w:hAnsi="Times New Roman" w:cs="Times New Roman"/>
          <w:sz w:val="28"/>
          <w:szCs w:val="28"/>
          <w:lang w:val="uk-UA"/>
        </w:rPr>
        <w:t xml:space="preserve">чні, </w:t>
      </w:r>
      <w:r w:rsidRPr="003A7804">
        <w:rPr>
          <w:rFonts w:ascii="Times New Roman" w:hAnsi="Times New Roman" w:cs="Times New Roman"/>
          <w:sz w:val="28"/>
          <w:szCs w:val="28"/>
          <w:lang w:val="uk-UA"/>
        </w:rPr>
        <w:t>антр</w:t>
      </w:r>
      <w:r w:rsidR="00182857" w:rsidRPr="003A7804">
        <w:rPr>
          <w:rFonts w:ascii="Times New Roman" w:hAnsi="Times New Roman" w:cs="Times New Roman"/>
          <w:sz w:val="28"/>
          <w:szCs w:val="28"/>
          <w:lang w:val="uk-UA"/>
        </w:rPr>
        <w:t>опометричн</w:t>
      </w:r>
      <w:r w:rsidR="00182857" w:rsidRPr="003A7804">
        <w:rPr>
          <w:rFonts w:ascii="Times New Roman" w:hAnsi="Times New Roman" w:cs="Times New Roman"/>
          <w:sz w:val="28"/>
          <w:szCs w:val="28"/>
          <w:lang w:val="en-US"/>
        </w:rPr>
        <w:t>i</w:t>
      </w:r>
      <w:r w:rsidR="003A7804">
        <w:rPr>
          <w:rFonts w:ascii="Times New Roman" w:hAnsi="Times New Roman" w:cs="Times New Roman"/>
          <w:sz w:val="28"/>
          <w:szCs w:val="28"/>
          <w:lang w:val="uk-UA"/>
        </w:rPr>
        <w:t xml:space="preserve">, біохімічні, </w:t>
      </w:r>
      <w:r w:rsidR="003A7804" w:rsidRPr="003A7804">
        <w:rPr>
          <w:rFonts w:ascii="Times New Roman" w:hAnsi="Times New Roman" w:cs="Times New Roman"/>
          <w:sz w:val="28"/>
          <w:szCs w:val="28"/>
          <w:lang w:val="uk-UA"/>
        </w:rPr>
        <w:t xml:space="preserve">імуноферментні, </w:t>
      </w:r>
      <w:r w:rsidR="00182857" w:rsidRPr="003A7804">
        <w:rPr>
          <w:rFonts w:ascii="Times New Roman" w:hAnsi="Times New Roman" w:cs="Times New Roman"/>
          <w:sz w:val="28"/>
          <w:szCs w:val="28"/>
          <w:lang w:val="en-US"/>
        </w:rPr>
        <w:t>i</w:t>
      </w:r>
      <w:r w:rsidRPr="003A7804">
        <w:rPr>
          <w:rFonts w:ascii="Times New Roman" w:hAnsi="Times New Roman" w:cs="Times New Roman"/>
          <w:sz w:val="28"/>
          <w:szCs w:val="28"/>
          <w:lang w:val="uk-UA"/>
        </w:rPr>
        <w:t>нструмент</w:t>
      </w:r>
      <w:r w:rsidR="00182857" w:rsidRPr="003A7804">
        <w:rPr>
          <w:rFonts w:ascii="Times New Roman" w:hAnsi="Times New Roman" w:cs="Times New Roman"/>
          <w:sz w:val="28"/>
          <w:szCs w:val="28"/>
          <w:lang w:val="uk-UA"/>
        </w:rPr>
        <w:t>альн</w:t>
      </w:r>
      <w:r w:rsidR="00182857" w:rsidRPr="003A7804">
        <w:rPr>
          <w:rFonts w:ascii="Times New Roman" w:hAnsi="Times New Roman" w:cs="Times New Roman"/>
          <w:sz w:val="28"/>
          <w:szCs w:val="28"/>
          <w:lang w:val="en-US"/>
        </w:rPr>
        <w:t>i</w:t>
      </w:r>
      <w:r w:rsidR="003A7804">
        <w:rPr>
          <w:rFonts w:ascii="Times New Roman" w:hAnsi="Times New Roman" w:cs="Times New Roman"/>
          <w:sz w:val="28"/>
          <w:szCs w:val="28"/>
          <w:lang w:val="uk-UA"/>
        </w:rPr>
        <w:t xml:space="preserve">, </w:t>
      </w:r>
      <w:r w:rsidR="00182857" w:rsidRPr="003A7804">
        <w:rPr>
          <w:rFonts w:ascii="Times New Roman" w:hAnsi="Times New Roman" w:cs="Times New Roman"/>
          <w:sz w:val="28"/>
          <w:szCs w:val="28"/>
          <w:lang w:val="uk-UA"/>
        </w:rPr>
        <w:t>статистичн</w:t>
      </w:r>
      <w:r w:rsidR="00182857" w:rsidRPr="003A7804">
        <w:rPr>
          <w:rFonts w:ascii="Times New Roman" w:hAnsi="Times New Roman" w:cs="Times New Roman"/>
          <w:sz w:val="28"/>
          <w:szCs w:val="28"/>
          <w:lang w:val="en-US"/>
        </w:rPr>
        <w:t>i</w:t>
      </w:r>
      <w:r w:rsidR="00587A7C" w:rsidRPr="003A7804">
        <w:rPr>
          <w:rFonts w:ascii="Times New Roman" w:hAnsi="Times New Roman" w:cs="Times New Roman"/>
          <w:sz w:val="28"/>
          <w:szCs w:val="28"/>
          <w:lang w:val="uk-UA"/>
        </w:rPr>
        <w:t>.</w:t>
      </w:r>
    </w:p>
    <w:p w:rsidR="0036399C" w:rsidRPr="0036399C" w:rsidRDefault="00A03291" w:rsidP="00FD4469">
      <w:pPr>
        <w:spacing w:after="0" w:line="360" w:lineRule="auto"/>
        <w:ind w:firstLine="708"/>
        <w:jc w:val="both"/>
        <w:rPr>
          <w:rFonts w:ascii="Times New Roman" w:hAnsi="Times New Roman" w:cs="Times New Roman"/>
          <w:b/>
          <w:sz w:val="28"/>
          <w:szCs w:val="28"/>
          <w:lang w:val="uk-UA"/>
        </w:rPr>
      </w:pPr>
      <w:r w:rsidRPr="00A650E1">
        <w:rPr>
          <w:rFonts w:ascii="Times New Roman" w:hAnsi="Times New Roman" w:cs="Times New Roman"/>
          <w:b/>
          <w:sz w:val="28"/>
          <w:szCs w:val="28"/>
          <w:lang w:val="uk-UA"/>
        </w:rPr>
        <w:lastRenderedPageBreak/>
        <w:t xml:space="preserve">Наукова </w:t>
      </w:r>
      <w:r w:rsidR="00071DCA">
        <w:rPr>
          <w:rFonts w:ascii="Times New Roman" w:hAnsi="Times New Roman" w:cs="Times New Roman"/>
          <w:b/>
          <w:sz w:val="28"/>
          <w:szCs w:val="28"/>
          <w:lang w:val="uk-UA"/>
        </w:rPr>
        <w:t xml:space="preserve">новизна одержаних </w:t>
      </w:r>
      <w:r w:rsidR="0036399C">
        <w:rPr>
          <w:rFonts w:ascii="Times New Roman" w:hAnsi="Times New Roman" w:cs="Times New Roman"/>
          <w:b/>
          <w:sz w:val="28"/>
          <w:szCs w:val="28"/>
          <w:lang w:val="uk-UA"/>
        </w:rPr>
        <w:t>результатів</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На підставі вивчення особливостей дисліпідемії при коморбідній патології доведено, що для пацієнтів із АГ та супутнім ЦД 2-го типу характерним є комбінований тип дисліпідемії, який свідчить про більшу проатерогенну спрямованість порівняно з хворими на АГ.</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У пацієнтів із АГ та ЦД 2-го типу обґрунтовано доцільність обчислення співвідношення альбуміну до креатиніну в сечі для одержання більш точного результату стосовно вираженості порушення функціонального стану нирок порівняно з підрахунком однієї лише альбумінурії.</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 xml:space="preserve">Виявлено вагому роль ендотелію в розвитку порушення функціонального стану нирок, підтвердженням цього є зростання вмісту    ЕТ-1 зі збільшенням альбумінурії та глікозильованого гемоглобіну (HbA1с). </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Визначено особливості геометрії ЛШ у коморбідних хворих. Установлено збільшення відсотка пацієнтів із концентричною та ексцентричною гіпертрофією ЛШ при АГ та супутньому ЦД 2-го типу порівняно з АГ.</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 xml:space="preserve">Доведена роль порушення функціонального стану ендотелію </w:t>
      </w:r>
      <w:r w:rsidRPr="0036399C">
        <w:rPr>
          <w:rFonts w:ascii="Times New Roman" w:hAnsi="Times New Roman" w:cs="Times New Roman"/>
          <w:sz w:val="28"/>
          <w:szCs w:val="28"/>
        </w:rPr>
        <w:t xml:space="preserve">                  </w:t>
      </w:r>
      <w:r w:rsidRPr="0036399C">
        <w:rPr>
          <w:rFonts w:ascii="Times New Roman" w:hAnsi="Times New Roman" w:cs="Times New Roman"/>
          <w:sz w:val="28"/>
          <w:szCs w:val="28"/>
          <w:lang w:val="uk-UA"/>
        </w:rPr>
        <w:t>у прогресуванні хронічної СН (ХСН). Обґрунтовано доцільність визначення концентрації sVCAM-1 в якості маркера функції ендотелію та імунозапального статусу пацієнтів із АГ та супутнім ЦД 2-го типу.</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 xml:space="preserve">Виявлено значення імунозапальних механізмів у порушенні кардіоваскулярної функції за наявності АГ та ЦД 2-го типу, що підтверджено  зростанням вмісту </w:t>
      </w:r>
      <w:r w:rsidR="00AC1C92">
        <w:rPr>
          <w:rFonts w:ascii="Times New Roman" w:hAnsi="Times New Roman" w:cs="Times New Roman"/>
          <w:sz w:val="28"/>
          <w:szCs w:val="28"/>
          <w:lang w:val="uk-UA"/>
        </w:rPr>
        <w:t xml:space="preserve">ФНП-α </w:t>
      </w:r>
      <w:r w:rsidRPr="0036399C">
        <w:rPr>
          <w:rFonts w:ascii="Times New Roman" w:hAnsi="Times New Roman" w:cs="Times New Roman"/>
          <w:sz w:val="28"/>
          <w:szCs w:val="28"/>
          <w:lang w:val="uk-UA"/>
        </w:rPr>
        <w:t>із погіршен</w:t>
      </w:r>
      <w:r w:rsidR="00AC1C92">
        <w:rPr>
          <w:rFonts w:ascii="Times New Roman" w:hAnsi="Times New Roman" w:cs="Times New Roman"/>
          <w:sz w:val="28"/>
          <w:szCs w:val="28"/>
          <w:lang w:val="uk-UA"/>
        </w:rPr>
        <w:t>ням функції</w:t>
      </w:r>
      <w:r w:rsidRPr="0036399C">
        <w:rPr>
          <w:rFonts w:ascii="Times New Roman" w:hAnsi="Times New Roman" w:cs="Times New Roman"/>
          <w:sz w:val="28"/>
          <w:szCs w:val="28"/>
          <w:lang w:val="uk-UA"/>
        </w:rPr>
        <w:t xml:space="preserve"> ЛШ у пацієнтів із АГ та ЦД 2-го типу.</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Для розрахунку</w:t>
      </w:r>
      <w:r w:rsidR="00AC1C92">
        <w:rPr>
          <w:rFonts w:ascii="Times New Roman" w:hAnsi="Times New Roman" w:cs="Times New Roman"/>
          <w:sz w:val="28"/>
          <w:szCs w:val="28"/>
          <w:lang w:val="uk-UA"/>
        </w:rPr>
        <w:t xml:space="preserve"> індексу маси міокарда ЛШ</w:t>
      </w:r>
      <w:r w:rsidRPr="0036399C">
        <w:rPr>
          <w:rFonts w:ascii="Times New Roman" w:hAnsi="Times New Roman" w:cs="Times New Roman"/>
          <w:sz w:val="28"/>
          <w:szCs w:val="28"/>
          <w:lang w:val="uk-UA"/>
        </w:rPr>
        <w:t xml:space="preserve"> </w:t>
      </w:r>
      <w:r w:rsidR="00AC1C92">
        <w:rPr>
          <w:rFonts w:ascii="Times New Roman" w:hAnsi="Times New Roman" w:cs="Times New Roman"/>
          <w:sz w:val="28"/>
          <w:szCs w:val="28"/>
          <w:lang w:val="uk-UA"/>
        </w:rPr>
        <w:t>(</w:t>
      </w:r>
      <w:r w:rsidRPr="0036399C">
        <w:rPr>
          <w:rFonts w:ascii="Times New Roman" w:hAnsi="Times New Roman" w:cs="Times New Roman"/>
          <w:sz w:val="28"/>
          <w:szCs w:val="28"/>
          <w:lang w:val="uk-UA"/>
        </w:rPr>
        <w:t>ІММЛШ</w:t>
      </w:r>
      <w:r w:rsidR="00AC1C92">
        <w:rPr>
          <w:rFonts w:ascii="Times New Roman" w:hAnsi="Times New Roman" w:cs="Times New Roman"/>
          <w:sz w:val="28"/>
          <w:szCs w:val="28"/>
          <w:lang w:val="uk-UA"/>
        </w:rPr>
        <w:t>)</w:t>
      </w:r>
      <w:r w:rsidRPr="0036399C">
        <w:rPr>
          <w:rFonts w:ascii="Times New Roman" w:hAnsi="Times New Roman" w:cs="Times New Roman"/>
          <w:sz w:val="28"/>
          <w:szCs w:val="28"/>
          <w:lang w:val="uk-UA"/>
        </w:rPr>
        <w:t xml:space="preserve"> у хворих на АГ та ЦД 2-го типу обґрунтовано доцільність використання саме співвідношення маси міокарда лівого шлуночка (ММЛШ) до зросту в степені 2,7 з метою уникнення гіподіагностики гіпертрофії міокарда ЛШ, зважаючи на наявність супутнього ожиріння в коморбідних пацієнтів.</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lastRenderedPageBreak/>
        <w:t xml:space="preserve">Доведено роль гіперурикемії у погіршенні функціонального стану нирок пацієнтів із АГ та ЦД 2-го типу, що підтверджено зростанням співвідношення альбуміну до креатиніну в сечі, зменшенням швидкості клубочкової фільтрації (ШКФ) зі збільшенням вмісту сечової кислоти </w:t>
      </w:r>
      <w:r w:rsidR="00A97640" w:rsidRPr="00A97640">
        <w:rPr>
          <w:rFonts w:ascii="Times New Roman" w:hAnsi="Times New Roman" w:cs="Times New Roman"/>
          <w:sz w:val="28"/>
          <w:szCs w:val="28"/>
          <w:lang w:val="uk-UA"/>
        </w:rPr>
        <w:t xml:space="preserve">            </w:t>
      </w:r>
      <w:r w:rsidRPr="0036399C">
        <w:rPr>
          <w:rFonts w:ascii="Times New Roman" w:hAnsi="Times New Roman" w:cs="Times New Roman"/>
          <w:sz w:val="28"/>
          <w:szCs w:val="28"/>
          <w:lang w:val="uk-UA"/>
        </w:rPr>
        <w:t xml:space="preserve">в крові. </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Показано, що у хворих на АГ та ЦД 2-го типу гіперурикемія відіграє важливу роль у прогресуванні СН на підставі збільшення вмісту сечової кислоти в міру зростання  гіпертрофії та функціональної недостатності ЛШ.</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 xml:space="preserve">Обґрунтовано доцільність застосування аторвастатину у пацієнтів із АГ та ЦД 2-го типу з метою зниження атерогенних та підвищення антиатерогенних ліпопротеїдів. </w:t>
      </w:r>
    </w:p>
    <w:p w:rsidR="0036399C"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На підставі порівняння органопротекторних властивостей телмісартану та лізиноприлу доведено, що телмісартан не поступається лізиноприлу         за нефропротекторною дією, яка полягає в зниженні альбумінурії, HbA1с, та кардіопротекторними властиво</w:t>
      </w:r>
      <w:r w:rsidR="0033210E">
        <w:rPr>
          <w:rFonts w:ascii="Times New Roman" w:hAnsi="Times New Roman" w:cs="Times New Roman"/>
          <w:sz w:val="28"/>
          <w:szCs w:val="28"/>
          <w:lang w:val="uk-UA"/>
        </w:rPr>
        <w:t>стями, що виявляються в регресі</w:t>
      </w:r>
      <w:r w:rsidRPr="0036399C">
        <w:rPr>
          <w:rFonts w:ascii="Times New Roman" w:hAnsi="Times New Roman" w:cs="Times New Roman"/>
          <w:sz w:val="28"/>
          <w:szCs w:val="28"/>
          <w:lang w:val="uk-UA"/>
        </w:rPr>
        <w:t xml:space="preserve"> гіпертрофії міокарда ЛШ у хворих на АГ та ЦД 2-го типу.</w:t>
      </w:r>
    </w:p>
    <w:p w:rsidR="00FD4469" w:rsidRPr="0036399C" w:rsidRDefault="0036399C" w:rsidP="0036399C">
      <w:pPr>
        <w:spacing w:after="0" w:line="360" w:lineRule="auto"/>
        <w:ind w:firstLine="708"/>
        <w:jc w:val="both"/>
        <w:rPr>
          <w:rFonts w:ascii="Times New Roman" w:hAnsi="Times New Roman" w:cs="Times New Roman"/>
          <w:sz w:val="28"/>
          <w:szCs w:val="28"/>
          <w:lang w:val="uk-UA"/>
        </w:rPr>
      </w:pPr>
      <w:r w:rsidRPr="0036399C">
        <w:rPr>
          <w:rFonts w:ascii="Times New Roman" w:hAnsi="Times New Roman" w:cs="Times New Roman"/>
          <w:sz w:val="28"/>
          <w:szCs w:val="28"/>
          <w:lang w:val="uk-UA"/>
        </w:rPr>
        <w:t>Уперше розроблено диференційований підхід до призначення телмісартану у пацієнтів із АГ та супутнім ЦД 2-го типу з метою кардіо-                та нефропротекції залежно від вмісту ЕТ-1, який полягає у  призначенні         40 мг/добу телмісартану, якщо вміст ЕТ-1 не перевищує 10 пг/мл, та              80 мг/добу відповідного препарату, якщо вміст ЕТ-1 є більшим за 10 пг/мл.</w:t>
      </w:r>
    </w:p>
    <w:p w:rsidR="00A1641F" w:rsidRDefault="00D66B4C" w:rsidP="00D66B4C">
      <w:pPr>
        <w:spacing w:after="0" w:line="360" w:lineRule="auto"/>
        <w:ind w:firstLine="340"/>
        <w:jc w:val="both"/>
        <w:rPr>
          <w:rFonts w:ascii="Times New Roman" w:hAnsi="Times New Roman" w:cs="Times New Roman"/>
          <w:sz w:val="28"/>
          <w:szCs w:val="28"/>
          <w:lang w:val="uk-UA"/>
        </w:rPr>
      </w:pPr>
      <w:r w:rsidRPr="00D15C60">
        <w:rPr>
          <w:rFonts w:ascii="Times New Roman" w:hAnsi="Times New Roman" w:cs="Times New Roman"/>
          <w:sz w:val="28"/>
          <w:szCs w:val="28"/>
          <w:lang w:val="uk-UA"/>
        </w:rPr>
        <w:t xml:space="preserve">     </w:t>
      </w:r>
      <w:r w:rsidR="00F67FAB">
        <w:rPr>
          <w:rFonts w:ascii="Times New Roman" w:hAnsi="Times New Roman" w:cs="Times New Roman"/>
          <w:sz w:val="28"/>
          <w:szCs w:val="28"/>
        </w:rPr>
        <w:t>Наукова новизна п</w:t>
      </w:r>
      <w:r w:rsidR="00F67FAB">
        <w:rPr>
          <w:rFonts w:ascii="Times New Roman" w:hAnsi="Times New Roman" w:cs="Times New Roman"/>
          <w:sz w:val="28"/>
          <w:szCs w:val="28"/>
          <w:lang w:val="en-US"/>
        </w:rPr>
        <w:t>i</w:t>
      </w:r>
      <w:r w:rsidRPr="00D66B4C">
        <w:rPr>
          <w:rFonts w:ascii="Times New Roman" w:hAnsi="Times New Roman" w:cs="Times New Roman"/>
          <w:sz w:val="28"/>
          <w:szCs w:val="28"/>
        </w:rPr>
        <w:t xml:space="preserve">дтверджена державним патентом України </w:t>
      </w:r>
      <w:r w:rsidRPr="00D66B4C">
        <w:rPr>
          <w:rFonts w:ascii="Times New Roman" w:hAnsi="Times New Roman" w:cs="Times New Roman"/>
          <w:sz w:val="28"/>
          <w:szCs w:val="28"/>
          <w:lang w:val="uk-UA"/>
        </w:rPr>
        <w:t xml:space="preserve">               </w:t>
      </w:r>
      <w:r w:rsidRPr="00D66B4C">
        <w:rPr>
          <w:rFonts w:ascii="Times New Roman" w:hAnsi="Times New Roman" w:cs="Times New Roman"/>
          <w:sz w:val="28"/>
          <w:szCs w:val="28"/>
        </w:rPr>
        <w:t>на корисну модель</w:t>
      </w:r>
      <w:r w:rsidR="00A1641F">
        <w:rPr>
          <w:rFonts w:ascii="Times New Roman" w:hAnsi="Times New Roman" w:cs="Times New Roman"/>
          <w:sz w:val="28"/>
          <w:szCs w:val="28"/>
          <w:lang w:val="uk-UA"/>
        </w:rPr>
        <w:t xml:space="preserve">: </w:t>
      </w:r>
    </w:p>
    <w:p w:rsidR="00D66B4C" w:rsidRPr="00A1641F" w:rsidRDefault="00A1641F" w:rsidP="00D66B4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A1641F">
        <w:rPr>
          <w:rFonts w:ascii="Times New Roman" w:hAnsi="Times New Roman" w:cs="Times New Roman"/>
          <w:sz w:val="28"/>
          <w:szCs w:val="28"/>
          <w:lang w:val="uk-UA"/>
        </w:rPr>
        <w:t>Пат. 112621, UA, МПК А61К 31/00, А61Р 5/00. Спосіб корекції дисфункції ендотелію у пацієнтів з артеріальною гіпертензією та цукровим діабетом 2-го типу / Н. В. Деміхова, О. М. Чернацька, Ю. О. Сміянова (Україна) ; СумДУ. – № u201606179 ; заявл. 07.06.2016 ; опубл. 26.12.2016, Бюл. № 24.</w:t>
      </w:r>
      <w:r w:rsidR="00B300CB" w:rsidRPr="00A1641F">
        <w:rPr>
          <w:rFonts w:ascii="Times New Roman" w:hAnsi="Times New Roman" w:cs="Times New Roman"/>
          <w:sz w:val="28"/>
          <w:szCs w:val="28"/>
          <w:lang w:val="uk-UA"/>
        </w:rPr>
        <w:t xml:space="preserve"> </w:t>
      </w:r>
    </w:p>
    <w:p w:rsidR="005324F7" w:rsidRDefault="00D66B4C" w:rsidP="00D66B4C">
      <w:pPr>
        <w:spacing w:after="0" w:line="360" w:lineRule="auto"/>
        <w:ind w:firstLine="34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5324F7" w:rsidRDefault="005324F7" w:rsidP="00D66B4C">
      <w:pPr>
        <w:spacing w:after="0" w:line="360" w:lineRule="auto"/>
        <w:ind w:firstLine="340"/>
        <w:jc w:val="both"/>
        <w:rPr>
          <w:rFonts w:ascii="Times New Roman" w:hAnsi="Times New Roman" w:cs="Times New Roman"/>
          <w:b/>
          <w:sz w:val="28"/>
          <w:szCs w:val="28"/>
          <w:lang w:val="uk-UA"/>
        </w:rPr>
      </w:pPr>
    </w:p>
    <w:p w:rsidR="00D82B7D" w:rsidRDefault="005324F7" w:rsidP="00D66B4C">
      <w:pPr>
        <w:spacing w:after="0" w:line="360" w:lineRule="auto"/>
        <w:ind w:firstLine="340"/>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D82B7D">
        <w:rPr>
          <w:rFonts w:ascii="Times New Roman" w:hAnsi="Times New Roman" w:cs="Times New Roman"/>
          <w:b/>
          <w:sz w:val="28"/>
          <w:szCs w:val="28"/>
          <w:lang w:val="uk-UA"/>
        </w:rPr>
        <w:t>Практичне значення роботи</w:t>
      </w:r>
      <w:r w:rsidR="00A03291" w:rsidRPr="00A03291">
        <w:rPr>
          <w:rFonts w:ascii="Times New Roman" w:hAnsi="Times New Roman" w:cs="Times New Roman"/>
          <w:b/>
          <w:sz w:val="28"/>
          <w:szCs w:val="28"/>
          <w:lang w:val="uk-UA"/>
        </w:rPr>
        <w:t xml:space="preserve"> </w:t>
      </w:r>
    </w:p>
    <w:p w:rsidR="00D66B4C" w:rsidRPr="00D66B4C" w:rsidRDefault="00180B5A" w:rsidP="00D66B4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66B4C" w:rsidRPr="00D66B4C">
        <w:rPr>
          <w:rFonts w:ascii="Times New Roman" w:hAnsi="Times New Roman" w:cs="Times New Roman"/>
          <w:sz w:val="28"/>
          <w:szCs w:val="28"/>
          <w:lang w:val="uk-UA"/>
        </w:rPr>
        <w:t xml:space="preserve">1. </w:t>
      </w:r>
      <w:r w:rsidR="00F67FAB">
        <w:rPr>
          <w:rFonts w:ascii="Times New Roman" w:hAnsi="Times New Roman" w:cs="Times New Roman"/>
          <w:sz w:val="28"/>
          <w:szCs w:val="28"/>
          <w:lang w:val="uk-UA"/>
        </w:rPr>
        <w:t>Обґрунтування доц</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льност</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 xml:space="preserve"> призначення 40 мг/добу телм</w:t>
      </w:r>
      <w:r w:rsidR="00F67FAB">
        <w:rPr>
          <w:rFonts w:ascii="Times New Roman" w:hAnsi="Times New Roman" w:cs="Times New Roman"/>
          <w:sz w:val="28"/>
          <w:szCs w:val="28"/>
          <w:lang w:val="en-US"/>
        </w:rPr>
        <w:t>i</w:t>
      </w:r>
      <w:r w:rsidR="00866131">
        <w:rPr>
          <w:rFonts w:ascii="Times New Roman" w:hAnsi="Times New Roman" w:cs="Times New Roman"/>
          <w:sz w:val="28"/>
          <w:szCs w:val="28"/>
          <w:lang w:val="uk-UA"/>
        </w:rPr>
        <w:t>сартану, якщо вміст</w:t>
      </w:r>
      <w:r w:rsidR="00D66B4C" w:rsidRPr="00D66B4C">
        <w:rPr>
          <w:rFonts w:ascii="Times New Roman" w:hAnsi="Times New Roman" w:cs="Times New Roman"/>
          <w:sz w:val="28"/>
          <w:szCs w:val="28"/>
          <w:lang w:val="uk-UA"/>
        </w:rPr>
        <w:t xml:space="preserve"> ЕТ-1 не пере</w:t>
      </w:r>
      <w:r w:rsidR="00F67FAB">
        <w:rPr>
          <w:rFonts w:ascii="Times New Roman" w:hAnsi="Times New Roman" w:cs="Times New Roman"/>
          <w:sz w:val="28"/>
          <w:szCs w:val="28"/>
          <w:lang w:val="uk-UA"/>
        </w:rPr>
        <w:t>вищує 10 пг/мл, та 80 мг/добу в</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дпов</w:t>
      </w:r>
      <w:r w:rsidR="00F67FAB">
        <w:rPr>
          <w:rFonts w:ascii="Times New Roman" w:hAnsi="Times New Roman" w:cs="Times New Roman"/>
          <w:sz w:val="28"/>
          <w:szCs w:val="28"/>
          <w:lang w:val="en-US"/>
        </w:rPr>
        <w:t>i</w:t>
      </w:r>
      <w:r w:rsidR="00866131">
        <w:rPr>
          <w:rFonts w:ascii="Times New Roman" w:hAnsi="Times New Roman" w:cs="Times New Roman"/>
          <w:sz w:val="28"/>
          <w:szCs w:val="28"/>
          <w:lang w:val="uk-UA"/>
        </w:rPr>
        <w:t>дного препарату, якщо вміст</w:t>
      </w:r>
      <w:r w:rsidR="00D66B4C" w:rsidRPr="00D66B4C">
        <w:rPr>
          <w:rFonts w:ascii="Times New Roman" w:hAnsi="Times New Roman" w:cs="Times New Roman"/>
          <w:sz w:val="28"/>
          <w:szCs w:val="28"/>
          <w:lang w:val="uk-UA"/>
        </w:rPr>
        <w:t xml:space="preserve"> ЕТ-</w:t>
      </w:r>
      <w:r w:rsidR="00F67FAB">
        <w:rPr>
          <w:rFonts w:ascii="Times New Roman" w:hAnsi="Times New Roman" w:cs="Times New Roman"/>
          <w:sz w:val="28"/>
          <w:szCs w:val="28"/>
          <w:lang w:val="uk-UA"/>
        </w:rPr>
        <w:t>1 є б</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льшим за 10 пг/мл</w:t>
      </w:r>
      <w:r w:rsidR="005324F7">
        <w:rPr>
          <w:rFonts w:ascii="Times New Roman" w:hAnsi="Times New Roman" w:cs="Times New Roman"/>
          <w:sz w:val="28"/>
          <w:szCs w:val="28"/>
          <w:lang w:val="uk-UA"/>
        </w:rPr>
        <w:t>,</w:t>
      </w:r>
      <w:r w:rsidR="00F67FAB">
        <w:rPr>
          <w:rFonts w:ascii="Times New Roman" w:hAnsi="Times New Roman" w:cs="Times New Roman"/>
          <w:sz w:val="28"/>
          <w:szCs w:val="28"/>
          <w:lang w:val="uk-UA"/>
        </w:rPr>
        <w:t xml:space="preserve"> </w:t>
      </w:r>
      <w:r w:rsidR="00520A82">
        <w:rPr>
          <w:rFonts w:ascii="Times New Roman" w:hAnsi="Times New Roman" w:cs="Times New Roman"/>
          <w:sz w:val="28"/>
          <w:szCs w:val="28"/>
          <w:lang w:val="uk-UA"/>
        </w:rPr>
        <w:t xml:space="preserve">у пацієнтів </w:t>
      </w:r>
      <w:r w:rsidR="00866131">
        <w:rPr>
          <w:rFonts w:ascii="Times New Roman" w:hAnsi="Times New Roman" w:cs="Times New Roman"/>
          <w:sz w:val="28"/>
          <w:szCs w:val="28"/>
          <w:lang w:val="uk-UA"/>
        </w:rPr>
        <w:t>і</w:t>
      </w:r>
      <w:r w:rsidR="00F67FAB">
        <w:rPr>
          <w:rFonts w:ascii="Times New Roman" w:hAnsi="Times New Roman" w:cs="Times New Roman"/>
          <w:sz w:val="28"/>
          <w:szCs w:val="28"/>
          <w:lang w:val="uk-UA"/>
        </w:rPr>
        <w:t xml:space="preserve">з АГ та </w:t>
      </w:r>
      <w:r w:rsidR="00520A82">
        <w:rPr>
          <w:rFonts w:ascii="Times New Roman" w:hAnsi="Times New Roman" w:cs="Times New Roman"/>
          <w:sz w:val="28"/>
          <w:szCs w:val="28"/>
          <w:lang w:val="uk-UA"/>
        </w:rPr>
        <w:t xml:space="preserve">        </w:t>
      </w:r>
      <w:r w:rsidR="00F67FAB">
        <w:rPr>
          <w:rFonts w:ascii="Times New Roman" w:hAnsi="Times New Roman" w:cs="Times New Roman"/>
          <w:sz w:val="28"/>
          <w:szCs w:val="28"/>
          <w:lang w:val="uk-UA"/>
        </w:rPr>
        <w:t>ЦД 2-го типу дозволяє л</w:t>
      </w:r>
      <w:r w:rsidR="00F67FAB">
        <w:rPr>
          <w:rFonts w:ascii="Times New Roman" w:hAnsi="Times New Roman" w:cs="Times New Roman"/>
          <w:sz w:val="28"/>
          <w:szCs w:val="28"/>
          <w:lang w:val="en-US"/>
        </w:rPr>
        <w:t>i</w:t>
      </w:r>
      <w:r w:rsidR="00866131">
        <w:rPr>
          <w:rFonts w:ascii="Times New Roman" w:hAnsi="Times New Roman" w:cs="Times New Roman"/>
          <w:sz w:val="28"/>
          <w:szCs w:val="28"/>
          <w:lang w:val="uk-UA"/>
        </w:rPr>
        <w:t>карям терапевтам</w:t>
      </w:r>
      <w:r w:rsidR="00D66B4C" w:rsidRPr="00D66B4C">
        <w:rPr>
          <w:rFonts w:ascii="Times New Roman" w:hAnsi="Times New Roman" w:cs="Times New Roman"/>
          <w:sz w:val="28"/>
          <w:szCs w:val="28"/>
          <w:lang w:val="uk-UA"/>
        </w:rPr>
        <w:t>, загальної практики</w:t>
      </w:r>
      <w:r w:rsidR="00D01523">
        <w:rPr>
          <w:rFonts w:ascii="Times New Roman" w:hAnsi="Times New Roman" w:cs="Times New Roman"/>
          <w:sz w:val="28"/>
          <w:szCs w:val="28"/>
          <w:lang w:val="uk-UA"/>
        </w:rPr>
        <w:t xml:space="preserve"> </w:t>
      </w:r>
      <w:r w:rsidR="00D66B4C" w:rsidRPr="00D66B4C">
        <w:rPr>
          <w:rFonts w:ascii="Times New Roman" w:hAnsi="Times New Roman" w:cs="Times New Roman"/>
          <w:sz w:val="28"/>
          <w:szCs w:val="28"/>
          <w:lang w:val="uk-UA"/>
        </w:rPr>
        <w:t>−</w:t>
      </w:r>
      <w:r w:rsidR="00D01523">
        <w:rPr>
          <w:rFonts w:ascii="Times New Roman" w:hAnsi="Times New Roman" w:cs="Times New Roman"/>
          <w:sz w:val="28"/>
          <w:szCs w:val="28"/>
          <w:lang w:val="uk-UA"/>
        </w:rPr>
        <w:t xml:space="preserve"> </w:t>
      </w:r>
      <w:r w:rsidR="00F67FAB">
        <w:rPr>
          <w:rFonts w:ascii="Times New Roman" w:hAnsi="Times New Roman" w:cs="Times New Roman"/>
          <w:sz w:val="28"/>
          <w:szCs w:val="28"/>
          <w:lang w:val="uk-UA"/>
        </w:rPr>
        <w:t>с</w:t>
      </w:r>
      <w:r w:rsidR="00F67FAB">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мейної ме</w:t>
      </w:r>
      <w:r w:rsidR="0016229F">
        <w:rPr>
          <w:rFonts w:ascii="Times New Roman" w:hAnsi="Times New Roman" w:cs="Times New Roman"/>
          <w:sz w:val="28"/>
          <w:szCs w:val="28"/>
          <w:lang w:val="uk-UA"/>
        </w:rPr>
        <w:t>дицини, ендокринологам</w:t>
      </w:r>
      <w:r w:rsidR="00F67FAB">
        <w:rPr>
          <w:rFonts w:ascii="Times New Roman" w:hAnsi="Times New Roman" w:cs="Times New Roman"/>
          <w:sz w:val="28"/>
          <w:szCs w:val="28"/>
          <w:lang w:val="uk-UA"/>
        </w:rPr>
        <w:t xml:space="preserve"> суттєво п</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двищити ефективн</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сть л</w:t>
      </w:r>
      <w:r w:rsidR="00F67FAB">
        <w:rPr>
          <w:rFonts w:ascii="Times New Roman" w:hAnsi="Times New Roman" w:cs="Times New Roman"/>
          <w:sz w:val="28"/>
          <w:szCs w:val="28"/>
          <w:lang w:val="en-US"/>
        </w:rPr>
        <w:t>i</w:t>
      </w:r>
      <w:r w:rsidR="00F67FAB">
        <w:rPr>
          <w:rFonts w:ascii="Times New Roman" w:hAnsi="Times New Roman" w:cs="Times New Roman"/>
          <w:sz w:val="28"/>
          <w:szCs w:val="28"/>
          <w:lang w:val="uk-UA"/>
        </w:rPr>
        <w:t>кування коморб</w:t>
      </w:r>
      <w:r w:rsidR="00F67FAB">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дних хворих шля</w:t>
      </w:r>
      <w:r w:rsidR="00154629">
        <w:rPr>
          <w:rFonts w:ascii="Times New Roman" w:hAnsi="Times New Roman" w:cs="Times New Roman"/>
          <w:sz w:val="28"/>
          <w:szCs w:val="28"/>
          <w:lang w:val="uk-UA"/>
        </w:rPr>
        <w:t>хом забезпечення васкуло-, кард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о-, нефропротекц</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 xml:space="preserve">ї. </w:t>
      </w:r>
    </w:p>
    <w:p w:rsidR="00D66B4C" w:rsidRPr="00D66B4C" w:rsidRDefault="00D66B4C" w:rsidP="00D66B4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4629">
        <w:rPr>
          <w:rFonts w:ascii="Times New Roman" w:hAnsi="Times New Roman" w:cs="Times New Roman"/>
          <w:sz w:val="28"/>
          <w:szCs w:val="28"/>
          <w:lang w:val="uk-UA"/>
        </w:rPr>
        <w:t>2. Доведення доц</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льност</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 xml:space="preserve"> визначення сп</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вв</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дношення альбум</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ну            до креатин</w:t>
      </w:r>
      <w:r w:rsidR="00154629">
        <w:rPr>
          <w:rFonts w:ascii="Times New Roman" w:hAnsi="Times New Roman" w:cs="Times New Roman"/>
          <w:sz w:val="28"/>
          <w:szCs w:val="28"/>
          <w:lang w:val="en-US"/>
        </w:rPr>
        <w:t>i</w:t>
      </w:r>
      <w:r w:rsidR="0012752F">
        <w:rPr>
          <w:rFonts w:ascii="Times New Roman" w:hAnsi="Times New Roman" w:cs="Times New Roman"/>
          <w:sz w:val="28"/>
          <w:szCs w:val="28"/>
          <w:lang w:val="uk-UA"/>
        </w:rPr>
        <w:t>ну в сеч</w:t>
      </w:r>
      <w:r w:rsidR="0012752F">
        <w:rPr>
          <w:rFonts w:ascii="Times New Roman" w:hAnsi="Times New Roman" w:cs="Times New Roman"/>
          <w:sz w:val="28"/>
          <w:szCs w:val="28"/>
          <w:lang w:val="en-US"/>
        </w:rPr>
        <w:t>i</w:t>
      </w:r>
      <w:r w:rsidR="00154629">
        <w:rPr>
          <w:rFonts w:ascii="Times New Roman" w:hAnsi="Times New Roman" w:cs="Times New Roman"/>
          <w:sz w:val="28"/>
          <w:szCs w:val="28"/>
          <w:lang w:val="uk-UA"/>
        </w:rPr>
        <w:t xml:space="preserve"> </w:t>
      </w:r>
      <w:r w:rsidR="00851268">
        <w:rPr>
          <w:rFonts w:ascii="Times New Roman" w:hAnsi="Times New Roman" w:cs="Times New Roman"/>
          <w:sz w:val="28"/>
          <w:szCs w:val="28"/>
          <w:lang w:val="uk-UA"/>
        </w:rPr>
        <w:t>пацієнтів і</w:t>
      </w:r>
      <w:r w:rsidR="005324F7">
        <w:rPr>
          <w:rFonts w:ascii="Times New Roman" w:hAnsi="Times New Roman" w:cs="Times New Roman"/>
          <w:sz w:val="28"/>
          <w:szCs w:val="28"/>
          <w:lang w:val="uk-UA"/>
        </w:rPr>
        <w:t>з АГ та порушенням функції нирок</w:t>
      </w:r>
      <w:r w:rsidR="00154629">
        <w:rPr>
          <w:rFonts w:ascii="Times New Roman" w:hAnsi="Times New Roman" w:cs="Times New Roman"/>
          <w:sz w:val="28"/>
          <w:szCs w:val="28"/>
          <w:lang w:val="uk-UA"/>
        </w:rPr>
        <w:t xml:space="preserve"> дозволяє л</w:t>
      </w:r>
      <w:r w:rsidR="00154629">
        <w:rPr>
          <w:rFonts w:ascii="Times New Roman" w:hAnsi="Times New Roman" w:cs="Times New Roman"/>
          <w:sz w:val="28"/>
          <w:szCs w:val="28"/>
          <w:lang w:val="en-US"/>
        </w:rPr>
        <w:t>i</w:t>
      </w:r>
      <w:r w:rsidR="00851268">
        <w:rPr>
          <w:rFonts w:ascii="Times New Roman" w:hAnsi="Times New Roman" w:cs="Times New Roman"/>
          <w:sz w:val="28"/>
          <w:szCs w:val="28"/>
          <w:lang w:val="uk-UA"/>
        </w:rPr>
        <w:t>карям терапевтам</w:t>
      </w:r>
      <w:r w:rsidRPr="00D66B4C">
        <w:rPr>
          <w:rFonts w:ascii="Times New Roman" w:hAnsi="Times New Roman" w:cs="Times New Roman"/>
          <w:sz w:val="28"/>
          <w:szCs w:val="28"/>
          <w:lang w:val="uk-UA"/>
        </w:rPr>
        <w:t>, загальної практики</w:t>
      </w:r>
      <w:r w:rsidR="00D01523">
        <w:rPr>
          <w:rFonts w:ascii="Times New Roman" w:hAnsi="Times New Roman" w:cs="Times New Roman"/>
          <w:sz w:val="28"/>
          <w:szCs w:val="28"/>
          <w:lang w:val="uk-UA"/>
        </w:rPr>
        <w:t xml:space="preserve"> </w:t>
      </w:r>
      <w:r w:rsidRPr="00D66B4C">
        <w:rPr>
          <w:rFonts w:ascii="Times New Roman" w:hAnsi="Times New Roman" w:cs="Times New Roman"/>
          <w:sz w:val="28"/>
          <w:szCs w:val="28"/>
          <w:lang w:val="uk-UA"/>
        </w:rPr>
        <w:t>−</w:t>
      </w:r>
      <w:r w:rsidR="00D01523">
        <w:rPr>
          <w:rFonts w:ascii="Times New Roman" w:hAnsi="Times New Roman" w:cs="Times New Roman"/>
          <w:sz w:val="28"/>
          <w:szCs w:val="28"/>
          <w:lang w:val="uk-UA"/>
        </w:rPr>
        <w:t xml:space="preserve"> </w:t>
      </w:r>
      <w:r w:rsidR="00154629">
        <w:rPr>
          <w:rFonts w:ascii="Times New Roman" w:hAnsi="Times New Roman" w:cs="Times New Roman"/>
          <w:sz w:val="28"/>
          <w:szCs w:val="28"/>
          <w:lang w:val="uk-UA"/>
        </w:rPr>
        <w:t>с</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мейної медиц</w:t>
      </w:r>
      <w:r w:rsidR="00800FD0">
        <w:rPr>
          <w:rFonts w:ascii="Times New Roman" w:hAnsi="Times New Roman" w:cs="Times New Roman"/>
          <w:sz w:val="28"/>
          <w:szCs w:val="28"/>
          <w:lang w:val="uk-UA"/>
        </w:rPr>
        <w:t>ини, ендокринологам, нефрологам</w:t>
      </w:r>
      <w:r w:rsidR="00154629">
        <w:rPr>
          <w:rFonts w:ascii="Times New Roman" w:hAnsi="Times New Roman" w:cs="Times New Roman"/>
          <w:sz w:val="28"/>
          <w:szCs w:val="28"/>
          <w:lang w:val="uk-UA"/>
        </w:rPr>
        <w:t xml:space="preserve"> п</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двищити р</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ве</w:t>
      </w:r>
      <w:r w:rsidR="00154629">
        <w:rPr>
          <w:rFonts w:ascii="Times New Roman" w:hAnsi="Times New Roman" w:cs="Times New Roman"/>
          <w:sz w:val="28"/>
          <w:szCs w:val="28"/>
          <w:lang w:val="uk-UA"/>
        </w:rPr>
        <w:t>нь оц</w:t>
      </w:r>
      <w:r w:rsidR="00154629">
        <w:rPr>
          <w:rFonts w:ascii="Times New Roman" w:hAnsi="Times New Roman" w:cs="Times New Roman"/>
          <w:sz w:val="28"/>
          <w:szCs w:val="28"/>
          <w:lang w:val="en-US"/>
        </w:rPr>
        <w:t>i</w:t>
      </w:r>
      <w:r w:rsidR="00D01523">
        <w:rPr>
          <w:rFonts w:ascii="Times New Roman" w:hAnsi="Times New Roman" w:cs="Times New Roman"/>
          <w:sz w:val="28"/>
          <w:szCs w:val="28"/>
          <w:lang w:val="uk-UA"/>
        </w:rPr>
        <w:t>нювання</w:t>
      </w:r>
      <w:r w:rsidR="00154629">
        <w:rPr>
          <w:rFonts w:ascii="Times New Roman" w:hAnsi="Times New Roman" w:cs="Times New Roman"/>
          <w:sz w:val="28"/>
          <w:szCs w:val="28"/>
          <w:lang w:val="uk-UA"/>
        </w:rPr>
        <w:t xml:space="preserve"> функц</w:t>
      </w:r>
      <w:r w:rsidR="00154629">
        <w:rPr>
          <w:rFonts w:ascii="Times New Roman" w:hAnsi="Times New Roman" w:cs="Times New Roman"/>
          <w:sz w:val="28"/>
          <w:szCs w:val="28"/>
          <w:lang w:val="en-US"/>
        </w:rPr>
        <w:t>i</w:t>
      </w:r>
      <w:r w:rsidR="005324F7">
        <w:rPr>
          <w:rFonts w:ascii="Times New Roman" w:hAnsi="Times New Roman" w:cs="Times New Roman"/>
          <w:sz w:val="28"/>
          <w:szCs w:val="28"/>
          <w:lang w:val="uk-UA"/>
        </w:rPr>
        <w:t>ї</w:t>
      </w:r>
      <w:r w:rsidRPr="00D66B4C">
        <w:rPr>
          <w:rFonts w:ascii="Times New Roman" w:hAnsi="Times New Roman" w:cs="Times New Roman"/>
          <w:sz w:val="28"/>
          <w:szCs w:val="28"/>
          <w:lang w:val="uk-UA"/>
        </w:rPr>
        <w:t xml:space="preserve"> нирок та зменшити ри</w:t>
      </w:r>
      <w:r w:rsidR="00D52478">
        <w:rPr>
          <w:rFonts w:ascii="Times New Roman" w:hAnsi="Times New Roman" w:cs="Times New Roman"/>
          <w:sz w:val="28"/>
          <w:szCs w:val="28"/>
          <w:lang w:val="uk-UA"/>
        </w:rPr>
        <w:t>зик</w:t>
      </w:r>
      <w:r w:rsidR="00851268">
        <w:rPr>
          <w:rFonts w:ascii="Times New Roman" w:hAnsi="Times New Roman" w:cs="Times New Roman"/>
          <w:sz w:val="28"/>
          <w:szCs w:val="28"/>
          <w:lang w:val="uk-UA"/>
        </w:rPr>
        <w:t xml:space="preserve"> розвитку ССУ </w:t>
      </w:r>
      <w:r w:rsidR="00154629">
        <w:rPr>
          <w:rFonts w:ascii="Times New Roman" w:hAnsi="Times New Roman" w:cs="Times New Roman"/>
          <w:sz w:val="28"/>
          <w:szCs w:val="28"/>
          <w:lang w:val="uk-UA"/>
        </w:rPr>
        <w:t>при коморб</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дн</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й патолог</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ї.</w:t>
      </w:r>
    </w:p>
    <w:p w:rsidR="00D66B4C" w:rsidRPr="00D66B4C" w:rsidRDefault="00D66B4C" w:rsidP="00D66B4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4629">
        <w:rPr>
          <w:rFonts w:ascii="Times New Roman" w:hAnsi="Times New Roman" w:cs="Times New Roman"/>
          <w:sz w:val="28"/>
          <w:szCs w:val="28"/>
          <w:lang w:val="uk-UA"/>
        </w:rPr>
        <w:t>3. Обґрунтування доц</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льност</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 xml:space="preserve"> розрахунку </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ММЛШ як сп</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вв</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 xml:space="preserve">дношення ММЛШ </w:t>
      </w:r>
      <w:r w:rsidR="00154629">
        <w:rPr>
          <w:rFonts w:ascii="Times New Roman" w:hAnsi="Times New Roman" w:cs="Times New Roman"/>
          <w:sz w:val="28"/>
          <w:szCs w:val="28"/>
          <w:lang w:val="uk-UA"/>
        </w:rPr>
        <w:t>до зросту в степен</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 xml:space="preserve"> 2,7 </w:t>
      </w:r>
      <w:r w:rsidR="00851268">
        <w:rPr>
          <w:rFonts w:ascii="Times New Roman" w:hAnsi="Times New Roman" w:cs="Times New Roman"/>
          <w:sz w:val="28"/>
          <w:szCs w:val="28"/>
          <w:lang w:val="uk-UA"/>
        </w:rPr>
        <w:t xml:space="preserve">у пацієнтів </w:t>
      </w:r>
      <w:r w:rsidR="00866131">
        <w:rPr>
          <w:rFonts w:ascii="Times New Roman" w:hAnsi="Times New Roman" w:cs="Times New Roman"/>
          <w:sz w:val="28"/>
          <w:szCs w:val="28"/>
          <w:lang w:val="uk-UA"/>
        </w:rPr>
        <w:t>і</w:t>
      </w:r>
      <w:r w:rsidR="00154629">
        <w:rPr>
          <w:rFonts w:ascii="Times New Roman" w:hAnsi="Times New Roman" w:cs="Times New Roman"/>
          <w:sz w:val="28"/>
          <w:szCs w:val="28"/>
          <w:lang w:val="uk-UA"/>
        </w:rPr>
        <w:t xml:space="preserve">з АГ, ЦД 2-го типу </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 xml:space="preserve"> супутн</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м ожир</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нням чи надм</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рною вагою дозволяє л</w:t>
      </w:r>
      <w:r w:rsidR="00154629">
        <w:rPr>
          <w:rFonts w:ascii="Times New Roman" w:hAnsi="Times New Roman" w:cs="Times New Roman"/>
          <w:sz w:val="28"/>
          <w:szCs w:val="28"/>
          <w:lang w:val="en-US"/>
        </w:rPr>
        <w:t>i</w:t>
      </w:r>
      <w:r w:rsidR="00851268">
        <w:rPr>
          <w:rFonts w:ascii="Times New Roman" w:hAnsi="Times New Roman" w:cs="Times New Roman"/>
          <w:sz w:val="28"/>
          <w:szCs w:val="28"/>
          <w:lang w:val="uk-UA"/>
        </w:rPr>
        <w:t>карям</w:t>
      </w:r>
      <w:r w:rsidRPr="00D66B4C">
        <w:rPr>
          <w:rFonts w:ascii="Times New Roman" w:hAnsi="Times New Roman" w:cs="Times New Roman"/>
          <w:sz w:val="28"/>
          <w:szCs w:val="28"/>
          <w:lang w:val="uk-UA"/>
        </w:rPr>
        <w:t xml:space="preserve"> ультр</w:t>
      </w:r>
      <w:r w:rsidR="00154629">
        <w:rPr>
          <w:rFonts w:ascii="Times New Roman" w:hAnsi="Times New Roman" w:cs="Times New Roman"/>
          <w:sz w:val="28"/>
          <w:szCs w:val="28"/>
          <w:lang w:val="uk-UA"/>
        </w:rPr>
        <w:t>азвукової 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агностики, кард</w:t>
      </w:r>
      <w:r w:rsidR="00154629">
        <w:rPr>
          <w:rFonts w:ascii="Times New Roman" w:hAnsi="Times New Roman" w:cs="Times New Roman"/>
          <w:sz w:val="28"/>
          <w:szCs w:val="28"/>
          <w:lang w:val="en-US"/>
        </w:rPr>
        <w:t>i</w:t>
      </w:r>
      <w:r w:rsidR="00800FD0">
        <w:rPr>
          <w:rFonts w:ascii="Times New Roman" w:hAnsi="Times New Roman" w:cs="Times New Roman"/>
          <w:sz w:val="28"/>
          <w:szCs w:val="28"/>
          <w:lang w:val="uk-UA"/>
        </w:rPr>
        <w:t>ологам</w:t>
      </w:r>
      <w:r w:rsidR="00154629">
        <w:rPr>
          <w:rFonts w:ascii="Times New Roman" w:hAnsi="Times New Roman" w:cs="Times New Roman"/>
          <w:sz w:val="28"/>
          <w:szCs w:val="28"/>
          <w:lang w:val="uk-UA"/>
        </w:rPr>
        <w:t xml:space="preserve"> оптим</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зувати вериф</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кац</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ю г</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пертроф</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ї м</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окарда ЛШ</w:t>
      </w:r>
      <w:r w:rsidR="00800FD0">
        <w:rPr>
          <w:rFonts w:ascii="Times New Roman" w:hAnsi="Times New Roman" w:cs="Times New Roman"/>
          <w:sz w:val="28"/>
          <w:szCs w:val="28"/>
          <w:lang w:val="uk-UA"/>
        </w:rPr>
        <w:t xml:space="preserve"> </w:t>
      </w:r>
      <w:r w:rsidR="00154629">
        <w:rPr>
          <w:rFonts w:ascii="Times New Roman" w:hAnsi="Times New Roman" w:cs="Times New Roman"/>
          <w:sz w:val="28"/>
          <w:szCs w:val="28"/>
          <w:lang w:val="uk-UA"/>
        </w:rPr>
        <w:t>у коморб</w:t>
      </w:r>
      <w:r w:rsidR="00154629">
        <w:rPr>
          <w:rFonts w:ascii="Times New Roman" w:hAnsi="Times New Roman" w:cs="Times New Roman"/>
          <w:sz w:val="28"/>
          <w:szCs w:val="28"/>
          <w:lang w:val="en-US"/>
        </w:rPr>
        <w:t>i</w:t>
      </w:r>
      <w:r w:rsidRPr="00D66B4C">
        <w:rPr>
          <w:rFonts w:ascii="Times New Roman" w:hAnsi="Times New Roman" w:cs="Times New Roman"/>
          <w:sz w:val="28"/>
          <w:szCs w:val="28"/>
          <w:lang w:val="uk-UA"/>
        </w:rPr>
        <w:t>дних хворих.</w:t>
      </w:r>
    </w:p>
    <w:p w:rsidR="00D66B4C" w:rsidRPr="00D66B4C" w:rsidRDefault="00D66B4C" w:rsidP="00D66B4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4629">
        <w:rPr>
          <w:rFonts w:ascii="Times New Roman" w:hAnsi="Times New Roman" w:cs="Times New Roman"/>
          <w:sz w:val="28"/>
          <w:szCs w:val="28"/>
          <w:lang w:val="uk-UA"/>
        </w:rPr>
        <w:t>4.</w:t>
      </w:r>
      <w:r w:rsidR="006F26A7" w:rsidRPr="006F26A7">
        <w:rPr>
          <w:rFonts w:ascii="Times New Roman" w:hAnsi="Times New Roman" w:cs="Times New Roman"/>
          <w:sz w:val="28"/>
          <w:szCs w:val="28"/>
          <w:lang w:val="uk-UA"/>
        </w:rPr>
        <w:t xml:space="preserve"> Доведені дані про доцільність призначення 10−20−40 мг/добу аторвастатину з метою зниження вмісту атерогенних та підвищення антиатерогенних ліпопротеїдів у пацієнтів із АГ та ЦД 2-го типу дозволяють лікарям практичних закладів охорони здоров’я підвищити ефе</w:t>
      </w:r>
      <w:r w:rsidR="006F26A7">
        <w:rPr>
          <w:rFonts w:ascii="Times New Roman" w:hAnsi="Times New Roman" w:cs="Times New Roman"/>
          <w:sz w:val="28"/>
          <w:szCs w:val="28"/>
          <w:lang w:val="uk-UA"/>
        </w:rPr>
        <w:t>ктивність корекції дисліпідемії</w:t>
      </w:r>
      <w:r w:rsidRPr="00D66B4C">
        <w:rPr>
          <w:rFonts w:ascii="Times New Roman" w:hAnsi="Times New Roman" w:cs="Times New Roman"/>
          <w:sz w:val="28"/>
          <w:szCs w:val="28"/>
          <w:lang w:val="uk-UA"/>
        </w:rPr>
        <w:t>.</w:t>
      </w:r>
    </w:p>
    <w:p w:rsidR="00A03291" w:rsidRPr="00DA5101" w:rsidRDefault="00180B5A" w:rsidP="00903D3A">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D66B4C">
        <w:rPr>
          <w:rFonts w:ascii="Times New Roman" w:hAnsi="Times New Roman" w:cs="Times New Roman"/>
          <w:b/>
          <w:sz w:val="28"/>
          <w:szCs w:val="28"/>
          <w:lang w:val="uk-UA"/>
        </w:rPr>
        <w:t xml:space="preserve">     </w:t>
      </w:r>
      <w:r w:rsidR="00154629" w:rsidRPr="00680794">
        <w:rPr>
          <w:rFonts w:ascii="Times New Roman" w:hAnsi="Times New Roman" w:cs="Times New Roman"/>
          <w:sz w:val="28"/>
          <w:szCs w:val="28"/>
          <w:lang w:val="uk-UA"/>
        </w:rPr>
        <w:t>Результати досл</w:t>
      </w:r>
      <w:r w:rsidR="00154629" w:rsidRPr="00680794">
        <w:rPr>
          <w:rFonts w:ascii="Times New Roman" w:hAnsi="Times New Roman" w:cs="Times New Roman"/>
          <w:sz w:val="28"/>
          <w:szCs w:val="28"/>
          <w:lang w:val="en-US"/>
        </w:rPr>
        <w:t>i</w:t>
      </w:r>
      <w:r w:rsidR="00A03291" w:rsidRPr="00680794">
        <w:rPr>
          <w:rFonts w:ascii="Times New Roman" w:hAnsi="Times New Roman" w:cs="Times New Roman"/>
          <w:sz w:val="28"/>
          <w:szCs w:val="28"/>
          <w:lang w:val="uk-UA"/>
        </w:rPr>
        <w:t>дження впроваджено</w:t>
      </w:r>
      <w:r w:rsidR="00A03291" w:rsidRPr="00680794">
        <w:rPr>
          <w:rFonts w:ascii="Times New Roman" w:hAnsi="Times New Roman" w:cs="Times New Roman"/>
          <w:b/>
          <w:sz w:val="28"/>
          <w:szCs w:val="28"/>
          <w:lang w:val="uk-UA"/>
        </w:rPr>
        <w:t xml:space="preserve"> </w:t>
      </w:r>
      <w:r w:rsidR="00A03291" w:rsidRPr="00680794">
        <w:rPr>
          <w:rFonts w:ascii="Times New Roman" w:hAnsi="Times New Roman" w:cs="Times New Roman"/>
          <w:sz w:val="28"/>
          <w:szCs w:val="28"/>
          <w:lang w:val="uk-UA"/>
        </w:rPr>
        <w:t>у практ</w:t>
      </w:r>
      <w:r w:rsidR="00154629" w:rsidRPr="00680794">
        <w:rPr>
          <w:rFonts w:ascii="Times New Roman" w:hAnsi="Times New Roman" w:cs="Times New Roman"/>
          <w:sz w:val="28"/>
          <w:szCs w:val="28"/>
          <w:lang w:val="uk-UA"/>
        </w:rPr>
        <w:t>ичну д</w:t>
      </w:r>
      <w:r w:rsidR="00154629" w:rsidRPr="00680794">
        <w:rPr>
          <w:rFonts w:ascii="Times New Roman" w:hAnsi="Times New Roman" w:cs="Times New Roman"/>
          <w:sz w:val="28"/>
          <w:szCs w:val="28"/>
          <w:lang w:val="en-US"/>
        </w:rPr>
        <w:t>i</w:t>
      </w:r>
      <w:r w:rsidR="00154629" w:rsidRPr="00680794">
        <w:rPr>
          <w:rFonts w:ascii="Times New Roman" w:hAnsi="Times New Roman" w:cs="Times New Roman"/>
          <w:sz w:val="28"/>
          <w:szCs w:val="28"/>
          <w:lang w:val="uk-UA"/>
        </w:rPr>
        <w:t>яльн</w:t>
      </w:r>
      <w:r w:rsidR="00154629" w:rsidRPr="00680794">
        <w:rPr>
          <w:rFonts w:ascii="Times New Roman" w:hAnsi="Times New Roman" w:cs="Times New Roman"/>
          <w:sz w:val="28"/>
          <w:szCs w:val="28"/>
          <w:lang w:val="en-US"/>
        </w:rPr>
        <w:t>i</w:t>
      </w:r>
      <w:r w:rsidR="000936C4" w:rsidRPr="00680794">
        <w:rPr>
          <w:rFonts w:ascii="Times New Roman" w:hAnsi="Times New Roman" w:cs="Times New Roman"/>
          <w:sz w:val="28"/>
          <w:szCs w:val="28"/>
          <w:lang w:val="uk-UA"/>
        </w:rPr>
        <w:t xml:space="preserve">сть терапевтичного </w:t>
      </w:r>
      <w:r w:rsidR="00154629" w:rsidRPr="00680794">
        <w:rPr>
          <w:rFonts w:ascii="Times New Roman" w:hAnsi="Times New Roman" w:cs="Times New Roman"/>
          <w:sz w:val="28"/>
          <w:szCs w:val="28"/>
          <w:lang w:val="uk-UA"/>
        </w:rPr>
        <w:t>в</w:t>
      </w:r>
      <w:r w:rsidR="00154629" w:rsidRPr="00680794">
        <w:rPr>
          <w:rFonts w:ascii="Times New Roman" w:hAnsi="Times New Roman" w:cs="Times New Roman"/>
          <w:sz w:val="28"/>
          <w:szCs w:val="28"/>
          <w:lang w:val="en-US"/>
        </w:rPr>
        <w:t>i</w:t>
      </w:r>
      <w:r w:rsidR="00154629" w:rsidRPr="00680794">
        <w:rPr>
          <w:rFonts w:ascii="Times New Roman" w:hAnsi="Times New Roman" w:cs="Times New Roman"/>
          <w:sz w:val="28"/>
          <w:szCs w:val="28"/>
          <w:lang w:val="uk-UA"/>
        </w:rPr>
        <w:t>дд</w:t>
      </w:r>
      <w:r w:rsidR="00154629" w:rsidRPr="00680794">
        <w:rPr>
          <w:rFonts w:ascii="Times New Roman" w:hAnsi="Times New Roman" w:cs="Times New Roman"/>
          <w:sz w:val="28"/>
          <w:szCs w:val="28"/>
          <w:lang w:val="en-US"/>
        </w:rPr>
        <w:t>i</w:t>
      </w:r>
      <w:r w:rsidR="00A03291" w:rsidRPr="00680794">
        <w:rPr>
          <w:rFonts w:ascii="Times New Roman" w:hAnsi="Times New Roman" w:cs="Times New Roman"/>
          <w:sz w:val="28"/>
          <w:szCs w:val="28"/>
          <w:lang w:val="uk-UA"/>
        </w:rPr>
        <w:t xml:space="preserve">лення </w:t>
      </w:r>
      <w:r w:rsidR="00DA5101" w:rsidRPr="00680794">
        <w:rPr>
          <w:rFonts w:ascii="Times New Roman" w:hAnsi="Times New Roman" w:cs="Times New Roman"/>
          <w:sz w:val="28"/>
          <w:szCs w:val="28"/>
          <w:lang w:val="uk-UA"/>
        </w:rPr>
        <w:t>№</w:t>
      </w:r>
      <w:r w:rsidRPr="00680794">
        <w:rPr>
          <w:rFonts w:ascii="Times New Roman" w:hAnsi="Times New Roman" w:cs="Times New Roman"/>
          <w:sz w:val="28"/>
          <w:szCs w:val="28"/>
          <w:lang w:val="uk-UA"/>
        </w:rPr>
        <w:t xml:space="preserve"> </w:t>
      </w:r>
      <w:r w:rsidR="00DA5101" w:rsidRPr="00680794">
        <w:rPr>
          <w:rFonts w:ascii="Times New Roman" w:hAnsi="Times New Roman" w:cs="Times New Roman"/>
          <w:sz w:val="28"/>
          <w:szCs w:val="28"/>
          <w:lang w:val="uk-UA"/>
        </w:rPr>
        <w:t>1</w:t>
      </w:r>
      <w:r w:rsidR="00742BA0" w:rsidRPr="00742BA0">
        <w:rPr>
          <w:rFonts w:ascii="Times New Roman" w:hAnsi="Times New Roman" w:cs="Times New Roman"/>
          <w:sz w:val="28"/>
          <w:szCs w:val="28"/>
          <w:lang w:val="uk-UA"/>
        </w:rPr>
        <w:t xml:space="preserve"> </w:t>
      </w:r>
      <w:r w:rsidR="00742BA0">
        <w:rPr>
          <w:rFonts w:ascii="Times New Roman" w:hAnsi="Times New Roman" w:cs="Times New Roman"/>
          <w:sz w:val="28"/>
          <w:szCs w:val="28"/>
          <w:lang w:val="en-US"/>
        </w:rPr>
        <w:t>C</w:t>
      </w:r>
      <w:r w:rsidR="00742BA0">
        <w:rPr>
          <w:rFonts w:ascii="Times New Roman" w:hAnsi="Times New Roman" w:cs="Times New Roman"/>
          <w:sz w:val="28"/>
          <w:szCs w:val="28"/>
          <w:lang w:val="uk-UA"/>
        </w:rPr>
        <w:t>умської центральної районної клінічної лікарні</w:t>
      </w:r>
      <w:r w:rsidR="00DA5101" w:rsidRPr="00680794">
        <w:rPr>
          <w:rFonts w:ascii="Times New Roman" w:hAnsi="Times New Roman" w:cs="Times New Roman"/>
          <w:sz w:val="28"/>
          <w:szCs w:val="28"/>
          <w:lang w:val="uk-UA"/>
        </w:rPr>
        <w:t xml:space="preserve">, </w:t>
      </w:r>
      <w:r w:rsidR="00903D3A" w:rsidRPr="00B41230">
        <w:rPr>
          <w:rFonts w:ascii="Times New Roman" w:hAnsi="Times New Roman" w:cs="Times New Roman"/>
          <w:sz w:val="28"/>
          <w:szCs w:val="28"/>
          <w:lang w:val="uk-UA"/>
        </w:rPr>
        <w:t>в</w:t>
      </w:r>
      <w:r w:rsidR="00154629" w:rsidRPr="00B41230">
        <w:rPr>
          <w:rFonts w:ascii="Times New Roman" w:hAnsi="Times New Roman" w:cs="Times New Roman"/>
          <w:sz w:val="28"/>
          <w:szCs w:val="28"/>
          <w:lang w:val="en-US"/>
        </w:rPr>
        <w:t>i</w:t>
      </w:r>
      <w:r w:rsidR="00154629" w:rsidRPr="00B41230">
        <w:rPr>
          <w:rFonts w:ascii="Times New Roman" w:hAnsi="Times New Roman" w:cs="Times New Roman"/>
          <w:sz w:val="28"/>
          <w:szCs w:val="28"/>
          <w:lang w:val="uk-UA"/>
        </w:rPr>
        <w:t>дд</w:t>
      </w:r>
      <w:r w:rsidR="00154629" w:rsidRPr="00B41230">
        <w:rPr>
          <w:rFonts w:ascii="Times New Roman" w:hAnsi="Times New Roman" w:cs="Times New Roman"/>
          <w:sz w:val="28"/>
          <w:szCs w:val="28"/>
          <w:lang w:val="en-US"/>
        </w:rPr>
        <w:t>i</w:t>
      </w:r>
      <w:r w:rsidR="00903D3A" w:rsidRPr="00B41230">
        <w:rPr>
          <w:rFonts w:ascii="Times New Roman" w:hAnsi="Times New Roman" w:cs="Times New Roman"/>
          <w:sz w:val="28"/>
          <w:szCs w:val="28"/>
          <w:lang w:val="uk-UA"/>
        </w:rPr>
        <w:t>лення загальної практики</w:t>
      </w:r>
      <w:r w:rsidR="00D01523" w:rsidRPr="00B41230">
        <w:rPr>
          <w:rFonts w:ascii="Times New Roman" w:hAnsi="Times New Roman" w:cs="Times New Roman"/>
          <w:sz w:val="28"/>
          <w:szCs w:val="28"/>
          <w:lang w:val="uk-UA"/>
        </w:rPr>
        <w:t xml:space="preserve"> −</w:t>
      </w:r>
      <w:r w:rsidR="00154629" w:rsidRPr="00B41230">
        <w:rPr>
          <w:rFonts w:ascii="Times New Roman" w:hAnsi="Times New Roman" w:cs="Times New Roman"/>
          <w:sz w:val="28"/>
          <w:szCs w:val="28"/>
          <w:lang w:val="uk-UA"/>
        </w:rPr>
        <w:t xml:space="preserve"> с</w:t>
      </w:r>
      <w:r w:rsidR="00154629" w:rsidRPr="00B41230">
        <w:rPr>
          <w:rFonts w:ascii="Times New Roman" w:hAnsi="Times New Roman" w:cs="Times New Roman"/>
          <w:sz w:val="28"/>
          <w:szCs w:val="28"/>
          <w:lang w:val="en-US"/>
        </w:rPr>
        <w:t>i</w:t>
      </w:r>
      <w:r w:rsidR="00903D3A" w:rsidRPr="00B41230">
        <w:rPr>
          <w:rFonts w:ascii="Times New Roman" w:hAnsi="Times New Roman" w:cs="Times New Roman"/>
          <w:sz w:val="28"/>
          <w:szCs w:val="28"/>
          <w:lang w:val="uk-UA"/>
        </w:rPr>
        <w:t>мей</w:t>
      </w:r>
      <w:r w:rsidR="00756BF0">
        <w:rPr>
          <w:rFonts w:ascii="Times New Roman" w:hAnsi="Times New Roman" w:cs="Times New Roman"/>
          <w:sz w:val="28"/>
          <w:szCs w:val="28"/>
          <w:lang w:val="uk-UA"/>
        </w:rPr>
        <w:t>ної медицини № 4 КУ «Сумська</w:t>
      </w:r>
      <w:r w:rsidR="00154629" w:rsidRPr="00B41230">
        <w:rPr>
          <w:rFonts w:ascii="Times New Roman" w:hAnsi="Times New Roman" w:cs="Times New Roman"/>
          <w:sz w:val="28"/>
          <w:szCs w:val="28"/>
          <w:lang w:val="uk-UA"/>
        </w:rPr>
        <w:t xml:space="preserve"> м</w:t>
      </w:r>
      <w:r w:rsidR="00154629" w:rsidRPr="00B41230">
        <w:rPr>
          <w:rFonts w:ascii="Times New Roman" w:hAnsi="Times New Roman" w:cs="Times New Roman"/>
          <w:sz w:val="28"/>
          <w:szCs w:val="28"/>
          <w:lang w:val="en-US"/>
        </w:rPr>
        <w:t>i</w:t>
      </w:r>
      <w:r w:rsidR="00756BF0">
        <w:rPr>
          <w:rFonts w:ascii="Times New Roman" w:hAnsi="Times New Roman" w:cs="Times New Roman"/>
          <w:sz w:val="28"/>
          <w:szCs w:val="28"/>
          <w:lang w:val="uk-UA"/>
        </w:rPr>
        <w:t>ська</w:t>
      </w:r>
      <w:r w:rsidR="00154629" w:rsidRPr="00B41230">
        <w:rPr>
          <w:rFonts w:ascii="Times New Roman" w:hAnsi="Times New Roman" w:cs="Times New Roman"/>
          <w:sz w:val="28"/>
          <w:szCs w:val="28"/>
          <w:lang w:val="uk-UA"/>
        </w:rPr>
        <w:t xml:space="preserve"> кл</w:t>
      </w:r>
      <w:r w:rsidR="00154629" w:rsidRPr="00B41230">
        <w:rPr>
          <w:rFonts w:ascii="Times New Roman" w:hAnsi="Times New Roman" w:cs="Times New Roman"/>
          <w:sz w:val="28"/>
          <w:szCs w:val="28"/>
          <w:lang w:val="en-US"/>
        </w:rPr>
        <w:t>i</w:t>
      </w:r>
      <w:r w:rsidR="00154629" w:rsidRPr="00B41230">
        <w:rPr>
          <w:rFonts w:ascii="Times New Roman" w:hAnsi="Times New Roman" w:cs="Times New Roman"/>
          <w:sz w:val="28"/>
          <w:szCs w:val="28"/>
          <w:lang w:val="uk-UA"/>
        </w:rPr>
        <w:t>н</w:t>
      </w:r>
      <w:r w:rsidR="00154629" w:rsidRPr="00B41230">
        <w:rPr>
          <w:rFonts w:ascii="Times New Roman" w:hAnsi="Times New Roman" w:cs="Times New Roman"/>
          <w:sz w:val="28"/>
          <w:szCs w:val="28"/>
          <w:lang w:val="en-US"/>
        </w:rPr>
        <w:t>i</w:t>
      </w:r>
      <w:r w:rsidR="00756BF0">
        <w:rPr>
          <w:rFonts w:ascii="Times New Roman" w:hAnsi="Times New Roman" w:cs="Times New Roman"/>
          <w:sz w:val="28"/>
          <w:szCs w:val="28"/>
          <w:lang w:val="uk-UA"/>
        </w:rPr>
        <w:t xml:space="preserve">чна </w:t>
      </w:r>
      <w:r w:rsidR="00154629" w:rsidRPr="00B41230">
        <w:rPr>
          <w:rFonts w:ascii="Times New Roman" w:hAnsi="Times New Roman" w:cs="Times New Roman"/>
          <w:sz w:val="28"/>
          <w:szCs w:val="28"/>
          <w:lang w:val="uk-UA"/>
        </w:rPr>
        <w:t>л</w:t>
      </w:r>
      <w:r w:rsidR="00154629" w:rsidRPr="00B41230">
        <w:rPr>
          <w:rFonts w:ascii="Times New Roman" w:hAnsi="Times New Roman" w:cs="Times New Roman"/>
          <w:sz w:val="28"/>
          <w:szCs w:val="28"/>
          <w:lang w:val="en-US"/>
        </w:rPr>
        <w:t>i</w:t>
      </w:r>
      <w:r w:rsidR="00154629" w:rsidRPr="00B41230">
        <w:rPr>
          <w:rFonts w:ascii="Times New Roman" w:hAnsi="Times New Roman" w:cs="Times New Roman"/>
          <w:sz w:val="28"/>
          <w:szCs w:val="28"/>
          <w:lang w:val="uk-UA"/>
        </w:rPr>
        <w:t>карн</w:t>
      </w:r>
      <w:r w:rsidR="00756BF0">
        <w:rPr>
          <w:rFonts w:ascii="Times New Roman" w:hAnsi="Times New Roman" w:cs="Times New Roman"/>
          <w:sz w:val="28"/>
          <w:szCs w:val="28"/>
          <w:lang w:val="uk-UA"/>
        </w:rPr>
        <w:t>я</w:t>
      </w:r>
      <w:r w:rsidR="00903D3A" w:rsidRPr="00B41230">
        <w:rPr>
          <w:rFonts w:ascii="Times New Roman" w:hAnsi="Times New Roman" w:cs="Times New Roman"/>
          <w:sz w:val="28"/>
          <w:szCs w:val="28"/>
          <w:lang w:val="uk-UA"/>
        </w:rPr>
        <w:t xml:space="preserve"> № 5»,</w:t>
      </w:r>
      <w:r w:rsidR="00154629" w:rsidRPr="00B41230">
        <w:rPr>
          <w:rFonts w:ascii="Times New Roman" w:hAnsi="Times New Roman" w:cs="Times New Roman"/>
          <w:sz w:val="28"/>
          <w:szCs w:val="28"/>
          <w:lang w:val="uk-UA"/>
        </w:rPr>
        <w:t xml:space="preserve"> </w:t>
      </w:r>
      <w:r w:rsidR="00154629" w:rsidRPr="006F60B3">
        <w:rPr>
          <w:rFonts w:ascii="Times New Roman" w:hAnsi="Times New Roman" w:cs="Times New Roman"/>
          <w:sz w:val="28"/>
          <w:szCs w:val="28"/>
          <w:lang w:val="uk-UA"/>
        </w:rPr>
        <w:t>амбулатор</w:t>
      </w:r>
      <w:r w:rsidR="00154629" w:rsidRPr="006F60B3">
        <w:rPr>
          <w:rFonts w:ascii="Times New Roman" w:hAnsi="Times New Roman" w:cs="Times New Roman"/>
          <w:sz w:val="28"/>
          <w:szCs w:val="28"/>
          <w:lang w:val="en-US"/>
        </w:rPr>
        <w:t>i</w:t>
      </w:r>
      <w:r w:rsidR="00646A46">
        <w:rPr>
          <w:rFonts w:ascii="Times New Roman" w:hAnsi="Times New Roman" w:cs="Times New Roman"/>
          <w:sz w:val="28"/>
          <w:szCs w:val="28"/>
          <w:lang w:val="uk-UA"/>
        </w:rPr>
        <w:t>ї</w:t>
      </w:r>
      <w:r w:rsidR="00903D3A" w:rsidRPr="006F60B3">
        <w:rPr>
          <w:rFonts w:ascii="Times New Roman" w:hAnsi="Times New Roman" w:cs="Times New Roman"/>
          <w:sz w:val="28"/>
          <w:szCs w:val="28"/>
          <w:lang w:val="uk-UA"/>
        </w:rPr>
        <w:t xml:space="preserve"> </w:t>
      </w:r>
      <w:r w:rsidR="00154629" w:rsidRPr="006F60B3">
        <w:rPr>
          <w:rFonts w:ascii="Times New Roman" w:hAnsi="Times New Roman" w:cs="Times New Roman"/>
          <w:sz w:val="28"/>
          <w:szCs w:val="28"/>
          <w:lang w:val="uk-UA"/>
        </w:rPr>
        <w:t xml:space="preserve">№ 2 </w:t>
      </w:r>
      <w:r w:rsidR="00122648" w:rsidRPr="006F60B3">
        <w:rPr>
          <w:rFonts w:ascii="Times New Roman" w:hAnsi="Times New Roman" w:cs="Times New Roman"/>
          <w:sz w:val="28"/>
          <w:szCs w:val="28"/>
          <w:lang w:val="uk-UA"/>
        </w:rPr>
        <w:t>КНП</w:t>
      </w:r>
      <w:r w:rsidR="005C6FE6" w:rsidRPr="006F60B3">
        <w:rPr>
          <w:rFonts w:ascii="Times New Roman" w:hAnsi="Times New Roman" w:cs="Times New Roman"/>
          <w:sz w:val="28"/>
          <w:szCs w:val="28"/>
          <w:lang w:val="uk-UA"/>
        </w:rPr>
        <w:t xml:space="preserve"> «Центр</w:t>
      </w:r>
      <w:r w:rsidR="00154629" w:rsidRPr="006F60B3">
        <w:rPr>
          <w:rFonts w:ascii="Times New Roman" w:hAnsi="Times New Roman" w:cs="Times New Roman"/>
          <w:sz w:val="28"/>
          <w:szCs w:val="28"/>
          <w:lang w:val="uk-UA"/>
        </w:rPr>
        <w:t xml:space="preserve"> первинної медико-сан</w:t>
      </w:r>
      <w:r w:rsidR="00154629" w:rsidRPr="006F60B3">
        <w:rPr>
          <w:rFonts w:ascii="Times New Roman" w:hAnsi="Times New Roman" w:cs="Times New Roman"/>
          <w:sz w:val="28"/>
          <w:szCs w:val="28"/>
          <w:lang w:val="en-US"/>
        </w:rPr>
        <w:t>i</w:t>
      </w:r>
      <w:r w:rsidR="00903D3A" w:rsidRPr="006F60B3">
        <w:rPr>
          <w:rFonts w:ascii="Times New Roman" w:hAnsi="Times New Roman" w:cs="Times New Roman"/>
          <w:sz w:val="28"/>
          <w:szCs w:val="28"/>
          <w:lang w:val="uk-UA"/>
        </w:rPr>
        <w:t xml:space="preserve">тарної </w:t>
      </w:r>
      <w:r w:rsidR="005C6FE6" w:rsidRPr="006F60B3">
        <w:rPr>
          <w:rFonts w:ascii="Times New Roman" w:hAnsi="Times New Roman" w:cs="Times New Roman"/>
          <w:sz w:val="28"/>
          <w:szCs w:val="28"/>
          <w:lang w:val="uk-UA"/>
        </w:rPr>
        <w:t>допомоги № 1» СМР</w:t>
      </w:r>
      <w:r w:rsidR="00154629" w:rsidRPr="006F60B3">
        <w:rPr>
          <w:rFonts w:ascii="Times New Roman" w:hAnsi="Times New Roman" w:cs="Times New Roman"/>
          <w:sz w:val="28"/>
          <w:szCs w:val="28"/>
          <w:lang w:val="uk-UA"/>
        </w:rPr>
        <w:t xml:space="preserve">, </w:t>
      </w:r>
      <w:r w:rsidR="00A51A21">
        <w:rPr>
          <w:rFonts w:ascii="Times New Roman" w:hAnsi="Times New Roman" w:cs="Times New Roman"/>
          <w:sz w:val="28"/>
          <w:szCs w:val="28"/>
          <w:lang w:val="uk-UA"/>
        </w:rPr>
        <w:t>І терапевтичного відділення</w:t>
      </w:r>
      <w:r w:rsidR="007236BB">
        <w:rPr>
          <w:rFonts w:ascii="Times New Roman" w:hAnsi="Times New Roman" w:cs="Times New Roman"/>
          <w:sz w:val="28"/>
          <w:szCs w:val="28"/>
          <w:lang w:val="uk-UA"/>
        </w:rPr>
        <w:t xml:space="preserve"> ХМКЛ ШНМД</w:t>
      </w:r>
      <w:r w:rsidR="007236BB" w:rsidRPr="007236BB">
        <w:rPr>
          <w:rFonts w:ascii="Times New Roman" w:hAnsi="Times New Roman" w:cs="Times New Roman"/>
          <w:sz w:val="28"/>
          <w:szCs w:val="28"/>
          <w:lang w:val="uk-UA"/>
        </w:rPr>
        <w:t xml:space="preserve"> </w:t>
      </w:r>
      <w:r w:rsidR="007236BB">
        <w:rPr>
          <w:rFonts w:ascii="Times New Roman" w:hAnsi="Times New Roman" w:cs="Times New Roman"/>
          <w:sz w:val="28"/>
          <w:szCs w:val="28"/>
          <w:lang w:val="uk-UA"/>
        </w:rPr>
        <w:t xml:space="preserve">ім. проф. О. І. Мещанінова, </w:t>
      </w:r>
      <w:r w:rsidR="00DA5101" w:rsidRPr="00680794">
        <w:rPr>
          <w:rFonts w:ascii="Times New Roman" w:hAnsi="Times New Roman" w:cs="Times New Roman"/>
          <w:sz w:val="28"/>
          <w:szCs w:val="28"/>
          <w:lang w:val="uk-UA"/>
        </w:rPr>
        <w:t xml:space="preserve">кафедри загальної практики </w:t>
      </w:r>
      <w:r w:rsidR="00D01523" w:rsidRPr="00680794">
        <w:rPr>
          <w:rFonts w:ascii="Times New Roman" w:hAnsi="Times New Roman" w:cs="Times New Roman"/>
          <w:sz w:val="28"/>
          <w:szCs w:val="28"/>
          <w:lang w:val="uk-UA"/>
        </w:rPr>
        <w:t xml:space="preserve">− </w:t>
      </w:r>
      <w:r w:rsidR="00154629" w:rsidRPr="00680794">
        <w:rPr>
          <w:rFonts w:ascii="Times New Roman" w:hAnsi="Times New Roman" w:cs="Times New Roman"/>
          <w:sz w:val="28"/>
          <w:szCs w:val="28"/>
          <w:lang w:val="uk-UA"/>
        </w:rPr>
        <w:t>с</w:t>
      </w:r>
      <w:r w:rsidR="00154629" w:rsidRPr="00680794">
        <w:rPr>
          <w:rFonts w:ascii="Times New Roman" w:hAnsi="Times New Roman" w:cs="Times New Roman"/>
          <w:sz w:val="28"/>
          <w:szCs w:val="28"/>
          <w:lang w:val="en-US"/>
        </w:rPr>
        <w:t>i</w:t>
      </w:r>
      <w:r w:rsidR="00154629" w:rsidRPr="00680794">
        <w:rPr>
          <w:rFonts w:ascii="Times New Roman" w:hAnsi="Times New Roman" w:cs="Times New Roman"/>
          <w:sz w:val="28"/>
          <w:szCs w:val="28"/>
          <w:lang w:val="uk-UA"/>
        </w:rPr>
        <w:t>мейної медицини Харк</w:t>
      </w:r>
      <w:r w:rsidR="00154629" w:rsidRPr="00680794">
        <w:rPr>
          <w:rFonts w:ascii="Times New Roman" w:hAnsi="Times New Roman" w:cs="Times New Roman"/>
          <w:sz w:val="28"/>
          <w:szCs w:val="28"/>
          <w:lang w:val="en-US"/>
        </w:rPr>
        <w:t>i</w:t>
      </w:r>
      <w:r w:rsidR="00154629" w:rsidRPr="00680794">
        <w:rPr>
          <w:rFonts w:ascii="Times New Roman" w:hAnsi="Times New Roman" w:cs="Times New Roman"/>
          <w:sz w:val="28"/>
          <w:szCs w:val="28"/>
          <w:lang w:val="uk-UA"/>
        </w:rPr>
        <w:t>вського нац</w:t>
      </w:r>
      <w:r w:rsidR="00154629" w:rsidRPr="00680794">
        <w:rPr>
          <w:rFonts w:ascii="Times New Roman" w:hAnsi="Times New Roman" w:cs="Times New Roman"/>
          <w:sz w:val="28"/>
          <w:szCs w:val="28"/>
          <w:lang w:val="en-US"/>
        </w:rPr>
        <w:t>i</w:t>
      </w:r>
      <w:r w:rsidR="00DA5101" w:rsidRPr="00680794">
        <w:rPr>
          <w:rFonts w:ascii="Times New Roman" w:hAnsi="Times New Roman" w:cs="Times New Roman"/>
          <w:sz w:val="28"/>
          <w:szCs w:val="28"/>
          <w:lang w:val="uk-UA"/>
        </w:rPr>
        <w:t>онального</w:t>
      </w:r>
      <w:r w:rsidR="00154629" w:rsidRPr="00680794">
        <w:rPr>
          <w:rFonts w:ascii="Times New Roman" w:hAnsi="Times New Roman" w:cs="Times New Roman"/>
          <w:sz w:val="28"/>
          <w:szCs w:val="28"/>
          <w:lang w:val="uk-UA"/>
        </w:rPr>
        <w:t xml:space="preserve"> ун</w:t>
      </w:r>
      <w:r w:rsidR="00154629" w:rsidRPr="00680794">
        <w:rPr>
          <w:rFonts w:ascii="Times New Roman" w:hAnsi="Times New Roman" w:cs="Times New Roman"/>
          <w:sz w:val="28"/>
          <w:szCs w:val="28"/>
          <w:lang w:val="en-US"/>
        </w:rPr>
        <w:t>i</w:t>
      </w:r>
      <w:r w:rsidR="002A53F6" w:rsidRPr="00680794">
        <w:rPr>
          <w:rFonts w:ascii="Times New Roman" w:hAnsi="Times New Roman" w:cs="Times New Roman"/>
          <w:sz w:val="28"/>
          <w:szCs w:val="28"/>
          <w:lang w:val="uk-UA"/>
        </w:rPr>
        <w:t>верситет</w:t>
      </w:r>
      <w:r w:rsidR="00154629" w:rsidRPr="00680794">
        <w:rPr>
          <w:rFonts w:ascii="Times New Roman" w:hAnsi="Times New Roman" w:cs="Times New Roman"/>
          <w:sz w:val="28"/>
          <w:szCs w:val="28"/>
          <w:lang w:val="uk-UA"/>
        </w:rPr>
        <w:t xml:space="preserve">у </w:t>
      </w:r>
      <w:r w:rsidR="003A72CF">
        <w:rPr>
          <w:rFonts w:ascii="Times New Roman" w:hAnsi="Times New Roman" w:cs="Times New Roman"/>
          <w:sz w:val="28"/>
          <w:szCs w:val="28"/>
          <w:lang w:val="uk-UA"/>
        </w:rPr>
        <w:t xml:space="preserve">    </w:t>
      </w:r>
      <w:r w:rsidR="00154629" w:rsidRPr="00680794">
        <w:rPr>
          <w:rFonts w:ascii="Times New Roman" w:hAnsi="Times New Roman" w:cs="Times New Roman"/>
          <w:sz w:val="28"/>
          <w:szCs w:val="28"/>
          <w:lang w:val="en-US"/>
        </w:rPr>
        <w:t>i</w:t>
      </w:r>
      <w:r w:rsidR="00903D3A" w:rsidRPr="00680794">
        <w:rPr>
          <w:rFonts w:ascii="Times New Roman" w:hAnsi="Times New Roman" w:cs="Times New Roman"/>
          <w:sz w:val="28"/>
          <w:szCs w:val="28"/>
          <w:lang w:val="uk-UA"/>
        </w:rPr>
        <w:t>м. В.</w:t>
      </w:r>
      <w:r w:rsidR="00C52E96" w:rsidRPr="00680794">
        <w:rPr>
          <w:rFonts w:ascii="Times New Roman" w:hAnsi="Times New Roman" w:cs="Times New Roman"/>
          <w:sz w:val="28"/>
          <w:szCs w:val="28"/>
          <w:lang w:val="uk-UA"/>
        </w:rPr>
        <w:t xml:space="preserve"> </w:t>
      </w:r>
      <w:r w:rsidR="00903D3A" w:rsidRPr="00680794">
        <w:rPr>
          <w:rFonts w:ascii="Times New Roman" w:hAnsi="Times New Roman" w:cs="Times New Roman"/>
          <w:sz w:val="28"/>
          <w:szCs w:val="28"/>
          <w:lang w:val="uk-UA"/>
        </w:rPr>
        <w:t>Н.</w:t>
      </w:r>
      <w:r w:rsidR="00154629" w:rsidRPr="00680794">
        <w:rPr>
          <w:rFonts w:ascii="Times New Roman" w:hAnsi="Times New Roman" w:cs="Times New Roman"/>
          <w:sz w:val="28"/>
          <w:szCs w:val="28"/>
          <w:lang w:val="uk-UA"/>
        </w:rPr>
        <w:t xml:space="preserve"> Караз</w:t>
      </w:r>
      <w:r w:rsidR="00154629" w:rsidRPr="00680794">
        <w:rPr>
          <w:rFonts w:ascii="Times New Roman" w:hAnsi="Times New Roman" w:cs="Times New Roman"/>
          <w:sz w:val="28"/>
          <w:szCs w:val="28"/>
          <w:lang w:val="en-US"/>
        </w:rPr>
        <w:t>i</w:t>
      </w:r>
      <w:r w:rsidR="00903D3A" w:rsidRPr="00680794">
        <w:rPr>
          <w:rFonts w:ascii="Times New Roman" w:hAnsi="Times New Roman" w:cs="Times New Roman"/>
          <w:sz w:val="28"/>
          <w:szCs w:val="28"/>
          <w:lang w:val="uk-UA"/>
        </w:rPr>
        <w:t>на</w:t>
      </w:r>
      <w:r w:rsidR="007B7301" w:rsidRPr="00680794">
        <w:rPr>
          <w:rFonts w:ascii="Times New Roman" w:hAnsi="Times New Roman" w:cs="Times New Roman"/>
          <w:sz w:val="28"/>
          <w:szCs w:val="28"/>
          <w:lang w:val="uk-UA"/>
        </w:rPr>
        <w:t>.</w:t>
      </w:r>
    </w:p>
    <w:p w:rsidR="00A03291" w:rsidRDefault="00180B5A" w:rsidP="007B48F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00752688">
        <w:rPr>
          <w:rFonts w:ascii="Times New Roman" w:hAnsi="Times New Roman" w:cs="Times New Roman"/>
          <w:b/>
          <w:sz w:val="28"/>
          <w:szCs w:val="28"/>
          <w:lang w:val="uk-UA"/>
        </w:rPr>
        <w:t xml:space="preserve"> </w:t>
      </w:r>
      <w:r w:rsidR="00327A28" w:rsidRPr="00A324A9">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Особистий внесок здобувача</w:t>
      </w:r>
      <w:r w:rsidR="00A03291" w:rsidRPr="00A03291">
        <w:rPr>
          <w:rFonts w:ascii="Times New Roman" w:hAnsi="Times New Roman" w:cs="Times New Roman"/>
          <w:sz w:val="28"/>
          <w:szCs w:val="28"/>
          <w:lang w:val="uk-UA"/>
        </w:rPr>
        <w:t xml:space="preserve"> </w:t>
      </w:r>
    </w:p>
    <w:p w:rsidR="00D66B4C" w:rsidRPr="00D66B4C" w:rsidRDefault="007B48FC" w:rsidP="007B48F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BC32DD">
        <w:rPr>
          <w:rFonts w:ascii="Times New Roman" w:hAnsi="Times New Roman" w:cs="Times New Roman"/>
          <w:sz w:val="28"/>
          <w:szCs w:val="28"/>
          <w:lang w:val="uk-UA"/>
        </w:rPr>
        <w:t xml:space="preserve">Здобувачем </w:t>
      </w:r>
      <w:r w:rsidR="00D66B4C" w:rsidRPr="00D66B4C">
        <w:rPr>
          <w:rFonts w:ascii="Times New Roman" w:hAnsi="Times New Roman" w:cs="Times New Roman"/>
          <w:sz w:val="28"/>
          <w:szCs w:val="28"/>
          <w:lang w:val="uk-UA"/>
        </w:rPr>
        <w:t>розроблено дизайн, сплановано етапи дослідження, сформульовано м</w:t>
      </w:r>
      <w:r w:rsidR="00154629">
        <w:rPr>
          <w:rFonts w:ascii="Times New Roman" w:hAnsi="Times New Roman" w:cs="Times New Roman"/>
          <w:sz w:val="28"/>
          <w:szCs w:val="28"/>
          <w:lang w:val="uk-UA"/>
        </w:rPr>
        <w:t xml:space="preserve">ету </w:t>
      </w:r>
      <w:r w:rsidR="00154629">
        <w:rPr>
          <w:rFonts w:ascii="Times New Roman" w:hAnsi="Times New Roman" w:cs="Times New Roman"/>
          <w:sz w:val="28"/>
          <w:szCs w:val="28"/>
          <w:lang w:val="en-US"/>
        </w:rPr>
        <w:t>i</w:t>
      </w:r>
      <w:r w:rsidR="00D01523">
        <w:rPr>
          <w:rFonts w:ascii="Times New Roman" w:hAnsi="Times New Roman" w:cs="Times New Roman"/>
          <w:sz w:val="28"/>
          <w:szCs w:val="28"/>
          <w:lang w:val="uk-UA"/>
        </w:rPr>
        <w:t xml:space="preserve"> завдання роботи, проведено</w:t>
      </w:r>
      <w:r w:rsidR="00D66B4C" w:rsidRPr="00D66B4C">
        <w:rPr>
          <w:rFonts w:ascii="Times New Roman" w:hAnsi="Times New Roman" w:cs="Times New Roman"/>
          <w:sz w:val="28"/>
          <w:szCs w:val="28"/>
          <w:lang w:val="uk-UA"/>
        </w:rPr>
        <w:t xml:space="preserve"> о</w:t>
      </w:r>
      <w:r w:rsidR="00154629">
        <w:rPr>
          <w:rFonts w:ascii="Times New Roman" w:hAnsi="Times New Roman" w:cs="Times New Roman"/>
          <w:sz w:val="28"/>
          <w:szCs w:val="28"/>
          <w:lang w:val="uk-UA"/>
        </w:rPr>
        <w:t>бстеження тематичних хворих, зд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йснено їх в</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дб</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р, розпод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л на групи та п</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дгрупи, розроб</w:t>
      </w:r>
      <w:r w:rsidR="00154629">
        <w:rPr>
          <w:rFonts w:ascii="Times New Roman" w:hAnsi="Times New Roman" w:cs="Times New Roman"/>
          <w:sz w:val="28"/>
          <w:szCs w:val="28"/>
          <w:lang w:val="uk-UA"/>
        </w:rPr>
        <w:t xml:space="preserve">лено </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 xml:space="preserve"> заповнено карти </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ндив</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дуал</w:t>
      </w:r>
      <w:r w:rsidR="00154629">
        <w:rPr>
          <w:rFonts w:ascii="Times New Roman" w:hAnsi="Times New Roman" w:cs="Times New Roman"/>
          <w:sz w:val="28"/>
          <w:szCs w:val="28"/>
          <w:lang w:val="uk-UA"/>
        </w:rPr>
        <w:t>ьного обстеження на кожного пац</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 xml:space="preserve">єнта, створено </w:t>
      </w:r>
      <w:r w:rsidR="00154629">
        <w:rPr>
          <w:rFonts w:ascii="Times New Roman" w:hAnsi="Times New Roman" w:cs="Times New Roman"/>
          <w:sz w:val="28"/>
          <w:szCs w:val="28"/>
          <w:lang w:val="uk-UA"/>
        </w:rPr>
        <w:t>комп’ютерну базу даних, проанал</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з</w:t>
      </w:r>
      <w:r w:rsidR="00154629">
        <w:rPr>
          <w:rFonts w:ascii="Times New Roman" w:hAnsi="Times New Roman" w:cs="Times New Roman"/>
          <w:sz w:val="28"/>
          <w:szCs w:val="28"/>
          <w:lang w:val="uk-UA"/>
        </w:rPr>
        <w:t xml:space="preserve">овано результати лабораторних, </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нструментальних, б</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ох</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м</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чних метод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в досл</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дженн</w:t>
      </w:r>
      <w:r w:rsidR="00154629">
        <w:rPr>
          <w:rFonts w:ascii="Times New Roman" w:hAnsi="Times New Roman" w:cs="Times New Roman"/>
          <w:sz w:val="28"/>
          <w:szCs w:val="28"/>
          <w:lang w:val="uk-UA"/>
        </w:rPr>
        <w:t>я, запропоновано новий диференц</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йований</w:t>
      </w:r>
      <w:r w:rsidR="00154629">
        <w:rPr>
          <w:rFonts w:ascii="Times New Roman" w:hAnsi="Times New Roman" w:cs="Times New Roman"/>
          <w:sz w:val="28"/>
          <w:szCs w:val="28"/>
          <w:lang w:val="uk-UA"/>
        </w:rPr>
        <w:t xml:space="preserve"> п</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дх</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д до л</w:t>
      </w:r>
      <w:r w:rsidR="00154629">
        <w:rPr>
          <w:rFonts w:ascii="Times New Roman" w:hAnsi="Times New Roman" w:cs="Times New Roman"/>
          <w:sz w:val="28"/>
          <w:szCs w:val="28"/>
          <w:lang w:val="en-US"/>
        </w:rPr>
        <w:t>i</w:t>
      </w:r>
      <w:r w:rsidR="009C6FE7">
        <w:rPr>
          <w:rFonts w:ascii="Times New Roman" w:hAnsi="Times New Roman" w:cs="Times New Roman"/>
          <w:sz w:val="28"/>
          <w:szCs w:val="28"/>
          <w:lang w:val="uk-UA"/>
        </w:rPr>
        <w:t>кування з по</w:t>
      </w:r>
      <w:r w:rsidR="00154629">
        <w:rPr>
          <w:rFonts w:ascii="Times New Roman" w:hAnsi="Times New Roman" w:cs="Times New Roman"/>
          <w:sz w:val="28"/>
          <w:szCs w:val="28"/>
          <w:lang w:val="uk-UA"/>
        </w:rPr>
        <w:t>дальшим оц</w:t>
      </w:r>
      <w:r w:rsidR="00154629">
        <w:rPr>
          <w:rFonts w:ascii="Times New Roman" w:hAnsi="Times New Roman" w:cs="Times New Roman"/>
          <w:sz w:val="28"/>
          <w:szCs w:val="28"/>
          <w:lang w:val="en-US"/>
        </w:rPr>
        <w:t>i</w:t>
      </w:r>
      <w:r w:rsidR="009C6FE7">
        <w:rPr>
          <w:rFonts w:ascii="Times New Roman" w:hAnsi="Times New Roman" w:cs="Times New Roman"/>
          <w:sz w:val="28"/>
          <w:szCs w:val="28"/>
          <w:lang w:val="uk-UA"/>
        </w:rPr>
        <w:t>нюванням</w:t>
      </w:r>
      <w:r w:rsidR="00154629">
        <w:rPr>
          <w:rFonts w:ascii="Times New Roman" w:hAnsi="Times New Roman" w:cs="Times New Roman"/>
          <w:sz w:val="28"/>
          <w:szCs w:val="28"/>
          <w:lang w:val="uk-UA"/>
        </w:rPr>
        <w:t xml:space="preserve"> його ефективност</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 виконано статистичне</w:t>
      </w:r>
      <w:r w:rsidR="00154629">
        <w:rPr>
          <w:rFonts w:ascii="Times New Roman" w:hAnsi="Times New Roman" w:cs="Times New Roman"/>
          <w:sz w:val="28"/>
          <w:szCs w:val="28"/>
          <w:lang w:val="uk-UA"/>
        </w:rPr>
        <w:t xml:space="preserve"> оброблення одержаних результат</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в, п</w:t>
      </w:r>
      <w:r w:rsidR="009C6FE7">
        <w:rPr>
          <w:rFonts w:ascii="Times New Roman" w:hAnsi="Times New Roman" w:cs="Times New Roman"/>
          <w:sz w:val="28"/>
          <w:szCs w:val="28"/>
          <w:lang w:val="uk-UA"/>
        </w:rPr>
        <w:t>ода</w:t>
      </w:r>
      <w:r w:rsidR="00154629">
        <w:rPr>
          <w:rFonts w:ascii="Times New Roman" w:hAnsi="Times New Roman" w:cs="Times New Roman"/>
          <w:sz w:val="28"/>
          <w:szCs w:val="28"/>
          <w:lang w:val="uk-UA"/>
        </w:rPr>
        <w:t>них та проанал</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зованих у розд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лах власних досл</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джень, сформульовано висновки, обґрунтова</w:t>
      </w:r>
      <w:r w:rsidR="00154629">
        <w:rPr>
          <w:rFonts w:ascii="Times New Roman" w:hAnsi="Times New Roman" w:cs="Times New Roman"/>
          <w:sz w:val="28"/>
          <w:szCs w:val="28"/>
          <w:lang w:val="uk-UA"/>
        </w:rPr>
        <w:t>но рекомендац</w:t>
      </w:r>
      <w:r w:rsidR="00154629">
        <w:rPr>
          <w:rFonts w:ascii="Times New Roman" w:hAnsi="Times New Roman" w:cs="Times New Roman"/>
          <w:sz w:val="28"/>
          <w:szCs w:val="28"/>
          <w:lang w:val="en-US"/>
        </w:rPr>
        <w:t>i</w:t>
      </w:r>
      <w:r w:rsidR="009C6FE7">
        <w:rPr>
          <w:rFonts w:ascii="Times New Roman" w:hAnsi="Times New Roman" w:cs="Times New Roman"/>
          <w:sz w:val="28"/>
          <w:szCs w:val="28"/>
          <w:lang w:val="uk-UA"/>
        </w:rPr>
        <w:t>ї з подальшим їх у</w:t>
      </w:r>
      <w:r w:rsidR="00D66B4C" w:rsidRPr="00D66B4C">
        <w:rPr>
          <w:rFonts w:ascii="Times New Roman" w:hAnsi="Times New Roman" w:cs="Times New Roman"/>
          <w:sz w:val="28"/>
          <w:szCs w:val="28"/>
          <w:lang w:val="uk-UA"/>
        </w:rPr>
        <w:t>провадження</w:t>
      </w:r>
      <w:r w:rsidR="009C6FE7">
        <w:rPr>
          <w:rFonts w:ascii="Times New Roman" w:hAnsi="Times New Roman" w:cs="Times New Roman"/>
          <w:sz w:val="28"/>
          <w:szCs w:val="28"/>
          <w:lang w:val="uk-UA"/>
        </w:rPr>
        <w:t xml:space="preserve">м </w:t>
      </w:r>
      <w:r w:rsidR="007F4A3C" w:rsidRPr="00931D0B">
        <w:rPr>
          <w:rFonts w:ascii="Times New Roman" w:hAnsi="Times New Roman" w:cs="Times New Roman"/>
          <w:sz w:val="28"/>
          <w:szCs w:val="28"/>
          <w:lang w:val="uk-UA"/>
        </w:rPr>
        <w:t xml:space="preserve">             </w:t>
      </w:r>
      <w:r w:rsidR="009C6FE7">
        <w:rPr>
          <w:rFonts w:ascii="Times New Roman" w:hAnsi="Times New Roman" w:cs="Times New Roman"/>
          <w:sz w:val="28"/>
          <w:szCs w:val="28"/>
          <w:lang w:val="uk-UA"/>
        </w:rPr>
        <w:t xml:space="preserve">у </w:t>
      </w:r>
      <w:r w:rsidR="00154629">
        <w:rPr>
          <w:rFonts w:ascii="Times New Roman" w:hAnsi="Times New Roman" w:cs="Times New Roman"/>
          <w:sz w:val="28"/>
          <w:szCs w:val="28"/>
          <w:lang w:val="uk-UA"/>
        </w:rPr>
        <w:t>практичну д</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яльн</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сть за</w:t>
      </w:r>
      <w:r w:rsidR="00154629">
        <w:rPr>
          <w:rFonts w:ascii="Times New Roman" w:hAnsi="Times New Roman" w:cs="Times New Roman"/>
          <w:sz w:val="28"/>
          <w:szCs w:val="28"/>
          <w:lang w:val="uk-UA"/>
        </w:rPr>
        <w:t>клад</w:t>
      </w:r>
      <w:r w:rsidR="00154629">
        <w:rPr>
          <w:rFonts w:ascii="Times New Roman" w:hAnsi="Times New Roman" w:cs="Times New Roman"/>
          <w:sz w:val="28"/>
          <w:szCs w:val="28"/>
          <w:lang w:val="en-US"/>
        </w:rPr>
        <w:t>i</w:t>
      </w:r>
      <w:r w:rsidR="00D66B4C" w:rsidRPr="00D66B4C">
        <w:rPr>
          <w:rFonts w:ascii="Times New Roman" w:hAnsi="Times New Roman" w:cs="Times New Roman"/>
          <w:sz w:val="28"/>
          <w:szCs w:val="28"/>
          <w:lang w:val="uk-UA"/>
        </w:rPr>
        <w:t>в охорони здоров’я.</w:t>
      </w:r>
    </w:p>
    <w:p w:rsidR="007B48FC" w:rsidRPr="008C1539" w:rsidRDefault="00D66B4C" w:rsidP="007B48FC">
      <w:pPr>
        <w:spacing w:after="0" w:line="360" w:lineRule="auto"/>
        <w:ind w:firstLine="34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54629">
        <w:rPr>
          <w:rFonts w:ascii="Times New Roman" w:hAnsi="Times New Roman" w:cs="Times New Roman"/>
          <w:b/>
          <w:sz w:val="28"/>
          <w:szCs w:val="28"/>
          <w:lang w:val="uk-UA"/>
        </w:rPr>
        <w:t>Апробац</w:t>
      </w:r>
      <w:r w:rsidR="00154629">
        <w:rPr>
          <w:rFonts w:ascii="Times New Roman" w:hAnsi="Times New Roman" w:cs="Times New Roman"/>
          <w:b/>
          <w:sz w:val="28"/>
          <w:szCs w:val="28"/>
          <w:lang w:val="en-US"/>
        </w:rPr>
        <w:t>i</w:t>
      </w:r>
      <w:r w:rsidR="007B48FC" w:rsidRPr="005E32FA">
        <w:rPr>
          <w:rFonts w:ascii="Times New Roman" w:hAnsi="Times New Roman" w:cs="Times New Roman"/>
          <w:b/>
          <w:sz w:val="28"/>
          <w:szCs w:val="28"/>
          <w:lang w:val="uk-UA"/>
        </w:rPr>
        <w:t>я о</w:t>
      </w:r>
      <w:r w:rsidR="007B48FC">
        <w:rPr>
          <w:rFonts w:ascii="Times New Roman" w:hAnsi="Times New Roman" w:cs="Times New Roman"/>
          <w:b/>
          <w:sz w:val="28"/>
          <w:szCs w:val="28"/>
          <w:lang w:val="uk-UA"/>
        </w:rPr>
        <w:t>держ</w:t>
      </w:r>
      <w:r w:rsidR="00154629">
        <w:rPr>
          <w:rFonts w:ascii="Times New Roman" w:hAnsi="Times New Roman" w:cs="Times New Roman"/>
          <w:b/>
          <w:sz w:val="28"/>
          <w:szCs w:val="28"/>
          <w:lang w:val="uk-UA"/>
        </w:rPr>
        <w:t>аних результат</w:t>
      </w:r>
      <w:r w:rsidR="00154629">
        <w:rPr>
          <w:rFonts w:ascii="Times New Roman" w:hAnsi="Times New Roman" w:cs="Times New Roman"/>
          <w:b/>
          <w:sz w:val="28"/>
          <w:szCs w:val="28"/>
          <w:lang w:val="en-US"/>
        </w:rPr>
        <w:t>i</w:t>
      </w:r>
      <w:r w:rsidR="007B48FC" w:rsidRPr="005E32FA">
        <w:rPr>
          <w:rFonts w:ascii="Times New Roman" w:hAnsi="Times New Roman" w:cs="Times New Roman"/>
          <w:b/>
          <w:sz w:val="28"/>
          <w:szCs w:val="28"/>
          <w:lang w:val="uk-UA"/>
        </w:rPr>
        <w:t xml:space="preserve">в. </w:t>
      </w:r>
      <w:r w:rsidR="00154629">
        <w:rPr>
          <w:rFonts w:ascii="Times New Roman" w:hAnsi="Times New Roman" w:cs="Times New Roman"/>
          <w:sz w:val="28"/>
          <w:szCs w:val="28"/>
          <w:lang w:val="uk-UA"/>
        </w:rPr>
        <w:t>Основн</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 xml:space="preserve"> результати роботи оприлюднен</w:t>
      </w:r>
      <w:r w:rsidR="00154629">
        <w:rPr>
          <w:rFonts w:ascii="Times New Roman" w:hAnsi="Times New Roman" w:cs="Times New Roman"/>
          <w:sz w:val="28"/>
          <w:szCs w:val="28"/>
          <w:lang w:val="en-US"/>
        </w:rPr>
        <w:t>i</w:t>
      </w:r>
      <w:r w:rsidR="007B48FC" w:rsidRPr="005E32FA">
        <w:rPr>
          <w:rFonts w:ascii="Times New Roman" w:hAnsi="Times New Roman" w:cs="Times New Roman"/>
          <w:sz w:val="28"/>
          <w:szCs w:val="28"/>
          <w:lang w:val="uk-UA"/>
        </w:rPr>
        <w:t xml:space="preserve"> на</w:t>
      </w:r>
      <w:r w:rsidR="00E02F04">
        <w:rPr>
          <w:rFonts w:ascii="Times New Roman" w:hAnsi="Times New Roman" w:cs="Times New Roman"/>
          <w:sz w:val="28"/>
          <w:szCs w:val="28"/>
          <w:lang w:val="uk-UA"/>
        </w:rPr>
        <w:t xml:space="preserve"> </w:t>
      </w:r>
      <w:r w:rsidR="008C1539" w:rsidRPr="008B1899">
        <w:rPr>
          <w:rFonts w:ascii="Times New Roman" w:hAnsi="Times New Roman" w:cs="Times New Roman"/>
          <w:sz w:val="28"/>
          <w:szCs w:val="28"/>
          <w:lang w:val="uk-UA"/>
        </w:rPr>
        <w:t>10</w:t>
      </w:r>
      <w:r w:rsidR="007B48FC" w:rsidRPr="00202E99">
        <w:rPr>
          <w:rFonts w:ascii="Times New Roman" w:hAnsi="Times New Roman" w:cs="Times New Roman"/>
          <w:sz w:val="28"/>
          <w:szCs w:val="28"/>
          <w:lang w:val="uk-UA"/>
        </w:rPr>
        <w:t xml:space="preserve"> </w:t>
      </w:r>
      <w:r w:rsidR="00154629">
        <w:rPr>
          <w:rFonts w:ascii="Times New Roman" w:hAnsi="Times New Roman" w:cs="Times New Roman"/>
          <w:sz w:val="28"/>
          <w:szCs w:val="28"/>
          <w:lang w:val="uk-UA"/>
        </w:rPr>
        <w:t>науково-практичних конференц</w:t>
      </w:r>
      <w:r w:rsidR="00154629">
        <w:rPr>
          <w:rFonts w:ascii="Times New Roman" w:hAnsi="Times New Roman" w:cs="Times New Roman"/>
          <w:sz w:val="28"/>
          <w:szCs w:val="28"/>
          <w:lang w:val="en-US"/>
        </w:rPr>
        <w:t>i</w:t>
      </w:r>
      <w:r w:rsidR="007B48FC" w:rsidRPr="005E32FA">
        <w:rPr>
          <w:rFonts w:ascii="Times New Roman" w:hAnsi="Times New Roman" w:cs="Times New Roman"/>
          <w:sz w:val="28"/>
          <w:szCs w:val="28"/>
          <w:lang w:val="uk-UA"/>
        </w:rPr>
        <w:t>ях</w:t>
      </w:r>
      <w:r w:rsidR="00154629">
        <w:rPr>
          <w:rFonts w:ascii="Times New Roman" w:hAnsi="Times New Roman" w:cs="Times New Roman"/>
          <w:sz w:val="28"/>
          <w:szCs w:val="28"/>
          <w:lang w:val="uk-UA"/>
        </w:rPr>
        <w:t>: М</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жнародн</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й науково-практичн</w:t>
      </w:r>
      <w:r w:rsidR="00154629">
        <w:rPr>
          <w:rFonts w:ascii="Times New Roman" w:hAnsi="Times New Roman" w:cs="Times New Roman"/>
          <w:sz w:val="28"/>
          <w:szCs w:val="28"/>
          <w:lang w:val="en-US"/>
        </w:rPr>
        <w:t>i</w:t>
      </w:r>
      <w:r w:rsidR="007B48FC">
        <w:rPr>
          <w:rFonts w:ascii="Times New Roman" w:hAnsi="Times New Roman" w:cs="Times New Roman"/>
          <w:sz w:val="28"/>
          <w:szCs w:val="28"/>
          <w:lang w:val="uk-UA"/>
        </w:rPr>
        <w:t>й</w:t>
      </w:r>
      <w:r w:rsidR="007B48FC" w:rsidRPr="00202E99">
        <w:rPr>
          <w:rFonts w:ascii="Times New Roman" w:hAnsi="Times New Roman" w:cs="Times New Roman"/>
          <w:sz w:val="28"/>
          <w:szCs w:val="28"/>
          <w:lang w:val="uk-UA"/>
        </w:rPr>
        <w:t xml:space="preserve"> ко</w:t>
      </w:r>
      <w:r w:rsidR="00154629">
        <w:rPr>
          <w:rFonts w:ascii="Times New Roman" w:hAnsi="Times New Roman" w:cs="Times New Roman"/>
          <w:sz w:val="28"/>
          <w:szCs w:val="28"/>
          <w:lang w:val="uk-UA"/>
        </w:rPr>
        <w:t>нференц</w:t>
      </w:r>
      <w:r w:rsidR="00154629">
        <w:rPr>
          <w:rFonts w:ascii="Times New Roman" w:hAnsi="Times New Roman" w:cs="Times New Roman"/>
          <w:sz w:val="28"/>
          <w:szCs w:val="28"/>
          <w:lang w:val="en-US"/>
        </w:rPr>
        <w:t>i</w:t>
      </w:r>
      <w:r w:rsidR="00154629">
        <w:rPr>
          <w:rFonts w:ascii="Times New Roman" w:hAnsi="Times New Roman" w:cs="Times New Roman"/>
          <w:sz w:val="28"/>
          <w:szCs w:val="28"/>
          <w:lang w:val="uk-UA"/>
        </w:rPr>
        <w:t>ї студент</w:t>
      </w:r>
      <w:r w:rsidR="00154629">
        <w:rPr>
          <w:rFonts w:ascii="Times New Roman" w:hAnsi="Times New Roman" w:cs="Times New Roman"/>
          <w:sz w:val="28"/>
          <w:szCs w:val="28"/>
          <w:lang w:val="en-US"/>
        </w:rPr>
        <w:t>i</w:t>
      </w:r>
      <w:r w:rsidR="007B48FC">
        <w:rPr>
          <w:rFonts w:ascii="Times New Roman" w:hAnsi="Times New Roman" w:cs="Times New Roman"/>
          <w:sz w:val="28"/>
          <w:szCs w:val="28"/>
          <w:lang w:val="uk-UA"/>
        </w:rPr>
        <w:t xml:space="preserve">в та молодих учених (м. Суми, </w:t>
      </w:r>
      <w:r w:rsidR="00154629">
        <w:rPr>
          <w:rFonts w:ascii="Times New Roman" w:eastAsia="Times New Roman" w:hAnsi="Times New Roman" w:cs="Times New Roman"/>
          <w:bCs/>
          <w:sz w:val="28"/>
          <w:szCs w:val="28"/>
          <w:lang w:val="uk-UA" w:eastAsia="ru-RU"/>
        </w:rPr>
        <w:t>21−22 кв</w:t>
      </w:r>
      <w:r w:rsidR="00154629">
        <w:rPr>
          <w:rFonts w:ascii="Times New Roman" w:eastAsia="Times New Roman" w:hAnsi="Times New Roman" w:cs="Times New Roman"/>
          <w:bCs/>
          <w:sz w:val="28"/>
          <w:szCs w:val="28"/>
          <w:lang w:val="en-US" w:eastAsia="ru-RU"/>
        </w:rPr>
        <w:t>i</w:t>
      </w:r>
      <w:r w:rsidR="007B48FC" w:rsidRPr="000842AB">
        <w:rPr>
          <w:rFonts w:ascii="Times New Roman" w:eastAsia="Times New Roman" w:hAnsi="Times New Roman" w:cs="Times New Roman"/>
          <w:bCs/>
          <w:sz w:val="28"/>
          <w:szCs w:val="28"/>
          <w:lang w:val="uk-UA" w:eastAsia="ru-RU"/>
        </w:rPr>
        <w:t>тня</w:t>
      </w:r>
      <w:r w:rsidR="007B48FC">
        <w:rPr>
          <w:rFonts w:ascii="Times New Roman" w:hAnsi="Times New Roman" w:cs="Times New Roman"/>
          <w:sz w:val="28"/>
          <w:szCs w:val="28"/>
          <w:lang w:val="uk-UA"/>
        </w:rPr>
        <w:t xml:space="preserve"> 2016 р.</w:t>
      </w:r>
      <w:r w:rsidR="007B48FC" w:rsidRPr="00202E99">
        <w:rPr>
          <w:rFonts w:ascii="Times New Roman" w:hAnsi="Times New Roman" w:cs="Times New Roman"/>
          <w:sz w:val="28"/>
          <w:szCs w:val="28"/>
          <w:lang w:val="uk-UA"/>
        </w:rPr>
        <w:t xml:space="preserve">, </w:t>
      </w:r>
      <w:r w:rsidR="00B41230">
        <w:rPr>
          <w:rFonts w:ascii="Times New Roman" w:eastAsia="Times New Roman" w:hAnsi="Times New Roman" w:cs="Times New Roman"/>
          <w:bCs/>
          <w:sz w:val="28"/>
          <w:szCs w:val="28"/>
          <w:lang w:val="uk-UA" w:eastAsia="ru-RU"/>
        </w:rPr>
        <w:t>20−21</w:t>
      </w:r>
      <w:r w:rsidR="00154629">
        <w:rPr>
          <w:rFonts w:ascii="Times New Roman" w:eastAsia="Times New Roman" w:hAnsi="Times New Roman" w:cs="Times New Roman"/>
          <w:bCs/>
          <w:sz w:val="28"/>
          <w:szCs w:val="28"/>
          <w:lang w:val="uk-UA" w:eastAsia="ru-RU"/>
        </w:rPr>
        <w:t xml:space="preserve"> кв</w:t>
      </w:r>
      <w:r w:rsidR="00154629">
        <w:rPr>
          <w:rFonts w:ascii="Times New Roman" w:eastAsia="Times New Roman" w:hAnsi="Times New Roman" w:cs="Times New Roman"/>
          <w:bCs/>
          <w:sz w:val="28"/>
          <w:szCs w:val="28"/>
          <w:lang w:val="en-US" w:eastAsia="ru-RU"/>
        </w:rPr>
        <w:t>i</w:t>
      </w:r>
      <w:r w:rsidR="007B48FC" w:rsidRPr="000842AB">
        <w:rPr>
          <w:rFonts w:ascii="Times New Roman" w:eastAsia="Times New Roman" w:hAnsi="Times New Roman" w:cs="Times New Roman"/>
          <w:bCs/>
          <w:sz w:val="28"/>
          <w:szCs w:val="28"/>
          <w:lang w:val="uk-UA" w:eastAsia="ru-RU"/>
        </w:rPr>
        <w:t xml:space="preserve">тня </w:t>
      </w:r>
      <w:r w:rsidR="007B48FC" w:rsidRPr="00202E99">
        <w:rPr>
          <w:rFonts w:ascii="Times New Roman" w:hAnsi="Times New Roman" w:cs="Times New Roman"/>
          <w:sz w:val="28"/>
          <w:szCs w:val="28"/>
          <w:lang w:val="uk-UA"/>
        </w:rPr>
        <w:t>2017</w:t>
      </w:r>
      <w:r w:rsidR="007B48FC">
        <w:rPr>
          <w:rFonts w:ascii="Times New Roman" w:hAnsi="Times New Roman" w:cs="Times New Roman"/>
          <w:sz w:val="28"/>
          <w:szCs w:val="28"/>
          <w:lang w:val="uk-UA"/>
        </w:rPr>
        <w:t xml:space="preserve"> </w:t>
      </w:r>
      <w:r w:rsidR="00DA54F0">
        <w:rPr>
          <w:rFonts w:ascii="Times New Roman" w:hAnsi="Times New Roman" w:cs="Times New Roman"/>
          <w:sz w:val="28"/>
          <w:szCs w:val="28"/>
          <w:lang w:val="uk-UA"/>
        </w:rPr>
        <w:t>р.); науково-практичн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й конференц</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ї з</w:t>
      </w:r>
      <w:r w:rsidR="00DA54F0">
        <w:rPr>
          <w:rFonts w:ascii="Times New Roman" w:hAnsi="Times New Roman" w:cs="Times New Roman"/>
          <w:sz w:val="28"/>
          <w:szCs w:val="28"/>
          <w:lang w:val="uk-UA"/>
        </w:rPr>
        <w:t>а м</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жнародної участ</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«Щор</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терапевтичн</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 читання» (</w:t>
      </w:r>
      <w:r w:rsidR="007B48FC">
        <w:rPr>
          <w:rFonts w:ascii="Times New Roman" w:hAnsi="Times New Roman" w:cs="Times New Roman"/>
          <w:sz w:val="28"/>
          <w:szCs w:val="28"/>
          <w:lang w:val="uk-UA"/>
        </w:rPr>
        <w:t xml:space="preserve">м. </w:t>
      </w:r>
      <w:r w:rsidR="00DA54F0">
        <w:rPr>
          <w:rFonts w:ascii="Times New Roman" w:hAnsi="Times New Roman" w:cs="Times New Roman"/>
          <w:sz w:val="28"/>
          <w:szCs w:val="28"/>
          <w:lang w:val="uk-UA"/>
        </w:rPr>
        <w:t>Харк</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в, </w:t>
      </w:r>
      <w:r w:rsidR="00DA54F0">
        <w:rPr>
          <w:rFonts w:ascii="Times New Roman" w:eastAsia="Times New Roman" w:hAnsi="Times New Roman" w:cs="Times New Roman"/>
          <w:bCs/>
          <w:sz w:val="28"/>
          <w:szCs w:val="28"/>
          <w:lang w:val="uk-UA" w:eastAsia="ru-RU"/>
        </w:rPr>
        <w:t>21 кв</w:t>
      </w:r>
      <w:r w:rsidR="00DA54F0">
        <w:rPr>
          <w:rFonts w:ascii="Times New Roman" w:eastAsia="Times New Roman" w:hAnsi="Times New Roman" w:cs="Times New Roman"/>
          <w:bCs/>
          <w:sz w:val="28"/>
          <w:szCs w:val="28"/>
          <w:lang w:val="en-US" w:eastAsia="ru-RU"/>
        </w:rPr>
        <w:t>i</w:t>
      </w:r>
      <w:r w:rsidR="007B48FC" w:rsidRPr="000842AB">
        <w:rPr>
          <w:rFonts w:ascii="Times New Roman" w:eastAsia="Times New Roman" w:hAnsi="Times New Roman" w:cs="Times New Roman"/>
          <w:bCs/>
          <w:sz w:val="28"/>
          <w:szCs w:val="28"/>
          <w:lang w:val="uk-UA" w:eastAsia="ru-RU"/>
        </w:rPr>
        <w:t xml:space="preserve">тня </w:t>
      </w:r>
      <w:r w:rsidR="00DA54F0">
        <w:rPr>
          <w:rFonts w:ascii="Times New Roman" w:hAnsi="Times New Roman" w:cs="Times New Roman"/>
          <w:sz w:val="28"/>
          <w:szCs w:val="28"/>
          <w:lang w:val="uk-UA"/>
        </w:rPr>
        <w:t>2016 р.); науково-практичн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й конференц</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ї з</w:t>
      </w:r>
      <w:r w:rsidR="00DA54F0">
        <w:rPr>
          <w:rFonts w:ascii="Times New Roman" w:hAnsi="Times New Roman" w:cs="Times New Roman"/>
          <w:sz w:val="28"/>
          <w:szCs w:val="28"/>
          <w:lang w:val="uk-UA"/>
        </w:rPr>
        <w:t>а міжнародної участ</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 «Досягнення та перспективи експериментал</w:t>
      </w:r>
      <w:r w:rsidR="00DA54F0">
        <w:rPr>
          <w:rFonts w:ascii="Times New Roman" w:hAnsi="Times New Roman" w:cs="Times New Roman"/>
          <w:sz w:val="28"/>
          <w:szCs w:val="28"/>
          <w:lang w:val="uk-UA"/>
        </w:rPr>
        <w:t xml:space="preserve">ьної </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кл</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чної ендокринолог</w:t>
      </w:r>
      <w:r w:rsidR="00DA54F0">
        <w:rPr>
          <w:rFonts w:ascii="Times New Roman" w:hAnsi="Times New Roman" w:cs="Times New Roman"/>
          <w:sz w:val="28"/>
          <w:szCs w:val="28"/>
          <w:lang w:val="en-US"/>
        </w:rPr>
        <w:t>i</w:t>
      </w:r>
      <w:r w:rsidR="009C6FE7">
        <w:rPr>
          <w:rFonts w:ascii="Times New Roman" w:hAnsi="Times New Roman" w:cs="Times New Roman"/>
          <w:sz w:val="28"/>
          <w:szCs w:val="28"/>
          <w:lang w:val="uk-UA"/>
        </w:rPr>
        <w:t>ї</w:t>
      </w:r>
      <w:r w:rsidR="007B48FC" w:rsidRPr="00202E99">
        <w:rPr>
          <w:rFonts w:ascii="Times New Roman" w:hAnsi="Times New Roman" w:cs="Times New Roman"/>
          <w:sz w:val="28"/>
          <w:szCs w:val="28"/>
          <w:lang w:val="uk-UA"/>
        </w:rPr>
        <w:t xml:space="preserve"> </w:t>
      </w:r>
      <w:r w:rsidR="009C6FE7">
        <w:rPr>
          <w:rFonts w:ascii="Times New Roman" w:hAnsi="Times New Roman" w:cs="Times New Roman"/>
          <w:sz w:val="28"/>
          <w:szCs w:val="28"/>
          <w:lang w:val="uk-UA"/>
        </w:rPr>
        <w:t>(П</w:t>
      </w:r>
      <w:r w:rsidR="00DA54F0">
        <w:rPr>
          <w:rFonts w:ascii="Times New Roman" w:hAnsi="Times New Roman" w:cs="Times New Roman"/>
          <w:sz w:val="28"/>
          <w:szCs w:val="28"/>
          <w:lang w:val="uk-UA"/>
        </w:rPr>
        <w:t>’ятнадцят</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Данилевськ</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 читання</w:t>
      </w:r>
      <w:r w:rsidR="009C6FE7">
        <w:rPr>
          <w:rFonts w:ascii="Times New Roman" w:hAnsi="Times New Roman" w:cs="Times New Roman"/>
          <w:sz w:val="28"/>
          <w:szCs w:val="28"/>
          <w:lang w:val="uk-UA"/>
        </w:rPr>
        <w:t>)</w:t>
      </w:r>
      <w:r w:rsidR="007B48FC" w:rsidRPr="00202E99">
        <w:rPr>
          <w:rFonts w:ascii="Times New Roman" w:hAnsi="Times New Roman" w:cs="Times New Roman"/>
          <w:sz w:val="28"/>
          <w:szCs w:val="28"/>
          <w:lang w:val="uk-UA"/>
        </w:rPr>
        <w:t>» (</w:t>
      </w:r>
      <w:r w:rsidR="007B48FC">
        <w:rPr>
          <w:rFonts w:ascii="Times New Roman" w:hAnsi="Times New Roman" w:cs="Times New Roman"/>
          <w:sz w:val="28"/>
          <w:szCs w:val="28"/>
          <w:lang w:val="uk-UA"/>
        </w:rPr>
        <w:t xml:space="preserve">м. </w:t>
      </w:r>
      <w:r w:rsidR="00DA54F0">
        <w:rPr>
          <w:rFonts w:ascii="Times New Roman" w:hAnsi="Times New Roman" w:cs="Times New Roman"/>
          <w:sz w:val="28"/>
          <w:szCs w:val="28"/>
          <w:lang w:val="uk-UA"/>
        </w:rPr>
        <w:t>Харк</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в, </w:t>
      </w:r>
      <w:r w:rsidR="007B48FC" w:rsidRPr="00634A87">
        <w:rPr>
          <w:rFonts w:ascii="Times New Roman" w:eastAsia="Times New Roman" w:hAnsi="Times New Roman" w:cs="Times New Roman"/>
          <w:bCs/>
          <w:sz w:val="28"/>
          <w:szCs w:val="28"/>
          <w:lang w:val="uk-UA" w:eastAsia="ru-RU"/>
        </w:rPr>
        <w:t xml:space="preserve">10−11 березня </w:t>
      </w:r>
      <w:r w:rsidR="00DA54F0">
        <w:rPr>
          <w:rFonts w:ascii="Times New Roman" w:hAnsi="Times New Roman" w:cs="Times New Roman"/>
          <w:sz w:val="28"/>
          <w:szCs w:val="28"/>
          <w:lang w:val="uk-UA"/>
        </w:rPr>
        <w:t>2016 р.); ІІ М</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жнародн</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й на</w:t>
      </w:r>
      <w:r w:rsidR="00DA54F0">
        <w:rPr>
          <w:rFonts w:ascii="Times New Roman" w:hAnsi="Times New Roman" w:cs="Times New Roman"/>
          <w:sz w:val="28"/>
          <w:szCs w:val="28"/>
          <w:lang w:val="uk-UA"/>
        </w:rPr>
        <w:t>уково-практичн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й конференц</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ї «Терапевтичн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читання: сучасн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аспекти д</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агностики </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л</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кування захв</w:t>
      </w:r>
      <w:r w:rsidR="00DA54F0">
        <w:rPr>
          <w:rFonts w:ascii="Times New Roman" w:hAnsi="Times New Roman" w:cs="Times New Roman"/>
          <w:sz w:val="28"/>
          <w:szCs w:val="28"/>
          <w:lang w:val="uk-UA"/>
        </w:rPr>
        <w:t>орювань внутр</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шн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х орган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в» (</w:t>
      </w:r>
      <w:r w:rsidR="00637B07">
        <w:rPr>
          <w:rFonts w:ascii="Times New Roman" w:hAnsi="Times New Roman" w:cs="Times New Roman"/>
          <w:sz w:val="28"/>
          <w:szCs w:val="28"/>
          <w:lang w:val="uk-UA"/>
        </w:rPr>
        <w:t xml:space="preserve">м. </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вано-Франк</w:t>
      </w:r>
      <w:r w:rsidR="00DA54F0">
        <w:rPr>
          <w:rFonts w:ascii="Times New Roman" w:hAnsi="Times New Roman" w:cs="Times New Roman"/>
          <w:sz w:val="28"/>
          <w:szCs w:val="28"/>
          <w:lang w:val="en-US"/>
        </w:rPr>
        <w:t>i</w:t>
      </w:r>
      <w:r w:rsidR="007B48FC">
        <w:rPr>
          <w:rFonts w:ascii="Times New Roman" w:hAnsi="Times New Roman" w:cs="Times New Roman"/>
          <w:sz w:val="28"/>
          <w:szCs w:val="28"/>
          <w:lang w:val="uk-UA"/>
        </w:rPr>
        <w:t xml:space="preserve">вськ − </w:t>
      </w:r>
      <w:r w:rsidR="007B48FC" w:rsidRPr="00202E99">
        <w:rPr>
          <w:rFonts w:ascii="Times New Roman" w:hAnsi="Times New Roman" w:cs="Times New Roman"/>
          <w:sz w:val="28"/>
          <w:szCs w:val="28"/>
          <w:lang w:val="uk-UA"/>
        </w:rPr>
        <w:t xml:space="preserve">Яремче, </w:t>
      </w:r>
      <w:r w:rsidR="007B48FC" w:rsidRPr="000842AB">
        <w:rPr>
          <w:rFonts w:ascii="Times New Roman" w:eastAsia="Times New Roman" w:hAnsi="Times New Roman" w:cs="Times New Roman"/>
          <w:bCs/>
          <w:sz w:val="28"/>
          <w:szCs w:val="28"/>
          <w:lang w:val="uk-UA" w:eastAsia="ru-RU"/>
        </w:rPr>
        <w:t xml:space="preserve">6−7 жовтня </w:t>
      </w:r>
      <w:r w:rsidR="00E02F04">
        <w:rPr>
          <w:rFonts w:ascii="Times New Roman" w:hAnsi="Times New Roman" w:cs="Times New Roman"/>
          <w:sz w:val="28"/>
          <w:szCs w:val="28"/>
          <w:lang w:val="uk-UA"/>
        </w:rPr>
        <w:t>2016 р.)</w:t>
      </w:r>
      <w:r w:rsidR="00DA54F0">
        <w:rPr>
          <w:rFonts w:ascii="Times New Roman" w:hAnsi="Times New Roman" w:cs="Times New Roman"/>
          <w:sz w:val="28"/>
          <w:szCs w:val="28"/>
          <w:lang w:val="uk-UA"/>
        </w:rPr>
        <w:t>; Всеукраїнськ</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й науково-практичн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й конференц</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ї з</w:t>
      </w:r>
      <w:r w:rsidR="00DA54F0">
        <w:rPr>
          <w:rFonts w:ascii="Times New Roman" w:hAnsi="Times New Roman" w:cs="Times New Roman"/>
          <w:sz w:val="28"/>
          <w:szCs w:val="28"/>
          <w:lang w:val="uk-UA"/>
        </w:rPr>
        <w:t>а міжнародної участ</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 </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з с</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мейної медиц</w:t>
      </w:r>
      <w:r w:rsidR="00DA54F0">
        <w:rPr>
          <w:rFonts w:ascii="Times New Roman" w:hAnsi="Times New Roman" w:cs="Times New Roman"/>
          <w:sz w:val="28"/>
          <w:szCs w:val="28"/>
          <w:lang w:val="uk-UA"/>
        </w:rPr>
        <w:t xml:space="preserve">ини </w:t>
      </w:r>
      <w:r w:rsidR="003A72CF">
        <w:rPr>
          <w:rFonts w:ascii="Times New Roman" w:hAnsi="Times New Roman" w:cs="Times New Roman"/>
          <w:sz w:val="28"/>
          <w:szCs w:val="28"/>
          <w:lang w:val="uk-UA"/>
        </w:rPr>
        <w:t xml:space="preserve">          </w:t>
      </w:r>
      <w:r w:rsidR="00DA54F0">
        <w:rPr>
          <w:rFonts w:ascii="Times New Roman" w:hAnsi="Times New Roman" w:cs="Times New Roman"/>
          <w:sz w:val="28"/>
          <w:szCs w:val="28"/>
          <w:lang w:val="uk-UA"/>
        </w:rPr>
        <w:t>«В</w:t>
      </w:r>
      <w:r w:rsidR="00DA54F0">
        <w:rPr>
          <w:rFonts w:ascii="Times New Roman" w:hAnsi="Times New Roman" w:cs="Times New Roman"/>
          <w:sz w:val="28"/>
          <w:szCs w:val="28"/>
          <w:lang w:val="en-US"/>
        </w:rPr>
        <w:t>i</w:t>
      </w:r>
      <w:r w:rsidR="007B48FC">
        <w:rPr>
          <w:rFonts w:ascii="Times New Roman" w:hAnsi="Times New Roman" w:cs="Times New Roman"/>
          <w:sz w:val="28"/>
          <w:szCs w:val="28"/>
          <w:lang w:val="uk-UA"/>
        </w:rPr>
        <w:t xml:space="preserve">д науки до практики» (м. </w:t>
      </w:r>
      <w:r w:rsidR="00DA54F0">
        <w:rPr>
          <w:rFonts w:ascii="Times New Roman" w:hAnsi="Times New Roman" w:cs="Times New Roman"/>
          <w:sz w:val="28"/>
          <w:szCs w:val="28"/>
          <w:lang w:val="uk-UA"/>
        </w:rPr>
        <w:t>Дн</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про, </w:t>
      </w:r>
      <w:r w:rsidR="007B48FC" w:rsidRPr="006608B7">
        <w:rPr>
          <w:rFonts w:ascii="Times New Roman" w:eastAsia="Times New Roman" w:hAnsi="Times New Roman" w:cs="Times New Roman"/>
          <w:bCs/>
          <w:sz w:val="28"/>
          <w:szCs w:val="28"/>
          <w:lang w:val="uk-UA" w:eastAsia="ru-RU"/>
        </w:rPr>
        <w:t xml:space="preserve">1−2 червня </w:t>
      </w:r>
      <w:r w:rsidR="007B48FC" w:rsidRPr="00202E99">
        <w:rPr>
          <w:rFonts w:ascii="Times New Roman" w:hAnsi="Times New Roman" w:cs="Times New Roman"/>
          <w:sz w:val="28"/>
          <w:szCs w:val="28"/>
          <w:lang w:val="uk-UA"/>
        </w:rPr>
        <w:t>2017</w:t>
      </w:r>
      <w:r w:rsidR="007B48FC">
        <w:rPr>
          <w:rFonts w:ascii="Times New Roman" w:hAnsi="Times New Roman" w:cs="Times New Roman"/>
          <w:sz w:val="28"/>
          <w:szCs w:val="28"/>
          <w:lang w:val="uk-UA"/>
        </w:rPr>
        <w:t xml:space="preserve"> </w:t>
      </w:r>
      <w:r w:rsidR="007B48FC" w:rsidRPr="00202E99">
        <w:rPr>
          <w:rFonts w:ascii="Times New Roman" w:hAnsi="Times New Roman" w:cs="Times New Roman"/>
          <w:sz w:val="28"/>
          <w:szCs w:val="28"/>
          <w:lang w:val="uk-UA"/>
        </w:rPr>
        <w:t>р</w:t>
      </w:r>
      <w:r w:rsidR="007B48FC">
        <w:rPr>
          <w:rFonts w:ascii="Times New Roman" w:hAnsi="Times New Roman" w:cs="Times New Roman"/>
          <w:sz w:val="28"/>
          <w:szCs w:val="28"/>
          <w:lang w:val="uk-UA"/>
        </w:rPr>
        <w:t>.</w:t>
      </w:r>
      <w:r w:rsidR="00DA54F0">
        <w:rPr>
          <w:rFonts w:ascii="Times New Roman" w:hAnsi="Times New Roman" w:cs="Times New Roman"/>
          <w:sz w:val="28"/>
          <w:szCs w:val="28"/>
          <w:lang w:val="uk-UA"/>
        </w:rPr>
        <w:t>); науково-практичн</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й </w:t>
      </w:r>
      <w:r w:rsidR="00DA54F0">
        <w:rPr>
          <w:rFonts w:ascii="Times New Roman" w:hAnsi="Times New Roman" w:cs="Times New Roman"/>
          <w:sz w:val="28"/>
          <w:szCs w:val="28"/>
          <w:lang w:val="uk-UA"/>
        </w:rPr>
        <w:t>конференц</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ї з</w:t>
      </w:r>
      <w:r w:rsidR="00DA54F0">
        <w:rPr>
          <w:rFonts w:ascii="Times New Roman" w:hAnsi="Times New Roman" w:cs="Times New Roman"/>
          <w:sz w:val="28"/>
          <w:szCs w:val="28"/>
          <w:lang w:val="uk-UA"/>
        </w:rPr>
        <w:t>а м</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жнародної участ</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 xml:space="preserve"> </w:t>
      </w:r>
      <w:r w:rsidR="007B48FC">
        <w:rPr>
          <w:rFonts w:ascii="Times New Roman" w:hAnsi="Times New Roman" w:cs="Times New Roman"/>
          <w:sz w:val="28"/>
          <w:szCs w:val="28"/>
          <w:lang w:val="uk-UA"/>
        </w:rPr>
        <w:t>«</w:t>
      </w:r>
      <w:r w:rsidR="00DA54F0">
        <w:rPr>
          <w:rFonts w:ascii="Times New Roman" w:hAnsi="Times New Roman" w:cs="Times New Roman"/>
          <w:sz w:val="28"/>
          <w:szCs w:val="28"/>
          <w:lang w:val="uk-UA"/>
        </w:rPr>
        <w:t>Актуальн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питання с</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мейної медицини та перспективи її розвитку (в рамках Все</w:t>
      </w:r>
      <w:r w:rsidR="00DA54F0">
        <w:rPr>
          <w:rFonts w:ascii="Times New Roman" w:hAnsi="Times New Roman" w:cs="Times New Roman"/>
          <w:sz w:val="28"/>
          <w:szCs w:val="28"/>
          <w:lang w:val="uk-UA"/>
        </w:rPr>
        <w:t>св</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тнього дня с</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мейного л</w:t>
      </w:r>
      <w:r w:rsidR="00DA54F0">
        <w:rPr>
          <w:rFonts w:ascii="Times New Roman" w:hAnsi="Times New Roman" w:cs="Times New Roman"/>
          <w:sz w:val="28"/>
          <w:szCs w:val="28"/>
          <w:lang w:val="en-US"/>
        </w:rPr>
        <w:t>i</w:t>
      </w:r>
      <w:r w:rsidR="00677763">
        <w:rPr>
          <w:rFonts w:ascii="Times New Roman" w:hAnsi="Times New Roman" w:cs="Times New Roman"/>
          <w:sz w:val="28"/>
          <w:szCs w:val="28"/>
          <w:lang w:val="uk-UA"/>
        </w:rPr>
        <w:t>каря)»</w:t>
      </w:r>
      <w:r w:rsidR="00DD522F">
        <w:rPr>
          <w:rFonts w:ascii="Times New Roman" w:hAnsi="Times New Roman" w:cs="Times New Roman"/>
          <w:sz w:val="28"/>
          <w:szCs w:val="28"/>
          <w:lang w:val="uk-UA"/>
        </w:rPr>
        <w:t xml:space="preserve"> </w:t>
      </w:r>
      <w:r w:rsidR="00101238">
        <w:rPr>
          <w:rFonts w:ascii="Times New Roman" w:hAnsi="Times New Roman" w:cs="Times New Roman"/>
          <w:sz w:val="28"/>
          <w:szCs w:val="28"/>
          <w:lang w:val="uk-UA"/>
        </w:rPr>
        <w:t xml:space="preserve">        </w:t>
      </w:r>
      <w:r w:rsidR="007B48FC">
        <w:rPr>
          <w:rFonts w:ascii="Times New Roman" w:hAnsi="Times New Roman" w:cs="Times New Roman"/>
          <w:sz w:val="28"/>
          <w:szCs w:val="28"/>
          <w:lang w:val="uk-UA"/>
        </w:rPr>
        <w:t xml:space="preserve">(м. </w:t>
      </w:r>
      <w:r w:rsidR="007B48FC" w:rsidRPr="00202E99">
        <w:rPr>
          <w:rFonts w:ascii="Times New Roman" w:hAnsi="Times New Roman" w:cs="Times New Roman"/>
          <w:sz w:val="28"/>
          <w:szCs w:val="28"/>
          <w:lang w:val="uk-UA"/>
        </w:rPr>
        <w:t xml:space="preserve">Київ, </w:t>
      </w:r>
      <w:r w:rsidR="007B48FC" w:rsidRPr="006608B7">
        <w:rPr>
          <w:rFonts w:ascii="Times New Roman" w:eastAsia="Times New Roman" w:hAnsi="Times New Roman" w:cs="Times New Roman"/>
          <w:bCs/>
          <w:sz w:val="28"/>
          <w:szCs w:val="28"/>
          <w:lang w:val="uk-UA" w:eastAsia="ru-RU"/>
        </w:rPr>
        <w:t xml:space="preserve">18−19 травня </w:t>
      </w:r>
      <w:r w:rsidR="007B48FC" w:rsidRPr="00202E99">
        <w:rPr>
          <w:rFonts w:ascii="Times New Roman" w:hAnsi="Times New Roman" w:cs="Times New Roman"/>
          <w:sz w:val="28"/>
          <w:szCs w:val="28"/>
          <w:lang w:val="uk-UA"/>
        </w:rPr>
        <w:t>2017</w:t>
      </w:r>
      <w:r w:rsidR="007B48FC">
        <w:rPr>
          <w:rFonts w:ascii="Times New Roman" w:hAnsi="Times New Roman" w:cs="Times New Roman"/>
          <w:sz w:val="28"/>
          <w:szCs w:val="28"/>
          <w:lang w:val="uk-UA"/>
        </w:rPr>
        <w:t xml:space="preserve"> р.</w:t>
      </w:r>
      <w:r w:rsidR="008C1539">
        <w:rPr>
          <w:rFonts w:ascii="Times New Roman" w:hAnsi="Times New Roman" w:cs="Times New Roman"/>
          <w:sz w:val="28"/>
          <w:szCs w:val="28"/>
          <w:lang w:val="uk-UA"/>
        </w:rPr>
        <w:t>)</w:t>
      </w:r>
      <w:r w:rsidR="008C1539" w:rsidRPr="008C1539">
        <w:rPr>
          <w:rFonts w:ascii="Times New Roman" w:hAnsi="Times New Roman" w:cs="Times New Roman"/>
          <w:sz w:val="28"/>
          <w:szCs w:val="28"/>
          <w:lang w:val="uk-UA"/>
        </w:rPr>
        <w:t>;</w:t>
      </w:r>
      <w:r w:rsidR="007B48FC" w:rsidRPr="00202E99">
        <w:rPr>
          <w:rFonts w:ascii="Times New Roman" w:hAnsi="Times New Roman" w:cs="Times New Roman"/>
          <w:sz w:val="28"/>
          <w:szCs w:val="28"/>
          <w:lang w:val="uk-UA"/>
        </w:rPr>
        <w:t xml:space="preserve"> </w:t>
      </w:r>
      <w:r w:rsidR="00DA54F0">
        <w:rPr>
          <w:rFonts w:ascii="Times New Roman" w:hAnsi="Times New Roman" w:cs="Times New Roman"/>
          <w:sz w:val="28"/>
          <w:szCs w:val="28"/>
          <w:lang w:val="uk-UA"/>
        </w:rPr>
        <w:t>V з’їзді нефролог</w:t>
      </w:r>
      <w:r w:rsidR="00DA54F0">
        <w:rPr>
          <w:rFonts w:ascii="Times New Roman" w:hAnsi="Times New Roman" w:cs="Times New Roman"/>
          <w:sz w:val="28"/>
          <w:szCs w:val="28"/>
          <w:lang w:val="en-US"/>
        </w:rPr>
        <w:t>i</w:t>
      </w:r>
      <w:r w:rsidR="007B48FC">
        <w:rPr>
          <w:rFonts w:ascii="Times New Roman" w:hAnsi="Times New Roman" w:cs="Times New Roman"/>
          <w:sz w:val="28"/>
          <w:szCs w:val="28"/>
          <w:lang w:val="uk-UA"/>
        </w:rPr>
        <w:t xml:space="preserve">в України (м. </w:t>
      </w:r>
      <w:r w:rsidR="007B48FC" w:rsidRPr="00202E99">
        <w:rPr>
          <w:rFonts w:ascii="Times New Roman" w:hAnsi="Times New Roman" w:cs="Times New Roman"/>
          <w:sz w:val="28"/>
          <w:szCs w:val="28"/>
          <w:lang w:val="uk-UA"/>
        </w:rPr>
        <w:t xml:space="preserve">Вінниця, </w:t>
      </w:r>
      <w:r w:rsidR="007B48FC" w:rsidRPr="006608B7">
        <w:rPr>
          <w:rFonts w:ascii="Times New Roman" w:eastAsia="Times New Roman" w:hAnsi="Times New Roman" w:cs="Times New Roman"/>
          <w:bCs/>
          <w:sz w:val="28"/>
          <w:szCs w:val="28"/>
          <w:lang w:val="uk-UA" w:eastAsia="ru-RU"/>
        </w:rPr>
        <w:t xml:space="preserve">21−22 вересня </w:t>
      </w:r>
      <w:r w:rsidR="007B48FC" w:rsidRPr="00202E99">
        <w:rPr>
          <w:rFonts w:ascii="Times New Roman" w:hAnsi="Times New Roman" w:cs="Times New Roman"/>
          <w:sz w:val="28"/>
          <w:szCs w:val="28"/>
          <w:lang w:val="uk-UA"/>
        </w:rPr>
        <w:t>2017</w:t>
      </w:r>
      <w:r w:rsidR="007B48FC">
        <w:rPr>
          <w:rFonts w:ascii="Times New Roman" w:hAnsi="Times New Roman" w:cs="Times New Roman"/>
          <w:sz w:val="28"/>
          <w:szCs w:val="28"/>
          <w:lang w:val="uk-UA"/>
        </w:rPr>
        <w:t xml:space="preserve"> р.</w:t>
      </w:r>
      <w:r w:rsidR="008C1539">
        <w:rPr>
          <w:rFonts w:ascii="Times New Roman" w:hAnsi="Times New Roman" w:cs="Times New Roman"/>
          <w:sz w:val="28"/>
          <w:szCs w:val="28"/>
          <w:lang w:val="uk-UA"/>
        </w:rPr>
        <w:t>)</w:t>
      </w:r>
      <w:r w:rsidR="008C1539" w:rsidRPr="008C1539">
        <w:rPr>
          <w:rFonts w:ascii="Times New Roman" w:hAnsi="Times New Roman" w:cs="Times New Roman"/>
          <w:sz w:val="28"/>
          <w:szCs w:val="28"/>
          <w:lang w:val="uk-UA"/>
        </w:rPr>
        <w:t>;</w:t>
      </w:r>
      <w:r w:rsidR="00DA54F0">
        <w:rPr>
          <w:rFonts w:ascii="Times New Roman" w:hAnsi="Times New Roman" w:cs="Times New Roman"/>
          <w:sz w:val="28"/>
          <w:szCs w:val="28"/>
          <w:lang w:val="uk-UA"/>
        </w:rPr>
        <w:t xml:space="preserve"> Всеукраїнськ</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й науково-ме</w:t>
      </w:r>
      <w:r w:rsidR="007B48FC" w:rsidRPr="00032F87">
        <w:rPr>
          <w:rFonts w:ascii="Times New Roman" w:hAnsi="Times New Roman" w:cs="Times New Roman"/>
          <w:sz w:val="28"/>
          <w:szCs w:val="28"/>
          <w:lang w:val="uk-UA"/>
        </w:rPr>
        <w:t>т</w:t>
      </w:r>
      <w:r w:rsidR="00DA54F0">
        <w:rPr>
          <w:rFonts w:ascii="Times New Roman" w:hAnsi="Times New Roman" w:cs="Times New Roman"/>
          <w:sz w:val="28"/>
          <w:szCs w:val="28"/>
          <w:lang w:val="uk-UA"/>
        </w:rPr>
        <w:t>одичн</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й конференц</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ї, присвячен</w:t>
      </w:r>
      <w:r w:rsidR="00DA54F0">
        <w:rPr>
          <w:rFonts w:ascii="Times New Roman" w:hAnsi="Times New Roman" w:cs="Times New Roman"/>
          <w:sz w:val="28"/>
          <w:szCs w:val="28"/>
          <w:lang w:val="en-US"/>
        </w:rPr>
        <w:t>i</w:t>
      </w:r>
      <w:r w:rsidR="007B48FC">
        <w:rPr>
          <w:rFonts w:ascii="Times New Roman" w:hAnsi="Times New Roman" w:cs="Times New Roman"/>
          <w:sz w:val="28"/>
          <w:szCs w:val="28"/>
          <w:lang w:val="uk-UA"/>
        </w:rPr>
        <w:t>й</w:t>
      </w:r>
      <w:r w:rsidR="007B48FC" w:rsidRPr="00202E99">
        <w:rPr>
          <w:rFonts w:ascii="Times New Roman" w:hAnsi="Times New Roman" w:cs="Times New Roman"/>
          <w:sz w:val="28"/>
          <w:szCs w:val="28"/>
          <w:lang w:val="uk-UA"/>
        </w:rPr>
        <w:t xml:space="preserve"> 25-річчю Медично</w:t>
      </w:r>
      <w:r w:rsidR="00DA54F0">
        <w:rPr>
          <w:rFonts w:ascii="Times New Roman" w:hAnsi="Times New Roman" w:cs="Times New Roman"/>
          <w:sz w:val="28"/>
          <w:szCs w:val="28"/>
          <w:lang w:val="uk-UA"/>
        </w:rPr>
        <w:t xml:space="preserve">го </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н</w:t>
      </w:r>
      <w:r w:rsidR="00DA54F0">
        <w:rPr>
          <w:rFonts w:ascii="Times New Roman" w:hAnsi="Times New Roman" w:cs="Times New Roman"/>
          <w:sz w:val="28"/>
          <w:szCs w:val="28"/>
          <w:lang w:val="uk-UA"/>
        </w:rPr>
        <w:t xml:space="preserve">ституту Сумського державного </w:t>
      </w:r>
      <w:r w:rsidR="00DA54F0">
        <w:rPr>
          <w:rFonts w:ascii="Times New Roman" w:hAnsi="Times New Roman" w:cs="Times New Roman"/>
          <w:sz w:val="28"/>
          <w:szCs w:val="28"/>
          <w:lang w:val="uk-UA"/>
        </w:rPr>
        <w:lastRenderedPageBreak/>
        <w:t>ун</w:t>
      </w:r>
      <w:r w:rsidR="00DA54F0">
        <w:rPr>
          <w:rFonts w:ascii="Times New Roman" w:hAnsi="Times New Roman" w:cs="Times New Roman"/>
          <w:sz w:val="28"/>
          <w:szCs w:val="28"/>
          <w:lang w:val="en-US"/>
        </w:rPr>
        <w:t>i</w:t>
      </w:r>
      <w:r w:rsidR="007B48FC" w:rsidRPr="00202E99">
        <w:rPr>
          <w:rFonts w:ascii="Times New Roman" w:hAnsi="Times New Roman" w:cs="Times New Roman"/>
          <w:sz w:val="28"/>
          <w:szCs w:val="28"/>
          <w:lang w:val="uk-UA"/>
        </w:rPr>
        <w:t>верситету «</w:t>
      </w:r>
      <w:r w:rsidR="007B48FC" w:rsidRPr="00677763">
        <w:rPr>
          <w:rFonts w:ascii="Times New Roman" w:hAnsi="Times New Roman" w:cs="Times New Roman"/>
          <w:sz w:val="28"/>
          <w:szCs w:val="28"/>
          <w:lang w:val="uk-UA"/>
        </w:rPr>
        <w:t>Перспективи розвитку медично</w:t>
      </w:r>
      <w:r w:rsidR="00DA54F0">
        <w:rPr>
          <w:rFonts w:ascii="Times New Roman" w:hAnsi="Times New Roman" w:cs="Times New Roman"/>
          <w:sz w:val="28"/>
          <w:szCs w:val="28"/>
          <w:lang w:val="uk-UA"/>
        </w:rPr>
        <w:t xml:space="preserve">ї науки </w:t>
      </w:r>
      <w:r w:rsidR="00DA54F0">
        <w:rPr>
          <w:rFonts w:ascii="Times New Roman" w:hAnsi="Times New Roman" w:cs="Times New Roman"/>
          <w:sz w:val="28"/>
          <w:szCs w:val="28"/>
          <w:lang w:val="en-US"/>
        </w:rPr>
        <w:t>i</w:t>
      </w:r>
      <w:r w:rsidR="00DA54F0">
        <w:rPr>
          <w:rFonts w:ascii="Times New Roman" w:hAnsi="Times New Roman" w:cs="Times New Roman"/>
          <w:sz w:val="28"/>
          <w:szCs w:val="28"/>
          <w:lang w:val="uk-UA"/>
        </w:rPr>
        <w:t xml:space="preserve"> осв</w:t>
      </w:r>
      <w:r w:rsidR="00DA54F0">
        <w:rPr>
          <w:rFonts w:ascii="Times New Roman" w:hAnsi="Times New Roman" w:cs="Times New Roman"/>
          <w:sz w:val="28"/>
          <w:szCs w:val="28"/>
          <w:lang w:val="en-US"/>
        </w:rPr>
        <w:t>i</w:t>
      </w:r>
      <w:r w:rsidR="007B48FC">
        <w:rPr>
          <w:rFonts w:ascii="Times New Roman" w:hAnsi="Times New Roman" w:cs="Times New Roman"/>
          <w:sz w:val="28"/>
          <w:szCs w:val="28"/>
          <w:lang w:val="uk-UA"/>
        </w:rPr>
        <w:t xml:space="preserve">ти» (м. </w:t>
      </w:r>
      <w:r w:rsidR="007B48FC" w:rsidRPr="00202E99">
        <w:rPr>
          <w:rFonts w:ascii="Times New Roman" w:hAnsi="Times New Roman" w:cs="Times New Roman"/>
          <w:sz w:val="28"/>
          <w:szCs w:val="28"/>
          <w:lang w:val="uk-UA"/>
        </w:rPr>
        <w:t xml:space="preserve">Суми,  </w:t>
      </w:r>
      <w:r w:rsidR="007B48FC" w:rsidRPr="001667D9">
        <w:rPr>
          <w:rFonts w:ascii="Times New Roman" w:eastAsia="Times New Roman" w:hAnsi="Times New Roman" w:cs="Times New Roman"/>
          <w:sz w:val="28"/>
          <w:szCs w:val="28"/>
          <w:lang w:val="uk-UA" w:eastAsia="ru-RU"/>
        </w:rPr>
        <w:t xml:space="preserve">16−17 листопада </w:t>
      </w:r>
      <w:r w:rsidR="007B48FC" w:rsidRPr="00202E99">
        <w:rPr>
          <w:rFonts w:ascii="Times New Roman" w:hAnsi="Times New Roman" w:cs="Times New Roman"/>
          <w:sz w:val="28"/>
          <w:szCs w:val="28"/>
          <w:lang w:val="uk-UA"/>
        </w:rPr>
        <w:t>2017</w:t>
      </w:r>
      <w:r w:rsidR="007B48FC">
        <w:rPr>
          <w:rFonts w:ascii="Times New Roman" w:hAnsi="Times New Roman" w:cs="Times New Roman"/>
          <w:sz w:val="28"/>
          <w:szCs w:val="28"/>
          <w:lang w:val="uk-UA"/>
        </w:rPr>
        <w:t xml:space="preserve"> </w:t>
      </w:r>
      <w:r w:rsidR="008C1539">
        <w:rPr>
          <w:rFonts w:ascii="Times New Roman" w:hAnsi="Times New Roman" w:cs="Times New Roman"/>
          <w:sz w:val="28"/>
          <w:szCs w:val="28"/>
          <w:lang w:val="uk-UA"/>
        </w:rPr>
        <w:t>р.)</w:t>
      </w:r>
      <w:r w:rsidR="008C1539" w:rsidRPr="008C1539">
        <w:rPr>
          <w:rFonts w:ascii="Times New Roman" w:hAnsi="Times New Roman" w:cs="Times New Roman"/>
          <w:sz w:val="28"/>
          <w:szCs w:val="28"/>
          <w:lang w:val="uk-UA"/>
        </w:rPr>
        <w:t xml:space="preserve">; науково-практичній конференції, що присвячена 80-річчю кафедри пропедевтики внутрішньої медицини №2 та медсестринства ХНМУ «Коморбідність: міждисциплінарні аспекти та сучасний пацієнт» (м. Харків, 27 вересня 2018 р.); </w:t>
      </w:r>
      <w:r w:rsidR="008C1539" w:rsidRPr="008C1539">
        <w:rPr>
          <w:rFonts w:ascii="Times New Roman" w:hAnsi="Times New Roman" w:cs="Times New Roman"/>
          <w:sz w:val="28"/>
          <w:szCs w:val="28"/>
        </w:rPr>
        <w:t>International</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Scientific</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and</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Practical</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Conference</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of</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Students</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Postgraduates</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and</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Young</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Scientists</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Topical</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issues</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of</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theoretical</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and</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clinical</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medicine</w:t>
      </w:r>
      <w:r w:rsidR="008C1539" w:rsidRPr="008C1539">
        <w:rPr>
          <w:rFonts w:ascii="Times New Roman" w:hAnsi="Times New Roman" w:cs="Times New Roman"/>
          <w:sz w:val="28"/>
          <w:szCs w:val="28"/>
          <w:lang w:val="uk-UA"/>
        </w:rPr>
        <w:t>» (</w:t>
      </w:r>
      <w:r w:rsidR="008C1539" w:rsidRPr="008C1539">
        <w:rPr>
          <w:rFonts w:ascii="Times New Roman" w:hAnsi="Times New Roman" w:cs="Times New Roman"/>
          <w:sz w:val="28"/>
          <w:szCs w:val="28"/>
        </w:rPr>
        <w:t>Sumy</w:t>
      </w:r>
      <w:r w:rsidR="008C1539" w:rsidRPr="008C1539">
        <w:rPr>
          <w:rFonts w:ascii="Times New Roman" w:hAnsi="Times New Roman" w:cs="Times New Roman"/>
          <w:sz w:val="28"/>
          <w:szCs w:val="28"/>
          <w:lang w:val="uk-UA"/>
        </w:rPr>
        <w:t xml:space="preserve">, </w:t>
      </w:r>
      <w:r w:rsidR="008C1539" w:rsidRPr="008C1539">
        <w:rPr>
          <w:rFonts w:ascii="Times New Roman" w:hAnsi="Times New Roman" w:cs="Times New Roman"/>
          <w:sz w:val="28"/>
          <w:szCs w:val="28"/>
        </w:rPr>
        <w:t>October</w:t>
      </w:r>
      <w:r w:rsidR="008C1539" w:rsidRPr="008C1539">
        <w:rPr>
          <w:rFonts w:ascii="Times New Roman" w:hAnsi="Times New Roman" w:cs="Times New Roman"/>
          <w:sz w:val="28"/>
          <w:szCs w:val="28"/>
          <w:lang w:val="uk-UA"/>
        </w:rPr>
        <w:t xml:space="preserve"> 17−19, 2018).</w:t>
      </w:r>
    </w:p>
    <w:p w:rsidR="00247925" w:rsidRDefault="00247925" w:rsidP="002479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Публікації</w:t>
      </w:r>
      <w:r w:rsidR="00A03291" w:rsidRPr="00A03291">
        <w:rPr>
          <w:rFonts w:ascii="Times New Roman" w:hAnsi="Times New Roman" w:cs="Times New Roman"/>
          <w:sz w:val="28"/>
          <w:szCs w:val="28"/>
          <w:lang w:val="uk-UA"/>
        </w:rPr>
        <w:t xml:space="preserve"> </w:t>
      </w:r>
    </w:p>
    <w:p w:rsidR="00A03291" w:rsidRPr="00A03291" w:rsidRDefault="00DA54F0" w:rsidP="0024792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Основн</w:t>
      </w:r>
      <w:r>
        <w:rPr>
          <w:rFonts w:ascii="Times New Roman" w:hAnsi="Times New Roman" w:cs="Times New Roman"/>
          <w:sz w:val="28"/>
          <w:szCs w:val="28"/>
          <w:lang w:val="en-US"/>
        </w:rPr>
        <w:t>i</w:t>
      </w:r>
      <w:r w:rsidR="00A11888" w:rsidRPr="00A11888">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 досл</w:t>
      </w:r>
      <w:r>
        <w:rPr>
          <w:rFonts w:ascii="Times New Roman" w:hAnsi="Times New Roman" w:cs="Times New Roman"/>
          <w:sz w:val="28"/>
          <w:szCs w:val="28"/>
          <w:lang w:val="en-US"/>
        </w:rPr>
        <w:t>i</w:t>
      </w:r>
      <w:r>
        <w:rPr>
          <w:rFonts w:ascii="Times New Roman" w:hAnsi="Times New Roman" w:cs="Times New Roman"/>
          <w:sz w:val="28"/>
          <w:szCs w:val="28"/>
          <w:lang w:val="uk-UA"/>
        </w:rPr>
        <w:t>дження в</w:t>
      </w:r>
      <w:r>
        <w:rPr>
          <w:rFonts w:ascii="Times New Roman" w:hAnsi="Times New Roman" w:cs="Times New Roman"/>
          <w:sz w:val="28"/>
          <w:szCs w:val="28"/>
          <w:lang w:val="en-US"/>
        </w:rPr>
        <w:t>i</w:t>
      </w:r>
      <w:r>
        <w:rPr>
          <w:rFonts w:ascii="Times New Roman" w:hAnsi="Times New Roman" w:cs="Times New Roman"/>
          <w:sz w:val="28"/>
          <w:szCs w:val="28"/>
          <w:lang w:val="uk-UA"/>
        </w:rPr>
        <w:t>дображен</w:t>
      </w:r>
      <w:r>
        <w:rPr>
          <w:rFonts w:ascii="Times New Roman" w:hAnsi="Times New Roman" w:cs="Times New Roman"/>
          <w:sz w:val="28"/>
          <w:szCs w:val="28"/>
          <w:lang w:val="en-US"/>
        </w:rPr>
        <w:t>i</w:t>
      </w:r>
      <w:r w:rsidR="00DD522F">
        <w:rPr>
          <w:rFonts w:ascii="Times New Roman" w:hAnsi="Times New Roman" w:cs="Times New Roman"/>
          <w:sz w:val="28"/>
          <w:szCs w:val="28"/>
          <w:lang w:val="uk-UA"/>
        </w:rPr>
        <w:t xml:space="preserve"> </w:t>
      </w:r>
      <w:r w:rsidR="00514638" w:rsidRPr="008B1899">
        <w:rPr>
          <w:rFonts w:ascii="Times New Roman" w:hAnsi="Times New Roman" w:cs="Times New Roman"/>
          <w:sz w:val="28"/>
          <w:szCs w:val="28"/>
          <w:lang w:val="uk-UA"/>
        </w:rPr>
        <w:t>у</w:t>
      </w:r>
      <w:r w:rsidR="007026E5" w:rsidRPr="008B1899">
        <w:rPr>
          <w:rFonts w:ascii="Times New Roman" w:hAnsi="Times New Roman" w:cs="Times New Roman"/>
          <w:sz w:val="28"/>
          <w:szCs w:val="28"/>
          <w:lang w:val="uk-UA"/>
        </w:rPr>
        <w:t xml:space="preserve"> 1</w:t>
      </w:r>
      <w:r w:rsidR="008C1539" w:rsidRPr="008B1899">
        <w:rPr>
          <w:rFonts w:ascii="Times New Roman" w:hAnsi="Times New Roman" w:cs="Times New Roman"/>
          <w:sz w:val="28"/>
          <w:szCs w:val="28"/>
          <w:lang w:val="uk-UA"/>
        </w:rPr>
        <w:t>8</w:t>
      </w:r>
      <w:r w:rsidR="00A11888" w:rsidRPr="008B1899">
        <w:rPr>
          <w:rFonts w:ascii="Times New Roman" w:hAnsi="Times New Roman" w:cs="Times New Roman"/>
          <w:sz w:val="28"/>
          <w:szCs w:val="28"/>
          <w:lang w:val="uk-UA"/>
        </w:rPr>
        <w:t xml:space="preserve"> наукових</w:t>
      </w:r>
      <w:r w:rsidR="00247925" w:rsidRPr="008B1899">
        <w:rPr>
          <w:rFonts w:ascii="Times New Roman" w:hAnsi="Times New Roman" w:cs="Times New Roman"/>
          <w:sz w:val="28"/>
          <w:szCs w:val="28"/>
          <w:lang w:val="uk-UA"/>
        </w:rPr>
        <w:t xml:space="preserve"> </w:t>
      </w:r>
      <w:r w:rsidR="00DD522F" w:rsidRPr="008B1899">
        <w:rPr>
          <w:rFonts w:ascii="Times New Roman" w:hAnsi="Times New Roman" w:cs="Times New Roman"/>
          <w:sz w:val="28"/>
          <w:szCs w:val="28"/>
          <w:lang w:val="uk-UA"/>
        </w:rPr>
        <w:t>працях, зокрема у</w:t>
      </w:r>
      <w:r w:rsidR="0044264D" w:rsidRPr="008B1899">
        <w:rPr>
          <w:rFonts w:ascii="Times New Roman" w:hAnsi="Times New Roman" w:cs="Times New Roman"/>
          <w:sz w:val="28"/>
          <w:szCs w:val="28"/>
          <w:lang w:val="uk-UA"/>
        </w:rPr>
        <w:t xml:space="preserve"> </w:t>
      </w:r>
      <w:r w:rsidR="007026E5" w:rsidRPr="008B1899">
        <w:rPr>
          <w:rFonts w:ascii="Times New Roman" w:hAnsi="Times New Roman" w:cs="Times New Roman"/>
          <w:sz w:val="28"/>
          <w:szCs w:val="28"/>
          <w:lang w:val="uk-UA"/>
        </w:rPr>
        <w:t>6</w:t>
      </w:r>
      <w:r w:rsidR="00514638" w:rsidRPr="008B1899">
        <w:rPr>
          <w:rFonts w:ascii="Times New Roman" w:hAnsi="Times New Roman" w:cs="Times New Roman"/>
          <w:sz w:val="28"/>
          <w:szCs w:val="28"/>
          <w:lang w:val="uk-UA"/>
        </w:rPr>
        <w:t xml:space="preserve"> статтях, </w:t>
      </w:r>
      <w:r w:rsidR="007D4297" w:rsidRPr="008B1899">
        <w:rPr>
          <w:rFonts w:ascii="Times New Roman" w:hAnsi="Times New Roman" w:cs="Times New Roman"/>
          <w:sz w:val="28"/>
          <w:szCs w:val="28"/>
          <w:lang w:val="uk-UA"/>
        </w:rPr>
        <w:t xml:space="preserve">з </w:t>
      </w:r>
      <w:r w:rsidR="00514638" w:rsidRPr="008B1899">
        <w:rPr>
          <w:rFonts w:ascii="Times New Roman" w:hAnsi="Times New Roman" w:cs="Times New Roman"/>
          <w:sz w:val="28"/>
          <w:szCs w:val="28"/>
          <w:lang w:val="uk-UA"/>
        </w:rPr>
        <w:t>яких</w:t>
      </w:r>
      <w:r w:rsidR="007D4297" w:rsidRPr="008B1899">
        <w:rPr>
          <w:rFonts w:ascii="Times New Roman" w:hAnsi="Times New Roman" w:cs="Times New Roman"/>
          <w:sz w:val="28"/>
          <w:szCs w:val="28"/>
          <w:lang w:val="uk-UA"/>
        </w:rPr>
        <w:t xml:space="preserve">: </w:t>
      </w:r>
      <w:r w:rsidR="007026E5" w:rsidRPr="008B1899">
        <w:rPr>
          <w:rFonts w:ascii="Times New Roman" w:hAnsi="Times New Roman" w:cs="Times New Roman"/>
          <w:sz w:val="28"/>
          <w:szCs w:val="28"/>
          <w:lang w:val="uk-UA"/>
        </w:rPr>
        <w:t>5</w:t>
      </w:r>
      <w:r w:rsidR="00587A7C" w:rsidRPr="008B1899">
        <w:rPr>
          <w:rFonts w:ascii="Times New Roman" w:hAnsi="Times New Roman" w:cs="Times New Roman"/>
          <w:sz w:val="28"/>
          <w:szCs w:val="28"/>
          <w:lang w:val="uk-UA"/>
        </w:rPr>
        <w:t xml:space="preserve"> </w:t>
      </w:r>
      <w:r w:rsidR="00514638" w:rsidRPr="008B1899">
        <w:rPr>
          <w:rFonts w:ascii="Times New Roman" w:hAnsi="Times New Roman" w:cs="Times New Roman"/>
          <w:sz w:val="28"/>
          <w:szCs w:val="28"/>
          <w:lang w:val="uk-UA"/>
        </w:rPr>
        <w:t xml:space="preserve">− </w:t>
      </w:r>
      <w:r w:rsidR="00A11888" w:rsidRPr="008B1899">
        <w:rPr>
          <w:rFonts w:ascii="Times New Roman" w:hAnsi="Times New Roman" w:cs="Times New Roman"/>
          <w:sz w:val="28"/>
          <w:szCs w:val="28"/>
          <w:lang w:val="uk-UA"/>
        </w:rPr>
        <w:t>у фахо</w:t>
      </w:r>
      <w:r w:rsidR="00E22FFE" w:rsidRPr="008B1899">
        <w:rPr>
          <w:rFonts w:ascii="Times New Roman" w:hAnsi="Times New Roman" w:cs="Times New Roman"/>
          <w:sz w:val="28"/>
          <w:szCs w:val="28"/>
          <w:lang w:val="uk-UA"/>
        </w:rPr>
        <w:t>вих виданнях, рекомендованих МОН України</w:t>
      </w:r>
      <w:r w:rsidR="007026E5" w:rsidRPr="008B1899">
        <w:rPr>
          <w:rFonts w:ascii="Times New Roman" w:hAnsi="Times New Roman" w:cs="Times New Roman"/>
          <w:sz w:val="28"/>
          <w:szCs w:val="28"/>
          <w:lang w:val="uk-UA"/>
        </w:rPr>
        <w:t xml:space="preserve"> (4</w:t>
      </w:r>
      <w:r w:rsidRPr="008B1899">
        <w:rPr>
          <w:rFonts w:ascii="Times New Roman" w:hAnsi="Times New Roman" w:cs="Times New Roman"/>
          <w:sz w:val="28"/>
          <w:szCs w:val="28"/>
          <w:lang w:val="uk-UA"/>
        </w:rPr>
        <w:t xml:space="preserve"> – одноос</w:t>
      </w:r>
      <w:r w:rsidRPr="008B1899">
        <w:rPr>
          <w:rFonts w:ascii="Times New Roman" w:hAnsi="Times New Roman" w:cs="Times New Roman"/>
          <w:sz w:val="28"/>
          <w:szCs w:val="28"/>
          <w:lang w:val="en-US"/>
        </w:rPr>
        <w:t>i</w:t>
      </w:r>
      <w:r w:rsidR="009757C4" w:rsidRPr="008B1899">
        <w:rPr>
          <w:rFonts w:ascii="Times New Roman" w:hAnsi="Times New Roman" w:cs="Times New Roman"/>
          <w:sz w:val="28"/>
          <w:szCs w:val="28"/>
          <w:lang w:val="uk-UA"/>
        </w:rPr>
        <w:t>бних), 1</w:t>
      </w:r>
      <w:r w:rsidR="00587A7C" w:rsidRPr="008B1899">
        <w:rPr>
          <w:rFonts w:ascii="Times New Roman" w:hAnsi="Times New Roman" w:cs="Times New Roman"/>
          <w:sz w:val="28"/>
          <w:szCs w:val="28"/>
          <w:lang w:val="uk-UA"/>
        </w:rPr>
        <w:t xml:space="preserve"> </w:t>
      </w:r>
      <w:r w:rsidRPr="008B1899">
        <w:rPr>
          <w:rFonts w:ascii="Times New Roman" w:hAnsi="Times New Roman" w:cs="Times New Roman"/>
          <w:sz w:val="28"/>
          <w:szCs w:val="28"/>
          <w:lang w:val="uk-UA"/>
        </w:rPr>
        <w:t>статт</w:t>
      </w:r>
      <w:r w:rsidR="009757C4" w:rsidRPr="008B1899">
        <w:rPr>
          <w:rFonts w:ascii="Times New Roman" w:hAnsi="Times New Roman" w:cs="Times New Roman"/>
          <w:sz w:val="28"/>
          <w:szCs w:val="28"/>
          <w:lang w:val="uk-UA"/>
        </w:rPr>
        <w:t>я</w:t>
      </w:r>
      <w:r w:rsidR="00DD522F" w:rsidRPr="008B1899">
        <w:rPr>
          <w:rFonts w:ascii="Times New Roman" w:hAnsi="Times New Roman" w:cs="Times New Roman"/>
          <w:sz w:val="28"/>
          <w:szCs w:val="28"/>
          <w:lang w:val="uk-UA"/>
        </w:rPr>
        <w:t xml:space="preserve"> </w:t>
      </w:r>
      <w:r w:rsidR="009757C4" w:rsidRPr="008B1899">
        <w:rPr>
          <w:rFonts w:ascii="Times New Roman" w:hAnsi="Times New Roman" w:cs="Times New Roman"/>
          <w:sz w:val="28"/>
          <w:szCs w:val="28"/>
          <w:lang w:val="uk-UA"/>
        </w:rPr>
        <w:t>у виданні</w:t>
      </w:r>
      <w:r w:rsidRPr="008B1899">
        <w:rPr>
          <w:rFonts w:ascii="Times New Roman" w:hAnsi="Times New Roman" w:cs="Times New Roman"/>
          <w:sz w:val="28"/>
          <w:szCs w:val="28"/>
          <w:lang w:val="uk-UA"/>
        </w:rPr>
        <w:t xml:space="preserve">, що </w:t>
      </w:r>
      <w:r w:rsidRPr="008B1899">
        <w:rPr>
          <w:rFonts w:ascii="Times New Roman" w:hAnsi="Times New Roman" w:cs="Times New Roman"/>
          <w:sz w:val="28"/>
          <w:szCs w:val="28"/>
          <w:lang w:val="en-US"/>
        </w:rPr>
        <w:t>i</w:t>
      </w:r>
      <w:r w:rsidR="00A11888" w:rsidRPr="008B1899">
        <w:rPr>
          <w:rFonts w:ascii="Times New Roman" w:hAnsi="Times New Roman" w:cs="Times New Roman"/>
          <w:sz w:val="28"/>
          <w:szCs w:val="28"/>
          <w:lang w:val="uk-UA"/>
        </w:rPr>
        <w:t xml:space="preserve">ндексується </w:t>
      </w:r>
      <w:r w:rsidR="00E81A49" w:rsidRPr="008B1899">
        <w:rPr>
          <w:rFonts w:ascii="Times New Roman" w:hAnsi="Times New Roman" w:cs="Times New Roman"/>
          <w:sz w:val="28"/>
          <w:szCs w:val="28"/>
          <w:lang w:val="uk-UA"/>
        </w:rPr>
        <w:t xml:space="preserve">наукометричною </w:t>
      </w:r>
      <w:r w:rsidR="00DD522F" w:rsidRPr="008B1899">
        <w:rPr>
          <w:rFonts w:ascii="Times New Roman" w:hAnsi="Times New Roman" w:cs="Times New Roman"/>
          <w:sz w:val="28"/>
          <w:szCs w:val="28"/>
          <w:lang w:val="uk-UA"/>
        </w:rPr>
        <w:t xml:space="preserve">базою </w:t>
      </w:r>
      <w:r w:rsidRPr="008B1899">
        <w:rPr>
          <w:rFonts w:ascii="Times New Roman" w:hAnsi="Times New Roman" w:cs="Times New Roman"/>
          <w:sz w:val="28"/>
          <w:szCs w:val="28"/>
          <w:lang w:val="uk-UA"/>
        </w:rPr>
        <w:t>Scopus, 1 державному декларац</w:t>
      </w:r>
      <w:r w:rsidRPr="008B1899">
        <w:rPr>
          <w:rFonts w:ascii="Times New Roman" w:hAnsi="Times New Roman" w:cs="Times New Roman"/>
          <w:sz w:val="28"/>
          <w:szCs w:val="28"/>
          <w:lang w:val="en-US"/>
        </w:rPr>
        <w:t>i</w:t>
      </w:r>
      <w:r w:rsidR="008A3FD2" w:rsidRPr="008B1899">
        <w:rPr>
          <w:rFonts w:ascii="Times New Roman" w:hAnsi="Times New Roman" w:cs="Times New Roman"/>
          <w:sz w:val="28"/>
          <w:szCs w:val="28"/>
          <w:lang w:val="uk-UA"/>
        </w:rPr>
        <w:t>йному</w:t>
      </w:r>
      <w:r w:rsidR="00A11888" w:rsidRPr="008B1899">
        <w:rPr>
          <w:rFonts w:ascii="Times New Roman" w:hAnsi="Times New Roman" w:cs="Times New Roman"/>
          <w:sz w:val="28"/>
          <w:szCs w:val="28"/>
          <w:lang w:val="uk-UA"/>
        </w:rPr>
        <w:t xml:space="preserve"> патент</w:t>
      </w:r>
      <w:r w:rsidRPr="008B1899">
        <w:rPr>
          <w:rFonts w:ascii="Times New Roman" w:hAnsi="Times New Roman" w:cs="Times New Roman"/>
          <w:sz w:val="28"/>
          <w:szCs w:val="28"/>
          <w:lang w:val="en-US"/>
        </w:rPr>
        <w:t>i</w:t>
      </w:r>
      <w:r w:rsidR="00A11888" w:rsidRPr="008B1899">
        <w:rPr>
          <w:rFonts w:ascii="Times New Roman" w:hAnsi="Times New Roman" w:cs="Times New Roman"/>
          <w:sz w:val="28"/>
          <w:szCs w:val="28"/>
          <w:lang w:val="uk-UA"/>
        </w:rPr>
        <w:t xml:space="preserve"> України на корисну мо</w:t>
      </w:r>
      <w:r w:rsidR="000936C4" w:rsidRPr="008B1899">
        <w:rPr>
          <w:rFonts w:ascii="Times New Roman" w:hAnsi="Times New Roman" w:cs="Times New Roman"/>
          <w:sz w:val="28"/>
          <w:szCs w:val="28"/>
          <w:lang w:val="uk-UA"/>
        </w:rPr>
        <w:t xml:space="preserve">дель та </w:t>
      </w:r>
      <w:r w:rsidR="008C1539" w:rsidRPr="008B1899">
        <w:rPr>
          <w:rFonts w:ascii="Times New Roman" w:hAnsi="Times New Roman" w:cs="Times New Roman"/>
          <w:sz w:val="28"/>
          <w:szCs w:val="28"/>
        </w:rPr>
        <w:t>11</w:t>
      </w:r>
      <w:r w:rsidR="00A11888" w:rsidRPr="008B1899">
        <w:rPr>
          <w:rFonts w:ascii="Times New Roman" w:hAnsi="Times New Roman" w:cs="Times New Roman"/>
          <w:sz w:val="28"/>
          <w:szCs w:val="28"/>
          <w:lang w:val="uk-UA"/>
        </w:rPr>
        <w:t xml:space="preserve"> тез</w:t>
      </w:r>
      <w:r w:rsidR="008A3FD2" w:rsidRPr="008B1899">
        <w:rPr>
          <w:rFonts w:ascii="Times New Roman" w:hAnsi="Times New Roman" w:cs="Times New Roman"/>
          <w:sz w:val="28"/>
          <w:szCs w:val="28"/>
          <w:lang w:val="uk-UA"/>
        </w:rPr>
        <w:t>ах</w:t>
      </w:r>
      <w:r w:rsidRPr="008B1899">
        <w:rPr>
          <w:rFonts w:ascii="Times New Roman" w:hAnsi="Times New Roman" w:cs="Times New Roman"/>
          <w:sz w:val="28"/>
          <w:szCs w:val="28"/>
          <w:lang w:val="uk-UA"/>
        </w:rPr>
        <w:t xml:space="preserve"> допов</w:t>
      </w:r>
      <w:r w:rsidRPr="008B1899">
        <w:rPr>
          <w:rFonts w:ascii="Times New Roman" w:hAnsi="Times New Roman" w:cs="Times New Roman"/>
          <w:sz w:val="28"/>
          <w:szCs w:val="28"/>
          <w:lang w:val="en-US"/>
        </w:rPr>
        <w:t>i</w:t>
      </w:r>
      <w:r w:rsidR="00604EF8" w:rsidRPr="008B1899">
        <w:rPr>
          <w:rFonts w:ascii="Times New Roman" w:hAnsi="Times New Roman" w:cs="Times New Roman"/>
          <w:sz w:val="28"/>
          <w:szCs w:val="28"/>
          <w:lang w:val="uk-UA"/>
        </w:rPr>
        <w:t>дей</w:t>
      </w:r>
      <w:r w:rsidR="00510885" w:rsidRPr="008B1899">
        <w:rPr>
          <w:rFonts w:ascii="Times New Roman" w:hAnsi="Times New Roman" w:cs="Times New Roman"/>
          <w:sz w:val="28"/>
          <w:szCs w:val="28"/>
          <w:lang w:val="uk-UA"/>
        </w:rPr>
        <w:t>.</w:t>
      </w:r>
    </w:p>
    <w:p w:rsidR="008A0DD4" w:rsidRPr="00D52478" w:rsidRDefault="008A0DD4" w:rsidP="008A0DD4">
      <w:pPr>
        <w:spacing w:after="0" w:line="360" w:lineRule="auto"/>
        <w:rPr>
          <w:rFonts w:ascii="Times New Roman" w:hAnsi="Times New Roman" w:cs="Times New Roman"/>
          <w:b/>
          <w:sz w:val="28"/>
          <w:szCs w:val="28"/>
          <w:lang w:val="uk-UA"/>
        </w:rPr>
      </w:pPr>
    </w:p>
    <w:p w:rsidR="00297F80" w:rsidRPr="004374D4" w:rsidRDefault="00297F80" w:rsidP="008A0DD4">
      <w:pPr>
        <w:spacing w:after="0" w:line="360" w:lineRule="auto"/>
        <w:jc w:val="center"/>
        <w:rPr>
          <w:rFonts w:ascii="Times New Roman" w:hAnsi="Times New Roman" w:cs="Times New Roman"/>
          <w:b/>
          <w:sz w:val="28"/>
          <w:szCs w:val="28"/>
        </w:rPr>
      </w:pPr>
    </w:p>
    <w:p w:rsidR="00297F80" w:rsidRPr="004374D4" w:rsidRDefault="00297F80" w:rsidP="008A0DD4">
      <w:pPr>
        <w:spacing w:after="0" w:line="360" w:lineRule="auto"/>
        <w:jc w:val="center"/>
        <w:rPr>
          <w:rFonts w:ascii="Times New Roman" w:hAnsi="Times New Roman" w:cs="Times New Roman"/>
          <w:b/>
          <w:sz w:val="28"/>
          <w:szCs w:val="28"/>
        </w:rPr>
      </w:pPr>
    </w:p>
    <w:p w:rsidR="0014613C" w:rsidRPr="00356098" w:rsidRDefault="0014613C" w:rsidP="008A0DD4">
      <w:pPr>
        <w:spacing w:after="0" w:line="360" w:lineRule="auto"/>
        <w:jc w:val="center"/>
        <w:rPr>
          <w:rFonts w:ascii="Times New Roman" w:hAnsi="Times New Roman" w:cs="Times New Roman"/>
          <w:b/>
          <w:sz w:val="28"/>
          <w:szCs w:val="28"/>
        </w:rPr>
      </w:pPr>
    </w:p>
    <w:p w:rsidR="0014613C" w:rsidRPr="00356098" w:rsidRDefault="0014613C" w:rsidP="008A0DD4">
      <w:pPr>
        <w:spacing w:after="0" w:line="360" w:lineRule="auto"/>
        <w:jc w:val="center"/>
        <w:rPr>
          <w:rFonts w:ascii="Times New Roman" w:hAnsi="Times New Roman" w:cs="Times New Roman"/>
          <w:b/>
          <w:sz w:val="28"/>
          <w:szCs w:val="28"/>
        </w:rPr>
      </w:pPr>
    </w:p>
    <w:p w:rsidR="0014613C" w:rsidRPr="00356098" w:rsidRDefault="0014613C" w:rsidP="008A0DD4">
      <w:pPr>
        <w:spacing w:after="0" w:line="360" w:lineRule="auto"/>
        <w:jc w:val="center"/>
        <w:rPr>
          <w:rFonts w:ascii="Times New Roman" w:hAnsi="Times New Roman" w:cs="Times New Roman"/>
          <w:b/>
          <w:sz w:val="28"/>
          <w:szCs w:val="28"/>
        </w:rPr>
      </w:pPr>
    </w:p>
    <w:p w:rsidR="0014613C" w:rsidRPr="00356098" w:rsidRDefault="0014613C" w:rsidP="008A0DD4">
      <w:pPr>
        <w:spacing w:after="0" w:line="360" w:lineRule="auto"/>
        <w:jc w:val="center"/>
        <w:rPr>
          <w:rFonts w:ascii="Times New Roman" w:hAnsi="Times New Roman" w:cs="Times New Roman"/>
          <w:b/>
          <w:sz w:val="28"/>
          <w:szCs w:val="28"/>
        </w:rPr>
      </w:pPr>
    </w:p>
    <w:p w:rsidR="0014613C" w:rsidRPr="00356098" w:rsidRDefault="0014613C" w:rsidP="008A0DD4">
      <w:pPr>
        <w:spacing w:after="0" w:line="360" w:lineRule="auto"/>
        <w:jc w:val="center"/>
        <w:rPr>
          <w:rFonts w:ascii="Times New Roman" w:hAnsi="Times New Roman" w:cs="Times New Roman"/>
          <w:b/>
          <w:sz w:val="28"/>
          <w:szCs w:val="28"/>
        </w:rPr>
      </w:pPr>
    </w:p>
    <w:p w:rsidR="00BB627A" w:rsidRDefault="00BB627A" w:rsidP="008A0DD4">
      <w:pPr>
        <w:spacing w:after="0" w:line="360" w:lineRule="auto"/>
        <w:jc w:val="center"/>
        <w:rPr>
          <w:rFonts w:ascii="Times New Roman" w:hAnsi="Times New Roman" w:cs="Times New Roman"/>
          <w:b/>
          <w:sz w:val="28"/>
          <w:szCs w:val="28"/>
          <w:lang w:val="uk-UA"/>
        </w:rPr>
      </w:pPr>
    </w:p>
    <w:p w:rsidR="00BB627A" w:rsidRDefault="00BB627A" w:rsidP="008A0DD4">
      <w:pPr>
        <w:spacing w:after="0" w:line="360" w:lineRule="auto"/>
        <w:jc w:val="center"/>
        <w:rPr>
          <w:rFonts w:ascii="Times New Roman" w:hAnsi="Times New Roman" w:cs="Times New Roman"/>
          <w:b/>
          <w:sz w:val="28"/>
          <w:szCs w:val="28"/>
          <w:lang w:val="uk-UA"/>
        </w:rPr>
      </w:pPr>
    </w:p>
    <w:p w:rsidR="00BB627A" w:rsidRDefault="00BB627A" w:rsidP="008A0DD4">
      <w:pPr>
        <w:spacing w:after="0" w:line="360" w:lineRule="auto"/>
        <w:jc w:val="center"/>
        <w:rPr>
          <w:rFonts w:ascii="Times New Roman" w:hAnsi="Times New Roman" w:cs="Times New Roman"/>
          <w:b/>
          <w:sz w:val="28"/>
          <w:szCs w:val="28"/>
          <w:lang w:val="uk-UA"/>
        </w:rPr>
      </w:pPr>
    </w:p>
    <w:p w:rsidR="00BB627A" w:rsidRDefault="00BB627A" w:rsidP="008A0DD4">
      <w:pPr>
        <w:spacing w:after="0" w:line="360" w:lineRule="auto"/>
        <w:jc w:val="center"/>
        <w:rPr>
          <w:rFonts w:ascii="Times New Roman" w:hAnsi="Times New Roman" w:cs="Times New Roman"/>
          <w:b/>
          <w:sz w:val="28"/>
          <w:szCs w:val="28"/>
          <w:lang w:val="uk-UA"/>
        </w:rPr>
      </w:pPr>
    </w:p>
    <w:p w:rsidR="00BB627A" w:rsidRDefault="00BB627A" w:rsidP="008A0DD4">
      <w:pPr>
        <w:spacing w:after="0" w:line="360" w:lineRule="auto"/>
        <w:jc w:val="center"/>
        <w:rPr>
          <w:rFonts w:ascii="Times New Roman" w:hAnsi="Times New Roman" w:cs="Times New Roman"/>
          <w:b/>
          <w:sz w:val="28"/>
          <w:szCs w:val="28"/>
          <w:lang w:val="uk-UA"/>
        </w:rPr>
      </w:pPr>
    </w:p>
    <w:p w:rsidR="003061AA" w:rsidRDefault="003061AA" w:rsidP="008A0DD4">
      <w:pPr>
        <w:spacing w:after="0" w:line="360" w:lineRule="auto"/>
        <w:jc w:val="center"/>
        <w:rPr>
          <w:rFonts w:ascii="Times New Roman" w:hAnsi="Times New Roman" w:cs="Times New Roman"/>
          <w:b/>
          <w:sz w:val="28"/>
          <w:szCs w:val="28"/>
          <w:lang w:val="uk-UA"/>
        </w:rPr>
      </w:pPr>
    </w:p>
    <w:p w:rsidR="003061AA" w:rsidRDefault="003061AA" w:rsidP="008A0DD4">
      <w:pPr>
        <w:spacing w:after="0" w:line="360" w:lineRule="auto"/>
        <w:jc w:val="center"/>
        <w:rPr>
          <w:rFonts w:ascii="Times New Roman" w:hAnsi="Times New Roman" w:cs="Times New Roman"/>
          <w:b/>
          <w:sz w:val="28"/>
          <w:szCs w:val="28"/>
          <w:lang w:val="uk-UA"/>
        </w:rPr>
      </w:pPr>
    </w:p>
    <w:p w:rsidR="003A72CF" w:rsidRDefault="003A72CF" w:rsidP="00A310C1">
      <w:pPr>
        <w:spacing w:after="0" w:line="360" w:lineRule="auto"/>
        <w:rPr>
          <w:rFonts w:ascii="Times New Roman" w:hAnsi="Times New Roman" w:cs="Times New Roman"/>
          <w:b/>
          <w:sz w:val="28"/>
          <w:szCs w:val="28"/>
          <w:lang w:val="uk-UA"/>
        </w:rPr>
      </w:pPr>
    </w:p>
    <w:p w:rsidR="00A310C1" w:rsidRDefault="00A310C1" w:rsidP="00A310C1">
      <w:pPr>
        <w:spacing w:after="0" w:line="360" w:lineRule="auto"/>
        <w:rPr>
          <w:rFonts w:ascii="Times New Roman" w:hAnsi="Times New Roman" w:cs="Times New Roman"/>
          <w:b/>
          <w:sz w:val="28"/>
          <w:szCs w:val="28"/>
          <w:lang w:val="uk-UA"/>
        </w:rPr>
      </w:pPr>
    </w:p>
    <w:p w:rsidR="00341818" w:rsidRPr="00341818" w:rsidRDefault="00A03291" w:rsidP="008A0DD4">
      <w:pPr>
        <w:spacing w:after="0" w:line="360" w:lineRule="auto"/>
        <w:jc w:val="center"/>
        <w:rPr>
          <w:rFonts w:ascii="Times New Roman" w:hAnsi="Times New Roman" w:cs="Times New Roman"/>
          <w:b/>
          <w:sz w:val="28"/>
          <w:szCs w:val="28"/>
          <w:lang w:val="uk-UA"/>
        </w:rPr>
      </w:pPr>
      <w:r w:rsidRPr="00341818">
        <w:rPr>
          <w:rFonts w:ascii="Times New Roman" w:hAnsi="Times New Roman" w:cs="Times New Roman"/>
          <w:b/>
          <w:sz w:val="28"/>
          <w:szCs w:val="28"/>
          <w:lang w:val="uk-UA"/>
        </w:rPr>
        <w:lastRenderedPageBreak/>
        <w:t>РОЗДІЛ 1</w:t>
      </w:r>
    </w:p>
    <w:p w:rsidR="00A03291" w:rsidRPr="00A03291" w:rsidRDefault="00A03291" w:rsidP="00A03291">
      <w:pPr>
        <w:spacing w:after="0" w:line="360" w:lineRule="auto"/>
        <w:ind w:firstLine="708"/>
        <w:jc w:val="center"/>
        <w:rPr>
          <w:rFonts w:ascii="Times New Roman" w:hAnsi="Times New Roman" w:cs="Times New Roman"/>
          <w:sz w:val="28"/>
          <w:szCs w:val="28"/>
          <w:lang w:val="uk-UA"/>
        </w:rPr>
      </w:pPr>
      <w:r w:rsidRPr="00341818">
        <w:rPr>
          <w:rFonts w:ascii="Times New Roman" w:hAnsi="Times New Roman" w:cs="Times New Roman"/>
          <w:b/>
          <w:sz w:val="28"/>
          <w:szCs w:val="28"/>
          <w:lang w:val="uk-UA"/>
        </w:rPr>
        <w:t xml:space="preserve">ОГЛЯД ЛІТЕРАТУРИ. </w:t>
      </w:r>
      <w:r w:rsidR="000C3F6B" w:rsidRPr="000C3F6B">
        <w:rPr>
          <w:rFonts w:ascii="Times New Roman" w:eastAsia="Times New Roman" w:hAnsi="Times New Roman" w:cs="Times New Roman"/>
          <w:b/>
          <w:sz w:val="28"/>
          <w:szCs w:val="28"/>
          <w:lang w:val="uk-UA" w:eastAsia="ru-RU"/>
        </w:rPr>
        <w:t>КЛЮЧОВІ ЛАНКИ ПАТОГЕНЕЗУ МЕТАБОЛІЧНИХ ПОРУШЕНЬ ПРИ ПОЄДНАННІ АРТЕРІАЛЬНОЇ ГІПЕРТЕНЗІЇ ТА ЦУКРОВОГО ДІАБЕТУ 2-ГО ТИПУ</w:t>
      </w:r>
      <w:r w:rsidR="000C3F6B" w:rsidRPr="00E22FFE">
        <w:rPr>
          <w:rFonts w:ascii="Times New Roman" w:hAnsi="Times New Roman" w:cs="Times New Roman"/>
          <w:b/>
          <w:sz w:val="28"/>
          <w:szCs w:val="28"/>
          <w:lang w:val="uk-UA"/>
        </w:rPr>
        <w:t xml:space="preserve"> </w:t>
      </w:r>
    </w:p>
    <w:p w:rsidR="00341818" w:rsidRDefault="00341818" w:rsidP="00341818">
      <w:pPr>
        <w:spacing w:after="0" w:line="360" w:lineRule="auto"/>
        <w:contextualSpacing/>
        <w:jc w:val="both"/>
        <w:rPr>
          <w:rFonts w:ascii="Times New Roman" w:hAnsi="Times New Roman" w:cs="Times New Roman"/>
          <w:b/>
          <w:sz w:val="28"/>
          <w:szCs w:val="28"/>
          <w:lang w:val="uk-UA"/>
        </w:rPr>
      </w:pPr>
    </w:p>
    <w:p w:rsidR="00A03291" w:rsidRPr="00A03291" w:rsidRDefault="00340897" w:rsidP="00341818">
      <w:pPr>
        <w:spacing w:after="0" w:line="36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1.1</w:t>
      </w:r>
      <w:r w:rsidR="00362835">
        <w:rPr>
          <w:rFonts w:ascii="Times New Roman" w:hAnsi="Times New Roman" w:cs="Times New Roman"/>
          <w:b/>
          <w:sz w:val="28"/>
          <w:szCs w:val="28"/>
          <w:lang w:val="uk-UA"/>
        </w:rPr>
        <w:t>.</w:t>
      </w:r>
      <w:r w:rsidR="00A03291" w:rsidRPr="00A03291">
        <w:rPr>
          <w:rFonts w:ascii="Times New Roman" w:hAnsi="Times New Roman" w:cs="Times New Roman"/>
          <w:sz w:val="28"/>
          <w:szCs w:val="28"/>
          <w:lang w:val="uk-UA"/>
        </w:rPr>
        <w:t xml:space="preserve"> </w:t>
      </w:r>
      <w:r w:rsidR="000C3F6B" w:rsidRPr="000C3F6B">
        <w:rPr>
          <w:rFonts w:ascii="Times New Roman" w:hAnsi="Times New Roman" w:cs="Times New Roman"/>
          <w:b/>
          <w:sz w:val="28"/>
          <w:szCs w:val="28"/>
          <w:lang w:val="uk-UA"/>
        </w:rPr>
        <w:t xml:space="preserve">Основні </w:t>
      </w:r>
      <w:r w:rsidR="00A75422">
        <w:rPr>
          <w:rFonts w:ascii="Times New Roman" w:hAnsi="Times New Roman" w:cs="Times New Roman"/>
          <w:b/>
          <w:sz w:val="28"/>
          <w:szCs w:val="28"/>
          <w:lang w:val="uk-UA"/>
        </w:rPr>
        <w:t xml:space="preserve">патогенетичні </w:t>
      </w:r>
      <w:r w:rsidR="000C3F6B" w:rsidRPr="000C3F6B">
        <w:rPr>
          <w:rFonts w:ascii="Times New Roman" w:hAnsi="Times New Roman" w:cs="Times New Roman"/>
          <w:b/>
          <w:sz w:val="28"/>
          <w:szCs w:val="28"/>
          <w:lang w:val="uk-UA"/>
        </w:rPr>
        <w:t>аспекти порушен</w:t>
      </w:r>
      <w:r w:rsidR="00DD522F">
        <w:rPr>
          <w:rFonts w:ascii="Times New Roman" w:hAnsi="Times New Roman" w:cs="Times New Roman"/>
          <w:b/>
          <w:sz w:val="28"/>
          <w:szCs w:val="28"/>
          <w:lang w:val="uk-UA"/>
        </w:rPr>
        <w:t xml:space="preserve">ь ліпідного обміну в пацієнтів </w:t>
      </w:r>
      <w:r w:rsidR="00AA74D2">
        <w:rPr>
          <w:rFonts w:ascii="Times New Roman" w:hAnsi="Times New Roman" w:cs="Times New Roman"/>
          <w:b/>
          <w:sz w:val="28"/>
          <w:szCs w:val="28"/>
          <w:lang w:val="uk-UA"/>
        </w:rPr>
        <w:t>і</w:t>
      </w:r>
      <w:r w:rsidR="000C3F6B" w:rsidRPr="000C3F6B">
        <w:rPr>
          <w:rFonts w:ascii="Times New Roman" w:hAnsi="Times New Roman" w:cs="Times New Roman"/>
          <w:b/>
          <w:sz w:val="28"/>
          <w:szCs w:val="28"/>
          <w:lang w:val="uk-UA"/>
        </w:rPr>
        <w:t>з артеріальною гіпертензією та цукровим діабетом 2-го типу</w:t>
      </w:r>
    </w:p>
    <w:p w:rsidR="00341818" w:rsidRDefault="00341818" w:rsidP="00A03291">
      <w:pPr>
        <w:spacing w:after="0" w:line="360" w:lineRule="auto"/>
        <w:ind w:firstLine="708"/>
        <w:jc w:val="both"/>
        <w:rPr>
          <w:rFonts w:ascii="Times New Roman" w:hAnsi="Times New Roman" w:cs="Times New Roman"/>
          <w:sz w:val="28"/>
          <w:szCs w:val="28"/>
          <w:lang w:val="uk-UA"/>
        </w:rPr>
      </w:pPr>
    </w:p>
    <w:p w:rsidR="001225FC" w:rsidRPr="00A03291" w:rsidRDefault="00BF0233" w:rsidP="001225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Цукровий діабет</w:t>
      </w:r>
      <w:r w:rsidR="001225FC" w:rsidRPr="00A03291">
        <w:rPr>
          <w:rFonts w:ascii="Times New Roman" w:hAnsi="Times New Roman" w:cs="Times New Roman"/>
          <w:sz w:val="28"/>
          <w:szCs w:val="28"/>
          <w:lang w:val="uk-UA"/>
        </w:rPr>
        <w:t xml:space="preserve"> є одним із потужних чинників атерогенезу</w:t>
      </w:r>
      <w:r w:rsidR="002575B2" w:rsidRPr="002575B2">
        <w:rPr>
          <w:rFonts w:ascii="Times New Roman" w:hAnsi="Times New Roman" w:cs="Times New Roman"/>
          <w:sz w:val="28"/>
          <w:szCs w:val="28"/>
        </w:rPr>
        <w:t xml:space="preserve"> [</w:t>
      </w:r>
      <w:r w:rsidR="0083391B">
        <w:rPr>
          <w:rFonts w:ascii="Times New Roman" w:hAnsi="Times New Roman" w:cs="Times New Roman"/>
          <w:sz w:val="28"/>
          <w:szCs w:val="28"/>
          <w:lang w:val="uk-UA"/>
        </w:rPr>
        <w:t>20</w:t>
      </w:r>
      <w:r w:rsidR="002575B2" w:rsidRPr="002575B2">
        <w:rPr>
          <w:rFonts w:ascii="Times New Roman" w:hAnsi="Times New Roman" w:cs="Times New Roman"/>
          <w:sz w:val="28"/>
          <w:szCs w:val="28"/>
        </w:rPr>
        <w:t>]</w:t>
      </w:r>
      <w:r w:rsidR="005C6906" w:rsidRPr="005C6906">
        <w:rPr>
          <w:rFonts w:ascii="Times New Roman" w:hAnsi="Times New Roman" w:cs="Times New Roman"/>
          <w:sz w:val="28"/>
          <w:szCs w:val="28"/>
        </w:rPr>
        <w:t xml:space="preserve">. </w:t>
      </w:r>
      <w:r w:rsidR="001225FC" w:rsidRPr="00A03291">
        <w:rPr>
          <w:rFonts w:ascii="Times New Roman" w:hAnsi="Times New Roman" w:cs="Times New Roman"/>
          <w:sz w:val="28"/>
          <w:szCs w:val="28"/>
          <w:lang w:val="uk-UA"/>
        </w:rPr>
        <w:t>Ангіопатія внаслідок дисліпідемії є зв</w:t>
      </w:r>
      <w:r w:rsidR="006309A5">
        <w:rPr>
          <w:rFonts w:ascii="Times New Roman" w:hAnsi="Times New Roman" w:cs="Times New Roman"/>
          <w:sz w:val="28"/>
          <w:szCs w:val="28"/>
          <w:lang w:val="uk-UA"/>
        </w:rPr>
        <w:t>ʼ</w:t>
      </w:r>
      <w:r w:rsidR="001B3B48">
        <w:rPr>
          <w:rFonts w:ascii="Times New Roman" w:hAnsi="Times New Roman" w:cs="Times New Roman"/>
          <w:sz w:val="28"/>
          <w:szCs w:val="28"/>
          <w:lang w:val="uk-UA"/>
        </w:rPr>
        <w:t>язувальн</w:t>
      </w:r>
      <w:r w:rsidR="001225FC" w:rsidRPr="00A03291">
        <w:rPr>
          <w:rFonts w:ascii="Times New Roman" w:hAnsi="Times New Roman" w:cs="Times New Roman"/>
          <w:sz w:val="28"/>
          <w:szCs w:val="28"/>
          <w:lang w:val="uk-UA"/>
        </w:rPr>
        <w:t>ою ланкою між ЦД 2</w:t>
      </w:r>
      <w:r w:rsidR="00FC366E">
        <w:rPr>
          <w:rFonts w:ascii="Times New Roman" w:hAnsi="Times New Roman" w:cs="Times New Roman"/>
          <w:sz w:val="28"/>
          <w:szCs w:val="28"/>
          <w:lang w:val="uk-UA"/>
        </w:rPr>
        <w:t>-го</w:t>
      </w:r>
      <w:r w:rsidR="001225FC" w:rsidRPr="00A03291">
        <w:rPr>
          <w:rFonts w:ascii="Times New Roman" w:hAnsi="Times New Roman" w:cs="Times New Roman"/>
          <w:sz w:val="28"/>
          <w:szCs w:val="28"/>
          <w:lang w:val="uk-UA"/>
        </w:rPr>
        <w:t xml:space="preserve"> типу та кардіо</w:t>
      </w:r>
      <w:r w:rsidR="00D2768A">
        <w:rPr>
          <w:rFonts w:ascii="Times New Roman" w:hAnsi="Times New Roman" w:cs="Times New Roman"/>
          <w:sz w:val="28"/>
          <w:szCs w:val="28"/>
          <w:lang w:val="uk-UA"/>
        </w:rPr>
        <w:t>васкулярними захворюваннями [</w:t>
      </w:r>
      <w:r w:rsidR="0083391B">
        <w:rPr>
          <w:rFonts w:ascii="Times New Roman" w:hAnsi="Times New Roman" w:cs="Times New Roman"/>
          <w:sz w:val="28"/>
          <w:szCs w:val="28"/>
          <w:lang w:val="uk-UA"/>
        </w:rPr>
        <w:t>21</w:t>
      </w:r>
      <w:r w:rsidR="001225FC" w:rsidRPr="00D2768A">
        <w:rPr>
          <w:rFonts w:ascii="Times New Roman" w:hAnsi="Times New Roman" w:cs="Times New Roman"/>
          <w:sz w:val="28"/>
          <w:szCs w:val="28"/>
          <w:lang w:val="uk-UA"/>
        </w:rPr>
        <w:t>].</w:t>
      </w:r>
    </w:p>
    <w:p w:rsidR="001225FC" w:rsidRPr="00A03291" w:rsidRDefault="00EC4B7B" w:rsidP="001225FC">
      <w:pPr>
        <w:autoSpaceDE w:val="0"/>
        <w:autoSpaceDN w:val="0"/>
        <w:adjustRightInd w:val="0"/>
        <w:spacing w:after="0" w:line="360" w:lineRule="auto"/>
        <w:ind w:firstLine="708"/>
        <w:jc w:val="both"/>
        <w:rPr>
          <w:rFonts w:ascii="Times New Roman" w:hAnsi="Times New Roman" w:cs="Times New Roman"/>
          <w:sz w:val="28"/>
          <w:szCs w:val="28"/>
          <w:lang w:val="uk-UA"/>
        </w:rPr>
      </w:pPr>
      <w:r w:rsidRPr="00EC4B7B">
        <w:rPr>
          <w:rFonts w:ascii="Times New Roman" w:hAnsi="Times New Roman" w:cs="Times New Roman"/>
          <w:sz w:val="28"/>
          <w:szCs w:val="28"/>
          <w:lang w:val="uk-UA"/>
        </w:rPr>
        <w:t xml:space="preserve"> </w:t>
      </w:r>
      <w:r w:rsidR="00BF0233">
        <w:rPr>
          <w:rFonts w:ascii="Times New Roman" w:hAnsi="Times New Roman" w:cs="Times New Roman"/>
          <w:sz w:val="28"/>
          <w:szCs w:val="28"/>
          <w:lang w:val="uk-UA"/>
        </w:rPr>
        <w:t>Артеріаль</w:t>
      </w:r>
      <w:r w:rsidR="003A72CF">
        <w:rPr>
          <w:rFonts w:ascii="Times New Roman" w:hAnsi="Times New Roman" w:cs="Times New Roman"/>
          <w:sz w:val="28"/>
          <w:szCs w:val="28"/>
          <w:lang w:val="uk-UA"/>
        </w:rPr>
        <w:t>н</w:t>
      </w:r>
      <w:r w:rsidR="00BF0233">
        <w:rPr>
          <w:rFonts w:ascii="Times New Roman" w:hAnsi="Times New Roman" w:cs="Times New Roman"/>
          <w:sz w:val="28"/>
          <w:szCs w:val="28"/>
          <w:lang w:val="uk-UA"/>
        </w:rPr>
        <w:t>а гіпертензія</w:t>
      </w:r>
      <w:r w:rsidR="001B53C5">
        <w:rPr>
          <w:rFonts w:ascii="Times New Roman" w:hAnsi="Times New Roman" w:cs="Times New Roman"/>
          <w:sz w:val="28"/>
          <w:szCs w:val="28"/>
          <w:lang w:val="uk-UA"/>
        </w:rPr>
        <w:t xml:space="preserve"> і дисліпідемія є факторами серцево-судинного ризику </w:t>
      </w:r>
      <w:r w:rsidR="009249E1" w:rsidRPr="009249E1">
        <w:rPr>
          <w:rFonts w:ascii="Times New Roman" w:hAnsi="Times New Roman" w:cs="Times New Roman"/>
          <w:sz w:val="28"/>
          <w:szCs w:val="28"/>
          <w:lang w:val="uk-UA"/>
        </w:rPr>
        <w:t>[</w:t>
      </w:r>
      <w:r w:rsidR="0083391B">
        <w:rPr>
          <w:rFonts w:ascii="Times New Roman" w:hAnsi="Times New Roman" w:cs="Times New Roman"/>
          <w:sz w:val="28"/>
          <w:szCs w:val="28"/>
          <w:lang w:val="uk-UA"/>
        </w:rPr>
        <w:t>22</w:t>
      </w:r>
      <w:r w:rsidR="009249E1" w:rsidRPr="009249E1">
        <w:rPr>
          <w:rFonts w:ascii="Times New Roman" w:hAnsi="Times New Roman" w:cs="Times New Roman"/>
          <w:sz w:val="28"/>
          <w:szCs w:val="28"/>
          <w:lang w:val="uk-UA"/>
        </w:rPr>
        <w:t>].</w:t>
      </w:r>
      <w:r w:rsidR="009249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пацієнтів </w:t>
      </w:r>
      <w:r w:rsidR="00C74A3E">
        <w:rPr>
          <w:rFonts w:ascii="Times New Roman" w:hAnsi="Times New Roman" w:cs="Times New Roman"/>
          <w:sz w:val="28"/>
          <w:szCs w:val="28"/>
          <w:lang w:val="uk-UA"/>
        </w:rPr>
        <w:t>і</w:t>
      </w:r>
      <w:r>
        <w:rPr>
          <w:rFonts w:ascii="Times New Roman" w:hAnsi="Times New Roman" w:cs="Times New Roman"/>
          <w:sz w:val="28"/>
          <w:szCs w:val="28"/>
          <w:lang w:val="uk-UA"/>
        </w:rPr>
        <w:t xml:space="preserve">з АГ, особливо за наявності супутнього </w:t>
      </w:r>
      <w:r w:rsidR="007F4A3C" w:rsidRPr="007F4A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ЦД 2-го типу, часто відзначається атерогенна дисліпідемія, яка характеризується підвищенням </w:t>
      </w:r>
      <w:r w:rsidR="00A75422">
        <w:rPr>
          <w:rFonts w:ascii="Times New Roman" w:hAnsi="Times New Roman" w:cs="Times New Roman"/>
          <w:sz w:val="28"/>
          <w:szCs w:val="28"/>
          <w:lang w:val="uk-UA"/>
        </w:rPr>
        <w:t xml:space="preserve">вмісту </w:t>
      </w:r>
      <w:r w:rsidR="008B1899">
        <w:rPr>
          <w:rFonts w:ascii="Times New Roman" w:hAnsi="Times New Roman" w:cs="Times New Roman"/>
          <w:sz w:val="28"/>
          <w:szCs w:val="28"/>
          <w:lang w:val="uk-UA"/>
        </w:rPr>
        <w:t>тригліцеридів (</w:t>
      </w:r>
      <w:r>
        <w:rPr>
          <w:rFonts w:ascii="Times New Roman" w:hAnsi="Times New Roman" w:cs="Times New Roman"/>
          <w:sz w:val="28"/>
          <w:szCs w:val="28"/>
          <w:lang w:val="uk-UA"/>
        </w:rPr>
        <w:t>ТГ</w:t>
      </w:r>
      <w:r w:rsidR="008B189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B1899">
        <w:rPr>
          <w:rFonts w:ascii="Times New Roman" w:hAnsi="Times New Roman" w:cs="Times New Roman"/>
          <w:sz w:val="28"/>
          <w:szCs w:val="28"/>
          <w:lang w:val="uk-UA"/>
        </w:rPr>
        <w:t>холестерину ліпопротеїдів низької щільності (</w:t>
      </w:r>
      <w:r w:rsidR="00A75422">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ЛПНЩ</w:t>
      </w:r>
      <w:r w:rsidR="008B1899">
        <w:rPr>
          <w:rFonts w:ascii="Times New Roman" w:hAnsi="Times New Roman" w:cs="Times New Roman"/>
          <w:sz w:val="28"/>
          <w:szCs w:val="28"/>
          <w:lang w:val="uk-UA"/>
        </w:rPr>
        <w:t>)</w:t>
      </w:r>
      <w:r>
        <w:rPr>
          <w:rFonts w:ascii="Times New Roman" w:hAnsi="Times New Roman" w:cs="Times New Roman"/>
          <w:sz w:val="28"/>
          <w:szCs w:val="28"/>
          <w:lang w:val="uk-UA"/>
        </w:rPr>
        <w:t xml:space="preserve"> та зниженням </w:t>
      </w:r>
      <w:r w:rsidR="008B1899">
        <w:rPr>
          <w:rFonts w:ascii="Times New Roman" w:hAnsi="Times New Roman" w:cs="Times New Roman"/>
          <w:sz w:val="28"/>
          <w:szCs w:val="28"/>
          <w:lang w:val="uk-UA"/>
        </w:rPr>
        <w:t>холестерину ліпопротеїдів високої щільності (</w:t>
      </w:r>
      <w:r w:rsidR="00A75422">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ЛПВЩ</w:t>
      </w:r>
      <w:r w:rsidR="00E4239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3391B">
        <w:rPr>
          <w:rFonts w:ascii="Times New Roman" w:hAnsi="Times New Roman" w:cs="Times New Roman"/>
          <w:sz w:val="28"/>
          <w:szCs w:val="28"/>
          <w:lang w:val="uk-UA"/>
        </w:rPr>
        <w:t>23</w:t>
      </w:r>
      <w:r w:rsidRPr="00EC4B7B">
        <w:rPr>
          <w:rFonts w:ascii="Times New Roman" w:hAnsi="Times New Roman" w:cs="Times New Roman"/>
          <w:sz w:val="28"/>
          <w:szCs w:val="28"/>
          <w:lang w:val="uk-UA"/>
        </w:rPr>
        <w:t>].</w:t>
      </w:r>
      <w:r w:rsidR="00E4239C">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У </w:t>
      </w:r>
      <w:r w:rsidR="00C74A3E">
        <w:rPr>
          <w:rFonts w:ascii="Times New Roman" w:hAnsi="Times New Roman" w:cs="Times New Roman"/>
          <w:sz w:val="28"/>
          <w:szCs w:val="28"/>
          <w:lang w:val="uk-UA"/>
        </w:rPr>
        <w:t xml:space="preserve">хворих на </w:t>
      </w:r>
      <w:r w:rsidR="001225FC" w:rsidRPr="00A03291">
        <w:rPr>
          <w:rFonts w:ascii="Times New Roman" w:hAnsi="Times New Roman" w:cs="Times New Roman"/>
          <w:sz w:val="28"/>
          <w:szCs w:val="28"/>
          <w:lang w:val="uk-UA"/>
        </w:rPr>
        <w:t>ЦД 2</w:t>
      </w:r>
      <w:r w:rsidR="00D44A74">
        <w:rPr>
          <w:rFonts w:ascii="Times New Roman" w:hAnsi="Times New Roman" w:cs="Times New Roman"/>
          <w:sz w:val="28"/>
          <w:szCs w:val="28"/>
          <w:lang w:val="uk-UA"/>
        </w:rPr>
        <w:t>-го</w:t>
      </w:r>
      <w:r w:rsidR="001225FC" w:rsidRPr="00A03291">
        <w:rPr>
          <w:rFonts w:ascii="Times New Roman" w:hAnsi="Times New Roman" w:cs="Times New Roman"/>
          <w:sz w:val="28"/>
          <w:szCs w:val="28"/>
          <w:lang w:val="uk-UA"/>
        </w:rPr>
        <w:t xml:space="preserve"> типу виявлені зміни, характерні для атерогенної ліпідної тріади, що характеризуються зростанням</w:t>
      </w:r>
      <w:r w:rsidR="00A75422">
        <w:rPr>
          <w:rFonts w:ascii="Times New Roman" w:hAnsi="Times New Roman" w:cs="Times New Roman"/>
          <w:sz w:val="28"/>
          <w:szCs w:val="28"/>
          <w:lang w:val="uk-UA"/>
        </w:rPr>
        <w:t xml:space="preserve"> вмісту холестерину</w:t>
      </w:r>
      <w:r w:rsidR="001225FC" w:rsidRPr="00A03291">
        <w:rPr>
          <w:rFonts w:ascii="Times New Roman" w:hAnsi="Times New Roman" w:cs="Times New Roman"/>
          <w:sz w:val="28"/>
          <w:szCs w:val="28"/>
          <w:lang w:val="uk-UA"/>
        </w:rPr>
        <w:t xml:space="preserve"> ліпопротеїдів</w:t>
      </w:r>
      <w:r w:rsidR="00A75422">
        <w:rPr>
          <w:rFonts w:ascii="Times New Roman" w:hAnsi="Times New Roman" w:cs="Times New Roman"/>
          <w:sz w:val="28"/>
          <w:szCs w:val="28"/>
          <w:lang w:val="uk-UA"/>
        </w:rPr>
        <w:t xml:space="preserve"> дуже низької щільності (ХС ЛПДНЩ), ТГ, </w:t>
      </w:r>
      <w:r w:rsidR="001225FC" w:rsidRPr="00A03291">
        <w:rPr>
          <w:rFonts w:ascii="Times New Roman" w:hAnsi="Times New Roman" w:cs="Times New Roman"/>
          <w:sz w:val="28"/>
          <w:szCs w:val="28"/>
          <w:lang w:val="uk-UA"/>
        </w:rPr>
        <w:t xml:space="preserve">«маленьких щільних </w:t>
      </w:r>
      <w:r w:rsidR="00DE7F0D">
        <w:rPr>
          <w:rFonts w:ascii="Times New Roman" w:hAnsi="Times New Roman" w:cs="Times New Roman"/>
          <w:sz w:val="28"/>
          <w:szCs w:val="28"/>
          <w:lang w:val="uk-UA"/>
        </w:rPr>
        <w:t>част</w:t>
      </w:r>
      <w:r w:rsidR="001B3B48">
        <w:rPr>
          <w:rFonts w:ascii="Times New Roman" w:hAnsi="Times New Roman" w:cs="Times New Roman"/>
          <w:sz w:val="28"/>
          <w:szCs w:val="28"/>
          <w:lang w:val="uk-UA"/>
        </w:rPr>
        <w:t>ин</w:t>
      </w:r>
      <w:r w:rsidR="00DE7F0D">
        <w:rPr>
          <w:rFonts w:ascii="Times New Roman" w:hAnsi="Times New Roman" w:cs="Times New Roman"/>
          <w:sz w:val="28"/>
          <w:szCs w:val="28"/>
          <w:lang w:val="uk-UA"/>
        </w:rPr>
        <w:t xml:space="preserve">ок» </w:t>
      </w:r>
      <w:r w:rsidR="00A75422">
        <w:rPr>
          <w:rFonts w:ascii="Times New Roman" w:hAnsi="Times New Roman" w:cs="Times New Roman"/>
          <w:sz w:val="28"/>
          <w:szCs w:val="28"/>
          <w:lang w:val="uk-UA"/>
        </w:rPr>
        <w:t xml:space="preserve">ХС </w:t>
      </w:r>
      <w:r w:rsidR="00DE7F0D">
        <w:rPr>
          <w:rFonts w:ascii="Times New Roman" w:hAnsi="Times New Roman" w:cs="Times New Roman"/>
          <w:sz w:val="28"/>
          <w:szCs w:val="28"/>
          <w:lang w:val="uk-UA"/>
        </w:rPr>
        <w:t>ЛПНЩ</w:t>
      </w:r>
      <w:r w:rsidR="001225FC" w:rsidRPr="00D2768A">
        <w:rPr>
          <w:rFonts w:ascii="Times New Roman" w:hAnsi="Times New Roman" w:cs="Times New Roman"/>
          <w:sz w:val="28"/>
          <w:szCs w:val="28"/>
          <w:lang w:val="uk-UA"/>
        </w:rPr>
        <w:t xml:space="preserve"> та </w:t>
      </w:r>
      <w:r w:rsidR="00D2768A" w:rsidRPr="00D2768A">
        <w:rPr>
          <w:rFonts w:ascii="Times New Roman" w:hAnsi="Times New Roman" w:cs="Times New Roman"/>
          <w:sz w:val="28"/>
          <w:szCs w:val="28"/>
          <w:lang w:val="uk-UA"/>
        </w:rPr>
        <w:t xml:space="preserve">зменшенням </w:t>
      </w:r>
      <w:r w:rsidR="00A75422">
        <w:rPr>
          <w:rFonts w:ascii="Times New Roman" w:hAnsi="Times New Roman" w:cs="Times New Roman"/>
          <w:sz w:val="28"/>
          <w:szCs w:val="28"/>
          <w:lang w:val="uk-UA"/>
        </w:rPr>
        <w:t xml:space="preserve">концентрації ХС </w:t>
      </w:r>
      <w:r w:rsidR="00D2768A" w:rsidRPr="00D2768A">
        <w:rPr>
          <w:rFonts w:ascii="Times New Roman" w:hAnsi="Times New Roman" w:cs="Times New Roman"/>
          <w:sz w:val="28"/>
          <w:szCs w:val="28"/>
          <w:lang w:val="uk-UA"/>
        </w:rPr>
        <w:t>ЛПВЩ [</w:t>
      </w:r>
      <w:r w:rsidR="0083391B">
        <w:rPr>
          <w:rFonts w:ascii="Times New Roman" w:hAnsi="Times New Roman" w:cs="Times New Roman"/>
          <w:sz w:val="28"/>
          <w:szCs w:val="28"/>
          <w:lang w:val="uk-UA"/>
        </w:rPr>
        <w:t>24</w:t>
      </w:r>
      <w:r w:rsidR="001225FC" w:rsidRPr="00D2768A">
        <w:rPr>
          <w:rFonts w:ascii="Times New Roman" w:hAnsi="Times New Roman" w:cs="Times New Roman"/>
          <w:sz w:val="28"/>
          <w:szCs w:val="28"/>
          <w:lang w:val="uk-UA"/>
        </w:rPr>
        <w:t>].</w:t>
      </w:r>
    </w:p>
    <w:p w:rsidR="001225FC" w:rsidRPr="00A03291" w:rsidRDefault="00C74A3E" w:rsidP="001225F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75422">
        <w:rPr>
          <w:rFonts w:ascii="Times New Roman" w:hAnsi="Times New Roman" w:cs="Times New Roman"/>
          <w:sz w:val="28"/>
          <w:szCs w:val="28"/>
          <w:lang w:val="uk-UA"/>
        </w:rPr>
        <w:t>онцентрація ХС</w:t>
      </w:r>
      <w:r w:rsidR="001225FC" w:rsidRPr="00A03291">
        <w:rPr>
          <w:rFonts w:ascii="Times New Roman" w:hAnsi="Times New Roman" w:cs="Times New Roman"/>
          <w:sz w:val="28"/>
          <w:szCs w:val="28"/>
          <w:lang w:val="uk-UA"/>
        </w:rPr>
        <w:t xml:space="preserve"> ЛПНЩ позитивно корелює з ризиком розвит</w:t>
      </w:r>
      <w:r w:rsidR="00DE7F0D">
        <w:rPr>
          <w:rFonts w:ascii="Times New Roman" w:hAnsi="Times New Roman" w:cs="Times New Roman"/>
          <w:sz w:val="28"/>
          <w:szCs w:val="28"/>
          <w:lang w:val="uk-UA"/>
        </w:rPr>
        <w:t>ку ССУ</w:t>
      </w:r>
      <w:r w:rsidR="009B4EEE" w:rsidRPr="009B4EEE">
        <w:rPr>
          <w:rFonts w:ascii="Times New Roman" w:hAnsi="Times New Roman" w:cs="Times New Roman"/>
          <w:sz w:val="28"/>
          <w:szCs w:val="28"/>
        </w:rPr>
        <w:t xml:space="preserve"> </w:t>
      </w:r>
      <w:r w:rsidR="008E378C">
        <w:rPr>
          <w:rFonts w:ascii="Times New Roman" w:hAnsi="Times New Roman" w:cs="Times New Roman"/>
          <w:sz w:val="28"/>
          <w:szCs w:val="28"/>
        </w:rPr>
        <w:t>у хворих на</w:t>
      </w:r>
      <w:r w:rsidR="009B4EEE">
        <w:rPr>
          <w:rFonts w:ascii="Times New Roman" w:hAnsi="Times New Roman" w:cs="Times New Roman"/>
          <w:sz w:val="28"/>
          <w:szCs w:val="28"/>
          <w:lang w:val="uk-UA"/>
        </w:rPr>
        <w:t xml:space="preserve"> ЦД</w:t>
      </w:r>
      <w:r w:rsidR="001225FC" w:rsidRPr="00A03291">
        <w:rPr>
          <w:rFonts w:ascii="Times New Roman" w:hAnsi="Times New Roman" w:cs="Times New Roman"/>
          <w:sz w:val="28"/>
          <w:szCs w:val="28"/>
          <w:lang w:val="uk-UA"/>
        </w:rPr>
        <w:t xml:space="preserve"> </w:t>
      </w:r>
      <w:r w:rsidR="00D2768A">
        <w:rPr>
          <w:rFonts w:ascii="Times New Roman" w:hAnsi="Times New Roman" w:cs="Times New Roman"/>
          <w:sz w:val="28"/>
          <w:szCs w:val="28"/>
          <w:lang w:val="uk-UA"/>
        </w:rPr>
        <w:t>[</w:t>
      </w:r>
      <w:r w:rsidR="0083391B">
        <w:rPr>
          <w:rFonts w:ascii="Times New Roman" w:hAnsi="Times New Roman" w:cs="Times New Roman"/>
          <w:sz w:val="28"/>
          <w:szCs w:val="28"/>
          <w:lang w:val="uk-UA"/>
        </w:rPr>
        <w:t>25</w:t>
      </w:r>
      <w:r w:rsidR="001225FC" w:rsidRPr="00A20476">
        <w:rPr>
          <w:rFonts w:ascii="Times New Roman" w:hAnsi="Times New Roman" w:cs="Times New Roman"/>
          <w:sz w:val="28"/>
          <w:szCs w:val="28"/>
          <w:lang w:val="uk-UA"/>
        </w:rPr>
        <w:t>]</w:t>
      </w:r>
      <w:r w:rsidR="001225FC" w:rsidRPr="00D2768A">
        <w:rPr>
          <w:rFonts w:ascii="Times New Roman" w:hAnsi="Times New Roman" w:cs="Times New Roman"/>
          <w:sz w:val="28"/>
          <w:szCs w:val="28"/>
          <w:lang w:val="uk-UA"/>
        </w:rPr>
        <w:t>.</w:t>
      </w:r>
      <w:r w:rsidR="001B3B48">
        <w:rPr>
          <w:rFonts w:ascii="Times New Roman" w:hAnsi="Times New Roman" w:cs="Times New Roman"/>
          <w:sz w:val="28"/>
          <w:szCs w:val="28"/>
          <w:lang w:val="uk-UA"/>
        </w:rPr>
        <w:t xml:space="preserve"> </w:t>
      </w:r>
      <w:r w:rsidR="008E5076" w:rsidRPr="008E5076">
        <w:rPr>
          <w:rFonts w:ascii="Times New Roman" w:hAnsi="Times New Roman" w:cs="Times New Roman"/>
          <w:sz w:val="28"/>
          <w:szCs w:val="28"/>
          <w:lang w:val="uk-UA"/>
        </w:rPr>
        <w:t xml:space="preserve">Підвищення </w:t>
      </w:r>
      <w:r>
        <w:rPr>
          <w:rFonts w:ascii="Times New Roman" w:hAnsi="Times New Roman" w:cs="Times New Roman"/>
          <w:sz w:val="28"/>
          <w:szCs w:val="28"/>
          <w:lang w:val="uk-UA"/>
        </w:rPr>
        <w:t xml:space="preserve">вмісту </w:t>
      </w:r>
      <w:r w:rsidR="008E5076" w:rsidRPr="008E5076">
        <w:rPr>
          <w:rFonts w:ascii="Times New Roman" w:hAnsi="Times New Roman" w:cs="Times New Roman"/>
          <w:sz w:val="28"/>
          <w:szCs w:val="28"/>
          <w:lang w:val="uk-UA"/>
        </w:rPr>
        <w:t xml:space="preserve">ХС </w:t>
      </w:r>
      <w:r w:rsidR="00DA3B1D">
        <w:rPr>
          <w:rFonts w:ascii="Times New Roman" w:hAnsi="Times New Roman" w:cs="Times New Roman"/>
          <w:sz w:val="28"/>
          <w:szCs w:val="28"/>
          <w:lang w:val="uk-UA"/>
        </w:rPr>
        <w:t>ЛПНЩ є більш значущим</w:t>
      </w:r>
      <w:r w:rsidR="008E5076" w:rsidRPr="008E5076">
        <w:rPr>
          <w:rFonts w:ascii="Times New Roman" w:hAnsi="Times New Roman" w:cs="Times New Roman"/>
          <w:sz w:val="28"/>
          <w:szCs w:val="28"/>
          <w:lang w:val="uk-UA"/>
        </w:rPr>
        <w:t xml:space="preserve"> маркером ССУ, ніж </w:t>
      </w:r>
      <w:r>
        <w:rPr>
          <w:rFonts w:ascii="Times New Roman" w:hAnsi="Times New Roman" w:cs="Times New Roman"/>
          <w:sz w:val="28"/>
          <w:szCs w:val="28"/>
          <w:lang w:val="uk-UA"/>
        </w:rPr>
        <w:t>збільшення</w:t>
      </w:r>
      <w:r w:rsidR="008E5076" w:rsidRPr="008E50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вмісту </w:t>
      </w:r>
      <w:r w:rsidR="008B1899">
        <w:rPr>
          <w:rFonts w:ascii="Times New Roman" w:hAnsi="Times New Roman" w:cs="Times New Roman"/>
          <w:sz w:val="28"/>
          <w:szCs w:val="28"/>
          <w:lang w:val="uk-UA"/>
        </w:rPr>
        <w:t>загального холестерину (</w:t>
      </w:r>
      <w:r w:rsidR="008E5076" w:rsidRPr="008E5076">
        <w:rPr>
          <w:rFonts w:ascii="Times New Roman" w:hAnsi="Times New Roman" w:cs="Times New Roman"/>
          <w:sz w:val="28"/>
          <w:szCs w:val="28"/>
          <w:lang w:val="uk-UA"/>
        </w:rPr>
        <w:t>ЗХС</w:t>
      </w:r>
      <w:r w:rsidR="008B1899">
        <w:rPr>
          <w:rFonts w:ascii="Times New Roman" w:hAnsi="Times New Roman" w:cs="Times New Roman"/>
          <w:sz w:val="28"/>
          <w:szCs w:val="28"/>
          <w:lang w:val="uk-UA"/>
        </w:rPr>
        <w:t>)</w:t>
      </w:r>
      <w:r w:rsidR="008E5076" w:rsidRPr="008E5076">
        <w:rPr>
          <w:rFonts w:ascii="Times New Roman" w:hAnsi="Times New Roman" w:cs="Times New Roman"/>
          <w:sz w:val="28"/>
          <w:szCs w:val="28"/>
          <w:lang w:val="uk-UA"/>
        </w:rPr>
        <w:t xml:space="preserve"> </w:t>
      </w:r>
      <w:r w:rsidR="008B1899">
        <w:rPr>
          <w:rFonts w:ascii="Times New Roman" w:hAnsi="Times New Roman" w:cs="Times New Roman"/>
          <w:sz w:val="28"/>
          <w:szCs w:val="28"/>
          <w:lang w:val="uk-UA"/>
        </w:rPr>
        <w:t xml:space="preserve">            </w:t>
      </w:r>
      <w:r w:rsidR="008E5076" w:rsidRPr="008E5076">
        <w:rPr>
          <w:rFonts w:ascii="Times New Roman" w:hAnsi="Times New Roman" w:cs="Times New Roman"/>
          <w:sz w:val="28"/>
          <w:szCs w:val="28"/>
          <w:lang w:val="uk-UA"/>
        </w:rPr>
        <w:t>у пацієнтів із ЦД [</w:t>
      </w:r>
      <w:r w:rsidR="0083391B">
        <w:rPr>
          <w:rFonts w:ascii="Times New Roman" w:hAnsi="Times New Roman" w:cs="Times New Roman"/>
          <w:sz w:val="28"/>
          <w:szCs w:val="28"/>
          <w:lang w:val="uk-UA"/>
        </w:rPr>
        <w:t>26</w:t>
      </w:r>
      <w:r w:rsidR="008E5076" w:rsidRPr="008E5076">
        <w:rPr>
          <w:rFonts w:ascii="Times New Roman" w:hAnsi="Times New Roman" w:cs="Times New Roman"/>
          <w:sz w:val="28"/>
          <w:szCs w:val="28"/>
          <w:lang w:val="uk-UA"/>
        </w:rPr>
        <w:t>].</w:t>
      </w:r>
    </w:p>
    <w:p w:rsidR="001225FC" w:rsidRPr="00A03291" w:rsidRDefault="00DA3B1D" w:rsidP="0010323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225FC" w:rsidRPr="00A03291">
        <w:rPr>
          <w:rFonts w:ascii="Times New Roman" w:hAnsi="Times New Roman" w:cs="Times New Roman"/>
          <w:sz w:val="28"/>
          <w:szCs w:val="28"/>
          <w:lang w:val="uk-UA"/>
        </w:rPr>
        <w:t>оведено самостійне прогностичне значення ХС ЛПВЩ</w:t>
      </w:r>
      <w:r w:rsidR="00446C44">
        <w:rPr>
          <w:rFonts w:ascii="Times New Roman" w:hAnsi="Times New Roman" w:cs="Times New Roman"/>
          <w:sz w:val="28"/>
          <w:szCs w:val="28"/>
          <w:lang w:val="uk-UA"/>
        </w:rPr>
        <w:t xml:space="preserve"> у </w:t>
      </w:r>
      <w:r w:rsidR="008E378C">
        <w:rPr>
          <w:rFonts w:ascii="Times New Roman" w:hAnsi="Times New Roman" w:cs="Times New Roman"/>
          <w:sz w:val="28"/>
          <w:szCs w:val="28"/>
          <w:lang w:val="uk-UA"/>
        </w:rPr>
        <w:t xml:space="preserve">хворих </w:t>
      </w:r>
      <w:r w:rsidR="00C4393A" w:rsidRPr="00C4393A">
        <w:rPr>
          <w:rFonts w:ascii="Times New Roman" w:hAnsi="Times New Roman" w:cs="Times New Roman"/>
          <w:sz w:val="28"/>
          <w:szCs w:val="28"/>
        </w:rPr>
        <w:t xml:space="preserve">       </w:t>
      </w:r>
      <w:r w:rsidR="008E378C">
        <w:rPr>
          <w:rFonts w:ascii="Times New Roman" w:hAnsi="Times New Roman" w:cs="Times New Roman"/>
          <w:sz w:val="28"/>
          <w:szCs w:val="28"/>
          <w:lang w:val="uk-UA"/>
        </w:rPr>
        <w:t xml:space="preserve">на </w:t>
      </w:r>
      <w:r w:rsidR="00446C44">
        <w:rPr>
          <w:rFonts w:ascii="Times New Roman" w:hAnsi="Times New Roman" w:cs="Times New Roman"/>
          <w:sz w:val="28"/>
          <w:szCs w:val="28"/>
          <w:lang w:val="uk-UA"/>
        </w:rPr>
        <w:t xml:space="preserve">ЦД. У </w:t>
      </w:r>
      <w:r w:rsidR="008E378C">
        <w:rPr>
          <w:rFonts w:ascii="Times New Roman" w:hAnsi="Times New Roman" w:cs="Times New Roman"/>
          <w:sz w:val="28"/>
          <w:szCs w:val="28"/>
          <w:lang w:val="uk-UA"/>
        </w:rPr>
        <w:t xml:space="preserve">пацієнтів із </w:t>
      </w:r>
      <w:r w:rsidR="001225FC" w:rsidRPr="00A03291">
        <w:rPr>
          <w:rFonts w:ascii="Times New Roman" w:hAnsi="Times New Roman" w:cs="Times New Roman"/>
          <w:sz w:val="28"/>
          <w:szCs w:val="28"/>
          <w:lang w:val="uk-UA"/>
        </w:rPr>
        <w:t>ЦД 2</w:t>
      </w:r>
      <w:r w:rsidR="00F10B92">
        <w:rPr>
          <w:rFonts w:ascii="Times New Roman" w:hAnsi="Times New Roman" w:cs="Times New Roman"/>
          <w:sz w:val="28"/>
          <w:szCs w:val="28"/>
          <w:lang w:val="uk-UA"/>
        </w:rPr>
        <w:t>-го</w:t>
      </w:r>
      <w:r w:rsidR="001225FC" w:rsidRPr="00A03291">
        <w:rPr>
          <w:rFonts w:ascii="Times New Roman" w:hAnsi="Times New Roman" w:cs="Times New Roman"/>
          <w:sz w:val="28"/>
          <w:szCs w:val="28"/>
          <w:lang w:val="uk-UA"/>
        </w:rPr>
        <w:t xml:space="preserve"> типу зниження </w:t>
      </w:r>
      <w:r w:rsidR="00C74A3E">
        <w:rPr>
          <w:rFonts w:ascii="Times New Roman" w:hAnsi="Times New Roman" w:cs="Times New Roman"/>
          <w:sz w:val="28"/>
          <w:szCs w:val="28"/>
          <w:lang w:val="uk-UA"/>
        </w:rPr>
        <w:t xml:space="preserve">ХС </w:t>
      </w:r>
      <w:r w:rsidR="001225FC" w:rsidRPr="00A03291">
        <w:rPr>
          <w:rFonts w:ascii="Times New Roman" w:hAnsi="Times New Roman" w:cs="Times New Roman"/>
          <w:sz w:val="28"/>
          <w:szCs w:val="28"/>
          <w:lang w:val="uk-UA"/>
        </w:rPr>
        <w:t>ЛПВЩ на кожен 0,1 ммоль/л підвищує риз</w:t>
      </w:r>
      <w:r w:rsidR="00103231">
        <w:rPr>
          <w:rFonts w:ascii="Times New Roman" w:hAnsi="Times New Roman" w:cs="Times New Roman"/>
          <w:sz w:val="28"/>
          <w:szCs w:val="28"/>
          <w:lang w:val="uk-UA"/>
        </w:rPr>
        <w:t>ик ССЗ на 15 %</w:t>
      </w:r>
      <w:r w:rsidR="001225FC" w:rsidRPr="00D2768A">
        <w:rPr>
          <w:rFonts w:ascii="Times New Roman" w:hAnsi="Times New Roman" w:cs="Times New Roman"/>
          <w:sz w:val="28"/>
          <w:szCs w:val="28"/>
          <w:lang w:val="uk-UA"/>
        </w:rPr>
        <w:t>.</w:t>
      </w:r>
      <w:r w:rsidR="00D2768A">
        <w:rPr>
          <w:rFonts w:ascii="Times New Roman" w:hAnsi="Times New Roman" w:cs="Times New Roman"/>
          <w:sz w:val="28"/>
          <w:szCs w:val="28"/>
          <w:lang w:val="uk-UA"/>
        </w:rPr>
        <w:t xml:space="preserve"> </w:t>
      </w:r>
      <w:r w:rsidR="00446C44">
        <w:rPr>
          <w:rFonts w:ascii="Times New Roman" w:hAnsi="Times New Roman" w:cs="Times New Roman"/>
          <w:sz w:val="28"/>
          <w:szCs w:val="28"/>
          <w:lang w:val="uk-UA"/>
        </w:rPr>
        <w:t>Дисліпідемія вважається атерогенною</w:t>
      </w:r>
      <w:r w:rsidR="001225FC" w:rsidRPr="00A03291">
        <w:rPr>
          <w:rFonts w:ascii="Times New Roman" w:hAnsi="Times New Roman" w:cs="Times New Roman"/>
          <w:sz w:val="28"/>
          <w:szCs w:val="28"/>
          <w:lang w:val="uk-UA"/>
        </w:rPr>
        <w:t xml:space="preserve"> не </w:t>
      </w:r>
      <w:r w:rsidR="008E33CD">
        <w:rPr>
          <w:rFonts w:ascii="Times New Roman" w:hAnsi="Times New Roman" w:cs="Times New Roman"/>
          <w:sz w:val="28"/>
          <w:szCs w:val="28"/>
          <w:lang w:val="uk-UA"/>
        </w:rPr>
        <w:t>лише</w:t>
      </w:r>
      <w:r w:rsidR="00446C44">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 з</w:t>
      </w:r>
      <w:r w:rsidR="00446C44">
        <w:rPr>
          <w:rFonts w:ascii="Times New Roman" w:hAnsi="Times New Roman" w:cs="Times New Roman"/>
          <w:sz w:val="28"/>
          <w:szCs w:val="28"/>
          <w:lang w:val="uk-UA"/>
        </w:rPr>
        <w:t>а наявності</w:t>
      </w:r>
      <w:r w:rsidR="001225FC" w:rsidRPr="00A03291">
        <w:rPr>
          <w:rFonts w:ascii="Times New Roman" w:hAnsi="Times New Roman" w:cs="Times New Roman"/>
          <w:sz w:val="28"/>
          <w:szCs w:val="28"/>
          <w:lang w:val="uk-UA"/>
        </w:rPr>
        <w:t xml:space="preserve"> п</w:t>
      </w:r>
      <w:r w:rsidR="00446C44">
        <w:rPr>
          <w:rFonts w:ascii="Times New Roman" w:hAnsi="Times New Roman" w:cs="Times New Roman"/>
          <w:sz w:val="28"/>
          <w:szCs w:val="28"/>
          <w:lang w:val="uk-UA"/>
        </w:rPr>
        <w:t xml:space="preserve">ідвищеної концентрації </w:t>
      </w:r>
      <w:r w:rsidR="001225FC" w:rsidRPr="00A03291">
        <w:rPr>
          <w:rFonts w:ascii="Times New Roman" w:hAnsi="Times New Roman" w:cs="Times New Roman"/>
          <w:sz w:val="28"/>
          <w:szCs w:val="28"/>
          <w:lang w:val="uk-UA"/>
        </w:rPr>
        <w:t xml:space="preserve">у крові ЗХС </w:t>
      </w:r>
      <w:r w:rsidR="008E33CD">
        <w:rPr>
          <w:rFonts w:ascii="Times New Roman" w:hAnsi="Times New Roman" w:cs="Times New Roman"/>
          <w:sz w:val="28"/>
          <w:szCs w:val="28"/>
          <w:lang w:val="uk-UA"/>
        </w:rPr>
        <w:t>та</w:t>
      </w:r>
      <w:r w:rsidR="001225FC" w:rsidRPr="00A03291">
        <w:rPr>
          <w:rFonts w:ascii="Times New Roman" w:hAnsi="Times New Roman" w:cs="Times New Roman"/>
          <w:sz w:val="28"/>
          <w:szCs w:val="28"/>
          <w:lang w:val="uk-UA"/>
        </w:rPr>
        <w:t xml:space="preserve"> Х</w:t>
      </w:r>
      <w:r w:rsidR="00446C44">
        <w:rPr>
          <w:rFonts w:ascii="Times New Roman" w:hAnsi="Times New Roman" w:cs="Times New Roman"/>
          <w:sz w:val="28"/>
          <w:szCs w:val="28"/>
          <w:lang w:val="uk-UA"/>
        </w:rPr>
        <w:t xml:space="preserve">С ЛПНЩ, а й </w:t>
      </w:r>
      <w:r w:rsidR="00005F65">
        <w:rPr>
          <w:rFonts w:ascii="Times New Roman" w:hAnsi="Times New Roman" w:cs="Times New Roman"/>
          <w:sz w:val="28"/>
          <w:szCs w:val="28"/>
          <w:lang w:val="uk-UA"/>
        </w:rPr>
        <w:t xml:space="preserve"> </w:t>
      </w:r>
      <w:r w:rsidR="00005F65">
        <w:rPr>
          <w:rFonts w:ascii="Times New Roman" w:hAnsi="Times New Roman" w:cs="Times New Roman"/>
          <w:sz w:val="28"/>
          <w:szCs w:val="28"/>
          <w:lang w:val="uk-UA"/>
        </w:rPr>
        <w:lastRenderedPageBreak/>
        <w:t xml:space="preserve">збільшеного вмісту ТГ та зниженого </w:t>
      </w:r>
      <w:r w:rsidR="00005F65" w:rsidRPr="00005F65">
        <w:rPr>
          <w:rFonts w:ascii="Times New Roman" w:hAnsi="Times New Roman" w:cs="Times New Roman"/>
          <w:sz w:val="28"/>
          <w:szCs w:val="28"/>
          <w:lang w:val="uk-UA"/>
        </w:rPr>
        <w:t>−</w:t>
      </w:r>
      <w:r w:rsidR="00F82CDC">
        <w:rPr>
          <w:rFonts w:ascii="Times New Roman" w:hAnsi="Times New Roman" w:cs="Times New Roman"/>
          <w:sz w:val="28"/>
          <w:szCs w:val="28"/>
          <w:lang w:val="uk-UA"/>
        </w:rPr>
        <w:t xml:space="preserve"> ХС ЛПВЩ </w:t>
      </w:r>
      <w:r w:rsidR="00D2768A" w:rsidRPr="003D2942">
        <w:rPr>
          <w:rFonts w:ascii="Times New Roman" w:hAnsi="Times New Roman" w:cs="Times New Roman"/>
          <w:sz w:val="28"/>
          <w:szCs w:val="28"/>
          <w:lang w:val="uk-UA"/>
        </w:rPr>
        <w:t>[</w:t>
      </w:r>
      <w:r w:rsidR="0083391B">
        <w:rPr>
          <w:rFonts w:ascii="Times New Roman" w:hAnsi="Times New Roman" w:cs="Times New Roman"/>
          <w:sz w:val="28"/>
          <w:szCs w:val="28"/>
          <w:lang w:val="uk-UA"/>
        </w:rPr>
        <w:t>24</w:t>
      </w:r>
      <w:r w:rsidR="001225FC" w:rsidRPr="00A03291">
        <w:rPr>
          <w:rFonts w:ascii="Times New Roman" w:hAnsi="Times New Roman" w:cs="Times New Roman"/>
          <w:sz w:val="28"/>
          <w:szCs w:val="28"/>
          <w:lang w:val="uk-UA"/>
        </w:rPr>
        <w:t>].</w:t>
      </w:r>
      <w:r w:rsidR="00103231" w:rsidRPr="00103231">
        <w:rPr>
          <w:lang w:val="uk-UA"/>
        </w:rPr>
        <w:t xml:space="preserve"> </w:t>
      </w:r>
      <w:r w:rsidR="00005F65">
        <w:rPr>
          <w:rFonts w:ascii="Times New Roman" w:hAnsi="Times New Roman" w:cs="Times New Roman"/>
          <w:sz w:val="28"/>
          <w:szCs w:val="28"/>
          <w:lang w:val="uk-UA"/>
        </w:rPr>
        <w:t xml:space="preserve">Концентрація </w:t>
      </w:r>
      <w:r w:rsidR="00103231" w:rsidRPr="00103231">
        <w:rPr>
          <w:rFonts w:ascii="Times New Roman" w:hAnsi="Times New Roman" w:cs="Times New Roman"/>
          <w:sz w:val="28"/>
          <w:szCs w:val="28"/>
          <w:lang w:val="uk-UA"/>
        </w:rPr>
        <w:t xml:space="preserve">ТГ також є </w:t>
      </w:r>
      <w:r w:rsidR="00A14AAF">
        <w:rPr>
          <w:rFonts w:ascii="Times New Roman" w:hAnsi="Times New Roman" w:cs="Times New Roman"/>
          <w:sz w:val="28"/>
          <w:szCs w:val="28"/>
          <w:lang w:val="uk-UA"/>
        </w:rPr>
        <w:t>незалежним фактором ризику розвитку ССЗ [</w:t>
      </w:r>
      <w:r w:rsidR="002C21DA">
        <w:rPr>
          <w:rFonts w:ascii="Times New Roman" w:hAnsi="Times New Roman" w:cs="Times New Roman"/>
          <w:sz w:val="28"/>
          <w:szCs w:val="28"/>
          <w:lang w:val="uk-UA"/>
        </w:rPr>
        <w:t>27</w:t>
      </w:r>
      <w:r w:rsidR="00103231" w:rsidRPr="00103231">
        <w:rPr>
          <w:rFonts w:ascii="Times New Roman" w:hAnsi="Times New Roman" w:cs="Times New Roman"/>
          <w:sz w:val="28"/>
          <w:szCs w:val="28"/>
          <w:lang w:val="uk-UA"/>
        </w:rPr>
        <w:t>].</w:t>
      </w:r>
    </w:p>
    <w:p w:rsidR="00A5155F" w:rsidRDefault="001225FC" w:rsidP="00A5155F">
      <w:pPr>
        <w:autoSpaceDE w:val="0"/>
        <w:autoSpaceDN w:val="0"/>
        <w:adjustRightInd w:val="0"/>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Порушення ліпідного обміну при ЦД 2</w:t>
      </w:r>
      <w:r w:rsidR="00F82CDC">
        <w:rPr>
          <w:rFonts w:ascii="Times New Roman" w:hAnsi="Times New Roman" w:cs="Times New Roman"/>
          <w:sz w:val="28"/>
          <w:szCs w:val="28"/>
          <w:lang w:val="uk-UA"/>
        </w:rPr>
        <w:t>-го</w:t>
      </w:r>
      <w:r w:rsidRPr="00A03291">
        <w:rPr>
          <w:rFonts w:ascii="Times New Roman" w:hAnsi="Times New Roman" w:cs="Times New Roman"/>
          <w:sz w:val="28"/>
          <w:szCs w:val="28"/>
          <w:lang w:val="uk-UA"/>
        </w:rPr>
        <w:t xml:space="preserve"> типу виникають унаслідок ІР, що призводить до зростання концентрації вільних </w:t>
      </w:r>
      <w:r w:rsidR="00DE7F0D">
        <w:rPr>
          <w:rFonts w:ascii="Times New Roman" w:hAnsi="Times New Roman" w:cs="Times New Roman"/>
          <w:sz w:val="28"/>
          <w:szCs w:val="28"/>
          <w:lang w:val="uk-UA"/>
        </w:rPr>
        <w:t xml:space="preserve">жирних кислот </w:t>
      </w:r>
      <w:r w:rsidRPr="00A03291">
        <w:rPr>
          <w:rFonts w:ascii="Times New Roman" w:hAnsi="Times New Roman" w:cs="Times New Roman"/>
          <w:sz w:val="28"/>
          <w:szCs w:val="28"/>
          <w:lang w:val="uk-UA"/>
        </w:rPr>
        <w:t>у крові, підвищення с</w:t>
      </w:r>
      <w:r w:rsidR="00DE7F0D">
        <w:rPr>
          <w:rFonts w:ascii="Times New Roman" w:hAnsi="Times New Roman" w:cs="Times New Roman"/>
          <w:sz w:val="28"/>
          <w:szCs w:val="28"/>
          <w:lang w:val="uk-UA"/>
        </w:rPr>
        <w:t xml:space="preserve">интезу ХС </w:t>
      </w:r>
      <w:r w:rsidR="00F82CDC">
        <w:rPr>
          <w:rFonts w:ascii="Times New Roman" w:hAnsi="Times New Roman" w:cs="Times New Roman"/>
          <w:sz w:val="28"/>
          <w:szCs w:val="28"/>
          <w:lang w:val="uk-UA"/>
        </w:rPr>
        <w:t>ЛПДНЩ,</w:t>
      </w:r>
      <w:r w:rsidRPr="00A03291">
        <w:rPr>
          <w:rFonts w:ascii="Times New Roman" w:hAnsi="Times New Roman" w:cs="Times New Roman"/>
          <w:sz w:val="28"/>
          <w:szCs w:val="28"/>
          <w:lang w:val="uk-UA"/>
        </w:rPr>
        <w:t xml:space="preserve"> зниження ї</w:t>
      </w:r>
      <w:r w:rsidR="00F82CDC">
        <w:rPr>
          <w:rFonts w:ascii="Times New Roman" w:hAnsi="Times New Roman" w:cs="Times New Roman"/>
          <w:sz w:val="28"/>
          <w:szCs w:val="28"/>
          <w:lang w:val="uk-UA"/>
        </w:rPr>
        <w:t xml:space="preserve">х гідролізу ліпопротеїдліпазою, </w:t>
      </w:r>
      <w:r w:rsidR="008E33CD">
        <w:rPr>
          <w:rFonts w:ascii="Times New Roman" w:hAnsi="Times New Roman" w:cs="Times New Roman"/>
          <w:sz w:val="28"/>
          <w:szCs w:val="28"/>
          <w:lang w:val="uk-UA"/>
        </w:rPr>
        <w:t>збільшення</w:t>
      </w:r>
      <w:r w:rsidRPr="00A03291">
        <w:rPr>
          <w:rFonts w:ascii="Times New Roman" w:hAnsi="Times New Roman" w:cs="Times New Roman"/>
          <w:sz w:val="28"/>
          <w:szCs w:val="28"/>
          <w:lang w:val="uk-UA"/>
        </w:rPr>
        <w:t xml:space="preserve"> кількості збагачених ТГ ліпопротеїдних частинок, які циркулюют</w:t>
      </w:r>
      <w:r w:rsidR="00713E4C">
        <w:rPr>
          <w:rFonts w:ascii="Times New Roman" w:hAnsi="Times New Roman" w:cs="Times New Roman"/>
          <w:sz w:val="28"/>
          <w:szCs w:val="28"/>
          <w:lang w:val="uk-UA"/>
        </w:rPr>
        <w:t>ь у крові</w:t>
      </w:r>
      <w:r w:rsidRPr="00A03291">
        <w:rPr>
          <w:rFonts w:ascii="Times New Roman" w:hAnsi="Times New Roman" w:cs="Times New Roman"/>
          <w:sz w:val="28"/>
          <w:szCs w:val="28"/>
          <w:lang w:val="uk-UA"/>
        </w:rPr>
        <w:t xml:space="preserve">. Перевантажені ТГ частинки </w:t>
      </w:r>
      <w:r w:rsidR="00C74A3E">
        <w:rPr>
          <w:rFonts w:ascii="Times New Roman" w:hAnsi="Times New Roman" w:cs="Times New Roman"/>
          <w:sz w:val="28"/>
          <w:szCs w:val="28"/>
          <w:lang w:val="uk-UA"/>
        </w:rPr>
        <w:t xml:space="preserve">ХС </w:t>
      </w:r>
      <w:r w:rsidRPr="00A03291">
        <w:rPr>
          <w:rFonts w:ascii="Times New Roman" w:hAnsi="Times New Roman" w:cs="Times New Roman"/>
          <w:sz w:val="28"/>
          <w:szCs w:val="28"/>
          <w:lang w:val="uk-UA"/>
        </w:rPr>
        <w:t>ЛПНЩ стають субстратом для</w:t>
      </w:r>
      <w:r w:rsidR="008E33CD">
        <w:rPr>
          <w:rFonts w:ascii="Times New Roman" w:hAnsi="Times New Roman" w:cs="Times New Roman"/>
          <w:sz w:val="28"/>
          <w:szCs w:val="28"/>
          <w:lang w:val="uk-UA"/>
        </w:rPr>
        <w:t xml:space="preserve"> печінкової ліпопротеїдліпази, в</w:t>
      </w:r>
      <w:r w:rsidRPr="00A03291">
        <w:rPr>
          <w:rFonts w:ascii="Times New Roman" w:hAnsi="Times New Roman" w:cs="Times New Roman"/>
          <w:sz w:val="28"/>
          <w:szCs w:val="28"/>
          <w:lang w:val="uk-UA"/>
        </w:rPr>
        <w:t xml:space="preserve">наслідок </w:t>
      </w:r>
      <w:r w:rsidR="008E33CD">
        <w:rPr>
          <w:rFonts w:ascii="Times New Roman" w:hAnsi="Times New Roman" w:cs="Times New Roman"/>
          <w:sz w:val="28"/>
          <w:szCs w:val="28"/>
          <w:lang w:val="uk-UA"/>
        </w:rPr>
        <w:t>ць</w:t>
      </w:r>
      <w:r w:rsidRPr="00A03291">
        <w:rPr>
          <w:rFonts w:ascii="Times New Roman" w:hAnsi="Times New Roman" w:cs="Times New Roman"/>
          <w:sz w:val="28"/>
          <w:szCs w:val="28"/>
          <w:lang w:val="uk-UA"/>
        </w:rPr>
        <w:t xml:space="preserve">ого утворюються </w:t>
      </w:r>
      <w:r w:rsidR="00713E4C">
        <w:rPr>
          <w:rFonts w:ascii="Times New Roman" w:hAnsi="Times New Roman" w:cs="Times New Roman"/>
          <w:sz w:val="28"/>
          <w:szCs w:val="28"/>
          <w:lang w:val="uk-UA"/>
        </w:rPr>
        <w:t xml:space="preserve">дрібні щільні </w:t>
      </w:r>
      <w:r w:rsidR="00C9398C">
        <w:rPr>
          <w:rFonts w:ascii="Times New Roman" w:hAnsi="Times New Roman" w:cs="Times New Roman"/>
          <w:sz w:val="28"/>
          <w:szCs w:val="28"/>
          <w:lang w:val="uk-UA"/>
        </w:rPr>
        <w:t xml:space="preserve">ХС </w:t>
      </w:r>
      <w:r w:rsidR="00713E4C">
        <w:rPr>
          <w:rFonts w:ascii="Times New Roman" w:hAnsi="Times New Roman" w:cs="Times New Roman"/>
          <w:sz w:val="28"/>
          <w:szCs w:val="28"/>
          <w:lang w:val="uk-UA"/>
        </w:rPr>
        <w:t>ЛПНЩ</w:t>
      </w:r>
      <w:r w:rsidR="00D82328">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28</w:t>
      </w:r>
      <w:r w:rsidR="00713E4C" w:rsidRPr="00713E4C">
        <w:rPr>
          <w:rFonts w:ascii="Times New Roman" w:hAnsi="Times New Roman" w:cs="Times New Roman"/>
          <w:sz w:val="28"/>
          <w:szCs w:val="28"/>
          <w:lang w:val="uk-UA"/>
        </w:rPr>
        <w:t>].</w:t>
      </w:r>
      <w:r w:rsidR="00A5155F">
        <w:rPr>
          <w:rFonts w:ascii="Times New Roman" w:hAnsi="Times New Roman" w:cs="Times New Roman"/>
          <w:sz w:val="28"/>
          <w:szCs w:val="28"/>
          <w:lang w:val="uk-UA"/>
        </w:rPr>
        <w:t xml:space="preserve"> </w:t>
      </w:r>
      <w:r w:rsidRPr="00F82CDC">
        <w:rPr>
          <w:rFonts w:ascii="Times New Roman" w:hAnsi="Times New Roman" w:cs="Times New Roman"/>
          <w:sz w:val="28"/>
          <w:szCs w:val="28"/>
          <w:lang w:val="uk-UA"/>
        </w:rPr>
        <w:t>Останні надзвичайно атерогенні завдяки своїм патофізіологічним характеристикам</w:t>
      </w:r>
      <w:r w:rsidR="00F82CDC">
        <w:rPr>
          <w:rFonts w:ascii="Times New Roman" w:hAnsi="Times New Roman" w:cs="Times New Roman"/>
          <w:sz w:val="28"/>
          <w:szCs w:val="28"/>
          <w:lang w:val="uk-UA"/>
        </w:rPr>
        <w:t xml:space="preserve">, бо </w:t>
      </w:r>
      <w:r w:rsidRPr="00F82CDC">
        <w:rPr>
          <w:rFonts w:ascii="Times New Roman" w:hAnsi="Times New Roman" w:cs="Times New Roman"/>
          <w:sz w:val="28"/>
          <w:szCs w:val="28"/>
          <w:lang w:val="uk-UA"/>
        </w:rPr>
        <w:t xml:space="preserve">малий розмір і підвищена щільність дозволяють їм легко проникати до субендотеліального шару судинної стінки, а низька спорідненість із рецепторами до </w:t>
      </w:r>
      <w:r w:rsidR="00C9398C">
        <w:rPr>
          <w:rFonts w:ascii="Times New Roman" w:hAnsi="Times New Roman" w:cs="Times New Roman"/>
          <w:sz w:val="28"/>
          <w:szCs w:val="28"/>
          <w:lang w:val="uk-UA"/>
        </w:rPr>
        <w:t xml:space="preserve">ХС </w:t>
      </w:r>
      <w:r w:rsidRPr="00F82CDC">
        <w:rPr>
          <w:rFonts w:ascii="Times New Roman" w:hAnsi="Times New Roman" w:cs="Times New Roman"/>
          <w:sz w:val="28"/>
          <w:szCs w:val="28"/>
          <w:lang w:val="uk-UA"/>
        </w:rPr>
        <w:t xml:space="preserve">ЛПНЩ забезпечує тривалу циркуляцію </w:t>
      </w:r>
      <w:r w:rsidR="008E33CD">
        <w:rPr>
          <w:rFonts w:ascii="Times New Roman" w:hAnsi="Times New Roman" w:cs="Times New Roman"/>
          <w:sz w:val="28"/>
          <w:szCs w:val="28"/>
          <w:lang w:val="uk-UA"/>
        </w:rPr>
        <w:t>в</w:t>
      </w:r>
      <w:r w:rsidRPr="00F82CDC">
        <w:rPr>
          <w:rFonts w:ascii="Times New Roman" w:hAnsi="Times New Roman" w:cs="Times New Roman"/>
          <w:sz w:val="28"/>
          <w:szCs w:val="28"/>
          <w:lang w:val="uk-UA"/>
        </w:rPr>
        <w:t xml:space="preserve"> крово</w:t>
      </w:r>
      <w:r w:rsidRPr="00A03291">
        <w:rPr>
          <w:rFonts w:ascii="Times New Roman" w:hAnsi="Times New Roman" w:cs="Times New Roman"/>
          <w:sz w:val="28"/>
          <w:szCs w:val="28"/>
          <w:lang w:val="uk-UA"/>
        </w:rPr>
        <w:t>тоці</w:t>
      </w:r>
      <w:r w:rsidRPr="00F82CDC">
        <w:rPr>
          <w:rFonts w:ascii="Times New Roman" w:hAnsi="Times New Roman" w:cs="Times New Roman"/>
          <w:sz w:val="28"/>
          <w:szCs w:val="28"/>
          <w:lang w:val="uk-UA"/>
        </w:rPr>
        <w:t xml:space="preserve">. </w:t>
      </w:r>
      <w:r w:rsidRPr="00A03291">
        <w:rPr>
          <w:rFonts w:ascii="Times New Roman" w:hAnsi="Times New Roman" w:cs="Times New Roman"/>
          <w:sz w:val="28"/>
          <w:szCs w:val="28"/>
        </w:rPr>
        <w:t xml:space="preserve">Більше того, дрібним щільним частинкам </w:t>
      </w:r>
      <w:r w:rsidR="00C9398C">
        <w:rPr>
          <w:rFonts w:ascii="Times New Roman" w:hAnsi="Times New Roman" w:cs="Times New Roman"/>
          <w:sz w:val="28"/>
          <w:szCs w:val="28"/>
          <w:lang w:val="uk-UA"/>
        </w:rPr>
        <w:t xml:space="preserve">ХС </w:t>
      </w:r>
      <w:r w:rsidRPr="00A03291">
        <w:rPr>
          <w:rFonts w:ascii="Times New Roman" w:hAnsi="Times New Roman" w:cs="Times New Roman"/>
          <w:sz w:val="28"/>
          <w:szCs w:val="28"/>
        </w:rPr>
        <w:t>ЛПНЩ властива низька</w:t>
      </w:r>
      <w:r w:rsidR="00D2768A">
        <w:rPr>
          <w:rFonts w:ascii="Times New Roman" w:hAnsi="Times New Roman" w:cs="Times New Roman"/>
          <w:sz w:val="28"/>
          <w:szCs w:val="28"/>
        </w:rPr>
        <w:t xml:space="preserve"> резистентність до окиснення </w:t>
      </w:r>
      <w:r w:rsidR="008F55F2">
        <w:rPr>
          <w:rFonts w:ascii="Times New Roman" w:hAnsi="Times New Roman" w:cs="Times New Roman"/>
          <w:sz w:val="28"/>
          <w:szCs w:val="28"/>
        </w:rPr>
        <w:t>[</w:t>
      </w:r>
      <w:r w:rsidR="002C21DA">
        <w:rPr>
          <w:rFonts w:ascii="Times New Roman" w:hAnsi="Times New Roman" w:cs="Times New Roman"/>
          <w:sz w:val="28"/>
          <w:szCs w:val="28"/>
          <w:lang w:val="uk-UA"/>
        </w:rPr>
        <w:t>29</w:t>
      </w:r>
      <w:r w:rsidR="005C6906" w:rsidRPr="005C6906">
        <w:rPr>
          <w:rFonts w:ascii="Times New Roman" w:hAnsi="Times New Roman" w:cs="Times New Roman"/>
          <w:sz w:val="28"/>
          <w:szCs w:val="28"/>
          <w:lang w:val="uk-UA"/>
        </w:rPr>
        <w:t>].</w:t>
      </w:r>
      <w:r w:rsidRPr="00A03291">
        <w:rPr>
          <w:rFonts w:ascii="Times New Roman" w:hAnsi="Times New Roman" w:cs="Times New Roman"/>
          <w:sz w:val="28"/>
          <w:szCs w:val="28"/>
        </w:rPr>
        <w:t xml:space="preserve"> </w:t>
      </w:r>
    </w:p>
    <w:p w:rsidR="001225FC" w:rsidRPr="00A5155F" w:rsidRDefault="001225FC" w:rsidP="00A5155F">
      <w:pPr>
        <w:autoSpaceDE w:val="0"/>
        <w:autoSpaceDN w:val="0"/>
        <w:adjustRightInd w:val="0"/>
        <w:spacing w:after="0" w:line="360" w:lineRule="auto"/>
        <w:ind w:firstLine="708"/>
        <w:jc w:val="both"/>
        <w:rPr>
          <w:rFonts w:ascii="Times New Roman" w:hAnsi="Times New Roman" w:cs="Times New Roman"/>
          <w:sz w:val="28"/>
          <w:szCs w:val="28"/>
          <w:lang w:val="uk-UA"/>
        </w:rPr>
      </w:pPr>
      <w:r w:rsidRPr="00A5155F">
        <w:rPr>
          <w:rFonts w:ascii="Times New Roman" w:hAnsi="Times New Roman" w:cs="Times New Roman"/>
          <w:sz w:val="28"/>
          <w:szCs w:val="28"/>
          <w:lang w:val="uk-UA"/>
        </w:rPr>
        <w:t xml:space="preserve">При діабетичній </w:t>
      </w:r>
      <w:r w:rsidRPr="00A03291">
        <w:rPr>
          <w:rFonts w:ascii="Times New Roman" w:hAnsi="Times New Roman" w:cs="Times New Roman"/>
          <w:sz w:val="28"/>
          <w:szCs w:val="28"/>
          <w:lang w:val="uk-UA"/>
        </w:rPr>
        <w:t>дисліпопротеїнемії</w:t>
      </w:r>
      <w:r w:rsidRPr="00A5155F">
        <w:rPr>
          <w:rFonts w:ascii="Times New Roman" w:hAnsi="Times New Roman" w:cs="Times New Roman"/>
          <w:sz w:val="28"/>
          <w:szCs w:val="28"/>
          <w:lang w:val="uk-UA"/>
        </w:rPr>
        <w:t xml:space="preserve"> вторинно знижується концентрація ХС ЛПВЩ через прискорене перенесення ефірів ХС із </w:t>
      </w:r>
      <w:r w:rsidR="00C74A3E">
        <w:rPr>
          <w:rFonts w:ascii="Times New Roman" w:hAnsi="Times New Roman" w:cs="Times New Roman"/>
          <w:sz w:val="28"/>
          <w:szCs w:val="28"/>
          <w:lang w:val="uk-UA"/>
        </w:rPr>
        <w:t xml:space="preserve">ХС </w:t>
      </w:r>
      <w:r w:rsidRPr="00A5155F">
        <w:rPr>
          <w:rFonts w:ascii="Times New Roman" w:hAnsi="Times New Roman" w:cs="Times New Roman"/>
          <w:sz w:val="28"/>
          <w:szCs w:val="28"/>
          <w:lang w:val="uk-UA"/>
        </w:rPr>
        <w:t xml:space="preserve">ЛПВЩ </w:t>
      </w:r>
      <w:r w:rsidR="00C4393A" w:rsidRPr="00C4393A">
        <w:rPr>
          <w:rFonts w:ascii="Times New Roman" w:hAnsi="Times New Roman" w:cs="Times New Roman"/>
          <w:sz w:val="28"/>
          <w:szCs w:val="28"/>
          <w:lang w:val="uk-UA"/>
        </w:rPr>
        <w:t xml:space="preserve">                 </w:t>
      </w:r>
      <w:r w:rsidRPr="00A5155F">
        <w:rPr>
          <w:rFonts w:ascii="Times New Roman" w:hAnsi="Times New Roman" w:cs="Times New Roman"/>
          <w:sz w:val="28"/>
          <w:szCs w:val="28"/>
          <w:lang w:val="uk-UA"/>
        </w:rPr>
        <w:t>до ЛПДН</w:t>
      </w:r>
      <w:r w:rsidR="008E33CD" w:rsidRPr="00A5155F">
        <w:rPr>
          <w:rFonts w:ascii="Times New Roman" w:hAnsi="Times New Roman" w:cs="Times New Roman"/>
          <w:sz w:val="28"/>
          <w:szCs w:val="28"/>
          <w:lang w:val="uk-UA"/>
        </w:rPr>
        <w:t xml:space="preserve">Щ і хіломікронів в обмін на ТГ </w:t>
      </w:r>
      <w:r w:rsidR="008E33CD">
        <w:rPr>
          <w:rFonts w:ascii="Times New Roman" w:hAnsi="Times New Roman" w:cs="Times New Roman"/>
          <w:sz w:val="28"/>
          <w:szCs w:val="28"/>
          <w:lang w:val="uk-UA"/>
        </w:rPr>
        <w:t>у</w:t>
      </w:r>
      <w:r w:rsidRPr="00A5155F">
        <w:rPr>
          <w:rFonts w:ascii="Times New Roman" w:hAnsi="Times New Roman" w:cs="Times New Roman"/>
          <w:sz w:val="28"/>
          <w:szCs w:val="28"/>
          <w:lang w:val="uk-UA"/>
        </w:rPr>
        <w:t xml:space="preserve">наслідок активації білка, що переносить ефіри ХС. </w:t>
      </w:r>
      <w:r w:rsidRPr="00D17E01">
        <w:rPr>
          <w:rFonts w:ascii="Times New Roman" w:hAnsi="Times New Roman" w:cs="Times New Roman"/>
          <w:sz w:val="28"/>
          <w:szCs w:val="28"/>
          <w:lang w:val="uk-UA"/>
        </w:rPr>
        <w:t>Збагачені на ТГ частинки</w:t>
      </w:r>
      <w:r w:rsidR="00DE7F0D" w:rsidRPr="00D17E01">
        <w:rPr>
          <w:rFonts w:ascii="Times New Roman" w:hAnsi="Times New Roman" w:cs="Times New Roman"/>
          <w:sz w:val="28"/>
          <w:szCs w:val="28"/>
          <w:lang w:val="uk-UA"/>
        </w:rPr>
        <w:t xml:space="preserve"> </w:t>
      </w:r>
      <w:r w:rsidR="00C9398C">
        <w:rPr>
          <w:rFonts w:ascii="Times New Roman" w:hAnsi="Times New Roman" w:cs="Times New Roman"/>
          <w:sz w:val="28"/>
          <w:szCs w:val="28"/>
          <w:lang w:val="uk-UA"/>
        </w:rPr>
        <w:t xml:space="preserve">ХС </w:t>
      </w:r>
      <w:r w:rsidR="00DE7F0D" w:rsidRPr="00D17E01">
        <w:rPr>
          <w:rFonts w:ascii="Times New Roman" w:hAnsi="Times New Roman" w:cs="Times New Roman"/>
          <w:sz w:val="28"/>
          <w:szCs w:val="28"/>
          <w:lang w:val="uk-UA"/>
        </w:rPr>
        <w:t xml:space="preserve">ЛПВЩ під впливом печінкової </w:t>
      </w:r>
      <w:r w:rsidR="00DE7F0D">
        <w:rPr>
          <w:rFonts w:ascii="Times New Roman" w:hAnsi="Times New Roman" w:cs="Times New Roman"/>
          <w:sz w:val="28"/>
          <w:szCs w:val="28"/>
          <w:lang w:val="uk-UA"/>
        </w:rPr>
        <w:t>ліпопротеїдліпази</w:t>
      </w:r>
      <w:r w:rsidRPr="00D17E01">
        <w:rPr>
          <w:rFonts w:ascii="Times New Roman" w:hAnsi="Times New Roman" w:cs="Times New Roman"/>
          <w:sz w:val="28"/>
          <w:szCs w:val="28"/>
          <w:lang w:val="uk-UA"/>
        </w:rPr>
        <w:t xml:space="preserve"> перетворюються на </w:t>
      </w:r>
      <w:r w:rsidR="00C9398C">
        <w:rPr>
          <w:rFonts w:ascii="Times New Roman" w:hAnsi="Times New Roman" w:cs="Times New Roman"/>
          <w:sz w:val="28"/>
          <w:szCs w:val="28"/>
          <w:lang w:val="uk-UA"/>
        </w:rPr>
        <w:t xml:space="preserve">ХС </w:t>
      </w:r>
      <w:r w:rsidRPr="00D17E01">
        <w:rPr>
          <w:rFonts w:ascii="Times New Roman" w:hAnsi="Times New Roman" w:cs="Times New Roman"/>
          <w:sz w:val="28"/>
          <w:szCs w:val="28"/>
          <w:lang w:val="uk-UA"/>
        </w:rPr>
        <w:t>ЛПВЩ малих розм</w:t>
      </w:r>
      <w:r w:rsidRPr="00A03291">
        <w:rPr>
          <w:rFonts w:ascii="Times New Roman" w:hAnsi="Times New Roman" w:cs="Times New Roman"/>
          <w:sz w:val="28"/>
          <w:szCs w:val="28"/>
          <w:lang w:val="en-US"/>
        </w:rPr>
        <w:t>i</w:t>
      </w:r>
      <w:r w:rsidRPr="00D17E01">
        <w:rPr>
          <w:rFonts w:ascii="Times New Roman" w:hAnsi="Times New Roman" w:cs="Times New Roman"/>
          <w:sz w:val="28"/>
          <w:szCs w:val="28"/>
          <w:lang w:val="uk-UA"/>
        </w:rPr>
        <w:t>рів, швидко деградують і виводяться із крово</w:t>
      </w:r>
      <w:r w:rsidR="008E33CD">
        <w:rPr>
          <w:rFonts w:ascii="Times New Roman" w:hAnsi="Times New Roman" w:cs="Times New Roman"/>
          <w:sz w:val="28"/>
          <w:szCs w:val="28"/>
          <w:lang w:val="uk-UA"/>
        </w:rPr>
        <w:t>току</w:t>
      </w:r>
      <w:r w:rsidRPr="00D17E01">
        <w:rPr>
          <w:rFonts w:ascii="Times New Roman" w:hAnsi="Times New Roman" w:cs="Times New Roman"/>
          <w:sz w:val="28"/>
          <w:szCs w:val="28"/>
          <w:lang w:val="uk-UA"/>
        </w:rPr>
        <w:t xml:space="preserve">, що додатково знижує концентрацію </w:t>
      </w:r>
      <w:r w:rsidRPr="00A03291">
        <w:rPr>
          <w:rFonts w:ascii="Times New Roman" w:hAnsi="Times New Roman" w:cs="Times New Roman"/>
          <w:sz w:val="28"/>
          <w:szCs w:val="28"/>
        </w:rPr>
        <w:t xml:space="preserve">ХС ЛПВЩ в сироватці крові. Такий дисбаланс </w:t>
      </w:r>
      <w:r w:rsidR="00D416D0">
        <w:rPr>
          <w:rFonts w:ascii="Times New Roman" w:hAnsi="Times New Roman" w:cs="Times New Roman"/>
          <w:sz w:val="28"/>
          <w:szCs w:val="28"/>
          <w:lang w:val="uk-UA"/>
        </w:rPr>
        <w:t xml:space="preserve">                          </w:t>
      </w:r>
      <w:r w:rsidRPr="00A03291">
        <w:rPr>
          <w:rFonts w:ascii="Times New Roman" w:hAnsi="Times New Roman" w:cs="Times New Roman"/>
          <w:sz w:val="28"/>
          <w:szCs w:val="28"/>
        </w:rPr>
        <w:t>у ліпідотранспортних системах прискорює розвиток атеросклероз</w:t>
      </w:r>
      <w:r w:rsidR="00A5155F">
        <w:rPr>
          <w:rFonts w:ascii="Times New Roman" w:hAnsi="Times New Roman" w:cs="Times New Roman"/>
          <w:sz w:val="28"/>
          <w:szCs w:val="28"/>
        </w:rPr>
        <w:t>у</w:t>
      </w:r>
      <w:r w:rsidR="00D2768A">
        <w:rPr>
          <w:rFonts w:ascii="Times New Roman" w:hAnsi="Times New Roman" w:cs="Times New Roman"/>
          <w:sz w:val="28"/>
          <w:szCs w:val="28"/>
        </w:rPr>
        <w:t>.</w:t>
      </w:r>
      <w:r w:rsidR="00D416D0">
        <w:rPr>
          <w:rFonts w:ascii="Times New Roman" w:hAnsi="Times New Roman" w:cs="Times New Roman"/>
          <w:spacing w:val="2"/>
          <w:sz w:val="28"/>
          <w:szCs w:val="28"/>
          <w:shd w:val="clear" w:color="auto" w:fill="FCFCFC"/>
          <w:lang w:val="uk-UA"/>
        </w:rPr>
        <w:t xml:space="preserve"> Підвищення вмісту</w:t>
      </w:r>
      <w:r w:rsidRPr="00D346B7">
        <w:rPr>
          <w:rFonts w:ascii="Times New Roman" w:hAnsi="Times New Roman" w:cs="Times New Roman"/>
          <w:spacing w:val="2"/>
          <w:sz w:val="28"/>
          <w:szCs w:val="28"/>
          <w:shd w:val="clear" w:color="auto" w:fill="FCFCFC"/>
          <w:lang w:val="uk-UA"/>
        </w:rPr>
        <w:t xml:space="preserve"> ТГ, малих щільн</w:t>
      </w:r>
      <w:r w:rsidR="00D2768A" w:rsidRPr="00D346B7">
        <w:rPr>
          <w:rFonts w:ascii="Times New Roman" w:hAnsi="Times New Roman" w:cs="Times New Roman"/>
          <w:spacing w:val="2"/>
          <w:sz w:val="28"/>
          <w:szCs w:val="28"/>
          <w:shd w:val="clear" w:color="auto" w:fill="FCFCFC"/>
          <w:lang w:val="uk-UA"/>
        </w:rPr>
        <w:t>и</w:t>
      </w:r>
      <w:r w:rsidR="00A5155F">
        <w:rPr>
          <w:rFonts w:ascii="Times New Roman" w:hAnsi="Times New Roman" w:cs="Times New Roman"/>
          <w:spacing w:val="2"/>
          <w:sz w:val="28"/>
          <w:szCs w:val="28"/>
          <w:shd w:val="clear" w:color="auto" w:fill="FCFCFC"/>
          <w:lang w:val="uk-UA"/>
        </w:rPr>
        <w:t xml:space="preserve">х частинок </w:t>
      </w:r>
      <w:r w:rsidR="00C9398C">
        <w:rPr>
          <w:rFonts w:ascii="Times New Roman" w:hAnsi="Times New Roman" w:cs="Times New Roman"/>
          <w:spacing w:val="2"/>
          <w:sz w:val="28"/>
          <w:szCs w:val="28"/>
          <w:shd w:val="clear" w:color="auto" w:fill="FCFCFC"/>
          <w:lang w:val="uk-UA"/>
        </w:rPr>
        <w:t xml:space="preserve">ХС </w:t>
      </w:r>
      <w:r w:rsidR="00A5155F">
        <w:rPr>
          <w:rFonts w:ascii="Times New Roman" w:hAnsi="Times New Roman" w:cs="Times New Roman"/>
          <w:spacing w:val="2"/>
          <w:sz w:val="28"/>
          <w:szCs w:val="28"/>
          <w:shd w:val="clear" w:color="auto" w:fill="FCFCFC"/>
          <w:lang w:val="uk-UA"/>
        </w:rPr>
        <w:t xml:space="preserve">ЛПНЩ, зниження </w:t>
      </w:r>
      <w:r w:rsidR="00D416D0">
        <w:rPr>
          <w:rFonts w:ascii="Times New Roman" w:hAnsi="Times New Roman" w:cs="Times New Roman"/>
          <w:spacing w:val="2"/>
          <w:sz w:val="28"/>
          <w:szCs w:val="28"/>
          <w:shd w:val="clear" w:color="auto" w:fill="FCFCFC"/>
          <w:lang w:val="uk-UA"/>
        </w:rPr>
        <w:t xml:space="preserve">вмісту </w:t>
      </w:r>
      <w:r w:rsidR="00C9398C">
        <w:rPr>
          <w:rFonts w:ascii="Times New Roman" w:hAnsi="Times New Roman" w:cs="Times New Roman"/>
          <w:spacing w:val="2"/>
          <w:sz w:val="28"/>
          <w:szCs w:val="28"/>
          <w:shd w:val="clear" w:color="auto" w:fill="FCFCFC"/>
          <w:lang w:val="uk-UA"/>
        </w:rPr>
        <w:t xml:space="preserve">ХС </w:t>
      </w:r>
      <w:r w:rsidR="00A5155F">
        <w:rPr>
          <w:rFonts w:ascii="Times New Roman" w:hAnsi="Times New Roman" w:cs="Times New Roman"/>
          <w:spacing w:val="2"/>
          <w:sz w:val="28"/>
          <w:szCs w:val="28"/>
          <w:shd w:val="clear" w:color="auto" w:fill="FCFCFC"/>
          <w:lang w:val="uk-UA"/>
        </w:rPr>
        <w:t>ЛПВЩ</w:t>
      </w:r>
      <w:r w:rsidR="00D416D0">
        <w:rPr>
          <w:rFonts w:ascii="Times New Roman" w:hAnsi="Times New Roman" w:cs="Times New Roman"/>
          <w:spacing w:val="2"/>
          <w:sz w:val="28"/>
          <w:szCs w:val="28"/>
          <w:shd w:val="clear" w:color="auto" w:fill="FCFCFC"/>
          <w:lang w:val="uk-UA"/>
        </w:rPr>
        <w:t xml:space="preserve"> є характерними ознаками </w:t>
      </w:r>
      <w:r w:rsidR="00D416D0" w:rsidRPr="00D416D0">
        <w:rPr>
          <w:rFonts w:ascii="Times New Roman" w:hAnsi="Times New Roman" w:cs="Times New Roman"/>
          <w:spacing w:val="2"/>
          <w:sz w:val="28"/>
          <w:szCs w:val="28"/>
          <w:shd w:val="clear" w:color="auto" w:fill="FCFCFC"/>
          <w:lang w:val="uk-UA"/>
        </w:rPr>
        <w:t xml:space="preserve">дисліпідемії у пацієнтів </w:t>
      </w:r>
      <w:r w:rsidR="00C4393A" w:rsidRPr="00C4393A">
        <w:rPr>
          <w:rFonts w:ascii="Times New Roman" w:hAnsi="Times New Roman" w:cs="Times New Roman"/>
          <w:spacing w:val="2"/>
          <w:sz w:val="28"/>
          <w:szCs w:val="28"/>
          <w:shd w:val="clear" w:color="auto" w:fill="FCFCFC"/>
          <w:lang w:val="uk-UA"/>
        </w:rPr>
        <w:t xml:space="preserve">           </w:t>
      </w:r>
      <w:r w:rsidR="00C4393A">
        <w:rPr>
          <w:rFonts w:ascii="Times New Roman" w:hAnsi="Times New Roman" w:cs="Times New Roman"/>
          <w:spacing w:val="2"/>
          <w:sz w:val="28"/>
          <w:szCs w:val="28"/>
          <w:shd w:val="clear" w:color="auto" w:fill="FCFCFC"/>
          <w:lang w:val="uk-UA"/>
        </w:rPr>
        <w:t>із</w:t>
      </w:r>
      <w:r w:rsidR="00C4393A" w:rsidRPr="00C4393A">
        <w:rPr>
          <w:rFonts w:ascii="Times New Roman" w:hAnsi="Times New Roman" w:cs="Times New Roman"/>
          <w:spacing w:val="2"/>
          <w:sz w:val="28"/>
          <w:szCs w:val="28"/>
          <w:shd w:val="clear" w:color="auto" w:fill="FCFCFC"/>
          <w:lang w:val="uk-UA"/>
        </w:rPr>
        <w:t xml:space="preserve"> </w:t>
      </w:r>
      <w:r w:rsidR="00D416D0" w:rsidRPr="00D416D0">
        <w:rPr>
          <w:rFonts w:ascii="Times New Roman" w:hAnsi="Times New Roman" w:cs="Times New Roman"/>
          <w:spacing w:val="2"/>
          <w:sz w:val="28"/>
          <w:szCs w:val="28"/>
          <w:shd w:val="clear" w:color="auto" w:fill="FCFCFC"/>
          <w:lang w:val="uk-UA"/>
        </w:rPr>
        <w:t>ЦД 2-го типу</w:t>
      </w:r>
      <w:r w:rsidRPr="00D346B7">
        <w:rPr>
          <w:rFonts w:ascii="Times New Roman" w:hAnsi="Times New Roman" w:cs="Times New Roman"/>
          <w:spacing w:val="2"/>
          <w:sz w:val="28"/>
          <w:szCs w:val="28"/>
          <w:shd w:val="clear" w:color="auto" w:fill="FCFCFC"/>
          <w:lang w:val="uk-UA"/>
        </w:rPr>
        <w:t xml:space="preserve">. Ці зміни обумовлені збільшенням пулу вільних </w:t>
      </w:r>
      <w:r w:rsidR="004918C1">
        <w:rPr>
          <w:rFonts w:ascii="Times New Roman" w:hAnsi="Times New Roman" w:cs="Times New Roman"/>
          <w:spacing w:val="2"/>
          <w:sz w:val="28"/>
          <w:szCs w:val="28"/>
          <w:shd w:val="clear" w:color="auto" w:fill="FCFCFC"/>
          <w:lang w:val="uk-UA"/>
        </w:rPr>
        <w:t xml:space="preserve">жирних кислот </w:t>
      </w:r>
      <w:r w:rsidR="008E33CD">
        <w:rPr>
          <w:rFonts w:ascii="Times New Roman" w:hAnsi="Times New Roman" w:cs="Times New Roman"/>
          <w:spacing w:val="2"/>
          <w:sz w:val="28"/>
          <w:szCs w:val="28"/>
          <w:shd w:val="clear" w:color="auto" w:fill="FCFCFC"/>
          <w:lang w:val="uk-UA"/>
        </w:rPr>
        <w:t>у</w:t>
      </w:r>
      <w:r w:rsidR="00DE7F0D">
        <w:rPr>
          <w:rFonts w:ascii="Times New Roman" w:hAnsi="Times New Roman" w:cs="Times New Roman"/>
          <w:spacing w:val="2"/>
          <w:sz w:val="28"/>
          <w:szCs w:val="28"/>
          <w:shd w:val="clear" w:color="auto" w:fill="FCFCFC"/>
          <w:lang w:val="uk-UA"/>
        </w:rPr>
        <w:t>наслідок ІР</w:t>
      </w:r>
      <w:r w:rsidRPr="00D346B7">
        <w:rPr>
          <w:rFonts w:ascii="Times New Roman" w:hAnsi="Times New Roman" w:cs="Times New Roman"/>
          <w:spacing w:val="2"/>
          <w:sz w:val="28"/>
          <w:szCs w:val="28"/>
          <w:shd w:val="clear" w:color="auto" w:fill="FCFCFC"/>
          <w:lang w:val="uk-UA"/>
        </w:rPr>
        <w:t xml:space="preserve"> та виві</w:t>
      </w:r>
      <w:r w:rsidR="0029409B">
        <w:rPr>
          <w:rFonts w:ascii="Times New Roman" w:hAnsi="Times New Roman" w:cs="Times New Roman"/>
          <w:spacing w:val="2"/>
          <w:sz w:val="28"/>
          <w:szCs w:val="28"/>
          <w:shd w:val="clear" w:color="auto" w:fill="FCFCFC"/>
          <w:lang w:val="uk-UA"/>
        </w:rPr>
        <w:t>льнення запальних адипокінів</w:t>
      </w:r>
      <w:r w:rsidRPr="00D346B7">
        <w:rPr>
          <w:rFonts w:ascii="Times New Roman" w:hAnsi="Times New Roman" w:cs="Times New Roman"/>
          <w:spacing w:val="2"/>
          <w:sz w:val="28"/>
          <w:szCs w:val="28"/>
          <w:shd w:val="clear" w:color="auto" w:fill="FCFCFC"/>
          <w:lang w:val="uk-UA"/>
        </w:rPr>
        <w:t>.</w:t>
      </w:r>
      <w:r w:rsidR="00D416D0">
        <w:rPr>
          <w:rFonts w:ascii="Times New Roman" w:hAnsi="Times New Roman" w:cs="Times New Roman"/>
          <w:spacing w:val="2"/>
          <w:sz w:val="28"/>
          <w:szCs w:val="28"/>
          <w:shd w:val="clear" w:color="auto" w:fill="FCFCFC"/>
          <w:lang w:val="uk-UA"/>
        </w:rPr>
        <w:t xml:space="preserve"> </w:t>
      </w:r>
      <w:r w:rsidR="00D416D0">
        <w:rPr>
          <w:rFonts w:ascii="Times New Roman" w:hAnsi="Times New Roman" w:cs="Times New Roman"/>
          <w:sz w:val="28"/>
          <w:szCs w:val="28"/>
          <w:lang w:val="uk-UA"/>
        </w:rPr>
        <w:t>В</w:t>
      </w:r>
      <w:r w:rsidRPr="00A03291">
        <w:rPr>
          <w:rFonts w:ascii="Times New Roman" w:hAnsi="Times New Roman" w:cs="Times New Roman"/>
          <w:sz w:val="28"/>
          <w:szCs w:val="28"/>
          <w:lang w:val="uk-UA"/>
        </w:rPr>
        <w:t>міст у крові багатих на ТГ хіломікронів аполіпопротеїн</w:t>
      </w:r>
      <w:r w:rsidR="007D34A2">
        <w:rPr>
          <w:rFonts w:ascii="Times New Roman" w:hAnsi="Times New Roman" w:cs="Times New Roman"/>
          <w:sz w:val="28"/>
          <w:szCs w:val="28"/>
          <w:lang w:val="uk-UA"/>
        </w:rPr>
        <w:t>у В</w:t>
      </w:r>
      <w:r w:rsidR="00D416D0">
        <w:rPr>
          <w:rFonts w:ascii="Times New Roman" w:hAnsi="Times New Roman" w:cs="Times New Roman"/>
          <w:sz w:val="28"/>
          <w:szCs w:val="28"/>
          <w:lang w:val="uk-UA"/>
        </w:rPr>
        <w:t xml:space="preserve"> </w:t>
      </w:r>
      <w:r w:rsidR="00D416D0" w:rsidRPr="00D416D0">
        <w:rPr>
          <w:rFonts w:ascii="Times New Roman" w:hAnsi="Times New Roman" w:cs="Times New Roman"/>
          <w:sz w:val="28"/>
          <w:szCs w:val="28"/>
          <w:lang w:val="uk-UA"/>
        </w:rPr>
        <w:t>підвищується</w:t>
      </w:r>
      <w:r w:rsidR="00D416D0">
        <w:rPr>
          <w:rFonts w:ascii="Times New Roman" w:hAnsi="Times New Roman" w:cs="Times New Roman"/>
          <w:sz w:val="28"/>
          <w:szCs w:val="28"/>
          <w:lang w:val="uk-UA"/>
        </w:rPr>
        <w:t xml:space="preserve"> </w:t>
      </w:r>
      <w:r w:rsidR="00D416D0" w:rsidRPr="00D416D0">
        <w:rPr>
          <w:rFonts w:ascii="Times New Roman" w:hAnsi="Times New Roman" w:cs="Times New Roman"/>
          <w:sz w:val="28"/>
          <w:szCs w:val="28"/>
          <w:lang w:val="uk-UA"/>
        </w:rPr>
        <w:t xml:space="preserve">у хворих </w:t>
      </w:r>
      <w:r w:rsidR="00771CCD" w:rsidRPr="00771CCD">
        <w:rPr>
          <w:rFonts w:ascii="Times New Roman" w:hAnsi="Times New Roman" w:cs="Times New Roman"/>
          <w:sz w:val="28"/>
          <w:szCs w:val="28"/>
        </w:rPr>
        <w:t xml:space="preserve">           </w:t>
      </w:r>
      <w:r w:rsidR="00D416D0" w:rsidRPr="00D416D0">
        <w:rPr>
          <w:rFonts w:ascii="Times New Roman" w:hAnsi="Times New Roman" w:cs="Times New Roman"/>
          <w:sz w:val="28"/>
          <w:szCs w:val="28"/>
          <w:lang w:val="uk-UA"/>
        </w:rPr>
        <w:t>на ЦД 2-го типу</w:t>
      </w:r>
      <w:r w:rsidRPr="00A03291">
        <w:rPr>
          <w:rFonts w:ascii="Times New Roman" w:hAnsi="Times New Roman" w:cs="Times New Roman"/>
          <w:sz w:val="28"/>
          <w:szCs w:val="28"/>
          <w:lang w:val="uk-UA"/>
        </w:rPr>
        <w:t>.</w:t>
      </w:r>
      <w:r w:rsidR="00D416D0">
        <w:rPr>
          <w:rFonts w:ascii="Times New Roman" w:hAnsi="Times New Roman" w:cs="Times New Roman"/>
          <w:sz w:val="28"/>
          <w:szCs w:val="28"/>
          <w:lang w:val="uk-UA"/>
        </w:rPr>
        <w:t xml:space="preserve"> К</w:t>
      </w:r>
      <w:r w:rsidRPr="00A03291">
        <w:rPr>
          <w:rFonts w:ascii="Times New Roman" w:hAnsi="Times New Roman" w:cs="Times New Roman"/>
          <w:sz w:val="28"/>
          <w:szCs w:val="28"/>
          <w:lang w:val="uk-UA"/>
        </w:rPr>
        <w:t xml:space="preserve">онцентрація вільних </w:t>
      </w:r>
      <w:r w:rsidR="004918C1">
        <w:rPr>
          <w:rFonts w:ascii="Times New Roman" w:hAnsi="Times New Roman" w:cs="Times New Roman"/>
          <w:sz w:val="28"/>
          <w:szCs w:val="28"/>
          <w:lang w:val="uk-UA"/>
        </w:rPr>
        <w:t xml:space="preserve">жирних кислот </w:t>
      </w:r>
      <w:r w:rsidRPr="00A03291">
        <w:rPr>
          <w:rFonts w:ascii="Times New Roman" w:hAnsi="Times New Roman" w:cs="Times New Roman"/>
          <w:sz w:val="28"/>
          <w:szCs w:val="28"/>
          <w:lang w:val="uk-UA"/>
        </w:rPr>
        <w:t xml:space="preserve">у крові </w:t>
      </w:r>
      <w:r w:rsidR="00D416D0">
        <w:rPr>
          <w:rFonts w:ascii="Times New Roman" w:hAnsi="Times New Roman" w:cs="Times New Roman"/>
          <w:sz w:val="28"/>
          <w:szCs w:val="28"/>
          <w:lang w:val="uk-UA"/>
        </w:rPr>
        <w:t xml:space="preserve">збільшується на фоні </w:t>
      </w:r>
      <w:r w:rsidR="00D416D0" w:rsidRPr="00D416D0">
        <w:rPr>
          <w:rFonts w:ascii="Times New Roman" w:hAnsi="Times New Roman" w:cs="Times New Roman"/>
          <w:sz w:val="28"/>
          <w:szCs w:val="28"/>
          <w:lang w:val="uk-UA"/>
        </w:rPr>
        <w:t>ІР</w:t>
      </w:r>
      <w:r w:rsidR="00D416D0">
        <w:rPr>
          <w:rFonts w:ascii="Times New Roman" w:hAnsi="Times New Roman" w:cs="Times New Roman"/>
          <w:sz w:val="28"/>
          <w:szCs w:val="28"/>
          <w:lang w:val="uk-UA"/>
        </w:rPr>
        <w:t xml:space="preserve"> </w:t>
      </w:r>
      <w:r w:rsidR="004320F4">
        <w:rPr>
          <w:rFonts w:ascii="Times New Roman" w:hAnsi="Times New Roman" w:cs="Times New Roman"/>
          <w:sz w:val="28"/>
          <w:szCs w:val="28"/>
          <w:lang w:val="uk-UA"/>
        </w:rPr>
        <w:t>у</w:t>
      </w:r>
      <w:r w:rsidRPr="00A03291">
        <w:rPr>
          <w:rFonts w:ascii="Times New Roman" w:hAnsi="Times New Roman" w:cs="Times New Roman"/>
          <w:sz w:val="28"/>
          <w:szCs w:val="28"/>
          <w:lang w:val="uk-UA"/>
        </w:rPr>
        <w:t>наслідок підвищеного їх вивільнення із жирової тканини та зниження споживання м</w:t>
      </w:r>
      <w:r w:rsidR="004320F4">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язами. У відповідь на це </w:t>
      </w:r>
      <w:r w:rsidR="00D416D0" w:rsidRPr="00D416D0">
        <w:rPr>
          <w:rFonts w:ascii="Times New Roman" w:hAnsi="Times New Roman" w:cs="Times New Roman"/>
          <w:sz w:val="28"/>
          <w:szCs w:val="28"/>
          <w:lang w:val="uk-UA"/>
        </w:rPr>
        <w:t xml:space="preserve">вироблення ХС ЛПДНЩ, </w:t>
      </w:r>
      <w:r w:rsidR="00D416D0" w:rsidRPr="00D416D0">
        <w:rPr>
          <w:rFonts w:ascii="Times New Roman" w:hAnsi="Times New Roman" w:cs="Times New Roman"/>
          <w:sz w:val="28"/>
          <w:szCs w:val="28"/>
          <w:lang w:val="uk-UA"/>
        </w:rPr>
        <w:lastRenderedPageBreak/>
        <w:t xml:space="preserve">насичених ТГ, та інших частинок, що містять аполіпопротеїн В </w:t>
      </w:r>
      <w:r w:rsidR="004320F4">
        <w:rPr>
          <w:rFonts w:ascii="Times New Roman" w:hAnsi="Times New Roman" w:cs="Times New Roman"/>
          <w:sz w:val="28"/>
          <w:szCs w:val="28"/>
          <w:lang w:val="uk-UA"/>
        </w:rPr>
        <w:t>в</w:t>
      </w:r>
      <w:r w:rsidR="00DE7B7F">
        <w:rPr>
          <w:rFonts w:ascii="Times New Roman" w:hAnsi="Times New Roman" w:cs="Times New Roman"/>
          <w:sz w:val="28"/>
          <w:szCs w:val="28"/>
          <w:lang w:val="uk-UA"/>
        </w:rPr>
        <w:t xml:space="preserve"> печінці збільшується </w:t>
      </w:r>
      <w:r w:rsidR="008E378C">
        <w:rPr>
          <w:rFonts w:ascii="Times New Roman" w:hAnsi="Times New Roman" w:cs="Times New Roman"/>
          <w:sz w:val="28"/>
          <w:szCs w:val="28"/>
          <w:lang w:val="uk-UA"/>
        </w:rPr>
        <w:t>[</w:t>
      </w:r>
      <w:r w:rsidR="002C21DA">
        <w:rPr>
          <w:rFonts w:ascii="Times New Roman" w:hAnsi="Times New Roman" w:cs="Times New Roman"/>
          <w:sz w:val="28"/>
          <w:szCs w:val="28"/>
          <w:lang w:val="uk-UA"/>
        </w:rPr>
        <w:t>24</w:t>
      </w:r>
      <w:r w:rsidR="008E378C">
        <w:rPr>
          <w:rFonts w:ascii="Times New Roman" w:hAnsi="Times New Roman" w:cs="Times New Roman"/>
          <w:sz w:val="28"/>
          <w:szCs w:val="28"/>
          <w:lang w:val="uk-UA"/>
        </w:rPr>
        <w:t>]</w:t>
      </w:r>
      <w:r w:rsidR="00D11A88" w:rsidRPr="00D11A88">
        <w:rPr>
          <w:rFonts w:ascii="Times New Roman" w:hAnsi="Times New Roman" w:cs="Times New Roman"/>
          <w:sz w:val="28"/>
          <w:szCs w:val="28"/>
          <w:lang w:val="uk-UA"/>
        </w:rPr>
        <w:t>.</w:t>
      </w:r>
    </w:p>
    <w:p w:rsidR="001225FC" w:rsidRPr="00CC088A" w:rsidRDefault="004320F4" w:rsidP="001225F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1225FC" w:rsidRPr="00A03291">
        <w:rPr>
          <w:rFonts w:ascii="Times New Roman" w:hAnsi="Times New Roman" w:cs="Times New Roman"/>
          <w:sz w:val="28"/>
          <w:szCs w:val="28"/>
          <w:lang w:val="uk-UA"/>
        </w:rPr>
        <w:t xml:space="preserve">рім того, при </w:t>
      </w:r>
      <w:r>
        <w:rPr>
          <w:rFonts w:ascii="Times New Roman" w:hAnsi="Times New Roman" w:cs="Times New Roman"/>
          <w:sz w:val="28"/>
          <w:szCs w:val="28"/>
          <w:lang w:val="uk-UA"/>
        </w:rPr>
        <w:t xml:space="preserve">ЦД порушується функція </w:t>
      </w:r>
      <w:r w:rsidR="008E378C">
        <w:rPr>
          <w:rFonts w:ascii="Times New Roman" w:hAnsi="Times New Roman" w:cs="Times New Roman"/>
          <w:sz w:val="28"/>
          <w:szCs w:val="28"/>
          <w:lang w:val="uk-UA"/>
        </w:rPr>
        <w:t xml:space="preserve">ХС </w:t>
      </w:r>
      <w:r>
        <w:rPr>
          <w:rFonts w:ascii="Times New Roman" w:hAnsi="Times New Roman" w:cs="Times New Roman"/>
          <w:sz w:val="28"/>
          <w:szCs w:val="28"/>
          <w:lang w:val="uk-UA"/>
        </w:rPr>
        <w:t xml:space="preserve">ЛПВЩ, що полягає </w:t>
      </w:r>
      <w:r w:rsidR="00771CCD" w:rsidRPr="00771CCD">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1225FC" w:rsidRPr="00A03291">
        <w:rPr>
          <w:rFonts w:ascii="Times New Roman" w:hAnsi="Times New Roman" w:cs="Times New Roman"/>
          <w:sz w:val="28"/>
          <w:szCs w:val="28"/>
          <w:lang w:val="uk-UA"/>
        </w:rPr>
        <w:t xml:space="preserve"> гальмуванні окиснення </w:t>
      </w:r>
      <w:r w:rsidR="008E378C">
        <w:rPr>
          <w:rFonts w:ascii="Times New Roman" w:hAnsi="Times New Roman" w:cs="Times New Roman"/>
          <w:sz w:val="28"/>
          <w:szCs w:val="28"/>
          <w:lang w:val="uk-UA"/>
        </w:rPr>
        <w:t xml:space="preserve">ХС </w:t>
      </w:r>
      <w:r w:rsidR="001225FC" w:rsidRPr="00A03291">
        <w:rPr>
          <w:rFonts w:ascii="Times New Roman" w:hAnsi="Times New Roman" w:cs="Times New Roman"/>
          <w:sz w:val="28"/>
          <w:szCs w:val="28"/>
          <w:lang w:val="uk-UA"/>
        </w:rPr>
        <w:t>ЛПНЩ, збільшується кількість функціонально неповноцінних дрібних частин</w:t>
      </w:r>
      <w:r>
        <w:rPr>
          <w:rFonts w:ascii="Times New Roman" w:hAnsi="Times New Roman" w:cs="Times New Roman"/>
          <w:sz w:val="28"/>
          <w:szCs w:val="28"/>
          <w:lang w:val="uk-UA"/>
        </w:rPr>
        <w:t xml:space="preserve">ок </w:t>
      </w:r>
      <w:r w:rsidR="008E378C">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ЛПВЩ у</w:t>
      </w:r>
      <w:r w:rsidR="001225FC" w:rsidRPr="00A03291">
        <w:rPr>
          <w:rFonts w:ascii="Times New Roman" w:hAnsi="Times New Roman" w:cs="Times New Roman"/>
          <w:sz w:val="28"/>
          <w:szCs w:val="28"/>
          <w:lang w:val="uk-UA"/>
        </w:rPr>
        <w:t>наслідок каскаду метаболічних порушень, пов’язаних з у</w:t>
      </w:r>
      <w:r w:rsidR="00CC088A">
        <w:rPr>
          <w:rFonts w:ascii="Times New Roman" w:hAnsi="Times New Roman" w:cs="Times New Roman"/>
          <w:sz w:val="28"/>
          <w:szCs w:val="28"/>
          <w:lang w:val="uk-UA"/>
        </w:rPr>
        <w:t>творенням великих частин</w:t>
      </w:r>
      <w:r>
        <w:rPr>
          <w:rFonts w:ascii="Times New Roman" w:hAnsi="Times New Roman" w:cs="Times New Roman"/>
          <w:sz w:val="28"/>
          <w:szCs w:val="28"/>
          <w:lang w:val="uk-UA"/>
        </w:rPr>
        <w:t>ок</w:t>
      </w:r>
      <w:r w:rsidR="00CC088A">
        <w:rPr>
          <w:rFonts w:ascii="Times New Roman" w:hAnsi="Times New Roman" w:cs="Times New Roman"/>
          <w:sz w:val="28"/>
          <w:szCs w:val="28"/>
          <w:lang w:val="uk-UA"/>
        </w:rPr>
        <w:t xml:space="preserve"> </w:t>
      </w:r>
      <w:r w:rsidR="008E378C">
        <w:rPr>
          <w:rFonts w:ascii="Times New Roman" w:hAnsi="Times New Roman" w:cs="Times New Roman"/>
          <w:sz w:val="28"/>
          <w:szCs w:val="28"/>
          <w:lang w:val="uk-UA"/>
        </w:rPr>
        <w:t xml:space="preserve">ХС </w:t>
      </w:r>
      <w:r w:rsidR="00CC088A">
        <w:rPr>
          <w:rFonts w:ascii="Times New Roman" w:hAnsi="Times New Roman" w:cs="Times New Roman"/>
          <w:sz w:val="28"/>
          <w:szCs w:val="28"/>
          <w:lang w:val="uk-UA"/>
        </w:rPr>
        <w:t>ЛПДНЩ</w:t>
      </w:r>
      <w:r w:rsidR="008E378C">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24</w:t>
      </w:r>
      <w:r w:rsidR="008E378C">
        <w:rPr>
          <w:rFonts w:ascii="Times New Roman" w:hAnsi="Times New Roman" w:cs="Times New Roman"/>
          <w:sz w:val="28"/>
          <w:szCs w:val="28"/>
          <w:lang w:val="uk-UA"/>
        </w:rPr>
        <w:t>]</w:t>
      </w:r>
      <w:r w:rsidR="00CC088A" w:rsidRPr="00CC088A">
        <w:rPr>
          <w:rFonts w:ascii="Times New Roman" w:hAnsi="Times New Roman" w:cs="Times New Roman"/>
          <w:sz w:val="28"/>
          <w:szCs w:val="28"/>
          <w:lang w:val="uk-UA"/>
        </w:rPr>
        <w:t>.</w:t>
      </w:r>
    </w:p>
    <w:p w:rsidR="001225FC" w:rsidRPr="00A03291" w:rsidRDefault="001225FC" w:rsidP="001225FC">
      <w:pPr>
        <w:autoSpaceDE w:val="0"/>
        <w:autoSpaceDN w:val="0"/>
        <w:adjustRightInd w:val="0"/>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Збільшенню проникності </w:t>
      </w:r>
      <w:r w:rsidR="008E378C">
        <w:rPr>
          <w:rFonts w:ascii="Times New Roman" w:hAnsi="Times New Roman" w:cs="Times New Roman"/>
          <w:sz w:val="28"/>
          <w:szCs w:val="28"/>
          <w:lang w:val="uk-UA"/>
        </w:rPr>
        <w:t xml:space="preserve">ХС </w:t>
      </w:r>
      <w:r w:rsidRPr="00A03291">
        <w:rPr>
          <w:rFonts w:ascii="Times New Roman" w:hAnsi="Times New Roman" w:cs="Times New Roman"/>
          <w:sz w:val="28"/>
          <w:szCs w:val="28"/>
          <w:lang w:val="uk-UA"/>
        </w:rPr>
        <w:t xml:space="preserve">ЛПНЩ через судинну стінку сприяє гіперглікемія, бо глікозильовані </w:t>
      </w:r>
      <w:r w:rsidR="008E378C">
        <w:rPr>
          <w:rFonts w:ascii="Times New Roman" w:hAnsi="Times New Roman" w:cs="Times New Roman"/>
          <w:sz w:val="28"/>
          <w:szCs w:val="28"/>
          <w:lang w:val="uk-UA"/>
        </w:rPr>
        <w:t xml:space="preserve">ліпопротеїди </w:t>
      </w:r>
      <w:r w:rsidRPr="00A03291">
        <w:rPr>
          <w:rFonts w:ascii="Times New Roman" w:hAnsi="Times New Roman" w:cs="Times New Roman"/>
          <w:sz w:val="28"/>
          <w:szCs w:val="28"/>
          <w:lang w:val="uk-UA"/>
        </w:rPr>
        <w:t>погано розпізнаються рецепторами пе</w:t>
      </w:r>
      <w:r w:rsidR="004320F4">
        <w:rPr>
          <w:rFonts w:ascii="Times New Roman" w:hAnsi="Times New Roman" w:cs="Times New Roman"/>
          <w:sz w:val="28"/>
          <w:szCs w:val="28"/>
          <w:lang w:val="uk-UA"/>
        </w:rPr>
        <w:t>чінки та повільніше виводяться з кровотоку. К</w:t>
      </w:r>
      <w:r w:rsidRPr="00A03291">
        <w:rPr>
          <w:rFonts w:ascii="Times New Roman" w:hAnsi="Times New Roman" w:cs="Times New Roman"/>
          <w:sz w:val="28"/>
          <w:szCs w:val="28"/>
          <w:lang w:val="uk-UA"/>
        </w:rPr>
        <w:t xml:space="preserve">рім того, дрібні щільні </w:t>
      </w:r>
      <w:r w:rsidR="008E378C">
        <w:rPr>
          <w:rFonts w:ascii="Times New Roman" w:hAnsi="Times New Roman" w:cs="Times New Roman"/>
          <w:sz w:val="28"/>
          <w:szCs w:val="28"/>
          <w:lang w:val="uk-UA"/>
        </w:rPr>
        <w:t xml:space="preserve">частинки ХС </w:t>
      </w:r>
      <w:r w:rsidRPr="00A03291">
        <w:rPr>
          <w:rFonts w:ascii="Times New Roman" w:hAnsi="Times New Roman" w:cs="Times New Roman"/>
          <w:sz w:val="28"/>
          <w:szCs w:val="28"/>
          <w:lang w:val="uk-UA"/>
        </w:rPr>
        <w:t xml:space="preserve">ЛПНЩ характеризуються підвищеною здатністю </w:t>
      </w:r>
      <w:r w:rsidR="00771CCD" w:rsidRPr="00771CCD">
        <w:rPr>
          <w:rFonts w:ascii="Times New Roman" w:hAnsi="Times New Roman" w:cs="Times New Roman"/>
          <w:sz w:val="28"/>
          <w:szCs w:val="28"/>
        </w:rPr>
        <w:t xml:space="preserve">          </w:t>
      </w:r>
      <w:r w:rsidR="004320F4">
        <w:rPr>
          <w:rFonts w:ascii="Times New Roman" w:hAnsi="Times New Roman" w:cs="Times New Roman"/>
          <w:sz w:val="28"/>
          <w:szCs w:val="28"/>
          <w:lang w:val="uk-UA"/>
        </w:rPr>
        <w:t>до окиснення</w:t>
      </w:r>
      <w:r w:rsidR="000D0EE4">
        <w:rPr>
          <w:rFonts w:ascii="Times New Roman" w:hAnsi="Times New Roman" w:cs="Times New Roman"/>
          <w:sz w:val="28"/>
          <w:szCs w:val="28"/>
          <w:lang w:val="uk-UA"/>
        </w:rPr>
        <w:t>, яка більш виражена з</w:t>
      </w:r>
      <w:r w:rsidR="004320F4">
        <w:rPr>
          <w:rFonts w:ascii="Times New Roman" w:hAnsi="Times New Roman" w:cs="Times New Roman"/>
          <w:sz w:val="28"/>
          <w:szCs w:val="28"/>
          <w:lang w:val="uk-UA"/>
        </w:rPr>
        <w:t>а умов окис</w:t>
      </w:r>
      <w:r w:rsidRPr="00A03291">
        <w:rPr>
          <w:rFonts w:ascii="Times New Roman" w:hAnsi="Times New Roman" w:cs="Times New Roman"/>
          <w:sz w:val="28"/>
          <w:szCs w:val="28"/>
          <w:lang w:val="uk-UA"/>
        </w:rPr>
        <w:t>ного стресу, характерного для Ц</w:t>
      </w:r>
      <w:r w:rsidR="000D0EE4">
        <w:rPr>
          <w:rFonts w:ascii="Times New Roman" w:hAnsi="Times New Roman" w:cs="Times New Roman"/>
          <w:sz w:val="28"/>
          <w:szCs w:val="28"/>
          <w:lang w:val="uk-UA"/>
        </w:rPr>
        <w:t>Д</w:t>
      </w:r>
      <w:r w:rsidR="008E378C">
        <w:rPr>
          <w:rFonts w:ascii="Times New Roman" w:hAnsi="Times New Roman" w:cs="Times New Roman"/>
          <w:sz w:val="28"/>
          <w:szCs w:val="28"/>
          <w:lang w:val="uk-UA"/>
        </w:rPr>
        <w:t xml:space="preserve"> </w:t>
      </w:r>
      <w:r w:rsidR="00D90FB9">
        <w:rPr>
          <w:rFonts w:ascii="Times New Roman" w:hAnsi="Times New Roman" w:cs="Times New Roman"/>
          <w:sz w:val="28"/>
          <w:szCs w:val="28"/>
          <w:lang w:val="uk-UA"/>
        </w:rPr>
        <w:t>[</w:t>
      </w:r>
      <w:r w:rsidR="002C21DA">
        <w:rPr>
          <w:rFonts w:ascii="Times New Roman" w:hAnsi="Times New Roman" w:cs="Times New Roman"/>
          <w:sz w:val="28"/>
          <w:szCs w:val="28"/>
          <w:lang w:val="uk-UA"/>
        </w:rPr>
        <w:t>24</w:t>
      </w:r>
      <w:r w:rsidR="0029409B" w:rsidRPr="0029409B">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w:t>
      </w:r>
    </w:p>
    <w:p w:rsidR="0029409B" w:rsidRPr="0029409B" w:rsidRDefault="0029409B" w:rsidP="00B23C04">
      <w:pPr>
        <w:autoSpaceDE w:val="0"/>
        <w:autoSpaceDN w:val="0"/>
        <w:adjustRightInd w:val="0"/>
        <w:spacing w:after="0" w:line="360" w:lineRule="auto"/>
        <w:ind w:firstLine="708"/>
        <w:jc w:val="both"/>
        <w:rPr>
          <w:rFonts w:ascii="Times New Roman" w:hAnsi="Times New Roman" w:cs="Times New Roman"/>
          <w:sz w:val="28"/>
          <w:szCs w:val="28"/>
        </w:rPr>
      </w:pPr>
      <w:r w:rsidRPr="0029409B">
        <w:rPr>
          <w:rFonts w:ascii="Times New Roman" w:hAnsi="Times New Roman" w:cs="Times New Roman"/>
          <w:sz w:val="28"/>
          <w:szCs w:val="28"/>
          <w:lang w:val="uk-UA"/>
        </w:rPr>
        <w:t xml:space="preserve">Запалення відіграє </w:t>
      </w:r>
      <w:r w:rsidR="00D023E2">
        <w:rPr>
          <w:rFonts w:ascii="Times New Roman" w:hAnsi="Times New Roman" w:cs="Times New Roman"/>
          <w:sz w:val="28"/>
          <w:szCs w:val="28"/>
          <w:lang w:val="uk-UA"/>
        </w:rPr>
        <w:t>важливу</w:t>
      </w:r>
      <w:r w:rsidRPr="0029409B">
        <w:rPr>
          <w:rFonts w:ascii="Times New Roman" w:hAnsi="Times New Roman" w:cs="Times New Roman"/>
          <w:sz w:val="28"/>
          <w:szCs w:val="28"/>
          <w:lang w:val="uk-UA"/>
        </w:rPr>
        <w:t xml:space="preserve"> роль на різних етапах атерогенезу. Це відноситься до прикріплення та міграції лейкоцитів крізь ендотелій, що супроводжується пошкодженням су</w:t>
      </w:r>
      <w:r w:rsidR="00C16027">
        <w:rPr>
          <w:rFonts w:ascii="Times New Roman" w:hAnsi="Times New Roman" w:cs="Times New Roman"/>
          <w:sz w:val="28"/>
          <w:szCs w:val="28"/>
          <w:lang w:val="uk-UA"/>
        </w:rPr>
        <w:t>дин. Викид хемокінів та переміщення</w:t>
      </w:r>
      <w:r w:rsidRPr="0029409B">
        <w:rPr>
          <w:rFonts w:ascii="Times New Roman" w:hAnsi="Times New Roman" w:cs="Times New Roman"/>
          <w:sz w:val="28"/>
          <w:szCs w:val="28"/>
          <w:lang w:val="uk-UA"/>
        </w:rPr>
        <w:t xml:space="preserve"> моноцитів у «критичну» область атеросклеротичної бляшки, підвищення </w:t>
      </w:r>
      <w:r w:rsidR="0070547D">
        <w:rPr>
          <w:rFonts w:ascii="Times New Roman" w:hAnsi="Times New Roman" w:cs="Times New Roman"/>
          <w:sz w:val="28"/>
          <w:szCs w:val="28"/>
          <w:lang w:val="uk-UA"/>
        </w:rPr>
        <w:t xml:space="preserve">її схильності </w:t>
      </w:r>
      <w:r w:rsidRPr="0029409B">
        <w:rPr>
          <w:rFonts w:ascii="Times New Roman" w:hAnsi="Times New Roman" w:cs="Times New Roman"/>
          <w:sz w:val="28"/>
          <w:szCs w:val="28"/>
          <w:lang w:val="uk-UA"/>
        </w:rPr>
        <w:t>д</w:t>
      </w:r>
      <w:r w:rsidR="00BF084E">
        <w:rPr>
          <w:rFonts w:ascii="Times New Roman" w:hAnsi="Times New Roman" w:cs="Times New Roman"/>
          <w:sz w:val="28"/>
          <w:szCs w:val="28"/>
          <w:lang w:val="uk-UA"/>
        </w:rPr>
        <w:t>о руйнування під час запалення −</w:t>
      </w:r>
      <w:r w:rsidRPr="0029409B">
        <w:rPr>
          <w:rFonts w:ascii="Times New Roman" w:hAnsi="Times New Roman" w:cs="Times New Roman"/>
          <w:sz w:val="28"/>
          <w:szCs w:val="28"/>
          <w:lang w:val="uk-UA"/>
        </w:rPr>
        <w:t xml:space="preserve"> очевидні етапи процесу розвитку атеросклерозу. Цитокіни можуть стимулювати в гладком’язових клітинах експресію гена, що викликає руйнування колагену і розрив фіброзної бляшки. Вони підвищують вміст у крові таких маркерів запален</w:t>
      </w:r>
      <w:r w:rsidR="00771CCD">
        <w:rPr>
          <w:rFonts w:ascii="Times New Roman" w:hAnsi="Times New Roman" w:cs="Times New Roman"/>
          <w:sz w:val="28"/>
          <w:szCs w:val="28"/>
          <w:lang w:val="uk-UA"/>
        </w:rPr>
        <w:t>ня, як</w:t>
      </w:r>
      <w:r w:rsidR="00771CCD" w:rsidRPr="00771CCD">
        <w:rPr>
          <w:rFonts w:ascii="Times New Roman" w:hAnsi="Times New Roman" w:cs="Times New Roman"/>
          <w:sz w:val="28"/>
          <w:szCs w:val="28"/>
          <w:lang w:val="uk-UA"/>
        </w:rPr>
        <w:t xml:space="preserve"> </w:t>
      </w:r>
      <w:r w:rsidR="00D023E2">
        <w:rPr>
          <w:rFonts w:ascii="Times New Roman" w:hAnsi="Times New Roman" w:cs="Times New Roman"/>
          <w:sz w:val="28"/>
          <w:szCs w:val="28"/>
          <w:lang w:val="uk-UA"/>
        </w:rPr>
        <w:t>С-</w:t>
      </w:r>
      <w:r w:rsidRPr="0029409B">
        <w:rPr>
          <w:rFonts w:ascii="Times New Roman" w:hAnsi="Times New Roman" w:cs="Times New Roman"/>
          <w:sz w:val="28"/>
          <w:szCs w:val="28"/>
          <w:lang w:val="uk-UA"/>
        </w:rPr>
        <w:t>реактивний білок, активують коагуляцію і погіршують ліпідний профіль. В останні роки вважається, що ІР є незалежним чинником ризику розвитку атеросклерозу</w:t>
      </w:r>
      <w:r w:rsidR="00336778">
        <w:rPr>
          <w:rFonts w:ascii="Times New Roman" w:hAnsi="Times New Roman" w:cs="Times New Roman"/>
          <w:sz w:val="28"/>
          <w:szCs w:val="28"/>
        </w:rPr>
        <w:t xml:space="preserve"> [</w:t>
      </w:r>
      <w:r w:rsidR="002C21DA">
        <w:rPr>
          <w:rFonts w:ascii="Times New Roman" w:hAnsi="Times New Roman" w:cs="Times New Roman"/>
          <w:sz w:val="28"/>
          <w:szCs w:val="28"/>
          <w:lang w:val="uk-UA"/>
        </w:rPr>
        <w:t>30</w:t>
      </w:r>
      <w:r w:rsidRPr="0029409B">
        <w:rPr>
          <w:rFonts w:ascii="Times New Roman" w:hAnsi="Times New Roman" w:cs="Times New Roman"/>
          <w:sz w:val="28"/>
          <w:szCs w:val="28"/>
        </w:rPr>
        <w:t>].</w:t>
      </w:r>
    </w:p>
    <w:p w:rsidR="001225FC" w:rsidRPr="00A03291" w:rsidRDefault="000749C8" w:rsidP="00B23C0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4320F4">
        <w:rPr>
          <w:rFonts w:ascii="Times New Roman" w:hAnsi="Times New Roman" w:cs="Times New Roman"/>
          <w:sz w:val="28"/>
          <w:szCs w:val="28"/>
          <w:lang w:val="uk-UA"/>
        </w:rPr>
        <w:t>кисний стрес у</w:t>
      </w:r>
      <w:r w:rsidR="001225FC" w:rsidRPr="00A03291">
        <w:rPr>
          <w:rFonts w:ascii="Times New Roman" w:hAnsi="Times New Roman" w:cs="Times New Roman"/>
          <w:sz w:val="28"/>
          <w:szCs w:val="28"/>
          <w:lang w:val="uk-UA"/>
        </w:rPr>
        <w:t>наслідок гіперпродукції реактивних форм кисню;  посилення синтезу супероксид аніон</w:t>
      </w:r>
      <w:r w:rsidR="004320F4">
        <w:rPr>
          <w:rFonts w:ascii="Times New Roman" w:hAnsi="Times New Roman" w:cs="Times New Roman"/>
          <w:sz w:val="28"/>
          <w:szCs w:val="28"/>
          <w:lang w:val="uk-UA"/>
        </w:rPr>
        <w:t>а</w:t>
      </w:r>
      <w:r w:rsidR="001225FC" w:rsidRPr="00A03291">
        <w:rPr>
          <w:rFonts w:ascii="Times New Roman" w:hAnsi="Times New Roman" w:cs="Times New Roman"/>
          <w:sz w:val="28"/>
          <w:szCs w:val="28"/>
          <w:lang w:val="uk-UA"/>
        </w:rPr>
        <w:t xml:space="preserve"> в результаті глюкозо</w:t>
      </w:r>
      <w:r w:rsidR="00396208">
        <w:rPr>
          <w:rFonts w:ascii="Times New Roman" w:hAnsi="Times New Roman" w:cs="Times New Roman"/>
          <w:sz w:val="28"/>
          <w:szCs w:val="28"/>
          <w:lang w:val="uk-UA"/>
        </w:rPr>
        <w:t>-залежної</w:t>
      </w:r>
      <w:r w:rsidR="001225FC" w:rsidRPr="00A03291">
        <w:rPr>
          <w:rFonts w:ascii="Times New Roman" w:hAnsi="Times New Roman" w:cs="Times New Roman"/>
          <w:sz w:val="28"/>
          <w:szCs w:val="28"/>
          <w:lang w:val="uk-UA"/>
        </w:rPr>
        <w:t xml:space="preserve"> активації протеїнкінази С мітохонд</w:t>
      </w:r>
      <w:r w:rsidR="004320F4">
        <w:rPr>
          <w:rFonts w:ascii="Times New Roman" w:hAnsi="Times New Roman" w:cs="Times New Roman"/>
          <w:sz w:val="28"/>
          <w:szCs w:val="28"/>
          <w:lang w:val="uk-UA"/>
        </w:rPr>
        <w:t>рій; накопичення в</w:t>
      </w:r>
      <w:r w:rsidR="00396208">
        <w:rPr>
          <w:rFonts w:ascii="Times New Roman" w:hAnsi="Times New Roman" w:cs="Times New Roman"/>
          <w:sz w:val="28"/>
          <w:szCs w:val="28"/>
          <w:lang w:val="uk-UA"/>
        </w:rPr>
        <w:t xml:space="preserve"> стінці судин</w:t>
      </w:r>
      <w:r w:rsidR="001225FC" w:rsidRPr="00A03291">
        <w:rPr>
          <w:rFonts w:ascii="Times New Roman" w:hAnsi="Times New Roman" w:cs="Times New Roman"/>
          <w:sz w:val="28"/>
          <w:szCs w:val="28"/>
          <w:lang w:val="uk-UA"/>
        </w:rPr>
        <w:t xml:space="preserve"> кінцевих глікозильованих продуктів обмін</w:t>
      </w:r>
      <w:r w:rsidR="00396208">
        <w:rPr>
          <w:rFonts w:ascii="Times New Roman" w:hAnsi="Times New Roman" w:cs="Times New Roman"/>
          <w:sz w:val="28"/>
          <w:szCs w:val="28"/>
          <w:lang w:val="uk-UA"/>
        </w:rPr>
        <w:t>у; підвищене утворення ендотеліну</w:t>
      </w:r>
      <w:r w:rsidR="001225FC" w:rsidRPr="00A03291">
        <w:rPr>
          <w:rFonts w:ascii="Times New Roman" w:hAnsi="Times New Roman" w:cs="Times New Roman"/>
          <w:sz w:val="28"/>
          <w:szCs w:val="28"/>
          <w:lang w:val="uk-UA"/>
        </w:rPr>
        <w:t xml:space="preserve"> в умовах гіперінсулінемії, апоптоз гладк</w:t>
      </w:r>
      <w:r w:rsidR="00B23C04">
        <w:rPr>
          <w:rFonts w:ascii="Times New Roman" w:hAnsi="Times New Roman" w:cs="Times New Roman"/>
          <w:sz w:val="28"/>
          <w:szCs w:val="28"/>
          <w:lang w:val="uk-UA"/>
        </w:rPr>
        <w:t>ом</w:t>
      </w:r>
      <w:r w:rsidR="004320F4">
        <w:rPr>
          <w:rFonts w:ascii="Times New Roman" w:hAnsi="Times New Roman" w:cs="Times New Roman"/>
          <w:sz w:val="28"/>
          <w:szCs w:val="28"/>
          <w:lang w:val="uk-UA"/>
        </w:rPr>
        <w:t>’</w:t>
      </w:r>
      <w:r w:rsidR="00B23C04">
        <w:rPr>
          <w:rFonts w:ascii="Times New Roman" w:hAnsi="Times New Roman" w:cs="Times New Roman"/>
          <w:sz w:val="28"/>
          <w:szCs w:val="28"/>
          <w:lang w:val="uk-UA"/>
        </w:rPr>
        <w:t>язових клітин у стінці судин</w:t>
      </w:r>
      <w:r>
        <w:rPr>
          <w:rFonts w:ascii="Times New Roman" w:hAnsi="Times New Roman" w:cs="Times New Roman"/>
          <w:sz w:val="28"/>
          <w:szCs w:val="28"/>
          <w:lang w:val="uk-UA"/>
        </w:rPr>
        <w:t xml:space="preserve"> – це фактори, які </w:t>
      </w:r>
      <w:r w:rsidRPr="000749C8">
        <w:rPr>
          <w:rFonts w:ascii="Times New Roman" w:hAnsi="Times New Roman" w:cs="Times New Roman"/>
          <w:sz w:val="28"/>
          <w:szCs w:val="28"/>
          <w:lang w:val="uk-UA"/>
        </w:rPr>
        <w:t>сприяють</w:t>
      </w:r>
      <w:r>
        <w:rPr>
          <w:rFonts w:ascii="Times New Roman" w:hAnsi="Times New Roman" w:cs="Times New Roman"/>
          <w:sz w:val="28"/>
          <w:szCs w:val="28"/>
          <w:lang w:val="uk-UA"/>
        </w:rPr>
        <w:t xml:space="preserve"> </w:t>
      </w:r>
      <w:r w:rsidRPr="000749C8">
        <w:rPr>
          <w:rFonts w:ascii="Times New Roman" w:hAnsi="Times New Roman" w:cs="Times New Roman"/>
          <w:sz w:val="28"/>
          <w:szCs w:val="28"/>
          <w:lang w:val="uk-UA"/>
        </w:rPr>
        <w:t>розвитку атерогенезу</w:t>
      </w:r>
      <w:r>
        <w:rPr>
          <w:rFonts w:ascii="Times New Roman" w:hAnsi="Times New Roman" w:cs="Times New Roman"/>
          <w:sz w:val="28"/>
          <w:szCs w:val="28"/>
          <w:lang w:val="uk-UA"/>
        </w:rPr>
        <w:t xml:space="preserve"> та </w:t>
      </w:r>
      <w:r w:rsidR="001225FC" w:rsidRPr="00A03291">
        <w:rPr>
          <w:rFonts w:ascii="Times New Roman" w:hAnsi="Times New Roman" w:cs="Times New Roman"/>
          <w:sz w:val="28"/>
          <w:szCs w:val="28"/>
          <w:lang w:val="uk-UA"/>
        </w:rPr>
        <w:t xml:space="preserve">призводять до дифузної генералізованої дисфункції ендотелію, адгезії циркулюючих моноцитів </w:t>
      </w:r>
      <w:r w:rsidR="00A412C2" w:rsidRPr="00A412C2">
        <w:rPr>
          <w:rFonts w:ascii="Times New Roman" w:hAnsi="Times New Roman" w:cs="Times New Roman"/>
          <w:sz w:val="28"/>
          <w:szCs w:val="28"/>
        </w:rPr>
        <w:t xml:space="preserve">        </w:t>
      </w:r>
      <w:r w:rsidR="001225FC" w:rsidRPr="00A03291">
        <w:rPr>
          <w:rFonts w:ascii="Times New Roman" w:hAnsi="Times New Roman" w:cs="Times New Roman"/>
          <w:sz w:val="28"/>
          <w:szCs w:val="28"/>
          <w:lang w:val="uk-UA"/>
        </w:rPr>
        <w:lastRenderedPageBreak/>
        <w:t xml:space="preserve">до </w:t>
      </w:r>
      <w:r>
        <w:rPr>
          <w:rFonts w:ascii="Times New Roman" w:hAnsi="Times New Roman" w:cs="Times New Roman"/>
          <w:sz w:val="28"/>
          <w:szCs w:val="28"/>
          <w:lang w:val="uk-UA"/>
        </w:rPr>
        <w:t xml:space="preserve">нього </w:t>
      </w:r>
      <w:r w:rsidR="001225FC" w:rsidRPr="00A03291">
        <w:rPr>
          <w:rFonts w:ascii="Times New Roman" w:hAnsi="Times New Roman" w:cs="Times New Roman"/>
          <w:sz w:val="28"/>
          <w:szCs w:val="28"/>
          <w:lang w:val="uk-UA"/>
        </w:rPr>
        <w:t>і підвищеної схильності до тромбоутворення.</w:t>
      </w:r>
      <w:r w:rsidR="00B23C04">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Таким чином, умови для формування нестабільних атеросклеро</w:t>
      </w:r>
      <w:r w:rsidR="004320F4">
        <w:rPr>
          <w:rFonts w:ascii="Times New Roman" w:hAnsi="Times New Roman" w:cs="Times New Roman"/>
          <w:sz w:val="28"/>
          <w:szCs w:val="28"/>
          <w:lang w:val="uk-UA"/>
        </w:rPr>
        <w:t>тичних бляшок зі зниженим у</w:t>
      </w:r>
      <w:r w:rsidR="001225FC" w:rsidRPr="00A03291">
        <w:rPr>
          <w:rFonts w:ascii="Times New Roman" w:hAnsi="Times New Roman" w:cs="Times New Roman"/>
          <w:sz w:val="28"/>
          <w:szCs w:val="28"/>
          <w:lang w:val="uk-UA"/>
        </w:rPr>
        <w:t>містом гладком</w:t>
      </w:r>
      <w:r w:rsidR="005C6906">
        <w:rPr>
          <w:rFonts w:ascii="Times New Roman" w:hAnsi="Times New Roman" w:cs="Times New Roman"/>
          <w:sz w:val="28"/>
          <w:szCs w:val="28"/>
          <w:lang w:val="uk-UA"/>
        </w:rPr>
        <w:t>ʼ</w:t>
      </w:r>
      <w:r w:rsidR="004320F4">
        <w:rPr>
          <w:rFonts w:ascii="Times New Roman" w:hAnsi="Times New Roman" w:cs="Times New Roman"/>
          <w:sz w:val="28"/>
          <w:szCs w:val="28"/>
          <w:lang w:val="uk-UA"/>
        </w:rPr>
        <w:t>язових клітин і підвищеним у</w:t>
      </w:r>
      <w:r w:rsidR="001225FC" w:rsidRPr="00A03291">
        <w:rPr>
          <w:rFonts w:ascii="Times New Roman" w:hAnsi="Times New Roman" w:cs="Times New Roman"/>
          <w:sz w:val="28"/>
          <w:szCs w:val="28"/>
          <w:lang w:val="uk-UA"/>
        </w:rPr>
        <w:t>містом у них активних макрофагів («пінистих клітин»), Т-лімфоцитів і великим ексцентрично роз</w:t>
      </w:r>
      <w:r w:rsidR="004320F4">
        <w:rPr>
          <w:rFonts w:ascii="Times New Roman" w:hAnsi="Times New Roman" w:cs="Times New Roman"/>
          <w:sz w:val="28"/>
          <w:szCs w:val="28"/>
          <w:lang w:val="uk-UA"/>
        </w:rPr>
        <w:t>міще</w:t>
      </w:r>
      <w:r w:rsidR="001225FC" w:rsidRPr="00A03291">
        <w:rPr>
          <w:rFonts w:ascii="Times New Roman" w:hAnsi="Times New Roman" w:cs="Times New Roman"/>
          <w:sz w:val="28"/>
          <w:szCs w:val="28"/>
          <w:lang w:val="uk-UA"/>
        </w:rPr>
        <w:t xml:space="preserve">ним ліпідним ядром під тонкою </w:t>
      </w:r>
      <w:r w:rsidR="006263DE">
        <w:rPr>
          <w:rFonts w:ascii="Times New Roman" w:hAnsi="Times New Roman" w:cs="Times New Roman"/>
          <w:sz w:val="28"/>
          <w:szCs w:val="28"/>
          <w:lang w:val="uk-UA"/>
        </w:rPr>
        <w:t>пухк</w:t>
      </w:r>
      <w:r w:rsidR="001225FC" w:rsidRPr="00A03291">
        <w:rPr>
          <w:rFonts w:ascii="Times New Roman" w:hAnsi="Times New Roman" w:cs="Times New Roman"/>
          <w:sz w:val="28"/>
          <w:szCs w:val="28"/>
          <w:lang w:val="uk-UA"/>
        </w:rPr>
        <w:t>ою фіброзною оболонкою, схильною до розриву</w:t>
      </w:r>
      <w:r>
        <w:rPr>
          <w:rFonts w:ascii="Times New Roman" w:hAnsi="Times New Roman" w:cs="Times New Roman"/>
          <w:sz w:val="28"/>
          <w:szCs w:val="28"/>
          <w:lang w:val="uk-UA"/>
        </w:rPr>
        <w:t>, створюються у хворих на ЦД</w:t>
      </w:r>
      <w:r w:rsidR="001225FC" w:rsidRPr="00A03291">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1225FC" w:rsidRPr="00A03291">
        <w:rPr>
          <w:rFonts w:ascii="Times New Roman" w:hAnsi="Times New Roman" w:cs="Times New Roman"/>
          <w:sz w:val="28"/>
          <w:szCs w:val="28"/>
          <w:lang w:val="uk-UA"/>
        </w:rPr>
        <w:t xml:space="preserve">озвиток ССУ </w:t>
      </w:r>
      <w:r w:rsidR="00A412C2" w:rsidRPr="00A412C2">
        <w:rPr>
          <w:rFonts w:ascii="Times New Roman" w:hAnsi="Times New Roman" w:cs="Times New Roman"/>
          <w:sz w:val="28"/>
          <w:szCs w:val="28"/>
        </w:rPr>
        <w:t xml:space="preserve">               </w:t>
      </w:r>
      <w:r>
        <w:rPr>
          <w:rFonts w:ascii="Times New Roman" w:hAnsi="Times New Roman" w:cs="Times New Roman"/>
          <w:sz w:val="28"/>
          <w:szCs w:val="28"/>
          <w:lang w:val="uk-UA"/>
        </w:rPr>
        <w:t xml:space="preserve">за наявності ЦД є наслідком </w:t>
      </w:r>
      <w:r w:rsidRPr="000749C8">
        <w:rPr>
          <w:rFonts w:ascii="Times New Roman" w:hAnsi="Times New Roman" w:cs="Times New Roman"/>
          <w:sz w:val="28"/>
          <w:szCs w:val="28"/>
          <w:lang w:val="uk-UA"/>
        </w:rPr>
        <w:t xml:space="preserve">дестабілізації такого роду бляшок </w:t>
      </w:r>
      <w:r w:rsidR="00B23C04">
        <w:rPr>
          <w:rFonts w:ascii="Times New Roman" w:hAnsi="Times New Roman" w:cs="Times New Roman"/>
          <w:sz w:val="28"/>
          <w:szCs w:val="28"/>
          <w:lang w:val="uk-UA"/>
        </w:rPr>
        <w:t>[</w:t>
      </w:r>
      <w:r w:rsidR="002C21DA">
        <w:rPr>
          <w:rFonts w:ascii="Times New Roman" w:hAnsi="Times New Roman" w:cs="Times New Roman"/>
          <w:sz w:val="28"/>
          <w:szCs w:val="28"/>
          <w:lang w:val="uk-UA"/>
        </w:rPr>
        <w:t>24</w:t>
      </w:r>
      <w:r w:rsidR="001225FC" w:rsidRPr="00A03291">
        <w:rPr>
          <w:rFonts w:ascii="Times New Roman" w:hAnsi="Times New Roman" w:cs="Times New Roman"/>
          <w:sz w:val="28"/>
          <w:szCs w:val="28"/>
          <w:lang w:val="uk-UA"/>
        </w:rPr>
        <w:t>].</w:t>
      </w:r>
    </w:p>
    <w:p w:rsidR="001225FC" w:rsidRPr="00A03291" w:rsidRDefault="001225FC" w:rsidP="00193EE0">
      <w:pPr>
        <w:autoSpaceDE w:val="0"/>
        <w:autoSpaceDN w:val="0"/>
        <w:adjustRightInd w:val="0"/>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Атерогенна дисліпідемія </w:t>
      </w:r>
      <w:r w:rsidR="00D24B0C">
        <w:rPr>
          <w:rFonts w:ascii="Times New Roman" w:hAnsi="Times New Roman" w:cs="Times New Roman"/>
          <w:sz w:val="28"/>
          <w:szCs w:val="28"/>
          <w:lang w:val="uk-UA"/>
        </w:rPr>
        <w:t>вважається фактором ризику розвитку ССУ</w:t>
      </w:r>
      <w:r w:rsidR="00E302D9">
        <w:rPr>
          <w:rFonts w:ascii="Times New Roman" w:hAnsi="Times New Roman" w:cs="Times New Roman"/>
          <w:sz w:val="28"/>
          <w:szCs w:val="28"/>
          <w:lang w:val="uk-UA"/>
        </w:rPr>
        <w:t xml:space="preserve"> </w:t>
      </w:r>
      <w:r w:rsidR="00A412C2" w:rsidRPr="00A412C2">
        <w:rPr>
          <w:rFonts w:ascii="Times New Roman" w:hAnsi="Times New Roman" w:cs="Times New Roman"/>
          <w:sz w:val="28"/>
          <w:szCs w:val="28"/>
          <w:lang w:val="uk-UA"/>
        </w:rPr>
        <w:t xml:space="preserve">    </w:t>
      </w:r>
      <w:r w:rsidR="00E302D9">
        <w:rPr>
          <w:rFonts w:ascii="Times New Roman" w:hAnsi="Times New Roman" w:cs="Times New Roman"/>
          <w:sz w:val="28"/>
          <w:szCs w:val="28"/>
          <w:lang w:val="uk-UA"/>
        </w:rPr>
        <w:t xml:space="preserve">у пацієнтів із </w:t>
      </w:r>
      <w:r w:rsidR="00E302D9">
        <w:rPr>
          <w:rFonts w:ascii="Times New Roman" w:hAnsi="Times New Roman" w:cs="Times New Roman"/>
          <w:sz w:val="28"/>
          <w:szCs w:val="28"/>
          <w:lang w:val="en-US"/>
        </w:rPr>
        <w:t>CC</w:t>
      </w:r>
      <w:r w:rsidR="00E302D9">
        <w:rPr>
          <w:rFonts w:ascii="Times New Roman" w:hAnsi="Times New Roman" w:cs="Times New Roman"/>
          <w:sz w:val="28"/>
          <w:szCs w:val="28"/>
          <w:lang w:val="uk-UA"/>
        </w:rPr>
        <w:t>З за наявності метаболічних порушень</w:t>
      </w:r>
      <w:r w:rsidR="00D24B0C">
        <w:rPr>
          <w:rFonts w:ascii="Times New Roman" w:hAnsi="Times New Roman" w:cs="Times New Roman"/>
          <w:sz w:val="28"/>
          <w:szCs w:val="28"/>
          <w:lang w:val="uk-UA"/>
        </w:rPr>
        <w:t xml:space="preserve"> і </w:t>
      </w:r>
      <w:r w:rsidRPr="00A03291">
        <w:rPr>
          <w:rFonts w:ascii="Times New Roman" w:hAnsi="Times New Roman" w:cs="Times New Roman"/>
          <w:sz w:val="28"/>
          <w:szCs w:val="28"/>
          <w:lang w:val="uk-UA"/>
        </w:rPr>
        <w:t xml:space="preserve">характеризується підвищенням  </w:t>
      </w:r>
      <w:r w:rsidR="000749C8">
        <w:rPr>
          <w:rFonts w:ascii="Times New Roman" w:hAnsi="Times New Roman" w:cs="Times New Roman"/>
          <w:sz w:val="28"/>
          <w:szCs w:val="28"/>
          <w:lang w:val="uk-UA"/>
        </w:rPr>
        <w:t xml:space="preserve">вмісту </w:t>
      </w:r>
      <w:r w:rsidRPr="00A03291">
        <w:rPr>
          <w:rFonts w:ascii="Times New Roman" w:hAnsi="Times New Roman" w:cs="Times New Roman"/>
          <w:sz w:val="28"/>
          <w:szCs w:val="28"/>
          <w:lang w:val="uk-UA"/>
        </w:rPr>
        <w:t>ХС Л</w:t>
      </w:r>
      <w:r w:rsidR="00E302D9">
        <w:rPr>
          <w:rFonts w:ascii="Times New Roman" w:hAnsi="Times New Roman" w:cs="Times New Roman"/>
          <w:sz w:val="28"/>
          <w:szCs w:val="28"/>
          <w:lang w:val="uk-UA"/>
        </w:rPr>
        <w:t xml:space="preserve">ПНЩ, </w:t>
      </w:r>
      <w:r w:rsidR="001E1491">
        <w:rPr>
          <w:rFonts w:ascii="Times New Roman" w:hAnsi="Times New Roman" w:cs="Times New Roman"/>
          <w:sz w:val="28"/>
          <w:szCs w:val="28"/>
          <w:lang w:val="uk-UA"/>
        </w:rPr>
        <w:t xml:space="preserve">ТГ та зниженням </w:t>
      </w:r>
      <w:r w:rsidR="000749C8">
        <w:rPr>
          <w:rFonts w:ascii="Times New Roman" w:hAnsi="Times New Roman" w:cs="Times New Roman"/>
          <w:sz w:val="28"/>
          <w:szCs w:val="28"/>
          <w:lang w:val="uk-UA"/>
        </w:rPr>
        <w:t xml:space="preserve">вмісту </w:t>
      </w:r>
      <w:r w:rsidR="001E1491">
        <w:rPr>
          <w:rFonts w:ascii="Times New Roman" w:hAnsi="Times New Roman" w:cs="Times New Roman"/>
          <w:sz w:val="28"/>
          <w:szCs w:val="28"/>
          <w:lang w:val="uk-UA"/>
        </w:rPr>
        <w:t xml:space="preserve">ХС ЛПВЩ </w:t>
      </w:r>
      <w:r w:rsidR="00B23C04">
        <w:rPr>
          <w:rFonts w:ascii="Times New Roman" w:hAnsi="Times New Roman" w:cs="Times New Roman"/>
          <w:sz w:val="28"/>
          <w:szCs w:val="28"/>
          <w:lang w:val="uk-UA"/>
        </w:rPr>
        <w:t>[</w:t>
      </w:r>
      <w:r w:rsidR="002C21DA">
        <w:rPr>
          <w:rFonts w:ascii="Times New Roman" w:hAnsi="Times New Roman" w:cs="Times New Roman"/>
          <w:sz w:val="28"/>
          <w:szCs w:val="28"/>
          <w:lang w:val="uk-UA"/>
        </w:rPr>
        <w:t>31</w:t>
      </w:r>
      <w:r w:rsidR="00193EE0">
        <w:rPr>
          <w:rFonts w:ascii="Times New Roman" w:hAnsi="Times New Roman" w:cs="Times New Roman"/>
          <w:sz w:val="28"/>
          <w:szCs w:val="28"/>
          <w:lang w:val="uk-UA"/>
        </w:rPr>
        <w:t xml:space="preserve">]. </w:t>
      </w:r>
    </w:p>
    <w:p w:rsidR="001225FC" w:rsidRPr="00A03291" w:rsidRDefault="000749C8" w:rsidP="00F27A8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225FC" w:rsidRPr="00A03291">
        <w:rPr>
          <w:rFonts w:ascii="Times New Roman" w:hAnsi="Times New Roman" w:cs="Times New Roman"/>
          <w:sz w:val="28"/>
          <w:szCs w:val="28"/>
          <w:lang w:val="uk-UA"/>
        </w:rPr>
        <w:t xml:space="preserve">изька чутливість вісцеральної жирової тканини до антиліполітичної дії інсуліну, що </w:t>
      </w:r>
      <w:r w:rsidR="00132941">
        <w:rPr>
          <w:rFonts w:ascii="Times New Roman" w:hAnsi="Times New Roman" w:cs="Times New Roman"/>
          <w:sz w:val="28"/>
          <w:szCs w:val="28"/>
          <w:lang w:val="uk-UA"/>
        </w:rPr>
        <w:t>призводить</w:t>
      </w:r>
      <w:r w:rsidR="001225FC" w:rsidRPr="00A03291">
        <w:rPr>
          <w:rFonts w:ascii="Times New Roman" w:hAnsi="Times New Roman" w:cs="Times New Roman"/>
          <w:sz w:val="28"/>
          <w:szCs w:val="28"/>
          <w:lang w:val="uk-UA"/>
        </w:rPr>
        <w:t xml:space="preserve"> до підвищеного ліполізу, надходження великої кількості віл</w:t>
      </w:r>
      <w:r w:rsidR="00132941">
        <w:rPr>
          <w:rFonts w:ascii="Times New Roman" w:hAnsi="Times New Roman" w:cs="Times New Roman"/>
          <w:sz w:val="28"/>
          <w:szCs w:val="28"/>
          <w:lang w:val="uk-UA"/>
        </w:rPr>
        <w:t xml:space="preserve">ьних </w:t>
      </w:r>
      <w:r w:rsidR="00AF217A">
        <w:rPr>
          <w:rFonts w:ascii="Times New Roman" w:hAnsi="Times New Roman" w:cs="Times New Roman"/>
          <w:sz w:val="28"/>
          <w:szCs w:val="28"/>
          <w:lang w:val="uk-UA"/>
        </w:rPr>
        <w:t xml:space="preserve">жирних кислот </w:t>
      </w:r>
      <w:r w:rsidR="000453ED">
        <w:rPr>
          <w:rFonts w:ascii="Times New Roman" w:hAnsi="Times New Roman" w:cs="Times New Roman"/>
          <w:sz w:val="28"/>
          <w:szCs w:val="28"/>
          <w:lang w:val="uk-UA"/>
        </w:rPr>
        <w:t xml:space="preserve">у портальний кровотік </w:t>
      </w:r>
      <w:r w:rsidR="00A412C2">
        <w:rPr>
          <w:rFonts w:ascii="Times New Roman" w:hAnsi="Times New Roman" w:cs="Times New Roman"/>
          <w:sz w:val="28"/>
          <w:szCs w:val="28"/>
          <w:lang w:val="uk-UA"/>
        </w:rPr>
        <w:t>у</w:t>
      </w:r>
      <w:r w:rsidR="001225FC" w:rsidRPr="00A03291">
        <w:rPr>
          <w:rFonts w:ascii="Times New Roman" w:hAnsi="Times New Roman" w:cs="Times New Roman"/>
          <w:sz w:val="28"/>
          <w:szCs w:val="28"/>
          <w:lang w:val="uk-UA"/>
        </w:rPr>
        <w:t xml:space="preserve"> </w:t>
      </w:r>
      <w:r w:rsidR="00132941">
        <w:rPr>
          <w:rFonts w:ascii="Times New Roman" w:hAnsi="Times New Roman" w:cs="Times New Roman"/>
          <w:sz w:val="28"/>
          <w:szCs w:val="28"/>
          <w:lang w:val="uk-UA"/>
        </w:rPr>
        <w:t xml:space="preserve">поєднанні </w:t>
      </w:r>
      <w:r w:rsidR="00A412C2">
        <w:rPr>
          <w:rFonts w:ascii="Times New Roman" w:hAnsi="Times New Roman" w:cs="Times New Roman"/>
          <w:sz w:val="28"/>
          <w:szCs w:val="28"/>
          <w:lang w:val="uk-UA"/>
        </w:rPr>
        <w:t xml:space="preserve">               </w:t>
      </w:r>
      <w:r w:rsidR="00132941">
        <w:rPr>
          <w:rFonts w:ascii="Times New Roman" w:hAnsi="Times New Roman" w:cs="Times New Roman"/>
          <w:sz w:val="28"/>
          <w:szCs w:val="28"/>
          <w:lang w:val="uk-UA"/>
        </w:rPr>
        <w:t>з гіперінсулінемією − підвищення</w:t>
      </w:r>
      <w:r w:rsidR="001225FC" w:rsidRPr="00A03291">
        <w:rPr>
          <w:rFonts w:ascii="Times New Roman" w:hAnsi="Times New Roman" w:cs="Times New Roman"/>
          <w:sz w:val="28"/>
          <w:szCs w:val="28"/>
          <w:lang w:val="uk-UA"/>
        </w:rPr>
        <w:t xml:space="preserve"> синтезу ТГ та</w:t>
      </w:r>
      <w:r w:rsidR="00B23C04">
        <w:rPr>
          <w:rFonts w:ascii="Times New Roman" w:hAnsi="Times New Roman" w:cs="Times New Roman"/>
          <w:sz w:val="28"/>
          <w:szCs w:val="28"/>
          <w:lang w:val="uk-UA"/>
        </w:rPr>
        <w:t xml:space="preserve"> ЛПДНЩ печінкою</w:t>
      </w:r>
      <w:r>
        <w:rPr>
          <w:rFonts w:ascii="Times New Roman" w:hAnsi="Times New Roman" w:cs="Times New Roman"/>
          <w:sz w:val="28"/>
          <w:szCs w:val="28"/>
          <w:lang w:val="uk-UA"/>
        </w:rPr>
        <w:t xml:space="preserve"> є основною </w:t>
      </w:r>
      <w:r w:rsidRPr="000749C8">
        <w:rPr>
          <w:rFonts w:ascii="Times New Roman" w:hAnsi="Times New Roman" w:cs="Times New Roman"/>
          <w:sz w:val="28"/>
          <w:szCs w:val="28"/>
          <w:lang w:val="uk-UA"/>
        </w:rPr>
        <w:t>причиною гіпертригліцеридемії при ЦД</w:t>
      </w:r>
      <w:r w:rsidR="00B23C04">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32</w:t>
      </w:r>
      <w:r w:rsidR="00E061D4" w:rsidRPr="00E545B1">
        <w:rPr>
          <w:rFonts w:ascii="Times New Roman" w:hAnsi="Times New Roman" w:cs="Times New Roman"/>
          <w:sz w:val="28"/>
          <w:szCs w:val="28"/>
          <w:lang w:val="uk-UA"/>
        </w:rPr>
        <w:t>]</w:t>
      </w:r>
      <w:r w:rsidR="00E545B1" w:rsidRPr="00E545B1">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У свою чер</w:t>
      </w:r>
      <w:r w:rsidR="00132941">
        <w:rPr>
          <w:rFonts w:ascii="Times New Roman" w:hAnsi="Times New Roman" w:cs="Times New Roman"/>
          <w:sz w:val="28"/>
          <w:szCs w:val="28"/>
          <w:lang w:val="uk-UA"/>
        </w:rPr>
        <w:t>гу, глікування та</w:t>
      </w:r>
      <w:r w:rsidR="001225FC" w:rsidRPr="00A03291">
        <w:rPr>
          <w:rFonts w:ascii="Times New Roman" w:hAnsi="Times New Roman" w:cs="Times New Roman"/>
          <w:sz w:val="28"/>
          <w:szCs w:val="28"/>
          <w:lang w:val="uk-UA"/>
        </w:rPr>
        <w:t xml:space="preserve"> окиснення </w:t>
      </w:r>
      <w:r>
        <w:rPr>
          <w:rFonts w:ascii="Times New Roman" w:hAnsi="Times New Roman" w:cs="Times New Roman"/>
          <w:sz w:val="28"/>
          <w:szCs w:val="28"/>
          <w:lang w:val="uk-UA"/>
        </w:rPr>
        <w:t xml:space="preserve">ХС </w:t>
      </w:r>
      <w:r w:rsidR="001225FC" w:rsidRPr="00A03291">
        <w:rPr>
          <w:rFonts w:ascii="Times New Roman" w:hAnsi="Times New Roman" w:cs="Times New Roman"/>
          <w:sz w:val="28"/>
          <w:szCs w:val="28"/>
          <w:lang w:val="uk-UA"/>
        </w:rPr>
        <w:t xml:space="preserve">ЛПВЩ також </w:t>
      </w:r>
      <w:r w:rsidR="00E72BCB">
        <w:rPr>
          <w:rFonts w:ascii="Times New Roman" w:hAnsi="Times New Roman" w:cs="Times New Roman"/>
          <w:sz w:val="28"/>
          <w:szCs w:val="28"/>
          <w:lang w:val="uk-UA"/>
        </w:rPr>
        <w:t>призводять</w:t>
      </w:r>
      <w:r w:rsidR="001225FC" w:rsidRPr="00A03291">
        <w:rPr>
          <w:rFonts w:ascii="Times New Roman" w:hAnsi="Times New Roman" w:cs="Times New Roman"/>
          <w:sz w:val="28"/>
          <w:szCs w:val="28"/>
          <w:lang w:val="uk-UA"/>
        </w:rPr>
        <w:t xml:space="preserve"> до зниження ї</w:t>
      </w:r>
      <w:r w:rsidR="00193EE0">
        <w:rPr>
          <w:rFonts w:ascii="Times New Roman" w:hAnsi="Times New Roman" w:cs="Times New Roman"/>
          <w:sz w:val="28"/>
          <w:szCs w:val="28"/>
          <w:lang w:val="uk-UA"/>
        </w:rPr>
        <w:t>х антиатерогенних властивостей</w:t>
      </w:r>
      <w:r w:rsidR="00B23C04">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24</w:t>
      </w:r>
      <w:r w:rsidR="001225FC" w:rsidRPr="008E3A67">
        <w:rPr>
          <w:rFonts w:ascii="Times New Roman" w:hAnsi="Times New Roman" w:cs="Times New Roman"/>
          <w:sz w:val="28"/>
          <w:szCs w:val="28"/>
          <w:lang w:val="uk-UA"/>
        </w:rPr>
        <w:t>]</w:t>
      </w:r>
      <w:r w:rsidR="00B23C04" w:rsidRPr="00B23C04">
        <w:rPr>
          <w:rFonts w:ascii="Times New Roman" w:hAnsi="Times New Roman" w:cs="Times New Roman"/>
          <w:sz w:val="28"/>
          <w:szCs w:val="28"/>
          <w:lang w:val="uk-UA"/>
        </w:rPr>
        <w:t>.</w:t>
      </w:r>
    </w:p>
    <w:p w:rsidR="001225FC" w:rsidRPr="00A03291" w:rsidRDefault="00FD40CB" w:rsidP="001225F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302D9">
        <w:rPr>
          <w:rFonts w:ascii="Times New Roman" w:hAnsi="Times New Roman" w:cs="Times New Roman"/>
          <w:sz w:val="28"/>
          <w:szCs w:val="28"/>
          <w:lang w:val="uk-UA"/>
        </w:rPr>
        <w:t xml:space="preserve">роведення </w:t>
      </w:r>
      <w:r w:rsidR="001225FC" w:rsidRPr="00A03291">
        <w:rPr>
          <w:rFonts w:ascii="Times New Roman" w:hAnsi="Times New Roman" w:cs="Times New Roman"/>
          <w:sz w:val="28"/>
          <w:szCs w:val="28"/>
          <w:lang w:val="uk-UA"/>
        </w:rPr>
        <w:t>ак</w:t>
      </w:r>
      <w:r w:rsidR="00E302D9">
        <w:rPr>
          <w:rFonts w:ascii="Times New Roman" w:hAnsi="Times New Roman" w:cs="Times New Roman"/>
          <w:sz w:val="28"/>
          <w:szCs w:val="28"/>
          <w:lang w:val="uk-UA"/>
        </w:rPr>
        <w:t>тивної гіполіпідемічної терапії</w:t>
      </w:r>
      <w:r>
        <w:rPr>
          <w:rFonts w:ascii="Times New Roman" w:hAnsi="Times New Roman" w:cs="Times New Roman"/>
          <w:sz w:val="28"/>
          <w:szCs w:val="28"/>
          <w:lang w:val="uk-UA"/>
        </w:rPr>
        <w:t xml:space="preserve"> є </w:t>
      </w:r>
      <w:r w:rsidRPr="00FD40CB">
        <w:rPr>
          <w:rFonts w:ascii="Times New Roman" w:hAnsi="Times New Roman" w:cs="Times New Roman"/>
          <w:sz w:val="28"/>
          <w:szCs w:val="28"/>
          <w:lang w:val="uk-UA"/>
        </w:rPr>
        <w:t>необхідним</w:t>
      </w:r>
      <w:r w:rsidR="00E302D9">
        <w:rPr>
          <w:rFonts w:ascii="Times New Roman" w:hAnsi="Times New Roman" w:cs="Times New Roman"/>
          <w:sz w:val="28"/>
          <w:szCs w:val="28"/>
          <w:lang w:val="uk-UA"/>
        </w:rPr>
        <w:t xml:space="preserve"> навіть </w:t>
      </w:r>
      <w:r w:rsidR="00FD1B5E" w:rsidRPr="00FD1B5E">
        <w:rPr>
          <w:rFonts w:ascii="Times New Roman" w:hAnsi="Times New Roman" w:cs="Times New Roman"/>
          <w:sz w:val="28"/>
          <w:szCs w:val="28"/>
          <w:lang w:val="uk-UA"/>
        </w:rPr>
        <w:t xml:space="preserve">       </w:t>
      </w:r>
      <w:r w:rsidR="00E302D9">
        <w:rPr>
          <w:rFonts w:ascii="Times New Roman" w:hAnsi="Times New Roman" w:cs="Times New Roman"/>
          <w:sz w:val="28"/>
          <w:szCs w:val="28"/>
          <w:lang w:val="uk-UA"/>
        </w:rPr>
        <w:t xml:space="preserve">за наявності </w:t>
      </w:r>
      <w:r w:rsidR="00E302D9" w:rsidRPr="00E302D9">
        <w:rPr>
          <w:rFonts w:ascii="Times New Roman" w:hAnsi="Times New Roman" w:cs="Times New Roman"/>
          <w:sz w:val="28"/>
          <w:szCs w:val="28"/>
          <w:lang w:val="uk-UA"/>
        </w:rPr>
        <w:t>нормальних значень ХС ЛПНЩ</w:t>
      </w:r>
      <w:r>
        <w:rPr>
          <w:rFonts w:ascii="Times New Roman" w:hAnsi="Times New Roman" w:cs="Times New Roman"/>
          <w:sz w:val="28"/>
          <w:szCs w:val="28"/>
          <w:lang w:val="uk-UA"/>
        </w:rPr>
        <w:t xml:space="preserve"> у </w:t>
      </w:r>
      <w:r w:rsidRPr="00FD40CB">
        <w:rPr>
          <w:rFonts w:ascii="Times New Roman" w:hAnsi="Times New Roman" w:cs="Times New Roman"/>
          <w:sz w:val="28"/>
          <w:szCs w:val="28"/>
          <w:lang w:val="uk-UA"/>
        </w:rPr>
        <w:t>пацієнтів із ЦД 2-го типу</w:t>
      </w:r>
      <w:r w:rsidR="001225FC" w:rsidRPr="00A03291">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33</w:t>
      </w:r>
      <w:r w:rsidR="001225FC" w:rsidRPr="009E4221">
        <w:rPr>
          <w:rFonts w:ascii="Times New Roman" w:hAnsi="Times New Roman" w:cs="Times New Roman"/>
          <w:sz w:val="28"/>
          <w:szCs w:val="28"/>
          <w:lang w:val="uk-UA"/>
        </w:rPr>
        <w:t>].</w:t>
      </w:r>
    </w:p>
    <w:p w:rsidR="001225FC" w:rsidRPr="00A03291" w:rsidRDefault="001225FC" w:rsidP="00D11A88">
      <w:pPr>
        <w:autoSpaceDE w:val="0"/>
        <w:autoSpaceDN w:val="0"/>
        <w:adjustRightInd w:val="0"/>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Хронічна гіперглікемія, гіперліпідемія та гіперінсулінемія сприяють розвитку </w:t>
      </w:r>
      <w:r w:rsidR="00DE7F0D">
        <w:rPr>
          <w:rFonts w:ascii="Times New Roman" w:hAnsi="Times New Roman" w:cs="Times New Roman"/>
          <w:sz w:val="28"/>
          <w:szCs w:val="28"/>
          <w:lang w:val="uk-UA"/>
        </w:rPr>
        <w:t>ЕД</w:t>
      </w:r>
      <w:r w:rsidR="00FD40CB">
        <w:rPr>
          <w:rFonts w:ascii="Times New Roman" w:hAnsi="Times New Roman" w:cs="Times New Roman"/>
          <w:sz w:val="28"/>
          <w:szCs w:val="28"/>
          <w:lang w:val="uk-UA"/>
        </w:rPr>
        <w:t>, корекція якої</w:t>
      </w:r>
      <w:r w:rsidR="00485AFA">
        <w:rPr>
          <w:rFonts w:ascii="Times New Roman" w:hAnsi="Times New Roman" w:cs="Times New Roman"/>
          <w:sz w:val="28"/>
          <w:szCs w:val="28"/>
          <w:lang w:val="uk-UA"/>
        </w:rPr>
        <w:t xml:space="preserve"> є необхідним компонентом профілактики ССУ </w:t>
      </w:r>
      <w:r w:rsidR="00FD1B5E" w:rsidRPr="00FD1B5E">
        <w:rPr>
          <w:rFonts w:ascii="Times New Roman" w:hAnsi="Times New Roman" w:cs="Times New Roman"/>
          <w:sz w:val="28"/>
          <w:szCs w:val="28"/>
          <w:lang w:val="uk-UA"/>
        </w:rPr>
        <w:t xml:space="preserve">     </w:t>
      </w:r>
      <w:r w:rsidR="00FD40CB">
        <w:rPr>
          <w:rFonts w:ascii="Times New Roman" w:hAnsi="Times New Roman" w:cs="Times New Roman"/>
          <w:sz w:val="28"/>
          <w:szCs w:val="28"/>
          <w:lang w:val="uk-UA"/>
        </w:rPr>
        <w:t xml:space="preserve">у хворих на ЦД 2-го типу </w:t>
      </w:r>
      <w:r w:rsidRPr="00D11A88">
        <w:rPr>
          <w:rFonts w:ascii="Times New Roman" w:hAnsi="Times New Roman" w:cs="Times New Roman"/>
          <w:sz w:val="28"/>
          <w:szCs w:val="28"/>
          <w:lang w:val="uk-UA"/>
        </w:rPr>
        <w:t>[</w:t>
      </w:r>
      <w:r w:rsidR="002C21DA">
        <w:rPr>
          <w:rFonts w:ascii="Times New Roman" w:hAnsi="Times New Roman" w:cs="Times New Roman"/>
          <w:sz w:val="28"/>
          <w:szCs w:val="28"/>
          <w:lang w:val="uk-UA"/>
        </w:rPr>
        <w:t>34</w:t>
      </w:r>
      <w:r w:rsidRPr="00D11A88">
        <w:rPr>
          <w:rFonts w:ascii="Times New Roman" w:hAnsi="Times New Roman" w:cs="Times New Roman"/>
          <w:sz w:val="28"/>
          <w:szCs w:val="28"/>
          <w:lang w:val="uk-UA"/>
        </w:rPr>
        <w:t>]</w:t>
      </w:r>
      <w:r w:rsidR="00B23C04" w:rsidRPr="00D11A88">
        <w:rPr>
          <w:rFonts w:ascii="Times New Roman" w:hAnsi="Times New Roman" w:cs="Times New Roman"/>
          <w:sz w:val="28"/>
          <w:szCs w:val="28"/>
          <w:lang w:val="uk-UA"/>
        </w:rPr>
        <w:t>.</w:t>
      </w:r>
    </w:p>
    <w:p w:rsidR="00610D89" w:rsidRDefault="008D49CD" w:rsidP="00E05CF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дисліпідемія є одним із метаболічних порушен</w:t>
      </w:r>
      <w:r w:rsidR="00FC366E">
        <w:rPr>
          <w:rFonts w:ascii="Times New Roman" w:hAnsi="Times New Roman" w:cs="Times New Roman"/>
          <w:sz w:val="28"/>
          <w:szCs w:val="28"/>
          <w:lang w:val="uk-UA"/>
        </w:rPr>
        <w:t xml:space="preserve">ь, маркером ССУ </w:t>
      </w:r>
      <w:r w:rsidR="00FD40CB">
        <w:rPr>
          <w:rFonts w:ascii="Times New Roman" w:hAnsi="Times New Roman" w:cs="Times New Roman"/>
          <w:sz w:val="28"/>
          <w:szCs w:val="28"/>
          <w:lang w:val="uk-UA"/>
        </w:rPr>
        <w:t xml:space="preserve">у пацієнтів із </w:t>
      </w:r>
      <w:r w:rsidR="00E302D9">
        <w:rPr>
          <w:rFonts w:ascii="Times New Roman" w:hAnsi="Times New Roman" w:cs="Times New Roman"/>
          <w:sz w:val="28"/>
          <w:szCs w:val="28"/>
          <w:lang w:val="uk-UA"/>
        </w:rPr>
        <w:t xml:space="preserve">АГ та </w:t>
      </w:r>
      <w:r w:rsidR="00FD40CB">
        <w:rPr>
          <w:rFonts w:ascii="Times New Roman" w:hAnsi="Times New Roman" w:cs="Times New Roman"/>
          <w:sz w:val="28"/>
          <w:szCs w:val="28"/>
          <w:lang w:val="uk-UA"/>
        </w:rPr>
        <w:t xml:space="preserve">супутнім </w:t>
      </w:r>
      <w:r w:rsidR="00FC366E">
        <w:rPr>
          <w:rFonts w:ascii="Times New Roman" w:hAnsi="Times New Roman" w:cs="Times New Roman"/>
          <w:sz w:val="28"/>
          <w:szCs w:val="28"/>
          <w:lang w:val="uk-UA"/>
        </w:rPr>
        <w:t xml:space="preserve">ЦД 2-го типу. Ліпідна тріада, наявна </w:t>
      </w:r>
      <w:r w:rsidR="00FD40CB">
        <w:rPr>
          <w:rFonts w:ascii="Times New Roman" w:hAnsi="Times New Roman" w:cs="Times New Roman"/>
          <w:sz w:val="28"/>
          <w:szCs w:val="28"/>
          <w:lang w:val="uk-UA"/>
        </w:rPr>
        <w:t xml:space="preserve">у хворих на </w:t>
      </w:r>
      <w:r w:rsidR="00FC366E">
        <w:rPr>
          <w:rFonts w:ascii="Times New Roman" w:hAnsi="Times New Roman" w:cs="Times New Roman"/>
          <w:sz w:val="28"/>
          <w:szCs w:val="28"/>
          <w:lang w:val="uk-UA"/>
        </w:rPr>
        <w:t>ЦД 2-го типу</w:t>
      </w:r>
      <w:r w:rsidR="006C663A">
        <w:rPr>
          <w:rFonts w:ascii="Times New Roman" w:hAnsi="Times New Roman" w:cs="Times New Roman"/>
          <w:sz w:val="28"/>
          <w:szCs w:val="28"/>
          <w:lang w:val="uk-UA"/>
        </w:rPr>
        <w:t>,</w:t>
      </w:r>
      <w:r w:rsidR="00FC366E">
        <w:rPr>
          <w:rFonts w:ascii="Times New Roman" w:hAnsi="Times New Roman" w:cs="Times New Roman"/>
          <w:sz w:val="28"/>
          <w:szCs w:val="28"/>
          <w:lang w:val="uk-UA"/>
        </w:rPr>
        <w:t xml:space="preserve"> включає </w:t>
      </w:r>
      <w:r w:rsidR="00FC366E" w:rsidRPr="00A03291">
        <w:rPr>
          <w:rFonts w:ascii="Times New Roman" w:hAnsi="Times New Roman" w:cs="Times New Roman"/>
          <w:sz w:val="28"/>
          <w:szCs w:val="28"/>
          <w:lang w:val="uk-UA"/>
        </w:rPr>
        <w:t>збільшення концентрації ТГ, зниження ХС ЛПВЩ та переважання у крові дрібних щільних частин</w:t>
      </w:r>
      <w:r w:rsidR="00E72BCB">
        <w:rPr>
          <w:rFonts w:ascii="Times New Roman" w:hAnsi="Times New Roman" w:cs="Times New Roman"/>
          <w:sz w:val="28"/>
          <w:szCs w:val="28"/>
          <w:lang w:val="uk-UA"/>
        </w:rPr>
        <w:t>ок</w:t>
      </w:r>
      <w:r w:rsidR="00FC366E" w:rsidRPr="00A03291">
        <w:rPr>
          <w:rFonts w:ascii="Times New Roman" w:hAnsi="Times New Roman" w:cs="Times New Roman"/>
          <w:sz w:val="28"/>
          <w:szCs w:val="28"/>
          <w:lang w:val="uk-UA"/>
        </w:rPr>
        <w:t xml:space="preserve"> </w:t>
      </w:r>
      <w:r w:rsidR="00E302D9">
        <w:rPr>
          <w:rFonts w:ascii="Times New Roman" w:hAnsi="Times New Roman" w:cs="Times New Roman"/>
          <w:sz w:val="28"/>
          <w:szCs w:val="28"/>
          <w:lang w:val="uk-UA"/>
        </w:rPr>
        <w:t xml:space="preserve">ХС </w:t>
      </w:r>
      <w:r w:rsidR="00FC366E" w:rsidRPr="00A03291">
        <w:rPr>
          <w:rFonts w:ascii="Times New Roman" w:hAnsi="Times New Roman" w:cs="Times New Roman"/>
          <w:sz w:val="28"/>
          <w:szCs w:val="28"/>
          <w:lang w:val="uk-UA"/>
        </w:rPr>
        <w:t>ЛПНЩ</w:t>
      </w:r>
      <w:r w:rsidR="00FC366E">
        <w:rPr>
          <w:rFonts w:ascii="Times New Roman" w:hAnsi="Times New Roman" w:cs="Times New Roman"/>
          <w:sz w:val="28"/>
          <w:szCs w:val="28"/>
          <w:lang w:val="uk-UA"/>
        </w:rPr>
        <w:t>, які</w:t>
      </w:r>
      <w:r w:rsidR="006C663A">
        <w:rPr>
          <w:rFonts w:ascii="Times New Roman" w:hAnsi="Times New Roman" w:cs="Times New Roman"/>
          <w:sz w:val="28"/>
          <w:szCs w:val="28"/>
          <w:lang w:val="uk-UA"/>
        </w:rPr>
        <w:t>,</w:t>
      </w:r>
      <w:r w:rsidR="00FC366E">
        <w:rPr>
          <w:rFonts w:ascii="Times New Roman" w:hAnsi="Times New Roman" w:cs="Times New Roman"/>
          <w:sz w:val="28"/>
          <w:szCs w:val="28"/>
          <w:lang w:val="uk-UA"/>
        </w:rPr>
        <w:t xml:space="preserve"> завдяки своїм розмірам</w:t>
      </w:r>
      <w:r w:rsidR="006C663A">
        <w:rPr>
          <w:rFonts w:ascii="Times New Roman" w:hAnsi="Times New Roman" w:cs="Times New Roman"/>
          <w:sz w:val="28"/>
          <w:szCs w:val="28"/>
          <w:lang w:val="uk-UA"/>
        </w:rPr>
        <w:t>,</w:t>
      </w:r>
      <w:r w:rsidR="00FC366E">
        <w:rPr>
          <w:rFonts w:ascii="Times New Roman" w:hAnsi="Times New Roman" w:cs="Times New Roman"/>
          <w:sz w:val="28"/>
          <w:szCs w:val="28"/>
          <w:lang w:val="uk-UA"/>
        </w:rPr>
        <w:t xml:space="preserve"> здатні </w:t>
      </w:r>
      <w:r w:rsidR="00530268">
        <w:rPr>
          <w:rFonts w:ascii="Times New Roman" w:hAnsi="Times New Roman" w:cs="Times New Roman"/>
          <w:sz w:val="28"/>
          <w:szCs w:val="28"/>
          <w:lang w:val="uk-UA"/>
        </w:rPr>
        <w:t xml:space="preserve">з легкістю проникати </w:t>
      </w:r>
      <w:r w:rsidR="00530268" w:rsidRPr="00A03291">
        <w:rPr>
          <w:rFonts w:ascii="Times New Roman" w:hAnsi="Times New Roman" w:cs="Times New Roman"/>
          <w:sz w:val="28"/>
          <w:szCs w:val="28"/>
          <w:lang w:val="uk-UA"/>
        </w:rPr>
        <w:t xml:space="preserve">до судинної </w:t>
      </w:r>
      <w:r w:rsidR="00530268">
        <w:rPr>
          <w:rFonts w:ascii="Times New Roman" w:hAnsi="Times New Roman" w:cs="Times New Roman"/>
          <w:sz w:val="28"/>
          <w:szCs w:val="28"/>
          <w:lang w:val="uk-UA"/>
        </w:rPr>
        <w:t>стінки через прошарок ендотелію, сприяючи розвитку склерозу ни</w:t>
      </w:r>
      <w:r w:rsidR="00EB68D8">
        <w:rPr>
          <w:rFonts w:ascii="Times New Roman" w:hAnsi="Times New Roman" w:cs="Times New Roman"/>
          <w:sz w:val="28"/>
          <w:szCs w:val="28"/>
          <w:lang w:val="uk-UA"/>
        </w:rPr>
        <w:t>ркових артерій та поглиблюючи порушення функції нирок</w:t>
      </w:r>
      <w:r w:rsidR="00530268">
        <w:rPr>
          <w:rFonts w:ascii="Times New Roman" w:hAnsi="Times New Roman" w:cs="Times New Roman"/>
          <w:sz w:val="28"/>
          <w:szCs w:val="28"/>
          <w:lang w:val="uk-UA"/>
        </w:rPr>
        <w:t xml:space="preserve">; коронарних артерій, </w:t>
      </w:r>
      <w:r w:rsidR="00E05CF8">
        <w:rPr>
          <w:rFonts w:ascii="Times New Roman" w:hAnsi="Times New Roman" w:cs="Times New Roman"/>
          <w:sz w:val="28"/>
          <w:szCs w:val="28"/>
          <w:lang w:val="uk-UA"/>
        </w:rPr>
        <w:t>посилюючи прогресування</w:t>
      </w:r>
      <w:r w:rsidR="00073FE8" w:rsidRPr="00073FE8">
        <w:rPr>
          <w:rFonts w:ascii="Times New Roman" w:hAnsi="Times New Roman" w:cs="Times New Roman"/>
          <w:sz w:val="28"/>
          <w:szCs w:val="28"/>
          <w:lang w:val="uk-UA"/>
        </w:rPr>
        <w:t xml:space="preserve"> кард</w:t>
      </w:r>
      <w:r w:rsidR="00073FE8">
        <w:rPr>
          <w:rFonts w:ascii="Times New Roman" w:hAnsi="Times New Roman" w:cs="Times New Roman"/>
          <w:sz w:val="28"/>
          <w:szCs w:val="28"/>
          <w:lang w:val="uk-UA"/>
        </w:rPr>
        <w:t>іосклерозу</w:t>
      </w:r>
      <w:r w:rsidR="00E05CF8">
        <w:rPr>
          <w:rFonts w:ascii="Times New Roman" w:hAnsi="Times New Roman" w:cs="Times New Roman"/>
          <w:sz w:val="28"/>
          <w:szCs w:val="28"/>
          <w:lang w:val="uk-UA"/>
        </w:rPr>
        <w:t xml:space="preserve">, а завдяки взаємодії з молекулами </w:t>
      </w:r>
      <w:r w:rsidR="00E05CF8">
        <w:rPr>
          <w:rFonts w:ascii="Times New Roman" w:hAnsi="Times New Roman" w:cs="Times New Roman"/>
          <w:sz w:val="28"/>
          <w:szCs w:val="28"/>
          <w:lang w:val="uk-UA"/>
        </w:rPr>
        <w:lastRenderedPageBreak/>
        <w:t>глюкози, кількість яких збільшується при гіперглікемії</w:t>
      </w:r>
      <w:r w:rsidR="00717926">
        <w:rPr>
          <w:rFonts w:ascii="Times New Roman" w:hAnsi="Times New Roman" w:cs="Times New Roman"/>
          <w:sz w:val="28"/>
          <w:szCs w:val="28"/>
          <w:lang w:val="uk-UA"/>
        </w:rPr>
        <w:t>,</w:t>
      </w:r>
      <w:r w:rsidR="00E05CF8">
        <w:rPr>
          <w:rFonts w:ascii="Times New Roman" w:hAnsi="Times New Roman" w:cs="Times New Roman"/>
          <w:sz w:val="28"/>
          <w:szCs w:val="28"/>
          <w:lang w:val="uk-UA"/>
        </w:rPr>
        <w:t xml:space="preserve"> та утворен</w:t>
      </w:r>
      <w:r w:rsidR="00E72BCB">
        <w:rPr>
          <w:rFonts w:ascii="Times New Roman" w:hAnsi="Times New Roman" w:cs="Times New Roman"/>
          <w:sz w:val="28"/>
          <w:szCs w:val="28"/>
          <w:lang w:val="uk-UA"/>
        </w:rPr>
        <w:t>н</w:t>
      </w:r>
      <w:r w:rsidR="00E05CF8">
        <w:rPr>
          <w:rFonts w:ascii="Times New Roman" w:hAnsi="Times New Roman" w:cs="Times New Roman"/>
          <w:sz w:val="28"/>
          <w:szCs w:val="28"/>
          <w:lang w:val="uk-UA"/>
        </w:rPr>
        <w:t xml:space="preserve">ю </w:t>
      </w:r>
      <w:r w:rsidR="00530268" w:rsidRPr="00A03291">
        <w:rPr>
          <w:rFonts w:ascii="Times New Roman" w:hAnsi="Times New Roman" w:cs="Times New Roman"/>
          <w:sz w:val="28"/>
          <w:szCs w:val="28"/>
          <w:lang w:val="uk-UA"/>
        </w:rPr>
        <w:t>глі</w:t>
      </w:r>
      <w:r w:rsidR="00E05CF8">
        <w:rPr>
          <w:rFonts w:ascii="Times New Roman" w:hAnsi="Times New Roman" w:cs="Times New Roman"/>
          <w:sz w:val="28"/>
          <w:szCs w:val="28"/>
          <w:lang w:val="uk-UA"/>
        </w:rPr>
        <w:t xml:space="preserve">козильованих </w:t>
      </w:r>
      <w:r w:rsidR="00FD40CB">
        <w:rPr>
          <w:rFonts w:ascii="Times New Roman" w:hAnsi="Times New Roman" w:cs="Times New Roman"/>
          <w:sz w:val="28"/>
          <w:szCs w:val="28"/>
          <w:lang w:val="uk-UA"/>
        </w:rPr>
        <w:t xml:space="preserve">ХС </w:t>
      </w:r>
      <w:r w:rsidR="00E05CF8">
        <w:rPr>
          <w:rFonts w:ascii="Times New Roman" w:hAnsi="Times New Roman" w:cs="Times New Roman"/>
          <w:sz w:val="28"/>
          <w:szCs w:val="28"/>
          <w:lang w:val="uk-UA"/>
        </w:rPr>
        <w:t>ЛПНЩ погано розпізнаватися рецепторами печінки і</w:t>
      </w:r>
      <w:r w:rsidR="00530268" w:rsidRPr="00A03291">
        <w:rPr>
          <w:rFonts w:ascii="Times New Roman" w:hAnsi="Times New Roman" w:cs="Times New Roman"/>
          <w:sz w:val="28"/>
          <w:szCs w:val="28"/>
          <w:lang w:val="uk-UA"/>
        </w:rPr>
        <w:t xml:space="preserve"> пов</w:t>
      </w:r>
      <w:r w:rsidR="00340745">
        <w:rPr>
          <w:rFonts w:ascii="Times New Roman" w:hAnsi="Times New Roman" w:cs="Times New Roman"/>
          <w:sz w:val="28"/>
          <w:szCs w:val="28"/>
          <w:lang w:val="uk-UA"/>
        </w:rPr>
        <w:t>ільніше виводити</w:t>
      </w:r>
      <w:r w:rsidR="00E72BCB">
        <w:rPr>
          <w:rFonts w:ascii="Times New Roman" w:hAnsi="Times New Roman" w:cs="Times New Roman"/>
          <w:sz w:val="28"/>
          <w:szCs w:val="28"/>
          <w:lang w:val="uk-UA"/>
        </w:rPr>
        <w:t xml:space="preserve">ся </w:t>
      </w:r>
      <w:r w:rsidR="00CA30EB">
        <w:rPr>
          <w:rFonts w:ascii="Times New Roman" w:hAnsi="Times New Roman" w:cs="Times New Roman"/>
          <w:sz w:val="28"/>
          <w:szCs w:val="28"/>
          <w:lang w:val="uk-UA"/>
        </w:rPr>
        <w:t>з кровотоку та тривало циркулювати в ньому.</w:t>
      </w:r>
      <w:r w:rsidR="00530268" w:rsidRPr="00A03291">
        <w:rPr>
          <w:rFonts w:ascii="Times New Roman" w:hAnsi="Times New Roman" w:cs="Times New Roman"/>
          <w:sz w:val="28"/>
          <w:szCs w:val="28"/>
          <w:lang w:val="uk-UA"/>
        </w:rPr>
        <w:t xml:space="preserve"> </w:t>
      </w:r>
    </w:p>
    <w:p w:rsidR="00401A7E" w:rsidRPr="008D49CD" w:rsidRDefault="00401A7E" w:rsidP="00E05CF8">
      <w:pPr>
        <w:autoSpaceDE w:val="0"/>
        <w:autoSpaceDN w:val="0"/>
        <w:adjustRightInd w:val="0"/>
        <w:spacing w:after="0" w:line="360" w:lineRule="auto"/>
        <w:ind w:firstLine="708"/>
        <w:jc w:val="both"/>
        <w:rPr>
          <w:rFonts w:ascii="Times New Roman" w:hAnsi="Times New Roman" w:cs="Times New Roman"/>
          <w:sz w:val="28"/>
          <w:szCs w:val="28"/>
          <w:lang w:val="uk-UA"/>
        </w:rPr>
      </w:pPr>
    </w:p>
    <w:p w:rsidR="001225FC" w:rsidRDefault="001225FC" w:rsidP="00610D89">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1.2</w:t>
      </w:r>
      <w:r w:rsidR="00E10841">
        <w:rPr>
          <w:rFonts w:ascii="Times New Roman" w:hAnsi="Times New Roman" w:cs="Times New Roman"/>
          <w:b/>
          <w:sz w:val="28"/>
          <w:szCs w:val="28"/>
          <w:lang w:val="uk-UA"/>
        </w:rPr>
        <w:t>.</w:t>
      </w:r>
      <w:r w:rsidRPr="00A03291">
        <w:rPr>
          <w:rFonts w:ascii="Times New Roman" w:hAnsi="Times New Roman" w:cs="Times New Roman"/>
          <w:b/>
          <w:sz w:val="28"/>
          <w:szCs w:val="28"/>
          <w:lang w:val="uk-UA"/>
        </w:rPr>
        <w:t xml:space="preserve"> </w:t>
      </w:r>
      <w:r w:rsidR="00D04279" w:rsidRPr="00D04279">
        <w:rPr>
          <w:rFonts w:ascii="Times New Roman" w:hAnsi="Times New Roman" w:cs="Times New Roman"/>
          <w:b/>
          <w:sz w:val="28"/>
          <w:szCs w:val="28"/>
          <w:lang w:val="uk-UA"/>
        </w:rPr>
        <w:t>Оцінка впливу показників імунного запалення, ендотелію, урикемії на функціональний стан нирок у пацiєнтiв із артерiальною гiпертензiєю та цукровим дiабетом 2-го типу</w:t>
      </w:r>
    </w:p>
    <w:p w:rsidR="00401A7E" w:rsidRPr="00A03291" w:rsidRDefault="00401A7E" w:rsidP="00610D89">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791714" w:rsidRDefault="00FD40CB" w:rsidP="007917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w:t>
      </w:r>
      <w:r w:rsidR="001225FC" w:rsidRPr="00A03291">
        <w:rPr>
          <w:rFonts w:ascii="Times New Roman" w:hAnsi="Times New Roman" w:cs="Times New Roman"/>
          <w:sz w:val="28"/>
          <w:szCs w:val="28"/>
          <w:lang w:val="uk-UA"/>
        </w:rPr>
        <w:t xml:space="preserve"> АГ та ЦД 2</w:t>
      </w:r>
      <w:r w:rsidR="00E6091B">
        <w:rPr>
          <w:rFonts w:ascii="Times New Roman" w:hAnsi="Times New Roman" w:cs="Times New Roman"/>
          <w:sz w:val="28"/>
          <w:szCs w:val="28"/>
          <w:lang w:val="uk-UA"/>
        </w:rPr>
        <w:t>-го</w:t>
      </w:r>
      <w:r w:rsidR="00DF710E">
        <w:rPr>
          <w:rFonts w:ascii="Times New Roman" w:hAnsi="Times New Roman" w:cs="Times New Roman"/>
          <w:sz w:val="28"/>
          <w:szCs w:val="28"/>
          <w:lang w:val="uk-UA"/>
        </w:rPr>
        <w:t xml:space="preserve"> типу</w:t>
      </w:r>
      <w:r>
        <w:rPr>
          <w:rFonts w:ascii="Times New Roman" w:hAnsi="Times New Roman" w:cs="Times New Roman"/>
          <w:sz w:val="28"/>
          <w:szCs w:val="28"/>
          <w:lang w:val="uk-UA"/>
        </w:rPr>
        <w:t xml:space="preserve"> відіграють важливу роль у </w:t>
      </w:r>
      <w:r w:rsidRPr="00FD40CB">
        <w:rPr>
          <w:rFonts w:ascii="Times New Roman" w:hAnsi="Times New Roman" w:cs="Times New Roman"/>
          <w:sz w:val="28"/>
          <w:szCs w:val="28"/>
          <w:lang w:val="uk-UA"/>
        </w:rPr>
        <w:t>розвитку нефропатії</w:t>
      </w:r>
      <w:r>
        <w:rPr>
          <w:rFonts w:ascii="Times New Roman" w:hAnsi="Times New Roman" w:cs="Times New Roman"/>
          <w:sz w:val="28"/>
          <w:szCs w:val="28"/>
          <w:lang w:val="uk-UA"/>
        </w:rPr>
        <w:t xml:space="preserve"> </w:t>
      </w:r>
      <w:r w:rsidRPr="002C21DA">
        <w:rPr>
          <w:rFonts w:ascii="Times New Roman" w:hAnsi="Times New Roman" w:cs="Times New Roman"/>
          <w:sz w:val="28"/>
          <w:szCs w:val="28"/>
          <w:lang w:val="uk-UA"/>
        </w:rPr>
        <w:t>[</w:t>
      </w:r>
      <w:r w:rsidR="002C21DA" w:rsidRPr="002C21DA">
        <w:rPr>
          <w:rFonts w:ascii="Times New Roman" w:hAnsi="Times New Roman" w:cs="Times New Roman"/>
          <w:sz w:val="28"/>
          <w:szCs w:val="28"/>
          <w:lang w:val="uk-UA"/>
        </w:rPr>
        <w:t>7</w:t>
      </w:r>
      <w:r w:rsidR="00730F4E" w:rsidRPr="002C21DA">
        <w:rPr>
          <w:rFonts w:ascii="Times New Roman" w:hAnsi="Times New Roman" w:cs="Times New Roman"/>
          <w:sz w:val="28"/>
          <w:szCs w:val="28"/>
          <w:lang w:val="uk-UA"/>
        </w:rPr>
        <w:t>,</w:t>
      </w:r>
      <w:r w:rsidR="002C21DA" w:rsidRPr="002C21DA">
        <w:rPr>
          <w:rFonts w:ascii="Times New Roman" w:hAnsi="Times New Roman" w:cs="Times New Roman"/>
          <w:sz w:val="28"/>
          <w:szCs w:val="28"/>
          <w:lang w:val="uk-UA"/>
        </w:rPr>
        <w:t>35</w:t>
      </w:r>
      <w:r w:rsidRPr="00FD40CB">
        <w:rPr>
          <w:rFonts w:ascii="Times New Roman" w:hAnsi="Times New Roman" w:cs="Times New Roman"/>
          <w:sz w:val="28"/>
          <w:szCs w:val="28"/>
          <w:lang w:val="uk-UA"/>
        </w:rPr>
        <w:t>]</w:t>
      </w:r>
      <w:r w:rsidR="00DF710E">
        <w:rPr>
          <w:rFonts w:ascii="Times New Roman" w:hAnsi="Times New Roman" w:cs="Times New Roman"/>
          <w:sz w:val="28"/>
          <w:szCs w:val="28"/>
          <w:lang w:val="uk-UA"/>
        </w:rPr>
        <w:t>. З</w:t>
      </w:r>
      <w:r w:rsidR="001225FC" w:rsidRPr="00A03291">
        <w:rPr>
          <w:rFonts w:ascii="Times New Roman" w:hAnsi="Times New Roman" w:cs="Times New Roman"/>
          <w:sz w:val="28"/>
          <w:szCs w:val="28"/>
          <w:lang w:val="uk-UA"/>
        </w:rPr>
        <w:t xml:space="preserve"> іншого боку, нефропатія ускла</w:t>
      </w:r>
      <w:r w:rsidR="00520121">
        <w:rPr>
          <w:rFonts w:ascii="Times New Roman" w:hAnsi="Times New Roman" w:cs="Times New Roman"/>
          <w:sz w:val="28"/>
          <w:szCs w:val="28"/>
          <w:lang w:val="uk-UA"/>
        </w:rPr>
        <w:t>днює перебіг АГ</w:t>
      </w:r>
      <w:r w:rsidR="00B23C04">
        <w:rPr>
          <w:rFonts w:ascii="Times New Roman" w:hAnsi="Times New Roman" w:cs="Times New Roman"/>
          <w:sz w:val="28"/>
          <w:szCs w:val="28"/>
          <w:lang w:val="uk-UA"/>
        </w:rPr>
        <w:t xml:space="preserve"> і </w:t>
      </w:r>
      <w:r w:rsidR="001E4C3A" w:rsidRPr="001E4C3A">
        <w:rPr>
          <w:rFonts w:ascii="Times New Roman" w:hAnsi="Times New Roman" w:cs="Times New Roman"/>
          <w:sz w:val="28"/>
          <w:szCs w:val="28"/>
          <w:lang w:val="uk-UA"/>
        </w:rPr>
        <w:t xml:space="preserve">          </w:t>
      </w:r>
      <w:r w:rsidR="00B23C04">
        <w:rPr>
          <w:rFonts w:ascii="Times New Roman" w:hAnsi="Times New Roman" w:cs="Times New Roman"/>
          <w:sz w:val="28"/>
          <w:szCs w:val="28"/>
          <w:lang w:val="uk-UA"/>
        </w:rPr>
        <w:t>ЦД 2-го типу</w:t>
      </w:r>
      <w:r w:rsidR="00062181">
        <w:rPr>
          <w:rFonts w:ascii="Times New Roman" w:hAnsi="Times New Roman" w:cs="Times New Roman"/>
          <w:sz w:val="28"/>
          <w:szCs w:val="28"/>
          <w:lang w:val="uk-UA"/>
        </w:rPr>
        <w:t xml:space="preserve">. </w:t>
      </w:r>
      <w:r w:rsidR="00791714">
        <w:rPr>
          <w:rFonts w:ascii="Times New Roman" w:hAnsi="Times New Roman" w:cs="Times New Roman"/>
          <w:sz w:val="28"/>
          <w:szCs w:val="28"/>
          <w:lang w:val="uk-UA"/>
        </w:rPr>
        <w:t>Частота розвитку</w:t>
      </w:r>
      <w:r w:rsidR="00520121">
        <w:rPr>
          <w:rFonts w:ascii="Times New Roman" w:hAnsi="Times New Roman" w:cs="Times New Roman"/>
          <w:sz w:val="28"/>
          <w:szCs w:val="28"/>
          <w:lang w:val="uk-UA"/>
        </w:rPr>
        <w:t xml:space="preserve"> ДН при ЦД 2-го типу складає 12</w:t>
      </w:r>
      <w:r w:rsidR="00520121" w:rsidRPr="00520121">
        <w:rPr>
          <w:rFonts w:ascii="Times New Roman" w:hAnsi="Times New Roman" w:cs="Times New Roman"/>
          <w:sz w:val="28"/>
          <w:szCs w:val="28"/>
          <w:lang w:val="uk-UA"/>
        </w:rPr>
        <w:t>–</w:t>
      </w:r>
      <w:r>
        <w:rPr>
          <w:rFonts w:ascii="Times New Roman" w:hAnsi="Times New Roman" w:cs="Times New Roman"/>
          <w:sz w:val="28"/>
          <w:szCs w:val="28"/>
          <w:lang w:val="uk-UA"/>
        </w:rPr>
        <w:t xml:space="preserve">26 %. </w:t>
      </w:r>
      <w:r w:rsidR="003B48F9">
        <w:rPr>
          <w:rFonts w:ascii="Times New Roman" w:hAnsi="Times New Roman" w:cs="Times New Roman"/>
          <w:sz w:val="28"/>
          <w:szCs w:val="28"/>
          <w:lang w:val="uk-UA"/>
        </w:rPr>
        <w:t>Мікроальбумінурія (</w:t>
      </w:r>
      <w:r w:rsidR="00791714">
        <w:rPr>
          <w:rFonts w:ascii="Times New Roman" w:hAnsi="Times New Roman" w:cs="Times New Roman"/>
          <w:sz w:val="28"/>
          <w:szCs w:val="28"/>
          <w:lang w:val="uk-UA"/>
        </w:rPr>
        <w:t>МАУ</w:t>
      </w:r>
      <w:r w:rsidR="003B48F9">
        <w:rPr>
          <w:rFonts w:ascii="Times New Roman" w:hAnsi="Times New Roman" w:cs="Times New Roman"/>
          <w:sz w:val="28"/>
          <w:szCs w:val="28"/>
          <w:lang w:val="uk-UA"/>
        </w:rPr>
        <w:t>)</w:t>
      </w:r>
      <w:r w:rsidR="00791714" w:rsidRPr="00791714">
        <w:rPr>
          <w:rFonts w:ascii="Times New Roman" w:hAnsi="Times New Roman" w:cs="Times New Roman"/>
          <w:sz w:val="28"/>
          <w:szCs w:val="28"/>
          <w:lang w:val="uk-UA"/>
        </w:rPr>
        <w:t xml:space="preserve"> переходи</w:t>
      </w:r>
      <w:r w:rsidR="00791714">
        <w:rPr>
          <w:rFonts w:ascii="Times New Roman" w:hAnsi="Times New Roman" w:cs="Times New Roman"/>
          <w:sz w:val="28"/>
          <w:szCs w:val="28"/>
          <w:lang w:val="uk-UA"/>
        </w:rPr>
        <w:t>ть у макроальбумінурію, що знач</w:t>
      </w:r>
      <w:r w:rsidR="00791714" w:rsidRPr="00791714">
        <w:rPr>
          <w:rFonts w:ascii="Times New Roman" w:hAnsi="Times New Roman" w:cs="Times New Roman"/>
          <w:sz w:val="28"/>
          <w:szCs w:val="28"/>
          <w:lang w:val="uk-UA"/>
        </w:rPr>
        <w:t xml:space="preserve">но підвищує імовірність розвитку </w:t>
      </w:r>
      <w:r w:rsidR="003B48F9">
        <w:rPr>
          <w:rFonts w:ascii="Times New Roman" w:hAnsi="Times New Roman" w:cs="Times New Roman"/>
          <w:sz w:val="28"/>
          <w:szCs w:val="28"/>
          <w:lang w:val="uk-UA"/>
        </w:rPr>
        <w:t>хронічної ниркової недостатності</w:t>
      </w:r>
      <w:r w:rsidR="00CE6DEF">
        <w:rPr>
          <w:rFonts w:ascii="Times New Roman" w:hAnsi="Times New Roman" w:cs="Times New Roman"/>
          <w:sz w:val="28"/>
          <w:szCs w:val="28"/>
          <w:lang w:val="uk-UA"/>
        </w:rPr>
        <w:t xml:space="preserve"> </w:t>
      </w:r>
      <w:r w:rsidR="00791714" w:rsidRPr="00791714">
        <w:rPr>
          <w:rFonts w:ascii="Times New Roman" w:hAnsi="Times New Roman" w:cs="Times New Roman"/>
          <w:sz w:val="28"/>
          <w:szCs w:val="28"/>
          <w:lang w:val="uk-UA"/>
        </w:rPr>
        <w:t xml:space="preserve">та смерті </w:t>
      </w:r>
      <w:r w:rsidR="001E4C3A" w:rsidRPr="001E4C3A">
        <w:rPr>
          <w:rFonts w:ascii="Times New Roman" w:hAnsi="Times New Roman" w:cs="Times New Roman"/>
          <w:sz w:val="28"/>
          <w:szCs w:val="28"/>
          <w:lang w:val="uk-UA"/>
        </w:rPr>
        <w:t xml:space="preserve">     </w:t>
      </w:r>
      <w:r w:rsidRPr="00FD40CB">
        <w:rPr>
          <w:rFonts w:ascii="Times New Roman" w:hAnsi="Times New Roman" w:cs="Times New Roman"/>
          <w:sz w:val="28"/>
          <w:szCs w:val="28"/>
          <w:lang w:val="uk-UA"/>
        </w:rPr>
        <w:t>у 20–40 % пацієнтів із ЦД 2-го типу</w:t>
      </w:r>
      <w:r>
        <w:rPr>
          <w:rFonts w:ascii="Times New Roman" w:hAnsi="Times New Roman" w:cs="Times New Roman"/>
          <w:sz w:val="28"/>
          <w:szCs w:val="28"/>
          <w:lang w:val="uk-UA"/>
        </w:rPr>
        <w:t xml:space="preserve"> за </w:t>
      </w:r>
      <w:r w:rsidRPr="00FD40CB">
        <w:rPr>
          <w:rFonts w:ascii="Times New Roman" w:hAnsi="Times New Roman" w:cs="Times New Roman"/>
          <w:sz w:val="28"/>
          <w:szCs w:val="28"/>
          <w:lang w:val="uk-UA"/>
        </w:rPr>
        <w:t>відсутності коректного лікування</w:t>
      </w:r>
      <w:r w:rsidR="00791714" w:rsidRPr="00791714">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w:t>
      </w:r>
      <w:r w:rsidR="002C21DA">
        <w:rPr>
          <w:rFonts w:ascii="Times New Roman" w:hAnsi="Times New Roman" w:cs="Times New Roman"/>
          <w:sz w:val="28"/>
          <w:szCs w:val="28"/>
          <w:lang w:val="uk-UA"/>
        </w:rPr>
        <w:t>36</w:t>
      </w:r>
      <w:r w:rsidR="001225FC" w:rsidRPr="009E4221">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1225FC" w:rsidRPr="00A03291" w:rsidRDefault="00520121" w:rsidP="0079171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1225FC" w:rsidRPr="00A03291">
        <w:rPr>
          <w:rFonts w:ascii="Times New Roman" w:hAnsi="Times New Roman" w:cs="Times New Roman"/>
          <w:sz w:val="28"/>
          <w:szCs w:val="28"/>
          <w:lang w:val="uk-UA"/>
        </w:rPr>
        <w:t>тійкий дво</w:t>
      </w:r>
      <w:r w:rsidR="00DF710E">
        <w:rPr>
          <w:rFonts w:ascii="Times New Roman" w:hAnsi="Times New Roman" w:cs="Times New Roman"/>
          <w:sz w:val="28"/>
          <w:szCs w:val="28"/>
          <w:lang w:val="uk-UA"/>
        </w:rPr>
        <w:t>бічний</w:t>
      </w:r>
      <w:r w:rsidR="000E4E1F">
        <w:rPr>
          <w:rFonts w:ascii="Times New Roman" w:hAnsi="Times New Roman" w:cs="Times New Roman"/>
          <w:sz w:val="28"/>
          <w:szCs w:val="28"/>
          <w:lang w:val="uk-UA"/>
        </w:rPr>
        <w:t xml:space="preserve"> звʼ</w:t>
      </w:r>
      <w:r w:rsidR="001225FC" w:rsidRPr="00A03291">
        <w:rPr>
          <w:rFonts w:ascii="Times New Roman" w:hAnsi="Times New Roman" w:cs="Times New Roman"/>
          <w:sz w:val="28"/>
          <w:szCs w:val="28"/>
          <w:lang w:val="uk-UA"/>
        </w:rPr>
        <w:t>язок</w:t>
      </w:r>
      <w:r>
        <w:rPr>
          <w:rFonts w:ascii="Times New Roman" w:hAnsi="Times New Roman" w:cs="Times New Roman"/>
          <w:sz w:val="28"/>
          <w:szCs w:val="28"/>
          <w:lang w:val="uk-UA"/>
        </w:rPr>
        <w:t xml:space="preserve"> існує між розвитком АГ та ступенем ураження</w:t>
      </w:r>
      <w:r w:rsidRPr="00520121">
        <w:rPr>
          <w:rFonts w:ascii="Times New Roman" w:hAnsi="Times New Roman" w:cs="Times New Roman"/>
          <w:sz w:val="28"/>
          <w:szCs w:val="28"/>
          <w:lang w:val="uk-UA"/>
        </w:rPr>
        <w:t xml:space="preserve"> нирок</w:t>
      </w:r>
      <w:r w:rsidR="000450E0">
        <w:rPr>
          <w:rFonts w:ascii="Times New Roman" w:hAnsi="Times New Roman" w:cs="Times New Roman"/>
          <w:sz w:val="28"/>
          <w:szCs w:val="28"/>
          <w:lang w:val="uk-UA"/>
        </w:rPr>
        <w:t xml:space="preserve">. </w:t>
      </w:r>
      <w:r w:rsidR="000450E0" w:rsidRPr="000450E0">
        <w:rPr>
          <w:rFonts w:ascii="Times New Roman" w:hAnsi="Times New Roman" w:cs="Times New Roman"/>
          <w:sz w:val="28"/>
          <w:szCs w:val="28"/>
          <w:lang w:val="uk-UA"/>
        </w:rPr>
        <w:t xml:space="preserve">Поширеність АГ </w:t>
      </w:r>
      <w:r>
        <w:rPr>
          <w:rFonts w:ascii="Times New Roman" w:hAnsi="Times New Roman" w:cs="Times New Roman"/>
          <w:sz w:val="28"/>
          <w:szCs w:val="28"/>
          <w:lang w:val="uk-UA"/>
        </w:rPr>
        <w:t xml:space="preserve">у хворих </w:t>
      </w:r>
      <w:r w:rsidR="000E4E1F">
        <w:rPr>
          <w:rFonts w:ascii="Times New Roman" w:hAnsi="Times New Roman" w:cs="Times New Roman"/>
          <w:sz w:val="28"/>
          <w:szCs w:val="28"/>
          <w:lang w:val="uk-UA"/>
        </w:rPr>
        <w:t xml:space="preserve">на </w:t>
      </w:r>
      <w:r w:rsidR="003B48F9">
        <w:rPr>
          <w:rFonts w:ascii="Times New Roman" w:hAnsi="Times New Roman" w:cs="Times New Roman"/>
          <w:sz w:val="28"/>
          <w:szCs w:val="28"/>
          <w:lang w:val="uk-UA"/>
        </w:rPr>
        <w:t xml:space="preserve">ДН </w:t>
      </w:r>
      <w:r w:rsidR="000450E0">
        <w:rPr>
          <w:rFonts w:ascii="Times New Roman" w:hAnsi="Times New Roman" w:cs="Times New Roman"/>
          <w:sz w:val="28"/>
          <w:szCs w:val="28"/>
          <w:lang w:val="uk-UA"/>
        </w:rPr>
        <w:t xml:space="preserve">становить від 70 </w:t>
      </w:r>
      <w:r w:rsidR="000450E0" w:rsidRPr="000450E0">
        <w:rPr>
          <w:rFonts w:ascii="Times New Roman" w:hAnsi="Times New Roman" w:cs="Times New Roman"/>
          <w:sz w:val="28"/>
          <w:szCs w:val="28"/>
          <w:lang w:val="uk-UA"/>
        </w:rPr>
        <w:t>до 100 %</w:t>
      </w:r>
      <w:r w:rsidR="001225FC" w:rsidRPr="00A03291">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37</w:t>
      </w:r>
      <w:r w:rsidR="00C84D6E" w:rsidRPr="00730F4E">
        <w:rPr>
          <w:rFonts w:ascii="Times New Roman" w:hAnsi="Times New Roman" w:cs="Times New Roman"/>
          <w:sz w:val="28"/>
          <w:szCs w:val="28"/>
          <w:lang w:val="uk-UA"/>
        </w:rPr>
        <w:t>]</w:t>
      </w:r>
      <w:r w:rsidR="001225FC" w:rsidRPr="00730F4E">
        <w:rPr>
          <w:rFonts w:ascii="Times New Roman" w:hAnsi="Times New Roman" w:cs="Times New Roman"/>
          <w:sz w:val="28"/>
          <w:szCs w:val="28"/>
          <w:lang w:val="uk-UA"/>
        </w:rPr>
        <w:t>.</w:t>
      </w:r>
    </w:p>
    <w:p w:rsidR="001225FC" w:rsidRPr="00A03291" w:rsidRDefault="001225FC" w:rsidP="008A4F03">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Гіперінсулінемія стимулює вироблення факторів росту (тромбоцитарного, інсуліноподібного, фактор</w:t>
      </w:r>
      <w:r w:rsidR="00DF710E">
        <w:rPr>
          <w:rFonts w:ascii="Times New Roman" w:hAnsi="Times New Roman" w:cs="Times New Roman"/>
          <w:sz w:val="28"/>
          <w:szCs w:val="28"/>
          <w:lang w:val="uk-UA"/>
        </w:rPr>
        <w:t>а</w:t>
      </w:r>
      <w:r w:rsidRPr="00A03291">
        <w:rPr>
          <w:rFonts w:ascii="Times New Roman" w:hAnsi="Times New Roman" w:cs="Times New Roman"/>
          <w:sz w:val="28"/>
          <w:szCs w:val="28"/>
          <w:lang w:val="uk-UA"/>
        </w:rPr>
        <w:t xml:space="preserve"> росту ф</w:t>
      </w:r>
      <w:r w:rsidR="000E4E1F">
        <w:rPr>
          <w:rFonts w:ascii="Times New Roman" w:hAnsi="Times New Roman" w:cs="Times New Roman"/>
          <w:sz w:val="28"/>
          <w:szCs w:val="28"/>
          <w:lang w:val="uk-UA"/>
        </w:rPr>
        <w:t xml:space="preserve">ібробластів), </w:t>
      </w:r>
      <w:r w:rsidR="00A75AC9" w:rsidRPr="00A75AC9">
        <w:rPr>
          <w:rFonts w:ascii="Times New Roman" w:hAnsi="Times New Roman" w:cs="Times New Roman"/>
          <w:sz w:val="28"/>
          <w:szCs w:val="28"/>
          <w:lang w:val="uk-UA"/>
        </w:rPr>
        <w:t xml:space="preserve">             </w:t>
      </w:r>
      <w:r w:rsidR="000E4E1F">
        <w:rPr>
          <w:rFonts w:ascii="Times New Roman" w:hAnsi="Times New Roman" w:cs="Times New Roman"/>
          <w:sz w:val="28"/>
          <w:szCs w:val="28"/>
          <w:lang w:val="uk-UA"/>
        </w:rPr>
        <w:t xml:space="preserve">що призводить до </w:t>
      </w:r>
      <w:r w:rsidRPr="00A03291">
        <w:rPr>
          <w:rFonts w:ascii="Times New Roman" w:hAnsi="Times New Roman" w:cs="Times New Roman"/>
          <w:sz w:val="28"/>
          <w:szCs w:val="28"/>
          <w:lang w:val="uk-UA"/>
        </w:rPr>
        <w:t>проліферації гладком</w:t>
      </w:r>
      <w:r w:rsidR="000E4E1F">
        <w:rPr>
          <w:rFonts w:ascii="Times New Roman" w:hAnsi="Times New Roman" w:cs="Times New Roman"/>
          <w:sz w:val="28"/>
          <w:szCs w:val="28"/>
          <w:lang w:val="uk-UA"/>
        </w:rPr>
        <w:t xml:space="preserve">’язових клітин </w:t>
      </w:r>
      <w:r w:rsidR="00DF710E">
        <w:rPr>
          <w:rFonts w:ascii="Times New Roman" w:hAnsi="Times New Roman" w:cs="Times New Roman"/>
          <w:sz w:val="28"/>
          <w:szCs w:val="28"/>
          <w:lang w:val="uk-UA"/>
        </w:rPr>
        <w:t>і фібробластів та</w:t>
      </w:r>
      <w:r w:rsidRPr="00A03291">
        <w:rPr>
          <w:rFonts w:ascii="Times New Roman" w:hAnsi="Times New Roman" w:cs="Times New Roman"/>
          <w:sz w:val="28"/>
          <w:szCs w:val="28"/>
          <w:lang w:val="uk-UA"/>
        </w:rPr>
        <w:t>, як наслідок</w:t>
      </w:r>
      <w:r w:rsidR="006C663A">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w:t>
      </w:r>
      <w:r w:rsidR="00DF710E">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до </w:t>
      </w:r>
      <w:r w:rsidR="00DF710E">
        <w:rPr>
          <w:rFonts w:ascii="Times New Roman" w:hAnsi="Times New Roman" w:cs="Times New Roman"/>
          <w:sz w:val="28"/>
          <w:szCs w:val="28"/>
          <w:lang w:val="uk-UA"/>
        </w:rPr>
        <w:t>вазоконстрикції й</w:t>
      </w:r>
      <w:r w:rsidR="000E4E1F">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підвищення АТ</w:t>
      </w:r>
      <w:r w:rsidR="005B07F4">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У таких випадках синтез</w:t>
      </w:r>
      <w:r w:rsidR="003B48F9">
        <w:rPr>
          <w:rFonts w:ascii="Times New Roman" w:hAnsi="Times New Roman" w:cs="Times New Roman"/>
          <w:sz w:val="28"/>
          <w:szCs w:val="28"/>
          <w:lang w:val="uk-UA"/>
        </w:rPr>
        <w:t xml:space="preserve"> ЕТ, </w:t>
      </w:r>
      <w:r w:rsidR="00DF710E">
        <w:rPr>
          <w:rFonts w:ascii="Times New Roman" w:hAnsi="Times New Roman" w:cs="Times New Roman"/>
          <w:sz w:val="28"/>
          <w:szCs w:val="28"/>
          <w:lang w:val="uk-UA"/>
        </w:rPr>
        <w:t>інгібітора тканинного активатора</w:t>
      </w:r>
      <w:r w:rsidRPr="00A03291">
        <w:rPr>
          <w:rFonts w:ascii="Times New Roman" w:hAnsi="Times New Roman" w:cs="Times New Roman"/>
          <w:sz w:val="28"/>
          <w:szCs w:val="28"/>
          <w:lang w:val="uk-UA"/>
        </w:rPr>
        <w:t xml:space="preserve"> плазміногену</w:t>
      </w:r>
      <w:r w:rsidR="00DF710E">
        <w:rPr>
          <w:rFonts w:ascii="Times New Roman" w:hAnsi="Times New Roman" w:cs="Times New Roman"/>
          <w:sz w:val="28"/>
          <w:szCs w:val="28"/>
          <w:lang w:val="uk-UA"/>
        </w:rPr>
        <w:t>-1</w:t>
      </w:r>
      <w:r w:rsidR="000E4E1F">
        <w:rPr>
          <w:rFonts w:ascii="Times New Roman" w:hAnsi="Times New Roman" w:cs="Times New Roman"/>
          <w:sz w:val="28"/>
          <w:szCs w:val="28"/>
          <w:lang w:val="uk-UA"/>
        </w:rPr>
        <w:t xml:space="preserve"> активуються</w:t>
      </w:r>
      <w:r w:rsidR="00DF710E">
        <w:rPr>
          <w:rFonts w:ascii="Times New Roman" w:hAnsi="Times New Roman" w:cs="Times New Roman"/>
          <w:sz w:val="28"/>
          <w:szCs w:val="28"/>
          <w:lang w:val="uk-UA"/>
        </w:rPr>
        <w:t xml:space="preserve">, </w:t>
      </w:r>
      <w:r w:rsidR="00254823">
        <w:rPr>
          <w:rFonts w:ascii="Times New Roman" w:hAnsi="Times New Roman" w:cs="Times New Roman"/>
          <w:sz w:val="28"/>
          <w:szCs w:val="28"/>
          <w:lang w:val="uk-UA"/>
        </w:rPr>
        <w:t>симпатоадреналова і ренін-ангіо</w:t>
      </w:r>
      <w:r w:rsidRPr="00A03291">
        <w:rPr>
          <w:rFonts w:ascii="Times New Roman" w:hAnsi="Times New Roman" w:cs="Times New Roman"/>
          <w:sz w:val="28"/>
          <w:szCs w:val="28"/>
          <w:lang w:val="uk-UA"/>
        </w:rPr>
        <w:t>тензин-альдостеронова системи (РААС)</w:t>
      </w:r>
      <w:r w:rsidR="000E4E1F">
        <w:rPr>
          <w:rFonts w:ascii="Times New Roman" w:hAnsi="Times New Roman" w:cs="Times New Roman"/>
          <w:sz w:val="28"/>
          <w:szCs w:val="28"/>
          <w:lang w:val="uk-UA"/>
        </w:rPr>
        <w:t xml:space="preserve"> залучаються до процесу, </w:t>
      </w:r>
      <w:r w:rsidRPr="00A03291">
        <w:rPr>
          <w:rFonts w:ascii="Times New Roman" w:hAnsi="Times New Roman" w:cs="Times New Roman"/>
          <w:sz w:val="28"/>
          <w:szCs w:val="28"/>
          <w:lang w:val="uk-UA"/>
        </w:rPr>
        <w:t>реабсорбція натрію в проксимальних і дистальних канальцях нефрон</w:t>
      </w:r>
      <w:r w:rsidR="00EF1426">
        <w:rPr>
          <w:rFonts w:ascii="Times New Roman" w:hAnsi="Times New Roman" w:cs="Times New Roman"/>
          <w:sz w:val="28"/>
          <w:szCs w:val="28"/>
          <w:lang w:val="uk-UA"/>
        </w:rPr>
        <w:t>у</w:t>
      </w:r>
      <w:r w:rsidR="000E4E1F">
        <w:rPr>
          <w:rFonts w:ascii="Times New Roman" w:hAnsi="Times New Roman" w:cs="Times New Roman"/>
          <w:sz w:val="28"/>
          <w:szCs w:val="28"/>
          <w:lang w:val="uk-UA"/>
        </w:rPr>
        <w:t xml:space="preserve"> </w:t>
      </w:r>
      <w:r w:rsidR="000E4E1F" w:rsidRPr="000E4E1F">
        <w:rPr>
          <w:rFonts w:ascii="Times New Roman" w:hAnsi="Times New Roman" w:cs="Times New Roman"/>
          <w:sz w:val="28"/>
          <w:szCs w:val="28"/>
          <w:lang w:val="uk-UA"/>
        </w:rPr>
        <w:t>підвищується</w:t>
      </w:r>
      <w:r w:rsidR="00EF1426">
        <w:rPr>
          <w:rFonts w:ascii="Times New Roman" w:hAnsi="Times New Roman" w:cs="Times New Roman"/>
          <w:sz w:val="28"/>
          <w:szCs w:val="28"/>
          <w:lang w:val="uk-UA"/>
        </w:rPr>
        <w:t>, що створює передумови для</w:t>
      </w:r>
      <w:r w:rsidRPr="00A03291">
        <w:rPr>
          <w:rFonts w:ascii="Times New Roman" w:hAnsi="Times New Roman" w:cs="Times New Roman"/>
          <w:sz w:val="28"/>
          <w:szCs w:val="28"/>
          <w:lang w:val="uk-UA"/>
        </w:rPr>
        <w:t xml:space="preserve"> формування </w:t>
      </w:r>
      <w:r w:rsidR="009E4629">
        <w:rPr>
          <w:rFonts w:ascii="Times New Roman" w:hAnsi="Times New Roman" w:cs="Times New Roman"/>
          <w:sz w:val="28"/>
          <w:szCs w:val="28"/>
          <w:lang w:val="uk-UA"/>
        </w:rPr>
        <w:t xml:space="preserve">АГ. </w:t>
      </w:r>
      <w:r w:rsidR="001325B6">
        <w:rPr>
          <w:rFonts w:ascii="Times New Roman" w:hAnsi="Times New Roman" w:cs="Times New Roman"/>
          <w:sz w:val="28"/>
          <w:szCs w:val="28"/>
          <w:lang w:val="uk-UA"/>
        </w:rPr>
        <w:t>Ангіотензин-ІІ (</w:t>
      </w:r>
      <w:r w:rsidRPr="00A03291">
        <w:rPr>
          <w:rFonts w:ascii="Times New Roman" w:hAnsi="Times New Roman" w:cs="Times New Roman"/>
          <w:sz w:val="28"/>
          <w:szCs w:val="28"/>
          <w:lang w:val="uk-UA"/>
        </w:rPr>
        <w:t>АТ</w:t>
      </w:r>
      <w:r w:rsidR="00254823">
        <w:rPr>
          <w:rFonts w:ascii="Times New Roman" w:hAnsi="Times New Roman" w:cs="Times New Roman"/>
          <w:sz w:val="28"/>
          <w:szCs w:val="28"/>
          <w:lang w:val="uk-UA"/>
        </w:rPr>
        <w:t>-</w:t>
      </w:r>
      <w:r w:rsidRPr="00A03291">
        <w:rPr>
          <w:rFonts w:ascii="Times New Roman" w:hAnsi="Times New Roman" w:cs="Times New Roman"/>
          <w:sz w:val="28"/>
          <w:szCs w:val="28"/>
        </w:rPr>
        <w:t>II</w:t>
      </w:r>
      <w:r w:rsidR="001325B6">
        <w:rPr>
          <w:rFonts w:ascii="Times New Roman" w:hAnsi="Times New Roman" w:cs="Times New Roman"/>
          <w:sz w:val="28"/>
          <w:szCs w:val="28"/>
          <w:lang w:val="uk-UA"/>
        </w:rPr>
        <w:t>)</w:t>
      </w:r>
      <w:r w:rsidR="00DF710E">
        <w:rPr>
          <w:rFonts w:ascii="Times New Roman" w:hAnsi="Times New Roman" w:cs="Times New Roman"/>
          <w:sz w:val="28"/>
          <w:szCs w:val="28"/>
          <w:lang w:val="uk-UA"/>
        </w:rPr>
        <w:t xml:space="preserve"> чинить не лише судинозвужувальну та  протромбогенну дію, а</w:t>
      </w:r>
      <w:r w:rsidRPr="00A03291">
        <w:rPr>
          <w:rFonts w:ascii="Times New Roman" w:hAnsi="Times New Roman" w:cs="Times New Roman"/>
          <w:sz w:val="28"/>
          <w:szCs w:val="28"/>
          <w:lang w:val="uk-UA"/>
        </w:rPr>
        <w:t xml:space="preserve"> й здатен індукувати оксидативний стрес [</w:t>
      </w:r>
      <w:r w:rsidR="002C21DA">
        <w:rPr>
          <w:rFonts w:ascii="Times New Roman" w:hAnsi="Times New Roman" w:cs="Times New Roman"/>
          <w:sz w:val="28"/>
          <w:szCs w:val="28"/>
          <w:lang w:val="uk-UA"/>
        </w:rPr>
        <w:t>38</w:t>
      </w:r>
      <w:r w:rsidRPr="00A03291">
        <w:rPr>
          <w:rFonts w:ascii="Times New Roman" w:hAnsi="Times New Roman" w:cs="Times New Roman"/>
          <w:sz w:val="28"/>
          <w:szCs w:val="28"/>
          <w:lang w:val="uk-UA"/>
        </w:rPr>
        <w:t xml:space="preserve">]. </w:t>
      </w:r>
    </w:p>
    <w:p w:rsidR="00A1738D" w:rsidRPr="004A49EF" w:rsidRDefault="00F9247B" w:rsidP="004A49EF">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Погіршення функції </w:t>
      </w:r>
      <w:r w:rsidR="004471B2">
        <w:rPr>
          <w:rFonts w:ascii="Times New Roman" w:hAnsi="Times New Roman" w:cs="Times New Roman"/>
          <w:sz w:val="28"/>
          <w:szCs w:val="28"/>
          <w:lang w:val="uk-UA"/>
        </w:rPr>
        <w:t>нирок пов</w:t>
      </w:r>
      <w:r w:rsidR="00DF710E">
        <w:rPr>
          <w:rFonts w:ascii="Times New Roman" w:hAnsi="Times New Roman" w:cs="Times New Roman"/>
          <w:sz w:val="28"/>
          <w:szCs w:val="28"/>
          <w:lang w:val="uk-UA"/>
        </w:rPr>
        <w:t>’</w:t>
      </w:r>
      <w:r w:rsidR="004471B2">
        <w:rPr>
          <w:rFonts w:ascii="Times New Roman" w:hAnsi="Times New Roman" w:cs="Times New Roman"/>
          <w:sz w:val="28"/>
          <w:szCs w:val="28"/>
          <w:lang w:val="uk-UA"/>
        </w:rPr>
        <w:t>язане</w:t>
      </w:r>
      <w:r w:rsidR="004A49EF">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з дією системної</w:t>
      </w:r>
      <w:r w:rsidR="000D4B8E">
        <w:rPr>
          <w:rFonts w:ascii="Times New Roman" w:hAnsi="Times New Roman" w:cs="Times New Roman"/>
          <w:sz w:val="28"/>
          <w:szCs w:val="28"/>
          <w:lang w:val="uk-UA"/>
        </w:rPr>
        <w:t xml:space="preserve"> АГ</w:t>
      </w:r>
      <w:r w:rsidR="000D4B8E" w:rsidRPr="000D4B8E">
        <w:rPr>
          <w:rFonts w:ascii="Times New Roman" w:hAnsi="Times New Roman" w:cs="Times New Roman"/>
          <w:sz w:val="28"/>
          <w:szCs w:val="28"/>
          <w:lang w:val="uk-UA"/>
        </w:rPr>
        <w:t>;</w:t>
      </w:r>
      <w:r w:rsidR="004A49EF">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 </w:t>
      </w:r>
      <w:r w:rsidR="004A49EF">
        <w:rPr>
          <w:rFonts w:ascii="Times New Roman" w:hAnsi="Times New Roman" w:cs="Times New Roman"/>
          <w:sz w:val="28"/>
          <w:szCs w:val="28"/>
          <w:lang w:val="uk-UA"/>
        </w:rPr>
        <w:t>розвитком</w:t>
      </w:r>
      <w:r w:rsidR="00D01E19">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вну</w:t>
      </w:r>
      <w:r w:rsidR="00DF710E">
        <w:rPr>
          <w:rFonts w:ascii="Times New Roman" w:hAnsi="Times New Roman" w:cs="Times New Roman"/>
          <w:sz w:val="28"/>
          <w:szCs w:val="28"/>
          <w:lang w:val="uk-UA"/>
        </w:rPr>
        <w:t>трішньоклубочкової</w:t>
      </w:r>
      <w:r w:rsidR="004A49EF">
        <w:rPr>
          <w:rFonts w:ascii="Times New Roman" w:hAnsi="Times New Roman" w:cs="Times New Roman"/>
          <w:sz w:val="28"/>
          <w:szCs w:val="28"/>
          <w:lang w:val="uk-UA"/>
        </w:rPr>
        <w:t xml:space="preserve"> гіпертензії та гіперфільтрації з подальшою появою альбу</w:t>
      </w:r>
      <w:r w:rsidR="000D4B8E">
        <w:rPr>
          <w:rFonts w:ascii="Times New Roman" w:hAnsi="Times New Roman" w:cs="Times New Roman"/>
          <w:sz w:val="28"/>
          <w:szCs w:val="28"/>
          <w:lang w:val="uk-UA"/>
        </w:rPr>
        <w:t>м</w:t>
      </w:r>
      <w:r w:rsidR="00E572B0">
        <w:rPr>
          <w:rFonts w:ascii="Times New Roman" w:hAnsi="Times New Roman" w:cs="Times New Roman"/>
          <w:sz w:val="28"/>
          <w:szCs w:val="28"/>
          <w:lang w:val="uk-UA"/>
        </w:rPr>
        <w:t>інурії</w:t>
      </w:r>
      <w:r w:rsidR="00E572B0" w:rsidRPr="00E572B0">
        <w:rPr>
          <w:rFonts w:ascii="Times New Roman" w:hAnsi="Times New Roman" w:cs="Times New Roman"/>
          <w:sz w:val="28"/>
          <w:szCs w:val="28"/>
          <w:lang w:val="uk-UA"/>
        </w:rPr>
        <w:t>;</w:t>
      </w:r>
      <w:r w:rsidR="00DF710E">
        <w:rPr>
          <w:rFonts w:ascii="Times New Roman" w:hAnsi="Times New Roman" w:cs="Times New Roman"/>
          <w:sz w:val="28"/>
          <w:szCs w:val="28"/>
          <w:lang w:val="uk-UA"/>
        </w:rPr>
        <w:t xml:space="preserve"> </w:t>
      </w:r>
      <w:r w:rsidR="00E572B0">
        <w:rPr>
          <w:rFonts w:ascii="Times New Roman" w:hAnsi="Times New Roman" w:cs="Times New Roman"/>
          <w:sz w:val="28"/>
          <w:szCs w:val="28"/>
          <w:lang w:val="uk-UA"/>
        </w:rPr>
        <w:t>гіперглікемією</w:t>
      </w:r>
      <w:r w:rsidR="00E572B0" w:rsidRPr="00E572B0">
        <w:rPr>
          <w:rFonts w:ascii="Times New Roman" w:hAnsi="Times New Roman" w:cs="Times New Roman"/>
          <w:sz w:val="28"/>
          <w:szCs w:val="28"/>
          <w:lang w:val="uk-UA"/>
        </w:rPr>
        <w:t>;</w:t>
      </w:r>
      <w:r w:rsidR="004A49EF">
        <w:rPr>
          <w:rFonts w:ascii="Times New Roman" w:hAnsi="Times New Roman" w:cs="Times New Roman"/>
          <w:sz w:val="28"/>
          <w:szCs w:val="28"/>
          <w:lang w:val="uk-UA"/>
        </w:rPr>
        <w:t xml:space="preserve"> гіперліпідемією.</w:t>
      </w:r>
      <w:r w:rsidR="004A49EF" w:rsidRPr="004A49EF">
        <w:rPr>
          <w:rFonts w:ascii="Times New Roman" w:hAnsi="Times New Roman" w:cs="Times New Roman"/>
          <w:sz w:val="28"/>
          <w:szCs w:val="28"/>
          <w:lang w:val="uk-UA"/>
        </w:rPr>
        <w:t xml:space="preserve"> </w:t>
      </w:r>
      <w:r w:rsidR="004A49EF" w:rsidRPr="004A49EF">
        <w:rPr>
          <w:rFonts w:ascii="Times New Roman" w:eastAsia="Times New Roman" w:hAnsi="Times New Roman" w:cs="Times New Roman"/>
          <w:sz w:val="28"/>
          <w:szCs w:val="28"/>
          <w:lang w:val="uk-UA" w:eastAsia="ru-RU"/>
        </w:rPr>
        <w:t xml:space="preserve">Окислені </w:t>
      </w:r>
      <w:r w:rsidR="000E4E1F">
        <w:rPr>
          <w:rFonts w:ascii="Times New Roman" w:eastAsia="Times New Roman" w:hAnsi="Times New Roman" w:cs="Times New Roman"/>
          <w:sz w:val="28"/>
          <w:szCs w:val="28"/>
          <w:lang w:val="uk-UA" w:eastAsia="ru-RU"/>
        </w:rPr>
        <w:t xml:space="preserve">ХС </w:t>
      </w:r>
      <w:r w:rsidR="004A49EF" w:rsidRPr="004A49EF">
        <w:rPr>
          <w:rFonts w:ascii="Times New Roman" w:eastAsia="Times New Roman" w:hAnsi="Times New Roman" w:cs="Times New Roman"/>
          <w:sz w:val="28"/>
          <w:szCs w:val="28"/>
          <w:lang w:val="uk-UA" w:eastAsia="ru-RU"/>
        </w:rPr>
        <w:t xml:space="preserve">ЛПНЩ </w:t>
      </w:r>
      <w:r w:rsidR="004A49EF" w:rsidRPr="004A49EF">
        <w:rPr>
          <w:rFonts w:ascii="Times New Roman" w:eastAsia="Times New Roman" w:hAnsi="Times New Roman" w:cs="Times New Roman"/>
          <w:sz w:val="28"/>
          <w:szCs w:val="28"/>
          <w:lang w:val="uk-UA" w:eastAsia="ru-RU"/>
        </w:rPr>
        <w:lastRenderedPageBreak/>
        <w:t>проникають через ушкоджений ендотелій капілярів ниркових клубочків,  захоплюються мезангіальними клітинами з утворенням пінистих клітин, навколо яких формують колагенові волокна,</w:t>
      </w:r>
      <w:r w:rsidR="004A49EF">
        <w:rPr>
          <w:rFonts w:ascii="Times New Roman" w:eastAsia="Times New Roman" w:hAnsi="Times New Roman" w:cs="Times New Roman"/>
          <w:sz w:val="28"/>
          <w:szCs w:val="28"/>
          <w:lang w:val="uk-UA" w:eastAsia="ru-RU"/>
        </w:rPr>
        <w:t xml:space="preserve"> </w:t>
      </w:r>
      <w:r w:rsidR="004A49EF" w:rsidRPr="004A49EF">
        <w:rPr>
          <w:rFonts w:ascii="Times New Roman" w:eastAsia="Times New Roman" w:hAnsi="Times New Roman" w:cs="Times New Roman"/>
          <w:sz w:val="28"/>
          <w:szCs w:val="28"/>
          <w:lang w:val="uk-UA" w:eastAsia="ru-RU"/>
        </w:rPr>
        <w:t>і розвивається гломерулосклероз</w:t>
      </w:r>
      <w:r w:rsidR="004A49EF">
        <w:rPr>
          <w:rFonts w:ascii="Times New Roman" w:eastAsia="Times New Roman" w:hAnsi="Times New Roman" w:cs="Times New Roman"/>
          <w:sz w:val="28"/>
          <w:szCs w:val="28"/>
          <w:lang w:val="uk-UA" w:eastAsia="ru-RU"/>
        </w:rPr>
        <w:t xml:space="preserve"> [</w:t>
      </w:r>
      <w:r w:rsidR="002C21DA">
        <w:rPr>
          <w:rFonts w:ascii="Times New Roman" w:eastAsia="Times New Roman" w:hAnsi="Times New Roman" w:cs="Times New Roman"/>
          <w:sz w:val="28"/>
          <w:szCs w:val="28"/>
          <w:lang w:val="uk-UA" w:eastAsia="ru-RU"/>
        </w:rPr>
        <w:t>39</w:t>
      </w:r>
      <w:r w:rsidR="004A49EF" w:rsidRPr="004A49EF">
        <w:rPr>
          <w:rFonts w:ascii="Times New Roman" w:eastAsia="Times New Roman" w:hAnsi="Times New Roman" w:cs="Times New Roman"/>
          <w:sz w:val="28"/>
          <w:szCs w:val="28"/>
          <w:lang w:val="uk-UA" w:eastAsia="ru-RU"/>
        </w:rPr>
        <w:t>].</w:t>
      </w:r>
    </w:p>
    <w:p w:rsidR="001225FC" w:rsidRPr="00A03291" w:rsidRDefault="00EE11D3" w:rsidP="0021672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Утворення </w:t>
      </w:r>
      <w:r w:rsidR="00BE398C">
        <w:rPr>
          <w:rFonts w:ascii="Times New Roman" w:hAnsi="Times New Roman" w:cs="Times New Roman"/>
          <w:sz w:val="28"/>
          <w:szCs w:val="28"/>
          <w:lang w:val="uk-UA"/>
        </w:rPr>
        <w:t>атеросклеротичної бляшки супр</w:t>
      </w:r>
      <w:r w:rsidR="00E227B7">
        <w:rPr>
          <w:rFonts w:ascii="Times New Roman" w:hAnsi="Times New Roman" w:cs="Times New Roman"/>
          <w:sz w:val="28"/>
          <w:szCs w:val="28"/>
          <w:lang w:val="uk-UA"/>
        </w:rPr>
        <w:t>оводжується накопиченням ХС ЛПНЩ та ТГ</w:t>
      </w:r>
      <w:r w:rsidR="00E227B7" w:rsidRPr="00E227B7">
        <w:rPr>
          <w:rFonts w:ascii="Times New Roman" w:hAnsi="Times New Roman" w:cs="Times New Roman"/>
          <w:sz w:val="28"/>
          <w:szCs w:val="28"/>
          <w:lang w:val="uk-UA"/>
        </w:rPr>
        <w:t xml:space="preserve"> </w:t>
      </w:r>
      <w:r w:rsidR="00E227B7">
        <w:rPr>
          <w:rFonts w:ascii="Times New Roman" w:hAnsi="Times New Roman" w:cs="Times New Roman"/>
          <w:sz w:val="28"/>
          <w:szCs w:val="28"/>
          <w:lang w:val="uk-UA"/>
        </w:rPr>
        <w:t>у судинному руслі,</w:t>
      </w:r>
      <w:r w:rsidR="00BE398C">
        <w:rPr>
          <w:rFonts w:ascii="Times New Roman" w:hAnsi="Times New Roman" w:cs="Times New Roman"/>
          <w:sz w:val="28"/>
          <w:szCs w:val="28"/>
          <w:lang w:val="uk-UA"/>
        </w:rPr>
        <w:t xml:space="preserve"> локальною запальною реакцією, проліферацією гла</w:t>
      </w:r>
      <w:r w:rsidR="00D01E19">
        <w:rPr>
          <w:rFonts w:ascii="Times New Roman" w:hAnsi="Times New Roman" w:cs="Times New Roman"/>
          <w:sz w:val="28"/>
          <w:szCs w:val="28"/>
          <w:lang w:val="uk-UA"/>
        </w:rPr>
        <w:t>дкомʼ</w:t>
      </w:r>
      <w:r w:rsidR="00A1738D">
        <w:rPr>
          <w:rFonts w:ascii="Times New Roman" w:hAnsi="Times New Roman" w:cs="Times New Roman"/>
          <w:sz w:val="28"/>
          <w:szCs w:val="28"/>
          <w:lang w:val="uk-UA"/>
        </w:rPr>
        <w:t>язових клітин, фіброзом [</w:t>
      </w:r>
      <w:r w:rsidR="002C21DA">
        <w:rPr>
          <w:rFonts w:ascii="Times New Roman" w:hAnsi="Times New Roman" w:cs="Times New Roman"/>
          <w:sz w:val="28"/>
          <w:szCs w:val="28"/>
          <w:lang w:val="uk-UA"/>
        </w:rPr>
        <w:t>40</w:t>
      </w:r>
      <w:r w:rsidR="00BE398C" w:rsidRPr="00BE398C">
        <w:rPr>
          <w:rFonts w:ascii="Times New Roman" w:hAnsi="Times New Roman" w:cs="Times New Roman"/>
          <w:sz w:val="28"/>
          <w:szCs w:val="28"/>
          <w:lang w:val="uk-UA"/>
        </w:rPr>
        <w:t>].</w:t>
      </w:r>
    </w:p>
    <w:p w:rsidR="00A03291" w:rsidRPr="00C62AA0" w:rsidRDefault="000E4E1F" w:rsidP="00C62A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7F3B1A">
        <w:rPr>
          <w:rFonts w:ascii="Times New Roman" w:hAnsi="Times New Roman" w:cs="Times New Roman"/>
          <w:sz w:val="28"/>
          <w:szCs w:val="28"/>
          <w:lang w:val="uk-UA"/>
        </w:rPr>
        <w:t>ряму</w:t>
      </w:r>
      <w:r w:rsidR="001225FC" w:rsidRPr="00A03291">
        <w:rPr>
          <w:rFonts w:ascii="Times New Roman" w:hAnsi="Times New Roman" w:cs="Times New Roman"/>
          <w:sz w:val="28"/>
          <w:szCs w:val="28"/>
          <w:lang w:val="uk-UA"/>
        </w:rPr>
        <w:t xml:space="preserve"> пропорційн</w:t>
      </w:r>
      <w:r w:rsidR="00667752">
        <w:rPr>
          <w:rFonts w:ascii="Times New Roman" w:hAnsi="Times New Roman" w:cs="Times New Roman"/>
          <w:sz w:val="28"/>
          <w:szCs w:val="28"/>
          <w:lang w:val="uk-UA"/>
        </w:rPr>
        <w:t xml:space="preserve">у залежність між </w:t>
      </w:r>
      <w:r w:rsidR="00EE11D3">
        <w:rPr>
          <w:rFonts w:ascii="Times New Roman" w:hAnsi="Times New Roman" w:cs="Times New Roman"/>
          <w:sz w:val="28"/>
          <w:szCs w:val="28"/>
          <w:lang w:val="uk-UA"/>
        </w:rPr>
        <w:t>у</w:t>
      </w:r>
      <w:r w:rsidR="00D01E19">
        <w:rPr>
          <w:rFonts w:ascii="Times New Roman" w:hAnsi="Times New Roman" w:cs="Times New Roman"/>
          <w:sz w:val="28"/>
          <w:szCs w:val="28"/>
          <w:lang w:val="uk-UA"/>
        </w:rPr>
        <w:t xml:space="preserve">містом </w:t>
      </w:r>
      <w:r w:rsidR="00E152AD">
        <w:rPr>
          <w:rFonts w:ascii="Times New Roman" w:hAnsi="Times New Roman" w:cs="Times New Roman"/>
          <w:sz w:val="28"/>
          <w:szCs w:val="28"/>
          <w:lang w:val="uk-UA"/>
        </w:rPr>
        <w:t>HbA1c</w:t>
      </w:r>
      <w:r w:rsidR="00667752">
        <w:rPr>
          <w:rFonts w:ascii="Times New Roman" w:hAnsi="Times New Roman" w:cs="Times New Roman"/>
          <w:sz w:val="28"/>
          <w:szCs w:val="28"/>
          <w:lang w:val="uk-UA"/>
        </w:rPr>
        <w:t xml:space="preserve"> та</w:t>
      </w:r>
      <w:r w:rsidR="006A46EA">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альбумінурії</w:t>
      </w:r>
      <w:r>
        <w:rPr>
          <w:rFonts w:ascii="Times New Roman" w:hAnsi="Times New Roman" w:cs="Times New Roman"/>
          <w:sz w:val="28"/>
          <w:szCs w:val="28"/>
          <w:lang w:val="uk-UA"/>
        </w:rPr>
        <w:t xml:space="preserve"> установлено у хворих на ДН</w:t>
      </w:r>
      <w:r w:rsidR="001225FC" w:rsidRPr="00A03291">
        <w:rPr>
          <w:rFonts w:ascii="Times New Roman" w:hAnsi="Times New Roman" w:cs="Times New Roman"/>
          <w:sz w:val="28"/>
          <w:szCs w:val="28"/>
          <w:lang w:val="uk-UA"/>
        </w:rPr>
        <w:t xml:space="preserve"> [</w:t>
      </w:r>
      <w:r w:rsidR="002C21DA">
        <w:rPr>
          <w:rFonts w:ascii="Times New Roman" w:hAnsi="Times New Roman" w:cs="Times New Roman"/>
          <w:sz w:val="28"/>
          <w:szCs w:val="28"/>
        </w:rPr>
        <w:t>4</w:t>
      </w:r>
      <w:r w:rsidR="002C21DA">
        <w:rPr>
          <w:rFonts w:ascii="Times New Roman" w:hAnsi="Times New Roman" w:cs="Times New Roman"/>
          <w:sz w:val="28"/>
          <w:szCs w:val="28"/>
          <w:lang w:val="uk-UA"/>
        </w:rPr>
        <w:t>1</w:t>
      </w:r>
      <w:r w:rsidR="00667752" w:rsidRPr="002C21DA">
        <w:rPr>
          <w:rFonts w:ascii="Times New Roman" w:hAnsi="Times New Roman" w:cs="Times New Roman"/>
          <w:sz w:val="28"/>
          <w:szCs w:val="28"/>
          <w:lang w:val="uk-UA"/>
        </w:rPr>
        <w:t>,</w:t>
      </w:r>
      <w:r w:rsidR="002C21DA">
        <w:rPr>
          <w:rFonts w:ascii="Times New Roman" w:hAnsi="Times New Roman" w:cs="Times New Roman"/>
          <w:sz w:val="28"/>
          <w:szCs w:val="28"/>
        </w:rPr>
        <w:t>4</w:t>
      </w:r>
      <w:r w:rsidR="002C21DA">
        <w:rPr>
          <w:rFonts w:ascii="Times New Roman" w:hAnsi="Times New Roman" w:cs="Times New Roman"/>
          <w:sz w:val="28"/>
          <w:szCs w:val="28"/>
          <w:lang w:val="uk-UA"/>
        </w:rPr>
        <w:t>2</w:t>
      </w:r>
      <w:r w:rsidR="001225FC">
        <w:rPr>
          <w:rFonts w:ascii="Times New Roman" w:hAnsi="Times New Roman" w:cs="Times New Roman"/>
          <w:sz w:val="28"/>
          <w:szCs w:val="28"/>
          <w:lang w:val="uk-UA"/>
        </w:rPr>
        <w:t>].</w:t>
      </w:r>
      <w:r w:rsidR="007F3B1A" w:rsidRPr="007F3B1A">
        <w:rPr>
          <w:lang w:val="uk-UA"/>
        </w:rPr>
        <w:t xml:space="preserve"> </w:t>
      </w:r>
    </w:p>
    <w:p w:rsidR="00326873" w:rsidRDefault="000E4E1F" w:rsidP="006909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572B0">
        <w:rPr>
          <w:rFonts w:ascii="Times New Roman" w:hAnsi="Times New Roman" w:cs="Times New Roman"/>
          <w:sz w:val="28"/>
          <w:szCs w:val="28"/>
          <w:lang w:val="uk-UA"/>
        </w:rPr>
        <w:t xml:space="preserve">ідвищення </w:t>
      </w:r>
      <w:r w:rsidR="00D01E19">
        <w:rPr>
          <w:rFonts w:ascii="Times New Roman" w:hAnsi="Times New Roman" w:cs="Times New Roman"/>
          <w:sz w:val="28"/>
          <w:szCs w:val="28"/>
          <w:lang w:val="uk-UA"/>
        </w:rPr>
        <w:t xml:space="preserve">вмісту </w:t>
      </w:r>
      <w:r w:rsidR="001225FC" w:rsidRPr="00A03291">
        <w:rPr>
          <w:rFonts w:ascii="Times New Roman" w:hAnsi="Times New Roman" w:cs="Times New Roman"/>
          <w:sz w:val="28"/>
          <w:szCs w:val="28"/>
          <w:lang w:val="en-US"/>
        </w:rPr>
        <w:t>HbA</w:t>
      </w:r>
      <w:r w:rsidR="001225FC" w:rsidRPr="00A03291">
        <w:rPr>
          <w:rFonts w:ascii="Times New Roman" w:hAnsi="Times New Roman" w:cs="Times New Roman"/>
          <w:sz w:val="28"/>
          <w:szCs w:val="28"/>
          <w:lang w:val="uk-UA"/>
        </w:rPr>
        <w:t>1</w:t>
      </w:r>
      <w:r w:rsidR="001225FC" w:rsidRPr="00A03291">
        <w:rPr>
          <w:rFonts w:ascii="Times New Roman" w:hAnsi="Times New Roman" w:cs="Times New Roman"/>
          <w:sz w:val="28"/>
          <w:szCs w:val="28"/>
          <w:lang w:val="en-US"/>
        </w:rPr>
        <w:t>c</w:t>
      </w:r>
      <w:r w:rsidR="00D01E19">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асоціюється з більшим ризиком виникнення ССУ</w:t>
      </w:r>
      <w:r>
        <w:rPr>
          <w:rFonts w:ascii="Times New Roman" w:hAnsi="Times New Roman" w:cs="Times New Roman"/>
          <w:sz w:val="28"/>
          <w:szCs w:val="28"/>
          <w:lang w:val="uk-UA"/>
        </w:rPr>
        <w:t xml:space="preserve"> у </w:t>
      </w:r>
      <w:r w:rsidRPr="000E4E1F">
        <w:rPr>
          <w:rFonts w:ascii="Times New Roman" w:hAnsi="Times New Roman" w:cs="Times New Roman"/>
          <w:sz w:val="28"/>
          <w:szCs w:val="28"/>
          <w:lang w:val="uk-UA"/>
        </w:rPr>
        <w:t>пацієнтів із ЦД 2-го типу</w:t>
      </w:r>
      <w:r w:rsidR="00326873">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43</w:t>
      </w:r>
      <w:r w:rsidR="00326873">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Навіть збільшення </w:t>
      </w:r>
      <w:r w:rsidR="00E572B0">
        <w:rPr>
          <w:rFonts w:ascii="Times New Roman" w:hAnsi="Times New Roman" w:cs="Times New Roman"/>
          <w:sz w:val="28"/>
          <w:szCs w:val="28"/>
          <w:lang w:val="uk-UA"/>
        </w:rPr>
        <w:t>вмісту</w:t>
      </w:r>
      <w:r w:rsidR="001225FC" w:rsidRPr="00A03291">
        <w:rPr>
          <w:rFonts w:ascii="Times New Roman" w:hAnsi="Times New Roman" w:cs="Times New Roman"/>
          <w:sz w:val="28"/>
          <w:szCs w:val="28"/>
          <w:lang w:val="uk-UA"/>
        </w:rPr>
        <w:t xml:space="preserve"> HbA1c на 1</w:t>
      </w:r>
      <w:r w:rsidR="00975939">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свідчить про підвищення ризику розвитку С</w:t>
      </w:r>
      <w:r w:rsidR="00F86494">
        <w:rPr>
          <w:rFonts w:ascii="Times New Roman" w:hAnsi="Times New Roman" w:cs="Times New Roman"/>
          <w:sz w:val="28"/>
          <w:szCs w:val="28"/>
          <w:lang w:val="uk-UA"/>
        </w:rPr>
        <w:t xml:space="preserve">СУ у </w:t>
      </w:r>
      <w:r w:rsidR="00D01E19">
        <w:rPr>
          <w:rFonts w:ascii="Times New Roman" w:hAnsi="Times New Roman" w:cs="Times New Roman"/>
          <w:sz w:val="28"/>
          <w:szCs w:val="28"/>
          <w:lang w:val="uk-UA"/>
        </w:rPr>
        <w:t xml:space="preserve">хворих на </w:t>
      </w:r>
      <w:r w:rsidR="00F86494">
        <w:rPr>
          <w:rFonts w:ascii="Times New Roman" w:hAnsi="Times New Roman" w:cs="Times New Roman"/>
          <w:sz w:val="28"/>
          <w:szCs w:val="28"/>
          <w:lang w:val="uk-UA"/>
        </w:rPr>
        <w:t>ЦД 2-го типу [</w:t>
      </w:r>
      <w:r w:rsidR="002C21DA">
        <w:rPr>
          <w:rFonts w:ascii="Times New Roman" w:hAnsi="Times New Roman" w:cs="Times New Roman"/>
          <w:sz w:val="28"/>
          <w:szCs w:val="28"/>
          <w:lang w:val="uk-UA"/>
        </w:rPr>
        <w:t>44</w:t>
      </w:r>
      <w:r w:rsidR="001225FC" w:rsidRPr="00F86494">
        <w:rPr>
          <w:rFonts w:ascii="Times New Roman" w:hAnsi="Times New Roman" w:cs="Times New Roman"/>
          <w:sz w:val="28"/>
          <w:szCs w:val="28"/>
          <w:lang w:val="uk-UA"/>
        </w:rPr>
        <w:t>].</w:t>
      </w:r>
      <w:r w:rsidR="005F10EC" w:rsidRPr="005F10EC">
        <w:rPr>
          <w:rFonts w:ascii="Times New Roman" w:hAnsi="Times New Roman" w:cs="Times New Roman"/>
          <w:sz w:val="28"/>
          <w:szCs w:val="28"/>
          <w:lang w:val="uk-UA"/>
        </w:rPr>
        <w:t xml:space="preserve"> </w:t>
      </w:r>
    </w:p>
    <w:p w:rsidR="001225FC" w:rsidRPr="00A03291" w:rsidRDefault="00D01E19" w:rsidP="006909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5F10EC" w:rsidRPr="005F10EC">
        <w:rPr>
          <w:rFonts w:ascii="Times New Roman" w:hAnsi="Times New Roman" w:cs="Times New Roman"/>
          <w:sz w:val="28"/>
          <w:szCs w:val="28"/>
          <w:lang w:val="uk-UA"/>
        </w:rPr>
        <w:t xml:space="preserve">існі кореляційні зв’язки між величинами альбумінурії, </w:t>
      </w:r>
      <w:r w:rsidR="00E227B7">
        <w:rPr>
          <w:rFonts w:ascii="Times New Roman" w:hAnsi="Times New Roman" w:cs="Times New Roman"/>
          <w:sz w:val="28"/>
          <w:szCs w:val="28"/>
          <w:lang w:val="uk-UA"/>
        </w:rPr>
        <w:t xml:space="preserve">вмістом </w:t>
      </w:r>
      <w:r w:rsidR="005F10EC" w:rsidRPr="005F10EC">
        <w:rPr>
          <w:rFonts w:ascii="Times New Roman" w:hAnsi="Times New Roman" w:cs="Times New Roman"/>
          <w:sz w:val="28"/>
          <w:szCs w:val="28"/>
          <w:lang w:val="uk-UA"/>
        </w:rPr>
        <w:t xml:space="preserve">HbA1c і ЕТ-1 сироватки крові </w:t>
      </w:r>
      <w:r>
        <w:rPr>
          <w:rFonts w:ascii="Times New Roman" w:hAnsi="Times New Roman" w:cs="Times New Roman"/>
          <w:sz w:val="28"/>
          <w:szCs w:val="28"/>
          <w:lang w:val="uk-UA"/>
        </w:rPr>
        <w:t>констатовано у пацієнтів</w:t>
      </w:r>
      <w:r w:rsidR="005F10EC" w:rsidRPr="005F10EC">
        <w:rPr>
          <w:rFonts w:ascii="Times New Roman" w:hAnsi="Times New Roman" w:cs="Times New Roman"/>
          <w:sz w:val="28"/>
          <w:szCs w:val="28"/>
          <w:lang w:val="uk-UA"/>
        </w:rPr>
        <w:t xml:space="preserve"> </w:t>
      </w:r>
      <w:r>
        <w:rPr>
          <w:rFonts w:ascii="Times New Roman" w:hAnsi="Times New Roman" w:cs="Times New Roman"/>
          <w:sz w:val="28"/>
          <w:szCs w:val="28"/>
          <w:lang w:val="uk-UA"/>
        </w:rPr>
        <w:t>із ЦД 2-го типу</w:t>
      </w:r>
      <w:r w:rsidR="00E227B7">
        <w:rPr>
          <w:rFonts w:ascii="Times New Roman" w:hAnsi="Times New Roman" w:cs="Times New Roman"/>
          <w:sz w:val="28"/>
          <w:szCs w:val="28"/>
          <w:lang w:val="uk-UA"/>
        </w:rPr>
        <w:t xml:space="preserve">, що </w:t>
      </w:r>
      <w:r w:rsidR="00326873">
        <w:rPr>
          <w:rFonts w:ascii="Times New Roman" w:hAnsi="Times New Roman" w:cs="Times New Roman"/>
          <w:sz w:val="28"/>
          <w:szCs w:val="28"/>
          <w:lang w:val="uk-UA"/>
        </w:rPr>
        <w:t xml:space="preserve">свідчить про </w:t>
      </w:r>
      <w:r>
        <w:rPr>
          <w:rFonts w:ascii="Times New Roman" w:hAnsi="Times New Roman" w:cs="Times New Roman"/>
          <w:sz w:val="28"/>
          <w:szCs w:val="28"/>
          <w:lang w:val="uk-UA"/>
        </w:rPr>
        <w:t xml:space="preserve">важливу </w:t>
      </w:r>
      <w:r w:rsidR="00326873">
        <w:rPr>
          <w:rFonts w:ascii="Times New Roman" w:hAnsi="Times New Roman" w:cs="Times New Roman"/>
          <w:sz w:val="28"/>
          <w:szCs w:val="28"/>
          <w:lang w:val="uk-UA"/>
        </w:rPr>
        <w:t>роль дисфункції ендотелію у розвитку ДН</w:t>
      </w:r>
      <w:r w:rsidR="00E227B7">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24</w:t>
      </w:r>
      <w:r w:rsidR="00E227B7">
        <w:rPr>
          <w:rFonts w:ascii="Times New Roman" w:hAnsi="Times New Roman" w:cs="Times New Roman"/>
          <w:sz w:val="28"/>
          <w:szCs w:val="28"/>
          <w:lang w:val="uk-UA"/>
        </w:rPr>
        <w:t>]</w:t>
      </w:r>
      <w:r w:rsidR="00326873">
        <w:rPr>
          <w:rFonts w:ascii="Times New Roman" w:hAnsi="Times New Roman" w:cs="Times New Roman"/>
          <w:sz w:val="28"/>
          <w:szCs w:val="28"/>
          <w:lang w:val="uk-UA"/>
        </w:rPr>
        <w:t>.</w:t>
      </w:r>
    </w:p>
    <w:p w:rsidR="0003563A" w:rsidRDefault="007F3B1A" w:rsidP="00132DB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1E19">
        <w:rPr>
          <w:rFonts w:ascii="Times New Roman" w:hAnsi="Times New Roman" w:cs="Times New Roman"/>
          <w:sz w:val="28"/>
          <w:szCs w:val="28"/>
          <w:lang w:val="uk-UA"/>
        </w:rPr>
        <w:t>З</w:t>
      </w:r>
      <w:r w:rsidR="001225FC" w:rsidRPr="00A03291">
        <w:rPr>
          <w:rFonts w:ascii="Times New Roman" w:hAnsi="Times New Roman" w:cs="Times New Roman"/>
          <w:sz w:val="28"/>
          <w:szCs w:val="28"/>
          <w:lang w:val="uk-UA"/>
        </w:rPr>
        <w:t xml:space="preserve">начення </w:t>
      </w:r>
      <w:r w:rsidR="001225FC" w:rsidRPr="00A03291">
        <w:rPr>
          <w:rFonts w:ascii="Times New Roman" w:hAnsi="Times New Roman" w:cs="Times New Roman"/>
          <w:sz w:val="28"/>
          <w:szCs w:val="28"/>
          <w:lang w:val="en-US"/>
        </w:rPr>
        <w:t>HbA</w:t>
      </w:r>
      <w:r w:rsidR="001225FC" w:rsidRPr="00A03291">
        <w:rPr>
          <w:rFonts w:ascii="Times New Roman" w:hAnsi="Times New Roman" w:cs="Times New Roman"/>
          <w:sz w:val="28"/>
          <w:szCs w:val="28"/>
          <w:lang w:val="uk-UA"/>
        </w:rPr>
        <w:t>1</w:t>
      </w:r>
      <w:r w:rsidR="001225FC" w:rsidRPr="00A03291">
        <w:rPr>
          <w:rFonts w:ascii="Times New Roman" w:hAnsi="Times New Roman" w:cs="Times New Roman"/>
          <w:sz w:val="28"/>
          <w:szCs w:val="28"/>
          <w:lang w:val="en-US"/>
        </w:rPr>
        <w:t>c</w:t>
      </w:r>
      <w:r w:rsidR="00BA1971">
        <w:rPr>
          <w:rFonts w:ascii="Times New Roman" w:hAnsi="Times New Roman" w:cs="Times New Roman"/>
          <w:sz w:val="28"/>
          <w:szCs w:val="28"/>
          <w:lang w:val="uk-UA"/>
        </w:rPr>
        <w:t xml:space="preserve"> на рівні </w:t>
      </w:r>
      <w:r>
        <w:rPr>
          <w:rFonts w:ascii="Times New Roman" w:hAnsi="Times New Roman" w:cs="Times New Roman"/>
          <w:sz w:val="28"/>
          <w:szCs w:val="28"/>
          <w:lang w:val="uk-UA"/>
        </w:rPr>
        <w:t>6,5</w:t>
      </w:r>
      <w:r w:rsidR="00975939">
        <w:rPr>
          <w:rFonts w:ascii="Times New Roman" w:hAnsi="Times New Roman" w:cs="Times New Roman"/>
          <w:sz w:val="28"/>
          <w:szCs w:val="28"/>
          <w:lang w:val="uk-UA"/>
        </w:rPr>
        <w:t xml:space="preserve"> </w:t>
      </w:r>
      <w:r w:rsidR="00BA1971">
        <w:rPr>
          <w:rFonts w:ascii="Times New Roman" w:hAnsi="Times New Roman" w:cs="Times New Roman"/>
          <w:sz w:val="28"/>
          <w:szCs w:val="28"/>
          <w:lang w:val="uk-UA"/>
        </w:rPr>
        <w:t xml:space="preserve">% є </w:t>
      </w:r>
      <w:r w:rsidR="001225FC" w:rsidRPr="00A03291">
        <w:rPr>
          <w:rFonts w:ascii="Times New Roman" w:hAnsi="Times New Roman" w:cs="Times New Roman"/>
          <w:sz w:val="28"/>
          <w:szCs w:val="28"/>
          <w:lang w:val="uk-UA"/>
        </w:rPr>
        <w:t>достатн</w:t>
      </w:r>
      <w:r w:rsidR="00BA1971">
        <w:rPr>
          <w:rFonts w:ascii="Times New Roman" w:hAnsi="Times New Roman" w:cs="Times New Roman"/>
          <w:sz w:val="28"/>
          <w:szCs w:val="28"/>
          <w:lang w:val="uk-UA"/>
        </w:rPr>
        <w:t>ім критерієм ЦД</w:t>
      </w:r>
      <w:r w:rsidR="00D01E19">
        <w:rPr>
          <w:rFonts w:ascii="Times New Roman" w:hAnsi="Times New Roman" w:cs="Times New Roman"/>
          <w:sz w:val="28"/>
          <w:szCs w:val="28"/>
          <w:lang w:val="uk-UA"/>
        </w:rPr>
        <w:t xml:space="preserve"> згідно  </w:t>
      </w:r>
      <w:r w:rsidR="00D01E19" w:rsidRPr="00D01E19">
        <w:rPr>
          <w:rFonts w:ascii="Times New Roman" w:hAnsi="Times New Roman" w:cs="Times New Roman"/>
          <w:sz w:val="28"/>
          <w:szCs w:val="28"/>
          <w:lang w:val="uk-UA"/>
        </w:rPr>
        <w:t>рекомендацій Американської асоціації діабету (ADA) 2017 р.</w:t>
      </w:r>
      <w:r w:rsidR="00FC2621" w:rsidRPr="00FC2621">
        <w:rPr>
          <w:rFonts w:ascii="Times New Roman" w:hAnsi="Times New Roman" w:cs="Times New Roman"/>
          <w:sz w:val="28"/>
          <w:szCs w:val="28"/>
          <w:lang w:val="uk-UA"/>
        </w:rPr>
        <w:t xml:space="preserve">. </w:t>
      </w:r>
      <w:r w:rsidR="00B612AE">
        <w:rPr>
          <w:rFonts w:ascii="Times New Roman" w:hAnsi="Times New Roman" w:cs="Times New Roman"/>
          <w:sz w:val="28"/>
          <w:szCs w:val="28"/>
          <w:lang w:val="uk-UA"/>
        </w:rPr>
        <w:t xml:space="preserve">Хоча </w:t>
      </w:r>
      <w:r w:rsidR="00A90AF6">
        <w:rPr>
          <w:rFonts w:ascii="Times New Roman" w:hAnsi="Times New Roman" w:cs="Times New Roman"/>
          <w:sz w:val="28"/>
          <w:szCs w:val="28"/>
          <w:lang w:val="uk-UA"/>
        </w:rPr>
        <w:t xml:space="preserve">             </w:t>
      </w:r>
      <w:r w:rsidR="00B612AE">
        <w:rPr>
          <w:rFonts w:ascii="Times New Roman" w:hAnsi="Times New Roman" w:cs="Times New Roman"/>
          <w:sz w:val="28"/>
          <w:szCs w:val="28"/>
          <w:lang w:val="uk-UA"/>
        </w:rPr>
        <w:t xml:space="preserve">для більшості хворих цільовим рівнем </w:t>
      </w:r>
      <w:r w:rsidR="00B612AE" w:rsidRPr="00B612AE">
        <w:rPr>
          <w:rFonts w:ascii="Times New Roman" w:hAnsi="Times New Roman" w:cs="Times New Roman"/>
          <w:sz w:val="28"/>
          <w:szCs w:val="28"/>
          <w:lang w:val="uk-UA"/>
        </w:rPr>
        <w:t xml:space="preserve">HbA1c </w:t>
      </w:r>
      <w:r w:rsidR="00E227B7">
        <w:rPr>
          <w:rFonts w:ascii="Times New Roman" w:hAnsi="Times New Roman" w:cs="Times New Roman"/>
          <w:sz w:val="28"/>
          <w:szCs w:val="28"/>
          <w:lang w:val="uk-UA"/>
        </w:rPr>
        <w:t>є менший за 7,0 %. П</w:t>
      </w:r>
      <w:r w:rsidR="00B612AE">
        <w:rPr>
          <w:rFonts w:ascii="Times New Roman" w:hAnsi="Times New Roman" w:cs="Times New Roman"/>
          <w:sz w:val="28"/>
          <w:szCs w:val="28"/>
          <w:lang w:val="uk-UA"/>
        </w:rPr>
        <w:t>роте цей показник</w:t>
      </w:r>
      <w:r w:rsidR="00FC2621">
        <w:rPr>
          <w:rFonts w:ascii="Times New Roman" w:hAnsi="Times New Roman" w:cs="Times New Roman"/>
          <w:sz w:val="28"/>
          <w:szCs w:val="28"/>
          <w:lang w:val="uk-UA"/>
        </w:rPr>
        <w:t xml:space="preserve"> </w:t>
      </w:r>
      <w:r w:rsidR="00B612AE">
        <w:rPr>
          <w:rFonts w:ascii="Times New Roman" w:hAnsi="Times New Roman" w:cs="Times New Roman"/>
          <w:sz w:val="28"/>
          <w:szCs w:val="28"/>
          <w:lang w:val="uk-UA"/>
        </w:rPr>
        <w:t xml:space="preserve">дещо </w:t>
      </w:r>
      <w:r w:rsidR="00FC2621">
        <w:rPr>
          <w:rFonts w:ascii="Times New Roman" w:hAnsi="Times New Roman" w:cs="Times New Roman"/>
          <w:sz w:val="28"/>
          <w:szCs w:val="28"/>
          <w:lang w:val="uk-UA"/>
        </w:rPr>
        <w:t>відрізняю</w:t>
      </w:r>
      <w:r w:rsidR="00E227B7">
        <w:rPr>
          <w:rFonts w:ascii="Times New Roman" w:hAnsi="Times New Roman" w:cs="Times New Roman"/>
          <w:sz w:val="28"/>
          <w:szCs w:val="28"/>
          <w:lang w:val="uk-UA"/>
        </w:rPr>
        <w:t>є</w:t>
      </w:r>
      <w:r w:rsidR="00FC2621">
        <w:rPr>
          <w:rFonts w:ascii="Times New Roman" w:hAnsi="Times New Roman" w:cs="Times New Roman"/>
          <w:sz w:val="28"/>
          <w:szCs w:val="28"/>
          <w:lang w:val="uk-UA"/>
        </w:rPr>
        <w:t>ться для різних категорій хворих.</w:t>
      </w:r>
      <w:r w:rsidR="00EF09E0">
        <w:rPr>
          <w:rFonts w:ascii="Times New Roman" w:hAnsi="Times New Roman" w:cs="Times New Roman"/>
          <w:sz w:val="28"/>
          <w:szCs w:val="28"/>
          <w:lang w:val="uk-UA"/>
        </w:rPr>
        <w:t xml:space="preserve"> </w:t>
      </w:r>
      <w:r w:rsidR="00EF09E0" w:rsidRPr="00EF09E0">
        <w:rPr>
          <w:rFonts w:ascii="Times New Roman" w:hAnsi="Times New Roman" w:cs="Times New Roman"/>
          <w:sz w:val="28"/>
          <w:szCs w:val="28"/>
          <w:lang w:val="uk-UA"/>
        </w:rPr>
        <w:t>Ц</w:t>
      </w:r>
      <w:r w:rsidR="003B4534">
        <w:rPr>
          <w:rFonts w:ascii="Times New Roman" w:hAnsi="Times New Roman" w:cs="Times New Roman"/>
          <w:sz w:val="28"/>
          <w:szCs w:val="28"/>
          <w:lang w:val="uk-UA"/>
        </w:rPr>
        <w:t>ільовий вміст</w:t>
      </w:r>
      <w:r w:rsidR="00B612AE">
        <w:rPr>
          <w:rFonts w:ascii="Times New Roman" w:hAnsi="Times New Roman" w:cs="Times New Roman"/>
          <w:sz w:val="28"/>
          <w:szCs w:val="28"/>
          <w:lang w:val="uk-UA"/>
        </w:rPr>
        <w:t xml:space="preserve"> </w:t>
      </w:r>
      <w:r w:rsidR="00B612AE" w:rsidRPr="00B612AE">
        <w:rPr>
          <w:rFonts w:ascii="Times New Roman" w:hAnsi="Times New Roman" w:cs="Times New Roman"/>
          <w:sz w:val="28"/>
          <w:szCs w:val="28"/>
          <w:lang w:val="uk-UA"/>
        </w:rPr>
        <w:t>HbA1c</w:t>
      </w:r>
      <w:r w:rsidR="00B612AE">
        <w:rPr>
          <w:rFonts w:ascii="Times New Roman" w:hAnsi="Times New Roman" w:cs="Times New Roman"/>
          <w:sz w:val="28"/>
          <w:szCs w:val="28"/>
          <w:lang w:val="uk-UA"/>
        </w:rPr>
        <w:t xml:space="preserve"> є менш жорстким (&lt; 8</w:t>
      </w:r>
      <w:r w:rsidR="00B612AE" w:rsidRPr="00B612AE">
        <w:rPr>
          <w:rFonts w:ascii="Times New Roman" w:hAnsi="Times New Roman" w:cs="Times New Roman"/>
          <w:sz w:val="28"/>
          <w:szCs w:val="28"/>
          <w:lang w:val="uk-UA"/>
        </w:rPr>
        <w:t>,0 %)</w:t>
      </w:r>
      <w:r w:rsidR="00EF09E0">
        <w:rPr>
          <w:rFonts w:ascii="Times New Roman" w:hAnsi="Times New Roman" w:cs="Times New Roman"/>
          <w:sz w:val="28"/>
          <w:szCs w:val="28"/>
          <w:lang w:val="uk-UA"/>
        </w:rPr>
        <w:t xml:space="preserve"> для пацієнтів </w:t>
      </w:r>
      <w:r w:rsidR="00EF09E0" w:rsidRPr="00EF09E0">
        <w:rPr>
          <w:rFonts w:ascii="Times New Roman" w:hAnsi="Times New Roman" w:cs="Times New Roman"/>
          <w:sz w:val="28"/>
          <w:szCs w:val="28"/>
          <w:lang w:val="uk-UA"/>
        </w:rPr>
        <w:t>із наявною коморбідною патологією, мікросудинними чи макросудинними ускладненнями</w:t>
      </w:r>
      <w:r w:rsidR="001225FC" w:rsidRPr="00A03291">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7</w:t>
      </w:r>
      <w:r w:rsidR="001225FC" w:rsidRPr="0010318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1225FC" w:rsidRPr="00E72361" w:rsidRDefault="0003563A" w:rsidP="00132DB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0A2E">
        <w:rPr>
          <w:rFonts w:ascii="Times New Roman" w:hAnsi="Times New Roman" w:cs="Times New Roman"/>
          <w:sz w:val="28"/>
          <w:szCs w:val="28"/>
          <w:lang w:val="uk-UA"/>
        </w:rPr>
        <w:t>Н</w:t>
      </w:r>
      <w:r w:rsidR="00AA12DC">
        <w:rPr>
          <w:rFonts w:ascii="Times New Roman" w:hAnsi="Times New Roman" w:cs="Times New Roman"/>
          <w:sz w:val="28"/>
          <w:szCs w:val="28"/>
          <w:lang w:val="uk-UA"/>
        </w:rPr>
        <w:t xml:space="preserve">а думку інших дослідників, </w:t>
      </w:r>
      <w:r w:rsidR="00AA12DC" w:rsidRPr="00A03291">
        <w:rPr>
          <w:rFonts w:ascii="Times New Roman" w:hAnsi="Times New Roman" w:cs="Times New Roman"/>
          <w:sz w:val="28"/>
          <w:szCs w:val="28"/>
          <w:lang w:val="en-US"/>
        </w:rPr>
        <w:t>HbA</w:t>
      </w:r>
      <w:r w:rsidR="00AA12DC" w:rsidRPr="00A03291">
        <w:rPr>
          <w:rFonts w:ascii="Times New Roman" w:hAnsi="Times New Roman" w:cs="Times New Roman"/>
          <w:sz w:val="28"/>
          <w:szCs w:val="28"/>
          <w:lang w:val="uk-UA"/>
        </w:rPr>
        <w:t>1</w:t>
      </w:r>
      <w:r w:rsidR="00AA12DC" w:rsidRPr="00A03291">
        <w:rPr>
          <w:rFonts w:ascii="Times New Roman" w:hAnsi="Times New Roman" w:cs="Times New Roman"/>
          <w:sz w:val="28"/>
          <w:szCs w:val="28"/>
          <w:lang w:val="en-US"/>
        </w:rPr>
        <w:t>c</w:t>
      </w:r>
      <w:r w:rsidR="00AA12DC">
        <w:rPr>
          <w:rFonts w:ascii="Times New Roman" w:hAnsi="Times New Roman" w:cs="Times New Roman"/>
          <w:sz w:val="28"/>
          <w:szCs w:val="28"/>
          <w:lang w:val="uk-UA"/>
        </w:rPr>
        <w:t xml:space="preserve"> ніколи не буде рекомендований </w:t>
      </w:r>
      <w:r w:rsidR="00A90AF6">
        <w:rPr>
          <w:rFonts w:ascii="Times New Roman" w:hAnsi="Times New Roman" w:cs="Times New Roman"/>
          <w:sz w:val="28"/>
          <w:szCs w:val="28"/>
          <w:lang w:val="uk-UA"/>
        </w:rPr>
        <w:t xml:space="preserve">    </w:t>
      </w:r>
      <w:r w:rsidR="00AA12DC">
        <w:rPr>
          <w:rFonts w:ascii="Times New Roman" w:hAnsi="Times New Roman" w:cs="Times New Roman"/>
          <w:sz w:val="28"/>
          <w:szCs w:val="28"/>
          <w:lang w:val="uk-UA"/>
        </w:rPr>
        <w:t xml:space="preserve">в якості діагностичного тесту ЦД. </w:t>
      </w:r>
      <w:r w:rsidR="00EF09E0">
        <w:rPr>
          <w:rFonts w:ascii="Times New Roman" w:hAnsi="Times New Roman" w:cs="Times New Roman"/>
          <w:sz w:val="28"/>
          <w:szCs w:val="28"/>
          <w:lang w:val="uk-UA"/>
        </w:rPr>
        <w:t xml:space="preserve">Вміст </w:t>
      </w:r>
      <w:r w:rsidR="00EF09E0" w:rsidRPr="00EF09E0">
        <w:rPr>
          <w:rFonts w:ascii="Times New Roman" w:hAnsi="Times New Roman" w:cs="Times New Roman"/>
          <w:sz w:val="28"/>
          <w:szCs w:val="28"/>
          <w:lang w:val="uk-UA"/>
        </w:rPr>
        <w:t xml:space="preserve">HbA1c </w:t>
      </w:r>
      <w:r w:rsidR="00975939">
        <w:rPr>
          <w:rFonts w:ascii="Times New Roman" w:hAnsi="Times New Roman" w:cs="Times New Roman"/>
          <w:sz w:val="28"/>
          <w:szCs w:val="28"/>
          <w:lang w:val="uk-UA"/>
        </w:rPr>
        <w:t>свідчить про</w:t>
      </w:r>
      <w:r w:rsidR="00AA12DC">
        <w:rPr>
          <w:rFonts w:ascii="Times New Roman" w:hAnsi="Times New Roman" w:cs="Times New Roman"/>
          <w:sz w:val="28"/>
          <w:szCs w:val="28"/>
          <w:lang w:val="uk-UA"/>
        </w:rPr>
        <w:t xml:space="preserve"> середні значення глікемії </w:t>
      </w:r>
      <w:r w:rsidR="00975939">
        <w:rPr>
          <w:rFonts w:ascii="Times New Roman" w:hAnsi="Times New Roman" w:cs="Times New Roman"/>
          <w:sz w:val="28"/>
          <w:szCs w:val="28"/>
          <w:lang w:val="uk-UA"/>
        </w:rPr>
        <w:t>впродовж</w:t>
      </w:r>
      <w:r w:rsidR="00AA12DC">
        <w:rPr>
          <w:rFonts w:ascii="Times New Roman" w:hAnsi="Times New Roman" w:cs="Times New Roman"/>
          <w:sz w:val="28"/>
          <w:szCs w:val="28"/>
          <w:lang w:val="uk-UA"/>
        </w:rPr>
        <w:t xml:space="preserve"> 6</w:t>
      </w:r>
      <w:r w:rsidR="00975939">
        <w:rPr>
          <w:rFonts w:ascii="Times New Roman" w:hAnsi="Times New Roman" w:cs="Times New Roman"/>
          <w:sz w:val="28"/>
          <w:szCs w:val="28"/>
          <w:lang w:val="uk-UA"/>
        </w:rPr>
        <w:t>−</w:t>
      </w:r>
      <w:r w:rsidR="00AA12DC">
        <w:rPr>
          <w:rFonts w:ascii="Times New Roman" w:hAnsi="Times New Roman" w:cs="Times New Roman"/>
          <w:sz w:val="28"/>
          <w:szCs w:val="28"/>
          <w:lang w:val="uk-UA"/>
        </w:rPr>
        <w:t>8 тижнів</w:t>
      </w:r>
      <w:r w:rsidR="00975939">
        <w:rPr>
          <w:rFonts w:ascii="Times New Roman" w:hAnsi="Times New Roman" w:cs="Times New Roman"/>
          <w:sz w:val="28"/>
          <w:szCs w:val="28"/>
          <w:lang w:val="uk-UA"/>
        </w:rPr>
        <w:t xml:space="preserve"> і не </w:t>
      </w:r>
      <w:r w:rsidR="00A53B92">
        <w:rPr>
          <w:rFonts w:ascii="Times New Roman" w:hAnsi="Times New Roman" w:cs="Times New Roman"/>
          <w:sz w:val="28"/>
          <w:szCs w:val="28"/>
          <w:lang w:val="uk-UA"/>
        </w:rPr>
        <w:t>дає інформації</w:t>
      </w:r>
      <w:r w:rsidR="00E72361">
        <w:rPr>
          <w:rFonts w:ascii="Times New Roman" w:hAnsi="Times New Roman" w:cs="Times New Roman"/>
          <w:sz w:val="28"/>
          <w:szCs w:val="28"/>
          <w:lang w:val="uk-UA"/>
        </w:rPr>
        <w:t xml:space="preserve"> відносно тривалості та частоти значних коливань глюкози в крові</w:t>
      </w:r>
      <w:r w:rsidR="00EF09E0">
        <w:rPr>
          <w:rFonts w:ascii="Times New Roman" w:hAnsi="Times New Roman" w:cs="Times New Roman"/>
          <w:sz w:val="28"/>
          <w:szCs w:val="28"/>
          <w:lang w:val="uk-UA"/>
        </w:rPr>
        <w:t xml:space="preserve">, хоча і </w:t>
      </w:r>
      <w:r w:rsidR="00EF09E0" w:rsidRPr="00EF09E0">
        <w:rPr>
          <w:rFonts w:ascii="Times New Roman" w:hAnsi="Times New Roman" w:cs="Times New Roman"/>
          <w:sz w:val="28"/>
          <w:szCs w:val="28"/>
          <w:lang w:val="uk-UA"/>
        </w:rPr>
        <w:t>вважається критерієм метаболічного контролю та ефективності досягнення нормалізації вуглеводного обміну</w:t>
      </w:r>
      <w:r w:rsidR="00E72361">
        <w:rPr>
          <w:rFonts w:ascii="Times New Roman" w:hAnsi="Times New Roman" w:cs="Times New Roman"/>
          <w:sz w:val="28"/>
          <w:szCs w:val="28"/>
          <w:lang w:val="uk-UA"/>
        </w:rPr>
        <w:t xml:space="preserve"> </w:t>
      </w:r>
      <w:r w:rsidR="00E72361" w:rsidRPr="00C705BB">
        <w:rPr>
          <w:rFonts w:ascii="Times New Roman" w:hAnsi="Times New Roman" w:cs="Times New Roman"/>
          <w:sz w:val="28"/>
          <w:szCs w:val="28"/>
          <w:lang w:val="uk-UA"/>
        </w:rPr>
        <w:t>[</w:t>
      </w:r>
      <w:r w:rsidR="002C21DA">
        <w:rPr>
          <w:rFonts w:ascii="Times New Roman" w:hAnsi="Times New Roman" w:cs="Times New Roman"/>
          <w:sz w:val="28"/>
          <w:szCs w:val="28"/>
          <w:lang w:val="uk-UA"/>
        </w:rPr>
        <w:t>45</w:t>
      </w:r>
      <w:r w:rsidR="00E72361" w:rsidRPr="00C705BB">
        <w:rPr>
          <w:rFonts w:ascii="Times New Roman" w:hAnsi="Times New Roman" w:cs="Times New Roman"/>
          <w:sz w:val="28"/>
          <w:szCs w:val="28"/>
          <w:lang w:val="uk-UA"/>
        </w:rPr>
        <w:t>].</w:t>
      </w:r>
    </w:p>
    <w:p w:rsidR="001225FC" w:rsidRPr="00A03291" w:rsidRDefault="00767410" w:rsidP="00E55468">
      <w:pPr>
        <w:autoSpaceDE w:val="0"/>
        <w:autoSpaceDN w:val="0"/>
        <w:adjustRightInd w:val="0"/>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0610">
        <w:rPr>
          <w:rFonts w:ascii="Times New Roman" w:hAnsi="Times New Roman" w:cs="Times New Roman"/>
          <w:sz w:val="28"/>
          <w:szCs w:val="28"/>
          <w:lang w:val="uk-UA"/>
        </w:rPr>
        <w:t>Н</w:t>
      </w:r>
      <w:r w:rsidR="001225FC" w:rsidRPr="00E913B8">
        <w:rPr>
          <w:rFonts w:ascii="Times New Roman" w:hAnsi="Times New Roman" w:cs="Times New Roman"/>
          <w:sz w:val="28"/>
          <w:szCs w:val="28"/>
          <w:lang w:val="uk-UA"/>
        </w:rPr>
        <w:t xml:space="preserve">акопичення </w:t>
      </w:r>
      <w:r w:rsidR="001225FC" w:rsidRPr="00A03291">
        <w:rPr>
          <w:rFonts w:ascii="Times New Roman" w:hAnsi="Times New Roman" w:cs="Times New Roman"/>
          <w:sz w:val="28"/>
          <w:szCs w:val="28"/>
          <w:lang w:val="en-US"/>
        </w:rPr>
        <w:t>HbA</w:t>
      </w:r>
      <w:r w:rsidR="001225FC" w:rsidRPr="00E913B8">
        <w:rPr>
          <w:rFonts w:ascii="Times New Roman" w:hAnsi="Times New Roman" w:cs="Times New Roman"/>
          <w:sz w:val="28"/>
          <w:szCs w:val="28"/>
          <w:lang w:val="uk-UA"/>
        </w:rPr>
        <w:t>1</w:t>
      </w:r>
      <w:r w:rsidR="001225FC" w:rsidRPr="00A03291">
        <w:rPr>
          <w:rFonts w:ascii="Times New Roman" w:hAnsi="Times New Roman" w:cs="Times New Roman"/>
          <w:sz w:val="28"/>
          <w:szCs w:val="28"/>
          <w:lang w:val="en-US"/>
        </w:rPr>
        <w:t>c</w:t>
      </w:r>
      <w:r w:rsidR="002121A3">
        <w:rPr>
          <w:rFonts w:ascii="Times New Roman" w:hAnsi="Times New Roman" w:cs="Times New Roman"/>
          <w:sz w:val="28"/>
          <w:szCs w:val="28"/>
          <w:lang w:val="uk-UA"/>
        </w:rPr>
        <w:t xml:space="preserve"> </w:t>
      </w:r>
      <w:r w:rsidR="00720610">
        <w:rPr>
          <w:rFonts w:ascii="Times New Roman" w:hAnsi="Times New Roman" w:cs="Times New Roman"/>
          <w:sz w:val="28"/>
          <w:szCs w:val="28"/>
          <w:lang w:val="uk-UA"/>
        </w:rPr>
        <w:t xml:space="preserve">відбувається </w:t>
      </w:r>
      <w:r w:rsidR="002121A3">
        <w:rPr>
          <w:rFonts w:ascii="Times New Roman" w:hAnsi="Times New Roman" w:cs="Times New Roman"/>
          <w:sz w:val="28"/>
          <w:szCs w:val="28"/>
          <w:lang w:val="uk-UA"/>
        </w:rPr>
        <w:t>у</w:t>
      </w:r>
      <w:r w:rsidR="001225FC" w:rsidRPr="00E913B8">
        <w:rPr>
          <w:rFonts w:ascii="Times New Roman" w:hAnsi="Times New Roman" w:cs="Times New Roman"/>
          <w:sz w:val="28"/>
          <w:szCs w:val="28"/>
          <w:lang w:val="uk-UA"/>
        </w:rPr>
        <w:t xml:space="preserve"> базальних мембранах капілярів</w:t>
      </w:r>
      <w:r w:rsidR="00D10E1B">
        <w:rPr>
          <w:rFonts w:ascii="Times New Roman" w:hAnsi="Times New Roman" w:cs="Times New Roman"/>
          <w:sz w:val="28"/>
          <w:szCs w:val="28"/>
          <w:lang w:val="uk-UA"/>
        </w:rPr>
        <w:t xml:space="preserve"> ниркових клубочків</w:t>
      </w:r>
      <w:r w:rsidR="005B0A2E">
        <w:rPr>
          <w:rFonts w:ascii="Times New Roman" w:hAnsi="Times New Roman" w:cs="Times New Roman"/>
          <w:sz w:val="28"/>
          <w:szCs w:val="28"/>
          <w:lang w:val="uk-UA"/>
        </w:rPr>
        <w:t xml:space="preserve"> пропорційно до вираженості </w:t>
      </w:r>
      <w:r w:rsidR="002121A3">
        <w:rPr>
          <w:rFonts w:ascii="Times New Roman" w:hAnsi="Times New Roman" w:cs="Times New Roman"/>
          <w:sz w:val="28"/>
          <w:szCs w:val="28"/>
          <w:lang w:val="uk-UA"/>
        </w:rPr>
        <w:t>йо</w:t>
      </w:r>
      <w:r w:rsidR="005B0A2E">
        <w:rPr>
          <w:rFonts w:ascii="Times New Roman" w:hAnsi="Times New Roman" w:cs="Times New Roman"/>
          <w:sz w:val="28"/>
          <w:szCs w:val="28"/>
          <w:lang w:val="uk-UA"/>
        </w:rPr>
        <w:t xml:space="preserve">го глікозилювання і </w:t>
      </w:r>
      <w:r w:rsidR="001225FC" w:rsidRPr="00E913B8">
        <w:rPr>
          <w:rFonts w:ascii="Times New Roman" w:hAnsi="Times New Roman" w:cs="Times New Roman"/>
          <w:sz w:val="28"/>
          <w:szCs w:val="28"/>
          <w:lang w:val="uk-UA"/>
        </w:rPr>
        <w:t xml:space="preserve"> </w:t>
      </w:r>
      <w:r w:rsidR="002121A3">
        <w:rPr>
          <w:rFonts w:ascii="Times New Roman" w:hAnsi="Times New Roman" w:cs="Times New Roman"/>
          <w:sz w:val="28"/>
          <w:szCs w:val="28"/>
          <w:lang w:val="uk-UA"/>
        </w:rPr>
        <w:lastRenderedPageBreak/>
        <w:t>тя</w:t>
      </w:r>
      <w:r w:rsidR="00400B4B">
        <w:rPr>
          <w:rFonts w:ascii="Times New Roman" w:hAnsi="Times New Roman" w:cs="Times New Roman"/>
          <w:sz w:val="28"/>
          <w:szCs w:val="28"/>
          <w:lang w:val="uk-UA"/>
        </w:rPr>
        <w:t>жкості гіперглікемії. Глікозильований гемоглобін</w:t>
      </w:r>
      <w:r w:rsidR="00720610">
        <w:rPr>
          <w:rFonts w:ascii="Times New Roman" w:hAnsi="Times New Roman" w:cs="Times New Roman"/>
          <w:sz w:val="28"/>
          <w:szCs w:val="28"/>
          <w:lang w:val="uk-UA"/>
        </w:rPr>
        <w:t xml:space="preserve"> має особливу </w:t>
      </w:r>
      <w:r w:rsidR="00720610" w:rsidRPr="00720610">
        <w:rPr>
          <w:rFonts w:ascii="Times New Roman" w:hAnsi="Times New Roman" w:cs="Times New Roman"/>
          <w:sz w:val="28"/>
          <w:szCs w:val="28"/>
          <w:lang w:val="uk-UA"/>
        </w:rPr>
        <w:t>спорідненість</w:t>
      </w:r>
      <w:r w:rsidR="001225FC" w:rsidRPr="00E913B8">
        <w:rPr>
          <w:rFonts w:ascii="Times New Roman" w:hAnsi="Times New Roman" w:cs="Times New Roman"/>
          <w:sz w:val="28"/>
          <w:szCs w:val="28"/>
          <w:lang w:val="uk-UA"/>
        </w:rPr>
        <w:t xml:space="preserve"> до капілярів ниркових клубочків</w:t>
      </w:r>
      <w:r w:rsidR="00D10E1B">
        <w:rPr>
          <w:rFonts w:ascii="Times New Roman" w:hAnsi="Times New Roman" w:cs="Times New Roman"/>
          <w:sz w:val="28"/>
          <w:szCs w:val="28"/>
          <w:lang w:val="uk-UA"/>
        </w:rPr>
        <w:t xml:space="preserve">. Саме гіперглікемія і </w:t>
      </w:r>
      <w:r w:rsidR="00D10E1B" w:rsidRPr="00D10E1B">
        <w:rPr>
          <w:rFonts w:ascii="Times New Roman" w:hAnsi="Times New Roman" w:cs="Times New Roman"/>
          <w:sz w:val="28"/>
          <w:szCs w:val="28"/>
          <w:lang w:val="uk-UA"/>
        </w:rPr>
        <w:t>HbA1c</w:t>
      </w:r>
      <w:r w:rsidR="00D10E1B">
        <w:rPr>
          <w:rFonts w:ascii="Times New Roman" w:hAnsi="Times New Roman" w:cs="Times New Roman"/>
          <w:sz w:val="28"/>
          <w:szCs w:val="28"/>
          <w:lang w:val="uk-UA"/>
        </w:rPr>
        <w:t xml:space="preserve"> є предикторами ДН</w:t>
      </w:r>
      <w:r w:rsidR="001225FC" w:rsidRPr="00E913B8">
        <w:rPr>
          <w:rFonts w:ascii="Times New Roman" w:hAnsi="Times New Roman" w:cs="Times New Roman"/>
          <w:sz w:val="28"/>
          <w:szCs w:val="28"/>
          <w:lang w:val="uk-UA"/>
        </w:rPr>
        <w:t xml:space="preserve"> </w:t>
      </w:r>
      <w:r w:rsidR="001225FC" w:rsidRPr="00D10E1B">
        <w:rPr>
          <w:rFonts w:ascii="Times New Roman" w:hAnsi="Times New Roman" w:cs="Times New Roman"/>
          <w:sz w:val="28"/>
          <w:szCs w:val="28"/>
          <w:lang w:val="uk-UA"/>
        </w:rPr>
        <w:t>[</w:t>
      </w:r>
      <w:r w:rsidR="002C21DA">
        <w:rPr>
          <w:rFonts w:ascii="Times New Roman" w:hAnsi="Times New Roman" w:cs="Times New Roman"/>
          <w:sz w:val="28"/>
          <w:szCs w:val="28"/>
          <w:lang w:val="uk-UA"/>
        </w:rPr>
        <w:t>46</w:t>
      </w:r>
      <w:r w:rsidR="001225FC" w:rsidRPr="003D1102">
        <w:rPr>
          <w:rFonts w:ascii="Times New Roman" w:hAnsi="Times New Roman" w:cs="Times New Roman"/>
          <w:sz w:val="28"/>
          <w:szCs w:val="28"/>
          <w:lang w:val="uk-UA"/>
        </w:rPr>
        <w:t>].</w:t>
      </w:r>
    </w:p>
    <w:p w:rsidR="001225FC" w:rsidRPr="00A03291" w:rsidRDefault="00720610" w:rsidP="00E5546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Прогресування </w:t>
      </w:r>
      <w:r w:rsidR="001225FC" w:rsidRPr="00A03291">
        <w:rPr>
          <w:rFonts w:ascii="Times New Roman" w:hAnsi="Times New Roman" w:cs="Times New Roman"/>
          <w:sz w:val="28"/>
          <w:szCs w:val="28"/>
          <w:lang w:val="uk-UA"/>
        </w:rPr>
        <w:t>дисліпідемії, запалення, АГ, які сприяють пошкодженню судинної стінки та розвитку ССУ</w:t>
      </w:r>
      <w:r>
        <w:rPr>
          <w:rFonts w:ascii="Times New Roman" w:hAnsi="Times New Roman" w:cs="Times New Roman"/>
          <w:sz w:val="28"/>
          <w:szCs w:val="28"/>
          <w:lang w:val="uk-UA"/>
        </w:rPr>
        <w:t>, відбувається при ЦД</w:t>
      </w:r>
      <w:r w:rsidR="001225FC" w:rsidRPr="00A03291">
        <w:rPr>
          <w:rFonts w:ascii="Times New Roman" w:hAnsi="Times New Roman" w:cs="Times New Roman"/>
          <w:sz w:val="28"/>
          <w:szCs w:val="28"/>
          <w:lang w:val="uk-UA"/>
        </w:rPr>
        <w:t xml:space="preserve"> [</w:t>
      </w:r>
      <w:r w:rsidR="002C21DA">
        <w:rPr>
          <w:rFonts w:ascii="Times New Roman" w:hAnsi="Times New Roman" w:cs="Times New Roman"/>
          <w:sz w:val="28"/>
          <w:szCs w:val="28"/>
          <w:lang w:val="uk-UA"/>
        </w:rPr>
        <w:t>47</w:t>
      </w:r>
      <w:r w:rsidR="001225FC" w:rsidRPr="00A03291">
        <w:rPr>
          <w:rFonts w:ascii="Times New Roman" w:hAnsi="Times New Roman" w:cs="Times New Roman"/>
          <w:sz w:val="28"/>
          <w:szCs w:val="28"/>
          <w:lang w:val="uk-UA"/>
        </w:rPr>
        <w:t>].</w:t>
      </w:r>
    </w:p>
    <w:p w:rsidR="001225FC" w:rsidRPr="00A03291" w:rsidRDefault="007467F3" w:rsidP="001225FC">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B7AF3">
        <w:rPr>
          <w:rFonts w:ascii="Times New Roman" w:hAnsi="Times New Roman" w:cs="Times New Roman"/>
          <w:sz w:val="28"/>
          <w:szCs w:val="28"/>
          <w:lang w:val="uk-UA"/>
        </w:rPr>
        <w:t>Н</w:t>
      </w:r>
      <w:r w:rsidR="001225FC" w:rsidRPr="00A03291">
        <w:rPr>
          <w:rFonts w:ascii="Times New Roman" w:hAnsi="Times New Roman" w:cs="Times New Roman"/>
          <w:sz w:val="28"/>
          <w:szCs w:val="28"/>
          <w:lang w:val="uk-UA"/>
        </w:rPr>
        <w:t>елікована чи недостатньо коригована гіперглікемія</w:t>
      </w:r>
      <w:r w:rsidR="009B7AF3">
        <w:rPr>
          <w:rFonts w:ascii="Times New Roman" w:hAnsi="Times New Roman" w:cs="Times New Roman"/>
          <w:sz w:val="28"/>
          <w:szCs w:val="28"/>
          <w:lang w:val="uk-UA"/>
        </w:rPr>
        <w:t xml:space="preserve"> відіграє важливу роль </w:t>
      </w:r>
      <w:r w:rsidR="009B7AF3" w:rsidRPr="009B7AF3">
        <w:rPr>
          <w:rFonts w:ascii="Times New Roman" w:hAnsi="Times New Roman" w:cs="Times New Roman"/>
          <w:sz w:val="28"/>
          <w:szCs w:val="28"/>
          <w:lang w:val="uk-UA"/>
        </w:rPr>
        <w:t>у розвитку та прогресуванні ДН</w:t>
      </w:r>
      <w:r w:rsidR="001225FC" w:rsidRPr="00A03291">
        <w:rPr>
          <w:rFonts w:ascii="Times New Roman" w:hAnsi="Times New Roman" w:cs="Times New Roman"/>
          <w:sz w:val="28"/>
          <w:szCs w:val="28"/>
          <w:lang w:val="uk-UA"/>
        </w:rPr>
        <w:t xml:space="preserve">, </w:t>
      </w:r>
      <w:r w:rsidR="009B7AF3">
        <w:rPr>
          <w:rFonts w:ascii="Times New Roman" w:hAnsi="Times New Roman" w:cs="Times New Roman"/>
          <w:sz w:val="28"/>
          <w:szCs w:val="28"/>
          <w:lang w:val="uk-UA"/>
        </w:rPr>
        <w:t xml:space="preserve">запускаючи </w:t>
      </w:r>
      <w:r w:rsidR="001225FC" w:rsidRPr="00A03291">
        <w:rPr>
          <w:rFonts w:ascii="Times New Roman" w:hAnsi="Times New Roman" w:cs="Times New Roman"/>
          <w:sz w:val="28"/>
          <w:szCs w:val="28"/>
          <w:lang w:val="uk-UA"/>
        </w:rPr>
        <w:t xml:space="preserve">низку метаболічних порушень: неферментативне глікозилювання білків та ліпідів, активацію поліолового шляху обміну глюкози, пряму глюкозотоксичність, пов’язану </w:t>
      </w:r>
      <w:r w:rsidR="00232AD3">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з активацією протеїнкінази С, яка сприяє проліферації клітин ендотелію капілярів та мезангіального матриксу клу</w:t>
      </w:r>
      <w:r w:rsidR="00CD1FEA">
        <w:rPr>
          <w:rFonts w:ascii="Times New Roman" w:hAnsi="Times New Roman" w:cs="Times New Roman"/>
          <w:sz w:val="28"/>
          <w:szCs w:val="28"/>
          <w:lang w:val="uk-UA"/>
        </w:rPr>
        <w:t>бочків і гіпертрофії останнього</w:t>
      </w:r>
      <w:r w:rsidR="001225FC" w:rsidRPr="00A03291">
        <w:rPr>
          <w:rFonts w:ascii="Times New Roman" w:hAnsi="Times New Roman" w:cs="Times New Roman"/>
          <w:sz w:val="28"/>
          <w:szCs w:val="28"/>
          <w:lang w:val="uk-UA"/>
        </w:rPr>
        <w:t>, що, у свою чергу, призводить до порушень внутрішньониркової гемодинаміки, підвищення гідростатичного тиску в капілярах клубочків та гіперфільтрації. Трива</w:t>
      </w:r>
      <w:r w:rsidR="002121A3">
        <w:rPr>
          <w:rFonts w:ascii="Times New Roman" w:hAnsi="Times New Roman" w:cs="Times New Roman"/>
          <w:sz w:val="28"/>
          <w:szCs w:val="28"/>
          <w:lang w:val="uk-UA"/>
        </w:rPr>
        <w:t>лий вплив гіперглікемії спричиня</w:t>
      </w:r>
      <w:r w:rsidR="001225FC" w:rsidRPr="00A03291">
        <w:rPr>
          <w:rFonts w:ascii="Times New Roman" w:hAnsi="Times New Roman" w:cs="Times New Roman"/>
          <w:sz w:val="28"/>
          <w:szCs w:val="28"/>
          <w:lang w:val="uk-UA"/>
        </w:rPr>
        <w:t>є зниження</w:t>
      </w:r>
      <w:r w:rsidR="000A07EB">
        <w:rPr>
          <w:rFonts w:ascii="Times New Roman" w:hAnsi="Times New Roman" w:cs="Times New Roman"/>
          <w:sz w:val="28"/>
          <w:szCs w:val="28"/>
          <w:lang w:val="uk-UA"/>
        </w:rPr>
        <w:t xml:space="preserve"> синтезу глікозаміногліканів, які</w:t>
      </w:r>
      <w:r w:rsidR="001225FC" w:rsidRPr="00A03291">
        <w:rPr>
          <w:rFonts w:ascii="Times New Roman" w:hAnsi="Times New Roman" w:cs="Times New Roman"/>
          <w:sz w:val="28"/>
          <w:szCs w:val="28"/>
          <w:lang w:val="uk-UA"/>
        </w:rPr>
        <w:t xml:space="preserve"> складають основу структури базальної мембрани клубочків і забезпечують селект</w:t>
      </w:r>
      <w:r w:rsidR="00FE5DA1">
        <w:rPr>
          <w:rFonts w:ascii="Times New Roman" w:hAnsi="Times New Roman" w:cs="Times New Roman"/>
          <w:sz w:val="28"/>
          <w:szCs w:val="28"/>
          <w:lang w:val="uk-UA"/>
        </w:rPr>
        <w:t xml:space="preserve">ивну її проникність для білків </w:t>
      </w:r>
      <w:r w:rsidR="001225FC" w:rsidRPr="00A03291">
        <w:rPr>
          <w:rFonts w:ascii="Times New Roman" w:hAnsi="Times New Roman" w:cs="Times New Roman"/>
          <w:sz w:val="28"/>
          <w:szCs w:val="28"/>
          <w:lang w:val="uk-UA"/>
        </w:rPr>
        <w:t>[</w:t>
      </w:r>
      <w:r w:rsidR="00730F4E" w:rsidRPr="002C21DA">
        <w:rPr>
          <w:rFonts w:ascii="Times New Roman" w:hAnsi="Times New Roman" w:cs="Times New Roman"/>
          <w:sz w:val="28"/>
          <w:szCs w:val="28"/>
          <w:lang w:val="uk-UA"/>
        </w:rPr>
        <w:t>48</w:t>
      </w:r>
      <w:r w:rsidR="001225FC" w:rsidRPr="00A03291">
        <w:rPr>
          <w:rFonts w:ascii="Times New Roman" w:hAnsi="Times New Roman" w:cs="Times New Roman"/>
          <w:sz w:val="28"/>
          <w:szCs w:val="28"/>
          <w:lang w:val="uk-UA"/>
        </w:rPr>
        <w:t>].</w:t>
      </w:r>
    </w:p>
    <w:p w:rsidR="00232113" w:rsidRDefault="007F3B1A" w:rsidP="00EB732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Прогресування </w:t>
      </w:r>
      <w:r w:rsidR="00562A8A">
        <w:rPr>
          <w:rFonts w:ascii="Times New Roman" w:hAnsi="Times New Roman" w:cs="Times New Roman"/>
          <w:sz w:val="28"/>
          <w:szCs w:val="28"/>
          <w:lang w:val="uk-UA"/>
        </w:rPr>
        <w:t>хронічної хвороби нирок (</w:t>
      </w:r>
      <w:r w:rsidR="001225FC" w:rsidRPr="00A03291">
        <w:rPr>
          <w:rFonts w:ascii="Times New Roman" w:hAnsi="Times New Roman" w:cs="Times New Roman"/>
          <w:sz w:val="28"/>
          <w:szCs w:val="28"/>
          <w:lang w:val="uk-UA"/>
        </w:rPr>
        <w:t>ХХН</w:t>
      </w:r>
      <w:r w:rsidR="00562A8A">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визначається </w:t>
      </w:r>
      <w:r w:rsidR="00BF1B54">
        <w:rPr>
          <w:rFonts w:ascii="Times New Roman" w:hAnsi="Times New Roman" w:cs="Times New Roman"/>
          <w:sz w:val="28"/>
          <w:szCs w:val="28"/>
          <w:lang w:val="uk-UA"/>
        </w:rPr>
        <w:t xml:space="preserve">темпами зниження </w:t>
      </w:r>
      <w:r w:rsidR="00562A8A">
        <w:rPr>
          <w:rFonts w:ascii="Times New Roman" w:hAnsi="Times New Roman" w:cs="Times New Roman"/>
          <w:sz w:val="28"/>
          <w:szCs w:val="28"/>
          <w:lang w:val="uk-UA"/>
        </w:rPr>
        <w:t>ШКФ</w:t>
      </w:r>
      <w:r w:rsidR="001225FC" w:rsidRPr="00A03291">
        <w:rPr>
          <w:rFonts w:ascii="Times New Roman" w:hAnsi="Times New Roman" w:cs="Times New Roman"/>
          <w:sz w:val="28"/>
          <w:szCs w:val="28"/>
          <w:lang w:val="uk-UA"/>
        </w:rPr>
        <w:t xml:space="preserve">. </w:t>
      </w:r>
      <w:r w:rsidR="002358D6">
        <w:rPr>
          <w:rFonts w:ascii="Times New Roman" w:hAnsi="Times New Roman" w:cs="Times New Roman"/>
          <w:sz w:val="28"/>
          <w:szCs w:val="28"/>
          <w:lang w:val="uk-UA"/>
        </w:rPr>
        <w:t>П</w:t>
      </w:r>
      <w:r w:rsidR="001225FC" w:rsidRPr="00A03291">
        <w:rPr>
          <w:rFonts w:ascii="Times New Roman" w:hAnsi="Times New Roman" w:cs="Times New Roman"/>
          <w:sz w:val="28"/>
          <w:szCs w:val="28"/>
          <w:lang w:val="uk-UA"/>
        </w:rPr>
        <w:t>орушена внутрішньониркова гемодинаміка, яка включає гіперфільтрацію, гіперперфузію нирок, вн</w:t>
      </w:r>
      <w:r w:rsidR="0083121A">
        <w:rPr>
          <w:rFonts w:ascii="Times New Roman" w:hAnsi="Times New Roman" w:cs="Times New Roman"/>
          <w:sz w:val="28"/>
          <w:szCs w:val="28"/>
          <w:lang w:val="uk-UA"/>
        </w:rPr>
        <w:t>утрішньоклубочкову гіпертензію</w:t>
      </w:r>
      <w:r w:rsidR="002358D6">
        <w:rPr>
          <w:rFonts w:ascii="Times New Roman" w:hAnsi="Times New Roman" w:cs="Times New Roman"/>
          <w:sz w:val="28"/>
          <w:szCs w:val="28"/>
          <w:lang w:val="uk-UA"/>
        </w:rPr>
        <w:t xml:space="preserve">, є також раннім </w:t>
      </w:r>
      <w:r w:rsidR="002358D6" w:rsidRPr="002358D6">
        <w:rPr>
          <w:rFonts w:ascii="Times New Roman" w:hAnsi="Times New Roman" w:cs="Times New Roman"/>
          <w:sz w:val="28"/>
          <w:szCs w:val="28"/>
          <w:lang w:val="uk-UA"/>
        </w:rPr>
        <w:t>маркером ДН</w:t>
      </w:r>
      <w:r w:rsidR="0083121A">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w:t>
      </w:r>
      <w:r w:rsidR="00730F4E" w:rsidRPr="002C21DA">
        <w:rPr>
          <w:rFonts w:ascii="Times New Roman" w:hAnsi="Times New Roman" w:cs="Times New Roman"/>
          <w:sz w:val="28"/>
          <w:szCs w:val="28"/>
          <w:lang w:val="uk-UA"/>
        </w:rPr>
        <w:t>49</w:t>
      </w:r>
      <w:r w:rsidR="001225FC" w:rsidRPr="002C21DA">
        <w:rPr>
          <w:rFonts w:ascii="Times New Roman" w:hAnsi="Times New Roman" w:cs="Times New Roman"/>
          <w:sz w:val="28"/>
          <w:szCs w:val="28"/>
          <w:lang w:val="uk-UA"/>
        </w:rPr>
        <w:t>]</w:t>
      </w:r>
      <w:r w:rsidR="001225FC" w:rsidRPr="000A464D">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1225FC" w:rsidRPr="00A03291" w:rsidRDefault="00232113" w:rsidP="00EB732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0A2E">
        <w:rPr>
          <w:rFonts w:ascii="Times New Roman" w:hAnsi="Times New Roman" w:cs="Times New Roman"/>
          <w:sz w:val="28"/>
          <w:szCs w:val="28"/>
          <w:lang w:val="uk-UA"/>
        </w:rPr>
        <w:t xml:space="preserve">Виявлено </w:t>
      </w:r>
      <w:r w:rsidR="001225FC" w:rsidRPr="00A03291">
        <w:rPr>
          <w:rFonts w:ascii="Times New Roman" w:hAnsi="Times New Roman" w:cs="Times New Roman"/>
          <w:sz w:val="28"/>
          <w:szCs w:val="28"/>
          <w:lang w:val="uk-UA"/>
        </w:rPr>
        <w:t xml:space="preserve">зв’язок між ризиком розвитку ССУ та ШКФ </w:t>
      </w:r>
      <w:r w:rsidR="001225FC" w:rsidRPr="002C21DA">
        <w:rPr>
          <w:rFonts w:ascii="Times New Roman" w:hAnsi="Times New Roman" w:cs="Times New Roman"/>
          <w:sz w:val="28"/>
          <w:szCs w:val="28"/>
          <w:lang w:val="uk-UA"/>
        </w:rPr>
        <w:t>[</w:t>
      </w:r>
      <w:r w:rsidR="00730F4E" w:rsidRPr="002C21DA">
        <w:rPr>
          <w:rFonts w:ascii="Times New Roman" w:hAnsi="Times New Roman" w:cs="Times New Roman"/>
          <w:sz w:val="28"/>
          <w:szCs w:val="28"/>
        </w:rPr>
        <w:t>50</w:t>
      </w:r>
      <w:r w:rsidR="00272A8A" w:rsidRPr="002C21DA">
        <w:rPr>
          <w:rFonts w:ascii="Times New Roman" w:hAnsi="Times New Roman" w:cs="Times New Roman"/>
          <w:sz w:val="28"/>
          <w:szCs w:val="28"/>
          <w:lang w:val="uk-UA"/>
        </w:rPr>
        <w:t>].</w:t>
      </w:r>
      <w:r w:rsidR="00272A8A">
        <w:rPr>
          <w:rFonts w:ascii="Times New Roman" w:hAnsi="Times New Roman" w:cs="Times New Roman"/>
          <w:sz w:val="28"/>
          <w:szCs w:val="28"/>
          <w:lang w:val="uk-UA"/>
        </w:rPr>
        <w:t xml:space="preserve"> </w:t>
      </w:r>
    </w:p>
    <w:p w:rsidR="001225FC" w:rsidRPr="00A03291" w:rsidRDefault="001225FC" w:rsidP="001003B8">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Збільшення внутрішньогломерулярного тиску є при</w:t>
      </w:r>
      <w:r w:rsidR="002121A3">
        <w:rPr>
          <w:rFonts w:ascii="Times New Roman" w:hAnsi="Times New Roman" w:cs="Times New Roman"/>
          <w:sz w:val="28"/>
          <w:szCs w:val="28"/>
          <w:lang w:val="uk-UA"/>
        </w:rPr>
        <w:t>чиною ураження ниркового фільтра</w:t>
      </w:r>
      <w:r w:rsidRPr="00A03291">
        <w:rPr>
          <w:rFonts w:ascii="Times New Roman" w:hAnsi="Times New Roman" w:cs="Times New Roman"/>
          <w:sz w:val="28"/>
          <w:szCs w:val="28"/>
          <w:lang w:val="uk-UA"/>
        </w:rPr>
        <w:t xml:space="preserve"> з виникненням альбумінурії і, </w:t>
      </w:r>
      <w:r w:rsidR="006E22F0">
        <w:rPr>
          <w:rFonts w:ascii="Times New Roman" w:hAnsi="Times New Roman" w:cs="Times New Roman"/>
          <w:sz w:val="28"/>
          <w:szCs w:val="28"/>
          <w:lang w:val="uk-UA"/>
        </w:rPr>
        <w:t>згодом,</w:t>
      </w:r>
      <w:r w:rsidRPr="00A03291">
        <w:rPr>
          <w:rFonts w:ascii="Times New Roman" w:hAnsi="Times New Roman" w:cs="Times New Roman"/>
          <w:sz w:val="28"/>
          <w:szCs w:val="28"/>
          <w:lang w:val="uk-UA"/>
        </w:rPr>
        <w:t xml:space="preserve"> протеїнурії </w:t>
      </w:r>
      <w:r w:rsidR="00EC41E3">
        <w:rPr>
          <w:rFonts w:ascii="Times New Roman" w:hAnsi="Times New Roman" w:cs="Times New Roman"/>
          <w:sz w:val="28"/>
          <w:szCs w:val="28"/>
          <w:lang w:val="uk-UA"/>
        </w:rPr>
        <w:t xml:space="preserve">               з </w:t>
      </w:r>
      <w:r w:rsidRPr="00A03291">
        <w:rPr>
          <w:rFonts w:ascii="Times New Roman" w:hAnsi="Times New Roman" w:cs="Times New Roman"/>
          <w:sz w:val="28"/>
          <w:szCs w:val="28"/>
          <w:lang w:val="uk-UA"/>
        </w:rPr>
        <w:t>подальш</w:t>
      </w:r>
      <w:r w:rsidR="002121A3">
        <w:rPr>
          <w:rFonts w:ascii="Times New Roman" w:hAnsi="Times New Roman" w:cs="Times New Roman"/>
          <w:sz w:val="28"/>
          <w:szCs w:val="28"/>
          <w:lang w:val="uk-UA"/>
        </w:rPr>
        <w:t>им розвитком гломерулосклерозу та</w:t>
      </w:r>
      <w:r w:rsidR="00EC41E3">
        <w:rPr>
          <w:rFonts w:ascii="Times New Roman" w:hAnsi="Times New Roman" w:cs="Times New Roman"/>
          <w:sz w:val="28"/>
          <w:szCs w:val="28"/>
          <w:lang w:val="uk-UA"/>
        </w:rPr>
        <w:t xml:space="preserve"> хронічної ниркової недостатності. </w:t>
      </w:r>
      <w:r w:rsidRPr="00A03291">
        <w:rPr>
          <w:rFonts w:ascii="Times New Roman" w:hAnsi="Times New Roman" w:cs="Times New Roman"/>
          <w:sz w:val="28"/>
          <w:szCs w:val="28"/>
          <w:lang w:val="uk-UA"/>
        </w:rPr>
        <w:t xml:space="preserve">Виникнення гломерулярної гіперфільтрації пов’язують </w:t>
      </w:r>
      <w:r w:rsidR="00EC41E3">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зі спазмом виносної артеріоли ниркових клубочків і розширенням приносної артеріоли </w:t>
      </w:r>
      <w:r w:rsidRPr="00A03291">
        <w:rPr>
          <w:rFonts w:ascii="Times New Roman" w:hAnsi="Times New Roman" w:cs="Times New Roman"/>
          <w:sz w:val="28"/>
          <w:szCs w:val="28"/>
          <w:lang w:val="en-US"/>
        </w:rPr>
        <w:t>rete</w:t>
      </w:r>
      <w:r w:rsidRPr="00A03291">
        <w:rPr>
          <w:rFonts w:ascii="Times New Roman" w:hAnsi="Times New Roman" w:cs="Times New Roman"/>
          <w:sz w:val="28"/>
          <w:szCs w:val="28"/>
          <w:lang w:val="uk-UA"/>
        </w:rPr>
        <w:t xml:space="preserve"> </w:t>
      </w:r>
      <w:r w:rsidRPr="00A03291">
        <w:rPr>
          <w:rFonts w:ascii="Times New Roman" w:hAnsi="Times New Roman" w:cs="Times New Roman"/>
          <w:sz w:val="28"/>
          <w:szCs w:val="28"/>
          <w:lang w:val="en-US"/>
        </w:rPr>
        <w:t>mirabile</w:t>
      </w:r>
      <w:r w:rsidRPr="00A03291">
        <w:rPr>
          <w:rFonts w:ascii="Times New Roman" w:hAnsi="Times New Roman" w:cs="Times New Roman"/>
          <w:sz w:val="28"/>
          <w:szCs w:val="28"/>
          <w:lang w:val="uk-UA"/>
        </w:rPr>
        <w:t xml:space="preserve"> нирок </w:t>
      </w:r>
      <w:r w:rsidRPr="00A03291">
        <w:rPr>
          <w:rFonts w:ascii="Times New Roman" w:hAnsi="Times New Roman" w:cs="Times New Roman"/>
          <w:sz w:val="28"/>
          <w:szCs w:val="28"/>
          <w:lang w:val="en-US"/>
        </w:rPr>
        <w:t>y</w:t>
      </w:r>
      <w:r w:rsidRPr="00A03291">
        <w:rPr>
          <w:rFonts w:ascii="Times New Roman" w:hAnsi="Times New Roman" w:cs="Times New Roman"/>
          <w:sz w:val="28"/>
          <w:szCs w:val="28"/>
          <w:lang w:val="uk-UA"/>
        </w:rPr>
        <w:t xml:space="preserve">наслідок </w:t>
      </w:r>
      <w:r w:rsidR="005B0A2E">
        <w:rPr>
          <w:rFonts w:ascii="Times New Roman" w:hAnsi="Times New Roman" w:cs="Times New Roman"/>
          <w:sz w:val="28"/>
          <w:szCs w:val="28"/>
          <w:lang w:val="uk-UA"/>
        </w:rPr>
        <w:t xml:space="preserve">прогресування </w:t>
      </w:r>
      <w:r w:rsidRPr="00A03291">
        <w:rPr>
          <w:rFonts w:ascii="Times New Roman" w:hAnsi="Times New Roman" w:cs="Times New Roman"/>
          <w:sz w:val="28"/>
          <w:szCs w:val="28"/>
          <w:lang w:val="uk-UA"/>
        </w:rPr>
        <w:t>дисфункції ендотел</w:t>
      </w:r>
      <w:r w:rsidR="009E5F02">
        <w:rPr>
          <w:rFonts w:ascii="Times New Roman" w:hAnsi="Times New Roman" w:cs="Times New Roman"/>
          <w:sz w:val="28"/>
          <w:szCs w:val="28"/>
          <w:lang w:val="uk-UA"/>
        </w:rPr>
        <w:t xml:space="preserve">ію. </w:t>
      </w:r>
      <w:r w:rsidR="003030BE">
        <w:rPr>
          <w:rFonts w:ascii="Times New Roman" w:hAnsi="Times New Roman" w:cs="Times New Roman"/>
          <w:sz w:val="28"/>
          <w:szCs w:val="28"/>
          <w:lang w:val="uk-UA"/>
        </w:rPr>
        <w:t xml:space="preserve">Дослідники виявили </w:t>
      </w:r>
      <w:r w:rsidRPr="00A03291">
        <w:rPr>
          <w:rFonts w:ascii="Times New Roman" w:hAnsi="Times New Roman" w:cs="Times New Roman"/>
          <w:sz w:val="28"/>
          <w:szCs w:val="28"/>
          <w:lang w:val="uk-UA"/>
        </w:rPr>
        <w:t xml:space="preserve">багато факторів, що спричинюють розвиток </w:t>
      </w:r>
      <w:r w:rsidR="00EC41E3">
        <w:rPr>
          <w:rFonts w:ascii="Times New Roman" w:hAnsi="Times New Roman" w:cs="Times New Roman"/>
          <w:sz w:val="28"/>
          <w:szCs w:val="28"/>
          <w:lang w:val="uk-UA"/>
        </w:rPr>
        <w:t xml:space="preserve">ЕД </w:t>
      </w:r>
      <w:r w:rsidRPr="00A03291">
        <w:rPr>
          <w:rFonts w:ascii="Times New Roman" w:hAnsi="Times New Roman" w:cs="Times New Roman"/>
          <w:sz w:val="28"/>
          <w:szCs w:val="28"/>
          <w:lang w:val="uk-UA"/>
        </w:rPr>
        <w:t xml:space="preserve">стінки артеріол і капілярів ниркових клубочків при ЦД. Асептичне запалення </w:t>
      </w:r>
      <w:r w:rsidR="00232AD3">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в ендотелії, його підвищена тромбогенність, порушення балансу </w:t>
      </w:r>
      <w:r w:rsidR="00232AD3">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lastRenderedPageBreak/>
        <w:t xml:space="preserve">між вазоконстрикторними </w:t>
      </w:r>
      <w:r w:rsidR="009E5F02">
        <w:rPr>
          <w:rFonts w:ascii="Times New Roman" w:hAnsi="Times New Roman" w:cs="Times New Roman"/>
          <w:sz w:val="28"/>
          <w:szCs w:val="28"/>
          <w:lang w:val="uk-UA"/>
        </w:rPr>
        <w:t>і</w:t>
      </w:r>
      <w:r w:rsidRPr="00A03291">
        <w:rPr>
          <w:rFonts w:ascii="Times New Roman" w:hAnsi="Times New Roman" w:cs="Times New Roman"/>
          <w:sz w:val="28"/>
          <w:szCs w:val="28"/>
          <w:lang w:val="uk-UA"/>
        </w:rPr>
        <w:t xml:space="preserve"> вазод</w:t>
      </w:r>
      <w:r w:rsidR="002121A3">
        <w:rPr>
          <w:rFonts w:ascii="Times New Roman" w:hAnsi="Times New Roman" w:cs="Times New Roman"/>
          <w:sz w:val="28"/>
          <w:szCs w:val="28"/>
          <w:lang w:val="uk-UA"/>
        </w:rPr>
        <w:t>ила</w:t>
      </w:r>
      <w:r w:rsidRPr="00A03291">
        <w:rPr>
          <w:rFonts w:ascii="Times New Roman" w:hAnsi="Times New Roman" w:cs="Times New Roman"/>
          <w:sz w:val="28"/>
          <w:szCs w:val="28"/>
          <w:lang w:val="uk-UA"/>
        </w:rPr>
        <w:t>таторними медіаторами – це ті</w:t>
      </w:r>
      <w:r w:rsidR="003030BE">
        <w:rPr>
          <w:rFonts w:ascii="Times New Roman" w:hAnsi="Times New Roman" w:cs="Times New Roman"/>
          <w:sz w:val="28"/>
          <w:szCs w:val="28"/>
          <w:lang w:val="uk-UA"/>
        </w:rPr>
        <w:t xml:space="preserve"> чинники</w:t>
      </w:r>
      <w:r w:rsidRPr="00A03291">
        <w:rPr>
          <w:rFonts w:ascii="Times New Roman" w:hAnsi="Times New Roman" w:cs="Times New Roman"/>
          <w:sz w:val="28"/>
          <w:szCs w:val="28"/>
          <w:lang w:val="uk-UA"/>
        </w:rPr>
        <w:t>, які визначають прогноз ураження ниркових клубочків [</w:t>
      </w:r>
      <w:r w:rsidR="00730F4E" w:rsidRPr="002C21DA">
        <w:rPr>
          <w:rFonts w:ascii="Times New Roman" w:hAnsi="Times New Roman" w:cs="Times New Roman"/>
          <w:sz w:val="28"/>
          <w:szCs w:val="28"/>
          <w:lang w:val="uk-UA"/>
        </w:rPr>
        <w:t>49</w:t>
      </w:r>
      <w:r w:rsidRPr="002C21DA">
        <w:rPr>
          <w:rFonts w:ascii="Times New Roman" w:hAnsi="Times New Roman" w:cs="Times New Roman"/>
          <w:sz w:val="28"/>
          <w:szCs w:val="28"/>
          <w:lang w:val="uk-UA"/>
        </w:rPr>
        <w:t>].</w:t>
      </w:r>
    </w:p>
    <w:p w:rsidR="00C83537" w:rsidRPr="00A81E5B" w:rsidRDefault="00504BC6" w:rsidP="0012080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Мікроальбумінурія</w:t>
      </w:r>
      <w:r w:rsidR="001225FC" w:rsidRPr="00A03291">
        <w:rPr>
          <w:rFonts w:ascii="Times New Roman" w:hAnsi="Times New Roman" w:cs="Times New Roman"/>
          <w:sz w:val="28"/>
          <w:szCs w:val="28"/>
          <w:lang w:val="uk-UA"/>
        </w:rPr>
        <w:t xml:space="preserve"> </w:t>
      </w:r>
      <w:r w:rsidR="002121A3">
        <w:rPr>
          <w:rFonts w:ascii="Times New Roman" w:hAnsi="Times New Roman" w:cs="Times New Roman"/>
          <w:sz w:val="28"/>
          <w:szCs w:val="28"/>
          <w:lang w:val="uk-UA"/>
        </w:rPr>
        <w:t>є маркером ризику розвитку ССУ</w:t>
      </w:r>
      <w:r w:rsidR="001225FC" w:rsidRPr="00A03291">
        <w:rPr>
          <w:rFonts w:ascii="Times New Roman" w:hAnsi="Times New Roman" w:cs="Times New Roman"/>
          <w:sz w:val="28"/>
          <w:szCs w:val="28"/>
          <w:lang w:val="uk-UA"/>
        </w:rPr>
        <w:t xml:space="preserve"> </w:t>
      </w:r>
      <w:r w:rsidR="001225FC" w:rsidRPr="00C705BB">
        <w:rPr>
          <w:rFonts w:ascii="Times New Roman" w:hAnsi="Times New Roman" w:cs="Times New Roman"/>
          <w:sz w:val="28"/>
          <w:szCs w:val="28"/>
          <w:lang w:val="uk-UA"/>
        </w:rPr>
        <w:t>[</w:t>
      </w:r>
      <w:r w:rsidR="00730F4E" w:rsidRPr="002C21DA">
        <w:rPr>
          <w:rFonts w:ascii="Times New Roman" w:hAnsi="Times New Roman" w:cs="Times New Roman"/>
          <w:sz w:val="28"/>
          <w:szCs w:val="28"/>
        </w:rPr>
        <w:t>51</w:t>
      </w:r>
      <w:r w:rsidR="00BA65E6" w:rsidRPr="002C21DA">
        <w:rPr>
          <w:rFonts w:ascii="Times New Roman" w:hAnsi="Times New Roman" w:cs="Times New Roman"/>
          <w:sz w:val="28"/>
          <w:szCs w:val="28"/>
          <w:lang w:val="uk-UA"/>
        </w:rPr>
        <w:t>]</w:t>
      </w:r>
      <w:r w:rsidR="00E273FC">
        <w:rPr>
          <w:rFonts w:ascii="Times New Roman" w:hAnsi="Times New Roman" w:cs="Times New Roman"/>
          <w:sz w:val="28"/>
          <w:szCs w:val="28"/>
          <w:lang w:val="uk-UA"/>
        </w:rPr>
        <w:t xml:space="preserve">. </w:t>
      </w:r>
      <w:r w:rsidR="000A4598">
        <w:rPr>
          <w:rFonts w:ascii="Times New Roman" w:hAnsi="Times New Roman" w:cs="Times New Roman"/>
          <w:sz w:val="28"/>
          <w:szCs w:val="28"/>
          <w:lang w:val="uk-UA"/>
        </w:rPr>
        <w:t>Її поява</w:t>
      </w:r>
      <w:r w:rsidR="00C83537">
        <w:rPr>
          <w:rFonts w:ascii="Times New Roman" w:hAnsi="Times New Roman" w:cs="Times New Roman"/>
          <w:sz w:val="28"/>
          <w:szCs w:val="28"/>
          <w:lang w:val="uk-UA"/>
        </w:rPr>
        <w:t xml:space="preserve"> </w:t>
      </w:r>
      <w:r w:rsidR="0012080A">
        <w:rPr>
          <w:rFonts w:ascii="Times New Roman" w:hAnsi="Times New Roman" w:cs="Times New Roman"/>
          <w:sz w:val="28"/>
          <w:szCs w:val="28"/>
          <w:lang w:val="uk-UA"/>
        </w:rPr>
        <w:t>асоційована з швидким прог</w:t>
      </w:r>
      <w:r w:rsidR="000A4598">
        <w:rPr>
          <w:rFonts w:ascii="Times New Roman" w:hAnsi="Times New Roman" w:cs="Times New Roman"/>
          <w:sz w:val="28"/>
          <w:szCs w:val="28"/>
          <w:lang w:val="uk-UA"/>
        </w:rPr>
        <w:t>ресуванням ураження нирок у хворих на</w:t>
      </w:r>
      <w:r w:rsidR="0012080A">
        <w:rPr>
          <w:rFonts w:ascii="Times New Roman" w:hAnsi="Times New Roman" w:cs="Times New Roman"/>
          <w:sz w:val="28"/>
          <w:szCs w:val="28"/>
          <w:lang w:val="uk-UA"/>
        </w:rPr>
        <w:t xml:space="preserve"> АГ </w:t>
      </w:r>
      <w:r w:rsidR="00232AD3">
        <w:rPr>
          <w:rFonts w:ascii="Times New Roman" w:hAnsi="Times New Roman" w:cs="Times New Roman"/>
          <w:sz w:val="28"/>
          <w:szCs w:val="28"/>
          <w:lang w:val="uk-UA"/>
        </w:rPr>
        <w:t xml:space="preserve">       </w:t>
      </w:r>
      <w:r w:rsidR="0012080A">
        <w:rPr>
          <w:rFonts w:ascii="Times New Roman" w:hAnsi="Times New Roman" w:cs="Times New Roman"/>
          <w:sz w:val="28"/>
          <w:szCs w:val="28"/>
          <w:lang w:val="uk-UA"/>
        </w:rPr>
        <w:t xml:space="preserve">за наявності чи відсутності ЦД </w:t>
      </w:r>
      <w:r w:rsidR="00E273FC">
        <w:rPr>
          <w:rFonts w:ascii="Times New Roman" w:hAnsi="Times New Roman" w:cs="Times New Roman"/>
          <w:sz w:val="28"/>
          <w:szCs w:val="28"/>
        </w:rPr>
        <w:t>[</w:t>
      </w:r>
      <w:r w:rsidR="00A15585" w:rsidRPr="002C21DA">
        <w:rPr>
          <w:rFonts w:ascii="Times New Roman" w:hAnsi="Times New Roman" w:cs="Times New Roman"/>
          <w:sz w:val="28"/>
          <w:szCs w:val="28"/>
        </w:rPr>
        <w:t>52</w:t>
      </w:r>
      <w:r w:rsidR="0012080A" w:rsidRPr="002C21DA">
        <w:rPr>
          <w:rFonts w:ascii="Times New Roman" w:hAnsi="Times New Roman" w:cs="Times New Roman"/>
          <w:sz w:val="28"/>
          <w:szCs w:val="28"/>
        </w:rPr>
        <w:t>]</w:t>
      </w:r>
      <w:r w:rsidR="00A81E5B" w:rsidRPr="002C21DA">
        <w:rPr>
          <w:rFonts w:ascii="Times New Roman" w:hAnsi="Times New Roman" w:cs="Times New Roman"/>
          <w:sz w:val="28"/>
          <w:szCs w:val="28"/>
          <w:lang w:val="uk-UA"/>
        </w:rPr>
        <w:t>.</w:t>
      </w:r>
    </w:p>
    <w:p w:rsidR="001225FC" w:rsidRPr="00A03291" w:rsidRDefault="001225FC" w:rsidP="00E03029">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Визначення співвідн</w:t>
      </w:r>
      <w:r w:rsidR="00FB529C">
        <w:rPr>
          <w:rFonts w:ascii="Times New Roman" w:hAnsi="Times New Roman" w:cs="Times New Roman"/>
          <w:sz w:val="28"/>
          <w:szCs w:val="28"/>
          <w:lang w:val="uk-UA"/>
        </w:rPr>
        <w:t>ошення альбуміну до креатиніну в</w:t>
      </w:r>
      <w:r w:rsidRPr="00A03291">
        <w:rPr>
          <w:rFonts w:ascii="Times New Roman" w:hAnsi="Times New Roman" w:cs="Times New Roman"/>
          <w:sz w:val="28"/>
          <w:szCs w:val="28"/>
          <w:lang w:val="uk-UA"/>
        </w:rPr>
        <w:t xml:space="preserve"> сечі </w:t>
      </w:r>
      <w:r w:rsidR="00FB529C">
        <w:rPr>
          <w:rFonts w:ascii="Times New Roman" w:hAnsi="Times New Roman" w:cs="Times New Roman"/>
          <w:sz w:val="28"/>
          <w:szCs w:val="28"/>
          <w:lang w:val="uk-UA"/>
        </w:rPr>
        <w:t>є більш точним, хоча і дорожчим</w:t>
      </w:r>
      <w:r w:rsidRPr="00A03291">
        <w:rPr>
          <w:rFonts w:ascii="Times New Roman" w:hAnsi="Times New Roman" w:cs="Times New Roman"/>
          <w:sz w:val="28"/>
          <w:szCs w:val="28"/>
          <w:lang w:val="uk-UA"/>
        </w:rPr>
        <w:t xml:space="preserve"> методом</w:t>
      </w:r>
      <w:r w:rsidR="00C24474">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ніж визначення однієї лише альбумінурії, бо </w:t>
      </w:r>
      <w:r w:rsidR="009D4731">
        <w:rPr>
          <w:rFonts w:ascii="Times New Roman" w:hAnsi="Times New Roman" w:cs="Times New Roman"/>
          <w:sz w:val="28"/>
          <w:szCs w:val="28"/>
          <w:lang w:val="uk-UA"/>
        </w:rPr>
        <w:t xml:space="preserve">вміст </w:t>
      </w:r>
      <w:r w:rsidRPr="00A03291">
        <w:rPr>
          <w:rFonts w:ascii="Times New Roman" w:hAnsi="Times New Roman" w:cs="Times New Roman"/>
          <w:sz w:val="28"/>
          <w:szCs w:val="28"/>
          <w:lang w:val="uk-UA"/>
        </w:rPr>
        <w:t>виділеного із сечею креатиніну залежи</w:t>
      </w:r>
      <w:r w:rsidR="005F67BA">
        <w:rPr>
          <w:rFonts w:ascii="Times New Roman" w:hAnsi="Times New Roman" w:cs="Times New Roman"/>
          <w:sz w:val="28"/>
          <w:szCs w:val="28"/>
          <w:lang w:val="uk-UA"/>
        </w:rPr>
        <w:t xml:space="preserve">ть від віку, статі, </w:t>
      </w:r>
      <w:r w:rsidR="00EC41E3">
        <w:rPr>
          <w:rFonts w:ascii="Times New Roman" w:hAnsi="Times New Roman" w:cs="Times New Roman"/>
          <w:sz w:val="28"/>
          <w:szCs w:val="28"/>
          <w:lang w:val="uk-UA"/>
        </w:rPr>
        <w:t>індексу маси тіла (</w:t>
      </w:r>
      <w:r w:rsidR="005F67BA">
        <w:rPr>
          <w:rFonts w:ascii="Times New Roman" w:hAnsi="Times New Roman" w:cs="Times New Roman"/>
          <w:sz w:val="28"/>
          <w:szCs w:val="28"/>
          <w:lang w:val="uk-UA"/>
        </w:rPr>
        <w:t>ІМТ</w:t>
      </w:r>
      <w:r w:rsidR="00EC41E3">
        <w:rPr>
          <w:rFonts w:ascii="Times New Roman" w:hAnsi="Times New Roman" w:cs="Times New Roman"/>
          <w:sz w:val="28"/>
          <w:szCs w:val="28"/>
          <w:lang w:val="uk-UA"/>
        </w:rPr>
        <w:t>)</w:t>
      </w:r>
      <w:r w:rsidR="005F67BA">
        <w:rPr>
          <w:rFonts w:ascii="Times New Roman" w:hAnsi="Times New Roman" w:cs="Times New Roman"/>
          <w:sz w:val="28"/>
          <w:szCs w:val="28"/>
          <w:lang w:val="uk-UA"/>
        </w:rPr>
        <w:t xml:space="preserve">. Жінки </w:t>
      </w:r>
      <w:r w:rsidRPr="00A03291">
        <w:rPr>
          <w:rFonts w:ascii="Times New Roman" w:hAnsi="Times New Roman" w:cs="Times New Roman"/>
          <w:sz w:val="28"/>
          <w:szCs w:val="28"/>
          <w:lang w:val="uk-UA"/>
        </w:rPr>
        <w:t>похило</w:t>
      </w:r>
      <w:r w:rsidR="00FB529C">
        <w:rPr>
          <w:rFonts w:ascii="Times New Roman" w:hAnsi="Times New Roman" w:cs="Times New Roman"/>
          <w:sz w:val="28"/>
          <w:szCs w:val="28"/>
          <w:lang w:val="uk-UA"/>
        </w:rPr>
        <w:t xml:space="preserve">го та старечого віку, пацієнти </w:t>
      </w:r>
      <w:r w:rsidRPr="00A03291">
        <w:rPr>
          <w:rFonts w:ascii="Times New Roman" w:hAnsi="Times New Roman" w:cs="Times New Roman"/>
          <w:sz w:val="28"/>
          <w:szCs w:val="28"/>
          <w:lang w:val="uk-UA"/>
        </w:rPr>
        <w:t>з</w:t>
      </w:r>
      <w:r w:rsidR="00FB529C">
        <w:rPr>
          <w:rFonts w:ascii="Times New Roman" w:hAnsi="Times New Roman" w:cs="Times New Roman"/>
          <w:sz w:val="28"/>
          <w:szCs w:val="28"/>
          <w:lang w:val="uk-UA"/>
        </w:rPr>
        <w:t>і</w:t>
      </w:r>
      <w:r w:rsidRPr="00A03291">
        <w:rPr>
          <w:rFonts w:ascii="Times New Roman" w:hAnsi="Times New Roman" w:cs="Times New Roman"/>
          <w:sz w:val="28"/>
          <w:szCs w:val="28"/>
          <w:lang w:val="uk-UA"/>
        </w:rPr>
        <w:t xml:space="preserve"> </w:t>
      </w:r>
      <w:r w:rsidR="00FB529C">
        <w:rPr>
          <w:rFonts w:ascii="Times New Roman" w:hAnsi="Times New Roman" w:cs="Times New Roman"/>
          <w:sz w:val="28"/>
          <w:szCs w:val="28"/>
          <w:lang w:val="uk-UA"/>
        </w:rPr>
        <w:t>зниженою масою м’язової тканини схильні</w:t>
      </w:r>
      <w:r w:rsidRPr="00A03291">
        <w:rPr>
          <w:rFonts w:ascii="Times New Roman" w:hAnsi="Times New Roman" w:cs="Times New Roman"/>
          <w:sz w:val="28"/>
          <w:szCs w:val="28"/>
          <w:lang w:val="uk-UA"/>
        </w:rPr>
        <w:t xml:space="preserve"> до зменшення виділення креатиніну із сечею [</w:t>
      </w:r>
      <w:r w:rsidR="00A15585" w:rsidRPr="002C21DA">
        <w:rPr>
          <w:rFonts w:ascii="Times New Roman" w:hAnsi="Times New Roman" w:cs="Times New Roman"/>
          <w:sz w:val="28"/>
          <w:szCs w:val="28"/>
          <w:lang w:val="uk-UA"/>
        </w:rPr>
        <w:t>53</w:t>
      </w:r>
      <w:r w:rsidRPr="002C21DA">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w:t>
      </w:r>
      <w:r w:rsidR="009D4731">
        <w:rPr>
          <w:rFonts w:ascii="Times New Roman" w:hAnsi="Times New Roman" w:cs="Times New Roman"/>
          <w:sz w:val="28"/>
          <w:szCs w:val="28"/>
          <w:lang w:val="uk-UA"/>
        </w:rPr>
        <w:t xml:space="preserve">Саме тому </w:t>
      </w:r>
      <w:r w:rsidR="00ED0B77" w:rsidRPr="00ED0B77">
        <w:rPr>
          <w:rFonts w:ascii="Times New Roman" w:hAnsi="Times New Roman" w:cs="Times New Roman"/>
          <w:sz w:val="28"/>
          <w:szCs w:val="28"/>
          <w:lang w:val="uk-UA"/>
        </w:rPr>
        <w:t xml:space="preserve">співвідношення альбуміну до креатиніну в сечі </w:t>
      </w:r>
      <w:r w:rsidR="00ED0B77">
        <w:rPr>
          <w:rFonts w:ascii="Times New Roman" w:hAnsi="Times New Roman" w:cs="Times New Roman"/>
          <w:sz w:val="28"/>
          <w:szCs w:val="28"/>
          <w:lang w:val="uk-UA"/>
        </w:rPr>
        <w:t xml:space="preserve">є більш доцільним для використання </w:t>
      </w:r>
      <w:r w:rsidR="005F67BA">
        <w:rPr>
          <w:rFonts w:ascii="Times New Roman" w:hAnsi="Times New Roman" w:cs="Times New Roman"/>
          <w:sz w:val="28"/>
          <w:szCs w:val="28"/>
          <w:lang w:val="uk-UA"/>
        </w:rPr>
        <w:t xml:space="preserve">з метою діагностики альбумінурії </w:t>
      </w:r>
      <w:r w:rsidR="00A44DFE">
        <w:rPr>
          <w:rFonts w:ascii="Times New Roman" w:hAnsi="Times New Roman" w:cs="Times New Roman"/>
          <w:sz w:val="28"/>
          <w:szCs w:val="28"/>
          <w:lang w:val="uk-UA"/>
        </w:rPr>
        <w:t xml:space="preserve">у цих </w:t>
      </w:r>
      <w:r w:rsidR="00ED0B77" w:rsidRPr="00ED0B77">
        <w:rPr>
          <w:rFonts w:ascii="Times New Roman" w:hAnsi="Times New Roman" w:cs="Times New Roman"/>
          <w:sz w:val="28"/>
          <w:szCs w:val="28"/>
          <w:lang w:val="uk-UA"/>
        </w:rPr>
        <w:t>хворих</w:t>
      </w:r>
      <w:r w:rsidR="00ED0B77">
        <w:rPr>
          <w:rFonts w:ascii="Times New Roman" w:hAnsi="Times New Roman" w:cs="Times New Roman"/>
          <w:sz w:val="28"/>
          <w:szCs w:val="28"/>
          <w:lang w:val="uk-UA"/>
        </w:rPr>
        <w:t>.</w:t>
      </w:r>
      <w:r w:rsidR="00ED0B77" w:rsidRPr="00ED0B77">
        <w:rPr>
          <w:rFonts w:ascii="Times New Roman" w:hAnsi="Times New Roman" w:cs="Times New Roman"/>
          <w:sz w:val="28"/>
          <w:szCs w:val="28"/>
          <w:lang w:val="uk-UA"/>
        </w:rPr>
        <w:t xml:space="preserve"> </w:t>
      </w:r>
      <w:r w:rsidR="00ED0B77">
        <w:rPr>
          <w:rFonts w:ascii="Times New Roman" w:hAnsi="Times New Roman" w:cs="Times New Roman"/>
          <w:sz w:val="28"/>
          <w:szCs w:val="28"/>
          <w:lang w:val="uk-UA"/>
        </w:rPr>
        <w:t>К</w:t>
      </w:r>
      <w:r w:rsidR="0064232B">
        <w:rPr>
          <w:rFonts w:ascii="Times New Roman" w:hAnsi="Times New Roman" w:cs="Times New Roman"/>
          <w:sz w:val="28"/>
          <w:szCs w:val="28"/>
          <w:lang w:val="uk-UA"/>
        </w:rPr>
        <w:t>атегорію А2 альбумінурії, що відповідає МАУ</w:t>
      </w:r>
      <w:r w:rsidR="00ED0B77">
        <w:rPr>
          <w:rFonts w:ascii="Times New Roman" w:hAnsi="Times New Roman" w:cs="Times New Roman"/>
          <w:sz w:val="28"/>
          <w:szCs w:val="28"/>
          <w:lang w:val="uk-UA"/>
        </w:rPr>
        <w:t>,</w:t>
      </w:r>
      <w:r w:rsidR="00ED0B77" w:rsidRPr="00ED0B77">
        <w:rPr>
          <w:lang w:val="uk-UA"/>
        </w:rPr>
        <w:t xml:space="preserve"> </w:t>
      </w:r>
      <w:r w:rsidR="00ED0B77" w:rsidRPr="00ED0B77">
        <w:rPr>
          <w:rFonts w:ascii="Times New Roman" w:hAnsi="Times New Roman" w:cs="Times New Roman"/>
          <w:sz w:val="28"/>
          <w:szCs w:val="28"/>
          <w:lang w:val="uk-UA"/>
        </w:rPr>
        <w:t>можна констатувати</w:t>
      </w:r>
      <w:r w:rsidR="00ED0B77">
        <w:rPr>
          <w:rFonts w:ascii="Times New Roman" w:hAnsi="Times New Roman" w:cs="Times New Roman"/>
          <w:sz w:val="28"/>
          <w:szCs w:val="28"/>
          <w:lang w:val="uk-UA"/>
        </w:rPr>
        <w:t>, я</w:t>
      </w:r>
      <w:r w:rsidR="00ED0B77" w:rsidRPr="00ED0B77">
        <w:rPr>
          <w:rFonts w:ascii="Times New Roman" w:hAnsi="Times New Roman" w:cs="Times New Roman"/>
          <w:sz w:val="28"/>
          <w:szCs w:val="28"/>
          <w:lang w:val="uk-UA"/>
        </w:rPr>
        <w:t>кщо це співвідношення знаходиться в межах 30−300 мг/г у добовій сечі, 20−200 мг/л в разовій порції сечі</w:t>
      </w:r>
      <w:r w:rsidRPr="00A03291">
        <w:rPr>
          <w:rFonts w:ascii="Times New Roman" w:hAnsi="Times New Roman" w:cs="Times New Roman"/>
          <w:sz w:val="28"/>
          <w:szCs w:val="28"/>
          <w:lang w:val="uk-UA"/>
        </w:rPr>
        <w:t xml:space="preserve"> </w:t>
      </w:r>
      <w:r w:rsidRPr="00C705BB">
        <w:rPr>
          <w:rFonts w:ascii="Times New Roman" w:hAnsi="Times New Roman" w:cs="Times New Roman"/>
          <w:sz w:val="28"/>
          <w:szCs w:val="28"/>
          <w:lang w:val="uk-UA"/>
        </w:rPr>
        <w:t>[</w:t>
      </w:r>
      <w:r w:rsidR="00A15585" w:rsidRPr="002C21DA">
        <w:rPr>
          <w:rFonts w:ascii="Times New Roman" w:hAnsi="Times New Roman" w:cs="Times New Roman"/>
          <w:sz w:val="28"/>
          <w:szCs w:val="28"/>
          <w:lang w:val="uk-UA"/>
        </w:rPr>
        <w:t>54</w:t>
      </w:r>
      <w:r w:rsidRPr="002C21DA">
        <w:rPr>
          <w:rFonts w:ascii="Times New Roman" w:hAnsi="Times New Roman" w:cs="Times New Roman"/>
          <w:sz w:val="28"/>
          <w:szCs w:val="28"/>
          <w:lang w:val="uk-UA"/>
        </w:rPr>
        <w:t>]</w:t>
      </w:r>
      <w:r w:rsidRPr="00D017C8">
        <w:rPr>
          <w:rFonts w:ascii="Times New Roman" w:hAnsi="Times New Roman" w:cs="Times New Roman"/>
          <w:sz w:val="28"/>
          <w:szCs w:val="28"/>
          <w:lang w:val="uk-UA"/>
        </w:rPr>
        <w:t>.</w:t>
      </w:r>
    </w:p>
    <w:p w:rsidR="004944BA" w:rsidRDefault="00AE3176" w:rsidP="004944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Поширеність та </w:t>
      </w:r>
      <w:r w:rsidR="00ED0B77">
        <w:rPr>
          <w:rFonts w:ascii="Times New Roman" w:hAnsi="Times New Roman" w:cs="Times New Roman"/>
          <w:sz w:val="28"/>
          <w:szCs w:val="28"/>
          <w:lang w:val="uk-UA"/>
        </w:rPr>
        <w:t xml:space="preserve">концентрація </w:t>
      </w:r>
      <w:r>
        <w:rPr>
          <w:rFonts w:ascii="Times New Roman" w:hAnsi="Times New Roman" w:cs="Times New Roman"/>
          <w:sz w:val="28"/>
          <w:szCs w:val="28"/>
          <w:lang w:val="uk-UA"/>
        </w:rPr>
        <w:t xml:space="preserve">альбумінурії зростають із віком, тривалістю ЦД, </w:t>
      </w:r>
      <w:r w:rsidR="00ED0B77">
        <w:rPr>
          <w:rFonts w:ascii="Times New Roman" w:hAnsi="Times New Roman" w:cs="Times New Roman"/>
          <w:sz w:val="28"/>
          <w:szCs w:val="28"/>
          <w:lang w:val="uk-UA"/>
        </w:rPr>
        <w:t xml:space="preserve">вмістом </w:t>
      </w:r>
      <w:r w:rsidRPr="00AE3176">
        <w:rPr>
          <w:rFonts w:ascii="Times New Roman" w:hAnsi="Times New Roman" w:cs="Times New Roman"/>
          <w:sz w:val="28"/>
          <w:szCs w:val="28"/>
          <w:lang w:val="uk-UA"/>
        </w:rPr>
        <w:t>HbA1c</w:t>
      </w:r>
      <w:r>
        <w:rPr>
          <w:rFonts w:ascii="Times New Roman" w:hAnsi="Times New Roman" w:cs="Times New Roman"/>
          <w:sz w:val="28"/>
          <w:szCs w:val="28"/>
          <w:lang w:val="uk-UA"/>
        </w:rPr>
        <w:t>, АТ</w:t>
      </w:r>
      <w:r w:rsidR="003D1102" w:rsidRPr="003D1102">
        <w:rPr>
          <w:rFonts w:ascii="Times New Roman" w:hAnsi="Times New Roman" w:cs="Times New Roman"/>
          <w:sz w:val="28"/>
          <w:szCs w:val="28"/>
          <w:lang w:val="uk-UA"/>
        </w:rPr>
        <w:t xml:space="preserve"> [</w:t>
      </w:r>
      <w:r w:rsidR="00A15585" w:rsidRPr="002C21DA">
        <w:rPr>
          <w:rFonts w:ascii="Times New Roman" w:hAnsi="Times New Roman" w:cs="Times New Roman"/>
          <w:sz w:val="28"/>
          <w:szCs w:val="28"/>
          <w:lang w:val="uk-UA"/>
        </w:rPr>
        <w:t>55</w:t>
      </w:r>
      <w:r w:rsidR="003D1102" w:rsidRPr="002C21DA">
        <w:rPr>
          <w:rFonts w:ascii="Times New Roman" w:hAnsi="Times New Roman" w:cs="Times New Roman"/>
          <w:sz w:val="28"/>
          <w:szCs w:val="28"/>
          <w:lang w:val="uk-UA"/>
        </w:rPr>
        <w:t>]</w:t>
      </w:r>
      <w:r w:rsidR="003D1102" w:rsidRPr="003D1102">
        <w:rPr>
          <w:rFonts w:ascii="Times New Roman" w:hAnsi="Times New Roman" w:cs="Times New Roman"/>
          <w:sz w:val="28"/>
          <w:szCs w:val="28"/>
          <w:lang w:val="uk-UA"/>
        </w:rPr>
        <w:t>.</w:t>
      </w:r>
      <w:r w:rsidR="004944BA">
        <w:rPr>
          <w:rFonts w:ascii="Times New Roman" w:hAnsi="Times New Roman" w:cs="Times New Roman"/>
          <w:sz w:val="28"/>
          <w:szCs w:val="28"/>
          <w:lang w:val="uk-UA"/>
        </w:rPr>
        <w:t xml:space="preserve"> </w:t>
      </w:r>
      <w:r w:rsidR="00ED0B77">
        <w:rPr>
          <w:rFonts w:ascii="Times New Roman" w:hAnsi="Times New Roman" w:cs="Times New Roman"/>
          <w:sz w:val="28"/>
          <w:szCs w:val="28"/>
          <w:lang w:val="uk-UA"/>
        </w:rPr>
        <w:t>С</w:t>
      </w:r>
      <w:r w:rsidR="00FE5DA1">
        <w:rPr>
          <w:rFonts w:ascii="Times New Roman" w:hAnsi="Times New Roman" w:cs="Times New Roman"/>
          <w:sz w:val="28"/>
          <w:szCs w:val="28"/>
          <w:lang w:val="uk-UA"/>
        </w:rPr>
        <w:t>татистично знач</w:t>
      </w:r>
      <w:r w:rsidR="00FB529C">
        <w:rPr>
          <w:rFonts w:ascii="Times New Roman" w:hAnsi="Times New Roman" w:cs="Times New Roman"/>
          <w:sz w:val="28"/>
          <w:szCs w:val="28"/>
          <w:lang w:val="uk-UA"/>
        </w:rPr>
        <w:t>ущу</w:t>
      </w:r>
      <w:r w:rsidR="00FE5DA1">
        <w:rPr>
          <w:rFonts w:ascii="Times New Roman" w:hAnsi="Times New Roman" w:cs="Times New Roman"/>
          <w:sz w:val="28"/>
          <w:szCs w:val="28"/>
          <w:lang w:val="uk-UA"/>
        </w:rPr>
        <w:t xml:space="preserve"> кореляцію</w:t>
      </w:r>
      <w:r w:rsidR="00ED0B77">
        <w:rPr>
          <w:rFonts w:ascii="Times New Roman" w:hAnsi="Times New Roman" w:cs="Times New Roman"/>
          <w:sz w:val="28"/>
          <w:szCs w:val="28"/>
          <w:lang w:val="uk-UA"/>
        </w:rPr>
        <w:t xml:space="preserve"> </w:t>
      </w:r>
      <w:r w:rsidR="00ED0B77" w:rsidRPr="00ED0B77">
        <w:rPr>
          <w:rFonts w:ascii="Times New Roman" w:hAnsi="Times New Roman" w:cs="Times New Roman"/>
          <w:sz w:val="28"/>
          <w:szCs w:val="28"/>
          <w:lang w:val="uk-UA"/>
        </w:rPr>
        <w:t xml:space="preserve">між </w:t>
      </w:r>
      <w:r w:rsidR="00ED0B77">
        <w:rPr>
          <w:rFonts w:ascii="Times New Roman" w:hAnsi="Times New Roman" w:cs="Times New Roman"/>
          <w:sz w:val="28"/>
          <w:szCs w:val="28"/>
          <w:lang w:val="uk-UA"/>
        </w:rPr>
        <w:t xml:space="preserve">вмістом </w:t>
      </w:r>
      <w:r w:rsidR="00ED0B77" w:rsidRPr="00ED0B77">
        <w:rPr>
          <w:rFonts w:ascii="Times New Roman" w:hAnsi="Times New Roman" w:cs="Times New Roman"/>
          <w:sz w:val="28"/>
          <w:szCs w:val="28"/>
          <w:lang w:val="uk-UA"/>
        </w:rPr>
        <w:t>HbA1</w:t>
      </w:r>
      <w:r w:rsidR="00ED0B77">
        <w:rPr>
          <w:rFonts w:ascii="Times New Roman" w:hAnsi="Times New Roman" w:cs="Times New Roman"/>
          <w:sz w:val="28"/>
          <w:szCs w:val="28"/>
          <w:lang w:val="uk-UA"/>
        </w:rPr>
        <w:t xml:space="preserve">с та </w:t>
      </w:r>
      <w:r w:rsidR="00ED0B77" w:rsidRPr="00ED0B77">
        <w:rPr>
          <w:rFonts w:ascii="Times New Roman" w:hAnsi="Times New Roman" w:cs="Times New Roman"/>
          <w:sz w:val="28"/>
          <w:szCs w:val="28"/>
          <w:lang w:val="uk-UA"/>
        </w:rPr>
        <w:t xml:space="preserve">МАУ </w:t>
      </w:r>
      <w:r w:rsidR="00ED0B77">
        <w:rPr>
          <w:rFonts w:ascii="Times New Roman" w:hAnsi="Times New Roman" w:cs="Times New Roman"/>
          <w:sz w:val="28"/>
          <w:szCs w:val="28"/>
          <w:lang w:val="uk-UA"/>
        </w:rPr>
        <w:t xml:space="preserve">виявлено у </w:t>
      </w:r>
      <w:r w:rsidR="00ED0B77" w:rsidRPr="00ED0B77">
        <w:rPr>
          <w:rFonts w:ascii="Times New Roman" w:hAnsi="Times New Roman" w:cs="Times New Roman"/>
          <w:sz w:val="28"/>
          <w:szCs w:val="28"/>
          <w:lang w:val="uk-UA"/>
        </w:rPr>
        <w:t>пацієнтів із ЦД 2-го типу</w:t>
      </w:r>
      <w:r w:rsidR="00FE5DA1">
        <w:rPr>
          <w:rFonts w:ascii="Times New Roman" w:hAnsi="Times New Roman" w:cs="Times New Roman"/>
          <w:sz w:val="28"/>
          <w:szCs w:val="28"/>
          <w:lang w:val="uk-UA"/>
        </w:rPr>
        <w:t xml:space="preserve"> </w:t>
      </w:r>
      <w:r w:rsidR="001225FC" w:rsidRPr="002C21DA">
        <w:rPr>
          <w:rFonts w:ascii="Times New Roman" w:hAnsi="Times New Roman" w:cs="Times New Roman"/>
          <w:sz w:val="28"/>
          <w:szCs w:val="28"/>
          <w:lang w:val="uk-UA"/>
        </w:rPr>
        <w:t>[</w:t>
      </w:r>
      <w:r w:rsidR="00A15585" w:rsidRPr="002C21DA">
        <w:rPr>
          <w:rFonts w:ascii="Times New Roman" w:hAnsi="Times New Roman" w:cs="Times New Roman"/>
          <w:sz w:val="28"/>
          <w:szCs w:val="28"/>
          <w:lang w:val="uk-UA"/>
        </w:rPr>
        <w:t>56</w:t>
      </w:r>
      <w:r w:rsidR="003D1102" w:rsidRPr="002C21DA">
        <w:rPr>
          <w:rFonts w:ascii="Times New Roman" w:hAnsi="Times New Roman" w:cs="Times New Roman"/>
          <w:sz w:val="28"/>
          <w:szCs w:val="28"/>
          <w:lang w:val="uk-UA"/>
        </w:rPr>
        <w:t>].</w:t>
      </w:r>
      <w:r w:rsidR="009E5F02">
        <w:rPr>
          <w:rFonts w:ascii="Times New Roman" w:hAnsi="Times New Roman" w:cs="Times New Roman"/>
          <w:sz w:val="28"/>
          <w:szCs w:val="28"/>
          <w:lang w:val="uk-UA"/>
        </w:rPr>
        <w:t xml:space="preserve"> </w:t>
      </w:r>
    </w:p>
    <w:p w:rsidR="001225FC" w:rsidRPr="00A03291" w:rsidRDefault="000F4FC7" w:rsidP="004944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Порушення функції ендотелію</w:t>
      </w:r>
      <w:r w:rsidR="00474851">
        <w:rPr>
          <w:rFonts w:ascii="Times New Roman" w:hAnsi="Times New Roman" w:cs="Times New Roman"/>
          <w:sz w:val="28"/>
          <w:szCs w:val="28"/>
          <w:lang w:val="uk-UA"/>
        </w:rPr>
        <w:t xml:space="preserve"> клубочків </w:t>
      </w:r>
      <w:r>
        <w:rPr>
          <w:rFonts w:ascii="Times New Roman" w:hAnsi="Times New Roman" w:cs="Times New Roman"/>
          <w:sz w:val="28"/>
          <w:szCs w:val="28"/>
          <w:lang w:val="uk-UA"/>
        </w:rPr>
        <w:t>нирок сприяє в</w:t>
      </w:r>
      <w:r w:rsidRPr="000F4FC7">
        <w:rPr>
          <w:rFonts w:ascii="Times New Roman" w:hAnsi="Times New Roman" w:cs="Times New Roman"/>
          <w:sz w:val="28"/>
          <w:szCs w:val="28"/>
          <w:lang w:val="uk-UA"/>
        </w:rPr>
        <w:t>иникненню та прогресуванню альбумінурії</w:t>
      </w:r>
      <w:r w:rsidR="001225FC" w:rsidRPr="00A03291">
        <w:rPr>
          <w:rFonts w:ascii="Times New Roman" w:hAnsi="Times New Roman" w:cs="Times New Roman"/>
          <w:sz w:val="28"/>
          <w:szCs w:val="28"/>
          <w:lang w:val="uk-UA"/>
        </w:rPr>
        <w:t xml:space="preserve"> </w:t>
      </w:r>
      <w:r w:rsidR="001225FC" w:rsidRPr="002C21DA">
        <w:rPr>
          <w:rFonts w:ascii="Times New Roman" w:hAnsi="Times New Roman" w:cs="Times New Roman"/>
          <w:sz w:val="28"/>
          <w:szCs w:val="28"/>
          <w:lang w:val="uk-UA"/>
        </w:rPr>
        <w:t>[</w:t>
      </w:r>
      <w:r w:rsidR="00A15585" w:rsidRPr="002C21DA">
        <w:rPr>
          <w:rFonts w:ascii="Times New Roman" w:hAnsi="Times New Roman" w:cs="Times New Roman"/>
          <w:sz w:val="28"/>
          <w:szCs w:val="28"/>
          <w:lang w:val="uk-UA"/>
        </w:rPr>
        <w:t>57</w:t>
      </w:r>
      <w:r w:rsidR="001225FC" w:rsidRPr="002C21DA">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Безпосереднє ураження ендотелію судин викликає підвищення проникності</w:t>
      </w:r>
      <w:r>
        <w:rPr>
          <w:rFonts w:ascii="Times New Roman" w:hAnsi="Times New Roman" w:cs="Times New Roman"/>
          <w:sz w:val="28"/>
          <w:szCs w:val="28"/>
          <w:lang w:val="uk-UA"/>
        </w:rPr>
        <w:t xml:space="preserve"> гломерулярного барʼ</w:t>
      </w:r>
      <w:r w:rsidR="00FB529C">
        <w:rPr>
          <w:rFonts w:ascii="Times New Roman" w:hAnsi="Times New Roman" w:cs="Times New Roman"/>
          <w:sz w:val="28"/>
          <w:szCs w:val="28"/>
          <w:lang w:val="uk-UA"/>
        </w:rPr>
        <w:t>єра</w:t>
      </w:r>
      <w:r w:rsidR="001225FC" w:rsidRPr="00A03291">
        <w:rPr>
          <w:rFonts w:ascii="Times New Roman" w:hAnsi="Times New Roman" w:cs="Times New Roman"/>
          <w:sz w:val="28"/>
          <w:szCs w:val="28"/>
          <w:lang w:val="uk-UA"/>
        </w:rPr>
        <w:t xml:space="preserve"> </w:t>
      </w:r>
      <w:r w:rsidR="000C083B">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для дрібнодисперсної високоселективної фракції білка – альбумін</w:t>
      </w:r>
      <w:r w:rsidR="00FB2501">
        <w:rPr>
          <w:rFonts w:ascii="Times New Roman" w:hAnsi="Times New Roman" w:cs="Times New Roman"/>
          <w:sz w:val="28"/>
          <w:szCs w:val="28"/>
          <w:lang w:val="uk-UA"/>
        </w:rPr>
        <w:t xml:space="preserve">у. </w:t>
      </w:r>
      <w:r w:rsidR="00BD2E9C">
        <w:rPr>
          <w:rFonts w:ascii="Times New Roman" w:hAnsi="Times New Roman" w:cs="Times New Roman"/>
          <w:sz w:val="28"/>
          <w:szCs w:val="28"/>
          <w:lang w:val="uk-UA"/>
        </w:rPr>
        <w:t>С</w:t>
      </w:r>
      <w:r w:rsidR="001225FC" w:rsidRPr="00A03291">
        <w:rPr>
          <w:rFonts w:ascii="Times New Roman" w:hAnsi="Times New Roman" w:cs="Times New Roman"/>
          <w:sz w:val="28"/>
          <w:szCs w:val="28"/>
          <w:lang w:val="uk-UA"/>
        </w:rPr>
        <w:t>истемне ураження ендотелію виявляється феноменом альбумінурії</w:t>
      </w:r>
      <w:r w:rsidR="00FB2501">
        <w:rPr>
          <w:rFonts w:ascii="Times New Roman" w:hAnsi="Times New Roman" w:cs="Times New Roman"/>
          <w:sz w:val="28"/>
          <w:szCs w:val="28"/>
          <w:lang w:val="uk-UA"/>
        </w:rPr>
        <w:t xml:space="preserve"> зва</w:t>
      </w:r>
      <w:r w:rsidR="00FB2501">
        <w:rPr>
          <w:rFonts w:ascii="Times New Roman" w:hAnsi="Times New Roman" w:cs="Times New Roman"/>
          <w:sz w:val="28"/>
          <w:szCs w:val="28"/>
        </w:rPr>
        <w:t>жаючи на</w:t>
      </w:r>
      <w:r w:rsidR="00FB2501">
        <w:rPr>
          <w:rFonts w:ascii="Times New Roman" w:hAnsi="Times New Roman" w:cs="Times New Roman"/>
          <w:sz w:val="28"/>
          <w:szCs w:val="28"/>
          <w:lang w:val="uk-UA"/>
        </w:rPr>
        <w:t xml:space="preserve"> те, що нирки </w:t>
      </w:r>
      <w:r w:rsidR="00FB2501" w:rsidRPr="00FB2501">
        <w:rPr>
          <w:rFonts w:ascii="Times New Roman" w:hAnsi="Times New Roman" w:cs="Times New Roman"/>
          <w:sz w:val="28"/>
          <w:szCs w:val="28"/>
          <w:lang w:val="uk-UA"/>
        </w:rPr>
        <w:t>є органом із найвищою кон</w:t>
      </w:r>
      <w:r w:rsidR="00FB2501">
        <w:rPr>
          <w:rFonts w:ascii="Times New Roman" w:hAnsi="Times New Roman" w:cs="Times New Roman"/>
          <w:sz w:val="28"/>
          <w:szCs w:val="28"/>
          <w:lang w:val="uk-UA"/>
        </w:rPr>
        <w:t>центрацією артеріол в організмі</w:t>
      </w:r>
      <w:r w:rsidR="00BD2E9C">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w:t>
      </w:r>
      <w:r w:rsidR="00A15585" w:rsidRPr="002C21DA">
        <w:rPr>
          <w:rFonts w:ascii="Times New Roman" w:hAnsi="Times New Roman" w:cs="Times New Roman"/>
          <w:sz w:val="28"/>
          <w:szCs w:val="28"/>
        </w:rPr>
        <w:t>58</w:t>
      </w:r>
      <w:r w:rsidR="001225FC" w:rsidRPr="002C21DA">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w:t>
      </w:r>
    </w:p>
    <w:p w:rsidR="001225FC" w:rsidRPr="00341818" w:rsidRDefault="001225FC" w:rsidP="004C6B6C">
      <w:pPr>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Гіперліпідемія </w:t>
      </w:r>
      <w:r w:rsidR="00FB529C">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вагомий метаболічний фактор прог</w:t>
      </w:r>
      <w:r w:rsidR="001325B6">
        <w:rPr>
          <w:rFonts w:ascii="Times New Roman" w:hAnsi="Times New Roman" w:cs="Times New Roman"/>
          <w:sz w:val="28"/>
          <w:szCs w:val="28"/>
          <w:lang w:val="uk-UA"/>
        </w:rPr>
        <w:t>ресування ДН</w:t>
      </w:r>
      <w:r w:rsidR="000D62FC">
        <w:rPr>
          <w:rFonts w:ascii="Times New Roman" w:hAnsi="Times New Roman" w:cs="Times New Roman"/>
          <w:sz w:val="28"/>
          <w:szCs w:val="28"/>
          <w:lang w:val="uk-UA"/>
        </w:rPr>
        <w:t>. Окисн</w:t>
      </w:r>
      <w:r w:rsidRPr="00A03291">
        <w:rPr>
          <w:rFonts w:ascii="Times New Roman" w:hAnsi="Times New Roman" w:cs="Times New Roman"/>
          <w:sz w:val="28"/>
          <w:szCs w:val="28"/>
          <w:lang w:val="uk-UA"/>
        </w:rPr>
        <w:t>ен</w:t>
      </w:r>
      <w:r w:rsidR="001325B6">
        <w:rPr>
          <w:rFonts w:ascii="Times New Roman" w:hAnsi="Times New Roman" w:cs="Times New Roman"/>
          <w:sz w:val="28"/>
          <w:szCs w:val="28"/>
          <w:lang w:val="uk-UA"/>
        </w:rPr>
        <w:t xml:space="preserve">і </w:t>
      </w:r>
      <w:r w:rsidR="00FB2501">
        <w:rPr>
          <w:rFonts w:ascii="Times New Roman" w:hAnsi="Times New Roman" w:cs="Times New Roman"/>
          <w:sz w:val="28"/>
          <w:szCs w:val="28"/>
          <w:lang w:val="uk-UA"/>
        </w:rPr>
        <w:t xml:space="preserve">ХС </w:t>
      </w:r>
      <w:r w:rsidR="001325B6">
        <w:rPr>
          <w:rFonts w:ascii="Times New Roman" w:hAnsi="Times New Roman" w:cs="Times New Roman"/>
          <w:sz w:val="28"/>
          <w:szCs w:val="28"/>
          <w:lang w:val="uk-UA"/>
        </w:rPr>
        <w:t>ЛПНЩ</w:t>
      </w:r>
      <w:r w:rsidRPr="00A03291">
        <w:rPr>
          <w:rFonts w:ascii="Times New Roman" w:hAnsi="Times New Roman" w:cs="Times New Roman"/>
          <w:sz w:val="28"/>
          <w:szCs w:val="28"/>
          <w:lang w:val="uk-UA"/>
        </w:rPr>
        <w:t xml:space="preserve"> проникають через ушкоджений ендотелій капілярів ниркових клубочків, захоплюються мезангіальними клітинами з утворенням пінистих клітин, навколо яких формують колагенові волокна, і розвивається гломерулосклероз [</w:t>
      </w:r>
      <w:r w:rsidR="002C21DA">
        <w:rPr>
          <w:rFonts w:ascii="Times New Roman" w:hAnsi="Times New Roman" w:cs="Times New Roman"/>
          <w:sz w:val="28"/>
          <w:szCs w:val="28"/>
          <w:lang w:val="uk-UA"/>
        </w:rPr>
        <w:t>39</w:t>
      </w:r>
      <w:r w:rsidR="00FB2501">
        <w:rPr>
          <w:rFonts w:ascii="Times New Roman" w:hAnsi="Times New Roman" w:cs="Times New Roman"/>
          <w:sz w:val="28"/>
          <w:szCs w:val="28"/>
          <w:lang w:val="uk-UA"/>
        </w:rPr>
        <w:t>]. Р</w:t>
      </w:r>
      <w:r w:rsidRPr="00341818">
        <w:rPr>
          <w:rFonts w:ascii="Times New Roman" w:hAnsi="Times New Roman" w:cs="Times New Roman"/>
          <w:sz w:val="28"/>
          <w:szCs w:val="28"/>
          <w:lang w:val="uk-UA"/>
        </w:rPr>
        <w:t>изик виникнення альбумінурії</w:t>
      </w:r>
      <w:r w:rsidR="00FB2501">
        <w:rPr>
          <w:rFonts w:ascii="Times New Roman" w:hAnsi="Times New Roman" w:cs="Times New Roman"/>
          <w:sz w:val="28"/>
          <w:szCs w:val="28"/>
          <w:lang w:val="uk-UA"/>
        </w:rPr>
        <w:t xml:space="preserve"> зменшується </w:t>
      </w:r>
      <w:r w:rsidR="00D704C1">
        <w:rPr>
          <w:rFonts w:ascii="Times New Roman" w:hAnsi="Times New Roman" w:cs="Times New Roman"/>
          <w:sz w:val="28"/>
          <w:szCs w:val="28"/>
          <w:lang w:val="uk-UA"/>
        </w:rPr>
        <w:t xml:space="preserve">          </w:t>
      </w:r>
      <w:r w:rsidR="00FB2501">
        <w:rPr>
          <w:rFonts w:ascii="Times New Roman" w:hAnsi="Times New Roman" w:cs="Times New Roman"/>
          <w:sz w:val="28"/>
          <w:szCs w:val="28"/>
          <w:lang w:val="uk-UA"/>
        </w:rPr>
        <w:t>при</w:t>
      </w:r>
      <w:r w:rsidRPr="00341818">
        <w:rPr>
          <w:rFonts w:ascii="Times New Roman" w:hAnsi="Times New Roman" w:cs="Times New Roman"/>
          <w:sz w:val="28"/>
          <w:szCs w:val="28"/>
          <w:lang w:val="uk-UA"/>
        </w:rPr>
        <w:t xml:space="preserve"> </w:t>
      </w:r>
      <w:r w:rsidR="00FB2501" w:rsidRPr="00FB2501">
        <w:rPr>
          <w:rFonts w:ascii="Times New Roman" w:hAnsi="Times New Roman" w:cs="Times New Roman"/>
          <w:sz w:val="28"/>
          <w:szCs w:val="28"/>
          <w:lang w:val="uk-UA"/>
        </w:rPr>
        <w:t>зниженні АТ менше за 140 мм рт. ст. у пацієнтів із ЦД 2-го тип</w:t>
      </w:r>
      <w:r w:rsidR="00FB2501">
        <w:rPr>
          <w:rFonts w:ascii="Times New Roman" w:hAnsi="Times New Roman" w:cs="Times New Roman"/>
          <w:sz w:val="28"/>
          <w:szCs w:val="28"/>
          <w:lang w:val="uk-UA"/>
        </w:rPr>
        <w:t>у</w:t>
      </w:r>
      <w:r w:rsidR="00FB2501" w:rsidRPr="00FB2501">
        <w:rPr>
          <w:rFonts w:ascii="Times New Roman" w:hAnsi="Times New Roman" w:cs="Times New Roman"/>
          <w:sz w:val="28"/>
          <w:szCs w:val="28"/>
          <w:lang w:val="uk-UA"/>
        </w:rPr>
        <w:t xml:space="preserve"> </w:t>
      </w:r>
      <w:r w:rsidRPr="002C21DA">
        <w:rPr>
          <w:rFonts w:ascii="Times New Roman" w:hAnsi="Times New Roman" w:cs="Times New Roman"/>
          <w:sz w:val="28"/>
          <w:szCs w:val="28"/>
          <w:lang w:val="uk-UA"/>
        </w:rPr>
        <w:t>[</w:t>
      </w:r>
      <w:r w:rsidR="00375662" w:rsidRPr="002C21DA">
        <w:rPr>
          <w:rFonts w:ascii="Times New Roman" w:hAnsi="Times New Roman" w:cs="Times New Roman"/>
          <w:sz w:val="28"/>
          <w:szCs w:val="28"/>
          <w:lang w:val="uk-UA"/>
        </w:rPr>
        <w:t>59</w:t>
      </w:r>
      <w:r w:rsidRPr="002C21DA">
        <w:rPr>
          <w:rFonts w:ascii="Times New Roman" w:hAnsi="Times New Roman" w:cs="Times New Roman"/>
          <w:sz w:val="28"/>
          <w:szCs w:val="28"/>
          <w:lang w:val="uk-UA"/>
        </w:rPr>
        <w:t>].</w:t>
      </w:r>
    </w:p>
    <w:p w:rsidR="001225FC" w:rsidRPr="00357526" w:rsidRDefault="000D62FC" w:rsidP="001325B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1225FC" w:rsidRPr="00341818">
        <w:rPr>
          <w:rFonts w:ascii="Times New Roman" w:hAnsi="Times New Roman" w:cs="Times New Roman"/>
          <w:sz w:val="28"/>
          <w:szCs w:val="28"/>
          <w:lang w:val="uk-UA"/>
        </w:rPr>
        <w:t xml:space="preserve"> дослідженні </w:t>
      </w:r>
      <w:r w:rsidR="001225FC" w:rsidRPr="00341818">
        <w:rPr>
          <w:rFonts w:ascii="Times New Roman" w:hAnsi="Times New Roman" w:cs="Times New Roman"/>
          <w:sz w:val="28"/>
          <w:szCs w:val="28"/>
        </w:rPr>
        <w:t>LIFE</w:t>
      </w:r>
      <w:r>
        <w:rPr>
          <w:rFonts w:ascii="Times New Roman" w:hAnsi="Times New Roman" w:cs="Times New Roman"/>
          <w:sz w:val="28"/>
          <w:szCs w:val="28"/>
          <w:lang w:val="uk-UA"/>
        </w:rPr>
        <w:t xml:space="preserve"> було об</w:t>
      </w:r>
      <w:r w:rsidRPr="000D62FC">
        <w:rPr>
          <w:rFonts w:ascii="Times New Roman" w:hAnsi="Times New Roman" w:cs="Times New Roman"/>
          <w:bCs/>
          <w:sz w:val="28"/>
          <w:szCs w:val="28"/>
          <w:lang w:val="uk-UA"/>
        </w:rPr>
        <w:t>ґ</w:t>
      </w:r>
      <w:r w:rsidR="00074E69">
        <w:rPr>
          <w:rFonts w:ascii="Times New Roman" w:hAnsi="Times New Roman" w:cs="Times New Roman"/>
          <w:sz w:val="28"/>
          <w:szCs w:val="28"/>
          <w:lang w:val="uk-UA"/>
        </w:rPr>
        <w:t>рунтовано</w:t>
      </w:r>
      <w:r w:rsidR="001225FC" w:rsidRPr="00341818">
        <w:rPr>
          <w:rFonts w:ascii="Times New Roman" w:hAnsi="Times New Roman" w:cs="Times New Roman"/>
          <w:sz w:val="28"/>
          <w:szCs w:val="28"/>
          <w:lang w:val="uk-UA"/>
        </w:rPr>
        <w:t xml:space="preserve">, що підвищена екскреція білка </w:t>
      </w:r>
      <w:r>
        <w:rPr>
          <w:rFonts w:ascii="Times New Roman" w:hAnsi="Times New Roman" w:cs="Times New Roman"/>
          <w:sz w:val="28"/>
          <w:szCs w:val="28"/>
          <w:lang w:val="uk-UA"/>
        </w:rPr>
        <w:t>і</w:t>
      </w:r>
      <w:r w:rsidR="001225FC" w:rsidRPr="00341818">
        <w:rPr>
          <w:rFonts w:ascii="Times New Roman" w:hAnsi="Times New Roman" w:cs="Times New Roman"/>
          <w:sz w:val="28"/>
          <w:szCs w:val="28"/>
          <w:lang w:val="uk-UA"/>
        </w:rPr>
        <w:t>з сечею асоціюється з лівошлуночковою гіпертрофією,</w:t>
      </w:r>
      <w:r w:rsidR="001225FC" w:rsidRPr="00A03291">
        <w:rPr>
          <w:rFonts w:ascii="Times New Roman" w:hAnsi="Times New Roman" w:cs="Times New Roman"/>
          <w:sz w:val="28"/>
          <w:szCs w:val="28"/>
          <w:lang w:val="uk-UA"/>
        </w:rPr>
        <w:t xml:space="preserve"> причому незалежно від віку, статі, раси</w:t>
      </w:r>
      <w:r w:rsidR="00BB0538">
        <w:rPr>
          <w:rFonts w:ascii="Times New Roman" w:hAnsi="Times New Roman" w:cs="Times New Roman"/>
          <w:sz w:val="28"/>
          <w:szCs w:val="28"/>
          <w:lang w:val="uk-UA"/>
        </w:rPr>
        <w:t>, рівня АТ, наявності ЦД, тютюнопал</w:t>
      </w:r>
      <w:r w:rsidR="001225FC" w:rsidRPr="00A03291">
        <w:rPr>
          <w:rFonts w:ascii="Times New Roman" w:hAnsi="Times New Roman" w:cs="Times New Roman"/>
          <w:sz w:val="28"/>
          <w:szCs w:val="28"/>
          <w:lang w:val="uk-UA"/>
        </w:rPr>
        <w:t xml:space="preserve">іння, </w:t>
      </w:r>
      <w:r w:rsidR="00055029">
        <w:rPr>
          <w:rFonts w:ascii="Times New Roman" w:hAnsi="Times New Roman" w:cs="Times New Roman"/>
          <w:sz w:val="28"/>
          <w:szCs w:val="28"/>
          <w:lang w:val="uk-UA"/>
        </w:rPr>
        <w:t xml:space="preserve">вмісту </w:t>
      </w:r>
      <w:r w:rsidR="001225FC" w:rsidRPr="00A03291">
        <w:rPr>
          <w:rFonts w:ascii="Times New Roman" w:hAnsi="Times New Roman" w:cs="Times New Roman"/>
          <w:sz w:val="28"/>
          <w:szCs w:val="28"/>
          <w:lang w:val="uk-UA"/>
        </w:rPr>
        <w:t xml:space="preserve">креатиніну </w:t>
      </w:r>
      <w:r w:rsidR="00673ED7">
        <w:rPr>
          <w:rFonts w:ascii="Times New Roman" w:hAnsi="Times New Roman" w:cs="Times New Roman"/>
          <w:sz w:val="28"/>
          <w:szCs w:val="28"/>
          <w:lang w:val="uk-UA"/>
        </w:rPr>
        <w:t xml:space="preserve">в </w:t>
      </w:r>
      <w:r w:rsidR="001225FC" w:rsidRPr="00357526">
        <w:rPr>
          <w:rFonts w:ascii="Times New Roman" w:hAnsi="Times New Roman" w:cs="Times New Roman"/>
          <w:sz w:val="28"/>
          <w:szCs w:val="28"/>
          <w:lang w:val="uk-UA"/>
        </w:rPr>
        <w:t>крові</w:t>
      </w:r>
      <w:r w:rsidR="00BF1B54" w:rsidRPr="00357526">
        <w:rPr>
          <w:rFonts w:ascii="Times New Roman" w:hAnsi="Times New Roman" w:cs="Times New Roman"/>
          <w:sz w:val="28"/>
          <w:szCs w:val="28"/>
          <w:lang w:val="uk-UA"/>
        </w:rPr>
        <w:t xml:space="preserve"> </w:t>
      </w:r>
      <w:r w:rsidR="001225FC" w:rsidRPr="00357526">
        <w:rPr>
          <w:rFonts w:ascii="Times New Roman" w:hAnsi="Times New Roman" w:cs="Times New Roman"/>
          <w:sz w:val="28"/>
          <w:szCs w:val="28"/>
          <w:lang w:val="uk-UA"/>
        </w:rPr>
        <w:t>[</w:t>
      </w:r>
      <w:r w:rsidR="002C21DA">
        <w:rPr>
          <w:rFonts w:ascii="Times New Roman" w:hAnsi="Times New Roman" w:cs="Times New Roman"/>
          <w:sz w:val="28"/>
          <w:szCs w:val="28"/>
          <w:lang w:val="uk-UA"/>
        </w:rPr>
        <w:t>39</w:t>
      </w:r>
      <w:r w:rsidR="001225FC" w:rsidRPr="00357526">
        <w:rPr>
          <w:rFonts w:ascii="Times New Roman" w:hAnsi="Times New Roman" w:cs="Times New Roman"/>
          <w:sz w:val="28"/>
          <w:szCs w:val="28"/>
          <w:lang w:val="uk-UA"/>
        </w:rPr>
        <w:t>].</w:t>
      </w:r>
    </w:p>
    <w:p w:rsidR="001225FC" w:rsidRPr="004A1246" w:rsidRDefault="007F3B1A" w:rsidP="001325B6">
      <w:pPr>
        <w:spacing w:after="0" w:line="360" w:lineRule="auto"/>
        <w:ind w:firstLine="360"/>
        <w:jc w:val="both"/>
        <w:rPr>
          <w:rFonts w:ascii="Times New Roman" w:hAnsi="Times New Roman" w:cs="Times New Roman"/>
          <w:sz w:val="28"/>
          <w:szCs w:val="28"/>
          <w:lang w:val="uk-UA"/>
        </w:rPr>
      </w:pPr>
      <w:r w:rsidRPr="00357526">
        <w:rPr>
          <w:rFonts w:ascii="Times New Roman" w:hAnsi="Times New Roman" w:cs="Times New Roman"/>
          <w:sz w:val="28"/>
          <w:szCs w:val="28"/>
          <w:lang w:val="uk-UA"/>
        </w:rPr>
        <w:t xml:space="preserve">     </w:t>
      </w:r>
      <w:r w:rsidR="004F433B">
        <w:rPr>
          <w:rFonts w:ascii="Times New Roman" w:hAnsi="Times New Roman" w:cs="Times New Roman"/>
          <w:sz w:val="28"/>
          <w:szCs w:val="28"/>
          <w:lang w:val="uk-UA"/>
        </w:rPr>
        <w:t>П</w:t>
      </w:r>
      <w:r w:rsidR="001225FC" w:rsidRPr="00264D8F">
        <w:rPr>
          <w:rFonts w:ascii="Times New Roman" w:hAnsi="Times New Roman" w:cs="Times New Roman"/>
          <w:sz w:val="28"/>
          <w:szCs w:val="28"/>
          <w:lang w:val="uk-UA"/>
        </w:rPr>
        <w:t>оліпшення функції ендотелію асоціюється зі зниженням ризику кардіоваскулярних подій, навіть в ум</w:t>
      </w:r>
      <w:r w:rsidR="001225FC">
        <w:rPr>
          <w:rFonts w:ascii="Times New Roman" w:hAnsi="Times New Roman" w:cs="Times New Roman"/>
          <w:sz w:val="28"/>
          <w:szCs w:val="28"/>
          <w:lang w:val="uk-UA"/>
        </w:rPr>
        <w:t>овах вторинної профілактики [</w:t>
      </w:r>
      <w:r w:rsidR="00375662" w:rsidRPr="002C21DA">
        <w:rPr>
          <w:rFonts w:ascii="Times New Roman" w:hAnsi="Times New Roman" w:cs="Times New Roman"/>
          <w:sz w:val="28"/>
          <w:szCs w:val="28"/>
          <w:lang w:val="uk-UA"/>
        </w:rPr>
        <w:t>60</w:t>
      </w:r>
      <w:r w:rsidR="001225FC" w:rsidRPr="002C21DA">
        <w:rPr>
          <w:rFonts w:ascii="Times New Roman" w:hAnsi="Times New Roman" w:cs="Times New Roman"/>
          <w:sz w:val="28"/>
          <w:szCs w:val="28"/>
          <w:lang w:val="uk-UA"/>
        </w:rPr>
        <w:t>]</w:t>
      </w:r>
      <w:r w:rsidR="001225FC" w:rsidRPr="00264D8F">
        <w:rPr>
          <w:rFonts w:ascii="Times New Roman" w:hAnsi="Times New Roman" w:cs="Times New Roman"/>
          <w:sz w:val="28"/>
          <w:szCs w:val="28"/>
          <w:lang w:val="uk-UA"/>
        </w:rPr>
        <w:t>.</w:t>
      </w:r>
      <w:r w:rsidR="001225FC" w:rsidRPr="00337BD0">
        <w:rPr>
          <w:rFonts w:ascii="Times New Roman" w:hAnsi="Times New Roman" w:cs="Times New Roman"/>
          <w:sz w:val="28"/>
          <w:szCs w:val="28"/>
          <w:lang w:val="uk-UA"/>
        </w:rPr>
        <w:t xml:space="preserve"> </w:t>
      </w:r>
      <w:r w:rsidR="00504BC6">
        <w:rPr>
          <w:rFonts w:ascii="Times New Roman" w:hAnsi="Times New Roman" w:cs="Times New Roman"/>
          <w:sz w:val="28"/>
          <w:szCs w:val="28"/>
          <w:lang w:val="uk-UA"/>
        </w:rPr>
        <w:t>Артеріальна гіпертензія</w:t>
      </w:r>
      <w:r w:rsidR="001225FC">
        <w:rPr>
          <w:rFonts w:ascii="Times New Roman" w:hAnsi="Times New Roman" w:cs="Times New Roman"/>
          <w:sz w:val="28"/>
          <w:szCs w:val="28"/>
          <w:lang w:val="uk-UA"/>
        </w:rPr>
        <w:t>, асоційована з</w:t>
      </w:r>
      <w:r w:rsidR="00570C39">
        <w:rPr>
          <w:rFonts w:ascii="Times New Roman" w:hAnsi="Times New Roman" w:cs="Times New Roman"/>
          <w:sz w:val="28"/>
          <w:szCs w:val="28"/>
          <w:lang w:val="uk-UA"/>
        </w:rPr>
        <w:t xml:space="preserve"> ЕД</w:t>
      </w:r>
      <w:r w:rsidR="001225FC">
        <w:rPr>
          <w:rFonts w:ascii="Times New Roman" w:hAnsi="Times New Roman" w:cs="Times New Roman"/>
          <w:sz w:val="28"/>
          <w:szCs w:val="28"/>
          <w:lang w:val="uk-UA"/>
        </w:rPr>
        <w:t>, є доведеним фактором ризику зростання ка</w:t>
      </w:r>
      <w:r w:rsidR="000D62FC">
        <w:rPr>
          <w:rFonts w:ascii="Times New Roman" w:hAnsi="Times New Roman" w:cs="Times New Roman"/>
          <w:sz w:val="28"/>
          <w:szCs w:val="28"/>
          <w:lang w:val="uk-UA"/>
        </w:rPr>
        <w:t>рдіоваскулярної захворюваності та</w:t>
      </w:r>
      <w:r w:rsidR="001225FC">
        <w:rPr>
          <w:rFonts w:ascii="Times New Roman" w:hAnsi="Times New Roman" w:cs="Times New Roman"/>
          <w:sz w:val="28"/>
          <w:szCs w:val="28"/>
          <w:lang w:val="uk-UA"/>
        </w:rPr>
        <w:t xml:space="preserve"> </w:t>
      </w:r>
      <w:r w:rsidR="000A07EB">
        <w:rPr>
          <w:rFonts w:ascii="Times New Roman" w:hAnsi="Times New Roman" w:cs="Times New Roman"/>
          <w:sz w:val="28"/>
          <w:szCs w:val="28"/>
          <w:lang w:val="uk-UA"/>
        </w:rPr>
        <w:t>смертності</w:t>
      </w:r>
      <w:r w:rsidR="001225FC">
        <w:rPr>
          <w:rFonts w:ascii="Times New Roman" w:hAnsi="Times New Roman" w:cs="Times New Roman"/>
          <w:sz w:val="28"/>
          <w:szCs w:val="28"/>
          <w:lang w:val="uk-UA"/>
        </w:rPr>
        <w:t xml:space="preserve"> [</w:t>
      </w:r>
      <w:r w:rsidR="00375662" w:rsidRPr="00504BC6">
        <w:rPr>
          <w:rFonts w:ascii="Times New Roman" w:hAnsi="Times New Roman" w:cs="Times New Roman"/>
          <w:sz w:val="28"/>
          <w:szCs w:val="28"/>
          <w:lang w:val="uk-UA"/>
        </w:rPr>
        <w:t>61</w:t>
      </w:r>
      <w:r w:rsidR="001225FC" w:rsidRPr="002C21DA">
        <w:rPr>
          <w:rFonts w:ascii="Times New Roman" w:hAnsi="Times New Roman" w:cs="Times New Roman"/>
          <w:sz w:val="28"/>
          <w:szCs w:val="28"/>
          <w:lang w:val="uk-UA"/>
        </w:rPr>
        <w:t>].</w:t>
      </w:r>
    </w:p>
    <w:p w:rsidR="00A81E5B" w:rsidRDefault="00D11213" w:rsidP="001225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Ен</w:t>
      </w:r>
      <w:r w:rsidR="00504BC6">
        <w:rPr>
          <w:rFonts w:ascii="Times New Roman" w:hAnsi="Times New Roman" w:cs="Times New Roman"/>
          <w:sz w:val="28"/>
          <w:szCs w:val="28"/>
          <w:lang w:val="uk-UA"/>
        </w:rPr>
        <w:t>дотелін</w:t>
      </w:r>
      <w:r w:rsidR="0040370D" w:rsidRPr="0040370D">
        <w:rPr>
          <w:rFonts w:ascii="Times New Roman" w:hAnsi="Times New Roman" w:cs="Times New Roman"/>
          <w:sz w:val="28"/>
          <w:szCs w:val="28"/>
          <w:lang w:val="uk-UA"/>
        </w:rPr>
        <w:t>-1</w:t>
      </w:r>
      <w:r w:rsidR="0040370D">
        <w:rPr>
          <w:rFonts w:ascii="Times New Roman" w:hAnsi="Times New Roman" w:cs="Times New Roman"/>
          <w:sz w:val="28"/>
          <w:szCs w:val="28"/>
          <w:lang w:val="uk-UA"/>
        </w:rPr>
        <w:t xml:space="preserve"> є н</w:t>
      </w:r>
      <w:r w:rsidR="001225FC" w:rsidRPr="00264D8F">
        <w:rPr>
          <w:rFonts w:ascii="Times New Roman" w:hAnsi="Times New Roman" w:cs="Times New Roman"/>
          <w:sz w:val="28"/>
          <w:szCs w:val="28"/>
          <w:lang w:val="uk-UA"/>
        </w:rPr>
        <w:t>айбільш сильним із вазоконстрикт</w:t>
      </w:r>
      <w:r w:rsidR="00074E69">
        <w:rPr>
          <w:rFonts w:ascii="Times New Roman" w:hAnsi="Times New Roman" w:cs="Times New Roman"/>
          <w:sz w:val="28"/>
          <w:szCs w:val="28"/>
          <w:lang w:val="uk-UA"/>
        </w:rPr>
        <w:t>орів</w:t>
      </w:r>
      <w:r w:rsidR="00A81E5B">
        <w:rPr>
          <w:rFonts w:ascii="Times New Roman" w:hAnsi="Times New Roman" w:cs="Times New Roman"/>
          <w:sz w:val="28"/>
          <w:szCs w:val="28"/>
          <w:lang w:val="uk-UA"/>
        </w:rPr>
        <w:t>,</w:t>
      </w:r>
      <w:r w:rsidR="0040370D">
        <w:rPr>
          <w:rFonts w:ascii="Times New Roman" w:hAnsi="Times New Roman" w:cs="Times New Roman"/>
          <w:sz w:val="28"/>
          <w:szCs w:val="28"/>
          <w:lang w:val="uk-UA"/>
        </w:rPr>
        <w:t xml:space="preserve"> який бере участь у розвитку АГ. </w:t>
      </w:r>
      <w:r w:rsidR="001600D3">
        <w:rPr>
          <w:rFonts w:ascii="Times New Roman" w:hAnsi="Times New Roman" w:cs="Times New Roman"/>
          <w:sz w:val="28"/>
          <w:szCs w:val="28"/>
          <w:lang w:val="uk-UA"/>
        </w:rPr>
        <w:t xml:space="preserve">Він </w:t>
      </w:r>
      <w:r w:rsidR="001225FC" w:rsidRPr="00264D8F">
        <w:rPr>
          <w:rFonts w:ascii="Times New Roman" w:hAnsi="Times New Roman" w:cs="Times New Roman"/>
          <w:sz w:val="28"/>
          <w:szCs w:val="28"/>
          <w:lang w:val="uk-UA"/>
        </w:rPr>
        <w:t xml:space="preserve">активує рецептори на </w:t>
      </w:r>
      <w:r w:rsidR="001225FC">
        <w:rPr>
          <w:rFonts w:ascii="Times New Roman" w:hAnsi="Times New Roman" w:cs="Times New Roman"/>
          <w:sz w:val="28"/>
          <w:szCs w:val="28"/>
          <w:lang w:val="uk-UA"/>
        </w:rPr>
        <w:t>гладком</w:t>
      </w:r>
      <w:r w:rsidR="000A07EB">
        <w:rPr>
          <w:rFonts w:ascii="Times New Roman" w:hAnsi="Times New Roman" w:cs="Times New Roman"/>
          <w:sz w:val="28"/>
          <w:szCs w:val="28"/>
          <w:lang w:val="uk-UA"/>
        </w:rPr>
        <w:t>ʼ</w:t>
      </w:r>
      <w:r w:rsidR="001225FC">
        <w:rPr>
          <w:rFonts w:ascii="Times New Roman" w:hAnsi="Times New Roman" w:cs="Times New Roman"/>
          <w:sz w:val="28"/>
          <w:szCs w:val="28"/>
          <w:lang w:val="uk-UA"/>
        </w:rPr>
        <w:t>язових клітинах</w:t>
      </w:r>
      <w:r w:rsidR="001225FC" w:rsidRPr="00264D8F">
        <w:rPr>
          <w:rFonts w:ascii="Times New Roman" w:hAnsi="Times New Roman" w:cs="Times New Roman"/>
          <w:sz w:val="28"/>
          <w:szCs w:val="28"/>
          <w:lang w:val="uk-UA"/>
        </w:rPr>
        <w:t>, стимулюючи стійку вазоконстрикцію і проліферацію середньої оболонки дрібних судин</w:t>
      </w:r>
      <w:r w:rsidR="001225FC">
        <w:rPr>
          <w:rFonts w:ascii="Times New Roman" w:hAnsi="Times New Roman" w:cs="Times New Roman"/>
          <w:sz w:val="28"/>
          <w:szCs w:val="28"/>
          <w:lang w:val="uk-UA"/>
        </w:rPr>
        <w:t xml:space="preserve"> [</w:t>
      </w:r>
      <w:r w:rsidR="00375662" w:rsidRPr="002C21DA">
        <w:rPr>
          <w:rFonts w:ascii="Times New Roman" w:hAnsi="Times New Roman" w:cs="Times New Roman"/>
          <w:sz w:val="28"/>
          <w:szCs w:val="28"/>
          <w:lang w:val="uk-UA"/>
        </w:rPr>
        <w:t>62</w:t>
      </w:r>
      <w:r w:rsidR="001225FC" w:rsidRPr="00264D8F">
        <w:rPr>
          <w:rFonts w:ascii="Times New Roman" w:hAnsi="Times New Roman" w:cs="Times New Roman"/>
          <w:sz w:val="28"/>
          <w:szCs w:val="28"/>
          <w:lang w:val="uk-UA"/>
        </w:rPr>
        <w:t>].</w:t>
      </w:r>
      <w:r w:rsidR="00913C86" w:rsidRPr="00913C86">
        <w:rPr>
          <w:rFonts w:ascii="Times New Roman" w:hAnsi="Times New Roman" w:cs="Times New Roman"/>
          <w:sz w:val="28"/>
          <w:szCs w:val="28"/>
          <w:lang w:val="uk-UA"/>
        </w:rPr>
        <w:t xml:space="preserve"> </w:t>
      </w:r>
    </w:p>
    <w:p w:rsidR="001225FC" w:rsidRPr="00525460" w:rsidRDefault="000263C1" w:rsidP="001225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06048">
        <w:rPr>
          <w:rFonts w:ascii="Times New Roman" w:hAnsi="Times New Roman" w:cs="Times New Roman"/>
          <w:sz w:val="28"/>
          <w:szCs w:val="28"/>
          <w:lang w:val="uk-UA"/>
        </w:rPr>
        <w:t xml:space="preserve">більшення вмісту </w:t>
      </w:r>
      <w:r>
        <w:rPr>
          <w:rFonts w:ascii="Times New Roman" w:hAnsi="Times New Roman" w:cs="Times New Roman"/>
          <w:sz w:val="28"/>
          <w:szCs w:val="28"/>
          <w:lang w:val="uk-UA"/>
        </w:rPr>
        <w:t xml:space="preserve">ЕТ-1 </w:t>
      </w:r>
      <w:r w:rsidRPr="000263C1">
        <w:rPr>
          <w:rFonts w:ascii="Times New Roman" w:hAnsi="Times New Roman" w:cs="Times New Roman"/>
          <w:sz w:val="28"/>
          <w:szCs w:val="28"/>
          <w:lang w:val="uk-UA"/>
        </w:rPr>
        <w:t>відзначається</w:t>
      </w:r>
      <w:r>
        <w:rPr>
          <w:rFonts w:ascii="Times New Roman" w:hAnsi="Times New Roman" w:cs="Times New Roman"/>
          <w:sz w:val="28"/>
          <w:szCs w:val="28"/>
          <w:lang w:val="uk-UA"/>
        </w:rPr>
        <w:t xml:space="preserve"> у </w:t>
      </w:r>
      <w:r w:rsidRPr="000263C1">
        <w:rPr>
          <w:rFonts w:ascii="Times New Roman" w:hAnsi="Times New Roman" w:cs="Times New Roman"/>
          <w:sz w:val="28"/>
          <w:szCs w:val="28"/>
          <w:lang w:val="uk-UA"/>
        </w:rPr>
        <w:t>пацієнтів із ЦД 2-го типу</w:t>
      </w:r>
      <w:r w:rsidR="00913C86">
        <w:rPr>
          <w:rFonts w:ascii="Times New Roman" w:hAnsi="Times New Roman" w:cs="Times New Roman"/>
          <w:sz w:val="28"/>
          <w:szCs w:val="28"/>
          <w:lang w:val="uk-UA"/>
        </w:rPr>
        <w:t xml:space="preserve"> </w:t>
      </w:r>
      <w:r w:rsidR="00913C86" w:rsidRPr="00525460">
        <w:rPr>
          <w:rFonts w:ascii="Times New Roman" w:hAnsi="Times New Roman" w:cs="Times New Roman"/>
          <w:sz w:val="28"/>
          <w:szCs w:val="28"/>
          <w:lang w:val="uk-UA"/>
        </w:rPr>
        <w:t>[</w:t>
      </w:r>
      <w:r w:rsidR="00375662" w:rsidRPr="002C21DA">
        <w:rPr>
          <w:rFonts w:ascii="Times New Roman" w:hAnsi="Times New Roman" w:cs="Times New Roman"/>
          <w:sz w:val="28"/>
          <w:szCs w:val="28"/>
          <w:lang w:val="uk-UA"/>
        </w:rPr>
        <w:t>63</w:t>
      </w:r>
      <w:r w:rsidR="00913C86" w:rsidRPr="00525460">
        <w:rPr>
          <w:rFonts w:ascii="Times New Roman" w:hAnsi="Times New Roman" w:cs="Times New Roman"/>
          <w:sz w:val="28"/>
          <w:szCs w:val="28"/>
          <w:lang w:val="uk-UA"/>
        </w:rPr>
        <w:t>].</w:t>
      </w:r>
    </w:p>
    <w:p w:rsidR="00177ACD" w:rsidRDefault="00504BC6" w:rsidP="007862A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Ендотелін</w:t>
      </w:r>
      <w:r w:rsidR="001225FC" w:rsidRPr="00264D8F">
        <w:rPr>
          <w:rFonts w:ascii="Times New Roman" w:hAnsi="Times New Roman" w:cs="Times New Roman"/>
          <w:sz w:val="28"/>
          <w:szCs w:val="28"/>
          <w:lang w:val="uk-UA"/>
        </w:rPr>
        <w:t>-1 індукує ліполіз в адипоцитах і призвод</w:t>
      </w:r>
      <w:r w:rsidR="001225FC">
        <w:rPr>
          <w:rFonts w:ascii="Times New Roman" w:hAnsi="Times New Roman" w:cs="Times New Roman"/>
          <w:sz w:val="28"/>
          <w:szCs w:val="28"/>
          <w:lang w:val="uk-UA"/>
        </w:rPr>
        <w:t>ить до ІР</w:t>
      </w:r>
      <w:r w:rsidR="001225FC" w:rsidRPr="00264D8F">
        <w:rPr>
          <w:rFonts w:ascii="Times New Roman" w:hAnsi="Times New Roman" w:cs="Times New Roman"/>
          <w:sz w:val="28"/>
          <w:szCs w:val="28"/>
          <w:lang w:val="uk-UA"/>
        </w:rPr>
        <w:t>, я</w:t>
      </w:r>
      <w:r w:rsidR="001225FC">
        <w:rPr>
          <w:rFonts w:ascii="Times New Roman" w:hAnsi="Times New Roman" w:cs="Times New Roman"/>
          <w:sz w:val="28"/>
          <w:szCs w:val="28"/>
          <w:lang w:val="uk-UA"/>
        </w:rPr>
        <w:t>ка обумовлена супресією транспорту</w:t>
      </w:r>
      <w:r w:rsidR="001225FC" w:rsidRPr="00264D8F">
        <w:rPr>
          <w:rFonts w:ascii="Times New Roman" w:hAnsi="Times New Roman" w:cs="Times New Roman"/>
          <w:sz w:val="28"/>
          <w:szCs w:val="28"/>
          <w:lang w:val="uk-UA"/>
        </w:rPr>
        <w:t xml:space="preserve"> глюкози до плазматичної мембрани перено</w:t>
      </w:r>
      <w:r w:rsidR="001225FC">
        <w:rPr>
          <w:rFonts w:ascii="Times New Roman" w:hAnsi="Times New Roman" w:cs="Times New Roman"/>
          <w:sz w:val="28"/>
          <w:szCs w:val="28"/>
          <w:lang w:val="uk-UA"/>
        </w:rPr>
        <w:t>с</w:t>
      </w:r>
      <w:r w:rsidR="000D62FC">
        <w:rPr>
          <w:rFonts w:ascii="Times New Roman" w:hAnsi="Times New Roman" w:cs="Times New Roman"/>
          <w:sz w:val="28"/>
          <w:szCs w:val="28"/>
          <w:lang w:val="uk-UA"/>
        </w:rPr>
        <w:t>н</w:t>
      </w:r>
      <w:r w:rsidR="001225FC">
        <w:rPr>
          <w:rFonts w:ascii="Times New Roman" w:hAnsi="Times New Roman" w:cs="Times New Roman"/>
          <w:sz w:val="28"/>
          <w:szCs w:val="28"/>
          <w:lang w:val="uk-UA"/>
        </w:rPr>
        <w:t>иком глюкози четвертого типу [</w:t>
      </w:r>
      <w:r w:rsidR="00375662" w:rsidRPr="002C21DA">
        <w:rPr>
          <w:rFonts w:ascii="Times New Roman" w:hAnsi="Times New Roman" w:cs="Times New Roman"/>
          <w:sz w:val="28"/>
          <w:szCs w:val="28"/>
        </w:rPr>
        <w:t>64</w:t>
      </w:r>
      <w:r w:rsidR="001225FC" w:rsidRPr="002C21DA">
        <w:rPr>
          <w:rFonts w:ascii="Times New Roman" w:hAnsi="Times New Roman" w:cs="Times New Roman"/>
          <w:sz w:val="28"/>
          <w:szCs w:val="28"/>
          <w:lang w:val="uk-UA"/>
        </w:rPr>
        <w:t>].</w:t>
      </w:r>
      <w:r w:rsidR="001225FC" w:rsidRPr="00162CCF">
        <w:rPr>
          <w:rFonts w:ascii="Times New Roman" w:hAnsi="Times New Roman" w:cs="Times New Roman"/>
          <w:sz w:val="28"/>
          <w:szCs w:val="28"/>
          <w:lang w:val="uk-UA"/>
        </w:rPr>
        <w:t xml:space="preserve"> </w:t>
      </w:r>
    </w:p>
    <w:p w:rsidR="001225FC" w:rsidRDefault="001225FC" w:rsidP="00A72754">
      <w:pPr>
        <w:spacing w:after="0" w:line="360" w:lineRule="auto"/>
        <w:ind w:firstLine="708"/>
        <w:jc w:val="both"/>
        <w:rPr>
          <w:rFonts w:ascii="Times New Roman" w:hAnsi="Times New Roman" w:cs="Times New Roman"/>
          <w:sz w:val="28"/>
          <w:szCs w:val="28"/>
          <w:lang w:val="uk-UA"/>
        </w:rPr>
      </w:pPr>
      <w:r w:rsidRPr="00264D8F">
        <w:rPr>
          <w:rFonts w:ascii="Times New Roman" w:hAnsi="Times New Roman" w:cs="Times New Roman"/>
          <w:sz w:val="28"/>
          <w:szCs w:val="28"/>
          <w:lang w:val="uk-UA"/>
        </w:rPr>
        <w:t>Ефекти ЕТ-1 реалізуються шляхом активації двох типів рецепторів – А і В. Рецептори типу А роз</w:t>
      </w:r>
      <w:r w:rsidR="000D62FC">
        <w:rPr>
          <w:rFonts w:ascii="Times New Roman" w:hAnsi="Times New Roman" w:cs="Times New Roman"/>
          <w:sz w:val="28"/>
          <w:szCs w:val="28"/>
          <w:lang w:val="uk-UA"/>
        </w:rPr>
        <w:t>м</w:t>
      </w:r>
      <w:r w:rsidRPr="00264D8F">
        <w:rPr>
          <w:rFonts w:ascii="Times New Roman" w:hAnsi="Times New Roman" w:cs="Times New Roman"/>
          <w:sz w:val="28"/>
          <w:szCs w:val="28"/>
          <w:lang w:val="uk-UA"/>
        </w:rPr>
        <w:t>і</w:t>
      </w:r>
      <w:r w:rsidR="000D62FC">
        <w:rPr>
          <w:rFonts w:ascii="Times New Roman" w:hAnsi="Times New Roman" w:cs="Times New Roman"/>
          <w:sz w:val="28"/>
          <w:szCs w:val="28"/>
          <w:lang w:val="uk-UA"/>
        </w:rPr>
        <w:t>щені</w:t>
      </w:r>
      <w:r w:rsidRPr="00264D8F">
        <w:rPr>
          <w:rFonts w:ascii="Times New Roman" w:hAnsi="Times New Roman" w:cs="Times New Roman"/>
          <w:sz w:val="28"/>
          <w:szCs w:val="28"/>
          <w:lang w:val="uk-UA"/>
        </w:rPr>
        <w:t xml:space="preserve"> переважно в </w:t>
      </w:r>
      <w:r>
        <w:rPr>
          <w:rFonts w:ascii="Times New Roman" w:hAnsi="Times New Roman" w:cs="Times New Roman"/>
          <w:sz w:val="28"/>
          <w:szCs w:val="28"/>
          <w:lang w:val="uk-UA"/>
        </w:rPr>
        <w:t>гладком</w:t>
      </w:r>
      <w:r w:rsidR="000D62FC">
        <w:rPr>
          <w:rFonts w:ascii="Times New Roman" w:hAnsi="Times New Roman" w:cs="Times New Roman"/>
          <w:sz w:val="28"/>
          <w:szCs w:val="28"/>
          <w:lang w:val="uk-UA"/>
        </w:rPr>
        <w:t>’</w:t>
      </w:r>
      <w:r>
        <w:rPr>
          <w:rFonts w:ascii="Times New Roman" w:hAnsi="Times New Roman" w:cs="Times New Roman"/>
          <w:sz w:val="28"/>
          <w:szCs w:val="28"/>
          <w:lang w:val="uk-UA"/>
        </w:rPr>
        <w:t xml:space="preserve">язових клітинах </w:t>
      </w:r>
      <w:r w:rsidRPr="00264D8F">
        <w:rPr>
          <w:rFonts w:ascii="Times New Roman" w:hAnsi="Times New Roman" w:cs="Times New Roman"/>
          <w:sz w:val="28"/>
          <w:szCs w:val="28"/>
          <w:lang w:val="uk-UA"/>
        </w:rPr>
        <w:t>судин, обумо</w:t>
      </w:r>
      <w:r w:rsidR="00074E69">
        <w:rPr>
          <w:rFonts w:ascii="Times New Roman" w:hAnsi="Times New Roman" w:cs="Times New Roman"/>
          <w:sz w:val="28"/>
          <w:szCs w:val="28"/>
          <w:lang w:val="uk-UA"/>
        </w:rPr>
        <w:t>влюючи вазоконстрикторний ефект;</w:t>
      </w:r>
      <w:r w:rsidRPr="00264D8F">
        <w:rPr>
          <w:rFonts w:ascii="Times New Roman" w:hAnsi="Times New Roman" w:cs="Times New Roman"/>
          <w:sz w:val="28"/>
          <w:szCs w:val="28"/>
          <w:lang w:val="uk-UA"/>
        </w:rPr>
        <w:t xml:space="preserve"> типу В – в ендотеліальних</w:t>
      </w:r>
      <w:r w:rsidR="000A73A6">
        <w:rPr>
          <w:rFonts w:ascii="Times New Roman" w:hAnsi="Times New Roman" w:cs="Times New Roman"/>
          <w:sz w:val="28"/>
          <w:szCs w:val="28"/>
          <w:lang w:val="uk-UA"/>
        </w:rPr>
        <w:t xml:space="preserve"> клітинах, беручи участь </w:t>
      </w:r>
      <w:r w:rsidR="000D62FC">
        <w:rPr>
          <w:rFonts w:ascii="Times New Roman" w:hAnsi="Times New Roman" w:cs="Times New Roman"/>
          <w:sz w:val="28"/>
          <w:szCs w:val="28"/>
          <w:lang w:val="uk-UA"/>
        </w:rPr>
        <w:t>в</w:t>
      </w:r>
      <w:r w:rsidR="000A73A6">
        <w:rPr>
          <w:rFonts w:ascii="Times New Roman" w:hAnsi="Times New Roman" w:cs="Times New Roman"/>
          <w:sz w:val="28"/>
          <w:szCs w:val="28"/>
          <w:lang w:val="uk-UA"/>
        </w:rPr>
        <w:t xml:space="preserve"> </w:t>
      </w:r>
      <w:r w:rsidRPr="00264D8F">
        <w:rPr>
          <w:rFonts w:ascii="Times New Roman" w:hAnsi="Times New Roman" w:cs="Times New Roman"/>
          <w:sz w:val="28"/>
          <w:szCs w:val="28"/>
          <w:lang w:val="uk-UA"/>
        </w:rPr>
        <w:t>е</w:t>
      </w:r>
      <w:r w:rsidR="00A72754">
        <w:rPr>
          <w:rFonts w:ascii="Times New Roman" w:hAnsi="Times New Roman" w:cs="Times New Roman"/>
          <w:sz w:val="28"/>
          <w:szCs w:val="28"/>
          <w:lang w:val="uk-UA"/>
        </w:rPr>
        <w:t>ндотелійзалежній вазодилатації.                  Е</w:t>
      </w:r>
      <w:r w:rsidRPr="00264D8F">
        <w:rPr>
          <w:rFonts w:ascii="Times New Roman" w:hAnsi="Times New Roman" w:cs="Times New Roman"/>
          <w:sz w:val="28"/>
          <w:szCs w:val="28"/>
          <w:lang w:val="uk-UA"/>
        </w:rPr>
        <w:t>к</w:t>
      </w:r>
      <w:r>
        <w:rPr>
          <w:rFonts w:ascii="Times New Roman" w:hAnsi="Times New Roman" w:cs="Times New Roman"/>
          <w:sz w:val="28"/>
          <w:szCs w:val="28"/>
          <w:lang w:val="uk-UA"/>
        </w:rPr>
        <w:t>спресія рецепторів до ЕТ типу А</w:t>
      </w:r>
      <w:r w:rsidR="00A72754">
        <w:rPr>
          <w:rFonts w:ascii="Times New Roman" w:hAnsi="Times New Roman" w:cs="Times New Roman"/>
          <w:sz w:val="28"/>
          <w:szCs w:val="28"/>
          <w:lang w:val="uk-UA"/>
        </w:rPr>
        <w:t xml:space="preserve"> </w:t>
      </w:r>
      <w:r w:rsidR="00A72754" w:rsidRPr="00A72754">
        <w:rPr>
          <w:rFonts w:ascii="Times New Roman" w:hAnsi="Times New Roman" w:cs="Times New Roman"/>
          <w:sz w:val="28"/>
          <w:szCs w:val="28"/>
          <w:lang w:val="uk-UA"/>
        </w:rPr>
        <w:t>домінує</w:t>
      </w:r>
      <w:r w:rsidR="00A72754">
        <w:rPr>
          <w:rFonts w:ascii="Times New Roman" w:hAnsi="Times New Roman" w:cs="Times New Roman"/>
          <w:sz w:val="28"/>
          <w:szCs w:val="28"/>
          <w:lang w:val="uk-UA"/>
        </w:rPr>
        <w:t xml:space="preserve"> у </w:t>
      </w:r>
      <w:r w:rsidR="00A72754" w:rsidRPr="00A72754">
        <w:rPr>
          <w:rFonts w:ascii="Times New Roman" w:hAnsi="Times New Roman" w:cs="Times New Roman"/>
          <w:sz w:val="28"/>
          <w:szCs w:val="28"/>
          <w:lang w:val="uk-UA"/>
        </w:rPr>
        <w:t>фізіологічному стані в артеріях дрібного та</w:t>
      </w:r>
      <w:r w:rsidR="000A73A6">
        <w:rPr>
          <w:rFonts w:ascii="Times New Roman" w:hAnsi="Times New Roman" w:cs="Times New Roman"/>
          <w:sz w:val="28"/>
          <w:szCs w:val="28"/>
          <w:lang w:val="uk-UA"/>
        </w:rPr>
        <w:t xml:space="preserve"> середнього калібрів, у тому числі в</w:t>
      </w:r>
      <w:r w:rsidR="00A72754" w:rsidRPr="00A72754">
        <w:rPr>
          <w:rFonts w:ascii="Times New Roman" w:hAnsi="Times New Roman" w:cs="Times New Roman"/>
          <w:sz w:val="28"/>
          <w:szCs w:val="28"/>
          <w:lang w:val="uk-UA"/>
        </w:rPr>
        <w:t xml:space="preserve"> артеріях нирок</w:t>
      </w:r>
      <w:r w:rsidRPr="008675FC">
        <w:rPr>
          <w:rFonts w:ascii="Times New Roman" w:hAnsi="Times New Roman" w:cs="Times New Roman"/>
          <w:sz w:val="28"/>
          <w:szCs w:val="28"/>
          <w:lang w:val="uk-UA"/>
        </w:rPr>
        <w:t>.</w:t>
      </w:r>
      <w:r w:rsidRPr="00264D8F">
        <w:rPr>
          <w:rFonts w:ascii="Times New Roman" w:hAnsi="Times New Roman" w:cs="Times New Roman"/>
          <w:sz w:val="28"/>
          <w:szCs w:val="28"/>
          <w:lang w:val="uk-UA"/>
        </w:rPr>
        <w:t xml:space="preserve"> Ендотелінові рецептори типу А відіграють важливу роль у патогенезі АГ, легеневої АГ, дилатаційної кардіоміопатії, дисфунк</w:t>
      </w:r>
      <w:r w:rsidR="00D94619">
        <w:rPr>
          <w:rFonts w:ascii="Times New Roman" w:hAnsi="Times New Roman" w:cs="Times New Roman"/>
          <w:sz w:val="28"/>
          <w:szCs w:val="28"/>
          <w:lang w:val="uk-UA"/>
        </w:rPr>
        <w:t>ції судин при ЦД</w:t>
      </w:r>
      <w:r>
        <w:rPr>
          <w:rFonts w:ascii="Times New Roman" w:hAnsi="Times New Roman" w:cs="Times New Roman"/>
          <w:sz w:val="28"/>
          <w:szCs w:val="28"/>
          <w:lang w:val="uk-UA"/>
        </w:rPr>
        <w:t xml:space="preserve"> [</w:t>
      </w:r>
      <w:r w:rsidR="00375662" w:rsidRPr="002C21DA">
        <w:rPr>
          <w:rFonts w:ascii="Times New Roman" w:hAnsi="Times New Roman" w:cs="Times New Roman"/>
          <w:sz w:val="28"/>
          <w:szCs w:val="28"/>
          <w:lang w:val="uk-UA"/>
        </w:rPr>
        <w:t>65</w:t>
      </w:r>
      <w:r w:rsidRPr="002C21DA">
        <w:rPr>
          <w:rFonts w:ascii="Times New Roman" w:hAnsi="Times New Roman" w:cs="Times New Roman"/>
          <w:sz w:val="28"/>
          <w:szCs w:val="28"/>
          <w:lang w:val="uk-UA"/>
        </w:rPr>
        <w:t>]</w:t>
      </w:r>
      <w:r w:rsidRPr="00264D8F">
        <w:rPr>
          <w:rFonts w:ascii="Times New Roman" w:hAnsi="Times New Roman" w:cs="Times New Roman"/>
          <w:sz w:val="28"/>
          <w:szCs w:val="28"/>
          <w:lang w:val="uk-UA"/>
        </w:rPr>
        <w:t>.</w:t>
      </w:r>
    </w:p>
    <w:p w:rsidR="00177ACD" w:rsidRDefault="00D94619" w:rsidP="001225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1225FC" w:rsidRPr="004A1246">
        <w:rPr>
          <w:rFonts w:ascii="Times New Roman" w:hAnsi="Times New Roman" w:cs="Times New Roman"/>
          <w:sz w:val="28"/>
          <w:szCs w:val="28"/>
          <w:lang w:val="uk-UA"/>
        </w:rPr>
        <w:t>ндотеліальна</w:t>
      </w:r>
      <w:r w:rsidR="00F86A3A">
        <w:rPr>
          <w:rFonts w:ascii="Times New Roman" w:hAnsi="Times New Roman" w:cs="Times New Roman"/>
          <w:sz w:val="28"/>
          <w:szCs w:val="28"/>
          <w:lang w:val="uk-UA"/>
        </w:rPr>
        <w:t xml:space="preserve"> функція зазнає істотн</w:t>
      </w:r>
      <w:r w:rsidR="001225FC" w:rsidRPr="004A1246">
        <w:rPr>
          <w:rFonts w:ascii="Times New Roman" w:hAnsi="Times New Roman" w:cs="Times New Roman"/>
          <w:sz w:val="28"/>
          <w:szCs w:val="28"/>
          <w:lang w:val="uk-UA"/>
        </w:rPr>
        <w:t xml:space="preserve">ого ушкодження </w:t>
      </w:r>
      <w:r>
        <w:rPr>
          <w:rFonts w:ascii="Times New Roman" w:hAnsi="Times New Roman" w:cs="Times New Roman"/>
          <w:sz w:val="28"/>
          <w:szCs w:val="28"/>
          <w:lang w:val="uk-UA"/>
        </w:rPr>
        <w:t xml:space="preserve">у </w:t>
      </w:r>
      <w:r w:rsidRPr="00D94619">
        <w:rPr>
          <w:rFonts w:ascii="Times New Roman" w:hAnsi="Times New Roman" w:cs="Times New Roman"/>
          <w:sz w:val="28"/>
          <w:szCs w:val="28"/>
          <w:lang w:val="uk-UA"/>
        </w:rPr>
        <w:t xml:space="preserve">хворих на АГ та ЦД 2-го типу із доброю компенсацією глікемії </w:t>
      </w:r>
      <w:r w:rsidR="001225FC" w:rsidRPr="004A1246">
        <w:rPr>
          <w:rFonts w:ascii="Times New Roman" w:hAnsi="Times New Roman" w:cs="Times New Roman"/>
          <w:sz w:val="28"/>
          <w:szCs w:val="28"/>
          <w:lang w:val="uk-UA"/>
        </w:rPr>
        <w:t xml:space="preserve">ще до появи порушення функції нирок і дисліпідемічних розладів, що супроводжується </w:t>
      </w:r>
      <w:r w:rsidR="00F86A3A">
        <w:rPr>
          <w:rFonts w:ascii="Times New Roman" w:hAnsi="Times New Roman" w:cs="Times New Roman"/>
          <w:sz w:val="28"/>
          <w:szCs w:val="28"/>
          <w:lang w:val="uk-UA"/>
        </w:rPr>
        <w:t>ймовір</w:t>
      </w:r>
      <w:r w:rsidR="001225FC" w:rsidRPr="004A1246">
        <w:rPr>
          <w:rFonts w:ascii="Times New Roman" w:hAnsi="Times New Roman" w:cs="Times New Roman"/>
          <w:sz w:val="28"/>
          <w:szCs w:val="28"/>
          <w:lang w:val="uk-UA"/>
        </w:rPr>
        <w:t>ним збільшенням концентрації ЕТ-1 більш</w:t>
      </w:r>
      <w:r w:rsidR="00F86A3A">
        <w:rPr>
          <w:rFonts w:ascii="Times New Roman" w:hAnsi="Times New Roman" w:cs="Times New Roman"/>
          <w:sz w:val="28"/>
          <w:szCs w:val="28"/>
          <w:lang w:val="uk-UA"/>
        </w:rPr>
        <w:t>е</w:t>
      </w:r>
      <w:r w:rsidR="00051C0D">
        <w:rPr>
          <w:rFonts w:ascii="Times New Roman" w:hAnsi="Times New Roman" w:cs="Times New Roman"/>
          <w:sz w:val="28"/>
          <w:szCs w:val="28"/>
          <w:lang w:val="uk-UA"/>
        </w:rPr>
        <w:t xml:space="preserve"> ніж у 4 рази </w:t>
      </w:r>
      <w:r w:rsidR="007862A1" w:rsidRPr="007862A1">
        <w:rPr>
          <w:rFonts w:ascii="Times New Roman" w:hAnsi="Times New Roman" w:cs="Times New Roman"/>
          <w:sz w:val="28"/>
          <w:szCs w:val="28"/>
          <w:lang w:val="uk-UA"/>
        </w:rPr>
        <w:t>[</w:t>
      </w:r>
      <w:r w:rsidR="00375662" w:rsidRPr="002C21DA">
        <w:rPr>
          <w:rFonts w:ascii="Times New Roman" w:hAnsi="Times New Roman" w:cs="Times New Roman"/>
          <w:sz w:val="28"/>
          <w:szCs w:val="28"/>
          <w:lang w:val="uk-UA"/>
        </w:rPr>
        <w:t>66</w:t>
      </w:r>
      <w:r w:rsidR="007862A1" w:rsidRPr="007862A1">
        <w:rPr>
          <w:rFonts w:ascii="Times New Roman" w:hAnsi="Times New Roman" w:cs="Times New Roman"/>
          <w:sz w:val="28"/>
          <w:szCs w:val="28"/>
          <w:lang w:val="uk-UA"/>
        </w:rPr>
        <w:t>]</w:t>
      </w:r>
      <w:r w:rsidR="00473CED">
        <w:rPr>
          <w:rFonts w:ascii="Times New Roman" w:hAnsi="Times New Roman" w:cs="Times New Roman"/>
          <w:sz w:val="28"/>
          <w:szCs w:val="28"/>
          <w:lang w:val="uk-UA"/>
        </w:rPr>
        <w:t>.</w:t>
      </w:r>
      <w:r w:rsidR="001225FC" w:rsidRPr="004A1246">
        <w:rPr>
          <w:rFonts w:ascii="Times New Roman" w:hAnsi="Times New Roman" w:cs="Times New Roman"/>
          <w:sz w:val="28"/>
          <w:szCs w:val="28"/>
          <w:lang w:val="uk-UA"/>
        </w:rPr>
        <w:t xml:space="preserve"> </w:t>
      </w:r>
    </w:p>
    <w:p w:rsidR="001225FC" w:rsidRPr="002A0008" w:rsidRDefault="00D94619" w:rsidP="001225F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w:t>
      </w:r>
      <w:r w:rsidR="001225FC" w:rsidRPr="004A1246">
        <w:rPr>
          <w:rFonts w:ascii="Times New Roman" w:hAnsi="Times New Roman" w:cs="Times New Roman"/>
          <w:sz w:val="28"/>
          <w:szCs w:val="28"/>
          <w:lang w:val="uk-UA"/>
        </w:rPr>
        <w:t xml:space="preserve">існі кореляційні зв’язки між величинами альбумінурії, </w:t>
      </w:r>
      <w:r w:rsidR="00051C0D">
        <w:rPr>
          <w:rFonts w:ascii="Times New Roman" w:hAnsi="Times New Roman" w:cs="Times New Roman"/>
          <w:sz w:val="28"/>
          <w:szCs w:val="28"/>
          <w:lang w:val="uk-UA"/>
        </w:rPr>
        <w:t xml:space="preserve">вмістом </w:t>
      </w:r>
      <w:r w:rsidR="001225FC" w:rsidRPr="00A03291">
        <w:rPr>
          <w:rFonts w:ascii="Times New Roman" w:hAnsi="Times New Roman" w:cs="Times New Roman"/>
          <w:sz w:val="28"/>
          <w:szCs w:val="28"/>
          <w:lang w:val="en-US"/>
        </w:rPr>
        <w:t>HbA</w:t>
      </w:r>
      <w:r w:rsidR="001225FC" w:rsidRPr="00A03291">
        <w:rPr>
          <w:rFonts w:ascii="Times New Roman" w:hAnsi="Times New Roman" w:cs="Times New Roman"/>
          <w:sz w:val="28"/>
          <w:szCs w:val="28"/>
          <w:lang w:val="uk-UA"/>
        </w:rPr>
        <w:t>1</w:t>
      </w:r>
      <w:r w:rsidR="001225FC" w:rsidRPr="00A03291">
        <w:rPr>
          <w:rFonts w:ascii="Times New Roman" w:hAnsi="Times New Roman" w:cs="Times New Roman"/>
          <w:sz w:val="28"/>
          <w:szCs w:val="28"/>
          <w:lang w:val="en-US"/>
        </w:rPr>
        <w:t>c</w:t>
      </w:r>
      <w:r w:rsidR="00F86A3A">
        <w:rPr>
          <w:rFonts w:ascii="Times New Roman" w:hAnsi="Times New Roman" w:cs="Times New Roman"/>
          <w:sz w:val="28"/>
          <w:szCs w:val="28"/>
          <w:lang w:val="uk-UA"/>
        </w:rPr>
        <w:t xml:space="preserve"> та</w:t>
      </w:r>
      <w:r w:rsidR="001225FC">
        <w:rPr>
          <w:rFonts w:ascii="Times New Roman" w:hAnsi="Times New Roman" w:cs="Times New Roman"/>
          <w:sz w:val="28"/>
          <w:szCs w:val="28"/>
          <w:lang w:val="uk-UA"/>
        </w:rPr>
        <w:t xml:space="preserve"> ЕТ-1 сироватки крові</w:t>
      </w:r>
      <w:r w:rsidR="00563DB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виявлено </w:t>
      </w:r>
      <w:r w:rsidR="00051C0D">
        <w:rPr>
          <w:rFonts w:ascii="Times New Roman" w:hAnsi="Times New Roman" w:cs="Times New Roman"/>
          <w:sz w:val="28"/>
          <w:szCs w:val="28"/>
          <w:lang w:val="uk-UA"/>
        </w:rPr>
        <w:t xml:space="preserve">у пацієнтів </w:t>
      </w:r>
      <w:r w:rsidR="00563DBB">
        <w:rPr>
          <w:rFonts w:ascii="Times New Roman" w:hAnsi="Times New Roman" w:cs="Times New Roman"/>
          <w:sz w:val="28"/>
          <w:szCs w:val="28"/>
          <w:lang w:val="uk-UA"/>
        </w:rPr>
        <w:t xml:space="preserve">із </w:t>
      </w:r>
      <w:r w:rsidR="00563DBB" w:rsidRPr="00563DBB">
        <w:rPr>
          <w:rFonts w:ascii="Times New Roman" w:hAnsi="Times New Roman" w:cs="Times New Roman"/>
          <w:sz w:val="28"/>
          <w:szCs w:val="28"/>
          <w:lang w:val="uk-UA"/>
        </w:rPr>
        <w:t xml:space="preserve">АГ ІІ-ІІІ ступенів </w:t>
      </w:r>
      <w:r w:rsidR="003E4AAA">
        <w:rPr>
          <w:rFonts w:ascii="Times New Roman" w:hAnsi="Times New Roman" w:cs="Times New Roman"/>
          <w:sz w:val="28"/>
          <w:szCs w:val="28"/>
          <w:lang w:val="uk-UA"/>
        </w:rPr>
        <w:t xml:space="preserve">та </w:t>
      </w:r>
      <w:r w:rsidR="00082D3C">
        <w:rPr>
          <w:rFonts w:ascii="Times New Roman" w:hAnsi="Times New Roman" w:cs="Times New Roman"/>
          <w:sz w:val="28"/>
          <w:szCs w:val="28"/>
          <w:lang w:val="uk-UA"/>
        </w:rPr>
        <w:t xml:space="preserve">           </w:t>
      </w:r>
      <w:r w:rsidR="003E4AAA">
        <w:rPr>
          <w:rFonts w:ascii="Times New Roman" w:hAnsi="Times New Roman" w:cs="Times New Roman"/>
          <w:sz w:val="28"/>
          <w:szCs w:val="28"/>
          <w:lang w:val="uk-UA"/>
        </w:rPr>
        <w:t>ЦД 2-го типу різних стадій</w:t>
      </w:r>
      <w:r w:rsidR="001225FC">
        <w:rPr>
          <w:rFonts w:ascii="Times New Roman" w:hAnsi="Times New Roman" w:cs="Times New Roman"/>
          <w:sz w:val="28"/>
          <w:szCs w:val="28"/>
          <w:lang w:val="uk-UA"/>
        </w:rPr>
        <w:t xml:space="preserve"> [</w:t>
      </w:r>
      <w:r w:rsidR="00375662" w:rsidRPr="002C21DA">
        <w:rPr>
          <w:rFonts w:ascii="Times New Roman" w:hAnsi="Times New Roman" w:cs="Times New Roman"/>
          <w:sz w:val="28"/>
          <w:szCs w:val="28"/>
          <w:lang w:val="uk-UA"/>
        </w:rPr>
        <w:t>67</w:t>
      </w:r>
      <w:r w:rsidR="001225FC" w:rsidRPr="004C6B6C">
        <w:rPr>
          <w:rFonts w:ascii="Times New Roman" w:hAnsi="Times New Roman" w:cs="Times New Roman"/>
          <w:sz w:val="28"/>
          <w:szCs w:val="28"/>
          <w:lang w:val="uk-UA"/>
        </w:rPr>
        <w:t>].</w:t>
      </w:r>
      <w:r w:rsidR="005C015B">
        <w:rPr>
          <w:rFonts w:ascii="Times New Roman" w:hAnsi="Times New Roman" w:cs="Times New Roman"/>
          <w:sz w:val="28"/>
          <w:szCs w:val="28"/>
          <w:lang w:val="uk-UA"/>
        </w:rPr>
        <w:t xml:space="preserve"> Н</w:t>
      </w:r>
      <w:r w:rsidR="00473CED">
        <w:rPr>
          <w:rFonts w:ascii="Times New Roman" w:hAnsi="Times New Roman" w:cs="Times New Roman"/>
          <w:sz w:val="28"/>
          <w:szCs w:val="28"/>
          <w:lang w:val="uk-UA"/>
        </w:rPr>
        <w:t>аявність МАУ</w:t>
      </w:r>
      <w:r w:rsidR="00F86A3A">
        <w:rPr>
          <w:rFonts w:ascii="Times New Roman" w:hAnsi="Times New Roman" w:cs="Times New Roman"/>
          <w:sz w:val="28"/>
          <w:szCs w:val="28"/>
          <w:lang w:val="uk-UA"/>
        </w:rPr>
        <w:t xml:space="preserve"> корелює </w:t>
      </w:r>
      <w:r w:rsidR="00051C0D">
        <w:rPr>
          <w:rFonts w:ascii="Times New Roman" w:hAnsi="Times New Roman" w:cs="Times New Roman"/>
          <w:sz w:val="28"/>
          <w:szCs w:val="28"/>
          <w:lang w:val="uk-UA"/>
        </w:rPr>
        <w:t xml:space="preserve">з ознаками ЕД </w:t>
      </w:r>
      <w:r w:rsidR="001D1344">
        <w:rPr>
          <w:rFonts w:ascii="Times New Roman" w:hAnsi="Times New Roman" w:cs="Times New Roman"/>
          <w:sz w:val="28"/>
          <w:szCs w:val="28"/>
          <w:lang w:val="uk-UA"/>
        </w:rPr>
        <w:t>[</w:t>
      </w:r>
      <w:r w:rsidR="00375662" w:rsidRPr="002C21DA">
        <w:rPr>
          <w:rFonts w:ascii="Times New Roman" w:hAnsi="Times New Roman" w:cs="Times New Roman"/>
          <w:sz w:val="28"/>
          <w:szCs w:val="28"/>
        </w:rPr>
        <w:t>68</w:t>
      </w:r>
      <w:r w:rsidR="001D1344" w:rsidRPr="002C21DA">
        <w:rPr>
          <w:rFonts w:ascii="Times New Roman" w:hAnsi="Times New Roman" w:cs="Times New Roman"/>
          <w:sz w:val="28"/>
          <w:szCs w:val="28"/>
          <w:lang w:val="uk-UA"/>
        </w:rPr>
        <w:t>].</w:t>
      </w:r>
      <w:r w:rsidR="005F10EC" w:rsidRPr="005F10EC">
        <w:rPr>
          <w:rFonts w:ascii="Times New Roman" w:hAnsi="Times New Roman" w:cs="Times New Roman"/>
          <w:sz w:val="28"/>
          <w:szCs w:val="28"/>
          <w:lang w:val="uk-UA"/>
        </w:rPr>
        <w:t xml:space="preserve"> </w:t>
      </w:r>
    </w:p>
    <w:p w:rsidR="00DA06FF" w:rsidRDefault="003E4AAA" w:rsidP="00EA2988">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Альбумінурія</w:t>
      </w:r>
      <w:r w:rsidR="006A0C82" w:rsidRPr="006A0C82">
        <w:rPr>
          <w:lang w:val="uk-UA"/>
        </w:rPr>
        <w:t xml:space="preserve"> </w:t>
      </w:r>
      <w:r w:rsidR="00FF2E1B" w:rsidRPr="00FF2E1B">
        <w:rPr>
          <w:rFonts w:ascii="Times New Roman" w:hAnsi="Times New Roman" w:cs="Times New Roman"/>
          <w:sz w:val="28"/>
          <w:szCs w:val="28"/>
          <w:lang w:val="uk-UA"/>
        </w:rPr>
        <w:t>та</w:t>
      </w:r>
      <w:r w:rsidR="00FF2E1B">
        <w:rPr>
          <w:rFonts w:ascii="Times New Roman" w:hAnsi="Times New Roman" w:cs="Times New Roman"/>
          <w:sz w:val="28"/>
          <w:szCs w:val="28"/>
          <w:lang w:val="uk-UA"/>
        </w:rPr>
        <w:t>/або</w:t>
      </w:r>
      <w:r w:rsidR="00FF2E1B" w:rsidRPr="00FF2E1B">
        <w:rPr>
          <w:rFonts w:ascii="Times New Roman" w:hAnsi="Times New Roman" w:cs="Times New Roman"/>
          <w:sz w:val="28"/>
          <w:szCs w:val="28"/>
          <w:lang w:val="uk-UA"/>
        </w:rPr>
        <w:t xml:space="preserve"> </w:t>
      </w:r>
      <w:r w:rsidR="00FF2E1B">
        <w:rPr>
          <w:rFonts w:ascii="Times New Roman" w:hAnsi="Times New Roman" w:cs="Times New Roman"/>
          <w:sz w:val="28"/>
          <w:szCs w:val="28"/>
          <w:lang w:val="uk-UA"/>
        </w:rPr>
        <w:t xml:space="preserve">зниження </w:t>
      </w:r>
      <w:r w:rsidR="00FF2E1B" w:rsidRPr="00FF2E1B">
        <w:rPr>
          <w:rFonts w:ascii="Times New Roman" w:hAnsi="Times New Roman" w:cs="Times New Roman"/>
          <w:sz w:val="28"/>
          <w:szCs w:val="28"/>
          <w:lang w:val="uk-UA"/>
        </w:rPr>
        <w:t>ШКФ</w:t>
      </w:r>
      <w:r w:rsidR="00063D66">
        <w:rPr>
          <w:rFonts w:ascii="Times New Roman" w:hAnsi="Times New Roman" w:cs="Times New Roman"/>
          <w:sz w:val="28"/>
          <w:szCs w:val="28"/>
          <w:lang w:val="uk-UA"/>
        </w:rPr>
        <w:t xml:space="preserve"> є основними </w:t>
      </w:r>
      <w:r w:rsidR="00063D66" w:rsidRPr="00063D66">
        <w:rPr>
          <w:rFonts w:ascii="Times New Roman" w:hAnsi="Times New Roman" w:cs="Times New Roman"/>
          <w:sz w:val="28"/>
          <w:szCs w:val="28"/>
          <w:lang w:val="uk-UA"/>
        </w:rPr>
        <w:t xml:space="preserve">критеріями ДН </w:t>
      </w:r>
      <w:r w:rsidR="006A0C82" w:rsidRPr="006A0C82">
        <w:rPr>
          <w:rFonts w:ascii="Times New Roman" w:hAnsi="Times New Roman" w:cs="Times New Roman"/>
          <w:sz w:val="28"/>
          <w:szCs w:val="28"/>
          <w:lang w:val="uk-UA"/>
        </w:rPr>
        <w:t>[</w:t>
      </w:r>
      <w:r w:rsidR="00CA04D8">
        <w:rPr>
          <w:rFonts w:ascii="Times New Roman" w:hAnsi="Times New Roman" w:cs="Times New Roman"/>
          <w:sz w:val="28"/>
          <w:szCs w:val="28"/>
          <w:lang w:val="uk-UA"/>
        </w:rPr>
        <w:t>7</w:t>
      </w:r>
      <w:r w:rsidR="006A0C82" w:rsidRPr="00CA04D8">
        <w:rPr>
          <w:rFonts w:ascii="Times New Roman" w:hAnsi="Times New Roman" w:cs="Times New Roman"/>
          <w:sz w:val="28"/>
          <w:szCs w:val="28"/>
          <w:lang w:val="uk-UA"/>
        </w:rPr>
        <w:t>]</w:t>
      </w:r>
      <w:r w:rsidR="00FF2E1B">
        <w:rPr>
          <w:rFonts w:ascii="Times New Roman" w:hAnsi="Times New Roman" w:cs="Times New Roman"/>
          <w:sz w:val="28"/>
          <w:szCs w:val="28"/>
          <w:lang w:val="uk-UA"/>
        </w:rPr>
        <w:t>.</w:t>
      </w:r>
      <w:r w:rsidR="00A97660">
        <w:rPr>
          <w:rFonts w:ascii="Times New Roman" w:hAnsi="Times New Roman" w:cs="Times New Roman"/>
          <w:sz w:val="28"/>
          <w:szCs w:val="28"/>
          <w:lang w:val="uk-UA"/>
        </w:rPr>
        <w:t xml:space="preserve"> </w:t>
      </w:r>
      <w:r w:rsidR="000440FF">
        <w:rPr>
          <w:rFonts w:ascii="Times New Roman" w:hAnsi="Times New Roman" w:cs="Times New Roman"/>
          <w:sz w:val="28"/>
          <w:szCs w:val="28"/>
          <w:lang w:val="uk-UA"/>
        </w:rPr>
        <w:t xml:space="preserve">Таким чином, </w:t>
      </w:r>
      <w:r w:rsidR="00FF2E1B">
        <w:rPr>
          <w:rFonts w:ascii="Times New Roman" w:hAnsi="Times New Roman" w:cs="Times New Roman"/>
          <w:sz w:val="28"/>
          <w:szCs w:val="28"/>
          <w:lang w:val="uk-UA"/>
        </w:rPr>
        <w:t>позитивна залежність</w:t>
      </w:r>
      <w:r w:rsidR="00454857">
        <w:rPr>
          <w:rFonts w:ascii="Times New Roman" w:hAnsi="Times New Roman" w:cs="Times New Roman"/>
          <w:sz w:val="28"/>
          <w:szCs w:val="28"/>
          <w:lang w:val="uk-UA"/>
        </w:rPr>
        <w:t xml:space="preserve"> </w:t>
      </w:r>
      <w:r w:rsidR="00063D66">
        <w:rPr>
          <w:rFonts w:ascii="Times New Roman" w:hAnsi="Times New Roman" w:cs="Times New Roman"/>
          <w:sz w:val="28"/>
          <w:szCs w:val="28"/>
          <w:lang w:val="uk-UA"/>
        </w:rPr>
        <w:t>існує</w:t>
      </w:r>
      <w:r w:rsidR="00630DA8">
        <w:rPr>
          <w:rFonts w:ascii="Times New Roman" w:hAnsi="Times New Roman" w:cs="Times New Roman"/>
          <w:sz w:val="28"/>
          <w:szCs w:val="28"/>
          <w:lang w:val="uk-UA"/>
        </w:rPr>
        <w:t xml:space="preserve"> між </w:t>
      </w:r>
      <w:r w:rsidR="00063D66">
        <w:rPr>
          <w:rFonts w:ascii="Times New Roman" w:hAnsi="Times New Roman" w:cs="Times New Roman"/>
          <w:sz w:val="28"/>
          <w:szCs w:val="28"/>
          <w:lang w:val="uk-UA"/>
        </w:rPr>
        <w:t xml:space="preserve">концентрацією </w:t>
      </w:r>
      <w:r w:rsidR="00630DA8">
        <w:rPr>
          <w:rFonts w:ascii="Times New Roman" w:hAnsi="Times New Roman" w:cs="Times New Roman"/>
          <w:sz w:val="28"/>
          <w:szCs w:val="28"/>
          <w:lang w:val="uk-UA"/>
        </w:rPr>
        <w:t xml:space="preserve">альбумінурії та </w:t>
      </w:r>
      <w:r w:rsidR="00063D66">
        <w:rPr>
          <w:rFonts w:ascii="Times New Roman" w:hAnsi="Times New Roman" w:cs="Times New Roman"/>
          <w:sz w:val="28"/>
          <w:szCs w:val="28"/>
          <w:lang w:val="uk-UA"/>
        </w:rPr>
        <w:t xml:space="preserve">вмістом </w:t>
      </w:r>
      <w:r w:rsidR="00630DA8" w:rsidRPr="00A03291">
        <w:rPr>
          <w:rFonts w:ascii="Times New Roman" w:hAnsi="Times New Roman" w:cs="Times New Roman"/>
          <w:sz w:val="28"/>
          <w:szCs w:val="28"/>
          <w:lang w:val="en-US"/>
        </w:rPr>
        <w:t>HbA</w:t>
      </w:r>
      <w:r w:rsidR="00630DA8" w:rsidRPr="00630DA8">
        <w:rPr>
          <w:rFonts w:ascii="Times New Roman" w:hAnsi="Times New Roman" w:cs="Times New Roman"/>
          <w:sz w:val="28"/>
          <w:szCs w:val="28"/>
          <w:lang w:val="uk-UA"/>
        </w:rPr>
        <w:t>1</w:t>
      </w:r>
      <w:r w:rsidR="00630DA8" w:rsidRPr="00A03291">
        <w:rPr>
          <w:rFonts w:ascii="Times New Roman" w:hAnsi="Times New Roman" w:cs="Times New Roman"/>
          <w:sz w:val="28"/>
          <w:szCs w:val="28"/>
          <w:lang w:val="en-US"/>
        </w:rPr>
        <w:t>c</w:t>
      </w:r>
      <w:r w:rsidR="00630DA8">
        <w:rPr>
          <w:rFonts w:ascii="Times New Roman" w:hAnsi="Times New Roman" w:cs="Times New Roman"/>
          <w:sz w:val="28"/>
          <w:szCs w:val="28"/>
          <w:lang w:val="uk-UA"/>
        </w:rPr>
        <w:t>, який визнано «золотим стандартом» комп</w:t>
      </w:r>
      <w:r w:rsidR="006F2320">
        <w:rPr>
          <w:rFonts w:ascii="Times New Roman" w:hAnsi="Times New Roman" w:cs="Times New Roman"/>
          <w:sz w:val="28"/>
          <w:szCs w:val="28"/>
          <w:lang w:val="uk-UA"/>
        </w:rPr>
        <w:t>енсації ЦД</w:t>
      </w:r>
      <w:r w:rsidR="006A0EB2">
        <w:rPr>
          <w:rFonts w:ascii="Times New Roman" w:hAnsi="Times New Roman" w:cs="Times New Roman"/>
          <w:sz w:val="28"/>
          <w:szCs w:val="28"/>
          <w:lang w:val="uk-UA"/>
        </w:rPr>
        <w:t>,</w:t>
      </w:r>
      <w:r w:rsidR="00051C0D">
        <w:rPr>
          <w:rFonts w:ascii="Times New Roman" w:hAnsi="Times New Roman" w:cs="Times New Roman"/>
          <w:sz w:val="28"/>
          <w:szCs w:val="28"/>
          <w:lang w:val="uk-UA"/>
        </w:rPr>
        <w:t xml:space="preserve"> </w:t>
      </w:r>
      <w:r w:rsidR="006F2320">
        <w:rPr>
          <w:rFonts w:ascii="Times New Roman" w:hAnsi="Times New Roman" w:cs="Times New Roman"/>
          <w:sz w:val="28"/>
          <w:szCs w:val="28"/>
          <w:lang w:val="uk-UA"/>
        </w:rPr>
        <w:t>показником ССУ при поєднанні АГ та ЦД 2-го типу</w:t>
      </w:r>
      <w:r w:rsidR="00051C0D">
        <w:rPr>
          <w:rFonts w:ascii="Times New Roman" w:hAnsi="Times New Roman" w:cs="Times New Roman"/>
          <w:sz w:val="28"/>
          <w:szCs w:val="28"/>
          <w:lang w:val="uk-UA"/>
        </w:rPr>
        <w:t>, кінцевим продуктом глікозилювання</w:t>
      </w:r>
      <w:r w:rsidR="006F2320">
        <w:rPr>
          <w:rFonts w:ascii="Times New Roman" w:hAnsi="Times New Roman" w:cs="Times New Roman"/>
          <w:sz w:val="28"/>
          <w:szCs w:val="28"/>
          <w:lang w:val="uk-UA"/>
        </w:rPr>
        <w:t>, що має високий ступінь спорідненості до артеріол ниркових клубочків</w:t>
      </w:r>
      <w:r w:rsidR="00FF2E1B">
        <w:rPr>
          <w:rFonts w:ascii="Times New Roman" w:hAnsi="Times New Roman" w:cs="Times New Roman"/>
          <w:sz w:val="28"/>
          <w:szCs w:val="28"/>
          <w:lang w:val="uk-UA"/>
        </w:rPr>
        <w:t xml:space="preserve"> [</w:t>
      </w:r>
      <w:r w:rsidR="005D550F" w:rsidRPr="00CA04D8">
        <w:rPr>
          <w:rFonts w:ascii="Times New Roman" w:hAnsi="Times New Roman" w:cs="Times New Roman"/>
          <w:sz w:val="28"/>
          <w:szCs w:val="28"/>
          <w:lang w:val="uk-UA"/>
        </w:rPr>
        <w:t>55,56,67</w:t>
      </w:r>
      <w:r w:rsidR="00FF2E1B">
        <w:rPr>
          <w:rFonts w:ascii="Times New Roman" w:hAnsi="Times New Roman" w:cs="Times New Roman"/>
          <w:sz w:val="28"/>
          <w:szCs w:val="28"/>
          <w:lang w:val="uk-UA"/>
        </w:rPr>
        <w:t>]</w:t>
      </w:r>
      <w:r w:rsidR="006F2320">
        <w:rPr>
          <w:rFonts w:ascii="Times New Roman" w:hAnsi="Times New Roman" w:cs="Times New Roman"/>
          <w:sz w:val="28"/>
          <w:szCs w:val="28"/>
          <w:lang w:val="uk-UA"/>
        </w:rPr>
        <w:t>.</w:t>
      </w:r>
      <w:r w:rsidR="00454857">
        <w:rPr>
          <w:rFonts w:ascii="Times New Roman" w:hAnsi="Times New Roman" w:cs="Times New Roman"/>
          <w:sz w:val="28"/>
          <w:szCs w:val="28"/>
          <w:lang w:val="uk-UA"/>
        </w:rPr>
        <w:t xml:space="preserve"> </w:t>
      </w:r>
    </w:p>
    <w:p w:rsidR="00EA2988" w:rsidRDefault="00F2244C" w:rsidP="00A36C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Підвищений </w:t>
      </w:r>
      <w:r w:rsidR="00063D66">
        <w:rPr>
          <w:rFonts w:ascii="Times New Roman" w:hAnsi="Times New Roman" w:cs="Times New Roman"/>
          <w:sz w:val="28"/>
          <w:szCs w:val="28"/>
          <w:lang w:val="uk-UA"/>
        </w:rPr>
        <w:t xml:space="preserve">вміст </w:t>
      </w:r>
      <w:r>
        <w:rPr>
          <w:rFonts w:ascii="Times New Roman" w:hAnsi="Times New Roman" w:cs="Times New Roman"/>
          <w:sz w:val="28"/>
          <w:szCs w:val="28"/>
          <w:lang w:val="uk-UA"/>
        </w:rPr>
        <w:t>сечової кислоти асоційований із прогресуваням АГ [</w:t>
      </w:r>
      <w:r w:rsidR="005D550F" w:rsidRPr="00CA04D8">
        <w:rPr>
          <w:rFonts w:ascii="Times New Roman" w:hAnsi="Times New Roman" w:cs="Times New Roman"/>
          <w:sz w:val="28"/>
          <w:szCs w:val="28"/>
          <w:lang w:val="uk-UA"/>
        </w:rPr>
        <w:t>69</w:t>
      </w:r>
      <w:r w:rsidR="00A36CE1" w:rsidRPr="00CA04D8">
        <w:rPr>
          <w:rFonts w:ascii="Times New Roman" w:hAnsi="Times New Roman" w:cs="Times New Roman"/>
          <w:sz w:val="28"/>
          <w:szCs w:val="28"/>
          <w:lang w:val="uk-UA"/>
        </w:rPr>
        <w:t>]</w:t>
      </w:r>
      <w:r w:rsidR="00A36CE1">
        <w:rPr>
          <w:rFonts w:ascii="Times New Roman" w:hAnsi="Times New Roman" w:cs="Times New Roman"/>
          <w:sz w:val="28"/>
          <w:szCs w:val="28"/>
          <w:lang w:val="uk-UA"/>
        </w:rPr>
        <w:t xml:space="preserve">, </w:t>
      </w:r>
      <w:r w:rsidR="00A36CE1" w:rsidRPr="00A36CE1">
        <w:rPr>
          <w:rFonts w:ascii="Times New Roman" w:hAnsi="Times New Roman" w:cs="Times New Roman"/>
          <w:sz w:val="28"/>
          <w:szCs w:val="28"/>
          <w:lang w:val="uk-UA"/>
        </w:rPr>
        <w:t>вищою глікемією</w:t>
      </w:r>
      <w:r w:rsidR="00A36CE1">
        <w:rPr>
          <w:rFonts w:ascii="Times New Roman" w:hAnsi="Times New Roman" w:cs="Times New Roman"/>
          <w:sz w:val="28"/>
          <w:szCs w:val="28"/>
          <w:lang w:val="uk-UA"/>
        </w:rPr>
        <w:t xml:space="preserve"> </w:t>
      </w:r>
      <w:r w:rsidR="00A36CE1" w:rsidRPr="00A36CE1">
        <w:rPr>
          <w:rFonts w:ascii="Times New Roman" w:hAnsi="Times New Roman" w:cs="Times New Roman"/>
          <w:sz w:val="28"/>
          <w:szCs w:val="28"/>
          <w:lang w:val="uk-UA"/>
        </w:rPr>
        <w:t>у хворих на ЦД 2-го типу</w:t>
      </w:r>
      <w:r w:rsidR="00A36CE1">
        <w:rPr>
          <w:rFonts w:ascii="Times New Roman" w:hAnsi="Times New Roman" w:cs="Times New Roman"/>
          <w:sz w:val="28"/>
          <w:szCs w:val="28"/>
          <w:lang w:val="uk-UA"/>
        </w:rPr>
        <w:t xml:space="preserve"> [</w:t>
      </w:r>
      <w:r w:rsidR="005D550F" w:rsidRPr="00CA04D8">
        <w:rPr>
          <w:rFonts w:ascii="Times New Roman" w:hAnsi="Times New Roman" w:cs="Times New Roman"/>
          <w:sz w:val="28"/>
          <w:szCs w:val="28"/>
          <w:lang w:val="uk-UA"/>
        </w:rPr>
        <w:t>70</w:t>
      </w:r>
      <w:r w:rsidR="00A36CE1" w:rsidRPr="00CA04D8">
        <w:rPr>
          <w:rFonts w:ascii="Times New Roman" w:hAnsi="Times New Roman" w:cs="Times New Roman"/>
          <w:sz w:val="28"/>
          <w:szCs w:val="28"/>
          <w:lang w:val="uk-UA"/>
        </w:rPr>
        <w:t>]</w:t>
      </w:r>
      <w:r w:rsidR="00A36C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A06FF" w:rsidRPr="00DA06FF">
        <w:rPr>
          <w:rFonts w:ascii="Times New Roman" w:hAnsi="Times New Roman" w:cs="Times New Roman"/>
          <w:sz w:val="28"/>
          <w:szCs w:val="28"/>
          <w:lang w:val="uk-UA"/>
        </w:rPr>
        <w:t>Гіперурикемія</w:t>
      </w:r>
      <w:r w:rsidR="00DA06FF">
        <w:rPr>
          <w:rFonts w:ascii="Times New Roman" w:hAnsi="Times New Roman" w:cs="Times New Roman"/>
          <w:sz w:val="28"/>
          <w:szCs w:val="28"/>
          <w:lang w:val="uk-UA"/>
        </w:rPr>
        <w:t xml:space="preserve"> є незалежним фактором ризику розвитку ЦД 2-го типу</w:t>
      </w:r>
      <w:r w:rsidR="00604D32" w:rsidRPr="00A36CE1">
        <w:rPr>
          <w:rFonts w:ascii="Times New Roman" w:hAnsi="Times New Roman" w:cs="Times New Roman"/>
          <w:sz w:val="28"/>
          <w:szCs w:val="28"/>
          <w:lang w:val="uk-UA"/>
        </w:rPr>
        <w:t xml:space="preserve">, </w:t>
      </w:r>
      <w:r w:rsidR="00604D32">
        <w:rPr>
          <w:rFonts w:ascii="Times New Roman" w:hAnsi="Times New Roman" w:cs="Times New Roman"/>
          <w:sz w:val="28"/>
          <w:szCs w:val="28"/>
          <w:lang w:val="uk-UA"/>
        </w:rPr>
        <w:t>особливо ДН</w:t>
      </w:r>
      <w:r w:rsidR="00DA06FF">
        <w:rPr>
          <w:rFonts w:ascii="Times New Roman" w:hAnsi="Times New Roman" w:cs="Times New Roman"/>
          <w:sz w:val="28"/>
          <w:szCs w:val="28"/>
          <w:lang w:val="uk-UA"/>
        </w:rPr>
        <w:t xml:space="preserve"> [</w:t>
      </w:r>
      <w:r w:rsidR="005D550F" w:rsidRPr="00CA04D8">
        <w:rPr>
          <w:rFonts w:ascii="Times New Roman" w:hAnsi="Times New Roman" w:cs="Times New Roman"/>
          <w:sz w:val="28"/>
          <w:szCs w:val="28"/>
        </w:rPr>
        <w:t>71</w:t>
      </w:r>
      <w:r w:rsidR="00DA06FF" w:rsidRPr="00CA04D8">
        <w:rPr>
          <w:rFonts w:ascii="Times New Roman" w:hAnsi="Times New Roman" w:cs="Times New Roman"/>
          <w:sz w:val="28"/>
          <w:szCs w:val="28"/>
          <w:lang w:val="uk-UA"/>
        </w:rPr>
        <w:t>].</w:t>
      </w:r>
      <w:r w:rsidR="00A36CE1">
        <w:rPr>
          <w:rFonts w:ascii="Times New Roman" w:hAnsi="Times New Roman" w:cs="Times New Roman"/>
          <w:sz w:val="28"/>
          <w:szCs w:val="28"/>
          <w:lang w:val="uk-UA"/>
        </w:rPr>
        <w:t xml:space="preserve"> </w:t>
      </w:r>
    </w:p>
    <w:p w:rsidR="002C09EF" w:rsidRDefault="007D4680" w:rsidP="00194FEB">
      <w:pPr>
        <w:spacing w:after="0" w:line="360" w:lineRule="auto"/>
        <w:ind w:firstLine="708"/>
        <w:jc w:val="both"/>
        <w:rPr>
          <w:rFonts w:ascii="Times New Roman" w:hAnsi="Times New Roman" w:cs="Times New Roman"/>
          <w:sz w:val="28"/>
          <w:szCs w:val="28"/>
          <w:lang w:val="uk-UA"/>
        </w:rPr>
      </w:pPr>
      <w:r w:rsidRPr="007D4680">
        <w:rPr>
          <w:rFonts w:ascii="Times New Roman" w:hAnsi="Times New Roman" w:cs="Times New Roman"/>
          <w:sz w:val="28"/>
          <w:szCs w:val="28"/>
          <w:lang w:val="uk-UA"/>
        </w:rPr>
        <w:t xml:space="preserve">Підвищений вміст сечової кислоти </w:t>
      </w:r>
      <w:r w:rsidR="006A0EB2">
        <w:rPr>
          <w:rFonts w:ascii="Times New Roman" w:hAnsi="Times New Roman" w:cs="Times New Roman"/>
          <w:sz w:val="28"/>
          <w:szCs w:val="28"/>
          <w:lang w:val="uk-UA"/>
        </w:rPr>
        <w:t xml:space="preserve">часто </w:t>
      </w:r>
      <w:r w:rsidR="00EA2988">
        <w:rPr>
          <w:rFonts w:ascii="Times New Roman" w:hAnsi="Times New Roman" w:cs="Times New Roman"/>
          <w:sz w:val="28"/>
          <w:szCs w:val="28"/>
          <w:lang w:val="uk-UA"/>
        </w:rPr>
        <w:t xml:space="preserve">виявляється у пацієнтів </w:t>
      </w:r>
      <w:r w:rsidR="006D5731">
        <w:rPr>
          <w:rFonts w:ascii="Times New Roman" w:hAnsi="Times New Roman" w:cs="Times New Roman"/>
          <w:sz w:val="28"/>
          <w:szCs w:val="28"/>
          <w:lang w:val="uk-UA"/>
        </w:rPr>
        <w:t xml:space="preserve">          </w:t>
      </w:r>
      <w:r w:rsidR="00123786" w:rsidRPr="00453376">
        <w:rPr>
          <w:rFonts w:ascii="Times New Roman" w:hAnsi="Times New Roman" w:cs="Times New Roman"/>
          <w:sz w:val="28"/>
          <w:szCs w:val="28"/>
          <w:lang w:val="uk-UA"/>
        </w:rPr>
        <w:t>із захво</w:t>
      </w:r>
      <w:r w:rsidR="00EA2988">
        <w:rPr>
          <w:rFonts w:ascii="Times New Roman" w:hAnsi="Times New Roman" w:cs="Times New Roman"/>
          <w:sz w:val="28"/>
          <w:szCs w:val="28"/>
          <w:lang w:val="uk-UA"/>
        </w:rPr>
        <w:t xml:space="preserve">рюваннями нирок, що обумовлено </w:t>
      </w:r>
      <w:r w:rsidR="00123786" w:rsidRPr="00453376">
        <w:rPr>
          <w:rFonts w:ascii="Times New Roman" w:hAnsi="Times New Roman" w:cs="Times New Roman"/>
          <w:sz w:val="28"/>
          <w:szCs w:val="28"/>
          <w:lang w:val="uk-UA"/>
        </w:rPr>
        <w:t>зниження</w:t>
      </w:r>
      <w:r w:rsidR="00F86A3A">
        <w:rPr>
          <w:rFonts w:ascii="Times New Roman" w:hAnsi="Times New Roman" w:cs="Times New Roman"/>
          <w:sz w:val="28"/>
          <w:szCs w:val="28"/>
          <w:lang w:val="uk-UA"/>
        </w:rPr>
        <w:t>м</w:t>
      </w:r>
      <w:r w:rsidR="00123786" w:rsidRPr="0045337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її </w:t>
      </w:r>
      <w:r w:rsidR="00123786" w:rsidRPr="00453376">
        <w:rPr>
          <w:rFonts w:ascii="Times New Roman" w:hAnsi="Times New Roman" w:cs="Times New Roman"/>
          <w:sz w:val="28"/>
          <w:szCs w:val="28"/>
          <w:lang w:val="uk-UA"/>
        </w:rPr>
        <w:t>кліренсу</w:t>
      </w:r>
      <w:r w:rsidR="00267290">
        <w:rPr>
          <w:rFonts w:ascii="Times New Roman" w:hAnsi="Times New Roman" w:cs="Times New Roman"/>
          <w:sz w:val="28"/>
          <w:szCs w:val="28"/>
          <w:lang w:val="uk-UA"/>
        </w:rPr>
        <w:t>. Гіперурикемія</w:t>
      </w:r>
      <w:r>
        <w:rPr>
          <w:rFonts w:ascii="Times New Roman" w:hAnsi="Times New Roman" w:cs="Times New Roman"/>
          <w:sz w:val="28"/>
          <w:szCs w:val="28"/>
          <w:lang w:val="uk-UA"/>
        </w:rPr>
        <w:t xml:space="preserve"> насамперед </w:t>
      </w:r>
      <w:r w:rsidR="00123786" w:rsidRPr="00453376">
        <w:rPr>
          <w:rFonts w:ascii="Times New Roman" w:hAnsi="Times New Roman" w:cs="Times New Roman"/>
          <w:sz w:val="28"/>
          <w:szCs w:val="28"/>
          <w:lang w:val="uk-UA"/>
        </w:rPr>
        <w:t>розглядається як маркер пошкодження нирок</w:t>
      </w:r>
      <w:r w:rsidR="00EA2988">
        <w:rPr>
          <w:rFonts w:ascii="Times New Roman" w:hAnsi="Times New Roman" w:cs="Times New Roman"/>
          <w:sz w:val="28"/>
          <w:szCs w:val="28"/>
          <w:lang w:val="uk-UA"/>
        </w:rPr>
        <w:t>. Проте</w:t>
      </w:r>
      <w:r w:rsidR="00473CED">
        <w:rPr>
          <w:rFonts w:ascii="Times New Roman" w:hAnsi="Times New Roman" w:cs="Times New Roman"/>
          <w:sz w:val="28"/>
          <w:szCs w:val="28"/>
          <w:lang w:val="uk-UA"/>
        </w:rPr>
        <w:t xml:space="preserve"> наведено аргументи, що </w:t>
      </w:r>
      <w:r w:rsidR="001D61BA">
        <w:rPr>
          <w:rFonts w:ascii="Times New Roman" w:hAnsi="Times New Roman" w:cs="Times New Roman"/>
          <w:sz w:val="28"/>
          <w:szCs w:val="28"/>
          <w:lang w:val="uk-UA"/>
        </w:rPr>
        <w:t>сечова кислота може мати накопичувально-причинне значення</w:t>
      </w:r>
      <w:r w:rsidR="00123786" w:rsidRPr="00453376">
        <w:rPr>
          <w:rFonts w:ascii="Times New Roman" w:hAnsi="Times New Roman" w:cs="Times New Roman"/>
          <w:sz w:val="28"/>
          <w:szCs w:val="28"/>
          <w:lang w:val="uk-UA"/>
        </w:rPr>
        <w:t xml:space="preserve"> і в </w:t>
      </w:r>
      <w:r w:rsidR="00EA2988">
        <w:rPr>
          <w:rFonts w:ascii="Times New Roman" w:hAnsi="Times New Roman" w:cs="Times New Roman"/>
          <w:sz w:val="28"/>
          <w:szCs w:val="28"/>
          <w:lang w:val="uk-UA"/>
        </w:rPr>
        <w:t xml:space="preserve">розвитку </w:t>
      </w:r>
      <w:r w:rsidR="00123786" w:rsidRPr="00453376">
        <w:rPr>
          <w:rFonts w:ascii="Times New Roman" w:hAnsi="Times New Roman" w:cs="Times New Roman"/>
          <w:sz w:val="28"/>
          <w:szCs w:val="28"/>
          <w:lang w:val="uk-UA"/>
        </w:rPr>
        <w:t xml:space="preserve">ССЗ </w:t>
      </w:r>
      <w:r w:rsidR="00123786" w:rsidRPr="008675FC">
        <w:rPr>
          <w:rFonts w:ascii="Times New Roman" w:hAnsi="Times New Roman" w:cs="Times New Roman"/>
          <w:sz w:val="28"/>
          <w:szCs w:val="28"/>
          <w:lang w:val="uk-UA"/>
        </w:rPr>
        <w:t>[</w:t>
      </w:r>
      <w:r w:rsidR="005D550F" w:rsidRPr="00CA04D8">
        <w:rPr>
          <w:rFonts w:ascii="Times New Roman" w:hAnsi="Times New Roman" w:cs="Times New Roman"/>
          <w:sz w:val="28"/>
          <w:szCs w:val="28"/>
        </w:rPr>
        <w:t>72</w:t>
      </w:r>
      <w:r w:rsidR="00123786" w:rsidRPr="00525460">
        <w:rPr>
          <w:rFonts w:ascii="Times New Roman" w:hAnsi="Times New Roman" w:cs="Times New Roman"/>
          <w:sz w:val="28"/>
          <w:szCs w:val="28"/>
          <w:lang w:val="uk-UA"/>
        </w:rPr>
        <w:t>].</w:t>
      </w:r>
      <w:r w:rsidR="00194FEB" w:rsidRPr="00525460">
        <w:rPr>
          <w:rFonts w:ascii="Times New Roman" w:hAnsi="Times New Roman" w:cs="Times New Roman"/>
          <w:sz w:val="28"/>
          <w:szCs w:val="28"/>
          <w:lang w:val="uk-UA"/>
        </w:rPr>
        <w:t xml:space="preserve"> </w:t>
      </w:r>
    </w:p>
    <w:p w:rsidR="00194FEB" w:rsidRPr="00453376" w:rsidRDefault="002700DE" w:rsidP="00194FE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Індукція дисфункції</w:t>
      </w:r>
      <w:r w:rsidR="00525B69" w:rsidRPr="003076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ендотелію та запалення; порушення внутрішньониркової гемодинаміки виступають в якості механізмів </w:t>
      </w:r>
      <w:r w:rsidRPr="002700DE">
        <w:rPr>
          <w:rFonts w:ascii="Times New Roman" w:hAnsi="Times New Roman" w:cs="Times New Roman"/>
          <w:sz w:val="28"/>
          <w:szCs w:val="28"/>
          <w:lang w:val="uk-UA"/>
        </w:rPr>
        <w:t>пошкоджувальної дії надлишку сечової кислоти на ниркову тканину</w:t>
      </w:r>
      <w:r>
        <w:rPr>
          <w:rFonts w:ascii="Times New Roman" w:hAnsi="Times New Roman" w:cs="Times New Roman"/>
          <w:sz w:val="28"/>
          <w:szCs w:val="28"/>
          <w:lang w:val="uk-UA"/>
        </w:rPr>
        <w:t>. Гіперурикемія</w:t>
      </w:r>
      <w:r w:rsidR="00525B69" w:rsidRPr="00307682">
        <w:rPr>
          <w:rFonts w:ascii="Times New Roman" w:hAnsi="Times New Roman" w:cs="Times New Roman"/>
          <w:sz w:val="28"/>
          <w:szCs w:val="28"/>
          <w:lang w:val="uk-UA"/>
        </w:rPr>
        <w:t xml:space="preserve"> сприяє гіпертрофії гладком</w:t>
      </w:r>
      <w:r w:rsidR="006F2FF3">
        <w:rPr>
          <w:rFonts w:ascii="Times New Roman" w:hAnsi="Times New Roman" w:cs="Times New Roman"/>
          <w:sz w:val="28"/>
          <w:szCs w:val="28"/>
          <w:lang w:val="uk-UA"/>
        </w:rPr>
        <w:t>’</w:t>
      </w:r>
      <w:r w:rsidR="00525B69" w:rsidRPr="00307682">
        <w:rPr>
          <w:rFonts w:ascii="Times New Roman" w:hAnsi="Times New Roman" w:cs="Times New Roman"/>
          <w:sz w:val="28"/>
          <w:szCs w:val="28"/>
          <w:lang w:val="uk-UA"/>
        </w:rPr>
        <w:t>язових клітин внутрішньониркових артеріол, гломерулосклерозу і тубулоінтерстиціальному фіброзу шляхом активації РААС</w:t>
      </w:r>
      <w:r>
        <w:rPr>
          <w:rFonts w:ascii="Times New Roman" w:hAnsi="Times New Roman" w:cs="Times New Roman"/>
          <w:sz w:val="28"/>
          <w:szCs w:val="28"/>
          <w:lang w:val="uk-UA"/>
        </w:rPr>
        <w:t>.</w:t>
      </w:r>
      <w:r w:rsidR="00525B69" w:rsidRPr="00307682">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00525B69" w:rsidRPr="00307682">
        <w:rPr>
          <w:rFonts w:ascii="Times New Roman" w:hAnsi="Times New Roman" w:cs="Times New Roman"/>
          <w:sz w:val="28"/>
          <w:szCs w:val="28"/>
          <w:lang w:val="uk-UA"/>
        </w:rPr>
        <w:t xml:space="preserve">онстрикція </w:t>
      </w:r>
      <w:r w:rsidR="006F2FF3">
        <w:rPr>
          <w:rFonts w:ascii="Times New Roman" w:hAnsi="Times New Roman" w:cs="Times New Roman"/>
          <w:sz w:val="28"/>
          <w:szCs w:val="28"/>
          <w:lang w:val="uk-UA"/>
        </w:rPr>
        <w:t>а</w:t>
      </w:r>
      <w:r w:rsidR="00525B69" w:rsidRPr="00307682">
        <w:rPr>
          <w:rFonts w:ascii="Times New Roman" w:hAnsi="Times New Roman" w:cs="Times New Roman"/>
          <w:sz w:val="28"/>
          <w:szCs w:val="28"/>
          <w:lang w:val="uk-UA"/>
        </w:rPr>
        <w:t>ферентної та еферентної ниркових артеріол</w:t>
      </w:r>
      <w:r>
        <w:rPr>
          <w:rFonts w:ascii="Times New Roman" w:hAnsi="Times New Roman" w:cs="Times New Roman"/>
          <w:sz w:val="28"/>
          <w:szCs w:val="28"/>
          <w:lang w:val="uk-UA"/>
        </w:rPr>
        <w:t xml:space="preserve"> спостерігається </w:t>
      </w:r>
      <w:r w:rsidRPr="002700DE">
        <w:rPr>
          <w:rFonts w:ascii="Times New Roman" w:hAnsi="Times New Roman" w:cs="Times New Roman"/>
          <w:sz w:val="28"/>
          <w:szCs w:val="28"/>
          <w:lang w:val="uk-UA"/>
        </w:rPr>
        <w:t>навіть при помірному збільшенні вмісту сечової кислоти</w:t>
      </w:r>
      <w:r w:rsidR="00525B69" w:rsidRPr="00307682">
        <w:rPr>
          <w:rFonts w:ascii="Times New Roman" w:hAnsi="Times New Roman" w:cs="Times New Roman"/>
          <w:sz w:val="28"/>
          <w:szCs w:val="28"/>
          <w:lang w:val="uk-UA"/>
        </w:rPr>
        <w:t>, що призводить до внутрішньоклубочкової гіпертензії [</w:t>
      </w:r>
      <w:r w:rsidR="009F5B0C" w:rsidRPr="00CA04D8">
        <w:rPr>
          <w:rFonts w:ascii="Times New Roman" w:hAnsi="Times New Roman" w:cs="Times New Roman"/>
          <w:sz w:val="28"/>
          <w:szCs w:val="28"/>
          <w:lang w:val="uk-UA"/>
        </w:rPr>
        <w:t>73</w:t>
      </w:r>
      <w:r w:rsidR="00525B69" w:rsidRPr="00307682">
        <w:rPr>
          <w:rFonts w:ascii="Times New Roman" w:hAnsi="Times New Roman" w:cs="Times New Roman"/>
          <w:sz w:val="28"/>
          <w:szCs w:val="28"/>
          <w:lang w:val="uk-UA"/>
        </w:rPr>
        <w:t>]</w:t>
      </w:r>
      <w:r w:rsidR="00525B69" w:rsidRPr="00453376">
        <w:rPr>
          <w:rFonts w:ascii="Times New Roman" w:hAnsi="Times New Roman" w:cs="Times New Roman"/>
          <w:sz w:val="28"/>
          <w:szCs w:val="28"/>
          <w:lang w:val="uk-UA"/>
        </w:rPr>
        <w:t>.</w:t>
      </w:r>
    </w:p>
    <w:p w:rsidR="00344E99" w:rsidRPr="00306713" w:rsidRDefault="007D4680" w:rsidP="0030671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w:t>
      </w:r>
      <w:r w:rsidR="00CB61CE" w:rsidRPr="00CB61CE">
        <w:rPr>
          <w:rFonts w:ascii="Times New Roman" w:hAnsi="Times New Roman" w:cs="Times New Roman"/>
          <w:sz w:val="28"/>
          <w:szCs w:val="28"/>
          <w:lang w:val="uk-UA"/>
        </w:rPr>
        <w:t xml:space="preserve">урикемії збільшується </w:t>
      </w:r>
      <w:r w:rsidR="006F2FF3">
        <w:rPr>
          <w:rFonts w:ascii="Times New Roman" w:hAnsi="Times New Roman" w:cs="Times New Roman"/>
          <w:sz w:val="28"/>
          <w:szCs w:val="28"/>
          <w:lang w:val="uk-UA"/>
        </w:rPr>
        <w:t>в</w:t>
      </w:r>
      <w:r w:rsidR="00FB7055" w:rsidRPr="00453376">
        <w:rPr>
          <w:rFonts w:ascii="Times New Roman" w:hAnsi="Times New Roman" w:cs="Times New Roman"/>
          <w:sz w:val="28"/>
          <w:szCs w:val="28"/>
          <w:lang w:val="uk-UA"/>
        </w:rPr>
        <w:t xml:space="preserve"> міру зростання альбумінурії</w:t>
      </w:r>
      <w:r>
        <w:rPr>
          <w:rFonts w:ascii="Times New Roman" w:hAnsi="Times New Roman" w:cs="Times New Roman"/>
          <w:sz w:val="28"/>
          <w:szCs w:val="28"/>
          <w:lang w:val="uk-UA"/>
        </w:rPr>
        <w:t xml:space="preserve"> у хворих </w:t>
      </w:r>
      <w:r w:rsidR="00BE2F63">
        <w:rPr>
          <w:rFonts w:ascii="Times New Roman" w:hAnsi="Times New Roman" w:cs="Times New Roman"/>
          <w:sz w:val="28"/>
          <w:szCs w:val="28"/>
          <w:lang w:val="uk-UA"/>
        </w:rPr>
        <w:t xml:space="preserve">   </w:t>
      </w:r>
      <w:r>
        <w:rPr>
          <w:rFonts w:ascii="Times New Roman" w:hAnsi="Times New Roman" w:cs="Times New Roman"/>
          <w:sz w:val="28"/>
          <w:szCs w:val="28"/>
          <w:lang w:val="uk-UA"/>
        </w:rPr>
        <w:t>на ДН</w:t>
      </w:r>
      <w:r w:rsidR="006F2FF3">
        <w:rPr>
          <w:rFonts w:ascii="Times New Roman" w:hAnsi="Times New Roman" w:cs="Times New Roman"/>
          <w:sz w:val="28"/>
          <w:szCs w:val="28"/>
          <w:lang w:val="uk-UA"/>
        </w:rPr>
        <w:t>. К</w:t>
      </w:r>
      <w:r w:rsidR="00FB7055" w:rsidRPr="00453376">
        <w:rPr>
          <w:rFonts w:ascii="Times New Roman" w:hAnsi="Times New Roman" w:cs="Times New Roman"/>
          <w:sz w:val="28"/>
          <w:szCs w:val="28"/>
          <w:lang w:val="uk-UA"/>
        </w:rPr>
        <w:t>рім тог</w:t>
      </w:r>
      <w:r w:rsidR="00CB61CE">
        <w:rPr>
          <w:rFonts w:ascii="Times New Roman" w:hAnsi="Times New Roman" w:cs="Times New Roman"/>
          <w:sz w:val="28"/>
          <w:szCs w:val="28"/>
          <w:lang w:val="uk-UA"/>
        </w:rPr>
        <w:t>о, у пацієнтів із супутньою АГ у</w:t>
      </w:r>
      <w:r w:rsidR="00FB7055" w:rsidRPr="00453376">
        <w:rPr>
          <w:rFonts w:ascii="Times New Roman" w:hAnsi="Times New Roman" w:cs="Times New Roman"/>
          <w:sz w:val="28"/>
          <w:szCs w:val="28"/>
          <w:lang w:val="uk-UA"/>
        </w:rPr>
        <w:t xml:space="preserve">становлено позитивні кореляційні зв’язки між </w:t>
      </w:r>
      <w:r w:rsidR="00CB61CE">
        <w:rPr>
          <w:rFonts w:ascii="Times New Roman" w:hAnsi="Times New Roman" w:cs="Times New Roman"/>
          <w:sz w:val="28"/>
          <w:szCs w:val="28"/>
          <w:lang w:val="uk-UA"/>
        </w:rPr>
        <w:t xml:space="preserve">вмістом </w:t>
      </w:r>
      <w:r w:rsidR="00FB7055" w:rsidRPr="00453376">
        <w:rPr>
          <w:rFonts w:ascii="Times New Roman" w:hAnsi="Times New Roman" w:cs="Times New Roman"/>
          <w:sz w:val="28"/>
          <w:szCs w:val="28"/>
          <w:lang w:val="uk-UA"/>
        </w:rPr>
        <w:t>сечово</w:t>
      </w:r>
      <w:r w:rsidR="0041669D">
        <w:rPr>
          <w:rFonts w:ascii="Times New Roman" w:hAnsi="Times New Roman" w:cs="Times New Roman"/>
          <w:sz w:val="28"/>
          <w:szCs w:val="28"/>
          <w:lang w:val="uk-UA"/>
        </w:rPr>
        <w:t xml:space="preserve">ї кислоти </w:t>
      </w:r>
      <w:r w:rsidR="00CB61CE">
        <w:rPr>
          <w:rFonts w:ascii="Times New Roman" w:hAnsi="Times New Roman" w:cs="Times New Roman"/>
          <w:sz w:val="28"/>
          <w:szCs w:val="28"/>
          <w:lang w:val="uk-UA"/>
        </w:rPr>
        <w:t xml:space="preserve">в крові </w:t>
      </w:r>
      <w:r w:rsidR="0041669D">
        <w:rPr>
          <w:rFonts w:ascii="Times New Roman" w:hAnsi="Times New Roman" w:cs="Times New Roman"/>
          <w:sz w:val="28"/>
          <w:szCs w:val="28"/>
          <w:lang w:val="uk-UA"/>
        </w:rPr>
        <w:t>та</w:t>
      </w:r>
      <w:r w:rsidR="00473CED">
        <w:rPr>
          <w:rFonts w:ascii="Times New Roman" w:hAnsi="Times New Roman" w:cs="Times New Roman"/>
          <w:sz w:val="28"/>
          <w:szCs w:val="28"/>
          <w:lang w:val="uk-UA"/>
        </w:rPr>
        <w:t xml:space="preserve"> </w:t>
      </w:r>
      <w:r w:rsidR="00CB61CE">
        <w:rPr>
          <w:rFonts w:ascii="Times New Roman" w:hAnsi="Times New Roman" w:cs="Times New Roman"/>
          <w:sz w:val="28"/>
          <w:szCs w:val="28"/>
          <w:lang w:val="uk-UA"/>
        </w:rPr>
        <w:t xml:space="preserve">значеннями </w:t>
      </w:r>
      <w:r w:rsidR="00473CED">
        <w:rPr>
          <w:rFonts w:ascii="Times New Roman" w:hAnsi="Times New Roman" w:cs="Times New Roman"/>
          <w:sz w:val="28"/>
          <w:szCs w:val="28"/>
          <w:lang w:val="uk-UA"/>
        </w:rPr>
        <w:t>систолічного АТ</w:t>
      </w:r>
      <w:r w:rsidR="0041669D">
        <w:rPr>
          <w:rFonts w:ascii="Times New Roman" w:hAnsi="Times New Roman" w:cs="Times New Roman"/>
          <w:sz w:val="28"/>
          <w:szCs w:val="28"/>
          <w:lang w:val="uk-UA"/>
        </w:rPr>
        <w:t xml:space="preserve"> </w:t>
      </w:r>
      <w:r w:rsidR="00473CED">
        <w:rPr>
          <w:rFonts w:ascii="Times New Roman" w:hAnsi="Times New Roman" w:cs="Times New Roman"/>
          <w:sz w:val="28"/>
          <w:szCs w:val="28"/>
          <w:lang w:val="uk-UA"/>
        </w:rPr>
        <w:t>(</w:t>
      </w:r>
      <w:r w:rsidR="0041669D">
        <w:rPr>
          <w:rFonts w:ascii="Times New Roman" w:hAnsi="Times New Roman" w:cs="Times New Roman"/>
          <w:sz w:val="28"/>
          <w:szCs w:val="28"/>
          <w:lang w:val="uk-UA"/>
        </w:rPr>
        <w:t>САТ</w:t>
      </w:r>
      <w:r w:rsidR="00473CED">
        <w:rPr>
          <w:rFonts w:ascii="Times New Roman" w:hAnsi="Times New Roman" w:cs="Times New Roman"/>
          <w:sz w:val="28"/>
          <w:szCs w:val="28"/>
          <w:lang w:val="uk-UA"/>
        </w:rPr>
        <w:t>)</w:t>
      </w:r>
      <w:r w:rsidR="0041669D">
        <w:rPr>
          <w:rFonts w:ascii="Times New Roman" w:hAnsi="Times New Roman" w:cs="Times New Roman"/>
          <w:sz w:val="28"/>
          <w:szCs w:val="28"/>
          <w:lang w:val="uk-UA"/>
        </w:rPr>
        <w:t>,</w:t>
      </w:r>
      <w:r w:rsidR="00473CED">
        <w:rPr>
          <w:rFonts w:ascii="Times New Roman" w:hAnsi="Times New Roman" w:cs="Times New Roman"/>
          <w:sz w:val="28"/>
          <w:szCs w:val="28"/>
          <w:lang w:val="uk-UA"/>
        </w:rPr>
        <w:t xml:space="preserve"> діастолічного АТ</w:t>
      </w:r>
      <w:r w:rsidR="0041669D">
        <w:rPr>
          <w:rFonts w:ascii="Times New Roman" w:hAnsi="Times New Roman" w:cs="Times New Roman"/>
          <w:sz w:val="28"/>
          <w:szCs w:val="28"/>
          <w:lang w:val="uk-UA"/>
        </w:rPr>
        <w:t xml:space="preserve"> </w:t>
      </w:r>
      <w:r w:rsidR="00473CED">
        <w:rPr>
          <w:rFonts w:ascii="Times New Roman" w:hAnsi="Times New Roman" w:cs="Times New Roman"/>
          <w:sz w:val="28"/>
          <w:szCs w:val="28"/>
          <w:lang w:val="uk-UA"/>
        </w:rPr>
        <w:t>(</w:t>
      </w:r>
      <w:r w:rsidR="0041669D">
        <w:rPr>
          <w:rFonts w:ascii="Times New Roman" w:hAnsi="Times New Roman" w:cs="Times New Roman"/>
          <w:sz w:val="28"/>
          <w:szCs w:val="28"/>
          <w:lang w:val="uk-UA"/>
        </w:rPr>
        <w:t>ДАТ</w:t>
      </w:r>
      <w:r w:rsidR="00473CED">
        <w:rPr>
          <w:rFonts w:ascii="Times New Roman" w:hAnsi="Times New Roman" w:cs="Times New Roman"/>
          <w:sz w:val="28"/>
          <w:szCs w:val="28"/>
          <w:lang w:val="uk-UA"/>
        </w:rPr>
        <w:t>)</w:t>
      </w:r>
      <w:r w:rsidR="0041669D">
        <w:rPr>
          <w:rFonts w:ascii="Times New Roman" w:hAnsi="Times New Roman" w:cs="Times New Roman"/>
          <w:sz w:val="28"/>
          <w:szCs w:val="28"/>
          <w:lang w:val="uk-UA"/>
        </w:rPr>
        <w:t xml:space="preserve"> [</w:t>
      </w:r>
      <w:r w:rsidR="002B600D" w:rsidRPr="00CA04D8">
        <w:rPr>
          <w:rFonts w:ascii="Times New Roman" w:hAnsi="Times New Roman" w:cs="Times New Roman"/>
          <w:sz w:val="28"/>
          <w:szCs w:val="28"/>
          <w:lang w:val="uk-UA"/>
        </w:rPr>
        <w:t>74</w:t>
      </w:r>
      <w:r w:rsidR="00FB7055" w:rsidRPr="00CA04D8">
        <w:rPr>
          <w:rFonts w:ascii="Times New Roman" w:hAnsi="Times New Roman" w:cs="Times New Roman"/>
          <w:sz w:val="28"/>
          <w:szCs w:val="28"/>
          <w:lang w:val="uk-UA"/>
        </w:rPr>
        <w:t>].</w:t>
      </w:r>
    </w:p>
    <w:p w:rsidR="00344E99" w:rsidRPr="00344E99" w:rsidRDefault="006F2FF3" w:rsidP="00344E9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 час вивчення</w:t>
      </w:r>
      <w:r w:rsidR="00344E99" w:rsidRPr="00344E99">
        <w:rPr>
          <w:rFonts w:ascii="Times New Roman" w:hAnsi="Times New Roman" w:cs="Times New Roman"/>
          <w:sz w:val="28"/>
          <w:szCs w:val="28"/>
          <w:lang w:val="uk-UA"/>
        </w:rPr>
        <w:t xml:space="preserve"> патогенезу мікроангіопатій велика роль приділяється</w:t>
      </w:r>
    </w:p>
    <w:p w:rsidR="00344E99" w:rsidRPr="00D37D1C" w:rsidRDefault="00344E99" w:rsidP="00D37D1C">
      <w:pPr>
        <w:spacing w:after="0" w:line="360" w:lineRule="auto"/>
        <w:jc w:val="both"/>
        <w:rPr>
          <w:lang w:val="uk-UA"/>
        </w:rPr>
      </w:pPr>
      <w:r w:rsidRPr="00344E99">
        <w:rPr>
          <w:rFonts w:ascii="Times New Roman" w:hAnsi="Times New Roman" w:cs="Times New Roman"/>
          <w:sz w:val="28"/>
          <w:szCs w:val="28"/>
          <w:lang w:val="uk-UA"/>
        </w:rPr>
        <w:lastRenderedPageBreak/>
        <w:t>дисфункції ендотелію та супутнім їй</w:t>
      </w:r>
      <w:r w:rsidR="00FE7CE7">
        <w:rPr>
          <w:rFonts w:ascii="Times New Roman" w:hAnsi="Times New Roman" w:cs="Times New Roman"/>
          <w:sz w:val="28"/>
          <w:szCs w:val="28"/>
          <w:lang w:val="uk-UA"/>
        </w:rPr>
        <w:t xml:space="preserve"> порушенням властивих взаємодій </w:t>
      </w:r>
      <w:r w:rsidRPr="00344E99">
        <w:rPr>
          <w:rFonts w:ascii="Times New Roman" w:hAnsi="Times New Roman" w:cs="Times New Roman"/>
          <w:sz w:val="28"/>
          <w:szCs w:val="28"/>
          <w:lang w:val="uk-UA"/>
        </w:rPr>
        <w:t>між ендотеліальними клітинами та форменими елементами кро</w:t>
      </w:r>
      <w:r>
        <w:rPr>
          <w:rFonts w:ascii="Times New Roman" w:hAnsi="Times New Roman" w:cs="Times New Roman"/>
          <w:sz w:val="28"/>
          <w:szCs w:val="28"/>
          <w:lang w:val="uk-UA"/>
        </w:rPr>
        <w:t xml:space="preserve">ві, </w:t>
      </w:r>
      <w:r w:rsidR="006F2FF3">
        <w:rPr>
          <w:rFonts w:ascii="Times New Roman" w:hAnsi="Times New Roman" w:cs="Times New Roman"/>
          <w:sz w:val="28"/>
          <w:szCs w:val="28"/>
          <w:lang w:val="uk-UA"/>
        </w:rPr>
        <w:t>що</w:t>
      </w:r>
      <w:r>
        <w:rPr>
          <w:rFonts w:ascii="Times New Roman" w:hAnsi="Times New Roman" w:cs="Times New Roman"/>
          <w:sz w:val="28"/>
          <w:szCs w:val="28"/>
          <w:lang w:val="uk-UA"/>
        </w:rPr>
        <w:t xml:space="preserve"> забезпечуються адгезивними </w:t>
      </w:r>
      <w:r w:rsidRPr="00344E99">
        <w:rPr>
          <w:rFonts w:ascii="Times New Roman" w:hAnsi="Times New Roman" w:cs="Times New Roman"/>
          <w:sz w:val="28"/>
          <w:szCs w:val="28"/>
          <w:lang w:val="uk-UA"/>
        </w:rPr>
        <w:t>молекулами і регулюють</w:t>
      </w:r>
      <w:r>
        <w:rPr>
          <w:rFonts w:ascii="Times New Roman" w:hAnsi="Times New Roman" w:cs="Times New Roman"/>
          <w:sz w:val="28"/>
          <w:szCs w:val="28"/>
          <w:lang w:val="uk-UA"/>
        </w:rPr>
        <w:t>ся системою цитокінів</w:t>
      </w:r>
      <w:r w:rsidRPr="00344E99">
        <w:rPr>
          <w:rFonts w:ascii="Times New Roman" w:hAnsi="Times New Roman" w:cs="Times New Roman"/>
          <w:sz w:val="28"/>
          <w:szCs w:val="28"/>
          <w:lang w:val="uk-UA"/>
        </w:rPr>
        <w:t>.</w:t>
      </w:r>
      <w:r w:rsidRPr="00344E99">
        <w:rPr>
          <w:lang w:val="uk-UA"/>
        </w:rPr>
        <w:t xml:space="preserve"> </w:t>
      </w:r>
      <w:r w:rsidRPr="00344E99">
        <w:rPr>
          <w:rFonts w:ascii="Times New Roman" w:hAnsi="Times New Roman" w:cs="Times New Roman"/>
          <w:sz w:val="28"/>
          <w:szCs w:val="28"/>
          <w:lang w:val="uk-UA"/>
        </w:rPr>
        <w:t xml:space="preserve">Концентрація </w:t>
      </w:r>
      <w:r>
        <w:rPr>
          <w:rFonts w:ascii="Times New Roman" w:hAnsi="Times New Roman" w:cs="Times New Roman"/>
          <w:sz w:val="28"/>
          <w:szCs w:val="28"/>
          <w:lang w:val="en-US"/>
        </w:rPr>
        <w:t>s</w:t>
      </w:r>
      <w:r>
        <w:rPr>
          <w:rFonts w:ascii="Times New Roman" w:hAnsi="Times New Roman" w:cs="Times New Roman"/>
          <w:sz w:val="28"/>
          <w:szCs w:val="28"/>
          <w:lang w:val="uk-UA"/>
        </w:rPr>
        <w:t>VCAM-</w:t>
      </w:r>
      <w:r w:rsidRPr="00344E99">
        <w:rPr>
          <w:rFonts w:ascii="Times New Roman" w:hAnsi="Times New Roman" w:cs="Times New Roman"/>
          <w:sz w:val="28"/>
          <w:szCs w:val="28"/>
          <w:lang w:val="uk-UA"/>
        </w:rPr>
        <w:t>1 на поверхні енд</w:t>
      </w:r>
      <w:r>
        <w:rPr>
          <w:rFonts w:ascii="Times New Roman" w:hAnsi="Times New Roman" w:cs="Times New Roman"/>
          <w:sz w:val="28"/>
          <w:szCs w:val="28"/>
          <w:lang w:val="uk-UA"/>
        </w:rPr>
        <w:t>отеліальних клітин збільшується</w:t>
      </w:r>
      <w:r w:rsidRPr="00344E99">
        <w:rPr>
          <w:rFonts w:ascii="Times New Roman" w:hAnsi="Times New Roman" w:cs="Times New Roman"/>
          <w:sz w:val="28"/>
          <w:szCs w:val="28"/>
          <w:lang w:val="uk-UA"/>
        </w:rPr>
        <w:t xml:space="preserve"> </w:t>
      </w:r>
      <w:r w:rsidR="00380BD6">
        <w:rPr>
          <w:rFonts w:ascii="Times New Roman" w:hAnsi="Times New Roman" w:cs="Times New Roman"/>
          <w:sz w:val="28"/>
          <w:szCs w:val="28"/>
          <w:lang w:val="uk-UA"/>
        </w:rPr>
        <w:t xml:space="preserve">     </w:t>
      </w:r>
      <w:r w:rsidR="006F2FF3">
        <w:rPr>
          <w:rFonts w:ascii="Times New Roman" w:hAnsi="Times New Roman" w:cs="Times New Roman"/>
          <w:sz w:val="28"/>
          <w:szCs w:val="28"/>
          <w:lang w:val="uk-UA"/>
        </w:rPr>
        <w:t>за</w:t>
      </w:r>
      <w:r w:rsidRPr="00344E99">
        <w:rPr>
          <w:rFonts w:ascii="Times New Roman" w:hAnsi="Times New Roman" w:cs="Times New Roman"/>
          <w:sz w:val="28"/>
          <w:szCs w:val="28"/>
          <w:lang w:val="uk-UA"/>
        </w:rPr>
        <w:t xml:space="preserve"> дії</w:t>
      </w:r>
      <w:r w:rsidR="00945920" w:rsidRPr="00945920">
        <w:rPr>
          <w:rFonts w:ascii="Times New Roman" w:hAnsi="Times New Roman" w:cs="Times New Roman"/>
          <w:sz w:val="28"/>
          <w:szCs w:val="28"/>
          <w:lang w:val="uk-UA"/>
        </w:rPr>
        <w:t xml:space="preserve"> </w:t>
      </w:r>
      <w:r w:rsidRPr="00344E99">
        <w:rPr>
          <w:rFonts w:ascii="Times New Roman" w:hAnsi="Times New Roman" w:cs="Times New Roman"/>
          <w:sz w:val="28"/>
          <w:szCs w:val="28"/>
          <w:lang w:val="uk-UA"/>
        </w:rPr>
        <w:t>різних факторів, щ</w:t>
      </w:r>
      <w:r>
        <w:rPr>
          <w:rFonts w:ascii="Times New Roman" w:hAnsi="Times New Roman" w:cs="Times New Roman"/>
          <w:sz w:val="28"/>
          <w:szCs w:val="28"/>
          <w:lang w:val="uk-UA"/>
        </w:rPr>
        <w:t>о активують ендотелій [</w:t>
      </w:r>
      <w:r w:rsidR="002B600D" w:rsidRPr="00CA04D8">
        <w:rPr>
          <w:rFonts w:ascii="Times New Roman" w:hAnsi="Times New Roman" w:cs="Times New Roman"/>
          <w:sz w:val="28"/>
          <w:szCs w:val="28"/>
          <w:lang w:val="uk-UA"/>
        </w:rPr>
        <w:t>75</w:t>
      </w:r>
      <w:r w:rsidRPr="00CA04D8">
        <w:rPr>
          <w:rFonts w:ascii="Times New Roman" w:hAnsi="Times New Roman" w:cs="Times New Roman"/>
          <w:sz w:val="28"/>
          <w:szCs w:val="28"/>
          <w:lang w:val="uk-UA"/>
        </w:rPr>
        <w:t>]</w:t>
      </w:r>
      <w:r w:rsidRPr="00344E99">
        <w:rPr>
          <w:rFonts w:ascii="Times New Roman" w:hAnsi="Times New Roman" w:cs="Times New Roman"/>
          <w:sz w:val="28"/>
          <w:szCs w:val="28"/>
          <w:lang w:val="uk-UA"/>
        </w:rPr>
        <w:t>.</w:t>
      </w:r>
      <w:r w:rsidR="00CE460D" w:rsidRPr="00CE460D">
        <w:rPr>
          <w:lang w:val="uk-UA"/>
        </w:rPr>
        <w:t xml:space="preserve"> </w:t>
      </w:r>
      <w:r w:rsidR="00D37D1C">
        <w:rPr>
          <w:rFonts w:ascii="Times New Roman" w:hAnsi="Times New Roman" w:cs="Times New Roman"/>
          <w:sz w:val="28"/>
          <w:szCs w:val="28"/>
          <w:lang w:val="uk-UA"/>
        </w:rPr>
        <w:t xml:space="preserve">Активація sVCAM-1 </w:t>
      </w:r>
      <w:r w:rsidR="00CE460D" w:rsidRPr="00CE460D">
        <w:rPr>
          <w:rFonts w:ascii="Times New Roman" w:hAnsi="Times New Roman" w:cs="Times New Roman"/>
          <w:sz w:val="28"/>
          <w:szCs w:val="28"/>
          <w:lang w:val="uk-UA"/>
        </w:rPr>
        <w:t>супроводжується зал</w:t>
      </w:r>
      <w:r w:rsidR="006F2FF3">
        <w:rPr>
          <w:rFonts w:ascii="Times New Roman" w:hAnsi="Times New Roman" w:cs="Times New Roman"/>
          <w:sz w:val="28"/>
          <w:szCs w:val="28"/>
          <w:lang w:val="uk-UA"/>
        </w:rPr>
        <w:t>ученням циркулюючих лейкоцитів до</w:t>
      </w:r>
      <w:r w:rsidR="00CE460D" w:rsidRPr="00CE460D">
        <w:rPr>
          <w:rFonts w:ascii="Times New Roman" w:hAnsi="Times New Roman" w:cs="Times New Roman"/>
          <w:sz w:val="28"/>
          <w:szCs w:val="28"/>
          <w:lang w:val="uk-UA"/>
        </w:rPr>
        <w:t xml:space="preserve"> розвит</w:t>
      </w:r>
      <w:r w:rsidR="006F2FF3">
        <w:rPr>
          <w:rFonts w:ascii="Times New Roman" w:hAnsi="Times New Roman" w:cs="Times New Roman"/>
          <w:sz w:val="28"/>
          <w:szCs w:val="28"/>
          <w:lang w:val="uk-UA"/>
        </w:rPr>
        <w:t>ку</w:t>
      </w:r>
      <w:r w:rsidR="00CE460D" w:rsidRPr="00CE460D">
        <w:rPr>
          <w:rFonts w:ascii="Times New Roman" w:hAnsi="Times New Roman" w:cs="Times New Roman"/>
          <w:sz w:val="28"/>
          <w:szCs w:val="28"/>
          <w:lang w:val="uk-UA"/>
        </w:rPr>
        <w:t xml:space="preserve"> запалення</w:t>
      </w:r>
      <w:r w:rsidR="00D37D1C">
        <w:rPr>
          <w:rFonts w:ascii="Times New Roman" w:hAnsi="Times New Roman" w:cs="Times New Roman"/>
          <w:sz w:val="28"/>
          <w:szCs w:val="28"/>
          <w:lang w:val="uk-UA"/>
        </w:rPr>
        <w:t>, сприяючи прогресуванню ЕД</w:t>
      </w:r>
      <w:r w:rsidR="00CE460D" w:rsidRPr="00CE460D">
        <w:rPr>
          <w:rFonts w:ascii="Times New Roman" w:hAnsi="Times New Roman" w:cs="Times New Roman"/>
          <w:sz w:val="28"/>
          <w:szCs w:val="28"/>
          <w:lang w:val="uk-UA"/>
        </w:rPr>
        <w:t xml:space="preserve"> [</w:t>
      </w:r>
      <w:r w:rsidR="002B600D" w:rsidRPr="00CA04D8">
        <w:rPr>
          <w:rFonts w:ascii="Times New Roman" w:hAnsi="Times New Roman" w:cs="Times New Roman"/>
          <w:sz w:val="28"/>
          <w:szCs w:val="28"/>
        </w:rPr>
        <w:t>76</w:t>
      </w:r>
      <w:r w:rsidR="00CE460D" w:rsidRPr="00CA04D8">
        <w:rPr>
          <w:rFonts w:ascii="Times New Roman" w:hAnsi="Times New Roman" w:cs="Times New Roman"/>
          <w:sz w:val="28"/>
          <w:szCs w:val="28"/>
          <w:lang w:val="uk-UA"/>
        </w:rPr>
        <w:t>].</w:t>
      </w:r>
    </w:p>
    <w:p w:rsidR="00344E99" w:rsidRDefault="00344E99" w:rsidP="0052358B">
      <w:pPr>
        <w:spacing w:after="0" w:line="360" w:lineRule="auto"/>
        <w:ind w:firstLine="708"/>
        <w:jc w:val="both"/>
        <w:rPr>
          <w:rFonts w:ascii="Times New Roman" w:hAnsi="Times New Roman" w:cs="Times New Roman"/>
          <w:sz w:val="28"/>
          <w:szCs w:val="28"/>
          <w:lang w:val="uk-UA"/>
        </w:rPr>
      </w:pPr>
      <w:r w:rsidRPr="00344E99">
        <w:rPr>
          <w:rFonts w:ascii="Times New Roman" w:hAnsi="Times New Roman" w:cs="Times New Roman"/>
          <w:sz w:val="28"/>
          <w:szCs w:val="28"/>
          <w:lang w:val="uk-UA"/>
        </w:rPr>
        <w:t>Посилення експресії адгезивних молекул</w:t>
      </w:r>
      <w:r>
        <w:rPr>
          <w:rFonts w:ascii="Times New Roman" w:hAnsi="Times New Roman" w:cs="Times New Roman"/>
          <w:sz w:val="28"/>
          <w:szCs w:val="28"/>
          <w:lang w:val="uk-UA"/>
        </w:rPr>
        <w:t xml:space="preserve"> </w:t>
      </w:r>
      <w:r w:rsidRPr="00344E99">
        <w:rPr>
          <w:rFonts w:ascii="Times New Roman" w:hAnsi="Times New Roman" w:cs="Times New Roman"/>
          <w:sz w:val="28"/>
          <w:szCs w:val="28"/>
          <w:lang w:val="uk-UA"/>
        </w:rPr>
        <w:t xml:space="preserve">лейкоцитами, тромбоцитами, ендотеліальними клітинами також </w:t>
      </w:r>
      <w:r>
        <w:rPr>
          <w:rFonts w:ascii="Times New Roman" w:hAnsi="Times New Roman" w:cs="Times New Roman"/>
          <w:sz w:val="28"/>
          <w:szCs w:val="28"/>
          <w:lang w:val="uk-UA"/>
        </w:rPr>
        <w:t xml:space="preserve">може </w:t>
      </w:r>
      <w:r w:rsidRPr="00344E99">
        <w:rPr>
          <w:rFonts w:ascii="Times New Roman" w:hAnsi="Times New Roman" w:cs="Times New Roman"/>
          <w:sz w:val="28"/>
          <w:szCs w:val="28"/>
          <w:lang w:val="uk-UA"/>
        </w:rPr>
        <w:t>бути зумовлене впливом глюк</w:t>
      </w:r>
      <w:r w:rsidR="00A503A3">
        <w:rPr>
          <w:rFonts w:ascii="Times New Roman" w:hAnsi="Times New Roman" w:cs="Times New Roman"/>
          <w:sz w:val="28"/>
          <w:szCs w:val="28"/>
          <w:lang w:val="uk-UA"/>
        </w:rPr>
        <w:t>ози.  П</w:t>
      </w:r>
      <w:r w:rsidR="006F2FF3">
        <w:rPr>
          <w:rFonts w:ascii="Times New Roman" w:hAnsi="Times New Roman" w:cs="Times New Roman"/>
          <w:sz w:val="28"/>
          <w:szCs w:val="28"/>
          <w:lang w:val="uk-UA"/>
        </w:rPr>
        <w:t>родукти не</w:t>
      </w:r>
      <w:r>
        <w:rPr>
          <w:rFonts w:ascii="Times New Roman" w:hAnsi="Times New Roman" w:cs="Times New Roman"/>
          <w:sz w:val="28"/>
          <w:szCs w:val="28"/>
          <w:lang w:val="uk-UA"/>
        </w:rPr>
        <w:t xml:space="preserve">ферментативного </w:t>
      </w:r>
      <w:r w:rsidRPr="00344E99">
        <w:rPr>
          <w:rFonts w:ascii="Times New Roman" w:hAnsi="Times New Roman" w:cs="Times New Roman"/>
          <w:sz w:val="28"/>
          <w:szCs w:val="28"/>
          <w:lang w:val="uk-UA"/>
        </w:rPr>
        <w:t xml:space="preserve">глікозилювання, що зв’язуються </w:t>
      </w:r>
      <w:r w:rsidR="00E11FCE">
        <w:rPr>
          <w:rFonts w:ascii="Times New Roman" w:hAnsi="Times New Roman" w:cs="Times New Roman"/>
          <w:sz w:val="28"/>
          <w:szCs w:val="28"/>
          <w:lang w:val="uk-UA"/>
        </w:rPr>
        <w:t xml:space="preserve">                       </w:t>
      </w:r>
      <w:r w:rsidRPr="00344E99">
        <w:rPr>
          <w:rFonts w:ascii="Times New Roman" w:hAnsi="Times New Roman" w:cs="Times New Roman"/>
          <w:sz w:val="28"/>
          <w:szCs w:val="28"/>
          <w:lang w:val="uk-UA"/>
        </w:rPr>
        <w:t>із</w:t>
      </w:r>
      <w:r>
        <w:rPr>
          <w:rFonts w:ascii="Times New Roman" w:hAnsi="Times New Roman" w:cs="Times New Roman"/>
          <w:sz w:val="28"/>
          <w:szCs w:val="28"/>
          <w:lang w:val="uk-UA"/>
        </w:rPr>
        <w:t xml:space="preserve"> рецепторами, які знаходяться на </w:t>
      </w:r>
      <w:r w:rsidRPr="00344E99">
        <w:rPr>
          <w:rFonts w:ascii="Times New Roman" w:hAnsi="Times New Roman" w:cs="Times New Roman"/>
          <w:sz w:val="28"/>
          <w:szCs w:val="28"/>
          <w:lang w:val="uk-UA"/>
        </w:rPr>
        <w:t>лейкоцитах, ендотеліальних, мез</w:t>
      </w:r>
      <w:r>
        <w:rPr>
          <w:rFonts w:ascii="Times New Roman" w:hAnsi="Times New Roman" w:cs="Times New Roman"/>
          <w:sz w:val="28"/>
          <w:szCs w:val="28"/>
          <w:lang w:val="uk-UA"/>
        </w:rPr>
        <w:t xml:space="preserve">ангіальних клітинах, стимулюють </w:t>
      </w:r>
      <w:r w:rsidRPr="00344E99">
        <w:rPr>
          <w:rFonts w:ascii="Times New Roman" w:hAnsi="Times New Roman" w:cs="Times New Roman"/>
          <w:sz w:val="28"/>
          <w:szCs w:val="28"/>
          <w:lang w:val="uk-UA"/>
        </w:rPr>
        <w:t xml:space="preserve">продукцію цитокінів, </w:t>
      </w:r>
      <w:r w:rsidR="00C45E51">
        <w:rPr>
          <w:rFonts w:ascii="Times New Roman" w:hAnsi="Times New Roman" w:cs="Times New Roman"/>
          <w:sz w:val="28"/>
          <w:szCs w:val="28"/>
          <w:lang w:val="uk-UA"/>
        </w:rPr>
        <w:t xml:space="preserve">які </w:t>
      </w:r>
      <w:r w:rsidRPr="00344E99">
        <w:rPr>
          <w:rFonts w:ascii="Times New Roman" w:hAnsi="Times New Roman" w:cs="Times New Roman"/>
          <w:sz w:val="28"/>
          <w:szCs w:val="28"/>
          <w:lang w:val="uk-UA"/>
        </w:rPr>
        <w:t xml:space="preserve">викликають посилення експресії </w:t>
      </w:r>
      <w:r w:rsidR="00C45E51">
        <w:rPr>
          <w:rFonts w:ascii="Times New Roman" w:hAnsi="Times New Roman" w:cs="Times New Roman"/>
          <w:sz w:val="28"/>
          <w:szCs w:val="28"/>
          <w:lang w:val="uk-UA"/>
        </w:rPr>
        <w:t>молекул адгезії.</w:t>
      </w:r>
      <w:r w:rsidR="006F2FF3">
        <w:rPr>
          <w:rFonts w:ascii="Times New Roman" w:hAnsi="Times New Roman" w:cs="Times New Roman"/>
          <w:sz w:val="28"/>
          <w:szCs w:val="28"/>
          <w:lang w:val="uk-UA"/>
        </w:rPr>
        <w:t xml:space="preserve"> Подібні реакції в</w:t>
      </w:r>
      <w:r w:rsidRPr="00344E99">
        <w:rPr>
          <w:rFonts w:ascii="Times New Roman" w:hAnsi="Times New Roman" w:cs="Times New Roman"/>
          <w:sz w:val="28"/>
          <w:szCs w:val="28"/>
          <w:lang w:val="uk-UA"/>
        </w:rPr>
        <w:t>сере</w:t>
      </w:r>
      <w:r>
        <w:rPr>
          <w:rFonts w:ascii="Times New Roman" w:hAnsi="Times New Roman" w:cs="Times New Roman"/>
          <w:sz w:val="28"/>
          <w:szCs w:val="28"/>
          <w:lang w:val="uk-UA"/>
        </w:rPr>
        <w:t xml:space="preserve">дині судин дрібного та великого </w:t>
      </w:r>
      <w:r w:rsidR="006F2FF3">
        <w:rPr>
          <w:rFonts w:ascii="Times New Roman" w:hAnsi="Times New Roman" w:cs="Times New Roman"/>
          <w:sz w:val="28"/>
          <w:szCs w:val="28"/>
          <w:lang w:val="uk-UA"/>
        </w:rPr>
        <w:t>калібрів в умовах метаболічних і</w:t>
      </w:r>
      <w:r w:rsidRPr="00344E99">
        <w:rPr>
          <w:rFonts w:ascii="Times New Roman" w:hAnsi="Times New Roman" w:cs="Times New Roman"/>
          <w:sz w:val="28"/>
          <w:szCs w:val="28"/>
          <w:lang w:val="uk-UA"/>
        </w:rPr>
        <w:t xml:space="preserve"> гемо</w:t>
      </w:r>
      <w:r>
        <w:rPr>
          <w:rFonts w:ascii="Times New Roman" w:hAnsi="Times New Roman" w:cs="Times New Roman"/>
          <w:sz w:val="28"/>
          <w:szCs w:val="28"/>
          <w:lang w:val="uk-UA"/>
        </w:rPr>
        <w:t xml:space="preserve">динамічних зсувів призводять до </w:t>
      </w:r>
      <w:r w:rsidRPr="00344E99">
        <w:rPr>
          <w:rFonts w:ascii="Times New Roman" w:hAnsi="Times New Roman" w:cs="Times New Roman"/>
          <w:sz w:val="28"/>
          <w:szCs w:val="28"/>
          <w:lang w:val="uk-UA"/>
        </w:rPr>
        <w:t xml:space="preserve">того, що адгезивні молекули, які </w:t>
      </w:r>
      <w:r>
        <w:rPr>
          <w:rFonts w:ascii="Times New Roman" w:hAnsi="Times New Roman" w:cs="Times New Roman"/>
          <w:sz w:val="28"/>
          <w:szCs w:val="28"/>
          <w:lang w:val="uk-UA"/>
        </w:rPr>
        <w:t xml:space="preserve">експресуються одними клітинами, </w:t>
      </w:r>
      <w:r w:rsidRPr="00344E99">
        <w:rPr>
          <w:rFonts w:ascii="Times New Roman" w:hAnsi="Times New Roman" w:cs="Times New Roman"/>
          <w:sz w:val="28"/>
          <w:szCs w:val="28"/>
          <w:lang w:val="uk-UA"/>
        </w:rPr>
        <w:t xml:space="preserve">зв’язуються зі своїми контррецепторами, що знаходяться </w:t>
      </w:r>
      <w:r w:rsidR="00A576B9">
        <w:rPr>
          <w:rFonts w:ascii="Times New Roman" w:hAnsi="Times New Roman" w:cs="Times New Roman"/>
          <w:sz w:val="28"/>
          <w:szCs w:val="28"/>
          <w:lang w:val="uk-UA"/>
        </w:rPr>
        <w:t xml:space="preserve">             </w:t>
      </w:r>
      <w:r w:rsidRPr="00344E99">
        <w:rPr>
          <w:rFonts w:ascii="Times New Roman" w:hAnsi="Times New Roman" w:cs="Times New Roman"/>
          <w:sz w:val="28"/>
          <w:szCs w:val="28"/>
          <w:lang w:val="uk-UA"/>
        </w:rPr>
        <w:t>на інших</w:t>
      </w:r>
      <w:r w:rsidRPr="00344E99">
        <w:rPr>
          <w:lang w:val="uk-UA"/>
        </w:rPr>
        <w:t xml:space="preserve"> </w:t>
      </w:r>
      <w:r w:rsidRPr="00344E99">
        <w:rPr>
          <w:rFonts w:ascii="Times New Roman" w:hAnsi="Times New Roman" w:cs="Times New Roman"/>
          <w:sz w:val="28"/>
          <w:szCs w:val="28"/>
          <w:lang w:val="uk-UA"/>
        </w:rPr>
        <w:t>клітинах,</w:t>
      </w:r>
      <w:r w:rsidR="00A576B9">
        <w:rPr>
          <w:rFonts w:ascii="Times New Roman" w:hAnsi="Times New Roman" w:cs="Times New Roman"/>
          <w:sz w:val="28"/>
          <w:szCs w:val="28"/>
          <w:lang w:val="uk-UA"/>
        </w:rPr>
        <w:t xml:space="preserve"> </w:t>
      </w:r>
      <w:r w:rsidR="00D37D1C">
        <w:rPr>
          <w:rFonts w:ascii="Times New Roman" w:hAnsi="Times New Roman" w:cs="Times New Roman"/>
          <w:sz w:val="28"/>
          <w:szCs w:val="28"/>
          <w:lang w:val="uk-UA"/>
        </w:rPr>
        <w:t>з подальшим</w:t>
      </w:r>
      <w:r w:rsidRPr="00344E99">
        <w:rPr>
          <w:rFonts w:ascii="Times New Roman" w:hAnsi="Times New Roman" w:cs="Times New Roman"/>
          <w:sz w:val="28"/>
          <w:szCs w:val="28"/>
          <w:lang w:val="uk-UA"/>
        </w:rPr>
        <w:t xml:space="preserve"> приєднання</w:t>
      </w:r>
      <w:r w:rsidR="00D37D1C">
        <w:rPr>
          <w:rFonts w:ascii="Times New Roman" w:hAnsi="Times New Roman" w:cs="Times New Roman"/>
          <w:sz w:val="28"/>
          <w:szCs w:val="28"/>
          <w:lang w:val="uk-UA"/>
        </w:rPr>
        <w:t>м</w:t>
      </w:r>
      <w:r w:rsidRPr="00344E99">
        <w:rPr>
          <w:rFonts w:ascii="Times New Roman" w:hAnsi="Times New Roman" w:cs="Times New Roman"/>
          <w:sz w:val="28"/>
          <w:szCs w:val="28"/>
          <w:lang w:val="uk-UA"/>
        </w:rPr>
        <w:t xml:space="preserve"> один до одного. Це може сприяти</w:t>
      </w:r>
      <w:r w:rsidR="0052358B">
        <w:rPr>
          <w:rFonts w:ascii="Times New Roman" w:hAnsi="Times New Roman" w:cs="Times New Roman"/>
          <w:sz w:val="28"/>
          <w:szCs w:val="28"/>
          <w:lang w:val="uk-UA"/>
        </w:rPr>
        <w:t xml:space="preserve"> </w:t>
      </w:r>
      <w:r w:rsidRPr="00344E99">
        <w:rPr>
          <w:rFonts w:ascii="Times New Roman" w:hAnsi="Times New Roman" w:cs="Times New Roman"/>
          <w:sz w:val="28"/>
          <w:szCs w:val="28"/>
          <w:lang w:val="uk-UA"/>
        </w:rPr>
        <w:t>локальному накопиченню клітин, розви</w:t>
      </w:r>
      <w:r w:rsidR="006F2FF3">
        <w:rPr>
          <w:rFonts w:ascii="Times New Roman" w:hAnsi="Times New Roman" w:cs="Times New Roman"/>
          <w:sz w:val="28"/>
          <w:szCs w:val="28"/>
          <w:lang w:val="uk-UA"/>
        </w:rPr>
        <w:t>тку стазу і</w:t>
      </w:r>
      <w:r>
        <w:rPr>
          <w:rFonts w:ascii="Times New Roman" w:hAnsi="Times New Roman" w:cs="Times New Roman"/>
          <w:sz w:val="28"/>
          <w:szCs w:val="28"/>
          <w:lang w:val="uk-UA"/>
        </w:rPr>
        <w:t xml:space="preserve"> тромбозу </w:t>
      </w:r>
      <w:r w:rsidR="00A576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судинах, </w:t>
      </w:r>
      <w:r w:rsidR="00A503A3">
        <w:rPr>
          <w:rFonts w:ascii="Times New Roman" w:hAnsi="Times New Roman" w:cs="Times New Roman"/>
          <w:sz w:val="28"/>
          <w:szCs w:val="28"/>
          <w:lang w:val="uk-UA"/>
        </w:rPr>
        <w:t>прогресуванню</w:t>
      </w:r>
      <w:r w:rsidRPr="00344E99">
        <w:rPr>
          <w:rFonts w:ascii="Times New Roman" w:hAnsi="Times New Roman" w:cs="Times New Roman"/>
          <w:sz w:val="28"/>
          <w:szCs w:val="28"/>
          <w:lang w:val="uk-UA"/>
        </w:rPr>
        <w:t xml:space="preserve"> поліорганних порушень</w:t>
      </w:r>
      <w:r>
        <w:rPr>
          <w:rFonts w:ascii="Times New Roman" w:hAnsi="Times New Roman" w:cs="Times New Roman"/>
          <w:sz w:val="28"/>
          <w:szCs w:val="28"/>
          <w:lang w:val="uk-UA"/>
        </w:rPr>
        <w:t xml:space="preserve"> </w:t>
      </w:r>
      <w:r w:rsidRPr="00344E99">
        <w:rPr>
          <w:rFonts w:ascii="Times New Roman" w:hAnsi="Times New Roman" w:cs="Times New Roman"/>
          <w:sz w:val="28"/>
          <w:szCs w:val="28"/>
        </w:rPr>
        <w:t>[</w:t>
      </w:r>
      <w:r w:rsidR="002B600D" w:rsidRPr="00CA04D8">
        <w:rPr>
          <w:rFonts w:ascii="Times New Roman" w:hAnsi="Times New Roman" w:cs="Times New Roman"/>
          <w:sz w:val="28"/>
          <w:szCs w:val="28"/>
        </w:rPr>
        <w:t>75</w:t>
      </w:r>
      <w:r w:rsidRPr="00CA04D8">
        <w:rPr>
          <w:rFonts w:ascii="Times New Roman" w:hAnsi="Times New Roman" w:cs="Times New Roman"/>
          <w:sz w:val="28"/>
          <w:szCs w:val="28"/>
        </w:rPr>
        <w:t>]</w:t>
      </w:r>
      <w:r w:rsidRPr="00344E99">
        <w:rPr>
          <w:rFonts w:ascii="Times New Roman" w:hAnsi="Times New Roman" w:cs="Times New Roman"/>
          <w:sz w:val="28"/>
          <w:szCs w:val="28"/>
          <w:lang w:val="uk-UA"/>
        </w:rPr>
        <w:t>.</w:t>
      </w:r>
    </w:p>
    <w:p w:rsidR="00306713" w:rsidRPr="00CE460D" w:rsidRDefault="00504BC6" w:rsidP="00CE460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32DE1">
        <w:rPr>
          <w:rFonts w:ascii="Times New Roman" w:hAnsi="Times New Roman" w:cs="Times New Roman"/>
          <w:sz w:val="28"/>
          <w:szCs w:val="28"/>
          <w:lang w:val="uk-UA"/>
        </w:rPr>
        <w:t>актор некрозу пухлин-</w:t>
      </w:r>
      <w:r w:rsidR="00FE7CE7" w:rsidRPr="00FE7CE7">
        <w:rPr>
          <w:rFonts w:ascii="Times New Roman" w:hAnsi="Times New Roman" w:cs="Times New Roman"/>
          <w:sz w:val="28"/>
          <w:szCs w:val="28"/>
          <w:lang w:val="uk-UA"/>
        </w:rPr>
        <w:t xml:space="preserve">альфа сприяє активації ендотеліальних клітин та індукує підвищену експресію </w:t>
      </w:r>
      <w:r w:rsidR="00A52359">
        <w:rPr>
          <w:rFonts w:ascii="Times New Roman" w:hAnsi="Times New Roman" w:cs="Times New Roman"/>
          <w:sz w:val="28"/>
          <w:szCs w:val="28"/>
          <w:lang w:val="uk-UA"/>
        </w:rPr>
        <w:t xml:space="preserve">sVCAM-1. </w:t>
      </w:r>
      <w:r w:rsidR="00FE7CE7" w:rsidRPr="00FE7CE7">
        <w:rPr>
          <w:rFonts w:ascii="Times New Roman" w:hAnsi="Times New Roman" w:cs="Times New Roman"/>
          <w:sz w:val="28"/>
          <w:szCs w:val="28"/>
          <w:lang w:val="uk-UA"/>
        </w:rPr>
        <w:t>Молекули міжклітинної адгезії  мож</w:t>
      </w:r>
      <w:r w:rsidR="006F2FF3">
        <w:rPr>
          <w:rFonts w:ascii="Times New Roman" w:hAnsi="Times New Roman" w:cs="Times New Roman"/>
          <w:sz w:val="28"/>
          <w:szCs w:val="28"/>
          <w:lang w:val="uk-UA"/>
        </w:rPr>
        <w:t>на</w:t>
      </w:r>
      <w:r w:rsidR="00FE7CE7" w:rsidRPr="00FE7CE7">
        <w:rPr>
          <w:rFonts w:ascii="Times New Roman" w:hAnsi="Times New Roman" w:cs="Times New Roman"/>
          <w:sz w:val="28"/>
          <w:szCs w:val="28"/>
          <w:lang w:val="uk-UA"/>
        </w:rPr>
        <w:t xml:space="preserve"> розглядати  не лише </w:t>
      </w:r>
      <w:r w:rsidR="006F2FF3">
        <w:rPr>
          <w:rFonts w:ascii="Times New Roman" w:hAnsi="Times New Roman" w:cs="Times New Roman"/>
          <w:sz w:val="28"/>
          <w:szCs w:val="28"/>
          <w:lang w:val="uk-UA"/>
        </w:rPr>
        <w:t>як показники, що</w:t>
      </w:r>
      <w:r w:rsidR="00FE7CE7" w:rsidRPr="00FE7CE7">
        <w:rPr>
          <w:rFonts w:ascii="Times New Roman" w:hAnsi="Times New Roman" w:cs="Times New Roman"/>
          <w:sz w:val="28"/>
          <w:szCs w:val="28"/>
          <w:lang w:val="uk-UA"/>
        </w:rPr>
        <w:t xml:space="preserve"> відображають </w:t>
      </w:r>
      <w:r w:rsidR="006F2FF3">
        <w:rPr>
          <w:rFonts w:ascii="Times New Roman" w:hAnsi="Times New Roman" w:cs="Times New Roman"/>
          <w:sz w:val="28"/>
          <w:szCs w:val="28"/>
          <w:lang w:val="uk-UA"/>
        </w:rPr>
        <w:t>дисфункцію ендотелію, але й як</w:t>
      </w:r>
      <w:r w:rsidR="00846629">
        <w:rPr>
          <w:rFonts w:ascii="Times New Roman" w:hAnsi="Times New Roman" w:cs="Times New Roman"/>
          <w:sz w:val="28"/>
          <w:szCs w:val="28"/>
          <w:lang w:val="uk-UA"/>
        </w:rPr>
        <w:t xml:space="preserve"> маркери</w:t>
      </w:r>
      <w:r w:rsidR="00A52359">
        <w:rPr>
          <w:rFonts w:ascii="Times New Roman" w:hAnsi="Times New Roman" w:cs="Times New Roman"/>
          <w:sz w:val="28"/>
          <w:szCs w:val="28"/>
          <w:lang w:val="uk-UA"/>
        </w:rPr>
        <w:t xml:space="preserve"> </w:t>
      </w:r>
      <w:r w:rsidR="00A503A3">
        <w:rPr>
          <w:rFonts w:ascii="Times New Roman" w:hAnsi="Times New Roman" w:cs="Times New Roman"/>
          <w:sz w:val="28"/>
          <w:szCs w:val="28"/>
          <w:lang w:val="uk-UA"/>
        </w:rPr>
        <w:t xml:space="preserve">вираженості </w:t>
      </w:r>
      <w:r w:rsidR="00E35397">
        <w:rPr>
          <w:rFonts w:ascii="Times New Roman" w:hAnsi="Times New Roman" w:cs="Times New Roman"/>
          <w:sz w:val="28"/>
          <w:szCs w:val="28"/>
          <w:lang w:val="uk-UA"/>
        </w:rPr>
        <w:t>імуно</w:t>
      </w:r>
      <w:r w:rsidR="00FE7CE7" w:rsidRPr="00FE7CE7">
        <w:rPr>
          <w:rFonts w:ascii="Times New Roman" w:hAnsi="Times New Roman" w:cs="Times New Roman"/>
          <w:sz w:val="28"/>
          <w:szCs w:val="28"/>
          <w:lang w:val="uk-UA"/>
        </w:rPr>
        <w:t xml:space="preserve">запальних реакцій, оскільки підвищення їх </w:t>
      </w:r>
      <w:r w:rsidR="00A52359">
        <w:rPr>
          <w:rFonts w:ascii="Times New Roman" w:hAnsi="Times New Roman" w:cs="Times New Roman"/>
          <w:sz w:val="28"/>
          <w:szCs w:val="28"/>
          <w:lang w:val="uk-UA"/>
        </w:rPr>
        <w:t>продукції обумовлене збільшенням</w:t>
      </w:r>
      <w:r w:rsidR="00FE7CE7" w:rsidRPr="00FE7CE7">
        <w:rPr>
          <w:rFonts w:ascii="Times New Roman" w:hAnsi="Times New Roman" w:cs="Times New Roman"/>
          <w:sz w:val="28"/>
          <w:szCs w:val="28"/>
          <w:lang w:val="uk-UA"/>
        </w:rPr>
        <w:t xml:space="preserve"> системної секреції прозапальних цитокінів [</w:t>
      </w:r>
      <w:r w:rsidR="002B600D" w:rsidRPr="00CA04D8">
        <w:rPr>
          <w:rFonts w:ascii="Times New Roman" w:hAnsi="Times New Roman" w:cs="Times New Roman"/>
          <w:sz w:val="28"/>
          <w:szCs w:val="28"/>
          <w:lang w:val="uk-UA"/>
        </w:rPr>
        <w:t>77</w:t>
      </w:r>
      <w:r w:rsidR="00FE7CE7" w:rsidRPr="00CA04D8">
        <w:rPr>
          <w:rFonts w:ascii="Times New Roman" w:hAnsi="Times New Roman" w:cs="Times New Roman"/>
          <w:sz w:val="28"/>
          <w:szCs w:val="28"/>
          <w:lang w:val="uk-UA"/>
        </w:rPr>
        <w:t>].</w:t>
      </w:r>
    </w:p>
    <w:p w:rsidR="00525B69" w:rsidRPr="00525B69" w:rsidRDefault="00FA2761" w:rsidP="00194FE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FA2761">
        <w:rPr>
          <w:rFonts w:ascii="Times New Roman" w:hAnsi="Times New Roman" w:cs="Times New Roman"/>
          <w:sz w:val="28"/>
          <w:szCs w:val="28"/>
          <w:lang w:val="uk-UA"/>
        </w:rPr>
        <w:t>оцільним елементом удосконалення лікування пацієнтів із АГ та супутнім ЦД 2-го</w:t>
      </w:r>
      <w:r>
        <w:rPr>
          <w:rFonts w:ascii="Times New Roman" w:hAnsi="Times New Roman" w:cs="Times New Roman"/>
          <w:sz w:val="28"/>
          <w:szCs w:val="28"/>
          <w:lang w:val="uk-UA"/>
        </w:rPr>
        <w:t xml:space="preserve"> є</w:t>
      </w:r>
      <w:r w:rsidRPr="00FA2761">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A90B4E" w:rsidRPr="00A90B4E">
        <w:rPr>
          <w:rFonts w:ascii="Times New Roman" w:hAnsi="Times New Roman" w:cs="Times New Roman"/>
          <w:sz w:val="28"/>
          <w:szCs w:val="28"/>
          <w:lang w:val="uk-UA"/>
        </w:rPr>
        <w:t>озроб</w:t>
      </w:r>
      <w:r w:rsidR="00846629">
        <w:rPr>
          <w:rFonts w:ascii="Times New Roman" w:hAnsi="Times New Roman" w:cs="Times New Roman"/>
          <w:sz w:val="28"/>
          <w:szCs w:val="28"/>
          <w:lang w:val="uk-UA"/>
        </w:rPr>
        <w:t>лення</w:t>
      </w:r>
      <w:r w:rsidR="00A90B4E" w:rsidRPr="00A90B4E">
        <w:rPr>
          <w:rFonts w:ascii="Times New Roman" w:hAnsi="Times New Roman" w:cs="Times New Roman"/>
          <w:sz w:val="28"/>
          <w:szCs w:val="28"/>
          <w:lang w:val="uk-UA"/>
        </w:rPr>
        <w:t xml:space="preserve"> диференційова</w:t>
      </w:r>
      <w:r w:rsidR="00A52359">
        <w:rPr>
          <w:rFonts w:ascii="Times New Roman" w:hAnsi="Times New Roman" w:cs="Times New Roman"/>
          <w:sz w:val="28"/>
          <w:szCs w:val="28"/>
          <w:lang w:val="uk-UA"/>
        </w:rPr>
        <w:t xml:space="preserve">ного підходу до </w:t>
      </w:r>
      <w:r w:rsidR="00846629">
        <w:rPr>
          <w:rFonts w:ascii="Times New Roman" w:hAnsi="Times New Roman" w:cs="Times New Roman"/>
          <w:sz w:val="28"/>
          <w:szCs w:val="28"/>
          <w:lang w:val="uk-UA"/>
        </w:rPr>
        <w:t xml:space="preserve">призначення </w:t>
      </w:r>
      <w:r w:rsidR="00A52359">
        <w:rPr>
          <w:rFonts w:ascii="Times New Roman" w:hAnsi="Times New Roman" w:cs="Times New Roman"/>
          <w:sz w:val="28"/>
          <w:szCs w:val="28"/>
          <w:lang w:val="uk-UA"/>
        </w:rPr>
        <w:t xml:space="preserve">антигіпертензивного препарату із </w:t>
      </w:r>
      <w:r w:rsidR="00A52359" w:rsidRPr="00A52359">
        <w:rPr>
          <w:rFonts w:ascii="Times New Roman" w:hAnsi="Times New Roman" w:cs="Times New Roman"/>
          <w:sz w:val="28"/>
          <w:szCs w:val="28"/>
          <w:lang w:val="uk-UA"/>
        </w:rPr>
        <w:t xml:space="preserve">додатковими нефропротекторними властивостями </w:t>
      </w:r>
      <w:r w:rsidR="00846629">
        <w:rPr>
          <w:rFonts w:ascii="Times New Roman" w:hAnsi="Times New Roman" w:cs="Times New Roman"/>
          <w:sz w:val="28"/>
          <w:szCs w:val="28"/>
          <w:lang w:val="uk-UA"/>
        </w:rPr>
        <w:t>залежно</w:t>
      </w:r>
      <w:r w:rsidR="00A90B4E" w:rsidRPr="00A90B4E">
        <w:rPr>
          <w:rFonts w:ascii="Times New Roman" w:hAnsi="Times New Roman" w:cs="Times New Roman"/>
          <w:sz w:val="28"/>
          <w:szCs w:val="28"/>
          <w:lang w:val="uk-UA"/>
        </w:rPr>
        <w:t xml:space="preserve"> від ступеня</w:t>
      </w:r>
      <w:r w:rsidR="00F91F0F">
        <w:rPr>
          <w:rFonts w:ascii="Times New Roman" w:hAnsi="Times New Roman" w:cs="Times New Roman"/>
          <w:sz w:val="28"/>
          <w:szCs w:val="28"/>
          <w:lang w:val="uk-UA"/>
        </w:rPr>
        <w:t xml:space="preserve"> </w:t>
      </w:r>
      <w:r w:rsidR="00A503A3">
        <w:rPr>
          <w:rFonts w:ascii="Times New Roman" w:hAnsi="Times New Roman" w:cs="Times New Roman"/>
          <w:sz w:val="28"/>
          <w:szCs w:val="28"/>
          <w:lang w:val="uk-UA"/>
        </w:rPr>
        <w:t>вираженості ЕД</w:t>
      </w:r>
      <w:r w:rsidR="00A90B4E">
        <w:rPr>
          <w:rFonts w:ascii="Times New Roman" w:hAnsi="Times New Roman" w:cs="Times New Roman"/>
          <w:sz w:val="28"/>
          <w:szCs w:val="28"/>
          <w:lang w:val="uk-UA"/>
        </w:rPr>
        <w:t>.</w:t>
      </w:r>
    </w:p>
    <w:p w:rsidR="00A90B4E" w:rsidRDefault="00A90B4E" w:rsidP="003470BD">
      <w:pPr>
        <w:spacing w:after="0" w:line="360" w:lineRule="auto"/>
        <w:ind w:firstLine="708"/>
        <w:jc w:val="both"/>
        <w:rPr>
          <w:rFonts w:ascii="Times New Roman" w:hAnsi="Times New Roman" w:cs="Times New Roman"/>
          <w:b/>
          <w:sz w:val="28"/>
          <w:szCs w:val="28"/>
          <w:lang w:val="uk-UA"/>
        </w:rPr>
      </w:pPr>
    </w:p>
    <w:p w:rsidR="00B6039C" w:rsidRDefault="001225FC" w:rsidP="003470BD">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D019C2">
        <w:rPr>
          <w:rFonts w:ascii="Times New Roman" w:hAnsi="Times New Roman" w:cs="Times New Roman"/>
          <w:b/>
          <w:sz w:val="28"/>
          <w:szCs w:val="28"/>
          <w:lang w:val="uk-UA"/>
        </w:rPr>
        <w:t>3</w:t>
      </w:r>
      <w:r w:rsidRPr="00DB773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7748DB" w:rsidRPr="007748DB">
        <w:rPr>
          <w:rFonts w:ascii="Times New Roman" w:hAnsi="Times New Roman" w:cs="Times New Roman"/>
          <w:b/>
          <w:sz w:val="28"/>
          <w:szCs w:val="28"/>
          <w:lang w:val="uk-UA"/>
        </w:rPr>
        <w:t>Вплив маркерів імунного запалення, ендотелію на структурно-функцiональнi показники мiокарда у хворих на артерiальну гiпертензiю та цукровий дiабет 2-го типу</w:t>
      </w:r>
    </w:p>
    <w:p w:rsidR="00401A7E" w:rsidRDefault="00401A7E" w:rsidP="003470BD">
      <w:pPr>
        <w:spacing w:after="0" w:line="360" w:lineRule="auto"/>
        <w:ind w:firstLine="708"/>
        <w:jc w:val="both"/>
        <w:rPr>
          <w:rFonts w:ascii="Times New Roman" w:hAnsi="Times New Roman" w:cs="Times New Roman"/>
          <w:b/>
          <w:sz w:val="28"/>
          <w:szCs w:val="28"/>
          <w:lang w:val="uk-UA"/>
        </w:rPr>
      </w:pPr>
    </w:p>
    <w:p w:rsidR="00B24806" w:rsidRDefault="00F91F0F" w:rsidP="006617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46629">
        <w:rPr>
          <w:rFonts w:ascii="Times New Roman" w:hAnsi="Times New Roman" w:cs="Times New Roman"/>
          <w:sz w:val="28"/>
          <w:szCs w:val="28"/>
          <w:lang w:val="uk-UA"/>
        </w:rPr>
        <w:t>пецифічне ураження міокарда</w:t>
      </w:r>
      <w:r w:rsidR="001D2044">
        <w:rPr>
          <w:rFonts w:ascii="Times New Roman" w:hAnsi="Times New Roman" w:cs="Times New Roman"/>
          <w:sz w:val="28"/>
          <w:szCs w:val="28"/>
          <w:lang w:val="uk-UA"/>
        </w:rPr>
        <w:t>,</w:t>
      </w:r>
      <w:r w:rsidR="00FA2761">
        <w:rPr>
          <w:rFonts w:ascii="Times New Roman" w:hAnsi="Times New Roman" w:cs="Times New Roman"/>
          <w:sz w:val="28"/>
          <w:szCs w:val="28"/>
          <w:lang w:val="uk-UA"/>
        </w:rPr>
        <w:t xml:space="preserve"> яке</w:t>
      </w:r>
      <w:r w:rsidR="001D2044">
        <w:rPr>
          <w:rFonts w:ascii="Times New Roman" w:hAnsi="Times New Roman" w:cs="Times New Roman"/>
          <w:sz w:val="28"/>
          <w:szCs w:val="28"/>
          <w:lang w:val="uk-UA"/>
        </w:rPr>
        <w:t xml:space="preserve"> характеризується діастолічною дисфункцією і може розвиватися без чіткого зв’язку з АГ</w:t>
      </w:r>
      <w:r w:rsidR="00FA2761">
        <w:rPr>
          <w:rFonts w:ascii="Times New Roman" w:hAnsi="Times New Roman" w:cs="Times New Roman"/>
          <w:sz w:val="28"/>
          <w:szCs w:val="28"/>
          <w:lang w:val="uk-UA"/>
        </w:rPr>
        <w:t>, є характерною особливістю</w:t>
      </w:r>
      <w:r>
        <w:rPr>
          <w:rFonts w:ascii="Times New Roman" w:hAnsi="Times New Roman" w:cs="Times New Roman"/>
          <w:sz w:val="28"/>
          <w:szCs w:val="28"/>
          <w:lang w:val="uk-UA"/>
        </w:rPr>
        <w:t xml:space="preserve"> для хворих на ЦД</w:t>
      </w:r>
      <w:r w:rsidR="001D2044">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995DB7">
        <w:rPr>
          <w:rFonts w:ascii="Times New Roman" w:hAnsi="Times New Roman" w:cs="Times New Roman"/>
          <w:sz w:val="28"/>
          <w:szCs w:val="28"/>
          <w:lang w:val="uk-UA"/>
        </w:rPr>
        <w:t>іпертрофія ЛШ,</w:t>
      </w:r>
      <w:r>
        <w:rPr>
          <w:rFonts w:ascii="Times New Roman" w:hAnsi="Times New Roman" w:cs="Times New Roman"/>
          <w:sz w:val="28"/>
          <w:szCs w:val="28"/>
          <w:lang w:val="uk-UA"/>
        </w:rPr>
        <w:t xml:space="preserve"> констатована у </w:t>
      </w:r>
      <w:r w:rsidRPr="00F91F0F">
        <w:rPr>
          <w:rFonts w:ascii="Times New Roman" w:hAnsi="Times New Roman" w:cs="Times New Roman"/>
          <w:sz w:val="28"/>
          <w:szCs w:val="28"/>
          <w:lang w:val="uk-UA"/>
        </w:rPr>
        <w:t xml:space="preserve">пацієнтів </w:t>
      </w:r>
      <w:r w:rsidR="00A576B9">
        <w:rPr>
          <w:rFonts w:ascii="Times New Roman" w:hAnsi="Times New Roman" w:cs="Times New Roman"/>
          <w:sz w:val="28"/>
          <w:szCs w:val="28"/>
          <w:lang w:val="uk-UA"/>
        </w:rPr>
        <w:t xml:space="preserve">    </w:t>
      </w:r>
      <w:r w:rsidRPr="00F91F0F">
        <w:rPr>
          <w:rFonts w:ascii="Times New Roman" w:hAnsi="Times New Roman" w:cs="Times New Roman"/>
          <w:sz w:val="28"/>
          <w:szCs w:val="28"/>
          <w:lang w:val="uk-UA"/>
        </w:rPr>
        <w:t>із ЦД 2-го типу</w:t>
      </w:r>
      <w:r w:rsidR="00FA2761">
        <w:rPr>
          <w:rFonts w:ascii="Times New Roman" w:hAnsi="Times New Roman" w:cs="Times New Roman"/>
          <w:sz w:val="28"/>
          <w:szCs w:val="28"/>
          <w:lang w:val="uk-UA"/>
        </w:rPr>
        <w:t>,</w:t>
      </w:r>
      <w:r w:rsidR="00995DB7">
        <w:rPr>
          <w:rFonts w:ascii="Times New Roman" w:hAnsi="Times New Roman" w:cs="Times New Roman"/>
          <w:sz w:val="28"/>
          <w:szCs w:val="28"/>
          <w:lang w:val="uk-UA"/>
        </w:rPr>
        <w:t xml:space="preserve"> призводить до </w:t>
      </w:r>
      <w:r w:rsidR="00451213">
        <w:rPr>
          <w:rFonts w:ascii="Times New Roman" w:hAnsi="Times New Roman" w:cs="Times New Roman"/>
          <w:sz w:val="28"/>
          <w:szCs w:val="28"/>
          <w:lang w:val="uk-UA"/>
        </w:rPr>
        <w:t xml:space="preserve">прогресування </w:t>
      </w:r>
      <w:r w:rsidR="00995DB7">
        <w:rPr>
          <w:rFonts w:ascii="Times New Roman" w:hAnsi="Times New Roman" w:cs="Times New Roman"/>
          <w:sz w:val="28"/>
          <w:szCs w:val="28"/>
          <w:lang w:val="uk-UA"/>
        </w:rPr>
        <w:t xml:space="preserve">діастолічної дисфункції </w:t>
      </w:r>
      <w:r w:rsidR="00995DB7" w:rsidRPr="00995DB7">
        <w:rPr>
          <w:rFonts w:ascii="Times New Roman" w:hAnsi="Times New Roman" w:cs="Times New Roman"/>
          <w:sz w:val="28"/>
          <w:szCs w:val="28"/>
          <w:lang w:val="uk-UA"/>
        </w:rPr>
        <w:t>[</w:t>
      </w:r>
      <w:r w:rsidR="002B600D" w:rsidRPr="00CA04D8">
        <w:rPr>
          <w:rFonts w:ascii="Times New Roman" w:hAnsi="Times New Roman" w:cs="Times New Roman"/>
          <w:sz w:val="28"/>
          <w:szCs w:val="28"/>
        </w:rPr>
        <w:t>78</w:t>
      </w:r>
      <w:r w:rsidR="00995DB7" w:rsidRPr="00EB7CC8">
        <w:rPr>
          <w:rFonts w:ascii="Times New Roman" w:hAnsi="Times New Roman" w:cs="Times New Roman"/>
          <w:sz w:val="28"/>
          <w:szCs w:val="28"/>
          <w:lang w:val="uk-UA"/>
        </w:rPr>
        <w:t>].</w:t>
      </w:r>
      <w:r w:rsidR="00995DB7" w:rsidRPr="0067026C">
        <w:rPr>
          <w:rFonts w:ascii="Times New Roman" w:hAnsi="Times New Roman" w:cs="Times New Roman"/>
          <w:sz w:val="28"/>
          <w:szCs w:val="28"/>
          <w:lang w:val="uk-UA"/>
        </w:rPr>
        <w:t xml:space="preserve"> </w:t>
      </w:r>
    </w:p>
    <w:p w:rsidR="001D2044" w:rsidRDefault="00451213" w:rsidP="006617A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B24806" w:rsidRPr="00B24806">
        <w:rPr>
          <w:rFonts w:ascii="Times New Roman" w:hAnsi="Times New Roman" w:cs="Times New Roman"/>
          <w:sz w:val="28"/>
          <w:szCs w:val="28"/>
          <w:lang w:val="uk-UA"/>
        </w:rPr>
        <w:t>аме АГ у пацієнтів із ЦД 2-го типу сприяє поглибл</w:t>
      </w:r>
      <w:r w:rsidR="00FA2761">
        <w:rPr>
          <w:rFonts w:ascii="Times New Roman" w:hAnsi="Times New Roman" w:cs="Times New Roman"/>
          <w:sz w:val="28"/>
          <w:szCs w:val="28"/>
          <w:lang w:val="uk-UA"/>
        </w:rPr>
        <w:t>енню порушень функції діастоли.</w:t>
      </w:r>
      <w:r w:rsidR="0001778C">
        <w:rPr>
          <w:rFonts w:ascii="Times New Roman" w:hAnsi="Times New Roman" w:cs="Times New Roman"/>
          <w:sz w:val="28"/>
          <w:szCs w:val="28"/>
          <w:lang w:val="uk-UA"/>
        </w:rPr>
        <w:t xml:space="preserve"> </w:t>
      </w:r>
      <w:r>
        <w:rPr>
          <w:rFonts w:ascii="Times New Roman" w:hAnsi="Times New Roman" w:cs="Times New Roman"/>
          <w:sz w:val="28"/>
          <w:szCs w:val="28"/>
          <w:lang w:val="uk-UA"/>
        </w:rPr>
        <w:t>Г</w:t>
      </w:r>
      <w:r w:rsidR="00995DB7">
        <w:rPr>
          <w:rFonts w:ascii="Times New Roman" w:hAnsi="Times New Roman" w:cs="Times New Roman"/>
          <w:sz w:val="28"/>
          <w:szCs w:val="28"/>
          <w:lang w:val="uk-UA"/>
        </w:rPr>
        <w:t>іпертрофія ЛШ більше пов’язана із синдромом інсулінорезистентності</w:t>
      </w:r>
      <w:r>
        <w:rPr>
          <w:rFonts w:ascii="Times New Roman" w:hAnsi="Times New Roman" w:cs="Times New Roman"/>
          <w:sz w:val="28"/>
          <w:szCs w:val="28"/>
          <w:lang w:val="uk-UA"/>
        </w:rPr>
        <w:t xml:space="preserve"> </w:t>
      </w:r>
      <w:r w:rsidRPr="00451213">
        <w:rPr>
          <w:rFonts w:ascii="Times New Roman" w:hAnsi="Times New Roman" w:cs="Times New Roman"/>
          <w:sz w:val="28"/>
          <w:szCs w:val="28"/>
          <w:lang w:val="uk-UA"/>
        </w:rPr>
        <w:t xml:space="preserve">на відміну від фіброзу міокарда, характерного </w:t>
      </w:r>
      <w:r w:rsidR="00A576B9">
        <w:rPr>
          <w:rFonts w:ascii="Times New Roman" w:hAnsi="Times New Roman" w:cs="Times New Roman"/>
          <w:sz w:val="28"/>
          <w:szCs w:val="28"/>
          <w:lang w:val="uk-UA"/>
        </w:rPr>
        <w:t xml:space="preserve">        </w:t>
      </w:r>
      <w:r w:rsidRPr="00451213">
        <w:rPr>
          <w:rFonts w:ascii="Times New Roman" w:hAnsi="Times New Roman" w:cs="Times New Roman"/>
          <w:sz w:val="28"/>
          <w:szCs w:val="28"/>
          <w:lang w:val="uk-UA"/>
        </w:rPr>
        <w:t>для гіперглікемії</w:t>
      </w:r>
      <w:r w:rsidR="00995DB7">
        <w:rPr>
          <w:rFonts w:ascii="Times New Roman" w:hAnsi="Times New Roman" w:cs="Times New Roman"/>
          <w:sz w:val="28"/>
          <w:szCs w:val="28"/>
          <w:lang w:val="uk-UA"/>
        </w:rPr>
        <w:t xml:space="preserve"> </w:t>
      </w:r>
      <w:r w:rsidR="00B6039C" w:rsidRPr="009A707F">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79</w:t>
      </w:r>
      <w:r w:rsidR="00B6039C" w:rsidRPr="00CA04D8">
        <w:rPr>
          <w:rFonts w:ascii="Times New Roman" w:hAnsi="Times New Roman" w:cs="Times New Roman"/>
          <w:sz w:val="28"/>
          <w:szCs w:val="28"/>
          <w:lang w:val="uk-UA"/>
        </w:rPr>
        <w:t>]</w:t>
      </w:r>
      <w:r w:rsidR="00B6039C" w:rsidRPr="009A707F">
        <w:rPr>
          <w:rFonts w:ascii="Times New Roman" w:hAnsi="Times New Roman" w:cs="Times New Roman"/>
          <w:sz w:val="28"/>
          <w:szCs w:val="28"/>
          <w:lang w:val="uk-UA"/>
        </w:rPr>
        <w:t>.</w:t>
      </w:r>
    </w:p>
    <w:p w:rsidR="001225FC" w:rsidRPr="00FD104A" w:rsidRDefault="00623DE0" w:rsidP="005915C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225FC" w:rsidRPr="00124685">
        <w:rPr>
          <w:rFonts w:ascii="Times New Roman" w:hAnsi="Times New Roman" w:cs="Times New Roman"/>
          <w:sz w:val="28"/>
          <w:szCs w:val="28"/>
          <w:lang w:val="uk-UA"/>
        </w:rPr>
        <w:t xml:space="preserve">рогресування </w:t>
      </w:r>
      <w:r>
        <w:rPr>
          <w:rFonts w:ascii="Times New Roman" w:hAnsi="Times New Roman" w:cs="Times New Roman"/>
          <w:sz w:val="28"/>
          <w:szCs w:val="28"/>
          <w:lang w:val="uk-UA"/>
        </w:rPr>
        <w:t xml:space="preserve">діастолічної дисфункції </w:t>
      </w:r>
      <w:r w:rsidR="001225FC" w:rsidRPr="00124685">
        <w:rPr>
          <w:rFonts w:ascii="Times New Roman" w:hAnsi="Times New Roman" w:cs="Times New Roman"/>
          <w:sz w:val="28"/>
          <w:szCs w:val="28"/>
          <w:lang w:val="uk-UA"/>
        </w:rPr>
        <w:t>супроводжується збільшенням ризику ССУ на 80 %</w:t>
      </w:r>
      <w:r w:rsidR="00D017C8" w:rsidRPr="00124685">
        <w:rPr>
          <w:rFonts w:ascii="Times New Roman" w:hAnsi="Times New Roman" w:cs="Times New Roman"/>
          <w:sz w:val="28"/>
          <w:szCs w:val="28"/>
          <w:lang w:val="uk-UA"/>
        </w:rPr>
        <w:t xml:space="preserve"> </w:t>
      </w:r>
      <w:r w:rsidR="001225FC" w:rsidRPr="00124685">
        <w:rPr>
          <w:rFonts w:ascii="Times New Roman" w:hAnsi="Times New Roman" w:cs="Times New Roman"/>
          <w:sz w:val="28"/>
          <w:szCs w:val="28"/>
          <w:lang w:val="uk-UA"/>
        </w:rPr>
        <w:t>[</w:t>
      </w:r>
      <w:r w:rsidR="002B600D" w:rsidRPr="00CA04D8">
        <w:rPr>
          <w:rFonts w:ascii="Times New Roman" w:hAnsi="Times New Roman" w:cs="Times New Roman"/>
          <w:sz w:val="28"/>
          <w:szCs w:val="28"/>
        </w:rPr>
        <w:t>80</w:t>
      </w:r>
      <w:r w:rsidR="001225FC" w:rsidRPr="00124685">
        <w:rPr>
          <w:rFonts w:ascii="Times New Roman" w:hAnsi="Times New Roman" w:cs="Times New Roman"/>
          <w:sz w:val="28"/>
          <w:szCs w:val="28"/>
          <w:lang w:val="uk-UA"/>
        </w:rPr>
        <w:t>].</w:t>
      </w:r>
      <w:r w:rsidR="000A07EB">
        <w:rPr>
          <w:rFonts w:ascii="Times New Roman" w:hAnsi="Times New Roman" w:cs="Times New Roman"/>
          <w:sz w:val="28"/>
          <w:szCs w:val="28"/>
          <w:lang w:val="uk-UA"/>
        </w:rPr>
        <w:t xml:space="preserve"> </w:t>
      </w:r>
      <w:r w:rsidR="00451213">
        <w:rPr>
          <w:rFonts w:ascii="Times New Roman" w:hAnsi="Times New Roman" w:cs="Times New Roman"/>
          <w:sz w:val="28"/>
          <w:szCs w:val="28"/>
          <w:lang w:val="uk-UA"/>
        </w:rPr>
        <w:t>Г</w:t>
      </w:r>
      <w:r w:rsidR="00CA2AE7">
        <w:rPr>
          <w:rFonts w:ascii="Times New Roman" w:hAnsi="Times New Roman" w:cs="Times New Roman"/>
          <w:sz w:val="28"/>
          <w:szCs w:val="28"/>
          <w:lang w:val="uk-UA"/>
        </w:rPr>
        <w:t>іпертрофія ЛШ</w:t>
      </w:r>
      <w:r w:rsidR="00451213">
        <w:rPr>
          <w:rFonts w:ascii="Times New Roman" w:hAnsi="Times New Roman" w:cs="Times New Roman"/>
          <w:sz w:val="28"/>
          <w:szCs w:val="28"/>
          <w:lang w:val="uk-UA"/>
        </w:rPr>
        <w:t xml:space="preserve"> є ознакою порушення функції діастоли, спричиняючи</w:t>
      </w:r>
      <w:r w:rsidR="001225FC" w:rsidRPr="00A03291">
        <w:rPr>
          <w:rFonts w:ascii="Times New Roman" w:hAnsi="Times New Roman" w:cs="Times New Roman"/>
          <w:sz w:val="28"/>
          <w:szCs w:val="28"/>
          <w:lang w:val="uk-UA"/>
        </w:rPr>
        <w:t xml:space="preserve"> зростання ймовірності </w:t>
      </w:r>
      <w:r w:rsidR="001225FC" w:rsidRPr="00A03291">
        <w:rPr>
          <w:rFonts w:ascii="Times New Roman" w:hAnsi="Times New Roman" w:cs="Times New Roman"/>
          <w:sz w:val="28"/>
          <w:szCs w:val="28"/>
          <w:lang w:val="en-US"/>
        </w:rPr>
        <w:t>CC</w:t>
      </w:r>
      <w:r w:rsidR="001225FC" w:rsidRPr="00A03291">
        <w:rPr>
          <w:rFonts w:ascii="Times New Roman" w:hAnsi="Times New Roman" w:cs="Times New Roman"/>
          <w:sz w:val="28"/>
          <w:szCs w:val="28"/>
          <w:lang w:val="uk-UA"/>
        </w:rPr>
        <w:t xml:space="preserve">У вдвічі </w:t>
      </w:r>
      <w:r w:rsidR="001225FC"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81</w:t>
      </w:r>
      <w:r w:rsidR="00451213" w:rsidRPr="00CA04D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незалежним маркером кардіоваскулярного ризику [</w:t>
      </w:r>
      <w:r w:rsidR="002B600D" w:rsidRPr="00CA04D8">
        <w:rPr>
          <w:rFonts w:ascii="Times New Roman" w:hAnsi="Times New Roman" w:cs="Times New Roman"/>
          <w:sz w:val="28"/>
          <w:szCs w:val="28"/>
          <w:lang w:val="uk-UA"/>
        </w:rPr>
        <w:t>82</w:t>
      </w:r>
      <w:r w:rsidR="005915CD">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П</w:t>
      </w:r>
      <w:r w:rsidR="00686BBC">
        <w:rPr>
          <w:rFonts w:ascii="Times New Roman" w:hAnsi="Times New Roman" w:cs="Times New Roman"/>
          <w:sz w:val="28"/>
          <w:szCs w:val="28"/>
          <w:lang w:val="uk-UA"/>
        </w:rPr>
        <w:t>огір</w:t>
      </w:r>
      <w:r w:rsidR="001225FC" w:rsidRPr="00FD104A">
        <w:rPr>
          <w:rFonts w:ascii="Times New Roman" w:hAnsi="Times New Roman" w:cs="Times New Roman"/>
          <w:sz w:val="28"/>
          <w:szCs w:val="28"/>
          <w:lang w:val="uk-UA"/>
        </w:rPr>
        <w:t xml:space="preserve">шення діастолічної функції серця </w:t>
      </w:r>
      <w:r w:rsidR="001225FC" w:rsidRPr="00A03291">
        <w:rPr>
          <w:rFonts w:ascii="Times New Roman" w:hAnsi="Times New Roman" w:cs="Times New Roman"/>
          <w:sz w:val="28"/>
          <w:szCs w:val="28"/>
          <w:lang w:val="uk-UA"/>
        </w:rPr>
        <w:t xml:space="preserve">може </w:t>
      </w:r>
      <w:r w:rsidR="001225FC" w:rsidRPr="00FD104A">
        <w:rPr>
          <w:rFonts w:ascii="Times New Roman" w:hAnsi="Times New Roman" w:cs="Times New Roman"/>
          <w:sz w:val="28"/>
          <w:szCs w:val="28"/>
          <w:lang w:val="uk-UA"/>
        </w:rPr>
        <w:t>переду</w:t>
      </w:r>
      <w:r w:rsidR="001225FC" w:rsidRPr="00A03291">
        <w:rPr>
          <w:rFonts w:ascii="Times New Roman" w:hAnsi="Times New Roman" w:cs="Times New Roman"/>
          <w:sz w:val="28"/>
          <w:szCs w:val="28"/>
          <w:lang w:val="uk-UA"/>
        </w:rPr>
        <w:t>вати</w:t>
      </w:r>
      <w:r w:rsidR="001225FC" w:rsidRPr="00FD104A">
        <w:rPr>
          <w:rFonts w:ascii="Times New Roman" w:hAnsi="Times New Roman" w:cs="Times New Roman"/>
          <w:sz w:val="28"/>
          <w:szCs w:val="28"/>
          <w:lang w:val="uk-UA"/>
        </w:rPr>
        <w:t xml:space="preserve"> появі сист</w:t>
      </w:r>
      <w:r w:rsidR="00CA7212">
        <w:rPr>
          <w:rFonts w:ascii="Times New Roman" w:hAnsi="Times New Roman" w:cs="Times New Roman"/>
          <w:sz w:val="28"/>
          <w:szCs w:val="28"/>
          <w:lang w:val="uk-UA"/>
        </w:rPr>
        <w:t>олічних порушень</w:t>
      </w:r>
      <w:r w:rsidR="00451213">
        <w:rPr>
          <w:rFonts w:ascii="Times New Roman" w:hAnsi="Times New Roman" w:cs="Times New Roman"/>
          <w:sz w:val="28"/>
          <w:szCs w:val="28"/>
          <w:lang w:val="uk-UA"/>
        </w:rPr>
        <w:t xml:space="preserve"> і</w:t>
      </w:r>
      <w:r w:rsidR="001225FC" w:rsidRPr="00FD104A">
        <w:rPr>
          <w:rFonts w:ascii="Times New Roman" w:hAnsi="Times New Roman" w:cs="Times New Roman"/>
          <w:sz w:val="28"/>
          <w:szCs w:val="28"/>
          <w:lang w:val="uk-UA"/>
        </w:rPr>
        <w:t xml:space="preserve"> поглиблювати систолічну </w:t>
      </w:r>
      <w:r w:rsidR="001225FC" w:rsidRPr="00A03291">
        <w:rPr>
          <w:rFonts w:ascii="Times New Roman" w:hAnsi="Times New Roman" w:cs="Times New Roman"/>
          <w:sz w:val="28"/>
          <w:szCs w:val="28"/>
          <w:lang w:val="uk-UA"/>
        </w:rPr>
        <w:t xml:space="preserve">СН </w:t>
      </w:r>
      <w:r w:rsidR="001225FC" w:rsidRPr="00976478">
        <w:rPr>
          <w:rFonts w:ascii="Times New Roman" w:hAnsi="Times New Roman" w:cs="Times New Roman"/>
          <w:sz w:val="28"/>
          <w:szCs w:val="28"/>
          <w:lang w:val="uk-UA"/>
        </w:rPr>
        <w:t>[</w:t>
      </w:r>
      <w:r w:rsidR="002B600D" w:rsidRPr="00CA04D8">
        <w:rPr>
          <w:rFonts w:ascii="Times New Roman" w:hAnsi="Times New Roman" w:cs="Times New Roman"/>
          <w:sz w:val="28"/>
          <w:szCs w:val="28"/>
        </w:rPr>
        <w:t>83</w:t>
      </w:r>
      <w:r w:rsidR="001225FC" w:rsidRPr="00976478">
        <w:rPr>
          <w:rFonts w:ascii="Times New Roman" w:hAnsi="Times New Roman" w:cs="Times New Roman"/>
          <w:sz w:val="28"/>
          <w:szCs w:val="28"/>
          <w:lang w:val="uk-UA"/>
        </w:rPr>
        <w:t>].</w:t>
      </w:r>
    </w:p>
    <w:p w:rsidR="001225FC" w:rsidRPr="005915CD" w:rsidRDefault="00451213" w:rsidP="005915CD">
      <w:pPr>
        <w:spacing w:after="0" w:line="360" w:lineRule="auto"/>
        <w:ind w:firstLine="708"/>
        <w:jc w:val="both"/>
        <w:rPr>
          <w:rFonts w:ascii="Times New Roman" w:hAnsi="Times New Roman" w:cs="Times New Roman"/>
          <w:sz w:val="28"/>
          <w:szCs w:val="28"/>
          <w:highlight w:val="green"/>
          <w:lang w:val="uk-UA"/>
        </w:rPr>
      </w:pPr>
      <w:r>
        <w:rPr>
          <w:rFonts w:ascii="Times New Roman" w:hAnsi="Times New Roman" w:cs="Times New Roman"/>
          <w:sz w:val="28"/>
          <w:szCs w:val="28"/>
          <w:lang w:val="uk-UA"/>
        </w:rPr>
        <w:t>У</w:t>
      </w:r>
      <w:r w:rsidR="001225FC" w:rsidRPr="00FD104A">
        <w:rPr>
          <w:rFonts w:ascii="Times New Roman" w:hAnsi="Times New Roman" w:cs="Times New Roman"/>
          <w:sz w:val="28"/>
          <w:szCs w:val="28"/>
          <w:lang w:val="uk-UA"/>
        </w:rPr>
        <w:t xml:space="preserve"> хворих на ЦД 2</w:t>
      </w:r>
      <w:r w:rsidR="0082009E">
        <w:rPr>
          <w:rFonts w:ascii="Times New Roman" w:hAnsi="Times New Roman" w:cs="Times New Roman"/>
          <w:sz w:val="28"/>
          <w:szCs w:val="28"/>
          <w:lang w:val="uk-UA"/>
        </w:rPr>
        <w:t>-го</w:t>
      </w:r>
      <w:r w:rsidR="001225FC" w:rsidRPr="00FD104A">
        <w:rPr>
          <w:rFonts w:ascii="Times New Roman" w:hAnsi="Times New Roman" w:cs="Times New Roman"/>
          <w:sz w:val="28"/>
          <w:szCs w:val="28"/>
          <w:lang w:val="uk-UA"/>
        </w:rPr>
        <w:t xml:space="preserve"> типу гіперінсулінемія пр</w:t>
      </w:r>
      <w:r w:rsidR="00473CED">
        <w:rPr>
          <w:rFonts w:ascii="Times New Roman" w:hAnsi="Times New Roman" w:cs="Times New Roman"/>
          <w:sz w:val="28"/>
          <w:szCs w:val="28"/>
          <w:lang w:val="uk-UA"/>
        </w:rPr>
        <w:t>и високій ІР</w:t>
      </w:r>
      <w:r w:rsidR="00331206">
        <w:rPr>
          <w:rFonts w:ascii="Times New Roman" w:hAnsi="Times New Roman" w:cs="Times New Roman"/>
          <w:sz w:val="28"/>
          <w:szCs w:val="28"/>
          <w:lang w:val="uk-UA"/>
        </w:rPr>
        <w:t>, ЕД</w:t>
      </w:r>
      <w:r w:rsidR="001225FC" w:rsidRPr="00FD104A">
        <w:rPr>
          <w:rFonts w:ascii="Times New Roman" w:hAnsi="Times New Roman" w:cs="Times New Roman"/>
          <w:sz w:val="28"/>
          <w:szCs w:val="28"/>
          <w:lang w:val="uk-UA"/>
        </w:rPr>
        <w:t xml:space="preserve"> та оксид</w:t>
      </w:r>
      <w:r w:rsidR="00F55BAC">
        <w:rPr>
          <w:rFonts w:ascii="Times New Roman" w:hAnsi="Times New Roman" w:cs="Times New Roman"/>
          <w:sz w:val="28"/>
          <w:szCs w:val="28"/>
          <w:lang w:val="uk-UA"/>
        </w:rPr>
        <w:t xml:space="preserve">ативний стрес сприяють </w:t>
      </w:r>
      <w:r w:rsidR="001225FC" w:rsidRPr="00FD104A">
        <w:rPr>
          <w:rFonts w:ascii="Times New Roman" w:hAnsi="Times New Roman" w:cs="Times New Roman"/>
          <w:sz w:val="28"/>
          <w:szCs w:val="28"/>
          <w:lang w:val="uk-UA"/>
        </w:rPr>
        <w:t>гіпертрофії міокарда</w:t>
      </w:r>
      <w:r w:rsidR="001225FC" w:rsidRPr="00A03291">
        <w:rPr>
          <w:rFonts w:ascii="Times New Roman" w:hAnsi="Times New Roman" w:cs="Times New Roman"/>
          <w:sz w:val="28"/>
          <w:szCs w:val="28"/>
          <w:lang w:val="uk-UA"/>
        </w:rPr>
        <w:t xml:space="preserve"> ЛШ</w:t>
      </w:r>
      <w:r w:rsidR="001225FC" w:rsidRPr="00FD104A">
        <w:rPr>
          <w:rFonts w:ascii="Times New Roman" w:hAnsi="Times New Roman" w:cs="Times New Roman"/>
          <w:sz w:val="28"/>
          <w:szCs w:val="28"/>
          <w:lang w:val="uk-UA"/>
        </w:rPr>
        <w:t xml:space="preserve"> за рахунок стимуляції інсуліном проліферативних факторів і фіб</w:t>
      </w:r>
      <w:r w:rsidR="00FD104A" w:rsidRPr="00FD104A">
        <w:rPr>
          <w:rFonts w:ascii="Times New Roman" w:hAnsi="Times New Roman" w:cs="Times New Roman"/>
          <w:sz w:val="28"/>
          <w:szCs w:val="28"/>
          <w:lang w:val="uk-UA"/>
        </w:rPr>
        <w:t xml:space="preserve">розу кардіоміоцитів </w:t>
      </w:r>
      <w:r w:rsidR="00FD104A"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84</w:t>
      </w:r>
      <w:r w:rsidR="001225FC" w:rsidRPr="00976478">
        <w:rPr>
          <w:rFonts w:ascii="Times New Roman" w:hAnsi="Times New Roman" w:cs="Times New Roman"/>
          <w:sz w:val="28"/>
          <w:szCs w:val="28"/>
          <w:lang w:val="uk-UA"/>
        </w:rPr>
        <w:t>]</w:t>
      </w:r>
      <w:r w:rsidR="00073A38" w:rsidRPr="00976478">
        <w:rPr>
          <w:rFonts w:ascii="Times New Roman" w:hAnsi="Times New Roman" w:cs="Times New Roman"/>
          <w:sz w:val="28"/>
          <w:szCs w:val="28"/>
          <w:lang w:val="uk-UA"/>
        </w:rPr>
        <w:t>.</w:t>
      </w:r>
      <w:r w:rsidR="001225FC" w:rsidRPr="00FD104A">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Н</w:t>
      </w:r>
      <w:r w:rsidR="001225FC" w:rsidRPr="00C8566A">
        <w:rPr>
          <w:rFonts w:ascii="Times New Roman" w:hAnsi="Times New Roman" w:cs="Times New Roman"/>
          <w:sz w:val="28"/>
          <w:szCs w:val="28"/>
          <w:lang w:val="uk-UA"/>
        </w:rPr>
        <w:t>авіть за відсутності супутньої АГ</w:t>
      </w:r>
      <w:r w:rsidR="001225FC" w:rsidRPr="00A03291">
        <w:rPr>
          <w:rFonts w:ascii="Times New Roman" w:hAnsi="Times New Roman" w:cs="Times New Roman"/>
          <w:sz w:val="28"/>
          <w:szCs w:val="28"/>
          <w:lang w:val="uk-UA"/>
        </w:rPr>
        <w:t xml:space="preserve"> у пацієнтів із ЦД 2</w:t>
      </w:r>
      <w:r w:rsidR="00F55BAC">
        <w:rPr>
          <w:rFonts w:ascii="Times New Roman" w:hAnsi="Times New Roman" w:cs="Times New Roman"/>
          <w:sz w:val="28"/>
          <w:szCs w:val="28"/>
          <w:lang w:val="uk-UA"/>
        </w:rPr>
        <w:t>-го</w:t>
      </w:r>
      <w:r w:rsidR="001225FC" w:rsidRPr="00A03291">
        <w:rPr>
          <w:rFonts w:ascii="Times New Roman" w:hAnsi="Times New Roman" w:cs="Times New Roman"/>
          <w:sz w:val="28"/>
          <w:szCs w:val="28"/>
          <w:lang w:val="uk-UA"/>
        </w:rPr>
        <w:t xml:space="preserve"> типу </w:t>
      </w:r>
      <w:r w:rsidR="001225FC" w:rsidRPr="00C8566A">
        <w:rPr>
          <w:rFonts w:ascii="Times New Roman" w:hAnsi="Times New Roman" w:cs="Times New Roman"/>
          <w:sz w:val="28"/>
          <w:szCs w:val="28"/>
          <w:lang w:val="uk-UA"/>
        </w:rPr>
        <w:t>спостеріг</w:t>
      </w:r>
      <w:r w:rsidR="00331206">
        <w:rPr>
          <w:rFonts w:ascii="Times New Roman" w:hAnsi="Times New Roman" w:cs="Times New Roman"/>
          <w:sz w:val="28"/>
          <w:szCs w:val="28"/>
          <w:lang w:val="uk-UA"/>
        </w:rPr>
        <w:t xml:space="preserve">ається збільшення </w:t>
      </w:r>
      <w:r w:rsidR="001225FC" w:rsidRPr="00A03291">
        <w:rPr>
          <w:rFonts w:ascii="Times New Roman" w:hAnsi="Times New Roman" w:cs="Times New Roman"/>
          <w:sz w:val="28"/>
          <w:szCs w:val="28"/>
          <w:lang w:val="uk-UA"/>
        </w:rPr>
        <w:t>ММ</w:t>
      </w:r>
      <w:r w:rsidR="001225FC" w:rsidRPr="00C8566A">
        <w:rPr>
          <w:rFonts w:ascii="Times New Roman" w:hAnsi="Times New Roman" w:cs="Times New Roman"/>
          <w:sz w:val="28"/>
          <w:szCs w:val="28"/>
          <w:lang w:val="uk-UA"/>
        </w:rPr>
        <w:t xml:space="preserve">ЛШ, що обумовлено гіпертрофією кардіоміоцитів і міокардіальним фіброзом із підвищенням </w:t>
      </w:r>
      <w:r w:rsidR="005E42DC">
        <w:rPr>
          <w:rFonts w:ascii="Times New Roman" w:hAnsi="Times New Roman" w:cs="Times New Roman"/>
          <w:sz w:val="28"/>
          <w:szCs w:val="28"/>
          <w:lang w:val="uk-UA"/>
        </w:rPr>
        <w:t>у</w:t>
      </w:r>
      <w:r w:rsidR="001225FC" w:rsidRPr="00C8566A">
        <w:rPr>
          <w:rFonts w:ascii="Times New Roman" w:hAnsi="Times New Roman" w:cs="Times New Roman"/>
          <w:sz w:val="28"/>
          <w:szCs w:val="28"/>
          <w:lang w:val="uk-UA"/>
        </w:rPr>
        <w:t xml:space="preserve">місту екстрацелюлярного матриксу в інтерстиції стінки шлуночків у вигляді колагену. Ці зміни призводять до розвитку жорсткості шлуночків та виникнення </w:t>
      </w:r>
      <w:r w:rsidR="001225FC" w:rsidRPr="00A03291">
        <w:rPr>
          <w:rFonts w:ascii="Times New Roman" w:hAnsi="Times New Roman" w:cs="Times New Roman"/>
          <w:sz w:val="28"/>
          <w:szCs w:val="28"/>
          <w:lang w:val="uk-UA"/>
        </w:rPr>
        <w:t xml:space="preserve">діастолічної </w:t>
      </w:r>
      <w:r w:rsidR="001225FC" w:rsidRPr="00CA04D8">
        <w:rPr>
          <w:rFonts w:ascii="Times New Roman" w:hAnsi="Times New Roman" w:cs="Times New Roman"/>
          <w:sz w:val="28"/>
          <w:szCs w:val="28"/>
          <w:lang w:val="uk-UA"/>
        </w:rPr>
        <w:t>дисфункції [</w:t>
      </w:r>
      <w:r w:rsidR="002B600D" w:rsidRPr="00CA04D8">
        <w:rPr>
          <w:rFonts w:ascii="Times New Roman" w:hAnsi="Times New Roman" w:cs="Times New Roman"/>
          <w:sz w:val="28"/>
          <w:szCs w:val="28"/>
          <w:lang w:val="uk-UA"/>
        </w:rPr>
        <w:t>85</w:t>
      </w:r>
      <w:r w:rsidR="001225FC" w:rsidRPr="00CA04D8">
        <w:rPr>
          <w:rFonts w:ascii="Times New Roman" w:hAnsi="Times New Roman" w:cs="Times New Roman"/>
          <w:sz w:val="28"/>
          <w:szCs w:val="28"/>
          <w:lang w:val="uk-UA"/>
        </w:rPr>
        <w:t>].</w:t>
      </w:r>
    </w:p>
    <w:p w:rsidR="004148EF" w:rsidRDefault="001225FC" w:rsidP="00E31E9C">
      <w:pPr>
        <w:spacing w:after="0" w:line="360" w:lineRule="auto"/>
        <w:ind w:firstLine="708"/>
        <w:jc w:val="both"/>
        <w:rPr>
          <w:rFonts w:ascii="Arial" w:hAnsi="Arial" w:cs="Arial"/>
          <w:color w:val="000000"/>
          <w:sz w:val="28"/>
          <w:szCs w:val="28"/>
          <w:shd w:val="clear" w:color="auto" w:fill="FFFFFF"/>
          <w:lang w:val="uk-UA"/>
        </w:rPr>
      </w:pPr>
      <w:r w:rsidRPr="00A03291">
        <w:rPr>
          <w:rFonts w:ascii="Times New Roman" w:hAnsi="Times New Roman" w:cs="Times New Roman"/>
          <w:sz w:val="28"/>
          <w:szCs w:val="28"/>
          <w:lang w:val="uk-UA"/>
        </w:rPr>
        <w:t xml:space="preserve"> </w:t>
      </w:r>
      <w:r w:rsidRPr="00CC442F">
        <w:rPr>
          <w:rFonts w:ascii="Times New Roman" w:hAnsi="Times New Roman" w:cs="Times New Roman"/>
          <w:sz w:val="28"/>
          <w:szCs w:val="28"/>
          <w:lang w:val="uk-UA"/>
        </w:rPr>
        <w:t xml:space="preserve">Інші механізми негативного впливу на процеси релаксації серця </w:t>
      </w:r>
      <w:r w:rsidR="00E27CC3" w:rsidRPr="00E27CC3">
        <w:rPr>
          <w:rFonts w:ascii="Times New Roman" w:hAnsi="Times New Roman" w:cs="Times New Roman"/>
          <w:sz w:val="28"/>
          <w:szCs w:val="28"/>
          <w:lang w:val="uk-UA"/>
        </w:rPr>
        <w:t xml:space="preserve">           </w:t>
      </w:r>
      <w:r w:rsidR="00E93C36">
        <w:rPr>
          <w:rFonts w:ascii="Times New Roman" w:hAnsi="Times New Roman" w:cs="Times New Roman"/>
          <w:sz w:val="28"/>
          <w:szCs w:val="28"/>
          <w:lang w:val="uk-UA"/>
        </w:rPr>
        <w:t xml:space="preserve">у хворих на </w:t>
      </w:r>
      <w:r w:rsidRPr="00CC442F">
        <w:rPr>
          <w:rFonts w:ascii="Times New Roman" w:hAnsi="Times New Roman" w:cs="Times New Roman"/>
          <w:sz w:val="28"/>
          <w:szCs w:val="28"/>
          <w:lang w:val="uk-UA"/>
        </w:rPr>
        <w:t>ЦД зумовле</w:t>
      </w:r>
      <w:r w:rsidR="003E2261">
        <w:rPr>
          <w:rFonts w:ascii="Times New Roman" w:hAnsi="Times New Roman" w:cs="Times New Roman"/>
          <w:sz w:val="28"/>
          <w:szCs w:val="28"/>
          <w:lang w:val="uk-UA"/>
        </w:rPr>
        <w:t>ні зміною метаболізму жирних кислот</w:t>
      </w:r>
      <w:r w:rsidR="002A7CC4">
        <w:rPr>
          <w:rFonts w:ascii="Times New Roman" w:hAnsi="Times New Roman" w:cs="Times New Roman"/>
          <w:sz w:val="28"/>
          <w:szCs w:val="28"/>
          <w:lang w:val="uk-UA"/>
        </w:rPr>
        <w:t xml:space="preserve"> </w:t>
      </w:r>
      <w:r w:rsidR="00654168">
        <w:rPr>
          <w:rFonts w:ascii="Times New Roman" w:hAnsi="Times New Roman" w:cs="Times New Roman"/>
          <w:sz w:val="28"/>
          <w:szCs w:val="28"/>
          <w:lang w:val="uk-UA"/>
        </w:rPr>
        <w:t xml:space="preserve">                         </w:t>
      </w:r>
      <w:r w:rsidR="002A7CC4">
        <w:rPr>
          <w:rFonts w:ascii="Times New Roman" w:hAnsi="Times New Roman" w:cs="Times New Roman"/>
          <w:sz w:val="28"/>
          <w:szCs w:val="28"/>
          <w:lang w:val="uk-UA"/>
        </w:rPr>
        <w:t>із</w:t>
      </w:r>
      <w:r w:rsidR="00F55BAC">
        <w:rPr>
          <w:rFonts w:ascii="Times New Roman" w:hAnsi="Times New Roman" w:cs="Times New Roman"/>
          <w:sz w:val="28"/>
          <w:szCs w:val="28"/>
          <w:lang w:val="uk-UA"/>
        </w:rPr>
        <w:t xml:space="preserve"> накопиченням </w:t>
      </w:r>
      <w:r w:rsidR="00E93C36">
        <w:rPr>
          <w:rFonts w:ascii="Times New Roman" w:hAnsi="Times New Roman" w:cs="Times New Roman"/>
          <w:sz w:val="28"/>
          <w:szCs w:val="28"/>
          <w:lang w:val="uk-UA"/>
        </w:rPr>
        <w:t xml:space="preserve">кінцевих продуктів глікозилювання </w:t>
      </w:r>
      <w:r w:rsidR="00F55BAC">
        <w:rPr>
          <w:rFonts w:ascii="Times New Roman" w:hAnsi="Times New Roman" w:cs="Times New Roman"/>
          <w:sz w:val="28"/>
          <w:szCs w:val="28"/>
          <w:lang w:val="uk-UA"/>
        </w:rPr>
        <w:t>у</w:t>
      </w:r>
      <w:r w:rsidR="00293F39">
        <w:rPr>
          <w:rFonts w:ascii="Times New Roman" w:hAnsi="Times New Roman" w:cs="Times New Roman"/>
          <w:sz w:val="28"/>
          <w:szCs w:val="28"/>
          <w:lang w:val="uk-UA"/>
        </w:rPr>
        <w:t xml:space="preserve"> міокарді, що </w:t>
      </w:r>
      <w:r w:rsidR="00293F39">
        <w:rPr>
          <w:rFonts w:ascii="Times New Roman" w:hAnsi="Times New Roman" w:cs="Times New Roman"/>
          <w:sz w:val="28"/>
          <w:szCs w:val="28"/>
          <w:lang w:val="uk-UA"/>
        </w:rPr>
        <w:lastRenderedPageBreak/>
        <w:t>призвод</w:t>
      </w:r>
      <w:r w:rsidR="00293F39" w:rsidRPr="00293F39">
        <w:rPr>
          <w:rFonts w:ascii="Times New Roman" w:hAnsi="Times New Roman" w:cs="Times New Roman"/>
          <w:sz w:val="28"/>
          <w:szCs w:val="28"/>
          <w:lang w:val="uk-UA"/>
        </w:rPr>
        <w:t>и</w:t>
      </w:r>
      <w:r w:rsidRPr="00CC442F">
        <w:rPr>
          <w:rFonts w:ascii="Times New Roman" w:hAnsi="Times New Roman" w:cs="Times New Roman"/>
          <w:sz w:val="28"/>
          <w:szCs w:val="28"/>
          <w:lang w:val="uk-UA"/>
        </w:rPr>
        <w:t xml:space="preserve">ть до розвитку ригідності серцевого м’яза. </w:t>
      </w:r>
      <w:r w:rsidR="00E93C36">
        <w:rPr>
          <w:rFonts w:ascii="Times New Roman" w:hAnsi="Times New Roman" w:cs="Times New Roman"/>
          <w:sz w:val="28"/>
          <w:szCs w:val="28"/>
          <w:lang w:val="uk-UA"/>
        </w:rPr>
        <w:t xml:space="preserve">Прогресування </w:t>
      </w:r>
      <w:r w:rsidR="00E93C36" w:rsidRPr="00E93C36">
        <w:rPr>
          <w:rFonts w:ascii="Times New Roman" w:hAnsi="Times New Roman" w:cs="Times New Roman"/>
          <w:sz w:val="28"/>
          <w:szCs w:val="28"/>
          <w:lang w:val="uk-UA"/>
        </w:rPr>
        <w:t xml:space="preserve">діастолічної дисфункції </w:t>
      </w:r>
      <w:r w:rsidR="00E93C36">
        <w:rPr>
          <w:rFonts w:ascii="Times New Roman" w:hAnsi="Times New Roman" w:cs="Times New Roman"/>
          <w:sz w:val="28"/>
          <w:szCs w:val="28"/>
          <w:lang w:val="uk-UA"/>
        </w:rPr>
        <w:t>пов’язане з поглибленням</w:t>
      </w:r>
      <w:r w:rsidRPr="00CC442F">
        <w:rPr>
          <w:rFonts w:ascii="Times New Roman" w:hAnsi="Times New Roman" w:cs="Times New Roman"/>
          <w:sz w:val="28"/>
          <w:szCs w:val="28"/>
          <w:lang w:val="uk-UA"/>
        </w:rPr>
        <w:t xml:space="preserve"> структурно-функціонального ремоделювання ЛШ, змінами його об’ємних показників та контрактильної здатності, підвищення</w:t>
      </w:r>
      <w:r w:rsidR="00053322">
        <w:rPr>
          <w:rFonts w:ascii="Times New Roman" w:hAnsi="Times New Roman" w:cs="Times New Roman"/>
          <w:sz w:val="28"/>
          <w:szCs w:val="28"/>
          <w:lang w:val="uk-UA"/>
        </w:rPr>
        <w:t>м</w:t>
      </w:r>
      <w:r w:rsidRPr="00CC442F">
        <w:rPr>
          <w:rFonts w:ascii="Times New Roman" w:hAnsi="Times New Roman" w:cs="Times New Roman"/>
          <w:sz w:val="28"/>
          <w:szCs w:val="28"/>
          <w:lang w:val="uk-UA"/>
        </w:rPr>
        <w:t xml:space="preserve"> жорсткості міокарда</w:t>
      </w:r>
      <w:r w:rsidR="00E93C36">
        <w:rPr>
          <w:rFonts w:ascii="Times New Roman" w:hAnsi="Times New Roman" w:cs="Times New Roman"/>
          <w:sz w:val="28"/>
          <w:szCs w:val="28"/>
          <w:lang w:val="uk-UA"/>
        </w:rPr>
        <w:t xml:space="preserve"> </w:t>
      </w:r>
      <w:r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86</w:t>
      </w:r>
      <w:r w:rsidRPr="00CA04D8">
        <w:rPr>
          <w:rFonts w:ascii="Times New Roman" w:hAnsi="Times New Roman" w:cs="Times New Roman"/>
          <w:sz w:val="28"/>
          <w:szCs w:val="28"/>
          <w:lang w:val="uk-UA"/>
        </w:rPr>
        <w:t>].</w:t>
      </w:r>
      <w:r w:rsidRPr="00CC442F">
        <w:rPr>
          <w:rFonts w:ascii="Arial" w:hAnsi="Arial" w:cs="Arial"/>
          <w:color w:val="000000"/>
          <w:sz w:val="28"/>
          <w:szCs w:val="28"/>
          <w:shd w:val="clear" w:color="auto" w:fill="FFFFFF"/>
          <w:lang w:val="uk-UA"/>
        </w:rPr>
        <w:t xml:space="preserve"> </w:t>
      </w:r>
    </w:p>
    <w:p w:rsidR="001225FC" w:rsidRPr="00A03291" w:rsidRDefault="00620FC0" w:rsidP="00E31E9C">
      <w:pPr>
        <w:spacing w:after="0" w:line="360" w:lineRule="auto"/>
        <w:ind w:firstLine="708"/>
        <w:jc w:val="both"/>
        <w:rPr>
          <w:rFonts w:ascii="Times New Roman" w:hAnsi="Times New Roman" w:cs="Times New Roman"/>
          <w:sz w:val="28"/>
          <w:szCs w:val="28"/>
          <w:lang w:val="uk-UA"/>
        </w:rPr>
      </w:pPr>
      <w:r w:rsidRPr="00620FC0">
        <w:rPr>
          <w:rFonts w:ascii="Times New Roman" w:hAnsi="Times New Roman" w:cs="Times New Roman"/>
          <w:sz w:val="28"/>
          <w:szCs w:val="28"/>
          <w:lang w:val="uk-UA"/>
        </w:rPr>
        <w:t>К</w:t>
      </w:r>
      <w:r w:rsidR="001225FC" w:rsidRPr="00CC442F">
        <w:rPr>
          <w:rFonts w:ascii="Times New Roman" w:hAnsi="Times New Roman" w:cs="Times New Roman"/>
          <w:sz w:val="28"/>
          <w:szCs w:val="28"/>
          <w:lang w:val="uk-UA"/>
        </w:rPr>
        <w:t>оронар</w:t>
      </w:r>
      <w:r>
        <w:rPr>
          <w:rFonts w:ascii="Times New Roman" w:hAnsi="Times New Roman" w:cs="Times New Roman"/>
          <w:sz w:val="28"/>
          <w:szCs w:val="28"/>
          <w:lang w:val="uk-UA"/>
        </w:rPr>
        <w:t>ний атеросклероз,</w:t>
      </w:r>
      <w:r w:rsidR="001225FC" w:rsidRPr="00CC442F">
        <w:rPr>
          <w:rFonts w:ascii="Times New Roman" w:hAnsi="Times New Roman" w:cs="Times New Roman"/>
          <w:sz w:val="28"/>
          <w:szCs w:val="28"/>
          <w:lang w:val="uk-UA"/>
        </w:rPr>
        <w:t xml:space="preserve"> гі</w:t>
      </w:r>
      <w:r>
        <w:rPr>
          <w:rFonts w:ascii="Times New Roman" w:hAnsi="Times New Roman" w:cs="Times New Roman"/>
          <w:sz w:val="28"/>
          <w:szCs w:val="28"/>
          <w:lang w:val="uk-UA"/>
        </w:rPr>
        <w:t>пертрофія ЛШ</w:t>
      </w:r>
      <w:r w:rsidR="00F55BAC">
        <w:rPr>
          <w:rFonts w:ascii="Times New Roman" w:hAnsi="Times New Roman" w:cs="Times New Roman"/>
          <w:sz w:val="28"/>
          <w:szCs w:val="28"/>
          <w:lang w:val="uk-UA"/>
        </w:rPr>
        <w:t xml:space="preserve"> </w:t>
      </w:r>
      <w:r>
        <w:rPr>
          <w:rFonts w:ascii="Times New Roman" w:hAnsi="Times New Roman" w:cs="Times New Roman"/>
          <w:sz w:val="28"/>
          <w:szCs w:val="28"/>
          <w:lang w:val="uk-UA"/>
        </w:rPr>
        <w:t>пов’язані</w:t>
      </w:r>
      <w:r w:rsidR="001225FC" w:rsidRPr="00CC442F">
        <w:rPr>
          <w:rFonts w:ascii="Times New Roman" w:hAnsi="Times New Roman" w:cs="Times New Roman"/>
          <w:sz w:val="28"/>
          <w:szCs w:val="28"/>
          <w:lang w:val="uk-UA"/>
        </w:rPr>
        <w:t xml:space="preserve"> </w:t>
      </w:r>
      <w:r w:rsidR="00F55BAC">
        <w:rPr>
          <w:rFonts w:ascii="Times New Roman" w:hAnsi="Times New Roman" w:cs="Times New Roman"/>
          <w:sz w:val="28"/>
          <w:szCs w:val="28"/>
          <w:lang w:val="uk-UA"/>
        </w:rPr>
        <w:t>і</w:t>
      </w:r>
      <w:r w:rsidR="001225FC" w:rsidRPr="00CC442F">
        <w:rPr>
          <w:rFonts w:ascii="Times New Roman" w:hAnsi="Times New Roman" w:cs="Times New Roman"/>
          <w:sz w:val="28"/>
          <w:szCs w:val="28"/>
          <w:lang w:val="uk-UA"/>
        </w:rPr>
        <w:t>з фіброзом</w:t>
      </w:r>
      <w:r w:rsidR="004148EF">
        <w:rPr>
          <w:rFonts w:ascii="Times New Roman" w:hAnsi="Times New Roman" w:cs="Times New Roman"/>
          <w:sz w:val="28"/>
          <w:szCs w:val="28"/>
          <w:lang w:val="uk-UA"/>
        </w:rPr>
        <w:t>. Хронічне зап</w:t>
      </w:r>
      <w:r>
        <w:rPr>
          <w:rFonts w:ascii="Times New Roman" w:hAnsi="Times New Roman" w:cs="Times New Roman"/>
          <w:sz w:val="28"/>
          <w:szCs w:val="28"/>
          <w:lang w:val="uk-UA"/>
        </w:rPr>
        <w:t>алення сприяє розвитку фіброзу, призводячи</w:t>
      </w:r>
      <w:r w:rsidR="004148EF">
        <w:rPr>
          <w:rFonts w:ascii="Times New Roman" w:hAnsi="Times New Roman" w:cs="Times New Roman"/>
          <w:sz w:val="28"/>
          <w:szCs w:val="28"/>
          <w:lang w:val="uk-UA"/>
        </w:rPr>
        <w:t xml:space="preserve"> до пошкодження епітеліальних і ендотеліальних клітин з наступним посиленим вивільненням</w:t>
      </w:r>
      <w:r w:rsidR="00222B4D">
        <w:rPr>
          <w:rFonts w:ascii="Times New Roman" w:hAnsi="Times New Roman" w:cs="Times New Roman"/>
          <w:sz w:val="28"/>
          <w:szCs w:val="28"/>
          <w:lang w:val="uk-UA"/>
        </w:rPr>
        <w:t xml:space="preserve"> макрофагів та</w:t>
      </w:r>
      <w:r w:rsidR="004148EF">
        <w:rPr>
          <w:rFonts w:ascii="Times New Roman" w:hAnsi="Times New Roman" w:cs="Times New Roman"/>
          <w:sz w:val="28"/>
          <w:szCs w:val="28"/>
          <w:lang w:val="uk-UA"/>
        </w:rPr>
        <w:t xml:space="preserve"> медіаторів запал</w:t>
      </w:r>
      <w:r w:rsidR="00A16E37">
        <w:rPr>
          <w:rFonts w:ascii="Times New Roman" w:hAnsi="Times New Roman" w:cs="Times New Roman"/>
          <w:sz w:val="28"/>
          <w:szCs w:val="28"/>
          <w:lang w:val="uk-UA"/>
        </w:rPr>
        <w:t>ення, що включають і цитокіни, о</w:t>
      </w:r>
      <w:r w:rsidR="004148EF">
        <w:rPr>
          <w:rFonts w:ascii="Times New Roman" w:hAnsi="Times New Roman" w:cs="Times New Roman"/>
          <w:sz w:val="28"/>
          <w:szCs w:val="28"/>
          <w:lang w:val="uk-UA"/>
        </w:rPr>
        <w:t>дним із них є ФНП-ɑ</w:t>
      </w:r>
      <w:r w:rsidR="00A16E37">
        <w:rPr>
          <w:rFonts w:ascii="Times New Roman" w:hAnsi="Times New Roman" w:cs="Times New Roman"/>
          <w:sz w:val="28"/>
          <w:szCs w:val="28"/>
          <w:lang w:val="uk-UA"/>
        </w:rPr>
        <w:t>. Відбувається активація ефекторних клітин, які активують процес фіброгенезу</w:t>
      </w:r>
      <w:r w:rsidR="003E2261">
        <w:rPr>
          <w:rFonts w:ascii="Times New Roman" w:hAnsi="Times New Roman" w:cs="Times New Roman"/>
          <w:sz w:val="28"/>
          <w:szCs w:val="28"/>
          <w:lang w:val="uk-UA"/>
        </w:rPr>
        <w:t>. Під впливом ЕТ-1, АТ-</w:t>
      </w:r>
      <w:r w:rsidR="00A16E37">
        <w:rPr>
          <w:rFonts w:ascii="Times New Roman" w:hAnsi="Times New Roman" w:cs="Times New Roman"/>
          <w:sz w:val="28"/>
          <w:szCs w:val="28"/>
          <w:lang w:val="uk-UA"/>
        </w:rPr>
        <w:t xml:space="preserve">ІІ, </w:t>
      </w:r>
      <w:r w:rsidR="008873F3">
        <w:rPr>
          <w:rFonts w:ascii="Times New Roman" w:hAnsi="Times New Roman" w:cs="Times New Roman"/>
          <w:sz w:val="28"/>
          <w:szCs w:val="28"/>
          <w:lang w:val="uk-UA"/>
        </w:rPr>
        <w:t xml:space="preserve">трансформуючого фактору росту β-1 </w:t>
      </w:r>
      <w:r w:rsidR="00E27CC3" w:rsidRPr="00E27CC3">
        <w:rPr>
          <w:rFonts w:ascii="Times New Roman" w:hAnsi="Times New Roman" w:cs="Times New Roman"/>
          <w:sz w:val="28"/>
          <w:szCs w:val="28"/>
          <w:lang w:val="uk-UA"/>
        </w:rPr>
        <w:t xml:space="preserve">  </w:t>
      </w:r>
      <w:r w:rsidR="008873F3">
        <w:rPr>
          <w:rFonts w:ascii="Times New Roman" w:hAnsi="Times New Roman" w:cs="Times New Roman"/>
          <w:sz w:val="28"/>
          <w:szCs w:val="28"/>
          <w:lang w:val="uk-UA"/>
        </w:rPr>
        <w:t xml:space="preserve">у серці відбувається проліферація і диференціація міофібробластів. </w:t>
      </w:r>
      <w:r>
        <w:rPr>
          <w:rFonts w:ascii="Times New Roman" w:hAnsi="Times New Roman" w:cs="Times New Roman"/>
          <w:sz w:val="28"/>
          <w:szCs w:val="28"/>
          <w:lang w:val="uk-UA"/>
        </w:rPr>
        <w:t>Г</w:t>
      </w:r>
      <w:r w:rsidR="008873F3">
        <w:rPr>
          <w:rFonts w:ascii="Times New Roman" w:hAnsi="Times New Roman" w:cs="Times New Roman"/>
          <w:sz w:val="28"/>
          <w:szCs w:val="28"/>
          <w:lang w:val="uk-UA"/>
        </w:rPr>
        <w:t xml:space="preserve">іпертрофія серцевих </w:t>
      </w:r>
      <w:r>
        <w:rPr>
          <w:rFonts w:ascii="Times New Roman" w:hAnsi="Times New Roman" w:cs="Times New Roman"/>
          <w:sz w:val="28"/>
          <w:szCs w:val="28"/>
          <w:lang w:val="uk-UA"/>
        </w:rPr>
        <w:t xml:space="preserve">міозитів є однією </w:t>
      </w:r>
      <w:r w:rsidRPr="00620FC0">
        <w:rPr>
          <w:rFonts w:ascii="Times New Roman" w:hAnsi="Times New Roman" w:cs="Times New Roman"/>
          <w:sz w:val="28"/>
          <w:szCs w:val="28"/>
          <w:lang w:val="uk-UA"/>
        </w:rPr>
        <w:t>із характеристик міокардіофіброзу, який лежить в основі порушення функції діастоли</w:t>
      </w:r>
      <w:r w:rsidR="001225FC" w:rsidRPr="00CC442F">
        <w:rPr>
          <w:rFonts w:ascii="Times New Roman" w:hAnsi="Times New Roman" w:cs="Times New Roman"/>
          <w:sz w:val="28"/>
          <w:szCs w:val="28"/>
          <w:lang w:val="uk-UA"/>
        </w:rPr>
        <w:t xml:space="preserve"> </w:t>
      </w:r>
      <w:r w:rsidR="001225FC"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87</w:t>
      </w:r>
      <w:r w:rsidR="001225FC" w:rsidRPr="00CA04D8">
        <w:rPr>
          <w:rFonts w:ascii="Times New Roman" w:hAnsi="Times New Roman" w:cs="Times New Roman"/>
          <w:sz w:val="28"/>
          <w:szCs w:val="28"/>
          <w:lang w:val="uk-UA"/>
        </w:rPr>
        <w:t>].</w:t>
      </w:r>
    </w:p>
    <w:p w:rsidR="001225FC" w:rsidRPr="00442FBC" w:rsidRDefault="001225FC" w:rsidP="00442FBC">
      <w:pPr>
        <w:spacing w:after="0" w:line="360" w:lineRule="auto"/>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ab/>
      </w:r>
      <w:r w:rsidR="00620FC0">
        <w:rPr>
          <w:rFonts w:ascii="Times New Roman" w:hAnsi="Times New Roman" w:cs="Times New Roman"/>
          <w:sz w:val="28"/>
          <w:szCs w:val="28"/>
          <w:lang w:val="uk-UA"/>
        </w:rPr>
        <w:t>У пацієнтів</w:t>
      </w:r>
      <w:r w:rsidR="00657D40">
        <w:rPr>
          <w:rFonts w:ascii="Times New Roman" w:hAnsi="Times New Roman" w:cs="Times New Roman"/>
          <w:sz w:val="28"/>
          <w:szCs w:val="28"/>
          <w:lang w:val="uk-UA"/>
        </w:rPr>
        <w:t xml:space="preserve"> із АГ та ЦД діастолічна </w:t>
      </w:r>
      <w:r w:rsidR="00620FC0">
        <w:rPr>
          <w:rFonts w:ascii="Times New Roman" w:hAnsi="Times New Roman" w:cs="Times New Roman"/>
          <w:sz w:val="28"/>
          <w:szCs w:val="28"/>
          <w:lang w:val="uk-UA"/>
        </w:rPr>
        <w:t xml:space="preserve">дисфункція зустрічається </w:t>
      </w:r>
      <w:r w:rsidR="00E27CC3" w:rsidRPr="00E27CC3">
        <w:rPr>
          <w:rFonts w:ascii="Times New Roman" w:hAnsi="Times New Roman" w:cs="Times New Roman"/>
          <w:sz w:val="28"/>
          <w:szCs w:val="28"/>
          <w:lang w:val="uk-UA"/>
        </w:rPr>
        <w:t xml:space="preserve">                </w:t>
      </w:r>
      <w:r w:rsidR="00620FC0">
        <w:rPr>
          <w:rFonts w:ascii="Times New Roman" w:hAnsi="Times New Roman" w:cs="Times New Roman"/>
          <w:sz w:val="28"/>
          <w:szCs w:val="28"/>
          <w:lang w:val="uk-UA"/>
        </w:rPr>
        <w:t>із більшою частотою</w:t>
      </w:r>
      <w:r w:rsidR="00657D40">
        <w:rPr>
          <w:rFonts w:ascii="Times New Roman" w:hAnsi="Times New Roman" w:cs="Times New Roman"/>
          <w:sz w:val="28"/>
          <w:szCs w:val="28"/>
          <w:lang w:val="uk-UA"/>
        </w:rPr>
        <w:t>, ніж у хворих із однією АГ [</w:t>
      </w:r>
      <w:r w:rsidR="002B600D" w:rsidRPr="00CA04D8">
        <w:rPr>
          <w:rFonts w:ascii="Times New Roman" w:hAnsi="Times New Roman" w:cs="Times New Roman"/>
          <w:sz w:val="28"/>
          <w:szCs w:val="28"/>
          <w:lang w:val="uk-UA"/>
        </w:rPr>
        <w:t>88</w:t>
      </w:r>
      <w:r w:rsidR="00657D40" w:rsidRPr="00CA04D8">
        <w:rPr>
          <w:rFonts w:ascii="Times New Roman" w:hAnsi="Times New Roman" w:cs="Times New Roman"/>
          <w:sz w:val="28"/>
          <w:szCs w:val="28"/>
          <w:lang w:val="uk-UA"/>
        </w:rPr>
        <w:t>]</w:t>
      </w:r>
      <w:r w:rsidR="00657D40" w:rsidRPr="00657D40">
        <w:rPr>
          <w:rFonts w:ascii="Times New Roman" w:hAnsi="Times New Roman" w:cs="Times New Roman"/>
          <w:sz w:val="28"/>
          <w:szCs w:val="28"/>
          <w:lang w:val="uk-UA"/>
        </w:rPr>
        <w:t>.</w:t>
      </w:r>
      <w:r w:rsidR="00657D40" w:rsidRPr="00F051A4">
        <w:rPr>
          <w:rFonts w:ascii="Times New Roman" w:hAnsi="Times New Roman" w:cs="Times New Roman"/>
          <w:sz w:val="28"/>
          <w:szCs w:val="28"/>
          <w:lang w:val="uk-UA"/>
        </w:rPr>
        <w:t xml:space="preserve"> </w:t>
      </w:r>
      <w:r w:rsidR="00F051A4">
        <w:rPr>
          <w:rFonts w:ascii="Times New Roman" w:hAnsi="Times New Roman" w:cs="Times New Roman"/>
          <w:sz w:val="28"/>
          <w:szCs w:val="28"/>
          <w:lang w:val="uk-UA"/>
        </w:rPr>
        <w:t>Хворим</w:t>
      </w:r>
      <w:r w:rsidR="00657D40">
        <w:rPr>
          <w:rFonts w:ascii="Times New Roman" w:hAnsi="Times New Roman" w:cs="Times New Roman"/>
          <w:sz w:val="28"/>
          <w:szCs w:val="28"/>
          <w:lang w:val="uk-UA"/>
        </w:rPr>
        <w:t xml:space="preserve"> </w:t>
      </w:r>
      <w:r w:rsidR="00D50B73">
        <w:rPr>
          <w:rFonts w:ascii="Times New Roman" w:hAnsi="Times New Roman" w:cs="Times New Roman"/>
          <w:sz w:val="28"/>
          <w:szCs w:val="28"/>
          <w:lang w:val="uk-UA"/>
        </w:rPr>
        <w:t xml:space="preserve">                       </w:t>
      </w:r>
      <w:r w:rsidR="00620FC0">
        <w:rPr>
          <w:rFonts w:ascii="Times New Roman" w:hAnsi="Times New Roman" w:cs="Times New Roman"/>
          <w:sz w:val="28"/>
          <w:szCs w:val="28"/>
          <w:lang w:val="uk-UA"/>
        </w:rPr>
        <w:t xml:space="preserve">на </w:t>
      </w:r>
      <w:r w:rsidR="00657D40">
        <w:rPr>
          <w:rFonts w:ascii="Times New Roman" w:hAnsi="Times New Roman" w:cs="Times New Roman"/>
          <w:sz w:val="28"/>
          <w:szCs w:val="28"/>
          <w:lang w:val="uk-UA"/>
        </w:rPr>
        <w:t xml:space="preserve">ЦД 2-го типу </w:t>
      </w:r>
      <w:r w:rsidR="00F051A4">
        <w:rPr>
          <w:rFonts w:ascii="Times New Roman" w:hAnsi="Times New Roman" w:cs="Times New Roman"/>
          <w:sz w:val="28"/>
          <w:szCs w:val="28"/>
          <w:lang w:val="uk-UA"/>
        </w:rPr>
        <w:t xml:space="preserve">притаманна дисфункція ЛШ навіть за відсутності супутніх ССЗ </w:t>
      </w:r>
      <w:r w:rsidR="00F051A4"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89</w:t>
      </w:r>
      <w:r w:rsidR="00F051A4" w:rsidRPr="00CA04D8">
        <w:rPr>
          <w:rFonts w:ascii="Times New Roman" w:hAnsi="Times New Roman" w:cs="Times New Roman"/>
          <w:sz w:val="28"/>
          <w:szCs w:val="28"/>
          <w:lang w:val="uk-UA"/>
        </w:rPr>
        <w:t>].</w:t>
      </w:r>
    </w:p>
    <w:p w:rsidR="00242D24" w:rsidRDefault="001225FC" w:rsidP="009E73C4">
      <w:pPr>
        <w:autoSpaceDE w:val="0"/>
        <w:autoSpaceDN w:val="0"/>
        <w:adjustRightInd w:val="0"/>
        <w:spacing w:after="0" w:line="360" w:lineRule="auto"/>
        <w:ind w:firstLine="708"/>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ab/>
      </w:r>
      <w:r w:rsidR="00FA5AD2">
        <w:rPr>
          <w:rFonts w:ascii="Times New Roman" w:hAnsi="Times New Roman" w:cs="Times New Roman"/>
          <w:sz w:val="28"/>
          <w:szCs w:val="28"/>
          <w:lang w:val="uk-UA"/>
        </w:rPr>
        <w:t xml:space="preserve">Частота гіперурикемії </w:t>
      </w:r>
      <w:r w:rsidR="00620FC0">
        <w:rPr>
          <w:rFonts w:ascii="Times New Roman" w:hAnsi="Times New Roman" w:cs="Times New Roman"/>
          <w:sz w:val="28"/>
          <w:szCs w:val="28"/>
          <w:lang w:val="uk-UA"/>
        </w:rPr>
        <w:t xml:space="preserve">у пацієнтів </w:t>
      </w:r>
      <w:r w:rsidR="00FA5AD2">
        <w:rPr>
          <w:rFonts w:ascii="Times New Roman" w:hAnsi="Times New Roman" w:cs="Times New Roman"/>
          <w:sz w:val="28"/>
          <w:szCs w:val="28"/>
          <w:lang w:val="uk-UA"/>
        </w:rPr>
        <w:t>із ЦД 2-го типу складає 30 % [</w:t>
      </w:r>
      <w:r w:rsidR="002B600D" w:rsidRPr="00CA04D8">
        <w:rPr>
          <w:rFonts w:ascii="Times New Roman" w:hAnsi="Times New Roman" w:cs="Times New Roman"/>
          <w:sz w:val="28"/>
          <w:szCs w:val="28"/>
          <w:lang w:val="uk-UA"/>
        </w:rPr>
        <w:t>90</w:t>
      </w:r>
      <w:r w:rsidR="00FA5AD2" w:rsidRPr="00CA04D8">
        <w:rPr>
          <w:rFonts w:ascii="Times New Roman" w:hAnsi="Times New Roman" w:cs="Times New Roman"/>
          <w:sz w:val="28"/>
          <w:szCs w:val="28"/>
          <w:lang w:val="uk-UA"/>
        </w:rPr>
        <w:t>].</w:t>
      </w:r>
      <w:r w:rsidR="00FA5AD2">
        <w:rPr>
          <w:rFonts w:ascii="Times New Roman" w:hAnsi="Times New Roman" w:cs="Times New Roman"/>
          <w:sz w:val="28"/>
          <w:szCs w:val="28"/>
          <w:lang w:val="uk-UA"/>
        </w:rPr>
        <w:t xml:space="preserve"> </w:t>
      </w:r>
      <w:r w:rsidR="00E27CC3" w:rsidRPr="00E27CC3">
        <w:rPr>
          <w:rFonts w:ascii="Times New Roman" w:hAnsi="Times New Roman" w:cs="Times New Roman"/>
          <w:sz w:val="28"/>
          <w:szCs w:val="28"/>
          <w:lang w:val="uk-UA"/>
        </w:rPr>
        <w:t xml:space="preserve">    </w:t>
      </w:r>
      <w:r w:rsidR="009E73C4">
        <w:rPr>
          <w:rFonts w:ascii="Times New Roman" w:hAnsi="Times New Roman" w:cs="Times New Roman"/>
          <w:sz w:val="28"/>
          <w:szCs w:val="28"/>
          <w:lang w:val="uk-UA"/>
        </w:rPr>
        <w:t xml:space="preserve">У хворих на </w:t>
      </w:r>
      <w:r w:rsidR="007A51F8">
        <w:rPr>
          <w:rFonts w:ascii="Times New Roman" w:hAnsi="Times New Roman" w:cs="Times New Roman"/>
          <w:sz w:val="28"/>
          <w:szCs w:val="28"/>
          <w:lang w:val="uk-UA"/>
        </w:rPr>
        <w:t xml:space="preserve">ЦД </w:t>
      </w:r>
      <w:r w:rsidR="007A51F8" w:rsidRPr="007A51F8">
        <w:rPr>
          <w:rFonts w:ascii="Times New Roman" w:hAnsi="Times New Roman" w:cs="Times New Roman"/>
          <w:sz w:val="28"/>
          <w:szCs w:val="28"/>
          <w:lang w:val="uk-UA"/>
        </w:rPr>
        <w:t>2</w:t>
      </w:r>
      <w:r w:rsidR="009E73C4">
        <w:rPr>
          <w:rFonts w:ascii="Times New Roman" w:hAnsi="Times New Roman" w:cs="Times New Roman"/>
          <w:sz w:val="28"/>
          <w:szCs w:val="28"/>
          <w:lang w:val="uk-UA"/>
        </w:rPr>
        <w:t>-</w:t>
      </w:r>
      <w:r w:rsidR="007A51F8">
        <w:rPr>
          <w:rFonts w:ascii="Times New Roman" w:hAnsi="Times New Roman" w:cs="Times New Roman"/>
          <w:sz w:val="28"/>
          <w:szCs w:val="28"/>
          <w:lang w:val="uk-UA"/>
        </w:rPr>
        <w:t xml:space="preserve">го типу </w:t>
      </w:r>
      <w:r w:rsidR="009E73C4">
        <w:rPr>
          <w:rFonts w:ascii="Times New Roman" w:hAnsi="Times New Roman" w:cs="Times New Roman"/>
          <w:sz w:val="28"/>
          <w:szCs w:val="28"/>
          <w:lang w:val="uk-UA"/>
        </w:rPr>
        <w:t xml:space="preserve">за наявності </w:t>
      </w:r>
      <w:r w:rsidR="00D50B73">
        <w:rPr>
          <w:rFonts w:ascii="Times New Roman" w:hAnsi="Times New Roman" w:cs="Times New Roman"/>
          <w:sz w:val="28"/>
          <w:szCs w:val="28"/>
          <w:lang w:val="uk-UA"/>
        </w:rPr>
        <w:t>підвищеного вмісту сечової кислоти</w:t>
      </w:r>
      <w:r w:rsidR="007A51F8">
        <w:rPr>
          <w:rFonts w:ascii="Times New Roman" w:hAnsi="Times New Roman" w:cs="Times New Roman"/>
          <w:sz w:val="28"/>
          <w:szCs w:val="28"/>
          <w:lang w:val="uk-UA"/>
        </w:rPr>
        <w:t xml:space="preserve"> </w:t>
      </w:r>
      <w:r w:rsidR="007A51F8" w:rsidRPr="007A51F8">
        <w:rPr>
          <w:rFonts w:ascii="Times New Roman" w:hAnsi="Times New Roman" w:cs="Times New Roman"/>
          <w:sz w:val="28"/>
          <w:szCs w:val="28"/>
          <w:lang w:val="uk-UA"/>
        </w:rPr>
        <w:t>відзначаються бі</w:t>
      </w:r>
      <w:r w:rsidR="009E73C4">
        <w:rPr>
          <w:rFonts w:ascii="Times New Roman" w:hAnsi="Times New Roman" w:cs="Times New Roman"/>
          <w:sz w:val="28"/>
          <w:szCs w:val="28"/>
          <w:lang w:val="uk-UA"/>
        </w:rPr>
        <w:t xml:space="preserve">льш виражені порушення процесів </w:t>
      </w:r>
      <w:r w:rsidR="007A51F8">
        <w:rPr>
          <w:rFonts w:ascii="Times New Roman" w:hAnsi="Times New Roman" w:cs="Times New Roman"/>
          <w:sz w:val="28"/>
          <w:szCs w:val="28"/>
          <w:lang w:val="uk-UA"/>
        </w:rPr>
        <w:t xml:space="preserve">релаксації міокарда </w:t>
      </w:r>
      <w:r w:rsidR="00481B6B">
        <w:rPr>
          <w:rFonts w:ascii="Times New Roman" w:hAnsi="Times New Roman" w:cs="Times New Roman"/>
          <w:sz w:val="28"/>
          <w:szCs w:val="28"/>
          <w:lang w:val="uk-UA"/>
        </w:rPr>
        <w:t xml:space="preserve">         </w:t>
      </w:r>
      <w:r w:rsidR="007A51F8">
        <w:rPr>
          <w:rFonts w:ascii="Times New Roman" w:hAnsi="Times New Roman" w:cs="Times New Roman"/>
          <w:sz w:val="28"/>
          <w:szCs w:val="28"/>
          <w:lang w:val="uk-UA"/>
        </w:rPr>
        <w:t>із превалювання</w:t>
      </w:r>
      <w:r w:rsidR="00481B6B">
        <w:rPr>
          <w:rFonts w:ascii="Times New Roman" w:hAnsi="Times New Roman" w:cs="Times New Roman"/>
          <w:sz w:val="28"/>
          <w:szCs w:val="28"/>
          <w:lang w:val="uk-UA"/>
        </w:rPr>
        <w:t>м</w:t>
      </w:r>
      <w:r w:rsidR="007A51F8">
        <w:rPr>
          <w:rFonts w:ascii="Times New Roman" w:hAnsi="Times New Roman" w:cs="Times New Roman"/>
          <w:sz w:val="28"/>
          <w:szCs w:val="28"/>
          <w:lang w:val="uk-UA"/>
        </w:rPr>
        <w:t xml:space="preserve"> діастолічної </w:t>
      </w:r>
      <w:r w:rsidR="007A51F8" w:rsidRPr="007A51F8">
        <w:rPr>
          <w:rFonts w:ascii="Times New Roman" w:hAnsi="Times New Roman" w:cs="Times New Roman"/>
          <w:sz w:val="28"/>
          <w:szCs w:val="28"/>
          <w:lang w:val="uk-UA"/>
        </w:rPr>
        <w:t>ди</w:t>
      </w:r>
      <w:r w:rsidR="003E2261">
        <w:rPr>
          <w:rFonts w:ascii="Times New Roman" w:hAnsi="Times New Roman" w:cs="Times New Roman"/>
          <w:sz w:val="28"/>
          <w:szCs w:val="28"/>
          <w:lang w:val="uk-UA"/>
        </w:rPr>
        <w:t>сфункції ЛШ</w:t>
      </w:r>
      <w:r w:rsidR="007A51F8">
        <w:rPr>
          <w:rFonts w:ascii="Times New Roman" w:hAnsi="Times New Roman" w:cs="Times New Roman"/>
          <w:sz w:val="28"/>
          <w:szCs w:val="28"/>
          <w:lang w:val="uk-UA"/>
        </w:rPr>
        <w:t xml:space="preserve">. Окрім того, гіперурикемія </w:t>
      </w:r>
      <w:r w:rsidR="00481B6B">
        <w:rPr>
          <w:rFonts w:ascii="Times New Roman" w:hAnsi="Times New Roman" w:cs="Times New Roman"/>
          <w:sz w:val="28"/>
          <w:szCs w:val="28"/>
          <w:lang w:val="uk-UA"/>
        </w:rPr>
        <w:t xml:space="preserve">     </w:t>
      </w:r>
      <w:r w:rsidR="007A51F8">
        <w:rPr>
          <w:rFonts w:ascii="Times New Roman" w:hAnsi="Times New Roman" w:cs="Times New Roman"/>
          <w:sz w:val="28"/>
          <w:szCs w:val="28"/>
          <w:lang w:val="uk-UA"/>
        </w:rPr>
        <w:t xml:space="preserve">у </w:t>
      </w:r>
      <w:r w:rsidR="009E73C4">
        <w:rPr>
          <w:rFonts w:ascii="Times New Roman" w:hAnsi="Times New Roman" w:cs="Times New Roman"/>
          <w:sz w:val="28"/>
          <w:szCs w:val="28"/>
          <w:lang w:val="uk-UA"/>
        </w:rPr>
        <w:t xml:space="preserve">пацієнтів </w:t>
      </w:r>
      <w:r w:rsidR="007A51F8">
        <w:rPr>
          <w:rFonts w:ascii="Times New Roman" w:hAnsi="Times New Roman" w:cs="Times New Roman"/>
          <w:sz w:val="28"/>
          <w:szCs w:val="28"/>
          <w:lang w:val="uk-UA"/>
        </w:rPr>
        <w:t>із ЦД 2-го типу характеризувалася вищою частотою розвитку і більш важчим перебігом гіпертонічної хвороби [</w:t>
      </w:r>
      <w:r w:rsidR="002B600D" w:rsidRPr="00CA04D8">
        <w:rPr>
          <w:rFonts w:ascii="Times New Roman" w:hAnsi="Times New Roman" w:cs="Times New Roman"/>
          <w:sz w:val="28"/>
          <w:szCs w:val="28"/>
          <w:lang w:val="uk-UA"/>
        </w:rPr>
        <w:t>91</w:t>
      </w:r>
      <w:r w:rsidR="007A51F8" w:rsidRPr="007A51F8">
        <w:rPr>
          <w:rFonts w:ascii="Times New Roman" w:hAnsi="Times New Roman" w:cs="Times New Roman"/>
          <w:sz w:val="28"/>
          <w:szCs w:val="28"/>
          <w:lang w:val="uk-UA"/>
        </w:rPr>
        <w:t>].</w:t>
      </w:r>
    </w:p>
    <w:p w:rsidR="001225FC" w:rsidRPr="00A03291" w:rsidRDefault="009E73C4" w:rsidP="00FE2B0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E2B01">
        <w:rPr>
          <w:rFonts w:ascii="Times New Roman" w:hAnsi="Times New Roman" w:cs="Times New Roman"/>
          <w:sz w:val="28"/>
          <w:szCs w:val="28"/>
          <w:lang w:val="uk-UA"/>
        </w:rPr>
        <w:t>оява діастолічної дисфункції ЛШ</w:t>
      </w:r>
      <w:r>
        <w:rPr>
          <w:rFonts w:ascii="Times New Roman" w:hAnsi="Times New Roman" w:cs="Times New Roman"/>
          <w:sz w:val="28"/>
          <w:szCs w:val="28"/>
          <w:lang w:val="uk-UA"/>
        </w:rPr>
        <w:t xml:space="preserve"> є н</w:t>
      </w:r>
      <w:r w:rsidRPr="009E73C4">
        <w:rPr>
          <w:rFonts w:ascii="Times New Roman" w:hAnsi="Times New Roman" w:cs="Times New Roman"/>
          <w:sz w:val="28"/>
          <w:szCs w:val="28"/>
          <w:lang w:val="uk-UA"/>
        </w:rPr>
        <w:t xml:space="preserve">айбільш ранньою ознакою ураження міокарда </w:t>
      </w:r>
      <w:r>
        <w:rPr>
          <w:rFonts w:ascii="Times New Roman" w:hAnsi="Times New Roman" w:cs="Times New Roman"/>
          <w:sz w:val="28"/>
          <w:szCs w:val="28"/>
          <w:lang w:val="uk-UA"/>
        </w:rPr>
        <w:t xml:space="preserve">у пацієнтів із </w:t>
      </w:r>
      <w:r w:rsidRPr="009E73C4">
        <w:rPr>
          <w:rFonts w:ascii="Times New Roman" w:hAnsi="Times New Roman" w:cs="Times New Roman"/>
          <w:sz w:val="28"/>
          <w:szCs w:val="28"/>
          <w:lang w:val="uk-UA"/>
        </w:rPr>
        <w:t>ЦД 2-го типу</w:t>
      </w:r>
      <w:r>
        <w:rPr>
          <w:rFonts w:ascii="Times New Roman" w:hAnsi="Times New Roman" w:cs="Times New Roman"/>
          <w:sz w:val="28"/>
          <w:szCs w:val="28"/>
          <w:lang w:val="uk-UA"/>
        </w:rPr>
        <w:t>. Вона</w:t>
      </w:r>
      <w:r w:rsidR="00FE2B01">
        <w:rPr>
          <w:rFonts w:ascii="Times New Roman" w:hAnsi="Times New Roman" w:cs="Times New Roman"/>
          <w:sz w:val="28"/>
          <w:szCs w:val="28"/>
          <w:lang w:val="uk-UA"/>
        </w:rPr>
        <w:t xml:space="preserve"> виявляє</w:t>
      </w:r>
      <w:r w:rsidR="00FE2B01" w:rsidRPr="00FE2B01">
        <w:rPr>
          <w:rFonts w:ascii="Times New Roman" w:hAnsi="Times New Roman" w:cs="Times New Roman"/>
          <w:sz w:val="28"/>
          <w:szCs w:val="28"/>
          <w:lang w:val="uk-UA"/>
        </w:rPr>
        <w:t xml:space="preserve">ться навіть </w:t>
      </w:r>
      <w:r w:rsidR="00133073">
        <w:rPr>
          <w:rFonts w:ascii="Times New Roman" w:hAnsi="Times New Roman" w:cs="Times New Roman"/>
          <w:sz w:val="28"/>
          <w:szCs w:val="28"/>
          <w:lang w:val="uk-UA"/>
        </w:rPr>
        <w:t xml:space="preserve">       </w:t>
      </w:r>
      <w:r w:rsidR="00FE2B01" w:rsidRPr="00FE2B01">
        <w:rPr>
          <w:rFonts w:ascii="Times New Roman" w:hAnsi="Times New Roman" w:cs="Times New Roman"/>
          <w:sz w:val="28"/>
          <w:szCs w:val="28"/>
          <w:lang w:val="uk-UA"/>
        </w:rPr>
        <w:t xml:space="preserve">на фоні компенсації метаболічних процесів. </w:t>
      </w:r>
      <w:r w:rsidR="001225FC" w:rsidRPr="00A03291">
        <w:rPr>
          <w:rFonts w:ascii="Times New Roman" w:hAnsi="Times New Roman" w:cs="Times New Roman"/>
          <w:sz w:val="28"/>
          <w:szCs w:val="28"/>
          <w:lang w:val="uk-UA"/>
        </w:rPr>
        <w:t>Патогенез збільшення жорсткості міокарда пов’язаний із порушенням транспортування кальцію, електролітним дисбалансом, що супроводжуєт</w:t>
      </w:r>
      <w:r w:rsidR="00FE2B01">
        <w:rPr>
          <w:rFonts w:ascii="Times New Roman" w:hAnsi="Times New Roman" w:cs="Times New Roman"/>
          <w:sz w:val="28"/>
          <w:szCs w:val="28"/>
          <w:lang w:val="uk-UA"/>
        </w:rPr>
        <w:t>ься асинхронністю розслаблення</w:t>
      </w:r>
      <w:r w:rsidR="001225FC" w:rsidRPr="00A03291">
        <w:rPr>
          <w:rFonts w:ascii="Times New Roman" w:hAnsi="Times New Roman" w:cs="Times New Roman"/>
          <w:sz w:val="28"/>
          <w:szCs w:val="28"/>
          <w:lang w:val="uk-UA"/>
        </w:rPr>
        <w:t xml:space="preserve">. Важливе значення в цьому процесі надається дезорганізації м’язових волокон гіпертрофованого міокарда. </w:t>
      </w:r>
      <w:r>
        <w:rPr>
          <w:rFonts w:ascii="Times New Roman" w:hAnsi="Times New Roman" w:cs="Times New Roman"/>
          <w:sz w:val="28"/>
          <w:szCs w:val="28"/>
          <w:lang w:val="uk-UA"/>
        </w:rPr>
        <w:t>В</w:t>
      </w:r>
      <w:r w:rsidR="00073A38">
        <w:rPr>
          <w:rFonts w:ascii="Times New Roman" w:hAnsi="Times New Roman" w:cs="Times New Roman"/>
          <w:sz w:val="28"/>
          <w:szCs w:val="28"/>
          <w:lang w:val="uk-UA"/>
        </w:rPr>
        <w:t>ажливим є</w:t>
      </w:r>
      <w:r w:rsidR="001225FC" w:rsidRPr="00A03291">
        <w:rPr>
          <w:rFonts w:ascii="Times New Roman" w:hAnsi="Times New Roman" w:cs="Times New Roman"/>
          <w:sz w:val="28"/>
          <w:szCs w:val="28"/>
          <w:lang w:val="uk-UA"/>
        </w:rPr>
        <w:t xml:space="preserve"> пошук </w:t>
      </w:r>
      <w:r w:rsidR="001225FC" w:rsidRPr="00A03291">
        <w:rPr>
          <w:rFonts w:ascii="Times New Roman" w:hAnsi="Times New Roman" w:cs="Times New Roman"/>
          <w:sz w:val="28"/>
          <w:szCs w:val="28"/>
          <w:lang w:val="uk-UA"/>
        </w:rPr>
        <w:lastRenderedPageBreak/>
        <w:t xml:space="preserve">диференційованих підходів до лікування хворих </w:t>
      </w:r>
      <w:r w:rsidR="003E2261">
        <w:rPr>
          <w:rFonts w:ascii="Times New Roman" w:hAnsi="Times New Roman" w:cs="Times New Roman"/>
          <w:sz w:val="28"/>
          <w:szCs w:val="28"/>
          <w:lang w:val="uk-UA"/>
        </w:rPr>
        <w:t>на</w:t>
      </w:r>
      <w:r w:rsidR="001225FC" w:rsidRPr="00A03291">
        <w:rPr>
          <w:rFonts w:ascii="Times New Roman" w:hAnsi="Times New Roman" w:cs="Times New Roman"/>
          <w:sz w:val="28"/>
          <w:szCs w:val="28"/>
          <w:lang w:val="uk-UA"/>
        </w:rPr>
        <w:t xml:space="preserve"> ЦД 2</w:t>
      </w:r>
      <w:r w:rsidR="00073A38">
        <w:rPr>
          <w:rFonts w:ascii="Times New Roman" w:hAnsi="Times New Roman" w:cs="Times New Roman"/>
          <w:sz w:val="28"/>
          <w:szCs w:val="28"/>
          <w:lang w:val="uk-UA"/>
        </w:rPr>
        <w:t>-го</w:t>
      </w:r>
      <w:r w:rsidR="001225FC" w:rsidRPr="00A03291">
        <w:rPr>
          <w:rFonts w:ascii="Times New Roman" w:hAnsi="Times New Roman" w:cs="Times New Roman"/>
          <w:sz w:val="28"/>
          <w:szCs w:val="28"/>
          <w:lang w:val="uk-UA"/>
        </w:rPr>
        <w:t xml:space="preserve"> типу вже </w:t>
      </w:r>
      <w:r w:rsidR="005D0BC8">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на ранніх стадіях з</w:t>
      </w:r>
      <w:r w:rsidR="00073A38">
        <w:rPr>
          <w:rFonts w:ascii="Times New Roman" w:hAnsi="Times New Roman" w:cs="Times New Roman"/>
          <w:sz w:val="28"/>
          <w:szCs w:val="28"/>
          <w:lang w:val="uk-UA"/>
        </w:rPr>
        <w:t xml:space="preserve">ахворювання </w:t>
      </w:r>
      <w:r w:rsidR="001225FC" w:rsidRPr="0097647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92</w:t>
      </w:r>
      <w:r w:rsidR="001225FC" w:rsidRPr="00CA04D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3B1ECA" w:rsidRDefault="001225FC" w:rsidP="001225FC">
      <w:pPr>
        <w:spacing w:after="0" w:line="360" w:lineRule="auto"/>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ab/>
      </w:r>
      <w:r w:rsidR="009E73C4">
        <w:rPr>
          <w:rFonts w:ascii="Times New Roman" w:hAnsi="Times New Roman" w:cs="Times New Roman"/>
          <w:sz w:val="28"/>
          <w:szCs w:val="28"/>
          <w:lang w:val="uk-UA"/>
        </w:rPr>
        <w:t>П</w:t>
      </w:r>
      <w:r w:rsidRPr="00A03291">
        <w:rPr>
          <w:rFonts w:ascii="Times New Roman" w:hAnsi="Times New Roman" w:cs="Times New Roman"/>
          <w:sz w:val="28"/>
          <w:szCs w:val="28"/>
          <w:lang w:val="uk-UA"/>
        </w:rPr>
        <w:t>орушення</w:t>
      </w:r>
      <w:r w:rsidRPr="000A07EB">
        <w:rPr>
          <w:rFonts w:ascii="Times New Roman" w:hAnsi="Times New Roman" w:cs="Times New Roman"/>
          <w:sz w:val="28"/>
          <w:szCs w:val="28"/>
          <w:lang w:val="uk-UA"/>
        </w:rPr>
        <w:t xml:space="preserve"> функц</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 xml:space="preserve">онального </w:t>
      </w:r>
      <w:r w:rsidRPr="00A03291">
        <w:rPr>
          <w:rFonts w:ascii="Times New Roman" w:hAnsi="Times New Roman" w:cs="Times New Roman"/>
          <w:sz w:val="28"/>
          <w:szCs w:val="28"/>
          <w:lang w:val="uk-UA"/>
        </w:rPr>
        <w:t>стан</w:t>
      </w:r>
      <w:r w:rsidR="003E2261">
        <w:rPr>
          <w:rFonts w:ascii="Times New Roman" w:hAnsi="Times New Roman" w:cs="Times New Roman"/>
          <w:sz w:val="28"/>
          <w:szCs w:val="28"/>
          <w:lang w:val="uk-UA"/>
        </w:rPr>
        <w:t xml:space="preserve">у </w:t>
      </w:r>
      <w:r w:rsidRPr="00A03291">
        <w:rPr>
          <w:rFonts w:ascii="Times New Roman" w:hAnsi="Times New Roman" w:cs="Times New Roman"/>
          <w:sz w:val="28"/>
          <w:szCs w:val="28"/>
          <w:lang w:val="uk-UA"/>
        </w:rPr>
        <w:t>е</w:t>
      </w:r>
      <w:r w:rsidRPr="000A07EB">
        <w:rPr>
          <w:rFonts w:ascii="Times New Roman" w:hAnsi="Times New Roman" w:cs="Times New Roman"/>
          <w:sz w:val="28"/>
          <w:szCs w:val="28"/>
          <w:lang w:val="uk-UA"/>
        </w:rPr>
        <w:t>ндотел</w:t>
      </w:r>
      <w:r w:rsidRPr="00A03291">
        <w:rPr>
          <w:rFonts w:ascii="Times New Roman" w:hAnsi="Times New Roman" w:cs="Times New Roman"/>
          <w:sz w:val="28"/>
          <w:szCs w:val="28"/>
          <w:lang w:val="uk-UA"/>
        </w:rPr>
        <w:t>ію</w:t>
      </w:r>
      <w:r w:rsidRPr="000A07EB">
        <w:rPr>
          <w:rFonts w:ascii="Times New Roman" w:hAnsi="Times New Roman" w:cs="Times New Roman"/>
          <w:sz w:val="28"/>
          <w:szCs w:val="28"/>
          <w:lang w:val="uk-UA"/>
        </w:rPr>
        <w:t>, р</w:t>
      </w:r>
      <w:r w:rsidRPr="00A03291">
        <w:rPr>
          <w:rFonts w:ascii="Times New Roman" w:hAnsi="Times New Roman" w:cs="Times New Roman"/>
          <w:sz w:val="28"/>
          <w:szCs w:val="28"/>
          <w:lang w:val="uk-UA"/>
        </w:rPr>
        <w:t>о</w:t>
      </w:r>
      <w:r w:rsidRPr="000A07EB">
        <w:rPr>
          <w:rFonts w:ascii="Times New Roman" w:hAnsi="Times New Roman" w:cs="Times New Roman"/>
          <w:sz w:val="28"/>
          <w:szCs w:val="28"/>
          <w:lang w:val="uk-UA"/>
        </w:rPr>
        <w:t>зви</w:t>
      </w:r>
      <w:r w:rsidR="00073A38">
        <w:rPr>
          <w:rFonts w:ascii="Times New Roman" w:hAnsi="Times New Roman" w:cs="Times New Roman"/>
          <w:sz w:val="28"/>
          <w:szCs w:val="28"/>
          <w:lang w:val="uk-UA"/>
        </w:rPr>
        <w:t>т</w:t>
      </w:r>
      <w:r w:rsidRPr="00A03291">
        <w:rPr>
          <w:rFonts w:ascii="Times New Roman" w:hAnsi="Times New Roman" w:cs="Times New Roman"/>
          <w:sz w:val="28"/>
          <w:szCs w:val="28"/>
          <w:lang w:val="uk-UA"/>
        </w:rPr>
        <w:t>ок і</w:t>
      </w:r>
      <w:r w:rsidRPr="000A07EB">
        <w:rPr>
          <w:rFonts w:ascii="Times New Roman" w:hAnsi="Times New Roman" w:cs="Times New Roman"/>
          <w:sz w:val="28"/>
          <w:szCs w:val="28"/>
          <w:lang w:val="uk-UA"/>
        </w:rPr>
        <w:t>шем</w:t>
      </w:r>
      <w:r w:rsidRPr="00A03291">
        <w:rPr>
          <w:rFonts w:ascii="Times New Roman" w:hAnsi="Times New Roman" w:cs="Times New Roman"/>
          <w:sz w:val="28"/>
          <w:szCs w:val="28"/>
          <w:lang w:val="uk-UA"/>
        </w:rPr>
        <w:t>ії</w:t>
      </w:r>
      <w:r w:rsidRP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та</w:t>
      </w:r>
      <w:r w:rsidRPr="000A07EB">
        <w:rPr>
          <w:rFonts w:ascii="Times New Roman" w:hAnsi="Times New Roman" w:cs="Times New Roman"/>
          <w:sz w:val="28"/>
          <w:szCs w:val="28"/>
          <w:lang w:val="uk-UA"/>
        </w:rPr>
        <w:t xml:space="preserve"> метабол</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ч</w:t>
      </w:r>
      <w:r w:rsidRPr="00A03291">
        <w:rPr>
          <w:rFonts w:ascii="Times New Roman" w:hAnsi="Times New Roman" w:cs="Times New Roman"/>
          <w:sz w:val="28"/>
          <w:szCs w:val="28"/>
          <w:lang w:val="uk-UA"/>
        </w:rPr>
        <w:t>н</w:t>
      </w:r>
      <w:r w:rsidRPr="000A07EB">
        <w:rPr>
          <w:rFonts w:ascii="Times New Roman" w:hAnsi="Times New Roman" w:cs="Times New Roman"/>
          <w:sz w:val="28"/>
          <w:szCs w:val="28"/>
          <w:lang w:val="uk-UA"/>
        </w:rPr>
        <w:t>их р</w:t>
      </w:r>
      <w:r w:rsidR="0001778C">
        <w:rPr>
          <w:rFonts w:ascii="Times New Roman" w:hAnsi="Times New Roman" w:cs="Times New Roman"/>
          <w:sz w:val="28"/>
          <w:szCs w:val="28"/>
          <w:lang w:val="uk-UA"/>
        </w:rPr>
        <w:t xml:space="preserve">озладів </w:t>
      </w:r>
      <w:r w:rsidRPr="000A07EB">
        <w:rPr>
          <w:rFonts w:ascii="Times New Roman" w:hAnsi="Times New Roman" w:cs="Times New Roman"/>
          <w:sz w:val="28"/>
          <w:szCs w:val="28"/>
          <w:lang w:val="uk-UA"/>
        </w:rPr>
        <w:t>в органах</w:t>
      </w:r>
      <w:r w:rsidRPr="000A07EB">
        <w:rPr>
          <w:rFonts w:ascii="Times New Roman" w:hAnsi="Times New Roman" w:cs="Times New Roman"/>
          <w:sz w:val="28"/>
          <w:szCs w:val="28"/>
          <w:lang w:val="uk-UA"/>
        </w:rPr>
        <w:softHyphen/>
      </w:r>
      <w:r w:rsidRPr="00A03291">
        <w:rPr>
          <w:rFonts w:ascii="Times New Roman" w:hAnsi="Times New Roman" w:cs="Times New Roman"/>
          <w:sz w:val="28"/>
          <w:szCs w:val="28"/>
          <w:lang w:val="uk-UA"/>
        </w:rPr>
        <w:t>-</w:t>
      </w:r>
      <w:r w:rsidRPr="000A07EB">
        <w:rPr>
          <w:rFonts w:ascii="Times New Roman" w:hAnsi="Times New Roman" w:cs="Times New Roman"/>
          <w:sz w:val="28"/>
          <w:szCs w:val="28"/>
          <w:lang w:val="uk-UA"/>
        </w:rPr>
        <w:t>м</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шенях</w:t>
      </w:r>
      <w:r w:rsidRPr="00A03291">
        <w:rPr>
          <w:rFonts w:ascii="Times New Roman" w:hAnsi="Times New Roman" w:cs="Times New Roman"/>
          <w:sz w:val="28"/>
          <w:szCs w:val="28"/>
          <w:lang w:val="uk-UA"/>
        </w:rPr>
        <w:t xml:space="preserve"> </w:t>
      </w:r>
      <w:r w:rsidR="009E73C4" w:rsidRPr="009E73C4">
        <w:rPr>
          <w:rFonts w:ascii="Times New Roman" w:hAnsi="Times New Roman" w:cs="Times New Roman"/>
          <w:sz w:val="28"/>
          <w:szCs w:val="28"/>
          <w:lang w:val="uk-UA"/>
        </w:rPr>
        <w:t xml:space="preserve">відіграють ключову роль </w:t>
      </w:r>
      <w:r w:rsidR="005D0BC8">
        <w:rPr>
          <w:rFonts w:ascii="Times New Roman" w:hAnsi="Times New Roman" w:cs="Times New Roman"/>
          <w:sz w:val="28"/>
          <w:szCs w:val="28"/>
          <w:lang w:val="uk-UA"/>
        </w:rPr>
        <w:t xml:space="preserve">                 </w:t>
      </w:r>
      <w:r w:rsidR="009E73C4">
        <w:rPr>
          <w:rFonts w:ascii="Times New Roman" w:hAnsi="Times New Roman" w:cs="Times New Roman"/>
          <w:sz w:val="28"/>
          <w:szCs w:val="28"/>
          <w:lang w:val="uk-UA"/>
        </w:rPr>
        <w:t>у</w:t>
      </w:r>
      <w:r w:rsidR="009E73C4" w:rsidRPr="009E73C4">
        <w:rPr>
          <w:rFonts w:ascii="Times New Roman" w:hAnsi="Times New Roman" w:cs="Times New Roman"/>
          <w:sz w:val="28"/>
          <w:szCs w:val="28"/>
          <w:lang w:val="uk-UA"/>
        </w:rPr>
        <w:t xml:space="preserve"> патогенезі СН, що розвивається на фоні АГ та ЦД 2-го типу </w:t>
      </w:r>
      <w:r w:rsidRPr="00A03291">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93</w:t>
      </w:r>
      <w:r w:rsidRPr="00A03291">
        <w:rPr>
          <w:rFonts w:ascii="Times New Roman" w:hAnsi="Times New Roman" w:cs="Times New Roman"/>
          <w:sz w:val="28"/>
          <w:szCs w:val="28"/>
          <w:lang w:val="uk-UA"/>
        </w:rPr>
        <w:t>].</w:t>
      </w:r>
      <w:r w:rsidR="00606B45">
        <w:rPr>
          <w:rFonts w:ascii="Times New Roman" w:hAnsi="Times New Roman" w:cs="Times New Roman"/>
          <w:sz w:val="28"/>
          <w:szCs w:val="28"/>
          <w:lang w:val="uk-UA"/>
        </w:rPr>
        <w:t xml:space="preserve"> </w:t>
      </w:r>
    </w:p>
    <w:p w:rsidR="004B7132" w:rsidRPr="004B7132" w:rsidRDefault="001225FC" w:rsidP="004B7132">
      <w:pPr>
        <w:spacing w:after="0" w:line="360" w:lineRule="auto"/>
        <w:ind w:firstLine="709"/>
        <w:jc w:val="both"/>
        <w:rPr>
          <w:rFonts w:ascii="Times New Roman" w:hAnsi="Times New Roman" w:cs="Times New Roman"/>
          <w:sz w:val="28"/>
          <w:szCs w:val="28"/>
          <w:lang w:val="uk-UA"/>
        </w:rPr>
      </w:pPr>
      <w:r w:rsidRPr="00B10E6D">
        <w:rPr>
          <w:rFonts w:ascii="Times New Roman" w:hAnsi="Times New Roman" w:cs="Times New Roman"/>
          <w:sz w:val="28"/>
          <w:szCs w:val="28"/>
          <w:lang w:val="uk-UA"/>
        </w:rPr>
        <w:t xml:space="preserve">Гіперглікемія, </w:t>
      </w:r>
      <w:r w:rsidR="00F55BAC">
        <w:rPr>
          <w:rFonts w:ascii="Times New Roman" w:hAnsi="Times New Roman" w:cs="Times New Roman"/>
          <w:sz w:val="28"/>
          <w:szCs w:val="28"/>
          <w:lang w:val="uk-UA"/>
        </w:rPr>
        <w:t>що призводить</w:t>
      </w:r>
      <w:r w:rsidRPr="00B10E6D">
        <w:rPr>
          <w:rFonts w:ascii="Times New Roman" w:hAnsi="Times New Roman" w:cs="Times New Roman"/>
          <w:sz w:val="28"/>
          <w:szCs w:val="28"/>
          <w:lang w:val="uk-UA"/>
        </w:rPr>
        <w:t xml:space="preserve"> до мікроангіопатії, зменшує кількість капілярів на одиницю площі міокарда, що </w:t>
      </w:r>
      <w:r w:rsidR="00F55BAC">
        <w:rPr>
          <w:rFonts w:ascii="Times New Roman" w:hAnsi="Times New Roman" w:cs="Times New Roman"/>
          <w:sz w:val="28"/>
          <w:szCs w:val="28"/>
          <w:lang w:val="uk-UA"/>
        </w:rPr>
        <w:t xml:space="preserve">спричиняє </w:t>
      </w:r>
      <w:r w:rsidR="00475196">
        <w:rPr>
          <w:rFonts w:ascii="Times New Roman" w:hAnsi="Times New Roman" w:cs="Times New Roman"/>
          <w:sz w:val="28"/>
          <w:szCs w:val="28"/>
          <w:lang w:val="uk-UA"/>
        </w:rPr>
        <w:t>ішемію</w:t>
      </w:r>
      <w:r w:rsidRPr="00B10E6D">
        <w:rPr>
          <w:rFonts w:ascii="Times New Roman" w:hAnsi="Times New Roman" w:cs="Times New Roman"/>
          <w:sz w:val="28"/>
          <w:szCs w:val="28"/>
          <w:lang w:val="uk-UA"/>
        </w:rPr>
        <w:t xml:space="preserve"> </w:t>
      </w:r>
      <w:r w:rsidR="00475196">
        <w:rPr>
          <w:rFonts w:ascii="Times New Roman" w:hAnsi="Times New Roman" w:cs="Times New Roman"/>
          <w:sz w:val="28"/>
          <w:szCs w:val="28"/>
          <w:lang w:val="uk-UA"/>
        </w:rPr>
        <w:t>останнього, апоптоз</w:t>
      </w:r>
      <w:r w:rsidRPr="00931AAE">
        <w:rPr>
          <w:rFonts w:ascii="Times New Roman" w:hAnsi="Times New Roman" w:cs="Times New Roman"/>
          <w:sz w:val="28"/>
          <w:szCs w:val="28"/>
          <w:lang w:val="uk-UA"/>
        </w:rPr>
        <w:t xml:space="preserve"> кардіоміоцитів та акт</w:t>
      </w:r>
      <w:r w:rsidR="00475196">
        <w:rPr>
          <w:rFonts w:ascii="Times New Roman" w:hAnsi="Times New Roman" w:cs="Times New Roman"/>
          <w:sz w:val="28"/>
          <w:szCs w:val="28"/>
          <w:lang w:val="uk-UA"/>
        </w:rPr>
        <w:t>ивацію</w:t>
      </w:r>
      <w:r w:rsidR="0050377D" w:rsidRPr="00931AAE">
        <w:rPr>
          <w:rFonts w:ascii="Times New Roman" w:hAnsi="Times New Roman" w:cs="Times New Roman"/>
          <w:sz w:val="28"/>
          <w:szCs w:val="28"/>
          <w:lang w:val="uk-UA"/>
        </w:rPr>
        <w:t xml:space="preserve"> процесів фіброгенезу</w:t>
      </w:r>
      <w:r w:rsidR="004B7132" w:rsidRPr="004B7132">
        <w:rPr>
          <w:rFonts w:ascii="Times New Roman" w:hAnsi="Times New Roman" w:cs="Times New Roman"/>
          <w:sz w:val="28"/>
          <w:szCs w:val="28"/>
          <w:lang w:val="uk-UA"/>
        </w:rPr>
        <w:t xml:space="preserve">. </w:t>
      </w:r>
      <w:r w:rsidR="004B7132">
        <w:rPr>
          <w:rFonts w:ascii="Times New Roman" w:hAnsi="Times New Roman" w:cs="Times New Roman"/>
          <w:sz w:val="28"/>
          <w:szCs w:val="28"/>
          <w:lang w:val="uk-UA"/>
        </w:rPr>
        <w:t>Г</w:t>
      </w:r>
      <w:r w:rsidR="004B7132" w:rsidRPr="004B7132">
        <w:rPr>
          <w:rFonts w:ascii="Times New Roman" w:hAnsi="Times New Roman" w:cs="Times New Roman"/>
          <w:sz w:val="28"/>
          <w:szCs w:val="28"/>
          <w:lang w:val="uk-UA"/>
        </w:rPr>
        <w:t>іперінсулінемія</w:t>
      </w:r>
    </w:p>
    <w:p w:rsidR="001225FC" w:rsidRPr="00C4202E" w:rsidRDefault="003E2261" w:rsidP="001225F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ІР</w:t>
      </w:r>
      <w:r w:rsidR="004B7132">
        <w:rPr>
          <w:rFonts w:ascii="Times New Roman" w:hAnsi="Times New Roman" w:cs="Times New Roman"/>
          <w:sz w:val="28"/>
          <w:szCs w:val="28"/>
          <w:lang w:val="uk-UA"/>
        </w:rPr>
        <w:t xml:space="preserve">, які можуть бути наслідком </w:t>
      </w:r>
      <w:r w:rsidR="004B7132" w:rsidRPr="004B7132">
        <w:rPr>
          <w:rFonts w:ascii="Times New Roman" w:hAnsi="Times New Roman" w:cs="Times New Roman"/>
          <w:sz w:val="28"/>
          <w:szCs w:val="28"/>
          <w:lang w:val="uk-UA"/>
        </w:rPr>
        <w:t>активації прозапальних</w:t>
      </w:r>
      <w:r>
        <w:rPr>
          <w:rFonts w:ascii="Times New Roman" w:hAnsi="Times New Roman" w:cs="Times New Roman"/>
          <w:sz w:val="28"/>
          <w:szCs w:val="28"/>
          <w:lang w:val="uk-UA"/>
        </w:rPr>
        <w:t xml:space="preserve"> </w:t>
      </w:r>
      <w:r w:rsidR="004B7132" w:rsidRPr="004B7132">
        <w:rPr>
          <w:rFonts w:ascii="Times New Roman" w:hAnsi="Times New Roman" w:cs="Times New Roman"/>
          <w:sz w:val="28"/>
          <w:szCs w:val="28"/>
          <w:lang w:val="uk-UA"/>
        </w:rPr>
        <w:t>ц</w:t>
      </w:r>
      <w:r w:rsidR="004B7132">
        <w:rPr>
          <w:rFonts w:ascii="Times New Roman" w:hAnsi="Times New Roman" w:cs="Times New Roman"/>
          <w:sz w:val="28"/>
          <w:szCs w:val="28"/>
          <w:lang w:val="uk-UA"/>
        </w:rPr>
        <w:t xml:space="preserve">итокінів, призводять до фіброзу міокарда, а це, в свою чергу, </w:t>
      </w:r>
      <w:r w:rsidR="004B7132" w:rsidRPr="004B7132">
        <w:rPr>
          <w:rFonts w:ascii="Times New Roman" w:hAnsi="Times New Roman" w:cs="Times New Roman"/>
          <w:sz w:val="28"/>
          <w:szCs w:val="28"/>
          <w:lang w:val="uk-UA"/>
        </w:rPr>
        <w:t>до</w:t>
      </w:r>
      <w:r w:rsidR="004B7132">
        <w:rPr>
          <w:rFonts w:ascii="Times New Roman" w:hAnsi="Times New Roman" w:cs="Times New Roman"/>
          <w:sz w:val="28"/>
          <w:szCs w:val="28"/>
          <w:lang w:val="uk-UA"/>
        </w:rPr>
        <w:t xml:space="preserve"> діастолічної дисфункції ЛШ</w:t>
      </w:r>
      <w:r w:rsidR="0050377D" w:rsidRPr="00931AAE">
        <w:rPr>
          <w:rFonts w:ascii="Times New Roman" w:hAnsi="Times New Roman" w:cs="Times New Roman"/>
          <w:sz w:val="28"/>
          <w:szCs w:val="28"/>
          <w:lang w:val="uk-UA"/>
        </w:rPr>
        <w:t xml:space="preserve"> </w:t>
      </w:r>
      <w:r w:rsidR="0050377D" w:rsidRPr="00606B45">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94</w:t>
      </w:r>
      <w:r w:rsidR="001225FC" w:rsidRPr="00391D36">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w:t>
      </w:r>
    </w:p>
    <w:p w:rsidR="0028043D" w:rsidRDefault="001225FC" w:rsidP="00D847DA">
      <w:pPr>
        <w:spacing w:after="0" w:line="360" w:lineRule="auto"/>
        <w:ind w:firstLine="360"/>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 </w:t>
      </w:r>
      <w:r w:rsid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При ЦД 2</w:t>
      </w:r>
      <w:r w:rsidR="00073A38">
        <w:rPr>
          <w:rFonts w:ascii="Times New Roman" w:hAnsi="Times New Roman" w:cs="Times New Roman"/>
          <w:sz w:val="28"/>
          <w:szCs w:val="28"/>
          <w:lang w:val="uk-UA"/>
        </w:rPr>
        <w:t>-го</w:t>
      </w:r>
      <w:r w:rsidRPr="00A03291">
        <w:rPr>
          <w:rFonts w:ascii="Times New Roman" w:hAnsi="Times New Roman" w:cs="Times New Roman"/>
          <w:sz w:val="28"/>
          <w:szCs w:val="28"/>
          <w:lang w:val="uk-UA"/>
        </w:rPr>
        <w:t xml:space="preserve"> типу в умовах гіп</w:t>
      </w:r>
      <w:r w:rsidR="00B834C6">
        <w:rPr>
          <w:rFonts w:ascii="Times New Roman" w:hAnsi="Times New Roman" w:cs="Times New Roman"/>
          <w:sz w:val="28"/>
          <w:szCs w:val="28"/>
          <w:lang w:val="uk-UA"/>
        </w:rPr>
        <w:t xml:space="preserve">ерглікемії та гіперінсулінемії </w:t>
      </w:r>
      <w:r w:rsidRPr="00A03291">
        <w:rPr>
          <w:rFonts w:ascii="Times New Roman" w:hAnsi="Times New Roman" w:cs="Times New Roman"/>
          <w:sz w:val="28"/>
          <w:szCs w:val="28"/>
          <w:lang w:val="uk-UA"/>
        </w:rPr>
        <w:t xml:space="preserve">різко порушуються процеси утилізації глюкози як енергетичного субстрату. </w:t>
      </w:r>
      <w:r w:rsidR="000A07EB">
        <w:rPr>
          <w:rFonts w:ascii="Times New Roman" w:hAnsi="Times New Roman" w:cs="Times New Roman"/>
          <w:sz w:val="28"/>
          <w:szCs w:val="28"/>
          <w:lang w:val="uk-UA"/>
        </w:rPr>
        <w:t>І</w:t>
      </w:r>
      <w:r w:rsidR="00331206">
        <w:rPr>
          <w:rFonts w:ascii="Times New Roman" w:hAnsi="Times New Roman" w:cs="Times New Roman"/>
          <w:sz w:val="28"/>
          <w:szCs w:val="28"/>
          <w:lang w:val="uk-UA"/>
        </w:rPr>
        <w:t>Р</w:t>
      </w:r>
      <w:r w:rsidRPr="00A03291">
        <w:rPr>
          <w:rFonts w:ascii="Times New Roman" w:hAnsi="Times New Roman" w:cs="Times New Roman"/>
          <w:sz w:val="28"/>
          <w:szCs w:val="28"/>
          <w:lang w:val="uk-UA"/>
        </w:rPr>
        <w:t xml:space="preserve">  призводить до інактивації гексо- і глюкокінази в органах і тканин</w:t>
      </w:r>
      <w:r w:rsidR="00CA7212">
        <w:rPr>
          <w:rFonts w:ascii="Times New Roman" w:hAnsi="Times New Roman" w:cs="Times New Roman"/>
          <w:sz w:val="28"/>
          <w:szCs w:val="28"/>
          <w:lang w:val="uk-UA"/>
        </w:rPr>
        <w:t>а</w:t>
      </w:r>
      <w:r w:rsidR="000A07EB">
        <w:rPr>
          <w:rFonts w:ascii="Times New Roman" w:hAnsi="Times New Roman" w:cs="Times New Roman"/>
          <w:sz w:val="28"/>
          <w:szCs w:val="28"/>
          <w:lang w:val="uk-UA"/>
        </w:rPr>
        <w:t xml:space="preserve">х, </w:t>
      </w:r>
      <w:r w:rsidRPr="00A03291">
        <w:rPr>
          <w:rFonts w:ascii="Times New Roman" w:hAnsi="Times New Roman" w:cs="Times New Roman"/>
          <w:sz w:val="28"/>
          <w:szCs w:val="28"/>
          <w:lang w:val="uk-UA"/>
        </w:rPr>
        <w:t>зниження периферичної утилізації глюкози</w:t>
      </w:r>
      <w:r w:rsidR="00E753A5">
        <w:rPr>
          <w:rFonts w:ascii="Times New Roman" w:hAnsi="Times New Roman" w:cs="Times New Roman"/>
          <w:sz w:val="28"/>
          <w:szCs w:val="28"/>
          <w:lang w:val="uk-UA"/>
        </w:rPr>
        <w:t>,</w:t>
      </w:r>
      <w:r w:rsidRPr="00A03291">
        <w:rPr>
          <w:rFonts w:ascii="Times New Roman" w:hAnsi="Times New Roman" w:cs="Times New Roman"/>
          <w:sz w:val="28"/>
          <w:szCs w:val="28"/>
          <w:lang w:val="uk-UA"/>
        </w:rPr>
        <w:t xml:space="preserve"> активує глюконеогенез у печінці, посил</w:t>
      </w:r>
      <w:r w:rsidR="0016699F">
        <w:rPr>
          <w:rFonts w:ascii="Times New Roman" w:hAnsi="Times New Roman" w:cs="Times New Roman"/>
          <w:sz w:val="28"/>
          <w:szCs w:val="28"/>
          <w:lang w:val="uk-UA"/>
        </w:rPr>
        <w:t>юючи  гіперглікемію. У хворих на</w:t>
      </w:r>
      <w:r w:rsidRPr="00A03291">
        <w:rPr>
          <w:rFonts w:ascii="Times New Roman" w:hAnsi="Times New Roman" w:cs="Times New Roman"/>
          <w:sz w:val="28"/>
          <w:szCs w:val="28"/>
          <w:lang w:val="uk-UA"/>
        </w:rPr>
        <w:t xml:space="preserve"> </w:t>
      </w:r>
      <w:r w:rsidR="002475C6">
        <w:rPr>
          <w:rFonts w:ascii="Times New Roman" w:hAnsi="Times New Roman" w:cs="Times New Roman"/>
          <w:sz w:val="28"/>
          <w:szCs w:val="28"/>
          <w:lang w:val="uk-UA"/>
        </w:rPr>
        <w:t xml:space="preserve">СН </w:t>
      </w:r>
      <w:r w:rsidR="000A07EB">
        <w:rPr>
          <w:rFonts w:ascii="Times New Roman" w:hAnsi="Times New Roman" w:cs="Times New Roman"/>
          <w:sz w:val="28"/>
          <w:szCs w:val="28"/>
          <w:lang w:val="uk-UA"/>
        </w:rPr>
        <w:t xml:space="preserve">та </w:t>
      </w:r>
      <w:r w:rsidRPr="00A03291">
        <w:rPr>
          <w:rFonts w:ascii="Times New Roman" w:hAnsi="Times New Roman" w:cs="Times New Roman"/>
          <w:sz w:val="28"/>
          <w:szCs w:val="28"/>
          <w:lang w:val="uk-UA"/>
        </w:rPr>
        <w:t>ЦД 2</w:t>
      </w:r>
      <w:r w:rsidR="00073A38">
        <w:rPr>
          <w:rFonts w:ascii="Times New Roman" w:hAnsi="Times New Roman" w:cs="Times New Roman"/>
          <w:sz w:val="28"/>
          <w:szCs w:val="28"/>
          <w:lang w:val="uk-UA"/>
        </w:rPr>
        <w:t>-го</w:t>
      </w:r>
      <w:r w:rsidRPr="00A03291">
        <w:rPr>
          <w:rFonts w:ascii="Times New Roman" w:hAnsi="Times New Roman" w:cs="Times New Roman"/>
          <w:sz w:val="28"/>
          <w:szCs w:val="28"/>
          <w:lang w:val="uk-UA"/>
        </w:rPr>
        <w:t xml:space="preserve"> типу переважають анаеробні шляхи енерг</w:t>
      </w:r>
      <w:r w:rsidR="0016699F">
        <w:rPr>
          <w:rFonts w:ascii="Times New Roman" w:hAnsi="Times New Roman" w:cs="Times New Roman"/>
          <w:sz w:val="28"/>
          <w:szCs w:val="28"/>
          <w:lang w:val="uk-UA"/>
        </w:rPr>
        <w:t xml:space="preserve">етичного метаболізму, при яких </w:t>
      </w:r>
      <w:r w:rsidRPr="00A03291">
        <w:rPr>
          <w:rFonts w:ascii="Times New Roman" w:hAnsi="Times New Roman" w:cs="Times New Roman"/>
          <w:sz w:val="28"/>
          <w:szCs w:val="28"/>
          <w:lang w:val="uk-UA"/>
        </w:rPr>
        <w:t xml:space="preserve">лактат бере активну </w:t>
      </w:r>
      <w:r w:rsidR="000A07EB">
        <w:rPr>
          <w:rFonts w:ascii="Times New Roman" w:hAnsi="Times New Roman" w:cs="Times New Roman"/>
          <w:sz w:val="28"/>
          <w:szCs w:val="28"/>
          <w:lang w:val="uk-UA"/>
        </w:rPr>
        <w:t>участь у процесі глюконеогенезу</w:t>
      </w:r>
      <w:r w:rsidRPr="00976478">
        <w:rPr>
          <w:rFonts w:ascii="Times New Roman" w:hAnsi="Times New Roman" w:cs="Times New Roman"/>
          <w:sz w:val="28"/>
          <w:szCs w:val="28"/>
          <w:lang w:val="uk-UA"/>
        </w:rPr>
        <w:t>.</w:t>
      </w:r>
      <w:r w:rsidR="00D847DA" w:rsidRPr="00D847DA">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П</w:t>
      </w:r>
      <w:r w:rsidRPr="000A07EB">
        <w:rPr>
          <w:rFonts w:ascii="Times New Roman" w:hAnsi="Times New Roman" w:cs="Times New Roman"/>
          <w:sz w:val="28"/>
          <w:szCs w:val="28"/>
          <w:lang w:val="uk-UA"/>
        </w:rPr>
        <w:t xml:space="preserve">ри </w:t>
      </w:r>
      <w:r w:rsidRPr="00A03291">
        <w:rPr>
          <w:rFonts w:ascii="Times New Roman" w:hAnsi="Times New Roman" w:cs="Times New Roman"/>
          <w:sz w:val="28"/>
          <w:szCs w:val="28"/>
          <w:lang w:val="uk-UA"/>
        </w:rPr>
        <w:t>Ц</w:t>
      </w:r>
      <w:r w:rsidRPr="000A07EB">
        <w:rPr>
          <w:rFonts w:ascii="Times New Roman" w:hAnsi="Times New Roman" w:cs="Times New Roman"/>
          <w:sz w:val="28"/>
          <w:szCs w:val="28"/>
          <w:lang w:val="uk-UA"/>
        </w:rPr>
        <w:t xml:space="preserve">Д </w:t>
      </w:r>
      <w:r w:rsidRPr="00A03291">
        <w:rPr>
          <w:rFonts w:ascii="Times New Roman" w:hAnsi="Times New Roman" w:cs="Times New Roman"/>
          <w:sz w:val="28"/>
          <w:szCs w:val="28"/>
          <w:lang w:val="uk-UA"/>
        </w:rPr>
        <w:t>2</w:t>
      </w:r>
      <w:r w:rsidR="002475C6">
        <w:rPr>
          <w:rFonts w:ascii="Times New Roman" w:hAnsi="Times New Roman" w:cs="Times New Roman"/>
          <w:sz w:val="28"/>
          <w:szCs w:val="28"/>
          <w:lang w:val="uk-UA"/>
        </w:rPr>
        <w:t>-го</w:t>
      </w:r>
      <w:r w:rsidRPr="00A03291">
        <w:rPr>
          <w:rFonts w:ascii="Times New Roman" w:hAnsi="Times New Roman" w:cs="Times New Roman"/>
          <w:sz w:val="28"/>
          <w:szCs w:val="28"/>
          <w:lang w:val="uk-UA"/>
        </w:rPr>
        <w:t xml:space="preserve"> типу</w:t>
      </w:r>
      <w:r w:rsidRPr="000A07EB">
        <w:rPr>
          <w:rFonts w:ascii="Times New Roman" w:hAnsi="Times New Roman" w:cs="Times New Roman"/>
          <w:sz w:val="28"/>
          <w:szCs w:val="28"/>
          <w:lang w:val="uk-UA"/>
        </w:rPr>
        <w:t xml:space="preserve"> р</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 xml:space="preserve">зке </w:t>
      </w:r>
      <w:r w:rsidRPr="00A03291">
        <w:rPr>
          <w:rFonts w:ascii="Times New Roman" w:hAnsi="Times New Roman" w:cs="Times New Roman"/>
          <w:sz w:val="28"/>
          <w:szCs w:val="28"/>
          <w:lang w:val="uk-UA"/>
        </w:rPr>
        <w:t xml:space="preserve">порушення окиснення </w:t>
      </w:r>
      <w:r w:rsidRPr="000A07EB">
        <w:rPr>
          <w:rFonts w:ascii="Times New Roman" w:hAnsi="Times New Roman" w:cs="Times New Roman"/>
          <w:sz w:val="28"/>
          <w:szCs w:val="28"/>
          <w:lang w:val="uk-UA"/>
        </w:rPr>
        <w:t xml:space="preserve"> п</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руват</w:t>
      </w:r>
      <w:r w:rsidRPr="00A03291">
        <w:rPr>
          <w:rFonts w:ascii="Times New Roman" w:hAnsi="Times New Roman" w:cs="Times New Roman"/>
          <w:sz w:val="28"/>
          <w:szCs w:val="28"/>
          <w:lang w:val="uk-UA"/>
        </w:rPr>
        <w:t>у</w:t>
      </w:r>
      <w:r w:rsidRPr="000A07EB">
        <w:rPr>
          <w:rFonts w:ascii="Times New Roman" w:hAnsi="Times New Roman" w:cs="Times New Roman"/>
          <w:sz w:val="28"/>
          <w:szCs w:val="28"/>
          <w:lang w:val="uk-UA"/>
        </w:rPr>
        <w:t xml:space="preserve"> в у</w:t>
      </w:r>
      <w:r w:rsidRPr="00A03291">
        <w:rPr>
          <w:rFonts w:ascii="Times New Roman" w:hAnsi="Times New Roman" w:cs="Times New Roman"/>
          <w:sz w:val="28"/>
          <w:szCs w:val="28"/>
          <w:lang w:val="uk-UA"/>
        </w:rPr>
        <w:t>мовах</w:t>
      </w:r>
      <w:r w:rsidRP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шем</w:t>
      </w:r>
      <w:r w:rsidRPr="00A03291">
        <w:rPr>
          <w:rFonts w:ascii="Times New Roman" w:hAnsi="Times New Roman" w:cs="Times New Roman"/>
          <w:sz w:val="28"/>
          <w:szCs w:val="28"/>
          <w:lang w:val="uk-UA"/>
        </w:rPr>
        <w:t>ії</w:t>
      </w:r>
      <w:r w:rsidRPr="000A07EB">
        <w:rPr>
          <w:rFonts w:ascii="Times New Roman" w:hAnsi="Times New Roman" w:cs="Times New Roman"/>
          <w:sz w:val="28"/>
          <w:szCs w:val="28"/>
          <w:lang w:val="uk-UA"/>
        </w:rPr>
        <w:t xml:space="preserve"> при</w:t>
      </w:r>
      <w:r w:rsidRPr="00A03291">
        <w:rPr>
          <w:rFonts w:ascii="Times New Roman" w:hAnsi="Times New Roman" w:cs="Times New Roman"/>
          <w:sz w:val="28"/>
          <w:szCs w:val="28"/>
          <w:lang w:val="uk-UA"/>
        </w:rPr>
        <w:t>з</w:t>
      </w:r>
      <w:r w:rsidRPr="000A07EB">
        <w:rPr>
          <w:rFonts w:ascii="Times New Roman" w:hAnsi="Times New Roman" w:cs="Times New Roman"/>
          <w:sz w:val="28"/>
          <w:szCs w:val="28"/>
          <w:lang w:val="uk-UA"/>
        </w:rPr>
        <w:t>водит</w:t>
      </w:r>
      <w:r w:rsidRPr="00A03291">
        <w:rPr>
          <w:rFonts w:ascii="Times New Roman" w:hAnsi="Times New Roman" w:cs="Times New Roman"/>
          <w:sz w:val="28"/>
          <w:szCs w:val="28"/>
          <w:lang w:val="uk-UA"/>
        </w:rPr>
        <w:t>ь до</w:t>
      </w:r>
      <w:r w:rsidRP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підвищеного утворення </w:t>
      </w:r>
      <w:r w:rsidRPr="000A07EB">
        <w:rPr>
          <w:rFonts w:ascii="Times New Roman" w:hAnsi="Times New Roman" w:cs="Times New Roman"/>
          <w:sz w:val="28"/>
          <w:szCs w:val="28"/>
          <w:lang w:val="uk-UA"/>
        </w:rPr>
        <w:t>лактат</w:t>
      </w:r>
      <w:r w:rsidRPr="00A03291">
        <w:rPr>
          <w:rFonts w:ascii="Times New Roman" w:hAnsi="Times New Roman" w:cs="Times New Roman"/>
          <w:sz w:val="28"/>
          <w:szCs w:val="28"/>
          <w:lang w:val="uk-UA"/>
        </w:rPr>
        <w:t>у</w:t>
      </w:r>
      <w:r w:rsidRPr="000A07EB">
        <w:rPr>
          <w:rFonts w:ascii="Times New Roman" w:hAnsi="Times New Roman" w:cs="Times New Roman"/>
          <w:sz w:val="28"/>
          <w:szCs w:val="28"/>
          <w:lang w:val="uk-UA"/>
        </w:rPr>
        <w:t xml:space="preserve"> в пост</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шем</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ч</w:t>
      </w:r>
      <w:r w:rsidRPr="00A03291">
        <w:rPr>
          <w:rFonts w:ascii="Times New Roman" w:hAnsi="Times New Roman" w:cs="Times New Roman"/>
          <w:sz w:val="28"/>
          <w:szCs w:val="28"/>
          <w:lang w:val="uk-UA"/>
        </w:rPr>
        <w:t>ному</w:t>
      </w:r>
      <w:r w:rsidRPr="000A07EB">
        <w:rPr>
          <w:rFonts w:ascii="Times New Roman" w:hAnsi="Times New Roman" w:cs="Times New Roman"/>
          <w:sz w:val="28"/>
          <w:szCs w:val="28"/>
          <w:lang w:val="uk-UA"/>
        </w:rPr>
        <w:t xml:space="preserve"> пер</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од</w:t>
      </w:r>
      <w:r w:rsidRPr="00A03291">
        <w:rPr>
          <w:rFonts w:ascii="Times New Roman" w:hAnsi="Times New Roman" w:cs="Times New Roman"/>
          <w:sz w:val="28"/>
          <w:szCs w:val="28"/>
          <w:lang w:val="uk-UA"/>
        </w:rPr>
        <w:t>і</w:t>
      </w:r>
      <w:r w:rsidRP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Підвищений </w:t>
      </w:r>
      <w:r w:rsidR="0087498F">
        <w:rPr>
          <w:rFonts w:ascii="Times New Roman" w:hAnsi="Times New Roman" w:cs="Times New Roman"/>
          <w:sz w:val="28"/>
          <w:szCs w:val="28"/>
          <w:lang w:val="uk-UA"/>
        </w:rPr>
        <w:t xml:space="preserve">вміст </w:t>
      </w:r>
      <w:r w:rsidRPr="00A03291">
        <w:rPr>
          <w:rFonts w:ascii="Times New Roman" w:hAnsi="Times New Roman" w:cs="Times New Roman"/>
          <w:sz w:val="28"/>
          <w:szCs w:val="28"/>
          <w:lang w:val="uk-UA"/>
        </w:rPr>
        <w:t>лактату</w:t>
      </w:r>
      <w:r w:rsidRPr="000A07EB">
        <w:rPr>
          <w:rFonts w:ascii="Times New Roman" w:hAnsi="Times New Roman" w:cs="Times New Roman"/>
          <w:sz w:val="28"/>
          <w:szCs w:val="28"/>
          <w:lang w:val="uk-UA"/>
        </w:rPr>
        <w:t xml:space="preserve"> при</w:t>
      </w:r>
      <w:r w:rsidRPr="00A03291">
        <w:rPr>
          <w:rFonts w:ascii="Times New Roman" w:hAnsi="Times New Roman" w:cs="Times New Roman"/>
          <w:sz w:val="28"/>
          <w:szCs w:val="28"/>
          <w:lang w:val="uk-UA"/>
        </w:rPr>
        <w:t>з</w:t>
      </w:r>
      <w:r w:rsidRPr="000A07EB">
        <w:rPr>
          <w:rFonts w:ascii="Times New Roman" w:hAnsi="Times New Roman" w:cs="Times New Roman"/>
          <w:sz w:val="28"/>
          <w:szCs w:val="28"/>
          <w:lang w:val="uk-UA"/>
        </w:rPr>
        <w:t>водит</w:t>
      </w:r>
      <w:r w:rsidRPr="00A03291">
        <w:rPr>
          <w:rFonts w:ascii="Times New Roman" w:hAnsi="Times New Roman" w:cs="Times New Roman"/>
          <w:sz w:val="28"/>
          <w:szCs w:val="28"/>
          <w:lang w:val="uk-UA"/>
        </w:rPr>
        <w:t xml:space="preserve">ь </w:t>
      </w:r>
      <w:r w:rsidR="00A576B9">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до</w:t>
      </w:r>
      <w:r w:rsidRP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посилення обміну </w:t>
      </w:r>
      <w:r w:rsidR="000A07EB">
        <w:rPr>
          <w:rFonts w:ascii="Times New Roman" w:hAnsi="Times New Roman" w:cs="Times New Roman"/>
          <w:sz w:val="28"/>
          <w:szCs w:val="28"/>
        </w:rPr>
        <w:t>Na</w:t>
      </w:r>
      <w:r w:rsidR="000A07EB">
        <w:rPr>
          <w:rFonts w:ascii="Times New Roman" w:hAnsi="Times New Roman" w:cs="Times New Roman"/>
          <w:sz w:val="28"/>
          <w:szCs w:val="28"/>
          <w:vertAlign w:val="superscript"/>
          <w:lang w:val="uk-UA"/>
        </w:rPr>
        <w:t>+</w:t>
      </w:r>
      <w:r w:rsidR="000A07EB" w:rsidRPr="000A07EB">
        <w:rPr>
          <w:rFonts w:ascii="Times New Roman" w:hAnsi="Times New Roman" w:cs="Times New Roman"/>
          <w:sz w:val="28"/>
          <w:szCs w:val="28"/>
          <w:lang w:val="uk-UA"/>
        </w:rPr>
        <w:t>/</w:t>
      </w:r>
      <w:r w:rsidR="000A07EB">
        <w:rPr>
          <w:rFonts w:ascii="Times New Roman" w:hAnsi="Times New Roman" w:cs="Times New Roman"/>
          <w:sz w:val="28"/>
          <w:szCs w:val="28"/>
        </w:rPr>
        <w:t>Ca</w:t>
      </w:r>
      <w:r w:rsidR="000A07EB">
        <w:rPr>
          <w:rFonts w:ascii="Times New Roman" w:hAnsi="Times New Roman" w:cs="Times New Roman"/>
          <w:sz w:val="28"/>
          <w:szCs w:val="28"/>
          <w:vertAlign w:val="superscript"/>
          <w:lang w:val="uk-UA"/>
        </w:rPr>
        <w:t>2+</w:t>
      </w:r>
      <w:r w:rsidRPr="000A07EB">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Порушення</w:t>
      </w:r>
      <w:r w:rsidRPr="00B10E6D">
        <w:rPr>
          <w:rFonts w:ascii="Times New Roman" w:hAnsi="Times New Roman" w:cs="Times New Roman"/>
          <w:sz w:val="28"/>
          <w:szCs w:val="28"/>
          <w:lang w:val="uk-UA"/>
        </w:rPr>
        <w:t xml:space="preserve"> транспорт</w:t>
      </w:r>
      <w:r w:rsidRPr="00A03291">
        <w:rPr>
          <w:rFonts w:ascii="Times New Roman" w:hAnsi="Times New Roman" w:cs="Times New Roman"/>
          <w:sz w:val="28"/>
          <w:szCs w:val="28"/>
          <w:lang w:val="uk-UA"/>
        </w:rPr>
        <w:t>у</w:t>
      </w:r>
      <w:r w:rsidRPr="00B10E6D">
        <w:rPr>
          <w:rFonts w:ascii="Times New Roman" w:hAnsi="Times New Roman" w:cs="Times New Roman"/>
          <w:sz w:val="28"/>
          <w:szCs w:val="28"/>
          <w:lang w:val="uk-UA"/>
        </w:rPr>
        <w:t xml:space="preserve"> кальц</w:t>
      </w:r>
      <w:r w:rsidRPr="00A03291">
        <w:rPr>
          <w:rFonts w:ascii="Times New Roman" w:hAnsi="Times New Roman" w:cs="Times New Roman"/>
          <w:sz w:val="28"/>
          <w:szCs w:val="28"/>
          <w:lang w:val="uk-UA"/>
        </w:rPr>
        <w:t>ію</w:t>
      </w:r>
      <w:r w:rsidRPr="00B10E6D">
        <w:rPr>
          <w:rFonts w:ascii="Times New Roman" w:hAnsi="Times New Roman" w:cs="Times New Roman"/>
          <w:sz w:val="28"/>
          <w:szCs w:val="28"/>
          <w:lang w:val="uk-UA"/>
        </w:rPr>
        <w:t xml:space="preserve"> </w:t>
      </w:r>
      <w:r w:rsidR="00475196">
        <w:rPr>
          <w:rFonts w:ascii="Times New Roman" w:hAnsi="Times New Roman" w:cs="Times New Roman"/>
          <w:sz w:val="28"/>
          <w:szCs w:val="28"/>
          <w:lang w:val="uk-UA"/>
        </w:rPr>
        <w:t>спричиня</w:t>
      </w:r>
      <w:r w:rsidRPr="00A03291">
        <w:rPr>
          <w:rFonts w:ascii="Times New Roman" w:hAnsi="Times New Roman" w:cs="Times New Roman"/>
          <w:sz w:val="28"/>
          <w:szCs w:val="28"/>
          <w:lang w:val="uk-UA"/>
        </w:rPr>
        <w:t>є</w:t>
      </w:r>
      <w:r w:rsidRPr="00B10E6D">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е</w:t>
      </w:r>
      <w:r w:rsidRPr="00B10E6D">
        <w:rPr>
          <w:rFonts w:ascii="Times New Roman" w:hAnsi="Times New Roman" w:cs="Times New Roman"/>
          <w:sz w:val="28"/>
          <w:szCs w:val="28"/>
          <w:lang w:val="uk-UA"/>
        </w:rPr>
        <w:t>лектромехан</w:t>
      </w:r>
      <w:r w:rsidRPr="00A03291">
        <w:rPr>
          <w:rFonts w:ascii="Times New Roman" w:hAnsi="Times New Roman" w:cs="Times New Roman"/>
          <w:sz w:val="28"/>
          <w:szCs w:val="28"/>
          <w:lang w:val="uk-UA"/>
        </w:rPr>
        <w:t>і</w:t>
      </w:r>
      <w:r w:rsidRPr="00B10E6D">
        <w:rPr>
          <w:rFonts w:ascii="Times New Roman" w:hAnsi="Times New Roman" w:cs="Times New Roman"/>
          <w:sz w:val="28"/>
          <w:szCs w:val="28"/>
          <w:lang w:val="uk-UA"/>
        </w:rPr>
        <w:t>ч</w:t>
      </w:r>
      <w:r w:rsidRPr="00A03291">
        <w:rPr>
          <w:rFonts w:ascii="Times New Roman" w:hAnsi="Times New Roman" w:cs="Times New Roman"/>
          <w:sz w:val="28"/>
          <w:szCs w:val="28"/>
          <w:lang w:val="uk-UA"/>
        </w:rPr>
        <w:t>н</w:t>
      </w:r>
      <w:r w:rsidRPr="00B10E6D">
        <w:rPr>
          <w:rFonts w:ascii="Times New Roman" w:hAnsi="Times New Roman" w:cs="Times New Roman"/>
          <w:sz w:val="28"/>
          <w:szCs w:val="28"/>
          <w:lang w:val="uk-UA"/>
        </w:rPr>
        <w:t xml:space="preserve">ий дисбаланс </w:t>
      </w:r>
      <w:r w:rsidR="00475196">
        <w:rPr>
          <w:rFonts w:ascii="Times New Roman" w:hAnsi="Times New Roman" w:cs="Times New Roman"/>
          <w:sz w:val="28"/>
          <w:szCs w:val="28"/>
          <w:lang w:val="uk-UA"/>
        </w:rPr>
        <w:t>та</w:t>
      </w:r>
      <w:r w:rsidRPr="00B10E6D">
        <w:rPr>
          <w:rFonts w:ascii="Times New Roman" w:hAnsi="Times New Roman" w:cs="Times New Roman"/>
          <w:sz w:val="28"/>
          <w:szCs w:val="28"/>
          <w:lang w:val="uk-UA"/>
        </w:rPr>
        <w:t xml:space="preserve"> асинхронн</w:t>
      </w:r>
      <w:r w:rsidRPr="00A03291">
        <w:rPr>
          <w:rFonts w:ascii="Times New Roman" w:hAnsi="Times New Roman" w:cs="Times New Roman"/>
          <w:sz w:val="28"/>
          <w:szCs w:val="28"/>
          <w:lang w:val="uk-UA"/>
        </w:rPr>
        <w:t>і</w:t>
      </w:r>
      <w:r w:rsidRPr="00B10E6D">
        <w:rPr>
          <w:rFonts w:ascii="Times New Roman" w:hAnsi="Times New Roman" w:cs="Times New Roman"/>
          <w:sz w:val="28"/>
          <w:szCs w:val="28"/>
          <w:lang w:val="uk-UA"/>
        </w:rPr>
        <w:t>сть р</w:t>
      </w:r>
      <w:r w:rsidRPr="00A03291">
        <w:rPr>
          <w:rFonts w:ascii="Times New Roman" w:hAnsi="Times New Roman" w:cs="Times New Roman"/>
          <w:sz w:val="28"/>
          <w:szCs w:val="28"/>
          <w:lang w:val="uk-UA"/>
        </w:rPr>
        <w:t>озс</w:t>
      </w:r>
      <w:r w:rsidRPr="00B10E6D">
        <w:rPr>
          <w:rFonts w:ascii="Times New Roman" w:hAnsi="Times New Roman" w:cs="Times New Roman"/>
          <w:sz w:val="28"/>
          <w:szCs w:val="28"/>
          <w:lang w:val="uk-UA"/>
        </w:rPr>
        <w:t>лаблен</w:t>
      </w:r>
      <w:r w:rsidRPr="00A03291">
        <w:rPr>
          <w:rFonts w:ascii="Times New Roman" w:hAnsi="Times New Roman" w:cs="Times New Roman"/>
          <w:sz w:val="28"/>
          <w:szCs w:val="28"/>
          <w:lang w:val="uk-UA"/>
        </w:rPr>
        <w:t>ня</w:t>
      </w:r>
      <w:r w:rsidRPr="00B10E6D">
        <w:rPr>
          <w:rFonts w:ascii="Times New Roman" w:hAnsi="Times New Roman" w:cs="Times New Roman"/>
          <w:sz w:val="28"/>
          <w:szCs w:val="28"/>
          <w:lang w:val="uk-UA"/>
        </w:rPr>
        <w:t xml:space="preserve"> м</w:t>
      </w:r>
      <w:r w:rsidRPr="00A03291">
        <w:rPr>
          <w:rFonts w:ascii="Times New Roman" w:hAnsi="Times New Roman" w:cs="Times New Roman"/>
          <w:sz w:val="28"/>
          <w:szCs w:val="28"/>
          <w:lang w:val="uk-UA"/>
        </w:rPr>
        <w:t>і</w:t>
      </w:r>
      <w:r w:rsidRPr="00B10E6D">
        <w:rPr>
          <w:rFonts w:ascii="Times New Roman" w:hAnsi="Times New Roman" w:cs="Times New Roman"/>
          <w:sz w:val="28"/>
          <w:szCs w:val="28"/>
          <w:lang w:val="uk-UA"/>
        </w:rPr>
        <w:t>окард</w:t>
      </w:r>
      <w:r w:rsidR="00475196">
        <w:rPr>
          <w:rFonts w:ascii="Times New Roman" w:hAnsi="Times New Roman" w:cs="Times New Roman"/>
          <w:sz w:val="28"/>
          <w:szCs w:val="28"/>
          <w:lang w:val="uk-UA"/>
        </w:rPr>
        <w:t>а</w:t>
      </w:r>
      <w:r w:rsidRPr="00B10E6D">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зниження еластичних властивостей та збільшення жорсткості</w:t>
      </w:r>
      <w:r w:rsidRPr="00B10E6D">
        <w:rPr>
          <w:rFonts w:ascii="Times New Roman" w:hAnsi="Times New Roman" w:cs="Times New Roman"/>
          <w:sz w:val="28"/>
          <w:szCs w:val="28"/>
          <w:lang w:val="uk-UA"/>
        </w:rPr>
        <w:t xml:space="preserve"> ст</w:t>
      </w:r>
      <w:r w:rsidRPr="00A03291">
        <w:rPr>
          <w:rFonts w:ascii="Times New Roman" w:hAnsi="Times New Roman" w:cs="Times New Roman"/>
          <w:sz w:val="28"/>
          <w:szCs w:val="28"/>
          <w:lang w:val="uk-UA"/>
        </w:rPr>
        <w:t>і</w:t>
      </w:r>
      <w:r w:rsidRPr="00B10E6D">
        <w:rPr>
          <w:rFonts w:ascii="Times New Roman" w:hAnsi="Times New Roman" w:cs="Times New Roman"/>
          <w:sz w:val="28"/>
          <w:szCs w:val="28"/>
          <w:lang w:val="uk-UA"/>
        </w:rPr>
        <w:t>нок Л</w:t>
      </w:r>
      <w:r w:rsidRPr="00A03291">
        <w:rPr>
          <w:rFonts w:ascii="Times New Roman" w:hAnsi="Times New Roman" w:cs="Times New Roman"/>
          <w:sz w:val="28"/>
          <w:szCs w:val="28"/>
          <w:lang w:val="uk-UA"/>
        </w:rPr>
        <w:t>Ш</w:t>
      </w:r>
      <w:r w:rsidR="00D847DA" w:rsidRPr="00D847DA">
        <w:rPr>
          <w:rFonts w:ascii="Times New Roman" w:hAnsi="Times New Roman" w:cs="Times New Roman"/>
          <w:sz w:val="28"/>
          <w:szCs w:val="28"/>
          <w:lang w:val="uk-UA"/>
        </w:rPr>
        <w:t xml:space="preserve"> [</w:t>
      </w:r>
      <w:r w:rsidR="002B600D" w:rsidRPr="00CA04D8">
        <w:rPr>
          <w:rFonts w:ascii="Times New Roman" w:hAnsi="Times New Roman" w:cs="Times New Roman"/>
          <w:sz w:val="28"/>
          <w:szCs w:val="28"/>
          <w:lang w:val="uk-UA"/>
        </w:rPr>
        <w:t>95</w:t>
      </w:r>
      <w:r w:rsidR="00D847DA" w:rsidRPr="00CA04D8">
        <w:rPr>
          <w:rFonts w:ascii="Times New Roman" w:hAnsi="Times New Roman" w:cs="Times New Roman"/>
          <w:sz w:val="28"/>
          <w:szCs w:val="28"/>
          <w:lang w:val="uk-UA"/>
        </w:rPr>
        <w:t>].</w:t>
      </w:r>
      <w:r w:rsidR="00D847DA" w:rsidRPr="00D847DA">
        <w:rPr>
          <w:rFonts w:ascii="Times New Roman" w:hAnsi="Times New Roman" w:cs="Times New Roman"/>
          <w:sz w:val="28"/>
          <w:szCs w:val="28"/>
          <w:lang w:val="uk-UA"/>
        </w:rPr>
        <w:t xml:space="preserve"> </w:t>
      </w:r>
      <w:r w:rsidRPr="00B10E6D">
        <w:rPr>
          <w:rFonts w:ascii="Times New Roman" w:hAnsi="Times New Roman" w:cs="Times New Roman"/>
          <w:sz w:val="28"/>
          <w:szCs w:val="28"/>
          <w:lang w:val="uk-UA"/>
        </w:rPr>
        <w:t xml:space="preserve"> </w:t>
      </w:r>
    </w:p>
    <w:p w:rsidR="001225FC" w:rsidRPr="00A03291" w:rsidRDefault="00C75BDE" w:rsidP="00AC2FCE">
      <w:pPr>
        <w:spacing w:after="0" w:line="360" w:lineRule="auto"/>
        <w:ind w:firstLine="360"/>
        <w:jc w:val="both"/>
        <w:rPr>
          <w:rFonts w:ascii="Times New Roman" w:hAnsi="Times New Roman" w:cs="Times New Roman"/>
          <w:sz w:val="28"/>
          <w:szCs w:val="28"/>
          <w:lang w:val="uk-UA"/>
        </w:rPr>
      </w:pPr>
      <w:r w:rsidRPr="00D847DA">
        <w:rPr>
          <w:rFonts w:ascii="Times New Roman" w:hAnsi="Times New Roman" w:cs="Times New Roman"/>
          <w:sz w:val="28"/>
          <w:szCs w:val="28"/>
          <w:lang w:val="uk-UA"/>
        </w:rPr>
        <w:t xml:space="preserve">   </w:t>
      </w:r>
      <w:r w:rsidR="0016699F">
        <w:rPr>
          <w:rFonts w:ascii="Times New Roman" w:hAnsi="Times New Roman" w:cs="Times New Roman"/>
          <w:sz w:val="28"/>
          <w:szCs w:val="28"/>
          <w:lang w:val="uk-UA"/>
        </w:rPr>
        <w:t>Ж</w:t>
      </w:r>
      <w:r w:rsidR="001225FC" w:rsidRPr="00A03291">
        <w:rPr>
          <w:rFonts w:ascii="Times New Roman" w:hAnsi="Times New Roman" w:cs="Times New Roman"/>
          <w:sz w:val="28"/>
          <w:szCs w:val="28"/>
          <w:lang w:val="uk-UA"/>
        </w:rPr>
        <w:t xml:space="preserve">орсткість </w:t>
      </w:r>
      <w:r w:rsidR="0045794C">
        <w:rPr>
          <w:rFonts w:ascii="Times New Roman" w:hAnsi="Times New Roman" w:cs="Times New Roman"/>
          <w:sz w:val="28"/>
          <w:szCs w:val="28"/>
          <w:lang w:val="uk-UA"/>
        </w:rPr>
        <w:t xml:space="preserve">коронарних артерій </w:t>
      </w:r>
      <w:r w:rsidR="0016699F">
        <w:rPr>
          <w:rFonts w:ascii="Times New Roman" w:hAnsi="Times New Roman" w:cs="Times New Roman"/>
          <w:sz w:val="28"/>
          <w:szCs w:val="28"/>
          <w:lang w:val="uk-UA"/>
        </w:rPr>
        <w:t xml:space="preserve">та самого </w:t>
      </w:r>
      <w:r w:rsidR="00475196">
        <w:rPr>
          <w:rFonts w:ascii="Times New Roman" w:hAnsi="Times New Roman" w:cs="Times New Roman"/>
          <w:sz w:val="28"/>
          <w:szCs w:val="28"/>
          <w:lang w:val="uk-UA"/>
        </w:rPr>
        <w:t>міокарда</w:t>
      </w:r>
      <w:r w:rsidR="0016699F">
        <w:rPr>
          <w:rFonts w:ascii="Times New Roman" w:hAnsi="Times New Roman" w:cs="Times New Roman"/>
          <w:sz w:val="28"/>
          <w:szCs w:val="28"/>
          <w:lang w:val="uk-UA"/>
        </w:rPr>
        <w:t xml:space="preserve"> підвищується </w:t>
      </w:r>
      <w:r w:rsidR="00A576B9">
        <w:rPr>
          <w:rFonts w:ascii="Times New Roman" w:hAnsi="Times New Roman" w:cs="Times New Roman"/>
          <w:sz w:val="28"/>
          <w:szCs w:val="28"/>
          <w:lang w:val="uk-UA"/>
        </w:rPr>
        <w:t xml:space="preserve">            </w:t>
      </w:r>
      <w:r w:rsidR="0016699F">
        <w:rPr>
          <w:rFonts w:ascii="Times New Roman" w:hAnsi="Times New Roman" w:cs="Times New Roman"/>
          <w:sz w:val="28"/>
          <w:szCs w:val="28"/>
          <w:lang w:val="uk-UA"/>
        </w:rPr>
        <w:t xml:space="preserve">у пацієнтів із ЦД 2-го типу. </w:t>
      </w:r>
      <w:r w:rsidR="001225FC" w:rsidRPr="00A03291">
        <w:rPr>
          <w:rFonts w:ascii="Times New Roman" w:hAnsi="Times New Roman" w:cs="Times New Roman"/>
          <w:sz w:val="28"/>
          <w:szCs w:val="28"/>
          <w:lang w:val="uk-UA"/>
        </w:rPr>
        <w:t>При тривалій роботі серцевого м’яза в у</w:t>
      </w:r>
      <w:r w:rsidR="0087498F">
        <w:rPr>
          <w:rFonts w:ascii="Times New Roman" w:hAnsi="Times New Roman" w:cs="Times New Roman"/>
          <w:sz w:val="28"/>
          <w:szCs w:val="28"/>
          <w:lang w:val="uk-UA"/>
        </w:rPr>
        <w:t xml:space="preserve">мовах підвищеного навантаження </w:t>
      </w:r>
      <w:r w:rsidR="001225FC" w:rsidRPr="00A03291">
        <w:rPr>
          <w:rFonts w:ascii="Times New Roman" w:hAnsi="Times New Roman" w:cs="Times New Roman"/>
          <w:sz w:val="28"/>
          <w:szCs w:val="28"/>
          <w:lang w:val="uk-UA"/>
        </w:rPr>
        <w:t>у хворих на ЦД 2</w:t>
      </w:r>
      <w:r w:rsidR="00FE1971">
        <w:rPr>
          <w:rFonts w:ascii="Times New Roman" w:hAnsi="Times New Roman" w:cs="Times New Roman"/>
          <w:sz w:val="28"/>
          <w:szCs w:val="28"/>
          <w:lang w:val="uk-UA"/>
        </w:rPr>
        <w:t>-г</w:t>
      </w:r>
      <w:r w:rsidR="009C3A98">
        <w:rPr>
          <w:rFonts w:ascii="Times New Roman" w:hAnsi="Times New Roman" w:cs="Times New Roman"/>
          <w:sz w:val="28"/>
          <w:szCs w:val="28"/>
          <w:lang w:val="uk-UA"/>
        </w:rPr>
        <w:t>о</w:t>
      </w:r>
      <w:r w:rsidR="001225FC" w:rsidRPr="00A03291">
        <w:rPr>
          <w:rFonts w:ascii="Times New Roman" w:hAnsi="Times New Roman" w:cs="Times New Roman"/>
          <w:sz w:val="28"/>
          <w:szCs w:val="28"/>
          <w:lang w:val="uk-UA"/>
        </w:rPr>
        <w:t xml:space="preserve"> типу мобілізуються енергетичні та ст</w:t>
      </w:r>
      <w:r w:rsidR="0045794C">
        <w:rPr>
          <w:rFonts w:ascii="Times New Roman" w:hAnsi="Times New Roman" w:cs="Times New Roman"/>
          <w:sz w:val="28"/>
          <w:szCs w:val="28"/>
          <w:lang w:val="uk-UA"/>
        </w:rPr>
        <w:t xml:space="preserve">руктурні резерви кардіоміоцитів </w:t>
      </w:r>
      <w:r w:rsidR="001225FC" w:rsidRPr="00A03291">
        <w:rPr>
          <w:rFonts w:ascii="Times New Roman" w:hAnsi="Times New Roman" w:cs="Times New Roman"/>
          <w:sz w:val="28"/>
          <w:szCs w:val="28"/>
          <w:lang w:val="uk-UA"/>
        </w:rPr>
        <w:t xml:space="preserve">із </w:t>
      </w:r>
      <w:r w:rsidR="00475196">
        <w:rPr>
          <w:rFonts w:ascii="Times New Roman" w:hAnsi="Times New Roman" w:cs="Times New Roman"/>
          <w:sz w:val="28"/>
          <w:szCs w:val="28"/>
          <w:lang w:val="uk-UA"/>
        </w:rPr>
        <w:t>подальш</w:t>
      </w:r>
      <w:r w:rsidR="001225FC" w:rsidRPr="00A03291">
        <w:rPr>
          <w:rFonts w:ascii="Times New Roman" w:hAnsi="Times New Roman" w:cs="Times New Roman"/>
          <w:sz w:val="28"/>
          <w:szCs w:val="28"/>
          <w:lang w:val="uk-UA"/>
        </w:rPr>
        <w:t>им їх виснаже</w:t>
      </w:r>
      <w:r w:rsidR="00FD104A">
        <w:rPr>
          <w:rFonts w:ascii="Times New Roman" w:hAnsi="Times New Roman" w:cs="Times New Roman"/>
          <w:sz w:val="28"/>
          <w:szCs w:val="28"/>
          <w:lang w:val="uk-UA"/>
        </w:rPr>
        <w:t xml:space="preserve">нням і порушенням його функції </w:t>
      </w:r>
      <w:r w:rsidR="001225FC"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96</w:t>
      </w:r>
      <w:r w:rsidR="001225FC" w:rsidRPr="00CA04D8">
        <w:rPr>
          <w:rFonts w:ascii="Times New Roman" w:hAnsi="Times New Roman" w:cs="Times New Roman"/>
          <w:sz w:val="28"/>
          <w:szCs w:val="28"/>
          <w:lang w:val="uk-UA"/>
        </w:rPr>
        <w:t>].</w:t>
      </w:r>
    </w:p>
    <w:p w:rsidR="001225FC" w:rsidRPr="00A03291" w:rsidRDefault="002E5BEB" w:rsidP="002E5BE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317D5">
        <w:rPr>
          <w:rFonts w:ascii="Times New Roman" w:hAnsi="Times New Roman" w:cs="Times New Roman"/>
          <w:sz w:val="28"/>
          <w:szCs w:val="28"/>
          <w:lang w:val="uk-UA"/>
        </w:rPr>
        <w:t>Ураження міокарда</w:t>
      </w:r>
      <w:r w:rsidR="00900EDE">
        <w:rPr>
          <w:rFonts w:ascii="Times New Roman" w:hAnsi="Times New Roman" w:cs="Times New Roman"/>
          <w:sz w:val="28"/>
          <w:szCs w:val="28"/>
          <w:lang w:val="uk-UA"/>
        </w:rPr>
        <w:t xml:space="preserve"> </w:t>
      </w:r>
      <w:r w:rsidR="00900EDE" w:rsidRPr="00900EDE">
        <w:rPr>
          <w:rFonts w:ascii="Times New Roman" w:hAnsi="Times New Roman" w:cs="Times New Roman"/>
          <w:sz w:val="28"/>
          <w:szCs w:val="28"/>
          <w:lang w:val="uk-UA"/>
        </w:rPr>
        <w:t xml:space="preserve">у </w:t>
      </w:r>
      <w:r w:rsidR="00900EDE">
        <w:rPr>
          <w:rFonts w:ascii="Times New Roman" w:hAnsi="Times New Roman" w:cs="Times New Roman"/>
          <w:sz w:val="28"/>
          <w:szCs w:val="28"/>
          <w:lang w:val="uk-UA"/>
        </w:rPr>
        <w:t>пацієнтів із</w:t>
      </w:r>
      <w:r w:rsidR="001225FC" w:rsidRPr="00A03291">
        <w:rPr>
          <w:rFonts w:ascii="Times New Roman" w:hAnsi="Times New Roman" w:cs="Times New Roman"/>
          <w:sz w:val="28"/>
          <w:szCs w:val="28"/>
          <w:lang w:val="uk-UA"/>
        </w:rPr>
        <w:t xml:space="preserve"> ЦД розвивається незалежно </w:t>
      </w:r>
      <w:r w:rsidR="00A576B9">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від наявності атеро</w:t>
      </w:r>
      <w:r w:rsidR="00900EDE">
        <w:rPr>
          <w:rFonts w:ascii="Times New Roman" w:hAnsi="Times New Roman" w:cs="Times New Roman"/>
          <w:sz w:val="28"/>
          <w:szCs w:val="28"/>
          <w:lang w:val="uk-UA"/>
        </w:rPr>
        <w:t xml:space="preserve">склерозу коронарних артерій. Варто зазначити, </w:t>
      </w:r>
      <w:r w:rsidR="00A576B9">
        <w:rPr>
          <w:rFonts w:ascii="Times New Roman" w:hAnsi="Times New Roman" w:cs="Times New Roman"/>
          <w:sz w:val="28"/>
          <w:szCs w:val="28"/>
          <w:lang w:val="uk-UA"/>
        </w:rPr>
        <w:t xml:space="preserve">              </w:t>
      </w:r>
      <w:r w:rsidR="00900EDE">
        <w:rPr>
          <w:rFonts w:ascii="Times New Roman" w:hAnsi="Times New Roman" w:cs="Times New Roman"/>
          <w:sz w:val="28"/>
          <w:szCs w:val="28"/>
          <w:lang w:val="uk-UA"/>
        </w:rPr>
        <w:t>що у хворих на</w:t>
      </w:r>
      <w:r w:rsidR="001225FC" w:rsidRPr="00A03291">
        <w:rPr>
          <w:rFonts w:ascii="Times New Roman" w:hAnsi="Times New Roman" w:cs="Times New Roman"/>
          <w:sz w:val="28"/>
          <w:szCs w:val="28"/>
          <w:lang w:val="uk-UA"/>
        </w:rPr>
        <w:t xml:space="preserve"> ЦД відбувається прис</w:t>
      </w:r>
      <w:r w:rsidR="00073A38">
        <w:rPr>
          <w:rFonts w:ascii="Times New Roman" w:hAnsi="Times New Roman" w:cs="Times New Roman"/>
          <w:sz w:val="28"/>
          <w:szCs w:val="28"/>
          <w:lang w:val="uk-UA"/>
        </w:rPr>
        <w:t>корення розвитку атеросклерозу.</w:t>
      </w:r>
      <w:r>
        <w:rPr>
          <w:rFonts w:ascii="Times New Roman" w:hAnsi="Times New Roman" w:cs="Times New Roman"/>
          <w:sz w:val="28"/>
          <w:szCs w:val="28"/>
          <w:lang w:val="uk-UA"/>
        </w:rPr>
        <w:t xml:space="preserve"> </w:t>
      </w:r>
      <w:r w:rsidR="001225FC" w:rsidRPr="00340897">
        <w:rPr>
          <w:rFonts w:ascii="Times New Roman" w:hAnsi="Times New Roman" w:cs="Times New Roman"/>
          <w:sz w:val="28"/>
          <w:szCs w:val="28"/>
          <w:lang w:val="uk-UA"/>
        </w:rPr>
        <w:t>Гіперглікемія, гіперінсул</w:t>
      </w:r>
      <w:r w:rsidR="00331206">
        <w:rPr>
          <w:rFonts w:ascii="Times New Roman" w:hAnsi="Times New Roman" w:cs="Times New Roman"/>
          <w:sz w:val="28"/>
          <w:szCs w:val="28"/>
          <w:lang w:val="uk-UA"/>
        </w:rPr>
        <w:t>інемія та ІР</w:t>
      </w:r>
      <w:r w:rsidR="001225FC" w:rsidRPr="00340897">
        <w:rPr>
          <w:rFonts w:ascii="Times New Roman" w:hAnsi="Times New Roman" w:cs="Times New Roman"/>
          <w:sz w:val="28"/>
          <w:szCs w:val="28"/>
          <w:lang w:val="uk-UA"/>
        </w:rPr>
        <w:t xml:space="preserve"> </w:t>
      </w:r>
      <w:r w:rsidR="00475196">
        <w:rPr>
          <w:rFonts w:ascii="Times New Roman" w:hAnsi="Times New Roman" w:cs="Times New Roman"/>
          <w:sz w:val="28"/>
          <w:szCs w:val="28"/>
          <w:lang w:val="uk-UA"/>
        </w:rPr>
        <w:t>спричиняють</w:t>
      </w:r>
      <w:r w:rsidR="001225FC" w:rsidRPr="00340897">
        <w:rPr>
          <w:rFonts w:ascii="Times New Roman" w:hAnsi="Times New Roman" w:cs="Times New Roman"/>
          <w:sz w:val="28"/>
          <w:szCs w:val="28"/>
          <w:lang w:val="uk-UA"/>
        </w:rPr>
        <w:t xml:space="preserve"> посилення  ліполізу та вивільнення великої кількості вільних </w:t>
      </w:r>
      <w:r w:rsidR="0087498F">
        <w:rPr>
          <w:rFonts w:ascii="Times New Roman" w:hAnsi="Times New Roman" w:cs="Times New Roman"/>
          <w:sz w:val="28"/>
          <w:szCs w:val="28"/>
          <w:lang w:val="uk-UA"/>
        </w:rPr>
        <w:t xml:space="preserve">жирних кислот </w:t>
      </w:r>
      <w:r w:rsidR="00900EDE">
        <w:rPr>
          <w:rFonts w:ascii="Times New Roman" w:hAnsi="Times New Roman" w:cs="Times New Roman"/>
          <w:sz w:val="28"/>
          <w:szCs w:val="28"/>
          <w:lang w:val="uk-UA"/>
        </w:rPr>
        <w:t>із жирової тканини. Це</w:t>
      </w:r>
      <w:r w:rsidR="001225FC" w:rsidRPr="00A03291">
        <w:rPr>
          <w:rFonts w:ascii="Times New Roman" w:hAnsi="Times New Roman" w:cs="Times New Roman"/>
          <w:sz w:val="28"/>
          <w:szCs w:val="28"/>
          <w:lang w:val="uk-UA"/>
        </w:rPr>
        <w:t xml:space="preserve"> </w:t>
      </w:r>
      <w:r w:rsidR="00475196">
        <w:rPr>
          <w:rFonts w:ascii="Times New Roman" w:hAnsi="Times New Roman" w:cs="Times New Roman"/>
          <w:sz w:val="28"/>
          <w:szCs w:val="28"/>
          <w:lang w:val="uk-UA"/>
        </w:rPr>
        <w:t>призводить</w:t>
      </w:r>
      <w:r w:rsidR="001225FC" w:rsidRPr="00A03291">
        <w:rPr>
          <w:rFonts w:ascii="Times New Roman" w:hAnsi="Times New Roman" w:cs="Times New Roman"/>
          <w:sz w:val="28"/>
          <w:szCs w:val="28"/>
          <w:lang w:val="uk-UA"/>
        </w:rPr>
        <w:t xml:space="preserve"> до пошкодження судинної стінки і посилення процесів атерогенезу. </w:t>
      </w:r>
      <w:r w:rsidR="00B5178B">
        <w:rPr>
          <w:rFonts w:ascii="Times New Roman" w:hAnsi="Times New Roman" w:cs="Times New Roman"/>
          <w:sz w:val="28"/>
          <w:szCs w:val="28"/>
          <w:lang w:val="uk-UA"/>
        </w:rPr>
        <w:t xml:space="preserve">Хоча порушення </w:t>
      </w:r>
      <w:r w:rsidR="001225FC" w:rsidRPr="00FD104A">
        <w:rPr>
          <w:rFonts w:ascii="Times New Roman" w:hAnsi="Times New Roman" w:cs="Times New Roman"/>
          <w:sz w:val="28"/>
          <w:szCs w:val="28"/>
          <w:lang w:val="uk-UA"/>
        </w:rPr>
        <w:t xml:space="preserve">ліпідного обміну, пов’язані з ЦД, </w:t>
      </w:r>
      <w:r w:rsidR="00475196">
        <w:rPr>
          <w:rFonts w:ascii="Times New Roman" w:hAnsi="Times New Roman" w:cs="Times New Roman"/>
          <w:sz w:val="28"/>
          <w:szCs w:val="28"/>
          <w:lang w:val="uk-UA"/>
        </w:rPr>
        <w:t xml:space="preserve">прямо </w:t>
      </w:r>
      <w:r w:rsidR="00A576B9">
        <w:rPr>
          <w:rFonts w:ascii="Times New Roman" w:hAnsi="Times New Roman" w:cs="Times New Roman"/>
          <w:sz w:val="28"/>
          <w:szCs w:val="28"/>
          <w:lang w:val="uk-UA"/>
        </w:rPr>
        <w:t xml:space="preserve">          </w:t>
      </w:r>
      <w:r w:rsidR="00475196">
        <w:rPr>
          <w:rFonts w:ascii="Times New Roman" w:hAnsi="Times New Roman" w:cs="Times New Roman"/>
          <w:sz w:val="28"/>
          <w:szCs w:val="28"/>
          <w:lang w:val="uk-UA"/>
        </w:rPr>
        <w:t>не впливають</w:t>
      </w:r>
      <w:r w:rsidR="00A576B9">
        <w:rPr>
          <w:rFonts w:ascii="Times New Roman" w:hAnsi="Times New Roman" w:cs="Times New Roman"/>
          <w:sz w:val="28"/>
          <w:szCs w:val="28"/>
          <w:lang w:val="uk-UA"/>
        </w:rPr>
        <w:t xml:space="preserve"> </w:t>
      </w:r>
      <w:r w:rsidR="001225FC" w:rsidRPr="00FD104A">
        <w:rPr>
          <w:rFonts w:ascii="Times New Roman" w:hAnsi="Times New Roman" w:cs="Times New Roman"/>
          <w:sz w:val="28"/>
          <w:szCs w:val="28"/>
          <w:lang w:val="uk-UA"/>
        </w:rPr>
        <w:t>на розвиток</w:t>
      </w:r>
      <w:r w:rsidRPr="002E5BEB">
        <w:rPr>
          <w:rFonts w:ascii="Times New Roman" w:hAnsi="Times New Roman" w:cs="Times New Roman"/>
          <w:sz w:val="28"/>
          <w:szCs w:val="28"/>
        </w:rPr>
        <w:t xml:space="preserve"> </w:t>
      </w:r>
      <w:r>
        <w:rPr>
          <w:rFonts w:ascii="Times New Roman" w:hAnsi="Times New Roman" w:cs="Times New Roman"/>
          <w:sz w:val="28"/>
          <w:szCs w:val="28"/>
          <w:lang w:val="uk-UA"/>
        </w:rPr>
        <w:t>пошкодження серця</w:t>
      </w:r>
      <w:r w:rsidR="00900EDE">
        <w:rPr>
          <w:rFonts w:ascii="Times New Roman" w:hAnsi="Times New Roman" w:cs="Times New Roman"/>
          <w:sz w:val="28"/>
          <w:szCs w:val="28"/>
          <w:lang w:val="uk-UA"/>
        </w:rPr>
        <w:t>,</w:t>
      </w:r>
      <w:r w:rsidR="001225FC" w:rsidRPr="00FD104A">
        <w:rPr>
          <w:rFonts w:ascii="Times New Roman" w:hAnsi="Times New Roman" w:cs="Times New Roman"/>
          <w:sz w:val="28"/>
          <w:szCs w:val="28"/>
          <w:lang w:val="uk-UA"/>
        </w:rPr>
        <w:t xml:space="preserve"> часто вони відповідають </w:t>
      </w:r>
      <w:r w:rsidR="00A576B9">
        <w:rPr>
          <w:rFonts w:ascii="Times New Roman" w:hAnsi="Times New Roman" w:cs="Times New Roman"/>
          <w:sz w:val="28"/>
          <w:szCs w:val="28"/>
          <w:lang w:val="uk-UA"/>
        </w:rPr>
        <w:t xml:space="preserve">       </w:t>
      </w:r>
      <w:r w:rsidR="001225FC" w:rsidRPr="00FD104A">
        <w:rPr>
          <w:rFonts w:ascii="Times New Roman" w:hAnsi="Times New Roman" w:cs="Times New Roman"/>
          <w:sz w:val="28"/>
          <w:szCs w:val="28"/>
          <w:lang w:val="uk-UA"/>
        </w:rPr>
        <w:t xml:space="preserve">за розвиток коронарного атеросклерозу </w:t>
      </w:r>
      <w:r w:rsidR="00475196">
        <w:rPr>
          <w:rFonts w:ascii="Times New Roman" w:hAnsi="Times New Roman" w:cs="Times New Roman"/>
          <w:sz w:val="28"/>
          <w:szCs w:val="28"/>
          <w:lang w:val="uk-UA"/>
        </w:rPr>
        <w:t>в</w:t>
      </w:r>
      <w:r>
        <w:rPr>
          <w:rFonts w:ascii="Times New Roman" w:hAnsi="Times New Roman" w:cs="Times New Roman"/>
          <w:sz w:val="28"/>
          <w:szCs w:val="28"/>
          <w:lang w:val="uk-UA"/>
        </w:rPr>
        <w:t xml:space="preserve"> цих пацієнтів</w:t>
      </w:r>
      <w:r w:rsidR="001225FC" w:rsidRPr="00A03291">
        <w:rPr>
          <w:rFonts w:ascii="Times New Roman" w:hAnsi="Times New Roman" w:cs="Times New Roman"/>
          <w:sz w:val="28"/>
          <w:szCs w:val="28"/>
          <w:lang w:val="uk-UA"/>
        </w:rPr>
        <w:t xml:space="preserve">. </w:t>
      </w:r>
      <w:r w:rsidR="00900EDE">
        <w:rPr>
          <w:rFonts w:ascii="Times New Roman" w:hAnsi="Times New Roman" w:cs="Times New Roman"/>
          <w:sz w:val="28"/>
          <w:szCs w:val="28"/>
          <w:lang w:val="uk-UA"/>
        </w:rPr>
        <w:t>П</w:t>
      </w:r>
      <w:r w:rsidR="001225FC" w:rsidRPr="00A03291">
        <w:rPr>
          <w:rFonts w:ascii="Times New Roman" w:hAnsi="Times New Roman" w:cs="Times New Roman"/>
          <w:sz w:val="28"/>
          <w:szCs w:val="28"/>
          <w:lang w:val="uk-UA"/>
        </w:rPr>
        <w:t>орушення метабо</w:t>
      </w:r>
      <w:r w:rsidR="00900EDE">
        <w:rPr>
          <w:rFonts w:ascii="Times New Roman" w:hAnsi="Times New Roman" w:cs="Times New Roman"/>
          <w:sz w:val="28"/>
          <w:szCs w:val="28"/>
          <w:lang w:val="uk-UA"/>
        </w:rPr>
        <w:t xml:space="preserve">лізму кардіоміоцитів, діабетична вегетативна нейропатія, мікроангіопатія є пусковими механізмами </w:t>
      </w:r>
      <w:r w:rsidR="007F5959">
        <w:rPr>
          <w:rFonts w:ascii="Times New Roman" w:hAnsi="Times New Roman" w:cs="Times New Roman"/>
          <w:sz w:val="28"/>
          <w:szCs w:val="28"/>
          <w:lang w:val="uk-UA"/>
        </w:rPr>
        <w:t xml:space="preserve">ураження міокарда за наявності ЦД </w:t>
      </w:r>
      <w:r w:rsidR="001225FC" w:rsidRPr="00A03291">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95</w:t>
      </w:r>
      <w:r w:rsidR="001225FC" w:rsidRPr="00CA04D8">
        <w:rPr>
          <w:rFonts w:ascii="Times New Roman" w:hAnsi="Times New Roman" w:cs="Times New Roman"/>
          <w:sz w:val="28"/>
          <w:szCs w:val="28"/>
          <w:lang w:val="uk-UA"/>
        </w:rPr>
        <w:t>].</w:t>
      </w:r>
    </w:p>
    <w:p w:rsidR="00F0278E" w:rsidRDefault="00446330" w:rsidP="00E8108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5720">
        <w:rPr>
          <w:rFonts w:ascii="Times New Roman" w:hAnsi="Times New Roman" w:cs="Times New Roman"/>
          <w:sz w:val="28"/>
          <w:szCs w:val="28"/>
          <w:lang w:val="uk-UA"/>
        </w:rPr>
        <w:t>Інсулінорезистентність</w:t>
      </w:r>
      <w:r w:rsidR="008C2CC2">
        <w:rPr>
          <w:rFonts w:ascii="Times New Roman" w:hAnsi="Times New Roman" w:cs="Times New Roman"/>
          <w:sz w:val="28"/>
          <w:szCs w:val="28"/>
          <w:lang w:val="uk-UA"/>
        </w:rPr>
        <w:t xml:space="preserve"> та гіперінсулінемія</w:t>
      </w:r>
      <w:r w:rsidR="00900EDE">
        <w:rPr>
          <w:rFonts w:ascii="Times New Roman" w:hAnsi="Times New Roman" w:cs="Times New Roman"/>
          <w:sz w:val="28"/>
          <w:szCs w:val="28"/>
          <w:lang w:val="uk-UA"/>
        </w:rPr>
        <w:t xml:space="preserve"> відіграють істотну роль </w:t>
      </w:r>
      <w:r w:rsidR="00A068F8">
        <w:rPr>
          <w:rFonts w:ascii="Times New Roman" w:hAnsi="Times New Roman" w:cs="Times New Roman"/>
          <w:sz w:val="28"/>
          <w:szCs w:val="28"/>
          <w:lang w:val="uk-UA"/>
        </w:rPr>
        <w:t xml:space="preserve">      </w:t>
      </w:r>
      <w:r w:rsidR="00900EDE">
        <w:rPr>
          <w:rFonts w:ascii="Times New Roman" w:hAnsi="Times New Roman" w:cs="Times New Roman"/>
          <w:sz w:val="28"/>
          <w:szCs w:val="28"/>
          <w:lang w:val="uk-UA"/>
        </w:rPr>
        <w:t xml:space="preserve">у патогенезі </w:t>
      </w:r>
      <w:r w:rsidR="00D72645" w:rsidRPr="00D72645">
        <w:rPr>
          <w:rFonts w:ascii="Times New Roman" w:hAnsi="Times New Roman" w:cs="Times New Roman"/>
          <w:sz w:val="28"/>
          <w:szCs w:val="28"/>
          <w:lang w:val="uk-UA"/>
        </w:rPr>
        <w:t>ремоделювання ЛШ у хворих на АГ та ЦД 2-го типу</w:t>
      </w:r>
      <w:r w:rsidR="00D72645">
        <w:rPr>
          <w:rFonts w:ascii="Times New Roman" w:hAnsi="Times New Roman" w:cs="Times New Roman"/>
          <w:sz w:val="28"/>
          <w:szCs w:val="28"/>
          <w:lang w:val="uk-UA"/>
        </w:rPr>
        <w:t xml:space="preserve">. </w:t>
      </w:r>
      <w:r w:rsidR="00A068F8">
        <w:rPr>
          <w:rFonts w:ascii="Times New Roman" w:hAnsi="Times New Roman" w:cs="Times New Roman"/>
          <w:sz w:val="28"/>
          <w:szCs w:val="28"/>
          <w:lang w:val="uk-UA"/>
        </w:rPr>
        <w:t xml:space="preserve">                  </w:t>
      </w:r>
      <w:r w:rsidR="00D72645">
        <w:rPr>
          <w:rFonts w:ascii="Times New Roman" w:hAnsi="Times New Roman" w:cs="Times New Roman"/>
          <w:sz w:val="28"/>
          <w:szCs w:val="28"/>
          <w:lang w:val="uk-UA"/>
        </w:rPr>
        <w:t>Ці порушення</w:t>
      </w:r>
      <w:r w:rsidR="008C2CC2">
        <w:rPr>
          <w:rFonts w:ascii="Times New Roman" w:hAnsi="Times New Roman" w:cs="Times New Roman"/>
          <w:sz w:val="28"/>
          <w:szCs w:val="28"/>
          <w:lang w:val="uk-UA"/>
        </w:rPr>
        <w:t xml:space="preserve"> </w:t>
      </w:r>
      <w:r w:rsidR="00D72645">
        <w:rPr>
          <w:rFonts w:ascii="Times New Roman" w:hAnsi="Times New Roman" w:cs="Times New Roman"/>
          <w:sz w:val="28"/>
          <w:szCs w:val="28"/>
          <w:lang w:val="uk-UA"/>
        </w:rPr>
        <w:t>запускають</w:t>
      </w:r>
      <w:r w:rsidR="00F0278E" w:rsidRPr="00F0278E">
        <w:rPr>
          <w:rFonts w:ascii="Times New Roman" w:hAnsi="Times New Roman" w:cs="Times New Roman"/>
          <w:sz w:val="28"/>
          <w:szCs w:val="28"/>
          <w:lang w:val="uk-UA"/>
        </w:rPr>
        <w:t xml:space="preserve"> серію нейрогумора</w:t>
      </w:r>
      <w:r w:rsidR="008C2CC2">
        <w:rPr>
          <w:rFonts w:ascii="Times New Roman" w:hAnsi="Times New Roman" w:cs="Times New Roman"/>
          <w:sz w:val="28"/>
          <w:szCs w:val="28"/>
          <w:lang w:val="uk-UA"/>
        </w:rPr>
        <w:t>льних, метаболічних процесів, які</w:t>
      </w:r>
      <w:r w:rsidR="00F0278E" w:rsidRPr="00F0278E">
        <w:rPr>
          <w:rFonts w:ascii="Times New Roman" w:hAnsi="Times New Roman" w:cs="Times New Roman"/>
          <w:sz w:val="28"/>
          <w:szCs w:val="28"/>
          <w:lang w:val="uk-UA"/>
        </w:rPr>
        <w:t xml:space="preserve"> </w:t>
      </w:r>
      <w:r w:rsidR="00D44EF4">
        <w:rPr>
          <w:rFonts w:ascii="Times New Roman" w:hAnsi="Times New Roman" w:cs="Times New Roman"/>
          <w:sz w:val="28"/>
          <w:szCs w:val="28"/>
          <w:lang w:val="uk-UA"/>
        </w:rPr>
        <w:t>є</w:t>
      </w:r>
      <w:r w:rsidR="00F0278E" w:rsidRPr="00F0278E">
        <w:rPr>
          <w:rFonts w:ascii="Times New Roman" w:hAnsi="Times New Roman" w:cs="Times New Roman"/>
          <w:sz w:val="28"/>
          <w:szCs w:val="28"/>
          <w:lang w:val="uk-UA"/>
        </w:rPr>
        <w:t xml:space="preserve"> основ</w:t>
      </w:r>
      <w:r w:rsidR="00D44EF4">
        <w:rPr>
          <w:rFonts w:ascii="Times New Roman" w:hAnsi="Times New Roman" w:cs="Times New Roman"/>
          <w:sz w:val="28"/>
          <w:szCs w:val="28"/>
          <w:lang w:val="uk-UA"/>
        </w:rPr>
        <w:t>ою</w:t>
      </w:r>
      <w:r w:rsidR="00F0278E" w:rsidRPr="00F0278E">
        <w:rPr>
          <w:rFonts w:ascii="Times New Roman" w:hAnsi="Times New Roman" w:cs="Times New Roman"/>
          <w:sz w:val="28"/>
          <w:szCs w:val="28"/>
          <w:lang w:val="uk-UA"/>
        </w:rPr>
        <w:t xml:space="preserve"> раннього та переважно гіпертрофічного ремоделювання ЛШ при</w:t>
      </w:r>
      <w:r w:rsidR="00684473">
        <w:rPr>
          <w:rFonts w:ascii="Times New Roman" w:hAnsi="Times New Roman" w:cs="Times New Roman"/>
          <w:sz w:val="28"/>
          <w:szCs w:val="28"/>
          <w:lang w:val="uk-UA"/>
        </w:rPr>
        <w:t xml:space="preserve"> коморбідній патології. Відбувається активація</w:t>
      </w:r>
      <w:r w:rsidR="00F0278E" w:rsidRPr="00F0278E">
        <w:rPr>
          <w:rFonts w:ascii="Times New Roman" w:hAnsi="Times New Roman" w:cs="Times New Roman"/>
          <w:sz w:val="28"/>
          <w:szCs w:val="28"/>
          <w:lang w:val="uk-UA"/>
        </w:rPr>
        <w:t xml:space="preserve"> симпат</w:t>
      </w:r>
      <w:r w:rsidR="00684473">
        <w:rPr>
          <w:rFonts w:ascii="Times New Roman" w:hAnsi="Times New Roman" w:cs="Times New Roman"/>
          <w:sz w:val="28"/>
          <w:szCs w:val="28"/>
          <w:lang w:val="uk-UA"/>
        </w:rPr>
        <w:t>оадреналової, РААС з подальшою трансформацією</w:t>
      </w:r>
      <w:r w:rsidR="00F0278E" w:rsidRPr="00F0278E">
        <w:rPr>
          <w:rFonts w:ascii="Times New Roman" w:hAnsi="Times New Roman" w:cs="Times New Roman"/>
          <w:sz w:val="28"/>
          <w:szCs w:val="28"/>
          <w:lang w:val="uk-UA"/>
        </w:rPr>
        <w:t xml:space="preserve"> гіперкінетичного, гіперренінового варі</w:t>
      </w:r>
      <w:r w:rsidR="00D44EF4">
        <w:rPr>
          <w:rFonts w:ascii="Times New Roman" w:hAnsi="Times New Roman" w:cs="Times New Roman"/>
          <w:sz w:val="28"/>
          <w:szCs w:val="28"/>
          <w:lang w:val="uk-UA"/>
        </w:rPr>
        <w:t>а</w:t>
      </w:r>
      <w:r w:rsidR="00673795">
        <w:rPr>
          <w:rFonts w:ascii="Times New Roman" w:hAnsi="Times New Roman" w:cs="Times New Roman"/>
          <w:sz w:val="28"/>
          <w:szCs w:val="28"/>
          <w:lang w:val="uk-UA"/>
        </w:rPr>
        <w:t xml:space="preserve">нта гіпертензії </w:t>
      </w:r>
      <w:r w:rsidR="00F0278E" w:rsidRPr="00F0278E">
        <w:rPr>
          <w:rFonts w:ascii="Times New Roman" w:hAnsi="Times New Roman" w:cs="Times New Roman"/>
          <w:sz w:val="28"/>
          <w:szCs w:val="28"/>
          <w:lang w:val="uk-UA"/>
        </w:rPr>
        <w:t>в об</w:t>
      </w:r>
      <w:r w:rsidR="00D44EF4">
        <w:rPr>
          <w:rFonts w:ascii="Times New Roman" w:hAnsi="Times New Roman" w:cs="Times New Roman"/>
          <w:sz w:val="28"/>
          <w:szCs w:val="28"/>
          <w:lang w:val="uk-UA"/>
        </w:rPr>
        <w:t>’</w:t>
      </w:r>
      <w:r w:rsidR="00F0278E" w:rsidRPr="00F0278E">
        <w:rPr>
          <w:rFonts w:ascii="Times New Roman" w:hAnsi="Times New Roman" w:cs="Times New Roman"/>
          <w:sz w:val="28"/>
          <w:szCs w:val="28"/>
          <w:lang w:val="uk-UA"/>
        </w:rPr>
        <w:t>єм</w:t>
      </w:r>
      <w:r w:rsidR="00D44EF4">
        <w:rPr>
          <w:rFonts w:ascii="Times New Roman" w:hAnsi="Times New Roman" w:cs="Times New Roman"/>
          <w:sz w:val="28"/>
          <w:szCs w:val="28"/>
          <w:lang w:val="uk-UA"/>
        </w:rPr>
        <w:t>о</w:t>
      </w:r>
      <w:r w:rsidR="00F0278E" w:rsidRPr="00F0278E">
        <w:rPr>
          <w:rFonts w:ascii="Times New Roman" w:hAnsi="Times New Roman" w:cs="Times New Roman"/>
          <w:sz w:val="28"/>
          <w:szCs w:val="28"/>
          <w:lang w:val="uk-UA"/>
        </w:rPr>
        <w:t xml:space="preserve">залежний. </w:t>
      </w:r>
      <w:r w:rsidR="00684473">
        <w:rPr>
          <w:rFonts w:ascii="Times New Roman" w:hAnsi="Times New Roman" w:cs="Times New Roman"/>
          <w:sz w:val="28"/>
          <w:szCs w:val="28"/>
          <w:lang w:val="uk-UA"/>
        </w:rPr>
        <w:t>Г</w:t>
      </w:r>
      <w:r w:rsidR="00F0278E" w:rsidRPr="00F0278E">
        <w:rPr>
          <w:rFonts w:ascii="Times New Roman" w:hAnsi="Times New Roman" w:cs="Times New Roman"/>
          <w:sz w:val="28"/>
          <w:szCs w:val="28"/>
          <w:lang w:val="uk-UA"/>
        </w:rPr>
        <w:t>іпертрофічні та проліферативні про</w:t>
      </w:r>
      <w:r w:rsidR="006E38AF">
        <w:rPr>
          <w:rFonts w:ascii="Times New Roman" w:hAnsi="Times New Roman" w:cs="Times New Roman"/>
          <w:sz w:val="28"/>
          <w:szCs w:val="28"/>
          <w:lang w:val="uk-UA"/>
        </w:rPr>
        <w:t xml:space="preserve">цеси, одним з яких є активація </w:t>
      </w:r>
      <w:r w:rsidR="00F0278E" w:rsidRPr="00F0278E">
        <w:rPr>
          <w:rFonts w:ascii="Times New Roman" w:hAnsi="Times New Roman" w:cs="Times New Roman"/>
          <w:sz w:val="28"/>
          <w:szCs w:val="28"/>
          <w:lang w:val="uk-UA"/>
        </w:rPr>
        <w:t>ФНП-α, призводять до швидкого гіпертрофічного ремоделювання, доповнюються процесами перевантаження серця об</w:t>
      </w:r>
      <w:r w:rsidR="00D44EF4">
        <w:rPr>
          <w:rFonts w:ascii="Times New Roman" w:hAnsi="Times New Roman" w:cs="Times New Roman"/>
          <w:sz w:val="28"/>
          <w:szCs w:val="28"/>
          <w:lang w:val="uk-UA"/>
        </w:rPr>
        <w:t>’</w:t>
      </w:r>
      <w:r w:rsidR="00F0278E" w:rsidRPr="00F0278E">
        <w:rPr>
          <w:rFonts w:ascii="Times New Roman" w:hAnsi="Times New Roman" w:cs="Times New Roman"/>
          <w:sz w:val="28"/>
          <w:szCs w:val="28"/>
          <w:lang w:val="uk-UA"/>
        </w:rPr>
        <w:t>ємом, що призводить до ек</w:t>
      </w:r>
      <w:r w:rsidR="00D44EF4">
        <w:rPr>
          <w:rFonts w:ascii="Times New Roman" w:hAnsi="Times New Roman" w:cs="Times New Roman"/>
          <w:sz w:val="28"/>
          <w:szCs w:val="28"/>
          <w:lang w:val="uk-UA"/>
        </w:rPr>
        <w:t>с</w:t>
      </w:r>
      <w:r w:rsidR="00F0278E" w:rsidRPr="00F0278E">
        <w:rPr>
          <w:rFonts w:ascii="Times New Roman" w:hAnsi="Times New Roman" w:cs="Times New Roman"/>
          <w:sz w:val="28"/>
          <w:szCs w:val="28"/>
          <w:lang w:val="uk-UA"/>
        </w:rPr>
        <w:t>центричного ремоделювання [</w:t>
      </w:r>
      <w:r w:rsidR="002B600D" w:rsidRPr="00CA04D8">
        <w:rPr>
          <w:rFonts w:ascii="Times New Roman" w:hAnsi="Times New Roman" w:cs="Times New Roman"/>
          <w:sz w:val="28"/>
          <w:szCs w:val="28"/>
          <w:lang w:val="uk-UA"/>
        </w:rPr>
        <w:t>97</w:t>
      </w:r>
      <w:r w:rsidR="00F0278E" w:rsidRPr="00CA04D8">
        <w:rPr>
          <w:rFonts w:ascii="Times New Roman" w:hAnsi="Times New Roman" w:cs="Times New Roman"/>
          <w:sz w:val="28"/>
          <w:szCs w:val="28"/>
          <w:lang w:val="uk-UA"/>
        </w:rPr>
        <w:t>]</w:t>
      </w:r>
      <w:r w:rsidR="00F0278E" w:rsidRPr="00E323A9">
        <w:rPr>
          <w:rFonts w:ascii="Times New Roman" w:hAnsi="Times New Roman" w:cs="Times New Roman"/>
          <w:sz w:val="28"/>
          <w:szCs w:val="28"/>
          <w:lang w:val="uk-UA"/>
        </w:rPr>
        <w:t>.</w:t>
      </w:r>
      <w:r w:rsidR="00F0278E" w:rsidRPr="00F0278E">
        <w:rPr>
          <w:rFonts w:ascii="Times New Roman" w:hAnsi="Times New Roman" w:cs="Times New Roman"/>
          <w:sz w:val="28"/>
          <w:szCs w:val="28"/>
          <w:lang w:val="uk-UA"/>
        </w:rPr>
        <w:t xml:space="preserve"> </w:t>
      </w:r>
    </w:p>
    <w:p w:rsidR="001225FC" w:rsidRDefault="00446330" w:rsidP="00E8108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84473">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Інсулі</w:t>
      </w:r>
      <w:r w:rsidR="00D44EF4">
        <w:rPr>
          <w:rFonts w:ascii="Times New Roman" w:hAnsi="Times New Roman" w:cs="Times New Roman"/>
          <w:sz w:val="28"/>
          <w:szCs w:val="28"/>
          <w:lang w:val="uk-UA"/>
        </w:rPr>
        <w:t>н має властивості вазодилататора</w:t>
      </w:r>
      <w:r w:rsidR="001225FC" w:rsidRPr="00A03291">
        <w:rPr>
          <w:rFonts w:ascii="Times New Roman" w:hAnsi="Times New Roman" w:cs="Times New Roman"/>
          <w:sz w:val="28"/>
          <w:szCs w:val="28"/>
          <w:lang w:val="uk-UA"/>
        </w:rPr>
        <w:t xml:space="preserve"> за рахунок здатності пригнічувати потенціал</w:t>
      </w:r>
      <w:r w:rsidR="00D44EF4">
        <w:rPr>
          <w:rFonts w:ascii="Times New Roman" w:hAnsi="Times New Roman" w:cs="Times New Roman"/>
          <w:sz w:val="28"/>
          <w:szCs w:val="28"/>
          <w:lang w:val="uk-UA"/>
        </w:rPr>
        <w:t>о</w:t>
      </w:r>
      <w:r w:rsidR="001225FC" w:rsidRPr="00A03291">
        <w:rPr>
          <w:rFonts w:ascii="Times New Roman" w:hAnsi="Times New Roman" w:cs="Times New Roman"/>
          <w:sz w:val="28"/>
          <w:szCs w:val="28"/>
          <w:lang w:val="uk-UA"/>
        </w:rPr>
        <w:t xml:space="preserve">залежний потік іонів </w:t>
      </w:r>
      <w:r w:rsidR="001225FC" w:rsidRPr="00A03291">
        <w:rPr>
          <w:rFonts w:ascii="Times New Roman" w:hAnsi="Times New Roman" w:cs="Times New Roman"/>
          <w:sz w:val="28"/>
          <w:szCs w:val="28"/>
        </w:rPr>
        <w:t>Ca</w:t>
      </w:r>
      <w:r w:rsidR="001225FC" w:rsidRPr="00A03291">
        <w:rPr>
          <w:rFonts w:ascii="Times New Roman" w:hAnsi="Times New Roman" w:cs="Times New Roman"/>
          <w:sz w:val="28"/>
          <w:szCs w:val="28"/>
          <w:vertAlign w:val="superscript"/>
          <w:lang w:val="uk-UA"/>
        </w:rPr>
        <w:t>2+</w:t>
      </w:r>
      <w:r w:rsidR="001225FC" w:rsidRPr="00A03291">
        <w:rPr>
          <w:rFonts w:ascii="Times New Roman" w:hAnsi="Times New Roman" w:cs="Times New Roman"/>
          <w:sz w:val="28"/>
          <w:szCs w:val="28"/>
          <w:lang w:val="uk-UA"/>
        </w:rPr>
        <w:t>. Він сприяє стимуляції транспорту глюкози та ї</w:t>
      </w:r>
      <w:r w:rsidR="00866F92">
        <w:rPr>
          <w:rFonts w:ascii="Times New Roman" w:hAnsi="Times New Roman" w:cs="Times New Roman"/>
          <w:sz w:val="28"/>
          <w:szCs w:val="28"/>
          <w:lang w:val="uk-UA"/>
        </w:rPr>
        <w:t xml:space="preserve">ї </w:t>
      </w:r>
      <w:r w:rsidR="001225FC" w:rsidRPr="00A03291">
        <w:rPr>
          <w:rFonts w:ascii="Times New Roman" w:hAnsi="Times New Roman" w:cs="Times New Roman"/>
          <w:sz w:val="28"/>
          <w:szCs w:val="28"/>
          <w:lang w:val="uk-UA"/>
        </w:rPr>
        <w:t xml:space="preserve">фосфорилюванню з утворенням глюкозо-6-фосфату, який активує транскрипцію </w:t>
      </w:r>
      <w:r w:rsidR="001225FC" w:rsidRPr="00A03291">
        <w:rPr>
          <w:rFonts w:ascii="Times New Roman" w:hAnsi="Times New Roman" w:cs="Times New Roman"/>
          <w:sz w:val="28"/>
          <w:szCs w:val="28"/>
        </w:rPr>
        <w:t>Ca-АТФаз</w:t>
      </w:r>
      <w:r w:rsidR="001225FC" w:rsidRPr="00A03291">
        <w:rPr>
          <w:rFonts w:ascii="Times New Roman" w:hAnsi="Times New Roman" w:cs="Times New Roman"/>
          <w:sz w:val="28"/>
          <w:szCs w:val="28"/>
          <w:lang w:val="uk-UA"/>
        </w:rPr>
        <w:t>и</w:t>
      </w:r>
      <w:r w:rsidR="001225FC" w:rsidRPr="00A03291">
        <w:rPr>
          <w:rFonts w:ascii="Times New Roman" w:hAnsi="Times New Roman" w:cs="Times New Roman"/>
          <w:sz w:val="28"/>
          <w:szCs w:val="28"/>
        </w:rPr>
        <w:t xml:space="preserve">, </w:t>
      </w:r>
      <w:r w:rsidR="001225FC" w:rsidRPr="00A03291">
        <w:rPr>
          <w:rFonts w:ascii="Times New Roman" w:hAnsi="Times New Roman" w:cs="Times New Roman"/>
          <w:sz w:val="28"/>
          <w:szCs w:val="28"/>
          <w:lang w:val="uk-UA"/>
        </w:rPr>
        <w:t xml:space="preserve">що </w:t>
      </w:r>
      <w:r w:rsidR="001225FC" w:rsidRPr="00A03291">
        <w:rPr>
          <w:rFonts w:ascii="Times New Roman" w:hAnsi="Times New Roman" w:cs="Times New Roman"/>
          <w:sz w:val="28"/>
          <w:szCs w:val="28"/>
        </w:rPr>
        <w:t>при</w:t>
      </w:r>
      <w:r w:rsidR="001225FC" w:rsidRPr="00A03291">
        <w:rPr>
          <w:rFonts w:ascii="Times New Roman" w:hAnsi="Times New Roman" w:cs="Times New Roman"/>
          <w:sz w:val="28"/>
          <w:szCs w:val="28"/>
          <w:lang w:val="uk-UA"/>
        </w:rPr>
        <w:t>з</w:t>
      </w:r>
      <w:r w:rsidR="001225FC" w:rsidRPr="00A03291">
        <w:rPr>
          <w:rFonts w:ascii="Times New Roman" w:hAnsi="Times New Roman" w:cs="Times New Roman"/>
          <w:sz w:val="28"/>
          <w:szCs w:val="28"/>
        </w:rPr>
        <w:t>водит</w:t>
      </w:r>
      <w:r w:rsidR="001225FC" w:rsidRPr="00A03291">
        <w:rPr>
          <w:rFonts w:ascii="Times New Roman" w:hAnsi="Times New Roman" w:cs="Times New Roman"/>
          <w:sz w:val="28"/>
          <w:szCs w:val="28"/>
          <w:lang w:val="uk-UA"/>
        </w:rPr>
        <w:t xml:space="preserve">ь до зниження </w:t>
      </w:r>
      <w:r w:rsidR="001225FC" w:rsidRPr="00A03291">
        <w:rPr>
          <w:rFonts w:ascii="Times New Roman" w:hAnsi="Times New Roman" w:cs="Times New Roman"/>
          <w:sz w:val="28"/>
          <w:szCs w:val="28"/>
        </w:rPr>
        <w:t xml:space="preserve"> </w:t>
      </w:r>
      <w:r w:rsidR="001225FC" w:rsidRPr="00A03291">
        <w:rPr>
          <w:rFonts w:ascii="Times New Roman" w:hAnsi="Times New Roman" w:cs="Times New Roman"/>
          <w:sz w:val="28"/>
          <w:szCs w:val="28"/>
          <w:lang w:val="uk-UA"/>
        </w:rPr>
        <w:t xml:space="preserve">вмісту </w:t>
      </w:r>
      <w:r w:rsidR="001225FC" w:rsidRPr="00A03291">
        <w:rPr>
          <w:rFonts w:ascii="Times New Roman" w:hAnsi="Times New Roman" w:cs="Times New Roman"/>
          <w:sz w:val="28"/>
          <w:szCs w:val="28"/>
        </w:rPr>
        <w:t>внутр</w:t>
      </w:r>
      <w:r w:rsidR="001225FC" w:rsidRPr="00A03291">
        <w:rPr>
          <w:rFonts w:ascii="Times New Roman" w:hAnsi="Times New Roman" w:cs="Times New Roman"/>
          <w:sz w:val="28"/>
          <w:szCs w:val="28"/>
          <w:lang w:val="uk-UA"/>
        </w:rPr>
        <w:t xml:space="preserve">ішньоклітинного </w:t>
      </w:r>
      <w:r w:rsidR="001225FC" w:rsidRPr="00A03291">
        <w:rPr>
          <w:rFonts w:ascii="Times New Roman" w:hAnsi="Times New Roman" w:cs="Times New Roman"/>
          <w:sz w:val="28"/>
          <w:szCs w:val="28"/>
        </w:rPr>
        <w:t>Ca</w:t>
      </w:r>
      <w:r w:rsidR="001225FC" w:rsidRPr="00A03291">
        <w:rPr>
          <w:rFonts w:ascii="Times New Roman" w:hAnsi="Times New Roman" w:cs="Times New Roman"/>
          <w:sz w:val="28"/>
          <w:szCs w:val="28"/>
          <w:vertAlign w:val="superscript"/>
        </w:rPr>
        <w:t>2+</w:t>
      </w:r>
      <w:r w:rsidR="001225FC" w:rsidRPr="00A03291">
        <w:rPr>
          <w:rFonts w:ascii="Times New Roman" w:hAnsi="Times New Roman" w:cs="Times New Roman"/>
          <w:sz w:val="28"/>
          <w:szCs w:val="28"/>
        </w:rPr>
        <w:t> </w:t>
      </w:r>
      <w:r w:rsidR="001225FC" w:rsidRPr="00A03291">
        <w:rPr>
          <w:rFonts w:ascii="Times New Roman" w:hAnsi="Times New Roman" w:cs="Times New Roman"/>
          <w:sz w:val="28"/>
          <w:szCs w:val="28"/>
          <w:lang w:val="uk-UA"/>
        </w:rPr>
        <w:t>та зменшення</w:t>
      </w:r>
      <w:r w:rsidR="00073A38">
        <w:rPr>
          <w:rFonts w:ascii="Times New Roman" w:hAnsi="Times New Roman" w:cs="Times New Roman"/>
          <w:sz w:val="28"/>
          <w:szCs w:val="28"/>
          <w:lang w:val="uk-UA"/>
        </w:rPr>
        <w:t xml:space="preserve"> судинного опору. При АГ на фоні</w:t>
      </w:r>
      <w:r w:rsidR="001225FC" w:rsidRPr="00A03291">
        <w:rPr>
          <w:rFonts w:ascii="Times New Roman" w:hAnsi="Times New Roman" w:cs="Times New Roman"/>
          <w:sz w:val="28"/>
          <w:szCs w:val="28"/>
          <w:lang w:val="uk-UA"/>
        </w:rPr>
        <w:t xml:space="preserve"> ІР ці механізми порушуються, підвищується судинний опір, збільшується постнавантаження на серцевий м</w:t>
      </w:r>
      <w:r w:rsidR="00D44EF4">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яз, виникає ураження судинної стінки, </w:t>
      </w:r>
      <w:r w:rsidR="00B876C3">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що </w:t>
      </w:r>
      <w:r w:rsidR="00D4567E">
        <w:rPr>
          <w:rFonts w:ascii="Times New Roman" w:hAnsi="Times New Roman" w:cs="Times New Roman"/>
          <w:sz w:val="28"/>
          <w:szCs w:val="28"/>
          <w:lang w:val="uk-UA"/>
        </w:rPr>
        <w:t>включає пошкодження  ендотелію</w:t>
      </w:r>
      <w:r w:rsidR="001225FC" w:rsidRPr="00A03291">
        <w:rPr>
          <w:rFonts w:ascii="Times New Roman" w:hAnsi="Times New Roman" w:cs="Times New Roman"/>
          <w:sz w:val="28"/>
          <w:szCs w:val="28"/>
          <w:lang w:val="uk-UA"/>
        </w:rPr>
        <w:t xml:space="preserve">, зміни архітектоніки середньої та </w:t>
      </w:r>
      <w:r w:rsidR="001225FC" w:rsidRPr="00A03291">
        <w:rPr>
          <w:rFonts w:ascii="Times New Roman" w:hAnsi="Times New Roman" w:cs="Times New Roman"/>
          <w:sz w:val="28"/>
          <w:szCs w:val="28"/>
          <w:lang w:val="uk-UA"/>
        </w:rPr>
        <w:lastRenderedPageBreak/>
        <w:t>поверхневої оболон</w:t>
      </w:r>
      <w:r w:rsidR="00D44EF4">
        <w:rPr>
          <w:rFonts w:ascii="Times New Roman" w:hAnsi="Times New Roman" w:cs="Times New Roman"/>
          <w:sz w:val="28"/>
          <w:szCs w:val="28"/>
          <w:lang w:val="uk-UA"/>
        </w:rPr>
        <w:t>ок судин зі збільшенням в</w:t>
      </w:r>
      <w:r w:rsidR="001225FC" w:rsidRPr="00A03291">
        <w:rPr>
          <w:rFonts w:ascii="Times New Roman" w:hAnsi="Times New Roman" w:cs="Times New Roman"/>
          <w:sz w:val="28"/>
          <w:szCs w:val="28"/>
          <w:lang w:val="uk-UA"/>
        </w:rPr>
        <w:t xml:space="preserve"> їх структурі частк</w:t>
      </w:r>
      <w:r w:rsidR="00D44EF4">
        <w:rPr>
          <w:rFonts w:ascii="Times New Roman" w:hAnsi="Times New Roman" w:cs="Times New Roman"/>
          <w:sz w:val="28"/>
          <w:szCs w:val="28"/>
          <w:lang w:val="uk-UA"/>
        </w:rPr>
        <w:t>и сполучнотканинного  компонента</w:t>
      </w:r>
      <w:r w:rsidR="001225FC" w:rsidRPr="00A03291">
        <w:rPr>
          <w:rFonts w:ascii="Times New Roman" w:hAnsi="Times New Roman" w:cs="Times New Roman"/>
          <w:sz w:val="28"/>
          <w:szCs w:val="28"/>
          <w:lang w:val="uk-UA"/>
        </w:rPr>
        <w:t xml:space="preserve">. </w:t>
      </w:r>
      <w:r w:rsidR="005F27A2">
        <w:rPr>
          <w:rFonts w:ascii="Times New Roman" w:hAnsi="Times New Roman" w:cs="Times New Roman"/>
          <w:sz w:val="28"/>
          <w:szCs w:val="28"/>
          <w:lang w:val="uk-UA"/>
        </w:rPr>
        <w:t xml:space="preserve">У пацієнтів із АГ та </w:t>
      </w:r>
      <w:r w:rsidR="005F27A2">
        <w:rPr>
          <w:rFonts w:ascii="Times New Roman" w:hAnsi="Times New Roman" w:cs="Times New Roman"/>
          <w:sz w:val="28"/>
          <w:szCs w:val="28"/>
          <w:lang w:val="en-US"/>
        </w:rPr>
        <w:t>IP</w:t>
      </w:r>
      <w:r w:rsidR="005F27A2" w:rsidRPr="005F27A2">
        <w:rPr>
          <w:rFonts w:ascii="Times New Roman" w:hAnsi="Times New Roman" w:cs="Times New Roman"/>
          <w:sz w:val="28"/>
          <w:szCs w:val="28"/>
          <w:lang w:val="uk-UA"/>
        </w:rPr>
        <w:t xml:space="preserve"> підвищуєт</w:t>
      </w:r>
      <w:r w:rsidR="005F27A2">
        <w:rPr>
          <w:rFonts w:ascii="Times New Roman" w:hAnsi="Times New Roman" w:cs="Times New Roman"/>
          <w:sz w:val="28"/>
          <w:szCs w:val="28"/>
          <w:lang w:val="uk-UA"/>
        </w:rPr>
        <w:t>ься жорсткість судинної стінки внаслідок зменшення к</w:t>
      </w:r>
      <w:r w:rsidR="001225FC" w:rsidRPr="00A03291">
        <w:rPr>
          <w:rFonts w:ascii="Times New Roman" w:hAnsi="Times New Roman" w:cs="Times New Roman"/>
          <w:sz w:val="28"/>
          <w:szCs w:val="28"/>
          <w:lang w:val="uk-UA"/>
        </w:rPr>
        <w:t>і</w:t>
      </w:r>
      <w:r w:rsidR="001225FC" w:rsidRPr="00446330">
        <w:rPr>
          <w:rFonts w:ascii="Times New Roman" w:hAnsi="Times New Roman" w:cs="Times New Roman"/>
          <w:sz w:val="28"/>
          <w:szCs w:val="28"/>
          <w:lang w:val="uk-UA"/>
        </w:rPr>
        <w:t>л</w:t>
      </w:r>
      <w:r w:rsidR="005F27A2">
        <w:rPr>
          <w:rFonts w:ascii="Times New Roman" w:hAnsi="Times New Roman" w:cs="Times New Roman"/>
          <w:sz w:val="28"/>
          <w:szCs w:val="28"/>
          <w:lang w:val="uk-UA"/>
        </w:rPr>
        <w:t>ькості</w:t>
      </w:r>
      <w:r w:rsidR="001225FC" w:rsidRPr="00A03291">
        <w:rPr>
          <w:rFonts w:ascii="Times New Roman" w:hAnsi="Times New Roman" w:cs="Times New Roman"/>
          <w:sz w:val="28"/>
          <w:szCs w:val="28"/>
          <w:lang w:val="uk-UA"/>
        </w:rPr>
        <w:t xml:space="preserve"> е</w:t>
      </w:r>
      <w:r w:rsidR="001225FC" w:rsidRPr="00446330">
        <w:rPr>
          <w:rFonts w:ascii="Times New Roman" w:hAnsi="Times New Roman" w:cs="Times New Roman"/>
          <w:sz w:val="28"/>
          <w:szCs w:val="28"/>
          <w:lang w:val="uk-UA"/>
        </w:rPr>
        <w:t>ластич</w:t>
      </w:r>
      <w:r w:rsidR="001225FC" w:rsidRPr="00A03291">
        <w:rPr>
          <w:rFonts w:ascii="Times New Roman" w:hAnsi="Times New Roman" w:cs="Times New Roman"/>
          <w:sz w:val="28"/>
          <w:szCs w:val="28"/>
          <w:lang w:val="uk-UA"/>
        </w:rPr>
        <w:t>н</w:t>
      </w:r>
      <w:r w:rsidR="001225FC" w:rsidRPr="00446330">
        <w:rPr>
          <w:rFonts w:ascii="Times New Roman" w:hAnsi="Times New Roman" w:cs="Times New Roman"/>
          <w:sz w:val="28"/>
          <w:szCs w:val="28"/>
          <w:lang w:val="uk-UA"/>
        </w:rPr>
        <w:t xml:space="preserve">их волокон </w:t>
      </w:r>
      <w:r w:rsidR="005F27A2">
        <w:rPr>
          <w:rFonts w:ascii="Times New Roman" w:hAnsi="Times New Roman" w:cs="Times New Roman"/>
          <w:sz w:val="28"/>
          <w:szCs w:val="28"/>
          <w:lang w:val="uk-UA"/>
        </w:rPr>
        <w:t xml:space="preserve">і збільшення колагенових </w:t>
      </w:r>
      <w:r w:rsidR="001225FC" w:rsidRPr="00A03291">
        <w:rPr>
          <w:rFonts w:ascii="Times New Roman" w:hAnsi="Times New Roman" w:cs="Times New Roman"/>
          <w:sz w:val="28"/>
          <w:szCs w:val="28"/>
          <w:lang w:val="uk-UA"/>
        </w:rPr>
        <w:t>у</w:t>
      </w:r>
      <w:r w:rsidR="001225FC" w:rsidRPr="00A03291">
        <w:rPr>
          <w:rFonts w:ascii="Times New Roman" w:hAnsi="Times New Roman" w:cs="Times New Roman"/>
          <w:sz w:val="28"/>
          <w:szCs w:val="28"/>
        </w:rPr>
        <w:t> </w:t>
      </w:r>
      <w:r w:rsidR="001225FC" w:rsidRPr="00446330">
        <w:rPr>
          <w:rFonts w:ascii="Times New Roman" w:hAnsi="Times New Roman" w:cs="Times New Roman"/>
          <w:sz w:val="28"/>
          <w:szCs w:val="28"/>
          <w:lang w:val="uk-UA"/>
        </w:rPr>
        <w:t>мед</w:t>
      </w:r>
      <w:r w:rsidR="001225FC" w:rsidRPr="00A03291">
        <w:rPr>
          <w:rFonts w:ascii="Times New Roman" w:hAnsi="Times New Roman" w:cs="Times New Roman"/>
          <w:sz w:val="28"/>
          <w:szCs w:val="28"/>
          <w:lang w:val="uk-UA"/>
        </w:rPr>
        <w:t>і</w:t>
      </w:r>
      <w:r w:rsidR="001225FC" w:rsidRPr="00446330">
        <w:rPr>
          <w:rFonts w:ascii="Times New Roman" w:hAnsi="Times New Roman" w:cs="Times New Roman"/>
          <w:sz w:val="28"/>
          <w:szCs w:val="28"/>
          <w:lang w:val="uk-UA"/>
        </w:rPr>
        <w:t>альном</w:t>
      </w:r>
      <w:r w:rsidR="001225FC" w:rsidRPr="00A03291">
        <w:rPr>
          <w:rFonts w:ascii="Times New Roman" w:hAnsi="Times New Roman" w:cs="Times New Roman"/>
          <w:sz w:val="28"/>
          <w:szCs w:val="28"/>
          <w:lang w:val="uk-UA"/>
        </w:rPr>
        <w:t>у шарі</w:t>
      </w:r>
      <w:r w:rsidR="001225FC" w:rsidRPr="00446330">
        <w:rPr>
          <w:rFonts w:ascii="Times New Roman" w:hAnsi="Times New Roman" w:cs="Times New Roman"/>
          <w:sz w:val="28"/>
          <w:szCs w:val="28"/>
          <w:lang w:val="uk-UA"/>
        </w:rPr>
        <w:t xml:space="preserve"> артер</w:t>
      </w:r>
      <w:r w:rsidR="001225FC" w:rsidRPr="00A03291">
        <w:rPr>
          <w:rFonts w:ascii="Times New Roman" w:hAnsi="Times New Roman" w:cs="Times New Roman"/>
          <w:sz w:val="28"/>
          <w:szCs w:val="28"/>
          <w:lang w:val="uk-UA"/>
        </w:rPr>
        <w:t>і</w:t>
      </w:r>
      <w:r w:rsidR="001225FC" w:rsidRPr="00446330">
        <w:rPr>
          <w:rFonts w:ascii="Times New Roman" w:hAnsi="Times New Roman" w:cs="Times New Roman"/>
          <w:sz w:val="28"/>
          <w:szCs w:val="28"/>
          <w:lang w:val="uk-UA"/>
        </w:rPr>
        <w:t>ально</w:t>
      </w:r>
      <w:r w:rsidR="001225FC" w:rsidRPr="00A03291">
        <w:rPr>
          <w:rFonts w:ascii="Times New Roman" w:hAnsi="Times New Roman" w:cs="Times New Roman"/>
          <w:sz w:val="28"/>
          <w:szCs w:val="28"/>
          <w:lang w:val="uk-UA"/>
        </w:rPr>
        <w:t>ї</w:t>
      </w:r>
      <w:r w:rsidR="001225FC" w:rsidRPr="00446330">
        <w:rPr>
          <w:rFonts w:ascii="Times New Roman" w:hAnsi="Times New Roman" w:cs="Times New Roman"/>
          <w:sz w:val="28"/>
          <w:szCs w:val="28"/>
          <w:lang w:val="uk-UA"/>
        </w:rPr>
        <w:t xml:space="preserve"> ст</w:t>
      </w:r>
      <w:r w:rsidR="001225FC" w:rsidRPr="00A03291">
        <w:rPr>
          <w:rFonts w:ascii="Times New Roman" w:hAnsi="Times New Roman" w:cs="Times New Roman"/>
          <w:sz w:val="28"/>
          <w:szCs w:val="28"/>
          <w:lang w:val="uk-UA"/>
        </w:rPr>
        <w:t>і</w:t>
      </w:r>
      <w:r w:rsidR="005F27A2">
        <w:rPr>
          <w:rFonts w:ascii="Times New Roman" w:hAnsi="Times New Roman" w:cs="Times New Roman"/>
          <w:sz w:val="28"/>
          <w:szCs w:val="28"/>
          <w:lang w:val="uk-UA"/>
        </w:rPr>
        <w:t>нки</w:t>
      </w:r>
      <w:r w:rsidR="001225FC" w:rsidRPr="00446330">
        <w:rPr>
          <w:rFonts w:ascii="Times New Roman" w:hAnsi="Times New Roman" w:cs="Times New Roman"/>
          <w:sz w:val="28"/>
          <w:szCs w:val="28"/>
          <w:lang w:val="uk-UA"/>
        </w:rPr>
        <w:t xml:space="preserve"> </w:t>
      </w:r>
      <w:r w:rsidR="001225FC" w:rsidRPr="00CA04D8">
        <w:rPr>
          <w:rFonts w:ascii="Times New Roman" w:hAnsi="Times New Roman" w:cs="Times New Roman"/>
          <w:sz w:val="28"/>
          <w:szCs w:val="28"/>
          <w:lang w:val="uk-UA"/>
        </w:rPr>
        <w:t>[</w:t>
      </w:r>
      <w:r w:rsidR="002B600D" w:rsidRPr="00CA04D8">
        <w:rPr>
          <w:rFonts w:ascii="Times New Roman" w:hAnsi="Times New Roman" w:cs="Times New Roman"/>
          <w:sz w:val="28"/>
          <w:szCs w:val="28"/>
          <w:lang w:val="uk-UA"/>
        </w:rPr>
        <w:t>98</w:t>
      </w:r>
      <w:r w:rsidR="001225FC" w:rsidRPr="00CA04D8">
        <w:rPr>
          <w:rFonts w:ascii="Times New Roman" w:hAnsi="Times New Roman" w:cs="Times New Roman"/>
          <w:sz w:val="28"/>
          <w:szCs w:val="28"/>
          <w:lang w:val="uk-UA"/>
        </w:rPr>
        <w:t>].</w:t>
      </w:r>
    </w:p>
    <w:p w:rsidR="002D747E" w:rsidRPr="001E70E4" w:rsidRDefault="00637E6A" w:rsidP="005A08FE">
      <w:pPr>
        <w:spacing w:after="0" w:line="360" w:lineRule="auto"/>
        <w:ind w:firstLine="360"/>
        <w:jc w:val="both"/>
        <w:rPr>
          <w:rFonts w:ascii="Times New Roman" w:hAnsi="Times New Roman"/>
          <w:sz w:val="28"/>
          <w:szCs w:val="28"/>
          <w:lang w:val="uk-UA"/>
        </w:rPr>
      </w:pPr>
      <w:r w:rsidRPr="00637E6A">
        <w:rPr>
          <w:rFonts w:ascii="Times New Roman" w:hAnsi="Times New Roman"/>
          <w:sz w:val="28"/>
          <w:szCs w:val="28"/>
          <w:lang w:val="uk-UA"/>
        </w:rPr>
        <w:t xml:space="preserve">     </w:t>
      </w:r>
      <w:r w:rsidR="005A08FE" w:rsidRPr="005A08FE">
        <w:rPr>
          <w:rFonts w:ascii="Times New Roman" w:hAnsi="Times New Roman"/>
          <w:sz w:val="28"/>
          <w:szCs w:val="28"/>
          <w:lang w:val="uk-UA"/>
        </w:rPr>
        <w:t>Відносний ризик виникнення дис</w:t>
      </w:r>
      <w:r w:rsidR="005A08FE">
        <w:rPr>
          <w:rFonts w:ascii="Times New Roman" w:hAnsi="Times New Roman"/>
          <w:sz w:val="28"/>
          <w:szCs w:val="28"/>
          <w:lang w:val="uk-UA"/>
        </w:rPr>
        <w:t>функції ЛШ про</w:t>
      </w:r>
      <w:r w:rsidR="005A08FE" w:rsidRPr="005A08FE">
        <w:rPr>
          <w:rFonts w:ascii="Times New Roman" w:hAnsi="Times New Roman"/>
          <w:sz w:val="28"/>
          <w:szCs w:val="28"/>
          <w:lang w:val="uk-UA"/>
        </w:rPr>
        <w:t>гресивно зростає приблизно н</w:t>
      </w:r>
      <w:r w:rsidR="005A08FE">
        <w:rPr>
          <w:rFonts w:ascii="Times New Roman" w:hAnsi="Times New Roman"/>
          <w:sz w:val="28"/>
          <w:szCs w:val="28"/>
          <w:lang w:val="uk-UA"/>
        </w:rPr>
        <w:t>а 10–15</w:t>
      </w:r>
      <w:r w:rsidR="00D44EF4">
        <w:rPr>
          <w:rFonts w:ascii="Times New Roman" w:hAnsi="Times New Roman"/>
          <w:sz w:val="28"/>
          <w:szCs w:val="28"/>
          <w:lang w:val="uk-UA"/>
        </w:rPr>
        <w:t xml:space="preserve"> </w:t>
      </w:r>
      <w:r w:rsidR="005A08FE">
        <w:rPr>
          <w:rFonts w:ascii="Times New Roman" w:hAnsi="Times New Roman"/>
          <w:sz w:val="28"/>
          <w:szCs w:val="28"/>
          <w:lang w:val="uk-UA"/>
        </w:rPr>
        <w:t xml:space="preserve">% на кожне підвищення на </w:t>
      </w:r>
      <w:r w:rsidR="005A08FE" w:rsidRPr="005A08FE">
        <w:rPr>
          <w:rFonts w:ascii="Times New Roman" w:hAnsi="Times New Roman"/>
          <w:sz w:val="28"/>
          <w:szCs w:val="28"/>
          <w:lang w:val="uk-UA"/>
        </w:rPr>
        <w:t>1</w:t>
      </w:r>
      <w:r w:rsidR="00D44EF4">
        <w:rPr>
          <w:rFonts w:ascii="Times New Roman" w:hAnsi="Times New Roman"/>
          <w:sz w:val="28"/>
          <w:szCs w:val="28"/>
          <w:lang w:val="uk-UA"/>
        </w:rPr>
        <w:t xml:space="preserve"> </w:t>
      </w:r>
      <w:r w:rsidR="007815E8">
        <w:rPr>
          <w:rFonts w:ascii="Times New Roman" w:hAnsi="Times New Roman"/>
          <w:sz w:val="28"/>
          <w:szCs w:val="28"/>
          <w:lang w:val="uk-UA"/>
        </w:rPr>
        <w:t>% вмісту</w:t>
      </w:r>
      <w:r w:rsidR="005A08FE" w:rsidRPr="005A08FE">
        <w:rPr>
          <w:rFonts w:ascii="Times New Roman" w:hAnsi="Times New Roman"/>
          <w:sz w:val="28"/>
          <w:szCs w:val="28"/>
          <w:lang w:val="uk-UA"/>
        </w:rPr>
        <w:t xml:space="preserve"> HbA1c понад норму.</w:t>
      </w:r>
      <w:r w:rsidR="00754CFA">
        <w:rPr>
          <w:rFonts w:ascii="Times New Roman" w:hAnsi="Times New Roman"/>
          <w:sz w:val="28"/>
          <w:szCs w:val="28"/>
          <w:lang w:val="uk-UA"/>
        </w:rPr>
        <w:t xml:space="preserve"> </w:t>
      </w:r>
      <w:r w:rsidR="00E63515">
        <w:rPr>
          <w:rFonts w:ascii="Times New Roman" w:hAnsi="Times New Roman"/>
          <w:sz w:val="28"/>
          <w:szCs w:val="28"/>
          <w:lang w:val="uk-UA"/>
        </w:rPr>
        <w:t>Цукровий діабет</w:t>
      </w:r>
      <w:r w:rsidR="005A08FE" w:rsidRPr="005A08FE">
        <w:rPr>
          <w:rFonts w:ascii="Times New Roman" w:hAnsi="Times New Roman"/>
          <w:sz w:val="28"/>
          <w:szCs w:val="28"/>
          <w:lang w:val="uk-UA"/>
        </w:rPr>
        <w:t xml:space="preserve"> сприяє декомпенсації клінічного стану хворих </w:t>
      </w:r>
      <w:r w:rsidR="004D7AE5">
        <w:rPr>
          <w:rFonts w:ascii="Times New Roman" w:hAnsi="Times New Roman"/>
          <w:sz w:val="28"/>
          <w:szCs w:val="28"/>
          <w:lang w:val="uk-UA"/>
        </w:rPr>
        <w:t xml:space="preserve">          </w:t>
      </w:r>
      <w:r w:rsidR="005A08FE" w:rsidRPr="005A08FE">
        <w:rPr>
          <w:rFonts w:ascii="Times New Roman" w:hAnsi="Times New Roman"/>
          <w:sz w:val="28"/>
          <w:szCs w:val="28"/>
          <w:lang w:val="uk-UA"/>
        </w:rPr>
        <w:t xml:space="preserve">із діастолічною </w:t>
      </w:r>
      <w:r w:rsidR="005A08FE" w:rsidRPr="001E70E4">
        <w:rPr>
          <w:rFonts w:ascii="Times New Roman" w:hAnsi="Times New Roman"/>
          <w:sz w:val="28"/>
          <w:szCs w:val="28"/>
          <w:lang w:val="uk-UA"/>
        </w:rPr>
        <w:t xml:space="preserve">СН </w:t>
      </w:r>
      <w:r w:rsidR="005A08FE" w:rsidRPr="00CA04D8">
        <w:rPr>
          <w:rFonts w:ascii="Times New Roman" w:hAnsi="Times New Roman"/>
          <w:sz w:val="28"/>
          <w:szCs w:val="28"/>
          <w:lang w:val="uk-UA"/>
        </w:rPr>
        <w:t>[</w:t>
      </w:r>
      <w:r w:rsidR="002B600D" w:rsidRPr="00CA04D8">
        <w:rPr>
          <w:rFonts w:ascii="Times New Roman" w:hAnsi="Times New Roman"/>
          <w:sz w:val="28"/>
          <w:szCs w:val="28"/>
          <w:lang w:val="uk-UA"/>
        </w:rPr>
        <w:t>99</w:t>
      </w:r>
      <w:r w:rsidR="005A08FE" w:rsidRPr="00CA04D8">
        <w:rPr>
          <w:rFonts w:ascii="Times New Roman" w:hAnsi="Times New Roman"/>
          <w:sz w:val="28"/>
          <w:szCs w:val="28"/>
          <w:lang w:val="uk-UA"/>
        </w:rPr>
        <w:t>].</w:t>
      </w:r>
    </w:p>
    <w:p w:rsidR="00122549" w:rsidRDefault="004B64A9" w:rsidP="001225FC">
      <w:pPr>
        <w:spacing w:after="0" w:line="360" w:lineRule="auto"/>
        <w:jc w:val="both"/>
        <w:rPr>
          <w:lang w:val="uk-UA"/>
        </w:rPr>
      </w:pPr>
      <w:r>
        <w:rPr>
          <w:rFonts w:ascii="Times New Roman" w:hAnsi="Times New Roman" w:cs="Times New Roman"/>
          <w:b/>
          <w:color w:val="000000"/>
          <w:sz w:val="28"/>
          <w:szCs w:val="28"/>
          <w:shd w:val="clear" w:color="auto" w:fill="FFFFFF"/>
          <w:lang w:val="uk-UA"/>
        </w:rPr>
        <w:tab/>
      </w:r>
      <w:r w:rsidR="00580E07">
        <w:rPr>
          <w:rFonts w:ascii="Times New Roman" w:hAnsi="Times New Roman" w:cs="Times New Roman"/>
          <w:color w:val="000000"/>
          <w:sz w:val="28"/>
          <w:szCs w:val="28"/>
          <w:shd w:val="clear" w:color="auto" w:fill="FFFFFF"/>
          <w:lang w:val="uk-UA"/>
        </w:rPr>
        <w:t>П</w:t>
      </w:r>
      <w:r w:rsidR="007218F6" w:rsidRPr="007218F6">
        <w:rPr>
          <w:rFonts w:ascii="Times New Roman" w:hAnsi="Times New Roman" w:cs="Times New Roman"/>
          <w:color w:val="000000"/>
          <w:sz w:val="28"/>
          <w:szCs w:val="28"/>
          <w:shd w:val="clear" w:color="auto" w:fill="FFFFFF"/>
          <w:lang w:val="uk-UA"/>
        </w:rPr>
        <w:t xml:space="preserve">ідвищені концентрації </w:t>
      </w:r>
      <w:r w:rsidR="00580E07" w:rsidRPr="00580E07">
        <w:rPr>
          <w:rFonts w:ascii="Times New Roman" w:hAnsi="Times New Roman" w:cs="Times New Roman"/>
          <w:color w:val="000000"/>
          <w:sz w:val="28"/>
          <w:szCs w:val="28"/>
          <w:shd w:val="clear" w:color="auto" w:fill="FFFFFF"/>
          <w:lang w:val="uk-UA"/>
        </w:rPr>
        <w:t xml:space="preserve">ФНП-α </w:t>
      </w:r>
      <w:r w:rsidR="00580E07">
        <w:rPr>
          <w:rFonts w:ascii="Times New Roman" w:hAnsi="Times New Roman" w:cs="Times New Roman"/>
          <w:color w:val="000000"/>
          <w:sz w:val="28"/>
          <w:szCs w:val="28"/>
          <w:shd w:val="clear" w:color="auto" w:fill="FFFFFF"/>
          <w:lang w:val="uk-UA"/>
        </w:rPr>
        <w:t>можуть виступати в якості раннього</w:t>
      </w:r>
      <w:r w:rsidR="007218F6" w:rsidRPr="007218F6">
        <w:rPr>
          <w:rFonts w:ascii="Times New Roman" w:hAnsi="Times New Roman" w:cs="Times New Roman"/>
          <w:color w:val="000000"/>
          <w:sz w:val="28"/>
          <w:szCs w:val="28"/>
          <w:shd w:val="clear" w:color="auto" w:fill="FFFFFF"/>
          <w:lang w:val="uk-UA"/>
        </w:rPr>
        <w:t xml:space="preserve"> маркер</w:t>
      </w:r>
      <w:r w:rsidR="00580E07">
        <w:rPr>
          <w:rFonts w:ascii="Times New Roman" w:hAnsi="Times New Roman" w:cs="Times New Roman"/>
          <w:color w:val="000000"/>
          <w:sz w:val="28"/>
          <w:szCs w:val="28"/>
          <w:shd w:val="clear" w:color="auto" w:fill="FFFFFF"/>
          <w:lang w:val="uk-UA"/>
        </w:rPr>
        <w:t>у</w:t>
      </w:r>
      <w:r w:rsidR="007218F6" w:rsidRPr="007218F6">
        <w:rPr>
          <w:rFonts w:ascii="Times New Roman" w:hAnsi="Times New Roman" w:cs="Times New Roman"/>
          <w:color w:val="000000"/>
          <w:sz w:val="28"/>
          <w:szCs w:val="28"/>
          <w:shd w:val="clear" w:color="auto" w:fill="FFFFFF"/>
          <w:lang w:val="uk-UA"/>
        </w:rPr>
        <w:t xml:space="preserve"> ЦД 2</w:t>
      </w:r>
      <w:r w:rsidR="007218F6">
        <w:rPr>
          <w:rFonts w:ascii="Times New Roman" w:hAnsi="Times New Roman" w:cs="Times New Roman"/>
          <w:color w:val="000000"/>
          <w:sz w:val="28"/>
          <w:szCs w:val="28"/>
          <w:shd w:val="clear" w:color="auto" w:fill="FFFFFF"/>
          <w:lang w:val="uk-UA"/>
        </w:rPr>
        <w:t xml:space="preserve">-го </w:t>
      </w:r>
      <w:r w:rsidR="007218F6" w:rsidRPr="007218F6">
        <w:rPr>
          <w:rFonts w:ascii="Times New Roman" w:hAnsi="Times New Roman" w:cs="Times New Roman"/>
          <w:color w:val="000000"/>
          <w:sz w:val="28"/>
          <w:szCs w:val="28"/>
          <w:shd w:val="clear" w:color="auto" w:fill="FFFFFF"/>
          <w:lang w:val="uk-UA"/>
        </w:rPr>
        <w:t>т</w:t>
      </w:r>
      <w:r w:rsidR="007218F6">
        <w:rPr>
          <w:rFonts w:ascii="Times New Roman" w:hAnsi="Times New Roman" w:cs="Times New Roman"/>
          <w:color w:val="000000"/>
          <w:sz w:val="28"/>
          <w:szCs w:val="28"/>
          <w:shd w:val="clear" w:color="auto" w:fill="FFFFFF"/>
          <w:lang w:val="uk-UA"/>
        </w:rPr>
        <w:t>ипу</w:t>
      </w:r>
      <w:r w:rsidR="00580E07">
        <w:rPr>
          <w:rFonts w:ascii="Times New Roman" w:hAnsi="Times New Roman" w:cs="Times New Roman"/>
          <w:color w:val="000000"/>
          <w:sz w:val="28"/>
          <w:szCs w:val="28"/>
          <w:shd w:val="clear" w:color="auto" w:fill="FFFFFF"/>
          <w:lang w:val="uk-UA"/>
        </w:rPr>
        <w:t xml:space="preserve">, </w:t>
      </w:r>
      <w:r w:rsidR="00580E07" w:rsidRPr="0087443D">
        <w:rPr>
          <w:rFonts w:ascii="Times New Roman" w:hAnsi="Times New Roman" w:cs="Times New Roman"/>
          <w:color w:val="000000"/>
          <w:sz w:val="28"/>
          <w:szCs w:val="28"/>
          <w:shd w:val="clear" w:color="auto" w:fill="FFFFFF"/>
          <w:lang w:val="uk-UA"/>
        </w:rPr>
        <w:t>зва</w:t>
      </w:r>
      <w:r w:rsidR="00580E07">
        <w:rPr>
          <w:rFonts w:ascii="Times New Roman" w:hAnsi="Times New Roman" w:cs="Times New Roman"/>
          <w:color w:val="000000"/>
          <w:sz w:val="28"/>
          <w:szCs w:val="28"/>
          <w:shd w:val="clear" w:color="auto" w:fill="FFFFFF"/>
          <w:lang w:val="uk-UA"/>
        </w:rPr>
        <w:t>жаючи</w:t>
      </w:r>
      <w:r w:rsidR="00580E07" w:rsidRPr="00580E07">
        <w:rPr>
          <w:rFonts w:ascii="Times New Roman" w:hAnsi="Times New Roman" w:cs="Times New Roman"/>
          <w:color w:val="000000"/>
          <w:sz w:val="28"/>
          <w:szCs w:val="28"/>
          <w:shd w:val="clear" w:color="auto" w:fill="FFFFFF"/>
          <w:lang w:val="uk-UA"/>
        </w:rPr>
        <w:t xml:space="preserve"> на доведену участь </w:t>
      </w:r>
      <w:r w:rsidR="00580E07">
        <w:rPr>
          <w:rFonts w:ascii="Times New Roman" w:hAnsi="Times New Roman" w:cs="Times New Roman"/>
          <w:color w:val="000000"/>
          <w:sz w:val="28"/>
          <w:szCs w:val="28"/>
          <w:shd w:val="clear" w:color="auto" w:fill="FFFFFF"/>
          <w:lang w:val="uk-UA"/>
        </w:rPr>
        <w:t xml:space="preserve">цього білку </w:t>
      </w:r>
      <w:r w:rsidR="00580E07" w:rsidRPr="00580E07">
        <w:rPr>
          <w:rFonts w:ascii="Times New Roman" w:hAnsi="Times New Roman" w:cs="Times New Roman"/>
          <w:color w:val="000000"/>
          <w:sz w:val="28"/>
          <w:szCs w:val="28"/>
          <w:shd w:val="clear" w:color="auto" w:fill="FFFFFF"/>
          <w:lang w:val="uk-UA"/>
        </w:rPr>
        <w:t>в розвитку ІР</w:t>
      </w:r>
      <w:r w:rsidR="00375E29" w:rsidRPr="00375E29">
        <w:rPr>
          <w:rFonts w:ascii="Times New Roman" w:hAnsi="Times New Roman" w:cs="Times New Roman"/>
          <w:color w:val="000000"/>
          <w:sz w:val="28"/>
          <w:szCs w:val="28"/>
          <w:shd w:val="clear" w:color="auto" w:fill="FFFFFF"/>
          <w:lang w:val="uk-UA"/>
        </w:rPr>
        <w:t xml:space="preserve"> </w:t>
      </w:r>
      <w:r w:rsidR="007218F6" w:rsidRPr="00CA04D8">
        <w:rPr>
          <w:rFonts w:ascii="Times New Roman" w:hAnsi="Times New Roman" w:cs="Times New Roman"/>
          <w:color w:val="000000"/>
          <w:sz w:val="28"/>
          <w:szCs w:val="28"/>
          <w:shd w:val="clear" w:color="auto" w:fill="FFFFFF"/>
          <w:lang w:val="uk-UA"/>
        </w:rPr>
        <w:t>[</w:t>
      </w:r>
      <w:r w:rsidR="002B600D" w:rsidRPr="00CA04D8">
        <w:rPr>
          <w:rFonts w:ascii="Times New Roman" w:hAnsi="Times New Roman" w:cs="Times New Roman"/>
          <w:color w:val="000000"/>
          <w:sz w:val="28"/>
          <w:szCs w:val="28"/>
          <w:shd w:val="clear" w:color="auto" w:fill="FFFFFF"/>
          <w:lang w:val="uk-UA"/>
        </w:rPr>
        <w:t>100</w:t>
      </w:r>
      <w:r w:rsidR="007218F6" w:rsidRPr="007218F6">
        <w:rPr>
          <w:rFonts w:ascii="Times New Roman" w:hAnsi="Times New Roman" w:cs="Times New Roman"/>
          <w:color w:val="000000"/>
          <w:sz w:val="28"/>
          <w:szCs w:val="28"/>
          <w:shd w:val="clear" w:color="auto" w:fill="FFFFFF"/>
          <w:lang w:val="uk-UA"/>
        </w:rPr>
        <w:t>]</w:t>
      </w:r>
      <w:r w:rsidR="007218F6">
        <w:rPr>
          <w:rFonts w:ascii="Times New Roman" w:hAnsi="Times New Roman" w:cs="Times New Roman"/>
          <w:color w:val="000000"/>
          <w:sz w:val="28"/>
          <w:szCs w:val="28"/>
          <w:shd w:val="clear" w:color="auto" w:fill="FFFFFF"/>
          <w:lang w:val="uk-UA"/>
        </w:rPr>
        <w:t xml:space="preserve">. </w:t>
      </w:r>
      <w:r w:rsidR="00E63515">
        <w:rPr>
          <w:rFonts w:ascii="Times New Roman" w:hAnsi="Times New Roman" w:cs="Times New Roman"/>
          <w:color w:val="000000"/>
          <w:sz w:val="28"/>
          <w:szCs w:val="28"/>
          <w:shd w:val="clear" w:color="auto" w:fill="FFFFFF"/>
          <w:lang w:val="uk-UA"/>
        </w:rPr>
        <w:t>Фактор некрозу пухлин</w:t>
      </w:r>
      <w:r w:rsidR="00637E6A" w:rsidRPr="00637E6A">
        <w:rPr>
          <w:rFonts w:ascii="Times New Roman" w:hAnsi="Times New Roman" w:cs="Times New Roman"/>
          <w:color w:val="000000"/>
          <w:sz w:val="28"/>
          <w:szCs w:val="28"/>
          <w:shd w:val="clear" w:color="auto" w:fill="FFFFFF"/>
          <w:lang w:val="uk-UA"/>
        </w:rPr>
        <w:t xml:space="preserve">-α </w:t>
      </w:r>
      <w:r w:rsidR="00580E07">
        <w:rPr>
          <w:rFonts w:ascii="Times New Roman" w:hAnsi="Times New Roman" w:cs="Times New Roman"/>
          <w:color w:val="000000"/>
          <w:sz w:val="28"/>
          <w:szCs w:val="28"/>
          <w:shd w:val="clear" w:color="auto" w:fill="FFFFFF"/>
          <w:lang w:val="uk-UA"/>
        </w:rPr>
        <w:t>впливає на прогресування</w:t>
      </w:r>
      <w:r w:rsidR="00637E6A" w:rsidRPr="00637E6A">
        <w:rPr>
          <w:rFonts w:ascii="Times New Roman" w:hAnsi="Times New Roman" w:cs="Times New Roman"/>
          <w:color w:val="000000"/>
          <w:sz w:val="28"/>
          <w:szCs w:val="28"/>
          <w:shd w:val="clear" w:color="auto" w:fill="FFFFFF"/>
          <w:lang w:val="uk-UA"/>
        </w:rPr>
        <w:t xml:space="preserve"> атерогенезу </w:t>
      </w:r>
      <w:r w:rsidR="0012062E">
        <w:rPr>
          <w:rFonts w:ascii="Times New Roman" w:hAnsi="Times New Roman" w:cs="Times New Roman"/>
          <w:color w:val="000000"/>
          <w:sz w:val="28"/>
          <w:szCs w:val="28"/>
          <w:shd w:val="clear" w:color="auto" w:fill="FFFFFF"/>
          <w:lang w:val="uk-UA"/>
        </w:rPr>
        <w:t xml:space="preserve">     </w:t>
      </w:r>
      <w:r w:rsidR="00637E6A" w:rsidRPr="00637E6A">
        <w:rPr>
          <w:rFonts w:ascii="Times New Roman" w:hAnsi="Times New Roman" w:cs="Times New Roman"/>
          <w:color w:val="000000"/>
          <w:sz w:val="28"/>
          <w:szCs w:val="28"/>
          <w:shd w:val="clear" w:color="auto" w:fill="FFFFFF"/>
          <w:lang w:val="uk-UA"/>
        </w:rPr>
        <w:t>за рахунок активації інших цитокінів, факторів росту та стимуляції молекул адгезії</w:t>
      </w:r>
      <w:r w:rsidR="00580E07">
        <w:rPr>
          <w:rFonts w:ascii="Times New Roman" w:hAnsi="Times New Roman" w:cs="Times New Roman"/>
          <w:color w:val="000000"/>
          <w:sz w:val="28"/>
          <w:szCs w:val="28"/>
          <w:shd w:val="clear" w:color="auto" w:fill="FFFFFF"/>
          <w:lang w:val="uk-UA"/>
        </w:rPr>
        <w:t>. Цей кахексин відіграє важливу</w:t>
      </w:r>
      <w:r w:rsidR="007218F6">
        <w:rPr>
          <w:rFonts w:ascii="Times New Roman" w:hAnsi="Times New Roman" w:cs="Times New Roman"/>
          <w:color w:val="000000"/>
          <w:sz w:val="28"/>
          <w:szCs w:val="28"/>
          <w:shd w:val="clear" w:color="auto" w:fill="FFFFFF"/>
          <w:lang w:val="uk-UA"/>
        </w:rPr>
        <w:t xml:space="preserve"> роль у ф</w:t>
      </w:r>
      <w:r w:rsidR="00580E07">
        <w:rPr>
          <w:rFonts w:ascii="Times New Roman" w:hAnsi="Times New Roman" w:cs="Times New Roman"/>
          <w:color w:val="000000"/>
          <w:sz w:val="28"/>
          <w:szCs w:val="28"/>
          <w:shd w:val="clear" w:color="auto" w:fill="FFFFFF"/>
          <w:lang w:val="uk-UA"/>
        </w:rPr>
        <w:t xml:space="preserve">ормуванні дисфункції ендотелію </w:t>
      </w:r>
      <w:r w:rsidR="007218F6">
        <w:rPr>
          <w:rFonts w:ascii="Times New Roman" w:hAnsi="Times New Roman" w:cs="Times New Roman"/>
          <w:color w:val="000000"/>
          <w:sz w:val="28"/>
          <w:szCs w:val="28"/>
          <w:shd w:val="clear" w:color="auto" w:fill="FFFFFF"/>
          <w:lang w:val="uk-UA"/>
        </w:rPr>
        <w:t xml:space="preserve">в умовах ІР </w:t>
      </w:r>
      <w:r w:rsidR="007218F6" w:rsidRPr="00A15350">
        <w:rPr>
          <w:rFonts w:ascii="Times New Roman" w:hAnsi="Times New Roman" w:cs="Times New Roman"/>
          <w:color w:val="000000"/>
          <w:sz w:val="28"/>
          <w:szCs w:val="28"/>
          <w:shd w:val="clear" w:color="auto" w:fill="FFFFFF"/>
          <w:lang w:val="uk-UA"/>
        </w:rPr>
        <w:t>[</w:t>
      </w:r>
      <w:r w:rsidR="002B600D" w:rsidRPr="00CA04D8">
        <w:rPr>
          <w:rFonts w:ascii="Times New Roman" w:hAnsi="Times New Roman" w:cs="Times New Roman"/>
          <w:color w:val="000000"/>
          <w:sz w:val="28"/>
          <w:szCs w:val="28"/>
          <w:shd w:val="clear" w:color="auto" w:fill="FFFFFF"/>
        </w:rPr>
        <w:t>101</w:t>
      </w:r>
      <w:r w:rsidR="007218F6" w:rsidRPr="00A15350">
        <w:rPr>
          <w:rFonts w:ascii="Times New Roman" w:hAnsi="Times New Roman" w:cs="Times New Roman"/>
          <w:color w:val="000000"/>
          <w:sz w:val="28"/>
          <w:szCs w:val="28"/>
          <w:shd w:val="clear" w:color="auto" w:fill="FFFFFF"/>
          <w:lang w:val="uk-UA"/>
        </w:rPr>
        <w:t>]</w:t>
      </w:r>
      <w:r w:rsidR="007218F6" w:rsidRPr="007218F6">
        <w:rPr>
          <w:rFonts w:ascii="Times New Roman" w:hAnsi="Times New Roman" w:cs="Times New Roman"/>
          <w:color w:val="000000"/>
          <w:sz w:val="28"/>
          <w:szCs w:val="28"/>
          <w:shd w:val="clear" w:color="auto" w:fill="FFFFFF"/>
          <w:lang w:val="uk-UA"/>
        </w:rPr>
        <w:t>.</w:t>
      </w:r>
      <w:r w:rsidR="00935645" w:rsidRPr="00A15350">
        <w:rPr>
          <w:lang w:val="uk-UA"/>
        </w:rPr>
        <w:t xml:space="preserve"> </w:t>
      </w:r>
    </w:p>
    <w:p w:rsidR="00637E6A" w:rsidRPr="00935645" w:rsidRDefault="00122549" w:rsidP="00122549">
      <w:pPr>
        <w:spacing w:after="0" w:line="360" w:lineRule="auto"/>
        <w:ind w:firstLine="360"/>
        <w:jc w:val="both"/>
        <w:rPr>
          <w:rFonts w:ascii="Times New Roman" w:hAnsi="Times New Roman" w:cs="Times New Roman"/>
          <w:color w:val="000000"/>
          <w:sz w:val="28"/>
          <w:szCs w:val="28"/>
          <w:shd w:val="clear" w:color="auto" w:fill="FFFFFF"/>
          <w:lang w:val="uk-UA"/>
        </w:rPr>
      </w:pPr>
      <w:r>
        <w:rPr>
          <w:lang w:val="uk-UA"/>
        </w:rPr>
        <w:t xml:space="preserve">      </w:t>
      </w:r>
      <w:r w:rsidR="002E1A65">
        <w:rPr>
          <w:rFonts w:ascii="Times New Roman" w:hAnsi="Times New Roman" w:cs="Times New Roman"/>
          <w:sz w:val="28"/>
          <w:szCs w:val="28"/>
          <w:lang w:val="uk-UA"/>
        </w:rPr>
        <w:t>Фактор некрозу пухлин</w:t>
      </w:r>
      <w:r w:rsidRPr="00122549">
        <w:rPr>
          <w:rFonts w:ascii="Times New Roman" w:hAnsi="Times New Roman" w:cs="Times New Roman"/>
          <w:sz w:val="28"/>
          <w:szCs w:val="28"/>
          <w:lang w:val="uk-UA"/>
        </w:rPr>
        <w:t>-α</w:t>
      </w:r>
      <w:r w:rsidRPr="00122549">
        <w:rPr>
          <w:lang w:val="uk-UA"/>
        </w:rPr>
        <w:t xml:space="preserve"> </w:t>
      </w:r>
      <w:r>
        <w:rPr>
          <w:rFonts w:ascii="Times New Roman" w:hAnsi="Times New Roman" w:cs="Times New Roman"/>
          <w:sz w:val="28"/>
          <w:szCs w:val="28"/>
          <w:lang w:val="uk-UA"/>
        </w:rPr>
        <w:t xml:space="preserve">є одним із інгібіторів секреції адипонектину. </w:t>
      </w:r>
      <w:r w:rsidR="00561F6D">
        <w:rPr>
          <w:rFonts w:ascii="Times New Roman" w:hAnsi="Times New Roman" w:cs="Times New Roman"/>
          <w:sz w:val="28"/>
          <w:szCs w:val="28"/>
          <w:lang w:val="uk-UA"/>
        </w:rPr>
        <w:t xml:space="preserve">Останній </w:t>
      </w:r>
      <w:r>
        <w:rPr>
          <w:rFonts w:ascii="Times New Roman" w:hAnsi="Times New Roman" w:cs="Times New Roman"/>
          <w:sz w:val="28"/>
          <w:szCs w:val="28"/>
          <w:lang w:val="uk-UA"/>
        </w:rPr>
        <w:t>має антиатерогенні властивості, які полягають у пригніченні адгезії моноцитів, зниженні їх фагоцитарної активності, змен</w:t>
      </w:r>
      <w:r w:rsidR="00BE6DA7">
        <w:rPr>
          <w:rFonts w:ascii="Times New Roman" w:hAnsi="Times New Roman" w:cs="Times New Roman"/>
          <w:sz w:val="28"/>
          <w:szCs w:val="28"/>
          <w:lang w:val="uk-UA"/>
        </w:rPr>
        <w:t xml:space="preserve">шенні накопичення ліпопротеїдів </w:t>
      </w:r>
      <w:r>
        <w:rPr>
          <w:rFonts w:ascii="Times New Roman" w:hAnsi="Times New Roman" w:cs="Times New Roman"/>
          <w:sz w:val="28"/>
          <w:szCs w:val="28"/>
          <w:lang w:val="uk-UA"/>
        </w:rPr>
        <w:t xml:space="preserve">у стінці судин, зменшенні ушкодження ендотелію судин. Таким чином, </w:t>
      </w:r>
      <w:r w:rsidRPr="00122549">
        <w:rPr>
          <w:rFonts w:ascii="Times New Roman" w:hAnsi="Times New Roman" w:cs="Times New Roman"/>
          <w:sz w:val="28"/>
          <w:szCs w:val="28"/>
          <w:lang w:val="uk-UA"/>
        </w:rPr>
        <w:t>ФНП-α сприяє прогресуванню атеросклеротичного ураження судинної стінки</w:t>
      </w:r>
      <w:r>
        <w:rPr>
          <w:rFonts w:ascii="Times New Roman" w:hAnsi="Times New Roman" w:cs="Times New Roman"/>
          <w:sz w:val="28"/>
          <w:szCs w:val="28"/>
          <w:lang w:val="uk-UA"/>
        </w:rPr>
        <w:t xml:space="preserve"> [</w:t>
      </w:r>
      <w:r w:rsidR="002B600D" w:rsidRPr="00CA04D8">
        <w:rPr>
          <w:rFonts w:ascii="Times New Roman" w:hAnsi="Times New Roman" w:cs="Times New Roman"/>
          <w:sz w:val="28"/>
          <w:szCs w:val="28"/>
        </w:rPr>
        <w:t>102</w:t>
      </w:r>
      <w:r w:rsidRPr="00CA04D8">
        <w:rPr>
          <w:rFonts w:ascii="Times New Roman" w:hAnsi="Times New Roman" w:cs="Times New Roman"/>
          <w:sz w:val="28"/>
          <w:szCs w:val="28"/>
          <w:lang w:val="uk-UA"/>
        </w:rPr>
        <w:t>]</w:t>
      </w:r>
      <w:r w:rsidRPr="001225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B31C47" w:rsidRDefault="00637E6A" w:rsidP="00637E6A">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     </w:t>
      </w:r>
      <w:r w:rsidR="004B64A9" w:rsidRPr="004B64A9">
        <w:rPr>
          <w:rFonts w:ascii="Times New Roman" w:hAnsi="Times New Roman" w:cs="Times New Roman"/>
          <w:color w:val="000000"/>
          <w:sz w:val="28"/>
          <w:szCs w:val="28"/>
          <w:shd w:val="clear" w:color="auto" w:fill="FFFFFF"/>
          <w:lang w:val="uk-UA"/>
        </w:rPr>
        <w:t>Таким чином</w:t>
      </w:r>
      <w:r w:rsidR="004B64A9">
        <w:rPr>
          <w:rFonts w:ascii="Times New Roman" w:hAnsi="Times New Roman" w:cs="Times New Roman"/>
          <w:color w:val="000000"/>
          <w:sz w:val="28"/>
          <w:szCs w:val="28"/>
          <w:shd w:val="clear" w:color="auto" w:fill="FFFFFF"/>
          <w:lang w:val="uk-UA"/>
        </w:rPr>
        <w:t xml:space="preserve">, </w:t>
      </w:r>
      <w:r w:rsidR="00EF2CA7" w:rsidRPr="00EF2CA7">
        <w:rPr>
          <w:rFonts w:ascii="Times New Roman" w:hAnsi="Times New Roman" w:cs="Times New Roman"/>
          <w:color w:val="000000"/>
          <w:sz w:val="28"/>
          <w:szCs w:val="28"/>
          <w:shd w:val="clear" w:color="auto" w:fill="FFFFFF"/>
          <w:lang w:val="uk-UA"/>
        </w:rPr>
        <w:t>ремоделювання та гіпертрофія ЛШ, що визн</w:t>
      </w:r>
      <w:r w:rsidR="00EF2CA7">
        <w:rPr>
          <w:rFonts w:ascii="Times New Roman" w:hAnsi="Times New Roman" w:cs="Times New Roman"/>
          <w:color w:val="000000"/>
          <w:sz w:val="28"/>
          <w:szCs w:val="28"/>
          <w:shd w:val="clear" w:color="auto" w:fill="FFFFFF"/>
          <w:lang w:val="uk-UA"/>
        </w:rPr>
        <w:t xml:space="preserve">ачаються після обчислення ІММЛШ, </w:t>
      </w:r>
      <w:r w:rsidR="00EF2CA7" w:rsidRPr="00EF2CA7">
        <w:rPr>
          <w:rFonts w:ascii="Times New Roman" w:hAnsi="Times New Roman" w:cs="Times New Roman"/>
          <w:color w:val="000000"/>
          <w:sz w:val="28"/>
          <w:szCs w:val="28"/>
          <w:shd w:val="clear" w:color="auto" w:fill="FFFFFF"/>
          <w:lang w:val="uk-UA"/>
        </w:rPr>
        <w:t xml:space="preserve">призводять </w:t>
      </w:r>
      <w:r w:rsidR="00CF0CCD">
        <w:rPr>
          <w:rFonts w:ascii="Times New Roman" w:hAnsi="Times New Roman" w:cs="Times New Roman"/>
          <w:color w:val="000000"/>
          <w:sz w:val="28"/>
          <w:szCs w:val="28"/>
          <w:shd w:val="clear" w:color="auto" w:fill="FFFFFF"/>
          <w:lang w:val="uk-UA"/>
        </w:rPr>
        <w:t>до діастолічної дисфункції, яка є</w:t>
      </w:r>
      <w:r w:rsidR="00CF0CCD" w:rsidRPr="00CF0CCD">
        <w:rPr>
          <w:rFonts w:ascii="Times New Roman" w:hAnsi="Times New Roman" w:cs="Times New Roman"/>
          <w:color w:val="000000"/>
          <w:sz w:val="28"/>
          <w:szCs w:val="28"/>
          <w:shd w:val="clear" w:color="auto" w:fill="FFFFFF"/>
          <w:lang w:val="uk-UA"/>
        </w:rPr>
        <w:t xml:space="preserve"> </w:t>
      </w:r>
      <w:r w:rsidR="004B64A9">
        <w:rPr>
          <w:rFonts w:ascii="Times New Roman" w:hAnsi="Times New Roman" w:cs="Times New Roman"/>
          <w:color w:val="000000"/>
          <w:sz w:val="28"/>
          <w:szCs w:val="28"/>
          <w:shd w:val="clear" w:color="auto" w:fill="FFFFFF"/>
          <w:lang w:val="uk-UA"/>
        </w:rPr>
        <w:t>характ</w:t>
      </w:r>
      <w:r w:rsidR="00EE33A7">
        <w:rPr>
          <w:rFonts w:ascii="Times New Roman" w:hAnsi="Times New Roman" w:cs="Times New Roman"/>
          <w:color w:val="000000"/>
          <w:sz w:val="28"/>
          <w:szCs w:val="28"/>
          <w:shd w:val="clear" w:color="auto" w:fill="FFFFFF"/>
          <w:lang w:val="uk-UA"/>
        </w:rPr>
        <w:t>ерною ознакою ураження серця у хворих на</w:t>
      </w:r>
      <w:r w:rsidR="004B64A9">
        <w:rPr>
          <w:rFonts w:ascii="Times New Roman" w:hAnsi="Times New Roman" w:cs="Times New Roman"/>
          <w:color w:val="000000"/>
          <w:sz w:val="28"/>
          <w:szCs w:val="28"/>
          <w:shd w:val="clear" w:color="auto" w:fill="FFFFFF"/>
          <w:lang w:val="uk-UA"/>
        </w:rPr>
        <w:t xml:space="preserve"> ЦД </w:t>
      </w:r>
      <w:r w:rsidR="00CF0CCD">
        <w:rPr>
          <w:rFonts w:ascii="Times New Roman" w:hAnsi="Times New Roman" w:cs="Times New Roman"/>
          <w:color w:val="000000"/>
          <w:sz w:val="28"/>
          <w:szCs w:val="28"/>
          <w:shd w:val="clear" w:color="auto" w:fill="FFFFFF"/>
          <w:lang w:val="uk-UA"/>
        </w:rPr>
        <w:t xml:space="preserve">2-го типу. </w:t>
      </w:r>
      <w:r w:rsidR="001C67AB">
        <w:rPr>
          <w:rFonts w:ascii="Times New Roman" w:hAnsi="Times New Roman" w:cs="Times New Roman"/>
          <w:color w:val="000000"/>
          <w:sz w:val="28"/>
          <w:szCs w:val="28"/>
          <w:shd w:val="clear" w:color="auto" w:fill="FFFFFF"/>
          <w:lang w:val="uk-UA"/>
        </w:rPr>
        <w:t>Г</w:t>
      </w:r>
      <w:r w:rsidR="00FE1971">
        <w:rPr>
          <w:rFonts w:ascii="Times New Roman" w:hAnsi="Times New Roman" w:cs="Times New Roman"/>
          <w:color w:val="000000"/>
          <w:sz w:val="28"/>
          <w:szCs w:val="28"/>
          <w:shd w:val="clear" w:color="auto" w:fill="FFFFFF"/>
          <w:lang w:val="uk-UA"/>
        </w:rPr>
        <w:t>і</w:t>
      </w:r>
      <w:r w:rsidR="001C67AB">
        <w:rPr>
          <w:rFonts w:ascii="Times New Roman" w:hAnsi="Times New Roman" w:cs="Times New Roman"/>
          <w:color w:val="000000"/>
          <w:sz w:val="28"/>
          <w:szCs w:val="28"/>
          <w:shd w:val="clear" w:color="auto" w:fill="FFFFFF"/>
          <w:lang w:val="uk-UA"/>
        </w:rPr>
        <w:t>перінсулінемія</w:t>
      </w:r>
      <w:r w:rsidR="00845C69">
        <w:rPr>
          <w:rFonts w:ascii="Times New Roman" w:hAnsi="Times New Roman" w:cs="Times New Roman"/>
          <w:color w:val="000000"/>
          <w:sz w:val="28"/>
          <w:szCs w:val="28"/>
          <w:shd w:val="clear" w:color="auto" w:fill="FFFFFF"/>
          <w:lang w:val="uk-UA"/>
        </w:rPr>
        <w:t xml:space="preserve"> при високій ІР</w:t>
      </w:r>
      <w:r w:rsidR="001C67AB">
        <w:rPr>
          <w:rFonts w:ascii="Times New Roman" w:hAnsi="Times New Roman" w:cs="Times New Roman"/>
          <w:color w:val="000000"/>
          <w:sz w:val="28"/>
          <w:szCs w:val="28"/>
          <w:shd w:val="clear" w:color="auto" w:fill="FFFFFF"/>
          <w:lang w:val="uk-UA"/>
        </w:rPr>
        <w:t xml:space="preserve"> – це один із </w:t>
      </w:r>
      <w:r w:rsidR="001C67AB" w:rsidRPr="001C67AB">
        <w:rPr>
          <w:rFonts w:ascii="Times New Roman" w:hAnsi="Times New Roman" w:cs="Times New Roman"/>
          <w:color w:val="000000"/>
          <w:sz w:val="28"/>
          <w:szCs w:val="28"/>
          <w:shd w:val="clear" w:color="auto" w:fill="FFFFFF"/>
          <w:lang w:val="uk-UA"/>
        </w:rPr>
        <w:t xml:space="preserve">механізмів розвитку </w:t>
      </w:r>
      <w:r w:rsidR="00EB2851">
        <w:rPr>
          <w:rFonts w:ascii="Times New Roman" w:hAnsi="Times New Roman" w:cs="Times New Roman"/>
          <w:color w:val="000000"/>
          <w:sz w:val="28"/>
          <w:szCs w:val="28"/>
          <w:shd w:val="clear" w:color="auto" w:fill="FFFFFF"/>
          <w:lang w:val="uk-UA"/>
        </w:rPr>
        <w:t xml:space="preserve">порушення функції діастоли </w:t>
      </w:r>
      <w:r w:rsidR="001C67AB" w:rsidRPr="001C67AB">
        <w:rPr>
          <w:rFonts w:ascii="Times New Roman" w:hAnsi="Times New Roman" w:cs="Times New Roman"/>
          <w:color w:val="000000"/>
          <w:sz w:val="28"/>
          <w:szCs w:val="28"/>
          <w:shd w:val="clear" w:color="auto" w:fill="FFFFFF"/>
          <w:lang w:val="uk-UA"/>
        </w:rPr>
        <w:t xml:space="preserve">у </w:t>
      </w:r>
      <w:r w:rsidR="001C67AB">
        <w:rPr>
          <w:rFonts w:ascii="Times New Roman" w:hAnsi="Times New Roman" w:cs="Times New Roman"/>
          <w:color w:val="000000"/>
          <w:sz w:val="28"/>
          <w:szCs w:val="28"/>
          <w:shd w:val="clear" w:color="auto" w:fill="FFFFFF"/>
          <w:lang w:val="uk-UA"/>
        </w:rPr>
        <w:t xml:space="preserve">пацієнтів </w:t>
      </w:r>
      <w:r w:rsidR="001C67AB" w:rsidRPr="001C67AB">
        <w:rPr>
          <w:rFonts w:ascii="Times New Roman" w:hAnsi="Times New Roman" w:cs="Times New Roman"/>
          <w:color w:val="000000"/>
          <w:sz w:val="28"/>
          <w:szCs w:val="28"/>
          <w:shd w:val="clear" w:color="auto" w:fill="FFFFFF"/>
          <w:lang w:val="uk-UA"/>
        </w:rPr>
        <w:t>із ЦД 2-го типу</w:t>
      </w:r>
      <w:r w:rsidR="00FE1971">
        <w:rPr>
          <w:rFonts w:ascii="Times New Roman" w:hAnsi="Times New Roman" w:cs="Times New Roman"/>
          <w:color w:val="000000"/>
          <w:sz w:val="28"/>
          <w:szCs w:val="28"/>
          <w:shd w:val="clear" w:color="auto" w:fill="FFFFFF"/>
          <w:lang w:val="uk-UA"/>
        </w:rPr>
        <w:t xml:space="preserve">, </w:t>
      </w:r>
      <w:r w:rsidR="00AF702F">
        <w:rPr>
          <w:rFonts w:ascii="Times New Roman" w:hAnsi="Times New Roman" w:cs="Times New Roman"/>
          <w:color w:val="000000"/>
          <w:sz w:val="28"/>
          <w:szCs w:val="28"/>
          <w:shd w:val="clear" w:color="auto" w:fill="FFFFFF"/>
          <w:lang w:val="uk-UA"/>
        </w:rPr>
        <w:t>тому що</w:t>
      </w:r>
      <w:r w:rsidR="00FE1971">
        <w:rPr>
          <w:rFonts w:ascii="Times New Roman" w:hAnsi="Times New Roman" w:cs="Times New Roman"/>
          <w:color w:val="000000"/>
          <w:sz w:val="28"/>
          <w:szCs w:val="28"/>
          <w:shd w:val="clear" w:color="auto" w:fill="FFFFFF"/>
          <w:lang w:val="uk-UA"/>
        </w:rPr>
        <w:t xml:space="preserve"> саме інсулін стимулює проліферацію факторів фіброз</w:t>
      </w:r>
      <w:r w:rsidR="001C67AB">
        <w:rPr>
          <w:rFonts w:ascii="Times New Roman" w:hAnsi="Times New Roman" w:cs="Times New Roman"/>
          <w:color w:val="000000"/>
          <w:sz w:val="28"/>
          <w:szCs w:val="28"/>
          <w:shd w:val="clear" w:color="auto" w:fill="FFFFFF"/>
          <w:lang w:val="uk-UA"/>
        </w:rPr>
        <w:t>у кардіоміоцитів із збільш</w:t>
      </w:r>
      <w:r w:rsidR="00AF702F">
        <w:rPr>
          <w:rFonts w:ascii="Times New Roman" w:hAnsi="Times New Roman" w:cs="Times New Roman"/>
          <w:color w:val="000000"/>
          <w:sz w:val="28"/>
          <w:szCs w:val="28"/>
          <w:shd w:val="clear" w:color="auto" w:fill="FFFFFF"/>
          <w:lang w:val="uk-UA"/>
        </w:rPr>
        <w:t>еним у</w:t>
      </w:r>
      <w:r w:rsidR="00FE1971">
        <w:rPr>
          <w:rFonts w:ascii="Times New Roman" w:hAnsi="Times New Roman" w:cs="Times New Roman"/>
          <w:color w:val="000000"/>
          <w:sz w:val="28"/>
          <w:szCs w:val="28"/>
          <w:shd w:val="clear" w:color="auto" w:fill="FFFFFF"/>
          <w:lang w:val="uk-UA"/>
        </w:rPr>
        <w:t xml:space="preserve">містом екстрацелюлярного матриксу у вигляді колагену, спричинюючи підвищення жорсткості шлуночків; гіперглікемію, </w:t>
      </w:r>
      <w:r w:rsidR="001C67AB">
        <w:rPr>
          <w:rFonts w:ascii="Times New Roman" w:hAnsi="Times New Roman" w:cs="Times New Roman"/>
          <w:color w:val="000000"/>
          <w:sz w:val="28"/>
          <w:szCs w:val="28"/>
          <w:shd w:val="clear" w:color="auto" w:fill="FFFFFF"/>
          <w:lang w:val="uk-UA"/>
        </w:rPr>
        <w:t>яка призводить до утворення і</w:t>
      </w:r>
      <w:r w:rsidR="00FE1971">
        <w:rPr>
          <w:rFonts w:ascii="Times New Roman" w:hAnsi="Times New Roman" w:cs="Times New Roman"/>
          <w:color w:val="000000"/>
          <w:sz w:val="28"/>
          <w:szCs w:val="28"/>
          <w:shd w:val="clear" w:color="auto" w:fill="FFFFFF"/>
          <w:lang w:val="uk-UA"/>
        </w:rPr>
        <w:t xml:space="preserve"> накопичення </w:t>
      </w:r>
      <w:r w:rsidR="007815E8">
        <w:rPr>
          <w:rFonts w:ascii="Times New Roman" w:hAnsi="Times New Roman" w:cs="Times New Roman"/>
          <w:color w:val="000000"/>
          <w:sz w:val="28"/>
          <w:szCs w:val="28"/>
          <w:shd w:val="clear" w:color="auto" w:fill="FFFFFF"/>
          <w:lang w:val="uk-UA"/>
        </w:rPr>
        <w:t>кін</w:t>
      </w:r>
      <w:r w:rsidR="009B38A2">
        <w:rPr>
          <w:rFonts w:ascii="Times New Roman" w:hAnsi="Times New Roman" w:cs="Times New Roman"/>
          <w:color w:val="000000"/>
          <w:sz w:val="28"/>
          <w:szCs w:val="28"/>
          <w:shd w:val="clear" w:color="auto" w:fill="FFFFFF"/>
          <w:lang w:val="uk-UA"/>
        </w:rPr>
        <w:t>цевих продуктів глікозилювання</w:t>
      </w:r>
      <w:r w:rsidR="00FE1971">
        <w:rPr>
          <w:rFonts w:ascii="Times New Roman" w:hAnsi="Times New Roman" w:cs="Times New Roman"/>
          <w:color w:val="000000"/>
          <w:sz w:val="28"/>
          <w:szCs w:val="28"/>
          <w:shd w:val="clear" w:color="auto" w:fill="FFFFFF"/>
          <w:lang w:val="uk-UA"/>
        </w:rPr>
        <w:t xml:space="preserve"> у міокарді та артеріях,</w:t>
      </w:r>
      <w:r w:rsidR="00CF0CCD">
        <w:rPr>
          <w:rFonts w:ascii="Times New Roman" w:hAnsi="Times New Roman" w:cs="Times New Roman"/>
          <w:color w:val="000000"/>
          <w:sz w:val="28"/>
          <w:szCs w:val="28"/>
          <w:shd w:val="clear" w:color="auto" w:fill="FFFFFF"/>
          <w:lang w:val="uk-UA"/>
        </w:rPr>
        <w:t xml:space="preserve"> </w:t>
      </w:r>
      <w:r w:rsidR="00B55513">
        <w:rPr>
          <w:rFonts w:ascii="Times New Roman" w:hAnsi="Times New Roman" w:cs="Times New Roman"/>
          <w:color w:val="000000"/>
          <w:sz w:val="28"/>
          <w:szCs w:val="28"/>
          <w:shd w:val="clear" w:color="auto" w:fill="FFFFFF"/>
          <w:lang w:val="uk-UA"/>
        </w:rPr>
        <w:t xml:space="preserve">       </w:t>
      </w:r>
      <w:r w:rsidR="001C67AB">
        <w:rPr>
          <w:rFonts w:ascii="Times New Roman" w:hAnsi="Times New Roman" w:cs="Times New Roman"/>
          <w:color w:val="000000"/>
          <w:sz w:val="28"/>
          <w:szCs w:val="28"/>
          <w:shd w:val="clear" w:color="auto" w:fill="FFFFFF"/>
          <w:lang w:val="uk-UA"/>
        </w:rPr>
        <w:lastRenderedPageBreak/>
        <w:t xml:space="preserve">що </w:t>
      </w:r>
      <w:r w:rsidR="00CF0CCD">
        <w:rPr>
          <w:rFonts w:ascii="Times New Roman" w:hAnsi="Times New Roman" w:cs="Times New Roman"/>
          <w:color w:val="000000"/>
          <w:sz w:val="28"/>
          <w:szCs w:val="28"/>
          <w:shd w:val="clear" w:color="auto" w:fill="FFFFFF"/>
          <w:lang w:val="uk-UA"/>
        </w:rPr>
        <w:t>кровопостачають серцевий мʼ</w:t>
      </w:r>
      <w:r w:rsidR="002D2A0A">
        <w:rPr>
          <w:rFonts w:ascii="Times New Roman" w:hAnsi="Times New Roman" w:cs="Times New Roman"/>
          <w:color w:val="000000"/>
          <w:sz w:val="28"/>
          <w:szCs w:val="28"/>
          <w:shd w:val="clear" w:color="auto" w:fill="FFFFFF"/>
          <w:lang w:val="uk-UA"/>
        </w:rPr>
        <w:t>яз, зі збільшенням їх жорсткості,</w:t>
      </w:r>
      <w:r w:rsidR="002D2A0A" w:rsidRPr="002D2A0A">
        <w:rPr>
          <w:rFonts w:ascii="Times New Roman" w:hAnsi="Times New Roman" w:cs="Times New Roman"/>
          <w:sz w:val="28"/>
          <w:szCs w:val="28"/>
          <w:lang w:val="uk-UA"/>
        </w:rPr>
        <w:t xml:space="preserve"> </w:t>
      </w:r>
      <w:r w:rsidR="002D2A0A">
        <w:rPr>
          <w:rFonts w:ascii="Times New Roman" w:hAnsi="Times New Roman" w:cs="Times New Roman"/>
          <w:sz w:val="28"/>
          <w:szCs w:val="28"/>
          <w:lang w:val="uk-UA"/>
        </w:rPr>
        <w:t xml:space="preserve">а також </w:t>
      </w:r>
      <w:r w:rsidR="00B55513">
        <w:rPr>
          <w:rFonts w:ascii="Times New Roman" w:hAnsi="Times New Roman" w:cs="Times New Roman"/>
          <w:sz w:val="28"/>
          <w:szCs w:val="28"/>
          <w:lang w:val="uk-UA"/>
        </w:rPr>
        <w:t xml:space="preserve">   </w:t>
      </w:r>
      <w:r w:rsidR="002D2A0A">
        <w:rPr>
          <w:rFonts w:ascii="Times New Roman" w:hAnsi="Times New Roman" w:cs="Times New Roman"/>
          <w:sz w:val="28"/>
          <w:szCs w:val="28"/>
          <w:lang w:val="uk-UA"/>
        </w:rPr>
        <w:t xml:space="preserve">до </w:t>
      </w:r>
      <w:r w:rsidR="00B55513">
        <w:rPr>
          <w:rFonts w:ascii="Times New Roman" w:hAnsi="Times New Roman" w:cs="Times New Roman"/>
          <w:color w:val="000000"/>
          <w:sz w:val="28"/>
          <w:szCs w:val="28"/>
          <w:shd w:val="clear" w:color="auto" w:fill="FFFFFF"/>
          <w:lang w:val="uk-UA"/>
        </w:rPr>
        <w:t xml:space="preserve">посилення </w:t>
      </w:r>
      <w:r w:rsidR="002D2A0A" w:rsidRPr="002D2A0A">
        <w:rPr>
          <w:rFonts w:ascii="Times New Roman" w:hAnsi="Times New Roman" w:cs="Times New Roman"/>
          <w:color w:val="000000"/>
          <w:sz w:val="28"/>
          <w:szCs w:val="28"/>
          <w:shd w:val="clear" w:color="auto" w:fill="FFFFFF"/>
          <w:lang w:val="uk-UA"/>
        </w:rPr>
        <w:t xml:space="preserve">ліполізу та вивільнення великої кількості вільних </w:t>
      </w:r>
      <w:r w:rsidR="007815E8">
        <w:rPr>
          <w:rFonts w:ascii="Times New Roman" w:hAnsi="Times New Roman" w:cs="Times New Roman"/>
          <w:color w:val="000000"/>
          <w:sz w:val="28"/>
          <w:szCs w:val="28"/>
          <w:shd w:val="clear" w:color="auto" w:fill="FFFFFF"/>
          <w:lang w:val="uk-UA"/>
        </w:rPr>
        <w:t xml:space="preserve">жирних кислот </w:t>
      </w:r>
      <w:r w:rsidR="002D2A0A" w:rsidRPr="002D2A0A">
        <w:rPr>
          <w:rFonts w:ascii="Times New Roman" w:hAnsi="Times New Roman" w:cs="Times New Roman"/>
          <w:color w:val="000000"/>
          <w:sz w:val="28"/>
          <w:szCs w:val="28"/>
          <w:shd w:val="clear" w:color="auto" w:fill="FFFFFF"/>
          <w:lang w:val="uk-UA"/>
        </w:rPr>
        <w:t xml:space="preserve">із жирової тканини, що </w:t>
      </w:r>
      <w:r w:rsidR="00AF702F">
        <w:rPr>
          <w:rFonts w:ascii="Times New Roman" w:hAnsi="Times New Roman" w:cs="Times New Roman"/>
          <w:color w:val="000000"/>
          <w:sz w:val="28"/>
          <w:szCs w:val="28"/>
          <w:shd w:val="clear" w:color="auto" w:fill="FFFFFF"/>
          <w:lang w:val="uk-UA"/>
        </w:rPr>
        <w:t>призводить</w:t>
      </w:r>
      <w:r w:rsidR="002D2A0A" w:rsidRPr="002D2A0A">
        <w:rPr>
          <w:rFonts w:ascii="Times New Roman" w:hAnsi="Times New Roman" w:cs="Times New Roman"/>
          <w:color w:val="000000"/>
          <w:sz w:val="28"/>
          <w:szCs w:val="28"/>
          <w:shd w:val="clear" w:color="auto" w:fill="FFFFFF"/>
          <w:lang w:val="uk-UA"/>
        </w:rPr>
        <w:t xml:space="preserve"> до пошкодження судинної стінки і посилення процесів атерогенезу.</w:t>
      </w:r>
      <w:r w:rsidR="002D2A0A">
        <w:rPr>
          <w:rFonts w:ascii="Times New Roman" w:hAnsi="Times New Roman" w:cs="Times New Roman"/>
          <w:color w:val="000000"/>
          <w:sz w:val="28"/>
          <w:szCs w:val="28"/>
          <w:shd w:val="clear" w:color="auto" w:fill="FFFFFF"/>
          <w:lang w:val="uk-UA"/>
        </w:rPr>
        <w:t xml:space="preserve"> </w:t>
      </w:r>
    </w:p>
    <w:p w:rsidR="00401A7E" w:rsidRPr="00F724D1" w:rsidRDefault="00C76D58" w:rsidP="00123786">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1225FC" w:rsidRDefault="00F342A5" w:rsidP="001225FC">
      <w:pPr>
        <w:spacing w:after="0" w:line="360" w:lineRule="auto"/>
        <w:ind w:firstLine="360"/>
        <w:jc w:val="both"/>
        <w:rPr>
          <w:rFonts w:ascii="Times New Roman" w:hAnsi="Times New Roman" w:cs="Times New Roman"/>
          <w:b/>
          <w:sz w:val="28"/>
          <w:szCs w:val="28"/>
          <w:lang w:val="uk-UA"/>
        </w:rPr>
      </w:pPr>
      <w:r w:rsidRPr="00F342A5">
        <w:rPr>
          <w:rFonts w:ascii="Times New Roman" w:hAnsi="Times New Roman" w:cs="Times New Roman"/>
          <w:b/>
          <w:sz w:val="28"/>
          <w:szCs w:val="28"/>
          <w:lang w:val="uk-UA"/>
        </w:rPr>
        <w:t xml:space="preserve">    </w:t>
      </w:r>
      <w:r w:rsidR="001225FC">
        <w:rPr>
          <w:rFonts w:ascii="Times New Roman" w:hAnsi="Times New Roman" w:cs="Times New Roman"/>
          <w:b/>
          <w:sz w:val="28"/>
          <w:szCs w:val="28"/>
          <w:lang w:val="uk-UA"/>
        </w:rPr>
        <w:t>1.</w:t>
      </w:r>
      <w:r w:rsidR="00612BFC">
        <w:rPr>
          <w:rFonts w:ascii="Times New Roman" w:hAnsi="Times New Roman" w:cs="Times New Roman"/>
          <w:b/>
          <w:sz w:val="28"/>
          <w:szCs w:val="28"/>
          <w:lang w:val="uk-UA"/>
        </w:rPr>
        <w:t>4</w:t>
      </w:r>
      <w:r w:rsidR="001225FC" w:rsidRPr="007B3805">
        <w:rPr>
          <w:rFonts w:ascii="Times New Roman" w:hAnsi="Times New Roman" w:cs="Times New Roman"/>
          <w:b/>
          <w:sz w:val="28"/>
          <w:szCs w:val="28"/>
          <w:lang w:val="uk-UA"/>
        </w:rPr>
        <w:t>.</w:t>
      </w:r>
      <w:r w:rsidR="001225FC">
        <w:rPr>
          <w:rFonts w:ascii="Times New Roman" w:hAnsi="Times New Roman" w:cs="Times New Roman"/>
          <w:sz w:val="28"/>
          <w:szCs w:val="28"/>
          <w:lang w:val="uk-UA"/>
        </w:rPr>
        <w:t xml:space="preserve"> </w:t>
      </w:r>
      <w:r w:rsidRPr="00F342A5">
        <w:rPr>
          <w:rFonts w:ascii="Times New Roman" w:hAnsi="Times New Roman" w:cs="Times New Roman"/>
          <w:b/>
          <w:sz w:val="28"/>
          <w:szCs w:val="28"/>
          <w:lang w:val="uk-UA"/>
        </w:rPr>
        <w:t>Медикаментозний вплив на ланки патогенезу артеріальної</w:t>
      </w:r>
      <w:r w:rsidRPr="00F342A5">
        <w:rPr>
          <w:rFonts w:ascii="Times New Roman" w:hAnsi="Times New Roman" w:cs="Times New Roman"/>
          <w:b/>
          <w:sz w:val="28"/>
          <w:szCs w:val="28"/>
          <w:highlight w:val="yellow"/>
          <w:lang w:val="uk-UA"/>
        </w:rPr>
        <w:t xml:space="preserve"> </w:t>
      </w:r>
      <w:r w:rsidRPr="00F342A5">
        <w:rPr>
          <w:rFonts w:ascii="Times New Roman" w:hAnsi="Times New Roman" w:cs="Times New Roman"/>
          <w:b/>
          <w:sz w:val="28"/>
          <w:szCs w:val="28"/>
          <w:lang w:val="uk-UA"/>
        </w:rPr>
        <w:t>гіпертензії із супутнім цукровим діабетом 2-го типу</w:t>
      </w:r>
    </w:p>
    <w:p w:rsidR="00401A7E" w:rsidRPr="00A03291" w:rsidRDefault="00401A7E" w:rsidP="001225FC">
      <w:pPr>
        <w:spacing w:after="0" w:line="360" w:lineRule="auto"/>
        <w:ind w:firstLine="360"/>
        <w:jc w:val="both"/>
        <w:rPr>
          <w:rFonts w:ascii="Times New Roman" w:hAnsi="Times New Roman" w:cs="Times New Roman"/>
          <w:sz w:val="28"/>
          <w:szCs w:val="28"/>
          <w:lang w:val="uk-UA"/>
        </w:rPr>
      </w:pPr>
    </w:p>
    <w:p w:rsidR="00EE33A7" w:rsidRDefault="00446330" w:rsidP="00EE33A7">
      <w:pPr>
        <w:spacing w:after="0" w:line="360" w:lineRule="auto"/>
        <w:ind w:firstLine="360"/>
        <w:jc w:val="both"/>
        <w:rPr>
          <w:rFonts w:ascii="Times New Roman" w:hAnsi="Times New Roman" w:cs="Times New Roman"/>
          <w:sz w:val="28"/>
          <w:szCs w:val="28"/>
          <w:lang w:val="uk-UA"/>
        </w:rPr>
      </w:pPr>
      <w:r w:rsidRPr="00446330">
        <w:rPr>
          <w:rFonts w:ascii="Times New Roman" w:hAnsi="Times New Roman" w:cs="Times New Roman"/>
          <w:sz w:val="28"/>
          <w:szCs w:val="28"/>
          <w:lang w:val="uk-UA"/>
        </w:rPr>
        <w:t xml:space="preserve">    </w:t>
      </w:r>
      <w:r w:rsidR="000106FF">
        <w:rPr>
          <w:rFonts w:ascii="Times New Roman" w:hAnsi="Times New Roman" w:cs="Times New Roman"/>
          <w:sz w:val="28"/>
          <w:szCs w:val="28"/>
          <w:lang w:val="uk-UA"/>
        </w:rPr>
        <w:t>Комплексний підхід до лікування</w:t>
      </w:r>
      <w:r w:rsidR="000106FF" w:rsidRPr="000106FF">
        <w:rPr>
          <w:rFonts w:ascii="Times New Roman" w:hAnsi="Times New Roman" w:cs="Times New Roman"/>
          <w:sz w:val="28"/>
          <w:szCs w:val="28"/>
          <w:lang w:val="uk-UA"/>
        </w:rPr>
        <w:t xml:space="preserve"> пацієнтів із АГ та супутнім </w:t>
      </w:r>
      <w:r w:rsidR="006D14D5">
        <w:rPr>
          <w:rFonts w:ascii="Times New Roman" w:hAnsi="Times New Roman" w:cs="Times New Roman"/>
          <w:sz w:val="28"/>
          <w:szCs w:val="28"/>
          <w:lang w:val="uk-UA"/>
        </w:rPr>
        <w:t xml:space="preserve">             </w:t>
      </w:r>
      <w:r w:rsidR="000106FF" w:rsidRPr="000106FF">
        <w:rPr>
          <w:rFonts w:ascii="Times New Roman" w:hAnsi="Times New Roman" w:cs="Times New Roman"/>
          <w:sz w:val="28"/>
          <w:szCs w:val="28"/>
          <w:lang w:val="uk-UA"/>
        </w:rPr>
        <w:t>ЦД 2-го типу</w:t>
      </w:r>
      <w:r w:rsidR="000106FF">
        <w:rPr>
          <w:rFonts w:ascii="Times New Roman" w:hAnsi="Times New Roman" w:cs="Times New Roman"/>
          <w:sz w:val="28"/>
          <w:szCs w:val="28"/>
          <w:lang w:val="uk-UA"/>
        </w:rPr>
        <w:t xml:space="preserve"> є необхідною складовою ведення коморбідних хворих. </w:t>
      </w:r>
      <w:r w:rsidR="006D14D5">
        <w:rPr>
          <w:rFonts w:ascii="Times New Roman" w:hAnsi="Times New Roman" w:cs="Times New Roman"/>
          <w:sz w:val="28"/>
          <w:szCs w:val="28"/>
          <w:lang w:val="uk-UA"/>
        </w:rPr>
        <w:t xml:space="preserve">           </w:t>
      </w:r>
      <w:r w:rsidR="00B84A1E">
        <w:rPr>
          <w:rFonts w:ascii="Times New Roman" w:hAnsi="Times New Roman" w:cs="Times New Roman"/>
          <w:sz w:val="28"/>
          <w:szCs w:val="28"/>
          <w:lang w:val="uk-UA"/>
        </w:rPr>
        <w:t>Без сумніву,</w:t>
      </w:r>
      <w:r w:rsidR="001850BB">
        <w:rPr>
          <w:rFonts w:ascii="Times New Roman" w:hAnsi="Times New Roman" w:cs="Times New Roman"/>
          <w:sz w:val="28"/>
          <w:szCs w:val="28"/>
          <w:lang w:val="uk-UA"/>
        </w:rPr>
        <w:t xml:space="preserve"> контроль АТ і</w:t>
      </w:r>
      <w:r w:rsidR="001850BB" w:rsidRPr="001850BB">
        <w:rPr>
          <w:rFonts w:ascii="Times New Roman" w:hAnsi="Times New Roman" w:cs="Times New Roman"/>
          <w:sz w:val="28"/>
          <w:szCs w:val="28"/>
          <w:lang w:val="uk-UA"/>
        </w:rPr>
        <w:t xml:space="preserve"> глікемії</w:t>
      </w:r>
      <w:r w:rsidR="001850BB">
        <w:rPr>
          <w:rFonts w:ascii="Times New Roman" w:hAnsi="Times New Roman" w:cs="Times New Roman"/>
          <w:sz w:val="28"/>
          <w:szCs w:val="28"/>
          <w:lang w:val="uk-UA"/>
        </w:rPr>
        <w:t xml:space="preserve"> є</w:t>
      </w:r>
      <w:r w:rsidR="00B84A1E">
        <w:rPr>
          <w:rFonts w:ascii="Times New Roman" w:hAnsi="Times New Roman" w:cs="Times New Roman"/>
          <w:sz w:val="28"/>
          <w:szCs w:val="28"/>
          <w:lang w:val="uk-UA"/>
        </w:rPr>
        <w:t xml:space="preserve"> п</w:t>
      </w:r>
      <w:r w:rsidR="000106FF">
        <w:rPr>
          <w:rFonts w:ascii="Times New Roman" w:hAnsi="Times New Roman" w:cs="Times New Roman"/>
          <w:sz w:val="28"/>
          <w:szCs w:val="28"/>
          <w:lang w:val="uk-UA"/>
        </w:rPr>
        <w:t>ершочерговим</w:t>
      </w:r>
      <w:r w:rsidR="001850BB">
        <w:rPr>
          <w:rFonts w:ascii="Times New Roman" w:hAnsi="Times New Roman" w:cs="Times New Roman"/>
          <w:sz w:val="28"/>
          <w:szCs w:val="28"/>
          <w:lang w:val="uk-UA"/>
        </w:rPr>
        <w:t>и</w:t>
      </w:r>
      <w:r w:rsidR="000106FF">
        <w:rPr>
          <w:rFonts w:ascii="Times New Roman" w:hAnsi="Times New Roman" w:cs="Times New Roman"/>
          <w:sz w:val="28"/>
          <w:szCs w:val="28"/>
          <w:lang w:val="uk-UA"/>
        </w:rPr>
        <w:t xml:space="preserve"> зав</w:t>
      </w:r>
      <w:r w:rsidR="001850BB">
        <w:rPr>
          <w:rFonts w:ascii="Times New Roman" w:hAnsi="Times New Roman" w:cs="Times New Roman"/>
          <w:sz w:val="28"/>
          <w:szCs w:val="28"/>
          <w:lang w:val="uk-UA"/>
        </w:rPr>
        <w:t xml:space="preserve">даннями. </w:t>
      </w:r>
      <w:r w:rsidR="0061048C">
        <w:rPr>
          <w:rFonts w:ascii="Times New Roman" w:hAnsi="Times New Roman" w:cs="Times New Roman"/>
          <w:sz w:val="28"/>
          <w:szCs w:val="28"/>
          <w:lang w:val="uk-UA"/>
        </w:rPr>
        <w:t>З</w:t>
      </w:r>
      <w:r w:rsidR="000106FF">
        <w:rPr>
          <w:rFonts w:ascii="Times New Roman" w:hAnsi="Times New Roman" w:cs="Times New Roman"/>
          <w:sz w:val="28"/>
          <w:szCs w:val="28"/>
          <w:lang w:val="uk-UA"/>
        </w:rPr>
        <w:t>ниження вмісту атерогенних ліпопротеїдів, альбумінурії, регрес гіпертрофії міокарда ЛШ</w:t>
      </w:r>
      <w:r w:rsidR="0047051F">
        <w:rPr>
          <w:rFonts w:ascii="Times New Roman" w:hAnsi="Times New Roman" w:cs="Times New Roman"/>
          <w:sz w:val="28"/>
          <w:szCs w:val="28"/>
          <w:lang w:val="uk-UA"/>
        </w:rPr>
        <w:t xml:space="preserve"> − важливі складові</w:t>
      </w:r>
      <w:r w:rsidR="0061048C">
        <w:rPr>
          <w:rFonts w:ascii="Times New Roman" w:hAnsi="Times New Roman" w:cs="Times New Roman"/>
          <w:sz w:val="28"/>
          <w:szCs w:val="28"/>
          <w:lang w:val="uk-UA"/>
        </w:rPr>
        <w:t xml:space="preserve"> </w:t>
      </w:r>
      <w:r w:rsidR="0061048C" w:rsidRPr="0061048C">
        <w:rPr>
          <w:rFonts w:ascii="Times New Roman" w:hAnsi="Times New Roman" w:cs="Times New Roman"/>
          <w:sz w:val="28"/>
          <w:szCs w:val="28"/>
          <w:lang w:val="uk-UA"/>
        </w:rPr>
        <w:t>вдалого ведення пацієнтів із зазначеною супутньою патологією</w:t>
      </w:r>
      <w:r w:rsidR="000106FF">
        <w:rPr>
          <w:rFonts w:ascii="Times New Roman" w:hAnsi="Times New Roman" w:cs="Times New Roman"/>
          <w:sz w:val="28"/>
          <w:szCs w:val="28"/>
          <w:lang w:val="uk-UA"/>
        </w:rPr>
        <w:t>.</w:t>
      </w:r>
    </w:p>
    <w:p w:rsidR="00C47187" w:rsidRPr="00B84A1E" w:rsidRDefault="00EE33A7" w:rsidP="00EE33A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У дослідженні ACCORD було доведено, </w:t>
      </w:r>
      <w:r w:rsidR="009B02D0">
        <w:rPr>
          <w:rFonts w:ascii="Times New Roman" w:hAnsi="Times New Roman" w:cs="Times New Roman"/>
          <w:sz w:val="28"/>
          <w:szCs w:val="28"/>
          <w:lang w:val="uk-UA"/>
        </w:rPr>
        <w:t>що адекватний контроль вмісту</w:t>
      </w:r>
      <w:r w:rsidR="009B02D0" w:rsidRPr="009B02D0">
        <w:rPr>
          <w:rFonts w:ascii="Times New Roman" w:hAnsi="Times New Roman" w:cs="Times New Roman"/>
          <w:sz w:val="28"/>
          <w:szCs w:val="28"/>
          <w:lang w:val="uk-UA"/>
        </w:rPr>
        <w:t xml:space="preserve"> глюкози в крові</w:t>
      </w:r>
      <w:r w:rsidR="001225FC" w:rsidRPr="00A03291">
        <w:rPr>
          <w:rFonts w:ascii="Times New Roman" w:hAnsi="Times New Roman" w:cs="Times New Roman"/>
          <w:sz w:val="28"/>
          <w:szCs w:val="28"/>
          <w:lang w:val="uk-UA"/>
        </w:rPr>
        <w:t xml:space="preserve"> пацієнтів із ЦД 2</w:t>
      </w:r>
      <w:r w:rsidR="009658F4">
        <w:rPr>
          <w:rFonts w:ascii="Times New Roman" w:hAnsi="Times New Roman" w:cs="Times New Roman"/>
          <w:sz w:val="28"/>
          <w:szCs w:val="28"/>
          <w:lang w:val="uk-UA"/>
        </w:rPr>
        <w:t>-го</w:t>
      </w:r>
      <w:r w:rsidR="001225FC" w:rsidRPr="00A03291">
        <w:rPr>
          <w:rFonts w:ascii="Times New Roman" w:hAnsi="Times New Roman" w:cs="Times New Roman"/>
          <w:sz w:val="28"/>
          <w:szCs w:val="28"/>
          <w:lang w:val="uk-UA"/>
        </w:rPr>
        <w:t xml:space="preserve"> типу </w:t>
      </w:r>
      <w:r w:rsidR="009B02D0">
        <w:rPr>
          <w:rFonts w:ascii="Times New Roman" w:hAnsi="Times New Roman" w:cs="Times New Roman"/>
          <w:sz w:val="28"/>
          <w:szCs w:val="28"/>
          <w:lang w:val="uk-UA"/>
        </w:rPr>
        <w:t xml:space="preserve">є </w:t>
      </w:r>
      <w:r w:rsidR="009B02D0" w:rsidRPr="009B02D0">
        <w:rPr>
          <w:rFonts w:ascii="Times New Roman" w:hAnsi="Times New Roman" w:cs="Times New Roman"/>
          <w:sz w:val="28"/>
          <w:szCs w:val="28"/>
          <w:lang w:val="uk-UA"/>
        </w:rPr>
        <w:t xml:space="preserve">недостатнім </w:t>
      </w:r>
      <w:r w:rsidR="0012062E">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для п</w:t>
      </w:r>
      <w:r w:rsidR="009B02D0">
        <w:rPr>
          <w:rFonts w:ascii="Times New Roman" w:hAnsi="Times New Roman" w:cs="Times New Roman"/>
          <w:sz w:val="28"/>
          <w:szCs w:val="28"/>
          <w:lang w:val="uk-UA"/>
        </w:rPr>
        <w:t xml:space="preserve">опередження ризику розвитку ССУ. </w:t>
      </w:r>
      <w:r w:rsidR="00C47187">
        <w:rPr>
          <w:rFonts w:ascii="Times New Roman" w:hAnsi="Times New Roman" w:cs="Times New Roman"/>
          <w:sz w:val="28"/>
          <w:szCs w:val="28"/>
          <w:lang w:val="uk-UA"/>
        </w:rPr>
        <w:t>Обов’язковими є</w:t>
      </w:r>
      <w:r w:rsidR="001225FC" w:rsidRPr="00A03291">
        <w:rPr>
          <w:rFonts w:ascii="Times New Roman" w:hAnsi="Times New Roman" w:cs="Times New Roman"/>
          <w:sz w:val="28"/>
          <w:szCs w:val="28"/>
          <w:lang w:val="uk-UA"/>
        </w:rPr>
        <w:t xml:space="preserve"> вплив на інші ланки патогенезу захворювання [</w:t>
      </w:r>
      <w:r w:rsidR="002B600D" w:rsidRPr="00CA04D8">
        <w:rPr>
          <w:rFonts w:ascii="Times New Roman" w:hAnsi="Times New Roman" w:cs="Times New Roman"/>
          <w:sz w:val="28"/>
          <w:szCs w:val="28"/>
          <w:lang w:val="uk-UA"/>
        </w:rPr>
        <w:t>103</w:t>
      </w:r>
      <w:r w:rsidR="00B84A1E" w:rsidRPr="00CA04D8">
        <w:rPr>
          <w:rFonts w:ascii="Times New Roman" w:hAnsi="Times New Roman" w:cs="Times New Roman"/>
          <w:sz w:val="28"/>
          <w:szCs w:val="28"/>
          <w:lang w:val="uk-UA"/>
        </w:rPr>
        <w:t>],</w:t>
      </w:r>
      <w:r w:rsidR="00B84A1E">
        <w:rPr>
          <w:rFonts w:ascii="Times New Roman" w:hAnsi="Times New Roman" w:cs="Times New Roman"/>
          <w:sz w:val="28"/>
          <w:szCs w:val="28"/>
          <w:lang w:val="uk-UA"/>
        </w:rPr>
        <w:t xml:space="preserve"> до яких належать дисліпідемія,</w:t>
      </w:r>
      <w:r w:rsidR="007815E8">
        <w:rPr>
          <w:rFonts w:ascii="Times New Roman" w:hAnsi="Times New Roman" w:cs="Times New Roman"/>
          <w:sz w:val="28"/>
          <w:szCs w:val="28"/>
          <w:lang w:val="uk-UA"/>
        </w:rPr>
        <w:t xml:space="preserve"> ДН</w:t>
      </w:r>
      <w:r w:rsidR="00B84A1E">
        <w:rPr>
          <w:rFonts w:ascii="Times New Roman" w:hAnsi="Times New Roman" w:cs="Times New Roman"/>
          <w:sz w:val="28"/>
          <w:szCs w:val="28"/>
          <w:lang w:val="uk-UA"/>
        </w:rPr>
        <w:t>, ремоделювання чи гіпертрофія ЛШ</w:t>
      </w:r>
      <w:r w:rsidR="00B84A1E" w:rsidRPr="00B84A1E">
        <w:rPr>
          <w:rFonts w:ascii="Times New Roman" w:hAnsi="Times New Roman" w:cs="Times New Roman"/>
          <w:sz w:val="28"/>
          <w:szCs w:val="28"/>
          <w:lang w:val="uk-UA"/>
        </w:rPr>
        <w:t xml:space="preserve">, </w:t>
      </w:r>
      <w:r w:rsidR="00B84A1E">
        <w:rPr>
          <w:rFonts w:ascii="Times New Roman" w:hAnsi="Times New Roman" w:cs="Times New Roman"/>
          <w:sz w:val="28"/>
          <w:szCs w:val="28"/>
          <w:lang w:val="uk-UA"/>
        </w:rPr>
        <w:t>дисфункція ендотелію судин, імунне запалення.</w:t>
      </w:r>
    </w:p>
    <w:p w:rsidR="00C47187" w:rsidRDefault="00C47187" w:rsidP="00C4718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32695">
        <w:rPr>
          <w:rFonts w:ascii="Times New Roman" w:hAnsi="Times New Roman" w:cs="Times New Roman"/>
          <w:sz w:val="28"/>
          <w:szCs w:val="28"/>
          <w:lang w:val="uk-UA"/>
        </w:rPr>
        <w:t xml:space="preserve">Згідно з рекомендаціями </w:t>
      </w:r>
      <w:r w:rsidR="00232695">
        <w:rPr>
          <w:rFonts w:ascii="Times New Roman" w:hAnsi="Times New Roman" w:cs="Times New Roman"/>
          <w:sz w:val="28"/>
          <w:szCs w:val="28"/>
          <w:lang w:val="en-US"/>
        </w:rPr>
        <w:t>ADA</w:t>
      </w:r>
      <w:r w:rsidR="00232695">
        <w:rPr>
          <w:rFonts w:ascii="Times New Roman" w:hAnsi="Times New Roman" w:cs="Times New Roman"/>
          <w:sz w:val="28"/>
          <w:szCs w:val="28"/>
          <w:lang w:val="uk-UA"/>
        </w:rPr>
        <w:t xml:space="preserve"> (2017</w:t>
      </w:r>
      <w:r w:rsidR="00232695" w:rsidRPr="00232695">
        <w:rPr>
          <w:rFonts w:ascii="Times New Roman" w:hAnsi="Times New Roman" w:cs="Times New Roman"/>
          <w:sz w:val="28"/>
          <w:szCs w:val="28"/>
          <w:lang w:val="uk-UA"/>
        </w:rPr>
        <w:t xml:space="preserve">) </w:t>
      </w:r>
      <w:r w:rsidR="0047051F" w:rsidRPr="0047051F">
        <w:rPr>
          <w:rFonts w:ascii="Times New Roman" w:hAnsi="Times New Roman" w:cs="Times New Roman"/>
          <w:sz w:val="28"/>
          <w:szCs w:val="28"/>
          <w:lang w:val="uk-UA"/>
        </w:rPr>
        <w:t xml:space="preserve">систематизована оцінка АГ, дисліпідемії, альбумінурії </w:t>
      </w:r>
      <w:r w:rsidR="0047051F">
        <w:rPr>
          <w:rFonts w:ascii="Times New Roman" w:hAnsi="Times New Roman" w:cs="Times New Roman"/>
          <w:sz w:val="28"/>
          <w:szCs w:val="28"/>
          <w:lang w:val="uk-UA"/>
        </w:rPr>
        <w:t xml:space="preserve">є </w:t>
      </w:r>
      <w:r w:rsidR="0047051F" w:rsidRPr="0047051F">
        <w:rPr>
          <w:rFonts w:ascii="Times New Roman" w:hAnsi="Times New Roman" w:cs="Times New Roman"/>
          <w:sz w:val="28"/>
          <w:szCs w:val="28"/>
          <w:lang w:val="uk-UA"/>
        </w:rPr>
        <w:t xml:space="preserve">необхідною </w:t>
      </w:r>
      <w:r w:rsidR="00232695">
        <w:rPr>
          <w:rFonts w:ascii="Times New Roman" w:hAnsi="Times New Roman" w:cs="Times New Roman"/>
          <w:sz w:val="28"/>
          <w:szCs w:val="28"/>
          <w:lang w:val="uk-UA"/>
        </w:rPr>
        <w:t>у</w:t>
      </w:r>
      <w:r w:rsidR="001225FC" w:rsidRPr="00A03291">
        <w:rPr>
          <w:rFonts w:ascii="Times New Roman" w:hAnsi="Times New Roman" w:cs="Times New Roman"/>
          <w:sz w:val="28"/>
          <w:szCs w:val="28"/>
          <w:lang w:val="uk-UA"/>
        </w:rPr>
        <w:t xml:space="preserve"> пацієнтів із ЦД</w:t>
      </w:r>
      <w:r w:rsidR="0047051F">
        <w:rPr>
          <w:rFonts w:ascii="Times New Roman" w:hAnsi="Times New Roman" w:cs="Times New Roman"/>
          <w:sz w:val="28"/>
          <w:szCs w:val="28"/>
          <w:lang w:val="uk-UA"/>
        </w:rPr>
        <w:t>. С</w:t>
      </w:r>
      <w:r w:rsidR="0047051F" w:rsidRPr="0047051F">
        <w:rPr>
          <w:rFonts w:ascii="Times New Roman" w:hAnsi="Times New Roman" w:cs="Times New Roman"/>
          <w:sz w:val="28"/>
          <w:szCs w:val="28"/>
          <w:lang w:val="uk-UA"/>
        </w:rPr>
        <w:t xml:space="preserve">татини </w:t>
      </w:r>
      <w:r w:rsidR="0047051F">
        <w:rPr>
          <w:rFonts w:ascii="Times New Roman" w:hAnsi="Times New Roman" w:cs="Times New Roman"/>
          <w:sz w:val="28"/>
          <w:szCs w:val="28"/>
          <w:lang w:val="uk-UA"/>
        </w:rPr>
        <w:t xml:space="preserve">вважаються </w:t>
      </w:r>
      <w:r w:rsidR="001225FC" w:rsidRPr="00A03291">
        <w:rPr>
          <w:rFonts w:ascii="Times New Roman" w:hAnsi="Times New Roman" w:cs="Times New Roman"/>
          <w:sz w:val="28"/>
          <w:szCs w:val="28"/>
          <w:lang w:val="uk-UA"/>
        </w:rPr>
        <w:t>препаратами вибору для досягнення цільових рівн</w:t>
      </w:r>
      <w:r w:rsidR="00BD186D">
        <w:rPr>
          <w:rFonts w:ascii="Times New Roman" w:hAnsi="Times New Roman" w:cs="Times New Roman"/>
          <w:sz w:val="28"/>
          <w:szCs w:val="28"/>
          <w:lang w:val="uk-UA"/>
        </w:rPr>
        <w:t>ів показників ліпідного обміну</w:t>
      </w:r>
      <w:r w:rsidR="00433F6B">
        <w:rPr>
          <w:rFonts w:ascii="Times New Roman" w:hAnsi="Times New Roman" w:cs="Times New Roman"/>
          <w:sz w:val="28"/>
          <w:szCs w:val="28"/>
          <w:lang w:val="uk-UA"/>
        </w:rPr>
        <w:t>,</w:t>
      </w:r>
      <w:r w:rsidR="00223526">
        <w:rPr>
          <w:rFonts w:ascii="Times New Roman" w:hAnsi="Times New Roman" w:cs="Times New Roman"/>
          <w:sz w:val="28"/>
          <w:szCs w:val="28"/>
          <w:lang w:val="uk-UA"/>
        </w:rPr>
        <w:t xml:space="preserve"> попередження ССУ </w:t>
      </w:r>
      <w:r w:rsidR="002E2664">
        <w:rPr>
          <w:rFonts w:ascii="Times New Roman" w:hAnsi="Times New Roman" w:cs="Times New Roman"/>
          <w:sz w:val="28"/>
          <w:szCs w:val="28"/>
          <w:lang w:val="uk-UA"/>
        </w:rPr>
        <w:t>у</w:t>
      </w:r>
      <w:r w:rsidR="0047051F" w:rsidRPr="0047051F">
        <w:rPr>
          <w:rFonts w:ascii="Times New Roman" w:hAnsi="Times New Roman" w:cs="Times New Roman"/>
          <w:sz w:val="28"/>
          <w:szCs w:val="28"/>
          <w:lang w:val="uk-UA"/>
        </w:rPr>
        <w:t xml:space="preserve"> хворих на ЦД 2-го </w:t>
      </w:r>
      <w:r w:rsidR="0047051F">
        <w:rPr>
          <w:rFonts w:ascii="Times New Roman" w:hAnsi="Times New Roman" w:cs="Times New Roman"/>
          <w:sz w:val="28"/>
          <w:szCs w:val="28"/>
          <w:lang w:val="uk-UA"/>
        </w:rPr>
        <w:t>типу</w:t>
      </w:r>
      <w:r w:rsidR="002B600D" w:rsidRPr="002B600D">
        <w:rPr>
          <w:rFonts w:ascii="Times New Roman" w:hAnsi="Times New Roman" w:cs="Times New Roman"/>
          <w:sz w:val="28"/>
          <w:szCs w:val="28"/>
        </w:rPr>
        <w:t xml:space="preserve"> </w:t>
      </w:r>
      <w:r w:rsidR="00730137" w:rsidRPr="00730137">
        <w:rPr>
          <w:rFonts w:ascii="Times New Roman" w:hAnsi="Times New Roman" w:cs="Times New Roman"/>
          <w:sz w:val="28"/>
          <w:szCs w:val="28"/>
          <w:lang w:val="uk-UA"/>
        </w:rPr>
        <w:t>[</w:t>
      </w:r>
      <w:r w:rsidR="00CA04D8">
        <w:rPr>
          <w:rFonts w:ascii="Times New Roman" w:hAnsi="Times New Roman" w:cs="Times New Roman"/>
          <w:sz w:val="28"/>
          <w:szCs w:val="28"/>
          <w:lang w:val="uk-UA"/>
        </w:rPr>
        <w:t>7</w:t>
      </w:r>
      <w:r w:rsidR="00730137" w:rsidRPr="00FB5188">
        <w:rPr>
          <w:rFonts w:ascii="Times New Roman" w:hAnsi="Times New Roman" w:cs="Times New Roman"/>
          <w:sz w:val="28"/>
          <w:szCs w:val="28"/>
          <w:lang w:val="uk-UA"/>
        </w:rPr>
        <w:t>]</w:t>
      </w:r>
      <w:r w:rsidR="001225FC" w:rsidRPr="00FB518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C47187" w:rsidRDefault="00C47187" w:rsidP="00C4718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47187">
        <w:rPr>
          <w:rFonts w:ascii="Times New Roman" w:hAnsi="Times New Roman" w:cs="Times New Roman"/>
          <w:sz w:val="28"/>
          <w:szCs w:val="28"/>
          <w:lang w:val="uk-UA"/>
        </w:rPr>
        <w:t>З</w:t>
      </w:r>
      <w:r>
        <w:rPr>
          <w:rFonts w:ascii="Times New Roman" w:hAnsi="Times New Roman" w:cs="Times New Roman"/>
          <w:sz w:val="28"/>
          <w:szCs w:val="28"/>
          <w:lang w:val="uk-UA"/>
        </w:rPr>
        <w:t>гідно з рекомендаціями ADA (201</w:t>
      </w:r>
      <w:r w:rsidRPr="00C47187">
        <w:rPr>
          <w:rFonts w:ascii="Times New Roman" w:hAnsi="Times New Roman" w:cs="Times New Roman"/>
          <w:sz w:val="28"/>
          <w:szCs w:val="28"/>
          <w:lang w:val="uk-UA"/>
        </w:rPr>
        <w:t xml:space="preserve">4) </w:t>
      </w:r>
      <w:r w:rsidR="00B84A1E">
        <w:rPr>
          <w:rFonts w:ascii="Times New Roman" w:hAnsi="Times New Roman" w:cs="Times New Roman"/>
          <w:sz w:val="28"/>
          <w:szCs w:val="28"/>
          <w:lang w:val="uk-UA"/>
        </w:rPr>
        <w:t xml:space="preserve">у </w:t>
      </w:r>
      <w:r w:rsidR="00401B8B">
        <w:rPr>
          <w:rFonts w:ascii="Times New Roman" w:hAnsi="Times New Roman" w:cs="Times New Roman"/>
          <w:sz w:val="28"/>
          <w:szCs w:val="28"/>
          <w:lang w:val="uk-UA"/>
        </w:rPr>
        <w:t>пацієнтів із ССЗ,</w:t>
      </w:r>
      <w:r w:rsidR="00401B8B" w:rsidRPr="00401B8B">
        <w:rPr>
          <w:rFonts w:ascii="Times New Roman" w:hAnsi="Times New Roman" w:cs="Times New Roman"/>
          <w:sz w:val="28"/>
          <w:szCs w:val="28"/>
          <w:lang w:val="uk-UA"/>
        </w:rPr>
        <w:t xml:space="preserve"> включаючи АГ, </w:t>
      </w:r>
      <w:r w:rsidR="001D4FB3">
        <w:rPr>
          <w:rFonts w:ascii="Times New Roman" w:hAnsi="Times New Roman" w:cs="Times New Roman"/>
          <w:sz w:val="28"/>
          <w:szCs w:val="28"/>
          <w:lang w:val="uk-UA"/>
        </w:rPr>
        <w:t xml:space="preserve">та </w:t>
      </w:r>
      <w:r w:rsidR="00401B8B" w:rsidRPr="00401B8B">
        <w:rPr>
          <w:rFonts w:ascii="Times New Roman" w:hAnsi="Times New Roman" w:cs="Times New Roman"/>
          <w:sz w:val="28"/>
          <w:szCs w:val="28"/>
          <w:lang w:val="uk-UA"/>
        </w:rPr>
        <w:t>супутн</w:t>
      </w:r>
      <w:r w:rsidR="00401B8B">
        <w:rPr>
          <w:rFonts w:ascii="Times New Roman" w:hAnsi="Times New Roman" w:cs="Times New Roman"/>
          <w:sz w:val="28"/>
          <w:szCs w:val="28"/>
          <w:lang w:val="uk-UA"/>
        </w:rPr>
        <w:t xml:space="preserve">ім </w:t>
      </w:r>
      <w:r w:rsidR="001D4FB3">
        <w:rPr>
          <w:rFonts w:ascii="Times New Roman" w:hAnsi="Times New Roman" w:cs="Times New Roman"/>
          <w:sz w:val="28"/>
          <w:szCs w:val="28"/>
          <w:lang w:val="uk-UA"/>
        </w:rPr>
        <w:t>ЦД</w:t>
      </w:r>
      <w:r w:rsidR="00401B8B">
        <w:rPr>
          <w:rFonts w:ascii="Times New Roman" w:hAnsi="Times New Roman" w:cs="Times New Roman"/>
          <w:sz w:val="28"/>
          <w:szCs w:val="28"/>
          <w:lang w:val="uk-UA"/>
        </w:rPr>
        <w:t xml:space="preserve"> </w:t>
      </w:r>
      <w:r>
        <w:rPr>
          <w:rFonts w:ascii="Times New Roman" w:hAnsi="Times New Roman" w:cs="Times New Roman"/>
          <w:sz w:val="28"/>
          <w:szCs w:val="28"/>
          <w:lang w:val="uk-UA"/>
        </w:rPr>
        <w:t>ц</w:t>
      </w:r>
      <w:r w:rsidR="00401B8B">
        <w:rPr>
          <w:rFonts w:ascii="Times New Roman" w:hAnsi="Times New Roman" w:cs="Times New Roman"/>
          <w:sz w:val="28"/>
          <w:szCs w:val="28"/>
          <w:lang w:val="uk-UA"/>
        </w:rPr>
        <w:t>ільовими є наступні</w:t>
      </w:r>
      <w:r w:rsidR="001225FC" w:rsidRPr="00A03291">
        <w:rPr>
          <w:rFonts w:ascii="Times New Roman" w:hAnsi="Times New Roman" w:cs="Times New Roman"/>
          <w:sz w:val="28"/>
          <w:szCs w:val="28"/>
          <w:lang w:val="uk-UA"/>
        </w:rPr>
        <w:t xml:space="preserve"> значення</w:t>
      </w:r>
      <w:r w:rsidR="001D4FB3">
        <w:rPr>
          <w:rFonts w:ascii="Times New Roman" w:hAnsi="Times New Roman" w:cs="Times New Roman"/>
          <w:sz w:val="28"/>
          <w:szCs w:val="28"/>
          <w:lang w:val="uk-UA"/>
        </w:rPr>
        <w:t xml:space="preserve"> показників ліпідного профілю</w:t>
      </w:r>
      <w:r w:rsidR="00401B8B">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ЗХС – менше </w:t>
      </w:r>
      <w:r w:rsidR="00AF702F">
        <w:rPr>
          <w:rFonts w:ascii="Times New Roman" w:hAnsi="Times New Roman" w:cs="Times New Roman"/>
          <w:sz w:val="28"/>
          <w:szCs w:val="28"/>
          <w:lang w:val="uk-UA"/>
        </w:rPr>
        <w:t xml:space="preserve">ніж </w:t>
      </w:r>
      <w:r w:rsidR="001225FC" w:rsidRPr="00A03291">
        <w:rPr>
          <w:rFonts w:ascii="Times New Roman" w:hAnsi="Times New Roman" w:cs="Times New Roman"/>
          <w:sz w:val="28"/>
          <w:szCs w:val="28"/>
          <w:lang w:val="uk-UA"/>
        </w:rPr>
        <w:t xml:space="preserve">4,5 ммоль/л, ХС ЛПНЩ – менше </w:t>
      </w:r>
      <w:r w:rsidR="00AF702F">
        <w:rPr>
          <w:rFonts w:ascii="Times New Roman" w:hAnsi="Times New Roman" w:cs="Times New Roman"/>
          <w:sz w:val="28"/>
          <w:szCs w:val="28"/>
          <w:lang w:val="uk-UA"/>
        </w:rPr>
        <w:t xml:space="preserve">ніж </w:t>
      </w:r>
      <w:r w:rsidR="001D4FB3">
        <w:rPr>
          <w:rFonts w:ascii="Times New Roman" w:hAnsi="Times New Roman" w:cs="Times New Roman"/>
          <w:sz w:val="28"/>
          <w:szCs w:val="28"/>
          <w:lang w:val="uk-UA"/>
        </w:rPr>
        <w:t>1,8 ммоль/л</w:t>
      </w:r>
      <w:r w:rsidR="001225FC" w:rsidRPr="00A03291">
        <w:rPr>
          <w:rFonts w:ascii="Times New Roman" w:hAnsi="Times New Roman" w:cs="Times New Roman"/>
          <w:sz w:val="28"/>
          <w:szCs w:val="28"/>
          <w:lang w:val="uk-UA"/>
        </w:rPr>
        <w:t xml:space="preserve">, ТГ </w:t>
      </w:r>
      <w:r w:rsidR="006A0BC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менше</w:t>
      </w:r>
      <w:r w:rsidR="00AF702F">
        <w:rPr>
          <w:rFonts w:ascii="Times New Roman" w:hAnsi="Times New Roman" w:cs="Times New Roman"/>
          <w:sz w:val="28"/>
          <w:szCs w:val="28"/>
          <w:lang w:val="uk-UA"/>
        </w:rPr>
        <w:t xml:space="preserve"> ніж</w:t>
      </w:r>
      <w:r w:rsidR="001225FC" w:rsidRPr="00A03291">
        <w:rPr>
          <w:rFonts w:ascii="Times New Roman" w:hAnsi="Times New Roman" w:cs="Times New Roman"/>
          <w:sz w:val="28"/>
          <w:szCs w:val="28"/>
          <w:lang w:val="uk-UA"/>
        </w:rPr>
        <w:t xml:space="preserve"> 1,7; </w:t>
      </w:r>
      <w:r w:rsidR="002E2664">
        <w:rPr>
          <w:rFonts w:ascii="Times New Roman" w:hAnsi="Times New Roman" w:cs="Times New Roman"/>
          <w:sz w:val="28"/>
          <w:szCs w:val="28"/>
          <w:lang w:val="uk-UA"/>
        </w:rPr>
        <w:t xml:space="preserve">ХС </w:t>
      </w:r>
      <w:r w:rsidR="001225FC" w:rsidRPr="00A03291">
        <w:rPr>
          <w:rFonts w:ascii="Times New Roman" w:hAnsi="Times New Roman" w:cs="Times New Roman"/>
          <w:sz w:val="28"/>
          <w:szCs w:val="28"/>
          <w:lang w:val="uk-UA"/>
        </w:rPr>
        <w:t xml:space="preserve">ЛПВЩ – більше </w:t>
      </w:r>
      <w:r w:rsidR="00AF702F">
        <w:rPr>
          <w:rFonts w:ascii="Times New Roman" w:hAnsi="Times New Roman" w:cs="Times New Roman"/>
          <w:sz w:val="28"/>
          <w:szCs w:val="28"/>
          <w:lang w:val="uk-UA"/>
        </w:rPr>
        <w:t xml:space="preserve">ніж </w:t>
      </w:r>
      <w:r w:rsidR="001225FC" w:rsidRPr="00A03291">
        <w:rPr>
          <w:rFonts w:ascii="Times New Roman" w:hAnsi="Times New Roman" w:cs="Times New Roman"/>
          <w:sz w:val="28"/>
          <w:szCs w:val="28"/>
          <w:lang w:val="uk-UA"/>
        </w:rPr>
        <w:t xml:space="preserve">1,0 у чоловіків та 1,3 </w:t>
      </w:r>
      <w:r w:rsidR="00AF702F">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у жінок [</w:t>
      </w:r>
      <w:r w:rsidR="008F15A1" w:rsidRPr="00CA04D8">
        <w:rPr>
          <w:rFonts w:ascii="Times New Roman" w:hAnsi="Times New Roman" w:cs="Times New Roman"/>
          <w:sz w:val="28"/>
          <w:szCs w:val="28"/>
          <w:lang w:val="uk-UA"/>
        </w:rPr>
        <w:t>104</w:t>
      </w:r>
      <w:r w:rsidR="001225FC" w:rsidRPr="00CA04D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A43D21" w:rsidRDefault="00164117" w:rsidP="00C4718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E2664">
        <w:rPr>
          <w:rFonts w:ascii="Times New Roman" w:hAnsi="Times New Roman" w:cs="Times New Roman"/>
          <w:sz w:val="28"/>
          <w:szCs w:val="28"/>
          <w:lang w:val="uk-UA"/>
        </w:rPr>
        <w:t xml:space="preserve">   Н</w:t>
      </w:r>
      <w:r>
        <w:rPr>
          <w:rFonts w:ascii="Times New Roman" w:hAnsi="Times New Roman" w:cs="Times New Roman"/>
          <w:sz w:val="28"/>
          <w:szCs w:val="28"/>
          <w:lang w:val="uk-UA"/>
        </w:rPr>
        <w:t>ефропротекція</w:t>
      </w:r>
      <w:r w:rsidR="002E2664">
        <w:rPr>
          <w:rFonts w:ascii="Times New Roman" w:hAnsi="Times New Roman" w:cs="Times New Roman"/>
          <w:sz w:val="28"/>
          <w:szCs w:val="28"/>
          <w:lang w:val="uk-UA"/>
        </w:rPr>
        <w:t xml:space="preserve"> є одним із </w:t>
      </w:r>
      <w:r w:rsidR="002E2664" w:rsidRPr="002E2664">
        <w:rPr>
          <w:rFonts w:ascii="Times New Roman" w:hAnsi="Times New Roman" w:cs="Times New Roman"/>
          <w:sz w:val="28"/>
          <w:szCs w:val="28"/>
          <w:lang w:val="uk-UA"/>
        </w:rPr>
        <w:t>ефектів статинів</w:t>
      </w:r>
      <w:r w:rsidR="002E2664">
        <w:rPr>
          <w:rFonts w:ascii="Times New Roman" w:hAnsi="Times New Roman" w:cs="Times New Roman"/>
          <w:sz w:val="28"/>
          <w:szCs w:val="28"/>
          <w:lang w:val="uk-UA"/>
        </w:rPr>
        <w:t xml:space="preserve"> та обумовлена</w:t>
      </w:r>
      <w:r w:rsidR="00A43D21">
        <w:rPr>
          <w:rFonts w:ascii="Times New Roman" w:hAnsi="Times New Roman" w:cs="Times New Roman"/>
          <w:sz w:val="28"/>
          <w:szCs w:val="28"/>
          <w:lang w:val="uk-UA"/>
        </w:rPr>
        <w:t xml:space="preserve"> </w:t>
      </w:r>
      <w:r w:rsidR="002E2664">
        <w:rPr>
          <w:rFonts w:ascii="Times New Roman" w:hAnsi="Times New Roman" w:cs="Times New Roman"/>
          <w:sz w:val="28"/>
          <w:szCs w:val="28"/>
          <w:lang w:val="uk-UA"/>
        </w:rPr>
        <w:t xml:space="preserve">їх </w:t>
      </w:r>
      <w:r w:rsidR="00A43D21">
        <w:rPr>
          <w:rFonts w:ascii="Times New Roman" w:hAnsi="Times New Roman" w:cs="Times New Roman"/>
          <w:sz w:val="28"/>
          <w:szCs w:val="28"/>
          <w:lang w:val="uk-UA"/>
        </w:rPr>
        <w:t>антипротеїнур</w:t>
      </w:r>
      <w:r w:rsidR="002E2664">
        <w:rPr>
          <w:rFonts w:ascii="Times New Roman" w:hAnsi="Times New Roman" w:cs="Times New Roman"/>
          <w:sz w:val="28"/>
          <w:szCs w:val="28"/>
          <w:lang w:val="uk-UA"/>
        </w:rPr>
        <w:t>ичною, васкулопротекторною</w:t>
      </w:r>
      <w:r>
        <w:rPr>
          <w:rFonts w:ascii="Times New Roman" w:hAnsi="Times New Roman" w:cs="Times New Roman"/>
          <w:sz w:val="28"/>
          <w:szCs w:val="28"/>
          <w:lang w:val="uk-UA"/>
        </w:rPr>
        <w:t xml:space="preserve"> ді</w:t>
      </w:r>
      <w:r w:rsidR="00E86DF1">
        <w:rPr>
          <w:rFonts w:ascii="Times New Roman" w:hAnsi="Times New Roman" w:cs="Times New Roman"/>
          <w:sz w:val="28"/>
          <w:szCs w:val="28"/>
          <w:lang w:val="uk-UA"/>
        </w:rPr>
        <w:t>є</w:t>
      </w:r>
      <w:r>
        <w:rPr>
          <w:rFonts w:ascii="Times New Roman" w:hAnsi="Times New Roman" w:cs="Times New Roman"/>
          <w:sz w:val="28"/>
          <w:szCs w:val="28"/>
          <w:lang w:val="uk-UA"/>
        </w:rPr>
        <w:t xml:space="preserve">ю відносно судин нирок, </w:t>
      </w:r>
      <w:r w:rsidR="002E2664">
        <w:rPr>
          <w:rFonts w:ascii="Times New Roman" w:hAnsi="Times New Roman" w:cs="Times New Roman"/>
          <w:sz w:val="28"/>
          <w:szCs w:val="28"/>
          <w:lang w:val="uk-UA"/>
        </w:rPr>
        <w:t>зменшенням</w:t>
      </w:r>
      <w:r w:rsidR="00A43D21">
        <w:rPr>
          <w:rFonts w:ascii="Times New Roman" w:hAnsi="Times New Roman" w:cs="Times New Roman"/>
          <w:sz w:val="28"/>
          <w:szCs w:val="28"/>
          <w:lang w:val="uk-UA"/>
        </w:rPr>
        <w:t xml:space="preserve"> ризик</w:t>
      </w:r>
      <w:r w:rsidR="002E2664">
        <w:rPr>
          <w:rFonts w:ascii="Times New Roman" w:hAnsi="Times New Roman" w:cs="Times New Roman"/>
          <w:sz w:val="28"/>
          <w:szCs w:val="28"/>
          <w:lang w:val="uk-UA"/>
        </w:rPr>
        <w:t>у</w:t>
      </w:r>
      <w:r w:rsidR="00A43D21">
        <w:rPr>
          <w:rFonts w:ascii="Times New Roman" w:hAnsi="Times New Roman" w:cs="Times New Roman"/>
          <w:sz w:val="28"/>
          <w:szCs w:val="28"/>
          <w:lang w:val="uk-UA"/>
        </w:rPr>
        <w:t xml:space="preserve"> ССУ</w:t>
      </w:r>
      <w:r w:rsidR="000F5E9A">
        <w:rPr>
          <w:rFonts w:ascii="Times New Roman" w:hAnsi="Times New Roman" w:cs="Times New Roman"/>
          <w:sz w:val="28"/>
          <w:szCs w:val="28"/>
          <w:lang w:val="uk-UA"/>
        </w:rPr>
        <w:t xml:space="preserve"> </w:t>
      </w:r>
      <w:r w:rsidR="000F5E9A" w:rsidRPr="000F5E9A">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105</w:t>
      </w:r>
      <w:r w:rsidR="000F5E9A" w:rsidRPr="00CA04D8">
        <w:rPr>
          <w:rFonts w:ascii="Times New Roman" w:hAnsi="Times New Roman" w:cs="Times New Roman"/>
          <w:sz w:val="28"/>
          <w:szCs w:val="28"/>
          <w:lang w:val="uk-UA"/>
        </w:rPr>
        <w:t>].</w:t>
      </w:r>
      <w:r w:rsidR="000F5E9A" w:rsidRPr="000F5E9A">
        <w:rPr>
          <w:rFonts w:ascii="Times New Roman" w:hAnsi="Times New Roman" w:cs="Times New Roman"/>
          <w:sz w:val="28"/>
          <w:szCs w:val="28"/>
          <w:lang w:val="uk-UA"/>
        </w:rPr>
        <w:t xml:space="preserve"> </w:t>
      </w:r>
    </w:p>
    <w:p w:rsidR="00941CAC" w:rsidRPr="00C47187" w:rsidRDefault="00A43D21" w:rsidP="00C4718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268E4" w:rsidRPr="00B268E4">
        <w:rPr>
          <w:rFonts w:ascii="Times New Roman" w:hAnsi="Times New Roman" w:cs="Times New Roman"/>
          <w:sz w:val="28"/>
          <w:szCs w:val="28"/>
          <w:lang w:val="uk-UA"/>
        </w:rPr>
        <w:t>Здатність з</w:t>
      </w:r>
      <w:r w:rsidR="00B268E4">
        <w:rPr>
          <w:rFonts w:ascii="Times New Roman" w:hAnsi="Times New Roman" w:cs="Times New Roman"/>
          <w:sz w:val="28"/>
          <w:szCs w:val="28"/>
          <w:lang w:val="uk-UA"/>
        </w:rPr>
        <w:t>нижувати ризик утворення атеро</w:t>
      </w:r>
      <w:r w:rsidR="00B268E4" w:rsidRPr="00B268E4">
        <w:rPr>
          <w:rFonts w:ascii="Times New Roman" w:hAnsi="Times New Roman" w:cs="Times New Roman"/>
          <w:sz w:val="28"/>
          <w:szCs w:val="28"/>
          <w:lang w:val="uk-UA"/>
        </w:rPr>
        <w:t>склеротичної бляшки з</w:t>
      </w:r>
      <w:r w:rsidR="00B268E4">
        <w:rPr>
          <w:rFonts w:ascii="Times New Roman" w:hAnsi="Times New Roman" w:cs="Times New Roman"/>
          <w:sz w:val="28"/>
          <w:szCs w:val="28"/>
          <w:lang w:val="uk-UA"/>
        </w:rPr>
        <w:t xml:space="preserve">умовлена як їх гіполіпідемічною </w:t>
      </w:r>
      <w:r w:rsidR="00B268E4" w:rsidRPr="00B268E4">
        <w:rPr>
          <w:rFonts w:ascii="Times New Roman" w:hAnsi="Times New Roman" w:cs="Times New Roman"/>
          <w:sz w:val="28"/>
          <w:szCs w:val="28"/>
          <w:lang w:val="uk-UA"/>
        </w:rPr>
        <w:t>активністю, так і к</w:t>
      </w:r>
      <w:r w:rsidR="004C6E03">
        <w:rPr>
          <w:rFonts w:ascii="Times New Roman" w:hAnsi="Times New Roman" w:cs="Times New Roman"/>
          <w:sz w:val="28"/>
          <w:szCs w:val="28"/>
          <w:lang w:val="uk-UA"/>
        </w:rPr>
        <w:t>омплексом унікальних плейотроп</w:t>
      </w:r>
      <w:r w:rsidR="00B268E4" w:rsidRPr="00B268E4">
        <w:rPr>
          <w:rFonts w:ascii="Times New Roman" w:hAnsi="Times New Roman" w:cs="Times New Roman"/>
          <w:sz w:val="28"/>
          <w:szCs w:val="28"/>
          <w:lang w:val="uk-UA"/>
        </w:rPr>
        <w:t>них властивостей. Статини дозвол</w:t>
      </w:r>
      <w:r w:rsidR="00B268E4">
        <w:rPr>
          <w:rFonts w:ascii="Times New Roman" w:hAnsi="Times New Roman" w:cs="Times New Roman"/>
          <w:sz w:val="28"/>
          <w:szCs w:val="28"/>
          <w:lang w:val="uk-UA"/>
        </w:rPr>
        <w:t>яють не лише покра</w:t>
      </w:r>
      <w:r w:rsidR="00B268E4" w:rsidRPr="00B268E4">
        <w:rPr>
          <w:rFonts w:ascii="Times New Roman" w:hAnsi="Times New Roman" w:cs="Times New Roman"/>
          <w:sz w:val="28"/>
          <w:szCs w:val="28"/>
          <w:lang w:val="uk-UA"/>
        </w:rPr>
        <w:t xml:space="preserve">щувати функцію клітин </w:t>
      </w:r>
      <w:r w:rsidR="0007734D">
        <w:rPr>
          <w:rFonts w:ascii="Times New Roman" w:hAnsi="Times New Roman" w:cs="Times New Roman"/>
          <w:sz w:val="28"/>
          <w:szCs w:val="28"/>
          <w:lang w:val="uk-UA"/>
        </w:rPr>
        <w:t xml:space="preserve">ендотелію, зменшуючи вивільнення ЕТ-1, </w:t>
      </w:r>
      <w:r w:rsidR="00FD0CA0">
        <w:rPr>
          <w:rFonts w:ascii="Times New Roman" w:hAnsi="Times New Roman" w:cs="Times New Roman"/>
          <w:sz w:val="28"/>
          <w:szCs w:val="28"/>
          <w:lang w:val="uk-UA"/>
        </w:rPr>
        <w:t>а</w:t>
      </w:r>
      <w:r w:rsidR="00B268E4">
        <w:rPr>
          <w:rFonts w:ascii="Times New Roman" w:hAnsi="Times New Roman" w:cs="Times New Roman"/>
          <w:sz w:val="28"/>
          <w:szCs w:val="28"/>
          <w:lang w:val="uk-UA"/>
        </w:rPr>
        <w:t xml:space="preserve"> й зберігати його </w:t>
      </w:r>
      <w:r w:rsidR="00B268E4" w:rsidRPr="00B268E4">
        <w:rPr>
          <w:rFonts w:ascii="Times New Roman" w:hAnsi="Times New Roman" w:cs="Times New Roman"/>
          <w:sz w:val="28"/>
          <w:szCs w:val="28"/>
          <w:lang w:val="uk-UA"/>
        </w:rPr>
        <w:t>нормальну морфоло</w:t>
      </w:r>
      <w:r w:rsidR="00B268E4">
        <w:rPr>
          <w:rFonts w:ascii="Times New Roman" w:hAnsi="Times New Roman" w:cs="Times New Roman"/>
          <w:sz w:val="28"/>
          <w:szCs w:val="28"/>
          <w:lang w:val="uk-UA"/>
        </w:rPr>
        <w:t>гічну структуру. Лікування ста</w:t>
      </w:r>
      <w:r w:rsidR="004C6E03">
        <w:rPr>
          <w:rFonts w:ascii="Times New Roman" w:hAnsi="Times New Roman" w:cs="Times New Roman"/>
          <w:sz w:val="28"/>
          <w:szCs w:val="28"/>
          <w:lang w:val="uk-UA"/>
        </w:rPr>
        <w:t>т</w:t>
      </w:r>
      <w:r w:rsidR="00B268E4" w:rsidRPr="00B268E4">
        <w:rPr>
          <w:rFonts w:ascii="Times New Roman" w:hAnsi="Times New Roman" w:cs="Times New Roman"/>
          <w:sz w:val="28"/>
          <w:szCs w:val="28"/>
          <w:lang w:val="uk-UA"/>
        </w:rPr>
        <w:t>инами сприяє від</w:t>
      </w:r>
      <w:r w:rsidR="00B268E4">
        <w:rPr>
          <w:rFonts w:ascii="Times New Roman" w:hAnsi="Times New Roman" w:cs="Times New Roman"/>
          <w:sz w:val="28"/>
          <w:szCs w:val="28"/>
          <w:lang w:val="uk-UA"/>
        </w:rPr>
        <w:t xml:space="preserve">новленню необхідного клітинного </w:t>
      </w:r>
      <w:r w:rsidR="00FD0CA0">
        <w:rPr>
          <w:rFonts w:ascii="Times New Roman" w:hAnsi="Times New Roman" w:cs="Times New Roman"/>
          <w:sz w:val="28"/>
          <w:szCs w:val="28"/>
          <w:lang w:val="uk-UA"/>
        </w:rPr>
        <w:t>складу адвентицій</w:t>
      </w:r>
      <w:r w:rsidR="00B268E4" w:rsidRPr="00B268E4">
        <w:rPr>
          <w:rFonts w:ascii="Times New Roman" w:hAnsi="Times New Roman" w:cs="Times New Roman"/>
          <w:sz w:val="28"/>
          <w:szCs w:val="28"/>
          <w:lang w:val="uk-UA"/>
        </w:rPr>
        <w:t>ного, ендотеліального та м’язового</w:t>
      </w:r>
      <w:r w:rsidR="00B268E4">
        <w:rPr>
          <w:rFonts w:ascii="Times New Roman" w:hAnsi="Times New Roman" w:cs="Times New Roman"/>
          <w:sz w:val="28"/>
          <w:szCs w:val="28"/>
          <w:lang w:val="uk-UA"/>
        </w:rPr>
        <w:t xml:space="preserve"> </w:t>
      </w:r>
      <w:r w:rsidR="00B268E4" w:rsidRPr="00B268E4">
        <w:rPr>
          <w:rFonts w:ascii="Times New Roman" w:hAnsi="Times New Roman" w:cs="Times New Roman"/>
          <w:sz w:val="28"/>
          <w:szCs w:val="28"/>
          <w:lang w:val="uk-UA"/>
        </w:rPr>
        <w:t>шарів артерії. Збереження їх а</w:t>
      </w:r>
      <w:r w:rsidR="00B268E4">
        <w:rPr>
          <w:rFonts w:ascii="Times New Roman" w:hAnsi="Times New Roman" w:cs="Times New Roman"/>
          <w:sz w:val="28"/>
          <w:szCs w:val="28"/>
          <w:lang w:val="uk-UA"/>
        </w:rPr>
        <w:t xml:space="preserve">рхітектоніки, насамперед </w:t>
      </w:r>
      <w:r w:rsidR="00B268E4" w:rsidRPr="00B268E4">
        <w:rPr>
          <w:rFonts w:ascii="Times New Roman" w:hAnsi="Times New Roman" w:cs="Times New Roman"/>
          <w:sz w:val="28"/>
          <w:szCs w:val="28"/>
          <w:lang w:val="uk-UA"/>
        </w:rPr>
        <w:t>структури м’язового ша</w:t>
      </w:r>
      <w:r w:rsidR="00B268E4">
        <w:rPr>
          <w:rFonts w:ascii="Times New Roman" w:hAnsi="Times New Roman" w:cs="Times New Roman"/>
          <w:sz w:val="28"/>
          <w:szCs w:val="28"/>
          <w:lang w:val="uk-UA"/>
        </w:rPr>
        <w:t xml:space="preserve">ру, </w:t>
      </w:r>
      <w:r w:rsidR="00FD0CA0">
        <w:rPr>
          <w:rFonts w:ascii="Times New Roman" w:hAnsi="Times New Roman" w:cs="Times New Roman"/>
          <w:sz w:val="28"/>
          <w:szCs w:val="28"/>
          <w:lang w:val="uk-UA"/>
        </w:rPr>
        <w:t>є основою</w:t>
      </w:r>
      <w:r w:rsidR="00B268E4">
        <w:rPr>
          <w:rFonts w:ascii="Times New Roman" w:hAnsi="Times New Roman" w:cs="Times New Roman"/>
          <w:sz w:val="28"/>
          <w:szCs w:val="28"/>
          <w:lang w:val="uk-UA"/>
        </w:rPr>
        <w:t xml:space="preserve"> запобігання </w:t>
      </w:r>
      <w:r w:rsidR="00B268E4" w:rsidRPr="00B268E4">
        <w:rPr>
          <w:rFonts w:ascii="Times New Roman" w:hAnsi="Times New Roman" w:cs="Times New Roman"/>
          <w:sz w:val="28"/>
          <w:szCs w:val="28"/>
          <w:lang w:val="uk-UA"/>
        </w:rPr>
        <w:t>прогресуванню артер</w:t>
      </w:r>
      <w:r w:rsidR="00B268E4">
        <w:rPr>
          <w:rFonts w:ascii="Times New Roman" w:hAnsi="Times New Roman" w:cs="Times New Roman"/>
          <w:sz w:val="28"/>
          <w:szCs w:val="28"/>
          <w:lang w:val="uk-UA"/>
        </w:rPr>
        <w:t>іальної жорсткості й механічно</w:t>
      </w:r>
      <w:r w:rsidR="00B268E4" w:rsidRPr="00B268E4">
        <w:rPr>
          <w:rFonts w:ascii="Times New Roman" w:hAnsi="Times New Roman" w:cs="Times New Roman"/>
          <w:sz w:val="28"/>
          <w:szCs w:val="28"/>
          <w:lang w:val="uk-UA"/>
        </w:rPr>
        <w:t xml:space="preserve">му пошкодженню </w:t>
      </w:r>
      <w:r w:rsidR="00B268E4">
        <w:rPr>
          <w:rFonts w:ascii="Times New Roman" w:hAnsi="Times New Roman" w:cs="Times New Roman"/>
          <w:sz w:val="28"/>
          <w:szCs w:val="28"/>
          <w:lang w:val="uk-UA"/>
        </w:rPr>
        <w:t>атеросклеротичних бляшок із по</w:t>
      </w:r>
      <w:r w:rsidR="00B268E4" w:rsidRPr="00B268E4">
        <w:rPr>
          <w:rFonts w:ascii="Times New Roman" w:hAnsi="Times New Roman" w:cs="Times New Roman"/>
          <w:sz w:val="28"/>
          <w:szCs w:val="28"/>
          <w:lang w:val="uk-UA"/>
        </w:rPr>
        <w:t>дальшим розвитком атеротромботичних ускладнень</w:t>
      </w:r>
      <w:r w:rsidR="00B268E4">
        <w:rPr>
          <w:rFonts w:ascii="Times New Roman" w:hAnsi="Times New Roman" w:cs="Times New Roman"/>
          <w:sz w:val="28"/>
          <w:szCs w:val="28"/>
          <w:lang w:val="uk-UA"/>
        </w:rPr>
        <w:t xml:space="preserve"> </w:t>
      </w:r>
      <w:r w:rsidR="00B268E4" w:rsidRPr="00B268E4">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106</w:t>
      </w:r>
      <w:r w:rsidR="00B268E4" w:rsidRPr="00CA04D8">
        <w:rPr>
          <w:rFonts w:ascii="Times New Roman" w:hAnsi="Times New Roman" w:cs="Times New Roman"/>
          <w:sz w:val="28"/>
          <w:szCs w:val="28"/>
          <w:lang w:val="uk-UA"/>
        </w:rPr>
        <w:t>]</w:t>
      </w:r>
      <w:r w:rsidR="00B268E4" w:rsidRPr="00B268E4">
        <w:rPr>
          <w:rFonts w:ascii="Times New Roman" w:hAnsi="Times New Roman" w:cs="Times New Roman"/>
          <w:sz w:val="28"/>
          <w:szCs w:val="28"/>
          <w:lang w:val="uk-UA"/>
        </w:rPr>
        <w:t>.</w:t>
      </w:r>
      <w:r w:rsidR="00D5730E">
        <w:rPr>
          <w:rFonts w:ascii="Times New Roman" w:hAnsi="Times New Roman" w:cs="Times New Roman"/>
          <w:sz w:val="28"/>
          <w:szCs w:val="28"/>
          <w:lang w:val="uk-UA"/>
        </w:rPr>
        <w:t xml:space="preserve"> </w:t>
      </w:r>
    </w:p>
    <w:p w:rsidR="001225FC" w:rsidRPr="00A03291" w:rsidRDefault="00AC40E9" w:rsidP="002C1E3D">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5ED">
        <w:rPr>
          <w:rFonts w:ascii="Times New Roman" w:hAnsi="Times New Roman" w:cs="Times New Roman"/>
          <w:sz w:val="28"/>
          <w:szCs w:val="28"/>
          <w:lang w:val="uk-UA"/>
        </w:rPr>
        <w:t>Р</w:t>
      </w:r>
      <w:r w:rsidR="00C70210">
        <w:rPr>
          <w:rFonts w:ascii="Times New Roman" w:hAnsi="Times New Roman" w:cs="Times New Roman"/>
          <w:sz w:val="28"/>
          <w:szCs w:val="28"/>
          <w:lang w:val="uk-UA"/>
        </w:rPr>
        <w:t>изик розвитку ССУ є достовірно нижчим</w:t>
      </w:r>
      <w:r w:rsidR="000335ED">
        <w:rPr>
          <w:rFonts w:ascii="Times New Roman" w:hAnsi="Times New Roman" w:cs="Times New Roman"/>
          <w:sz w:val="28"/>
          <w:szCs w:val="28"/>
          <w:lang w:val="uk-UA"/>
        </w:rPr>
        <w:t xml:space="preserve"> у пацієнтів із </w:t>
      </w:r>
      <w:r w:rsidR="000335ED" w:rsidRPr="000335ED">
        <w:rPr>
          <w:rFonts w:ascii="Times New Roman" w:hAnsi="Times New Roman" w:cs="Times New Roman"/>
          <w:sz w:val="28"/>
          <w:szCs w:val="28"/>
          <w:lang w:val="uk-UA"/>
        </w:rPr>
        <w:t xml:space="preserve">АГ </w:t>
      </w:r>
      <w:r w:rsidR="00E91132" w:rsidRPr="00E91132">
        <w:rPr>
          <w:rFonts w:ascii="Times New Roman" w:hAnsi="Times New Roman" w:cs="Times New Roman"/>
          <w:sz w:val="28"/>
          <w:szCs w:val="28"/>
          <w:lang w:val="uk-UA"/>
        </w:rPr>
        <w:t xml:space="preserve">                 </w:t>
      </w:r>
      <w:r w:rsidR="000335ED" w:rsidRPr="000335ED">
        <w:rPr>
          <w:rFonts w:ascii="Times New Roman" w:hAnsi="Times New Roman" w:cs="Times New Roman"/>
          <w:sz w:val="28"/>
          <w:szCs w:val="28"/>
          <w:lang w:val="uk-UA"/>
        </w:rPr>
        <w:t xml:space="preserve">без супутнього ЦД 2-го типу і рівнем </w:t>
      </w:r>
      <w:r w:rsidR="007815E8">
        <w:rPr>
          <w:rFonts w:ascii="Times New Roman" w:hAnsi="Times New Roman" w:cs="Times New Roman"/>
          <w:sz w:val="28"/>
          <w:szCs w:val="28"/>
          <w:lang w:val="uk-UA"/>
        </w:rPr>
        <w:t>С</w:t>
      </w:r>
      <w:r w:rsidR="000335ED" w:rsidRPr="000335ED">
        <w:rPr>
          <w:rFonts w:ascii="Times New Roman" w:hAnsi="Times New Roman" w:cs="Times New Roman"/>
          <w:sz w:val="28"/>
          <w:szCs w:val="28"/>
          <w:lang w:val="uk-UA"/>
        </w:rPr>
        <w:t>АТ мен</w:t>
      </w:r>
      <w:r w:rsidR="002E0BD9">
        <w:rPr>
          <w:rFonts w:ascii="Times New Roman" w:hAnsi="Times New Roman" w:cs="Times New Roman"/>
          <w:sz w:val="28"/>
          <w:szCs w:val="28"/>
          <w:lang w:val="uk-UA"/>
        </w:rPr>
        <w:t>шим за 120 мм рт. ст. порівняно</w:t>
      </w:r>
      <w:r w:rsidR="002E0BD9" w:rsidRPr="002F2745">
        <w:rPr>
          <w:rFonts w:ascii="Times New Roman" w:hAnsi="Times New Roman" w:cs="Times New Roman"/>
          <w:sz w:val="28"/>
          <w:szCs w:val="28"/>
          <w:lang w:val="uk-UA"/>
        </w:rPr>
        <w:t xml:space="preserve"> </w:t>
      </w:r>
      <w:r w:rsidR="000335ED" w:rsidRPr="000335ED">
        <w:rPr>
          <w:rFonts w:ascii="Times New Roman" w:hAnsi="Times New Roman" w:cs="Times New Roman"/>
          <w:sz w:val="28"/>
          <w:szCs w:val="28"/>
          <w:lang w:val="uk-UA"/>
        </w:rPr>
        <w:t>з меншим за 140 мм рт. ст.</w:t>
      </w:r>
      <w:r w:rsidR="00C70210">
        <w:rPr>
          <w:rFonts w:ascii="Times New Roman" w:hAnsi="Times New Roman" w:cs="Times New Roman"/>
          <w:sz w:val="28"/>
          <w:szCs w:val="28"/>
          <w:lang w:val="uk-UA"/>
        </w:rPr>
        <w:t xml:space="preserve"> [</w:t>
      </w:r>
      <w:r w:rsidR="008F15A1" w:rsidRPr="00CA04D8">
        <w:rPr>
          <w:rFonts w:ascii="Times New Roman" w:hAnsi="Times New Roman" w:cs="Times New Roman"/>
          <w:sz w:val="28"/>
          <w:szCs w:val="28"/>
        </w:rPr>
        <w:t>107</w:t>
      </w:r>
      <w:r w:rsidR="00C70210" w:rsidRPr="00CA04D8">
        <w:rPr>
          <w:rFonts w:ascii="Times New Roman" w:hAnsi="Times New Roman" w:cs="Times New Roman"/>
          <w:sz w:val="28"/>
          <w:szCs w:val="28"/>
          <w:lang w:val="uk-UA"/>
        </w:rPr>
        <w:t>]</w:t>
      </w:r>
      <w:r w:rsidR="00C70210">
        <w:rPr>
          <w:rFonts w:ascii="Times New Roman" w:hAnsi="Times New Roman" w:cs="Times New Roman"/>
          <w:sz w:val="28"/>
          <w:szCs w:val="28"/>
          <w:lang w:val="uk-UA"/>
        </w:rPr>
        <w:t xml:space="preserve">. </w:t>
      </w:r>
      <w:r w:rsidR="00164117">
        <w:rPr>
          <w:rFonts w:ascii="Times New Roman" w:hAnsi="Times New Roman" w:cs="Times New Roman"/>
          <w:sz w:val="28"/>
          <w:szCs w:val="28"/>
          <w:lang w:val="uk-UA"/>
        </w:rPr>
        <w:t>У хворих на</w:t>
      </w:r>
      <w:r w:rsidR="00B22AA8">
        <w:rPr>
          <w:rFonts w:ascii="Times New Roman" w:hAnsi="Times New Roman" w:cs="Times New Roman"/>
          <w:sz w:val="28"/>
          <w:szCs w:val="28"/>
          <w:lang w:val="uk-UA"/>
        </w:rPr>
        <w:t xml:space="preserve"> ЦД 2-го типу </w:t>
      </w:r>
      <w:r w:rsidR="001225FC" w:rsidRPr="00A03291">
        <w:rPr>
          <w:rFonts w:ascii="Times New Roman" w:hAnsi="Times New Roman" w:cs="Times New Roman"/>
          <w:sz w:val="28"/>
          <w:szCs w:val="28"/>
          <w:lang w:val="uk-UA"/>
        </w:rPr>
        <w:t>ціль</w:t>
      </w:r>
      <w:r w:rsidR="007815E8">
        <w:rPr>
          <w:rFonts w:ascii="Times New Roman" w:hAnsi="Times New Roman" w:cs="Times New Roman"/>
          <w:sz w:val="28"/>
          <w:szCs w:val="28"/>
          <w:lang w:val="uk-UA"/>
        </w:rPr>
        <w:t>овим рівнем</w:t>
      </w:r>
      <w:r w:rsidR="00164117">
        <w:rPr>
          <w:rFonts w:ascii="Times New Roman" w:hAnsi="Times New Roman" w:cs="Times New Roman"/>
          <w:sz w:val="28"/>
          <w:szCs w:val="28"/>
          <w:lang w:val="uk-UA"/>
        </w:rPr>
        <w:t xml:space="preserve"> </w:t>
      </w:r>
      <w:r w:rsidR="007815E8">
        <w:rPr>
          <w:rFonts w:ascii="Times New Roman" w:hAnsi="Times New Roman" w:cs="Times New Roman"/>
          <w:sz w:val="28"/>
          <w:szCs w:val="28"/>
          <w:lang w:val="uk-UA"/>
        </w:rPr>
        <w:t>С</w:t>
      </w:r>
      <w:r w:rsidR="00164117">
        <w:rPr>
          <w:rFonts w:ascii="Times New Roman" w:hAnsi="Times New Roman" w:cs="Times New Roman"/>
          <w:sz w:val="28"/>
          <w:szCs w:val="28"/>
          <w:lang w:val="uk-UA"/>
        </w:rPr>
        <w:t>АТ є 13</w:t>
      </w:r>
      <w:r w:rsidR="001225FC" w:rsidRPr="00A03291">
        <w:rPr>
          <w:rFonts w:ascii="Times New Roman" w:hAnsi="Times New Roman" w:cs="Times New Roman"/>
          <w:sz w:val="28"/>
          <w:szCs w:val="28"/>
          <w:lang w:val="uk-UA"/>
        </w:rPr>
        <w:t>0</w:t>
      </w:r>
      <w:r w:rsidR="00164117">
        <w:rPr>
          <w:rFonts w:ascii="Times New Roman" w:hAnsi="Times New Roman" w:cs="Times New Roman"/>
          <w:sz w:val="28"/>
          <w:szCs w:val="28"/>
          <w:lang w:val="uk-UA"/>
        </w:rPr>
        <w:t>/80</w:t>
      </w:r>
      <w:r w:rsidR="001225FC" w:rsidRPr="00A03291">
        <w:rPr>
          <w:rFonts w:ascii="Times New Roman" w:hAnsi="Times New Roman" w:cs="Times New Roman"/>
          <w:sz w:val="28"/>
          <w:szCs w:val="28"/>
          <w:lang w:val="uk-UA"/>
        </w:rPr>
        <w:t xml:space="preserve"> мм</w:t>
      </w:r>
      <w:r w:rsidR="00FD0CA0">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рт.</w:t>
      </w:r>
      <w:r w:rsidR="00FD0CA0">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ст. [</w:t>
      </w:r>
      <w:r w:rsidR="008F15A1" w:rsidRPr="00CA04D8">
        <w:rPr>
          <w:rFonts w:ascii="Times New Roman" w:hAnsi="Times New Roman" w:cs="Times New Roman"/>
          <w:sz w:val="28"/>
          <w:szCs w:val="28"/>
          <w:lang w:val="uk-UA"/>
        </w:rPr>
        <w:t>108</w:t>
      </w:r>
      <w:r w:rsidR="001225FC" w:rsidRPr="00CA04D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w:t>
      </w:r>
    </w:p>
    <w:p w:rsidR="00785B95" w:rsidRDefault="00C708C1" w:rsidP="0029289C">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65472">
        <w:rPr>
          <w:rFonts w:ascii="Times New Roman" w:hAnsi="Times New Roman" w:cs="Times New Roman"/>
          <w:sz w:val="28"/>
          <w:szCs w:val="28"/>
          <w:lang w:val="uk-UA"/>
        </w:rPr>
        <w:t>Інгібітори</w:t>
      </w:r>
      <w:r w:rsidR="00B65472" w:rsidRPr="00B65472">
        <w:rPr>
          <w:rFonts w:ascii="Times New Roman" w:hAnsi="Times New Roman" w:cs="Times New Roman"/>
          <w:sz w:val="28"/>
          <w:szCs w:val="28"/>
          <w:lang w:val="uk-UA"/>
        </w:rPr>
        <w:t xml:space="preserve"> ангіотензин-перетворюючо</w:t>
      </w:r>
      <w:r w:rsidR="00B65472">
        <w:rPr>
          <w:rFonts w:ascii="Times New Roman" w:hAnsi="Times New Roman" w:cs="Times New Roman"/>
          <w:sz w:val="28"/>
          <w:szCs w:val="28"/>
          <w:lang w:val="uk-UA"/>
        </w:rPr>
        <w:t>го ферменту (ІАПФ) та блокатори</w:t>
      </w:r>
      <w:r w:rsidR="00B65472" w:rsidRPr="00B65472">
        <w:rPr>
          <w:rFonts w:ascii="Times New Roman" w:hAnsi="Times New Roman" w:cs="Times New Roman"/>
          <w:sz w:val="28"/>
          <w:szCs w:val="28"/>
          <w:lang w:val="uk-UA"/>
        </w:rPr>
        <w:t xml:space="preserve"> р</w:t>
      </w:r>
      <w:r w:rsidR="00B65472">
        <w:rPr>
          <w:rFonts w:ascii="Times New Roman" w:hAnsi="Times New Roman" w:cs="Times New Roman"/>
          <w:sz w:val="28"/>
          <w:szCs w:val="28"/>
          <w:lang w:val="uk-UA"/>
        </w:rPr>
        <w:t>ецепторів до ангіотензину (БРА)</w:t>
      </w:r>
      <w:r>
        <w:rPr>
          <w:rFonts w:ascii="Times New Roman" w:hAnsi="Times New Roman" w:cs="Times New Roman"/>
          <w:sz w:val="28"/>
          <w:szCs w:val="28"/>
          <w:lang w:val="uk-UA"/>
        </w:rPr>
        <w:t xml:space="preserve"> є </w:t>
      </w:r>
      <w:r w:rsidRPr="00C708C1">
        <w:rPr>
          <w:rFonts w:ascii="Times New Roman" w:hAnsi="Times New Roman" w:cs="Times New Roman"/>
          <w:sz w:val="28"/>
          <w:szCs w:val="28"/>
          <w:lang w:val="uk-UA"/>
        </w:rPr>
        <w:t>препаратами першої лінії</w:t>
      </w:r>
      <w:r>
        <w:rPr>
          <w:rFonts w:ascii="Times New Roman" w:hAnsi="Times New Roman" w:cs="Times New Roman"/>
          <w:sz w:val="28"/>
          <w:szCs w:val="28"/>
          <w:lang w:val="uk-UA"/>
        </w:rPr>
        <w:t xml:space="preserve"> </w:t>
      </w:r>
      <w:r w:rsidRPr="00C708C1">
        <w:rPr>
          <w:rFonts w:ascii="Times New Roman" w:hAnsi="Times New Roman" w:cs="Times New Roman"/>
          <w:sz w:val="28"/>
          <w:szCs w:val="28"/>
          <w:lang w:val="uk-UA"/>
        </w:rPr>
        <w:t>для зниження АТ, профілактик</w:t>
      </w:r>
      <w:r>
        <w:rPr>
          <w:rFonts w:ascii="Times New Roman" w:hAnsi="Times New Roman" w:cs="Times New Roman"/>
          <w:sz w:val="28"/>
          <w:szCs w:val="28"/>
          <w:lang w:val="uk-UA"/>
        </w:rPr>
        <w:t>и ССУ, запобігання прогресуванню</w:t>
      </w:r>
      <w:r w:rsidRPr="00C708C1">
        <w:rPr>
          <w:rFonts w:ascii="Times New Roman" w:hAnsi="Times New Roman" w:cs="Times New Roman"/>
          <w:sz w:val="28"/>
          <w:szCs w:val="28"/>
          <w:lang w:val="uk-UA"/>
        </w:rPr>
        <w:t xml:space="preserve"> ураження нирок </w:t>
      </w:r>
      <w:r w:rsidR="00CB30D6">
        <w:rPr>
          <w:rFonts w:ascii="Times New Roman" w:hAnsi="Times New Roman" w:cs="Times New Roman"/>
          <w:sz w:val="28"/>
          <w:szCs w:val="28"/>
          <w:lang w:val="uk-UA"/>
        </w:rPr>
        <w:t xml:space="preserve">              </w:t>
      </w:r>
      <w:r w:rsidRPr="00C708C1">
        <w:rPr>
          <w:rFonts w:ascii="Times New Roman" w:hAnsi="Times New Roman" w:cs="Times New Roman"/>
          <w:sz w:val="28"/>
          <w:szCs w:val="28"/>
          <w:lang w:val="uk-UA"/>
        </w:rPr>
        <w:t>у пацієнтів із АГ та супутнім ЦД</w:t>
      </w:r>
      <w:r>
        <w:rPr>
          <w:rFonts w:ascii="Times New Roman" w:hAnsi="Times New Roman" w:cs="Times New Roman"/>
          <w:sz w:val="28"/>
          <w:szCs w:val="28"/>
          <w:lang w:val="uk-UA"/>
        </w:rPr>
        <w:t xml:space="preserve"> у разі більшого за </w:t>
      </w:r>
      <w:r w:rsidRPr="00C708C1">
        <w:rPr>
          <w:rFonts w:ascii="Times New Roman" w:hAnsi="Times New Roman" w:cs="Times New Roman"/>
          <w:sz w:val="28"/>
          <w:szCs w:val="28"/>
          <w:lang w:val="uk-UA"/>
        </w:rPr>
        <w:t xml:space="preserve">300 мг/г </w:t>
      </w:r>
      <w:r>
        <w:rPr>
          <w:rFonts w:ascii="Times New Roman" w:hAnsi="Times New Roman" w:cs="Times New Roman"/>
          <w:sz w:val="28"/>
          <w:szCs w:val="28"/>
          <w:lang w:val="uk-UA"/>
        </w:rPr>
        <w:t>р</w:t>
      </w:r>
      <w:r w:rsidR="00785B95">
        <w:rPr>
          <w:rFonts w:ascii="Times New Roman" w:hAnsi="Times New Roman" w:cs="Times New Roman"/>
          <w:sz w:val="28"/>
          <w:szCs w:val="28"/>
          <w:lang w:val="uk-UA"/>
        </w:rPr>
        <w:t>ів</w:t>
      </w:r>
      <w:r>
        <w:rPr>
          <w:rFonts w:ascii="Times New Roman" w:hAnsi="Times New Roman" w:cs="Times New Roman"/>
          <w:sz w:val="28"/>
          <w:szCs w:val="28"/>
          <w:lang w:val="uk-UA"/>
        </w:rPr>
        <w:t>ня</w:t>
      </w:r>
      <w:r w:rsidR="00785B95">
        <w:rPr>
          <w:rFonts w:ascii="Times New Roman" w:hAnsi="Times New Roman" w:cs="Times New Roman"/>
          <w:sz w:val="28"/>
          <w:szCs w:val="28"/>
          <w:lang w:val="uk-UA"/>
        </w:rPr>
        <w:t xml:space="preserve"> співвідношення альбуміну до креатиніну в сечі</w:t>
      </w:r>
      <w:r>
        <w:rPr>
          <w:rFonts w:ascii="Times New Roman" w:hAnsi="Times New Roman" w:cs="Times New Roman"/>
          <w:sz w:val="28"/>
          <w:szCs w:val="28"/>
          <w:lang w:val="uk-UA"/>
        </w:rPr>
        <w:t xml:space="preserve"> та нижчої</w:t>
      </w:r>
      <w:r w:rsidR="00785B95">
        <w:rPr>
          <w:rFonts w:ascii="Times New Roman" w:hAnsi="Times New Roman" w:cs="Times New Roman"/>
          <w:sz w:val="28"/>
          <w:szCs w:val="28"/>
          <w:lang w:val="uk-UA"/>
        </w:rPr>
        <w:t xml:space="preserve"> за 60 мл/хв ШКФ</w:t>
      </w:r>
      <w:r w:rsidR="000553BB">
        <w:rPr>
          <w:rFonts w:ascii="Times New Roman" w:hAnsi="Times New Roman" w:cs="Times New Roman"/>
          <w:sz w:val="28"/>
          <w:szCs w:val="28"/>
          <w:lang w:val="uk-UA"/>
        </w:rPr>
        <w:t xml:space="preserve"> [</w:t>
      </w:r>
      <w:r w:rsidR="00CA04D8">
        <w:rPr>
          <w:rFonts w:ascii="Times New Roman" w:hAnsi="Times New Roman" w:cs="Times New Roman"/>
          <w:sz w:val="28"/>
          <w:szCs w:val="28"/>
          <w:lang w:val="uk-UA"/>
        </w:rPr>
        <w:t>7</w:t>
      </w:r>
      <w:r w:rsidR="000553BB" w:rsidRPr="000553BB">
        <w:rPr>
          <w:rFonts w:ascii="Times New Roman" w:hAnsi="Times New Roman" w:cs="Times New Roman"/>
          <w:sz w:val="28"/>
          <w:szCs w:val="28"/>
          <w:lang w:val="uk-UA"/>
        </w:rPr>
        <w:t xml:space="preserve">]. </w:t>
      </w:r>
    </w:p>
    <w:p w:rsidR="001225FC" w:rsidRPr="002C1E3D" w:rsidRDefault="00785B95" w:rsidP="0029289C">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 xml:space="preserve">Нефропротекція необхідна не лише за наявності мікроальбумінурії чи зниження ШКФ, а й практично в усіх випадках </w:t>
      </w:r>
      <w:r w:rsidR="0098252A">
        <w:rPr>
          <w:rFonts w:ascii="Times New Roman" w:hAnsi="Times New Roman" w:cs="Times New Roman"/>
          <w:sz w:val="28"/>
          <w:szCs w:val="28"/>
          <w:lang w:val="uk-UA"/>
        </w:rPr>
        <w:t xml:space="preserve">хворих на </w:t>
      </w:r>
      <w:r w:rsidR="001225FC" w:rsidRPr="00A03291">
        <w:rPr>
          <w:rFonts w:ascii="Times New Roman" w:hAnsi="Times New Roman" w:cs="Times New Roman"/>
          <w:sz w:val="28"/>
          <w:szCs w:val="28"/>
          <w:lang w:val="uk-UA"/>
        </w:rPr>
        <w:t>АГ</w:t>
      </w:r>
      <w:r w:rsidR="00AC40E9">
        <w:rPr>
          <w:rFonts w:ascii="Times New Roman" w:hAnsi="Times New Roman" w:cs="Times New Roman"/>
          <w:sz w:val="28"/>
          <w:szCs w:val="28"/>
          <w:lang w:val="uk-UA"/>
        </w:rPr>
        <w:t xml:space="preserve">. </w:t>
      </w:r>
      <w:r w:rsidR="0042509E" w:rsidRPr="0042509E">
        <w:rPr>
          <w:rFonts w:ascii="Times New Roman" w:hAnsi="Times New Roman" w:cs="Times New Roman"/>
          <w:sz w:val="28"/>
          <w:szCs w:val="28"/>
          <w:lang w:val="uk-UA"/>
        </w:rPr>
        <w:t>Нефропротекторний ефект</w:t>
      </w:r>
      <w:r w:rsidR="00817837">
        <w:rPr>
          <w:rFonts w:ascii="Times New Roman" w:hAnsi="Times New Roman" w:cs="Times New Roman"/>
          <w:sz w:val="28"/>
          <w:szCs w:val="28"/>
          <w:lang w:val="uk-UA"/>
        </w:rPr>
        <w:t xml:space="preserve"> </w:t>
      </w:r>
      <w:r w:rsidR="00A85453" w:rsidRPr="00A85453">
        <w:rPr>
          <w:rFonts w:ascii="Times New Roman" w:hAnsi="Times New Roman" w:cs="Times New Roman"/>
          <w:sz w:val="28"/>
          <w:szCs w:val="28"/>
          <w:lang w:val="uk-UA"/>
        </w:rPr>
        <w:t>ІАПФ</w:t>
      </w:r>
      <w:r w:rsidR="00817837">
        <w:rPr>
          <w:rFonts w:ascii="Times New Roman" w:hAnsi="Times New Roman" w:cs="Times New Roman"/>
          <w:sz w:val="28"/>
          <w:szCs w:val="28"/>
          <w:lang w:val="uk-UA"/>
        </w:rPr>
        <w:t xml:space="preserve"> та </w:t>
      </w:r>
      <w:r w:rsidR="00A85453" w:rsidRPr="00A85453">
        <w:rPr>
          <w:rFonts w:ascii="Times New Roman" w:hAnsi="Times New Roman" w:cs="Times New Roman"/>
          <w:sz w:val="28"/>
          <w:szCs w:val="28"/>
          <w:lang w:val="uk-UA"/>
        </w:rPr>
        <w:t xml:space="preserve">БРА </w:t>
      </w:r>
      <w:r w:rsidR="0042509E" w:rsidRPr="0042509E">
        <w:rPr>
          <w:rFonts w:ascii="Times New Roman" w:hAnsi="Times New Roman" w:cs="Times New Roman"/>
          <w:sz w:val="28"/>
          <w:szCs w:val="28"/>
          <w:lang w:val="uk-UA"/>
        </w:rPr>
        <w:t xml:space="preserve">обумовлений </w:t>
      </w:r>
      <w:r w:rsidR="00A85453">
        <w:rPr>
          <w:rFonts w:ascii="Times New Roman" w:hAnsi="Times New Roman" w:cs="Times New Roman"/>
          <w:sz w:val="28"/>
          <w:szCs w:val="28"/>
          <w:lang w:val="uk-UA"/>
        </w:rPr>
        <w:t>їх антигіпертензивною дією</w:t>
      </w:r>
      <w:r w:rsidR="0089585D" w:rsidRPr="007A41EA">
        <w:rPr>
          <w:lang w:val="uk-UA"/>
        </w:rPr>
        <w:t xml:space="preserve"> </w:t>
      </w:r>
      <w:r w:rsidR="00EE389F" w:rsidRPr="007A41EA">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109</w:t>
      </w:r>
      <w:r w:rsidR="00EE389F" w:rsidRPr="00CA04D8">
        <w:rPr>
          <w:rFonts w:ascii="Times New Roman" w:hAnsi="Times New Roman" w:cs="Times New Roman"/>
          <w:sz w:val="28"/>
          <w:szCs w:val="28"/>
          <w:lang w:val="uk-UA"/>
        </w:rPr>
        <w:t>]</w:t>
      </w:r>
      <w:r w:rsidR="00AC40E9" w:rsidRPr="00CA04D8">
        <w:rPr>
          <w:rFonts w:ascii="Times New Roman" w:hAnsi="Times New Roman" w:cs="Times New Roman"/>
          <w:sz w:val="28"/>
          <w:szCs w:val="28"/>
          <w:lang w:val="uk-UA"/>
        </w:rPr>
        <w:t>.</w:t>
      </w:r>
      <w:r w:rsidR="00AC40E9">
        <w:rPr>
          <w:rFonts w:ascii="Times New Roman" w:hAnsi="Times New Roman" w:cs="Times New Roman"/>
          <w:sz w:val="28"/>
          <w:szCs w:val="28"/>
          <w:lang w:val="uk-UA"/>
        </w:rPr>
        <w:t xml:space="preserve"> </w:t>
      </w:r>
      <w:r w:rsidR="00625213">
        <w:rPr>
          <w:rFonts w:ascii="Times New Roman" w:hAnsi="Times New Roman" w:cs="Times New Roman"/>
          <w:sz w:val="28"/>
          <w:szCs w:val="28"/>
          <w:lang w:val="uk-UA"/>
        </w:rPr>
        <w:t>Високий вміст</w:t>
      </w:r>
      <w:r w:rsidR="001225FC" w:rsidRPr="00A03291">
        <w:rPr>
          <w:rFonts w:ascii="Times New Roman" w:hAnsi="Times New Roman" w:cs="Times New Roman"/>
          <w:sz w:val="28"/>
          <w:szCs w:val="28"/>
          <w:lang w:val="uk-UA"/>
        </w:rPr>
        <w:t xml:space="preserve"> альдостерону та реніну </w:t>
      </w:r>
      <w:r w:rsidR="00625213">
        <w:rPr>
          <w:rFonts w:ascii="Times New Roman" w:hAnsi="Times New Roman" w:cs="Times New Roman"/>
          <w:sz w:val="28"/>
          <w:szCs w:val="28"/>
          <w:lang w:val="uk-UA"/>
        </w:rPr>
        <w:t>сприяють по</w:t>
      </w:r>
      <w:r w:rsidR="007815E8">
        <w:rPr>
          <w:rFonts w:ascii="Times New Roman" w:hAnsi="Times New Roman" w:cs="Times New Roman"/>
          <w:sz w:val="28"/>
          <w:szCs w:val="28"/>
          <w:lang w:val="uk-UA"/>
        </w:rPr>
        <w:t>глибленню ІР</w:t>
      </w:r>
      <w:r w:rsidR="001225FC" w:rsidRPr="00A03291">
        <w:rPr>
          <w:rFonts w:ascii="Times New Roman" w:hAnsi="Times New Roman" w:cs="Times New Roman"/>
          <w:sz w:val="28"/>
          <w:szCs w:val="28"/>
          <w:lang w:val="uk-UA"/>
        </w:rPr>
        <w:t xml:space="preserve">, компенсаторним підвищенням функції </w:t>
      </w:r>
      <w:r w:rsidR="001225FC" w:rsidRPr="00A03291">
        <w:rPr>
          <w:rFonts w:ascii="Times New Roman" w:hAnsi="Times New Roman" w:cs="Times New Roman"/>
          <w:sz w:val="28"/>
          <w:szCs w:val="28"/>
        </w:rPr>
        <w:t>β</w:t>
      </w:r>
      <w:r w:rsidR="001225FC" w:rsidRPr="00A03291">
        <w:rPr>
          <w:rFonts w:ascii="Times New Roman" w:hAnsi="Times New Roman" w:cs="Times New Roman"/>
          <w:sz w:val="28"/>
          <w:szCs w:val="28"/>
          <w:lang w:val="uk-UA"/>
        </w:rPr>
        <w:t xml:space="preserve">-клітин </w:t>
      </w:r>
      <w:r w:rsidR="001225FC" w:rsidRPr="00A03291">
        <w:rPr>
          <w:rFonts w:ascii="Times New Roman" w:hAnsi="Times New Roman" w:cs="Times New Roman"/>
          <w:sz w:val="28"/>
          <w:szCs w:val="28"/>
          <w:lang w:val="uk-UA"/>
        </w:rPr>
        <w:lastRenderedPageBreak/>
        <w:t>[</w:t>
      </w:r>
      <w:r w:rsidR="008F15A1" w:rsidRPr="00CA04D8">
        <w:rPr>
          <w:rFonts w:ascii="Times New Roman" w:hAnsi="Times New Roman" w:cs="Times New Roman"/>
          <w:sz w:val="28"/>
          <w:szCs w:val="28"/>
          <w:lang w:val="uk-UA"/>
        </w:rPr>
        <w:t>110</w:t>
      </w:r>
      <w:r w:rsidR="001225FC" w:rsidRPr="00CA04D8">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w:t>
      </w:r>
      <w:r w:rsidR="002C1E3D" w:rsidRPr="002C1E3D">
        <w:rPr>
          <w:rFonts w:ascii="Times New Roman" w:hAnsi="Times New Roman" w:cs="Times New Roman"/>
          <w:sz w:val="28"/>
          <w:szCs w:val="28"/>
          <w:lang w:val="uk-UA"/>
        </w:rPr>
        <w:t xml:space="preserve"> </w:t>
      </w:r>
      <w:r w:rsidR="002C1E3D">
        <w:rPr>
          <w:rFonts w:ascii="Times New Roman" w:hAnsi="Times New Roman" w:cs="Times New Roman"/>
          <w:sz w:val="28"/>
          <w:szCs w:val="28"/>
          <w:lang w:val="uk-UA"/>
        </w:rPr>
        <w:t xml:space="preserve">Блокада </w:t>
      </w:r>
      <w:r w:rsidR="00F562EE">
        <w:rPr>
          <w:rFonts w:ascii="Times New Roman" w:hAnsi="Times New Roman" w:cs="Times New Roman"/>
          <w:sz w:val="28"/>
          <w:szCs w:val="28"/>
          <w:lang w:val="uk-UA"/>
        </w:rPr>
        <w:t xml:space="preserve">РААС асоціюється з удосконаленням показників метаболічних порушень </w:t>
      </w:r>
      <w:r w:rsidR="0098252A" w:rsidRPr="0098252A">
        <w:rPr>
          <w:rFonts w:ascii="Times New Roman" w:hAnsi="Times New Roman" w:cs="Times New Roman"/>
          <w:sz w:val="28"/>
          <w:szCs w:val="28"/>
          <w:lang w:val="uk-UA"/>
        </w:rPr>
        <w:t xml:space="preserve">у </w:t>
      </w:r>
      <w:r w:rsidR="0098252A">
        <w:rPr>
          <w:rFonts w:ascii="Times New Roman" w:hAnsi="Times New Roman" w:cs="Times New Roman"/>
          <w:sz w:val="28"/>
          <w:szCs w:val="28"/>
          <w:lang w:val="uk-UA"/>
        </w:rPr>
        <w:t xml:space="preserve">пацієнтів </w:t>
      </w:r>
      <w:r w:rsidR="0098252A" w:rsidRPr="0098252A">
        <w:rPr>
          <w:rFonts w:ascii="Times New Roman" w:hAnsi="Times New Roman" w:cs="Times New Roman"/>
          <w:sz w:val="28"/>
          <w:szCs w:val="28"/>
          <w:lang w:val="uk-UA"/>
        </w:rPr>
        <w:t xml:space="preserve">із ЦД 2-го типу </w:t>
      </w:r>
      <w:r w:rsidR="002C1E3D">
        <w:rPr>
          <w:rFonts w:ascii="Times New Roman" w:hAnsi="Times New Roman" w:cs="Times New Roman"/>
          <w:sz w:val="28"/>
          <w:szCs w:val="28"/>
          <w:lang w:val="uk-UA"/>
        </w:rPr>
        <w:t>[</w:t>
      </w:r>
      <w:r w:rsidR="008F15A1" w:rsidRPr="000F6430">
        <w:rPr>
          <w:rFonts w:ascii="Times New Roman" w:hAnsi="Times New Roman" w:cs="Times New Roman"/>
          <w:sz w:val="28"/>
          <w:szCs w:val="28"/>
          <w:lang w:val="uk-UA"/>
        </w:rPr>
        <w:t>111</w:t>
      </w:r>
      <w:r w:rsidR="002C1E3D" w:rsidRPr="00CA04D8">
        <w:rPr>
          <w:rFonts w:ascii="Times New Roman" w:hAnsi="Times New Roman" w:cs="Times New Roman"/>
          <w:sz w:val="28"/>
          <w:szCs w:val="28"/>
          <w:lang w:val="uk-UA"/>
        </w:rPr>
        <w:t>]</w:t>
      </w:r>
      <w:r w:rsidR="002C1E3D" w:rsidRPr="002C1E3D">
        <w:rPr>
          <w:rFonts w:ascii="Times New Roman" w:hAnsi="Times New Roman" w:cs="Times New Roman"/>
          <w:sz w:val="28"/>
          <w:szCs w:val="28"/>
          <w:lang w:val="uk-UA"/>
        </w:rPr>
        <w:t>.</w:t>
      </w:r>
    </w:p>
    <w:p w:rsidR="00360B82" w:rsidRDefault="001225FC" w:rsidP="00063414">
      <w:pPr>
        <w:spacing w:after="0" w:line="360" w:lineRule="auto"/>
        <w:ind w:firstLine="360"/>
        <w:jc w:val="both"/>
        <w:rPr>
          <w:rFonts w:ascii="Times New Roman" w:hAnsi="Times New Roman" w:cs="Times New Roman"/>
          <w:sz w:val="28"/>
          <w:szCs w:val="28"/>
          <w:lang w:val="uk-UA"/>
        </w:rPr>
      </w:pPr>
      <w:r w:rsidRPr="00A03291">
        <w:rPr>
          <w:rFonts w:ascii="Times New Roman" w:hAnsi="Times New Roman" w:cs="Times New Roman"/>
          <w:sz w:val="28"/>
          <w:szCs w:val="28"/>
          <w:lang w:val="uk-UA"/>
        </w:rPr>
        <w:t xml:space="preserve"> </w:t>
      </w:r>
      <w:r w:rsidR="00AC40E9">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Блокатори РААС </w:t>
      </w:r>
      <w:r w:rsidR="00FD0CA0">
        <w:rPr>
          <w:rFonts w:ascii="Times New Roman" w:hAnsi="Times New Roman" w:cs="Times New Roman"/>
          <w:sz w:val="28"/>
          <w:szCs w:val="28"/>
          <w:lang w:val="uk-UA"/>
        </w:rPr>
        <w:t>є</w:t>
      </w:r>
      <w:r w:rsidRPr="00A03291">
        <w:rPr>
          <w:rFonts w:ascii="Times New Roman" w:hAnsi="Times New Roman" w:cs="Times New Roman"/>
          <w:sz w:val="28"/>
          <w:szCs w:val="28"/>
          <w:lang w:val="uk-UA"/>
        </w:rPr>
        <w:t xml:space="preserve"> препаратами вибору </w:t>
      </w:r>
      <w:r w:rsidR="00FD0CA0">
        <w:rPr>
          <w:rFonts w:ascii="Times New Roman" w:hAnsi="Times New Roman" w:cs="Times New Roman"/>
          <w:sz w:val="28"/>
          <w:szCs w:val="28"/>
          <w:lang w:val="uk-UA"/>
        </w:rPr>
        <w:t>в</w:t>
      </w:r>
      <w:r w:rsidR="00191E47">
        <w:rPr>
          <w:rFonts w:ascii="Times New Roman" w:hAnsi="Times New Roman" w:cs="Times New Roman"/>
          <w:sz w:val="28"/>
          <w:szCs w:val="28"/>
          <w:lang w:val="uk-UA"/>
        </w:rPr>
        <w:t xml:space="preserve"> пацієнтів із ДН</w:t>
      </w:r>
      <w:r w:rsidRPr="00A03291">
        <w:rPr>
          <w:rFonts w:ascii="Times New Roman" w:hAnsi="Times New Roman" w:cs="Times New Roman"/>
          <w:sz w:val="28"/>
          <w:szCs w:val="28"/>
          <w:lang w:val="uk-UA"/>
        </w:rPr>
        <w:t xml:space="preserve">, </w:t>
      </w:r>
      <w:r w:rsidR="00FD0CA0">
        <w:rPr>
          <w:rFonts w:ascii="Times New Roman" w:hAnsi="Times New Roman" w:cs="Times New Roman"/>
          <w:sz w:val="28"/>
          <w:szCs w:val="28"/>
          <w:lang w:val="uk-UA"/>
        </w:rPr>
        <w:t>оскільки</w:t>
      </w:r>
      <w:r w:rsidRPr="00A03291">
        <w:rPr>
          <w:rFonts w:ascii="Times New Roman" w:hAnsi="Times New Roman" w:cs="Times New Roman"/>
          <w:sz w:val="28"/>
          <w:szCs w:val="28"/>
          <w:lang w:val="uk-UA"/>
        </w:rPr>
        <w:t xml:space="preserve"> вони знижують не лише АТ, а й екскрецію альбуміну, </w:t>
      </w:r>
      <w:r w:rsidR="003D578B">
        <w:rPr>
          <w:rFonts w:ascii="Times New Roman" w:hAnsi="Times New Roman" w:cs="Times New Roman"/>
          <w:sz w:val="28"/>
          <w:szCs w:val="28"/>
          <w:lang w:val="uk-UA"/>
        </w:rPr>
        <w:t xml:space="preserve">забезпечуючи </w:t>
      </w:r>
      <w:r w:rsidRPr="00A03291">
        <w:rPr>
          <w:rFonts w:ascii="Times New Roman" w:hAnsi="Times New Roman" w:cs="Times New Roman"/>
          <w:sz w:val="28"/>
          <w:szCs w:val="28"/>
          <w:lang w:val="uk-UA"/>
        </w:rPr>
        <w:t>нефропротекторну дію [</w:t>
      </w:r>
      <w:r w:rsidR="008F15A1" w:rsidRPr="00CA04D8">
        <w:rPr>
          <w:rFonts w:ascii="Times New Roman" w:hAnsi="Times New Roman" w:cs="Times New Roman"/>
          <w:sz w:val="28"/>
          <w:szCs w:val="28"/>
        </w:rPr>
        <w:t>112</w:t>
      </w:r>
      <w:r w:rsidR="00EE389F" w:rsidRPr="00E32435">
        <w:rPr>
          <w:rFonts w:ascii="Times New Roman" w:hAnsi="Times New Roman" w:cs="Times New Roman"/>
          <w:sz w:val="28"/>
          <w:szCs w:val="28"/>
          <w:lang w:val="uk-UA"/>
        </w:rPr>
        <w:t>]</w:t>
      </w:r>
      <w:r w:rsidR="00EE389F">
        <w:rPr>
          <w:rFonts w:ascii="Times New Roman" w:hAnsi="Times New Roman" w:cs="Times New Roman"/>
          <w:sz w:val="28"/>
          <w:szCs w:val="28"/>
          <w:lang w:val="uk-UA"/>
        </w:rPr>
        <w:t xml:space="preserve">. </w:t>
      </w:r>
      <w:r w:rsidR="00F160EA">
        <w:rPr>
          <w:rFonts w:ascii="Times New Roman" w:hAnsi="Times New Roman" w:cs="Times New Roman"/>
          <w:sz w:val="28"/>
          <w:szCs w:val="28"/>
          <w:lang w:val="uk-UA"/>
        </w:rPr>
        <w:t xml:space="preserve">Проте, у рекомендаціях </w:t>
      </w:r>
      <w:r w:rsidR="00F160EA">
        <w:rPr>
          <w:rFonts w:ascii="Times New Roman" w:hAnsi="Times New Roman" w:cs="Times New Roman"/>
          <w:sz w:val="28"/>
          <w:szCs w:val="28"/>
          <w:lang w:val="en-US"/>
        </w:rPr>
        <w:t>ADA</w:t>
      </w:r>
      <w:r w:rsidR="00F160EA" w:rsidRPr="00F160EA">
        <w:rPr>
          <w:rFonts w:ascii="Times New Roman" w:hAnsi="Times New Roman" w:cs="Times New Roman"/>
          <w:sz w:val="28"/>
          <w:szCs w:val="28"/>
          <w:lang w:val="uk-UA"/>
        </w:rPr>
        <w:t xml:space="preserve"> (2017)</w:t>
      </w:r>
      <w:r w:rsidR="00F160EA">
        <w:rPr>
          <w:rFonts w:ascii="Times New Roman" w:hAnsi="Times New Roman" w:cs="Times New Roman"/>
          <w:sz w:val="28"/>
          <w:szCs w:val="28"/>
          <w:lang w:val="uk-UA"/>
        </w:rPr>
        <w:t xml:space="preserve"> зазначено, що ІАПФ чи</w:t>
      </w:r>
      <w:r w:rsidR="00F160EA" w:rsidRPr="00F160EA">
        <w:rPr>
          <w:rFonts w:ascii="Times New Roman" w:hAnsi="Times New Roman" w:cs="Times New Roman"/>
          <w:sz w:val="28"/>
          <w:szCs w:val="28"/>
          <w:lang w:val="uk-UA"/>
        </w:rPr>
        <w:t xml:space="preserve"> БРА </w:t>
      </w:r>
      <w:r w:rsidR="00F160EA">
        <w:rPr>
          <w:rFonts w:ascii="Times New Roman" w:hAnsi="Times New Roman" w:cs="Times New Roman"/>
          <w:sz w:val="28"/>
          <w:szCs w:val="28"/>
          <w:lang w:val="uk-UA"/>
        </w:rPr>
        <w:t xml:space="preserve">не рекомендується застосовувати у пацієнтів без АГ </w:t>
      </w:r>
      <w:r w:rsidR="000A6772">
        <w:rPr>
          <w:rFonts w:ascii="Times New Roman" w:hAnsi="Times New Roman" w:cs="Times New Roman"/>
          <w:sz w:val="28"/>
          <w:szCs w:val="28"/>
          <w:lang w:val="uk-UA"/>
        </w:rPr>
        <w:t xml:space="preserve">        </w:t>
      </w:r>
      <w:r w:rsidR="00F160EA">
        <w:rPr>
          <w:rFonts w:ascii="Times New Roman" w:hAnsi="Times New Roman" w:cs="Times New Roman"/>
          <w:sz w:val="28"/>
          <w:szCs w:val="28"/>
          <w:lang w:val="uk-UA"/>
        </w:rPr>
        <w:t>для запобігання прогресуванню ДН [</w:t>
      </w:r>
      <w:r w:rsidR="00CA04D8">
        <w:rPr>
          <w:rFonts w:ascii="Times New Roman" w:hAnsi="Times New Roman" w:cs="Times New Roman"/>
          <w:sz w:val="28"/>
          <w:szCs w:val="28"/>
          <w:lang w:val="uk-UA"/>
        </w:rPr>
        <w:t>7</w:t>
      </w:r>
      <w:r w:rsidR="00F160EA" w:rsidRPr="00F160EA">
        <w:rPr>
          <w:rFonts w:ascii="Times New Roman" w:hAnsi="Times New Roman" w:cs="Times New Roman"/>
          <w:sz w:val="28"/>
          <w:szCs w:val="28"/>
          <w:lang w:val="uk-UA"/>
        </w:rPr>
        <w:t xml:space="preserve">]. </w:t>
      </w:r>
      <w:r w:rsidR="00F160EA">
        <w:rPr>
          <w:rFonts w:ascii="Times New Roman" w:hAnsi="Times New Roman" w:cs="Times New Roman"/>
          <w:sz w:val="28"/>
          <w:szCs w:val="28"/>
          <w:lang w:val="uk-UA"/>
        </w:rPr>
        <w:t xml:space="preserve">Таким чином, вказані класи антигіпертензивних препаратів доцільно </w:t>
      </w:r>
      <w:r w:rsidR="003D578B">
        <w:rPr>
          <w:rFonts w:ascii="Times New Roman" w:hAnsi="Times New Roman" w:cs="Times New Roman"/>
          <w:sz w:val="28"/>
          <w:szCs w:val="28"/>
          <w:lang w:val="uk-UA"/>
        </w:rPr>
        <w:t xml:space="preserve">призначати </w:t>
      </w:r>
      <w:r w:rsidR="00F160EA">
        <w:rPr>
          <w:rFonts w:ascii="Times New Roman" w:hAnsi="Times New Roman" w:cs="Times New Roman"/>
          <w:sz w:val="28"/>
          <w:szCs w:val="28"/>
          <w:lang w:val="uk-UA"/>
        </w:rPr>
        <w:t xml:space="preserve">при </w:t>
      </w:r>
      <w:r w:rsidR="002F2745">
        <w:rPr>
          <w:rFonts w:ascii="Times New Roman" w:hAnsi="Times New Roman" w:cs="Times New Roman"/>
          <w:sz w:val="28"/>
          <w:szCs w:val="28"/>
        </w:rPr>
        <w:t>коморб</w:t>
      </w:r>
      <w:r w:rsidR="002F2745">
        <w:rPr>
          <w:rFonts w:ascii="Times New Roman" w:hAnsi="Times New Roman" w:cs="Times New Roman"/>
          <w:sz w:val="28"/>
          <w:szCs w:val="28"/>
          <w:lang w:val="uk-UA"/>
        </w:rPr>
        <w:t xml:space="preserve">ідній патології – АГ та </w:t>
      </w:r>
      <w:r w:rsidR="00F160EA">
        <w:rPr>
          <w:rFonts w:ascii="Times New Roman" w:hAnsi="Times New Roman" w:cs="Times New Roman"/>
          <w:sz w:val="28"/>
          <w:szCs w:val="28"/>
          <w:lang w:val="uk-UA"/>
        </w:rPr>
        <w:t>ЦД.</w:t>
      </w:r>
      <w:r w:rsidR="00360B82">
        <w:rPr>
          <w:rFonts w:ascii="Times New Roman" w:hAnsi="Times New Roman" w:cs="Times New Roman"/>
          <w:sz w:val="28"/>
          <w:szCs w:val="28"/>
          <w:lang w:val="uk-UA"/>
        </w:rPr>
        <w:t xml:space="preserve"> </w:t>
      </w:r>
      <w:r w:rsidR="00360B82" w:rsidRPr="00360B82">
        <w:rPr>
          <w:rFonts w:ascii="Times New Roman" w:hAnsi="Times New Roman" w:cs="Times New Roman"/>
          <w:sz w:val="28"/>
          <w:szCs w:val="28"/>
          <w:lang w:val="uk-UA"/>
        </w:rPr>
        <w:t>І</w:t>
      </w:r>
      <w:r w:rsidR="006910D2">
        <w:rPr>
          <w:rFonts w:ascii="Times New Roman" w:hAnsi="Times New Roman" w:cs="Times New Roman"/>
          <w:sz w:val="28"/>
          <w:szCs w:val="28"/>
          <w:lang w:val="uk-UA"/>
        </w:rPr>
        <w:t xml:space="preserve">нгібітори ангіотензин-перетворюючого ферменту </w:t>
      </w:r>
      <w:r w:rsidR="00360B82">
        <w:rPr>
          <w:rFonts w:ascii="Times New Roman" w:hAnsi="Times New Roman" w:cs="Times New Roman"/>
          <w:sz w:val="28"/>
          <w:szCs w:val="28"/>
          <w:lang w:val="uk-UA"/>
        </w:rPr>
        <w:t>мають більшу доказову базу стосовно ефективності, безпечності, позити</w:t>
      </w:r>
      <w:r w:rsidR="003D578B">
        <w:rPr>
          <w:rFonts w:ascii="Times New Roman" w:hAnsi="Times New Roman" w:cs="Times New Roman"/>
          <w:sz w:val="28"/>
          <w:szCs w:val="28"/>
          <w:lang w:val="uk-UA"/>
        </w:rPr>
        <w:t>вного впливу на прогноз у хворих на</w:t>
      </w:r>
      <w:r w:rsidR="00360B82">
        <w:rPr>
          <w:rFonts w:ascii="Times New Roman" w:hAnsi="Times New Roman" w:cs="Times New Roman"/>
          <w:sz w:val="28"/>
          <w:szCs w:val="28"/>
          <w:lang w:val="uk-UA"/>
        </w:rPr>
        <w:t xml:space="preserve"> АГ</w:t>
      </w:r>
      <w:r w:rsidR="0098252A">
        <w:rPr>
          <w:rFonts w:ascii="Times New Roman" w:hAnsi="Times New Roman" w:cs="Times New Roman"/>
          <w:sz w:val="28"/>
          <w:szCs w:val="28"/>
          <w:lang w:val="uk-UA"/>
        </w:rPr>
        <w:t xml:space="preserve"> порівняно з БРА</w:t>
      </w:r>
      <w:r w:rsidR="00360B82">
        <w:rPr>
          <w:rFonts w:ascii="Times New Roman" w:hAnsi="Times New Roman" w:cs="Times New Roman"/>
          <w:sz w:val="28"/>
          <w:szCs w:val="28"/>
          <w:lang w:val="uk-UA"/>
        </w:rPr>
        <w:t xml:space="preserve"> </w:t>
      </w:r>
      <w:r w:rsidR="00360B82" w:rsidRPr="00360B82">
        <w:rPr>
          <w:rFonts w:ascii="Times New Roman" w:hAnsi="Times New Roman" w:cs="Times New Roman"/>
          <w:sz w:val="28"/>
          <w:szCs w:val="28"/>
          <w:lang w:val="uk-UA"/>
        </w:rPr>
        <w:t>[</w:t>
      </w:r>
      <w:r w:rsidR="008F15A1" w:rsidRPr="00CA04D8">
        <w:rPr>
          <w:rFonts w:ascii="Times New Roman" w:hAnsi="Times New Roman" w:cs="Times New Roman"/>
          <w:sz w:val="28"/>
          <w:szCs w:val="28"/>
        </w:rPr>
        <w:t>113</w:t>
      </w:r>
      <w:r w:rsidR="00360B82" w:rsidRPr="00360B82">
        <w:rPr>
          <w:rFonts w:ascii="Times New Roman" w:hAnsi="Times New Roman" w:cs="Times New Roman"/>
          <w:sz w:val="28"/>
          <w:szCs w:val="28"/>
          <w:lang w:val="uk-UA"/>
        </w:rPr>
        <w:t>].</w:t>
      </w:r>
    </w:p>
    <w:p w:rsidR="001225FC" w:rsidRPr="00A03291" w:rsidRDefault="0098252A" w:rsidP="00063414">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Не було виявлено і</w:t>
      </w:r>
      <w:r w:rsidR="00FD0CA0">
        <w:rPr>
          <w:rFonts w:ascii="Times New Roman" w:hAnsi="Times New Roman" w:cs="Times New Roman"/>
          <w:sz w:val="28"/>
          <w:szCs w:val="28"/>
          <w:lang w:val="uk-UA"/>
        </w:rPr>
        <w:t>стотних</w:t>
      </w:r>
      <w:r w:rsidR="001225FC" w:rsidRPr="00A03291">
        <w:rPr>
          <w:rFonts w:ascii="Times New Roman" w:hAnsi="Times New Roman" w:cs="Times New Roman"/>
          <w:sz w:val="28"/>
          <w:szCs w:val="28"/>
          <w:lang w:val="uk-UA"/>
        </w:rPr>
        <w:t xml:space="preserve"> відмінностей щодо ренопротекторного ефекту між ІАПФ </w:t>
      </w:r>
      <w:r w:rsidR="003D578B">
        <w:rPr>
          <w:rFonts w:ascii="Times New Roman" w:hAnsi="Times New Roman" w:cs="Times New Roman"/>
          <w:sz w:val="28"/>
          <w:szCs w:val="28"/>
          <w:lang w:val="uk-UA"/>
        </w:rPr>
        <w:t>та</w:t>
      </w:r>
      <w:r w:rsidR="00170169">
        <w:rPr>
          <w:rFonts w:ascii="Times New Roman" w:hAnsi="Times New Roman" w:cs="Times New Roman"/>
          <w:sz w:val="28"/>
          <w:szCs w:val="28"/>
          <w:lang w:val="uk-UA"/>
        </w:rPr>
        <w:t xml:space="preserve"> </w:t>
      </w:r>
      <w:r w:rsidR="001225FC" w:rsidRPr="00A03291">
        <w:rPr>
          <w:rFonts w:ascii="Times New Roman" w:hAnsi="Times New Roman" w:cs="Times New Roman"/>
          <w:sz w:val="28"/>
          <w:szCs w:val="28"/>
          <w:lang w:val="uk-UA"/>
        </w:rPr>
        <w:t>БРА [</w:t>
      </w:r>
      <w:r w:rsidR="008F15A1" w:rsidRPr="00CA04D8">
        <w:rPr>
          <w:rFonts w:ascii="Times New Roman" w:hAnsi="Times New Roman" w:cs="Times New Roman"/>
          <w:sz w:val="28"/>
          <w:szCs w:val="28"/>
        </w:rPr>
        <w:t>114</w:t>
      </w:r>
      <w:r w:rsidR="001225FC" w:rsidRPr="00A03291">
        <w:rPr>
          <w:rFonts w:ascii="Times New Roman" w:hAnsi="Times New Roman" w:cs="Times New Roman"/>
          <w:sz w:val="28"/>
          <w:szCs w:val="28"/>
          <w:lang w:val="uk-UA"/>
        </w:rPr>
        <w:t>]</w:t>
      </w:r>
      <w:r w:rsidR="00AC40E9">
        <w:rPr>
          <w:rFonts w:ascii="Times New Roman" w:hAnsi="Times New Roman" w:cs="Times New Roman"/>
          <w:sz w:val="28"/>
          <w:szCs w:val="28"/>
          <w:lang w:val="uk-UA"/>
        </w:rPr>
        <w:t>.</w:t>
      </w:r>
      <w:r w:rsidR="003D578B">
        <w:rPr>
          <w:rFonts w:ascii="Times New Roman" w:hAnsi="Times New Roman" w:cs="Times New Roman"/>
          <w:sz w:val="28"/>
          <w:szCs w:val="28"/>
          <w:lang w:val="uk-UA"/>
        </w:rPr>
        <w:t xml:space="preserve"> Д</w:t>
      </w:r>
      <w:r w:rsidR="00AB1952">
        <w:rPr>
          <w:rFonts w:ascii="Times New Roman" w:hAnsi="Times New Roman" w:cs="Times New Roman"/>
          <w:sz w:val="28"/>
          <w:szCs w:val="28"/>
          <w:lang w:val="uk-UA"/>
        </w:rPr>
        <w:t>ослідження</w:t>
      </w:r>
      <w:r>
        <w:rPr>
          <w:rFonts w:ascii="Times New Roman" w:hAnsi="Times New Roman" w:cs="Times New Roman"/>
          <w:sz w:val="28"/>
          <w:szCs w:val="28"/>
          <w:lang w:val="uk-UA"/>
        </w:rPr>
        <w:t xml:space="preserve"> наявності вказаних особливостей</w:t>
      </w:r>
      <w:r w:rsidR="00AB1952">
        <w:rPr>
          <w:rFonts w:ascii="Times New Roman" w:hAnsi="Times New Roman" w:cs="Times New Roman"/>
          <w:sz w:val="28"/>
          <w:szCs w:val="28"/>
          <w:lang w:val="uk-UA"/>
        </w:rPr>
        <w:t xml:space="preserve"> </w:t>
      </w:r>
      <w:r w:rsidR="003D578B">
        <w:rPr>
          <w:rFonts w:ascii="Times New Roman" w:hAnsi="Times New Roman" w:cs="Times New Roman"/>
          <w:sz w:val="28"/>
          <w:szCs w:val="28"/>
          <w:lang w:val="uk-UA"/>
        </w:rPr>
        <w:t xml:space="preserve">є необхідним </w:t>
      </w:r>
      <w:r w:rsidR="00AB1952">
        <w:rPr>
          <w:rFonts w:ascii="Times New Roman" w:hAnsi="Times New Roman" w:cs="Times New Roman"/>
          <w:sz w:val="28"/>
          <w:szCs w:val="28"/>
          <w:lang w:val="uk-UA"/>
        </w:rPr>
        <w:t xml:space="preserve">у пацієнтів із коморбідною патологією </w:t>
      </w:r>
      <w:r w:rsidR="00AB1952" w:rsidRPr="00AB1952">
        <w:rPr>
          <w:rFonts w:ascii="Times New Roman" w:hAnsi="Times New Roman" w:cs="Times New Roman"/>
          <w:sz w:val="28"/>
          <w:szCs w:val="28"/>
          <w:lang w:val="uk-UA"/>
        </w:rPr>
        <w:t>–</w:t>
      </w:r>
      <w:r w:rsidR="00AB1952">
        <w:rPr>
          <w:rFonts w:ascii="Times New Roman" w:hAnsi="Times New Roman" w:cs="Times New Roman"/>
          <w:sz w:val="28"/>
          <w:szCs w:val="28"/>
          <w:lang w:val="uk-UA"/>
        </w:rPr>
        <w:t xml:space="preserve"> АГ та супутнім ЦД 2-го типу.</w:t>
      </w:r>
    </w:p>
    <w:p w:rsidR="003D578B" w:rsidRDefault="00AC40E9" w:rsidP="003D578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60B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8252A">
        <w:rPr>
          <w:rFonts w:ascii="Times New Roman" w:hAnsi="Times New Roman" w:cs="Times New Roman"/>
          <w:sz w:val="28"/>
          <w:szCs w:val="28"/>
          <w:lang w:val="uk-UA"/>
        </w:rPr>
        <w:t>Критеріями</w:t>
      </w:r>
      <w:r w:rsidR="001225FC" w:rsidRPr="00A03291">
        <w:rPr>
          <w:rFonts w:ascii="Times New Roman" w:hAnsi="Times New Roman" w:cs="Times New Roman"/>
          <w:sz w:val="28"/>
          <w:szCs w:val="28"/>
          <w:lang w:val="uk-UA"/>
        </w:rPr>
        <w:t xml:space="preserve"> вибору антигіпертензивних препаратів</w:t>
      </w:r>
      <w:r w:rsidR="004C6E03">
        <w:rPr>
          <w:rFonts w:ascii="Times New Roman" w:hAnsi="Times New Roman" w:cs="Times New Roman"/>
          <w:sz w:val="28"/>
          <w:szCs w:val="28"/>
          <w:lang w:val="uk-UA"/>
        </w:rPr>
        <w:t xml:space="preserve"> у лікуванні ДН</w:t>
      </w:r>
      <w:r w:rsidR="0098252A">
        <w:rPr>
          <w:rFonts w:ascii="Times New Roman" w:hAnsi="Times New Roman" w:cs="Times New Roman"/>
          <w:sz w:val="28"/>
          <w:szCs w:val="28"/>
          <w:lang w:val="uk-UA"/>
        </w:rPr>
        <w:t xml:space="preserve"> є антипротеїнурична дія</w:t>
      </w:r>
      <w:r w:rsidR="00B935CB">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 xml:space="preserve"> антисклер</w:t>
      </w:r>
      <w:r w:rsidR="00B935CB">
        <w:rPr>
          <w:rFonts w:ascii="Times New Roman" w:hAnsi="Times New Roman" w:cs="Times New Roman"/>
          <w:sz w:val="28"/>
          <w:szCs w:val="28"/>
          <w:lang w:val="uk-UA"/>
        </w:rPr>
        <w:t>отичний ефект,</w:t>
      </w:r>
      <w:r w:rsidR="001225FC" w:rsidRPr="00A03291">
        <w:rPr>
          <w:rFonts w:ascii="Times New Roman" w:hAnsi="Times New Roman" w:cs="Times New Roman"/>
          <w:sz w:val="28"/>
          <w:szCs w:val="28"/>
          <w:lang w:val="uk-UA"/>
        </w:rPr>
        <w:t xml:space="preserve"> відсутність негативного вплив</w:t>
      </w:r>
      <w:r w:rsidR="00B935CB">
        <w:rPr>
          <w:rFonts w:ascii="Times New Roman" w:hAnsi="Times New Roman" w:cs="Times New Roman"/>
          <w:sz w:val="28"/>
          <w:szCs w:val="28"/>
          <w:lang w:val="uk-UA"/>
        </w:rPr>
        <w:t>у на об’ємний нирковий кровотік,</w:t>
      </w:r>
      <w:r w:rsidR="001225FC" w:rsidRPr="00A03291">
        <w:rPr>
          <w:rFonts w:ascii="Times New Roman" w:hAnsi="Times New Roman" w:cs="Times New Roman"/>
          <w:sz w:val="28"/>
          <w:szCs w:val="28"/>
          <w:lang w:val="uk-UA"/>
        </w:rPr>
        <w:t xml:space="preserve"> нирковий шлях елімінації. </w:t>
      </w:r>
      <w:r w:rsidR="00777CAA">
        <w:rPr>
          <w:rFonts w:ascii="Times New Roman" w:hAnsi="Times New Roman" w:cs="Times New Roman"/>
          <w:sz w:val="28"/>
          <w:szCs w:val="28"/>
          <w:lang w:val="uk-UA"/>
        </w:rPr>
        <w:t>При прогресуванні ДН, яка</w:t>
      </w:r>
      <w:r w:rsidR="001225FC" w:rsidRPr="00063414">
        <w:rPr>
          <w:rFonts w:ascii="Times New Roman" w:hAnsi="Times New Roman" w:cs="Times New Roman"/>
          <w:sz w:val="28"/>
          <w:szCs w:val="28"/>
          <w:lang w:val="uk-UA"/>
        </w:rPr>
        <w:t xml:space="preserve"> супроводжується зниженням ШКФ, </w:t>
      </w:r>
      <w:r w:rsidR="00B935CB">
        <w:rPr>
          <w:rFonts w:ascii="Times New Roman" w:hAnsi="Times New Roman" w:cs="Times New Roman"/>
          <w:sz w:val="28"/>
          <w:szCs w:val="28"/>
          <w:lang w:val="uk-UA"/>
        </w:rPr>
        <w:t>необхідно</w:t>
      </w:r>
      <w:r w:rsidR="001225FC" w:rsidRPr="00063414">
        <w:rPr>
          <w:rFonts w:ascii="Times New Roman" w:hAnsi="Times New Roman" w:cs="Times New Roman"/>
          <w:sz w:val="28"/>
          <w:szCs w:val="28"/>
          <w:lang w:val="uk-UA"/>
        </w:rPr>
        <w:t xml:space="preserve"> призначати препарати, що</w:t>
      </w:r>
      <w:r w:rsidRPr="00063414">
        <w:rPr>
          <w:rFonts w:ascii="Times New Roman" w:hAnsi="Times New Roman" w:cs="Times New Roman"/>
          <w:sz w:val="28"/>
          <w:szCs w:val="28"/>
          <w:lang w:val="uk-UA"/>
        </w:rPr>
        <w:t xml:space="preserve"> виводяться позанирковим шляхом</w:t>
      </w:r>
      <w:r w:rsidR="003D578B">
        <w:rPr>
          <w:rFonts w:ascii="Times New Roman" w:hAnsi="Times New Roman" w:cs="Times New Roman"/>
          <w:sz w:val="28"/>
          <w:szCs w:val="28"/>
          <w:lang w:val="uk-UA"/>
        </w:rPr>
        <w:t>.</w:t>
      </w:r>
      <w:r w:rsidR="00A51487">
        <w:rPr>
          <w:rFonts w:ascii="Times New Roman" w:hAnsi="Times New Roman" w:cs="Times New Roman"/>
          <w:sz w:val="28"/>
          <w:szCs w:val="28"/>
          <w:lang w:val="uk-UA"/>
        </w:rPr>
        <w:t xml:space="preserve"> </w:t>
      </w:r>
      <w:r w:rsidR="003D578B">
        <w:rPr>
          <w:rFonts w:ascii="Times New Roman" w:hAnsi="Times New Roman" w:cs="Times New Roman"/>
          <w:sz w:val="28"/>
          <w:szCs w:val="28"/>
          <w:lang w:val="uk-UA"/>
        </w:rPr>
        <w:t>Т</w:t>
      </w:r>
      <w:r w:rsidR="001225FC" w:rsidRPr="00063414">
        <w:rPr>
          <w:rFonts w:ascii="Times New Roman" w:hAnsi="Times New Roman" w:cs="Times New Roman"/>
          <w:sz w:val="28"/>
          <w:szCs w:val="28"/>
          <w:lang w:val="uk-UA"/>
        </w:rPr>
        <w:t>елмісартан (80 мг</w:t>
      </w:r>
      <w:r w:rsidRPr="00063414">
        <w:rPr>
          <w:rFonts w:ascii="Times New Roman" w:hAnsi="Times New Roman" w:cs="Times New Roman"/>
          <w:sz w:val="28"/>
          <w:szCs w:val="28"/>
          <w:lang w:val="uk-UA"/>
        </w:rPr>
        <w:t>/добу)</w:t>
      </w:r>
      <w:r w:rsidR="003D578B">
        <w:rPr>
          <w:rFonts w:ascii="Times New Roman" w:hAnsi="Times New Roman" w:cs="Times New Roman"/>
          <w:sz w:val="28"/>
          <w:szCs w:val="28"/>
          <w:lang w:val="uk-UA"/>
        </w:rPr>
        <w:t xml:space="preserve"> </w:t>
      </w:r>
      <w:r w:rsidR="003D578B" w:rsidRPr="003D578B">
        <w:rPr>
          <w:rFonts w:ascii="Times New Roman" w:hAnsi="Times New Roman" w:cs="Times New Roman"/>
          <w:sz w:val="28"/>
          <w:szCs w:val="28"/>
          <w:lang w:val="uk-UA"/>
        </w:rPr>
        <w:t>найменше виводиться нирками</w:t>
      </w:r>
      <w:r w:rsidR="003D578B">
        <w:rPr>
          <w:rFonts w:ascii="Times New Roman" w:hAnsi="Times New Roman" w:cs="Times New Roman"/>
          <w:sz w:val="28"/>
          <w:szCs w:val="28"/>
          <w:lang w:val="uk-UA"/>
        </w:rPr>
        <w:t xml:space="preserve"> порівняно з іншими препаратами класу БРА</w:t>
      </w:r>
      <w:r>
        <w:rPr>
          <w:rFonts w:ascii="Times New Roman" w:hAnsi="Times New Roman" w:cs="Times New Roman"/>
          <w:sz w:val="28"/>
          <w:szCs w:val="28"/>
          <w:lang w:val="uk-UA"/>
        </w:rPr>
        <w:t xml:space="preserve"> </w:t>
      </w:r>
      <w:r w:rsidR="001225FC" w:rsidRPr="00063414">
        <w:rPr>
          <w:rFonts w:ascii="Times New Roman" w:hAnsi="Times New Roman" w:cs="Times New Roman"/>
          <w:sz w:val="28"/>
          <w:szCs w:val="28"/>
          <w:lang w:val="uk-UA"/>
        </w:rPr>
        <w:t>[</w:t>
      </w:r>
      <w:r w:rsidR="00CA04D8">
        <w:rPr>
          <w:rFonts w:ascii="Times New Roman" w:hAnsi="Times New Roman" w:cs="Times New Roman"/>
          <w:sz w:val="28"/>
          <w:szCs w:val="28"/>
          <w:lang w:val="uk-UA"/>
        </w:rPr>
        <w:t>39</w:t>
      </w:r>
      <w:r w:rsidR="001225FC" w:rsidRPr="00063414">
        <w:rPr>
          <w:rFonts w:ascii="Times New Roman" w:hAnsi="Times New Roman" w:cs="Times New Roman"/>
          <w:sz w:val="28"/>
          <w:szCs w:val="28"/>
          <w:lang w:val="uk-UA"/>
        </w:rPr>
        <w:t>]</w:t>
      </w:r>
      <w:r w:rsidR="001225FC" w:rsidRPr="00A03291">
        <w:rPr>
          <w:rFonts w:ascii="Times New Roman" w:hAnsi="Times New Roman" w:cs="Times New Roman"/>
          <w:sz w:val="28"/>
          <w:szCs w:val="28"/>
          <w:lang w:val="uk-UA"/>
        </w:rPr>
        <w:t>.</w:t>
      </w:r>
      <w:r w:rsidR="003D578B">
        <w:rPr>
          <w:rFonts w:ascii="Times New Roman" w:hAnsi="Times New Roman" w:cs="Times New Roman"/>
          <w:sz w:val="28"/>
          <w:szCs w:val="28"/>
          <w:lang w:val="uk-UA"/>
        </w:rPr>
        <w:t xml:space="preserve"> </w:t>
      </w:r>
    </w:p>
    <w:p w:rsidR="0087443D" w:rsidRPr="003E28F4" w:rsidRDefault="003D578B" w:rsidP="003D578B">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443D" w:rsidRPr="008C64D5">
        <w:rPr>
          <w:rFonts w:ascii="Times New Roman" w:hAnsi="Times New Roman" w:cs="Times New Roman"/>
          <w:sz w:val="28"/>
          <w:szCs w:val="28"/>
          <w:lang w:val="uk-UA"/>
        </w:rPr>
        <w:t>Б</w:t>
      </w:r>
      <w:r w:rsidR="006754D4">
        <w:rPr>
          <w:rFonts w:ascii="Times New Roman" w:hAnsi="Times New Roman" w:cs="Times New Roman"/>
          <w:sz w:val="28"/>
          <w:szCs w:val="28"/>
          <w:lang w:val="uk-UA"/>
        </w:rPr>
        <w:t xml:space="preserve">локатори рецепторів до ангіотензину </w:t>
      </w:r>
      <w:r w:rsidR="0087443D">
        <w:rPr>
          <w:rFonts w:ascii="Times New Roman" w:hAnsi="Times New Roman" w:cs="Times New Roman"/>
          <w:sz w:val="28"/>
          <w:szCs w:val="28"/>
          <w:lang w:val="uk-UA"/>
        </w:rPr>
        <w:t>є високоефективними щодо зниження</w:t>
      </w:r>
      <w:r w:rsidR="0087443D" w:rsidRPr="008C64D5">
        <w:rPr>
          <w:rFonts w:ascii="Times New Roman" w:hAnsi="Times New Roman" w:cs="Times New Roman"/>
          <w:sz w:val="28"/>
          <w:szCs w:val="28"/>
          <w:lang w:val="uk-UA"/>
        </w:rPr>
        <w:t xml:space="preserve"> ризику пр</w:t>
      </w:r>
      <w:r w:rsidR="0087443D">
        <w:rPr>
          <w:rFonts w:ascii="Times New Roman" w:hAnsi="Times New Roman" w:cs="Times New Roman"/>
          <w:sz w:val="28"/>
          <w:szCs w:val="28"/>
          <w:lang w:val="uk-UA"/>
        </w:rPr>
        <w:t>огресування ураження нирок не</w:t>
      </w:r>
      <w:r w:rsidR="0087443D" w:rsidRPr="008C64D5">
        <w:rPr>
          <w:rFonts w:ascii="Times New Roman" w:hAnsi="Times New Roman" w:cs="Times New Roman"/>
          <w:sz w:val="28"/>
          <w:szCs w:val="28"/>
          <w:lang w:val="uk-UA"/>
        </w:rPr>
        <w:t>залежно від їх</w:t>
      </w:r>
      <w:r w:rsidR="0087443D">
        <w:rPr>
          <w:rFonts w:ascii="Times New Roman" w:hAnsi="Times New Roman" w:cs="Times New Roman"/>
          <w:sz w:val="28"/>
          <w:szCs w:val="28"/>
          <w:lang w:val="uk-UA"/>
        </w:rPr>
        <w:t xml:space="preserve"> антигіпертензивної дії завдяки зменшенню протеїнурії відповідно </w:t>
      </w:r>
      <w:r w:rsidR="006754D4">
        <w:rPr>
          <w:rFonts w:ascii="Times New Roman" w:hAnsi="Times New Roman" w:cs="Times New Roman"/>
          <w:sz w:val="28"/>
          <w:szCs w:val="28"/>
          <w:lang w:val="uk-UA"/>
        </w:rPr>
        <w:t xml:space="preserve">                 </w:t>
      </w:r>
      <w:r w:rsidR="0087443D">
        <w:rPr>
          <w:rFonts w:ascii="Times New Roman" w:hAnsi="Times New Roman" w:cs="Times New Roman"/>
          <w:sz w:val="28"/>
          <w:szCs w:val="28"/>
          <w:lang w:val="uk-UA"/>
        </w:rPr>
        <w:t>до результатів багатоцентрових досліджень</w:t>
      </w:r>
      <w:r w:rsidR="0087443D" w:rsidRPr="00065742">
        <w:rPr>
          <w:rFonts w:ascii="Times New Roman" w:hAnsi="Times New Roman" w:cs="Times New Roman"/>
          <w:sz w:val="28"/>
          <w:szCs w:val="28"/>
          <w:lang w:val="uk-UA"/>
        </w:rPr>
        <w:t xml:space="preserve"> (RENAAL, IDNT, IRMA, MARVAL), проведених у хворих на АГ та ЦД</w:t>
      </w:r>
      <w:r w:rsidR="0087443D">
        <w:rPr>
          <w:rFonts w:ascii="Times New Roman" w:hAnsi="Times New Roman" w:cs="Times New Roman"/>
          <w:sz w:val="28"/>
          <w:szCs w:val="28"/>
          <w:lang w:val="uk-UA"/>
        </w:rPr>
        <w:t>.</w:t>
      </w:r>
      <w:r w:rsidR="0087443D" w:rsidRPr="008C64D5">
        <w:rPr>
          <w:rFonts w:ascii="Times New Roman" w:hAnsi="Times New Roman" w:cs="Times New Roman"/>
          <w:sz w:val="28"/>
          <w:szCs w:val="28"/>
          <w:lang w:val="uk-UA"/>
        </w:rPr>
        <w:t xml:space="preserve"> </w:t>
      </w:r>
      <w:r w:rsidR="0087443D">
        <w:rPr>
          <w:rFonts w:ascii="Times New Roman" w:hAnsi="Times New Roman" w:cs="Times New Roman"/>
          <w:sz w:val="28"/>
          <w:szCs w:val="28"/>
          <w:lang w:val="uk-UA"/>
        </w:rPr>
        <w:t xml:space="preserve">Таким чином, </w:t>
      </w:r>
      <w:r w:rsidR="0087443D" w:rsidRPr="008C64D5">
        <w:rPr>
          <w:rFonts w:ascii="Times New Roman" w:hAnsi="Times New Roman" w:cs="Times New Roman"/>
          <w:sz w:val="28"/>
          <w:szCs w:val="28"/>
          <w:lang w:val="uk-UA"/>
        </w:rPr>
        <w:t>сартани є</w:t>
      </w:r>
      <w:r w:rsidR="0087443D">
        <w:rPr>
          <w:rFonts w:ascii="Times New Roman" w:hAnsi="Times New Roman" w:cs="Times New Roman"/>
          <w:sz w:val="28"/>
          <w:szCs w:val="28"/>
          <w:lang w:val="uk-UA"/>
        </w:rPr>
        <w:t xml:space="preserve"> препара</w:t>
      </w:r>
      <w:r w:rsidR="0087443D" w:rsidRPr="008C64D5">
        <w:rPr>
          <w:rFonts w:ascii="Times New Roman" w:hAnsi="Times New Roman" w:cs="Times New Roman"/>
          <w:sz w:val="28"/>
          <w:szCs w:val="28"/>
          <w:lang w:val="uk-UA"/>
        </w:rPr>
        <w:t>тами першого ви</w:t>
      </w:r>
      <w:r w:rsidR="0087443D">
        <w:rPr>
          <w:rFonts w:ascii="Times New Roman" w:hAnsi="Times New Roman" w:cs="Times New Roman"/>
          <w:sz w:val="28"/>
          <w:szCs w:val="28"/>
          <w:lang w:val="uk-UA"/>
        </w:rPr>
        <w:t xml:space="preserve">бору в лікуванні пацієнтів </w:t>
      </w:r>
      <w:r w:rsidR="00B0172B">
        <w:rPr>
          <w:rFonts w:ascii="Times New Roman" w:hAnsi="Times New Roman" w:cs="Times New Roman"/>
          <w:sz w:val="28"/>
          <w:szCs w:val="28"/>
          <w:lang w:val="uk-UA"/>
        </w:rPr>
        <w:t>і</w:t>
      </w:r>
      <w:r w:rsidR="0087443D">
        <w:rPr>
          <w:rFonts w:ascii="Times New Roman" w:hAnsi="Times New Roman" w:cs="Times New Roman"/>
          <w:sz w:val="28"/>
          <w:szCs w:val="28"/>
          <w:lang w:val="uk-UA"/>
        </w:rPr>
        <w:t xml:space="preserve">з АГ </w:t>
      </w:r>
      <w:r w:rsidR="0087443D" w:rsidRPr="008C64D5">
        <w:rPr>
          <w:rFonts w:ascii="Times New Roman" w:hAnsi="Times New Roman" w:cs="Times New Roman"/>
          <w:sz w:val="28"/>
          <w:szCs w:val="28"/>
          <w:lang w:val="uk-UA"/>
        </w:rPr>
        <w:t>та ЦД з ураженням нирок</w:t>
      </w:r>
      <w:r w:rsidR="0087443D">
        <w:rPr>
          <w:rFonts w:ascii="Times New Roman" w:hAnsi="Times New Roman" w:cs="Times New Roman"/>
          <w:sz w:val="28"/>
          <w:szCs w:val="28"/>
          <w:lang w:val="uk-UA"/>
        </w:rPr>
        <w:t xml:space="preserve"> </w:t>
      </w:r>
      <w:r w:rsidR="0087443D" w:rsidRPr="008C64D5">
        <w:rPr>
          <w:rFonts w:ascii="Times New Roman" w:hAnsi="Times New Roman" w:cs="Times New Roman"/>
          <w:sz w:val="28"/>
          <w:szCs w:val="28"/>
          <w:lang w:val="uk-UA"/>
        </w:rPr>
        <w:t>[</w:t>
      </w:r>
      <w:r w:rsidR="00CA04D8">
        <w:rPr>
          <w:rFonts w:ascii="Times New Roman" w:hAnsi="Times New Roman" w:cs="Times New Roman"/>
          <w:sz w:val="28"/>
          <w:szCs w:val="28"/>
          <w:lang w:val="uk-UA"/>
        </w:rPr>
        <w:t>19</w:t>
      </w:r>
      <w:r w:rsidR="0087443D" w:rsidRPr="005E2A50">
        <w:rPr>
          <w:rFonts w:ascii="Times New Roman" w:hAnsi="Times New Roman" w:cs="Times New Roman"/>
          <w:sz w:val="28"/>
          <w:szCs w:val="28"/>
          <w:lang w:val="uk-UA"/>
        </w:rPr>
        <w:t>].</w:t>
      </w:r>
      <w:r w:rsidR="0087443D" w:rsidRPr="0089585D">
        <w:rPr>
          <w:lang w:val="uk-UA"/>
        </w:rPr>
        <w:t xml:space="preserve"> </w:t>
      </w:r>
    </w:p>
    <w:p w:rsidR="0087443D" w:rsidRDefault="0087443D" w:rsidP="0087443D">
      <w:pPr>
        <w:spacing w:after="0" w:line="360" w:lineRule="auto"/>
        <w:ind w:firstLine="360"/>
        <w:jc w:val="both"/>
        <w:rPr>
          <w:rFonts w:ascii="Times New Roman" w:hAnsi="Times New Roman" w:cs="Times New Roman"/>
          <w:color w:val="333333"/>
          <w:sz w:val="28"/>
          <w:szCs w:val="28"/>
          <w:shd w:val="clear" w:color="auto" w:fill="FFFFFF"/>
          <w:lang w:val="uk-UA"/>
        </w:rPr>
      </w:pPr>
      <w:r>
        <w:rPr>
          <w:rFonts w:ascii="Times New Roman" w:hAnsi="Times New Roman" w:cs="Times New Roman"/>
          <w:sz w:val="28"/>
          <w:szCs w:val="28"/>
          <w:lang w:val="uk-UA"/>
        </w:rPr>
        <w:lastRenderedPageBreak/>
        <w:t xml:space="preserve">      </w:t>
      </w:r>
      <w:r w:rsidRPr="00A03291">
        <w:rPr>
          <w:rFonts w:ascii="Times New Roman" w:hAnsi="Times New Roman" w:cs="Times New Roman"/>
          <w:sz w:val="28"/>
          <w:szCs w:val="28"/>
          <w:lang w:val="uk-UA"/>
        </w:rPr>
        <w:t xml:space="preserve">У </w:t>
      </w:r>
      <w:r w:rsidR="00B0172B">
        <w:rPr>
          <w:rFonts w:ascii="Times New Roman" w:hAnsi="Times New Roman" w:cs="Times New Roman"/>
          <w:sz w:val="28"/>
          <w:szCs w:val="28"/>
          <w:lang w:val="uk-UA"/>
        </w:rPr>
        <w:t xml:space="preserve">хворих на </w:t>
      </w:r>
      <w:r>
        <w:rPr>
          <w:rFonts w:ascii="Times New Roman" w:hAnsi="Times New Roman" w:cs="Times New Roman"/>
          <w:sz w:val="28"/>
          <w:szCs w:val="28"/>
          <w:lang w:val="uk-UA"/>
        </w:rPr>
        <w:t xml:space="preserve">АГ та </w:t>
      </w:r>
      <w:r w:rsidRPr="00A03291">
        <w:rPr>
          <w:rFonts w:ascii="Times New Roman" w:hAnsi="Times New Roman" w:cs="Times New Roman"/>
          <w:sz w:val="28"/>
          <w:szCs w:val="28"/>
          <w:lang w:val="uk-UA"/>
        </w:rPr>
        <w:t>ЦД 2</w:t>
      </w:r>
      <w:r>
        <w:rPr>
          <w:rFonts w:ascii="Times New Roman" w:hAnsi="Times New Roman" w:cs="Times New Roman"/>
          <w:sz w:val="28"/>
          <w:szCs w:val="28"/>
          <w:lang w:val="uk-UA"/>
        </w:rPr>
        <w:t>-го</w:t>
      </w:r>
      <w:r w:rsidRPr="00A03291">
        <w:rPr>
          <w:rFonts w:ascii="Times New Roman" w:hAnsi="Times New Roman" w:cs="Times New Roman"/>
          <w:sz w:val="28"/>
          <w:szCs w:val="28"/>
          <w:lang w:val="uk-UA"/>
        </w:rPr>
        <w:t xml:space="preserve"> типу застосування </w:t>
      </w:r>
      <w:r>
        <w:rPr>
          <w:rFonts w:ascii="Times New Roman" w:hAnsi="Times New Roman" w:cs="Times New Roman"/>
          <w:sz w:val="28"/>
          <w:szCs w:val="28"/>
          <w:lang w:val="uk-UA"/>
        </w:rPr>
        <w:t xml:space="preserve">80 мг/день </w:t>
      </w:r>
      <w:r w:rsidRPr="00A03291">
        <w:rPr>
          <w:rFonts w:ascii="Times New Roman" w:hAnsi="Times New Roman" w:cs="Times New Roman"/>
          <w:sz w:val="28"/>
          <w:szCs w:val="28"/>
          <w:lang w:val="uk-UA"/>
        </w:rPr>
        <w:t xml:space="preserve">телмісартану </w:t>
      </w:r>
      <w:r>
        <w:rPr>
          <w:rFonts w:ascii="Times New Roman" w:hAnsi="Times New Roman" w:cs="Times New Roman"/>
          <w:sz w:val="28"/>
          <w:szCs w:val="28"/>
          <w:lang w:val="uk-UA"/>
        </w:rPr>
        <w:t xml:space="preserve">протягом 6 місяців </w:t>
      </w:r>
      <w:r w:rsidRPr="00A03291">
        <w:rPr>
          <w:rFonts w:ascii="Times New Roman" w:hAnsi="Times New Roman" w:cs="Times New Roman"/>
          <w:sz w:val="28"/>
          <w:szCs w:val="28"/>
          <w:lang w:val="uk-UA"/>
        </w:rPr>
        <w:t xml:space="preserve">сприяє </w:t>
      </w:r>
      <w:r>
        <w:rPr>
          <w:rFonts w:ascii="Times New Roman" w:hAnsi="Times New Roman" w:cs="Times New Roman"/>
          <w:sz w:val="28"/>
          <w:szCs w:val="28"/>
          <w:lang w:val="uk-UA"/>
        </w:rPr>
        <w:t xml:space="preserve">достовірному </w:t>
      </w:r>
      <w:r w:rsidRPr="00A03291">
        <w:rPr>
          <w:rFonts w:ascii="Times New Roman" w:hAnsi="Times New Roman" w:cs="Times New Roman"/>
          <w:sz w:val="28"/>
          <w:szCs w:val="28"/>
          <w:lang w:val="uk-UA"/>
        </w:rPr>
        <w:t>зниженню</w:t>
      </w:r>
      <w:r>
        <w:rPr>
          <w:rFonts w:ascii="Times New Roman" w:hAnsi="Times New Roman" w:cs="Times New Roman"/>
          <w:sz w:val="28"/>
          <w:szCs w:val="28"/>
          <w:lang w:val="uk-UA"/>
        </w:rPr>
        <w:t xml:space="preserve"> альбумінурії у жінок, збільшенню ШКФ</w:t>
      </w:r>
      <w:r w:rsidR="00B0172B">
        <w:rPr>
          <w:rFonts w:ascii="Times New Roman" w:hAnsi="Times New Roman" w:cs="Times New Roman"/>
          <w:sz w:val="28"/>
          <w:szCs w:val="28"/>
          <w:lang w:val="uk-UA"/>
        </w:rPr>
        <w:t>,</w:t>
      </w:r>
      <w:r>
        <w:rPr>
          <w:rFonts w:ascii="Times New Roman" w:hAnsi="Times New Roman" w:cs="Times New Roman"/>
          <w:sz w:val="28"/>
          <w:szCs w:val="28"/>
          <w:lang w:val="uk-UA"/>
        </w:rPr>
        <w:t xml:space="preserve"> оптимізації метаболічного контролю шляхом достовірного зменшення </w:t>
      </w:r>
      <w:r w:rsidR="00B0172B">
        <w:rPr>
          <w:rFonts w:ascii="Times New Roman" w:hAnsi="Times New Roman" w:cs="Times New Roman"/>
          <w:sz w:val="28"/>
          <w:szCs w:val="28"/>
          <w:lang w:val="uk-UA"/>
        </w:rPr>
        <w:t xml:space="preserve">вмісту </w:t>
      </w:r>
      <w:r w:rsidRPr="003D2AA1">
        <w:rPr>
          <w:rFonts w:ascii="Times New Roman" w:hAnsi="Times New Roman" w:cs="Times New Roman"/>
          <w:sz w:val="28"/>
          <w:szCs w:val="28"/>
          <w:lang w:val="uk-UA"/>
        </w:rPr>
        <w:t>HbA1c</w:t>
      </w:r>
      <w:r>
        <w:rPr>
          <w:rFonts w:ascii="Times New Roman" w:hAnsi="Times New Roman" w:cs="Times New Roman"/>
          <w:sz w:val="28"/>
          <w:szCs w:val="28"/>
          <w:lang w:val="uk-UA"/>
        </w:rPr>
        <w:t xml:space="preserve"> і ЗХС</w:t>
      </w:r>
      <w:r w:rsidRPr="00A03291">
        <w:rPr>
          <w:rFonts w:ascii="Times New Roman" w:hAnsi="Times New Roman" w:cs="Times New Roman"/>
          <w:sz w:val="28"/>
          <w:szCs w:val="28"/>
          <w:lang w:val="uk-UA"/>
        </w:rPr>
        <w:t xml:space="preserve"> </w:t>
      </w:r>
      <w:r w:rsidR="00502605" w:rsidRPr="00502605">
        <w:rPr>
          <w:rFonts w:ascii="Times New Roman" w:hAnsi="Times New Roman" w:cs="Times New Roman"/>
          <w:sz w:val="28"/>
          <w:szCs w:val="28"/>
          <w:lang w:val="uk-UA"/>
        </w:rPr>
        <w:t xml:space="preserve">у пацієнтів обох статей </w:t>
      </w:r>
      <w:r w:rsidRPr="00A03291">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115</w:t>
      </w:r>
      <w:r w:rsidRPr="00A03291">
        <w:rPr>
          <w:rFonts w:ascii="Times New Roman" w:hAnsi="Times New Roman" w:cs="Times New Roman"/>
          <w:sz w:val="28"/>
          <w:szCs w:val="28"/>
          <w:lang w:val="uk-UA"/>
        </w:rPr>
        <w:t>]</w:t>
      </w:r>
      <w:r>
        <w:rPr>
          <w:rFonts w:ascii="Times New Roman" w:hAnsi="Times New Roman" w:cs="Times New Roman"/>
          <w:sz w:val="28"/>
          <w:szCs w:val="28"/>
          <w:lang w:val="uk-UA"/>
        </w:rPr>
        <w:t>.</w:t>
      </w:r>
    </w:p>
    <w:p w:rsidR="0087443D" w:rsidRDefault="0087443D" w:rsidP="0087443D">
      <w:pPr>
        <w:tabs>
          <w:tab w:val="left" w:pos="709"/>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sz w:val="28"/>
          <w:szCs w:val="28"/>
          <w:lang w:val="uk-UA"/>
        </w:rPr>
        <w:t xml:space="preserve">   Перевагою сартанів є наявність кардіопротекторного ефекту, який полягає у</w:t>
      </w:r>
      <w:r w:rsidR="00502605" w:rsidRPr="00502605">
        <w:rPr>
          <w:lang w:val="uk-UA"/>
        </w:rPr>
        <w:t xml:space="preserve"> </w:t>
      </w:r>
      <w:r w:rsidR="00502605" w:rsidRPr="00502605">
        <w:rPr>
          <w:rFonts w:ascii="Times New Roman" w:hAnsi="Times New Roman" w:cs="Times New Roman"/>
          <w:sz w:val="28"/>
          <w:szCs w:val="28"/>
          <w:lang w:val="uk-UA"/>
        </w:rPr>
        <w:t>зменшенні жорсткості артерії</w:t>
      </w:r>
      <w:r w:rsidR="00502605">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покращенні функції ендотелію, особливо </w:t>
      </w:r>
      <w:r w:rsidR="00502605">
        <w:rPr>
          <w:rFonts w:ascii="Times New Roman" w:hAnsi="Times New Roman" w:cs="Times New Roman"/>
          <w:sz w:val="28"/>
          <w:szCs w:val="28"/>
          <w:lang w:val="uk-UA"/>
        </w:rPr>
        <w:t>за наявності АГ та коморбідного ЦД, порушення</w:t>
      </w:r>
      <w:r>
        <w:rPr>
          <w:rFonts w:ascii="Times New Roman" w:hAnsi="Times New Roman" w:cs="Times New Roman"/>
          <w:sz w:val="28"/>
          <w:szCs w:val="28"/>
          <w:lang w:val="uk-UA"/>
        </w:rPr>
        <w:t xml:space="preserve"> функції нирок. </w:t>
      </w:r>
      <w:r w:rsidRPr="00EC0C2A">
        <w:rPr>
          <w:rFonts w:ascii="Times New Roman" w:hAnsi="Times New Roman" w:cs="Times New Roman"/>
          <w:sz w:val="28"/>
          <w:szCs w:val="28"/>
          <w:lang w:val="uk-UA"/>
        </w:rPr>
        <w:t>Б</w:t>
      </w:r>
      <w:r w:rsidR="005A0D0C">
        <w:rPr>
          <w:rFonts w:ascii="Times New Roman" w:hAnsi="Times New Roman" w:cs="Times New Roman"/>
          <w:sz w:val="28"/>
          <w:szCs w:val="28"/>
          <w:lang w:val="uk-UA"/>
        </w:rPr>
        <w:t xml:space="preserve">локатори рецепторів до ангіотензину </w:t>
      </w:r>
      <w:r>
        <w:rPr>
          <w:rFonts w:ascii="Times New Roman" w:hAnsi="Times New Roman" w:cs="Times New Roman"/>
          <w:sz w:val="28"/>
          <w:szCs w:val="28"/>
          <w:lang w:val="uk-UA"/>
        </w:rPr>
        <w:t>рекомендовані для застосування</w:t>
      </w:r>
      <w:r w:rsidRPr="006521F5">
        <w:rPr>
          <w:rFonts w:ascii="Times New Roman" w:hAnsi="Times New Roman" w:cs="Times New Roman"/>
          <w:sz w:val="28"/>
          <w:szCs w:val="28"/>
          <w:lang w:val="uk-UA"/>
        </w:rPr>
        <w:t xml:space="preserve"> хворим, які перенесли гостре порушення мозкового кро</w:t>
      </w:r>
      <w:r>
        <w:rPr>
          <w:rFonts w:ascii="Times New Roman" w:hAnsi="Times New Roman" w:cs="Times New Roman"/>
          <w:sz w:val="28"/>
          <w:szCs w:val="28"/>
          <w:lang w:val="uk-UA"/>
        </w:rPr>
        <w:t>вообігу (ГПМК), зважаючи на їх</w:t>
      </w:r>
      <w:r w:rsidRPr="006521F5">
        <w:rPr>
          <w:rFonts w:ascii="Times New Roman" w:hAnsi="Times New Roman" w:cs="Times New Roman"/>
          <w:sz w:val="28"/>
          <w:szCs w:val="28"/>
          <w:lang w:val="uk-UA"/>
        </w:rPr>
        <w:t xml:space="preserve"> нейропротекторну дію </w:t>
      </w:r>
      <w:r>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116</w:t>
      </w:r>
      <w:r w:rsidRPr="00CA04D8">
        <w:rPr>
          <w:rFonts w:ascii="Times New Roman" w:hAnsi="Times New Roman" w:cs="Times New Roman"/>
          <w:sz w:val="28"/>
          <w:szCs w:val="28"/>
          <w:lang w:val="uk-UA"/>
        </w:rPr>
        <w:t>]</w:t>
      </w:r>
      <w:r w:rsidRPr="006521F5">
        <w:rPr>
          <w:rFonts w:ascii="Times New Roman" w:hAnsi="Times New Roman" w:cs="Times New Roman"/>
          <w:sz w:val="28"/>
          <w:szCs w:val="28"/>
          <w:lang w:val="uk-UA"/>
        </w:rPr>
        <w:t>.</w:t>
      </w:r>
    </w:p>
    <w:p w:rsidR="0087443D" w:rsidRPr="00EC0C2A" w:rsidRDefault="0087443D" w:rsidP="0087443D">
      <w:pPr>
        <w:tabs>
          <w:tab w:val="left" w:pos="709"/>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дослідженні </w:t>
      </w:r>
      <w:r>
        <w:rPr>
          <w:rFonts w:ascii="Times New Roman" w:hAnsi="Times New Roman" w:cs="Times New Roman"/>
          <w:sz w:val="28"/>
          <w:szCs w:val="28"/>
          <w:lang w:val="en-US"/>
        </w:rPr>
        <w:t>DETAIL</w:t>
      </w:r>
      <w:r w:rsidRPr="00665F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доведено, що телмісартан здатний чинити дозо- залежну нефропротекторну дію і знижувати прогресування нефропатії </w:t>
      </w:r>
      <w:r w:rsidR="00E91132" w:rsidRPr="00E911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пацієнтів </w:t>
      </w:r>
      <w:r w:rsidR="00723A65">
        <w:rPr>
          <w:rFonts w:ascii="Times New Roman" w:hAnsi="Times New Roman" w:cs="Times New Roman"/>
          <w:sz w:val="28"/>
          <w:szCs w:val="28"/>
          <w:lang w:val="uk-UA"/>
        </w:rPr>
        <w:t>і</w:t>
      </w:r>
      <w:r>
        <w:rPr>
          <w:rFonts w:ascii="Times New Roman" w:hAnsi="Times New Roman" w:cs="Times New Roman"/>
          <w:sz w:val="28"/>
          <w:szCs w:val="28"/>
          <w:lang w:val="uk-UA"/>
        </w:rPr>
        <w:t xml:space="preserve">з АГ та ЦД 2-го типу </w:t>
      </w:r>
      <w:r w:rsidRPr="00EC0C2A">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117</w:t>
      </w:r>
      <w:r w:rsidRPr="00EC0C2A">
        <w:rPr>
          <w:rFonts w:ascii="Times New Roman" w:hAnsi="Times New Roman" w:cs="Times New Roman"/>
          <w:sz w:val="28"/>
          <w:szCs w:val="28"/>
          <w:lang w:val="uk-UA"/>
        </w:rPr>
        <w:t>].</w:t>
      </w:r>
    </w:p>
    <w:p w:rsidR="0087443D" w:rsidRPr="00CC10E6" w:rsidRDefault="0087443D" w:rsidP="0087443D">
      <w:pPr>
        <w:autoSpaceDE w:val="0"/>
        <w:autoSpaceDN w:val="0"/>
        <w:adjustRightInd w:val="0"/>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C10E6">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 xml:space="preserve">Телмісартан є помірним агоністом </w:t>
      </w:r>
      <w:r w:rsidRPr="004C6E03">
        <w:rPr>
          <w:rFonts w:ascii="Times New Roman" w:hAnsi="Times New Roman" w:cs="Times New Roman"/>
          <w:sz w:val="28"/>
          <w:szCs w:val="28"/>
          <w:lang w:val="uk-UA"/>
        </w:rPr>
        <w:t>гамма-р</w:t>
      </w:r>
      <w:r>
        <w:rPr>
          <w:rFonts w:ascii="Times New Roman" w:hAnsi="Times New Roman" w:cs="Times New Roman"/>
          <w:sz w:val="28"/>
          <w:szCs w:val="28"/>
          <w:lang w:val="uk-UA"/>
        </w:rPr>
        <w:t>ецепторів, що активують</w:t>
      </w:r>
      <w:r w:rsidRPr="004C6E03">
        <w:rPr>
          <w:rFonts w:ascii="Times New Roman" w:hAnsi="Times New Roman" w:cs="Times New Roman"/>
          <w:sz w:val="28"/>
          <w:szCs w:val="28"/>
          <w:lang w:val="uk-UA"/>
        </w:rPr>
        <w:t xml:space="preserve"> проліферацію пероксисом </w:t>
      </w:r>
      <w:r>
        <w:rPr>
          <w:rFonts w:ascii="Times New Roman" w:hAnsi="Times New Roman" w:cs="Times New Roman"/>
          <w:sz w:val="28"/>
          <w:szCs w:val="28"/>
          <w:lang w:val="uk-UA"/>
        </w:rPr>
        <w:t>(</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Pr>
          <w:rFonts w:ascii="Times New Roman" w:hAnsi="Times New Roman" w:cs="Times New Roman"/>
          <w:sz w:val="28"/>
          <w:szCs w:val="28"/>
          <w:lang w:val="uk-UA"/>
        </w:rPr>
        <w:t>). Цей препарат класу БРА</w:t>
      </w:r>
      <w:r w:rsidRPr="00A03291">
        <w:rPr>
          <w:rFonts w:ascii="Times New Roman" w:hAnsi="Times New Roman" w:cs="Times New Roman"/>
          <w:sz w:val="28"/>
          <w:szCs w:val="28"/>
          <w:lang w:val="uk-UA"/>
        </w:rPr>
        <w:t xml:space="preserve"> має низку переваг перед класичними агоністами </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sidRPr="00A03291">
        <w:rPr>
          <w:rFonts w:ascii="Times New Roman" w:hAnsi="Times New Roman" w:cs="Times New Roman"/>
          <w:sz w:val="28"/>
          <w:szCs w:val="28"/>
          <w:lang w:val="uk-UA"/>
        </w:rPr>
        <w:t xml:space="preserve"> – глітазонами: не сприяє затримці</w:t>
      </w:r>
      <w:r>
        <w:rPr>
          <w:rFonts w:ascii="Times New Roman" w:hAnsi="Times New Roman" w:cs="Times New Roman"/>
          <w:sz w:val="28"/>
          <w:szCs w:val="28"/>
          <w:lang w:val="uk-UA"/>
        </w:rPr>
        <w:t xml:space="preserve"> рідини, не провокує периферичних набряків</w:t>
      </w:r>
      <w:r w:rsidRPr="00A03291">
        <w:rPr>
          <w:rFonts w:ascii="Times New Roman" w:hAnsi="Times New Roman" w:cs="Times New Roman"/>
          <w:sz w:val="28"/>
          <w:szCs w:val="28"/>
          <w:lang w:val="uk-UA"/>
        </w:rPr>
        <w:t>, не призводи</w:t>
      </w:r>
      <w:r>
        <w:rPr>
          <w:rFonts w:ascii="Times New Roman" w:hAnsi="Times New Roman" w:cs="Times New Roman"/>
          <w:sz w:val="28"/>
          <w:szCs w:val="28"/>
          <w:lang w:val="uk-UA"/>
        </w:rPr>
        <w:t xml:space="preserve">ть </w:t>
      </w:r>
      <w:r w:rsidR="00E91132" w:rsidRPr="00E91132">
        <w:rPr>
          <w:rFonts w:ascii="Times New Roman" w:hAnsi="Times New Roman" w:cs="Times New Roman"/>
          <w:sz w:val="28"/>
          <w:szCs w:val="28"/>
        </w:rPr>
        <w:t xml:space="preserve">            </w:t>
      </w:r>
      <w:r>
        <w:rPr>
          <w:rFonts w:ascii="Times New Roman" w:hAnsi="Times New Roman" w:cs="Times New Roman"/>
          <w:sz w:val="28"/>
          <w:szCs w:val="28"/>
          <w:lang w:val="uk-UA"/>
        </w:rPr>
        <w:t xml:space="preserve">до прогресування СН </w:t>
      </w:r>
      <w:r w:rsidRPr="00231880">
        <w:rPr>
          <w:rFonts w:ascii="Times New Roman" w:hAnsi="Times New Roman" w:cs="Times New Roman"/>
          <w:sz w:val="28"/>
          <w:szCs w:val="28"/>
          <w:lang w:val="uk-UA"/>
        </w:rPr>
        <w:t>[</w:t>
      </w:r>
      <w:r w:rsidR="008F15A1" w:rsidRPr="00CA04D8">
        <w:rPr>
          <w:rFonts w:ascii="Times New Roman" w:hAnsi="Times New Roman" w:cs="Times New Roman"/>
          <w:sz w:val="28"/>
          <w:szCs w:val="28"/>
        </w:rPr>
        <w:t>118</w:t>
      </w:r>
      <w:r w:rsidRPr="00231880">
        <w:rPr>
          <w:rFonts w:ascii="Times New Roman" w:hAnsi="Times New Roman" w:cs="Times New Roman"/>
          <w:sz w:val="28"/>
          <w:szCs w:val="28"/>
          <w:lang w:val="uk-UA"/>
        </w:rPr>
        <w:t>].</w:t>
      </w:r>
      <w:r w:rsidRPr="00892DF4">
        <w:rPr>
          <w:rFonts w:ascii="Times New Roman" w:hAnsi="Times New Roman" w:cs="Times New Roman"/>
          <w:sz w:val="28"/>
          <w:szCs w:val="28"/>
          <w:lang w:val="uk-UA"/>
        </w:rPr>
        <w:t xml:space="preserve"> </w:t>
      </w:r>
    </w:p>
    <w:p w:rsidR="0087443D" w:rsidRPr="00326AD1" w:rsidRDefault="0087443D" w:rsidP="0087443D">
      <w:pPr>
        <w:autoSpaceDE w:val="0"/>
        <w:autoSpaceDN w:val="0"/>
        <w:adjustRightInd w:val="0"/>
        <w:spacing w:after="0" w:line="360" w:lineRule="auto"/>
        <w:ind w:firstLine="360"/>
        <w:jc w:val="both"/>
        <w:rPr>
          <w:rFonts w:ascii="Times New Roman" w:hAnsi="Times New Roman" w:cs="Times New Roman"/>
          <w:sz w:val="28"/>
          <w:szCs w:val="28"/>
          <w:highlight w:val="green"/>
          <w:lang w:val="uk-UA"/>
        </w:rPr>
      </w:pPr>
      <w:r w:rsidRPr="00CC10E6">
        <w:rPr>
          <w:rFonts w:ascii="Times New Roman" w:hAnsi="Times New Roman" w:cs="Times New Roman"/>
          <w:sz w:val="28"/>
          <w:szCs w:val="28"/>
          <w:lang w:val="uk-UA"/>
        </w:rPr>
        <w:t xml:space="preserve">    </w:t>
      </w:r>
      <w:r w:rsidR="00953D47">
        <w:rPr>
          <w:rFonts w:ascii="Times New Roman" w:hAnsi="Times New Roman" w:cs="Times New Roman"/>
          <w:sz w:val="28"/>
          <w:szCs w:val="28"/>
          <w:lang w:val="uk-UA"/>
        </w:rPr>
        <w:t xml:space="preserve">Зазначені рецептори </w:t>
      </w:r>
      <w:r w:rsidR="00B20A0E" w:rsidRPr="00B20A0E">
        <w:rPr>
          <w:rFonts w:ascii="Times New Roman" w:hAnsi="Times New Roman" w:cs="Times New Roman"/>
          <w:sz w:val="28"/>
          <w:szCs w:val="28"/>
          <w:lang w:val="uk-UA"/>
        </w:rPr>
        <w:t>розміщені в клітинах жирової тканини, підшлункової</w:t>
      </w:r>
      <w:r w:rsidR="00B20A0E">
        <w:rPr>
          <w:rFonts w:ascii="Times New Roman" w:hAnsi="Times New Roman" w:cs="Times New Roman"/>
          <w:sz w:val="28"/>
          <w:szCs w:val="28"/>
          <w:lang w:val="uk-UA"/>
        </w:rPr>
        <w:t xml:space="preserve"> залози, ендотелію, </w:t>
      </w:r>
      <w:r w:rsidR="00B20A0E" w:rsidRPr="00B20A0E">
        <w:rPr>
          <w:rFonts w:ascii="Times New Roman" w:hAnsi="Times New Roman" w:cs="Times New Roman"/>
          <w:sz w:val="28"/>
          <w:szCs w:val="28"/>
          <w:lang w:val="uk-UA"/>
        </w:rPr>
        <w:t>макрофагах</w:t>
      </w:r>
      <w:r>
        <w:rPr>
          <w:rFonts w:ascii="Times New Roman" w:hAnsi="Times New Roman" w:cs="Times New Roman"/>
          <w:sz w:val="28"/>
          <w:szCs w:val="28"/>
          <w:lang w:val="uk-UA"/>
        </w:rPr>
        <w:t xml:space="preserve"> </w:t>
      </w:r>
      <w:r w:rsidR="00B20A0E">
        <w:rPr>
          <w:rFonts w:ascii="Times New Roman" w:hAnsi="Times New Roman" w:cs="Times New Roman"/>
          <w:sz w:val="28"/>
          <w:szCs w:val="28"/>
          <w:lang w:val="uk-UA"/>
        </w:rPr>
        <w:t xml:space="preserve">та </w:t>
      </w:r>
      <w:r>
        <w:rPr>
          <w:rFonts w:ascii="Times New Roman" w:hAnsi="Times New Roman" w:cs="Times New Roman"/>
          <w:sz w:val="28"/>
          <w:szCs w:val="28"/>
          <w:lang w:val="uk-UA"/>
        </w:rPr>
        <w:t>акт</w:t>
      </w:r>
      <w:r w:rsidR="00953D47">
        <w:rPr>
          <w:rFonts w:ascii="Times New Roman" w:hAnsi="Times New Roman" w:cs="Times New Roman"/>
          <w:sz w:val="28"/>
          <w:szCs w:val="28"/>
          <w:lang w:val="uk-UA"/>
        </w:rPr>
        <w:t xml:space="preserve">ивують проліферацію пероксисом, </w:t>
      </w:r>
      <w:r>
        <w:rPr>
          <w:rFonts w:ascii="Times New Roman" w:hAnsi="Times New Roman" w:cs="Times New Roman"/>
          <w:sz w:val="28"/>
          <w:szCs w:val="28"/>
          <w:lang w:val="uk-UA"/>
        </w:rPr>
        <w:t>за допомогою яких клітина позб</w:t>
      </w:r>
      <w:r w:rsidR="00B20A0E">
        <w:rPr>
          <w:rFonts w:ascii="Times New Roman" w:hAnsi="Times New Roman" w:cs="Times New Roman"/>
          <w:sz w:val="28"/>
          <w:szCs w:val="28"/>
          <w:lang w:val="uk-UA"/>
        </w:rPr>
        <w:t>авляється від токсичних речовин.</w:t>
      </w:r>
      <w:r>
        <w:rPr>
          <w:rFonts w:ascii="Times New Roman" w:hAnsi="Times New Roman" w:cs="Times New Roman"/>
          <w:sz w:val="28"/>
          <w:szCs w:val="28"/>
          <w:lang w:val="uk-UA"/>
        </w:rPr>
        <w:t xml:space="preserve"> Їх ефективність обумовлена нормалізацією ліпідного обм</w:t>
      </w:r>
      <w:r w:rsidR="00777CAA">
        <w:rPr>
          <w:rFonts w:ascii="Times New Roman" w:hAnsi="Times New Roman" w:cs="Times New Roman"/>
          <w:sz w:val="28"/>
          <w:szCs w:val="28"/>
          <w:lang w:val="uk-UA"/>
        </w:rPr>
        <w:t xml:space="preserve">іну </w:t>
      </w:r>
      <w:r w:rsidR="005A0D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жировій тканині </w:t>
      </w:r>
      <w:r w:rsidR="00B20A0E">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покращанням ліпідного та вуглеводного обмінів </w:t>
      </w:r>
      <w:r w:rsidR="005A0D0C">
        <w:rPr>
          <w:rFonts w:ascii="Times New Roman" w:hAnsi="Times New Roman" w:cs="Times New Roman"/>
          <w:sz w:val="28"/>
          <w:szCs w:val="28"/>
          <w:lang w:val="uk-UA"/>
        </w:rPr>
        <w:t xml:space="preserve">               </w:t>
      </w:r>
      <w:r>
        <w:rPr>
          <w:rFonts w:ascii="Times New Roman" w:hAnsi="Times New Roman" w:cs="Times New Roman"/>
          <w:sz w:val="28"/>
          <w:szCs w:val="28"/>
          <w:lang w:val="uk-UA"/>
        </w:rPr>
        <w:t>у ске</w:t>
      </w:r>
      <w:r w:rsidR="007D5192">
        <w:rPr>
          <w:rFonts w:ascii="Times New Roman" w:hAnsi="Times New Roman" w:cs="Times New Roman"/>
          <w:sz w:val="28"/>
          <w:szCs w:val="28"/>
          <w:lang w:val="uk-UA"/>
        </w:rPr>
        <w:t>летних мʼязах і печінці. А</w:t>
      </w:r>
      <w:r>
        <w:rPr>
          <w:rFonts w:ascii="Times New Roman" w:hAnsi="Times New Roman" w:cs="Times New Roman"/>
          <w:sz w:val="28"/>
          <w:szCs w:val="28"/>
          <w:lang w:val="uk-UA"/>
        </w:rPr>
        <w:t>ктивація</w:t>
      </w:r>
      <w:r w:rsidRPr="0036738F">
        <w:rPr>
          <w:rFonts w:ascii="Times New Roman" w:hAnsi="Times New Roman" w:cs="Times New Roman"/>
          <w:sz w:val="28"/>
          <w:szCs w:val="28"/>
          <w:lang w:val="uk-UA"/>
        </w:rPr>
        <w:t xml:space="preserve"> </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Pr>
          <w:rFonts w:ascii="Times New Roman" w:hAnsi="Times New Roman" w:cs="Times New Roman"/>
          <w:sz w:val="28"/>
          <w:szCs w:val="28"/>
          <w:lang w:val="uk-UA"/>
        </w:rPr>
        <w:t xml:space="preserve"> збільшує надходження глюкози до клітин печінки та скелетних </w:t>
      </w:r>
      <w:r w:rsidR="007D5192">
        <w:rPr>
          <w:rFonts w:ascii="Times New Roman" w:hAnsi="Times New Roman" w:cs="Times New Roman"/>
          <w:sz w:val="28"/>
          <w:szCs w:val="28"/>
          <w:lang w:val="uk-UA"/>
        </w:rPr>
        <w:t>мʼязів, зменшуючи її вміст</w:t>
      </w:r>
      <w:r>
        <w:rPr>
          <w:rFonts w:ascii="Times New Roman" w:hAnsi="Times New Roman" w:cs="Times New Roman"/>
          <w:sz w:val="28"/>
          <w:szCs w:val="28"/>
          <w:lang w:val="uk-UA"/>
        </w:rPr>
        <w:t xml:space="preserve"> в крові. Основне місце дії </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Pr>
          <w:rFonts w:ascii="Times New Roman" w:hAnsi="Times New Roman" w:cs="Times New Roman"/>
          <w:sz w:val="28"/>
          <w:szCs w:val="28"/>
          <w:lang w:val="uk-UA"/>
        </w:rPr>
        <w:t xml:space="preserve"> – жирова тканина і макрофаги, </w:t>
      </w:r>
      <w:r w:rsidR="007D5192">
        <w:rPr>
          <w:rFonts w:ascii="Times New Roman" w:hAnsi="Times New Roman" w:cs="Times New Roman"/>
          <w:sz w:val="28"/>
          <w:szCs w:val="28"/>
          <w:lang w:val="uk-UA"/>
        </w:rPr>
        <w:t>фізіологічна роль −</w:t>
      </w:r>
      <w:r>
        <w:rPr>
          <w:rFonts w:ascii="Times New Roman" w:hAnsi="Times New Roman" w:cs="Times New Roman"/>
          <w:sz w:val="28"/>
          <w:szCs w:val="28"/>
          <w:lang w:val="uk-UA"/>
        </w:rPr>
        <w:t xml:space="preserve"> контроль за адипогенезом та метаболізмом</w:t>
      </w:r>
      <w:r w:rsidR="000248B9">
        <w:rPr>
          <w:rFonts w:ascii="Times New Roman" w:hAnsi="Times New Roman" w:cs="Times New Roman"/>
          <w:sz w:val="28"/>
          <w:szCs w:val="28"/>
          <w:lang w:val="uk-UA"/>
        </w:rPr>
        <w:t xml:space="preserve"> жирних кислот</w:t>
      </w:r>
      <w:r>
        <w:rPr>
          <w:rFonts w:ascii="Times New Roman" w:hAnsi="Times New Roman" w:cs="Times New Roman"/>
          <w:sz w:val="28"/>
          <w:szCs w:val="28"/>
          <w:lang w:val="uk-UA"/>
        </w:rPr>
        <w:t xml:space="preserve">. </w:t>
      </w:r>
      <w:r w:rsidR="00920A88">
        <w:rPr>
          <w:rFonts w:ascii="Times New Roman" w:hAnsi="Times New Roman" w:cs="Times New Roman"/>
          <w:sz w:val="28"/>
          <w:szCs w:val="28"/>
          <w:lang w:val="uk-UA"/>
        </w:rPr>
        <w:t xml:space="preserve">Ці </w:t>
      </w:r>
      <w:r>
        <w:rPr>
          <w:rFonts w:ascii="Times New Roman" w:hAnsi="Times New Roman" w:cs="Times New Roman"/>
          <w:sz w:val="28"/>
          <w:szCs w:val="28"/>
          <w:lang w:val="uk-UA"/>
        </w:rPr>
        <w:t>рецептори стимулюють утворення нових адипозоцитів</w:t>
      </w:r>
      <w:r w:rsidR="00920A88">
        <w:rPr>
          <w:rFonts w:ascii="Times New Roman" w:hAnsi="Times New Roman" w:cs="Times New Roman"/>
          <w:sz w:val="28"/>
          <w:szCs w:val="28"/>
          <w:lang w:val="uk-UA"/>
        </w:rPr>
        <w:t>, сприяючи</w:t>
      </w:r>
      <w:r>
        <w:rPr>
          <w:rFonts w:ascii="Times New Roman" w:hAnsi="Times New Roman" w:cs="Times New Roman"/>
          <w:sz w:val="28"/>
          <w:szCs w:val="28"/>
          <w:lang w:val="uk-UA"/>
        </w:rPr>
        <w:t xml:space="preserve"> </w:t>
      </w:r>
      <w:r w:rsidR="00920A88">
        <w:rPr>
          <w:rFonts w:ascii="Times New Roman" w:hAnsi="Times New Roman" w:cs="Times New Roman"/>
          <w:sz w:val="28"/>
          <w:szCs w:val="28"/>
          <w:lang w:val="uk-UA"/>
        </w:rPr>
        <w:t>їх надходженню</w:t>
      </w:r>
      <w:r>
        <w:rPr>
          <w:rFonts w:ascii="Times New Roman" w:hAnsi="Times New Roman" w:cs="Times New Roman"/>
          <w:sz w:val="28"/>
          <w:szCs w:val="28"/>
          <w:lang w:val="uk-UA"/>
        </w:rPr>
        <w:t xml:space="preserve"> </w:t>
      </w:r>
      <w:r w:rsidR="00F324ED">
        <w:rPr>
          <w:rFonts w:ascii="Times New Roman" w:hAnsi="Times New Roman" w:cs="Times New Roman"/>
          <w:sz w:val="28"/>
          <w:szCs w:val="28"/>
          <w:lang w:val="uk-UA"/>
        </w:rPr>
        <w:t xml:space="preserve">       </w:t>
      </w:r>
      <w:r>
        <w:rPr>
          <w:rFonts w:ascii="Times New Roman" w:hAnsi="Times New Roman" w:cs="Times New Roman"/>
          <w:sz w:val="28"/>
          <w:szCs w:val="28"/>
          <w:lang w:val="uk-UA"/>
        </w:rPr>
        <w:t>до жирової</w:t>
      </w:r>
      <w:r w:rsidR="00920A88">
        <w:rPr>
          <w:rFonts w:ascii="Times New Roman" w:hAnsi="Times New Roman" w:cs="Times New Roman"/>
          <w:sz w:val="28"/>
          <w:szCs w:val="28"/>
          <w:lang w:val="uk-UA"/>
        </w:rPr>
        <w:t xml:space="preserve"> тканини, тим самим знижуючи вміст у мʼязовій</w:t>
      </w:r>
      <w:r>
        <w:rPr>
          <w:rFonts w:ascii="Times New Roman" w:hAnsi="Times New Roman" w:cs="Times New Roman"/>
          <w:sz w:val="28"/>
          <w:szCs w:val="28"/>
          <w:lang w:val="uk-UA"/>
        </w:rPr>
        <w:t xml:space="preserve">, зменшуючи ліпотоксичність та відновлюючи чутливість до інсуліну </w:t>
      </w:r>
      <w:r w:rsidRPr="00564C85">
        <w:rPr>
          <w:rFonts w:ascii="Times New Roman" w:hAnsi="Times New Roman" w:cs="Times New Roman"/>
          <w:sz w:val="28"/>
          <w:szCs w:val="28"/>
          <w:lang w:val="uk-UA"/>
        </w:rPr>
        <w:t>[</w:t>
      </w:r>
      <w:r w:rsidR="008F15A1" w:rsidRPr="00CA04D8">
        <w:rPr>
          <w:rFonts w:ascii="Times New Roman" w:hAnsi="Times New Roman" w:cs="Times New Roman"/>
          <w:sz w:val="28"/>
          <w:szCs w:val="28"/>
          <w:lang w:val="uk-UA"/>
        </w:rPr>
        <w:t>119</w:t>
      </w:r>
      <w:r w:rsidRPr="00CA04D8">
        <w:rPr>
          <w:rFonts w:ascii="Times New Roman" w:hAnsi="Times New Roman" w:cs="Times New Roman"/>
          <w:sz w:val="28"/>
          <w:szCs w:val="28"/>
          <w:lang w:val="uk-UA"/>
        </w:rPr>
        <w:t>]</w:t>
      </w:r>
      <w:r w:rsidRPr="00326AD1">
        <w:rPr>
          <w:rFonts w:ascii="Times New Roman" w:hAnsi="Times New Roman" w:cs="Times New Roman"/>
          <w:sz w:val="28"/>
          <w:szCs w:val="28"/>
          <w:lang w:val="uk-UA"/>
        </w:rPr>
        <w:t>.</w:t>
      </w:r>
    </w:p>
    <w:p w:rsidR="0087443D" w:rsidRPr="0048611B" w:rsidRDefault="0087443D" w:rsidP="0087443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lastRenderedPageBreak/>
        <w:t>Дослідниками доведено, що застосування телмісартану дозою 20−40−80 мг</w:t>
      </w:r>
      <w:r w:rsidR="00F324ED">
        <w:rPr>
          <w:rFonts w:ascii="Times New Roman" w:hAnsi="Times New Roman" w:cs="Times New Roman"/>
          <w:sz w:val="28"/>
          <w:szCs w:val="28"/>
          <w:lang w:val="uk-UA"/>
        </w:rPr>
        <w:t>/добу</w:t>
      </w:r>
      <w:r w:rsidR="00920A88" w:rsidRPr="00920A88">
        <w:t xml:space="preserve"> </w:t>
      </w:r>
      <w:r w:rsidR="00920A88" w:rsidRPr="00920A88">
        <w:rPr>
          <w:rFonts w:ascii="Times New Roman" w:hAnsi="Times New Roman" w:cs="Times New Roman"/>
          <w:sz w:val="28"/>
          <w:szCs w:val="28"/>
          <w:lang w:val="uk-UA"/>
        </w:rPr>
        <w:t>приводить до зниження альбумінурії на 14 %</w:t>
      </w:r>
      <w:r>
        <w:rPr>
          <w:rFonts w:ascii="Times New Roman" w:hAnsi="Times New Roman" w:cs="Times New Roman"/>
          <w:sz w:val="28"/>
          <w:szCs w:val="28"/>
          <w:lang w:val="uk-UA"/>
        </w:rPr>
        <w:t xml:space="preserve"> упродовж шести тижнів у пацієнтів </w:t>
      </w:r>
      <w:r w:rsidR="00920A88">
        <w:rPr>
          <w:rFonts w:ascii="Times New Roman" w:hAnsi="Times New Roman" w:cs="Times New Roman"/>
          <w:sz w:val="28"/>
          <w:szCs w:val="28"/>
          <w:lang w:val="uk-UA"/>
        </w:rPr>
        <w:t>і</w:t>
      </w:r>
      <w:r>
        <w:rPr>
          <w:rFonts w:ascii="Times New Roman" w:hAnsi="Times New Roman" w:cs="Times New Roman"/>
          <w:sz w:val="28"/>
          <w:szCs w:val="28"/>
          <w:lang w:val="uk-UA"/>
        </w:rPr>
        <w:t xml:space="preserve">з АГ </w:t>
      </w:r>
      <w:r w:rsidRPr="00F71774">
        <w:rPr>
          <w:rFonts w:ascii="Times New Roman" w:hAnsi="Times New Roman" w:cs="Times New Roman"/>
          <w:sz w:val="28"/>
          <w:szCs w:val="28"/>
          <w:lang w:val="uk-UA"/>
        </w:rPr>
        <w:t>[</w:t>
      </w:r>
      <w:r w:rsidR="008F15A1" w:rsidRPr="00CA04D8">
        <w:rPr>
          <w:rFonts w:ascii="Times New Roman" w:hAnsi="Times New Roman" w:cs="Times New Roman"/>
          <w:sz w:val="28"/>
          <w:szCs w:val="28"/>
        </w:rPr>
        <w:t>120</w:t>
      </w:r>
      <w:r w:rsidRPr="0070346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87443D" w:rsidRPr="00F724D1" w:rsidRDefault="0087443D" w:rsidP="0087443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20A88">
        <w:rPr>
          <w:rFonts w:ascii="Times New Roman" w:hAnsi="Times New Roman" w:cs="Times New Roman"/>
          <w:sz w:val="28"/>
          <w:szCs w:val="28"/>
          <w:lang w:val="uk-UA"/>
        </w:rPr>
        <w:t>ниження вмісту</w:t>
      </w:r>
      <w:r w:rsidRPr="00E822E7">
        <w:rPr>
          <w:rFonts w:ascii="Times New Roman" w:hAnsi="Times New Roman" w:cs="Times New Roman"/>
          <w:sz w:val="28"/>
          <w:szCs w:val="28"/>
          <w:lang w:val="uk-UA"/>
        </w:rPr>
        <w:t xml:space="preserve"> ЕТ-1 спостерігалося у сироватці крові </w:t>
      </w:r>
      <w:r>
        <w:rPr>
          <w:rFonts w:ascii="Times New Roman" w:hAnsi="Times New Roman" w:cs="Times New Roman"/>
          <w:sz w:val="28"/>
          <w:szCs w:val="28"/>
          <w:lang w:val="uk-UA"/>
        </w:rPr>
        <w:t>хворих на</w:t>
      </w:r>
      <w:r w:rsidRPr="00E822E7">
        <w:rPr>
          <w:rFonts w:ascii="Times New Roman" w:hAnsi="Times New Roman" w:cs="Times New Roman"/>
          <w:sz w:val="28"/>
          <w:szCs w:val="28"/>
          <w:lang w:val="uk-UA"/>
        </w:rPr>
        <w:t xml:space="preserve"> АГ та ЦД 2-го типу </w:t>
      </w:r>
      <w:r>
        <w:rPr>
          <w:rFonts w:ascii="Times New Roman" w:hAnsi="Times New Roman" w:cs="Times New Roman"/>
          <w:sz w:val="28"/>
          <w:szCs w:val="28"/>
          <w:lang w:val="uk-UA"/>
        </w:rPr>
        <w:t xml:space="preserve">на фоні приймання 80 мг/добу телмісартану впродовж трьох місяців </w:t>
      </w:r>
      <w:r w:rsidRPr="00F71774">
        <w:rPr>
          <w:rFonts w:ascii="Times New Roman" w:hAnsi="Times New Roman" w:cs="Times New Roman"/>
          <w:sz w:val="28"/>
          <w:szCs w:val="28"/>
          <w:lang w:val="uk-UA"/>
        </w:rPr>
        <w:t>[</w:t>
      </w:r>
      <w:r w:rsidR="008F15A1" w:rsidRPr="00CA04D8">
        <w:rPr>
          <w:rFonts w:ascii="Times New Roman" w:hAnsi="Times New Roman" w:cs="Times New Roman"/>
          <w:sz w:val="28"/>
          <w:szCs w:val="28"/>
        </w:rPr>
        <w:t>121</w:t>
      </w:r>
      <w:r w:rsidRPr="00CA04D8">
        <w:rPr>
          <w:rFonts w:ascii="Times New Roman" w:hAnsi="Times New Roman" w:cs="Times New Roman"/>
          <w:sz w:val="28"/>
          <w:szCs w:val="28"/>
          <w:lang w:val="uk-UA"/>
        </w:rPr>
        <w:t>]</w:t>
      </w:r>
      <w:r w:rsidRPr="00703466">
        <w:rPr>
          <w:rFonts w:ascii="Times New Roman" w:hAnsi="Times New Roman" w:cs="Times New Roman"/>
          <w:sz w:val="28"/>
          <w:szCs w:val="28"/>
          <w:lang w:val="uk-UA"/>
        </w:rPr>
        <w:t>.</w:t>
      </w:r>
      <w:r w:rsidRPr="00E728B4">
        <w:rPr>
          <w:rFonts w:ascii="Times New Roman" w:hAnsi="Times New Roman" w:cs="Times New Roman"/>
          <w:sz w:val="28"/>
          <w:szCs w:val="28"/>
          <w:lang w:val="uk-UA"/>
        </w:rPr>
        <w:t xml:space="preserve"> </w:t>
      </w:r>
    </w:p>
    <w:p w:rsidR="0087443D" w:rsidRPr="00A47186" w:rsidRDefault="0087443D" w:rsidP="0087443D">
      <w:pPr>
        <w:autoSpaceDE w:val="0"/>
        <w:autoSpaceDN w:val="0"/>
        <w:adjustRightInd w:val="0"/>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A0BC8">
        <w:rPr>
          <w:rFonts w:ascii="Times New Roman" w:hAnsi="Times New Roman" w:cs="Times New Roman"/>
          <w:sz w:val="28"/>
          <w:szCs w:val="28"/>
          <w:lang w:val="uk-UA"/>
        </w:rPr>
        <w:t>Таким чином</w:t>
      </w:r>
      <w:r>
        <w:rPr>
          <w:rFonts w:ascii="Times New Roman" w:hAnsi="Times New Roman" w:cs="Times New Roman"/>
          <w:sz w:val="28"/>
          <w:szCs w:val="28"/>
          <w:lang w:val="uk-UA"/>
        </w:rPr>
        <w:t xml:space="preserve">, </w:t>
      </w:r>
      <w:r w:rsidR="00920A88" w:rsidRPr="00920A88">
        <w:rPr>
          <w:rFonts w:ascii="Times New Roman" w:hAnsi="Times New Roman" w:cs="Times New Roman"/>
          <w:sz w:val="28"/>
          <w:szCs w:val="28"/>
          <w:lang w:val="uk-UA"/>
        </w:rPr>
        <w:t xml:space="preserve">телмісартан рекомендовано застосовувати </w:t>
      </w:r>
      <w:r w:rsidR="000052CE">
        <w:rPr>
          <w:rFonts w:ascii="Times New Roman" w:hAnsi="Times New Roman" w:cs="Times New Roman"/>
          <w:sz w:val="28"/>
          <w:szCs w:val="28"/>
          <w:lang w:val="uk-UA"/>
        </w:rPr>
        <w:t>пацієнтам</w:t>
      </w:r>
      <w:r>
        <w:rPr>
          <w:rFonts w:ascii="Times New Roman" w:hAnsi="Times New Roman" w:cs="Times New Roman"/>
          <w:sz w:val="28"/>
          <w:szCs w:val="28"/>
          <w:lang w:val="uk-UA"/>
        </w:rPr>
        <w:t xml:space="preserve"> </w:t>
      </w:r>
      <w:r w:rsidR="00FB4800">
        <w:rPr>
          <w:rFonts w:ascii="Times New Roman" w:hAnsi="Times New Roman" w:cs="Times New Roman"/>
          <w:sz w:val="28"/>
          <w:szCs w:val="28"/>
          <w:lang w:val="uk-UA"/>
        </w:rPr>
        <w:t xml:space="preserve">     </w:t>
      </w:r>
      <w:r>
        <w:rPr>
          <w:rFonts w:ascii="Times New Roman" w:hAnsi="Times New Roman" w:cs="Times New Roman"/>
          <w:sz w:val="28"/>
          <w:szCs w:val="28"/>
          <w:lang w:val="uk-UA"/>
        </w:rPr>
        <w:t>із АГ та ЦД 2-го типу. Цей антигіпертензивних препарат є</w:t>
      </w:r>
      <w:r w:rsidRPr="00A03291">
        <w:rPr>
          <w:rFonts w:ascii="Times New Roman" w:hAnsi="Times New Roman" w:cs="Times New Roman"/>
          <w:sz w:val="28"/>
          <w:szCs w:val="28"/>
          <w:lang w:val="uk-UA"/>
        </w:rPr>
        <w:t xml:space="preserve"> помірним агоністом </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Pr>
          <w:rFonts w:ascii="Times New Roman" w:hAnsi="Times New Roman" w:cs="Times New Roman"/>
          <w:sz w:val="28"/>
          <w:szCs w:val="28"/>
          <w:lang w:val="uk-UA"/>
        </w:rPr>
        <w:t xml:space="preserve"> і має низку плейотропних ефектів</w:t>
      </w:r>
      <w:r w:rsidR="00920A88">
        <w:rPr>
          <w:rFonts w:ascii="Times New Roman" w:hAnsi="Times New Roman" w:cs="Times New Roman"/>
          <w:sz w:val="28"/>
          <w:szCs w:val="28"/>
          <w:lang w:val="uk-UA"/>
        </w:rPr>
        <w:t>, асоційованих</w:t>
      </w:r>
      <w:r>
        <w:rPr>
          <w:rFonts w:ascii="Times New Roman" w:hAnsi="Times New Roman" w:cs="Times New Roman"/>
          <w:sz w:val="28"/>
          <w:szCs w:val="28"/>
          <w:lang w:val="uk-UA"/>
        </w:rPr>
        <w:t xml:space="preserve"> </w:t>
      </w:r>
      <w:r w:rsidR="00FB4800">
        <w:rPr>
          <w:rFonts w:ascii="Times New Roman" w:hAnsi="Times New Roman" w:cs="Times New Roman"/>
          <w:sz w:val="28"/>
          <w:szCs w:val="28"/>
          <w:lang w:val="uk-UA"/>
        </w:rPr>
        <w:t xml:space="preserve">                  </w:t>
      </w:r>
      <w:r w:rsidR="00920A88">
        <w:rPr>
          <w:rFonts w:ascii="Times New Roman" w:hAnsi="Times New Roman" w:cs="Times New Roman"/>
          <w:sz w:val="28"/>
          <w:szCs w:val="28"/>
          <w:lang w:val="uk-UA"/>
        </w:rPr>
        <w:t>і</w:t>
      </w:r>
      <w:r>
        <w:rPr>
          <w:rFonts w:ascii="Times New Roman" w:hAnsi="Times New Roman" w:cs="Times New Roman"/>
          <w:sz w:val="28"/>
          <w:szCs w:val="28"/>
          <w:lang w:val="uk-UA"/>
        </w:rPr>
        <w:t>з покращанням ЕД, відновленням резистентност</w:t>
      </w:r>
      <w:r w:rsidR="00920A88">
        <w:rPr>
          <w:rFonts w:ascii="Times New Roman" w:hAnsi="Times New Roman" w:cs="Times New Roman"/>
          <w:sz w:val="28"/>
          <w:szCs w:val="28"/>
          <w:lang w:val="uk-UA"/>
        </w:rPr>
        <w:t>і тканин до інсуліну, зниженням гл</w:t>
      </w:r>
      <w:r>
        <w:rPr>
          <w:rFonts w:ascii="Times New Roman" w:hAnsi="Times New Roman" w:cs="Times New Roman"/>
          <w:sz w:val="28"/>
          <w:szCs w:val="28"/>
          <w:lang w:val="uk-UA"/>
        </w:rPr>
        <w:t>і</w:t>
      </w:r>
      <w:r w:rsidR="00920A88">
        <w:rPr>
          <w:rFonts w:ascii="Times New Roman" w:hAnsi="Times New Roman" w:cs="Times New Roman"/>
          <w:sz w:val="28"/>
          <w:szCs w:val="28"/>
          <w:lang w:val="uk-UA"/>
        </w:rPr>
        <w:t>кемії</w:t>
      </w:r>
      <w:r>
        <w:rPr>
          <w:rFonts w:ascii="Times New Roman" w:hAnsi="Times New Roman" w:cs="Times New Roman"/>
          <w:sz w:val="28"/>
          <w:szCs w:val="28"/>
          <w:lang w:val="uk-UA"/>
        </w:rPr>
        <w:t xml:space="preserve">, гіполіпідемічною дією. Отже, телмісартан доцільний </w:t>
      </w:r>
      <w:r w:rsidR="000E3659">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застосування у пацієнтів із дисліпідемією, що є однією з ланок патоген</w:t>
      </w:r>
      <w:r w:rsidR="00A033EE">
        <w:rPr>
          <w:rFonts w:ascii="Times New Roman" w:hAnsi="Times New Roman" w:cs="Times New Roman"/>
          <w:sz w:val="28"/>
          <w:szCs w:val="28"/>
          <w:lang w:val="uk-UA"/>
        </w:rPr>
        <w:t xml:space="preserve">езу АГ та ЦД 2-го типу. </w:t>
      </w:r>
      <w:r>
        <w:rPr>
          <w:rFonts w:ascii="Times New Roman" w:hAnsi="Times New Roman" w:cs="Times New Roman"/>
          <w:sz w:val="28"/>
          <w:szCs w:val="28"/>
          <w:lang w:val="uk-UA"/>
        </w:rPr>
        <w:t xml:space="preserve">Доведено, що </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Pr>
          <w:rFonts w:ascii="Times New Roman" w:hAnsi="Times New Roman" w:cs="Times New Roman"/>
          <w:sz w:val="28"/>
          <w:szCs w:val="28"/>
          <w:lang w:val="uk-UA"/>
        </w:rPr>
        <w:t xml:space="preserve"> містяться </w:t>
      </w:r>
      <w:r w:rsidR="006D34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ендотеліальних клітинах, </w:t>
      </w:r>
      <w:r w:rsidR="00FB4800">
        <w:rPr>
          <w:rFonts w:ascii="Times New Roman" w:hAnsi="Times New Roman" w:cs="Times New Roman"/>
          <w:sz w:val="28"/>
          <w:szCs w:val="28"/>
          <w:lang w:val="uk-UA"/>
        </w:rPr>
        <w:t xml:space="preserve">одним </w:t>
      </w:r>
      <w:r w:rsidR="003744AE">
        <w:rPr>
          <w:rFonts w:ascii="Times New Roman" w:hAnsi="Times New Roman" w:cs="Times New Roman"/>
          <w:sz w:val="28"/>
          <w:szCs w:val="28"/>
          <w:lang w:val="uk-UA"/>
        </w:rPr>
        <w:t>із продуктів синтезу яких є</w:t>
      </w:r>
      <w:r>
        <w:rPr>
          <w:rFonts w:ascii="Times New Roman" w:hAnsi="Times New Roman" w:cs="Times New Roman"/>
          <w:sz w:val="28"/>
          <w:szCs w:val="28"/>
          <w:lang w:val="uk-UA"/>
        </w:rPr>
        <w:t xml:space="preserve"> </w:t>
      </w:r>
      <w:r w:rsidR="003744AE">
        <w:rPr>
          <w:rFonts w:ascii="Times New Roman" w:hAnsi="Times New Roman" w:cs="Times New Roman"/>
          <w:sz w:val="28"/>
          <w:szCs w:val="28"/>
          <w:lang w:val="uk-UA"/>
        </w:rPr>
        <w:t>потужний вазоконстриктор</w:t>
      </w:r>
      <w:r w:rsidR="003744AE" w:rsidRPr="003744A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ЕТ-1, який гальмує утворення оксиду азоту, призводячи не лише до спазму судин, а й </w:t>
      </w:r>
      <w:r w:rsidR="006D347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підвищення </w:t>
      </w:r>
      <w:r w:rsidR="00920A88">
        <w:rPr>
          <w:rFonts w:ascii="Times New Roman" w:hAnsi="Times New Roman" w:cs="Times New Roman"/>
          <w:sz w:val="28"/>
          <w:szCs w:val="28"/>
          <w:lang w:val="uk-UA"/>
        </w:rPr>
        <w:t xml:space="preserve">проникності </w:t>
      </w:r>
      <w:r>
        <w:rPr>
          <w:rFonts w:ascii="Times New Roman" w:hAnsi="Times New Roman" w:cs="Times New Roman"/>
          <w:sz w:val="28"/>
          <w:szCs w:val="28"/>
          <w:lang w:val="uk-UA"/>
        </w:rPr>
        <w:t xml:space="preserve">судинної стінки </w:t>
      </w:r>
      <w:r w:rsidR="006D3471">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білків та ліпопротеїдів, швидкої проліферації гладкомʼязових клітин, експресії адгезивних молекул на поверхні ендотеліальних клітин, підвищеного тромбоутворення. Р</w:t>
      </w:r>
      <w:r w:rsidRPr="00040952">
        <w:rPr>
          <w:rFonts w:ascii="Times New Roman" w:hAnsi="Times New Roman" w:cs="Times New Roman"/>
          <w:sz w:val="28"/>
          <w:szCs w:val="28"/>
          <w:lang w:val="uk-UA"/>
        </w:rPr>
        <w:t xml:space="preserve">озроблення диференційованого підходу </w:t>
      </w:r>
      <w:r w:rsidR="006D3471">
        <w:rPr>
          <w:rFonts w:ascii="Times New Roman" w:hAnsi="Times New Roman" w:cs="Times New Roman"/>
          <w:sz w:val="28"/>
          <w:szCs w:val="28"/>
          <w:lang w:val="uk-UA"/>
        </w:rPr>
        <w:t xml:space="preserve">    </w:t>
      </w:r>
      <w:r w:rsidRPr="00040952">
        <w:rPr>
          <w:rFonts w:ascii="Times New Roman" w:hAnsi="Times New Roman" w:cs="Times New Roman"/>
          <w:sz w:val="28"/>
          <w:szCs w:val="28"/>
          <w:lang w:val="uk-UA"/>
        </w:rPr>
        <w:t>до призначення телм</w:t>
      </w:r>
      <w:r w:rsidR="00920A88">
        <w:rPr>
          <w:rFonts w:ascii="Times New Roman" w:hAnsi="Times New Roman" w:cs="Times New Roman"/>
          <w:sz w:val="28"/>
          <w:szCs w:val="28"/>
          <w:lang w:val="uk-UA"/>
        </w:rPr>
        <w:t>ісартану залежно від вмісту</w:t>
      </w:r>
      <w:r>
        <w:rPr>
          <w:rFonts w:ascii="Times New Roman" w:hAnsi="Times New Roman" w:cs="Times New Roman"/>
          <w:sz w:val="28"/>
          <w:szCs w:val="28"/>
          <w:lang w:val="uk-UA"/>
        </w:rPr>
        <w:t xml:space="preserve"> ЕТ-1 є доцільним,</w:t>
      </w:r>
      <w:r w:rsidRPr="00040952">
        <w:rPr>
          <w:rFonts w:ascii="Times New Roman" w:hAnsi="Times New Roman" w:cs="Times New Roman"/>
          <w:sz w:val="28"/>
          <w:szCs w:val="28"/>
          <w:lang w:val="uk-UA"/>
        </w:rPr>
        <w:t xml:space="preserve"> </w:t>
      </w:r>
      <w:r>
        <w:rPr>
          <w:rFonts w:ascii="Times New Roman" w:hAnsi="Times New Roman" w:cs="Times New Roman"/>
          <w:sz w:val="28"/>
          <w:szCs w:val="28"/>
          <w:lang w:val="uk-UA"/>
        </w:rPr>
        <w:t>оскільки даний вазоконстриктор індукує ліполіз в адипоцитах та приз</w:t>
      </w:r>
      <w:r w:rsidR="00920A88">
        <w:rPr>
          <w:rFonts w:ascii="Times New Roman" w:hAnsi="Times New Roman" w:cs="Times New Roman"/>
          <w:sz w:val="28"/>
          <w:szCs w:val="28"/>
          <w:lang w:val="uk-UA"/>
        </w:rPr>
        <w:t>водить до ІР</w:t>
      </w:r>
      <w:r>
        <w:rPr>
          <w:rFonts w:ascii="Times New Roman" w:hAnsi="Times New Roman" w:cs="Times New Roman"/>
          <w:sz w:val="28"/>
          <w:szCs w:val="28"/>
          <w:lang w:val="uk-UA"/>
        </w:rPr>
        <w:t>, обумовленої супресією перенесення глюкози до плазматичної мембрани клітин, а зазна</w:t>
      </w:r>
      <w:r w:rsidR="00A139B0">
        <w:rPr>
          <w:rFonts w:ascii="Times New Roman" w:hAnsi="Times New Roman" w:cs="Times New Roman"/>
          <w:sz w:val="28"/>
          <w:szCs w:val="28"/>
          <w:lang w:val="uk-UA"/>
        </w:rPr>
        <w:t xml:space="preserve">чений БРА є помірним агоністом </w:t>
      </w:r>
      <w:r w:rsidRPr="00A03291">
        <w:rPr>
          <w:rFonts w:ascii="Times New Roman" w:hAnsi="Times New Roman" w:cs="Times New Roman"/>
          <w:sz w:val="28"/>
          <w:szCs w:val="28"/>
          <w:lang w:val="en-US"/>
        </w:rPr>
        <w:t>PPAR</w:t>
      </w:r>
      <w:r w:rsidRPr="00A03291">
        <w:rPr>
          <w:rFonts w:ascii="Times New Roman" w:hAnsi="Times New Roman" w:cs="Times New Roman"/>
          <w:sz w:val="28"/>
          <w:szCs w:val="28"/>
        </w:rPr>
        <w:t>γ</w:t>
      </w:r>
      <w:r>
        <w:rPr>
          <w:rFonts w:ascii="Times New Roman" w:hAnsi="Times New Roman" w:cs="Times New Roman"/>
          <w:sz w:val="28"/>
          <w:szCs w:val="28"/>
          <w:lang w:val="uk-UA"/>
        </w:rPr>
        <w:t>, значна кількість яких міститься в ендотелії, і сприяє покращанню ЕД та відновленню чутливості тканин до інсуліну.</w:t>
      </w:r>
    </w:p>
    <w:p w:rsidR="0087443D" w:rsidRDefault="0087443D" w:rsidP="0087443D">
      <w:pPr>
        <w:autoSpaceDE w:val="0"/>
        <w:autoSpaceDN w:val="0"/>
        <w:adjustRightInd w:val="0"/>
        <w:spacing w:after="0" w:line="360" w:lineRule="auto"/>
        <w:jc w:val="center"/>
        <w:rPr>
          <w:rFonts w:ascii="Times New Roman" w:hAnsi="Times New Roman" w:cs="Times New Roman"/>
          <w:b/>
          <w:sz w:val="28"/>
          <w:szCs w:val="28"/>
          <w:lang w:val="uk-UA"/>
        </w:rPr>
      </w:pPr>
    </w:p>
    <w:p w:rsidR="0087443D" w:rsidRPr="00A03291" w:rsidRDefault="0087443D" w:rsidP="0087443D">
      <w:pPr>
        <w:autoSpaceDE w:val="0"/>
        <w:autoSpaceDN w:val="0"/>
        <w:adjustRightInd w:val="0"/>
        <w:spacing w:after="0" w:line="360" w:lineRule="auto"/>
        <w:jc w:val="center"/>
        <w:rPr>
          <w:rFonts w:ascii="Times New Roman" w:hAnsi="Times New Roman" w:cs="Times New Roman"/>
          <w:b/>
          <w:sz w:val="28"/>
          <w:szCs w:val="28"/>
          <w:lang w:val="uk-UA"/>
        </w:rPr>
      </w:pPr>
      <w:r w:rsidRPr="00A03291">
        <w:rPr>
          <w:rFonts w:ascii="Times New Roman" w:hAnsi="Times New Roman" w:cs="Times New Roman"/>
          <w:b/>
          <w:sz w:val="28"/>
          <w:szCs w:val="28"/>
          <w:lang w:val="uk-UA"/>
        </w:rPr>
        <w:t>ВИСНОВОК ДО РОЗДІЛУ 1</w:t>
      </w:r>
    </w:p>
    <w:p w:rsidR="0087443D" w:rsidRDefault="0087443D" w:rsidP="0087443D">
      <w:pPr>
        <w:autoSpaceDE w:val="0"/>
        <w:autoSpaceDN w:val="0"/>
        <w:adjustRightInd w:val="0"/>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Порушення ліпідного обміну за наявності </w:t>
      </w:r>
      <w:r w:rsidR="00013779">
        <w:rPr>
          <w:rFonts w:ascii="Times New Roman" w:hAnsi="Times New Roman" w:cs="Times New Roman"/>
          <w:sz w:val="28"/>
          <w:szCs w:val="28"/>
          <w:lang w:val="uk-UA"/>
        </w:rPr>
        <w:t xml:space="preserve">АГ та </w:t>
      </w:r>
      <w:r>
        <w:rPr>
          <w:rFonts w:ascii="Times New Roman" w:hAnsi="Times New Roman" w:cs="Times New Roman"/>
          <w:sz w:val="28"/>
          <w:szCs w:val="28"/>
          <w:lang w:val="uk-UA"/>
        </w:rPr>
        <w:t>супутнього</w:t>
      </w:r>
      <w:r w:rsidRPr="00A03291">
        <w:rPr>
          <w:rFonts w:ascii="Times New Roman" w:hAnsi="Times New Roman" w:cs="Times New Roman"/>
          <w:sz w:val="28"/>
          <w:szCs w:val="28"/>
          <w:lang w:val="uk-UA"/>
        </w:rPr>
        <w:t xml:space="preserve"> </w:t>
      </w:r>
      <w:r w:rsidR="00FB4800">
        <w:rPr>
          <w:rFonts w:ascii="Times New Roman" w:hAnsi="Times New Roman" w:cs="Times New Roman"/>
          <w:sz w:val="28"/>
          <w:szCs w:val="28"/>
          <w:lang w:val="uk-UA"/>
        </w:rPr>
        <w:t xml:space="preserve">               </w:t>
      </w:r>
      <w:r w:rsidRPr="00A03291">
        <w:rPr>
          <w:rFonts w:ascii="Times New Roman" w:hAnsi="Times New Roman" w:cs="Times New Roman"/>
          <w:sz w:val="28"/>
          <w:szCs w:val="28"/>
          <w:lang w:val="uk-UA"/>
        </w:rPr>
        <w:t>ЦД 2</w:t>
      </w:r>
      <w:r>
        <w:rPr>
          <w:rFonts w:ascii="Times New Roman" w:hAnsi="Times New Roman" w:cs="Times New Roman"/>
          <w:sz w:val="28"/>
          <w:szCs w:val="28"/>
          <w:lang w:val="uk-UA"/>
        </w:rPr>
        <w:t>-го</w:t>
      </w:r>
      <w:r w:rsidRPr="00A03291">
        <w:rPr>
          <w:rFonts w:ascii="Times New Roman" w:hAnsi="Times New Roman" w:cs="Times New Roman"/>
          <w:sz w:val="28"/>
          <w:szCs w:val="28"/>
          <w:lang w:val="uk-UA"/>
        </w:rPr>
        <w:t xml:space="preserve"> типу виникають унаслідок ІР, що призводить до з</w:t>
      </w:r>
      <w:r w:rsidR="00436545">
        <w:rPr>
          <w:rFonts w:ascii="Times New Roman" w:hAnsi="Times New Roman" w:cs="Times New Roman"/>
          <w:sz w:val="28"/>
          <w:szCs w:val="28"/>
          <w:lang w:val="uk-UA"/>
        </w:rPr>
        <w:t>ростання концентрації вільних жирних кислот</w:t>
      </w:r>
      <w:r w:rsidRPr="00A03291">
        <w:rPr>
          <w:rFonts w:ascii="Times New Roman" w:hAnsi="Times New Roman" w:cs="Times New Roman"/>
          <w:sz w:val="28"/>
          <w:szCs w:val="28"/>
          <w:lang w:val="uk-UA"/>
        </w:rPr>
        <w:t xml:space="preserve"> у крові</w:t>
      </w:r>
      <w:r>
        <w:rPr>
          <w:rFonts w:ascii="Times New Roman" w:hAnsi="Times New Roman" w:cs="Times New Roman"/>
          <w:sz w:val="28"/>
          <w:szCs w:val="28"/>
          <w:lang w:val="uk-UA"/>
        </w:rPr>
        <w:t xml:space="preserve">, підвищення синтезу ХС </w:t>
      </w:r>
      <w:r>
        <w:rPr>
          <w:rFonts w:ascii="Times New Roman" w:hAnsi="Times New Roman" w:cs="Times New Roman"/>
          <w:sz w:val="28"/>
          <w:szCs w:val="28"/>
          <w:lang w:val="uk-UA"/>
        </w:rPr>
        <w:lastRenderedPageBreak/>
        <w:t>ЛПДНЩ і</w:t>
      </w:r>
      <w:r w:rsidRPr="00A03291">
        <w:rPr>
          <w:rFonts w:ascii="Times New Roman" w:hAnsi="Times New Roman" w:cs="Times New Roman"/>
          <w:sz w:val="28"/>
          <w:szCs w:val="28"/>
          <w:lang w:val="uk-UA"/>
        </w:rPr>
        <w:t xml:space="preserve"> зниження</w:t>
      </w:r>
      <w:r>
        <w:rPr>
          <w:rFonts w:ascii="Times New Roman" w:hAnsi="Times New Roman" w:cs="Times New Roman"/>
          <w:sz w:val="28"/>
          <w:szCs w:val="28"/>
          <w:lang w:val="uk-UA"/>
        </w:rPr>
        <w:t xml:space="preserve"> їх гідролізу ліпопротеїдліпазою</w:t>
      </w:r>
      <w:r w:rsidR="00B74211">
        <w:rPr>
          <w:rFonts w:ascii="Times New Roman" w:hAnsi="Times New Roman" w:cs="Times New Roman"/>
          <w:sz w:val="28"/>
          <w:szCs w:val="28"/>
          <w:lang w:val="uk-UA"/>
        </w:rPr>
        <w:t>,</w:t>
      </w:r>
      <w:r>
        <w:rPr>
          <w:rFonts w:ascii="Times New Roman" w:hAnsi="Times New Roman" w:cs="Times New Roman"/>
          <w:sz w:val="28"/>
          <w:szCs w:val="28"/>
          <w:lang w:val="uk-UA"/>
        </w:rPr>
        <w:t xml:space="preserve"> та сприяє</w:t>
      </w:r>
      <w:r w:rsidRPr="00A03291">
        <w:rPr>
          <w:rFonts w:ascii="Times New Roman" w:hAnsi="Times New Roman" w:cs="Times New Roman"/>
          <w:sz w:val="28"/>
          <w:szCs w:val="28"/>
          <w:lang w:val="uk-UA"/>
        </w:rPr>
        <w:t xml:space="preserve"> збільшенню кількості збагачених</w:t>
      </w:r>
      <w:r>
        <w:rPr>
          <w:rFonts w:ascii="Times New Roman" w:hAnsi="Times New Roman" w:cs="Times New Roman"/>
          <w:sz w:val="28"/>
          <w:szCs w:val="28"/>
          <w:lang w:val="uk-UA"/>
        </w:rPr>
        <w:t xml:space="preserve"> ТГ ліпопротеїдних частинок, що</w:t>
      </w:r>
      <w:r w:rsidRPr="00A03291">
        <w:rPr>
          <w:rFonts w:ascii="Times New Roman" w:hAnsi="Times New Roman" w:cs="Times New Roman"/>
          <w:sz w:val="28"/>
          <w:szCs w:val="28"/>
          <w:lang w:val="uk-UA"/>
        </w:rPr>
        <w:t xml:space="preserve"> циркулюють у крові. Перевантажені ТГ частинки </w:t>
      </w:r>
      <w:r w:rsidR="00A139B0">
        <w:rPr>
          <w:rFonts w:ascii="Times New Roman" w:hAnsi="Times New Roman" w:cs="Times New Roman"/>
          <w:sz w:val="28"/>
          <w:szCs w:val="28"/>
          <w:lang w:val="uk-UA"/>
        </w:rPr>
        <w:t xml:space="preserve">ХС </w:t>
      </w:r>
      <w:r w:rsidRPr="00A03291">
        <w:rPr>
          <w:rFonts w:ascii="Times New Roman" w:hAnsi="Times New Roman" w:cs="Times New Roman"/>
          <w:sz w:val="28"/>
          <w:szCs w:val="28"/>
          <w:lang w:val="uk-UA"/>
        </w:rPr>
        <w:t xml:space="preserve">ЛПНЩ стають добрим субстратом </w:t>
      </w:r>
      <w:r w:rsidR="006D3471">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печінкової ліпопротеїдліпази, внаслідок ць</w:t>
      </w:r>
      <w:r w:rsidRPr="00A03291">
        <w:rPr>
          <w:rFonts w:ascii="Times New Roman" w:hAnsi="Times New Roman" w:cs="Times New Roman"/>
          <w:sz w:val="28"/>
          <w:szCs w:val="28"/>
          <w:lang w:val="uk-UA"/>
        </w:rPr>
        <w:t xml:space="preserve">ого утворюються </w:t>
      </w:r>
      <w:r>
        <w:rPr>
          <w:rFonts w:ascii="Times New Roman" w:hAnsi="Times New Roman" w:cs="Times New Roman"/>
          <w:sz w:val="28"/>
          <w:szCs w:val="28"/>
          <w:lang w:val="uk-UA"/>
        </w:rPr>
        <w:t xml:space="preserve">дрібні щільні частинки </w:t>
      </w:r>
      <w:r w:rsidR="008F479E">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ЛПНЩ, що</w:t>
      </w:r>
      <w:r w:rsidRPr="00A03291">
        <w:rPr>
          <w:rFonts w:ascii="Times New Roman" w:hAnsi="Times New Roman" w:cs="Times New Roman"/>
          <w:sz w:val="28"/>
          <w:szCs w:val="28"/>
          <w:lang w:val="uk-UA"/>
        </w:rPr>
        <w:t xml:space="preserve"> через ушкоджений ендотел</w:t>
      </w:r>
      <w:r>
        <w:rPr>
          <w:rFonts w:ascii="Times New Roman" w:hAnsi="Times New Roman" w:cs="Times New Roman"/>
          <w:sz w:val="28"/>
          <w:szCs w:val="28"/>
          <w:lang w:val="uk-UA"/>
        </w:rPr>
        <w:t>ій капілярів ниркових клубочків</w:t>
      </w:r>
      <w:r w:rsidRPr="00A03291">
        <w:rPr>
          <w:rFonts w:ascii="Times New Roman" w:hAnsi="Times New Roman" w:cs="Times New Roman"/>
          <w:sz w:val="28"/>
          <w:szCs w:val="28"/>
          <w:lang w:val="uk-UA"/>
        </w:rPr>
        <w:t xml:space="preserve"> захоплюються мезангіальними клітинами з утворенням пінистих клітин, навколо яких формують</w:t>
      </w:r>
      <w:r>
        <w:rPr>
          <w:rFonts w:ascii="Times New Roman" w:hAnsi="Times New Roman" w:cs="Times New Roman"/>
          <w:sz w:val="28"/>
          <w:szCs w:val="28"/>
          <w:lang w:val="uk-UA"/>
        </w:rPr>
        <w:t>ся</w:t>
      </w:r>
      <w:r w:rsidRPr="00A03291">
        <w:rPr>
          <w:rFonts w:ascii="Times New Roman" w:hAnsi="Times New Roman" w:cs="Times New Roman"/>
          <w:sz w:val="28"/>
          <w:szCs w:val="28"/>
          <w:lang w:val="uk-UA"/>
        </w:rPr>
        <w:t xml:space="preserve"> колагенові волокна, і розвивається склероз.</w:t>
      </w:r>
      <w:r>
        <w:rPr>
          <w:rFonts w:ascii="Times New Roman" w:hAnsi="Times New Roman" w:cs="Times New Roman"/>
          <w:sz w:val="28"/>
          <w:szCs w:val="28"/>
          <w:lang w:val="uk-UA"/>
        </w:rPr>
        <w:t xml:space="preserve"> </w:t>
      </w:r>
    </w:p>
    <w:p w:rsidR="0087443D" w:rsidRPr="00CE460D" w:rsidRDefault="0087443D" w:rsidP="00A33EE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Дисліпідемія відіграє вагому</w:t>
      </w:r>
      <w:r w:rsidR="00436545">
        <w:rPr>
          <w:rFonts w:ascii="Times New Roman" w:hAnsi="Times New Roman" w:cs="Times New Roman"/>
          <w:sz w:val="28"/>
          <w:szCs w:val="28"/>
          <w:lang w:val="uk-UA"/>
        </w:rPr>
        <w:t xml:space="preserve"> роль у розвитку атеросклерозу.                 </w:t>
      </w:r>
      <w:r>
        <w:rPr>
          <w:rFonts w:ascii="Times New Roman" w:hAnsi="Times New Roman" w:cs="Times New Roman"/>
          <w:sz w:val="28"/>
          <w:szCs w:val="28"/>
          <w:lang w:val="uk-UA"/>
        </w:rPr>
        <w:t>У виникненні та прогресуванні ДН мають значення гломерулосклероз й АГ, оскільки порушення</w:t>
      </w:r>
      <w:r w:rsidRPr="00A03291">
        <w:rPr>
          <w:rFonts w:ascii="Times New Roman" w:hAnsi="Times New Roman" w:cs="Times New Roman"/>
          <w:sz w:val="28"/>
          <w:szCs w:val="28"/>
          <w:lang w:val="uk-UA"/>
        </w:rPr>
        <w:t xml:space="preserve"> </w:t>
      </w:r>
      <w:r w:rsidR="000052CE">
        <w:rPr>
          <w:rFonts w:ascii="Times New Roman" w:hAnsi="Times New Roman" w:cs="Times New Roman"/>
          <w:sz w:val="28"/>
          <w:szCs w:val="28"/>
          <w:lang w:val="uk-UA"/>
        </w:rPr>
        <w:t>внутрішньо</w:t>
      </w:r>
      <w:r w:rsidR="00436545">
        <w:rPr>
          <w:rFonts w:ascii="Times New Roman" w:hAnsi="Times New Roman" w:cs="Times New Roman"/>
          <w:sz w:val="28"/>
          <w:szCs w:val="28"/>
          <w:lang w:val="uk-UA"/>
        </w:rPr>
        <w:t xml:space="preserve">ниркової </w:t>
      </w:r>
      <w:r>
        <w:rPr>
          <w:rFonts w:ascii="Times New Roman" w:hAnsi="Times New Roman" w:cs="Times New Roman"/>
          <w:sz w:val="28"/>
          <w:szCs w:val="28"/>
          <w:lang w:val="uk-UA"/>
        </w:rPr>
        <w:t>гемодинаміки внаслідок АТ-</w:t>
      </w:r>
      <w:r w:rsidRPr="00A03291">
        <w:rPr>
          <w:rFonts w:ascii="Times New Roman" w:hAnsi="Times New Roman" w:cs="Times New Roman"/>
          <w:sz w:val="28"/>
          <w:szCs w:val="28"/>
        </w:rPr>
        <w:t>II</w:t>
      </w:r>
      <w:r w:rsidRPr="00A03291">
        <w:rPr>
          <w:rFonts w:ascii="Times New Roman" w:hAnsi="Times New Roman" w:cs="Times New Roman"/>
          <w:sz w:val="28"/>
          <w:szCs w:val="28"/>
          <w:lang w:val="uk-UA"/>
        </w:rPr>
        <w:t xml:space="preserve">-опосередкованого спазму вихідної артеріоли ниркового клубочка призводить до розвитку внутрішньоклубочкової гіпертензії і гіперфільтрації,  підвищення проникності ендотелію до альбуміну. </w:t>
      </w:r>
      <w:r w:rsidR="00686A71">
        <w:rPr>
          <w:rFonts w:ascii="Times New Roman" w:hAnsi="Times New Roman" w:cs="Times New Roman"/>
          <w:sz w:val="28"/>
          <w:szCs w:val="28"/>
          <w:lang w:val="uk-UA"/>
        </w:rPr>
        <w:t>Ендотеліальна дисфункція</w:t>
      </w:r>
      <w:r>
        <w:rPr>
          <w:rFonts w:ascii="Times New Roman" w:hAnsi="Times New Roman" w:cs="Times New Roman"/>
          <w:sz w:val="28"/>
          <w:szCs w:val="28"/>
          <w:lang w:val="uk-UA"/>
        </w:rPr>
        <w:t xml:space="preserve"> виявляється феноменом альбумінурії. Е</w:t>
      </w:r>
      <w:r w:rsidR="00686A71">
        <w:rPr>
          <w:rFonts w:ascii="Times New Roman" w:hAnsi="Times New Roman" w:cs="Times New Roman"/>
          <w:sz w:val="28"/>
          <w:szCs w:val="28"/>
          <w:lang w:val="uk-UA"/>
        </w:rPr>
        <w:t>ндотелін</w:t>
      </w:r>
      <w:r>
        <w:rPr>
          <w:rFonts w:ascii="Times New Roman" w:hAnsi="Times New Roman" w:cs="Times New Roman"/>
          <w:sz w:val="28"/>
          <w:szCs w:val="28"/>
          <w:lang w:val="uk-UA"/>
        </w:rPr>
        <w:t>-1, що належить до продуктів синтезу ендотеліальних клітин, є потужним вазоконстриктором. До того ж</w:t>
      </w:r>
      <w:r w:rsidRPr="00A03291">
        <w:rPr>
          <w:rFonts w:ascii="Times New Roman" w:hAnsi="Times New Roman" w:cs="Times New Roman"/>
          <w:sz w:val="28"/>
          <w:szCs w:val="28"/>
          <w:lang w:val="uk-UA"/>
        </w:rPr>
        <w:t xml:space="preserve"> г</w:t>
      </w:r>
      <w:r w:rsidRPr="00A03291">
        <w:rPr>
          <w:rFonts w:ascii="Times New Roman" w:hAnsi="Times New Roman" w:cs="Times New Roman"/>
          <w:sz w:val="28"/>
          <w:szCs w:val="28"/>
        </w:rPr>
        <w:t xml:space="preserve">лікозилювання </w:t>
      </w:r>
      <w:r w:rsidR="00840915">
        <w:rPr>
          <w:rFonts w:ascii="Times New Roman" w:hAnsi="Times New Roman" w:cs="Times New Roman"/>
          <w:sz w:val="28"/>
          <w:szCs w:val="28"/>
        </w:rPr>
        <w:t>колагену призводить до глік</w:t>
      </w:r>
      <w:r w:rsidR="00840915">
        <w:rPr>
          <w:rFonts w:ascii="Times New Roman" w:hAnsi="Times New Roman" w:cs="Times New Roman"/>
          <w:sz w:val="28"/>
          <w:szCs w:val="28"/>
          <w:lang w:val="uk-UA"/>
        </w:rPr>
        <w:t>у</w:t>
      </w:r>
      <w:r w:rsidRPr="00A03291">
        <w:rPr>
          <w:rFonts w:ascii="Times New Roman" w:hAnsi="Times New Roman" w:cs="Times New Roman"/>
          <w:sz w:val="28"/>
          <w:szCs w:val="28"/>
        </w:rPr>
        <w:t>вання базальних мембран</w:t>
      </w:r>
      <w:r>
        <w:rPr>
          <w:rFonts w:ascii="Times New Roman" w:hAnsi="Times New Roman" w:cs="Times New Roman"/>
          <w:sz w:val="28"/>
          <w:szCs w:val="28"/>
          <w:lang w:val="uk-UA"/>
        </w:rPr>
        <w:t xml:space="preserve"> клубочків нирок, а</w:t>
      </w:r>
      <w:r w:rsidRPr="00A03291">
        <w:rPr>
          <w:rFonts w:ascii="Times New Roman" w:hAnsi="Times New Roman" w:cs="Times New Roman"/>
          <w:sz w:val="28"/>
          <w:szCs w:val="28"/>
          <w:lang w:val="uk-UA"/>
        </w:rPr>
        <w:t xml:space="preserve"> гем</w:t>
      </w:r>
      <w:r>
        <w:rPr>
          <w:rFonts w:ascii="Times New Roman" w:hAnsi="Times New Roman" w:cs="Times New Roman"/>
          <w:sz w:val="28"/>
          <w:szCs w:val="28"/>
          <w:lang w:val="uk-UA"/>
        </w:rPr>
        <w:t xml:space="preserve">оглобіну – до утворення HbA1c. Важливим моментом у лікуванні </w:t>
      </w:r>
      <w:r w:rsidR="008F479E">
        <w:rPr>
          <w:rFonts w:ascii="Times New Roman" w:hAnsi="Times New Roman" w:cs="Times New Roman"/>
          <w:sz w:val="28"/>
          <w:szCs w:val="28"/>
          <w:lang w:val="uk-UA"/>
        </w:rPr>
        <w:t xml:space="preserve">АГ та ЦД 2-го типу </w:t>
      </w:r>
      <w:r>
        <w:rPr>
          <w:rFonts w:ascii="Times New Roman" w:hAnsi="Times New Roman" w:cs="Times New Roman"/>
          <w:sz w:val="28"/>
          <w:szCs w:val="28"/>
          <w:lang w:val="uk-UA"/>
        </w:rPr>
        <w:t>є вибір препаратів, що чинять нефро- та кардіопротекторну дію.</w:t>
      </w:r>
      <w:r w:rsidR="00A33EE7">
        <w:rPr>
          <w:rFonts w:ascii="Times New Roman" w:hAnsi="Times New Roman" w:cs="Times New Roman"/>
          <w:sz w:val="28"/>
          <w:szCs w:val="28"/>
          <w:lang w:val="uk-UA"/>
        </w:rPr>
        <w:t xml:space="preserve"> </w:t>
      </w:r>
      <w:r w:rsidR="008F479E">
        <w:rPr>
          <w:rFonts w:ascii="Times New Roman" w:hAnsi="Times New Roman" w:cs="Times New Roman"/>
          <w:sz w:val="28"/>
          <w:szCs w:val="28"/>
          <w:lang w:val="uk-UA"/>
        </w:rPr>
        <w:t xml:space="preserve">Концентрація </w:t>
      </w:r>
      <w:r>
        <w:rPr>
          <w:rFonts w:ascii="Times New Roman" w:hAnsi="Times New Roman" w:cs="Times New Roman"/>
          <w:sz w:val="28"/>
          <w:szCs w:val="28"/>
          <w:lang w:val="en-US"/>
        </w:rPr>
        <w:t>sVCAM</w:t>
      </w:r>
      <w:r w:rsidRPr="00CE460D">
        <w:rPr>
          <w:rFonts w:ascii="Times New Roman" w:hAnsi="Times New Roman" w:cs="Times New Roman"/>
          <w:sz w:val="28"/>
          <w:szCs w:val="28"/>
          <w:lang w:val="uk-UA"/>
        </w:rPr>
        <w:t xml:space="preserve">-1 </w:t>
      </w:r>
      <w:r w:rsidR="002F021A">
        <w:rPr>
          <w:rFonts w:ascii="Times New Roman" w:hAnsi="Times New Roman" w:cs="Times New Roman"/>
          <w:sz w:val="28"/>
          <w:szCs w:val="28"/>
          <w:lang w:val="uk-UA"/>
        </w:rPr>
        <w:t>є не лише маркером функціонального стану</w:t>
      </w:r>
      <w:r>
        <w:rPr>
          <w:rFonts w:ascii="Times New Roman" w:hAnsi="Times New Roman" w:cs="Times New Roman"/>
          <w:sz w:val="28"/>
          <w:szCs w:val="28"/>
          <w:lang w:val="uk-UA"/>
        </w:rPr>
        <w:t xml:space="preserve"> </w:t>
      </w:r>
      <w:r w:rsidR="008F479E">
        <w:rPr>
          <w:rFonts w:ascii="Times New Roman" w:hAnsi="Times New Roman" w:cs="Times New Roman"/>
          <w:sz w:val="28"/>
          <w:szCs w:val="28"/>
          <w:lang w:val="uk-UA"/>
        </w:rPr>
        <w:t>ендотелію, а й показником імуно</w:t>
      </w:r>
      <w:r>
        <w:rPr>
          <w:rFonts w:ascii="Times New Roman" w:hAnsi="Times New Roman" w:cs="Times New Roman"/>
          <w:sz w:val="28"/>
          <w:szCs w:val="28"/>
          <w:lang w:val="uk-UA"/>
        </w:rPr>
        <w:t>запального статусу, оскільки</w:t>
      </w:r>
      <w:r w:rsidR="00B11B8D">
        <w:rPr>
          <w:rFonts w:ascii="Times New Roman" w:hAnsi="Times New Roman" w:cs="Times New Roman"/>
          <w:sz w:val="28"/>
          <w:szCs w:val="28"/>
          <w:lang w:val="uk-UA"/>
        </w:rPr>
        <w:t xml:space="preserve"> ці молекули адгезії</w:t>
      </w:r>
      <w:r>
        <w:rPr>
          <w:rFonts w:ascii="Times New Roman" w:hAnsi="Times New Roman" w:cs="Times New Roman"/>
          <w:sz w:val="28"/>
          <w:szCs w:val="28"/>
          <w:lang w:val="uk-UA"/>
        </w:rPr>
        <w:t xml:space="preserve"> експресуються на поверхні ендотеліоцитів </w:t>
      </w:r>
      <w:r w:rsidR="00856275">
        <w:rPr>
          <w:rFonts w:ascii="Times New Roman" w:hAnsi="Times New Roman" w:cs="Times New Roman"/>
          <w:sz w:val="28"/>
          <w:szCs w:val="28"/>
          <w:lang w:val="uk-UA"/>
        </w:rPr>
        <w:t xml:space="preserve">       </w:t>
      </w:r>
      <w:r>
        <w:rPr>
          <w:rFonts w:ascii="Times New Roman" w:hAnsi="Times New Roman" w:cs="Times New Roman"/>
          <w:sz w:val="28"/>
          <w:szCs w:val="28"/>
          <w:lang w:val="uk-UA"/>
        </w:rPr>
        <w:t>під впливом ФНП-α.</w:t>
      </w:r>
    </w:p>
    <w:p w:rsidR="0087443D" w:rsidRDefault="0087443D" w:rsidP="0087443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ЦД 2-го типу характерним є порушення функції діастоли. </w:t>
      </w:r>
      <w:r w:rsidRPr="00A03291">
        <w:rPr>
          <w:rFonts w:ascii="Times New Roman" w:hAnsi="Times New Roman" w:cs="Times New Roman"/>
          <w:sz w:val="28"/>
          <w:szCs w:val="28"/>
          <w:lang w:val="uk-UA"/>
        </w:rPr>
        <w:t>Діастолічна дисфун</w:t>
      </w:r>
      <w:r>
        <w:rPr>
          <w:rFonts w:ascii="Times New Roman" w:hAnsi="Times New Roman" w:cs="Times New Roman"/>
          <w:sz w:val="28"/>
          <w:szCs w:val="28"/>
          <w:lang w:val="uk-UA"/>
        </w:rPr>
        <w:t xml:space="preserve">кція серцевого м’яза пов’язана </w:t>
      </w:r>
      <w:r w:rsidRPr="00A03291">
        <w:rPr>
          <w:rFonts w:ascii="Times New Roman" w:hAnsi="Times New Roman" w:cs="Times New Roman"/>
          <w:sz w:val="28"/>
          <w:szCs w:val="28"/>
          <w:lang w:val="uk-UA"/>
        </w:rPr>
        <w:t xml:space="preserve">з підвищенням </w:t>
      </w:r>
      <w:r w:rsidR="00B11B8D">
        <w:rPr>
          <w:rFonts w:ascii="Times New Roman" w:hAnsi="Times New Roman" w:cs="Times New Roman"/>
          <w:sz w:val="28"/>
          <w:szCs w:val="28"/>
          <w:lang w:val="uk-UA"/>
        </w:rPr>
        <w:t xml:space="preserve">його </w:t>
      </w:r>
      <w:r w:rsidRPr="00A03291">
        <w:rPr>
          <w:rFonts w:ascii="Times New Roman" w:hAnsi="Times New Roman" w:cs="Times New Roman"/>
          <w:sz w:val="28"/>
          <w:szCs w:val="28"/>
          <w:lang w:val="uk-UA"/>
        </w:rPr>
        <w:t>жорсткості внаслідок кардіосклерозу, фіброзу; накопичення</w:t>
      </w:r>
      <w:r w:rsidR="00F137CB">
        <w:rPr>
          <w:rFonts w:ascii="Times New Roman" w:hAnsi="Times New Roman" w:cs="Times New Roman"/>
          <w:sz w:val="28"/>
          <w:szCs w:val="28"/>
          <w:lang w:val="uk-UA"/>
        </w:rPr>
        <w:t>м кінцевих продуктів глікозилювання,</w:t>
      </w:r>
      <w:r w:rsidRPr="00A03291">
        <w:rPr>
          <w:rFonts w:ascii="Times New Roman" w:hAnsi="Times New Roman" w:cs="Times New Roman"/>
          <w:sz w:val="28"/>
          <w:szCs w:val="28"/>
          <w:lang w:val="uk-UA"/>
        </w:rPr>
        <w:t xml:space="preserve"> а</w:t>
      </w:r>
      <w:r w:rsidR="00F137CB">
        <w:rPr>
          <w:rFonts w:ascii="Times New Roman" w:hAnsi="Times New Roman" w:cs="Times New Roman"/>
          <w:sz w:val="28"/>
          <w:szCs w:val="28"/>
          <w:lang w:val="uk-UA"/>
        </w:rPr>
        <w:t>кумуляція яких у позаклітинному</w:t>
      </w:r>
      <w:r w:rsidRPr="00A03291">
        <w:rPr>
          <w:rFonts w:ascii="Times New Roman" w:hAnsi="Times New Roman" w:cs="Times New Roman"/>
          <w:sz w:val="28"/>
          <w:szCs w:val="28"/>
          <w:lang w:val="uk-UA"/>
        </w:rPr>
        <w:t xml:space="preserve"> просторі призводить до втрати еластичності судинної стінки; порушення</w:t>
      </w:r>
      <w:r>
        <w:rPr>
          <w:rFonts w:ascii="Times New Roman" w:hAnsi="Times New Roman" w:cs="Times New Roman"/>
          <w:sz w:val="28"/>
          <w:szCs w:val="28"/>
          <w:lang w:val="uk-UA"/>
        </w:rPr>
        <w:t>м</w:t>
      </w:r>
      <w:r w:rsidRPr="00A03291">
        <w:rPr>
          <w:rFonts w:ascii="Times New Roman" w:hAnsi="Times New Roman" w:cs="Times New Roman"/>
          <w:sz w:val="28"/>
          <w:szCs w:val="28"/>
          <w:lang w:val="uk-UA"/>
        </w:rPr>
        <w:t xml:space="preserve"> транспорту кальцію внаслідок електромеханічного дисбаланс</w:t>
      </w:r>
      <w:r>
        <w:rPr>
          <w:rFonts w:ascii="Times New Roman" w:hAnsi="Times New Roman" w:cs="Times New Roman"/>
          <w:sz w:val="28"/>
          <w:szCs w:val="28"/>
          <w:lang w:val="uk-UA"/>
        </w:rPr>
        <w:t>у та</w:t>
      </w:r>
      <w:r w:rsidRPr="00A03291">
        <w:rPr>
          <w:rFonts w:ascii="Times New Roman" w:hAnsi="Times New Roman" w:cs="Times New Roman"/>
          <w:sz w:val="28"/>
          <w:szCs w:val="28"/>
          <w:lang w:val="uk-UA"/>
        </w:rPr>
        <w:t xml:space="preserve"> аси</w:t>
      </w:r>
      <w:r>
        <w:rPr>
          <w:rFonts w:ascii="Times New Roman" w:hAnsi="Times New Roman" w:cs="Times New Roman"/>
          <w:sz w:val="28"/>
          <w:szCs w:val="28"/>
          <w:lang w:val="uk-UA"/>
        </w:rPr>
        <w:t>нхронності розслаблення міокарда</w:t>
      </w:r>
      <w:r w:rsidRPr="00A03291">
        <w:rPr>
          <w:rFonts w:ascii="Times New Roman" w:hAnsi="Times New Roman" w:cs="Times New Roman"/>
          <w:sz w:val="28"/>
          <w:szCs w:val="28"/>
          <w:lang w:val="uk-UA"/>
        </w:rPr>
        <w:t>.</w:t>
      </w:r>
      <w:r>
        <w:rPr>
          <w:rFonts w:ascii="Times New Roman" w:hAnsi="Times New Roman" w:cs="Times New Roman"/>
          <w:sz w:val="28"/>
          <w:szCs w:val="28"/>
          <w:lang w:val="uk-UA"/>
        </w:rPr>
        <w:t xml:space="preserve"> Структурно-функціональні зміни міокарда ЛШ </w:t>
      </w:r>
      <w:r w:rsidR="007C01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при ЦД 2-го типу виявляються у вигляді гіпертрофії чи ремоделювання, </w:t>
      </w:r>
      <w:r w:rsidR="007C0124">
        <w:rPr>
          <w:rFonts w:ascii="Times New Roman" w:hAnsi="Times New Roman" w:cs="Times New Roman"/>
          <w:sz w:val="28"/>
          <w:szCs w:val="28"/>
          <w:lang w:val="uk-UA"/>
        </w:rPr>
        <w:t xml:space="preserve">      </w:t>
      </w:r>
      <w:r w:rsidR="00681667">
        <w:rPr>
          <w:rFonts w:ascii="Times New Roman" w:hAnsi="Times New Roman" w:cs="Times New Roman"/>
          <w:sz w:val="28"/>
          <w:szCs w:val="28"/>
          <w:lang w:val="uk-UA"/>
        </w:rPr>
        <w:lastRenderedPageBreak/>
        <w:t xml:space="preserve">які </w:t>
      </w:r>
      <w:r w:rsidR="00F137CB">
        <w:rPr>
          <w:rFonts w:ascii="Times New Roman" w:hAnsi="Times New Roman" w:cs="Times New Roman"/>
          <w:sz w:val="28"/>
          <w:szCs w:val="28"/>
          <w:lang w:val="uk-UA"/>
        </w:rPr>
        <w:t xml:space="preserve">визначаються </w:t>
      </w:r>
      <w:r w:rsidR="00681667">
        <w:rPr>
          <w:rFonts w:ascii="Times New Roman" w:hAnsi="Times New Roman" w:cs="Times New Roman"/>
          <w:sz w:val="28"/>
          <w:szCs w:val="28"/>
          <w:lang w:val="uk-UA"/>
        </w:rPr>
        <w:t>із урахуванням</w:t>
      </w:r>
      <w:r>
        <w:rPr>
          <w:rFonts w:ascii="Times New Roman" w:hAnsi="Times New Roman" w:cs="Times New Roman"/>
          <w:sz w:val="28"/>
          <w:szCs w:val="28"/>
          <w:lang w:val="uk-UA"/>
        </w:rPr>
        <w:t xml:space="preserve"> ІММЛШ. Гіпертрофія міокарда також призводить</w:t>
      </w:r>
      <w:r w:rsidR="00681667">
        <w:rPr>
          <w:rFonts w:ascii="Times New Roman" w:hAnsi="Times New Roman" w:cs="Times New Roman"/>
          <w:sz w:val="28"/>
          <w:szCs w:val="28"/>
          <w:lang w:val="uk-UA"/>
        </w:rPr>
        <w:t xml:space="preserve"> до порушення функції діастоли. </w:t>
      </w:r>
      <w:r>
        <w:rPr>
          <w:rFonts w:ascii="Times New Roman" w:hAnsi="Times New Roman" w:cs="Times New Roman"/>
          <w:sz w:val="28"/>
          <w:szCs w:val="28"/>
          <w:lang w:val="uk-UA"/>
        </w:rPr>
        <w:t xml:space="preserve">Гіперурикемія сприяє не лише поглибленню ДН, а й порушенню діастолічної функції серця. </w:t>
      </w:r>
    </w:p>
    <w:p w:rsidR="0087443D" w:rsidRPr="00A47186" w:rsidRDefault="00953D47" w:rsidP="0087443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953D47">
        <w:rPr>
          <w:rFonts w:ascii="Times New Roman" w:hAnsi="Times New Roman" w:cs="Times New Roman"/>
          <w:sz w:val="28"/>
          <w:szCs w:val="28"/>
          <w:lang w:val="uk-UA"/>
        </w:rPr>
        <w:t>нгiбiтор</w:t>
      </w:r>
      <w:r>
        <w:rPr>
          <w:rFonts w:ascii="Times New Roman" w:hAnsi="Times New Roman" w:cs="Times New Roman"/>
          <w:sz w:val="28"/>
          <w:szCs w:val="28"/>
          <w:lang w:val="uk-UA"/>
        </w:rPr>
        <w:t>и</w:t>
      </w:r>
      <w:r w:rsidRPr="00953D47">
        <w:rPr>
          <w:rFonts w:ascii="Times New Roman" w:hAnsi="Times New Roman" w:cs="Times New Roman"/>
          <w:sz w:val="28"/>
          <w:szCs w:val="28"/>
          <w:lang w:val="uk-UA"/>
        </w:rPr>
        <w:t xml:space="preserve"> </w:t>
      </w:r>
      <w:r w:rsidR="00477FA0">
        <w:rPr>
          <w:rFonts w:ascii="Times New Roman" w:hAnsi="Times New Roman" w:cs="Times New Roman"/>
          <w:sz w:val="28"/>
          <w:szCs w:val="28"/>
          <w:lang w:val="uk-UA"/>
        </w:rPr>
        <w:t xml:space="preserve">АПФ </w:t>
      </w:r>
      <w:r w:rsidR="0087443D">
        <w:rPr>
          <w:rFonts w:ascii="Times New Roman" w:hAnsi="Times New Roman" w:cs="Times New Roman"/>
          <w:sz w:val="28"/>
          <w:szCs w:val="28"/>
          <w:lang w:val="uk-UA"/>
        </w:rPr>
        <w:t>та БРА є препаратами вибору в</w:t>
      </w:r>
      <w:r w:rsidR="0087443D" w:rsidRPr="00A03291">
        <w:rPr>
          <w:rFonts w:ascii="Times New Roman" w:hAnsi="Times New Roman" w:cs="Times New Roman"/>
          <w:sz w:val="28"/>
          <w:szCs w:val="28"/>
          <w:lang w:val="uk-UA"/>
        </w:rPr>
        <w:t xml:space="preserve"> пацієнтів із </w:t>
      </w:r>
      <w:r>
        <w:rPr>
          <w:rFonts w:ascii="Times New Roman" w:hAnsi="Times New Roman" w:cs="Times New Roman"/>
          <w:sz w:val="28"/>
          <w:szCs w:val="28"/>
          <w:lang w:val="uk-UA"/>
        </w:rPr>
        <w:t xml:space="preserve">АГ та супутнім </w:t>
      </w:r>
      <w:r w:rsidR="0087443D" w:rsidRPr="00A03291">
        <w:rPr>
          <w:rFonts w:ascii="Times New Roman" w:hAnsi="Times New Roman" w:cs="Times New Roman"/>
          <w:sz w:val="28"/>
          <w:szCs w:val="28"/>
          <w:lang w:val="uk-UA"/>
        </w:rPr>
        <w:t>ЦД 2</w:t>
      </w:r>
      <w:r w:rsidR="0087443D">
        <w:rPr>
          <w:rFonts w:ascii="Times New Roman" w:hAnsi="Times New Roman" w:cs="Times New Roman"/>
          <w:sz w:val="28"/>
          <w:szCs w:val="28"/>
          <w:lang w:val="uk-UA"/>
        </w:rPr>
        <w:t>-го типу</w:t>
      </w:r>
      <w:r w:rsidR="0087443D" w:rsidRPr="00A03291">
        <w:rPr>
          <w:rFonts w:ascii="Times New Roman" w:hAnsi="Times New Roman" w:cs="Times New Roman"/>
          <w:sz w:val="28"/>
          <w:szCs w:val="28"/>
          <w:lang w:val="uk-UA"/>
        </w:rPr>
        <w:t xml:space="preserve">, </w:t>
      </w:r>
      <w:r w:rsidR="0087443D">
        <w:rPr>
          <w:rFonts w:ascii="Times New Roman" w:hAnsi="Times New Roman" w:cs="Times New Roman"/>
          <w:sz w:val="28"/>
          <w:szCs w:val="28"/>
          <w:lang w:val="uk-UA"/>
        </w:rPr>
        <w:t>оскільки вони не лише</w:t>
      </w:r>
      <w:r w:rsidR="0087443D" w:rsidRPr="00A03291">
        <w:rPr>
          <w:rFonts w:ascii="Times New Roman" w:hAnsi="Times New Roman" w:cs="Times New Roman"/>
          <w:sz w:val="28"/>
          <w:szCs w:val="28"/>
          <w:lang w:val="uk-UA"/>
        </w:rPr>
        <w:t xml:space="preserve"> знижують АТ, а й мають о</w:t>
      </w:r>
      <w:r w:rsidR="0087443D">
        <w:rPr>
          <w:rFonts w:ascii="Times New Roman" w:hAnsi="Times New Roman" w:cs="Times New Roman"/>
          <w:sz w:val="28"/>
          <w:szCs w:val="28"/>
          <w:lang w:val="uk-UA"/>
        </w:rPr>
        <w:t xml:space="preserve">рганопротекторні властивості. Додатковим плейотропним ефектом </w:t>
      </w:r>
      <w:r w:rsidR="0087443D" w:rsidRPr="00A03291">
        <w:rPr>
          <w:rFonts w:ascii="Times New Roman" w:hAnsi="Times New Roman" w:cs="Times New Roman"/>
          <w:sz w:val="28"/>
          <w:szCs w:val="28"/>
          <w:lang w:val="uk-UA"/>
        </w:rPr>
        <w:t>телмісартан</w:t>
      </w:r>
      <w:r w:rsidR="0087443D">
        <w:rPr>
          <w:rFonts w:ascii="Times New Roman" w:hAnsi="Times New Roman" w:cs="Times New Roman"/>
          <w:sz w:val="28"/>
          <w:szCs w:val="28"/>
          <w:lang w:val="uk-UA"/>
        </w:rPr>
        <w:t>у</w:t>
      </w:r>
      <w:r w:rsidR="003844F5">
        <w:rPr>
          <w:rFonts w:ascii="Times New Roman" w:hAnsi="Times New Roman" w:cs="Times New Roman"/>
          <w:sz w:val="28"/>
          <w:szCs w:val="28"/>
          <w:lang w:val="uk-UA"/>
        </w:rPr>
        <w:t xml:space="preserve"> є</w:t>
      </w:r>
      <w:r w:rsidR="0087443D">
        <w:rPr>
          <w:rFonts w:ascii="Times New Roman" w:hAnsi="Times New Roman" w:cs="Times New Roman"/>
          <w:sz w:val="28"/>
          <w:szCs w:val="28"/>
          <w:lang w:val="uk-UA"/>
        </w:rPr>
        <w:t xml:space="preserve"> помірним вплив на</w:t>
      </w:r>
      <w:r w:rsidR="0087443D" w:rsidRPr="00332590">
        <w:rPr>
          <w:lang w:val="uk-UA"/>
        </w:rPr>
        <w:t xml:space="preserve"> </w:t>
      </w:r>
      <w:r w:rsidR="0087443D" w:rsidRPr="00332590">
        <w:rPr>
          <w:rFonts w:ascii="Times New Roman" w:hAnsi="Times New Roman" w:cs="Times New Roman"/>
          <w:sz w:val="28"/>
          <w:szCs w:val="28"/>
          <w:lang w:val="uk-UA"/>
        </w:rPr>
        <w:t>PPARγ</w:t>
      </w:r>
      <w:r w:rsidR="0087443D">
        <w:rPr>
          <w:rFonts w:ascii="Times New Roman" w:hAnsi="Times New Roman" w:cs="Times New Roman"/>
          <w:sz w:val="28"/>
          <w:szCs w:val="28"/>
          <w:lang w:val="uk-UA"/>
        </w:rPr>
        <w:t xml:space="preserve"> рецептори, активація яких зумовлює</w:t>
      </w:r>
      <w:r w:rsidR="0087443D" w:rsidRPr="004B2AA0">
        <w:rPr>
          <w:rFonts w:ascii="Times New Roman" w:hAnsi="Times New Roman" w:cs="Times New Roman"/>
          <w:sz w:val="28"/>
          <w:szCs w:val="28"/>
          <w:lang w:val="uk-UA"/>
        </w:rPr>
        <w:t xml:space="preserve"> надходження глюкози д</w:t>
      </w:r>
      <w:r w:rsidR="003844F5">
        <w:rPr>
          <w:rFonts w:ascii="Times New Roman" w:hAnsi="Times New Roman" w:cs="Times New Roman"/>
          <w:sz w:val="28"/>
          <w:szCs w:val="28"/>
          <w:lang w:val="uk-UA"/>
        </w:rPr>
        <w:t>о клітин печінки та скелетних мʼ</w:t>
      </w:r>
      <w:r w:rsidR="0087443D" w:rsidRPr="004B2AA0">
        <w:rPr>
          <w:rFonts w:ascii="Times New Roman" w:hAnsi="Times New Roman" w:cs="Times New Roman"/>
          <w:sz w:val="28"/>
          <w:szCs w:val="28"/>
          <w:lang w:val="uk-UA"/>
        </w:rPr>
        <w:t xml:space="preserve">язів, зменшуючи </w:t>
      </w:r>
      <w:r w:rsidR="00CF5EAD">
        <w:rPr>
          <w:rFonts w:ascii="Times New Roman" w:hAnsi="Times New Roman" w:cs="Times New Roman"/>
          <w:sz w:val="28"/>
          <w:szCs w:val="28"/>
          <w:lang w:val="uk-UA"/>
        </w:rPr>
        <w:t>її вміст</w:t>
      </w:r>
      <w:r w:rsidR="0087443D">
        <w:rPr>
          <w:rFonts w:ascii="Times New Roman" w:hAnsi="Times New Roman" w:cs="Times New Roman"/>
          <w:sz w:val="28"/>
          <w:szCs w:val="28"/>
          <w:lang w:val="uk-UA"/>
        </w:rPr>
        <w:t xml:space="preserve"> у</w:t>
      </w:r>
      <w:r w:rsidR="0087443D" w:rsidRPr="004B2AA0">
        <w:rPr>
          <w:rFonts w:ascii="Times New Roman" w:hAnsi="Times New Roman" w:cs="Times New Roman"/>
          <w:sz w:val="28"/>
          <w:szCs w:val="28"/>
          <w:lang w:val="uk-UA"/>
        </w:rPr>
        <w:t xml:space="preserve"> крові</w:t>
      </w:r>
      <w:r w:rsidR="0087443D">
        <w:rPr>
          <w:rFonts w:ascii="Times New Roman" w:hAnsi="Times New Roman" w:cs="Times New Roman"/>
          <w:sz w:val="28"/>
          <w:szCs w:val="28"/>
          <w:lang w:val="uk-UA"/>
        </w:rPr>
        <w:t>;</w:t>
      </w:r>
      <w:r w:rsidR="0087443D" w:rsidRPr="00332590">
        <w:rPr>
          <w:lang w:val="uk-UA"/>
        </w:rPr>
        <w:t xml:space="preserve"> </w:t>
      </w:r>
      <w:r w:rsidR="0087443D">
        <w:rPr>
          <w:rFonts w:ascii="Times New Roman" w:hAnsi="Times New Roman" w:cs="Times New Roman"/>
          <w:sz w:val="28"/>
          <w:szCs w:val="28"/>
          <w:lang w:val="uk-UA"/>
        </w:rPr>
        <w:t>сприяє покраща</w:t>
      </w:r>
      <w:r w:rsidR="0087443D" w:rsidRPr="00332590">
        <w:rPr>
          <w:rFonts w:ascii="Times New Roman" w:hAnsi="Times New Roman" w:cs="Times New Roman"/>
          <w:sz w:val="28"/>
          <w:szCs w:val="28"/>
          <w:lang w:val="uk-UA"/>
        </w:rPr>
        <w:t>нню ЕД та відновлює чутливість тканин до інсуліну</w:t>
      </w:r>
      <w:r w:rsidR="0087443D">
        <w:rPr>
          <w:rFonts w:ascii="Times New Roman" w:hAnsi="Times New Roman" w:cs="Times New Roman"/>
          <w:sz w:val="28"/>
          <w:szCs w:val="28"/>
          <w:lang w:val="uk-UA"/>
        </w:rPr>
        <w:t>. Таким чином, рекомендовано застосо</w:t>
      </w:r>
      <w:r w:rsidR="00CF5EAD">
        <w:rPr>
          <w:rFonts w:ascii="Times New Roman" w:hAnsi="Times New Roman" w:cs="Times New Roman"/>
          <w:sz w:val="28"/>
          <w:szCs w:val="28"/>
          <w:lang w:val="uk-UA"/>
        </w:rPr>
        <w:t>вувати саме телмісартан у пацієнтів</w:t>
      </w:r>
      <w:r w:rsidR="0087443D">
        <w:rPr>
          <w:rFonts w:ascii="Times New Roman" w:hAnsi="Times New Roman" w:cs="Times New Roman"/>
          <w:sz w:val="28"/>
          <w:szCs w:val="28"/>
          <w:lang w:val="uk-UA"/>
        </w:rPr>
        <w:t xml:space="preserve"> із АГ та ЦД 2-го типу, а також оптимізувати лікування коморбідної патології шляхом розроблення диференційованого підходу до призначення вказаного БРА.</w:t>
      </w:r>
    </w:p>
    <w:p w:rsidR="00DB75E2" w:rsidRPr="0087443D" w:rsidRDefault="00DB75E2" w:rsidP="00A03291">
      <w:pPr>
        <w:pStyle w:val="a3"/>
        <w:spacing w:before="0" w:beforeAutospacing="0" w:after="0" w:afterAutospacing="0" w:line="360" w:lineRule="auto"/>
        <w:jc w:val="center"/>
        <w:rPr>
          <w:b/>
          <w:color w:val="000000"/>
          <w:sz w:val="28"/>
          <w:szCs w:val="28"/>
          <w:lang w:val="uk-UA"/>
        </w:rPr>
      </w:pPr>
    </w:p>
    <w:p w:rsidR="00DB75E2" w:rsidRPr="0087443D" w:rsidRDefault="00DB75E2" w:rsidP="00A03291">
      <w:pPr>
        <w:pStyle w:val="a3"/>
        <w:spacing w:before="0" w:beforeAutospacing="0" w:after="0" w:afterAutospacing="0" w:line="360" w:lineRule="auto"/>
        <w:jc w:val="center"/>
        <w:rPr>
          <w:b/>
          <w:color w:val="000000"/>
          <w:sz w:val="28"/>
          <w:szCs w:val="28"/>
          <w:lang w:val="uk-UA"/>
        </w:rPr>
      </w:pPr>
    </w:p>
    <w:p w:rsidR="008A3A21" w:rsidRDefault="008A3A21" w:rsidP="00A03291">
      <w:pPr>
        <w:pStyle w:val="a3"/>
        <w:spacing w:before="0" w:beforeAutospacing="0" w:after="0" w:afterAutospacing="0" w:line="360" w:lineRule="auto"/>
        <w:jc w:val="center"/>
        <w:rPr>
          <w:b/>
          <w:color w:val="000000"/>
          <w:sz w:val="28"/>
          <w:szCs w:val="28"/>
          <w:lang w:val="uk-UA"/>
        </w:rPr>
      </w:pPr>
    </w:p>
    <w:p w:rsidR="008A3A21" w:rsidRDefault="008A3A21" w:rsidP="00A03291">
      <w:pPr>
        <w:pStyle w:val="a3"/>
        <w:spacing w:before="0" w:beforeAutospacing="0" w:after="0" w:afterAutospacing="0" w:line="360" w:lineRule="auto"/>
        <w:jc w:val="center"/>
        <w:rPr>
          <w:b/>
          <w:color w:val="000000"/>
          <w:sz w:val="28"/>
          <w:szCs w:val="28"/>
          <w:lang w:val="uk-UA"/>
        </w:rPr>
      </w:pPr>
    </w:p>
    <w:p w:rsidR="009757C4" w:rsidRPr="000A0BA7" w:rsidRDefault="009757C4" w:rsidP="0087443D">
      <w:pPr>
        <w:pStyle w:val="a3"/>
        <w:spacing w:before="0" w:beforeAutospacing="0" w:after="0" w:afterAutospacing="0" w:line="360" w:lineRule="auto"/>
        <w:rPr>
          <w:b/>
          <w:color w:val="000000"/>
          <w:sz w:val="28"/>
          <w:szCs w:val="28"/>
          <w:lang w:val="uk-UA"/>
        </w:rPr>
      </w:pPr>
    </w:p>
    <w:p w:rsidR="0087443D" w:rsidRPr="000A0BA7" w:rsidRDefault="0087443D" w:rsidP="0087443D">
      <w:pPr>
        <w:pStyle w:val="a3"/>
        <w:spacing w:before="0" w:beforeAutospacing="0" w:after="0" w:afterAutospacing="0" w:line="360" w:lineRule="auto"/>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CF5EAD" w:rsidRDefault="00CF5EAD" w:rsidP="00A03291">
      <w:pPr>
        <w:pStyle w:val="a3"/>
        <w:spacing w:before="0" w:beforeAutospacing="0" w:after="0" w:afterAutospacing="0" w:line="360" w:lineRule="auto"/>
        <w:jc w:val="center"/>
        <w:rPr>
          <w:b/>
          <w:color w:val="000000"/>
          <w:sz w:val="28"/>
          <w:szCs w:val="28"/>
          <w:lang w:val="uk-UA"/>
        </w:rPr>
      </w:pPr>
    </w:p>
    <w:p w:rsidR="007E3522" w:rsidRDefault="007E3522" w:rsidP="00953D47">
      <w:pPr>
        <w:pStyle w:val="a3"/>
        <w:spacing w:before="0" w:beforeAutospacing="0" w:after="0" w:afterAutospacing="0" w:line="360" w:lineRule="auto"/>
        <w:rPr>
          <w:b/>
          <w:color w:val="000000"/>
          <w:sz w:val="28"/>
          <w:szCs w:val="28"/>
          <w:lang w:val="uk-UA"/>
        </w:rPr>
      </w:pPr>
    </w:p>
    <w:p w:rsidR="001153F2" w:rsidRPr="00340897" w:rsidRDefault="001153F2" w:rsidP="00CB3165">
      <w:pPr>
        <w:pStyle w:val="a3"/>
        <w:spacing w:before="0" w:beforeAutospacing="0" w:after="0" w:afterAutospacing="0" w:line="360" w:lineRule="auto"/>
        <w:jc w:val="center"/>
        <w:rPr>
          <w:b/>
          <w:color w:val="000000"/>
          <w:sz w:val="28"/>
          <w:szCs w:val="28"/>
          <w:lang w:val="uk-UA"/>
        </w:rPr>
      </w:pPr>
      <w:r w:rsidRPr="00340897">
        <w:rPr>
          <w:b/>
          <w:color w:val="000000"/>
          <w:sz w:val="28"/>
          <w:szCs w:val="28"/>
          <w:lang w:val="uk-UA"/>
        </w:rPr>
        <w:lastRenderedPageBreak/>
        <w:t>РОЗДІЛ 2</w:t>
      </w:r>
    </w:p>
    <w:p w:rsidR="001153F2" w:rsidRDefault="007B1CB8" w:rsidP="004C032B">
      <w:pPr>
        <w:pStyle w:val="a3"/>
        <w:spacing w:before="0" w:beforeAutospacing="0" w:after="0" w:afterAutospacing="0" w:line="360" w:lineRule="auto"/>
        <w:jc w:val="center"/>
        <w:rPr>
          <w:b/>
          <w:color w:val="000000"/>
          <w:sz w:val="28"/>
          <w:szCs w:val="28"/>
          <w:lang w:val="uk-UA"/>
        </w:rPr>
      </w:pPr>
      <w:r>
        <w:rPr>
          <w:b/>
          <w:color w:val="000000"/>
          <w:sz w:val="28"/>
          <w:szCs w:val="28"/>
          <w:lang w:val="uk-UA"/>
        </w:rPr>
        <w:t>МАТЕРІАЛИ ТА</w:t>
      </w:r>
      <w:r w:rsidR="001153F2" w:rsidRPr="00340897">
        <w:rPr>
          <w:b/>
          <w:color w:val="000000"/>
          <w:sz w:val="28"/>
          <w:szCs w:val="28"/>
          <w:lang w:val="uk-UA"/>
        </w:rPr>
        <w:t xml:space="preserve"> МЕТОДИ ДОСЛІДЖЕННЯ</w:t>
      </w:r>
    </w:p>
    <w:p w:rsidR="00401A7E" w:rsidRPr="00340897" w:rsidRDefault="00401A7E" w:rsidP="004C032B">
      <w:pPr>
        <w:pStyle w:val="a3"/>
        <w:spacing w:before="0" w:beforeAutospacing="0" w:after="0" w:afterAutospacing="0" w:line="360" w:lineRule="auto"/>
        <w:jc w:val="center"/>
        <w:rPr>
          <w:b/>
          <w:color w:val="000000"/>
          <w:sz w:val="28"/>
          <w:szCs w:val="28"/>
          <w:lang w:val="uk-UA"/>
        </w:rPr>
      </w:pPr>
    </w:p>
    <w:p w:rsidR="001153F2" w:rsidRDefault="00340897" w:rsidP="004C032B">
      <w:pPr>
        <w:pStyle w:val="a3"/>
        <w:spacing w:before="0" w:beforeAutospacing="0" w:after="0" w:afterAutospacing="0" w:line="360" w:lineRule="auto"/>
        <w:rPr>
          <w:b/>
          <w:color w:val="000000"/>
          <w:sz w:val="28"/>
          <w:szCs w:val="28"/>
          <w:lang w:val="uk-UA"/>
        </w:rPr>
      </w:pPr>
      <w:r>
        <w:rPr>
          <w:b/>
          <w:color w:val="000000"/>
          <w:sz w:val="28"/>
          <w:szCs w:val="28"/>
          <w:lang w:val="uk-UA"/>
        </w:rPr>
        <w:t>2.1</w:t>
      </w:r>
      <w:r w:rsidR="00CF24BF">
        <w:rPr>
          <w:b/>
          <w:color w:val="000000"/>
          <w:sz w:val="28"/>
          <w:szCs w:val="28"/>
          <w:lang w:val="uk-UA"/>
        </w:rPr>
        <w:t>.</w:t>
      </w:r>
      <w:r>
        <w:rPr>
          <w:b/>
          <w:color w:val="000000"/>
          <w:sz w:val="28"/>
          <w:szCs w:val="28"/>
          <w:lang w:val="uk-UA"/>
        </w:rPr>
        <w:t xml:space="preserve"> </w:t>
      </w:r>
      <w:r w:rsidR="001153F2" w:rsidRPr="00340897">
        <w:rPr>
          <w:b/>
          <w:color w:val="000000"/>
          <w:sz w:val="28"/>
          <w:szCs w:val="28"/>
          <w:lang w:val="uk-UA"/>
        </w:rPr>
        <w:t>Клінічна характеристика обстежених хворих</w:t>
      </w:r>
    </w:p>
    <w:p w:rsidR="00401A7E" w:rsidRPr="00340897" w:rsidRDefault="00A47186" w:rsidP="00A47186">
      <w:pPr>
        <w:pStyle w:val="a3"/>
        <w:tabs>
          <w:tab w:val="left" w:pos="2062"/>
        </w:tabs>
        <w:spacing w:before="0" w:beforeAutospacing="0" w:after="0" w:afterAutospacing="0" w:line="360" w:lineRule="auto"/>
        <w:rPr>
          <w:b/>
          <w:color w:val="000000"/>
          <w:sz w:val="28"/>
          <w:szCs w:val="28"/>
          <w:lang w:val="uk-UA"/>
        </w:rPr>
      </w:pPr>
      <w:r>
        <w:rPr>
          <w:b/>
          <w:color w:val="000000"/>
          <w:sz w:val="28"/>
          <w:szCs w:val="28"/>
          <w:lang w:val="uk-UA"/>
        </w:rPr>
        <w:tab/>
      </w:r>
    </w:p>
    <w:p w:rsidR="00754616" w:rsidRPr="008707FF" w:rsidRDefault="009E6B85" w:rsidP="004D511B">
      <w:pPr>
        <w:pStyle w:val="a3"/>
        <w:spacing w:before="0" w:beforeAutospacing="0" w:after="0" w:afterAutospacing="0" w:line="360" w:lineRule="auto"/>
        <w:ind w:firstLine="708"/>
        <w:jc w:val="both"/>
        <w:rPr>
          <w:color w:val="000000"/>
          <w:sz w:val="28"/>
          <w:szCs w:val="28"/>
          <w:lang w:val="uk-UA"/>
        </w:rPr>
      </w:pPr>
      <w:r w:rsidRPr="00A47186">
        <w:rPr>
          <w:color w:val="000000"/>
          <w:sz w:val="28"/>
          <w:szCs w:val="28"/>
          <w:lang w:val="uk-UA"/>
        </w:rPr>
        <w:t>Для досягнення встановлен</w:t>
      </w:r>
      <w:r w:rsidR="00FB4D30" w:rsidRPr="00A47186">
        <w:rPr>
          <w:color w:val="000000"/>
          <w:sz w:val="28"/>
          <w:szCs w:val="28"/>
          <w:lang w:val="uk-UA"/>
        </w:rPr>
        <w:t>ої мети та вирішення</w:t>
      </w:r>
      <w:r w:rsidRPr="00A47186">
        <w:rPr>
          <w:color w:val="000000"/>
          <w:sz w:val="28"/>
          <w:szCs w:val="28"/>
          <w:lang w:val="uk-UA"/>
        </w:rPr>
        <w:t xml:space="preserve"> завдань</w:t>
      </w:r>
      <w:r w:rsidR="00FB4D30" w:rsidRPr="00A47186">
        <w:rPr>
          <w:color w:val="000000"/>
          <w:sz w:val="28"/>
          <w:szCs w:val="28"/>
          <w:lang w:val="uk-UA"/>
        </w:rPr>
        <w:t xml:space="preserve"> дослідження</w:t>
      </w:r>
      <w:r>
        <w:rPr>
          <w:color w:val="000000"/>
          <w:sz w:val="28"/>
          <w:szCs w:val="28"/>
          <w:lang w:val="uk-UA"/>
        </w:rPr>
        <w:t xml:space="preserve"> було</w:t>
      </w:r>
      <w:r w:rsidR="009F1017">
        <w:rPr>
          <w:color w:val="000000"/>
          <w:sz w:val="28"/>
          <w:szCs w:val="28"/>
          <w:lang w:val="uk-UA"/>
        </w:rPr>
        <w:t xml:space="preserve"> обстежено </w:t>
      </w:r>
      <w:r w:rsidR="00F661C1" w:rsidRPr="00D02643">
        <w:rPr>
          <w:color w:val="000000"/>
          <w:sz w:val="28"/>
          <w:szCs w:val="28"/>
          <w:lang w:val="uk-UA"/>
        </w:rPr>
        <w:t>13</w:t>
      </w:r>
      <w:r w:rsidR="00703D58" w:rsidRPr="00D02643">
        <w:rPr>
          <w:color w:val="000000"/>
          <w:sz w:val="28"/>
          <w:szCs w:val="28"/>
          <w:lang w:val="uk-UA"/>
        </w:rPr>
        <w:t>6</w:t>
      </w:r>
      <w:r w:rsidR="001153F2" w:rsidRPr="008707FF">
        <w:rPr>
          <w:color w:val="000000"/>
          <w:sz w:val="28"/>
          <w:szCs w:val="28"/>
          <w:lang w:val="uk-UA"/>
        </w:rPr>
        <w:t xml:space="preserve"> о</w:t>
      </w:r>
      <w:r w:rsidR="007B1CB8">
        <w:rPr>
          <w:color w:val="000000"/>
          <w:sz w:val="28"/>
          <w:szCs w:val="28"/>
          <w:lang w:val="uk-UA"/>
        </w:rPr>
        <w:t>сіб. Основну (І) групу с</w:t>
      </w:r>
      <w:r w:rsidR="008A0DD4">
        <w:rPr>
          <w:color w:val="000000"/>
          <w:sz w:val="28"/>
          <w:szCs w:val="28"/>
          <w:lang w:val="uk-UA"/>
        </w:rPr>
        <w:t>клали</w:t>
      </w:r>
      <w:r w:rsidR="009F1017">
        <w:rPr>
          <w:color w:val="000000"/>
          <w:sz w:val="28"/>
          <w:szCs w:val="28"/>
          <w:lang w:val="uk-UA"/>
        </w:rPr>
        <w:t xml:space="preserve"> </w:t>
      </w:r>
      <w:r w:rsidR="00F661C1" w:rsidRPr="00F661C1">
        <w:rPr>
          <w:color w:val="000000"/>
          <w:sz w:val="28"/>
          <w:szCs w:val="28"/>
          <w:lang w:val="uk-UA"/>
        </w:rPr>
        <w:t>9</w:t>
      </w:r>
      <w:r w:rsidR="00703D58" w:rsidRPr="00703D58">
        <w:rPr>
          <w:color w:val="000000"/>
          <w:sz w:val="28"/>
          <w:szCs w:val="28"/>
          <w:lang w:val="uk-UA"/>
        </w:rPr>
        <w:t>6</w:t>
      </w:r>
      <w:r w:rsidR="001153F2" w:rsidRPr="008707FF">
        <w:rPr>
          <w:color w:val="000000"/>
          <w:sz w:val="28"/>
          <w:szCs w:val="28"/>
          <w:lang w:val="uk-UA"/>
        </w:rPr>
        <w:t xml:space="preserve"> пацієнті</w:t>
      </w:r>
      <w:r w:rsidR="00754616" w:rsidRPr="008707FF">
        <w:rPr>
          <w:color w:val="000000"/>
          <w:sz w:val="28"/>
          <w:szCs w:val="28"/>
          <w:lang w:val="uk-UA"/>
        </w:rPr>
        <w:t xml:space="preserve">в із </w:t>
      </w:r>
      <w:r w:rsidR="00050A5A" w:rsidRPr="00050A5A">
        <w:rPr>
          <w:color w:val="000000"/>
          <w:sz w:val="28"/>
          <w:szCs w:val="28"/>
          <w:lang w:val="uk-UA"/>
        </w:rPr>
        <w:t xml:space="preserve">АГ ІІІ стадії та </w:t>
      </w:r>
      <w:r w:rsidR="00754616" w:rsidRPr="008707FF">
        <w:rPr>
          <w:color w:val="000000"/>
          <w:sz w:val="28"/>
          <w:szCs w:val="28"/>
          <w:lang w:val="uk-UA"/>
        </w:rPr>
        <w:t>ЦД 2</w:t>
      </w:r>
      <w:r w:rsidR="00CF24BF">
        <w:rPr>
          <w:color w:val="000000"/>
          <w:sz w:val="28"/>
          <w:szCs w:val="28"/>
          <w:lang w:val="uk-UA"/>
        </w:rPr>
        <w:t>-го</w:t>
      </w:r>
      <w:r w:rsidR="00050A5A">
        <w:rPr>
          <w:color w:val="000000"/>
          <w:sz w:val="28"/>
          <w:szCs w:val="28"/>
          <w:lang w:val="uk-UA"/>
        </w:rPr>
        <w:t xml:space="preserve"> типу</w:t>
      </w:r>
      <w:r w:rsidR="00754616" w:rsidRPr="008707FF">
        <w:rPr>
          <w:color w:val="000000"/>
          <w:sz w:val="28"/>
          <w:szCs w:val="28"/>
          <w:lang w:val="uk-UA"/>
        </w:rPr>
        <w:t>, г</w:t>
      </w:r>
      <w:r w:rsidR="001153F2" w:rsidRPr="008707FF">
        <w:rPr>
          <w:color w:val="000000"/>
          <w:sz w:val="28"/>
          <w:szCs w:val="28"/>
          <w:lang w:val="uk-UA"/>
        </w:rPr>
        <w:t>рупу порівняння (ІІ)</w:t>
      </w:r>
      <w:r w:rsidR="007B1CB8">
        <w:rPr>
          <w:color w:val="000000"/>
          <w:sz w:val="28"/>
          <w:szCs w:val="28"/>
          <w:lang w:val="uk-UA"/>
        </w:rPr>
        <w:t xml:space="preserve"> −</w:t>
      </w:r>
      <w:r w:rsidR="001153F2" w:rsidRPr="008707FF">
        <w:rPr>
          <w:color w:val="000000"/>
          <w:sz w:val="28"/>
          <w:szCs w:val="28"/>
          <w:lang w:val="uk-UA"/>
        </w:rPr>
        <w:t xml:space="preserve"> </w:t>
      </w:r>
      <w:r w:rsidR="00703D58" w:rsidRPr="00703D58">
        <w:rPr>
          <w:color w:val="000000"/>
          <w:sz w:val="28"/>
          <w:szCs w:val="28"/>
          <w:lang w:val="uk-UA"/>
        </w:rPr>
        <w:t>25</w:t>
      </w:r>
      <w:r w:rsidR="00703D58">
        <w:rPr>
          <w:color w:val="000000"/>
          <w:sz w:val="28"/>
          <w:szCs w:val="28"/>
          <w:lang w:val="uk-UA"/>
        </w:rPr>
        <w:t xml:space="preserve"> </w:t>
      </w:r>
      <w:r w:rsidR="008A0DD4">
        <w:rPr>
          <w:color w:val="000000"/>
          <w:sz w:val="28"/>
          <w:szCs w:val="28"/>
          <w:lang w:val="uk-UA"/>
        </w:rPr>
        <w:t xml:space="preserve">хворих на </w:t>
      </w:r>
      <w:r w:rsidR="001153F2" w:rsidRPr="008707FF">
        <w:rPr>
          <w:color w:val="000000"/>
          <w:sz w:val="28"/>
          <w:szCs w:val="28"/>
          <w:lang w:val="uk-UA"/>
        </w:rPr>
        <w:t>АГ</w:t>
      </w:r>
      <w:r w:rsidR="00B72A75">
        <w:rPr>
          <w:color w:val="000000"/>
          <w:sz w:val="28"/>
          <w:szCs w:val="28"/>
          <w:lang w:val="uk-UA"/>
        </w:rPr>
        <w:t xml:space="preserve"> </w:t>
      </w:r>
      <w:r w:rsidR="00FB1DD3" w:rsidRPr="008707FF">
        <w:rPr>
          <w:color w:val="000000"/>
          <w:sz w:val="28"/>
          <w:szCs w:val="28"/>
          <w:lang w:val="uk-UA"/>
        </w:rPr>
        <w:t>ІІІ стадії</w:t>
      </w:r>
      <w:r w:rsidR="001153F2" w:rsidRPr="008707FF">
        <w:rPr>
          <w:color w:val="000000"/>
          <w:sz w:val="28"/>
          <w:szCs w:val="28"/>
          <w:lang w:val="uk-UA"/>
        </w:rPr>
        <w:t xml:space="preserve">. </w:t>
      </w:r>
      <w:r w:rsidR="006D3471">
        <w:rPr>
          <w:color w:val="000000"/>
          <w:sz w:val="28"/>
          <w:szCs w:val="28"/>
          <w:lang w:val="uk-UA"/>
        </w:rPr>
        <w:t xml:space="preserve">    </w:t>
      </w:r>
      <w:r w:rsidR="007B1CB8">
        <w:rPr>
          <w:color w:val="000000"/>
          <w:sz w:val="28"/>
          <w:szCs w:val="28"/>
          <w:lang w:val="uk-UA"/>
        </w:rPr>
        <w:t>До групи</w:t>
      </w:r>
      <w:r w:rsidR="008A0DD4">
        <w:rPr>
          <w:color w:val="000000"/>
          <w:sz w:val="28"/>
          <w:szCs w:val="28"/>
          <w:lang w:val="uk-UA"/>
        </w:rPr>
        <w:t xml:space="preserve"> контр</w:t>
      </w:r>
      <w:r w:rsidR="0081305E">
        <w:rPr>
          <w:color w:val="000000"/>
          <w:sz w:val="28"/>
          <w:szCs w:val="28"/>
          <w:lang w:val="uk-UA"/>
        </w:rPr>
        <w:t>олю</w:t>
      </w:r>
      <w:r w:rsidR="008A0DD4">
        <w:rPr>
          <w:color w:val="000000"/>
          <w:sz w:val="28"/>
          <w:szCs w:val="28"/>
          <w:lang w:val="uk-UA"/>
        </w:rPr>
        <w:t xml:space="preserve"> у</w:t>
      </w:r>
      <w:r w:rsidR="009F1017">
        <w:rPr>
          <w:color w:val="000000"/>
          <w:sz w:val="28"/>
          <w:szCs w:val="28"/>
          <w:lang w:val="uk-UA"/>
        </w:rPr>
        <w:t xml:space="preserve">війшли </w:t>
      </w:r>
      <w:r w:rsidR="00703D58">
        <w:rPr>
          <w:color w:val="000000"/>
          <w:sz w:val="28"/>
          <w:szCs w:val="28"/>
          <w:lang w:val="uk-UA"/>
        </w:rPr>
        <w:t>15</w:t>
      </w:r>
      <w:r w:rsidR="001153F2" w:rsidRPr="008707FF">
        <w:rPr>
          <w:color w:val="000000"/>
          <w:sz w:val="28"/>
          <w:szCs w:val="28"/>
          <w:lang w:val="uk-UA"/>
        </w:rPr>
        <w:t xml:space="preserve"> добровольців, які проходи</w:t>
      </w:r>
      <w:r w:rsidR="00F87D5C">
        <w:rPr>
          <w:color w:val="000000"/>
          <w:sz w:val="28"/>
          <w:szCs w:val="28"/>
          <w:lang w:val="uk-UA"/>
        </w:rPr>
        <w:t xml:space="preserve">ли профілактичні медичні огляди, </w:t>
      </w:r>
      <w:r w:rsidR="00754616" w:rsidRPr="008707FF">
        <w:rPr>
          <w:color w:val="000000"/>
          <w:sz w:val="28"/>
          <w:szCs w:val="28"/>
          <w:lang w:val="uk-UA"/>
        </w:rPr>
        <w:t>були визнані</w:t>
      </w:r>
      <w:r w:rsidR="00F87D5C">
        <w:rPr>
          <w:color w:val="000000"/>
          <w:sz w:val="28"/>
          <w:szCs w:val="28"/>
          <w:lang w:val="uk-UA"/>
        </w:rPr>
        <w:t xml:space="preserve"> умовно здоровими з відсутністю ознак АГ, СН, порушень функції нирок, ліпідного і вуглеводного обмінів.</w:t>
      </w:r>
      <w:r w:rsidR="004D511B">
        <w:rPr>
          <w:color w:val="000000"/>
          <w:sz w:val="28"/>
          <w:szCs w:val="28"/>
          <w:lang w:val="uk-UA"/>
        </w:rPr>
        <w:t xml:space="preserve"> </w:t>
      </w:r>
      <w:r w:rsidR="007B1CB8">
        <w:rPr>
          <w:color w:val="000000"/>
          <w:sz w:val="28"/>
          <w:szCs w:val="28"/>
          <w:lang w:val="uk-UA"/>
        </w:rPr>
        <w:t>Пацієнти перебували на лікуванні в</w:t>
      </w:r>
      <w:r w:rsidR="00754616" w:rsidRPr="008707FF">
        <w:rPr>
          <w:color w:val="000000"/>
          <w:sz w:val="28"/>
          <w:szCs w:val="28"/>
          <w:lang w:val="uk-UA"/>
        </w:rPr>
        <w:t xml:space="preserve"> неврологічному, кардіологічн</w:t>
      </w:r>
      <w:r w:rsidR="007B1CB8">
        <w:rPr>
          <w:color w:val="000000"/>
          <w:sz w:val="28"/>
          <w:szCs w:val="28"/>
          <w:lang w:val="uk-UA"/>
        </w:rPr>
        <w:t>ому та терапевтичному відділеннях</w:t>
      </w:r>
      <w:r w:rsidR="00754616" w:rsidRPr="008707FF">
        <w:rPr>
          <w:color w:val="000000"/>
          <w:sz w:val="28"/>
          <w:szCs w:val="28"/>
          <w:lang w:val="uk-UA"/>
        </w:rPr>
        <w:t xml:space="preserve"> Сум</w:t>
      </w:r>
      <w:r w:rsidR="004D511B">
        <w:rPr>
          <w:color w:val="000000"/>
          <w:sz w:val="28"/>
          <w:szCs w:val="28"/>
          <w:lang w:val="uk-UA"/>
        </w:rPr>
        <w:t xml:space="preserve">ської міської клінічної лікарні </w:t>
      </w:r>
      <w:r w:rsidR="00754616" w:rsidRPr="008707FF">
        <w:rPr>
          <w:color w:val="000000"/>
          <w:sz w:val="28"/>
          <w:szCs w:val="28"/>
          <w:lang w:val="uk-UA"/>
        </w:rPr>
        <w:t>№</w:t>
      </w:r>
      <w:r w:rsidR="007B1CB8">
        <w:rPr>
          <w:color w:val="000000"/>
          <w:sz w:val="28"/>
          <w:szCs w:val="28"/>
          <w:lang w:val="uk-UA"/>
        </w:rPr>
        <w:t xml:space="preserve"> </w:t>
      </w:r>
      <w:r w:rsidR="00754616" w:rsidRPr="008707FF">
        <w:rPr>
          <w:color w:val="000000"/>
          <w:sz w:val="28"/>
          <w:szCs w:val="28"/>
          <w:lang w:val="uk-UA"/>
        </w:rPr>
        <w:t>1</w:t>
      </w:r>
      <w:r w:rsidR="007B1CB8">
        <w:rPr>
          <w:color w:val="000000"/>
          <w:sz w:val="28"/>
          <w:szCs w:val="28"/>
          <w:lang w:val="uk-UA"/>
        </w:rPr>
        <w:t xml:space="preserve"> упродовж</w:t>
      </w:r>
      <w:r w:rsidR="00703D58">
        <w:rPr>
          <w:color w:val="000000"/>
          <w:sz w:val="28"/>
          <w:szCs w:val="28"/>
          <w:lang w:val="uk-UA"/>
        </w:rPr>
        <w:t xml:space="preserve"> </w:t>
      </w:r>
      <w:r w:rsidR="00703D58" w:rsidRPr="00961D54">
        <w:rPr>
          <w:color w:val="000000"/>
          <w:sz w:val="28"/>
          <w:szCs w:val="28"/>
          <w:lang w:val="uk-UA"/>
        </w:rPr>
        <w:t>2014</w:t>
      </w:r>
      <w:r w:rsidR="007B1CB8" w:rsidRPr="00961D54">
        <w:rPr>
          <w:color w:val="000000"/>
          <w:sz w:val="28"/>
          <w:szCs w:val="28"/>
          <w:lang w:val="uk-UA"/>
        </w:rPr>
        <w:t>−</w:t>
      </w:r>
      <w:r w:rsidR="00146DD5" w:rsidRPr="00961D54">
        <w:rPr>
          <w:color w:val="000000"/>
          <w:sz w:val="28"/>
          <w:szCs w:val="28"/>
          <w:lang w:val="uk-UA"/>
        </w:rPr>
        <w:t>2017</w:t>
      </w:r>
      <w:r w:rsidR="00754616" w:rsidRPr="00961D54">
        <w:rPr>
          <w:color w:val="000000"/>
          <w:sz w:val="28"/>
          <w:szCs w:val="28"/>
          <w:lang w:val="uk-UA"/>
        </w:rPr>
        <w:t xml:space="preserve"> років</w:t>
      </w:r>
      <w:r w:rsidR="00754616" w:rsidRPr="008707FF">
        <w:rPr>
          <w:color w:val="000000"/>
          <w:sz w:val="28"/>
          <w:szCs w:val="28"/>
          <w:lang w:val="uk-UA"/>
        </w:rPr>
        <w:t>.</w:t>
      </w:r>
    </w:p>
    <w:p w:rsidR="0087443D" w:rsidRPr="0087443D" w:rsidRDefault="0087443D" w:rsidP="00A47186">
      <w:pPr>
        <w:pStyle w:val="a3"/>
        <w:spacing w:before="0" w:beforeAutospacing="0" w:after="0" w:afterAutospacing="0" w:line="360" w:lineRule="auto"/>
        <w:ind w:firstLine="708"/>
        <w:jc w:val="both"/>
        <w:rPr>
          <w:color w:val="000000"/>
          <w:sz w:val="28"/>
          <w:szCs w:val="28"/>
          <w:lang w:val="uk-UA"/>
        </w:rPr>
      </w:pPr>
      <w:r w:rsidRPr="0087443D">
        <w:rPr>
          <w:color w:val="000000"/>
          <w:sz w:val="28"/>
          <w:szCs w:val="28"/>
          <w:lang w:val="uk-UA"/>
        </w:rPr>
        <w:t>Стадію, ступінь АГ визначали відповідно до Наказу МОЗ України від 24.05.2012 р. № 384 [</w:t>
      </w:r>
      <w:r w:rsidR="008F15A1" w:rsidRPr="00CA04D8">
        <w:rPr>
          <w:color w:val="000000"/>
          <w:sz w:val="28"/>
          <w:szCs w:val="28"/>
          <w:lang w:val="uk-UA"/>
        </w:rPr>
        <w:t>108</w:t>
      </w:r>
      <w:r w:rsidRPr="0087443D">
        <w:rPr>
          <w:color w:val="000000"/>
          <w:sz w:val="28"/>
          <w:szCs w:val="28"/>
          <w:lang w:val="uk-UA"/>
        </w:rPr>
        <w:t>] та клінічних рекомендацій з артеріальної гіпертензії Європейського товариства гіпертензії (</w:t>
      </w:r>
      <w:r w:rsidRPr="0087443D">
        <w:rPr>
          <w:color w:val="000000"/>
          <w:sz w:val="28"/>
          <w:szCs w:val="28"/>
          <w:lang w:val="en-US"/>
        </w:rPr>
        <w:t>ESH</w:t>
      </w:r>
      <w:r w:rsidRPr="0087443D">
        <w:rPr>
          <w:color w:val="000000"/>
          <w:sz w:val="28"/>
          <w:szCs w:val="28"/>
          <w:lang w:val="uk-UA"/>
        </w:rPr>
        <w:t>) та Європейського товариства кардіологів (</w:t>
      </w:r>
      <w:r w:rsidRPr="0087443D">
        <w:rPr>
          <w:color w:val="000000"/>
          <w:sz w:val="28"/>
          <w:szCs w:val="28"/>
          <w:lang w:val="en-US"/>
        </w:rPr>
        <w:t>ESC</w:t>
      </w:r>
      <w:r w:rsidRPr="0087443D">
        <w:rPr>
          <w:color w:val="000000"/>
          <w:sz w:val="28"/>
          <w:szCs w:val="28"/>
          <w:lang w:val="uk-UA"/>
        </w:rPr>
        <w:t>) 2013 [</w:t>
      </w:r>
      <w:r w:rsidR="00CA04D8">
        <w:rPr>
          <w:color w:val="000000"/>
          <w:sz w:val="28"/>
          <w:szCs w:val="28"/>
          <w:lang w:val="uk-UA"/>
        </w:rPr>
        <w:t>23</w:t>
      </w:r>
      <w:r w:rsidRPr="0087443D">
        <w:rPr>
          <w:color w:val="000000"/>
          <w:sz w:val="28"/>
          <w:szCs w:val="28"/>
          <w:lang w:val="uk-UA"/>
        </w:rPr>
        <w:t>].</w:t>
      </w:r>
    </w:p>
    <w:p w:rsidR="007B67E1" w:rsidRPr="007B67E1" w:rsidRDefault="00831201" w:rsidP="00A47186">
      <w:pPr>
        <w:pStyle w:val="a3"/>
        <w:spacing w:before="0" w:beforeAutospacing="0" w:after="0" w:afterAutospacing="0" w:line="360" w:lineRule="auto"/>
        <w:ind w:firstLine="708"/>
        <w:jc w:val="both"/>
        <w:rPr>
          <w:color w:val="000000"/>
          <w:sz w:val="28"/>
          <w:szCs w:val="28"/>
          <w:lang w:val="uk-UA"/>
        </w:rPr>
      </w:pPr>
      <w:r w:rsidRPr="00831201">
        <w:rPr>
          <w:color w:val="000000"/>
          <w:sz w:val="28"/>
          <w:szCs w:val="28"/>
          <w:lang w:val="uk-UA"/>
        </w:rPr>
        <w:t>Діагноз, стадію, форму ЦД 2-го типу, цільові значення показників ліпідного спектра крові, САТ, ДАТ, ШКФ, кратність дослідження лабораторних та біохімічних показників, тактику лікування визначали відповідно до Наказу Міністерства охорони здоровʼя від 21.12.2012 № 1118 [</w:t>
      </w:r>
      <w:r w:rsidR="008F15A1" w:rsidRPr="00CA04D8">
        <w:rPr>
          <w:color w:val="000000"/>
          <w:sz w:val="28"/>
          <w:szCs w:val="28"/>
          <w:lang w:val="uk-UA"/>
        </w:rPr>
        <w:t>122</w:t>
      </w:r>
      <w:r w:rsidRPr="00CA04D8">
        <w:rPr>
          <w:color w:val="000000"/>
          <w:sz w:val="28"/>
          <w:szCs w:val="28"/>
          <w:lang w:val="uk-UA"/>
        </w:rPr>
        <w:t>]</w:t>
      </w:r>
      <w:r w:rsidR="008B1898" w:rsidRPr="00CA04D8">
        <w:rPr>
          <w:color w:val="000000"/>
          <w:sz w:val="28"/>
          <w:szCs w:val="28"/>
          <w:lang w:val="uk-UA"/>
        </w:rPr>
        <w:t>.</w:t>
      </w:r>
      <w:r w:rsidR="008B1898">
        <w:rPr>
          <w:color w:val="000000"/>
          <w:sz w:val="28"/>
          <w:szCs w:val="28"/>
          <w:lang w:val="uk-UA"/>
        </w:rPr>
        <w:t xml:space="preserve"> </w:t>
      </w:r>
      <w:r w:rsidR="00E03738" w:rsidRPr="00D37445">
        <w:rPr>
          <w:color w:val="000000"/>
          <w:sz w:val="28"/>
          <w:szCs w:val="28"/>
          <w:lang w:val="uk-UA"/>
        </w:rPr>
        <w:t>Діагностичні значення альбуміну</w:t>
      </w:r>
      <w:r w:rsidR="00D35976">
        <w:rPr>
          <w:color w:val="000000"/>
          <w:sz w:val="28"/>
          <w:szCs w:val="28"/>
          <w:lang w:val="uk-UA"/>
        </w:rPr>
        <w:t xml:space="preserve">рії </w:t>
      </w:r>
      <w:r w:rsidR="006F556B">
        <w:rPr>
          <w:color w:val="000000"/>
          <w:sz w:val="28"/>
          <w:szCs w:val="28"/>
          <w:lang w:val="uk-UA"/>
        </w:rPr>
        <w:t xml:space="preserve">констатовано відповідно </w:t>
      </w:r>
      <w:r w:rsidR="003C1034">
        <w:rPr>
          <w:color w:val="000000"/>
          <w:sz w:val="28"/>
          <w:szCs w:val="28"/>
          <w:lang w:val="uk-UA"/>
        </w:rPr>
        <w:t xml:space="preserve">              </w:t>
      </w:r>
      <w:r w:rsidR="006F556B">
        <w:rPr>
          <w:color w:val="000000"/>
          <w:sz w:val="28"/>
          <w:szCs w:val="28"/>
          <w:lang w:val="uk-UA"/>
        </w:rPr>
        <w:t>до Клінічних практичних рекомендацій щодо визначення та ведення хронічної хвороби н</w:t>
      </w:r>
      <w:r w:rsidR="00D35976">
        <w:rPr>
          <w:color w:val="000000"/>
          <w:sz w:val="28"/>
          <w:szCs w:val="28"/>
          <w:lang w:val="uk-UA"/>
        </w:rPr>
        <w:t>ирок (</w:t>
      </w:r>
      <w:r w:rsidR="00E03738" w:rsidRPr="00D37445">
        <w:rPr>
          <w:color w:val="000000"/>
          <w:sz w:val="28"/>
          <w:szCs w:val="28"/>
          <w:lang w:val="uk-UA"/>
        </w:rPr>
        <w:t>KDIGO</w:t>
      </w:r>
      <w:r w:rsidR="00D35976">
        <w:rPr>
          <w:color w:val="000000"/>
          <w:sz w:val="28"/>
          <w:szCs w:val="28"/>
          <w:lang w:val="uk-UA"/>
        </w:rPr>
        <w:t xml:space="preserve">, </w:t>
      </w:r>
      <w:r w:rsidR="00E03738" w:rsidRPr="00D37445">
        <w:rPr>
          <w:color w:val="000000"/>
          <w:sz w:val="28"/>
          <w:szCs w:val="28"/>
          <w:lang w:val="uk-UA"/>
        </w:rPr>
        <w:t>2012)</w:t>
      </w:r>
      <w:r w:rsidR="006F556B">
        <w:rPr>
          <w:color w:val="000000"/>
          <w:sz w:val="28"/>
          <w:szCs w:val="28"/>
          <w:lang w:val="uk-UA"/>
        </w:rPr>
        <w:t>, де</w:t>
      </w:r>
      <w:r w:rsidR="00E03738" w:rsidRPr="00D37445">
        <w:rPr>
          <w:color w:val="000000"/>
          <w:sz w:val="28"/>
          <w:szCs w:val="28"/>
          <w:lang w:val="uk-UA"/>
        </w:rPr>
        <w:t xml:space="preserve"> прийнято використовувати такі категорії як А1, А2, А3.</w:t>
      </w:r>
      <w:r w:rsidR="00E03738" w:rsidRPr="00E03738">
        <w:rPr>
          <w:color w:val="000000"/>
          <w:sz w:val="28"/>
          <w:szCs w:val="28"/>
          <w:lang w:val="uk-UA"/>
        </w:rPr>
        <w:t xml:space="preserve"> Надане уточнення, </w:t>
      </w:r>
      <w:r w:rsidR="00961D54">
        <w:rPr>
          <w:color w:val="000000"/>
          <w:sz w:val="28"/>
          <w:szCs w:val="28"/>
          <w:lang w:val="uk-UA"/>
        </w:rPr>
        <w:t xml:space="preserve">що </w:t>
      </w:r>
      <w:r w:rsidR="00E87B30">
        <w:rPr>
          <w:color w:val="000000"/>
          <w:sz w:val="28"/>
          <w:szCs w:val="28"/>
          <w:lang w:val="uk-UA"/>
        </w:rPr>
        <w:t>категорії</w:t>
      </w:r>
      <w:r w:rsidR="00B310D6">
        <w:rPr>
          <w:color w:val="000000"/>
          <w:sz w:val="28"/>
          <w:szCs w:val="28"/>
          <w:lang w:val="uk-UA"/>
        </w:rPr>
        <w:t xml:space="preserve"> </w:t>
      </w:r>
      <w:r w:rsidR="00E03738" w:rsidRPr="00E03738">
        <w:rPr>
          <w:color w:val="000000"/>
          <w:sz w:val="28"/>
          <w:szCs w:val="28"/>
          <w:lang w:val="uk-UA"/>
        </w:rPr>
        <w:t xml:space="preserve">А1 відповідає </w:t>
      </w:r>
      <w:r w:rsidR="00B310D6">
        <w:rPr>
          <w:color w:val="000000"/>
          <w:sz w:val="28"/>
          <w:szCs w:val="28"/>
          <w:lang w:val="uk-UA"/>
        </w:rPr>
        <w:t>незначно підвищена</w:t>
      </w:r>
      <w:r w:rsidR="00961D54">
        <w:rPr>
          <w:color w:val="000000"/>
          <w:sz w:val="28"/>
          <w:szCs w:val="28"/>
          <w:lang w:val="uk-UA"/>
        </w:rPr>
        <w:t xml:space="preserve">, А2 – </w:t>
      </w:r>
      <w:r w:rsidR="00B310D6">
        <w:rPr>
          <w:color w:val="000000"/>
          <w:sz w:val="28"/>
          <w:szCs w:val="28"/>
          <w:lang w:val="uk-UA"/>
        </w:rPr>
        <w:t>помірно підвищена</w:t>
      </w:r>
      <w:r w:rsidR="00F953A3">
        <w:rPr>
          <w:color w:val="000000"/>
          <w:sz w:val="28"/>
          <w:szCs w:val="28"/>
          <w:lang w:val="uk-UA"/>
        </w:rPr>
        <w:t xml:space="preserve">, А3 – </w:t>
      </w:r>
      <w:r w:rsidR="00B310D6">
        <w:rPr>
          <w:color w:val="000000"/>
          <w:sz w:val="28"/>
          <w:szCs w:val="28"/>
          <w:lang w:val="uk-UA"/>
        </w:rPr>
        <w:t>різко підвищена альбумінурія</w:t>
      </w:r>
      <w:r w:rsidR="00616F15">
        <w:rPr>
          <w:color w:val="000000"/>
          <w:sz w:val="28"/>
          <w:szCs w:val="28"/>
          <w:lang w:val="uk-UA"/>
        </w:rPr>
        <w:t xml:space="preserve"> </w:t>
      </w:r>
      <w:r w:rsidR="00F953A3">
        <w:rPr>
          <w:color w:val="000000"/>
          <w:sz w:val="28"/>
          <w:szCs w:val="28"/>
          <w:lang w:val="uk-UA"/>
        </w:rPr>
        <w:t>[</w:t>
      </w:r>
      <w:r w:rsidR="008F15A1" w:rsidRPr="00CA04D8">
        <w:rPr>
          <w:color w:val="000000"/>
          <w:sz w:val="28"/>
          <w:szCs w:val="28"/>
          <w:lang w:val="uk-UA"/>
        </w:rPr>
        <w:t>54</w:t>
      </w:r>
      <w:r w:rsidR="00E03738" w:rsidRPr="00E03738">
        <w:rPr>
          <w:color w:val="000000"/>
          <w:sz w:val="28"/>
          <w:szCs w:val="28"/>
          <w:lang w:val="uk-UA"/>
        </w:rPr>
        <w:t xml:space="preserve">].  </w:t>
      </w:r>
      <w:r w:rsidR="00C52072">
        <w:rPr>
          <w:color w:val="000000"/>
          <w:sz w:val="28"/>
          <w:szCs w:val="28"/>
          <w:lang w:val="uk-UA"/>
        </w:rPr>
        <w:t xml:space="preserve"> </w:t>
      </w:r>
    </w:p>
    <w:p w:rsidR="008B1898" w:rsidRDefault="008B1898" w:rsidP="00F51588">
      <w:pPr>
        <w:pStyle w:val="a3"/>
        <w:spacing w:before="0" w:beforeAutospacing="0" w:after="0" w:afterAutospacing="0" w:line="360" w:lineRule="auto"/>
        <w:ind w:firstLine="708"/>
        <w:jc w:val="both"/>
        <w:rPr>
          <w:color w:val="000000"/>
          <w:sz w:val="28"/>
          <w:szCs w:val="28"/>
          <w:lang w:val="uk-UA"/>
        </w:rPr>
      </w:pPr>
      <w:r>
        <w:rPr>
          <w:color w:val="000000"/>
          <w:sz w:val="28"/>
          <w:szCs w:val="28"/>
          <w:lang w:val="uk-UA"/>
        </w:rPr>
        <w:t xml:space="preserve">Тактику ведення пацієнтів І та ІІ груп, які мали </w:t>
      </w:r>
      <w:r w:rsidR="00F51588">
        <w:rPr>
          <w:color w:val="000000"/>
          <w:sz w:val="28"/>
          <w:szCs w:val="28"/>
          <w:lang w:val="uk-UA"/>
        </w:rPr>
        <w:t>дисліпідемію,</w:t>
      </w:r>
      <w:r>
        <w:rPr>
          <w:color w:val="000000"/>
          <w:sz w:val="28"/>
          <w:szCs w:val="28"/>
          <w:lang w:val="uk-UA"/>
        </w:rPr>
        <w:t xml:space="preserve"> було </w:t>
      </w:r>
      <w:r w:rsidR="003C1034">
        <w:rPr>
          <w:color w:val="000000"/>
          <w:sz w:val="28"/>
          <w:szCs w:val="28"/>
          <w:lang w:val="uk-UA"/>
        </w:rPr>
        <w:t>розробл</w:t>
      </w:r>
      <w:r>
        <w:rPr>
          <w:color w:val="000000"/>
          <w:sz w:val="28"/>
          <w:szCs w:val="28"/>
          <w:lang w:val="uk-UA"/>
        </w:rPr>
        <w:t xml:space="preserve">ено із урахуванням </w:t>
      </w:r>
      <w:r w:rsidR="00057FCA">
        <w:rPr>
          <w:color w:val="000000"/>
          <w:sz w:val="28"/>
          <w:szCs w:val="28"/>
          <w:lang w:val="uk-UA"/>
        </w:rPr>
        <w:t>Методичних рекомендацій</w:t>
      </w:r>
      <w:r w:rsidRPr="008B1898">
        <w:rPr>
          <w:color w:val="000000"/>
          <w:sz w:val="28"/>
          <w:szCs w:val="28"/>
          <w:lang w:val="uk-UA"/>
        </w:rPr>
        <w:t xml:space="preserve"> Асоціації кардіологів </w:t>
      </w:r>
      <w:r w:rsidRPr="008B1898">
        <w:rPr>
          <w:color w:val="000000"/>
          <w:sz w:val="28"/>
          <w:szCs w:val="28"/>
          <w:lang w:val="uk-UA"/>
        </w:rPr>
        <w:lastRenderedPageBreak/>
        <w:t>України «Дисліпідемії: діагностика, профілактика та лікування» (Київ, 2011) [</w:t>
      </w:r>
      <w:r w:rsidR="00CA04D8">
        <w:rPr>
          <w:color w:val="000000"/>
          <w:sz w:val="28"/>
          <w:szCs w:val="28"/>
          <w:lang w:val="uk-UA"/>
        </w:rPr>
        <w:t>123</w:t>
      </w:r>
      <w:r w:rsidR="00F51588">
        <w:rPr>
          <w:color w:val="000000"/>
          <w:sz w:val="28"/>
          <w:szCs w:val="28"/>
          <w:lang w:val="uk-UA"/>
        </w:rPr>
        <w:t>].</w:t>
      </w:r>
    </w:p>
    <w:p w:rsidR="006A4101" w:rsidRPr="00E1616D" w:rsidRDefault="006A4101" w:rsidP="00877EAF">
      <w:pPr>
        <w:spacing w:after="0" w:line="360" w:lineRule="auto"/>
        <w:ind w:firstLine="708"/>
        <w:jc w:val="both"/>
        <w:rPr>
          <w:rFonts w:ascii="Times New Roman" w:hAnsi="Times New Roman" w:cs="Times New Roman"/>
          <w:sz w:val="28"/>
          <w:szCs w:val="28"/>
          <w:lang w:val="uk-UA"/>
        </w:rPr>
      </w:pPr>
      <w:r w:rsidRPr="00A47186">
        <w:rPr>
          <w:rFonts w:ascii="Times New Roman" w:hAnsi="Times New Roman" w:cs="Times New Roman"/>
          <w:sz w:val="28"/>
          <w:szCs w:val="28"/>
          <w:lang w:val="uk-UA"/>
        </w:rPr>
        <w:t xml:space="preserve">За Рекомендаціями Асоціації кардіологів України з діагностики та лікування хронічної серцевої недостатності </w:t>
      </w:r>
      <w:r w:rsidR="003D0FFC" w:rsidRPr="00A47186">
        <w:rPr>
          <w:rFonts w:ascii="Times New Roman" w:hAnsi="Times New Roman" w:cs="Times New Roman"/>
          <w:sz w:val="28"/>
          <w:szCs w:val="28"/>
          <w:lang w:val="uk-UA"/>
        </w:rPr>
        <w:t>(2017) було визначено варіант СН – зі зниженою</w:t>
      </w:r>
      <w:r w:rsidR="00E1616D" w:rsidRPr="00A47186">
        <w:rPr>
          <w:rFonts w:ascii="Times New Roman" w:hAnsi="Times New Roman" w:cs="Times New Roman"/>
          <w:sz w:val="28"/>
          <w:szCs w:val="28"/>
          <w:lang w:val="uk-UA"/>
        </w:rPr>
        <w:t xml:space="preserve"> (меншою за 40 %)</w:t>
      </w:r>
      <w:r w:rsidR="003D0FFC" w:rsidRPr="00A47186">
        <w:rPr>
          <w:rFonts w:ascii="Times New Roman" w:hAnsi="Times New Roman" w:cs="Times New Roman"/>
          <w:sz w:val="28"/>
          <w:szCs w:val="28"/>
          <w:lang w:val="uk-UA"/>
        </w:rPr>
        <w:t xml:space="preserve"> чи збереженою </w:t>
      </w:r>
      <w:r w:rsidR="001C15F1">
        <w:rPr>
          <w:rFonts w:ascii="Times New Roman" w:hAnsi="Times New Roman" w:cs="Times New Roman"/>
          <w:sz w:val="28"/>
          <w:szCs w:val="28"/>
          <w:lang w:val="uk-UA"/>
        </w:rPr>
        <w:t>фракцією викидку (</w:t>
      </w:r>
      <w:r w:rsidR="003D0FFC" w:rsidRPr="00A47186">
        <w:rPr>
          <w:rFonts w:ascii="Times New Roman" w:hAnsi="Times New Roman" w:cs="Times New Roman"/>
          <w:sz w:val="28"/>
          <w:szCs w:val="28"/>
          <w:lang w:val="uk-UA"/>
        </w:rPr>
        <w:t>ФВ</w:t>
      </w:r>
      <w:r w:rsidR="001C15F1">
        <w:rPr>
          <w:rFonts w:ascii="Times New Roman" w:hAnsi="Times New Roman" w:cs="Times New Roman"/>
          <w:sz w:val="28"/>
          <w:szCs w:val="28"/>
          <w:lang w:val="uk-UA"/>
        </w:rPr>
        <w:t>)</w:t>
      </w:r>
      <w:r w:rsidR="003D0FFC" w:rsidRPr="00A47186">
        <w:rPr>
          <w:rFonts w:ascii="Times New Roman" w:hAnsi="Times New Roman" w:cs="Times New Roman"/>
          <w:sz w:val="28"/>
          <w:szCs w:val="28"/>
          <w:lang w:val="uk-UA"/>
        </w:rPr>
        <w:t xml:space="preserve"> ЛШ </w:t>
      </w:r>
      <w:r w:rsidR="00E1616D" w:rsidRPr="00A47186">
        <w:rPr>
          <w:rFonts w:ascii="Times New Roman" w:hAnsi="Times New Roman" w:cs="Times New Roman"/>
          <w:sz w:val="28"/>
          <w:szCs w:val="28"/>
          <w:lang w:val="uk-UA"/>
        </w:rPr>
        <w:t>(б</w:t>
      </w:r>
      <w:r w:rsidR="00D27FBC" w:rsidRPr="00A47186">
        <w:rPr>
          <w:rFonts w:ascii="Times New Roman" w:hAnsi="Times New Roman" w:cs="Times New Roman"/>
          <w:sz w:val="28"/>
          <w:szCs w:val="28"/>
          <w:lang w:val="uk-UA"/>
        </w:rPr>
        <w:t>ільшою за 40 %</w:t>
      </w:r>
      <w:r w:rsidR="00B73999" w:rsidRPr="00E849D3">
        <w:rPr>
          <w:rFonts w:ascii="Times New Roman" w:hAnsi="Times New Roman" w:cs="Times New Roman"/>
          <w:sz w:val="28"/>
          <w:szCs w:val="28"/>
          <w:lang w:val="uk-UA"/>
        </w:rPr>
        <w:t>)</w:t>
      </w:r>
      <w:r w:rsidR="00F22F52">
        <w:rPr>
          <w:rFonts w:ascii="Times New Roman" w:hAnsi="Times New Roman" w:cs="Times New Roman"/>
          <w:sz w:val="28"/>
          <w:szCs w:val="28"/>
          <w:lang w:val="uk-UA"/>
        </w:rPr>
        <w:t xml:space="preserve"> </w:t>
      </w:r>
      <w:r w:rsidR="00F22F52" w:rsidRPr="00F22F52">
        <w:rPr>
          <w:rFonts w:ascii="Times New Roman" w:hAnsi="Times New Roman" w:cs="Times New Roman"/>
          <w:sz w:val="28"/>
          <w:szCs w:val="28"/>
          <w:lang w:val="uk-UA"/>
        </w:rPr>
        <w:t>[</w:t>
      </w:r>
      <w:r w:rsidR="00CA04D8">
        <w:rPr>
          <w:rFonts w:ascii="Times New Roman" w:hAnsi="Times New Roman" w:cs="Times New Roman"/>
          <w:sz w:val="28"/>
          <w:szCs w:val="28"/>
          <w:lang w:val="uk-UA"/>
        </w:rPr>
        <w:t>124</w:t>
      </w:r>
      <w:r w:rsidR="00F22F52">
        <w:rPr>
          <w:rFonts w:ascii="Times New Roman" w:hAnsi="Times New Roman" w:cs="Times New Roman"/>
          <w:sz w:val="28"/>
          <w:szCs w:val="28"/>
          <w:lang w:val="uk-UA"/>
        </w:rPr>
        <w:t>]</w:t>
      </w:r>
      <w:r w:rsidR="00E1616D" w:rsidRPr="00A47186">
        <w:rPr>
          <w:rFonts w:ascii="Times New Roman" w:hAnsi="Times New Roman" w:cs="Times New Roman"/>
          <w:sz w:val="28"/>
          <w:szCs w:val="28"/>
          <w:lang w:val="uk-UA"/>
        </w:rPr>
        <w:t>.</w:t>
      </w:r>
      <w:r w:rsidR="00B54BD0">
        <w:rPr>
          <w:rFonts w:ascii="Times New Roman" w:hAnsi="Times New Roman" w:cs="Times New Roman"/>
          <w:sz w:val="28"/>
          <w:szCs w:val="28"/>
          <w:lang w:val="uk-UA"/>
        </w:rPr>
        <w:t xml:space="preserve"> </w:t>
      </w:r>
      <w:r w:rsidR="00A81D31" w:rsidRPr="00A47186">
        <w:rPr>
          <w:rFonts w:ascii="Times New Roman" w:hAnsi="Times New Roman" w:cs="Times New Roman"/>
          <w:sz w:val="28"/>
          <w:szCs w:val="28"/>
          <w:lang w:val="uk-UA"/>
        </w:rPr>
        <w:t>Функціональний клас</w:t>
      </w:r>
      <w:r w:rsidR="00CB3165">
        <w:rPr>
          <w:rFonts w:ascii="Times New Roman" w:hAnsi="Times New Roman" w:cs="Times New Roman"/>
          <w:sz w:val="28"/>
          <w:szCs w:val="28"/>
          <w:lang w:val="uk-UA"/>
        </w:rPr>
        <w:t xml:space="preserve"> (ФК)</w:t>
      </w:r>
      <w:r w:rsidR="00A81D31" w:rsidRPr="00A47186">
        <w:rPr>
          <w:rFonts w:ascii="Times New Roman" w:hAnsi="Times New Roman" w:cs="Times New Roman"/>
          <w:sz w:val="28"/>
          <w:szCs w:val="28"/>
          <w:lang w:val="uk-UA"/>
        </w:rPr>
        <w:t xml:space="preserve"> ХСН </w:t>
      </w:r>
      <w:r w:rsidR="00057FCA">
        <w:rPr>
          <w:rFonts w:ascii="Times New Roman" w:hAnsi="Times New Roman" w:cs="Times New Roman"/>
          <w:sz w:val="28"/>
          <w:szCs w:val="28"/>
          <w:lang w:val="uk-UA"/>
        </w:rPr>
        <w:t xml:space="preserve">оцінено </w:t>
      </w:r>
      <w:r w:rsidR="006D3471">
        <w:rPr>
          <w:rFonts w:ascii="Times New Roman" w:hAnsi="Times New Roman" w:cs="Times New Roman"/>
          <w:sz w:val="28"/>
          <w:szCs w:val="28"/>
          <w:lang w:val="uk-UA"/>
        </w:rPr>
        <w:t xml:space="preserve">          </w:t>
      </w:r>
      <w:r w:rsidR="00A81D31" w:rsidRPr="00A47186">
        <w:rPr>
          <w:rFonts w:ascii="Times New Roman" w:hAnsi="Times New Roman" w:cs="Times New Roman"/>
          <w:sz w:val="28"/>
          <w:szCs w:val="28"/>
          <w:lang w:val="uk-UA"/>
        </w:rPr>
        <w:t xml:space="preserve">за класифікацією </w:t>
      </w:r>
      <w:r w:rsidR="00E1616D" w:rsidRPr="00A47186">
        <w:rPr>
          <w:rFonts w:ascii="Times New Roman" w:hAnsi="Times New Roman" w:cs="Times New Roman"/>
          <w:sz w:val="28"/>
          <w:szCs w:val="28"/>
          <w:lang w:val="uk-UA"/>
        </w:rPr>
        <w:t>Нью-Й</w:t>
      </w:r>
      <w:r w:rsidR="00A81D31" w:rsidRPr="00A47186">
        <w:rPr>
          <w:rFonts w:ascii="Times New Roman" w:hAnsi="Times New Roman" w:cs="Times New Roman"/>
          <w:sz w:val="28"/>
          <w:szCs w:val="28"/>
          <w:lang w:val="uk-UA"/>
        </w:rPr>
        <w:t xml:space="preserve">оркської Асоціації Серця (NYHA, </w:t>
      </w:r>
      <w:r w:rsidR="00D27FBC" w:rsidRPr="00A47186">
        <w:rPr>
          <w:rFonts w:ascii="Times New Roman" w:hAnsi="Times New Roman" w:cs="Times New Roman"/>
          <w:sz w:val="28"/>
          <w:szCs w:val="28"/>
          <w:lang w:val="uk-UA"/>
        </w:rPr>
        <w:t>1964)</w:t>
      </w:r>
      <w:r w:rsidR="00F51588">
        <w:rPr>
          <w:rFonts w:ascii="Times New Roman" w:hAnsi="Times New Roman" w:cs="Times New Roman"/>
          <w:sz w:val="28"/>
          <w:szCs w:val="28"/>
          <w:lang w:val="uk-UA"/>
        </w:rPr>
        <w:t xml:space="preserve"> [</w:t>
      </w:r>
      <w:r w:rsidR="00CA04D8">
        <w:rPr>
          <w:rFonts w:ascii="Times New Roman" w:hAnsi="Times New Roman" w:cs="Times New Roman"/>
          <w:sz w:val="28"/>
          <w:szCs w:val="28"/>
          <w:lang w:val="uk-UA"/>
        </w:rPr>
        <w:t>125</w:t>
      </w:r>
      <w:r w:rsidR="00F51588">
        <w:rPr>
          <w:rFonts w:ascii="Times New Roman" w:hAnsi="Times New Roman" w:cs="Times New Roman"/>
          <w:sz w:val="28"/>
          <w:szCs w:val="28"/>
          <w:lang w:val="uk-UA"/>
        </w:rPr>
        <w:t>]</w:t>
      </w:r>
      <w:r w:rsidR="00D27FBC" w:rsidRPr="006B2BB3">
        <w:rPr>
          <w:rFonts w:ascii="Times New Roman" w:hAnsi="Times New Roman" w:cs="Times New Roman"/>
          <w:sz w:val="28"/>
          <w:szCs w:val="28"/>
          <w:lang w:val="uk-UA"/>
        </w:rPr>
        <w:t>.</w:t>
      </w:r>
    </w:p>
    <w:p w:rsidR="000C4558" w:rsidRPr="008D6381" w:rsidRDefault="000C4558" w:rsidP="000C4558">
      <w:pPr>
        <w:spacing w:after="0" w:line="360" w:lineRule="auto"/>
        <w:ind w:firstLine="708"/>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Критерії включення:</w:t>
      </w:r>
    </w:p>
    <w:p w:rsidR="000C4558" w:rsidRPr="008D6381" w:rsidRDefault="008B1898" w:rsidP="000C455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0C4558" w:rsidRPr="008D6381">
        <w:rPr>
          <w:rFonts w:ascii="Times New Roman" w:eastAsia="Times New Roman" w:hAnsi="Times New Roman" w:cs="Times New Roman"/>
          <w:color w:val="000000"/>
          <w:sz w:val="28"/>
          <w:szCs w:val="28"/>
          <w:lang w:val="uk-UA" w:eastAsia="ru-RU"/>
        </w:rPr>
        <w:t xml:space="preserve">) </w:t>
      </w:r>
      <w:r w:rsidR="000C4558" w:rsidRPr="008D6381">
        <w:rPr>
          <w:rFonts w:ascii="Times New Roman" w:eastAsia="Times New Roman" w:hAnsi="Times New Roman" w:cs="Times New Roman"/>
          <w:color w:val="000000"/>
          <w:sz w:val="28"/>
          <w:szCs w:val="28"/>
          <w:lang w:eastAsia="ru-RU"/>
        </w:rPr>
        <w:t>письмова згода на участь у дослідженні</w:t>
      </w:r>
      <w:r w:rsidR="000C4558" w:rsidRPr="008D6381">
        <w:rPr>
          <w:rFonts w:ascii="Times New Roman" w:eastAsia="Times New Roman" w:hAnsi="Times New Roman" w:cs="Times New Roman"/>
          <w:color w:val="000000"/>
          <w:sz w:val="28"/>
          <w:szCs w:val="28"/>
          <w:lang w:val="uk-UA" w:eastAsia="ru-RU"/>
        </w:rPr>
        <w:t>;</w:t>
      </w:r>
    </w:p>
    <w:p w:rsidR="000C4558" w:rsidRDefault="008B1898" w:rsidP="000C455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0C4558" w:rsidRPr="008D6381">
        <w:rPr>
          <w:rFonts w:ascii="Times New Roman" w:eastAsia="Times New Roman" w:hAnsi="Times New Roman" w:cs="Times New Roman"/>
          <w:color w:val="000000"/>
          <w:sz w:val="28"/>
          <w:szCs w:val="28"/>
          <w:lang w:val="uk-UA" w:eastAsia="ru-RU"/>
        </w:rPr>
        <w:t>)</w:t>
      </w:r>
      <w:r w:rsidR="000C4558" w:rsidRPr="000B331C">
        <w:rPr>
          <w:rFonts w:ascii="Times New Roman" w:eastAsia="Times New Roman" w:hAnsi="Times New Roman" w:cs="Times New Roman"/>
          <w:color w:val="000000"/>
          <w:sz w:val="28"/>
          <w:szCs w:val="28"/>
          <w:lang w:val="uk-UA" w:eastAsia="ru-RU"/>
        </w:rPr>
        <w:t xml:space="preserve"> </w:t>
      </w:r>
      <w:r w:rsidR="009B3931" w:rsidRPr="009B3931">
        <w:rPr>
          <w:rFonts w:ascii="Times New Roman" w:eastAsia="Times New Roman" w:hAnsi="Times New Roman" w:cs="Times New Roman"/>
          <w:color w:val="000000"/>
          <w:sz w:val="28"/>
          <w:szCs w:val="28"/>
          <w:lang w:val="uk-UA" w:eastAsia="ru-RU"/>
        </w:rPr>
        <w:t>наявність у хворого підтвердженого діагнозу АГ ІІІ стадії та</w:t>
      </w:r>
      <w:r w:rsidR="009B3931">
        <w:rPr>
          <w:rFonts w:ascii="Times New Roman" w:eastAsia="Times New Roman" w:hAnsi="Times New Roman" w:cs="Times New Roman"/>
          <w:color w:val="000000"/>
          <w:sz w:val="28"/>
          <w:szCs w:val="28"/>
          <w:lang w:val="uk-UA" w:eastAsia="ru-RU"/>
        </w:rPr>
        <w:t xml:space="preserve"> ЦД 2-го типу або АГ ІІІ стадії;</w:t>
      </w:r>
    </w:p>
    <w:p w:rsidR="00C3185D" w:rsidRDefault="00DE5EB7" w:rsidP="000C455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C3185D">
        <w:rPr>
          <w:rFonts w:ascii="Times New Roman" w:eastAsia="Times New Roman" w:hAnsi="Times New Roman" w:cs="Times New Roman"/>
          <w:color w:val="000000"/>
          <w:sz w:val="28"/>
          <w:szCs w:val="28"/>
          <w:lang w:val="uk-UA" w:eastAsia="ru-RU"/>
        </w:rPr>
        <w:t xml:space="preserve"> перенесені ССУ у вигляді </w:t>
      </w:r>
      <w:r w:rsidR="00C3185D" w:rsidRPr="00C3185D">
        <w:rPr>
          <w:rFonts w:ascii="Times New Roman" w:eastAsia="Times New Roman" w:hAnsi="Times New Roman" w:cs="Times New Roman"/>
          <w:color w:val="000000"/>
          <w:sz w:val="28"/>
          <w:szCs w:val="28"/>
          <w:lang w:val="uk-UA" w:eastAsia="ru-RU"/>
        </w:rPr>
        <w:t>інфаркт</w:t>
      </w:r>
      <w:r w:rsidR="00C3185D">
        <w:rPr>
          <w:rFonts w:ascii="Times New Roman" w:eastAsia="Times New Roman" w:hAnsi="Times New Roman" w:cs="Times New Roman"/>
          <w:color w:val="000000"/>
          <w:sz w:val="28"/>
          <w:szCs w:val="28"/>
          <w:lang w:val="uk-UA" w:eastAsia="ru-RU"/>
        </w:rPr>
        <w:t>у</w:t>
      </w:r>
      <w:r w:rsidR="00C3185D" w:rsidRPr="00C3185D">
        <w:rPr>
          <w:rFonts w:ascii="Times New Roman" w:eastAsia="Times New Roman" w:hAnsi="Times New Roman" w:cs="Times New Roman"/>
          <w:color w:val="000000"/>
          <w:sz w:val="28"/>
          <w:szCs w:val="28"/>
          <w:lang w:val="uk-UA" w:eastAsia="ru-RU"/>
        </w:rPr>
        <w:t xml:space="preserve"> міокарда (ІМ), або ГПМК, або </w:t>
      </w:r>
      <w:r w:rsidR="00C3185D">
        <w:rPr>
          <w:rFonts w:ascii="Times New Roman" w:eastAsia="Times New Roman" w:hAnsi="Times New Roman" w:cs="Times New Roman"/>
          <w:color w:val="000000"/>
          <w:sz w:val="28"/>
          <w:szCs w:val="28"/>
          <w:lang w:val="uk-UA" w:eastAsia="ru-RU"/>
        </w:rPr>
        <w:t>транзиторної ішемічної атаки (ТІА);</w:t>
      </w:r>
    </w:p>
    <w:p w:rsidR="009B3931" w:rsidRPr="00C3185D" w:rsidRDefault="00C3185D" w:rsidP="000C455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4) </w:t>
      </w:r>
      <w:r w:rsidR="00DE5EB7">
        <w:rPr>
          <w:rFonts w:ascii="Times New Roman" w:eastAsia="Times New Roman" w:hAnsi="Times New Roman" w:cs="Times New Roman"/>
          <w:color w:val="000000"/>
          <w:sz w:val="28"/>
          <w:szCs w:val="28"/>
          <w:lang w:val="uk-UA" w:eastAsia="ru-RU"/>
        </w:rPr>
        <w:t xml:space="preserve">клінічні стадії </w:t>
      </w:r>
      <w:r w:rsidR="009B3931" w:rsidRPr="009B3931">
        <w:rPr>
          <w:rFonts w:ascii="Times New Roman" w:eastAsia="Times New Roman" w:hAnsi="Times New Roman" w:cs="Times New Roman"/>
          <w:color w:val="000000"/>
          <w:sz w:val="28"/>
          <w:szCs w:val="28"/>
          <w:lang w:val="uk-UA" w:eastAsia="ru-RU"/>
        </w:rPr>
        <w:t>ІІА та І</w:t>
      </w:r>
      <w:r w:rsidR="009B3931">
        <w:rPr>
          <w:rFonts w:ascii="Times New Roman" w:eastAsia="Times New Roman" w:hAnsi="Times New Roman" w:cs="Times New Roman"/>
          <w:color w:val="000000"/>
          <w:sz w:val="28"/>
          <w:szCs w:val="28"/>
          <w:lang w:val="uk-UA" w:eastAsia="ru-RU"/>
        </w:rPr>
        <w:t>ІБ</w:t>
      </w:r>
      <w:r w:rsidR="00DE5EB7">
        <w:rPr>
          <w:rFonts w:ascii="Times New Roman" w:eastAsia="Times New Roman" w:hAnsi="Times New Roman" w:cs="Times New Roman"/>
          <w:color w:val="000000"/>
          <w:sz w:val="28"/>
          <w:szCs w:val="28"/>
          <w:lang w:val="uk-UA" w:eastAsia="ru-RU"/>
        </w:rPr>
        <w:t xml:space="preserve"> СН</w:t>
      </w:r>
      <w:r w:rsidR="009B3931">
        <w:rPr>
          <w:rFonts w:ascii="Times New Roman" w:eastAsia="Times New Roman" w:hAnsi="Times New Roman" w:cs="Times New Roman"/>
          <w:color w:val="000000"/>
          <w:sz w:val="28"/>
          <w:szCs w:val="28"/>
          <w:lang w:val="uk-UA" w:eastAsia="ru-RU"/>
        </w:rPr>
        <w:t xml:space="preserve">, які відповідають критеріям </w:t>
      </w:r>
      <w:r w:rsidR="009B3931" w:rsidRPr="009B3931">
        <w:rPr>
          <w:rFonts w:ascii="Times New Roman" w:eastAsia="Times New Roman" w:hAnsi="Times New Roman" w:cs="Times New Roman"/>
          <w:color w:val="000000"/>
          <w:sz w:val="28"/>
          <w:szCs w:val="28"/>
          <w:lang w:val="uk-UA" w:eastAsia="ru-RU"/>
        </w:rPr>
        <w:t xml:space="preserve">ІІА та ІІБ стадій хронічної недостатності кровообігу за класифікацією Стражеска М.Д. та </w:t>
      </w:r>
      <w:r w:rsidR="009B3931">
        <w:rPr>
          <w:rFonts w:ascii="Times New Roman" w:eastAsia="Times New Roman" w:hAnsi="Times New Roman" w:cs="Times New Roman"/>
          <w:color w:val="000000"/>
          <w:sz w:val="28"/>
          <w:szCs w:val="28"/>
          <w:lang w:val="uk-UA" w:eastAsia="ru-RU"/>
        </w:rPr>
        <w:t xml:space="preserve">            </w:t>
      </w:r>
      <w:r w:rsidR="009B3931" w:rsidRPr="009B3931">
        <w:rPr>
          <w:rFonts w:ascii="Times New Roman" w:eastAsia="Times New Roman" w:hAnsi="Times New Roman" w:cs="Times New Roman"/>
          <w:color w:val="000000"/>
          <w:sz w:val="28"/>
          <w:szCs w:val="28"/>
          <w:lang w:val="uk-UA" w:eastAsia="ru-RU"/>
        </w:rPr>
        <w:t>Василенка В.Х.</w:t>
      </w:r>
      <w:r w:rsidR="009B3931">
        <w:rPr>
          <w:rFonts w:ascii="Times New Roman" w:eastAsia="Times New Roman" w:hAnsi="Times New Roman" w:cs="Times New Roman"/>
          <w:color w:val="000000"/>
          <w:sz w:val="28"/>
          <w:szCs w:val="28"/>
          <w:lang w:val="uk-UA" w:eastAsia="ru-RU"/>
        </w:rPr>
        <w:t xml:space="preserve"> </w:t>
      </w:r>
      <w:r w:rsidR="009B3931" w:rsidRPr="00C3185D">
        <w:rPr>
          <w:rFonts w:ascii="Times New Roman" w:eastAsia="Times New Roman" w:hAnsi="Times New Roman" w:cs="Times New Roman"/>
          <w:color w:val="000000"/>
          <w:sz w:val="28"/>
          <w:szCs w:val="28"/>
          <w:lang w:val="uk-UA" w:eastAsia="ru-RU"/>
        </w:rPr>
        <w:t>[</w:t>
      </w:r>
      <w:r w:rsidR="00CA04D8">
        <w:rPr>
          <w:rFonts w:ascii="Times New Roman" w:eastAsia="Times New Roman" w:hAnsi="Times New Roman" w:cs="Times New Roman"/>
          <w:color w:val="000000"/>
          <w:sz w:val="28"/>
          <w:szCs w:val="28"/>
          <w:lang w:val="uk-UA" w:eastAsia="ru-RU"/>
        </w:rPr>
        <w:t>124</w:t>
      </w:r>
      <w:r w:rsidR="009B3931" w:rsidRPr="00C3185D">
        <w:rPr>
          <w:rFonts w:ascii="Times New Roman" w:eastAsia="Times New Roman" w:hAnsi="Times New Roman" w:cs="Times New Roman"/>
          <w:color w:val="000000"/>
          <w:sz w:val="28"/>
          <w:szCs w:val="28"/>
          <w:lang w:val="uk-UA" w:eastAsia="ru-RU"/>
        </w:rPr>
        <w:t>];</w:t>
      </w:r>
    </w:p>
    <w:p w:rsidR="009B3931" w:rsidRPr="00C3185D" w:rsidRDefault="00C3185D" w:rsidP="000C455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9B3931" w:rsidRPr="00C3185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ФК ІІ, ФК ІІІ ХСН </w:t>
      </w:r>
      <w:r w:rsidRPr="00C3185D">
        <w:rPr>
          <w:rFonts w:ascii="Times New Roman" w:eastAsia="Times New Roman" w:hAnsi="Times New Roman" w:cs="Times New Roman"/>
          <w:color w:val="000000"/>
          <w:sz w:val="28"/>
          <w:szCs w:val="28"/>
          <w:lang w:val="uk-UA" w:eastAsia="ru-RU"/>
        </w:rPr>
        <w:t>(NYHA, 1964) [</w:t>
      </w:r>
      <w:r w:rsidR="00CA04D8">
        <w:rPr>
          <w:rFonts w:ascii="Times New Roman" w:eastAsia="Times New Roman" w:hAnsi="Times New Roman" w:cs="Times New Roman"/>
          <w:color w:val="000000"/>
          <w:sz w:val="28"/>
          <w:szCs w:val="28"/>
          <w:lang w:val="uk-UA" w:eastAsia="ru-RU"/>
        </w:rPr>
        <w:t>125</w:t>
      </w:r>
      <w:r w:rsidRPr="00C3185D">
        <w:rPr>
          <w:rFonts w:ascii="Times New Roman" w:eastAsia="Times New Roman" w:hAnsi="Times New Roman" w:cs="Times New Roman"/>
          <w:color w:val="000000"/>
          <w:sz w:val="28"/>
          <w:szCs w:val="28"/>
          <w:lang w:val="uk-UA" w:eastAsia="ru-RU"/>
        </w:rPr>
        <w:t>].</w:t>
      </w:r>
    </w:p>
    <w:p w:rsidR="000C4558" w:rsidRPr="008D6381" w:rsidRDefault="000C4558" w:rsidP="000C4558">
      <w:pPr>
        <w:spacing w:after="0" w:line="360" w:lineRule="auto"/>
        <w:ind w:firstLine="708"/>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 xml:space="preserve">Критерії виключення: </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1) ЦД 1-го типу;</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 xml:space="preserve">2) відмова </w:t>
      </w:r>
      <w:r w:rsidR="007B1CB8">
        <w:rPr>
          <w:rFonts w:ascii="Times New Roman" w:eastAsia="Times New Roman" w:hAnsi="Times New Roman" w:cs="Times New Roman"/>
          <w:color w:val="000000"/>
          <w:sz w:val="28"/>
          <w:szCs w:val="28"/>
          <w:lang w:val="uk-UA" w:eastAsia="ru-RU"/>
        </w:rPr>
        <w:t>пацієнта від участі в</w:t>
      </w:r>
      <w:r w:rsidRPr="008D6381">
        <w:rPr>
          <w:rFonts w:ascii="Times New Roman" w:eastAsia="Times New Roman" w:hAnsi="Times New Roman" w:cs="Times New Roman"/>
          <w:color w:val="000000"/>
          <w:sz w:val="28"/>
          <w:szCs w:val="28"/>
          <w:lang w:val="uk-UA" w:eastAsia="ru-RU"/>
        </w:rPr>
        <w:t xml:space="preserve"> дослідженні; </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3) вагітність та період лактації;</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4) психічні розлади;</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5) алергія на досліджувані препарати;</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6) вірусні гепатити в анамнезі;</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 xml:space="preserve">7) підвищення </w:t>
      </w:r>
      <w:r w:rsidR="00995CE1">
        <w:rPr>
          <w:rFonts w:ascii="Times New Roman" w:eastAsia="Times New Roman" w:hAnsi="Times New Roman" w:cs="Times New Roman"/>
          <w:color w:val="000000"/>
          <w:sz w:val="28"/>
          <w:szCs w:val="28"/>
          <w:lang w:val="uk-UA" w:eastAsia="ru-RU"/>
        </w:rPr>
        <w:t xml:space="preserve">вмісту </w:t>
      </w:r>
      <w:r w:rsidRPr="008D6381">
        <w:rPr>
          <w:rFonts w:ascii="Times New Roman" w:eastAsia="Times New Roman" w:hAnsi="Times New Roman" w:cs="Times New Roman"/>
          <w:color w:val="000000"/>
          <w:sz w:val="28"/>
          <w:szCs w:val="28"/>
          <w:lang w:val="uk-UA" w:eastAsia="ru-RU"/>
        </w:rPr>
        <w:t>печінкових ізоферментів у сироватці крові;</w:t>
      </w:r>
    </w:p>
    <w:p w:rsidR="000C4558" w:rsidRPr="008D6381" w:rsidRDefault="004C5530" w:rsidP="000C4558">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 ШКФ</w:t>
      </w:r>
      <w:r w:rsidRPr="00202B2D">
        <w:rPr>
          <w:rFonts w:ascii="Times New Roman" w:eastAsia="Times New Roman" w:hAnsi="Times New Roman" w:cs="Times New Roman"/>
          <w:color w:val="000000"/>
          <w:sz w:val="28"/>
          <w:szCs w:val="28"/>
          <w:lang w:val="uk-UA" w:eastAsia="ru-RU"/>
        </w:rPr>
        <w:t xml:space="preserve"> &lt; 15 </w:t>
      </w:r>
      <w:r>
        <w:rPr>
          <w:rFonts w:ascii="Times New Roman" w:eastAsia="Times New Roman" w:hAnsi="Times New Roman" w:cs="Times New Roman"/>
          <w:color w:val="000000"/>
          <w:sz w:val="28"/>
          <w:szCs w:val="28"/>
          <w:lang w:val="uk-UA" w:eastAsia="ru-RU"/>
        </w:rPr>
        <w:t>мл/хв.</w:t>
      </w:r>
      <w:r w:rsidR="000C4558" w:rsidRPr="008D6381">
        <w:rPr>
          <w:rFonts w:ascii="Times New Roman" w:eastAsia="Times New Roman" w:hAnsi="Times New Roman" w:cs="Times New Roman"/>
          <w:color w:val="000000"/>
          <w:sz w:val="28"/>
          <w:szCs w:val="28"/>
          <w:lang w:val="uk-UA" w:eastAsia="ru-RU"/>
        </w:rPr>
        <w:t>;</w:t>
      </w:r>
    </w:p>
    <w:p w:rsidR="000C4558" w:rsidRPr="008D6381"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9) онкологічні захворювання;</w:t>
      </w:r>
    </w:p>
    <w:p w:rsidR="000C4558" w:rsidRPr="004E003B" w:rsidRDefault="000C4558" w:rsidP="000C4558">
      <w:pPr>
        <w:spacing w:after="0" w:line="360" w:lineRule="auto"/>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10) гострі запальні процеси</w:t>
      </w:r>
      <w:r w:rsidR="00F02809">
        <w:rPr>
          <w:rFonts w:ascii="Times New Roman" w:eastAsia="Times New Roman" w:hAnsi="Times New Roman" w:cs="Times New Roman"/>
          <w:color w:val="000000"/>
          <w:sz w:val="28"/>
          <w:szCs w:val="28"/>
          <w:lang w:val="uk-UA" w:eastAsia="ru-RU"/>
        </w:rPr>
        <w:t>.</w:t>
      </w:r>
    </w:p>
    <w:p w:rsidR="00831201" w:rsidRPr="008B77A1" w:rsidRDefault="000C4558" w:rsidP="00616F15">
      <w:pPr>
        <w:spacing w:after="0" w:line="360" w:lineRule="auto"/>
        <w:ind w:firstLine="709"/>
        <w:jc w:val="both"/>
        <w:rPr>
          <w:rFonts w:ascii="Times New Roman" w:eastAsia="Times New Roman" w:hAnsi="Times New Roman" w:cs="Times New Roman"/>
          <w:color w:val="000000"/>
          <w:sz w:val="28"/>
          <w:szCs w:val="28"/>
          <w:lang w:eastAsia="ru-RU"/>
        </w:rPr>
      </w:pPr>
      <w:r w:rsidRPr="008707FF">
        <w:rPr>
          <w:rFonts w:ascii="Times New Roman" w:eastAsia="Times New Roman" w:hAnsi="Times New Roman" w:cs="Times New Roman"/>
          <w:color w:val="000000"/>
          <w:sz w:val="28"/>
          <w:szCs w:val="28"/>
          <w:lang w:val="uk-UA" w:eastAsia="ru-RU"/>
        </w:rPr>
        <w:t>Клінічна характеристика хворих наведена в таблиці 2.</w:t>
      </w:r>
      <w:r w:rsidR="00DF6553">
        <w:rPr>
          <w:rFonts w:ascii="Times New Roman" w:eastAsia="Times New Roman" w:hAnsi="Times New Roman" w:cs="Times New Roman"/>
          <w:color w:val="000000"/>
          <w:sz w:val="28"/>
          <w:szCs w:val="28"/>
          <w:lang w:val="uk-UA" w:eastAsia="ru-RU"/>
        </w:rPr>
        <w:t>1.</w:t>
      </w:r>
      <w:r w:rsidR="008B77A1" w:rsidRPr="008B77A1">
        <w:rPr>
          <w:rFonts w:ascii="Times New Roman" w:eastAsia="Times New Roman" w:hAnsi="Times New Roman" w:cs="Times New Roman"/>
          <w:color w:val="000000"/>
          <w:sz w:val="28"/>
          <w:szCs w:val="28"/>
          <w:lang w:eastAsia="ru-RU"/>
        </w:rPr>
        <w:t>1</w:t>
      </w:r>
    </w:p>
    <w:p w:rsidR="00DB41B1" w:rsidRDefault="00DB41B1" w:rsidP="005B446C">
      <w:pPr>
        <w:spacing w:after="0" w:line="360" w:lineRule="auto"/>
        <w:jc w:val="right"/>
        <w:rPr>
          <w:rFonts w:ascii="Times New Roman" w:eastAsia="Times New Roman" w:hAnsi="Times New Roman" w:cs="Times New Roman"/>
          <w:i/>
          <w:color w:val="000000"/>
          <w:sz w:val="28"/>
          <w:szCs w:val="28"/>
          <w:lang w:val="uk-UA" w:eastAsia="ru-RU"/>
        </w:rPr>
      </w:pPr>
    </w:p>
    <w:p w:rsidR="005B446C" w:rsidRPr="005B446C" w:rsidRDefault="000C4558" w:rsidP="005B446C">
      <w:pPr>
        <w:spacing w:after="0" w:line="360" w:lineRule="auto"/>
        <w:jc w:val="right"/>
        <w:rPr>
          <w:rFonts w:ascii="Times New Roman" w:eastAsia="Times New Roman" w:hAnsi="Times New Roman" w:cs="Times New Roman"/>
          <w:i/>
          <w:color w:val="000000"/>
          <w:sz w:val="28"/>
          <w:szCs w:val="28"/>
          <w:lang w:val="uk-UA" w:eastAsia="ru-RU"/>
        </w:rPr>
      </w:pPr>
      <w:r w:rsidRPr="005B446C">
        <w:rPr>
          <w:rFonts w:ascii="Times New Roman" w:eastAsia="Times New Roman" w:hAnsi="Times New Roman" w:cs="Times New Roman"/>
          <w:i/>
          <w:color w:val="000000"/>
          <w:sz w:val="28"/>
          <w:szCs w:val="28"/>
          <w:lang w:val="uk-UA" w:eastAsia="ru-RU"/>
        </w:rPr>
        <w:lastRenderedPageBreak/>
        <w:t>Таблиця 2.</w:t>
      </w:r>
      <w:r w:rsidR="00DF6553">
        <w:rPr>
          <w:rFonts w:ascii="Times New Roman" w:eastAsia="Times New Roman" w:hAnsi="Times New Roman" w:cs="Times New Roman"/>
          <w:i/>
          <w:color w:val="000000"/>
          <w:sz w:val="28"/>
          <w:szCs w:val="28"/>
          <w:lang w:val="uk-UA" w:eastAsia="ru-RU"/>
        </w:rPr>
        <w:t>1</w:t>
      </w:r>
      <w:r w:rsidR="008B77A1" w:rsidRPr="008B77A1">
        <w:rPr>
          <w:rFonts w:ascii="Times New Roman" w:eastAsia="Times New Roman" w:hAnsi="Times New Roman" w:cs="Times New Roman"/>
          <w:i/>
          <w:color w:val="000000"/>
          <w:sz w:val="28"/>
          <w:szCs w:val="28"/>
          <w:lang w:eastAsia="ru-RU"/>
        </w:rPr>
        <w:t>.</w:t>
      </w:r>
      <w:r w:rsidR="008B77A1">
        <w:rPr>
          <w:rFonts w:ascii="Times New Roman" w:eastAsia="Times New Roman" w:hAnsi="Times New Roman" w:cs="Times New Roman"/>
          <w:i/>
          <w:color w:val="000000"/>
          <w:sz w:val="28"/>
          <w:szCs w:val="28"/>
          <w:lang w:val="en-US" w:eastAsia="ru-RU"/>
        </w:rPr>
        <w:t>1</w:t>
      </w:r>
      <w:r w:rsidR="005B446C" w:rsidRPr="005B446C">
        <w:rPr>
          <w:rFonts w:ascii="Times New Roman" w:eastAsia="Times New Roman" w:hAnsi="Times New Roman" w:cs="Times New Roman"/>
          <w:i/>
          <w:color w:val="000000"/>
          <w:sz w:val="28"/>
          <w:szCs w:val="28"/>
          <w:lang w:val="uk-UA" w:eastAsia="ru-RU"/>
        </w:rPr>
        <w:t xml:space="preserve"> </w:t>
      </w:r>
    </w:p>
    <w:p w:rsidR="000C4558" w:rsidRPr="005B446C" w:rsidRDefault="000C4558" w:rsidP="005B446C">
      <w:pPr>
        <w:spacing w:after="0" w:line="360" w:lineRule="auto"/>
        <w:jc w:val="center"/>
        <w:rPr>
          <w:rFonts w:ascii="Times New Roman" w:eastAsia="Times New Roman" w:hAnsi="Times New Roman" w:cs="Times New Roman"/>
          <w:b/>
          <w:color w:val="000000"/>
          <w:sz w:val="28"/>
          <w:szCs w:val="28"/>
          <w:lang w:val="uk-UA" w:eastAsia="ru-RU"/>
        </w:rPr>
      </w:pPr>
      <w:r w:rsidRPr="005B446C">
        <w:rPr>
          <w:rFonts w:ascii="Times New Roman" w:eastAsia="Times New Roman" w:hAnsi="Times New Roman" w:cs="Times New Roman"/>
          <w:b/>
          <w:color w:val="000000"/>
          <w:sz w:val="28"/>
          <w:szCs w:val="28"/>
          <w:lang w:val="uk-UA" w:eastAsia="ru-RU"/>
        </w:rPr>
        <w:t>Клінічн</w:t>
      </w:r>
      <w:r w:rsidR="00616F15">
        <w:rPr>
          <w:rFonts w:ascii="Times New Roman" w:eastAsia="Times New Roman" w:hAnsi="Times New Roman" w:cs="Times New Roman"/>
          <w:b/>
          <w:color w:val="000000"/>
          <w:sz w:val="28"/>
          <w:szCs w:val="28"/>
          <w:lang w:val="uk-UA" w:eastAsia="ru-RU"/>
        </w:rPr>
        <w:t>а характеристика обстежених пацієнтів</w:t>
      </w:r>
    </w:p>
    <w:tbl>
      <w:tblPr>
        <w:tblStyle w:val="a5"/>
        <w:tblW w:w="0" w:type="auto"/>
        <w:tblInd w:w="108" w:type="dxa"/>
        <w:tblLook w:val="04A0" w:firstRow="1" w:lastRow="0" w:firstColumn="1" w:lastColumn="0" w:noHBand="0" w:noVBand="1"/>
      </w:tblPr>
      <w:tblGrid>
        <w:gridCol w:w="900"/>
        <w:gridCol w:w="997"/>
        <w:gridCol w:w="2498"/>
        <w:gridCol w:w="2551"/>
        <w:gridCol w:w="2410"/>
      </w:tblGrid>
      <w:tr w:rsidR="009625DA" w:rsidRPr="00DF6553" w:rsidTr="00616F15">
        <w:tc>
          <w:tcPr>
            <w:tcW w:w="1897" w:type="dxa"/>
            <w:gridSpan w:val="2"/>
          </w:tcPr>
          <w:p w:rsidR="009625DA" w:rsidRPr="002F1D09" w:rsidRDefault="009625DA" w:rsidP="00090C2C">
            <w:pPr>
              <w:tabs>
                <w:tab w:val="left" w:pos="368"/>
              </w:tabs>
              <w:rPr>
                <w:rFonts w:ascii="Times New Roman" w:eastAsia="Times New Roman" w:hAnsi="Times New Roman" w:cs="Times New Roman"/>
                <w:color w:val="000000"/>
                <w:sz w:val="28"/>
                <w:szCs w:val="28"/>
                <w:highlight w:val="yellow"/>
                <w:lang w:val="uk-UA" w:eastAsia="ru-RU"/>
              </w:rPr>
            </w:pPr>
            <w:r w:rsidRPr="008707FF">
              <w:rPr>
                <w:rFonts w:ascii="Times New Roman" w:eastAsia="Times New Roman" w:hAnsi="Times New Roman" w:cs="Times New Roman"/>
                <w:color w:val="000000"/>
                <w:sz w:val="28"/>
                <w:szCs w:val="28"/>
                <w:lang w:val="uk-UA" w:eastAsia="ru-RU"/>
              </w:rPr>
              <w:tab/>
            </w:r>
            <w:r w:rsidRPr="006B2F0A">
              <w:rPr>
                <w:rFonts w:ascii="Times New Roman" w:eastAsia="Times New Roman" w:hAnsi="Times New Roman" w:cs="Times New Roman"/>
                <w:color w:val="000000"/>
                <w:sz w:val="28"/>
                <w:szCs w:val="28"/>
                <w:lang w:val="uk-UA" w:eastAsia="ru-RU"/>
              </w:rPr>
              <w:t>Показник</w:t>
            </w:r>
          </w:p>
        </w:tc>
        <w:tc>
          <w:tcPr>
            <w:tcW w:w="2498" w:type="dxa"/>
          </w:tcPr>
          <w:p w:rsidR="009625DA" w:rsidRPr="00560CE8" w:rsidRDefault="009625DA" w:rsidP="00560CE8">
            <w:pPr>
              <w:jc w:val="center"/>
              <w:rPr>
                <w:rFonts w:ascii="Times New Roman" w:eastAsia="Times New Roman" w:hAnsi="Times New Roman" w:cs="Times New Roman"/>
                <w:color w:val="000000"/>
                <w:sz w:val="28"/>
                <w:szCs w:val="28"/>
                <w:lang w:val="uk-UA" w:eastAsia="ru-RU"/>
              </w:rPr>
            </w:pPr>
            <w:r w:rsidRPr="006B2F0A">
              <w:rPr>
                <w:rFonts w:ascii="Times New Roman" w:eastAsia="Times New Roman" w:hAnsi="Times New Roman" w:cs="Times New Roman"/>
                <w:color w:val="000000"/>
                <w:sz w:val="28"/>
                <w:szCs w:val="28"/>
                <w:lang w:val="uk-UA" w:eastAsia="ru-RU"/>
              </w:rPr>
              <w:t>І група (</w:t>
            </w:r>
            <w:r w:rsidRPr="006B2F0A">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val="uk-UA" w:eastAsia="ru-RU"/>
              </w:rPr>
              <w:t xml:space="preserve"> = </w:t>
            </w:r>
            <w:r w:rsidRPr="00DF6553">
              <w:rPr>
                <w:rFonts w:ascii="Times New Roman" w:eastAsia="Times New Roman" w:hAnsi="Times New Roman" w:cs="Times New Roman"/>
                <w:color w:val="000000"/>
                <w:sz w:val="28"/>
                <w:szCs w:val="28"/>
                <w:lang w:val="uk-UA" w:eastAsia="ru-RU"/>
              </w:rPr>
              <w:t>9</w:t>
            </w:r>
            <w:r>
              <w:rPr>
                <w:rFonts w:ascii="Times New Roman" w:eastAsia="Times New Roman" w:hAnsi="Times New Roman" w:cs="Times New Roman"/>
                <w:color w:val="000000"/>
                <w:sz w:val="28"/>
                <w:szCs w:val="28"/>
                <w:lang w:val="uk-UA" w:eastAsia="ru-RU"/>
              </w:rPr>
              <w:t>6</w:t>
            </w:r>
            <w:r w:rsidRPr="006B2F0A">
              <w:rPr>
                <w:rFonts w:ascii="Times New Roman" w:eastAsia="Times New Roman" w:hAnsi="Times New Roman" w:cs="Times New Roman"/>
                <w:color w:val="000000"/>
                <w:sz w:val="28"/>
                <w:szCs w:val="28"/>
                <w:lang w:val="uk-UA" w:eastAsia="ru-RU"/>
              </w:rPr>
              <w:t>)</w:t>
            </w:r>
          </w:p>
        </w:tc>
        <w:tc>
          <w:tcPr>
            <w:tcW w:w="2551" w:type="dxa"/>
          </w:tcPr>
          <w:p w:rsidR="009625DA" w:rsidRPr="006B2F0A" w:rsidRDefault="009625DA" w:rsidP="00560CE8">
            <w:pPr>
              <w:jc w:val="center"/>
              <w:rPr>
                <w:rFonts w:ascii="Times New Roman" w:eastAsia="Times New Roman" w:hAnsi="Times New Roman" w:cs="Times New Roman"/>
                <w:color w:val="000000"/>
                <w:sz w:val="28"/>
                <w:szCs w:val="28"/>
                <w:lang w:val="uk-UA" w:eastAsia="ru-RU"/>
              </w:rPr>
            </w:pPr>
            <w:r w:rsidRPr="006B2F0A">
              <w:rPr>
                <w:rFonts w:ascii="Times New Roman" w:eastAsia="Times New Roman" w:hAnsi="Times New Roman" w:cs="Times New Roman"/>
                <w:color w:val="000000"/>
                <w:sz w:val="28"/>
                <w:szCs w:val="28"/>
                <w:lang w:val="uk-UA" w:eastAsia="ru-RU"/>
              </w:rPr>
              <w:t>ІІ група</w:t>
            </w:r>
            <w:r w:rsidR="00560CE8">
              <w:rPr>
                <w:rFonts w:ascii="Times New Roman" w:eastAsia="Times New Roman" w:hAnsi="Times New Roman" w:cs="Times New Roman"/>
                <w:color w:val="000000"/>
                <w:sz w:val="28"/>
                <w:szCs w:val="28"/>
                <w:lang w:val="uk-UA" w:eastAsia="ru-RU"/>
              </w:rPr>
              <w:t xml:space="preserve"> </w:t>
            </w:r>
            <w:r w:rsidRPr="006B2F0A">
              <w:rPr>
                <w:rFonts w:ascii="Times New Roman" w:eastAsia="Times New Roman" w:hAnsi="Times New Roman" w:cs="Times New Roman"/>
                <w:color w:val="000000"/>
                <w:sz w:val="28"/>
                <w:szCs w:val="28"/>
                <w:lang w:val="uk-UA" w:eastAsia="ru-RU"/>
              </w:rPr>
              <w:t>(</w:t>
            </w:r>
            <w:r w:rsidRPr="006B2F0A">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val="uk-UA" w:eastAsia="ru-RU"/>
              </w:rPr>
              <w:t xml:space="preserve"> = 25</w:t>
            </w:r>
            <w:r w:rsidRPr="006B2F0A">
              <w:rPr>
                <w:rFonts w:ascii="Times New Roman" w:eastAsia="Times New Roman" w:hAnsi="Times New Roman" w:cs="Times New Roman"/>
                <w:color w:val="000000"/>
                <w:sz w:val="28"/>
                <w:szCs w:val="28"/>
                <w:lang w:val="uk-UA" w:eastAsia="ru-RU"/>
              </w:rPr>
              <w:t>)</w:t>
            </w:r>
          </w:p>
        </w:tc>
        <w:tc>
          <w:tcPr>
            <w:tcW w:w="2410" w:type="dxa"/>
          </w:tcPr>
          <w:p w:rsidR="009625DA" w:rsidRPr="006B2F0A" w:rsidRDefault="00297F80" w:rsidP="00560CE8">
            <w:pP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контроль</w:t>
            </w:r>
            <w:r w:rsidR="009625DA" w:rsidRPr="006B2F0A">
              <w:rPr>
                <w:rFonts w:ascii="Times New Roman" w:eastAsia="Times New Roman" w:hAnsi="Times New Roman" w:cs="Times New Roman"/>
                <w:color w:val="000000"/>
                <w:sz w:val="28"/>
                <w:szCs w:val="28"/>
                <w:lang w:val="uk-UA" w:eastAsia="ru-RU"/>
              </w:rPr>
              <w:t xml:space="preserve"> (</w:t>
            </w:r>
            <w:r w:rsidR="009625DA" w:rsidRPr="006B2F0A">
              <w:rPr>
                <w:rFonts w:ascii="Times New Roman" w:eastAsia="Times New Roman" w:hAnsi="Times New Roman" w:cs="Times New Roman"/>
                <w:color w:val="000000"/>
                <w:sz w:val="28"/>
                <w:szCs w:val="28"/>
                <w:lang w:val="en-US" w:eastAsia="ru-RU"/>
              </w:rPr>
              <w:t>n</w:t>
            </w:r>
            <w:r w:rsidR="00560CE8">
              <w:rPr>
                <w:rFonts w:ascii="Times New Roman" w:eastAsia="Times New Roman" w:hAnsi="Times New Roman" w:cs="Times New Roman"/>
                <w:color w:val="000000"/>
                <w:sz w:val="28"/>
                <w:szCs w:val="28"/>
                <w:lang w:val="uk-UA" w:eastAsia="ru-RU"/>
              </w:rPr>
              <w:t xml:space="preserve"> = </w:t>
            </w:r>
            <w:r w:rsidR="009625DA">
              <w:rPr>
                <w:rFonts w:ascii="Times New Roman" w:eastAsia="Times New Roman" w:hAnsi="Times New Roman" w:cs="Times New Roman"/>
                <w:color w:val="000000"/>
                <w:sz w:val="28"/>
                <w:szCs w:val="28"/>
                <w:lang w:val="uk-UA" w:eastAsia="ru-RU"/>
              </w:rPr>
              <w:t>15</w:t>
            </w:r>
            <w:r w:rsidR="009625DA" w:rsidRPr="006B2F0A">
              <w:rPr>
                <w:rFonts w:ascii="Times New Roman" w:eastAsia="Times New Roman" w:hAnsi="Times New Roman" w:cs="Times New Roman"/>
                <w:color w:val="000000"/>
                <w:sz w:val="28"/>
                <w:szCs w:val="28"/>
                <w:lang w:val="uk-UA" w:eastAsia="ru-RU"/>
              </w:rPr>
              <w:t>)</w:t>
            </w:r>
          </w:p>
        </w:tc>
      </w:tr>
      <w:tr w:rsidR="009625DA" w:rsidRPr="008D6381" w:rsidTr="00616F15">
        <w:tc>
          <w:tcPr>
            <w:tcW w:w="1897" w:type="dxa"/>
            <w:gridSpan w:val="2"/>
          </w:tcPr>
          <w:p w:rsidR="009625DA" w:rsidRPr="002F1D09" w:rsidRDefault="009625DA" w:rsidP="00090C2C">
            <w:pPr>
              <w:spacing w:before="100" w:beforeAutospacing="1" w:after="100" w:afterAutospacing="1"/>
              <w:jc w:val="center"/>
              <w:rPr>
                <w:rFonts w:ascii="Times New Roman" w:eastAsia="Times New Roman" w:hAnsi="Times New Roman" w:cs="Times New Roman"/>
                <w:color w:val="000000"/>
                <w:sz w:val="28"/>
                <w:szCs w:val="28"/>
                <w:highlight w:val="yellow"/>
                <w:lang w:val="uk-UA" w:eastAsia="ru-RU"/>
              </w:rPr>
            </w:pPr>
            <w:r w:rsidRPr="006B2F0A">
              <w:rPr>
                <w:rFonts w:ascii="Times New Roman" w:eastAsia="Times New Roman" w:hAnsi="Times New Roman" w:cs="Times New Roman"/>
                <w:color w:val="000000"/>
                <w:sz w:val="28"/>
                <w:szCs w:val="28"/>
                <w:lang w:val="uk-UA" w:eastAsia="ru-RU"/>
              </w:rPr>
              <w:t>Вік (роки)</w:t>
            </w:r>
          </w:p>
        </w:tc>
        <w:tc>
          <w:tcPr>
            <w:tcW w:w="2498" w:type="dxa"/>
          </w:tcPr>
          <w:p w:rsidR="009625DA" w:rsidRPr="00530FC0"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62,</w:t>
            </w:r>
            <w:r w:rsidR="00091DD8">
              <w:rPr>
                <w:rFonts w:ascii="Times New Roman" w:eastAsia="Times New Roman" w:hAnsi="Times New Roman" w:cs="Times New Roman"/>
                <w:color w:val="000000"/>
                <w:sz w:val="28"/>
                <w:szCs w:val="28"/>
                <w:lang w:val="en-US" w:eastAsia="ru-RU"/>
              </w:rPr>
              <w:t>3</w:t>
            </w:r>
            <w:r>
              <w:rPr>
                <w:rFonts w:ascii="Times New Roman" w:eastAsia="Times New Roman" w:hAnsi="Times New Roman" w:cs="Times New Roman"/>
                <w:color w:val="000000"/>
                <w:sz w:val="28"/>
                <w:szCs w:val="28"/>
                <w:lang w:val="uk-UA" w:eastAsia="ru-RU"/>
              </w:rPr>
              <w:t xml:space="preserve"> ± 0,</w:t>
            </w:r>
            <w:r>
              <w:rPr>
                <w:rFonts w:ascii="Times New Roman" w:eastAsia="Times New Roman" w:hAnsi="Times New Roman" w:cs="Times New Roman"/>
                <w:color w:val="000000"/>
                <w:sz w:val="28"/>
                <w:szCs w:val="28"/>
                <w:lang w:val="en-US" w:eastAsia="ru-RU"/>
              </w:rPr>
              <w:t>2</w:t>
            </w:r>
          </w:p>
        </w:tc>
        <w:tc>
          <w:tcPr>
            <w:tcW w:w="2551" w:type="dxa"/>
          </w:tcPr>
          <w:p w:rsidR="009625DA" w:rsidRPr="00530FC0"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en-US" w:eastAsia="ru-RU"/>
              </w:rPr>
              <w:t>5</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2</w:t>
            </w:r>
            <w:r>
              <w:rPr>
                <w:rFonts w:ascii="Times New Roman" w:eastAsia="Times New Roman" w:hAnsi="Times New Roman" w:cs="Times New Roman"/>
                <w:color w:val="000000"/>
                <w:sz w:val="28"/>
                <w:szCs w:val="28"/>
                <w:lang w:val="uk-UA" w:eastAsia="ru-RU"/>
              </w:rPr>
              <w:t xml:space="preserve"> ± 0,</w:t>
            </w:r>
            <w:r>
              <w:rPr>
                <w:rFonts w:ascii="Times New Roman" w:eastAsia="Times New Roman" w:hAnsi="Times New Roman" w:cs="Times New Roman"/>
                <w:color w:val="000000"/>
                <w:sz w:val="28"/>
                <w:szCs w:val="28"/>
                <w:lang w:val="en-US" w:eastAsia="ru-RU"/>
              </w:rPr>
              <w:t>9</w:t>
            </w:r>
          </w:p>
        </w:tc>
        <w:tc>
          <w:tcPr>
            <w:tcW w:w="2410"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en-US" w:eastAsia="ru-RU"/>
              </w:rPr>
              <w:t>0</w:t>
            </w:r>
            <w:r>
              <w:rPr>
                <w:rFonts w:ascii="Times New Roman" w:eastAsia="Times New Roman" w:hAnsi="Times New Roman" w:cs="Times New Roman"/>
                <w:color w:val="000000"/>
                <w:sz w:val="28"/>
                <w:szCs w:val="28"/>
                <w:lang w:val="uk-UA" w:eastAsia="ru-RU"/>
              </w:rPr>
              <w:t>,</w:t>
            </w:r>
            <w:r w:rsidR="00091DD8">
              <w:rPr>
                <w:rFonts w:ascii="Times New Roman" w:eastAsia="Times New Roman" w:hAnsi="Times New Roman" w:cs="Times New Roman"/>
                <w:color w:val="000000"/>
                <w:sz w:val="28"/>
                <w:szCs w:val="28"/>
                <w:lang w:val="en-US" w:eastAsia="ru-RU"/>
              </w:rPr>
              <w:t>7</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lang w:val="en-US" w:eastAsia="ru-RU"/>
              </w:rPr>
              <w:t>1</w:t>
            </w:r>
            <w:r>
              <w:rPr>
                <w:rFonts w:ascii="Times New Roman" w:eastAsia="Times New Roman" w:hAnsi="Times New Roman" w:cs="Times New Roman"/>
                <w:color w:val="000000"/>
                <w:sz w:val="28"/>
                <w:szCs w:val="28"/>
                <w:lang w:val="uk-UA" w:eastAsia="ru-RU"/>
              </w:rPr>
              <w:t>,05</w:t>
            </w:r>
          </w:p>
        </w:tc>
      </w:tr>
      <w:tr w:rsidR="009625DA" w:rsidRPr="008D6381" w:rsidTr="00616F15">
        <w:trPr>
          <w:trHeight w:val="158"/>
        </w:trPr>
        <w:tc>
          <w:tcPr>
            <w:tcW w:w="900" w:type="dxa"/>
          </w:tcPr>
          <w:p w:rsidR="009625DA" w:rsidRPr="006B2F0A"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Стать </w:t>
            </w:r>
          </w:p>
        </w:tc>
        <w:tc>
          <w:tcPr>
            <w:tcW w:w="997" w:type="dxa"/>
          </w:tcPr>
          <w:p w:rsidR="009625DA" w:rsidRPr="006B2F0A"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w:t>
            </w:r>
          </w:p>
        </w:tc>
        <w:tc>
          <w:tcPr>
            <w:tcW w:w="2498"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52</w:t>
            </w:r>
            <w:r>
              <w:rPr>
                <w:rFonts w:ascii="Times New Roman" w:eastAsia="Times New Roman" w:hAnsi="Times New Roman" w:cs="Times New Roman"/>
                <w:color w:val="000000"/>
                <w:sz w:val="28"/>
                <w:szCs w:val="28"/>
                <w:lang w:val="uk-UA" w:eastAsia="ru-RU"/>
              </w:rPr>
              <w:t xml:space="preserve"> (5</w:t>
            </w:r>
            <w:r>
              <w:rPr>
                <w:rFonts w:ascii="Times New Roman" w:eastAsia="Times New Roman" w:hAnsi="Times New Roman" w:cs="Times New Roman"/>
                <w:color w:val="000000"/>
                <w:sz w:val="28"/>
                <w:szCs w:val="28"/>
                <w:lang w:val="en-US" w:eastAsia="ru-RU"/>
              </w:rPr>
              <w:t>4</w:t>
            </w:r>
            <w:r>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en-US" w:eastAsia="ru-RU"/>
              </w:rPr>
              <w:t>16</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p>
        </w:tc>
        <w:tc>
          <w:tcPr>
            <w:tcW w:w="2551"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 (36 </w:t>
            </w:r>
            <w:r w:rsidRPr="008D6381">
              <w:rPr>
                <w:rFonts w:ascii="Times New Roman" w:eastAsia="Times New Roman" w:hAnsi="Times New Roman" w:cs="Times New Roman"/>
                <w:color w:val="000000"/>
                <w:sz w:val="28"/>
                <w:szCs w:val="28"/>
                <w:lang w:val="uk-UA" w:eastAsia="ru-RU"/>
              </w:rPr>
              <w:t>%)</w:t>
            </w:r>
          </w:p>
        </w:tc>
        <w:tc>
          <w:tcPr>
            <w:tcW w:w="2410"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Pr="008D638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40 </w:t>
            </w:r>
            <w:r w:rsidRPr="008D6381">
              <w:rPr>
                <w:rFonts w:ascii="Times New Roman" w:eastAsia="Times New Roman" w:hAnsi="Times New Roman" w:cs="Times New Roman"/>
                <w:color w:val="000000"/>
                <w:sz w:val="28"/>
                <w:szCs w:val="28"/>
                <w:lang w:val="uk-UA" w:eastAsia="ru-RU"/>
              </w:rPr>
              <w:t>%)</w:t>
            </w:r>
          </w:p>
        </w:tc>
      </w:tr>
      <w:tr w:rsidR="009625DA" w:rsidRPr="008D6381" w:rsidTr="00616F15">
        <w:trPr>
          <w:trHeight w:val="157"/>
        </w:trPr>
        <w:tc>
          <w:tcPr>
            <w:tcW w:w="900" w:type="dxa"/>
          </w:tcPr>
          <w:p w:rsidR="009625DA"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p>
        </w:tc>
        <w:tc>
          <w:tcPr>
            <w:tcW w:w="997" w:type="dxa"/>
          </w:tcPr>
          <w:p w:rsidR="009625DA" w:rsidRPr="006B2F0A"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ж</w:t>
            </w:r>
          </w:p>
        </w:tc>
        <w:tc>
          <w:tcPr>
            <w:tcW w:w="2498"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sidRPr="006C5948">
              <w:rPr>
                <w:rFonts w:ascii="Times New Roman" w:eastAsia="Times New Roman" w:hAnsi="Times New Roman" w:cs="Times New Roman"/>
                <w:color w:val="000000"/>
                <w:sz w:val="28"/>
                <w:szCs w:val="28"/>
                <w:lang w:eastAsia="ru-RU"/>
              </w:rPr>
              <w:t>44</w:t>
            </w:r>
            <w:r>
              <w:rPr>
                <w:rFonts w:ascii="Times New Roman" w:eastAsia="Times New Roman" w:hAnsi="Times New Roman" w:cs="Times New Roman"/>
                <w:color w:val="000000"/>
                <w:sz w:val="28"/>
                <w:szCs w:val="28"/>
                <w:lang w:val="uk-UA" w:eastAsia="ru-RU"/>
              </w:rPr>
              <w:t xml:space="preserve"> (4</w:t>
            </w:r>
            <w:r w:rsidRPr="006C594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val="uk-UA" w:eastAsia="ru-RU"/>
              </w:rPr>
              <w:t>,</w:t>
            </w:r>
            <w:r w:rsidRPr="006C5948">
              <w:rPr>
                <w:rFonts w:ascii="Times New Roman" w:eastAsia="Times New Roman" w:hAnsi="Times New Roman" w:cs="Times New Roman"/>
                <w:color w:val="000000"/>
                <w:sz w:val="28"/>
                <w:szCs w:val="28"/>
                <w:lang w:eastAsia="ru-RU"/>
              </w:rPr>
              <w:t>84</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p>
        </w:tc>
        <w:tc>
          <w:tcPr>
            <w:tcW w:w="2551"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16 (64 </w:t>
            </w:r>
            <w:r w:rsidRPr="008D6381">
              <w:rPr>
                <w:rFonts w:ascii="Times New Roman" w:eastAsia="Times New Roman" w:hAnsi="Times New Roman" w:cs="Times New Roman"/>
                <w:color w:val="000000"/>
                <w:sz w:val="28"/>
                <w:szCs w:val="28"/>
                <w:lang w:val="uk-UA" w:eastAsia="ru-RU"/>
              </w:rPr>
              <w:t>%)</w:t>
            </w:r>
          </w:p>
        </w:tc>
        <w:tc>
          <w:tcPr>
            <w:tcW w:w="2410"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9 (60 </w:t>
            </w:r>
            <w:r w:rsidRPr="008D6381">
              <w:rPr>
                <w:rFonts w:ascii="Times New Roman" w:eastAsia="Times New Roman" w:hAnsi="Times New Roman" w:cs="Times New Roman"/>
                <w:color w:val="000000"/>
                <w:sz w:val="28"/>
                <w:szCs w:val="28"/>
                <w:lang w:val="uk-UA" w:eastAsia="ru-RU"/>
              </w:rPr>
              <w:t>%)</w:t>
            </w:r>
          </w:p>
        </w:tc>
      </w:tr>
      <w:tr w:rsidR="009625DA" w:rsidRPr="008D6381" w:rsidTr="00616F15">
        <w:tc>
          <w:tcPr>
            <w:tcW w:w="1897" w:type="dxa"/>
            <w:gridSpan w:val="2"/>
          </w:tcPr>
          <w:p w:rsidR="009625DA" w:rsidRPr="006B2F0A"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sidRPr="006B2F0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val="uk-UA" w:eastAsia="ru-RU"/>
              </w:rPr>
              <w:t>АТ         (мм рт ст.</w:t>
            </w:r>
            <w:r w:rsidRPr="006B2F0A">
              <w:rPr>
                <w:rFonts w:ascii="Times New Roman" w:eastAsia="Times New Roman" w:hAnsi="Times New Roman" w:cs="Times New Roman"/>
                <w:color w:val="000000"/>
                <w:sz w:val="28"/>
                <w:szCs w:val="28"/>
                <w:lang w:val="uk-UA" w:eastAsia="ru-RU"/>
              </w:rPr>
              <w:t>)</w:t>
            </w:r>
          </w:p>
        </w:tc>
        <w:tc>
          <w:tcPr>
            <w:tcW w:w="2498"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153,0</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0,07</w:t>
            </w:r>
          </w:p>
        </w:tc>
        <w:tc>
          <w:tcPr>
            <w:tcW w:w="2551" w:type="dxa"/>
          </w:tcPr>
          <w:p w:rsidR="009625DA" w:rsidRPr="006C5948" w:rsidRDefault="009625DA" w:rsidP="00090C2C">
            <w:pPr>
              <w:spacing w:before="100" w:beforeAutospacing="1" w:after="100" w:afterAutospacing="1"/>
              <w:jc w:val="center"/>
              <w:rPr>
                <w:rFonts w:ascii="Times New Roman" w:eastAsia="Times New Roman" w:hAnsi="Times New Roman" w:cs="Times New Roman"/>
                <w:color w:val="000000"/>
                <w:sz w:val="28"/>
                <w:szCs w:val="28"/>
                <w:lang w:eastAsia="ru-RU"/>
              </w:rPr>
            </w:pPr>
            <w:r w:rsidRPr="008D6381">
              <w:rPr>
                <w:rFonts w:ascii="Times New Roman" w:eastAsia="Times New Roman" w:hAnsi="Times New Roman" w:cs="Times New Roman"/>
                <w:color w:val="000000"/>
                <w:sz w:val="28"/>
                <w:szCs w:val="28"/>
                <w:lang w:val="uk-UA" w:eastAsia="ru-RU"/>
              </w:rPr>
              <w:t>153,9</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0,43</w:t>
            </w:r>
          </w:p>
        </w:tc>
        <w:tc>
          <w:tcPr>
            <w:tcW w:w="2410" w:type="dxa"/>
          </w:tcPr>
          <w:p w:rsidR="009625DA" w:rsidRPr="006C5948" w:rsidRDefault="009625DA" w:rsidP="00090C2C">
            <w:pPr>
              <w:spacing w:before="100" w:beforeAutospacing="1" w:after="100" w:afterAutospacing="1"/>
              <w:jc w:val="center"/>
              <w:rPr>
                <w:rFonts w:ascii="Times New Roman" w:eastAsia="Times New Roman" w:hAnsi="Times New Roman" w:cs="Times New Roman"/>
                <w:color w:val="000000"/>
                <w:sz w:val="28"/>
                <w:szCs w:val="28"/>
                <w:lang w:eastAsia="ru-RU"/>
              </w:rPr>
            </w:pPr>
            <w:r w:rsidRPr="008D6381">
              <w:rPr>
                <w:rFonts w:ascii="Times New Roman" w:eastAsia="Times New Roman" w:hAnsi="Times New Roman" w:cs="Times New Roman"/>
                <w:color w:val="000000"/>
                <w:sz w:val="28"/>
                <w:szCs w:val="28"/>
                <w:lang w:val="uk-UA" w:eastAsia="ru-RU"/>
              </w:rPr>
              <w:t>126,7</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0,12</w:t>
            </w:r>
          </w:p>
        </w:tc>
      </w:tr>
      <w:tr w:rsidR="009625DA" w:rsidRPr="002F1D09" w:rsidTr="00616F15">
        <w:tc>
          <w:tcPr>
            <w:tcW w:w="1897" w:type="dxa"/>
            <w:gridSpan w:val="2"/>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ДАТ          (мм рт ст.</w:t>
            </w:r>
            <w:r w:rsidRPr="008D6381">
              <w:rPr>
                <w:rFonts w:ascii="Times New Roman" w:eastAsia="Times New Roman" w:hAnsi="Times New Roman" w:cs="Times New Roman"/>
                <w:color w:val="000000"/>
                <w:sz w:val="28"/>
                <w:szCs w:val="28"/>
                <w:lang w:val="uk-UA" w:eastAsia="ru-RU"/>
              </w:rPr>
              <w:t>)</w:t>
            </w:r>
          </w:p>
        </w:tc>
        <w:tc>
          <w:tcPr>
            <w:tcW w:w="2498"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101,9</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0,04</w:t>
            </w:r>
          </w:p>
        </w:tc>
        <w:tc>
          <w:tcPr>
            <w:tcW w:w="2551"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8D6381">
              <w:rPr>
                <w:rFonts w:ascii="Times New Roman" w:eastAsia="Times New Roman" w:hAnsi="Times New Roman" w:cs="Times New Roman"/>
                <w:color w:val="000000"/>
                <w:sz w:val="28"/>
                <w:szCs w:val="28"/>
                <w:lang w:val="uk-UA" w:eastAsia="ru-RU"/>
              </w:rPr>
              <w:t>101,1</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0,02</w:t>
            </w:r>
          </w:p>
        </w:tc>
        <w:tc>
          <w:tcPr>
            <w:tcW w:w="2410"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sidRPr="008D6381">
              <w:rPr>
                <w:rFonts w:ascii="Times New Roman" w:eastAsia="Times New Roman" w:hAnsi="Times New Roman" w:cs="Times New Roman"/>
                <w:color w:val="000000"/>
                <w:sz w:val="28"/>
                <w:szCs w:val="28"/>
                <w:lang w:val="uk-UA" w:eastAsia="ru-RU"/>
              </w:rPr>
              <w:t>83,4</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0,13</w:t>
            </w:r>
          </w:p>
        </w:tc>
      </w:tr>
      <w:tr w:rsidR="009625DA" w:rsidRPr="002F1D09" w:rsidTr="00616F15">
        <w:tc>
          <w:tcPr>
            <w:tcW w:w="1897" w:type="dxa"/>
            <w:gridSpan w:val="2"/>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w:t>
            </w:r>
            <w:r w:rsidRPr="008D6381">
              <w:rPr>
                <w:rFonts w:ascii="Times New Roman" w:eastAsia="Times New Roman" w:hAnsi="Times New Roman" w:cs="Times New Roman"/>
                <w:color w:val="000000"/>
                <w:sz w:val="28"/>
                <w:szCs w:val="28"/>
                <w:lang w:val="uk-UA" w:eastAsia="ru-RU"/>
              </w:rPr>
              <w:t xml:space="preserve">ривалість АГ (роки) </w:t>
            </w:r>
          </w:p>
        </w:tc>
        <w:tc>
          <w:tcPr>
            <w:tcW w:w="2498" w:type="dxa"/>
          </w:tcPr>
          <w:p w:rsidR="009625DA" w:rsidRPr="007F6728"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8,1 ± 0,</w:t>
            </w:r>
            <w:r>
              <w:rPr>
                <w:rFonts w:ascii="Times New Roman" w:eastAsia="Times New Roman" w:hAnsi="Times New Roman" w:cs="Times New Roman"/>
                <w:color w:val="000000"/>
                <w:sz w:val="28"/>
                <w:szCs w:val="28"/>
                <w:lang w:val="en-US" w:eastAsia="ru-RU"/>
              </w:rPr>
              <w:t>2</w:t>
            </w:r>
          </w:p>
        </w:tc>
        <w:tc>
          <w:tcPr>
            <w:tcW w:w="2551" w:type="dxa"/>
          </w:tcPr>
          <w:p w:rsidR="009625DA" w:rsidRPr="007F6728"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8,9 ± 0,</w:t>
            </w:r>
            <w:r w:rsidRPr="008D6381">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en-US" w:eastAsia="ru-RU"/>
              </w:rPr>
              <w:t>3</w:t>
            </w:r>
          </w:p>
        </w:tc>
        <w:tc>
          <w:tcPr>
            <w:tcW w:w="2410"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p>
        </w:tc>
      </w:tr>
      <w:tr w:rsidR="009625DA" w:rsidRPr="002F1D09" w:rsidTr="00616F15">
        <w:tc>
          <w:tcPr>
            <w:tcW w:w="1897" w:type="dxa"/>
            <w:gridSpan w:val="2"/>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w:t>
            </w:r>
            <w:r w:rsidRPr="008D6381">
              <w:rPr>
                <w:rFonts w:ascii="Times New Roman" w:eastAsia="Times New Roman" w:hAnsi="Times New Roman" w:cs="Times New Roman"/>
                <w:color w:val="000000"/>
                <w:sz w:val="28"/>
                <w:szCs w:val="28"/>
                <w:lang w:val="uk-UA" w:eastAsia="ru-RU"/>
              </w:rPr>
              <w:t>люкоза крові</w:t>
            </w:r>
            <w:r w:rsidR="00091DD8">
              <w:rPr>
                <w:rFonts w:ascii="Times New Roman" w:eastAsia="Times New Roman" w:hAnsi="Times New Roman" w:cs="Times New Roman"/>
                <w:color w:val="000000"/>
                <w:sz w:val="28"/>
                <w:szCs w:val="28"/>
                <w:lang w:val="uk-UA" w:eastAsia="ru-RU"/>
              </w:rPr>
              <w:t xml:space="preserve"> натще</w:t>
            </w:r>
            <w:r w:rsidRPr="008D6381">
              <w:rPr>
                <w:rFonts w:ascii="Times New Roman" w:eastAsia="Times New Roman" w:hAnsi="Times New Roman" w:cs="Times New Roman"/>
                <w:color w:val="000000"/>
                <w:sz w:val="28"/>
                <w:szCs w:val="28"/>
                <w:lang w:val="uk-UA" w:eastAsia="ru-RU"/>
              </w:rPr>
              <w:t xml:space="preserve">, ммоль/л </w:t>
            </w:r>
          </w:p>
        </w:tc>
        <w:tc>
          <w:tcPr>
            <w:tcW w:w="2498"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9,26</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0,14</w:t>
            </w:r>
          </w:p>
        </w:tc>
        <w:tc>
          <w:tcPr>
            <w:tcW w:w="2551" w:type="dxa"/>
          </w:tcPr>
          <w:p w:rsidR="009625DA" w:rsidRPr="007F6728"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uk-UA" w:eastAsia="ru-RU"/>
              </w:rPr>
              <w:t>4,9 ± 0,0</w:t>
            </w:r>
            <w:r>
              <w:rPr>
                <w:rFonts w:ascii="Times New Roman" w:eastAsia="Times New Roman" w:hAnsi="Times New Roman" w:cs="Times New Roman"/>
                <w:color w:val="000000"/>
                <w:sz w:val="28"/>
                <w:szCs w:val="28"/>
                <w:lang w:val="en-US" w:eastAsia="ru-RU"/>
              </w:rPr>
              <w:t>2</w:t>
            </w:r>
          </w:p>
        </w:tc>
        <w:tc>
          <w:tcPr>
            <w:tcW w:w="2410" w:type="dxa"/>
          </w:tcPr>
          <w:p w:rsidR="009625DA" w:rsidRPr="008D6381" w:rsidRDefault="009625DA" w:rsidP="00090C2C">
            <w:pPr>
              <w:spacing w:before="100" w:beforeAutospacing="1" w:after="100" w:afterAutospacing="1"/>
              <w:jc w:val="center"/>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4,7</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Pr="008D6381">
              <w:rPr>
                <w:rFonts w:ascii="Times New Roman" w:eastAsia="Times New Roman" w:hAnsi="Times New Roman" w:cs="Times New Roman"/>
                <w:color w:val="000000"/>
                <w:sz w:val="28"/>
                <w:szCs w:val="28"/>
                <w:lang w:val="uk-UA" w:eastAsia="ru-RU"/>
              </w:rPr>
              <w:t>0,12</w:t>
            </w:r>
          </w:p>
        </w:tc>
      </w:tr>
      <w:tr w:rsidR="00091DD8" w:rsidRPr="002F1D09" w:rsidTr="00616F15">
        <w:tc>
          <w:tcPr>
            <w:tcW w:w="1897" w:type="dxa"/>
            <w:gridSpan w:val="2"/>
          </w:tcPr>
          <w:p w:rsidR="00091DD8" w:rsidRPr="00091DD8" w:rsidRDefault="00091DD8" w:rsidP="004A5A95">
            <w:pPr>
              <w:jc w:val="center"/>
              <w:rPr>
                <w:rFonts w:ascii="Times New Roman" w:hAnsi="Times New Roman" w:cs="Times New Roman"/>
                <w:sz w:val="28"/>
                <w:szCs w:val="28"/>
              </w:rPr>
            </w:pPr>
            <w:r w:rsidRPr="00091DD8">
              <w:rPr>
                <w:rFonts w:ascii="Times New Roman" w:hAnsi="Times New Roman" w:cs="Times New Roman"/>
                <w:sz w:val="28"/>
                <w:szCs w:val="28"/>
              </w:rPr>
              <w:t>HbA1с (%)</w:t>
            </w:r>
          </w:p>
        </w:tc>
        <w:tc>
          <w:tcPr>
            <w:tcW w:w="2498" w:type="dxa"/>
          </w:tcPr>
          <w:p w:rsidR="00091DD8" w:rsidRPr="00091DD8" w:rsidRDefault="00091DD8" w:rsidP="00C83357">
            <w:pPr>
              <w:jc w:val="center"/>
              <w:rPr>
                <w:rFonts w:ascii="Times New Roman" w:hAnsi="Times New Roman" w:cs="Times New Roman"/>
                <w:sz w:val="28"/>
                <w:szCs w:val="28"/>
              </w:rPr>
            </w:pPr>
            <w:r w:rsidRPr="00091DD8">
              <w:rPr>
                <w:rFonts w:ascii="Times New Roman" w:hAnsi="Times New Roman" w:cs="Times New Roman"/>
                <w:sz w:val="28"/>
                <w:szCs w:val="28"/>
              </w:rPr>
              <w:t>8,48 ± 0,14</w:t>
            </w:r>
          </w:p>
        </w:tc>
        <w:tc>
          <w:tcPr>
            <w:tcW w:w="2551" w:type="dxa"/>
          </w:tcPr>
          <w:p w:rsidR="00091DD8" w:rsidRPr="00091DD8" w:rsidRDefault="00091DD8" w:rsidP="008108F4">
            <w:pPr>
              <w:jc w:val="center"/>
              <w:rPr>
                <w:rFonts w:ascii="Times New Roman" w:hAnsi="Times New Roman" w:cs="Times New Roman"/>
                <w:sz w:val="28"/>
                <w:szCs w:val="28"/>
              </w:rPr>
            </w:pPr>
            <w:r w:rsidRPr="00091DD8">
              <w:rPr>
                <w:rFonts w:ascii="Times New Roman" w:hAnsi="Times New Roman" w:cs="Times New Roman"/>
                <w:sz w:val="28"/>
                <w:szCs w:val="28"/>
              </w:rPr>
              <w:t>3,85 ± 0,17</w:t>
            </w:r>
          </w:p>
        </w:tc>
        <w:tc>
          <w:tcPr>
            <w:tcW w:w="2410" w:type="dxa"/>
          </w:tcPr>
          <w:p w:rsidR="00091DD8" w:rsidRPr="00091DD8" w:rsidRDefault="00091DD8" w:rsidP="00091DD8">
            <w:pPr>
              <w:jc w:val="center"/>
              <w:rPr>
                <w:rFonts w:ascii="Times New Roman" w:hAnsi="Times New Roman" w:cs="Times New Roman"/>
                <w:sz w:val="28"/>
                <w:szCs w:val="28"/>
              </w:rPr>
            </w:pPr>
            <w:r w:rsidRPr="00091DD8">
              <w:rPr>
                <w:rFonts w:ascii="Times New Roman" w:hAnsi="Times New Roman" w:cs="Times New Roman"/>
                <w:sz w:val="28"/>
                <w:szCs w:val="28"/>
              </w:rPr>
              <w:t>3,83 ± 0,2</w:t>
            </w:r>
          </w:p>
        </w:tc>
      </w:tr>
      <w:tr w:rsidR="008108F4" w:rsidRPr="002F1D09" w:rsidTr="00616F15">
        <w:tc>
          <w:tcPr>
            <w:tcW w:w="1897" w:type="dxa"/>
            <w:gridSpan w:val="2"/>
          </w:tcPr>
          <w:p w:rsidR="008108F4" w:rsidRPr="00091DD8" w:rsidRDefault="002A0B0D" w:rsidP="004A5A95">
            <w:pPr>
              <w:jc w:val="center"/>
              <w:rPr>
                <w:rFonts w:ascii="Times New Roman" w:hAnsi="Times New Roman" w:cs="Times New Roman"/>
                <w:sz w:val="28"/>
                <w:szCs w:val="28"/>
              </w:rPr>
            </w:pPr>
            <w:r>
              <w:rPr>
                <w:rFonts w:ascii="Times New Roman" w:hAnsi="Times New Roman" w:cs="Times New Roman"/>
                <w:sz w:val="28"/>
                <w:szCs w:val="28"/>
              </w:rPr>
              <w:t>ІМТ (кг/м</w:t>
            </w:r>
            <w:r>
              <w:rPr>
                <w:rFonts w:ascii="Times New Roman" w:hAnsi="Times New Roman" w:cs="Times New Roman"/>
                <w:sz w:val="28"/>
                <w:szCs w:val="28"/>
                <w:vertAlign w:val="superscript"/>
                <w:lang w:val="en-US"/>
              </w:rPr>
              <w:t>2</w:t>
            </w:r>
            <w:r w:rsidR="008108F4" w:rsidRPr="008108F4">
              <w:rPr>
                <w:rFonts w:ascii="Times New Roman" w:hAnsi="Times New Roman" w:cs="Times New Roman"/>
                <w:sz w:val="28"/>
                <w:szCs w:val="28"/>
              </w:rPr>
              <w:t>)</w:t>
            </w:r>
          </w:p>
        </w:tc>
        <w:tc>
          <w:tcPr>
            <w:tcW w:w="2498" w:type="dxa"/>
          </w:tcPr>
          <w:p w:rsidR="008108F4" w:rsidRPr="00091DD8" w:rsidRDefault="008108F4" w:rsidP="00C83357">
            <w:pPr>
              <w:jc w:val="center"/>
              <w:rPr>
                <w:rFonts w:ascii="Times New Roman" w:hAnsi="Times New Roman" w:cs="Times New Roman"/>
                <w:sz w:val="28"/>
                <w:szCs w:val="28"/>
              </w:rPr>
            </w:pPr>
            <w:r w:rsidRPr="008108F4">
              <w:rPr>
                <w:rFonts w:ascii="Times New Roman" w:hAnsi="Times New Roman" w:cs="Times New Roman"/>
                <w:sz w:val="28"/>
                <w:szCs w:val="28"/>
              </w:rPr>
              <w:t>31,49 ± 0,38</w:t>
            </w:r>
          </w:p>
        </w:tc>
        <w:tc>
          <w:tcPr>
            <w:tcW w:w="2551" w:type="dxa"/>
          </w:tcPr>
          <w:p w:rsidR="008108F4" w:rsidRPr="00091DD8" w:rsidRDefault="008108F4" w:rsidP="008108F4">
            <w:pPr>
              <w:jc w:val="center"/>
              <w:rPr>
                <w:rFonts w:ascii="Times New Roman" w:hAnsi="Times New Roman" w:cs="Times New Roman"/>
                <w:sz w:val="28"/>
                <w:szCs w:val="28"/>
              </w:rPr>
            </w:pPr>
            <w:r w:rsidRPr="008108F4">
              <w:rPr>
                <w:rFonts w:ascii="Times New Roman" w:hAnsi="Times New Roman" w:cs="Times New Roman"/>
                <w:sz w:val="28"/>
                <w:szCs w:val="28"/>
              </w:rPr>
              <w:t>29,8 ± 0,27</w:t>
            </w:r>
          </w:p>
        </w:tc>
        <w:tc>
          <w:tcPr>
            <w:tcW w:w="2410" w:type="dxa"/>
          </w:tcPr>
          <w:p w:rsidR="008108F4" w:rsidRPr="00091DD8" w:rsidRDefault="008108F4" w:rsidP="00091DD8">
            <w:pPr>
              <w:jc w:val="center"/>
              <w:rPr>
                <w:rFonts w:ascii="Times New Roman" w:hAnsi="Times New Roman" w:cs="Times New Roman"/>
                <w:sz w:val="28"/>
                <w:szCs w:val="28"/>
              </w:rPr>
            </w:pPr>
            <w:r w:rsidRPr="008108F4">
              <w:rPr>
                <w:rFonts w:ascii="Times New Roman" w:hAnsi="Times New Roman" w:cs="Times New Roman"/>
                <w:sz w:val="28"/>
                <w:szCs w:val="28"/>
              </w:rPr>
              <w:t>23,9 ± 0,45</w:t>
            </w:r>
          </w:p>
        </w:tc>
      </w:tr>
    </w:tbl>
    <w:p w:rsidR="000C4558" w:rsidRPr="006C5948" w:rsidRDefault="005B446C" w:rsidP="00616F15">
      <w:pPr>
        <w:spacing w:before="100" w:beforeAutospacing="1" w:after="0" w:line="240" w:lineRule="auto"/>
        <w:ind w:firstLine="708"/>
        <w:rPr>
          <w:rFonts w:ascii="Times New Roman" w:eastAsia="Times New Roman" w:hAnsi="Times New Roman" w:cs="Times New Roman"/>
          <w:bCs/>
          <w:color w:val="000000"/>
          <w:sz w:val="28"/>
          <w:szCs w:val="28"/>
          <w:lang w:val="uk-UA" w:eastAsia="ru-RU"/>
        </w:rPr>
      </w:pPr>
      <w:r w:rsidRPr="006C5948">
        <w:rPr>
          <w:rFonts w:ascii="Times New Roman" w:eastAsia="Times New Roman" w:hAnsi="Times New Roman" w:cs="Times New Roman"/>
          <w:bCs/>
          <w:color w:val="000000"/>
          <w:sz w:val="28"/>
          <w:szCs w:val="28"/>
          <w:lang w:eastAsia="ru-RU"/>
        </w:rPr>
        <w:t>Примітк</w:t>
      </w:r>
      <w:r w:rsidR="00616F15">
        <w:rPr>
          <w:rFonts w:ascii="Times New Roman" w:eastAsia="Times New Roman" w:hAnsi="Times New Roman" w:cs="Times New Roman"/>
          <w:bCs/>
          <w:color w:val="000000"/>
          <w:sz w:val="28"/>
          <w:szCs w:val="28"/>
          <w:lang w:val="uk-UA" w:eastAsia="ru-RU"/>
        </w:rPr>
        <w:t>и:</w:t>
      </w:r>
    </w:p>
    <w:p w:rsidR="000C4558" w:rsidRDefault="00616F15" w:rsidP="00FF4B4D">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r w:rsidR="006C5948">
        <w:rPr>
          <w:rFonts w:ascii="Times New Roman" w:eastAsia="Times New Roman" w:hAnsi="Times New Roman" w:cs="Times New Roman"/>
          <w:color w:val="000000"/>
          <w:sz w:val="28"/>
          <w:szCs w:val="28"/>
          <w:lang w:val="uk-UA" w:eastAsia="ru-RU"/>
        </w:rPr>
        <w:t xml:space="preserve"> </w:t>
      </w:r>
      <w:r w:rsidR="000C4558" w:rsidRPr="006C5948">
        <w:rPr>
          <w:rFonts w:ascii="Times New Roman" w:eastAsia="Times New Roman" w:hAnsi="Times New Roman" w:cs="Times New Roman"/>
          <w:color w:val="000000"/>
          <w:sz w:val="28"/>
          <w:szCs w:val="28"/>
          <w:lang w:val="en-US" w:eastAsia="ru-RU"/>
        </w:rPr>
        <w:t>n</w:t>
      </w:r>
      <w:r w:rsidR="000C4558" w:rsidRPr="00616F15">
        <w:rPr>
          <w:rFonts w:ascii="Times New Roman" w:eastAsia="Times New Roman" w:hAnsi="Times New Roman" w:cs="Times New Roman"/>
          <w:color w:val="000000"/>
          <w:sz w:val="28"/>
          <w:szCs w:val="28"/>
          <w:lang w:val="uk-UA" w:eastAsia="ru-RU"/>
        </w:rPr>
        <w:t xml:space="preserve"> – </w:t>
      </w:r>
      <w:r w:rsidR="006C5948" w:rsidRPr="00616F15">
        <w:rPr>
          <w:rFonts w:ascii="Times New Roman" w:eastAsia="Times New Roman" w:hAnsi="Times New Roman" w:cs="Times New Roman"/>
          <w:color w:val="000000"/>
          <w:sz w:val="28"/>
          <w:szCs w:val="28"/>
          <w:lang w:val="uk-UA" w:eastAsia="ru-RU"/>
        </w:rPr>
        <w:t>кількість осіб</w:t>
      </w:r>
      <w:r>
        <w:rPr>
          <w:rFonts w:ascii="Times New Roman" w:eastAsia="Times New Roman" w:hAnsi="Times New Roman" w:cs="Times New Roman"/>
          <w:color w:val="000000"/>
          <w:sz w:val="28"/>
          <w:szCs w:val="28"/>
          <w:lang w:val="uk-UA" w:eastAsia="ru-RU"/>
        </w:rPr>
        <w:t>;</w:t>
      </w:r>
    </w:p>
    <w:p w:rsidR="00616F15" w:rsidRDefault="00616F15" w:rsidP="00FF4B4D">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 ж – жінки;</w:t>
      </w:r>
    </w:p>
    <w:p w:rsidR="00616F15" w:rsidRPr="00616F15" w:rsidRDefault="00616F15" w:rsidP="00FF4B4D">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3. ч – чоловіки</w:t>
      </w:r>
    </w:p>
    <w:p w:rsidR="000F56BB" w:rsidRPr="000A0BA7" w:rsidRDefault="00D71B01" w:rsidP="00555DCA">
      <w:pPr>
        <w:spacing w:before="100" w:beforeAutospacing="1"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w:t>
      </w:r>
      <w:r w:rsidRPr="00616F15">
        <w:rPr>
          <w:rFonts w:ascii="Times New Roman" w:eastAsia="Times New Roman" w:hAnsi="Times New Roman" w:cs="Times New Roman"/>
          <w:color w:val="000000"/>
          <w:sz w:val="28"/>
          <w:szCs w:val="28"/>
          <w:lang w:val="uk-UA" w:eastAsia="ru-RU"/>
        </w:rPr>
        <w:t>36</w:t>
      </w:r>
      <w:r>
        <w:rPr>
          <w:rFonts w:ascii="Times New Roman" w:eastAsia="Times New Roman" w:hAnsi="Times New Roman" w:cs="Times New Roman"/>
          <w:color w:val="000000"/>
          <w:sz w:val="28"/>
          <w:szCs w:val="28"/>
          <w:lang w:val="uk-UA" w:eastAsia="ru-RU"/>
        </w:rPr>
        <w:t xml:space="preserve"> (</w:t>
      </w:r>
      <w:r w:rsidRPr="00616F15">
        <w:rPr>
          <w:rFonts w:ascii="Times New Roman" w:eastAsia="Times New Roman" w:hAnsi="Times New Roman" w:cs="Times New Roman"/>
          <w:color w:val="000000"/>
          <w:sz w:val="28"/>
          <w:szCs w:val="28"/>
          <w:lang w:val="uk-UA" w:eastAsia="ru-RU"/>
        </w:rPr>
        <w:t>37,5</w:t>
      </w:r>
      <w:r w:rsidR="00C21BC9">
        <w:rPr>
          <w:rFonts w:ascii="Times New Roman" w:eastAsia="Times New Roman" w:hAnsi="Times New Roman" w:cs="Times New Roman"/>
          <w:color w:val="000000"/>
          <w:sz w:val="28"/>
          <w:szCs w:val="28"/>
          <w:lang w:val="uk-UA" w:eastAsia="ru-RU"/>
        </w:rPr>
        <w:t xml:space="preserve"> </w:t>
      </w:r>
      <w:r w:rsidR="00831996" w:rsidRPr="008D6381">
        <w:rPr>
          <w:rFonts w:ascii="Times New Roman" w:eastAsia="Times New Roman" w:hAnsi="Times New Roman" w:cs="Times New Roman"/>
          <w:color w:val="000000"/>
          <w:sz w:val="28"/>
          <w:szCs w:val="28"/>
          <w:lang w:val="uk-UA" w:eastAsia="ru-RU"/>
        </w:rPr>
        <w:t>%)</w:t>
      </w:r>
      <w:r w:rsidR="00187B36">
        <w:rPr>
          <w:rFonts w:ascii="Times New Roman" w:eastAsia="Times New Roman" w:hAnsi="Times New Roman" w:cs="Times New Roman"/>
          <w:color w:val="000000"/>
          <w:sz w:val="28"/>
          <w:szCs w:val="28"/>
          <w:lang w:val="uk-UA" w:eastAsia="ru-RU"/>
        </w:rPr>
        <w:t xml:space="preserve"> хворих</w:t>
      </w:r>
      <w:r w:rsidR="00F362B3">
        <w:rPr>
          <w:rFonts w:ascii="Times New Roman" w:eastAsia="Times New Roman" w:hAnsi="Times New Roman" w:cs="Times New Roman"/>
          <w:color w:val="000000"/>
          <w:sz w:val="28"/>
          <w:szCs w:val="28"/>
          <w:lang w:val="uk-UA" w:eastAsia="ru-RU"/>
        </w:rPr>
        <w:t xml:space="preserve"> було </w:t>
      </w:r>
      <w:r w:rsidR="00F362B3" w:rsidRPr="00616F15">
        <w:rPr>
          <w:rFonts w:ascii="Times New Roman" w:eastAsia="Times New Roman" w:hAnsi="Times New Roman" w:cs="Times New Roman"/>
          <w:color w:val="000000"/>
          <w:sz w:val="28"/>
          <w:szCs w:val="28"/>
          <w:lang w:val="uk-UA" w:eastAsia="ru-RU"/>
        </w:rPr>
        <w:t>виявлено</w:t>
      </w:r>
      <w:r w:rsidR="00877EAF" w:rsidRPr="008D6381">
        <w:rPr>
          <w:rFonts w:ascii="Times New Roman" w:eastAsia="Times New Roman" w:hAnsi="Times New Roman" w:cs="Times New Roman"/>
          <w:color w:val="000000"/>
          <w:sz w:val="28"/>
          <w:szCs w:val="28"/>
          <w:lang w:val="uk-UA" w:eastAsia="ru-RU"/>
        </w:rPr>
        <w:t xml:space="preserve"> інсулін</w:t>
      </w:r>
      <w:r w:rsidR="00C21BC9">
        <w:rPr>
          <w:rFonts w:ascii="Times New Roman" w:eastAsia="Times New Roman" w:hAnsi="Times New Roman" w:cs="Times New Roman"/>
          <w:color w:val="000000"/>
          <w:sz w:val="28"/>
          <w:szCs w:val="28"/>
          <w:lang w:val="uk-UA" w:eastAsia="ru-RU"/>
        </w:rPr>
        <w:t>о</w:t>
      </w:r>
      <w:r w:rsidR="00831996" w:rsidRPr="008D6381">
        <w:rPr>
          <w:rFonts w:ascii="Times New Roman" w:eastAsia="Times New Roman" w:hAnsi="Times New Roman" w:cs="Times New Roman"/>
          <w:color w:val="000000"/>
          <w:sz w:val="28"/>
          <w:szCs w:val="28"/>
          <w:lang w:val="uk-UA" w:eastAsia="ru-RU"/>
        </w:rPr>
        <w:t xml:space="preserve">залежний ЦД 2-го типу, а у </w:t>
      </w:r>
      <w:r w:rsidRPr="00616F15">
        <w:rPr>
          <w:rFonts w:ascii="Times New Roman" w:eastAsia="Times New Roman" w:hAnsi="Times New Roman" w:cs="Times New Roman"/>
          <w:color w:val="000000"/>
          <w:sz w:val="28"/>
          <w:szCs w:val="28"/>
          <w:lang w:val="uk-UA" w:eastAsia="ru-RU"/>
        </w:rPr>
        <w:t xml:space="preserve">60 </w:t>
      </w:r>
      <w:r>
        <w:rPr>
          <w:rFonts w:ascii="Times New Roman" w:eastAsia="Times New Roman" w:hAnsi="Times New Roman" w:cs="Times New Roman"/>
          <w:color w:val="000000"/>
          <w:sz w:val="28"/>
          <w:szCs w:val="28"/>
          <w:lang w:val="uk-UA" w:eastAsia="ru-RU"/>
        </w:rPr>
        <w:t>(</w:t>
      </w:r>
      <w:r w:rsidRPr="00616F15">
        <w:rPr>
          <w:rFonts w:ascii="Times New Roman" w:eastAsia="Times New Roman" w:hAnsi="Times New Roman" w:cs="Times New Roman"/>
          <w:color w:val="000000"/>
          <w:sz w:val="28"/>
          <w:szCs w:val="28"/>
          <w:lang w:val="uk-UA" w:eastAsia="ru-RU"/>
        </w:rPr>
        <w:t>62</w:t>
      </w:r>
      <w:r>
        <w:rPr>
          <w:rFonts w:ascii="Times New Roman" w:eastAsia="Times New Roman" w:hAnsi="Times New Roman" w:cs="Times New Roman"/>
          <w:color w:val="000000"/>
          <w:sz w:val="28"/>
          <w:szCs w:val="28"/>
          <w:lang w:val="uk-UA" w:eastAsia="ru-RU"/>
        </w:rPr>
        <w:t>,</w:t>
      </w:r>
      <w:r w:rsidRPr="00616F15">
        <w:rPr>
          <w:rFonts w:ascii="Times New Roman" w:eastAsia="Times New Roman" w:hAnsi="Times New Roman" w:cs="Times New Roman"/>
          <w:color w:val="000000"/>
          <w:sz w:val="28"/>
          <w:szCs w:val="28"/>
          <w:lang w:val="uk-UA" w:eastAsia="ru-RU"/>
        </w:rPr>
        <w:t>5</w:t>
      </w:r>
      <w:r w:rsidR="00C21BC9">
        <w:rPr>
          <w:rFonts w:ascii="Times New Roman" w:eastAsia="Times New Roman" w:hAnsi="Times New Roman" w:cs="Times New Roman"/>
          <w:color w:val="000000"/>
          <w:sz w:val="28"/>
          <w:szCs w:val="28"/>
          <w:lang w:val="uk-UA" w:eastAsia="ru-RU"/>
        </w:rPr>
        <w:t xml:space="preserve"> </w:t>
      </w:r>
      <w:r w:rsidR="00831996" w:rsidRPr="008D6381">
        <w:rPr>
          <w:rFonts w:ascii="Times New Roman" w:eastAsia="Times New Roman" w:hAnsi="Times New Roman" w:cs="Times New Roman"/>
          <w:color w:val="000000"/>
          <w:sz w:val="28"/>
          <w:szCs w:val="28"/>
          <w:lang w:val="uk-UA" w:eastAsia="ru-RU"/>
        </w:rPr>
        <w:t xml:space="preserve">%) – інсулінонезалежний. </w:t>
      </w:r>
      <w:r w:rsidR="00C21BC9">
        <w:rPr>
          <w:rFonts w:ascii="Times New Roman" w:eastAsia="Times New Roman" w:hAnsi="Times New Roman" w:cs="Times New Roman"/>
          <w:color w:val="000000"/>
          <w:sz w:val="28"/>
          <w:szCs w:val="28"/>
          <w:lang w:val="uk-UA" w:eastAsia="ru-RU"/>
        </w:rPr>
        <w:t>У</w:t>
      </w:r>
      <w:r w:rsidR="00877EAF" w:rsidRPr="008D6381">
        <w:rPr>
          <w:rFonts w:ascii="Times New Roman" w:eastAsia="Times New Roman" w:hAnsi="Times New Roman" w:cs="Times New Roman"/>
          <w:color w:val="000000"/>
          <w:sz w:val="28"/>
          <w:szCs w:val="28"/>
          <w:lang w:val="uk-UA" w:eastAsia="ru-RU"/>
        </w:rPr>
        <w:t xml:space="preserve">перше встановленого </w:t>
      </w:r>
      <w:r w:rsidR="004D6284">
        <w:rPr>
          <w:rFonts w:ascii="Times New Roman" w:eastAsia="Times New Roman" w:hAnsi="Times New Roman" w:cs="Times New Roman"/>
          <w:color w:val="000000"/>
          <w:sz w:val="28"/>
          <w:szCs w:val="28"/>
          <w:lang w:val="uk-UA" w:eastAsia="ru-RU"/>
        </w:rPr>
        <w:t xml:space="preserve">діагнозу </w:t>
      </w:r>
      <w:r w:rsidR="00B44A50">
        <w:rPr>
          <w:rFonts w:ascii="Times New Roman" w:eastAsia="Times New Roman" w:hAnsi="Times New Roman" w:cs="Times New Roman"/>
          <w:color w:val="000000"/>
          <w:sz w:val="28"/>
          <w:szCs w:val="28"/>
          <w:lang w:val="uk-UA" w:eastAsia="ru-RU"/>
        </w:rPr>
        <w:t xml:space="preserve">          </w:t>
      </w:r>
      <w:r w:rsidR="004D6284">
        <w:rPr>
          <w:rFonts w:ascii="Times New Roman" w:eastAsia="Times New Roman" w:hAnsi="Times New Roman" w:cs="Times New Roman"/>
          <w:color w:val="000000"/>
          <w:sz w:val="28"/>
          <w:szCs w:val="28"/>
          <w:lang w:val="uk-UA" w:eastAsia="ru-RU"/>
        </w:rPr>
        <w:t xml:space="preserve">ЦД 2-го типу на момент </w:t>
      </w:r>
      <w:r w:rsidR="00877EAF" w:rsidRPr="008D6381">
        <w:rPr>
          <w:rFonts w:ascii="Times New Roman" w:eastAsia="Times New Roman" w:hAnsi="Times New Roman" w:cs="Times New Roman"/>
          <w:color w:val="000000"/>
          <w:sz w:val="28"/>
          <w:szCs w:val="28"/>
          <w:lang w:val="uk-UA" w:eastAsia="ru-RU"/>
        </w:rPr>
        <w:t xml:space="preserve">обстеження не було констатовано в жодного пацієнта. </w:t>
      </w:r>
      <w:r w:rsidR="00C21BC9">
        <w:rPr>
          <w:rFonts w:ascii="Times New Roman" w:eastAsia="Times New Roman" w:hAnsi="Times New Roman" w:cs="Times New Roman"/>
          <w:color w:val="000000"/>
          <w:sz w:val="28"/>
          <w:szCs w:val="28"/>
          <w:lang w:val="uk-UA" w:eastAsia="ru-RU"/>
        </w:rPr>
        <w:t>Оскільки</w:t>
      </w:r>
      <w:r w:rsidR="00D310A7" w:rsidRPr="008D6381">
        <w:rPr>
          <w:rFonts w:ascii="Times New Roman" w:eastAsia="Times New Roman" w:hAnsi="Times New Roman" w:cs="Times New Roman"/>
          <w:color w:val="000000"/>
          <w:sz w:val="28"/>
          <w:szCs w:val="28"/>
          <w:lang w:val="uk-UA" w:eastAsia="ru-RU"/>
        </w:rPr>
        <w:t xml:space="preserve"> с</w:t>
      </w:r>
      <w:r w:rsidR="00877EAF" w:rsidRPr="008D6381">
        <w:rPr>
          <w:rFonts w:ascii="Times New Roman" w:eastAsia="Times New Roman" w:hAnsi="Times New Roman" w:cs="Times New Roman"/>
          <w:color w:val="000000"/>
          <w:sz w:val="28"/>
          <w:szCs w:val="28"/>
          <w:lang w:val="uk-UA" w:eastAsia="ru-RU"/>
        </w:rPr>
        <w:t>ередня тривалість ЦД 2-го т</w:t>
      </w:r>
      <w:r w:rsidR="00D310A7" w:rsidRPr="008D6381">
        <w:rPr>
          <w:rFonts w:ascii="Times New Roman" w:eastAsia="Times New Roman" w:hAnsi="Times New Roman" w:cs="Times New Roman"/>
          <w:color w:val="000000"/>
          <w:sz w:val="28"/>
          <w:szCs w:val="28"/>
          <w:lang w:val="uk-UA" w:eastAsia="ru-RU"/>
        </w:rPr>
        <w:t>ипу становила (9,57</w:t>
      </w:r>
      <w:r w:rsidR="00C21BC9">
        <w:rPr>
          <w:rFonts w:ascii="Times New Roman" w:eastAsia="Times New Roman" w:hAnsi="Times New Roman" w:cs="Times New Roman"/>
          <w:color w:val="000000"/>
          <w:sz w:val="28"/>
          <w:szCs w:val="28"/>
          <w:lang w:val="uk-UA" w:eastAsia="ru-RU"/>
        </w:rPr>
        <w:t xml:space="preserve"> </w:t>
      </w:r>
      <w:r w:rsidR="00D310A7" w:rsidRPr="008D6381">
        <w:rPr>
          <w:rFonts w:ascii="Times New Roman" w:eastAsia="Times New Roman" w:hAnsi="Times New Roman" w:cs="Times New Roman"/>
          <w:color w:val="000000"/>
          <w:sz w:val="28"/>
          <w:szCs w:val="28"/>
          <w:lang w:val="uk-UA" w:eastAsia="ru-RU"/>
        </w:rPr>
        <w:t>±</w:t>
      </w:r>
      <w:r w:rsidR="00C21BC9">
        <w:rPr>
          <w:rFonts w:ascii="Times New Roman" w:eastAsia="Times New Roman" w:hAnsi="Times New Roman" w:cs="Times New Roman"/>
          <w:color w:val="000000"/>
          <w:sz w:val="28"/>
          <w:szCs w:val="28"/>
          <w:lang w:val="uk-UA" w:eastAsia="ru-RU"/>
        </w:rPr>
        <w:t xml:space="preserve"> 0,73) року</w:t>
      </w:r>
      <w:r w:rsidR="00D310A7" w:rsidRPr="008D6381">
        <w:rPr>
          <w:rFonts w:ascii="Times New Roman" w:eastAsia="Times New Roman" w:hAnsi="Times New Roman" w:cs="Times New Roman"/>
          <w:color w:val="000000"/>
          <w:sz w:val="28"/>
          <w:szCs w:val="28"/>
          <w:lang w:val="uk-UA" w:eastAsia="ru-RU"/>
        </w:rPr>
        <w:t>, то</w:t>
      </w:r>
      <w:r w:rsidR="00877EAF" w:rsidRPr="008D6381">
        <w:rPr>
          <w:rFonts w:ascii="Times New Roman" w:eastAsia="Times New Roman" w:hAnsi="Times New Roman" w:cs="Times New Roman"/>
          <w:color w:val="000000"/>
          <w:sz w:val="28"/>
          <w:szCs w:val="28"/>
          <w:lang w:val="uk-UA" w:eastAsia="ru-RU"/>
        </w:rPr>
        <w:t xml:space="preserve"> </w:t>
      </w:r>
      <w:r w:rsidR="004D6284">
        <w:rPr>
          <w:rFonts w:ascii="Times New Roman" w:eastAsia="Times New Roman" w:hAnsi="Times New Roman" w:cs="Times New Roman"/>
          <w:color w:val="000000"/>
          <w:sz w:val="28"/>
          <w:szCs w:val="28"/>
          <w:lang w:val="uk-UA" w:eastAsia="ru-RU"/>
        </w:rPr>
        <w:t xml:space="preserve">хворих </w:t>
      </w:r>
      <w:r w:rsidR="00647AD3">
        <w:rPr>
          <w:rFonts w:ascii="Times New Roman" w:eastAsia="Times New Roman" w:hAnsi="Times New Roman" w:cs="Times New Roman"/>
          <w:color w:val="000000"/>
          <w:sz w:val="28"/>
          <w:szCs w:val="28"/>
          <w:lang w:val="uk-UA" w:eastAsia="ru-RU"/>
        </w:rPr>
        <w:t>проконсультував ендокринолог та призначив</w:t>
      </w:r>
      <w:r w:rsidR="00877EAF" w:rsidRPr="008D6381">
        <w:rPr>
          <w:rFonts w:ascii="Times New Roman" w:eastAsia="Times New Roman" w:hAnsi="Times New Roman" w:cs="Times New Roman"/>
          <w:color w:val="000000"/>
          <w:sz w:val="28"/>
          <w:szCs w:val="28"/>
          <w:lang w:val="uk-UA" w:eastAsia="ru-RU"/>
        </w:rPr>
        <w:t xml:space="preserve"> відповідне лікування</w:t>
      </w:r>
      <w:r w:rsidR="00D310A7" w:rsidRPr="008D6381">
        <w:rPr>
          <w:rFonts w:ascii="Times New Roman" w:eastAsia="Times New Roman" w:hAnsi="Times New Roman" w:cs="Times New Roman"/>
          <w:color w:val="000000"/>
          <w:sz w:val="28"/>
          <w:szCs w:val="28"/>
          <w:lang w:val="uk-UA" w:eastAsia="ru-RU"/>
        </w:rPr>
        <w:t xml:space="preserve"> ще до початку нашого дослідження. </w:t>
      </w:r>
      <w:r w:rsidR="00B4052A">
        <w:rPr>
          <w:rFonts w:ascii="Times New Roman" w:eastAsia="Times New Roman" w:hAnsi="Times New Roman" w:cs="Times New Roman"/>
          <w:color w:val="000000"/>
          <w:sz w:val="28"/>
          <w:szCs w:val="28"/>
          <w:lang w:val="uk-UA" w:eastAsia="ru-RU"/>
        </w:rPr>
        <w:t>Пацієнти отримували м</w:t>
      </w:r>
      <w:r w:rsidR="00BD47DC">
        <w:rPr>
          <w:rFonts w:ascii="Times New Roman" w:eastAsia="Times New Roman" w:hAnsi="Times New Roman" w:cs="Times New Roman"/>
          <w:color w:val="000000"/>
          <w:sz w:val="28"/>
          <w:szCs w:val="28"/>
          <w:lang w:val="uk-UA" w:eastAsia="ru-RU"/>
        </w:rPr>
        <w:t>етформін</w:t>
      </w:r>
      <w:r w:rsidR="00B53A58" w:rsidRPr="00B53A58">
        <w:rPr>
          <w:rFonts w:ascii="Times New Roman" w:eastAsia="Times New Roman" w:hAnsi="Times New Roman" w:cs="Times New Roman"/>
          <w:color w:val="000000"/>
          <w:sz w:val="28"/>
          <w:szCs w:val="28"/>
          <w:lang w:val="uk-UA" w:eastAsia="ru-RU"/>
        </w:rPr>
        <w:t xml:space="preserve"> (</w:t>
      </w:r>
      <w:r w:rsidR="00B4052A">
        <w:rPr>
          <w:rFonts w:ascii="Times New Roman" w:eastAsia="Times New Roman" w:hAnsi="Times New Roman" w:cs="Times New Roman"/>
          <w:color w:val="000000"/>
          <w:sz w:val="28"/>
          <w:szCs w:val="28"/>
          <w:lang w:val="uk-UA" w:eastAsia="ru-RU"/>
        </w:rPr>
        <w:t>1</w:t>
      </w:r>
      <w:r w:rsidR="00786BC0" w:rsidRPr="00786BC0">
        <w:rPr>
          <w:rFonts w:ascii="Times New Roman" w:eastAsia="Times New Roman" w:hAnsi="Times New Roman" w:cs="Times New Roman"/>
          <w:color w:val="000000"/>
          <w:sz w:val="28"/>
          <w:szCs w:val="28"/>
          <w:lang w:val="uk-UA" w:eastAsia="ru-RU"/>
        </w:rPr>
        <w:t>500</w:t>
      </w:r>
      <w:r w:rsidR="00B4052A" w:rsidRPr="00B4052A">
        <w:rPr>
          <w:rFonts w:ascii="Times New Roman" w:eastAsia="Times New Roman" w:hAnsi="Times New Roman" w:cs="Times New Roman"/>
          <w:color w:val="000000"/>
          <w:sz w:val="28"/>
          <w:szCs w:val="28"/>
          <w:lang w:val="uk-UA" w:eastAsia="ru-RU"/>
        </w:rPr>
        <w:t>–</w:t>
      </w:r>
      <w:r w:rsidR="00B4052A">
        <w:rPr>
          <w:rFonts w:ascii="Times New Roman" w:eastAsia="Times New Roman" w:hAnsi="Times New Roman" w:cs="Times New Roman"/>
          <w:color w:val="000000"/>
          <w:sz w:val="28"/>
          <w:szCs w:val="28"/>
          <w:lang w:val="uk-UA" w:eastAsia="ru-RU"/>
        </w:rPr>
        <w:t>2000</w:t>
      </w:r>
      <w:r w:rsidR="00786BC0" w:rsidRPr="00786BC0">
        <w:rPr>
          <w:rFonts w:ascii="Times New Roman" w:eastAsia="Times New Roman" w:hAnsi="Times New Roman" w:cs="Times New Roman"/>
          <w:color w:val="000000"/>
          <w:sz w:val="28"/>
          <w:szCs w:val="28"/>
          <w:lang w:val="uk-UA" w:eastAsia="ru-RU"/>
        </w:rPr>
        <w:t xml:space="preserve"> </w:t>
      </w:r>
      <w:r w:rsidR="00786BC0">
        <w:rPr>
          <w:rFonts w:ascii="Times New Roman" w:eastAsia="Times New Roman" w:hAnsi="Times New Roman" w:cs="Times New Roman"/>
          <w:color w:val="000000"/>
          <w:sz w:val="28"/>
          <w:szCs w:val="28"/>
          <w:lang w:val="uk-UA" w:eastAsia="ru-RU"/>
        </w:rPr>
        <w:t>мг/добу)</w:t>
      </w:r>
      <w:r w:rsidR="00B4052A">
        <w:rPr>
          <w:rFonts w:ascii="Times New Roman" w:eastAsia="Times New Roman" w:hAnsi="Times New Roman" w:cs="Times New Roman"/>
          <w:color w:val="000000"/>
          <w:sz w:val="28"/>
          <w:szCs w:val="28"/>
          <w:lang w:val="uk-UA" w:eastAsia="ru-RU"/>
        </w:rPr>
        <w:t xml:space="preserve"> та/або </w:t>
      </w:r>
      <w:r w:rsidR="00CA72EB">
        <w:rPr>
          <w:rFonts w:ascii="Times New Roman" w:eastAsia="Times New Roman" w:hAnsi="Times New Roman" w:cs="Times New Roman"/>
          <w:color w:val="000000"/>
          <w:sz w:val="28"/>
          <w:szCs w:val="28"/>
          <w:lang w:val="uk-UA" w:eastAsia="ru-RU"/>
        </w:rPr>
        <w:t>препарат</w:t>
      </w:r>
      <w:r w:rsidR="00D03E78" w:rsidRPr="002D2C3C">
        <w:rPr>
          <w:rFonts w:ascii="Times New Roman" w:eastAsia="Times New Roman" w:hAnsi="Times New Roman" w:cs="Times New Roman"/>
          <w:color w:val="000000"/>
          <w:sz w:val="28"/>
          <w:szCs w:val="28"/>
          <w:lang w:val="uk-UA" w:eastAsia="ru-RU"/>
        </w:rPr>
        <w:t>и сульфонілсечовини</w:t>
      </w:r>
      <w:r w:rsidR="00786BC0">
        <w:rPr>
          <w:rFonts w:ascii="Times New Roman" w:eastAsia="Times New Roman" w:hAnsi="Times New Roman" w:cs="Times New Roman"/>
          <w:color w:val="000000"/>
          <w:sz w:val="28"/>
          <w:szCs w:val="28"/>
          <w:lang w:val="uk-UA" w:eastAsia="ru-RU"/>
        </w:rPr>
        <w:t xml:space="preserve"> </w:t>
      </w:r>
      <w:r w:rsidR="00B4052A">
        <w:rPr>
          <w:rFonts w:ascii="Times New Roman" w:eastAsia="Times New Roman" w:hAnsi="Times New Roman" w:cs="Times New Roman"/>
          <w:color w:val="000000"/>
          <w:sz w:val="28"/>
          <w:szCs w:val="28"/>
          <w:lang w:val="uk-UA" w:eastAsia="ru-RU"/>
        </w:rPr>
        <w:t xml:space="preserve">(глімепірид </w:t>
      </w:r>
      <w:r w:rsidR="00B4052A" w:rsidRPr="00B4052A">
        <w:rPr>
          <w:rFonts w:ascii="Times New Roman" w:eastAsia="Times New Roman" w:hAnsi="Times New Roman" w:cs="Times New Roman"/>
          <w:color w:val="000000"/>
          <w:sz w:val="28"/>
          <w:szCs w:val="28"/>
          <w:lang w:val="uk-UA" w:eastAsia="ru-RU"/>
        </w:rPr>
        <w:t>–</w:t>
      </w:r>
      <w:r w:rsidR="00B4052A">
        <w:rPr>
          <w:rFonts w:ascii="Times New Roman" w:eastAsia="Times New Roman" w:hAnsi="Times New Roman" w:cs="Times New Roman"/>
          <w:color w:val="000000"/>
          <w:sz w:val="28"/>
          <w:szCs w:val="28"/>
          <w:lang w:val="uk-UA" w:eastAsia="ru-RU"/>
        </w:rPr>
        <w:t xml:space="preserve"> </w:t>
      </w:r>
      <w:r w:rsidR="00786BC0">
        <w:rPr>
          <w:rFonts w:ascii="Times New Roman" w:eastAsia="Times New Roman" w:hAnsi="Times New Roman" w:cs="Times New Roman"/>
          <w:color w:val="000000"/>
          <w:sz w:val="28"/>
          <w:szCs w:val="28"/>
          <w:lang w:val="uk-UA" w:eastAsia="ru-RU"/>
        </w:rPr>
        <w:t>4</w:t>
      </w:r>
      <w:r w:rsidR="00B4052A" w:rsidRPr="00B4052A">
        <w:rPr>
          <w:rFonts w:ascii="Times New Roman" w:eastAsia="Times New Roman" w:hAnsi="Times New Roman" w:cs="Times New Roman"/>
          <w:color w:val="000000"/>
          <w:sz w:val="28"/>
          <w:szCs w:val="28"/>
          <w:lang w:val="uk-UA" w:eastAsia="ru-RU"/>
        </w:rPr>
        <w:t>–</w:t>
      </w:r>
      <w:r w:rsidR="00B4052A">
        <w:rPr>
          <w:rFonts w:ascii="Times New Roman" w:eastAsia="Times New Roman" w:hAnsi="Times New Roman" w:cs="Times New Roman"/>
          <w:color w:val="000000"/>
          <w:sz w:val="28"/>
          <w:szCs w:val="28"/>
          <w:lang w:val="uk-UA" w:eastAsia="ru-RU"/>
        </w:rPr>
        <w:t>6</w:t>
      </w:r>
      <w:r w:rsidR="00786BC0">
        <w:rPr>
          <w:rFonts w:ascii="Times New Roman" w:eastAsia="Times New Roman" w:hAnsi="Times New Roman" w:cs="Times New Roman"/>
          <w:color w:val="000000"/>
          <w:sz w:val="28"/>
          <w:szCs w:val="28"/>
          <w:lang w:val="uk-UA" w:eastAsia="ru-RU"/>
        </w:rPr>
        <w:t xml:space="preserve"> мг /добу</w:t>
      </w:r>
      <w:r w:rsidR="00B4052A">
        <w:rPr>
          <w:rFonts w:ascii="Times New Roman" w:eastAsia="Times New Roman" w:hAnsi="Times New Roman" w:cs="Times New Roman"/>
          <w:color w:val="000000"/>
          <w:sz w:val="28"/>
          <w:szCs w:val="28"/>
          <w:lang w:val="uk-UA" w:eastAsia="ru-RU"/>
        </w:rPr>
        <w:t>,</w:t>
      </w:r>
      <w:r w:rsidR="00786BC0">
        <w:rPr>
          <w:rFonts w:ascii="Times New Roman" w:eastAsia="Times New Roman" w:hAnsi="Times New Roman" w:cs="Times New Roman"/>
          <w:color w:val="000000"/>
          <w:sz w:val="28"/>
          <w:szCs w:val="28"/>
          <w:lang w:val="uk-UA" w:eastAsia="ru-RU"/>
        </w:rPr>
        <w:t xml:space="preserve"> глі</w:t>
      </w:r>
      <w:r w:rsidR="00B4052A">
        <w:rPr>
          <w:rFonts w:ascii="Times New Roman" w:eastAsia="Times New Roman" w:hAnsi="Times New Roman" w:cs="Times New Roman"/>
          <w:color w:val="000000"/>
          <w:sz w:val="28"/>
          <w:szCs w:val="28"/>
          <w:lang w:val="uk-UA" w:eastAsia="ru-RU"/>
        </w:rPr>
        <w:t>клазид – 6</w:t>
      </w:r>
      <w:r w:rsidR="00786BC0">
        <w:rPr>
          <w:rFonts w:ascii="Times New Roman" w:eastAsia="Times New Roman" w:hAnsi="Times New Roman" w:cs="Times New Roman"/>
          <w:color w:val="000000"/>
          <w:sz w:val="28"/>
          <w:szCs w:val="28"/>
          <w:lang w:val="uk-UA" w:eastAsia="ru-RU"/>
        </w:rPr>
        <w:t>0</w:t>
      </w:r>
      <w:r w:rsidR="00B4052A" w:rsidRPr="00B4052A">
        <w:rPr>
          <w:rFonts w:ascii="Times New Roman" w:eastAsia="Times New Roman" w:hAnsi="Times New Roman" w:cs="Times New Roman"/>
          <w:color w:val="000000"/>
          <w:sz w:val="28"/>
          <w:szCs w:val="28"/>
          <w:lang w:val="uk-UA" w:eastAsia="ru-RU"/>
        </w:rPr>
        <w:t>–</w:t>
      </w:r>
      <w:r w:rsidR="00B4052A">
        <w:rPr>
          <w:rFonts w:ascii="Times New Roman" w:eastAsia="Times New Roman" w:hAnsi="Times New Roman" w:cs="Times New Roman"/>
          <w:color w:val="000000"/>
          <w:sz w:val="28"/>
          <w:szCs w:val="28"/>
          <w:lang w:val="uk-UA" w:eastAsia="ru-RU"/>
        </w:rPr>
        <w:t>120 мг</w:t>
      </w:r>
      <w:r w:rsidR="00786BC0">
        <w:rPr>
          <w:rFonts w:ascii="Times New Roman" w:eastAsia="Times New Roman" w:hAnsi="Times New Roman" w:cs="Times New Roman"/>
          <w:color w:val="000000"/>
          <w:sz w:val="28"/>
          <w:szCs w:val="28"/>
          <w:lang w:val="uk-UA" w:eastAsia="ru-RU"/>
        </w:rPr>
        <w:t>/добу)</w:t>
      </w:r>
      <w:r w:rsidR="008B7084">
        <w:rPr>
          <w:rFonts w:ascii="Times New Roman" w:eastAsia="Times New Roman" w:hAnsi="Times New Roman" w:cs="Times New Roman"/>
          <w:color w:val="000000"/>
          <w:sz w:val="28"/>
          <w:szCs w:val="28"/>
          <w:lang w:val="uk-UA" w:eastAsia="ru-RU"/>
        </w:rPr>
        <w:t>,</w:t>
      </w:r>
      <w:r w:rsidR="00B4052A">
        <w:rPr>
          <w:rFonts w:ascii="Times New Roman" w:eastAsia="Times New Roman" w:hAnsi="Times New Roman" w:cs="Times New Roman"/>
          <w:color w:val="000000"/>
          <w:sz w:val="28"/>
          <w:szCs w:val="28"/>
          <w:lang w:val="uk-UA" w:eastAsia="ru-RU"/>
        </w:rPr>
        <w:t xml:space="preserve"> або інсулінотерапію </w:t>
      </w:r>
      <w:r w:rsidR="00BD47DC">
        <w:rPr>
          <w:rFonts w:ascii="Times New Roman" w:eastAsia="Times New Roman" w:hAnsi="Times New Roman" w:cs="Times New Roman"/>
          <w:color w:val="000000"/>
          <w:sz w:val="28"/>
          <w:szCs w:val="28"/>
          <w:lang w:val="uk-UA" w:eastAsia="ru-RU"/>
        </w:rPr>
        <w:t>препаратами</w:t>
      </w:r>
      <w:r w:rsidR="000A0BA7" w:rsidRPr="002D2C3C">
        <w:rPr>
          <w:rFonts w:ascii="Times New Roman" w:eastAsia="Times New Roman" w:hAnsi="Times New Roman" w:cs="Times New Roman"/>
          <w:color w:val="000000"/>
          <w:sz w:val="28"/>
          <w:szCs w:val="28"/>
          <w:lang w:val="uk-UA" w:eastAsia="ru-RU"/>
        </w:rPr>
        <w:t xml:space="preserve"> </w:t>
      </w:r>
      <w:r w:rsidR="00BD47DC">
        <w:rPr>
          <w:rFonts w:ascii="Times New Roman" w:eastAsia="Times New Roman" w:hAnsi="Times New Roman" w:cs="Times New Roman"/>
          <w:color w:val="000000"/>
          <w:sz w:val="28"/>
          <w:szCs w:val="28"/>
          <w:lang w:val="uk-UA" w:eastAsia="ru-RU"/>
        </w:rPr>
        <w:t>людського інсуліну</w:t>
      </w:r>
      <w:r w:rsidR="000A0BA7" w:rsidRPr="002D2C3C">
        <w:rPr>
          <w:rFonts w:ascii="Times New Roman" w:eastAsia="Times New Roman" w:hAnsi="Times New Roman" w:cs="Times New Roman"/>
          <w:color w:val="000000"/>
          <w:sz w:val="28"/>
          <w:szCs w:val="28"/>
          <w:lang w:val="uk-UA" w:eastAsia="ru-RU"/>
        </w:rPr>
        <w:t xml:space="preserve"> короткої</w:t>
      </w:r>
      <w:r w:rsidR="001D45E5">
        <w:rPr>
          <w:rFonts w:ascii="Times New Roman" w:eastAsia="Times New Roman" w:hAnsi="Times New Roman" w:cs="Times New Roman"/>
          <w:color w:val="000000"/>
          <w:sz w:val="28"/>
          <w:szCs w:val="28"/>
          <w:lang w:val="uk-UA" w:eastAsia="ru-RU"/>
        </w:rPr>
        <w:t xml:space="preserve"> (Хумодар Р, Фармасулін Н, Інсуман Рапід, Актрапід)</w:t>
      </w:r>
      <w:r w:rsidR="000A0BA7" w:rsidRPr="002D2C3C">
        <w:rPr>
          <w:rFonts w:ascii="Times New Roman" w:eastAsia="Times New Roman" w:hAnsi="Times New Roman" w:cs="Times New Roman"/>
          <w:color w:val="000000"/>
          <w:sz w:val="28"/>
          <w:szCs w:val="28"/>
          <w:lang w:val="uk-UA" w:eastAsia="ru-RU"/>
        </w:rPr>
        <w:t xml:space="preserve"> та середньої тривалості дії</w:t>
      </w:r>
      <w:r w:rsidR="001D45E5">
        <w:rPr>
          <w:rFonts w:ascii="Times New Roman" w:eastAsia="Times New Roman" w:hAnsi="Times New Roman" w:cs="Times New Roman"/>
          <w:color w:val="000000"/>
          <w:sz w:val="28"/>
          <w:szCs w:val="28"/>
          <w:lang w:val="uk-UA" w:eastAsia="ru-RU"/>
        </w:rPr>
        <w:t xml:space="preserve"> (Хумодар Б, Фармасулін </w:t>
      </w:r>
      <w:r w:rsidR="001D45E5">
        <w:rPr>
          <w:rFonts w:ascii="Times New Roman" w:eastAsia="Times New Roman" w:hAnsi="Times New Roman" w:cs="Times New Roman"/>
          <w:color w:val="000000"/>
          <w:sz w:val="28"/>
          <w:szCs w:val="28"/>
          <w:lang w:val="en-US" w:eastAsia="ru-RU"/>
        </w:rPr>
        <w:t>HNP</w:t>
      </w:r>
      <w:r w:rsidR="001D45E5" w:rsidRPr="001D45E5">
        <w:rPr>
          <w:rFonts w:ascii="Times New Roman" w:eastAsia="Times New Roman" w:hAnsi="Times New Roman" w:cs="Times New Roman"/>
          <w:color w:val="000000"/>
          <w:sz w:val="28"/>
          <w:szCs w:val="28"/>
          <w:lang w:val="uk-UA" w:eastAsia="ru-RU"/>
        </w:rPr>
        <w:t xml:space="preserve">, </w:t>
      </w:r>
      <w:r w:rsidR="001D45E5">
        <w:rPr>
          <w:rFonts w:ascii="Times New Roman" w:eastAsia="Times New Roman" w:hAnsi="Times New Roman" w:cs="Times New Roman"/>
          <w:color w:val="000000"/>
          <w:sz w:val="28"/>
          <w:szCs w:val="28"/>
          <w:lang w:val="uk-UA" w:eastAsia="ru-RU"/>
        </w:rPr>
        <w:t>Інсуман базал, Протафан</w:t>
      </w:r>
      <w:r w:rsidR="00DE57A6">
        <w:rPr>
          <w:rFonts w:ascii="Times New Roman" w:eastAsia="Times New Roman" w:hAnsi="Times New Roman" w:cs="Times New Roman"/>
          <w:color w:val="000000"/>
          <w:sz w:val="28"/>
          <w:szCs w:val="28"/>
          <w:lang w:val="uk-UA" w:eastAsia="ru-RU"/>
        </w:rPr>
        <w:t>), а також</w:t>
      </w:r>
      <w:r w:rsidR="004B49ED">
        <w:rPr>
          <w:rFonts w:ascii="Times New Roman" w:eastAsia="Times New Roman" w:hAnsi="Times New Roman" w:cs="Times New Roman"/>
          <w:color w:val="000000"/>
          <w:sz w:val="28"/>
          <w:szCs w:val="28"/>
          <w:lang w:val="uk-UA" w:eastAsia="ru-RU"/>
        </w:rPr>
        <w:t xml:space="preserve"> аналогами препаратів інсуліну </w:t>
      </w:r>
      <w:r w:rsidR="00DE57A6">
        <w:rPr>
          <w:rFonts w:ascii="Times New Roman" w:eastAsia="Times New Roman" w:hAnsi="Times New Roman" w:cs="Times New Roman"/>
          <w:color w:val="000000"/>
          <w:sz w:val="28"/>
          <w:szCs w:val="28"/>
          <w:lang w:val="uk-UA" w:eastAsia="ru-RU"/>
        </w:rPr>
        <w:t>ультракороткої (Новорапід, Епайдра) та тривалої дії (Лантус)</w:t>
      </w:r>
      <w:r w:rsidR="002D2C3C">
        <w:rPr>
          <w:rFonts w:ascii="Times New Roman" w:eastAsia="Times New Roman" w:hAnsi="Times New Roman" w:cs="Times New Roman"/>
          <w:color w:val="000000"/>
          <w:sz w:val="28"/>
          <w:szCs w:val="28"/>
          <w:lang w:val="uk-UA" w:eastAsia="ru-RU"/>
        </w:rPr>
        <w:t xml:space="preserve"> за схемою</w:t>
      </w:r>
      <w:r w:rsidR="00140641">
        <w:rPr>
          <w:rFonts w:ascii="Times New Roman" w:eastAsia="Times New Roman" w:hAnsi="Times New Roman" w:cs="Times New Roman"/>
          <w:color w:val="000000"/>
          <w:sz w:val="28"/>
          <w:szCs w:val="28"/>
          <w:lang w:val="uk-UA" w:eastAsia="ru-RU"/>
        </w:rPr>
        <w:t xml:space="preserve"> </w:t>
      </w:r>
      <w:r w:rsidR="00140641" w:rsidRPr="00140641">
        <w:rPr>
          <w:rFonts w:ascii="Times New Roman" w:eastAsia="Times New Roman" w:hAnsi="Times New Roman" w:cs="Times New Roman"/>
          <w:color w:val="000000"/>
          <w:sz w:val="28"/>
          <w:szCs w:val="28"/>
          <w:lang w:val="uk-UA" w:eastAsia="ru-RU"/>
        </w:rPr>
        <w:t xml:space="preserve">за відсутності досягнення цільового вмісту HbA1с на тлі лікування </w:t>
      </w:r>
      <w:r w:rsidR="00140641" w:rsidRPr="00140641">
        <w:rPr>
          <w:rFonts w:ascii="Times New Roman" w:eastAsia="Times New Roman" w:hAnsi="Times New Roman" w:cs="Times New Roman"/>
          <w:color w:val="000000"/>
          <w:sz w:val="28"/>
          <w:szCs w:val="28"/>
          <w:lang w:val="uk-UA" w:eastAsia="ru-RU"/>
        </w:rPr>
        <w:lastRenderedPageBreak/>
        <w:t xml:space="preserve">оптимальними дозами зазначених пероральних цукрознижуючих </w:t>
      </w:r>
      <w:r w:rsidR="00140641">
        <w:rPr>
          <w:rFonts w:ascii="Times New Roman" w:eastAsia="Times New Roman" w:hAnsi="Times New Roman" w:cs="Times New Roman"/>
          <w:color w:val="000000"/>
          <w:sz w:val="28"/>
          <w:szCs w:val="28"/>
          <w:lang w:val="uk-UA" w:eastAsia="ru-RU"/>
        </w:rPr>
        <w:t>препаратів чи їх комбінацій</w:t>
      </w:r>
      <w:r w:rsidR="000A0BA7" w:rsidRPr="002D2C3C">
        <w:rPr>
          <w:rFonts w:ascii="Times New Roman" w:eastAsia="Times New Roman" w:hAnsi="Times New Roman" w:cs="Times New Roman"/>
          <w:color w:val="000000"/>
          <w:sz w:val="28"/>
          <w:szCs w:val="28"/>
          <w:lang w:val="uk-UA" w:eastAsia="ru-RU"/>
        </w:rPr>
        <w:t>.</w:t>
      </w:r>
      <w:r w:rsidR="00786BC0">
        <w:rPr>
          <w:rFonts w:ascii="Times New Roman" w:eastAsia="Times New Roman" w:hAnsi="Times New Roman" w:cs="Times New Roman"/>
          <w:color w:val="000000"/>
          <w:sz w:val="28"/>
          <w:szCs w:val="28"/>
          <w:lang w:val="uk-UA" w:eastAsia="ru-RU"/>
        </w:rPr>
        <w:t xml:space="preserve"> </w:t>
      </w:r>
    </w:p>
    <w:p w:rsidR="005956EB" w:rsidRDefault="008913EB" w:rsidP="000C4558">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Компенсований ЦД 2-го типу було установлено у 35</w:t>
      </w:r>
      <w:r w:rsidR="004B49ED">
        <w:rPr>
          <w:rFonts w:ascii="Times New Roman" w:eastAsia="Times New Roman" w:hAnsi="Times New Roman" w:cs="Times New Roman"/>
          <w:color w:val="000000"/>
          <w:sz w:val="28"/>
          <w:szCs w:val="28"/>
          <w:lang w:val="uk-UA" w:eastAsia="ru-RU"/>
        </w:rPr>
        <w:t xml:space="preserve"> (36,46 %)</w:t>
      </w:r>
      <w:r w:rsidR="003E5E3C">
        <w:rPr>
          <w:rFonts w:ascii="Times New Roman" w:eastAsia="Times New Roman" w:hAnsi="Times New Roman" w:cs="Times New Roman"/>
          <w:color w:val="000000"/>
          <w:sz w:val="28"/>
          <w:szCs w:val="28"/>
          <w:lang w:val="uk-UA" w:eastAsia="ru-RU"/>
        </w:rPr>
        <w:t>,  декомпенсований –</w:t>
      </w:r>
      <w:r w:rsidR="004B49ED">
        <w:rPr>
          <w:rFonts w:ascii="Times New Roman" w:eastAsia="Times New Roman" w:hAnsi="Times New Roman" w:cs="Times New Roman"/>
          <w:color w:val="000000"/>
          <w:sz w:val="28"/>
          <w:szCs w:val="28"/>
          <w:lang w:val="uk-UA" w:eastAsia="ru-RU"/>
        </w:rPr>
        <w:t xml:space="preserve"> 61 (63,54 %)</w:t>
      </w:r>
      <w:r w:rsidR="003E5E3C">
        <w:rPr>
          <w:rFonts w:ascii="Times New Roman" w:eastAsia="Times New Roman" w:hAnsi="Times New Roman" w:cs="Times New Roman"/>
          <w:color w:val="000000"/>
          <w:sz w:val="28"/>
          <w:szCs w:val="28"/>
          <w:lang w:val="uk-UA" w:eastAsia="ru-RU"/>
        </w:rPr>
        <w:t xml:space="preserve"> хворого</w:t>
      </w:r>
      <w:r>
        <w:rPr>
          <w:rFonts w:ascii="Times New Roman" w:eastAsia="Times New Roman" w:hAnsi="Times New Roman" w:cs="Times New Roman"/>
          <w:color w:val="000000"/>
          <w:sz w:val="28"/>
          <w:szCs w:val="28"/>
          <w:lang w:val="uk-UA" w:eastAsia="ru-RU"/>
        </w:rPr>
        <w:t>.</w:t>
      </w:r>
    </w:p>
    <w:p w:rsidR="00A03291" w:rsidRPr="000C4558" w:rsidRDefault="001A61CE" w:rsidP="000C4558">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В</w:t>
      </w:r>
      <w:r w:rsidR="00593DA1" w:rsidRPr="008707FF">
        <w:rPr>
          <w:rFonts w:ascii="Times New Roman" w:eastAsia="Times New Roman" w:hAnsi="Times New Roman" w:cs="Times New Roman"/>
          <w:color w:val="000000"/>
          <w:sz w:val="28"/>
          <w:szCs w:val="28"/>
          <w:lang w:val="uk-UA" w:eastAsia="ru-RU"/>
        </w:rPr>
        <w:t xml:space="preserve"> ан</w:t>
      </w:r>
      <w:r w:rsidR="00EC0DFF">
        <w:rPr>
          <w:rFonts w:ascii="Times New Roman" w:eastAsia="Times New Roman" w:hAnsi="Times New Roman" w:cs="Times New Roman"/>
          <w:color w:val="000000"/>
          <w:sz w:val="28"/>
          <w:szCs w:val="28"/>
          <w:lang w:val="uk-UA" w:eastAsia="ru-RU"/>
        </w:rPr>
        <w:t>амнезі</w:t>
      </w:r>
      <w:r>
        <w:rPr>
          <w:rFonts w:ascii="Times New Roman" w:eastAsia="Times New Roman" w:hAnsi="Times New Roman" w:cs="Times New Roman"/>
          <w:color w:val="000000"/>
          <w:sz w:val="28"/>
          <w:szCs w:val="28"/>
          <w:lang w:val="uk-UA" w:eastAsia="ru-RU"/>
        </w:rPr>
        <w:t xml:space="preserve"> у пацієнтів І групи </w:t>
      </w:r>
      <w:r w:rsidR="00EC0DFF">
        <w:rPr>
          <w:rFonts w:ascii="Times New Roman" w:eastAsia="Times New Roman" w:hAnsi="Times New Roman" w:cs="Times New Roman"/>
          <w:color w:val="000000"/>
          <w:sz w:val="28"/>
          <w:szCs w:val="28"/>
          <w:lang w:val="uk-UA" w:eastAsia="ru-RU"/>
        </w:rPr>
        <w:t>ІМ було конст</w:t>
      </w:r>
      <w:r w:rsidR="006476C0">
        <w:rPr>
          <w:rFonts w:ascii="Times New Roman" w:eastAsia="Times New Roman" w:hAnsi="Times New Roman" w:cs="Times New Roman"/>
          <w:color w:val="000000"/>
          <w:sz w:val="28"/>
          <w:szCs w:val="28"/>
          <w:lang w:val="uk-UA" w:eastAsia="ru-RU"/>
        </w:rPr>
        <w:t xml:space="preserve">атовано у </w:t>
      </w:r>
      <w:r w:rsidR="006476C0" w:rsidRPr="006476C0">
        <w:rPr>
          <w:rFonts w:ascii="Times New Roman" w:eastAsia="Times New Roman" w:hAnsi="Times New Roman" w:cs="Times New Roman"/>
          <w:color w:val="000000"/>
          <w:sz w:val="28"/>
          <w:szCs w:val="28"/>
          <w:lang w:eastAsia="ru-RU"/>
        </w:rPr>
        <w:t>51</w:t>
      </w:r>
      <w:r w:rsidR="006678CA">
        <w:rPr>
          <w:rFonts w:ascii="Times New Roman" w:eastAsia="Times New Roman" w:hAnsi="Times New Roman" w:cs="Times New Roman"/>
          <w:color w:val="000000"/>
          <w:sz w:val="28"/>
          <w:szCs w:val="28"/>
          <w:lang w:val="uk-UA" w:eastAsia="ru-RU"/>
        </w:rPr>
        <w:t xml:space="preserve"> (5</w:t>
      </w:r>
      <w:r w:rsidR="006476C0">
        <w:rPr>
          <w:rFonts w:ascii="Times New Roman" w:eastAsia="Times New Roman" w:hAnsi="Times New Roman" w:cs="Times New Roman"/>
          <w:color w:val="000000"/>
          <w:sz w:val="28"/>
          <w:szCs w:val="28"/>
          <w:lang w:eastAsia="ru-RU"/>
        </w:rPr>
        <w:t>3</w:t>
      </w:r>
      <w:r w:rsidR="006476C0" w:rsidRPr="006476C0">
        <w:rPr>
          <w:rFonts w:ascii="Times New Roman" w:eastAsia="Times New Roman" w:hAnsi="Times New Roman" w:cs="Times New Roman"/>
          <w:color w:val="000000"/>
          <w:sz w:val="28"/>
          <w:szCs w:val="28"/>
          <w:lang w:eastAsia="ru-RU"/>
        </w:rPr>
        <w:t>,1</w:t>
      </w:r>
      <w:r w:rsidR="00C21BC9">
        <w:rPr>
          <w:rFonts w:ascii="Times New Roman" w:eastAsia="Times New Roman" w:hAnsi="Times New Roman" w:cs="Times New Roman"/>
          <w:color w:val="000000"/>
          <w:sz w:val="28"/>
          <w:szCs w:val="28"/>
          <w:lang w:val="uk-UA" w:eastAsia="ru-RU"/>
        </w:rPr>
        <w:t xml:space="preserve"> </w:t>
      </w:r>
      <w:r w:rsidR="007D06DE">
        <w:rPr>
          <w:rFonts w:ascii="Times New Roman" w:eastAsia="Times New Roman" w:hAnsi="Times New Roman" w:cs="Times New Roman"/>
          <w:color w:val="000000"/>
          <w:sz w:val="28"/>
          <w:szCs w:val="28"/>
          <w:lang w:val="uk-UA" w:eastAsia="ru-RU"/>
        </w:rPr>
        <w:t xml:space="preserve">%), ГПМК – у </w:t>
      </w:r>
      <w:r w:rsidR="006476C0" w:rsidRPr="006476C0">
        <w:rPr>
          <w:rFonts w:ascii="Times New Roman" w:eastAsia="Times New Roman" w:hAnsi="Times New Roman" w:cs="Times New Roman"/>
          <w:color w:val="000000"/>
          <w:sz w:val="28"/>
          <w:szCs w:val="28"/>
          <w:lang w:eastAsia="ru-RU"/>
        </w:rPr>
        <w:t>2</w:t>
      </w:r>
      <w:r w:rsidR="007D06DE">
        <w:rPr>
          <w:rFonts w:ascii="Times New Roman" w:eastAsia="Times New Roman" w:hAnsi="Times New Roman" w:cs="Times New Roman"/>
          <w:color w:val="000000"/>
          <w:sz w:val="28"/>
          <w:szCs w:val="28"/>
          <w:lang w:val="uk-UA" w:eastAsia="ru-RU"/>
        </w:rPr>
        <w:t>5</w:t>
      </w:r>
      <w:r w:rsidR="006678CA">
        <w:rPr>
          <w:rFonts w:ascii="Times New Roman" w:eastAsia="Times New Roman" w:hAnsi="Times New Roman" w:cs="Times New Roman"/>
          <w:color w:val="000000"/>
          <w:sz w:val="28"/>
          <w:szCs w:val="28"/>
          <w:lang w:val="uk-UA" w:eastAsia="ru-RU"/>
        </w:rPr>
        <w:t xml:space="preserve"> (2</w:t>
      </w:r>
      <w:r w:rsidR="006476C0">
        <w:rPr>
          <w:rFonts w:ascii="Times New Roman" w:eastAsia="Times New Roman" w:hAnsi="Times New Roman" w:cs="Times New Roman"/>
          <w:color w:val="000000"/>
          <w:sz w:val="28"/>
          <w:szCs w:val="28"/>
          <w:lang w:eastAsia="ru-RU"/>
        </w:rPr>
        <w:t>6</w:t>
      </w:r>
      <w:r w:rsidR="006476C0" w:rsidRPr="006476C0">
        <w:rPr>
          <w:rFonts w:ascii="Times New Roman" w:eastAsia="Times New Roman" w:hAnsi="Times New Roman" w:cs="Times New Roman"/>
          <w:color w:val="000000"/>
          <w:sz w:val="28"/>
          <w:szCs w:val="28"/>
          <w:lang w:eastAsia="ru-RU"/>
        </w:rPr>
        <w:t>,04</w:t>
      </w:r>
      <w:r w:rsidR="00C21BC9">
        <w:rPr>
          <w:rFonts w:ascii="Times New Roman" w:eastAsia="Times New Roman" w:hAnsi="Times New Roman" w:cs="Times New Roman"/>
          <w:color w:val="000000"/>
          <w:sz w:val="28"/>
          <w:szCs w:val="28"/>
          <w:lang w:val="uk-UA" w:eastAsia="ru-RU"/>
        </w:rPr>
        <w:t xml:space="preserve"> </w:t>
      </w:r>
      <w:r w:rsidR="00593DA1" w:rsidRPr="008707FF">
        <w:rPr>
          <w:rFonts w:ascii="Times New Roman" w:eastAsia="Times New Roman" w:hAnsi="Times New Roman" w:cs="Times New Roman"/>
          <w:color w:val="000000"/>
          <w:sz w:val="28"/>
          <w:szCs w:val="28"/>
          <w:lang w:val="uk-UA" w:eastAsia="ru-RU"/>
        </w:rPr>
        <w:t>%), ТІА</w:t>
      </w:r>
      <w:r w:rsidR="00DF1BDF" w:rsidRPr="008707FF">
        <w:rPr>
          <w:rFonts w:ascii="Times New Roman" w:eastAsia="Times New Roman" w:hAnsi="Times New Roman" w:cs="Times New Roman"/>
          <w:color w:val="000000"/>
          <w:sz w:val="28"/>
          <w:szCs w:val="28"/>
          <w:lang w:val="uk-UA" w:eastAsia="ru-RU"/>
        </w:rPr>
        <w:t xml:space="preserve"> </w:t>
      </w:r>
      <w:r w:rsidR="00EC0DFF">
        <w:rPr>
          <w:rFonts w:ascii="Times New Roman" w:eastAsia="Times New Roman" w:hAnsi="Times New Roman" w:cs="Times New Roman"/>
          <w:color w:val="000000"/>
          <w:sz w:val="28"/>
          <w:szCs w:val="28"/>
          <w:lang w:val="uk-UA" w:eastAsia="ru-RU"/>
        </w:rPr>
        <w:t xml:space="preserve">– у </w:t>
      </w:r>
      <w:r w:rsidR="006476C0" w:rsidRPr="006476C0">
        <w:rPr>
          <w:rFonts w:ascii="Times New Roman" w:eastAsia="Times New Roman" w:hAnsi="Times New Roman" w:cs="Times New Roman"/>
          <w:color w:val="000000"/>
          <w:sz w:val="28"/>
          <w:szCs w:val="28"/>
          <w:lang w:eastAsia="ru-RU"/>
        </w:rPr>
        <w:t>15</w:t>
      </w:r>
      <w:r w:rsidR="00593DA1" w:rsidRPr="008707FF">
        <w:rPr>
          <w:rFonts w:ascii="Times New Roman" w:eastAsia="Times New Roman" w:hAnsi="Times New Roman" w:cs="Times New Roman"/>
          <w:color w:val="000000"/>
          <w:sz w:val="28"/>
          <w:szCs w:val="28"/>
          <w:lang w:val="uk-UA" w:eastAsia="ru-RU"/>
        </w:rPr>
        <w:t xml:space="preserve"> </w:t>
      </w:r>
      <w:r w:rsidR="006678CA">
        <w:rPr>
          <w:rFonts w:ascii="Times New Roman" w:eastAsia="Times New Roman" w:hAnsi="Times New Roman" w:cs="Times New Roman"/>
          <w:color w:val="000000"/>
          <w:sz w:val="28"/>
          <w:szCs w:val="28"/>
          <w:lang w:val="uk-UA" w:eastAsia="ru-RU"/>
        </w:rPr>
        <w:t>(1</w:t>
      </w:r>
      <w:r w:rsidR="006476C0" w:rsidRPr="006476C0">
        <w:rPr>
          <w:rFonts w:ascii="Times New Roman" w:eastAsia="Times New Roman" w:hAnsi="Times New Roman" w:cs="Times New Roman"/>
          <w:color w:val="000000"/>
          <w:sz w:val="28"/>
          <w:szCs w:val="28"/>
          <w:lang w:eastAsia="ru-RU"/>
        </w:rPr>
        <w:t>5,63</w:t>
      </w:r>
      <w:r w:rsidR="00C21BC9">
        <w:rPr>
          <w:rFonts w:ascii="Times New Roman" w:eastAsia="Times New Roman" w:hAnsi="Times New Roman" w:cs="Times New Roman"/>
          <w:color w:val="000000"/>
          <w:sz w:val="28"/>
          <w:szCs w:val="28"/>
          <w:lang w:val="uk-UA" w:eastAsia="ru-RU"/>
        </w:rPr>
        <w:t xml:space="preserve"> </w:t>
      </w:r>
      <w:r w:rsidR="006678CA">
        <w:rPr>
          <w:rFonts w:ascii="Times New Roman" w:eastAsia="Times New Roman" w:hAnsi="Times New Roman" w:cs="Times New Roman"/>
          <w:color w:val="000000"/>
          <w:sz w:val="28"/>
          <w:szCs w:val="28"/>
          <w:lang w:val="uk-UA" w:eastAsia="ru-RU"/>
        </w:rPr>
        <w:t>%), ІМ та ГПМК – у 5 (</w:t>
      </w:r>
      <w:r w:rsidR="006476C0" w:rsidRPr="006476C0">
        <w:rPr>
          <w:rFonts w:ascii="Times New Roman" w:eastAsia="Times New Roman" w:hAnsi="Times New Roman" w:cs="Times New Roman"/>
          <w:color w:val="000000"/>
          <w:sz w:val="28"/>
          <w:szCs w:val="28"/>
          <w:lang w:eastAsia="ru-RU"/>
        </w:rPr>
        <w:t>5,21</w:t>
      </w:r>
      <w:r w:rsidR="00C21BC9">
        <w:rPr>
          <w:rFonts w:ascii="Times New Roman" w:eastAsia="Times New Roman" w:hAnsi="Times New Roman" w:cs="Times New Roman"/>
          <w:color w:val="000000"/>
          <w:sz w:val="28"/>
          <w:szCs w:val="28"/>
          <w:lang w:val="uk-UA" w:eastAsia="ru-RU"/>
        </w:rPr>
        <w:t xml:space="preserve"> </w:t>
      </w:r>
      <w:r w:rsidR="009E3533">
        <w:rPr>
          <w:rFonts w:ascii="Times New Roman" w:eastAsia="Times New Roman" w:hAnsi="Times New Roman" w:cs="Times New Roman"/>
          <w:color w:val="000000"/>
          <w:sz w:val="28"/>
          <w:szCs w:val="28"/>
          <w:lang w:val="uk-UA" w:eastAsia="ru-RU"/>
        </w:rPr>
        <w:t>%) хворих</w:t>
      </w:r>
      <w:r w:rsidR="00B4772E">
        <w:rPr>
          <w:rFonts w:ascii="Times New Roman" w:eastAsia="Times New Roman" w:hAnsi="Times New Roman" w:cs="Times New Roman"/>
          <w:color w:val="000000"/>
          <w:sz w:val="28"/>
          <w:szCs w:val="28"/>
          <w:lang w:val="uk-UA" w:eastAsia="ru-RU"/>
        </w:rPr>
        <w:t>;</w:t>
      </w:r>
      <w:r w:rsidRPr="001A61CE">
        <w:rPr>
          <w:rFonts w:ascii="Times New Roman" w:eastAsia="Times New Roman" w:hAnsi="Times New Roman" w:cs="Times New Roman"/>
          <w:color w:val="000000"/>
          <w:sz w:val="28"/>
          <w:szCs w:val="28"/>
          <w:lang w:val="uk-UA" w:eastAsia="ru-RU"/>
        </w:rPr>
        <w:t xml:space="preserve"> </w:t>
      </w:r>
      <w:r w:rsidR="003524BE">
        <w:rPr>
          <w:rFonts w:ascii="Times New Roman" w:eastAsia="Times New Roman" w:hAnsi="Times New Roman" w:cs="Times New Roman"/>
          <w:color w:val="000000"/>
          <w:sz w:val="28"/>
          <w:szCs w:val="28"/>
          <w:lang w:val="uk-UA" w:eastAsia="ru-RU"/>
        </w:rPr>
        <w:t xml:space="preserve">у пацієнтів </w:t>
      </w:r>
      <w:r w:rsidRPr="001A61CE">
        <w:rPr>
          <w:rFonts w:ascii="Times New Roman" w:eastAsia="Times New Roman" w:hAnsi="Times New Roman" w:cs="Times New Roman"/>
          <w:color w:val="000000"/>
          <w:sz w:val="28"/>
          <w:szCs w:val="28"/>
          <w:lang w:val="uk-UA" w:eastAsia="ru-RU"/>
        </w:rPr>
        <w:t>І</w:t>
      </w:r>
      <w:r w:rsidR="00283E96">
        <w:rPr>
          <w:rFonts w:ascii="Times New Roman" w:eastAsia="Times New Roman" w:hAnsi="Times New Roman" w:cs="Times New Roman"/>
          <w:color w:val="000000"/>
          <w:sz w:val="28"/>
          <w:szCs w:val="28"/>
          <w:lang w:val="uk-UA" w:eastAsia="ru-RU"/>
        </w:rPr>
        <w:t>І</w:t>
      </w:r>
      <w:r w:rsidRPr="001A61CE">
        <w:rPr>
          <w:rFonts w:ascii="Times New Roman" w:eastAsia="Times New Roman" w:hAnsi="Times New Roman" w:cs="Times New Roman"/>
          <w:color w:val="000000"/>
          <w:sz w:val="28"/>
          <w:szCs w:val="28"/>
          <w:lang w:val="uk-UA" w:eastAsia="ru-RU"/>
        </w:rPr>
        <w:t xml:space="preserve"> </w:t>
      </w:r>
      <w:r w:rsidR="00F362B3">
        <w:rPr>
          <w:rFonts w:ascii="Times New Roman" w:eastAsia="Times New Roman" w:hAnsi="Times New Roman" w:cs="Times New Roman"/>
          <w:color w:val="000000"/>
          <w:sz w:val="28"/>
          <w:szCs w:val="28"/>
          <w:lang w:val="uk-UA" w:eastAsia="ru-RU"/>
        </w:rPr>
        <w:t>групи ІМ було встановлено</w:t>
      </w:r>
      <w:r w:rsidR="00B227BD">
        <w:rPr>
          <w:rFonts w:ascii="Times New Roman" w:eastAsia="Times New Roman" w:hAnsi="Times New Roman" w:cs="Times New Roman"/>
          <w:color w:val="000000"/>
          <w:sz w:val="28"/>
          <w:szCs w:val="28"/>
          <w:lang w:val="uk-UA" w:eastAsia="ru-RU"/>
        </w:rPr>
        <w:t xml:space="preserve"> у </w:t>
      </w:r>
      <w:r w:rsidR="00B227BD" w:rsidRPr="00B227BD">
        <w:rPr>
          <w:rFonts w:ascii="Times New Roman" w:eastAsia="Times New Roman" w:hAnsi="Times New Roman" w:cs="Times New Roman"/>
          <w:color w:val="000000"/>
          <w:sz w:val="28"/>
          <w:szCs w:val="28"/>
          <w:lang w:eastAsia="ru-RU"/>
        </w:rPr>
        <w:t>4</w:t>
      </w:r>
      <w:r w:rsidR="00B227BD">
        <w:rPr>
          <w:rFonts w:ascii="Times New Roman" w:eastAsia="Times New Roman" w:hAnsi="Times New Roman" w:cs="Times New Roman"/>
          <w:color w:val="000000"/>
          <w:sz w:val="28"/>
          <w:szCs w:val="28"/>
          <w:lang w:val="uk-UA" w:eastAsia="ru-RU"/>
        </w:rPr>
        <w:t xml:space="preserve"> (</w:t>
      </w:r>
      <w:r w:rsidR="00B227BD" w:rsidRPr="00B227BD">
        <w:rPr>
          <w:rFonts w:ascii="Times New Roman" w:eastAsia="Times New Roman" w:hAnsi="Times New Roman" w:cs="Times New Roman"/>
          <w:color w:val="000000"/>
          <w:sz w:val="28"/>
          <w:szCs w:val="28"/>
          <w:lang w:eastAsia="ru-RU"/>
        </w:rPr>
        <w:t>16</w:t>
      </w:r>
      <w:r w:rsidR="00C21BC9">
        <w:rPr>
          <w:rFonts w:ascii="Times New Roman" w:eastAsia="Times New Roman" w:hAnsi="Times New Roman" w:cs="Times New Roman"/>
          <w:color w:val="000000"/>
          <w:sz w:val="28"/>
          <w:szCs w:val="28"/>
          <w:lang w:val="uk-UA" w:eastAsia="ru-RU"/>
        </w:rPr>
        <w:t xml:space="preserve"> </w:t>
      </w:r>
      <w:r w:rsidR="00283E96">
        <w:rPr>
          <w:rFonts w:ascii="Times New Roman" w:eastAsia="Times New Roman" w:hAnsi="Times New Roman" w:cs="Times New Roman"/>
          <w:color w:val="000000"/>
          <w:sz w:val="28"/>
          <w:szCs w:val="28"/>
          <w:lang w:val="uk-UA" w:eastAsia="ru-RU"/>
        </w:rPr>
        <w:t xml:space="preserve">%), </w:t>
      </w:r>
      <w:r w:rsidR="00B4772E">
        <w:rPr>
          <w:rFonts w:ascii="Times New Roman" w:eastAsia="Times New Roman" w:hAnsi="Times New Roman" w:cs="Times New Roman"/>
          <w:color w:val="000000"/>
          <w:sz w:val="28"/>
          <w:szCs w:val="28"/>
          <w:lang w:val="uk-UA" w:eastAsia="ru-RU"/>
        </w:rPr>
        <w:t xml:space="preserve"> </w:t>
      </w:r>
      <w:r w:rsidR="00283E96">
        <w:rPr>
          <w:rFonts w:ascii="Times New Roman" w:eastAsia="Times New Roman" w:hAnsi="Times New Roman" w:cs="Times New Roman"/>
          <w:color w:val="000000"/>
          <w:sz w:val="28"/>
          <w:szCs w:val="28"/>
          <w:lang w:val="uk-UA" w:eastAsia="ru-RU"/>
        </w:rPr>
        <w:t xml:space="preserve">ГПМК – у </w:t>
      </w:r>
      <w:r w:rsidR="00B227BD">
        <w:rPr>
          <w:rFonts w:ascii="Times New Roman" w:eastAsia="Times New Roman" w:hAnsi="Times New Roman" w:cs="Times New Roman"/>
          <w:color w:val="000000"/>
          <w:sz w:val="28"/>
          <w:szCs w:val="28"/>
          <w:lang w:val="uk-UA" w:eastAsia="ru-RU"/>
        </w:rPr>
        <w:t xml:space="preserve">3 </w:t>
      </w:r>
      <w:r w:rsidR="009E3533">
        <w:rPr>
          <w:rFonts w:ascii="Times New Roman" w:eastAsia="Times New Roman" w:hAnsi="Times New Roman" w:cs="Times New Roman"/>
          <w:color w:val="000000"/>
          <w:sz w:val="28"/>
          <w:szCs w:val="28"/>
          <w:lang w:val="uk-UA" w:eastAsia="ru-RU"/>
        </w:rPr>
        <w:t xml:space="preserve">    </w:t>
      </w:r>
      <w:r w:rsidR="00B227BD">
        <w:rPr>
          <w:rFonts w:ascii="Times New Roman" w:eastAsia="Times New Roman" w:hAnsi="Times New Roman" w:cs="Times New Roman"/>
          <w:color w:val="000000"/>
          <w:sz w:val="28"/>
          <w:szCs w:val="28"/>
          <w:lang w:val="uk-UA" w:eastAsia="ru-RU"/>
        </w:rPr>
        <w:t>(</w:t>
      </w:r>
      <w:r w:rsidR="00B227BD" w:rsidRPr="00B227BD">
        <w:rPr>
          <w:rFonts w:ascii="Times New Roman" w:eastAsia="Times New Roman" w:hAnsi="Times New Roman" w:cs="Times New Roman"/>
          <w:color w:val="000000"/>
          <w:sz w:val="28"/>
          <w:szCs w:val="28"/>
          <w:lang w:eastAsia="ru-RU"/>
        </w:rPr>
        <w:t>12</w:t>
      </w:r>
      <w:r w:rsidR="00C21BC9">
        <w:rPr>
          <w:rFonts w:ascii="Times New Roman" w:eastAsia="Times New Roman" w:hAnsi="Times New Roman" w:cs="Times New Roman"/>
          <w:color w:val="000000"/>
          <w:sz w:val="28"/>
          <w:szCs w:val="28"/>
          <w:lang w:val="uk-UA" w:eastAsia="ru-RU"/>
        </w:rPr>
        <w:t xml:space="preserve"> </w:t>
      </w:r>
      <w:r w:rsidR="00283E96">
        <w:rPr>
          <w:rFonts w:ascii="Times New Roman" w:eastAsia="Times New Roman" w:hAnsi="Times New Roman" w:cs="Times New Roman"/>
          <w:color w:val="000000"/>
          <w:sz w:val="28"/>
          <w:szCs w:val="28"/>
          <w:lang w:val="uk-UA" w:eastAsia="ru-RU"/>
        </w:rPr>
        <w:t xml:space="preserve">%), ТІА – у </w:t>
      </w:r>
      <w:r w:rsidR="00B227BD" w:rsidRPr="00B227BD">
        <w:rPr>
          <w:rFonts w:ascii="Times New Roman" w:eastAsia="Times New Roman" w:hAnsi="Times New Roman" w:cs="Times New Roman"/>
          <w:color w:val="000000"/>
          <w:sz w:val="28"/>
          <w:szCs w:val="28"/>
          <w:lang w:eastAsia="ru-RU"/>
        </w:rPr>
        <w:t>1</w:t>
      </w:r>
      <w:r w:rsidR="00B227BD">
        <w:rPr>
          <w:rFonts w:ascii="Times New Roman" w:eastAsia="Times New Roman" w:hAnsi="Times New Roman" w:cs="Times New Roman"/>
          <w:color w:val="000000"/>
          <w:sz w:val="28"/>
          <w:szCs w:val="28"/>
          <w:lang w:val="uk-UA" w:eastAsia="ru-RU"/>
        </w:rPr>
        <w:t>8 (</w:t>
      </w:r>
      <w:r w:rsidR="00B227BD" w:rsidRPr="00B227BD">
        <w:rPr>
          <w:rFonts w:ascii="Times New Roman" w:eastAsia="Times New Roman" w:hAnsi="Times New Roman" w:cs="Times New Roman"/>
          <w:color w:val="000000"/>
          <w:sz w:val="28"/>
          <w:szCs w:val="28"/>
          <w:lang w:eastAsia="ru-RU"/>
        </w:rPr>
        <w:t>72</w:t>
      </w:r>
      <w:r w:rsidR="00C21BC9">
        <w:rPr>
          <w:rFonts w:ascii="Times New Roman" w:eastAsia="Times New Roman" w:hAnsi="Times New Roman" w:cs="Times New Roman"/>
          <w:color w:val="000000"/>
          <w:sz w:val="28"/>
          <w:szCs w:val="28"/>
          <w:lang w:val="uk-UA" w:eastAsia="ru-RU"/>
        </w:rPr>
        <w:t xml:space="preserve"> %</w:t>
      </w:r>
      <w:r w:rsidR="00283E96">
        <w:rPr>
          <w:rFonts w:ascii="Times New Roman" w:eastAsia="Times New Roman" w:hAnsi="Times New Roman" w:cs="Times New Roman"/>
          <w:color w:val="000000"/>
          <w:sz w:val="28"/>
          <w:szCs w:val="28"/>
          <w:lang w:val="uk-UA" w:eastAsia="ru-RU"/>
        </w:rPr>
        <w:t xml:space="preserve">) </w:t>
      </w:r>
      <w:r w:rsidR="009E3533">
        <w:rPr>
          <w:rFonts w:ascii="Times New Roman" w:eastAsia="Times New Roman" w:hAnsi="Times New Roman" w:cs="Times New Roman"/>
          <w:color w:val="000000"/>
          <w:sz w:val="28"/>
          <w:szCs w:val="28"/>
          <w:lang w:val="uk-UA" w:eastAsia="ru-RU"/>
        </w:rPr>
        <w:t xml:space="preserve">хворих </w:t>
      </w:r>
      <w:r w:rsidR="00854635">
        <w:rPr>
          <w:rFonts w:ascii="Times New Roman" w:eastAsia="Times New Roman" w:hAnsi="Times New Roman" w:cs="Times New Roman"/>
          <w:color w:val="000000"/>
          <w:sz w:val="28"/>
          <w:szCs w:val="28"/>
          <w:lang w:val="uk-UA" w:eastAsia="ru-RU"/>
        </w:rPr>
        <w:t>(рис. 2.1.1</w:t>
      </w:r>
      <w:r w:rsidR="00B4772E" w:rsidRPr="00B4772E">
        <w:rPr>
          <w:rFonts w:ascii="Times New Roman" w:eastAsia="Times New Roman" w:hAnsi="Times New Roman" w:cs="Times New Roman"/>
          <w:color w:val="000000"/>
          <w:sz w:val="28"/>
          <w:szCs w:val="28"/>
          <w:lang w:val="uk-UA" w:eastAsia="ru-RU"/>
        </w:rPr>
        <w:t>).</w:t>
      </w:r>
      <w:r w:rsidRPr="001A61CE">
        <w:rPr>
          <w:rFonts w:ascii="Times New Roman" w:eastAsia="Times New Roman" w:hAnsi="Times New Roman" w:cs="Times New Roman"/>
          <w:color w:val="000000"/>
          <w:sz w:val="28"/>
          <w:szCs w:val="28"/>
          <w:lang w:val="uk-UA" w:eastAsia="ru-RU"/>
        </w:rPr>
        <w:t xml:space="preserve"> </w:t>
      </w:r>
    </w:p>
    <w:p w:rsidR="0068723A" w:rsidRDefault="00012A35" w:rsidP="00012A35">
      <w:pPr>
        <w:spacing w:before="100" w:beforeAutospacing="1" w:after="10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39775C" w:rsidRPr="008707FF">
        <w:rPr>
          <w:rFonts w:ascii="Times New Roman" w:eastAsia="Times New Roman" w:hAnsi="Times New Roman" w:cs="Times New Roman"/>
          <w:noProof/>
          <w:color w:val="000000"/>
          <w:sz w:val="28"/>
          <w:szCs w:val="28"/>
          <w:lang w:eastAsia="ru-RU"/>
        </w:rPr>
        <w:drawing>
          <wp:inline distT="0" distB="0" distL="0" distR="0" wp14:anchorId="11FE944B" wp14:editId="6E8BC92D">
            <wp:extent cx="2607734" cy="3059289"/>
            <wp:effectExtent l="0" t="0" r="21590" b="273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color w:val="000000"/>
          <w:sz w:val="28"/>
          <w:szCs w:val="28"/>
          <w:lang w:val="uk-UA" w:eastAsia="ru-RU"/>
        </w:rPr>
        <w:t xml:space="preserve">           </w:t>
      </w:r>
      <w:r w:rsidR="0066221F">
        <w:rPr>
          <w:rFonts w:ascii="Times New Roman" w:eastAsia="Times New Roman" w:hAnsi="Times New Roman" w:cs="Times New Roman"/>
          <w:noProof/>
          <w:color w:val="000000"/>
          <w:sz w:val="28"/>
          <w:szCs w:val="28"/>
          <w:lang w:eastAsia="ru-RU"/>
        </w:rPr>
        <w:drawing>
          <wp:inline distT="0" distB="0" distL="0" distR="0" wp14:anchorId="03B1AB94" wp14:editId="520FF35A">
            <wp:extent cx="2641600" cy="3070578"/>
            <wp:effectExtent l="0" t="0" r="25400" b="1587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28B9" w:rsidRDefault="00BE28B9" w:rsidP="00C21BC9">
      <w:pPr>
        <w:spacing w:after="0" w:line="360" w:lineRule="auto"/>
        <w:jc w:val="center"/>
        <w:rPr>
          <w:rFonts w:ascii="Times New Roman" w:eastAsia="Times New Roman" w:hAnsi="Times New Roman" w:cs="Times New Roman"/>
          <w:color w:val="000000"/>
          <w:sz w:val="28"/>
          <w:szCs w:val="28"/>
          <w:lang w:val="uk-UA" w:eastAsia="ru-RU"/>
        </w:rPr>
      </w:pPr>
      <w:r w:rsidRPr="008707FF">
        <w:rPr>
          <w:rFonts w:ascii="Times New Roman" w:eastAsia="Times New Roman" w:hAnsi="Times New Roman" w:cs="Times New Roman"/>
          <w:color w:val="000000"/>
          <w:sz w:val="28"/>
          <w:szCs w:val="28"/>
          <w:lang w:val="uk-UA" w:eastAsia="ru-RU"/>
        </w:rPr>
        <w:t>Рис</w:t>
      </w:r>
      <w:r w:rsidR="006C5948">
        <w:rPr>
          <w:rFonts w:ascii="Times New Roman" w:eastAsia="Times New Roman" w:hAnsi="Times New Roman" w:cs="Times New Roman"/>
          <w:color w:val="000000"/>
          <w:sz w:val="28"/>
          <w:szCs w:val="28"/>
          <w:lang w:val="uk-UA" w:eastAsia="ru-RU"/>
        </w:rPr>
        <w:t>.</w:t>
      </w:r>
      <w:r w:rsidRPr="008707FF">
        <w:rPr>
          <w:rFonts w:ascii="Times New Roman" w:eastAsia="Times New Roman" w:hAnsi="Times New Roman" w:cs="Times New Roman"/>
          <w:color w:val="000000"/>
          <w:sz w:val="28"/>
          <w:szCs w:val="28"/>
          <w:lang w:val="uk-UA" w:eastAsia="ru-RU"/>
        </w:rPr>
        <w:t xml:space="preserve"> 2.</w:t>
      </w:r>
      <w:r w:rsidR="00093365">
        <w:rPr>
          <w:rFonts w:ascii="Times New Roman" w:eastAsia="Times New Roman" w:hAnsi="Times New Roman" w:cs="Times New Roman"/>
          <w:color w:val="000000"/>
          <w:sz w:val="28"/>
          <w:szCs w:val="28"/>
          <w:lang w:val="uk-UA" w:eastAsia="ru-RU"/>
        </w:rPr>
        <w:t>1.</w:t>
      </w:r>
      <w:r w:rsidR="00854635">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 xml:space="preserve"> </w:t>
      </w:r>
      <w:r w:rsidR="000A6B49">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0A6B49">
        <w:rPr>
          <w:rFonts w:ascii="Times New Roman" w:eastAsia="Times New Roman" w:hAnsi="Times New Roman" w:cs="Times New Roman"/>
          <w:color w:val="000000"/>
          <w:sz w:val="28"/>
          <w:szCs w:val="28"/>
          <w:lang w:val="uk-UA" w:eastAsia="ru-RU"/>
        </w:rPr>
        <w:t>Розподіл к</w:t>
      </w:r>
      <w:r w:rsidRPr="008707FF">
        <w:rPr>
          <w:rFonts w:ascii="Times New Roman" w:eastAsia="Times New Roman" w:hAnsi="Times New Roman" w:cs="Times New Roman"/>
          <w:color w:val="000000"/>
          <w:sz w:val="28"/>
          <w:szCs w:val="28"/>
          <w:lang w:val="uk-UA" w:eastAsia="ru-RU"/>
        </w:rPr>
        <w:t>ардіоваскулярних ускл</w:t>
      </w:r>
      <w:r w:rsidR="006E1301">
        <w:rPr>
          <w:rFonts w:ascii="Times New Roman" w:eastAsia="Times New Roman" w:hAnsi="Times New Roman" w:cs="Times New Roman"/>
          <w:color w:val="000000"/>
          <w:sz w:val="28"/>
          <w:szCs w:val="28"/>
          <w:lang w:val="uk-UA" w:eastAsia="ru-RU"/>
        </w:rPr>
        <w:t>аднень у хворих</w:t>
      </w:r>
      <w:r w:rsidR="00C21BC9">
        <w:rPr>
          <w:rFonts w:ascii="Times New Roman" w:eastAsia="Times New Roman" w:hAnsi="Times New Roman" w:cs="Times New Roman"/>
          <w:color w:val="000000"/>
          <w:sz w:val="28"/>
          <w:szCs w:val="28"/>
          <w:lang w:val="uk-UA" w:eastAsia="ru-RU"/>
        </w:rPr>
        <w:t xml:space="preserve"> І та ІІ груп</w:t>
      </w:r>
    </w:p>
    <w:p w:rsidR="00A20829" w:rsidRDefault="00A20829" w:rsidP="007B7301">
      <w:pPr>
        <w:spacing w:after="0" w:line="360" w:lineRule="auto"/>
        <w:ind w:firstLine="708"/>
        <w:jc w:val="both"/>
        <w:rPr>
          <w:rFonts w:ascii="Times New Roman" w:eastAsia="Times New Roman" w:hAnsi="Times New Roman" w:cs="Times New Roman"/>
          <w:color w:val="000000"/>
          <w:sz w:val="28"/>
          <w:szCs w:val="28"/>
          <w:lang w:val="uk-UA" w:eastAsia="ru-RU"/>
        </w:rPr>
      </w:pPr>
    </w:p>
    <w:p w:rsidR="009D0685" w:rsidRDefault="009D0685"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sidRPr="009D0685">
        <w:rPr>
          <w:rFonts w:ascii="Times New Roman" w:eastAsia="Times New Roman" w:hAnsi="Times New Roman" w:cs="Times New Roman"/>
          <w:color w:val="000000"/>
          <w:sz w:val="28"/>
          <w:szCs w:val="28"/>
          <w:lang w:val="uk-UA" w:eastAsia="ru-RU"/>
        </w:rPr>
        <w:t xml:space="preserve">З того часу, як відбулися ці ускладнення, у хворих на АГ та </w:t>
      </w:r>
      <w:r w:rsidR="004D7F73">
        <w:rPr>
          <w:rFonts w:ascii="Times New Roman" w:eastAsia="Times New Roman" w:hAnsi="Times New Roman" w:cs="Times New Roman"/>
          <w:color w:val="000000"/>
          <w:sz w:val="28"/>
          <w:szCs w:val="28"/>
          <w:lang w:val="uk-UA" w:eastAsia="ru-RU"/>
        </w:rPr>
        <w:t xml:space="preserve">               </w:t>
      </w:r>
      <w:r w:rsidRPr="009D0685">
        <w:rPr>
          <w:rFonts w:ascii="Times New Roman" w:eastAsia="Times New Roman" w:hAnsi="Times New Roman" w:cs="Times New Roman"/>
          <w:color w:val="000000"/>
          <w:sz w:val="28"/>
          <w:szCs w:val="28"/>
          <w:lang w:val="uk-UA" w:eastAsia="ru-RU"/>
        </w:rPr>
        <w:t>ЦД 2-го тип</w:t>
      </w:r>
      <w:r w:rsidR="009E3533">
        <w:rPr>
          <w:rFonts w:ascii="Times New Roman" w:eastAsia="Times New Roman" w:hAnsi="Times New Roman" w:cs="Times New Roman"/>
          <w:color w:val="000000"/>
          <w:sz w:val="28"/>
          <w:szCs w:val="28"/>
          <w:lang w:val="uk-UA" w:eastAsia="ru-RU"/>
        </w:rPr>
        <w:t>у, пройшло (4,97 ± 0,2) років,</w:t>
      </w:r>
      <w:r w:rsidRPr="009D0685">
        <w:rPr>
          <w:rFonts w:ascii="Times New Roman" w:eastAsia="Times New Roman" w:hAnsi="Times New Roman" w:cs="Times New Roman"/>
          <w:color w:val="000000"/>
          <w:sz w:val="28"/>
          <w:szCs w:val="28"/>
          <w:lang w:val="uk-UA" w:eastAsia="ru-RU"/>
        </w:rPr>
        <w:t xml:space="preserve"> АГ − (4,1 ± 0,05) року (p = 0,0291).</w:t>
      </w:r>
    </w:p>
    <w:p w:rsidR="00340897" w:rsidRPr="007C1D5E" w:rsidRDefault="00A10FC8"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Отже, приблизно половина </w:t>
      </w:r>
      <w:r w:rsidR="00171411">
        <w:rPr>
          <w:rFonts w:ascii="Times New Roman" w:eastAsia="Times New Roman" w:hAnsi="Times New Roman" w:cs="Times New Roman"/>
          <w:color w:val="000000"/>
          <w:sz w:val="28"/>
          <w:szCs w:val="28"/>
          <w:lang w:val="uk-UA" w:eastAsia="ru-RU"/>
        </w:rPr>
        <w:t xml:space="preserve">пацієнтів із </w:t>
      </w:r>
      <w:r>
        <w:rPr>
          <w:rFonts w:ascii="Times New Roman" w:eastAsia="Times New Roman" w:hAnsi="Times New Roman" w:cs="Times New Roman"/>
          <w:color w:val="000000"/>
          <w:sz w:val="28"/>
          <w:szCs w:val="28"/>
          <w:lang w:val="uk-UA" w:eastAsia="ru-RU"/>
        </w:rPr>
        <w:t xml:space="preserve">АГ та </w:t>
      </w:r>
      <w:r w:rsidR="00DF1BDF" w:rsidRPr="008707FF">
        <w:rPr>
          <w:rFonts w:ascii="Times New Roman" w:eastAsia="Times New Roman" w:hAnsi="Times New Roman" w:cs="Times New Roman"/>
          <w:color w:val="000000"/>
          <w:sz w:val="28"/>
          <w:szCs w:val="28"/>
          <w:lang w:val="uk-UA" w:eastAsia="ru-RU"/>
        </w:rPr>
        <w:t>ЦД 2</w:t>
      </w:r>
      <w:r w:rsidR="000A6B49">
        <w:rPr>
          <w:rFonts w:ascii="Times New Roman" w:eastAsia="Times New Roman" w:hAnsi="Times New Roman" w:cs="Times New Roman"/>
          <w:color w:val="000000"/>
          <w:sz w:val="28"/>
          <w:szCs w:val="28"/>
          <w:lang w:val="uk-UA" w:eastAsia="ru-RU"/>
        </w:rPr>
        <w:t>-го</w:t>
      </w:r>
      <w:r>
        <w:rPr>
          <w:rFonts w:ascii="Times New Roman" w:eastAsia="Times New Roman" w:hAnsi="Times New Roman" w:cs="Times New Roman"/>
          <w:color w:val="000000"/>
          <w:sz w:val="28"/>
          <w:szCs w:val="28"/>
          <w:lang w:val="uk-UA" w:eastAsia="ru-RU"/>
        </w:rPr>
        <w:t xml:space="preserve"> типу</w:t>
      </w:r>
      <w:r w:rsidR="00DF1BDF" w:rsidRPr="008707FF">
        <w:rPr>
          <w:rFonts w:ascii="Times New Roman" w:eastAsia="Times New Roman" w:hAnsi="Times New Roman" w:cs="Times New Roman"/>
          <w:color w:val="000000"/>
          <w:sz w:val="28"/>
          <w:szCs w:val="28"/>
          <w:lang w:val="uk-UA" w:eastAsia="ru-RU"/>
        </w:rPr>
        <w:t xml:space="preserve"> у минулому перенесла ІМ, четверта частина – ГПМК</w:t>
      </w:r>
      <w:r w:rsidR="006E1301">
        <w:rPr>
          <w:rFonts w:ascii="Times New Roman" w:eastAsia="Times New Roman" w:hAnsi="Times New Roman" w:cs="Times New Roman"/>
          <w:color w:val="000000"/>
          <w:sz w:val="28"/>
          <w:szCs w:val="28"/>
          <w:lang w:val="uk-UA" w:eastAsia="ru-RU"/>
        </w:rPr>
        <w:t>, а</w:t>
      </w:r>
      <w:r w:rsidR="00C21BC9">
        <w:rPr>
          <w:rFonts w:ascii="Times New Roman" w:eastAsia="Times New Roman" w:hAnsi="Times New Roman" w:cs="Times New Roman"/>
          <w:color w:val="000000"/>
          <w:sz w:val="28"/>
          <w:szCs w:val="28"/>
          <w:lang w:val="uk-UA" w:eastAsia="ru-RU"/>
        </w:rPr>
        <w:t xml:space="preserve"> </w:t>
      </w:r>
      <w:r w:rsidR="00171411">
        <w:rPr>
          <w:rFonts w:ascii="Times New Roman" w:eastAsia="Times New Roman" w:hAnsi="Times New Roman" w:cs="Times New Roman"/>
          <w:color w:val="000000"/>
          <w:sz w:val="28"/>
          <w:szCs w:val="28"/>
          <w:lang w:val="uk-UA" w:eastAsia="ru-RU"/>
        </w:rPr>
        <w:t xml:space="preserve">у хворих на </w:t>
      </w:r>
      <w:r w:rsidR="00DF1BDF" w:rsidRPr="008707FF">
        <w:rPr>
          <w:rFonts w:ascii="Times New Roman" w:eastAsia="Times New Roman" w:hAnsi="Times New Roman" w:cs="Times New Roman"/>
          <w:color w:val="000000"/>
          <w:sz w:val="28"/>
          <w:szCs w:val="28"/>
          <w:lang w:val="uk-UA" w:eastAsia="ru-RU"/>
        </w:rPr>
        <w:t>АГ без супутнього ЦД 2</w:t>
      </w:r>
      <w:r w:rsidR="00E85959">
        <w:rPr>
          <w:rFonts w:ascii="Times New Roman" w:eastAsia="Times New Roman" w:hAnsi="Times New Roman" w:cs="Times New Roman"/>
          <w:color w:val="000000"/>
          <w:sz w:val="28"/>
          <w:szCs w:val="28"/>
          <w:lang w:val="uk-UA" w:eastAsia="ru-RU"/>
        </w:rPr>
        <w:t>-го</w:t>
      </w:r>
      <w:r w:rsidR="00DF1BDF" w:rsidRPr="008707FF">
        <w:rPr>
          <w:rFonts w:ascii="Times New Roman" w:eastAsia="Times New Roman" w:hAnsi="Times New Roman" w:cs="Times New Roman"/>
          <w:color w:val="000000"/>
          <w:sz w:val="28"/>
          <w:szCs w:val="28"/>
          <w:lang w:val="uk-UA" w:eastAsia="ru-RU"/>
        </w:rPr>
        <w:t xml:space="preserve"> типу ССУ у вигляді ІМ</w:t>
      </w:r>
      <w:r w:rsidR="007C1D5E" w:rsidRPr="007C1D5E">
        <w:rPr>
          <w:rFonts w:ascii="Times New Roman" w:eastAsia="Times New Roman" w:hAnsi="Times New Roman" w:cs="Times New Roman"/>
          <w:color w:val="000000"/>
          <w:sz w:val="28"/>
          <w:szCs w:val="28"/>
          <w:lang w:val="uk-UA" w:eastAsia="ru-RU"/>
        </w:rPr>
        <w:t xml:space="preserve"> та ГПМК</w:t>
      </w:r>
      <w:r w:rsidR="00C21BC9">
        <w:rPr>
          <w:rFonts w:ascii="Times New Roman" w:eastAsia="Times New Roman" w:hAnsi="Times New Roman" w:cs="Times New Roman"/>
          <w:color w:val="000000"/>
          <w:sz w:val="28"/>
          <w:szCs w:val="28"/>
          <w:lang w:val="uk-UA" w:eastAsia="ru-RU"/>
        </w:rPr>
        <w:t xml:space="preserve"> відзна</w:t>
      </w:r>
      <w:r w:rsidR="00DF1BDF" w:rsidRPr="008707FF">
        <w:rPr>
          <w:rFonts w:ascii="Times New Roman" w:eastAsia="Times New Roman" w:hAnsi="Times New Roman" w:cs="Times New Roman"/>
          <w:color w:val="000000"/>
          <w:sz w:val="28"/>
          <w:szCs w:val="28"/>
          <w:lang w:val="uk-UA" w:eastAsia="ru-RU"/>
        </w:rPr>
        <w:t>ча</w:t>
      </w:r>
      <w:r w:rsidR="00AA6353">
        <w:rPr>
          <w:rFonts w:ascii="Times New Roman" w:eastAsia="Times New Roman" w:hAnsi="Times New Roman" w:cs="Times New Roman"/>
          <w:color w:val="000000"/>
          <w:sz w:val="28"/>
          <w:szCs w:val="28"/>
          <w:lang w:val="uk-UA" w:eastAsia="ru-RU"/>
        </w:rPr>
        <w:t xml:space="preserve">лися лише у </w:t>
      </w:r>
      <w:r w:rsidR="00C21BC9">
        <w:rPr>
          <w:rFonts w:ascii="Times New Roman" w:eastAsia="Times New Roman" w:hAnsi="Times New Roman" w:cs="Times New Roman"/>
          <w:color w:val="000000"/>
          <w:sz w:val="28"/>
          <w:szCs w:val="28"/>
          <w:lang w:val="uk-UA" w:eastAsia="ru-RU"/>
        </w:rPr>
        <w:t>16</w:t>
      </w:r>
      <w:r w:rsidR="007C1D5E">
        <w:rPr>
          <w:rFonts w:ascii="Times New Roman" w:eastAsia="Times New Roman" w:hAnsi="Times New Roman" w:cs="Times New Roman"/>
          <w:color w:val="000000"/>
          <w:sz w:val="28"/>
          <w:szCs w:val="28"/>
          <w:lang w:val="uk-UA" w:eastAsia="ru-RU"/>
        </w:rPr>
        <w:t xml:space="preserve"> та 12</w:t>
      </w:r>
      <w:r w:rsidR="00C21BC9">
        <w:rPr>
          <w:rFonts w:ascii="Times New Roman" w:eastAsia="Times New Roman" w:hAnsi="Times New Roman" w:cs="Times New Roman"/>
          <w:color w:val="000000"/>
          <w:sz w:val="28"/>
          <w:szCs w:val="28"/>
          <w:lang w:val="uk-UA" w:eastAsia="ru-RU"/>
        </w:rPr>
        <w:t xml:space="preserve"> </w:t>
      </w:r>
      <w:r w:rsidR="007C1D5E">
        <w:rPr>
          <w:rFonts w:ascii="Times New Roman" w:eastAsia="Times New Roman" w:hAnsi="Times New Roman" w:cs="Times New Roman"/>
          <w:color w:val="000000"/>
          <w:sz w:val="28"/>
          <w:szCs w:val="28"/>
          <w:lang w:val="uk-UA" w:eastAsia="ru-RU"/>
        </w:rPr>
        <w:t>% хворих, проте майже три чверті (72</w:t>
      </w:r>
      <w:r w:rsidR="00C21BC9">
        <w:rPr>
          <w:rFonts w:ascii="Times New Roman" w:eastAsia="Times New Roman" w:hAnsi="Times New Roman" w:cs="Times New Roman"/>
          <w:color w:val="000000"/>
          <w:sz w:val="28"/>
          <w:szCs w:val="28"/>
          <w:lang w:val="uk-UA" w:eastAsia="ru-RU"/>
        </w:rPr>
        <w:t xml:space="preserve"> </w:t>
      </w:r>
      <w:r w:rsidR="007C1D5E">
        <w:rPr>
          <w:rFonts w:ascii="Times New Roman" w:eastAsia="Times New Roman" w:hAnsi="Times New Roman" w:cs="Times New Roman"/>
          <w:color w:val="000000"/>
          <w:sz w:val="28"/>
          <w:szCs w:val="28"/>
          <w:lang w:val="uk-UA" w:eastAsia="ru-RU"/>
        </w:rPr>
        <w:t xml:space="preserve">%) </w:t>
      </w:r>
      <w:r w:rsidR="003821A7">
        <w:rPr>
          <w:rFonts w:ascii="Times New Roman" w:eastAsia="Times New Roman" w:hAnsi="Times New Roman" w:cs="Times New Roman"/>
          <w:color w:val="000000"/>
          <w:sz w:val="28"/>
          <w:szCs w:val="28"/>
          <w:lang w:val="uk-UA" w:eastAsia="ru-RU"/>
        </w:rPr>
        <w:t xml:space="preserve">з них </w:t>
      </w:r>
      <w:r w:rsidR="007C1D5E">
        <w:rPr>
          <w:rFonts w:ascii="Times New Roman" w:eastAsia="Times New Roman" w:hAnsi="Times New Roman" w:cs="Times New Roman"/>
          <w:color w:val="000000"/>
          <w:sz w:val="28"/>
          <w:szCs w:val="28"/>
          <w:lang w:val="uk-UA" w:eastAsia="ru-RU"/>
        </w:rPr>
        <w:t>мали в анамнезі ТІА.</w:t>
      </w:r>
    </w:p>
    <w:p w:rsidR="0089680B" w:rsidRPr="001369A0" w:rsidRDefault="00090C2C" w:rsidP="00DC2272">
      <w:pPr>
        <w:spacing w:after="0" w:line="360" w:lineRule="auto"/>
        <w:ind w:firstLine="708"/>
        <w:jc w:val="both"/>
        <w:rPr>
          <w:rFonts w:ascii="Times New Roman" w:hAnsi="Times New Roman" w:cs="Times New Roman"/>
          <w:spacing w:val="5"/>
          <w:sz w:val="28"/>
          <w:szCs w:val="28"/>
          <w:lang w:val="uk-UA"/>
        </w:rPr>
      </w:pPr>
      <w:r w:rsidRPr="00D47594">
        <w:rPr>
          <w:rFonts w:ascii="Times New Roman" w:eastAsia="Times New Roman" w:hAnsi="Times New Roman" w:cs="Times New Roman"/>
          <w:color w:val="000000"/>
          <w:sz w:val="28"/>
          <w:szCs w:val="28"/>
          <w:lang w:val="uk-UA" w:eastAsia="ru-RU"/>
        </w:rPr>
        <w:t xml:space="preserve">Хворі </w:t>
      </w:r>
      <w:r w:rsidR="006E1301">
        <w:rPr>
          <w:rFonts w:ascii="Times New Roman" w:eastAsia="Times New Roman" w:hAnsi="Times New Roman" w:cs="Times New Roman"/>
          <w:color w:val="000000"/>
          <w:sz w:val="28"/>
          <w:szCs w:val="28"/>
          <w:lang w:val="uk-UA" w:eastAsia="ru-RU"/>
        </w:rPr>
        <w:t>на</w:t>
      </w:r>
      <w:r w:rsidR="00D47594" w:rsidRPr="00D47594">
        <w:rPr>
          <w:rFonts w:ascii="Times New Roman" w:eastAsia="Times New Roman" w:hAnsi="Times New Roman" w:cs="Times New Roman"/>
          <w:color w:val="000000"/>
          <w:sz w:val="28"/>
          <w:szCs w:val="28"/>
          <w:lang w:val="uk-UA" w:eastAsia="ru-RU"/>
        </w:rPr>
        <w:t xml:space="preserve"> </w:t>
      </w:r>
      <w:r w:rsidR="006E1301">
        <w:rPr>
          <w:rFonts w:ascii="Times New Roman" w:eastAsia="Times New Roman" w:hAnsi="Times New Roman" w:cs="Times New Roman"/>
          <w:color w:val="000000"/>
          <w:sz w:val="28"/>
          <w:szCs w:val="28"/>
          <w:lang w:val="uk-UA" w:eastAsia="ru-RU"/>
        </w:rPr>
        <w:t>АГ та ЦД 2-го типу</w:t>
      </w:r>
      <w:r w:rsidR="00D47594" w:rsidRPr="00D47594">
        <w:rPr>
          <w:rFonts w:ascii="Times New Roman" w:eastAsia="Times New Roman" w:hAnsi="Times New Roman" w:cs="Times New Roman"/>
          <w:color w:val="000000"/>
          <w:sz w:val="28"/>
          <w:szCs w:val="28"/>
          <w:lang w:val="uk-UA" w:eastAsia="ru-RU"/>
        </w:rPr>
        <w:t xml:space="preserve"> </w:t>
      </w:r>
      <w:r w:rsidRPr="00D47594">
        <w:rPr>
          <w:rFonts w:ascii="Times New Roman" w:eastAsia="Times New Roman" w:hAnsi="Times New Roman" w:cs="Times New Roman"/>
          <w:color w:val="000000"/>
          <w:sz w:val="28"/>
          <w:szCs w:val="28"/>
          <w:lang w:val="uk-UA" w:eastAsia="ru-RU"/>
        </w:rPr>
        <w:t>скаржилися на</w:t>
      </w:r>
      <w:r w:rsidR="00383269" w:rsidRPr="00383269">
        <w:rPr>
          <w:rFonts w:ascii="Times New Roman" w:eastAsia="Times New Roman" w:hAnsi="Times New Roman" w:cs="Times New Roman"/>
          <w:color w:val="000000"/>
          <w:sz w:val="28"/>
          <w:szCs w:val="28"/>
          <w:lang w:val="uk-UA" w:eastAsia="ru-RU"/>
        </w:rPr>
        <w:t>:</w:t>
      </w:r>
      <w:r w:rsidRPr="00D47594">
        <w:rPr>
          <w:rFonts w:ascii="Times New Roman" w:eastAsia="Times New Roman" w:hAnsi="Times New Roman" w:cs="Times New Roman"/>
          <w:color w:val="000000"/>
          <w:sz w:val="28"/>
          <w:szCs w:val="28"/>
          <w:lang w:val="uk-UA" w:eastAsia="ru-RU"/>
        </w:rPr>
        <w:t xml:space="preserve"> </w:t>
      </w:r>
      <w:r w:rsidR="006B2F0A" w:rsidRPr="007C1D5E">
        <w:rPr>
          <w:rStyle w:val="a4"/>
          <w:rFonts w:ascii="Times New Roman" w:hAnsi="Times New Roman"/>
          <w:b w:val="0"/>
          <w:sz w:val="28"/>
          <w:szCs w:val="28"/>
          <w:lang w:val="uk-UA"/>
        </w:rPr>
        <w:t>спраг</w:t>
      </w:r>
      <w:r w:rsidR="006B2F0A" w:rsidRPr="00D47594">
        <w:rPr>
          <w:rStyle w:val="a4"/>
          <w:rFonts w:ascii="Times New Roman" w:hAnsi="Times New Roman"/>
          <w:b w:val="0"/>
          <w:sz w:val="28"/>
          <w:szCs w:val="28"/>
          <w:lang w:val="uk-UA"/>
        </w:rPr>
        <w:t>у</w:t>
      </w:r>
      <w:r w:rsidR="00D47594" w:rsidRPr="007C1D5E">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7C1D5E">
        <w:rPr>
          <w:rStyle w:val="a4"/>
          <w:rFonts w:ascii="Times New Roman" w:hAnsi="Times New Roman"/>
          <w:b w:val="0"/>
          <w:sz w:val="28"/>
          <w:szCs w:val="28"/>
          <w:lang w:val="uk-UA"/>
        </w:rPr>
        <w:t>55</w:t>
      </w:r>
      <w:r w:rsidR="00383269">
        <w:rPr>
          <w:rStyle w:val="a4"/>
          <w:rFonts w:ascii="Times New Roman" w:hAnsi="Times New Roman"/>
          <w:b w:val="0"/>
          <w:sz w:val="28"/>
          <w:szCs w:val="28"/>
          <w:lang w:val="uk-UA"/>
        </w:rPr>
        <w:t xml:space="preserve"> </w:t>
      </w:r>
      <w:r w:rsidR="00383269" w:rsidRPr="00383269">
        <w:rPr>
          <w:rStyle w:val="a4"/>
          <w:rFonts w:ascii="Times New Roman" w:hAnsi="Times New Roman"/>
          <w:b w:val="0"/>
          <w:sz w:val="28"/>
          <w:szCs w:val="28"/>
          <w:lang w:val="uk-UA"/>
        </w:rPr>
        <w:t>пац</w:t>
      </w:r>
      <w:r w:rsidR="00383269">
        <w:rPr>
          <w:rStyle w:val="a4"/>
          <w:rFonts w:ascii="Times New Roman" w:hAnsi="Times New Roman"/>
          <w:b w:val="0"/>
          <w:sz w:val="28"/>
          <w:szCs w:val="28"/>
          <w:lang w:val="uk-UA"/>
        </w:rPr>
        <w:t>ієнтів</w:t>
      </w:r>
      <w:r w:rsidR="001C0F51">
        <w:rPr>
          <w:rStyle w:val="a4"/>
          <w:rFonts w:ascii="Times New Roman" w:hAnsi="Times New Roman"/>
          <w:b w:val="0"/>
          <w:sz w:val="28"/>
          <w:szCs w:val="28"/>
          <w:lang w:val="uk-UA"/>
        </w:rPr>
        <w:t xml:space="preserve"> </w:t>
      </w:r>
      <w:r w:rsidR="00383269">
        <w:rPr>
          <w:rStyle w:val="a4"/>
          <w:rFonts w:ascii="Times New Roman" w:hAnsi="Times New Roman"/>
          <w:b w:val="0"/>
          <w:sz w:val="28"/>
          <w:szCs w:val="28"/>
          <w:lang w:val="uk-UA"/>
        </w:rPr>
        <w:t xml:space="preserve"> </w:t>
      </w:r>
      <w:r w:rsidR="00D47594" w:rsidRPr="007C1D5E">
        <w:rPr>
          <w:rStyle w:val="a4"/>
          <w:rFonts w:ascii="Times New Roman" w:hAnsi="Times New Roman"/>
          <w:b w:val="0"/>
          <w:sz w:val="28"/>
          <w:szCs w:val="28"/>
          <w:lang w:val="uk-UA"/>
        </w:rPr>
        <w:t>(</w:t>
      </w:r>
      <w:r w:rsidR="001C0F51">
        <w:rPr>
          <w:rStyle w:val="a4"/>
          <w:rFonts w:ascii="Times New Roman" w:hAnsi="Times New Roman"/>
          <w:b w:val="0"/>
          <w:sz w:val="28"/>
          <w:szCs w:val="28"/>
          <w:lang w:val="uk-UA"/>
        </w:rPr>
        <w:t>5</w:t>
      </w:r>
      <w:r w:rsidR="000643B9">
        <w:rPr>
          <w:rStyle w:val="a4"/>
          <w:rFonts w:ascii="Times New Roman" w:hAnsi="Times New Roman"/>
          <w:b w:val="0"/>
          <w:sz w:val="28"/>
          <w:szCs w:val="28"/>
          <w:lang w:val="uk-UA"/>
        </w:rPr>
        <w:t>7,3</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383269">
        <w:rPr>
          <w:rStyle w:val="a4"/>
          <w:rFonts w:ascii="Times New Roman" w:hAnsi="Times New Roman"/>
          <w:b w:val="0"/>
          <w:sz w:val="28"/>
          <w:szCs w:val="28"/>
          <w:lang w:val="uk-UA"/>
        </w:rPr>
        <w:t>,</w:t>
      </w:r>
      <w:r w:rsidR="004941B4">
        <w:rPr>
          <w:rStyle w:val="a4"/>
          <w:rFonts w:ascii="Times New Roman" w:hAnsi="Times New Roman"/>
          <w:b w:val="0"/>
          <w:sz w:val="28"/>
          <w:szCs w:val="28"/>
          <w:lang w:val="uk-UA"/>
        </w:rPr>
        <w:t xml:space="preserve"> </w:t>
      </w:r>
      <w:r w:rsidR="006B2F0A" w:rsidRPr="007C1D5E">
        <w:rPr>
          <w:rStyle w:val="a4"/>
          <w:rFonts w:ascii="Times New Roman" w:hAnsi="Times New Roman"/>
          <w:b w:val="0"/>
          <w:sz w:val="28"/>
          <w:szCs w:val="28"/>
          <w:lang w:val="uk-UA"/>
        </w:rPr>
        <w:t>втомлюваність</w:t>
      </w:r>
      <w:r w:rsidR="004941B4">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 xml:space="preserve"> </w:t>
      </w:r>
      <w:r w:rsidR="007C1D5E">
        <w:rPr>
          <w:rStyle w:val="a4"/>
          <w:rFonts w:ascii="Times New Roman" w:hAnsi="Times New Roman"/>
          <w:b w:val="0"/>
          <w:sz w:val="28"/>
          <w:szCs w:val="28"/>
          <w:lang w:val="uk-UA"/>
        </w:rPr>
        <w:t>84</w:t>
      </w:r>
      <w:r w:rsidR="000643B9">
        <w:rPr>
          <w:rStyle w:val="a4"/>
          <w:rFonts w:ascii="Times New Roman" w:hAnsi="Times New Roman"/>
          <w:b w:val="0"/>
          <w:sz w:val="28"/>
          <w:szCs w:val="28"/>
          <w:lang w:val="uk-UA"/>
        </w:rPr>
        <w:t xml:space="preserve"> (87,</w:t>
      </w:r>
      <w:r w:rsidR="00C56FDF">
        <w:rPr>
          <w:rStyle w:val="a4"/>
          <w:rFonts w:ascii="Times New Roman" w:hAnsi="Times New Roman"/>
          <w:b w:val="0"/>
          <w:sz w:val="28"/>
          <w:szCs w:val="28"/>
          <w:lang w:val="uk-UA"/>
        </w:rPr>
        <w:t>5</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383269">
        <w:rPr>
          <w:rStyle w:val="a4"/>
          <w:rFonts w:ascii="Times New Roman" w:hAnsi="Times New Roman"/>
          <w:b w:val="0"/>
          <w:sz w:val="28"/>
          <w:szCs w:val="28"/>
          <w:lang w:val="uk-UA"/>
        </w:rPr>
        <w:t xml:space="preserve">, </w:t>
      </w:r>
      <w:r w:rsidR="00C56FDF">
        <w:rPr>
          <w:rStyle w:val="a4"/>
          <w:rFonts w:ascii="Times New Roman" w:hAnsi="Times New Roman"/>
          <w:b w:val="0"/>
          <w:sz w:val="28"/>
          <w:szCs w:val="28"/>
          <w:lang w:val="uk-UA"/>
        </w:rPr>
        <w:t xml:space="preserve">періодичний </w:t>
      </w:r>
      <w:r w:rsidR="006B2F0A" w:rsidRPr="007C1D5E">
        <w:rPr>
          <w:rStyle w:val="a4"/>
          <w:rFonts w:ascii="Times New Roman" w:hAnsi="Times New Roman"/>
          <w:b w:val="0"/>
          <w:sz w:val="28"/>
          <w:szCs w:val="28"/>
          <w:lang w:val="uk-UA"/>
        </w:rPr>
        <w:t>головний біль</w:t>
      </w:r>
      <w:r w:rsidR="004941B4">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 xml:space="preserve"> </w:t>
      </w:r>
      <w:r w:rsidR="007C1D5E">
        <w:rPr>
          <w:rStyle w:val="a4"/>
          <w:rFonts w:ascii="Times New Roman" w:hAnsi="Times New Roman"/>
          <w:b w:val="0"/>
          <w:sz w:val="28"/>
          <w:szCs w:val="28"/>
          <w:lang w:val="uk-UA"/>
        </w:rPr>
        <w:t>72</w:t>
      </w:r>
      <w:r w:rsidR="000643B9">
        <w:rPr>
          <w:rStyle w:val="a4"/>
          <w:rFonts w:ascii="Times New Roman" w:hAnsi="Times New Roman"/>
          <w:b w:val="0"/>
          <w:sz w:val="28"/>
          <w:szCs w:val="28"/>
          <w:lang w:val="uk-UA"/>
        </w:rPr>
        <w:t xml:space="preserve"> </w:t>
      </w:r>
      <w:r w:rsidR="00383269">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lastRenderedPageBreak/>
        <w:t>(75</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383269">
        <w:rPr>
          <w:rStyle w:val="a4"/>
          <w:rFonts w:ascii="Times New Roman" w:hAnsi="Times New Roman"/>
          <w:b w:val="0"/>
          <w:sz w:val="28"/>
          <w:szCs w:val="28"/>
          <w:lang w:val="uk-UA"/>
        </w:rPr>
        <w:t>,</w:t>
      </w:r>
      <w:r w:rsidR="004941B4">
        <w:rPr>
          <w:rStyle w:val="a4"/>
          <w:rFonts w:ascii="Times New Roman" w:hAnsi="Times New Roman"/>
          <w:b w:val="0"/>
          <w:sz w:val="28"/>
          <w:szCs w:val="28"/>
          <w:lang w:val="uk-UA"/>
        </w:rPr>
        <w:t xml:space="preserve"> </w:t>
      </w:r>
      <w:r w:rsidR="00C21BC9">
        <w:rPr>
          <w:rStyle w:val="a4"/>
          <w:rFonts w:ascii="Times New Roman" w:hAnsi="Times New Roman"/>
          <w:b w:val="0"/>
          <w:sz w:val="28"/>
          <w:szCs w:val="28"/>
          <w:lang w:val="uk-UA"/>
        </w:rPr>
        <w:t>запаморочення</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7C1D5E">
        <w:rPr>
          <w:rStyle w:val="a4"/>
          <w:rFonts w:ascii="Times New Roman" w:hAnsi="Times New Roman"/>
          <w:b w:val="0"/>
          <w:sz w:val="28"/>
          <w:szCs w:val="28"/>
          <w:lang w:val="uk-UA"/>
        </w:rPr>
        <w:t>53</w:t>
      </w:r>
      <w:r w:rsidR="000643B9">
        <w:rPr>
          <w:rStyle w:val="a4"/>
          <w:rFonts w:ascii="Times New Roman" w:hAnsi="Times New Roman"/>
          <w:b w:val="0"/>
          <w:sz w:val="28"/>
          <w:szCs w:val="28"/>
          <w:lang w:val="uk-UA"/>
        </w:rPr>
        <w:t xml:space="preserve"> (55,21</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6B2F0A" w:rsidRPr="00D47594">
        <w:rPr>
          <w:rStyle w:val="a4"/>
          <w:rFonts w:ascii="Times New Roman" w:hAnsi="Times New Roman"/>
          <w:b w:val="0"/>
          <w:sz w:val="28"/>
          <w:szCs w:val="28"/>
          <w:lang w:val="uk-UA"/>
        </w:rPr>
        <w:t>,</w:t>
      </w:r>
      <w:r w:rsidR="004941B4" w:rsidRPr="007C1D5E">
        <w:rPr>
          <w:rStyle w:val="a4"/>
          <w:rFonts w:ascii="Times New Roman" w:hAnsi="Times New Roman"/>
          <w:b w:val="0"/>
          <w:sz w:val="28"/>
          <w:szCs w:val="28"/>
          <w:lang w:val="uk-UA"/>
        </w:rPr>
        <w:t xml:space="preserve"> </w:t>
      </w:r>
      <w:r w:rsidR="006B2F0A" w:rsidRPr="007C1D5E">
        <w:rPr>
          <w:rStyle w:val="a4"/>
          <w:rFonts w:ascii="Times New Roman" w:hAnsi="Times New Roman"/>
          <w:b w:val="0"/>
          <w:sz w:val="28"/>
          <w:szCs w:val="28"/>
          <w:lang w:val="uk-UA"/>
        </w:rPr>
        <w:t>переважання нічного діурезу</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 xml:space="preserve">27 </w:t>
      </w:r>
      <w:r w:rsidR="00383269">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(28</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6B2F0A" w:rsidRPr="007C1D5E">
        <w:rPr>
          <w:rStyle w:val="a4"/>
          <w:rFonts w:ascii="Times New Roman" w:hAnsi="Times New Roman"/>
          <w:b w:val="0"/>
          <w:sz w:val="28"/>
          <w:szCs w:val="28"/>
          <w:lang w:val="uk-UA"/>
        </w:rPr>
        <w:t>,</w:t>
      </w:r>
      <w:r w:rsidR="004941B4" w:rsidRPr="00D47594">
        <w:rPr>
          <w:rStyle w:val="a4"/>
          <w:rFonts w:ascii="Times New Roman" w:hAnsi="Times New Roman"/>
          <w:b w:val="0"/>
          <w:sz w:val="28"/>
          <w:szCs w:val="28"/>
          <w:lang w:val="uk-UA"/>
        </w:rPr>
        <w:t xml:space="preserve"> </w:t>
      </w:r>
      <w:r w:rsidR="000477C7" w:rsidRPr="00D47594">
        <w:rPr>
          <w:rStyle w:val="a4"/>
          <w:rFonts w:ascii="Times New Roman" w:hAnsi="Times New Roman"/>
          <w:b w:val="0"/>
          <w:sz w:val="28"/>
          <w:szCs w:val="28"/>
          <w:lang w:val="uk-UA"/>
        </w:rPr>
        <w:t>поліурію</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75 (78</w:t>
      </w:r>
      <w:r w:rsidR="00C56FDF">
        <w:rPr>
          <w:rStyle w:val="a4"/>
          <w:rFonts w:ascii="Times New Roman" w:hAnsi="Times New Roman"/>
          <w:b w:val="0"/>
          <w:sz w:val="28"/>
          <w:szCs w:val="28"/>
          <w:lang w:val="uk-UA"/>
        </w:rPr>
        <w:t>,</w:t>
      </w:r>
      <w:r w:rsidR="000643B9">
        <w:rPr>
          <w:rStyle w:val="a4"/>
          <w:rFonts w:ascii="Times New Roman" w:hAnsi="Times New Roman"/>
          <w:b w:val="0"/>
          <w:sz w:val="28"/>
          <w:szCs w:val="28"/>
          <w:lang w:val="uk-UA"/>
        </w:rPr>
        <w:t>1</w:t>
      </w:r>
      <w:r w:rsidR="00C56FDF">
        <w:rPr>
          <w:rStyle w:val="a4"/>
          <w:rFonts w:ascii="Times New Roman" w:hAnsi="Times New Roman"/>
          <w:b w:val="0"/>
          <w:sz w:val="28"/>
          <w:szCs w:val="28"/>
          <w:lang w:val="uk-UA"/>
        </w:rPr>
        <w:t>25</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0477C7" w:rsidRPr="00D47594">
        <w:rPr>
          <w:rStyle w:val="a4"/>
          <w:rFonts w:ascii="Times New Roman" w:hAnsi="Times New Roman"/>
          <w:b w:val="0"/>
          <w:sz w:val="28"/>
          <w:szCs w:val="28"/>
          <w:lang w:val="uk-UA"/>
        </w:rPr>
        <w:t>,</w:t>
      </w:r>
      <w:r w:rsidR="004941B4" w:rsidRPr="00D47594">
        <w:rPr>
          <w:rStyle w:val="a4"/>
          <w:rFonts w:ascii="Times New Roman" w:hAnsi="Times New Roman"/>
          <w:b w:val="0"/>
          <w:sz w:val="28"/>
          <w:szCs w:val="28"/>
          <w:lang w:val="uk-UA"/>
        </w:rPr>
        <w:t xml:space="preserve"> </w:t>
      </w:r>
      <w:r w:rsidR="000477C7" w:rsidRPr="00D47594">
        <w:rPr>
          <w:rStyle w:val="a4"/>
          <w:rFonts w:ascii="Times New Roman" w:hAnsi="Times New Roman"/>
          <w:b w:val="0"/>
          <w:sz w:val="28"/>
          <w:szCs w:val="28"/>
          <w:lang w:val="uk-UA"/>
        </w:rPr>
        <w:t>поліфагію</w:t>
      </w:r>
      <w:r w:rsidR="00C56FDF">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64 (66</w:t>
      </w:r>
      <w:r w:rsidR="00C56FDF">
        <w:rPr>
          <w:rStyle w:val="a4"/>
          <w:rFonts w:ascii="Times New Roman" w:hAnsi="Times New Roman"/>
          <w:b w:val="0"/>
          <w:sz w:val="28"/>
          <w:szCs w:val="28"/>
          <w:lang w:val="uk-UA"/>
        </w:rPr>
        <w:t>,6</w:t>
      </w:r>
      <w:r w:rsidR="000643B9">
        <w:rPr>
          <w:rStyle w:val="a4"/>
          <w:rFonts w:ascii="Times New Roman" w:hAnsi="Times New Roman"/>
          <w:b w:val="0"/>
          <w:sz w:val="28"/>
          <w:szCs w:val="28"/>
          <w:lang w:val="uk-UA"/>
        </w:rPr>
        <w:t>7</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0477C7" w:rsidRPr="00D47594">
        <w:rPr>
          <w:rStyle w:val="a4"/>
          <w:rFonts w:ascii="Times New Roman" w:hAnsi="Times New Roman"/>
          <w:b w:val="0"/>
          <w:sz w:val="28"/>
          <w:szCs w:val="28"/>
          <w:lang w:val="uk-UA"/>
        </w:rPr>
        <w:t xml:space="preserve">, </w:t>
      </w:r>
      <w:r w:rsidR="006B2F0A" w:rsidRPr="00D47594">
        <w:rPr>
          <w:rStyle w:val="a4"/>
          <w:rFonts w:ascii="Times New Roman" w:hAnsi="Times New Roman"/>
          <w:b w:val="0"/>
          <w:sz w:val="28"/>
          <w:szCs w:val="28"/>
          <w:lang w:val="uk-UA"/>
        </w:rPr>
        <w:t>свербіж шкіри</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50</w:t>
      </w:r>
      <w:r w:rsidR="00AA7447">
        <w:rPr>
          <w:rStyle w:val="a4"/>
          <w:rFonts w:ascii="Times New Roman" w:hAnsi="Times New Roman"/>
          <w:b w:val="0"/>
          <w:sz w:val="28"/>
          <w:szCs w:val="28"/>
          <w:lang w:val="uk-UA"/>
        </w:rPr>
        <w:t xml:space="preserve"> (52,08</w:t>
      </w:r>
      <w:r w:rsidR="00C21BC9">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6B2F0A" w:rsidRPr="00D47594">
        <w:rPr>
          <w:rStyle w:val="a4"/>
          <w:rFonts w:ascii="Times New Roman" w:hAnsi="Times New Roman"/>
          <w:b w:val="0"/>
          <w:sz w:val="28"/>
          <w:szCs w:val="28"/>
          <w:lang w:val="uk-UA"/>
        </w:rPr>
        <w:t xml:space="preserve">, </w:t>
      </w:r>
      <w:r w:rsidR="00C21BC9">
        <w:rPr>
          <w:rStyle w:val="a4"/>
          <w:rFonts w:ascii="Times New Roman" w:hAnsi="Times New Roman"/>
          <w:b w:val="0"/>
          <w:sz w:val="28"/>
          <w:szCs w:val="28"/>
          <w:lang w:val="uk-UA"/>
        </w:rPr>
        <w:t>слаб</w:t>
      </w:r>
      <w:r w:rsidR="006B2F0A" w:rsidRPr="00D47594">
        <w:rPr>
          <w:rStyle w:val="a4"/>
          <w:rFonts w:ascii="Times New Roman" w:hAnsi="Times New Roman"/>
          <w:b w:val="0"/>
          <w:sz w:val="28"/>
          <w:szCs w:val="28"/>
          <w:lang w:val="uk-UA"/>
        </w:rPr>
        <w:t>ість</w:t>
      </w:r>
      <w:r w:rsidR="00C56FDF">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85</w:t>
      </w:r>
      <w:r w:rsidR="00C56FDF">
        <w:rPr>
          <w:rStyle w:val="a4"/>
          <w:rFonts w:ascii="Times New Roman" w:hAnsi="Times New Roman"/>
          <w:b w:val="0"/>
          <w:sz w:val="28"/>
          <w:szCs w:val="28"/>
          <w:lang w:val="uk-UA"/>
        </w:rPr>
        <w:t xml:space="preserve"> (</w:t>
      </w:r>
      <w:r w:rsidR="00AA7447">
        <w:rPr>
          <w:rStyle w:val="a4"/>
          <w:rFonts w:ascii="Times New Roman" w:hAnsi="Times New Roman"/>
          <w:b w:val="0"/>
          <w:sz w:val="28"/>
          <w:szCs w:val="28"/>
          <w:lang w:val="uk-UA"/>
        </w:rPr>
        <w:t>88,54</w:t>
      </w:r>
      <w:r w:rsidR="00DA0E03">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6B2F0A" w:rsidRPr="00D47594">
        <w:rPr>
          <w:rStyle w:val="a4"/>
          <w:rFonts w:ascii="Times New Roman" w:hAnsi="Times New Roman"/>
          <w:b w:val="0"/>
          <w:sz w:val="28"/>
          <w:szCs w:val="28"/>
          <w:lang w:val="uk-UA"/>
        </w:rPr>
        <w:t>,</w:t>
      </w:r>
      <w:r w:rsidR="006B2F0A" w:rsidRPr="00D47594">
        <w:rPr>
          <w:rStyle w:val="A17"/>
          <w:rFonts w:ascii="Times New Roman" w:hAnsi="Times New Roman"/>
          <w:b/>
          <w:sz w:val="28"/>
          <w:szCs w:val="28"/>
          <w:lang w:val="uk-UA"/>
        </w:rPr>
        <w:t xml:space="preserve"> </w:t>
      </w:r>
      <w:r w:rsidR="006B2F0A" w:rsidRPr="00D47594">
        <w:rPr>
          <w:rStyle w:val="a4"/>
          <w:rFonts w:ascii="Times New Roman" w:hAnsi="Times New Roman"/>
          <w:b w:val="0"/>
          <w:sz w:val="28"/>
          <w:szCs w:val="28"/>
          <w:lang w:val="uk-UA"/>
        </w:rPr>
        <w:t>сухість у роті</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77</w:t>
      </w:r>
      <w:r w:rsidR="00001BE5">
        <w:rPr>
          <w:rStyle w:val="a4"/>
          <w:rFonts w:ascii="Times New Roman" w:hAnsi="Times New Roman"/>
          <w:b w:val="0"/>
          <w:sz w:val="28"/>
          <w:szCs w:val="28"/>
          <w:lang w:val="uk-UA"/>
        </w:rPr>
        <w:t xml:space="preserve"> </w:t>
      </w:r>
      <w:r w:rsidR="00AA7447">
        <w:rPr>
          <w:rStyle w:val="a4"/>
          <w:rFonts w:ascii="Times New Roman" w:hAnsi="Times New Roman"/>
          <w:b w:val="0"/>
          <w:sz w:val="28"/>
          <w:szCs w:val="28"/>
          <w:lang w:val="uk-UA"/>
        </w:rPr>
        <w:t>(80,21</w:t>
      </w:r>
      <w:r w:rsidR="00DA0E03">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383269">
        <w:rPr>
          <w:rStyle w:val="a4"/>
          <w:rFonts w:ascii="Times New Roman" w:hAnsi="Times New Roman"/>
          <w:b w:val="0"/>
          <w:sz w:val="28"/>
          <w:szCs w:val="28"/>
          <w:lang w:val="uk-UA"/>
        </w:rPr>
        <w:t>,</w:t>
      </w:r>
      <w:r w:rsidR="004941B4" w:rsidRPr="00D47594">
        <w:rPr>
          <w:rStyle w:val="a4"/>
          <w:rFonts w:ascii="Times New Roman" w:hAnsi="Times New Roman"/>
          <w:b w:val="0"/>
          <w:sz w:val="28"/>
          <w:szCs w:val="28"/>
          <w:lang w:val="uk-UA"/>
        </w:rPr>
        <w:t xml:space="preserve"> </w:t>
      </w:r>
      <w:r w:rsidR="006B2F0A" w:rsidRPr="00D47594">
        <w:rPr>
          <w:rStyle w:val="a4"/>
          <w:rFonts w:ascii="Times New Roman" w:hAnsi="Times New Roman"/>
          <w:b w:val="0"/>
          <w:sz w:val="28"/>
          <w:szCs w:val="28"/>
          <w:lang w:val="uk-UA"/>
        </w:rPr>
        <w:t>зниження</w:t>
      </w:r>
      <w:r w:rsidR="00383269">
        <w:rPr>
          <w:rStyle w:val="a4"/>
          <w:rFonts w:ascii="Times New Roman" w:hAnsi="Times New Roman"/>
          <w:b w:val="0"/>
          <w:sz w:val="28"/>
          <w:szCs w:val="28"/>
          <w:lang w:val="uk-UA"/>
        </w:rPr>
        <w:t xml:space="preserve"> гостроти</w:t>
      </w:r>
      <w:r w:rsidR="006B2F0A" w:rsidRPr="00D47594">
        <w:rPr>
          <w:rStyle w:val="a4"/>
          <w:rFonts w:ascii="Times New Roman" w:hAnsi="Times New Roman"/>
          <w:b w:val="0"/>
          <w:sz w:val="28"/>
          <w:szCs w:val="28"/>
          <w:lang w:val="uk-UA"/>
        </w:rPr>
        <w:t xml:space="preserve"> зору</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87</w:t>
      </w:r>
      <w:r w:rsidR="00AA7447">
        <w:rPr>
          <w:rStyle w:val="a4"/>
          <w:rFonts w:ascii="Times New Roman" w:hAnsi="Times New Roman"/>
          <w:b w:val="0"/>
          <w:sz w:val="28"/>
          <w:szCs w:val="28"/>
          <w:lang w:val="uk-UA"/>
        </w:rPr>
        <w:t xml:space="preserve"> (90,62</w:t>
      </w:r>
      <w:r w:rsidR="00DA0E03">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383269">
        <w:rPr>
          <w:rStyle w:val="a4"/>
          <w:rFonts w:ascii="Times New Roman" w:hAnsi="Times New Roman"/>
          <w:b w:val="0"/>
          <w:sz w:val="28"/>
          <w:szCs w:val="28"/>
          <w:lang w:val="uk-UA"/>
        </w:rPr>
        <w:t>,</w:t>
      </w:r>
      <w:r w:rsidR="004941B4" w:rsidRPr="00D47594">
        <w:rPr>
          <w:rStyle w:val="a4"/>
          <w:rFonts w:ascii="Times New Roman" w:hAnsi="Times New Roman"/>
          <w:b w:val="0"/>
          <w:sz w:val="28"/>
          <w:szCs w:val="28"/>
          <w:lang w:val="uk-UA"/>
        </w:rPr>
        <w:t xml:space="preserve"> </w:t>
      </w:r>
      <w:r w:rsidR="006B2F0A" w:rsidRPr="00D47594">
        <w:rPr>
          <w:rStyle w:val="a4"/>
          <w:rFonts w:ascii="Times New Roman" w:hAnsi="Times New Roman"/>
          <w:b w:val="0"/>
          <w:sz w:val="28"/>
          <w:szCs w:val="28"/>
          <w:lang w:val="uk-UA"/>
        </w:rPr>
        <w:t>парестезії</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83</w:t>
      </w:r>
      <w:r w:rsidR="00AA7447">
        <w:rPr>
          <w:rStyle w:val="a4"/>
          <w:rFonts w:ascii="Times New Roman" w:hAnsi="Times New Roman"/>
          <w:b w:val="0"/>
          <w:sz w:val="28"/>
          <w:szCs w:val="28"/>
          <w:lang w:val="uk-UA"/>
        </w:rPr>
        <w:t xml:space="preserve"> (86,</w:t>
      </w:r>
      <w:r w:rsidR="00001BE5">
        <w:rPr>
          <w:rStyle w:val="a4"/>
          <w:rFonts w:ascii="Times New Roman" w:hAnsi="Times New Roman"/>
          <w:b w:val="0"/>
          <w:sz w:val="28"/>
          <w:szCs w:val="28"/>
          <w:lang w:val="uk-UA"/>
        </w:rPr>
        <w:t>4</w:t>
      </w:r>
      <w:r w:rsidR="00AA7447">
        <w:rPr>
          <w:rStyle w:val="a4"/>
          <w:rFonts w:ascii="Times New Roman" w:hAnsi="Times New Roman"/>
          <w:b w:val="0"/>
          <w:sz w:val="28"/>
          <w:szCs w:val="28"/>
          <w:lang w:val="uk-UA"/>
        </w:rPr>
        <w:t>6</w:t>
      </w:r>
      <w:r w:rsidR="00DA0E03">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6B2F0A" w:rsidRPr="00D47594">
        <w:rPr>
          <w:rStyle w:val="a4"/>
          <w:rFonts w:ascii="Times New Roman" w:hAnsi="Times New Roman"/>
          <w:b w:val="0"/>
          <w:sz w:val="28"/>
          <w:szCs w:val="28"/>
          <w:lang w:val="uk-UA"/>
        </w:rPr>
        <w:t>, оніміння дистальних відділів кінцівок</w:t>
      </w:r>
      <w:r w:rsidR="00D47594" w:rsidRPr="00D47594">
        <w:rPr>
          <w:rStyle w:val="a4"/>
          <w:rFonts w:ascii="Times New Roman" w:hAnsi="Times New Roman"/>
          <w:b w:val="0"/>
          <w:sz w:val="28"/>
          <w:szCs w:val="28"/>
          <w:lang w:val="uk-UA"/>
        </w:rPr>
        <w:t xml:space="preserve"> </w:t>
      </w:r>
      <w:r w:rsidR="004941B4">
        <w:rPr>
          <w:rStyle w:val="a4"/>
          <w:rFonts w:ascii="Times New Roman" w:hAnsi="Times New Roman"/>
          <w:b w:val="0"/>
          <w:sz w:val="28"/>
          <w:szCs w:val="28"/>
          <w:lang w:val="uk-UA"/>
        </w:rPr>
        <w:t xml:space="preserve">– </w:t>
      </w:r>
      <w:r w:rsidR="000643B9">
        <w:rPr>
          <w:rStyle w:val="a4"/>
          <w:rFonts w:ascii="Times New Roman" w:hAnsi="Times New Roman"/>
          <w:b w:val="0"/>
          <w:sz w:val="28"/>
          <w:szCs w:val="28"/>
          <w:lang w:val="uk-UA"/>
        </w:rPr>
        <w:t>63</w:t>
      </w:r>
      <w:r w:rsidR="00AA7447">
        <w:rPr>
          <w:rStyle w:val="a4"/>
          <w:rFonts w:ascii="Times New Roman" w:hAnsi="Times New Roman"/>
          <w:b w:val="0"/>
          <w:sz w:val="28"/>
          <w:szCs w:val="28"/>
          <w:lang w:val="uk-UA"/>
        </w:rPr>
        <w:t xml:space="preserve"> (65,63</w:t>
      </w:r>
      <w:r w:rsidR="00DA0E03">
        <w:rPr>
          <w:rStyle w:val="a4"/>
          <w:rFonts w:ascii="Times New Roman" w:hAnsi="Times New Roman"/>
          <w:b w:val="0"/>
          <w:sz w:val="28"/>
          <w:szCs w:val="28"/>
          <w:lang w:val="uk-UA"/>
        </w:rPr>
        <w:t xml:space="preserve"> </w:t>
      </w:r>
      <w:r w:rsidR="00D47594" w:rsidRPr="00D47594">
        <w:rPr>
          <w:rStyle w:val="a4"/>
          <w:rFonts w:ascii="Times New Roman" w:hAnsi="Times New Roman"/>
          <w:b w:val="0"/>
          <w:sz w:val="28"/>
          <w:szCs w:val="28"/>
          <w:lang w:val="uk-UA"/>
        </w:rPr>
        <w:t>%)</w:t>
      </w:r>
      <w:r w:rsidR="00EF15F4" w:rsidRPr="00D47594">
        <w:rPr>
          <w:rStyle w:val="a4"/>
          <w:rFonts w:ascii="Times New Roman" w:hAnsi="Times New Roman"/>
          <w:b w:val="0"/>
          <w:sz w:val="28"/>
          <w:szCs w:val="28"/>
          <w:lang w:val="uk-UA"/>
        </w:rPr>
        <w:t>,</w:t>
      </w:r>
      <w:r w:rsidR="000477C7" w:rsidRPr="00D47594">
        <w:rPr>
          <w:spacing w:val="5"/>
          <w:sz w:val="28"/>
          <w:szCs w:val="28"/>
          <w:lang w:val="uk-UA"/>
        </w:rPr>
        <w:t xml:space="preserve"> </w:t>
      </w:r>
      <w:r w:rsidR="000477C7" w:rsidRPr="00D47594">
        <w:rPr>
          <w:rFonts w:ascii="Times New Roman" w:hAnsi="Times New Roman" w:cs="Times New Roman"/>
          <w:spacing w:val="5"/>
          <w:sz w:val="28"/>
          <w:szCs w:val="28"/>
          <w:lang w:val="uk-UA"/>
        </w:rPr>
        <w:t>набряки кінцівок</w:t>
      </w:r>
      <w:r w:rsidR="004941B4">
        <w:rPr>
          <w:rFonts w:ascii="Times New Roman" w:hAnsi="Times New Roman" w:cs="Times New Roman"/>
          <w:spacing w:val="5"/>
          <w:sz w:val="28"/>
          <w:szCs w:val="28"/>
          <w:lang w:val="uk-UA"/>
        </w:rPr>
        <w:t xml:space="preserve"> </w:t>
      </w:r>
      <w:r w:rsidR="004941B4">
        <w:rPr>
          <w:rStyle w:val="a4"/>
          <w:rFonts w:ascii="Times New Roman" w:hAnsi="Times New Roman"/>
          <w:b w:val="0"/>
          <w:sz w:val="28"/>
          <w:szCs w:val="28"/>
          <w:lang w:val="uk-UA"/>
        </w:rPr>
        <w:t>–</w:t>
      </w:r>
      <w:r w:rsidR="00DC2272">
        <w:rPr>
          <w:rFonts w:ascii="Times New Roman" w:hAnsi="Times New Roman" w:cs="Times New Roman"/>
          <w:spacing w:val="5"/>
          <w:sz w:val="28"/>
          <w:szCs w:val="28"/>
          <w:lang w:val="uk-UA"/>
        </w:rPr>
        <w:t xml:space="preserve"> </w:t>
      </w:r>
      <w:r w:rsidR="000643B9">
        <w:rPr>
          <w:rFonts w:ascii="Times New Roman" w:hAnsi="Times New Roman" w:cs="Times New Roman"/>
          <w:spacing w:val="5"/>
          <w:sz w:val="28"/>
          <w:szCs w:val="28"/>
          <w:lang w:val="uk-UA"/>
        </w:rPr>
        <w:t>26</w:t>
      </w:r>
      <w:r w:rsidR="00AA7447">
        <w:rPr>
          <w:rFonts w:ascii="Times New Roman" w:hAnsi="Times New Roman" w:cs="Times New Roman"/>
          <w:spacing w:val="5"/>
          <w:sz w:val="28"/>
          <w:szCs w:val="28"/>
          <w:lang w:val="uk-UA"/>
        </w:rPr>
        <w:t xml:space="preserve"> (27,08</w:t>
      </w:r>
      <w:r w:rsidR="00DA0E03">
        <w:rPr>
          <w:rFonts w:ascii="Times New Roman" w:hAnsi="Times New Roman" w:cs="Times New Roman"/>
          <w:spacing w:val="5"/>
          <w:sz w:val="28"/>
          <w:szCs w:val="28"/>
          <w:lang w:val="uk-UA"/>
        </w:rPr>
        <w:t xml:space="preserve"> </w:t>
      </w:r>
      <w:r w:rsidR="00D47594" w:rsidRPr="00D47594">
        <w:rPr>
          <w:rFonts w:ascii="Times New Roman" w:hAnsi="Times New Roman" w:cs="Times New Roman"/>
          <w:spacing w:val="5"/>
          <w:sz w:val="28"/>
          <w:szCs w:val="28"/>
          <w:lang w:val="uk-UA"/>
        </w:rPr>
        <w:t>%)</w:t>
      </w:r>
      <w:r w:rsidR="000477C7" w:rsidRPr="00D47594">
        <w:rPr>
          <w:rFonts w:ascii="Times New Roman" w:hAnsi="Times New Roman" w:cs="Times New Roman"/>
          <w:spacing w:val="5"/>
          <w:sz w:val="28"/>
          <w:szCs w:val="28"/>
          <w:lang w:val="uk-UA"/>
        </w:rPr>
        <w:t>,</w:t>
      </w:r>
      <w:r w:rsidR="004941B4" w:rsidRPr="00D47594">
        <w:rPr>
          <w:rFonts w:ascii="Times New Roman" w:hAnsi="Times New Roman" w:cs="Times New Roman"/>
          <w:spacing w:val="5"/>
          <w:sz w:val="28"/>
          <w:szCs w:val="28"/>
          <w:lang w:val="uk-UA"/>
        </w:rPr>
        <w:t xml:space="preserve"> </w:t>
      </w:r>
      <w:r w:rsidR="00CC7DD8" w:rsidRPr="00D47594">
        <w:rPr>
          <w:rFonts w:ascii="Times New Roman" w:hAnsi="Times New Roman" w:cs="Times New Roman"/>
          <w:spacing w:val="5"/>
          <w:sz w:val="28"/>
          <w:szCs w:val="28"/>
          <w:lang w:val="uk-UA"/>
        </w:rPr>
        <w:t xml:space="preserve">біль </w:t>
      </w:r>
      <w:r w:rsidR="006012F3">
        <w:rPr>
          <w:rFonts w:ascii="Times New Roman" w:hAnsi="Times New Roman" w:cs="Times New Roman"/>
          <w:spacing w:val="5"/>
          <w:sz w:val="28"/>
          <w:szCs w:val="28"/>
          <w:lang w:val="uk-UA"/>
        </w:rPr>
        <w:t xml:space="preserve">          </w:t>
      </w:r>
      <w:r w:rsidR="00CC7DD8" w:rsidRPr="00D47594">
        <w:rPr>
          <w:rFonts w:ascii="Times New Roman" w:hAnsi="Times New Roman" w:cs="Times New Roman"/>
          <w:spacing w:val="5"/>
          <w:sz w:val="28"/>
          <w:szCs w:val="28"/>
          <w:lang w:val="uk-UA"/>
        </w:rPr>
        <w:t>у м’язах</w:t>
      </w:r>
      <w:r w:rsidR="00DC2272">
        <w:rPr>
          <w:rFonts w:ascii="Times New Roman" w:hAnsi="Times New Roman" w:cs="Times New Roman"/>
          <w:spacing w:val="5"/>
          <w:sz w:val="28"/>
          <w:szCs w:val="28"/>
          <w:lang w:val="uk-UA"/>
        </w:rPr>
        <w:t xml:space="preserve"> </w:t>
      </w:r>
      <w:r w:rsidR="004941B4">
        <w:rPr>
          <w:rStyle w:val="a4"/>
          <w:rFonts w:ascii="Times New Roman" w:hAnsi="Times New Roman"/>
          <w:b w:val="0"/>
          <w:sz w:val="28"/>
          <w:szCs w:val="28"/>
          <w:lang w:val="uk-UA"/>
        </w:rPr>
        <w:t xml:space="preserve">– </w:t>
      </w:r>
      <w:r w:rsidR="000643B9">
        <w:rPr>
          <w:rFonts w:ascii="Times New Roman" w:hAnsi="Times New Roman" w:cs="Times New Roman"/>
          <w:spacing w:val="5"/>
          <w:sz w:val="28"/>
          <w:szCs w:val="28"/>
          <w:lang w:val="uk-UA"/>
        </w:rPr>
        <w:t>35</w:t>
      </w:r>
      <w:r w:rsidR="00001BE5">
        <w:rPr>
          <w:rFonts w:ascii="Times New Roman" w:hAnsi="Times New Roman" w:cs="Times New Roman"/>
          <w:spacing w:val="5"/>
          <w:sz w:val="28"/>
          <w:szCs w:val="28"/>
          <w:lang w:val="uk-UA"/>
        </w:rPr>
        <w:t xml:space="preserve"> </w:t>
      </w:r>
      <w:r w:rsidR="00DC2272">
        <w:rPr>
          <w:rFonts w:ascii="Times New Roman" w:hAnsi="Times New Roman" w:cs="Times New Roman"/>
          <w:spacing w:val="5"/>
          <w:sz w:val="28"/>
          <w:szCs w:val="28"/>
          <w:lang w:val="uk-UA"/>
        </w:rPr>
        <w:t>(3</w:t>
      </w:r>
      <w:r w:rsidR="00AA7447">
        <w:rPr>
          <w:rFonts w:ascii="Times New Roman" w:hAnsi="Times New Roman" w:cs="Times New Roman"/>
          <w:spacing w:val="5"/>
          <w:sz w:val="28"/>
          <w:szCs w:val="28"/>
          <w:lang w:val="uk-UA"/>
        </w:rPr>
        <w:t>6,</w:t>
      </w:r>
      <w:r w:rsidR="00001BE5">
        <w:rPr>
          <w:rFonts w:ascii="Times New Roman" w:hAnsi="Times New Roman" w:cs="Times New Roman"/>
          <w:spacing w:val="5"/>
          <w:sz w:val="28"/>
          <w:szCs w:val="28"/>
          <w:lang w:val="uk-UA"/>
        </w:rPr>
        <w:t>4</w:t>
      </w:r>
      <w:r w:rsidR="00AA7447">
        <w:rPr>
          <w:rFonts w:ascii="Times New Roman" w:hAnsi="Times New Roman" w:cs="Times New Roman"/>
          <w:spacing w:val="5"/>
          <w:sz w:val="28"/>
          <w:szCs w:val="28"/>
          <w:lang w:val="uk-UA"/>
        </w:rPr>
        <w:t>6</w:t>
      </w:r>
      <w:r w:rsidR="00DA0E03">
        <w:rPr>
          <w:rFonts w:ascii="Times New Roman" w:hAnsi="Times New Roman" w:cs="Times New Roman"/>
          <w:spacing w:val="5"/>
          <w:sz w:val="28"/>
          <w:szCs w:val="28"/>
          <w:lang w:val="uk-UA"/>
        </w:rPr>
        <w:t xml:space="preserve"> </w:t>
      </w:r>
      <w:r w:rsidR="00D47594" w:rsidRPr="00D47594">
        <w:rPr>
          <w:rFonts w:ascii="Times New Roman" w:hAnsi="Times New Roman" w:cs="Times New Roman"/>
          <w:spacing w:val="5"/>
          <w:sz w:val="28"/>
          <w:szCs w:val="28"/>
          <w:lang w:val="uk-UA"/>
        </w:rPr>
        <w:t>%)</w:t>
      </w:r>
      <w:r w:rsidR="00CC7DD8" w:rsidRPr="00D47594">
        <w:rPr>
          <w:rFonts w:ascii="Times New Roman" w:hAnsi="Times New Roman" w:cs="Times New Roman"/>
          <w:spacing w:val="5"/>
          <w:sz w:val="28"/>
          <w:szCs w:val="28"/>
          <w:lang w:val="uk-UA"/>
        </w:rPr>
        <w:t>, задишку</w:t>
      </w:r>
      <w:r w:rsidR="00D47594">
        <w:rPr>
          <w:rFonts w:ascii="Times New Roman" w:hAnsi="Times New Roman" w:cs="Times New Roman"/>
          <w:spacing w:val="5"/>
          <w:sz w:val="28"/>
          <w:szCs w:val="28"/>
          <w:lang w:val="uk-UA"/>
        </w:rPr>
        <w:t xml:space="preserve"> при фізичному навантаженні </w:t>
      </w:r>
      <w:r w:rsidR="004941B4">
        <w:rPr>
          <w:rStyle w:val="a4"/>
          <w:rFonts w:ascii="Times New Roman" w:hAnsi="Times New Roman"/>
          <w:b w:val="0"/>
          <w:sz w:val="28"/>
          <w:szCs w:val="28"/>
          <w:lang w:val="uk-UA"/>
        </w:rPr>
        <w:t xml:space="preserve">– </w:t>
      </w:r>
      <w:r w:rsidR="000643B9">
        <w:rPr>
          <w:rFonts w:ascii="Times New Roman" w:hAnsi="Times New Roman" w:cs="Times New Roman"/>
          <w:spacing w:val="5"/>
          <w:sz w:val="28"/>
          <w:szCs w:val="28"/>
          <w:lang w:val="uk-UA"/>
        </w:rPr>
        <w:t>83</w:t>
      </w:r>
      <w:r w:rsidR="00AA7447">
        <w:rPr>
          <w:rFonts w:ascii="Times New Roman" w:hAnsi="Times New Roman" w:cs="Times New Roman"/>
          <w:spacing w:val="5"/>
          <w:sz w:val="28"/>
          <w:szCs w:val="28"/>
          <w:lang w:val="uk-UA"/>
        </w:rPr>
        <w:t xml:space="preserve"> (86,46</w:t>
      </w:r>
      <w:r w:rsidR="00D47594">
        <w:rPr>
          <w:rFonts w:ascii="Times New Roman" w:hAnsi="Times New Roman" w:cs="Times New Roman"/>
          <w:spacing w:val="5"/>
          <w:sz w:val="28"/>
          <w:szCs w:val="28"/>
          <w:lang w:val="uk-UA"/>
        </w:rPr>
        <w:t>%),</w:t>
      </w:r>
      <w:r w:rsidR="004941B4">
        <w:rPr>
          <w:rFonts w:ascii="Times New Roman" w:hAnsi="Times New Roman" w:cs="Times New Roman"/>
          <w:spacing w:val="5"/>
          <w:sz w:val="28"/>
          <w:szCs w:val="28"/>
          <w:lang w:val="uk-UA"/>
        </w:rPr>
        <w:t xml:space="preserve"> </w:t>
      </w:r>
      <w:r w:rsidR="00586A36">
        <w:rPr>
          <w:rFonts w:ascii="Times New Roman" w:hAnsi="Times New Roman" w:cs="Times New Roman"/>
          <w:spacing w:val="5"/>
          <w:sz w:val="28"/>
          <w:szCs w:val="28"/>
          <w:lang w:val="uk-UA"/>
        </w:rPr>
        <w:t xml:space="preserve">задишку у спокої </w:t>
      </w:r>
      <w:r w:rsidR="004941B4">
        <w:rPr>
          <w:rStyle w:val="a4"/>
          <w:rFonts w:ascii="Times New Roman" w:hAnsi="Times New Roman"/>
          <w:b w:val="0"/>
          <w:sz w:val="28"/>
          <w:szCs w:val="28"/>
          <w:lang w:val="uk-UA"/>
        </w:rPr>
        <w:t xml:space="preserve">– </w:t>
      </w:r>
      <w:r w:rsidR="000643B9">
        <w:rPr>
          <w:rFonts w:ascii="Times New Roman" w:hAnsi="Times New Roman" w:cs="Times New Roman"/>
          <w:spacing w:val="5"/>
          <w:sz w:val="28"/>
          <w:szCs w:val="28"/>
          <w:lang w:val="uk-UA"/>
        </w:rPr>
        <w:t>32</w:t>
      </w:r>
      <w:r w:rsidR="00001BE5">
        <w:rPr>
          <w:rFonts w:ascii="Times New Roman" w:hAnsi="Times New Roman" w:cs="Times New Roman"/>
          <w:spacing w:val="5"/>
          <w:sz w:val="28"/>
          <w:szCs w:val="28"/>
          <w:lang w:val="uk-UA"/>
        </w:rPr>
        <w:t xml:space="preserve"> </w:t>
      </w:r>
      <w:r w:rsidR="00AA7447">
        <w:rPr>
          <w:rFonts w:ascii="Times New Roman" w:hAnsi="Times New Roman" w:cs="Times New Roman"/>
          <w:spacing w:val="5"/>
          <w:sz w:val="28"/>
          <w:szCs w:val="28"/>
          <w:lang w:val="uk-UA"/>
        </w:rPr>
        <w:t>(33,33</w:t>
      </w:r>
      <w:r w:rsidR="00DA0E03">
        <w:rPr>
          <w:rFonts w:ascii="Times New Roman" w:hAnsi="Times New Roman" w:cs="Times New Roman"/>
          <w:spacing w:val="5"/>
          <w:sz w:val="28"/>
          <w:szCs w:val="28"/>
          <w:lang w:val="uk-UA"/>
        </w:rPr>
        <w:t xml:space="preserve"> </w:t>
      </w:r>
      <w:r w:rsidR="00586A36">
        <w:rPr>
          <w:rFonts w:ascii="Times New Roman" w:hAnsi="Times New Roman" w:cs="Times New Roman"/>
          <w:spacing w:val="5"/>
          <w:sz w:val="28"/>
          <w:szCs w:val="28"/>
          <w:lang w:val="uk-UA"/>
        </w:rPr>
        <w:t xml:space="preserve">%), </w:t>
      </w:r>
      <w:r w:rsidR="00D47594">
        <w:rPr>
          <w:rFonts w:ascii="Times New Roman" w:hAnsi="Times New Roman" w:cs="Times New Roman"/>
          <w:spacing w:val="5"/>
          <w:sz w:val="28"/>
          <w:szCs w:val="28"/>
          <w:lang w:val="uk-UA"/>
        </w:rPr>
        <w:t xml:space="preserve">періодичний біль у ділянці серця </w:t>
      </w:r>
      <w:r w:rsidR="004941B4">
        <w:rPr>
          <w:rStyle w:val="a4"/>
          <w:rFonts w:ascii="Times New Roman" w:hAnsi="Times New Roman"/>
          <w:b w:val="0"/>
          <w:sz w:val="28"/>
          <w:szCs w:val="28"/>
          <w:lang w:val="uk-UA"/>
        </w:rPr>
        <w:t xml:space="preserve">– </w:t>
      </w:r>
      <w:r w:rsidR="000643B9">
        <w:rPr>
          <w:rFonts w:ascii="Times New Roman" w:hAnsi="Times New Roman" w:cs="Times New Roman"/>
          <w:spacing w:val="5"/>
          <w:sz w:val="28"/>
          <w:szCs w:val="28"/>
          <w:lang w:val="uk-UA"/>
        </w:rPr>
        <w:t>83</w:t>
      </w:r>
      <w:r w:rsidR="00755DE3" w:rsidRPr="00755DE3">
        <w:rPr>
          <w:rFonts w:ascii="Times New Roman" w:hAnsi="Times New Roman" w:cs="Times New Roman"/>
          <w:spacing w:val="5"/>
          <w:sz w:val="28"/>
          <w:szCs w:val="28"/>
          <w:lang w:val="uk-UA"/>
        </w:rPr>
        <w:t xml:space="preserve"> </w:t>
      </w:r>
      <w:r w:rsidR="00D47594">
        <w:rPr>
          <w:rFonts w:ascii="Times New Roman" w:hAnsi="Times New Roman" w:cs="Times New Roman"/>
          <w:spacing w:val="5"/>
          <w:sz w:val="28"/>
          <w:szCs w:val="28"/>
          <w:lang w:val="uk-UA"/>
        </w:rPr>
        <w:t>(</w:t>
      </w:r>
      <w:r w:rsidR="000D3644">
        <w:rPr>
          <w:rFonts w:ascii="Times New Roman" w:hAnsi="Times New Roman" w:cs="Times New Roman"/>
          <w:spacing w:val="5"/>
          <w:sz w:val="28"/>
          <w:szCs w:val="28"/>
          <w:lang w:val="uk-UA"/>
        </w:rPr>
        <w:t>86,46</w:t>
      </w:r>
      <w:r w:rsidR="00DA0E03">
        <w:rPr>
          <w:rFonts w:ascii="Times New Roman" w:hAnsi="Times New Roman" w:cs="Times New Roman"/>
          <w:spacing w:val="5"/>
          <w:sz w:val="28"/>
          <w:szCs w:val="28"/>
          <w:lang w:val="uk-UA"/>
        </w:rPr>
        <w:t xml:space="preserve"> </w:t>
      </w:r>
      <w:r w:rsidR="0089680B">
        <w:rPr>
          <w:rFonts w:ascii="Times New Roman" w:hAnsi="Times New Roman" w:cs="Times New Roman"/>
          <w:spacing w:val="5"/>
          <w:sz w:val="28"/>
          <w:szCs w:val="28"/>
          <w:lang w:val="uk-UA"/>
        </w:rPr>
        <w:t>%).</w:t>
      </w:r>
      <w:r w:rsidR="00DC2272">
        <w:rPr>
          <w:rFonts w:ascii="Times New Roman" w:hAnsi="Times New Roman" w:cs="Times New Roman"/>
          <w:spacing w:val="5"/>
          <w:sz w:val="28"/>
          <w:szCs w:val="28"/>
          <w:lang w:val="uk-UA"/>
        </w:rPr>
        <w:t xml:space="preserve"> </w:t>
      </w:r>
      <w:r w:rsidR="003821A7">
        <w:rPr>
          <w:rFonts w:ascii="Times New Roman" w:hAnsi="Times New Roman" w:cs="Times New Roman"/>
          <w:spacing w:val="5"/>
          <w:sz w:val="28"/>
          <w:szCs w:val="28"/>
          <w:lang w:val="uk-UA"/>
        </w:rPr>
        <w:t xml:space="preserve">Серед </w:t>
      </w:r>
      <w:r w:rsidR="00383269">
        <w:rPr>
          <w:rFonts w:ascii="Times New Roman" w:hAnsi="Times New Roman" w:cs="Times New Roman"/>
          <w:spacing w:val="5"/>
          <w:sz w:val="28"/>
          <w:szCs w:val="28"/>
          <w:lang w:val="uk-UA"/>
        </w:rPr>
        <w:t>пацієнтів</w:t>
      </w:r>
      <w:r w:rsidR="0089680B">
        <w:rPr>
          <w:rFonts w:ascii="Times New Roman" w:hAnsi="Times New Roman" w:cs="Times New Roman"/>
          <w:spacing w:val="5"/>
          <w:sz w:val="28"/>
          <w:szCs w:val="28"/>
          <w:lang w:val="uk-UA"/>
        </w:rPr>
        <w:t xml:space="preserve"> І групи під час об</w:t>
      </w:r>
      <w:r w:rsidR="001369A0">
        <w:rPr>
          <w:rFonts w:ascii="Times New Roman" w:hAnsi="Times New Roman" w:cs="Times New Roman"/>
          <w:spacing w:val="5"/>
          <w:sz w:val="28"/>
          <w:szCs w:val="28"/>
          <w:lang w:val="uk-UA"/>
        </w:rPr>
        <w:t>ʼ</w:t>
      </w:r>
      <w:r w:rsidR="0089680B">
        <w:rPr>
          <w:rFonts w:ascii="Times New Roman" w:hAnsi="Times New Roman" w:cs="Times New Roman"/>
          <w:spacing w:val="5"/>
          <w:sz w:val="28"/>
          <w:szCs w:val="28"/>
          <w:lang w:val="uk-UA"/>
        </w:rPr>
        <w:t>єктивного</w:t>
      </w:r>
      <w:r w:rsidR="001369A0">
        <w:rPr>
          <w:rFonts w:ascii="Times New Roman" w:hAnsi="Times New Roman" w:cs="Times New Roman"/>
          <w:spacing w:val="5"/>
          <w:sz w:val="28"/>
          <w:szCs w:val="28"/>
          <w:lang w:val="uk-UA"/>
        </w:rPr>
        <w:t xml:space="preserve"> обстеження було констатовано </w:t>
      </w:r>
      <w:r w:rsidR="00DC2272">
        <w:rPr>
          <w:rFonts w:ascii="Times New Roman" w:hAnsi="Times New Roman" w:cs="Times New Roman"/>
          <w:spacing w:val="5"/>
          <w:sz w:val="28"/>
          <w:szCs w:val="28"/>
          <w:lang w:val="uk-UA"/>
        </w:rPr>
        <w:t>жорстке дихання</w:t>
      </w:r>
      <w:r w:rsidR="00755DE3" w:rsidRPr="00755DE3">
        <w:rPr>
          <w:rFonts w:ascii="Times New Roman" w:hAnsi="Times New Roman" w:cs="Times New Roman"/>
          <w:spacing w:val="5"/>
          <w:sz w:val="28"/>
          <w:szCs w:val="28"/>
          <w:lang w:val="uk-UA"/>
        </w:rPr>
        <w:t xml:space="preserve"> </w:t>
      </w:r>
      <w:r w:rsidR="004941B4">
        <w:rPr>
          <w:rFonts w:ascii="Times New Roman" w:hAnsi="Times New Roman" w:cs="Times New Roman"/>
          <w:spacing w:val="5"/>
          <w:sz w:val="28"/>
          <w:szCs w:val="28"/>
          <w:lang w:val="uk-UA"/>
        </w:rPr>
        <w:t xml:space="preserve">у </w:t>
      </w:r>
      <w:r w:rsidR="000643B9">
        <w:rPr>
          <w:rFonts w:ascii="Times New Roman" w:hAnsi="Times New Roman" w:cs="Times New Roman"/>
          <w:spacing w:val="5"/>
          <w:sz w:val="28"/>
          <w:szCs w:val="28"/>
          <w:lang w:val="uk-UA"/>
        </w:rPr>
        <w:t>81</w:t>
      </w:r>
      <w:r w:rsidR="00DC2272">
        <w:rPr>
          <w:rFonts w:ascii="Times New Roman" w:hAnsi="Times New Roman" w:cs="Times New Roman"/>
          <w:spacing w:val="5"/>
          <w:sz w:val="28"/>
          <w:szCs w:val="28"/>
          <w:lang w:val="uk-UA"/>
        </w:rPr>
        <w:t xml:space="preserve"> </w:t>
      </w:r>
      <w:r w:rsidR="001369A0">
        <w:rPr>
          <w:rFonts w:ascii="Times New Roman" w:hAnsi="Times New Roman" w:cs="Times New Roman"/>
          <w:spacing w:val="5"/>
          <w:sz w:val="28"/>
          <w:szCs w:val="28"/>
          <w:lang w:val="uk-UA"/>
        </w:rPr>
        <w:t>(</w:t>
      </w:r>
      <w:r w:rsidR="000D3644">
        <w:rPr>
          <w:rFonts w:ascii="Times New Roman" w:hAnsi="Times New Roman" w:cs="Times New Roman"/>
          <w:spacing w:val="5"/>
          <w:sz w:val="28"/>
          <w:szCs w:val="28"/>
          <w:lang w:val="uk-UA"/>
        </w:rPr>
        <w:t>84,38</w:t>
      </w:r>
      <w:r w:rsidR="00DA0E03">
        <w:rPr>
          <w:rFonts w:ascii="Times New Roman" w:hAnsi="Times New Roman" w:cs="Times New Roman"/>
          <w:spacing w:val="5"/>
          <w:sz w:val="28"/>
          <w:szCs w:val="28"/>
          <w:lang w:val="uk-UA"/>
        </w:rPr>
        <w:t xml:space="preserve"> </w:t>
      </w:r>
      <w:r w:rsidR="00DC2272">
        <w:rPr>
          <w:rFonts w:ascii="Times New Roman" w:hAnsi="Times New Roman" w:cs="Times New Roman"/>
          <w:spacing w:val="5"/>
          <w:sz w:val="28"/>
          <w:szCs w:val="28"/>
          <w:lang w:val="uk-UA"/>
        </w:rPr>
        <w:t>%</w:t>
      </w:r>
      <w:r w:rsidR="001369A0">
        <w:rPr>
          <w:rFonts w:ascii="Times New Roman" w:hAnsi="Times New Roman" w:cs="Times New Roman"/>
          <w:spacing w:val="5"/>
          <w:sz w:val="28"/>
          <w:szCs w:val="28"/>
          <w:lang w:val="uk-UA"/>
        </w:rPr>
        <w:t xml:space="preserve">), хрипи </w:t>
      </w:r>
      <w:r w:rsidR="006012F3">
        <w:rPr>
          <w:rFonts w:ascii="Times New Roman" w:hAnsi="Times New Roman" w:cs="Times New Roman"/>
          <w:spacing w:val="5"/>
          <w:sz w:val="28"/>
          <w:szCs w:val="28"/>
          <w:lang w:val="uk-UA"/>
        </w:rPr>
        <w:t xml:space="preserve">       в </w:t>
      </w:r>
      <w:r w:rsidR="001369A0">
        <w:rPr>
          <w:rFonts w:ascii="Times New Roman" w:hAnsi="Times New Roman" w:cs="Times New Roman"/>
          <w:spacing w:val="5"/>
          <w:sz w:val="28"/>
          <w:szCs w:val="28"/>
          <w:lang w:val="uk-UA"/>
        </w:rPr>
        <w:t>легенях</w:t>
      </w:r>
      <w:r w:rsidR="004941B4">
        <w:rPr>
          <w:rFonts w:ascii="Times New Roman" w:hAnsi="Times New Roman" w:cs="Times New Roman"/>
          <w:spacing w:val="5"/>
          <w:sz w:val="28"/>
          <w:szCs w:val="28"/>
          <w:lang w:val="uk-UA"/>
        </w:rPr>
        <w:t xml:space="preserve"> – у</w:t>
      </w:r>
      <w:r w:rsidR="001369A0">
        <w:rPr>
          <w:rFonts w:ascii="Times New Roman" w:hAnsi="Times New Roman" w:cs="Times New Roman"/>
          <w:spacing w:val="5"/>
          <w:sz w:val="28"/>
          <w:szCs w:val="28"/>
          <w:lang w:val="uk-UA"/>
        </w:rPr>
        <w:t xml:space="preserve"> </w:t>
      </w:r>
      <w:r w:rsidR="000643B9">
        <w:rPr>
          <w:rFonts w:ascii="Times New Roman" w:hAnsi="Times New Roman" w:cs="Times New Roman"/>
          <w:spacing w:val="5"/>
          <w:sz w:val="28"/>
          <w:szCs w:val="28"/>
          <w:lang w:val="uk-UA"/>
        </w:rPr>
        <w:t>8</w:t>
      </w:r>
      <w:r w:rsidR="00755DE3" w:rsidRPr="00755DE3">
        <w:rPr>
          <w:rFonts w:ascii="Times New Roman" w:hAnsi="Times New Roman" w:cs="Times New Roman"/>
          <w:spacing w:val="5"/>
          <w:sz w:val="28"/>
          <w:szCs w:val="28"/>
          <w:lang w:val="uk-UA"/>
        </w:rPr>
        <w:t xml:space="preserve"> </w:t>
      </w:r>
      <w:r w:rsidR="001369A0" w:rsidRPr="00DC2272">
        <w:rPr>
          <w:rFonts w:ascii="Times New Roman" w:hAnsi="Times New Roman" w:cs="Times New Roman"/>
          <w:spacing w:val="5"/>
          <w:sz w:val="28"/>
          <w:szCs w:val="28"/>
          <w:lang w:val="uk-UA"/>
        </w:rPr>
        <w:t>(</w:t>
      </w:r>
      <w:r w:rsidR="00755DE3" w:rsidRPr="00755DE3">
        <w:rPr>
          <w:rFonts w:ascii="Times New Roman" w:hAnsi="Times New Roman" w:cs="Times New Roman"/>
          <w:spacing w:val="5"/>
          <w:sz w:val="28"/>
          <w:szCs w:val="28"/>
          <w:lang w:val="uk-UA"/>
        </w:rPr>
        <w:t>7,56</w:t>
      </w:r>
      <w:r w:rsidR="00DA0E03">
        <w:rPr>
          <w:rFonts w:ascii="Times New Roman" w:hAnsi="Times New Roman" w:cs="Times New Roman"/>
          <w:spacing w:val="5"/>
          <w:sz w:val="28"/>
          <w:szCs w:val="28"/>
          <w:lang w:val="uk-UA"/>
        </w:rPr>
        <w:t xml:space="preserve"> </w:t>
      </w:r>
      <w:r w:rsidR="00DC2272">
        <w:rPr>
          <w:rFonts w:ascii="Times New Roman" w:hAnsi="Times New Roman" w:cs="Times New Roman"/>
          <w:spacing w:val="5"/>
          <w:sz w:val="28"/>
          <w:szCs w:val="28"/>
          <w:lang w:val="uk-UA"/>
        </w:rPr>
        <w:t>%</w:t>
      </w:r>
      <w:r w:rsidR="001369A0" w:rsidRPr="00DC2272">
        <w:rPr>
          <w:rFonts w:ascii="Times New Roman" w:hAnsi="Times New Roman" w:cs="Times New Roman"/>
          <w:spacing w:val="5"/>
          <w:sz w:val="28"/>
          <w:szCs w:val="28"/>
          <w:lang w:val="uk-UA"/>
        </w:rPr>
        <w:t>), зб</w:t>
      </w:r>
      <w:r w:rsidR="001369A0">
        <w:rPr>
          <w:rFonts w:ascii="Times New Roman" w:hAnsi="Times New Roman" w:cs="Times New Roman"/>
          <w:spacing w:val="5"/>
          <w:sz w:val="28"/>
          <w:szCs w:val="28"/>
          <w:lang w:val="uk-UA"/>
        </w:rPr>
        <w:t>і</w:t>
      </w:r>
      <w:r w:rsidR="001369A0" w:rsidRPr="00DC2272">
        <w:rPr>
          <w:rFonts w:ascii="Times New Roman" w:hAnsi="Times New Roman" w:cs="Times New Roman"/>
          <w:spacing w:val="5"/>
          <w:sz w:val="28"/>
          <w:szCs w:val="28"/>
          <w:lang w:val="uk-UA"/>
        </w:rPr>
        <w:t xml:space="preserve">льшення </w:t>
      </w:r>
      <w:r w:rsidR="00DC2272">
        <w:rPr>
          <w:rFonts w:ascii="Times New Roman" w:hAnsi="Times New Roman" w:cs="Times New Roman"/>
          <w:spacing w:val="5"/>
          <w:sz w:val="28"/>
          <w:szCs w:val="28"/>
          <w:lang w:val="uk-UA"/>
        </w:rPr>
        <w:t>живота за рахунок підшкірної жирової клітковини</w:t>
      </w:r>
      <w:r w:rsidR="001369A0">
        <w:rPr>
          <w:rFonts w:ascii="Times New Roman" w:hAnsi="Times New Roman" w:cs="Times New Roman"/>
          <w:spacing w:val="5"/>
          <w:sz w:val="28"/>
          <w:szCs w:val="28"/>
          <w:lang w:val="uk-UA"/>
        </w:rPr>
        <w:t xml:space="preserve"> </w:t>
      </w:r>
      <w:r w:rsidR="004941B4">
        <w:rPr>
          <w:rFonts w:ascii="Times New Roman" w:hAnsi="Times New Roman" w:cs="Times New Roman"/>
          <w:spacing w:val="5"/>
          <w:sz w:val="28"/>
          <w:szCs w:val="28"/>
          <w:lang w:val="uk-UA"/>
        </w:rPr>
        <w:t xml:space="preserve">– у </w:t>
      </w:r>
      <w:r w:rsidR="000643B9">
        <w:rPr>
          <w:rFonts w:ascii="Times New Roman" w:hAnsi="Times New Roman" w:cs="Times New Roman"/>
          <w:spacing w:val="5"/>
          <w:sz w:val="28"/>
          <w:szCs w:val="28"/>
          <w:lang w:val="uk-UA"/>
        </w:rPr>
        <w:t>84</w:t>
      </w:r>
      <w:r w:rsidR="00755DE3" w:rsidRPr="00755DE3">
        <w:rPr>
          <w:rFonts w:ascii="Times New Roman" w:hAnsi="Times New Roman" w:cs="Times New Roman"/>
          <w:spacing w:val="5"/>
          <w:sz w:val="28"/>
          <w:szCs w:val="28"/>
          <w:lang w:val="uk-UA"/>
        </w:rPr>
        <w:t xml:space="preserve"> </w:t>
      </w:r>
      <w:r w:rsidR="001369A0">
        <w:rPr>
          <w:rFonts w:ascii="Times New Roman" w:hAnsi="Times New Roman" w:cs="Times New Roman"/>
          <w:spacing w:val="5"/>
          <w:sz w:val="28"/>
          <w:szCs w:val="28"/>
          <w:lang w:val="uk-UA"/>
        </w:rPr>
        <w:t>(</w:t>
      </w:r>
      <w:r w:rsidR="000D3644">
        <w:rPr>
          <w:rFonts w:ascii="Times New Roman" w:hAnsi="Times New Roman" w:cs="Times New Roman"/>
          <w:spacing w:val="5"/>
          <w:sz w:val="28"/>
          <w:szCs w:val="28"/>
          <w:lang w:val="uk-UA"/>
        </w:rPr>
        <w:t>87,5</w:t>
      </w:r>
      <w:r w:rsidR="00DA0E03">
        <w:rPr>
          <w:rFonts w:ascii="Times New Roman" w:hAnsi="Times New Roman" w:cs="Times New Roman"/>
          <w:spacing w:val="5"/>
          <w:sz w:val="28"/>
          <w:szCs w:val="28"/>
          <w:lang w:val="uk-UA"/>
        </w:rPr>
        <w:t xml:space="preserve"> </w:t>
      </w:r>
      <w:r w:rsidR="00DC2272">
        <w:rPr>
          <w:rFonts w:ascii="Times New Roman" w:hAnsi="Times New Roman" w:cs="Times New Roman"/>
          <w:spacing w:val="5"/>
          <w:sz w:val="28"/>
          <w:szCs w:val="28"/>
          <w:lang w:val="uk-UA"/>
        </w:rPr>
        <w:t>%</w:t>
      </w:r>
      <w:r w:rsidR="001369A0">
        <w:rPr>
          <w:rFonts w:ascii="Times New Roman" w:hAnsi="Times New Roman" w:cs="Times New Roman"/>
          <w:spacing w:val="5"/>
          <w:sz w:val="28"/>
          <w:szCs w:val="28"/>
          <w:lang w:val="uk-UA"/>
        </w:rPr>
        <w:t xml:space="preserve">), розширення меж серця </w:t>
      </w:r>
      <w:r w:rsidR="00DC2272">
        <w:rPr>
          <w:rFonts w:ascii="Times New Roman" w:hAnsi="Times New Roman" w:cs="Times New Roman"/>
          <w:spacing w:val="5"/>
          <w:sz w:val="28"/>
          <w:szCs w:val="28"/>
          <w:lang w:val="uk-UA"/>
        </w:rPr>
        <w:t>вліво</w:t>
      </w:r>
      <w:r w:rsidR="004941B4">
        <w:rPr>
          <w:rFonts w:ascii="Times New Roman" w:hAnsi="Times New Roman" w:cs="Times New Roman"/>
          <w:spacing w:val="5"/>
          <w:sz w:val="28"/>
          <w:szCs w:val="28"/>
          <w:lang w:val="uk-UA"/>
        </w:rPr>
        <w:t xml:space="preserve"> – у</w:t>
      </w:r>
      <w:r w:rsidR="00DC2272">
        <w:rPr>
          <w:rFonts w:ascii="Times New Roman" w:hAnsi="Times New Roman" w:cs="Times New Roman"/>
          <w:spacing w:val="5"/>
          <w:sz w:val="28"/>
          <w:szCs w:val="28"/>
          <w:lang w:val="uk-UA"/>
        </w:rPr>
        <w:t xml:space="preserve"> </w:t>
      </w:r>
      <w:r w:rsidR="000643B9">
        <w:rPr>
          <w:rFonts w:ascii="Times New Roman" w:hAnsi="Times New Roman" w:cs="Times New Roman"/>
          <w:spacing w:val="5"/>
          <w:sz w:val="28"/>
          <w:szCs w:val="28"/>
          <w:lang w:val="uk-UA"/>
        </w:rPr>
        <w:t>95</w:t>
      </w:r>
      <w:r w:rsidR="00755DE3" w:rsidRPr="00755DE3">
        <w:rPr>
          <w:rFonts w:ascii="Times New Roman" w:hAnsi="Times New Roman" w:cs="Times New Roman"/>
          <w:spacing w:val="5"/>
          <w:sz w:val="28"/>
          <w:szCs w:val="28"/>
          <w:lang w:val="uk-UA"/>
        </w:rPr>
        <w:t xml:space="preserve"> </w:t>
      </w:r>
      <w:r w:rsidR="001369A0">
        <w:rPr>
          <w:rFonts w:ascii="Times New Roman" w:hAnsi="Times New Roman" w:cs="Times New Roman"/>
          <w:spacing w:val="5"/>
          <w:sz w:val="28"/>
          <w:szCs w:val="28"/>
          <w:lang w:val="uk-UA"/>
        </w:rPr>
        <w:t>(</w:t>
      </w:r>
      <w:r w:rsidR="00755DE3">
        <w:rPr>
          <w:rFonts w:ascii="Times New Roman" w:hAnsi="Times New Roman" w:cs="Times New Roman"/>
          <w:spacing w:val="5"/>
          <w:sz w:val="28"/>
          <w:szCs w:val="28"/>
          <w:lang w:val="uk-UA"/>
        </w:rPr>
        <w:t>9</w:t>
      </w:r>
      <w:r w:rsidR="000D3644">
        <w:rPr>
          <w:rFonts w:ascii="Times New Roman" w:hAnsi="Times New Roman" w:cs="Times New Roman"/>
          <w:spacing w:val="5"/>
          <w:sz w:val="28"/>
          <w:szCs w:val="28"/>
          <w:lang w:val="uk-UA"/>
        </w:rPr>
        <w:t>8,96</w:t>
      </w:r>
      <w:r w:rsidR="00DA0E03">
        <w:rPr>
          <w:rFonts w:ascii="Times New Roman" w:hAnsi="Times New Roman" w:cs="Times New Roman"/>
          <w:spacing w:val="5"/>
          <w:sz w:val="28"/>
          <w:szCs w:val="28"/>
          <w:lang w:val="uk-UA"/>
        </w:rPr>
        <w:t xml:space="preserve"> </w:t>
      </w:r>
      <w:r w:rsidR="00DC2272">
        <w:rPr>
          <w:rFonts w:ascii="Times New Roman" w:hAnsi="Times New Roman" w:cs="Times New Roman"/>
          <w:spacing w:val="5"/>
          <w:sz w:val="28"/>
          <w:szCs w:val="28"/>
          <w:lang w:val="uk-UA"/>
        </w:rPr>
        <w:t>%</w:t>
      </w:r>
      <w:r w:rsidR="001369A0">
        <w:rPr>
          <w:rFonts w:ascii="Times New Roman" w:hAnsi="Times New Roman" w:cs="Times New Roman"/>
          <w:spacing w:val="5"/>
          <w:sz w:val="28"/>
          <w:szCs w:val="28"/>
          <w:lang w:val="uk-UA"/>
        </w:rPr>
        <w:t>).</w:t>
      </w:r>
    </w:p>
    <w:p w:rsidR="008A7142" w:rsidRPr="00F80DA2" w:rsidRDefault="00DC2272" w:rsidP="00F80DA2">
      <w:pPr>
        <w:spacing w:after="0" w:line="360" w:lineRule="auto"/>
        <w:ind w:firstLine="708"/>
        <w:jc w:val="both"/>
        <w:rPr>
          <w:rFonts w:ascii="Times New Roman" w:hAnsi="Times New Roman" w:cs="Times New Roman"/>
          <w:spacing w:val="5"/>
          <w:sz w:val="28"/>
          <w:szCs w:val="28"/>
          <w:lang w:val="uk-UA"/>
        </w:rPr>
      </w:pPr>
      <w:r w:rsidRPr="00D47594">
        <w:rPr>
          <w:rFonts w:ascii="Times New Roman" w:eastAsia="Times New Roman" w:hAnsi="Times New Roman" w:cs="Times New Roman"/>
          <w:color w:val="000000"/>
          <w:sz w:val="28"/>
          <w:szCs w:val="28"/>
          <w:lang w:val="uk-UA" w:eastAsia="ru-RU"/>
        </w:rPr>
        <w:t xml:space="preserve">Хворі </w:t>
      </w:r>
      <w:r w:rsidR="007C41D6">
        <w:rPr>
          <w:rFonts w:ascii="Times New Roman" w:eastAsia="Times New Roman" w:hAnsi="Times New Roman" w:cs="Times New Roman"/>
          <w:color w:val="000000"/>
          <w:sz w:val="28"/>
          <w:szCs w:val="28"/>
          <w:lang w:val="uk-UA" w:eastAsia="ru-RU"/>
        </w:rPr>
        <w:t>на</w:t>
      </w:r>
      <w:r>
        <w:rPr>
          <w:rFonts w:ascii="Times New Roman" w:eastAsia="Times New Roman" w:hAnsi="Times New Roman" w:cs="Times New Roman"/>
          <w:color w:val="000000"/>
          <w:sz w:val="28"/>
          <w:szCs w:val="28"/>
          <w:lang w:val="uk-UA" w:eastAsia="ru-RU"/>
        </w:rPr>
        <w:t xml:space="preserve"> </w:t>
      </w:r>
      <w:r w:rsidRPr="00D47594">
        <w:rPr>
          <w:rFonts w:ascii="Times New Roman" w:eastAsia="Times New Roman" w:hAnsi="Times New Roman" w:cs="Times New Roman"/>
          <w:color w:val="000000"/>
          <w:sz w:val="28"/>
          <w:szCs w:val="28"/>
          <w:lang w:val="uk-UA" w:eastAsia="ru-RU"/>
        </w:rPr>
        <w:t xml:space="preserve">АГ </w:t>
      </w:r>
      <w:r w:rsidRPr="00E27D0E">
        <w:rPr>
          <w:rFonts w:ascii="Times New Roman" w:eastAsia="Times New Roman" w:hAnsi="Times New Roman" w:cs="Times New Roman"/>
          <w:color w:val="000000"/>
          <w:sz w:val="28"/>
          <w:szCs w:val="28"/>
          <w:lang w:val="uk-UA" w:eastAsia="ru-RU"/>
        </w:rPr>
        <w:t>без супутнього ЦД 2-го</w:t>
      </w:r>
      <w:r>
        <w:rPr>
          <w:rFonts w:ascii="Times New Roman" w:eastAsia="Times New Roman" w:hAnsi="Times New Roman" w:cs="Times New Roman"/>
          <w:color w:val="000000"/>
          <w:sz w:val="28"/>
          <w:szCs w:val="28"/>
          <w:lang w:val="uk-UA" w:eastAsia="ru-RU"/>
        </w:rPr>
        <w:t xml:space="preserve"> типу </w:t>
      </w:r>
      <w:r w:rsidR="0093644D">
        <w:rPr>
          <w:rFonts w:ascii="Times New Roman" w:eastAsia="Times New Roman" w:hAnsi="Times New Roman" w:cs="Times New Roman"/>
          <w:color w:val="000000"/>
          <w:sz w:val="28"/>
          <w:szCs w:val="28"/>
          <w:lang w:val="uk-UA" w:eastAsia="ru-RU"/>
        </w:rPr>
        <w:t>скаржили</w:t>
      </w:r>
      <w:r w:rsidR="00DA0E03">
        <w:rPr>
          <w:rFonts w:ascii="Times New Roman" w:eastAsia="Times New Roman" w:hAnsi="Times New Roman" w:cs="Times New Roman"/>
          <w:color w:val="000000"/>
          <w:sz w:val="28"/>
          <w:szCs w:val="28"/>
          <w:lang w:val="uk-UA" w:eastAsia="ru-RU"/>
        </w:rPr>
        <w:t>ся</w:t>
      </w:r>
      <w:r w:rsidR="00A372D2">
        <w:rPr>
          <w:rFonts w:ascii="Times New Roman" w:eastAsia="Times New Roman" w:hAnsi="Times New Roman" w:cs="Times New Roman"/>
          <w:color w:val="000000"/>
          <w:sz w:val="28"/>
          <w:szCs w:val="28"/>
          <w:lang w:val="uk-UA" w:eastAsia="ru-RU"/>
        </w:rPr>
        <w:t xml:space="preserve"> </w:t>
      </w:r>
      <w:r w:rsidR="00E8440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на</w:t>
      </w:r>
      <w:r w:rsidRPr="00DC2272">
        <w:rPr>
          <w:rStyle w:val="a4"/>
          <w:rFonts w:ascii="Times New Roman" w:hAnsi="Times New Roman"/>
          <w:b w:val="0"/>
          <w:sz w:val="28"/>
          <w:szCs w:val="28"/>
          <w:lang w:val="uk-UA"/>
        </w:rPr>
        <w:t xml:space="preserve"> втомлюваність</w:t>
      </w:r>
      <w:r>
        <w:rPr>
          <w:rStyle w:val="a4"/>
          <w:rFonts w:ascii="Times New Roman" w:hAnsi="Times New Roman"/>
          <w:b w:val="0"/>
          <w:sz w:val="28"/>
          <w:szCs w:val="28"/>
          <w:lang w:val="uk-UA"/>
        </w:rPr>
        <w:t xml:space="preserve"> </w:t>
      </w:r>
      <w:r w:rsidR="00A372D2">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20</w:t>
      </w:r>
      <w:r w:rsidR="00755DE3" w:rsidRPr="00755DE3">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(80</w:t>
      </w:r>
      <w:r w:rsidR="00DA0E0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DA0E03">
        <w:rPr>
          <w:rStyle w:val="a4"/>
          <w:rFonts w:ascii="Times New Roman" w:hAnsi="Times New Roman"/>
          <w:b w:val="0"/>
          <w:sz w:val="28"/>
          <w:szCs w:val="28"/>
          <w:lang w:val="uk-UA"/>
        </w:rPr>
        <w:t>,</w:t>
      </w:r>
      <w:r w:rsidR="0093644D">
        <w:rPr>
          <w:rStyle w:val="a4"/>
          <w:rFonts w:ascii="Times New Roman" w:hAnsi="Times New Roman"/>
          <w:b w:val="0"/>
          <w:sz w:val="28"/>
          <w:szCs w:val="28"/>
          <w:lang w:val="uk-UA"/>
        </w:rPr>
        <w:t xml:space="preserve"> </w:t>
      </w:r>
      <w:r w:rsidRPr="00DC2272">
        <w:rPr>
          <w:rStyle w:val="a4"/>
          <w:rFonts w:ascii="Times New Roman" w:hAnsi="Times New Roman"/>
          <w:b w:val="0"/>
          <w:sz w:val="28"/>
          <w:szCs w:val="28"/>
          <w:lang w:val="uk-UA"/>
        </w:rPr>
        <w:t>головний біль</w:t>
      </w:r>
      <w:r w:rsidRPr="00D47594">
        <w:rPr>
          <w:rStyle w:val="a4"/>
          <w:rFonts w:ascii="Times New Roman" w:hAnsi="Times New Roman"/>
          <w:b w:val="0"/>
          <w:sz w:val="28"/>
          <w:szCs w:val="28"/>
          <w:lang w:val="uk-UA"/>
        </w:rPr>
        <w:t xml:space="preserve"> </w:t>
      </w:r>
      <w:r w:rsidR="00A372D2">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19</w:t>
      </w:r>
      <w:r w:rsidR="00755DE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0D3644">
        <w:rPr>
          <w:rStyle w:val="a4"/>
          <w:rFonts w:ascii="Times New Roman" w:hAnsi="Times New Roman"/>
          <w:b w:val="0"/>
          <w:sz w:val="28"/>
          <w:szCs w:val="28"/>
          <w:lang w:val="uk-UA"/>
        </w:rPr>
        <w:t>76</w:t>
      </w:r>
      <w:r w:rsidR="00DA0E0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DA0E03">
        <w:rPr>
          <w:rStyle w:val="a4"/>
          <w:rFonts w:ascii="Times New Roman" w:hAnsi="Times New Roman"/>
          <w:b w:val="0"/>
          <w:sz w:val="28"/>
          <w:szCs w:val="28"/>
          <w:lang w:val="uk-UA"/>
        </w:rPr>
        <w:t>,</w:t>
      </w:r>
      <w:r w:rsidR="0093644D">
        <w:rPr>
          <w:rStyle w:val="a4"/>
          <w:rFonts w:ascii="Times New Roman" w:hAnsi="Times New Roman"/>
          <w:b w:val="0"/>
          <w:sz w:val="28"/>
          <w:szCs w:val="28"/>
          <w:lang w:val="uk-UA"/>
        </w:rPr>
        <w:t xml:space="preserve"> </w:t>
      </w:r>
      <w:r w:rsidR="00DA0E03">
        <w:rPr>
          <w:rStyle w:val="a4"/>
          <w:rFonts w:ascii="Times New Roman" w:hAnsi="Times New Roman"/>
          <w:b w:val="0"/>
          <w:sz w:val="28"/>
          <w:szCs w:val="28"/>
          <w:lang w:val="uk-UA"/>
        </w:rPr>
        <w:t>запаморочення</w:t>
      </w:r>
      <w:r>
        <w:rPr>
          <w:rStyle w:val="a4"/>
          <w:rFonts w:ascii="Times New Roman" w:hAnsi="Times New Roman"/>
          <w:b w:val="0"/>
          <w:sz w:val="28"/>
          <w:szCs w:val="28"/>
          <w:lang w:val="uk-UA"/>
        </w:rPr>
        <w:t xml:space="preserve"> </w:t>
      </w:r>
      <w:r w:rsidR="00A372D2">
        <w:rPr>
          <w:rStyle w:val="a4"/>
          <w:rFonts w:ascii="Times New Roman" w:hAnsi="Times New Roman"/>
          <w:b w:val="0"/>
          <w:sz w:val="28"/>
          <w:szCs w:val="28"/>
          <w:lang w:val="uk-UA"/>
        </w:rPr>
        <w:t xml:space="preserve">– </w:t>
      </w:r>
      <w:r w:rsidR="00E8440C">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 xml:space="preserve">20 </w:t>
      </w:r>
      <w:r w:rsidR="00E8440C">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(80</w:t>
      </w:r>
      <w:r w:rsidR="00DA0E0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93644D">
        <w:rPr>
          <w:rStyle w:val="a4"/>
          <w:rFonts w:ascii="Times New Roman" w:hAnsi="Times New Roman"/>
          <w:b w:val="0"/>
          <w:sz w:val="28"/>
          <w:szCs w:val="28"/>
          <w:lang w:val="uk-UA"/>
        </w:rPr>
        <w:t xml:space="preserve"> </w:t>
      </w:r>
      <w:r w:rsidR="00DA0E03">
        <w:rPr>
          <w:rStyle w:val="a4"/>
          <w:rFonts w:ascii="Times New Roman" w:hAnsi="Times New Roman"/>
          <w:b w:val="0"/>
          <w:sz w:val="28"/>
          <w:szCs w:val="28"/>
          <w:lang w:val="uk-UA"/>
        </w:rPr>
        <w:t>слаб</w:t>
      </w:r>
      <w:r w:rsidRPr="00D47594">
        <w:rPr>
          <w:rStyle w:val="a4"/>
          <w:rFonts w:ascii="Times New Roman" w:hAnsi="Times New Roman"/>
          <w:b w:val="0"/>
          <w:sz w:val="28"/>
          <w:szCs w:val="28"/>
          <w:lang w:val="uk-UA"/>
        </w:rPr>
        <w:t>ість</w:t>
      </w:r>
      <w:r w:rsidR="00A36025">
        <w:rPr>
          <w:rStyle w:val="a4"/>
          <w:rFonts w:ascii="Times New Roman" w:hAnsi="Times New Roman"/>
          <w:b w:val="0"/>
          <w:sz w:val="28"/>
          <w:szCs w:val="28"/>
          <w:lang w:val="uk-UA"/>
        </w:rPr>
        <w:t xml:space="preserve"> </w:t>
      </w:r>
      <w:r w:rsidR="00A372D2">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21 (84</w:t>
      </w:r>
      <w:r w:rsidR="00DA0E0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93644D">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 xml:space="preserve">зниження зору </w:t>
      </w:r>
      <w:r w:rsidR="00A372D2">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14</w:t>
      </w:r>
      <w:r w:rsidR="008D667D">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0D3644">
        <w:rPr>
          <w:rStyle w:val="a4"/>
          <w:rFonts w:ascii="Times New Roman" w:hAnsi="Times New Roman"/>
          <w:b w:val="0"/>
          <w:sz w:val="28"/>
          <w:szCs w:val="28"/>
          <w:lang w:val="uk-UA"/>
        </w:rPr>
        <w:t>5</w:t>
      </w:r>
      <w:r w:rsidR="00A36025">
        <w:rPr>
          <w:rStyle w:val="a4"/>
          <w:rFonts w:ascii="Times New Roman" w:hAnsi="Times New Roman"/>
          <w:b w:val="0"/>
          <w:sz w:val="28"/>
          <w:szCs w:val="28"/>
          <w:lang w:val="uk-UA"/>
        </w:rPr>
        <w:t>6</w:t>
      </w:r>
      <w:r w:rsidR="00DA0E03">
        <w:rPr>
          <w:rStyle w:val="a4"/>
          <w:rFonts w:ascii="Times New Roman" w:hAnsi="Times New Roman"/>
          <w:b w:val="0"/>
          <w:sz w:val="28"/>
          <w:szCs w:val="28"/>
          <w:lang w:val="uk-UA"/>
        </w:rPr>
        <w:t xml:space="preserve"> %),</w:t>
      </w:r>
      <w:r w:rsidR="0093644D">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парестезії</w:t>
      </w:r>
      <w:r w:rsidR="00A372D2">
        <w:rPr>
          <w:rStyle w:val="a4"/>
          <w:rFonts w:ascii="Times New Roman" w:hAnsi="Times New Roman"/>
          <w:b w:val="0"/>
          <w:sz w:val="28"/>
          <w:szCs w:val="28"/>
          <w:lang w:val="uk-UA"/>
        </w:rPr>
        <w:t xml:space="preserve"> –</w:t>
      </w:r>
      <w:r>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9</w:t>
      </w:r>
      <w:r w:rsidR="008D667D">
        <w:rPr>
          <w:rStyle w:val="a4"/>
          <w:rFonts w:ascii="Times New Roman" w:hAnsi="Times New Roman"/>
          <w:b w:val="0"/>
          <w:sz w:val="28"/>
          <w:szCs w:val="28"/>
          <w:lang w:val="uk-UA"/>
        </w:rPr>
        <w:t xml:space="preserve"> </w:t>
      </w:r>
      <w:r w:rsidR="00872A78">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(3</w:t>
      </w:r>
      <w:r w:rsidR="008D667D">
        <w:rPr>
          <w:rStyle w:val="a4"/>
          <w:rFonts w:ascii="Times New Roman" w:hAnsi="Times New Roman"/>
          <w:b w:val="0"/>
          <w:sz w:val="28"/>
          <w:szCs w:val="28"/>
          <w:lang w:val="uk-UA"/>
        </w:rPr>
        <w:t>6</w:t>
      </w:r>
      <w:r w:rsidR="00DA0E0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 оніміння дистальних відділів кінцівок</w:t>
      </w:r>
      <w:r w:rsidR="008D667D">
        <w:rPr>
          <w:rStyle w:val="a4"/>
          <w:rFonts w:ascii="Times New Roman" w:hAnsi="Times New Roman"/>
          <w:b w:val="0"/>
          <w:sz w:val="28"/>
          <w:szCs w:val="28"/>
          <w:lang w:val="uk-UA"/>
        </w:rPr>
        <w:t xml:space="preserve"> </w:t>
      </w:r>
      <w:r w:rsidR="00A372D2">
        <w:rPr>
          <w:rStyle w:val="a4"/>
          <w:rFonts w:ascii="Times New Roman" w:hAnsi="Times New Roman"/>
          <w:b w:val="0"/>
          <w:sz w:val="28"/>
          <w:szCs w:val="28"/>
          <w:lang w:val="uk-UA"/>
        </w:rPr>
        <w:t xml:space="preserve">– </w:t>
      </w:r>
      <w:r w:rsidR="000D3644">
        <w:rPr>
          <w:rStyle w:val="a4"/>
          <w:rFonts w:ascii="Times New Roman" w:hAnsi="Times New Roman"/>
          <w:b w:val="0"/>
          <w:sz w:val="28"/>
          <w:szCs w:val="28"/>
          <w:lang w:val="uk-UA"/>
        </w:rPr>
        <w:t>5</w:t>
      </w:r>
      <w:r w:rsidR="00E27D0E">
        <w:rPr>
          <w:rStyle w:val="a4"/>
          <w:rFonts w:ascii="Times New Roman" w:hAnsi="Times New Roman"/>
          <w:b w:val="0"/>
          <w:sz w:val="28"/>
          <w:szCs w:val="28"/>
          <w:lang w:val="uk-UA"/>
        </w:rPr>
        <w:t xml:space="preserve"> (20</w:t>
      </w:r>
      <w:r w:rsidR="00DA0E03">
        <w:rPr>
          <w:rStyle w:val="a4"/>
          <w:rFonts w:ascii="Times New Roman" w:hAnsi="Times New Roman"/>
          <w:b w:val="0"/>
          <w:sz w:val="28"/>
          <w:szCs w:val="28"/>
          <w:lang w:val="uk-UA"/>
        </w:rPr>
        <w:t xml:space="preserve"> </w:t>
      </w:r>
      <w:r w:rsidRPr="00D47594">
        <w:rPr>
          <w:rStyle w:val="a4"/>
          <w:rFonts w:ascii="Times New Roman" w:hAnsi="Times New Roman"/>
          <w:b w:val="0"/>
          <w:sz w:val="28"/>
          <w:szCs w:val="28"/>
          <w:lang w:val="uk-UA"/>
        </w:rPr>
        <w:t>%),</w:t>
      </w:r>
      <w:r w:rsidR="0093644D">
        <w:rPr>
          <w:rStyle w:val="a4"/>
          <w:rFonts w:ascii="Times New Roman" w:hAnsi="Times New Roman"/>
          <w:b w:val="0"/>
          <w:sz w:val="28"/>
          <w:szCs w:val="28"/>
          <w:lang w:val="uk-UA"/>
        </w:rPr>
        <w:t xml:space="preserve"> </w:t>
      </w:r>
      <w:r w:rsidRPr="00D47594">
        <w:rPr>
          <w:rFonts w:ascii="Times New Roman" w:hAnsi="Times New Roman" w:cs="Times New Roman"/>
          <w:spacing w:val="5"/>
          <w:sz w:val="28"/>
          <w:szCs w:val="28"/>
          <w:lang w:val="uk-UA"/>
        </w:rPr>
        <w:t>набряки кінцівок</w:t>
      </w:r>
      <w:r>
        <w:rPr>
          <w:rFonts w:ascii="Times New Roman" w:hAnsi="Times New Roman" w:cs="Times New Roman"/>
          <w:spacing w:val="5"/>
          <w:sz w:val="28"/>
          <w:szCs w:val="28"/>
          <w:lang w:val="uk-UA"/>
        </w:rPr>
        <w:t xml:space="preserve"> </w:t>
      </w:r>
      <w:r w:rsidR="00A372D2">
        <w:rPr>
          <w:rStyle w:val="a4"/>
          <w:rFonts w:ascii="Times New Roman" w:hAnsi="Times New Roman"/>
          <w:b w:val="0"/>
          <w:sz w:val="28"/>
          <w:szCs w:val="28"/>
          <w:lang w:val="uk-UA"/>
        </w:rPr>
        <w:t xml:space="preserve">– </w:t>
      </w:r>
      <w:r w:rsidR="00E8440C">
        <w:rPr>
          <w:rStyle w:val="a4"/>
          <w:rFonts w:ascii="Times New Roman" w:hAnsi="Times New Roman"/>
          <w:b w:val="0"/>
          <w:sz w:val="28"/>
          <w:szCs w:val="28"/>
          <w:lang w:val="uk-UA"/>
        </w:rPr>
        <w:t xml:space="preserve">              </w:t>
      </w:r>
      <w:r w:rsidR="000D3644">
        <w:rPr>
          <w:rFonts w:ascii="Times New Roman" w:hAnsi="Times New Roman" w:cs="Times New Roman"/>
          <w:spacing w:val="5"/>
          <w:sz w:val="28"/>
          <w:szCs w:val="28"/>
          <w:lang w:val="uk-UA"/>
        </w:rPr>
        <w:t>8</w:t>
      </w:r>
      <w:r w:rsidR="00E8440C">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w:t>
      </w:r>
      <w:r w:rsidR="00E27D0E">
        <w:rPr>
          <w:rFonts w:ascii="Times New Roman" w:hAnsi="Times New Roman" w:cs="Times New Roman"/>
          <w:spacing w:val="5"/>
          <w:sz w:val="28"/>
          <w:szCs w:val="28"/>
          <w:lang w:val="uk-UA"/>
        </w:rPr>
        <w:t>32</w:t>
      </w:r>
      <w:r w:rsidR="00DA0E03">
        <w:rPr>
          <w:rFonts w:ascii="Times New Roman" w:hAnsi="Times New Roman" w:cs="Times New Roman"/>
          <w:spacing w:val="5"/>
          <w:sz w:val="28"/>
          <w:szCs w:val="28"/>
          <w:lang w:val="uk-UA"/>
        </w:rPr>
        <w:t xml:space="preserve"> </w:t>
      </w:r>
      <w:r w:rsidRPr="00D47594">
        <w:rPr>
          <w:rFonts w:ascii="Times New Roman" w:hAnsi="Times New Roman" w:cs="Times New Roman"/>
          <w:spacing w:val="5"/>
          <w:sz w:val="28"/>
          <w:szCs w:val="28"/>
          <w:lang w:val="uk-UA"/>
        </w:rPr>
        <w:t>%),</w:t>
      </w:r>
      <w:r w:rsidR="0093644D">
        <w:rPr>
          <w:rStyle w:val="a4"/>
          <w:rFonts w:ascii="Times New Roman" w:hAnsi="Times New Roman"/>
          <w:b w:val="0"/>
          <w:sz w:val="28"/>
          <w:szCs w:val="28"/>
          <w:lang w:val="uk-UA"/>
        </w:rPr>
        <w:t xml:space="preserve"> </w:t>
      </w:r>
      <w:r w:rsidRPr="00D47594">
        <w:rPr>
          <w:rFonts w:ascii="Times New Roman" w:hAnsi="Times New Roman" w:cs="Times New Roman"/>
          <w:spacing w:val="5"/>
          <w:sz w:val="28"/>
          <w:szCs w:val="28"/>
          <w:lang w:val="uk-UA"/>
        </w:rPr>
        <w:t xml:space="preserve">біль у м’язах </w:t>
      </w:r>
      <w:r w:rsidR="00A372D2">
        <w:rPr>
          <w:rStyle w:val="a4"/>
          <w:rFonts w:ascii="Times New Roman" w:hAnsi="Times New Roman"/>
          <w:b w:val="0"/>
          <w:sz w:val="28"/>
          <w:szCs w:val="28"/>
          <w:lang w:val="uk-UA"/>
        </w:rPr>
        <w:t xml:space="preserve">– </w:t>
      </w:r>
      <w:r w:rsidR="000D3644">
        <w:rPr>
          <w:rFonts w:ascii="Times New Roman" w:hAnsi="Times New Roman" w:cs="Times New Roman"/>
          <w:spacing w:val="5"/>
          <w:sz w:val="28"/>
          <w:szCs w:val="28"/>
          <w:lang w:val="uk-UA"/>
        </w:rPr>
        <w:t>7</w:t>
      </w:r>
      <w:r w:rsidR="00E27D0E">
        <w:rPr>
          <w:rFonts w:ascii="Times New Roman" w:hAnsi="Times New Roman" w:cs="Times New Roman"/>
          <w:spacing w:val="5"/>
          <w:sz w:val="28"/>
          <w:szCs w:val="28"/>
          <w:lang w:val="uk-UA"/>
        </w:rPr>
        <w:t xml:space="preserve"> (28</w:t>
      </w:r>
      <w:r w:rsidR="00DA0E03">
        <w:rPr>
          <w:rFonts w:ascii="Times New Roman" w:hAnsi="Times New Roman" w:cs="Times New Roman"/>
          <w:spacing w:val="5"/>
          <w:sz w:val="28"/>
          <w:szCs w:val="28"/>
          <w:lang w:val="uk-UA"/>
        </w:rPr>
        <w:t xml:space="preserve"> %),</w:t>
      </w:r>
      <w:r w:rsidR="0093644D">
        <w:rPr>
          <w:rStyle w:val="a4"/>
          <w:rFonts w:ascii="Times New Roman" w:hAnsi="Times New Roman"/>
          <w:b w:val="0"/>
          <w:sz w:val="28"/>
          <w:szCs w:val="28"/>
          <w:lang w:val="uk-UA"/>
        </w:rPr>
        <w:t xml:space="preserve"> </w:t>
      </w:r>
      <w:r w:rsidRPr="00D47594">
        <w:rPr>
          <w:rFonts w:ascii="Times New Roman" w:hAnsi="Times New Roman" w:cs="Times New Roman"/>
          <w:spacing w:val="5"/>
          <w:sz w:val="28"/>
          <w:szCs w:val="28"/>
          <w:lang w:val="uk-UA"/>
        </w:rPr>
        <w:t>задишку</w:t>
      </w:r>
      <w:r w:rsidR="00186461">
        <w:rPr>
          <w:rFonts w:ascii="Times New Roman" w:hAnsi="Times New Roman" w:cs="Times New Roman"/>
          <w:spacing w:val="5"/>
          <w:sz w:val="28"/>
          <w:szCs w:val="28"/>
          <w:lang w:val="uk-UA"/>
        </w:rPr>
        <w:t xml:space="preserve"> при фізичному навантаженні </w:t>
      </w:r>
      <w:r w:rsidR="00A372D2">
        <w:rPr>
          <w:rStyle w:val="a4"/>
          <w:rFonts w:ascii="Times New Roman" w:hAnsi="Times New Roman"/>
          <w:b w:val="0"/>
          <w:sz w:val="28"/>
          <w:szCs w:val="28"/>
          <w:lang w:val="uk-UA"/>
        </w:rPr>
        <w:t xml:space="preserve">– </w:t>
      </w:r>
      <w:r w:rsidR="00E8440C">
        <w:rPr>
          <w:rStyle w:val="a4"/>
          <w:rFonts w:ascii="Times New Roman" w:hAnsi="Times New Roman"/>
          <w:b w:val="0"/>
          <w:sz w:val="28"/>
          <w:szCs w:val="28"/>
          <w:lang w:val="uk-UA"/>
        </w:rPr>
        <w:t xml:space="preserve">  </w:t>
      </w:r>
      <w:r w:rsidR="000D3644">
        <w:rPr>
          <w:rFonts w:ascii="Times New Roman" w:hAnsi="Times New Roman" w:cs="Times New Roman"/>
          <w:spacing w:val="5"/>
          <w:sz w:val="28"/>
          <w:szCs w:val="28"/>
          <w:lang w:val="uk-UA"/>
        </w:rPr>
        <w:t>19</w:t>
      </w:r>
      <w:r w:rsidR="00E27D0E">
        <w:rPr>
          <w:rFonts w:ascii="Times New Roman" w:hAnsi="Times New Roman" w:cs="Times New Roman"/>
          <w:spacing w:val="5"/>
          <w:sz w:val="28"/>
          <w:szCs w:val="28"/>
          <w:lang w:val="uk-UA"/>
        </w:rPr>
        <w:t xml:space="preserve"> (76</w:t>
      </w:r>
      <w:r w:rsidR="00DA0E03">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w:t>
      </w:r>
      <w:r w:rsidRPr="00D47594">
        <w:rPr>
          <w:rFonts w:ascii="Times New Roman" w:hAnsi="Times New Roman" w:cs="Times New Roman"/>
          <w:spacing w:val="5"/>
          <w:sz w:val="28"/>
          <w:szCs w:val="28"/>
          <w:lang w:val="uk-UA"/>
        </w:rPr>
        <w:t xml:space="preserve"> </w:t>
      </w:r>
      <w:r w:rsidR="00DA0E03">
        <w:rPr>
          <w:rFonts w:ascii="Times New Roman" w:hAnsi="Times New Roman" w:cs="Times New Roman"/>
          <w:spacing w:val="5"/>
          <w:sz w:val="28"/>
          <w:szCs w:val="28"/>
          <w:lang w:val="uk-UA"/>
        </w:rPr>
        <w:t>задишку в</w:t>
      </w:r>
      <w:r>
        <w:rPr>
          <w:rFonts w:ascii="Times New Roman" w:hAnsi="Times New Roman" w:cs="Times New Roman"/>
          <w:spacing w:val="5"/>
          <w:sz w:val="28"/>
          <w:szCs w:val="28"/>
          <w:lang w:val="uk-UA"/>
        </w:rPr>
        <w:t xml:space="preserve"> спокої </w:t>
      </w:r>
      <w:r w:rsidR="00A372D2">
        <w:rPr>
          <w:rStyle w:val="a4"/>
          <w:rFonts w:ascii="Times New Roman" w:hAnsi="Times New Roman"/>
          <w:b w:val="0"/>
          <w:sz w:val="28"/>
          <w:szCs w:val="28"/>
          <w:lang w:val="uk-UA"/>
        </w:rPr>
        <w:t>–</w:t>
      </w:r>
      <w:r w:rsidR="0093644D">
        <w:rPr>
          <w:rStyle w:val="a4"/>
          <w:rFonts w:ascii="Times New Roman" w:hAnsi="Times New Roman"/>
          <w:b w:val="0"/>
          <w:sz w:val="28"/>
          <w:szCs w:val="28"/>
          <w:lang w:val="uk-UA"/>
        </w:rPr>
        <w:t xml:space="preserve"> </w:t>
      </w:r>
      <w:r w:rsidR="000D3644">
        <w:rPr>
          <w:rFonts w:ascii="Times New Roman" w:hAnsi="Times New Roman" w:cs="Times New Roman"/>
          <w:spacing w:val="5"/>
          <w:sz w:val="28"/>
          <w:szCs w:val="28"/>
          <w:lang w:val="uk-UA"/>
        </w:rPr>
        <w:t>6</w:t>
      </w:r>
      <w:r w:rsidR="00186461">
        <w:rPr>
          <w:rFonts w:ascii="Times New Roman" w:hAnsi="Times New Roman" w:cs="Times New Roman"/>
          <w:spacing w:val="5"/>
          <w:sz w:val="28"/>
          <w:szCs w:val="28"/>
          <w:lang w:val="uk-UA"/>
        </w:rPr>
        <w:t xml:space="preserve"> </w:t>
      </w:r>
      <w:r w:rsidR="00E27D0E">
        <w:rPr>
          <w:rFonts w:ascii="Times New Roman" w:hAnsi="Times New Roman" w:cs="Times New Roman"/>
          <w:spacing w:val="5"/>
          <w:sz w:val="28"/>
          <w:szCs w:val="28"/>
          <w:lang w:val="uk-UA"/>
        </w:rPr>
        <w:t>(24</w:t>
      </w:r>
      <w:r w:rsidR="00DA0E03">
        <w:rPr>
          <w:rFonts w:ascii="Times New Roman" w:hAnsi="Times New Roman" w:cs="Times New Roman"/>
          <w:spacing w:val="5"/>
          <w:sz w:val="28"/>
          <w:szCs w:val="28"/>
          <w:lang w:val="uk-UA"/>
        </w:rPr>
        <w:t xml:space="preserve"> %),</w:t>
      </w:r>
      <w:r w:rsidR="0093644D">
        <w:rPr>
          <w:rStyle w:val="a4"/>
          <w:rFonts w:ascii="Times New Roman" w:hAnsi="Times New Roman"/>
          <w:b w:val="0"/>
          <w:sz w:val="28"/>
          <w:szCs w:val="28"/>
          <w:lang w:val="uk-UA"/>
        </w:rPr>
        <w:t xml:space="preserve"> </w:t>
      </w:r>
      <w:r>
        <w:rPr>
          <w:rFonts w:ascii="Times New Roman" w:hAnsi="Times New Roman" w:cs="Times New Roman"/>
          <w:spacing w:val="5"/>
          <w:sz w:val="28"/>
          <w:szCs w:val="28"/>
          <w:lang w:val="uk-UA"/>
        </w:rPr>
        <w:t xml:space="preserve">періодичний біль у ділянці серця </w:t>
      </w:r>
      <w:r w:rsidR="00A372D2">
        <w:rPr>
          <w:rStyle w:val="a4"/>
          <w:rFonts w:ascii="Times New Roman" w:hAnsi="Times New Roman"/>
          <w:b w:val="0"/>
          <w:sz w:val="28"/>
          <w:szCs w:val="28"/>
          <w:lang w:val="uk-UA"/>
        </w:rPr>
        <w:t xml:space="preserve">– </w:t>
      </w:r>
      <w:r w:rsidR="00E27D0E">
        <w:rPr>
          <w:rFonts w:ascii="Times New Roman" w:hAnsi="Times New Roman" w:cs="Times New Roman"/>
          <w:spacing w:val="5"/>
          <w:sz w:val="28"/>
          <w:szCs w:val="28"/>
          <w:lang w:val="uk-UA"/>
        </w:rPr>
        <w:t>24</w:t>
      </w:r>
      <w:r w:rsidR="00186461">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w:t>
      </w:r>
      <w:r w:rsidR="00E27D0E">
        <w:rPr>
          <w:rFonts w:ascii="Times New Roman" w:hAnsi="Times New Roman" w:cs="Times New Roman"/>
          <w:spacing w:val="5"/>
          <w:sz w:val="28"/>
          <w:szCs w:val="28"/>
          <w:lang w:val="uk-UA"/>
        </w:rPr>
        <w:t>96</w:t>
      </w:r>
      <w:r w:rsidR="00DA0E03">
        <w:rPr>
          <w:rFonts w:ascii="Times New Roman" w:hAnsi="Times New Roman" w:cs="Times New Roman"/>
          <w:spacing w:val="5"/>
          <w:sz w:val="28"/>
          <w:szCs w:val="28"/>
          <w:lang w:val="uk-UA"/>
        </w:rPr>
        <w:t xml:space="preserve"> </w:t>
      </w:r>
      <w:r w:rsidR="00CB07A6">
        <w:rPr>
          <w:rFonts w:ascii="Times New Roman" w:hAnsi="Times New Roman" w:cs="Times New Roman"/>
          <w:spacing w:val="5"/>
          <w:sz w:val="28"/>
          <w:szCs w:val="28"/>
          <w:lang w:val="uk-UA"/>
        </w:rPr>
        <w:t>%)</w:t>
      </w:r>
      <w:r w:rsidR="003821A7">
        <w:rPr>
          <w:rFonts w:ascii="Times New Roman" w:hAnsi="Times New Roman" w:cs="Times New Roman"/>
          <w:spacing w:val="5"/>
          <w:sz w:val="28"/>
          <w:szCs w:val="28"/>
          <w:lang w:val="uk-UA"/>
        </w:rPr>
        <w:t xml:space="preserve"> хворих</w:t>
      </w:r>
      <w:r w:rsidR="00CB07A6">
        <w:rPr>
          <w:rFonts w:ascii="Times New Roman" w:hAnsi="Times New Roman" w:cs="Times New Roman"/>
          <w:spacing w:val="5"/>
          <w:sz w:val="28"/>
          <w:szCs w:val="28"/>
          <w:lang w:val="uk-UA"/>
        </w:rPr>
        <w:t>. Серед</w:t>
      </w:r>
      <w:r>
        <w:rPr>
          <w:rFonts w:ascii="Times New Roman" w:hAnsi="Times New Roman" w:cs="Times New Roman"/>
          <w:spacing w:val="5"/>
          <w:sz w:val="28"/>
          <w:szCs w:val="28"/>
          <w:lang w:val="uk-UA"/>
        </w:rPr>
        <w:t xml:space="preserve"> </w:t>
      </w:r>
      <w:r w:rsidR="007C41D6">
        <w:rPr>
          <w:rFonts w:ascii="Times New Roman" w:hAnsi="Times New Roman" w:cs="Times New Roman"/>
          <w:spacing w:val="5"/>
          <w:sz w:val="28"/>
          <w:szCs w:val="28"/>
          <w:lang w:val="uk-UA"/>
        </w:rPr>
        <w:t xml:space="preserve">пацієнтів </w:t>
      </w:r>
      <w:r>
        <w:rPr>
          <w:rFonts w:ascii="Times New Roman" w:hAnsi="Times New Roman" w:cs="Times New Roman"/>
          <w:spacing w:val="5"/>
          <w:sz w:val="28"/>
          <w:szCs w:val="28"/>
          <w:lang w:val="uk-UA"/>
        </w:rPr>
        <w:t xml:space="preserve">ІІ групи під час обʼєктивного обстеження було </w:t>
      </w:r>
      <w:r w:rsidR="00186461">
        <w:rPr>
          <w:rFonts w:ascii="Times New Roman" w:hAnsi="Times New Roman" w:cs="Times New Roman"/>
          <w:spacing w:val="5"/>
          <w:sz w:val="28"/>
          <w:szCs w:val="28"/>
          <w:lang w:val="uk-UA"/>
        </w:rPr>
        <w:t xml:space="preserve">констатовано жорстке дихання </w:t>
      </w:r>
      <w:r w:rsidR="00CB07A6">
        <w:rPr>
          <w:rFonts w:ascii="Times New Roman" w:hAnsi="Times New Roman" w:cs="Times New Roman"/>
          <w:spacing w:val="5"/>
          <w:sz w:val="28"/>
          <w:szCs w:val="28"/>
          <w:lang w:val="uk-UA"/>
        </w:rPr>
        <w:t xml:space="preserve">у </w:t>
      </w:r>
      <w:r w:rsidR="000D3644">
        <w:rPr>
          <w:rFonts w:ascii="Times New Roman" w:hAnsi="Times New Roman" w:cs="Times New Roman"/>
          <w:spacing w:val="5"/>
          <w:sz w:val="28"/>
          <w:szCs w:val="28"/>
          <w:lang w:val="uk-UA"/>
        </w:rPr>
        <w:t>23</w:t>
      </w:r>
      <w:r w:rsidR="00E27D0E">
        <w:rPr>
          <w:rFonts w:ascii="Times New Roman" w:hAnsi="Times New Roman" w:cs="Times New Roman"/>
          <w:spacing w:val="5"/>
          <w:sz w:val="28"/>
          <w:szCs w:val="28"/>
          <w:lang w:val="uk-UA"/>
        </w:rPr>
        <w:t xml:space="preserve"> (92</w:t>
      </w:r>
      <w:r w:rsidR="00DA0E03">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 xml:space="preserve">%), хрипи </w:t>
      </w:r>
      <w:r w:rsidR="003C1C19">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 xml:space="preserve">в легенях </w:t>
      </w:r>
      <w:r w:rsidR="003821A7">
        <w:rPr>
          <w:rFonts w:ascii="Times New Roman" w:hAnsi="Times New Roman" w:cs="Times New Roman"/>
          <w:spacing w:val="5"/>
          <w:sz w:val="28"/>
          <w:szCs w:val="28"/>
          <w:lang w:val="uk-UA"/>
        </w:rPr>
        <w:t xml:space="preserve">– </w:t>
      </w:r>
      <w:r w:rsidR="000D3644">
        <w:rPr>
          <w:rFonts w:ascii="Times New Roman" w:hAnsi="Times New Roman" w:cs="Times New Roman"/>
          <w:spacing w:val="5"/>
          <w:sz w:val="28"/>
          <w:szCs w:val="28"/>
          <w:lang w:val="uk-UA"/>
        </w:rPr>
        <w:t>2</w:t>
      </w:r>
      <w:r w:rsidR="001923CD">
        <w:rPr>
          <w:rFonts w:ascii="Times New Roman" w:hAnsi="Times New Roman" w:cs="Times New Roman"/>
          <w:spacing w:val="5"/>
          <w:sz w:val="28"/>
          <w:szCs w:val="28"/>
          <w:lang w:val="uk-UA"/>
        </w:rPr>
        <w:t xml:space="preserve"> </w:t>
      </w:r>
      <w:r w:rsidRPr="00DC2272">
        <w:rPr>
          <w:rFonts w:ascii="Times New Roman" w:hAnsi="Times New Roman" w:cs="Times New Roman"/>
          <w:spacing w:val="5"/>
          <w:sz w:val="28"/>
          <w:szCs w:val="28"/>
          <w:lang w:val="uk-UA"/>
        </w:rPr>
        <w:t>(</w:t>
      </w:r>
      <w:r w:rsidR="00E27D0E">
        <w:rPr>
          <w:rFonts w:ascii="Times New Roman" w:hAnsi="Times New Roman" w:cs="Times New Roman"/>
          <w:spacing w:val="5"/>
          <w:sz w:val="28"/>
          <w:szCs w:val="28"/>
          <w:lang w:val="uk-UA"/>
        </w:rPr>
        <w:t>8</w:t>
      </w:r>
      <w:r w:rsidR="00DA0E03">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w:t>
      </w:r>
      <w:r w:rsidRPr="00DC2272">
        <w:rPr>
          <w:rFonts w:ascii="Times New Roman" w:hAnsi="Times New Roman" w:cs="Times New Roman"/>
          <w:spacing w:val="5"/>
          <w:sz w:val="28"/>
          <w:szCs w:val="28"/>
          <w:lang w:val="uk-UA"/>
        </w:rPr>
        <w:t>), зб</w:t>
      </w:r>
      <w:r>
        <w:rPr>
          <w:rFonts w:ascii="Times New Roman" w:hAnsi="Times New Roman" w:cs="Times New Roman"/>
          <w:spacing w:val="5"/>
          <w:sz w:val="28"/>
          <w:szCs w:val="28"/>
          <w:lang w:val="uk-UA"/>
        </w:rPr>
        <w:t>і</w:t>
      </w:r>
      <w:r w:rsidRPr="00DC2272">
        <w:rPr>
          <w:rFonts w:ascii="Times New Roman" w:hAnsi="Times New Roman" w:cs="Times New Roman"/>
          <w:spacing w:val="5"/>
          <w:sz w:val="28"/>
          <w:szCs w:val="28"/>
          <w:lang w:val="uk-UA"/>
        </w:rPr>
        <w:t xml:space="preserve">льшення </w:t>
      </w:r>
      <w:r>
        <w:rPr>
          <w:rFonts w:ascii="Times New Roman" w:hAnsi="Times New Roman" w:cs="Times New Roman"/>
          <w:spacing w:val="5"/>
          <w:sz w:val="28"/>
          <w:szCs w:val="28"/>
          <w:lang w:val="uk-UA"/>
        </w:rPr>
        <w:t>живота за рахунок підшкірної жирової клітковини</w:t>
      </w:r>
      <w:r w:rsidR="00A372D2">
        <w:rPr>
          <w:rFonts w:ascii="Times New Roman" w:hAnsi="Times New Roman" w:cs="Times New Roman"/>
          <w:spacing w:val="5"/>
          <w:sz w:val="28"/>
          <w:szCs w:val="28"/>
          <w:lang w:val="uk-UA"/>
        </w:rPr>
        <w:t xml:space="preserve"> </w:t>
      </w:r>
      <w:r w:rsidR="00A372D2">
        <w:rPr>
          <w:rStyle w:val="a4"/>
          <w:rFonts w:ascii="Times New Roman" w:hAnsi="Times New Roman"/>
          <w:b w:val="0"/>
          <w:sz w:val="28"/>
          <w:szCs w:val="28"/>
          <w:lang w:val="uk-UA"/>
        </w:rPr>
        <w:t>–</w:t>
      </w:r>
      <w:r>
        <w:rPr>
          <w:rFonts w:ascii="Times New Roman" w:hAnsi="Times New Roman" w:cs="Times New Roman"/>
          <w:spacing w:val="5"/>
          <w:sz w:val="28"/>
          <w:szCs w:val="28"/>
          <w:lang w:val="uk-UA"/>
        </w:rPr>
        <w:t xml:space="preserve"> </w:t>
      </w:r>
      <w:r w:rsidR="000D3644">
        <w:rPr>
          <w:rFonts w:ascii="Times New Roman" w:hAnsi="Times New Roman" w:cs="Times New Roman"/>
          <w:spacing w:val="5"/>
          <w:sz w:val="28"/>
          <w:szCs w:val="28"/>
          <w:lang w:val="uk-UA"/>
        </w:rPr>
        <w:t>22</w:t>
      </w:r>
      <w:r w:rsidR="001923CD">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w:t>
      </w:r>
      <w:r w:rsidR="00E27D0E">
        <w:rPr>
          <w:rFonts w:ascii="Times New Roman" w:hAnsi="Times New Roman" w:cs="Times New Roman"/>
          <w:spacing w:val="5"/>
          <w:sz w:val="28"/>
          <w:szCs w:val="28"/>
          <w:lang w:val="uk-UA"/>
        </w:rPr>
        <w:t>88</w:t>
      </w:r>
      <w:r w:rsidR="00DA0E03">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 xml:space="preserve">%), розширення меж серця вліво </w:t>
      </w:r>
      <w:r w:rsidR="003821A7">
        <w:rPr>
          <w:rFonts w:ascii="Times New Roman" w:hAnsi="Times New Roman" w:cs="Times New Roman"/>
          <w:spacing w:val="5"/>
          <w:sz w:val="28"/>
          <w:szCs w:val="28"/>
          <w:lang w:val="uk-UA"/>
        </w:rPr>
        <w:t xml:space="preserve">– </w:t>
      </w:r>
      <w:r w:rsidR="000D3644">
        <w:rPr>
          <w:rFonts w:ascii="Times New Roman" w:hAnsi="Times New Roman" w:cs="Times New Roman"/>
          <w:spacing w:val="5"/>
          <w:sz w:val="28"/>
          <w:szCs w:val="28"/>
          <w:lang w:val="uk-UA"/>
        </w:rPr>
        <w:t>24</w:t>
      </w:r>
      <w:r w:rsidR="001923CD">
        <w:rPr>
          <w:rFonts w:ascii="Times New Roman" w:hAnsi="Times New Roman" w:cs="Times New Roman"/>
          <w:spacing w:val="5"/>
          <w:sz w:val="28"/>
          <w:szCs w:val="28"/>
          <w:lang w:val="uk-UA"/>
        </w:rPr>
        <w:t xml:space="preserve"> </w:t>
      </w:r>
      <w:r w:rsidR="00E27D0E">
        <w:rPr>
          <w:rFonts w:ascii="Times New Roman" w:hAnsi="Times New Roman" w:cs="Times New Roman"/>
          <w:spacing w:val="5"/>
          <w:sz w:val="28"/>
          <w:szCs w:val="28"/>
          <w:lang w:val="uk-UA"/>
        </w:rPr>
        <w:t>(9</w:t>
      </w:r>
      <w:r w:rsidR="00C3406C">
        <w:rPr>
          <w:rFonts w:ascii="Times New Roman" w:hAnsi="Times New Roman" w:cs="Times New Roman"/>
          <w:spacing w:val="5"/>
          <w:sz w:val="28"/>
          <w:szCs w:val="28"/>
          <w:lang w:val="uk-UA"/>
        </w:rPr>
        <w:t>6</w:t>
      </w:r>
      <w:r w:rsidR="00DA0E03">
        <w:rPr>
          <w:rFonts w:ascii="Times New Roman" w:hAnsi="Times New Roman" w:cs="Times New Roman"/>
          <w:spacing w:val="5"/>
          <w:sz w:val="28"/>
          <w:szCs w:val="28"/>
          <w:lang w:val="uk-UA"/>
        </w:rPr>
        <w:t xml:space="preserve"> </w:t>
      </w:r>
      <w:r>
        <w:rPr>
          <w:rFonts w:ascii="Times New Roman" w:hAnsi="Times New Roman" w:cs="Times New Roman"/>
          <w:spacing w:val="5"/>
          <w:sz w:val="28"/>
          <w:szCs w:val="28"/>
          <w:lang w:val="uk-UA"/>
        </w:rPr>
        <w:t>%)</w:t>
      </w:r>
      <w:r w:rsidR="003821A7">
        <w:rPr>
          <w:rFonts w:ascii="Times New Roman" w:hAnsi="Times New Roman" w:cs="Times New Roman"/>
          <w:spacing w:val="5"/>
          <w:sz w:val="28"/>
          <w:szCs w:val="28"/>
          <w:lang w:val="uk-UA"/>
        </w:rPr>
        <w:t xml:space="preserve"> хворих</w:t>
      </w:r>
      <w:r>
        <w:rPr>
          <w:rFonts w:ascii="Times New Roman" w:hAnsi="Times New Roman" w:cs="Times New Roman"/>
          <w:spacing w:val="5"/>
          <w:sz w:val="28"/>
          <w:szCs w:val="28"/>
          <w:lang w:val="uk-UA"/>
        </w:rPr>
        <w:t>.</w:t>
      </w:r>
    </w:p>
    <w:p w:rsidR="0091012E" w:rsidRDefault="00490A6C" w:rsidP="0091012E">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Здійснене порівняння вмісту ЗХС, ХС ЛПВЩ,</w:t>
      </w:r>
      <w:r w:rsidRPr="00490A6C">
        <w:rPr>
          <w:rFonts w:ascii="Times New Roman" w:eastAsia="Times New Roman" w:hAnsi="Times New Roman" w:cs="Times New Roman"/>
          <w:color w:val="000000"/>
          <w:sz w:val="28"/>
          <w:szCs w:val="28"/>
          <w:lang w:val="uk-UA" w:eastAsia="ru-RU"/>
        </w:rPr>
        <w:t xml:space="preserve"> ХС ЛПНЩ</w:t>
      </w:r>
      <w:r>
        <w:rPr>
          <w:rFonts w:ascii="Times New Roman" w:eastAsia="Times New Roman" w:hAnsi="Times New Roman" w:cs="Times New Roman"/>
          <w:color w:val="000000"/>
          <w:sz w:val="28"/>
          <w:szCs w:val="28"/>
          <w:lang w:val="uk-UA" w:eastAsia="ru-RU"/>
        </w:rPr>
        <w:t>, ХС ЛПДНЩ,</w:t>
      </w:r>
      <w:r w:rsidRPr="00490A6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ТГ, КА в обстежених </w:t>
      </w:r>
      <w:r w:rsidR="003F0EC3">
        <w:rPr>
          <w:rFonts w:ascii="Times New Roman" w:eastAsia="Times New Roman" w:hAnsi="Times New Roman" w:cs="Times New Roman"/>
          <w:color w:val="000000"/>
          <w:sz w:val="28"/>
          <w:szCs w:val="28"/>
          <w:lang w:val="uk-UA" w:eastAsia="ru-RU"/>
        </w:rPr>
        <w:t>пацієнтів І, ІІ груп та осіб</w:t>
      </w:r>
      <w:r w:rsidR="0081305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груп</w:t>
      </w:r>
      <w:r w:rsidR="003F0EC3">
        <w:rPr>
          <w:rFonts w:ascii="Times New Roman" w:eastAsia="Times New Roman" w:hAnsi="Times New Roman" w:cs="Times New Roman"/>
          <w:color w:val="000000"/>
          <w:sz w:val="28"/>
          <w:szCs w:val="28"/>
          <w:lang w:val="uk-UA" w:eastAsia="ru-RU"/>
        </w:rPr>
        <w:t>и</w:t>
      </w:r>
      <w:r w:rsidR="0081305E" w:rsidRPr="0081305E">
        <w:rPr>
          <w:rFonts w:ascii="Times New Roman" w:eastAsia="Times New Roman" w:hAnsi="Times New Roman" w:cs="Times New Roman"/>
          <w:color w:val="000000"/>
          <w:sz w:val="28"/>
          <w:szCs w:val="28"/>
          <w:lang w:val="uk-UA" w:eastAsia="ru-RU"/>
        </w:rPr>
        <w:t xml:space="preserve"> контролю</w:t>
      </w:r>
      <w:r>
        <w:rPr>
          <w:rFonts w:ascii="Times New Roman" w:eastAsia="Times New Roman" w:hAnsi="Times New Roman" w:cs="Times New Roman"/>
          <w:color w:val="000000"/>
          <w:sz w:val="28"/>
          <w:szCs w:val="28"/>
          <w:lang w:val="uk-UA" w:eastAsia="ru-RU"/>
        </w:rPr>
        <w:t xml:space="preserve">. </w:t>
      </w:r>
      <w:r w:rsidR="007F1099">
        <w:rPr>
          <w:rFonts w:ascii="Times New Roman" w:eastAsia="Times New Roman" w:hAnsi="Times New Roman" w:cs="Times New Roman"/>
          <w:color w:val="000000"/>
          <w:sz w:val="28"/>
          <w:szCs w:val="28"/>
          <w:lang w:val="uk-UA" w:eastAsia="ru-RU"/>
        </w:rPr>
        <w:t>Тип дисліпідемії визначено у хворих І та ІІ групи.</w:t>
      </w:r>
    </w:p>
    <w:p w:rsidR="00C83357" w:rsidRPr="00B630B1" w:rsidRDefault="00C83357" w:rsidP="0091012E">
      <w:pPr>
        <w:spacing w:after="0" w:line="360" w:lineRule="auto"/>
        <w:ind w:firstLine="708"/>
        <w:jc w:val="both"/>
        <w:rPr>
          <w:rFonts w:ascii="Times New Roman" w:eastAsia="Times New Roman" w:hAnsi="Times New Roman" w:cs="Times New Roman"/>
          <w:color w:val="000000"/>
          <w:sz w:val="28"/>
          <w:szCs w:val="28"/>
          <w:lang w:val="uk-UA" w:eastAsia="ru-RU"/>
        </w:rPr>
      </w:pPr>
      <w:r w:rsidRPr="00C83357">
        <w:rPr>
          <w:rFonts w:ascii="Times New Roman" w:eastAsia="Times New Roman" w:hAnsi="Times New Roman" w:cs="Times New Roman"/>
          <w:color w:val="000000"/>
          <w:sz w:val="28"/>
          <w:szCs w:val="28"/>
          <w:lang w:val="uk-UA" w:eastAsia="ru-RU"/>
        </w:rPr>
        <w:t xml:space="preserve">Показники ліпідного спектра крові </w:t>
      </w:r>
      <w:r w:rsidR="00F31B17">
        <w:rPr>
          <w:rFonts w:ascii="Times New Roman" w:eastAsia="Times New Roman" w:hAnsi="Times New Roman" w:cs="Times New Roman"/>
          <w:color w:val="000000"/>
          <w:sz w:val="28"/>
          <w:szCs w:val="28"/>
          <w:lang w:val="uk-UA" w:eastAsia="ru-RU"/>
        </w:rPr>
        <w:t xml:space="preserve">проаналізовано </w:t>
      </w:r>
      <w:r w:rsidRPr="00C83357">
        <w:rPr>
          <w:rFonts w:ascii="Times New Roman" w:eastAsia="Times New Roman" w:hAnsi="Times New Roman" w:cs="Times New Roman"/>
          <w:color w:val="000000"/>
          <w:sz w:val="28"/>
          <w:szCs w:val="28"/>
          <w:lang w:val="uk-UA" w:eastAsia="ru-RU"/>
        </w:rPr>
        <w:t xml:space="preserve">окремо </w:t>
      </w:r>
      <w:r w:rsidR="003C1C19">
        <w:rPr>
          <w:rFonts w:ascii="Times New Roman" w:eastAsia="Times New Roman" w:hAnsi="Times New Roman" w:cs="Times New Roman"/>
          <w:color w:val="000000"/>
          <w:sz w:val="28"/>
          <w:szCs w:val="28"/>
          <w:lang w:val="uk-UA" w:eastAsia="ru-RU"/>
        </w:rPr>
        <w:t xml:space="preserve">                 </w:t>
      </w:r>
      <w:r w:rsidRPr="00C83357">
        <w:rPr>
          <w:rFonts w:ascii="Times New Roman" w:eastAsia="Times New Roman" w:hAnsi="Times New Roman" w:cs="Times New Roman"/>
          <w:color w:val="000000"/>
          <w:sz w:val="28"/>
          <w:szCs w:val="28"/>
          <w:lang w:val="uk-UA" w:eastAsia="ru-RU"/>
        </w:rPr>
        <w:t>для пацієнтів із АГ та супутнім ЦД 2-го типу, які мали менший</w:t>
      </w:r>
      <w:r w:rsidR="000E63B0">
        <w:rPr>
          <w:rFonts w:ascii="Times New Roman" w:eastAsia="Times New Roman" w:hAnsi="Times New Roman" w:cs="Times New Roman"/>
          <w:color w:val="000000"/>
          <w:sz w:val="28"/>
          <w:szCs w:val="28"/>
          <w:lang w:val="uk-UA" w:eastAsia="ru-RU"/>
        </w:rPr>
        <w:t xml:space="preserve"> </w:t>
      </w:r>
      <w:r w:rsidR="001F78E6">
        <w:rPr>
          <w:rFonts w:ascii="Times New Roman" w:eastAsia="Times New Roman" w:hAnsi="Times New Roman" w:cs="Times New Roman"/>
          <w:color w:val="000000"/>
          <w:sz w:val="28"/>
          <w:szCs w:val="28"/>
          <w:lang w:val="uk-UA" w:eastAsia="ru-RU"/>
        </w:rPr>
        <w:t>(</w:t>
      </w:r>
      <w:r w:rsidR="001F78E6">
        <w:rPr>
          <w:rFonts w:ascii="Times New Roman" w:eastAsia="Times New Roman" w:hAnsi="Times New Roman" w:cs="Times New Roman"/>
          <w:color w:val="000000"/>
          <w:sz w:val="28"/>
          <w:szCs w:val="28"/>
          <w:lang w:val="en-US" w:eastAsia="ru-RU"/>
        </w:rPr>
        <w:t>n</w:t>
      </w:r>
      <w:r w:rsidR="001F78E6" w:rsidRPr="001F78E6">
        <w:rPr>
          <w:rFonts w:ascii="Times New Roman" w:eastAsia="Times New Roman" w:hAnsi="Times New Roman" w:cs="Times New Roman"/>
          <w:color w:val="000000"/>
          <w:sz w:val="28"/>
          <w:szCs w:val="28"/>
          <w:lang w:val="uk-UA" w:eastAsia="ru-RU"/>
        </w:rPr>
        <w:t xml:space="preserve"> = 35)</w:t>
      </w:r>
      <w:r w:rsidRPr="00C83357">
        <w:rPr>
          <w:rFonts w:ascii="Times New Roman" w:eastAsia="Times New Roman" w:hAnsi="Times New Roman" w:cs="Times New Roman"/>
          <w:color w:val="000000"/>
          <w:sz w:val="28"/>
          <w:szCs w:val="28"/>
          <w:lang w:val="uk-UA" w:eastAsia="ru-RU"/>
        </w:rPr>
        <w:t xml:space="preserve"> та більший</w:t>
      </w:r>
      <w:r w:rsidR="001F78E6" w:rsidRPr="001F78E6">
        <w:rPr>
          <w:rFonts w:ascii="Times New Roman" w:eastAsia="Times New Roman" w:hAnsi="Times New Roman" w:cs="Times New Roman"/>
          <w:color w:val="000000"/>
          <w:sz w:val="28"/>
          <w:szCs w:val="28"/>
          <w:lang w:val="uk-UA" w:eastAsia="ru-RU"/>
        </w:rPr>
        <w:t xml:space="preserve"> (</w:t>
      </w:r>
      <w:r w:rsidR="001F78E6">
        <w:rPr>
          <w:rFonts w:ascii="Times New Roman" w:eastAsia="Times New Roman" w:hAnsi="Times New Roman" w:cs="Times New Roman"/>
          <w:color w:val="000000"/>
          <w:sz w:val="28"/>
          <w:szCs w:val="28"/>
          <w:lang w:val="en-US" w:eastAsia="ru-RU"/>
        </w:rPr>
        <w:t>n</w:t>
      </w:r>
      <w:r w:rsidR="001F78E6" w:rsidRPr="001F78E6">
        <w:rPr>
          <w:rFonts w:ascii="Times New Roman" w:eastAsia="Times New Roman" w:hAnsi="Times New Roman" w:cs="Times New Roman"/>
          <w:color w:val="000000"/>
          <w:sz w:val="28"/>
          <w:szCs w:val="28"/>
          <w:lang w:val="uk-UA" w:eastAsia="ru-RU"/>
        </w:rPr>
        <w:t xml:space="preserve"> = 61)</w:t>
      </w:r>
      <w:r w:rsidRPr="00C83357">
        <w:rPr>
          <w:rFonts w:ascii="Times New Roman" w:eastAsia="Times New Roman" w:hAnsi="Times New Roman" w:cs="Times New Roman"/>
          <w:color w:val="000000"/>
          <w:sz w:val="28"/>
          <w:szCs w:val="28"/>
          <w:lang w:val="uk-UA" w:eastAsia="ru-RU"/>
        </w:rPr>
        <w:t xml:space="preserve"> за 8,0 % вміст HbA1с.</w:t>
      </w:r>
      <w:r w:rsidR="00B630B1">
        <w:rPr>
          <w:rFonts w:ascii="Times New Roman" w:eastAsia="Times New Roman" w:hAnsi="Times New Roman" w:cs="Times New Roman"/>
          <w:color w:val="000000"/>
          <w:sz w:val="28"/>
          <w:szCs w:val="28"/>
          <w:lang w:val="uk-UA" w:eastAsia="ru-RU"/>
        </w:rPr>
        <w:t xml:space="preserve"> Значення </w:t>
      </w:r>
      <w:r w:rsidR="00B630B1" w:rsidRPr="00B630B1">
        <w:rPr>
          <w:rFonts w:ascii="Times New Roman" w:eastAsia="Times New Roman" w:hAnsi="Times New Roman" w:cs="Times New Roman"/>
          <w:color w:val="000000"/>
          <w:sz w:val="28"/>
          <w:szCs w:val="28"/>
          <w:lang w:val="uk-UA" w:eastAsia="ru-RU"/>
        </w:rPr>
        <w:t>HbA1с</w:t>
      </w:r>
      <w:r w:rsidR="00B630B1">
        <w:rPr>
          <w:rFonts w:ascii="Times New Roman" w:eastAsia="Times New Roman" w:hAnsi="Times New Roman" w:cs="Times New Roman"/>
          <w:color w:val="000000"/>
          <w:sz w:val="28"/>
          <w:szCs w:val="28"/>
          <w:lang w:val="uk-UA" w:eastAsia="ru-RU"/>
        </w:rPr>
        <w:t xml:space="preserve"> було обране відповідно до рекомендацій </w:t>
      </w:r>
      <w:r w:rsidR="00B630B1">
        <w:rPr>
          <w:rFonts w:ascii="Times New Roman" w:eastAsia="Times New Roman" w:hAnsi="Times New Roman" w:cs="Times New Roman"/>
          <w:color w:val="000000"/>
          <w:sz w:val="28"/>
          <w:szCs w:val="28"/>
          <w:lang w:val="en-US" w:eastAsia="ru-RU"/>
        </w:rPr>
        <w:t>ADA</w:t>
      </w:r>
      <w:r w:rsidR="00B630B1" w:rsidRPr="00490A6C">
        <w:rPr>
          <w:rFonts w:ascii="Times New Roman" w:eastAsia="Times New Roman" w:hAnsi="Times New Roman" w:cs="Times New Roman"/>
          <w:color w:val="000000"/>
          <w:sz w:val="28"/>
          <w:szCs w:val="28"/>
          <w:lang w:val="uk-UA" w:eastAsia="ru-RU"/>
        </w:rPr>
        <w:t xml:space="preserve"> (2017), де зазначено, що</w:t>
      </w:r>
      <w:r w:rsidR="00B630B1">
        <w:rPr>
          <w:rFonts w:ascii="Times New Roman" w:eastAsia="Times New Roman" w:hAnsi="Times New Roman" w:cs="Times New Roman"/>
          <w:color w:val="000000"/>
          <w:sz w:val="28"/>
          <w:szCs w:val="28"/>
          <w:lang w:val="uk-UA" w:eastAsia="ru-RU"/>
        </w:rPr>
        <w:t xml:space="preserve"> цільовий рівень </w:t>
      </w:r>
      <w:r w:rsidR="00B630B1" w:rsidRPr="00B630B1">
        <w:rPr>
          <w:rFonts w:ascii="Times New Roman" w:eastAsia="Times New Roman" w:hAnsi="Times New Roman" w:cs="Times New Roman"/>
          <w:color w:val="000000"/>
          <w:sz w:val="28"/>
          <w:szCs w:val="28"/>
          <w:lang w:val="uk-UA" w:eastAsia="ru-RU"/>
        </w:rPr>
        <w:lastRenderedPageBreak/>
        <w:t>HbA1с</w:t>
      </w:r>
      <w:r w:rsidR="00490A6C">
        <w:rPr>
          <w:rFonts w:ascii="Times New Roman" w:eastAsia="Times New Roman" w:hAnsi="Times New Roman" w:cs="Times New Roman"/>
          <w:color w:val="000000"/>
          <w:sz w:val="28"/>
          <w:szCs w:val="28"/>
          <w:lang w:val="uk-UA" w:eastAsia="ru-RU"/>
        </w:rPr>
        <w:t xml:space="preserve"> </w:t>
      </w:r>
      <w:r w:rsidR="001F78E6">
        <w:rPr>
          <w:rFonts w:ascii="Times New Roman" w:eastAsia="Times New Roman" w:hAnsi="Times New Roman" w:cs="Times New Roman"/>
          <w:color w:val="000000"/>
          <w:sz w:val="28"/>
          <w:szCs w:val="28"/>
          <w:lang w:val="uk-UA" w:eastAsia="ru-RU"/>
        </w:rPr>
        <w:t>для хворих на</w:t>
      </w:r>
      <w:r w:rsidR="00490A6C">
        <w:rPr>
          <w:rFonts w:ascii="Times New Roman" w:eastAsia="Times New Roman" w:hAnsi="Times New Roman" w:cs="Times New Roman"/>
          <w:color w:val="000000"/>
          <w:sz w:val="28"/>
          <w:szCs w:val="28"/>
          <w:lang w:val="uk-UA" w:eastAsia="ru-RU"/>
        </w:rPr>
        <w:t xml:space="preserve"> ЦД 2-го типу за наявності коморбідної  патології, макросудинних ускладнень є </w:t>
      </w:r>
      <w:r w:rsidR="00490A6C" w:rsidRPr="00490A6C">
        <w:rPr>
          <w:rFonts w:ascii="Times New Roman" w:eastAsia="Times New Roman" w:hAnsi="Times New Roman" w:cs="Times New Roman"/>
          <w:color w:val="000000"/>
          <w:sz w:val="28"/>
          <w:szCs w:val="28"/>
          <w:lang w:val="uk-UA" w:eastAsia="ru-RU"/>
        </w:rPr>
        <w:t>менш жорстким</w:t>
      </w:r>
      <w:r w:rsidR="001F78E6">
        <w:rPr>
          <w:rFonts w:ascii="Times New Roman" w:eastAsia="Times New Roman" w:hAnsi="Times New Roman" w:cs="Times New Roman"/>
          <w:color w:val="000000"/>
          <w:sz w:val="28"/>
          <w:szCs w:val="28"/>
          <w:lang w:val="uk-UA" w:eastAsia="ru-RU"/>
        </w:rPr>
        <w:t xml:space="preserve"> і становить 8,0 %</w:t>
      </w:r>
      <w:r w:rsidR="00490A6C" w:rsidRPr="00490A6C">
        <w:rPr>
          <w:rFonts w:ascii="Times New Roman" w:eastAsia="Times New Roman" w:hAnsi="Times New Roman" w:cs="Times New Roman"/>
          <w:color w:val="000000"/>
          <w:sz w:val="28"/>
          <w:szCs w:val="28"/>
          <w:lang w:val="uk-UA" w:eastAsia="ru-RU"/>
        </w:rPr>
        <w:t xml:space="preserve"> [</w:t>
      </w:r>
      <w:r w:rsidR="00CA04D8">
        <w:rPr>
          <w:rFonts w:ascii="Times New Roman" w:eastAsia="Times New Roman" w:hAnsi="Times New Roman" w:cs="Times New Roman"/>
          <w:color w:val="000000"/>
          <w:sz w:val="28"/>
          <w:szCs w:val="28"/>
          <w:lang w:val="uk-UA" w:eastAsia="ru-RU"/>
        </w:rPr>
        <w:t>7</w:t>
      </w:r>
      <w:r w:rsidR="00490A6C" w:rsidRPr="00490A6C">
        <w:rPr>
          <w:rFonts w:ascii="Times New Roman" w:eastAsia="Times New Roman" w:hAnsi="Times New Roman" w:cs="Times New Roman"/>
          <w:color w:val="000000"/>
          <w:sz w:val="28"/>
          <w:szCs w:val="28"/>
          <w:lang w:val="uk-UA" w:eastAsia="ru-RU"/>
        </w:rPr>
        <w:t>].</w:t>
      </w:r>
    </w:p>
    <w:p w:rsidR="00C83357" w:rsidRDefault="0091012E"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w:t>
      </w:r>
      <w:r w:rsidR="00334E23">
        <w:rPr>
          <w:rFonts w:ascii="Times New Roman" w:eastAsia="Times New Roman" w:hAnsi="Times New Roman" w:cs="Times New Roman"/>
          <w:color w:val="000000"/>
          <w:sz w:val="28"/>
          <w:szCs w:val="28"/>
          <w:lang w:val="uk-UA" w:eastAsia="ru-RU"/>
        </w:rPr>
        <w:t xml:space="preserve">івень </w:t>
      </w:r>
      <w:r w:rsidR="00334E23" w:rsidRPr="00334E23">
        <w:rPr>
          <w:rFonts w:ascii="Times New Roman" w:eastAsia="Times New Roman" w:hAnsi="Times New Roman" w:cs="Times New Roman"/>
          <w:color w:val="000000"/>
          <w:sz w:val="28"/>
          <w:szCs w:val="28"/>
          <w:lang w:val="uk-UA" w:eastAsia="ru-RU"/>
        </w:rPr>
        <w:t>експресії sVCAM-1</w:t>
      </w:r>
      <w:r w:rsidR="003F0EC3">
        <w:rPr>
          <w:rFonts w:ascii="Times New Roman" w:eastAsia="Times New Roman" w:hAnsi="Times New Roman" w:cs="Times New Roman"/>
          <w:color w:val="000000"/>
          <w:sz w:val="28"/>
          <w:szCs w:val="28"/>
          <w:lang w:val="uk-UA" w:eastAsia="ru-RU"/>
        </w:rPr>
        <w:t xml:space="preserve">, звʼязок між </w:t>
      </w:r>
      <w:r w:rsidR="003F0EC3" w:rsidRPr="003F0EC3">
        <w:rPr>
          <w:rFonts w:ascii="Times New Roman" w:eastAsia="Times New Roman" w:hAnsi="Times New Roman" w:cs="Times New Roman"/>
          <w:color w:val="000000"/>
          <w:sz w:val="28"/>
          <w:szCs w:val="28"/>
          <w:lang w:val="uk-UA" w:eastAsia="ru-RU"/>
        </w:rPr>
        <w:t>концентрацією вказаної молекули адгезії і КА</w:t>
      </w:r>
      <w:r w:rsidR="003F0EC3">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досліджено </w:t>
      </w:r>
      <w:r w:rsidR="003F0EC3">
        <w:rPr>
          <w:rFonts w:ascii="Times New Roman" w:eastAsia="Times New Roman" w:hAnsi="Times New Roman" w:cs="Times New Roman"/>
          <w:color w:val="000000"/>
          <w:sz w:val="28"/>
          <w:szCs w:val="28"/>
          <w:lang w:val="uk-UA" w:eastAsia="ru-RU"/>
        </w:rPr>
        <w:t>у п</w:t>
      </w:r>
      <w:r w:rsidR="0089613B">
        <w:rPr>
          <w:rFonts w:ascii="Times New Roman" w:eastAsia="Times New Roman" w:hAnsi="Times New Roman" w:cs="Times New Roman"/>
          <w:color w:val="000000"/>
          <w:sz w:val="28"/>
          <w:szCs w:val="28"/>
          <w:lang w:val="uk-UA" w:eastAsia="ru-RU"/>
        </w:rPr>
        <w:t xml:space="preserve">ацієнтів І, ІІ груп та осіб </w:t>
      </w:r>
      <w:r w:rsidR="003F0EC3">
        <w:rPr>
          <w:rFonts w:ascii="Times New Roman" w:eastAsia="Times New Roman" w:hAnsi="Times New Roman" w:cs="Times New Roman"/>
          <w:color w:val="000000"/>
          <w:sz w:val="28"/>
          <w:szCs w:val="28"/>
          <w:lang w:val="uk-UA" w:eastAsia="ru-RU"/>
        </w:rPr>
        <w:t>групи</w:t>
      </w:r>
      <w:r w:rsidR="0089613B">
        <w:rPr>
          <w:rFonts w:ascii="Times New Roman" w:eastAsia="Times New Roman" w:hAnsi="Times New Roman" w:cs="Times New Roman"/>
          <w:color w:val="000000"/>
          <w:sz w:val="28"/>
          <w:szCs w:val="28"/>
          <w:lang w:val="uk-UA" w:eastAsia="ru-RU"/>
        </w:rPr>
        <w:t xml:space="preserve"> контролю</w:t>
      </w:r>
      <w:r w:rsidR="00334E23">
        <w:rPr>
          <w:rFonts w:ascii="Times New Roman" w:eastAsia="Times New Roman" w:hAnsi="Times New Roman" w:cs="Times New Roman"/>
          <w:color w:val="000000"/>
          <w:sz w:val="28"/>
          <w:szCs w:val="28"/>
          <w:lang w:val="uk-UA" w:eastAsia="ru-RU"/>
        </w:rPr>
        <w:t>.</w:t>
      </w:r>
    </w:p>
    <w:p w:rsidR="00C83357" w:rsidRDefault="00B25022"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Функціональний стан нирок </w:t>
      </w:r>
      <w:r w:rsidR="00C93316">
        <w:rPr>
          <w:rFonts w:ascii="Times New Roman" w:eastAsia="Times New Roman" w:hAnsi="Times New Roman" w:cs="Times New Roman"/>
          <w:color w:val="000000"/>
          <w:sz w:val="28"/>
          <w:szCs w:val="28"/>
          <w:lang w:val="uk-UA" w:eastAsia="ru-RU"/>
        </w:rPr>
        <w:t xml:space="preserve">оцінено </w:t>
      </w:r>
      <w:r>
        <w:rPr>
          <w:rFonts w:ascii="Times New Roman" w:eastAsia="Times New Roman" w:hAnsi="Times New Roman" w:cs="Times New Roman"/>
          <w:color w:val="000000"/>
          <w:sz w:val="28"/>
          <w:szCs w:val="28"/>
          <w:lang w:val="uk-UA" w:eastAsia="ru-RU"/>
        </w:rPr>
        <w:t>на підставі визначення альбумінурії, співвідношення альбуміну до креатиніну в сечі,  ШКФ</w:t>
      </w:r>
      <w:r w:rsidR="003F0EC3">
        <w:rPr>
          <w:rFonts w:ascii="Times New Roman" w:eastAsia="Times New Roman" w:hAnsi="Times New Roman" w:cs="Times New Roman"/>
          <w:color w:val="000000"/>
          <w:sz w:val="28"/>
          <w:szCs w:val="28"/>
          <w:lang w:val="uk-UA" w:eastAsia="ru-RU"/>
        </w:rPr>
        <w:t xml:space="preserve"> у хворих І та ІІ групи, умовно здорових осіб</w:t>
      </w:r>
      <w:r>
        <w:rPr>
          <w:rFonts w:ascii="Times New Roman" w:eastAsia="Times New Roman" w:hAnsi="Times New Roman" w:cs="Times New Roman"/>
          <w:color w:val="000000"/>
          <w:sz w:val="28"/>
          <w:szCs w:val="28"/>
          <w:lang w:val="uk-UA" w:eastAsia="ru-RU"/>
        </w:rPr>
        <w:t xml:space="preserve">. </w:t>
      </w:r>
    </w:p>
    <w:p w:rsidR="00825860" w:rsidRDefault="003D6105"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00825860" w:rsidRPr="00825860">
        <w:rPr>
          <w:rFonts w:ascii="Times New Roman" w:eastAsia="Times New Roman" w:hAnsi="Times New Roman" w:cs="Times New Roman"/>
          <w:color w:val="000000"/>
          <w:sz w:val="28"/>
          <w:szCs w:val="28"/>
          <w:lang w:val="uk-UA" w:eastAsia="ru-RU"/>
        </w:rPr>
        <w:t xml:space="preserve">атегорію альбумінурії </w:t>
      </w:r>
      <w:r>
        <w:rPr>
          <w:rFonts w:ascii="Times New Roman" w:eastAsia="Times New Roman" w:hAnsi="Times New Roman" w:cs="Times New Roman"/>
          <w:color w:val="000000"/>
          <w:sz w:val="28"/>
          <w:szCs w:val="28"/>
          <w:lang w:val="uk-UA" w:eastAsia="ru-RU"/>
        </w:rPr>
        <w:t xml:space="preserve">у </w:t>
      </w:r>
      <w:r w:rsidRPr="003D6105">
        <w:rPr>
          <w:rFonts w:ascii="Times New Roman" w:eastAsia="Times New Roman" w:hAnsi="Times New Roman" w:cs="Times New Roman"/>
          <w:color w:val="000000"/>
          <w:sz w:val="28"/>
          <w:szCs w:val="28"/>
          <w:lang w:val="uk-UA" w:eastAsia="ru-RU"/>
        </w:rPr>
        <w:t xml:space="preserve">коморбідних пацієнтів І групи </w:t>
      </w:r>
      <w:r>
        <w:rPr>
          <w:rFonts w:ascii="Times New Roman" w:eastAsia="Times New Roman" w:hAnsi="Times New Roman" w:cs="Times New Roman"/>
          <w:color w:val="000000"/>
          <w:sz w:val="28"/>
          <w:szCs w:val="28"/>
          <w:lang w:val="uk-UA" w:eastAsia="ru-RU"/>
        </w:rPr>
        <w:t xml:space="preserve">визначено </w:t>
      </w:r>
      <w:r w:rsidR="00825860" w:rsidRPr="00825860">
        <w:rPr>
          <w:rFonts w:ascii="Times New Roman" w:eastAsia="Times New Roman" w:hAnsi="Times New Roman" w:cs="Times New Roman"/>
          <w:color w:val="000000"/>
          <w:sz w:val="28"/>
          <w:szCs w:val="28"/>
          <w:lang w:val="uk-UA" w:eastAsia="ru-RU"/>
        </w:rPr>
        <w:t xml:space="preserve">двома способами: відповідно до альбумінурії та співвідношення альбуміну </w:t>
      </w:r>
      <w:r w:rsidR="00762F79">
        <w:rPr>
          <w:rFonts w:ascii="Times New Roman" w:eastAsia="Times New Roman" w:hAnsi="Times New Roman" w:cs="Times New Roman"/>
          <w:color w:val="000000"/>
          <w:sz w:val="28"/>
          <w:szCs w:val="28"/>
          <w:lang w:val="uk-UA" w:eastAsia="ru-RU"/>
        </w:rPr>
        <w:t xml:space="preserve">  </w:t>
      </w:r>
      <w:r w:rsidR="00825860" w:rsidRPr="00825860">
        <w:rPr>
          <w:rFonts w:ascii="Times New Roman" w:eastAsia="Times New Roman" w:hAnsi="Times New Roman" w:cs="Times New Roman"/>
          <w:color w:val="000000"/>
          <w:sz w:val="28"/>
          <w:szCs w:val="28"/>
          <w:lang w:val="uk-UA" w:eastAsia="ru-RU"/>
        </w:rPr>
        <w:t>до креатиніну в сечі</w:t>
      </w:r>
      <w:r w:rsidR="00D52545">
        <w:rPr>
          <w:rFonts w:ascii="Times New Roman" w:eastAsia="Times New Roman" w:hAnsi="Times New Roman" w:cs="Times New Roman"/>
          <w:color w:val="000000"/>
          <w:sz w:val="28"/>
          <w:szCs w:val="28"/>
          <w:lang w:val="uk-UA" w:eastAsia="ru-RU"/>
        </w:rPr>
        <w:t xml:space="preserve"> з подальшим порівнянням результатів для отримання найбільш доцільного способу підрахунку</w:t>
      </w:r>
      <w:r w:rsidR="00825860" w:rsidRPr="00825860">
        <w:rPr>
          <w:rFonts w:ascii="Times New Roman" w:eastAsia="Times New Roman" w:hAnsi="Times New Roman" w:cs="Times New Roman"/>
          <w:color w:val="000000"/>
          <w:sz w:val="28"/>
          <w:szCs w:val="28"/>
          <w:lang w:val="uk-UA" w:eastAsia="ru-RU"/>
        </w:rPr>
        <w:t>.</w:t>
      </w:r>
      <w:r w:rsidR="000E63B0">
        <w:rPr>
          <w:rFonts w:ascii="Times New Roman" w:eastAsia="Times New Roman" w:hAnsi="Times New Roman" w:cs="Times New Roman"/>
          <w:color w:val="000000"/>
          <w:sz w:val="28"/>
          <w:szCs w:val="28"/>
          <w:lang w:val="uk-UA" w:eastAsia="ru-RU"/>
        </w:rPr>
        <w:t xml:space="preserve"> К</w:t>
      </w:r>
      <w:r w:rsidR="000E63B0" w:rsidRPr="000E63B0">
        <w:rPr>
          <w:rFonts w:ascii="Times New Roman" w:eastAsia="Times New Roman" w:hAnsi="Times New Roman" w:cs="Times New Roman"/>
          <w:color w:val="000000"/>
          <w:sz w:val="28"/>
          <w:szCs w:val="28"/>
          <w:lang w:val="uk-UA" w:eastAsia="ru-RU"/>
        </w:rPr>
        <w:t>атегорії А1 відповідає незначно підвищена, А2 – помірно підвищена, А3 – різко підвищена альбумінурія [</w:t>
      </w:r>
      <w:r w:rsidR="000E63B0" w:rsidRPr="00CA04D8">
        <w:rPr>
          <w:rFonts w:ascii="Times New Roman" w:eastAsia="Times New Roman" w:hAnsi="Times New Roman" w:cs="Times New Roman"/>
          <w:color w:val="000000"/>
          <w:sz w:val="28"/>
          <w:szCs w:val="28"/>
          <w:lang w:val="uk-UA" w:eastAsia="ru-RU"/>
        </w:rPr>
        <w:t>54]</w:t>
      </w:r>
      <w:r w:rsidR="000E63B0">
        <w:rPr>
          <w:rFonts w:ascii="Times New Roman" w:eastAsia="Times New Roman" w:hAnsi="Times New Roman" w:cs="Times New Roman"/>
          <w:color w:val="000000"/>
          <w:sz w:val="28"/>
          <w:szCs w:val="28"/>
          <w:lang w:val="uk-UA" w:eastAsia="ru-RU"/>
        </w:rPr>
        <w:t>.</w:t>
      </w:r>
    </w:p>
    <w:p w:rsidR="00D52545" w:rsidRDefault="007B1297" w:rsidP="00D52545">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Т</w:t>
      </w:r>
      <w:r w:rsidR="008615C0">
        <w:rPr>
          <w:rFonts w:ascii="Times New Roman" w:eastAsia="Times New Roman" w:hAnsi="Times New Roman" w:cs="Times New Roman"/>
          <w:color w:val="000000"/>
          <w:sz w:val="28"/>
          <w:szCs w:val="28"/>
          <w:lang w:val="uk-UA" w:eastAsia="ru-RU"/>
        </w:rPr>
        <w:t xml:space="preserve">ривалість ЦД 2-го типу, рівень САТ, ДАТ, </w:t>
      </w:r>
      <w:r w:rsidR="00D77826">
        <w:rPr>
          <w:rFonts w:ascii="Times New Roman" w:eastAsia="Times New Roman" w:hAnsi="Times New Roman" w:cs="Times New Roman"/>
          <w:color w:val="000000"/>
          <w:sz w:val="28"/>
          <w:szCs w:val="28"/>
          <w:lang w:val="uk-UA" w:eastAsia="ru-RU"/>
        </w:rPr>
        <w:t xml:space="preserve">вміст </w:t>
      </w:r>
      <w:r w:rsidR="00D77826" w:rsidRPr="00D77826">
        <w:rPr>
          <w:rFonts w:ascii="Times New Roman" w:eastAsia="Times New Roman" w:hAnsi="Times New Roman" w:cs="Times New Roman"/>
          <w:color w:val="000000"/>
          <w:sz w:val="28"/>
          <w:szCs w:val="28"/>
          <w:lang w:val="uk-UA" w:eastAsia="ru-RU"/>
        </w:rPr>
        <w:t>HbA1с</w:t>
      </w:r>
      <w:r w:rsidR="00560CE8">
        <w:rPr>
          <w:rFonts w:ascii="Times New Roman" w:eastAsia="Times New Roman" w:hAnsi="Times New Roman" w:cs="Times New Roman"/>
          <w:color w:val="000000"/>
          <w:sz w:val="28"/>
          <w:szCs w:val="28"/>
          <w:lang w:val="uk-UA" w:eastAsia="ru-RU"/>
        </w:rPr>
        <w:t>, показників</w:t>
      </w:r>
      <w:r w:rsidR="00D77826">
        <w:rPr>
          <w:rFonts w:ascii="Times New Roman" w:eastAsia="Times New Roman" w:hAnsi="Times New Roman" w:cs="Times New Roman"/>
          <w:color w:val="000000"/>
          <w:sz w:val="28"/>
          <w:szCs w:val="28"/>
          <w:lang w:val="uk-UA" w:eastAsia="ru-RU"/>
        </w:rPr>
        <w:t xml:space="preserve"> ліпідного спектра крові</w:t>
      </w:r>
      <w:r>
        <w:rPr>
          <w:rFonts w:ascii="Times New Roman" w:eastAsia="Times New Roman" w:hAnsi="Times New Roman" w:cs="Times New Roman"/>
          <w:color w:val="000000"/>
          <w:sz w:val="28"/>
          <w:szCs w:val="28"/>
          <w:lang w:val="uk-UA" w:eastAsia="ru-RU"/>
        </w:rPr>
        <w:t xml:space="preserve"> о</w:t>
      </w:r>
      <w:r w:rsidRPr="007B1297">
        <w:rPr>
          <w:rFonts w:ascii="Times New Roman" w:eastAsia="Times New Roman" w:hAnsi="Times New Roman" w:cs="Times New Roman"/>
          <w:color w:val="000000"/>
          <w:sz w:val="28"/>
          <w:szCs w:val="28"/>
          <w:lang w:val="uk-UA" w:eastAsia="ru-RU"/>
        </w:rPr>
        <w:t>цінено</w:t>
      </w:r>
      <w:r w:rsidR="00D77826">
        <w:rPr>
          <w:rFonts w:ascii="Times New Roman" w:eastAsia="Times New Roman" w:hAnsi="Times New Roman" w:cs="Times New Roman"/>
          <w:color w:val="000000"/>
          <w:sz w:val="28"/>
          <w:szCs w:val="28"/>
          <w:lang w:val="uk-UA" w:eastAsia="ru-RU"/>
        </w:rPr>
        <w:t xml:space="preserve"> </w:t>
      </w:r>
      <w:r w:rsidR="006E50D9" w:rsidRPr="006E50D9">
        <w:rPr>
          <w:rFonts w:ascii="Times New Roman" w:eastAsia="Times New Roman" w:hAnsi="Times New Roman" w:cs="Times New Roman"/>
          <w:color w:val="000000"/>
          <w:sz w:val="28"/>
          <w:szCs w:val="28"/>
          <w:lang w:val="uk-UA" w:eastAsia="ru-RU"/>
        </w:rPr>
        <w:t xml:space="preserve">у хворих на АГ та супутній ЦД 2-го типу </w:t>
      </w:r>
      <w:r w:rsidR="006E50D9">
        <w:rPr>
          <w:rFonts w:ascii="Times New Roman" w:eastAsia="Times New Roman" w:hAnsi="Times New Roman" w:cs="Times New Roman"/>
          <w:color w:val="000000"/>
          <w:sz w:val="28"/>
          <w:szCs w:val="28"/>
          <w:lang w:val="uk-UA" w:eastAsia="ru-RU"/>
        </w:rPr>
        <w:t>окремо для трьох категорій альбумінурії: А1 (n = 15), А2 (n = 71), А3 (n = 10)</w:t>
      </w:r>
      <w:r w:rsidR="00D77826">
        <w:rPr>
          <w:rFonts w:ascii="Times New Roman" w:eastAsia="Times New Roman" w:hAnsi="Times New Roman" w:cs="Times New Roman"/>
          <w:color w:val="000000"/>
          <w:sz w:val="28"/>
          <w:szCs w:val="28"/>
          <w:lang w:val="uk-UA" w:eastAsia="ru-RU"/>
        </w:rPr>
        <w:t>.</w:t>
      </w:r>
    </w:p>
    <w:p w:rsidR="004553D6" w:rsidRDefault="006B787D"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К</w:t>
      </w:r>
      <w:r w:rsidRPr="006B787D">
        <w:rPr>
          <w:rFonts w:ascii="Times New Roman" w:eastAsia="Times New Roman" w:hAnsi="Times New Roman" w:cs="Times New Roman"/>
          <w:color w:val="000000"/>
          <w:sz w:val="28"/>
          <w:szCs w:val="28"/>
          <w:lang w:val="uk-UA" w:eastAsia="ru-RU"/>
        </w:rPr>
        <w:t>онцентрацію ЕТ-1</w:t>
      </w:r>
      <w:r>
        <w:rPr>
          <w:rFonts w:ascii="Times New Roman" w:eastAsia="Times New Roman" w:hAnsi="Times New Roman" w:cs="Times New Roman"/>
          <w:color w:val="000000"/>
          <w:sz w:val="28"/>
          <w:szCs w:val="28"/>
          <w:lang w:val="uk-UA" w:eastAsia="ru-RU"/>
        </w:rPr>
        <w:t xml:space="preserve"> визначено у обстежених </w:t>
      </w:r>
      <w:r w:rsidR="00D52545">
        <w:rPr>
          <w:rFonts w:ascii="Times New Roman" w:eastAsia="Times New Roman" w:hAnsi="Times New Roman" w:cs="Times New Roman"/>
          <w:color w:val="000000"/>
          <w:sz w:val="28"/>
          <w:szCs w:val="28"/>
          <w:lang w:val="uk-UA" w:eastAsia="ru-RU"/>
        </w:rPr>
        <w:t>пацієнтів І, ІІ груп та осіб</w:t>
      </w:r>
      <w:r w:rsidR="0089613B">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групи</w:t>
      </w:r>
      <w:r w:rsidR="0089613B">
        <w:rPr>
          <w:rFonts w:ascii="Times New Roman" w:eastAsia="Times New Roman" w:hAnsi="Times New Roman" w:cs="Times New Roman"/>
          <w:color w:val="000000"/>
          <w:sz w:val="28"/>
          <w:szCs w:val="28"/>
          <w:lang w:val="uk-UA" w:eastAsia="ru-RU"/>
        </w:rPr>
        <w:t xml:space="preserve"> контролю</w:t>
      </w:r>
      <w:r>
        <w:rPr>
          <w:rFonts w:ascii="Times New Roman" w:eastAsia="Times New Roman" w:hAnsi="Times New Roman" w:cs="Times New Roman"/>
          <w:color w:val="000000"/>
          <w:sz w:val="28"/>
          <w:szCs w:val="28"/>
          <w:lang w:val="uk-UA" w:eastAsia="ru-RU"/>
        </w:rPr>
        <w:t>.</w:t>
      </w:r>
      <w:r w:rsidR="00D52545">
        <w:rPr>
          <w:rFonts w:ascii="Times New Roman" w:eastAsia="Times New Roman" w:hAnsi="Times New Roman" w:cs="Times New Roman"/>
          <w:color w:val="000000"/>
          <w:sz w:val="28"/>
          <w:szCs w:val="28"/>
          <w:lang w:val="uk-UA" w:eastAsia="ru-RU"/>
        </w:rPr>
        <w:t xml:space="preserve"> У хворих на АГ та супутній</w:t>
      </w:r>
      <w:r w:rsidR="00825860">
        <w:rPr>
          <w:rFonts w:ascii="Times New Roman" w:eastAsia="Times New Roman" w:hAnsi="Times New Roman" w:cs="Times New Roman"/>
          <w:color w:val="000000"/>
          <w:sz w:val="28"/>
          <w:szCs w:val="28"/>
          <w:lang w:val="uk-UA" w:eastAsia="ru-RU"/>
        </w:rPr>
        <w:t xml:space="preserve"> ЦД 2-го типу проаналізовано зв’язки між вмістом ЕТ-1 та глікемією натще, </w:t>
      </w:r>
      <w:r w:rsidR="00825860" w:rsidRPr="00825860">
        <w:rPr>
          <w:rFonts w:ascii="Times New Roman" w:eastAsia="Times New Roman" w:hAnsi="Times New Roman" w:cs="Times New Roman"/>
          <w:color w:val="000000"/>
          <w:sz w:val="28"/>
          <w:szCs w:val="28"/>
          <w:lang w:val="uk-UA" w:eastAsia="ru-RU"/>
        </w:rPr>
        <w:t>HbA1с</w:t>
      </w:r>
      <w:r w:rsidR="00D52545">
        <w:rPr>
          <w:rFonts w:ascii="Times New Roman" w:eastAsia="Times New Roman" w:hAnsi="Times New Roman" w:cs="Times New Roman"/>
          <w:color w:val="000000"/>
          <w:sz w:val="28"/>
          <w:szCs w:val="28"/>
          <w:lang w:val="uk-UA" w:eastAsia="ru-RU"/>
        </w:rPr>
        <w:t>, категорією альбумінурії, САТ, ДАТ.</w:t>
      </w:r>
    </w:p>
    <w:p w:rsidR="003D6105" w:rsidRDefault="000E63B0" w:rsidP="00FF7A39">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Урикемію</w:t>
      </w:r>
      <w:r w:rsidR="003D6105">
        <w:rPr>
          <w:rFonts w:ascii="Times New Roman" w:eastAsia="Times New Roman" w:hAnsi="Times New Roman" w:cs="Times New Roman"/>
          <w:color w:val="000000"/>
          <w:sz w:val="28"/>
          <w:szCs w:val="28"/>
          <w:lang w:val="uk-UA" w:eastAsia="ru-RU"/>
        </w:rPr>
        <w:t xml:space="preserve"> досліджено у </w:t>
      </w:r>
      <w:r w:rsidR="003D6105" w:rsidRPr="003D6105">
        <w:rPr>
          <w:rFonts w:ascii="Times New Roman" w:eastAsia="Times New Roman" w:hAnsi="Times New Roman" w:cs="Times New Roman"/>
          <w:color w:val="000000"/>
          <w:sz w:val="28"/>
          <w:szCs w:val="28"/>
          <w:lang w:val="uk-UA" w:eastAsia="ru-RU"/>
        </w:rPr>
        <w:t>п</w:t>
      </w:r>
      <w:r w:rsidR="0089613B">
        <w:rPr>
          <w:rFonts w:ascii="Times New Roman" w:eastAsia="Times New Roman" w:hAnsi="Times New Roman" w:cs="Times New Roman"/>
          <w:color w:val="000000"/>
          <w:sz w:val="28"/>
          <w:szCs w:val="28"/>
          <w:lang w:val="uk-UA" w:eastAsia="ru-RU"/>
        </w:rPr>
        <w:t xml:space="preserve">ацієнтів І, ІІ груп та осіб </w:t>
      </w:r>
      <w:r w:rsidR="003D6105" w:rsidRPr="003D6105">
        <w:rPr>
          <w:rFonts w:ascii="Times New Roman" w:eastAsia="Times New Roman" w:hAnsi="Times New Roman" w:cs="Times New Roman"/>
          <w:color w:val="000000"/>
          <w:sz w:val="28"/>
          <w:szCs w:val="28"/>
          <w:lang w:val="uk-UA" w:eastAsia="ru-RU"/>
        </w:rPr>
        <w:t>групи</w:t>
      </w:r>
      <w:r w:rsidR="0089613B">
        <w:rPr>
          <w:rFonts w:ascii="Times New Roman" w:eastAsia="Times New Roman" w:hAnsi="Times New Roman" w:cs="Times New Roman"/>
          <w:color w:val="000000"/>
          <w:sz w:val="28"/>
          <w:szCs w:val="28"/>
          <w:lang w:val="uk-UA" w:eastAsia="ru-RU"/>
        </w:rPr>
        <w:t xml:space="preserve"> контролю</w:t>
      </w:r>
      <w:r w:rsidR="003D6105" w:rsidRPr="003D6105">
        <w:rPr>
          <w:rFonts w:ascii="Times New Roman" w:eastAsia="Times New Roman" w:hAnsi="Times New Roman" w:cs="Times New Roman"/>
          <w:color w:val="000000"/>
          <w:sz w:val="28"/>
          <w:szCs w:val="28"/>
          <w:lang w:val="uk-UA" w:eastAsia="ru-RU"/>
        </w:rPr>
        <w:t>.</w:t>
      </w:r>
      <w:r w:rsidR="003D6105">
        <w:rPr>
          <w:rFonts w:ascii="Times New Roman" w:eastAsia="Times New Roman" w:hAnsi="Times New Roman" w:cs="Times New Roman"/>
          <w:color w:val="000000"/>
          <w:sz w:val="28"/>
          <w:szCs w:val="28"/>
          <w:lang w:val="uk-UA" w:eastAsia="ru-RU"/>
        </w:rPr>
        <w:t xml:space="preserve"> </w:t>
      </w:r>
      <w:r w:rsidR="00197640">
        <w:rPr>
          <w:rFonts w:ascii="Times New Roman" w:eastAsia="Times New Roman" w:hAnsi="Times New Roman" w:cs="Times New Roman"/>
          <w:color w:val="000000"/>
          <w:sz w:val="28"/>
          <w:szCs w:val="28"/>
          <w:lang w:val="uk-UA" w:eastAsia="ru-RU"/>
        </w:rPr>
        <w:t>Здійснено аналіз з</w:t>
      </w:r>
      <w:r w:rsidR="003D6105">
        <w:rPr>
          <w:rFonts w:ascii="Times New Roman" w:eastAsia="Times New Roman" w:hAnsi="Times New Roman" w:cs="Times New Roman"/>
          <w:color w:val="000000"/>
          <w:sz w:val="28"/>
          <w:szCs w:val="28"/>
          <w:lang w:val="uk-UA" w:eastAsia="ru-RU"/>
        </w:rPr>
        <w:t>вʼ</w:t>
      </w:r>
      <w:r w:rsidR="00197640">
        <w:rPr>
          <w:rFonts w:ascii="Times New Roman" w:eastAsia="Times New Roman" w:hAnsi="Times New Roman" w:cs="Times New Roman"/>
          <w:color w:val="000000"/>
          <w:sz w:val="28"/>
          <w:szCs w:val="28"/>
          <w:lang w:val="uk-UA" w:eastAsia="ru-RU"/>
        </w:rPr>
        <w:t>язків</w:t>
      </w:r>
      <w:r w:rsidR="003D6105">
        <w:rPr>
          <w:rFonts w:ascii="Times New Roman" w:eastAsia="Times New Roman" w:hAnsi="Times New Roman" w:cs="Times New Roman"/>
          <w:color w:val="000000"/>
          <w:sz w:val="28"/>
          <w:szCs w:val="28"/>
          <w:lang w:val="uk-UA" w:eastAsia="ru-RU"/>
        </w:rPr>
        <w:t xml:space="preserve"> між вмістом сечової кислоти та тривалістю АГ, </w:t>
      </w:r>
      <w:r w:rsidR="001C7FAF">
        <w:rPr>
          <w:rFonts w:ascii="Times New Roman" w:eastAsia="Times New Roman" w:hAnsi="Times New Roman" w:cs="Times New Roman"/>
          <w:color w:val="000000"/>
          <w:sz w:val="28"/>
          <w:szCs w:val="28"/>
          <w:lang w:val="uk-UA" w:eastAsia="ru-RU"/>
        </w:rPr>
        <w:t xml:space="preserve">    </w:t>
      </w:r>
      <w:r w:rsidR="003D6105">
        <w:rPr>
          <w:rFonts w:ascii="Times New Roman" w:eastAsia="Times New Roman" w:hAnsi="Times New Roman" w:cs="Times New Roman"/>
          <w:color w:val="000000"/>
          <w:sz w:val="28"/>
          <w:szCs w:val="28"/>
          <w:lang w:val="uk-UA" w:eastAsia="ru-RU"/>
        </w:rPr>
        <w:t>ЦД 2-го типу, давністю ССУ, альбумінурією, ШКФ,</w:t>
      </w:r>
      <w:r w:rsidR="003D6105" w:rsidRPr="001E4592">
        <w:rPr>
          <w:rFonts w:ascii="Times New Roman" w:eastAsia="Times New Roman" w:hAnsi="Times New Roman" w:cs="Times New Roman"/>
          <w:color w:val="000000"/>
          <w:sz w:val="28"/>
          <w:szCs w:val="28"/>
          <w:lang w:val="uk-UA" w:eastAsia="ru-RU"/>
        </w:rPr>
        <w:t xml:space="preserve"> </w:t>
      </w:r>
      <w:r w:rsidR="001E4592">
        <w:rPr>
          <w:rFonts w:ascii="Times New Roman" w:eastAsia="Times New Roman" w:hAnsi="Times New Roman" w:cs="Times New Roman"/>
          <w:color w:val="000000"/>
          <w:sz w:val="28"/>
          <w:szCs w:val="28"/>
          <w:lang w:val="uk-UA" w:eastAsia="ru-RU"/>
        </w:rPr>
        <w:t xml:space="preserve">ІМТ, показниками </w:t>
      </w:r>
      <w:r w:rsidR="00197640">
        <w:rPr>
          <w:rFonts w:ascii="Times New Roman" w:eastAsia="Times New Roman" w:hAnsi="Times New Roman" w:cs="Times New Roman"/>
          <w:color w:val="000000"/>
          <w:sz w:val="28"/>
          <w:szCs w:val="28"/>
          <w:lang w:val="uk-UA" w:eastAsia="ru-RU"/>
        </w:rPr>
        <w:t>ліпідного спектра крові у обстежених хворих</w:t>
      </w:r>
      <w:r w:rsidR="001E4592">
        <w:rPr>
          <w:rFonts w:ascii="Times New Roman" w:eastAsia="Times New Roman" w:hAnsi="Times New Roman" w:cs="Times New Roman"/>
          <w:color w:val="000000"/>
          <w:sz w:val="28"/>
          <w:szCs w:val="28"/>
          <w:lang w:val="uk-UA" w:eastAsia="ru-RU"/>
        </w:rPr>
        <w:t>.</w:t>
      </w:r>
      <w:r w:rsidR="003D6105">
        <w:rPr>
          <w:rFonts w:ascii="Times New Roman" w:eastAsia="Times New Roman" w:hAnsi="Times New Roman" w:cs="Times New Roman"/>
          <w:color w:val="000000"/>
          <w:sz w:val="28"/>
          <w:szCs w:val="28"/>
          <w:lang w:val="uk-UA" w:eastAsia="ru-RU"/>
        </w:rPr>
        <w:t xml:space="preserve"> </w:t>
      </w:r>
    </w:p>
    <w:p w:rsidR="00197640" w:rsidRDefault="004A5A95"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sidRPr="004A5A95">
        <w:rPr>
          <w:rFonts w:ascii="Times New Roman" w:eastAsia="Times New Roman" w:hAnsi="Times New Roman" w:cs="Times New Roman"/>
          <w:color w:val="000000"/>
          <w:sz w:val="28"/>
          <w:szCs w:val="28"/>
          <w:lang w:val="uk-UA" w:eastAsia="ru-RU"/>
        </w:rPr>
        <w:t>Геометр</w:t>
      </w:r>
      <w:r>
        <w:rPr>
          <w:rFonts w:ascii="Times New Roman" w:eastAsia="Times New Roman" w:hAnsi="Times New Roman" w:cs="Times New Roman"/>
          <w:color w:val="000000"/>
          <w:sz w:val="28"/>
          <w:szCs w:val="28"/>
          <w:lang w:val="uk-UA" w:eastAsia="ru-RU"/>
        </w:rPr>
        <w:t>ію ЛШ, варіант СН оцінено на підставі даних ехокардіо</w:t>
      </w:r>
      <w:r w:rsidR="004474FA">
        <w:rPr>
          <w:rFonts w:ascii="Times New Roman" w:eastAsia="Times New Roman" w:hAnsi="Times New Roman" w:cs="Times New Roman"/>
          <w:color w:val="000000"/>
          <w:sz w:val="28"/>
          <w:szCs w:val="28"/>
          <w:lang w:val="uk-UA" w:eastAsia="ru-RU"/>
        </w:rPr>
        <w:t>графії</w:t>
      </w:r>
      <w:r>
        <w:rPr>
          <w:rFonts w:ascii="Times New Roman" w:eastAsia="Times New Roman" w:hAnsi="Times New Roman" w:cs="Times New Roman"/>
          <w:color w:val="000000"/>
          <w:sz w:val="28"/>
          <w:szCs w:val="28"/>
          <w:lang w:val="uk-UA" w:eastAsia="ru-RU"/>
        </w:rPr>
        <w:t xml:space="preserve"> </w:t>
      </w:r>
      <w:r w:rsidR="0028403C">
        <w:rPr>
          <w:rFonts w:ascii="Times New Roman" w:eastAsia="Times New Roman" w:hAnsi="Times New Roman" w:cs="Times New Roman"/>
          <w:color w:val="000000"/>
          <w:sz w:val="28"/>
          <w:szCs w:val="28"/>
          <w:lang w:val="uk-UA" w:eastAsia="ru-RU"/>
        </w:rPr>
        <w:t xml:space="preserve">  </w:t>
      </w:r>
      <w:r w:rsidRPr="004A5A95">
        <w:rPr>
          <w:rFonts w:ascii="Times New Roman" w:eastAsia="Times New Roman" w:hAnsi="Times New Roman" w:cs="Times New Roman"/>
          <w:color w:val="000000"/>
          <w:sz w:val="28"/>
          <w:szCs w:val="28"/>
          <w:lang w:val="uk-UA" w:eastAsia="ru-RU"/>
        </w:rPr>
        <w:t>у п</w:t>
      </w:r>
      <w:r w:rsidR="0089613B">
        <w:rPr>
          <w:rFonts w:ascii="Times New Roman" w:eastAsia="Times New Roman" w:hAnsi="Times New Roman" w:cs="Times New Roman"/>
          <w:color w:val="000000"/>
          <w:sz w:val="28"/>
          <w:szCs w:val="28"/>
          <w:lang w:val="uk-UA" w:eastAsia="ru-RU"/>
        </w:rPr>
        <w:t xml:space="preserve">ацієнтів І, ІІ груп та осіб </w:t>
      </w:r>
      <w:r w:rsidRPr="004A5A95">
        <w:rPr>
          <w:rFonts w:ascii="Times New Roman" w:eastAsia="Times New Roman" w:hAnsi="Times New Roman" w:cs="Times New Roman"/>
          <w:color w:val="000000"/>
          <w:sz w:val="28"/>
          <w:szCs w:val="28"/>
          <w:lang w:val="uk-UA" w:eastAsia="ru-RU"/>
        </w:rPr>
        <w:t>групи</w:t>
      </w:r>
      <w:r w:rsidR="0089613B">
        <w:rPr>
          <w:rFonts w:ascii="Times New Roman" w:eastAsia="Times New Roman" w:hAnsi="Times New Roman" w:cs="Times New Roman"/>
          <w:color w:val="000000"/>
          <w:sz w:val="28"/>
          <w:szCs w:val="28"/>
          <w:lang w:val="uk-UA" w:eastAsia="ru-RU"/>
        </w:rPr>
        <w:t xml:space="preserve"> контролю</w:t>
      </w:r>
      <w:r w:rsidRPr="004A5A95">
        <w:rPr>
          <w:rFonts w:ascii="Times New Roman" w:eastAsia="Times New Roman" w:hAnsi="Times New Roman" w:cs="Times New Roman"/>
          <w:color w:val="000000"/>
          <w:sz w:val="28"/>
          <w:szCs w:val="28"/>
          <w:lang w:val="uk-UA" w:eastAsia="ru-RU"/>
        </w:rPr>
        <w:t>.</w:t>
      </w:r>
      <w:r w:rsidR="001E4E90">
        <w:rPr>
          <w:rFonts w:ascii="Times New Roman" w:eastAsia="Times New Roman" w:hAnsi="Times New Roman" w:cs="Times New Roman"/>
          <w:color w:val="000000"/>
          <w:sz w:val="28"/>
          <w:szCs w:val="28"/>
          <w:lang w:val="uk-UA" w:eastAsia="ru-RU"/>
        </w:rPr>
        <w:t xml:space="preserve"> ІММЛШ розраховано </w:t>
      </w:r>
      <w:r w:rsidR="00344177">
        <w:rPr>
          <w:rFonts w:ascii="Times New Roman" w:eastAsia="Times New Roman" w:hAnsi="Times New Roman" w:cs="Times New Roman"/>
          <w:color w:val="000000"/>
          <w:sz w:val="28"/>
          <w:szCs w:val="28"/>
          <w:lang w:val="uk-UA" w:eastAsia="ru-RU"/>
        </w:rPr>
        <w:t>двома способами: як відношення ММЛШ до ППТ та ММЛШ</w:t>
      </w:r>
      <w:r w:rsidR="00344177" w:rsidRPr="00344177">
        <w:rPr>
          <w:rFonts w:ascii="Times New Roman" w:eastAsia="Times New Roman" w:hAnsi="Times New Roman" w:cs="Times New Roman"/>
          <w:color w:val="000000"/>
          <w:sz w:val="28"/>
          <w:szCs w:val="28"/>
          <w:lang w:eastAsia="ru-RU"/>
        </w:rPr>
        <w:t xml:space="preserve"> </w:t>
      </w:r>
      <w:r w:rsidR="00344177">
        <w:rPr>
          <w:rFonts w:ascii="Times New Roman" w:eastAsia="Times New Roman" w:hAnsi="Times New Roman" w:cs="Times New Roman"/>
          <w:color w:val="000000"/>
          <w:sz w:val="28"/>
          <w:szCs w:val="28"/>
          <w:lang w:eastAsia="ru-RU"/>
        </w:rPr>
        <w:t xml:space="preserve">до </w:t>
      </w:r>
      <w:r w:rsidR="00344177">
        <w:rPr>
          <w:rFonts w:ascii="Times New Roman" w:eastAsia="Times New Roman" w:hAnsi="Times New Roman" w:cs="Times New Roman"/>
          <w:color w:val="000000"/>
          <w:sz w:val="28"/>
          <w:szCs w:val="28"/>
          <w:lang w:val="uk-UA" w:eastAsia="ru-RU"/>
        </w:rPr>
        <w:t>зросту в степені 2,7.</w:t>
      </w:r>
    </w:p>
    <w:p w:rsidR="00344177" w:rsidRPr="00344177" w:rsidRDefault="00344177"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Проаналізовано </w:t>
      </w:r>
      <w:r w:rsidR="003B4E4A">
        <w:rPr>
          <w:rFonts w:ascii="Times New Roman" w:eastAsia="Times New Roman" w:hAnsi="Times New Roman" w:cs="Times New Roman"/>
          <w:color w:val="000000"/>
          <w:sz w:val="28"/>
          <w:szCs w:val="28"/>
          <w:lang w:val="uk-UA" w:eastAsia="ru-RU"/>
        </w:rPr>
        <w:t xml:space="preserve">залежність між функцією серця та нирок у пацієнтів </w:t>
      </w:r>
      <w:r w:rsidR="0028403C">
        <w:rPr>
          <w:rFonts w:ascii="Times New Roman" w:eastAsia="Times New Roman" w:hAnsi="Times New Roman" w:cs="Times New Roman"/>
          <w:color w:val="000000"/>
          <w:sz w:val="28"/>
          <w:szCs w:val="28"/>
          <w:lang w:val="uk-UA" w:eastAsia="ru-RU"/>
        </w:rPr>
        <w:t xml:space="preserve">    </w:t>
      </w:r>
      <w:r w:rsidR="003B4E4A">
        <w:rPr>
          <w:rFonts w:ascii="Times New Roman" w:eastAsia="Times New Roman" w:hAnsi="Times New Roman" w:cs="Times New Roman"/>
          <w:color w:val="000000"/>
          <w:sz w:val="28"/>
          <w:szCs w:val="28"/>
          <w:lang w:val="uk-UA" w:eastAsia="ru-RU"/>
        </w:rPr>
        <w:t>із АГ та ЦД 2-го типу на підставі виявлення зв’язку між ІММЛШ та альбумінурією, співвідношенням альбуміну до креатиніну в сечі, ШКФ.</w:t>
      </w:r>
    </w:p>
    <w:p w:rsidR="00406F4C" w:rsidRDefault="00406F4C"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Вміст </w:t>
      </w:r>
      <w:r w:rsidRPr="00406F4C">
        <w:rPr>
          <w:rFonts w:ascii="Times New Roman" w:eastAsia="Times New Roman" w:hAnsi="Times New Roman" w:cs="Times New Roman"/>
          <w:color w:val="000000"/>
          <w:sz w:val="28"/>
          <w:szCs w:val="28"/>
          <w:lang w:val="uk-UA" w:eastAsia="ru-RU"/>
        </w:rPr>
        <w:t>ЕТ-1</w:t>
      </w:r>
      <w:r w:rsidR="003B4E4A">
        <w:rPr>
          <w:rFonts w:ascii="Times New Roman" w:eastAsia="Times New Roman" w:hAnsi="Times New Roman" w:cs="Times New Roman"/>
          <w:color w:val="000000"/>
          <w:sz w:val="28"/>
          <w:szCs w:val="28"/>
          <w:lang w:val="uk-UA" w:eastAsia="ru-RU"/>
        </w:rPr>
        <w:t>, сечової кислоти</w:t>
      </w:r>
      <w:r>
        <w:rPr>
          <w:rFonts w:ascii="Times New Roman" w:eastAsia="Times New Roman" w:hAnsi="Times New Roman" w:cs="Times New Roman"/>
          <w:color w:val="000000"/>
          <w:sz w:val="28"/>
          <w:szCs w:val="28"/>
          <w:lang w:val="uk-UA" w:eastAsia="ru-RU"/>
        </w:rPr>
        <w:t xml:space="preserve"> було проаналізовано залежно від ФК ХСН</w:t>
      </w:r>
      <w:r w:rsidR="00C561B0">
        <w:rPr>
          <w:rFonts w:ascii="Times New Roman" w:eastAsia="Times New Roman" w:hAnsi="Times New Roman" w:cs="Times New Roman"/>
          <w:color w:val="000000"/>
          <w:sz w:val="28"/>
          <w:szCs w:val="28"/>
          <w:lang w:val="uk-UA" w:eastAsia="ru-RU"/>
        </w:rPr>
        <w:t>, структурних показників серця</w:t>
      </w:r>
      <w:r w:rsidRPr="00406F4C">
        <w:rPr>
          <w:lang w:val="uk-UA"/>
        </w:rPr>
        <w:t xml:space="preserve"> </w:t>
      </w:r>
      <w:r>
        <w:rPr>
          <w:rFonts w:ascii="Times New Roman" w:eastAsia="Times New Roman" w:hAnsi="Times New Roman" w:cs="Times New Roman"/>
          <w:color w:val="000000"/>
          <w:sz w:val="28"/>
          <w:szCs w:val="28"/>
          <w:lang w:val="uk-UA" w:eastAsia="ru-RU"/>
        </w:rPr>
        <w:t xml:space="preserve">у </w:t>
      </w:r>
      <w:r w:rsidRPr="00406F4C">
        <w:rPr>
          <w:rFonts w:ascii="Times New Roman" w:eastAsia="Times New Roman" w:hAnsi="Times New Roman" w:cs="Times New Roman"/>
          <w:color w:val="000000"/>
          <w:sz w:val="28"/>
          <w:szCs w:val="28"/>
          <w:lang w:val="uk-UA" w:eastAsia="ru-RU"/>
        </w:rPr>
        <w:t xml:space="preserve">пацієнтів </w:t>
      </w:r>
      <w:r>
        <w:rPr>
          <w:rFonts w:ascii="Times New Roman" w:eastAsia="Times New Roman" w:hAnsi="Times New Roman" w:cs="Times New Roman"/>
          <w:color w:val="000000"/>
          <w:sz w:val="28"/>
          <w:szCs w:val="28"/>
          <w:lang w:val="uk-UA" w:eastAsia="ru-RU"/>
        </w:rPr>
        <w:t xml:space="preserve">із АГ та супутнім ЦД 2-го типу. </w:t>
      </w:r>
    </w:p>
    <w:p w:rsidR="00137B5B" w:rsidRDefault="00137B5B" w:rsidP="00187AB9">
      <w:pPr>
        <w:spacing w:after="0" w:line="360" w:lineRule="auto"/>
        <w:ind w:firstLine="708"/>
        <w:jc w:val="both"/>
        <w:rPr>
          <w:rFonts w:ascii="Times New Roman" w:eastAsia="Times New Roman" w:hAnsi="Times New Roman" w:cs="Times New Roman"/>
          <w:color w:val="000000"/>
          <w:sz w:val="28"/>
          <w:szCs w:val="28"/>
          <w:lang w:val="uk-UA" w:eastAsia="ru-RU"/>
        </w:rPr>
      </w:pPr>
      <w:r w:rsidRPr="00137B5B">
        <w:rPr>
          <w:rFonts w:ascii="Times New Roman" w:eastAsia="Times New Roman" w:hAnsi="Times New Roman" w:cs="Times New Roman"/>
          <w:color w:val="000000"/>
          <w:sz w:val="28"/>
          <w:szCs w:val="28"/>
          <w:lang w:val="uk-UA" w:eastAsia="ru-RU"/>
        </w:rPr>
        <w:t xml:space="preserve">Вміст ФНП-α визначено в </w:t>
      </w:r>
      <w:r w:rsidR="003940DA">
        <w:rPr>
          <w:rFonts w:ascii="Times New Roman" w:eastAsia="Times New Roman" w:hAnsi="Times New Roman" w:cs="Times New Roman"/>
          <w:color w:val="000000"/>
          <w:sz w:val="28"/>
          <w:szCs w:val="28"/>
          <w:lang w:val="uk-UA" w:eastAsia="ru-RU"/>
        </w:rPr>
        <w:t xml:space="preserve">обстежених </w:t>
      </w:r>
      <w:r w:rsidR="0089613B">
        <w:rPr>
          <w:rFonts w:ascii="Times New Roman" w:eastAsia="Times New Roman" w:hAnsi="Times New Roman" w:cs="Times New Roman"/>
          <w:color w:val="000000"/>
          <w:sz w:val="28"/>
          <w:szCs w:val="28"/>
          <w:lang w:val="uk-UA" w:eastAsia="ru-RU"/>
        </w:rPr>
        <w:t>хворих І, ІІ</w:t>
      </w:r>
      <w:r w:rsidRPr="00137B5B">
        <w:rPr>
          <w:rFonts w:ascii="Times New Roman" w:eastAsia="Times New Roman" w:hAnsi="Times New Roman" w:cs="Times New Roman"/>
          <w:color w:val="000000"/>
          <w:sz w:val="28"/>
          <w:szCs w:val="28"/>
          <w:lang w:val="uk-UA" w:eastAsia="ru-RU"/>
        </w:rPr>
        <w:t xml:space="preserve"> </w:t>
      </w:r>
      <w:r w:rsidR="0089613B">
        <w:rPr>
          <w:rFonts w:ascii="Times New Roman" w:eastAsia="Times New Roman" w:hAnsi="Times New Roman" w:cs="Times New Roman"/>
          <w:color w:val="000000"/>
          <w:sz w:val="28"/>
          <w:szCs w:val="28"/>
          <w:lang w:val="uk-UA" w:eastAsia="ru-RU"/>
        </w:rPr>
        <w:t>груп та осіб групи контролю</w:t>
      </w:r>
      <w:r>
        <w:rPr>
          <w:rFonts w:ascii="Times New Roman" w:eastAsia="Times New Roman" w:hAnsi="Times New Roman" w:cs="Times New Roman"/>
          <w:color w:val="000000"/>
          <w:sz w:val="28"/>
          <w:szCs w:val="28"/>
          <w:lang w:val="uk-UA" w:eastAsia="ru-RU"/>
        </w:rPr>
        <w:t xml:space="preserve">. У пацієнтів із АГ та супутнім ЦД 2-го типу концентрацію </w:t>
      </w:r>
      <w:r w:rsidRPr="00137B5B">
        <w:rPr>
          <w:rFonts w:ascii="Times New Roman" w:eastAsia="Times New Roman" w:hAnsi="Times New Roman" w:cs="Times New Roman"/>
          <w:color w:val="000000"/>
          <w:sz w:val="28"/>
          <w:szCs w:val="28"/>
          <w:lang w:val="uk-UA" w:eastAsia="ru-RU"/>
        </w:rPr>
        <w:t>ФНП-α</w:t>
      </w:r>
      <w:r>
        <w:rPr>
          <w:rFonts w:ascii="Times New Roman" w:eastAsia="Times New Roman" w:hAnsi="Times New Roman" w:cs="Times New Roman"/>
          <w:color w:val="000000"/>
          <w:sz w:val="28"/>
          <w:szCs w:val="28"/>
          <w:lang w:val="uk-UA" w:eastAsia="ru-RU"/>
        </w:rPr>
        <w:t xml:space="preserve"> було обчислено </w:t>
      </w:r>
      <w:r w:rsidRPr="00137B5B">
        <w:rPr>
          <w:rFonts w:ascii="Times New Roman" w:eastAsia="Times New Roman" w:hAnsi="Times New Roman" w:cs="Times New Roman"/>
          <w:color w:val="000000"/>
          <w:sz w:val="28"/>
          <w:szCs w:val="28"/>
          <w:lang w:val="uk-UA" w:eastAsia="ru-RU"/>
        </w:rPr>
        <w:t>залежно від ФК ХСН</w:t>
      </w:r>
      <w:r>
        <w:rPr>
          <w:rFonts w:ascii="Times New Roman" w:eastAsia="Times New Roman" w:hAnsi="Times New Roman" w:cs="Times New Roman"/>
          <w:color w:val="000000"/>
          <w:sz w:val="28"/>
          <w:szCs w:val="28"/>
          <w:lang w:val="uk-UA" w:eastAsia="ru-RU"/>
        </w:rPr>
        <w:t>.</w:t>
      </w:r>
    </w:p>
    <w:p w:rsidR="00691FB6" w:rsidRDefault="00833A8B"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sidRPr="00833A8B">
        <w:rPr>
          <w:rFonts w:ascii="Times New Roman" w:eastAsia="Times New Roman" w:hAnsi="Times New Roman" w:cs="Times New Roman"/>
          <w:color w:val="000000"/>
          <w:sz w:val="28"/>
          <w:szCs w:val="28"/>
          <w:lang w:val="uk-UA" w:eastAsia="ru-RU"/>
        </w:rPr>
        <w:t>Для корекції дисліпідемії пацієнтам І та ІІ груп було призначено    10−</w:t>
      </w:r>
      <w:r w:rsidR="00134C0E">
        <w:rPr>
          <w:rFonts w:ascii="Times New Roman" w:eastAsia="Times New Roman" w:hAnsi="Times New Roman" w:cs="Times New Roman"/>
          <w:color w:val="000000"/>
          <w:sz w:val="28"/>
          <w:szCs w:val="28"/>
          <w:lang w:val="uk-UA" w:eastAsia="ru-RU"/>
        </w:rPr>
        <w:t>20</w:t>
      </w:r>
      <w:r w:rsidR="00134C0E" w:rsidRPr="00134C0E">
        <w:rPr>
          <w:rFonts w:ascii="Times New Roman" w:eastAsia="Times New Roman" w:hAnsi="Times New Roman" w:cs="Times New Roman"/>
          <w:color w:val="000000"/>
          <w:sz w:val="28"/>
          <w:szCs w:val="28"/>
          <w:lang w:val="uk-UA" w:eastAsia="ru-RU"/>
        </w:rPr>
        <w:t>−</w:t>
      </w:r>
      <w:r w:rsidRPr="00833A8B">
        <w:rPr>
          <w:rFonts w:ascii="Times New Roman" w:eastAsia="Times New Roman" w:hAnsi="Times New Roman" w:cs="Times New Roman"/>
          <w:color w:val="000000"/>
          <w:sz w:val="28"/>
          <w:szCs w:val="28"/>
          <w:lang w:val="uk-UA" w:eastAsia="ru-RU"/>
        </w:rPr>
        <w:t>40 мг</w:t>
      </w:r>
      <w:r w:rsidR="00134C0E">
        <w:rPr>
          <w:rFonts w:ascii="Times New Roman" w:eastAsia="Times New Roman" w:hAnsi="Times New Roman" w:cs="Times New Roman"/>
          <w:color w:val="000000"/>
          <w:sz w:val="28"/>
          <w:szCs w:val="28"/>
          <w:lang w:val="uk-UA" w:eastAsia="ru-RU"/>
        </w:rPr>
        <w:t>/добу</w:t>
      </w:r>
      <w:r w:rsidRPr="00833A8B">
        <w:rPr>
          <w:rFonts w:ascii="Times New Roman" w:eastAsia="Times New Roman" w:hAnsi="Times New Roman" w:cs="Times New Roman"/>
          <w:color w:val="000000"/>
          <w:sz w:val="28"/>
          <w:szCs w:val="28"/>
          <w:lang w:val="uk-UA" w:eastAsia="ru-RU"/>
        </w:rPr>
        <w:t xml:space="preserve"> аторвастатину </w:t>
      </w:r>
      <w:r w:rsidR="00E8440C">
        <w:rPr>
          <w:rFonts w:ascii="Times New Roman" w:eastAsia="Times New Roman" w:hAnsi="Times New Roman" w:cs="Times New Roman"/>
          <w:color w:val="000000"/>
          <w:sz w:val="28"/>
          <w:szCs w:val="28"/>
          <w:lang w:val="uk-UA" w:eastAsia="ru-RU"/>
        </w:rPr>
        <w:t>із урахуванням віку хворих</w:t>
      </w:r>
      <w:r w:rsidR="00E65BDF">
        <w:rPr>
          <w:rFonts w:ascii="Times New Roman" w:eastAsia="Times New Roman" w:hAnsi="Times New Roman" w:cs="Times New Roman"/>
          <w:color w:val="000000"/>
          <w:sz w:val="28"/>
          <w:szCs w:val="28"/>
          <w:lang w:val="uk-UA" w:eastAsia="ru-RU"/>
        </w:rPr>
        <w:t xml:space="preserve"> </w:t>
      </w:r>
      <w:r w:rsidR="00E65BDF" w:rsidRPr="00E65BDF">
        <w:rPr>
          <w:rFonts w:ascii="Times New Roman" w:eastAsia="Times New Roman" w:hAnsi="Times New Roman" w:cs="Times New Roman"/>
          <w:color w:val="000000"/>
          <w:sz w:val="28"/>
          <w:szCs w:val="28"/>
          <w:lang w:val="uk-UA" w:eastAsia="ru-RU"/>
        </w:rPr>
        <w:t>[</w:t>
      </w:r>
      <w:r w:rsidR="00CA04D8">
        <w:rPr>
          <w:rFonts w:ascii="Times New Roman" w:eastAsia="Times New Roman" w:hAnsi="Times New Roman" w:cs="Times New Roman"/>
          <w:color w:val="000000"/>
          <w:sz w:val="28"/>
          <w:szCs w:val="28"/>
          <w:lang w:val="uk-UA" w:eastAsia="ru-RU"/>
        </w:rPr>
        <w:t>123</w:t>
      </w:r>
      <w:r w:rsidR="00E65BDF" w:rsidRPr="00E65BDF">
        <w:rPr>
          <w:rFonts w:ascii="Times New Roman" w:eastAsia="Times New Roman" w:hAnsi="Times New Roman" w:cs="Times New Roman"/>
          <w:color w:val="000000"/>
          <w:sz w:val="28"/>
          <w:szCs w:val="28"/>
          <w:lang w:val="uk-UA" w:eastAsia="ru-RU"/>
        </w:rPr>
        <w:t>]</w:t>
      </w:r>
      <w:r w:rsidR="00E8440C">
        <w:rPr>
          <w:rFonts w:ascii="Times New Roman" w:eastAsia="Times New Roman" w:hAnsi="Times New Roman" w:cs="Times New Roman"/>
          <w:color w:val="000000"/>
          <w:sz w:val="28"/>
          <w:szCs w:val="28"/>
          <w:lang w:val="uk-UA" w:eastAsia="ru-RU"/>
        </w:rPr>
        <w:t>, відповіді пацієнта на ліпідознижу</w:t>
      </w:r>
      <w:r w:rsidR="00C54721">
        <w:rPr>
          <w:rFonts w:ascii="Times New Roman" w:eastAsia="Times New Roman" w:hAnsi="Times New Roman" w:cs="Times New Roman"/>
          <w:color w:val="000000"/>
          <w:sz w:val="28"/>
          <w:szCs w:val="28"/>
          <w:lang w:val="uk-UA" w:eastAsia="ru-RU"/>
        </w:rPr>
        <w:t>вальну</w:t>
      </w:r>
      <w:r w:rsidR="00E8440C">
        <w:rPr>
          <w:rFonts w:ascii="Times New Roman" w:eastAsia="Times New Roman" w:hAnsi="Times New Roman" w:cs="Times New Roman"/>
          <w:color w:val="000000"/>
          <w:sz w:val="28"/>
          <w:szCs w:val="28"/>
          <w:lang w:val="uk-UA" w:eastAsia="ru-RU"/>
        </w:rPr>
        <w:t xml:space="preserve"> терапію</w:t>
      </w:r>
      <w:r w:rsidR="00E65BDF">
        <w:rPr>
          <w:rFonts w:ascii="Times New Roman" w:eastAsia="Times New Roman" w:hAnsi="Times New Roman" w:cs="Times New Roman"/>
          <w:color w:val="000000"/>
          <w:sz w:val="28"/>
          <w:szCs w:val="28"/>
          <w:lang w:val="uk-UA" w:eastAsia="ru-RU"/>
        </w:rPr>
        <w:t>, що включає оцінку цільових рівнів ХС ЛПНЩ [</w:t>
      </w:r>
      <w:r w:rsidR="00CA04D8">
        <w:rPr>
          <w:rFonts w:ascii="Times New Roman" w:eastAsia="Times New Roman" w:hAnsi="Times New Roman" w:cs="Times New Roman"/>
          <w:color w:val="000000"/>
          <w:sz w:val="28"/>
          <w:szCs w:val="28"/>
          <w:lang w:val="uk-UA" w:eastAsia="ru-RU"/>
        </w:rPr>
        <w:t>7</w:t>
      </w:r>
      <w:r w:rsidR="00E65BDF" w:rsidRPr="00E65BDF">
        <w:rPr>
          <w:rFonts w:ascii="Times New Roman" w:eastAsia="Times New Roman" w:hAnsi="Times New Roman" w:cs="Times New Roman"/>
          <w:color w:val="000000"/>
          <w:sz w:val="28"/>
          <w:szCs w:val="28"/>
          <w:lang w:val="uk-UA" w:eastAsia="ru-RU"/>
        </w:rPr>
        <w:t>].</w:t>
      </w:r>
      <w:r w:rsidRPr="00833A8B">
        <w:rPr>
          <w:rFonts w:ascii="Times New Roman" w:eastAsia="Times New Roman" w:hAnsi="Times New Roman" w:cs="Times New Roman"/>
          <w:color w:val="000000"/>
          <w:sz w:val="28"/>
          <w:szCs w:val="28"/>
          <w:lang w:val="uk-UA" w:eastAsia="ru-RU"/>
        </w:rPr>
        <w:t xml:space="preserve"> </w:t>
      </w:r>
      <w:r w:rsidR="00E65BDF">
        <w:rPr>
          <w:rFonts w:ascii="Times New Roman" w:eastAsia="Times New Roman" w:hAnsi="Times New Roman" w:cs="Times New Roman"/>
          <w:color w:val="000000"/>
          <w:sz w:val="28"/>
          <w:szCs w:val="28"/>
          <w:lang w:val="uk-UA" w:eastAsia="ru-RU"/>
        </w:rPr>
        <w:t xml:space="preserve">У хворих І та ІІ груп із досягненим цільовим рівнем ХС ЛПНЩ до початку нашого дослідження, було призначено середні дози аторвастатину </w:t>
      </w:r>
      <w:r w:rsidR="00EC3774" w:rsidRPr="00EC3774">
        <w:rPr>
          <w:rFonts w:ascii="Times New Roman" w:eastAsia="Times New Roman" w:hAnsi="Times New Roman" w:cs="Times New Roman"/>
          <w:color w:val="000000"/>
          <w:sz w:val="28"/>
          <w:szCs w:val="28"/>
          <w:lang w:val="uk-UA" w:eastAsia="ru-RU"/>
        </w:rPr>
        <w:t xml:space="preserve">(10−20 </w:t>
      </w:r>
      <w:r w:rsidR="00EC3774">
        <w:rPr>
          <w:rFonts w:ascii="Times New Roman" w:eastAsia="Times New Roman" w:hAnsi="Times New Roman" w:cs="Times New Roman"/>
          <w:color w:val="000000"/>
          <w:sz w:val="28"/>
          <w:szCs w:val="28"/>
          <w:lang w:val="uk-UA" w:eastAsia="ru-RU"/>
        </w:rPr>
        <w:t xml:space="preserve">мг/добу). Усім іншим хворим І та ІІ груп було </w:t>
      </w:r>
      <w:r w:rsidR="00691FB6">
        <w:rPr>
          <w:rFonts w:ascii="Times New Roman" w:eastAsia="Times New Roman" w:hAnsi="Times New Roman" w:cs="Times New Roman"/>
          <w:color w:val="000000"/>
          <w:sz w:val="28"/>
          <w:szCs w:val="28"/>
          <w:lang w:val="uk-UA" w:eastAsia="ru-RU"/>
        </w:rPr>
        <w:t xml:space="preserve">проведене </w:t>
      </w:r>
      <w:r w:rsidR="00EC3774">
        <w:rPr>
          <w:rFonts w:ascii="Times New Roman" w:eastAsia="Times New Roman" w:hAnsi="Times New Roman" w:cs="Times New Roman"/>
          <w:color w:val="000000"/>
          <w:sz w:val="28"/>
          <w:szCs w:val="28"/>
          <w:lang w:val="uk-UA" w:eastAsia="ru-RU"/>
        </w:rPr>
        <w:t xml:space="preserve">лікування аторвастатином </w:t>
      </w:r>
      <w:r w:rsidR="00691FB6">
        <w:rPr>
          <w:rFonts w:ascii="Times New Roman" w:eastAsia="Times New Roman" w:hAnsi="Times New Roman" w:cs="Times New Roman"/>
          <w:color w:val="000000"/>
          <w:sz w:val="28"/>
          <w:szCs w:val="28"/>
          <w:lang w:val="uk-UA" w:eastAsia="ru-RU"/>
        </w:rPr>
        <w:t xml:space="preserve">дозою </w:t>
      </w:r>
      <w:r w:rsidR="00EC3774">
        <w:rPr>
          <w:rFonts w:ascii="Times New Roman" w:eastAsia="Times New Roman" w:hAnsi="Times New Roman" w:cs="Times New Roman"/>
          <w:color w:val="000000"/>
          <w:sz w:val="28"/>
          <w:szCs w:val="28"/>
          <w:lang w:val="uk-UA" w:eastAsia="ru-RU"/>
        </w:rPr>
        <w:t xml:space="preserve">40 мг/добу, зважаючи </w:t>
      </w:r>
      <w:r w:rsidR="00C50714">
        <w:rPr>
          <w:rFonts w:ascii="Times New Roman" w:eastAsia="Times New Roman" w:hAnsi="Times New Roman" w:cs="Times New Roman"/>
          <w:color w:val="000000"/>
          <w:sz w:val="28"/>
          <w:szCs w:val="28"/>
          <w:lang w:val="uk-UA" w:eastAsia="ru-RU"/>
        </w:rPr>
        <w:t xml:space="preserve">                 </w:t>
      </w:r>
      <w:r w:rsidR="00EC3774">
        <w:rPr>
          <w:rFonts w:ascii="Times New Roman" w:eastAsia="Times New Roman" w:hAnsi="Times New Roman" w:cs="Times New Roman"/>
          <w:color w:val="000000"/>
          <w:sz w:val="28"/>
          <w:szCs w:val="28"/>
          <w:lang w:val="uk-UA" w:eastAsia="ru-RU"/>
        </w:rPr>
        <w:t>на наявність ССУ в анамнезі</w:t>
      </w:r>
      <w:r w:rsidR="00E9657C">
        <w:rPr>
          <w:rFonts w:ascii="Times New Roman" w:eastAsia="Times New Roman" w:hAnsi="Times New Roman" w:cs="Times New Roman"/>
          <w:color w:val="000000"/>
          <w:sz w:val="28"/>
          <w:szCs w:val="28"/>
          <w:lang w:val="uk-UA" w:eastAsia="ru-RU"/>
        </w:rPr>
        <w:t xml:space="preserve">, </w:t>
      </w:r>
      <w:r w:rsidR="00C54721">
        <w:rPr>
          <w:rFonts w:ascii="Times New Roman" w:eastAsia="Times New Roman" w:hAnsi="Times New Roman" w:cs="Times New Roman"/>
          <w:color w:val="000000"/>
          <w:sz w:val="28"/>
          <w:szCs w:val="28"/>
          <w:lang w:val="uk-UA" w:eastAsia="ru-RU"/>
        </w:rPr>
        <w:t>третьої стадії</w:t>
      </w:r>
      <w:r w:rsidR="005A390F">
        <w:rPr>
          <w:rFonts w:ascii="Times New Roman" w:eastAsia="Times New Roman" w:hAnsi="Times New Roman" w:cs="Times New Roman"/>
          <w:color w:val="000000"/>
          <w:sz w:val="28"/>
          <w:szCs w:val="28"/>
          <w:lang w:val="uk-UA" w:eastAsia="ru-RU"/>
        </w:rPr>
        <w:t xml:space="preserve"> АГ,</w:t>
      </w:r>
      <w:r w:rsidR="005A390F" w:rsidRPr="005A390F">
        <w:rPr>
          <w:rFonts w:ascii="Times New Roman" w:eastAsia="Times New Roman" w:hAnsi="Times New Roman" w:cs="Times New Roman"/>
          <w:color w:val="000000"/>
          <w:sz w:val="28"/>
          <w:szCs w:val="28"/>
          <w:lang w:eastAsia="ru-RU"/>
        </w:rPr>
        <w:t xml:space="preserve"> </w:t>
      </w:r>
      <w:r w:rsidR="00691FB6">
        <w:rPr>
          <w:rFonts w:ascii="Times New Roman" w:eastAsia="Times New Roman" w:hAnsi="Times New Roman" w:cs="Times New Roman"/>
          <w:color w:val="000000"/>
          <w:sz w:val="28"/>
          <w:szCs w:val="28"/>
          <w:lang w:val="uk-UA" w:eastAsia="ru-RU"/>
        </w:rPr>
        <w:t>дуже високого кардіоваскулярного</w:t>
      </w:r>
      <w:r w:rsidR="00E9657C">
        <w:rPr>
          <w:rFonts w:ascii="Times New Roman" w:eastAsia="Times New Roman" w:hAnsi="Times New Roman" w:cs="Times New Roman"/>
          <w:color w:val="000000"/>
          <w:sz w:val="28"/>
          <w:szCs w:val="28"/>
          <w:lang w:val="uk-UA" w:eastAsia="ru-RU"/>
        </w:rPr>
        <w:t xml:space="preserve"> ризик</w:t>
      </w:r>
      <w:r w:rsidR="00691FB6">
        <w:rPr>
          <w:rFonts w:ascii="Times New Roman" w:eastAsia="Times New Roman" w:hAnsi="Times New Roman" w:cs="Times New Roman"/>
          <w:color w:val="000000"/>
          <w:sz w:val="28"/>
          <w:szCs w:val="28"/>
          <w:lang w:val="uk-UA" w:eastAsia="ru-RU"/>
        </w:rPr>
        <w:t>у</w:t>
      </w:r>
      <w:r w:rsidR="00E9657C">
        <w:rPr>
          <w:rFonts w:ascii="Times New Roman" w:eastAsia="Times New Roman" w:hAnsi="Times New Roman" w:cs="Times New Roman"/>
          <w:color w:val="000000"/>
          <w:sz w:val="28"/>
          <w:szCs w:val="28"/>
          <w:lang w:val="uk-UA" w:eastAsia="ru-RU"/>
        </w:rPr>
        <w:t>.</w:t>
      </w:r>
      <w:r w:rsidR="00E65BDF">
        <w:rPr>
          <w:rFonts w:ascii="Times New Roman" w:eastAsia="Times New Roman" w:hAnsi="Times New Roman" w:cs="Times New Roman"/>
          <w:color w:val="000000"/>
          <w:sz w:val="28"/>
          <w:szCs w:val="28"/>
          <w:lang w:val="uk-UA" w:eastAsia="ru-RU"/>
        </w:rPr>
        <w:t xml:space="preserve"> </w:t>
      </w:r>
    </w:p>
    <w:p w:rsidR="00833A8B" w:rsidRDefault="00833A8B"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sidRPr="00833A8B">
        <w:rPr>
          <w:rFonts w:ascii="Times New Roman" w:eastAsia="Times New Roman" w:hAnsi="Times New Roman" w:cs="Times New Roman"/>
          <w:color w:val="000000"/>
          <w:sz w:val="28"/>
          <w:szCs w:val="28"/>
          <w:lang w:val="uk-UA" w:eastAsia="ru-RU"/>
        </w:rPr>
        <w:t>Через шість місяців лікування аторвастатином було повторно взято біохімічний аналіз крові для визначення динаміки зміни показників ліпідного спектра крові.</w:t>
      </w:r>
      <w:r>
        <w:rPr>
          <w:rFonts w:ascii="Times New Roman" w:eastAsia="Times New Roman" w:hAnsi="Times New Roman" w:cs="Times New Roman"/>
          <w:color w:val="000000"/>
          <w:sz w:val="28"/>
          <w:szCs w:val="28"/>
          <w:lang w:val="uk-UA" w:eastAsia="ru-RU"/>
        </w:rPr>
        <w:t xml:space="preserve"> Кожні 2 місяці хворим визначали </w:t>
      </w:r>
      <w:r w:rsidR="003940DA">
        <w:rPr>
          <w:rFonts w:ascii="Times New Roman" w:eastAsia="Times New Roman" w:hAnsi="Times New Roman" w:cs="Times New Roman"/>
          <w:color w:val="000000"/>
          <w:sz w:val="28"/>
          <w:szCs w:val="28"/>
          <w:lang w:val="uk-UA" w:eastAsia="ru-RU"/>
        </w:rPr>
        <w:t>вміст</w:t>
      </w:r>
      <w:r w:rsidR="00F76C32">
        <w:rPr>
          <w:rFonts w:ascii="Times New Roman" w:eastAsia="Times New Roman" w:hAnsi="Times New Roman" w:cs="Times New Roman"/>
          <w:color w:val="000000"/>
          <w:sz w:val="28"/>
          <w:szCs w:val="28"/>
          <w:lang w:val="uk-UA" w:eastAsia="ru-RU"/>
        </w:rPr>
        <w:t xml:space="preserve"> аланін- амінотрансферази (АлАт)</w:t>
      </w:r>
      <w:r>
        <w:rPr>
          <w:rFonts w:ascii="Times New Roman" w:eastAsia="Times New Roman" w:hAnsi="Times New Roman" w:cs="Times New Roman"/>
          <w:color w:val="000000"/>
          <w:sz w:val="28"/>
          <w:szCs w:val="28"/>
          <w:lang w:val="uk-UA" w:eastAsia="ru-RU"/>
        </w:rPr>
        <w:t xml:space="preserve">, </w:t>
      </w:r>
      <w:r w:rsidR="00B6557B">
        <w:rPr>
          <w:rFonts w:ascii="Times New Roman" w:eastAsia="Times New Roman" w:hAnsi="Times New Roman" w:cs="Times New Roman"/>
          <w:color w:val="000000"/>
          <w:sz w:val="28"/>
          <w:szCs w:val="28"/>
          <w:lang w:val="uk-UA" w:eastAsia="ru-RU"/>
        </w:rPr>
        <w:t>аспартатамінотрансферази</w:t>
      </w:r>
      <w:r w:rsidR="00F76C32">
        <w:rPr>
          <w:rFonts w:ascii="Times New Roman" w:eastAsia="Times New Roman" w:hAnsi="Times New Roman" w:cs="Times New Roman"/>
          <w:color w:val="000000"/>
          <w:sz w:val="28"/>
          <w:szCs w:val="28"/>
          <w:lang w:val="uk-UA" w:eastAsia="ru-RU"/>
        </w:rPr>
        <w:t xml:space="preserve"> (АсАт)</w:t>
      </w:r>
      <w:r w:rsidR="00B6557B">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креатинфосфокінази</w:t>
      </w:r>
      <w:r w:rsidR="007C41D6">
        <w:rPr>
          <w:rFonts w:ascii="Times New Roman" w:eastAsia="Times New Roman" w:hAnsi="Times New Roman" w:cs="Times New Roman"/>
          <w:color w:val="000000"/>
          <w:sz w:val="28"/>
          <w:szCs w:val="28"/>
          <w:lang w:val="uk-UA" w:eastAsia="ru-RU"/>
        </w:rPr>
        <w:t xml:space="preserve"> згідно з Методичними рекомендаціями</w:t>
      </w:r>
      <w:r w:rsidR="007C41D6" w:rsidRPr="007C41D6">
        <w:rPr>
          <w:rFonts w:ascii="Times New Roman" w:eastAsia="Times New Roman" w:hAnsi="Times New Roman" w:cs="Times New Roman"/>
          <w:color w:val="000000"/>
          <w:sz w:val="28"/>
          <w:szCs w:val="28"/>
          <w:lang w:val="uk-UA" w:eastAsia="ru-RU"/>
        </w:rPr>
        <w:t xml:space="preserve"> Асоціації кардіологів України «Дисліпідемії: діагностика, профілактика </w:t>
      </w:r>
      <w:r w:rsidR="007C41D6">
        <w:rPr>
          <w:rFonts w:ascii="Times New Roman" w:eastAsia="Times New Roman" w:hAnsi="Times New Roman" w:cs="Times New Roman"/>
          <w:color w:val="000000"/>
          <w:sz w:val="28"/>
          <w:szCs w:val="28"/>
          <w:lang w:val="uk-UA" w:eastAsia="ru-RU"/>
        </w:rPr>
        <w:t>та лікування» (Київ, 2011)</w:t>
      </w:r>
      <w:r w:rsidR="00E8440C">
        <w:rPr>
          <w:rFonts w:ascii="Times New Roman" w:eastAsia="Times New Roman" w:hAnsi="Times New Roman" w:cs="Times New Roman"/>
          <w:color w:val="000000"/>
          <w:sz w:val="28"/>
          <w:szCs w:val="28"/>
          <w:lang w:val="uk-UA" w:eastAsia="ru-RU"/>
        </w:rPr>
        <w:t>, ураховуючи проведення терапії аторвастатином</w:t>
      </w:r>
      <w:r w:rsidR="007C41D6">
        <w:rPr>
          <w:rFonts w:ascii="Times New Roman" w:eastAsia="Times New Roman" w:hAnsi="Times New Roman" w:cs="Times New Roman"/>
          <w:color w:val="000000"/>
          <w:sz w:val="28"/>
          <w:szCs w:val="28"/>
          <w:lang w:val="uk-UA" w:eastAsia="ru-RU"/>
        </w:rPr>
        <w:t xml:space="preserve"> [</w:t>
      </w:r>
      <w:r w:rsidR="00CA04D8">
        <w:rPr>
          <w:rFonts w:ascii="Times New Roman" w:eastAsia="Times New Roman" w:hAnsi="Times New Roman" w:cs="Times New Roman"/>
          <w:color w:val="000000"/>
          <w:sz w:val="28"/>
          <w:szCs w:val="28"/>
          <w:lang w:val="uk-UA" w:eastAsia="ru-RU"/>
        </w:rPr>
        <w:t>123</w:t>
      </w:r>
      <w:r w:rsidR="007C41D6">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w:t>
      </w:r>
    </w:p>
    <w:p w:rsidR="00A86DF2" w:rsidRPr="00187AB9" w:rsidRDefault="00A86DF2" w:rsidP="00A86DF2">
      <w:pPr>
        <w:spacing w:after="0" w:line="360" w:lineRule="auto"/>
        <w:ind w:firstLine="708"/>
        <w:jc w:val="both"/>
        <w:rPr>
          <w:rFonts w:ascii="Times New Roman" w:eastAsia="Times New Roman" w:hAnsi="Times New Roman" w:cs="Times New Roman"/>
          <w:color w:val="000000"/>
          <w:sz w:val="28"/>
          <w:szCs w:val="28"/>
          <w:lang w:val="uk-UA" w:eastAsia="ru-RU"/>
        </w:rPr>
      </w:pPr>
      <w:r w:rsidRPr="00187AB9">
        <w:rPr>
          <w:rFonts w:ascii="Times New Roman" w:eastAsia="Times New Roman" w:hAnsi="Times New Roman" w:cs="Times New Roman"/>
          <w:color w:val="000000"/>
          <w:sz w:val="28"/>
          <w:szCs w:val="28"/>
          <w:lang w:val="uk-UA" w:eastAsia="ru-RU"/>
        </w:rPr>
        <w:t>Оскiльки т</w:t>
      </w:r>
      <w:r w:rsidR="00187AB9" w:rsidRPr="00187AB9">
        <w:rPr>
          <w:rFonts w:ascii="Times New Roman" w:eastAsia="Times New Roman" w:hAnsi="Times New Roman" w:cs="Times New Roman"/>
          <w:color w:val="000000"/>
          <w:sz w:val="28"/>
          <w:szCs w:val="28"/>
          <w:lang w:val="uk-UA" w:eastAsia="ru-RU"/>
        </w:rPr>
        <w:t xml:space="preserve">ривалiсть АГ становила </w:t>
      </w:r>
      <w:r w:rsidRPr="00187AB9">
        <w:rPr>
          <w:rFonts w:ascii="Times New Roman" w:eastAsia="Times New Roman" w:hAnsi="Times New Roman" w:cs="Times New Roman"/>
          <w:color w:val="000000"/>
          <w:sz w:val="28"/>
          <w:szCs w:val="28"/>
          <w:lang w:val="uk-UA" w:eastAsia="ru-RU"/>
        </w:rPr>
        <w:t xml:space="preserve">(8,1 ± 0,2) року, (8,9 ± 0,13) року </w:t>
      </w:r>
      <w:r w:rsidR="00D14D84">
        <w:rPr>
          <w:rFonts w:ascii="Times New Roman" w:eastAsia="Times New Roman" w:hAnsi="Times New Roman" w:cs="Times New Roman"/>
          <w:color w:val="000000"/>
          <w:sz w:val="28"/>
          <w:szCs w:val="28"/>
          <w:lang w:val="uk-UA" w:eastAsia="ru-RU"/>
        </w:rPr>
        <w:t xml:space="preserve">      </w:t>
      </w:r>
      <w:r w:rsidR="00906215">
        <w:rPr>
          <w:rFonts w:ascii="Times New Roman" w:eastAsia="Times New Roman" w:hAnsi="Times New Roman" w:cs="Times New Roman"/>
          <w:color w:val="000000"/>
          <w:sz w:val="28"/>
          <w:szCs w:val="28"/>
          <w:lang w:val="uk-UA" w:eastAsia="ru-RU"/>
        </w:rPr>
        <w:t xml:space="preserve">у пацієнтів </w:t>
      </w:r>
      <w:r w:rsidRPr="00187AB9">
        <w:rPr>
          <w:rFonts w:ascii="Times New Roman" w:eastAsia="Times New Roman" w:hAnsi="Times New Roman" w:cs="Times New Roman"/>
          <w:color w:val="000000"/>
          <w:sz w:val="28"/>
          <w:szCs w:val="28"/>
          <w:lang w:val="uk-UA" w:eastAsia="ru-RU"/>
        </w:rPr>
        <w:t xml:space="preserve">І та ІІ груп (p = 0,047), </w:t>
      </w:r>
      <w:r w:rsidR="00906215">
        <w:rPr>
          <w:rFonts w:ascii="Times New Roman" w:eastAsia="Times New Roman" w:hAnsi="Times New Roman" w:cs="Times New Roman"/>
          <w:color w:val="000000"/>
          <w:sz w:val="28"/>
          <w:szCs w:val="28"/>
          <w:lang w:val="uk-UA" w:eastAsia="ru-RU"/>
        </w:rPr>
        <w:t>то хворі</w:t>
      </w:r>
      <w:r w:rsidRPr="00187AB9">
        <w:rPr>
          <w:rFonts w:ascii="Times New Roman" w:eastAsia="Times New Roman" w:hAnsi="Times New Roman" w:cs="Times New Roman"/>
          <w:color w:val="000000"/>
          <w:sz w:val="28"/>
          <w:szCs w:val="28"/>
          <w:lang w:val="uk-UA" w:eastAsia="ru-RU"/>
        </w:rPr>
        <w:t xml:space="preserve"> приймали </w:t>
      </w:r>
      <w:r w:rsidR="00EC0375">
        <w:rPr>
          <w:rFonts w:ascii="Times New Roman" w:eastAsia="Times New Roman" w:hAnsi="Times New Roman" w:cs="Times New Roman"/>
          <w:color w:val="000000"/>
          <w:sz w:val="28"/>
          <w:szCs w:val="28"/>
          <w:lang w:val="uk-UA" w:eastAsia="ru-RU"/>
        </w:rPr>
        <w:t xml:space="preserve">антигіпертензивні препарати </w:t>
      </w:r>
      <w:r w:rsidRPr="00187AB9">
        <w:rPr>
          <w:rFonts w:ascii="Times New Roman" w:eastAsia="Times New Roman" w:hAnsi="Times New Roman" w:cs="Times New Roman"/>
          <w:color w:val="000000"/>
          <w:sz w:val="28"/>
          <w:szCs w:val="28"/>
          <w:lang w:val="uk-UA" w:eastAsia="ru-RU"/>
        </w:rPr>
        <w:t>i ранiше.</w:t>
      </w:r>
    </w:p>
    <w:p w:rsidR="00EC0375" w:rsidRDefault="00C42F9E"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Пацієнтів </w:t>
      </w:r>
      <w:r w:rsidR="00833A8B" w:rsidRPr="00833A8B">
        <w:rPr>
          <w:rFonts w:ascii="Times New Roman" w:eastAsia="Times New Roman" w:hAnsi="Times New Roman" w:cs="Times New Roman"/>
          <w:color w:val="000000"/>
          <w:sz w:val="28"/>
          <w:szCs w:val="28"/>
          <w:lang w:val="uk-UA" w:eastAsia="ru-RU"/>
        </w:rPr>
        <w:t xml:space="preserve">основної групи </w:t>
      </w:r>
      <w:r w:rsidR="00F362B3">
        <w:rPr>
          <w:rFonts w:ascii="Times New Roman" w:eastAsia="Times New Roman" w:hAnsi="Times New Roman" w:cs="Times New Roman"/>
          <w:color w:val="000000"/>
          <w:sz w:val="28"/>
          <w:szCs w:val="28"/>
          <w:lang w:val="uk-UA" w:eastAsia="ru-RU"/>
        </w:rPr>
        <w:t xml:space="preserve">(96 осіб) </w:t>
      </w:r>
      <w:r w:rsidR="00833A8B" w:rsidRPr="00833A8B">
        <w:rPr>
          <w:rFonts w:ascii="Times New Roman" w:eastAsia="Times New Roman" w:hAnsi="Times New Roman" w:cs="Times New Roman"/>
          <w:color w:val="000000"/>
          <w:sz w:val="28"/>
          <w:szCs w:val="28"/>
          <w:lang w:val="uk-UA" w:eastAsia="ru-RU"/>
        </w:rPr>
        <w:t xml:space="preserve">було поділено на дві підгрупи </w:t>
      </w:r>
      <w:r w:rsidR="00F362B3">
        <w:rPr>
          <w:rFonts w:ascii="Times New Roman" w:eastAsia="Times New Roman" w:hAnsi="Times New Roman" w:cs="Times New Roman"/>
          <w:color w:val="000000"/>
          <w:sz w:val="28"/>
          <w:szCs w:val="28"/>
          <w:lang w:val="uk-UA" w:eastAsia="ru-RU"/>
        </w:rPr>
        <w:t xml:space="preserve"> </w:t>
      </w:r>
      <w:r w:rsidR="00833A8B" w:rsidRPr="00833A8B">
        <w:rPr>
          <w:rFonts w:ascii="Times New Roman" w:eastAsia="Times New Roman" w:hAnsi="Times New Roman" w:cs="Times New Roman"/>
          <w:color w:val="000000"/>
          <w:sz w:val="28"/>
          <w:szCs w:val="28"/>
          <w:lang w:val="uk-UA" w:eastAsia="ru-RU"/>
        </w:rPr>
        <w:t>залежно від</w:t>
      </w:r>
      <w:r w:rsidR="00355BCF">
        <w:rPr>
          <w:rFonts w:ascii="Times New Roman" w:eastAsia="Times New Roman" w:hAnsi="Times New Roman" w:cs="Times New Roman"/>
          <w:color w:val="000000"/>
          <w:sz w:val="28"/>
          <w:szCs w:val="28"/>
          <w:lang w:val="uk-UA" w:eastAsia="ru-RU"/>
        </w:rPr>
        <w:t xml:space="preserve"> </w:t>
      </w:r>
      <w:r w:rsidR="00E50516" w:rsidRPr="00E50516">
        <w:rPr>
          <w:rFonts w:ascii="Times New Roman" w:eastAsia="Times New Roman" w:hAnsi="Times New Roman" w:cs="Times New Roman"/>
          <w:color w:val="000000"/>
          <w:sz w:val="28"/>
          <w:szCs w:val="28"/>
          <w:lang w:val="uk-UA" w:eastAsia="ru-RU"/>
        </w:rPr>
        <w:t>призначено</w:t>
      </w:r>
      <w:r w:rsidR="00E50516">
        <w:rPr>
          <w:rFonts w:ascii="Times New Roman" w:eastAsia="Times New Roman" w:hAnsi="Times New Roman" w:cs="Times New Roman"/>
          <w:color w:val="000000"/>
          <w:sz w:val="28"/>
          <w:szCs w:val="28"/>
          <w:lang w:val="uk-UA" w:eastAsia="ru-RU"/>
        </w:rPr>
        <w:t xml:space="preserve">го у складі комплексної терапії </w:t>
      </w:r>
      <w:r w:rsidR="00EC0375">
        <w:rPr>
          <w:rFonts w:ascii="Times New Roman" w:eastAsia="Times New Roman" w:hAnsi="Times New Roman" w:cs="Times New Roman"/>
          <w:color w:val="000000"/>
          <w:sz w:val="28"/>
          <w:szCs w:val="28"/>
          <w:lang w:val="uk-UA" w:eastAsia="ru-RU"/>
        </w:rPr>
        <w:t>блокатора РААС</w:t>
      </w:r>
      <w:r w:rsidR="00355BCF">
        <w:rPr>
          <w:rFonts w:ascii="Times New Roman" w:eastAsia="Times New Roman" w:hAnsi="Times New Roman" w:cs="Times New Roman"/>
          <w:color w:val="000000"/>
          <w:sz w:val="28"/>
          <w:szCs w:val="28"/>
          <w:lang w:val="uk-UA" w:eastAsia="ru-RU"/>
        </w:rPr>
        <w:t>.</w:t>
      </w:r>
      <w:r w:rsidR="00F362B3">
        <w:rPr>
          <w:rFonts w:ascii="Times New Roman" w:eastAsia="Times New Roman" w:hAnsi="Times New Roman" w:cs="Times New Roman"/>
          <w:color w:val="000000"/>
          <w:sz w:val="28"/>
          <w:szCs w:val="28"/>
          <w:lang w:val="uk-UA" w:eastAsia="ru-RU"/>
        </w:rPr>
        <w:t xml:space="preserve"> </w:t>
      </w:r>
      <w:r w:rsidR="00906215">
        <w:rPr>
          <w:rFonts w:ascii="Times New Roman" w:eastAsia="Times New Roman" w:hAnsi="Times New Roman" w:cs="Times New Roman"/>
          <w:color w:val="000000"/>
          <w:sz w:val="28"/>
          <w:szCs w:val="28"/>
          <w:lang w:val="uk-UA" w:eastAsia="ru-RU"/>
        </w:rPr>
        <w:lastRenderedPageBreak/>
        <w:t xml:space="preserve">Хворі </w:t>
      </w:r>
      <w:r w:rsidR="00F362B3">
        <w:rPr>
          <w:rFonts w:ascii="Times New Roman" w:eastAsia="Times New Roman" w:hAnsi="Times New Roman" w:cs="Times New Roman"/>
          <w:color w:val="000000"/>
          <w:sz w:val="28"/>
          <w:szCs w:val="28"/>
          <w:lang w:val="uk-UA" w:eastAsia="ru-RU"/>
        </w:rPr>
        <w:t>І підгрупи (n = 56</w:t>
      </w:r>
      <w:r w:rsidR="00833A8B" w:rsidRPr="00833A8B">
        <w:rPr>
          <w:rFonts w:ascii="Times New Roman" w:eastAsia="Times New Roman" w:hAnsi="Times New Roman" w:cs="Times New Roman"/>
          <w:color w:val="000000"/>
          <w:sz w:val="28"/>
          <w:szCs w:val="28"/>
          <w:lang w:val="uk-UA" w:eastAsia="ru-RU"/>
        </w:rPr>
        <w:t>) приймали телмісартан (40–80 мг 1 ра</w:t>
      </w:r>
      <w:r w:rsidR="006B1982">
        <w:rPr>
          <w:rFonts w:ascii="Times New Roman" w:eastAsia="Times New Roman" w:hAnsi="Times New Roman" w:cs="Times New Roman"/>
          <w:color w:val="000000"/>
          <w:sz w:val="28"/>
          <w:szCs w:val="28"/>
          <w:lang w:val="uk-UA" w:eastAsia="ru-RU"/>
        </w:rPr>
        <w:t xml:space="preserve">з на добу), ІІ </w:t>
      </w:r>
      <w:r w:rsidR="00604A89">
        <w:rPr>
          <w:rFonts w:ascii="Times New Roman" w:eastAsia="Times New Roman" w:hAnsi="Times New Roman" w:cs="Times New Roman"/>
          <w:color w:val="000000"/>
          <w:sz w:val="28"/>
          <w:szCs w:val="28"/>
          <w:lang w:val="uk-UA" w:eastAsia="ru-RU"/>
        </w:rPr>
        <w:t xml:space="preserve"> </w:t>
      </w:r>
      <w:r w:rsidR="006B1982">
        <w:rPr>
          <w:rFonts w:ascii="Times New Roman" w:eastAsia="Times New Roman" w:hAnsi="Times New Roman" w:cs="Times New Roman"/>
          <w:color w:val="000000"/>
          <w:sz w:val="28"/>
          <w:szCs w:val="28"/>
          <w:lang w:val="uk-UA" w:eastAsia="ru-RU"/>
        </w:rPr>
        <w:t>(n = 40) –  лізи</w:t>
      </w:r>
      <w:r w:rsidR="00833A8B" w:rsidRPr="00833A8B">
        <w:rPr>
          <w:rFonts w:ascii="Times New Roman" w:eastAsia="Times New Roman" w:hAnsi="Times New Roman" w:cs="Times New Roman"/>
          <w:color w:val="000000"/>
          <w:sz w:val="28"/>
          <w:szCs w:val="28"/>
          <w:lang w:val="uk-UA" w:eastAsia="ru-RU"/>
        </w:rPr>
        <w:t>ноприл (10–20 мг 1 раз на добу).</w:t>
      </w:r>
      <w:r w:rsidR="006B1982">
        <w:rPr>
          <w:rFonts w:ascii="Times New Roman" w:eastAsia="Times New Roman" w:hAnsi="Times New Roman" w:cs="Times New Roman"/>
          <w:color w:val="000000"/>
          <w:sz w:val="28"/>
          <w:szCs w:val="28"/>
          <w:lang w:val="uk-UA" w:eastAsia="ru-RU"/>
        </w:rPr>
        <w:t xml:space="preserve"> </w:t>
      </w:r>
    </w:p>
    <w:p w:rsidR="00833A8B" w:rsidRDefault="00095FE4" w:rsidP="007B7301">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П</w:t>
      </w:r>
      <w:r w:rsidR="00134C0E">
        <w:rPr>
          <w:rFonts w:ascii="Times New Roman" w:eastAsia="Times New Roman" w:hAnsi="Times New Roman" w:cs="Times New Roman"/>
          <w:color w:val="000000"/>
          <w:sz w:val="28"/>
          <w:szCs w:val="28"/>
          <w:lang w:val="uk-UA" w:eastAsia="ru-RU"/>
        </w:rPr>
        <w:t xml:space="preserve">ацієнти І та ІІ груп </w:t>
      </w:r>
      <w:r w:rsidR="00604A89">
        <w:rPr>
          <w:rFonts w:ascii="Times New Roman" w:eastAsia="Times New Roman" w:hAnsi="Times New Roman" w:cs="Times New Roman"/>
          <w:color w:val="000000"/>
          <w:sz w:val="28"/>
          <w:szCs w:val="28"/>
          <w:lang w:val="uk-UA" w:eastAsia="ru-RU"/>
        </w:rPr>
        <w:t xml:space="preserve">окрім </w:t>
      </w:r>
      <w:r w:rsidR="00604A89" w:rsidRPr="00604A89">
        <w:rPr>
          <w:rFonts w:ascii="Times New Roman" w:eastAsia="Times New Roman" w:hAnsi="Times New Roman" w:cs="Times New Roman"/>
          <w:color w:val="000000"/>
          <w:sz w:val="28"/>
          <w:szCs w:val="28"/>
          <w:lang w:val="uk-UA" w:eastAsia="ru-RU"/>
        </w:rPr>
        <w:t xml:space="preserve">блокатора РААС </w:t>
      </w:r>
      <w:r w:rsidR="00134C0E">
        <w:rPr>
          <w:rFonts w:ascii="Times New Roman" w:eastAsia="Times New Roman" w:hAnsi="Times New Roman" w:cs="Times New Roman"/>
          <w:color w:val="000000"/>
          <w:sz w:val="28"/>
          <w:szCs w:val="28"/>
          <w:lang w:val="uk-UA" w:eastAsia="ru-RU"/>
        </w:rPr>
        <w:t>отримували</w:t>
      </w:r>
      <w:r>
        <w:rPr>
          <w:rFonts w:ascii="Times New Roman" w:eastAsia="Times New Roman" w:hAnsi="Times New Roman" w:cs="Times New Roman"/>
          <w:color w:val="000000"/>
          <w:sz w:val="28"/>
          <w:szCs w:val="28"/>
          <w:lang w:val="uk-UA" w:eastAsia="ru-RU"/>
        </w:rPr>
        <w:t xml:space="preserve"> у</w:t>
      </w:r>
      <w:r w:rsidRPr="00095FE4">
        <w:rPr>
          <w:lang w:val="uk-UA"/>
        </w:rPr>
        <w:t xml:space="preserve"> </w:t>
      </w:r>
      <w:r w:rsidRPr="00095FE4">
        <w:rPr>
          <w:rFonts w:ascii="Times New Roman" w:eastAsia="Times New Roman" w:hAnsi="Times New Roman" w:cs="Times New Roman"/>
          <w:color w:val="000000"/>
          <w:sz w:val="28"/>
          <w:szCs w:val="28"/>
          <w:lang w:val="uk-UA" w:eastAsia="ru-RU"/>
        </w:rPr>
        <w:t>складі комплексної терапії</w:t>
      </w:r>
      <w:r>
        <w:rPr>
          <w:rFonts w:ascii="Times New Roman" w:eastAsia="Times New Roman" w:hAnsi="Times New Roman" w:cs="Times New Roman"/>
          <w:color w:val="000000"/>
          <w:sz w:val="28"/>
          <w:szCs w:val="28"/>
          <w:lang w:val="uk-UA" w:eastAsia="ru-RU"/>
        </w:rPr>
        <w:t xml:space="preserve"> </w:t>
      </w:r>
      <w:r w:rsidR="00EC0375">
        <w:rPr>
          <w:rFonts w:ascii="Times New Roman" w:eastAsia="Times New Roman" w:hAnsi="Times New Roman" w:cs="Times New Roman"/>
          <w:color w:val="000000"/>
          <w:sz w:val="28"/>
          <w:szCs w:val="28"/>
          <w:lang w:val="uk-UA" w:eastAsia="ru-RU"/>
        </w:rPr>
        <w:t xml:space="preserve"> </w:t>
      </w:r>
      <w:r w:rsidR="000F6430">
        <w:rPr>
          <w:rFonts w:ascii="Times New Roman" w:eastAsia="Times New Roman" w:hAnsi="Times New Roman" w:cs="Times New Roman"/>
          <w:color w:val="000000"/>
          <w:sz w:val="28"/>
          <w:szCs w:val="28"/>
          <w:lang w:val="uk-UA" w:eastAsia="ru-RU"/>
        </w:rPr>
        <w:t>карведилол (</w:t>
      </w:r>
      <w:r w:rsidR="000F6430" w:rsidRPr="000F6430">
        <w:rPr>
          <w:rFonts w:ascii="Times New Roman" w:eastAsia="Times New Roman" w:hAnsi="Times New Roman" w:cs="Times New Roman"/>
          <w:color w:val="000000"/>
          <w:sz w:val="28"/>
          <w:szCs w:val="28"/>
          <w:lang w:val="uk-UA" w:eastAsia="ru-RU"/>
        </w:rPr>
        <w:t>25</w:t>
      </w:r>
      <w:r w:rsidR="000F6430">
        <w:rPr>
          <w:rFonts w:ascii="Times New Roman" w:eastAsia="Times New Roman" w:hAnsi="Times New Roman" w:cs="Times New Roman"/>
          <w:color w:val="000000"/>
          <w:sz w:val="28"/>
          <w:szCs w:val="28"/>
          <w:lang w:val="uk-UA" w:eastAsia="ru-RU"/>
        </w:rPr>
        <w:t>−</w:t>
      </w:r>
      <w:r w:rsidR="00EC0375" w:rsidRPr="00EC0375">
        <w:rPr>
          <w:rFonts w:ascii="Times New Roman" w:eastAsia="Times New Roman" w:hAnsi="Times New Roman" w:cs="Times New Roman"/>
          <w:color w:val="000000"/>
          <w:sz w:val="28"/>
          <w:szCs w:val="28"/>
          <w:lang w:val="uk-UA" w:eastAsia="ru-RU"/>
        </w:rPr>
        <w:t>5</w:t>
      </w:r>
      <w:r w:rsidR="000F6430" w:rsidRPr="000F6430">
        <w:rPr>
          <w:rFonts w:ascii="Times New Roman" w:eastAsia="Times New Roman" w:hAnsi="Times New Roman" w:cs="Times New Roman"/>
          <w:color w:val="000000"/>
          <w:sz w:val="28"/>
          <w:szCs w:val="28"/>
          <w:lang w:val="uk-UA" w:eastAsia="ru-RU"/>
        </w:rPr>
        <w:t>0</w:t>
      </w:r>
      <w:r w:rsidR="000F6430">
        <w:rPr>
          <w:rFonts w:ascii="Times New Roman" w:eastAsia="Times New Roman" w:hAnsi="Times New Roman" w:cs="Times New Roman"/>
          <w:color w:val="000000"/>
          <w:sz w:val="28"/>
          <w:szCs w:val="28"/>
          <w:lang w:val="uk-UA" w:eastAsia="ru-RU"/>
        </w:rPr>
        <w:t xml:space="preserve"> мг</w:t>
      </w:r>
      <w:r w:rsidR="000F6430" w:rsidRPr="000F6430">
        <w:rPr>
          <w:rFonts w:ascii="Times New Roman" w:eastAsia="Times New Roman" w:hAnsi="Times New Roman" w:cs="Times New Roman"/>
          <w:color w:val="000000"/>
          <w:sz w:val="28"/>
          <w:szCs w:val="28"/>
          <w:lang w:val="uk-UA" w:eastAsia="ru-RU"/>
        </w:rPr>
        <w:t>/</w:t>
      </w:r>
      <w:r w:rsidR="001578FB">
        <w:rPr>
          <w:rFonts w:ascii="Times New Roman" w:eastAsia="Times New Roman" w:hAnsi="Times New Roman" w:cs="Times New Roman"/>
          <w:color w:val="000000"/>
          <w:sz w:val="28"/>
          <w:szCs w:val="28"/>
          <w:lang w:val="uk-UA" w:eastAsia="ru-RU"/>
        </w:rPr>
        <w:t xml:space="preserve">добу) або бiсопролол </w:t>
      </w:r>
      <w:r w:rsidR="000F6430" w:rsidRPr="000F6430">
        <w:rPr>
          <w:rFonts w:ascii="Times New Roman" w:eastAsia="Times New Roman" w:hAnsi="Times New Roman" w:cs="Times New Roman"/>
          <w:color w:val="000000"/>
          <w:sz w:val="28"/>
          <w:szCs w:val="28"/>
          <w:lang w:val="uk-UA" w:eastAsia="ru-RU"/>
        </w:rPr>
        <w:t xml:space="preserve">              </w:t>
      </w:r>
      <w:r w:rsidR="001578FB">
        <w:rPr>
          <w:rFonts w:ascii="Times New Roman" w:eastAsia="Times New Roman" w:hAnsi="Times New Roman" w:cs="Times New Roman"/>
          <w:color w:val="000000"/>
          <w:sz w:val="28"/>
          <w:szCs w:val="28"/>
          <w:lang w:val="uk-UA" w:eastAsia="ru-RU"/>
        </w:rPr>
        <w:t>(5−10 мг/</w:t>
      </w:r>
      <w:r w:rsidR="00795758">
        <w:rPr>
          <w:rFonts w:ascii="Times New Roman" w:eastAsia="Times New Roman" w:hAnsi="Times New Roman" w:cs="Times New Roman"/>
          <w:color w:val="000000"/>
          <w:sz w:val="28"/>
          <w:szCs w:val="28"/>
          <w:lang w:val="uk-UA" w:eastAsia="ru-RU"/>
        </w:rPr>
        <w:t>добу);</w:t>
      </w:r>
      <w:r w:rsidR="00EC0375" w:rsidRPr="00EC0375">
        <w:rPr>
          <w:rFonts w:ascii="Times New Roman" w:eastAsia="Times New Roman" w:hAnsi="Times New Roman" w:cs="Times New Roman"/>
          <w:color w:val="000000"/>
          <w:sz w:val="28"/>
          <w:szCs w:val="28"/>
          <w:lang w:val="uk-UA" w:eastAsia="ru-RU"/>
        </w:rPr>
        <w:t xml:space="preserve"> </w:t>
      </w:r>
      <w:r w:rsidR="00EC0375">
        <w:rPr>
          <w:rFonts w:ascii="Times New Roman" w:eastAsia="Times New Roman" w:hAnsi="Times New Roman" w:cs="Times New Roman"/>
          <w:color w:val="000000"/>
          <w:sz w:val="28"/>
          <w:szCs w:val="28"/>
          <w:lang w:val="uk-UA" w:eastAsia="ru-RU"/>
        </w:rPr>
        <w:t>амлодипін (5</w:t>
      </w:r>
      <w:r w:rsidR="00EC0375" w:rsidRPr="00EC0375">
        <w:rPr>
          <w:rFonts w:ascii="Times New Roman" w:eastAsia="Times New Roman" w:hAnsi="Times New Roman" w:cs="Times New Roman"/>
          <w:color w:val="000000"/>
          <w:sz w:val="28"/>
          <w:szCs w:val="28"/>
          <w:lang w:val="uk-UA" w:eastAsia="ru-RU"/>
        </w:rPr>
        <w:t>−</w:t>
      </w:r>
      <w:r w:rsidR="00EC0375">
        <w:rPr>
          <w:rFonts w:ascii="Times New Roman" w:eastAsia="Times New Roman" w:hAnsi="Times New Roman" w:cs="Times New Roman"/>
          <w:color w:val="000000"/>
          <w:sz w:val="28"/>
          <w:szCs w:val="28"/>
          <w:lang w:val="uk-UA" w:eastAsia="ru-RU"/>
        </w:rPr>
        <w:t>10 мг/добу), торасемід (2,5</w:t>
      </w:r>
      <w:r w:rsidR="00EC0375" w:rsidRPr="00EC0375">
        <w:rPr>
          <w:rFonts w:ascii="Times New Roman" w:eastAsia="Times New Roman" w:hAnsi="Times New Roman" w:cs="Times New Roman"/>
          <w:color w:val="000000"/>
          <w:sz w:val="28"/>
          <w:szCs w:val="28"/>
          <w:lang w:val="uk-UA" w:eastAsia="ru-RU"/>
        </w:rPr>
        <w:t>−</w:t>
      </w:r>
      <w:r w:rsidR="00EC0375">
        <w:rPr>
          <w:rFonts w:ascii="Times New Roman" w:eastAsia="Times New Roman" w:hAnsi="Times New Roman" w:cs="Times New Roman"/>
          <w:color w:val="000000"/>
          <w:sz w:val="28"/>
          <w:szCs w:val="28"/>
          <w:lang w:val="uk-UA" w:eastAsia="ru-RU"/>
        </w:rPr>
        <w:t>5</w:t>
      </w:r>
      <w:r w:rsidR="00EC0375" w:rsidRPr="00EC0375">
        <w:rPr>
          <w:rFonts w:ascii="Times New Roman" w:eastAsia="Times New Roman" w:hAnsi="Times New Roman" w:cs="Times New Roman"/>
          <w:color w:val="000000"/>
          <w:sz w:val="28"/>
          <w:szCs w:val="28"/>
          <w:lang w:val="uk-UA" w:eastAsia="ru-RU"/>
        </w:rPr>
        <w:t>−</w:t>
      </w:r>
      <w:r w:rsidR="00EC0375">
        <w:rPr>
          <w:rFonts w:ascii="Times New Roman" w:eastAsia="Times New Roman" w:hAnsi="Times New Roman" w:cs="Times New Roman"/>
          <w:color w:val="000000"/>
          <w:sz w:val="28"/>
          <w:szCs w:val="28"/>
          <w:lang w:val="uk-UA" w:eastAsia="ru-RU"/>
        </w:rPr>
        <w:t>10</w:t>
      </w:r>
      <w:r w:rsidR="001578FB">
        <w:rPr>
          <w:rFonts w:ascii="Times New Roman" w:eastAsia="Times New Roman" w:hAnsi="Times New Roman" w:cs="Times New Roman"/>
          <w:color w:val="000000"/>
          <w:sz w:val="28"/>
          <w:szCs w:val="28"/>
          <w:lang w:val="uk-UA" w:eastAsia="ru-RU"/>
        </w:rPr>
        <w:t xml:space="preserve"> мг/добу), </w:t>
      </w:r>
      <w:r w:rsidR="00EC0375" w:rsidRPr="00EC0375">
        <w:rPr>
          <w:rFonts w:ascii="Times New Roman" w:eastAsia="Times New Roman" w:hAnsi="Times New Roman" w:cs="Times New Roman"/>
          <w:color w:val="000000"/>
          <w:sz w:val="28"/>
          <w:szCs w:val="28"/>
          <w:lang w:val="uk-UA" w:eastAsia="ru-RU"/>
        </w:rPr>
        <w:t>ацетилсалiцилову кислоту (75−100−150 м</w:t>
      </w:r>
      <w:r w:rsidR="001578FB">
        <w:rPr>
          <w:rFonts w:ascii="Times New Roman" w:eastAsia="Times New Roman" w:hAnsi="Times New Roman" w:cs="Times New Roman"/>
          <w:color w:val="000000"/>
          <w:sz w:val="28"/>
          <w:szCs w:val="28"/>
          <w:lang w:val="uk-UA" w:eastAsia="ru-RU"/>
        </w:rPr>
        <w:t xml:space="preserve">г/добу), аторвастатин </w:t>
      </w:r>
      <w:r w:rsidR="000F6430" w:rsidRPr="000F6430">
        <w:rPr>
          <w:rFonts w:ascii="Times New Roman" w:eastAsia="Times New Roman" w:hAnsi="Times New Roman" w:cs="Times New Roman"/>
          <w:color w:val="000000"/>
          <w:sz w:val="28"/>
          <w:szCs w:val="28"/>
          <w:lang w:val="uk-UA" w:eastAsia="ru-RU"/>
        </w:rPr>
        <w:t xml:space="preserve">        </w:t>
      </w:r>
      <w:r w:rsidR="001578FB">
        <w:rPr>
          <w:rFonts w:ascii="Times New Roman" w:eastAsia="Times New Roman" w:hAnsi="Times New Roman" w:cs="Times New Roman"/>
          <w:color w:val="000000"/>
          <w:sz w:val="28"/>
          <w:szCs w:val="28"/>
          <w:lang w:val="uk-UA" w:eastAsia="ru-RU"/>
        </w:rPr>
        <w:t>(10−</w:t>
      </w:r>
      <w:r w:rsidR="00134C0E">
        <w:rPr>
          <w:rFonts w:ascii="Times New Roman" w:eastAsia="Times New Roman" w:hAnsi="Times New Roman" w:cs="Times New Roman"/>
          <w:color w:val="000000"/>
          <w:sz w:val="28"/>
          <w:szCs w:val="28"/>
          <w:lang w:val="uk-UA" w:eastAsia="ru-RU"/>
        </w:rPr>
        <w:t>20</w:t>
      </w:r>
      <w:r w:rsidR="00134C0E" w:rsidRPr="00134C0E">
        <w:rPr>
          <w:rFonts w:ascii="Times New Roman" w:eastAsia="Times New Roman" w:hAnsi="Times New Roman" w:cs="Times New Roman"/>
          <w:color w:val="000000"/>
          <w:sz w:val="28"/>
          <w:szCs w:val="28"/>
          <w:lang w:val="uk-UA" w:eastAsia="ru-RU"/>
        </w:rPr>
        <w:t>−</w:t>
      </w:r>
      <w:r w:rsidR="001578FB">
        <w:rPr>
          <w:rFonts w:ascii="Times New Roman" w:eastAsia="Times New Roman" w:hAnsi="Times New Roman" w:cs="Times New Roman"/>
          <w:color w:val="000000"/>
          <w:sz w:val="28"/>
          <w:szCs w:val="28"/>
          <w:lang w:val="uk-UA" w:eastAsia="ru-RU"/>
        </w:rPr>
        <w:t>40 мг/</w:t>
      </w:r>
      <w:r w:rsidR="00EC0375" w:rsidRPr="00EC0375">
        <w:rPr>
          <w:rFonts w:ascii="Times New Roman" w:eastAsia="Times New Roman" w:hAnsi="Times New Roman" w:cs="Times New Roman"/>
          <w:color w:val="000000"/>
          <w:sz w:val="28"/>
          <w:szCs w:val="28"/>
          <w:lang w:val="uk-UA" w:eastAsia="ru-RU"/>
        </w:rPr>
        <w:t xml:space="preserve">добу). </w:t>
      </w:r>
      <w:r w:rsidR="00F362B3">
        <w:rPr>
          <w:rFonts w:ascii="Times New Roman" w:eastAsia="Times New Roman" w:hAnsi="Times New Roman" w:cs="Times New Roman"/>
          <w:color w:val="000000"/>
          <w:sz w:val="28"/>
          <w:szCs w:val="28"/>
          <w:lang w:val="uk-UA" w:eastAsia="ru-RU"/>
        </w:rPr>
        <w:t xml:space="preserve">Протягом дослідження двоє </w:t>
      </w:r>
      <w:r w:rsidR="00906215">
        <w:rPr>
          <w:rFonts w:ascii="Times New Roman" w:eastAsia="Times New Roman" w:hAnsi="Times New Roman" w:cs="Times New Roman"/>
          <w:color w:val="000000"/>
          <w:sz w:val="28"/>
          <w:szCs w:val="28"/>
          <w:lang w:val="uk-UA" w:eastAsia="ru-RU"/>
        </w:rPr>
        <w:t xml:space="preserve">пацієнтів </w:t>
      </w:r>
      <w:r w:rsidR="00F362B3">
        <w:rPr>
          <w:rFonts w:ascii="Times New Roman" w:eastAsia="Times New Roman" w:hAnsi="Times New Roman" w:cs="Times New Roman"/>
          <w:color w:val="000000"/>
          <w:sz w:val="28"/>
          <w:szCs w:val="28"/>
          <w:lang w:val="uk-UA" w:eastAsia="ru-RU"/>
        </w:rPr>
        <w:t>із І під</w:t>
      </w:r>
      <w:r w:rsidR="00D10A78">
        <w:rPr>
          <w:rFonts w:ascii="Times New Roman" w:eastAsia="Times New Roman" w:hAnsi="Times New Roman" w:cs="Times New Roman"/>
          <w:color w:val="000000"/>
          <w:sz w:val="28"/>
          <w:szCs w:val="28"/>
          <w:lang w:val="uk-UA" w:eastAsia="ru-RU"/>
        </w:rPr>
        <w:t>групи вибули</w:t>
      </w:r>
      <w:r w:rsidR="008541B2">
        <w:rPr>
          <w:rFonts w:ascii="Times New Roman" w:eastAsia="Times New Roman" w:hAnsi="Times New Roman" w:cs="Times New Roman"/>
          <w:color w:val="000000"/>
          <w:sz w:val="28"/>
          <w:szCs w:val="28"/>
          <w:lang w:val="uk-UA" w:eastAsia="ru-RU"/>
        </w:rPr>
        <w:t xml:space="preserve"> й у ній залишилося</w:t>
      </w:r>
      <w:r w:rsidR="00F362B3">
        <w:rPr>
          <w:rFonts w:ascii="Times New Roman" w:eastAsia="Times New Roman" w:hAnsi="Times New Roman" w:cs="Times New Roman"/>
          <w:color w:val="000000"/>
          <w:sz w:val="28"/>
          <w:szCs w:val="28"/>
          <w:lang w:val="uk-UA" w:eastAsia="ru-RU"/>
        </w:rPr>
        <w:t xml:space="preserve"> </w:t>
      </w:r>
      <w:r w:rsidR="00D10A78">
        <w:rPr>
          <w:rFonts w:ascii="Times New Roman" w:eastAsia="Times New Roman" w:hAnsi="Times New Roman" w:cs="Times New Roman"/>
          <w:color w:val="000000"/>
          <w:sz w:val="28"/>
          <w:szCs w:val="28"/>
          <w:lang w:val="uk-UA" w:eastAsia="ru-RU"/>
        </w:rPr>
        <w:t>54 особи</w:t>
      </w:r>
      <w:r w:rsidR="008541B2">
        <w:rPr>
          <w:rFonts w:ascii="Times New Roman" w:eastAsia="Times New Roman" w:hAnsi="Times New Roman" w:cs="Times New Roman"/>
          <w:color w:val="000000"/>
          <w:sz w:val="28"/>
          <w:szCs w:val="28"/>
          <w:lang w:val="uk-UA" w:eastAsia="ru-RU"/>
        </w:rPr>
        <w:t>.</w:t>
      </w:r>
      <w:r w:rsidR="00D10A78">
        <w:rPr>
          <w:rFonts w:ascii="Times New Roman" w:eastAsia="Times New Roman" w:hAnsi="Times New Roman" w:cs="Times New Roman"/>
          <w:color w:val="000000"/>
          <w:sz w:val="28"/>
          <w:szCs w:val="28"/>
          <w:lang w:val="uk-UA" w:eastAsia="ru-RU"/>
        </w:rPr>
        <w:t xml:space="preserve"> </w:t>
      </w:r>
      <w:r w:rsidR="008541B2">
        <w:rPr>
          <w:rFonts w:ascii="Times New Roman" w:eastAsia="Times New Roman" w:hAnsi="Times New Roman" w:cs="Times New Roman"/>
          <w:color w:val="000000"/>
          <w:sz w:val="28"/>
          <w:szCs w:val="28"/>
          <w:lang w:val="uk-UA" w:eastAsia="ru-RU"/>
        </w:rPr>
        <w:t>Таким чином, п</w:t>
      </w:r>
      <w:r w:rsidR="00146D5E">
        <w:rPr>
          <w:rFonts w:ascii="Times New Roman" w:eastAsia="Times New Roman" w:hAnsi="Times New Roman" w:cs="Times New Roman"/>
          <w:color w:val="000000"/>
          <w:sz w:val="28"/>
          <w:szCs w:val="28"/>
          <w:lang w:val="uk-UA" w:eastAsia="ru-RU"/>
        </w:rPr>
        <w:t>ростежити динаміку зміни пок</w:t>
      </w:r>
      <w:r w:rsidR="00D10A78">
        <w:rPr>
          <w:rFonts w:ascii="Times New Roman" w:eastAsia="Times New Roman" w:hAnsi="Times New Roman" w:cs="Times New Roman"/>
          <w:color w:val="000000"/>
          <w:sz w:val="28"/>
          <w:szCs w:val="28"/>
          <w:lang w:val="uk-UA" w:eastAsia="ru-RU"/>
        </w:rPr>
        <w:t>азників функції серця та</w:t>
      </w:r>
      <w:r w:rsidR="00146D5E">
        <w:rPr>
          <w:rFonts w:ascii="Times New Roman" w:eastAsia="Times New Roman" w:hAnsi="Times New Roman" w:cs="Times New Roman"/>
          <w:color w:val="000000"/>
          <w:sz w:val="28"/>
          <w:szCs w:val="28"/>
          <w:lang w:val="uk-UA" w:eastAsia="ru-RU"/>
        </w:rPr>
        <w:t xml:space="preserve"> нирок ми мали змогу у 54 хворих. </w:t>
      </w:r>
      <w:r w:rsidR="006B1982" w:rsidRPr="006B1982">
        <w:rPr>
          <w:rFonts w:ascii="Times New Roman" w:eastAsia="Times New Roman" w:hAnsi="Times New Roman" w:cs="Times New Roman"/>
          <w:color w:val="000000"/>
          <w:sz w:val="28"/>
          <w:szCs w:val="28"/>
          <w:lang w:val="uk-UA" w:eastAsia="ru-RU"/>
        </w:rPr>
        <w:t xml:space="preserve">Через </w:t>
      </w:r>
      <w:r w:rsidR="00537E3F">
        <w:rPr>
          <w:rFonts w:ascii="Times New Roman" w:eastAsia="Times New Roman" w:hAnsi="Times New Roman" w:cs="Times New Roman"/>
          <w:color w:val="000000"/>
          <w:sz w:val="28"/>
          <w:szCs w:val="28"/>
          <w:lang w:val="uk-UA" w:eastAsia="ru-RU"/>
        </w:rPr>
        <w:t>3 місяці</w:t>
      </w:r>
      <w:r w:rsidR="006B1982" w:rsidRPr="006B1982">
        <w:rPr>
          <w:rFonts w:ascii="Times New Roman" w:eastAsia="Times New Roman" w:hAnsi="Times New Roman" w:cs="Times New Roman"/>
          <w:color w:val="000000"/>
          <w:sz w:val="28"/>
          <w:szCs w:val="28"/>
          <w:lang w:val="uk-UA" w:eastAsia="ru-RU"/>
        </w:rPr>
        <w:t xml:space="preserve"> </w:t>
      </w:r>
      <w:r w:rsidR="00590784">
        <w:rPr>
          <w:rFonts w:ascii="Times New Roman" w:eastAsia="Times New Roman" w:hAnsi="Times New Roman" w:cs="Times New Roman"/>
          <w:color w:val="000000"/>
          <w:sz w:val="28"/>
          <w:szCs w:val="28"/>
          <w:lang w:val="uk-UA" w:eastAsia="ru-RU"/>
        </w:rPr>
        <w:t xml:space="preserve">комплексного </w:t>
      </w:r>
      <w:r w:rsidR="006B1982" w:rsidRPr="006B1982">
        <w:rPr>
          <w:rFonts w:ascii="Times New Roman" w:eastAsia="Times New Roman" w:hAnsi="Times New Roman" w:cs="Times New Roman"/>
          <w:color w:val="000000"/>
          <w:sz w:val="28"/>
          <w:szCs w:val="28"/>
          <w:lang w:val="uk-UA" w:eastAsia="ru-RU"/>
        </w:rPr>
        <w:t xml:space="preserve">лікування пацієнтів із АГ та ЦД 2-го типу було повторно обстежено на </w:t>
      </w:r>
      <w:r w:rsidR="00537E3F">
        <w:rPr>
          <w:rFonts w:ascii="Times New Roman" w:eastAsia="Times New Roman" w:hAnsi="Times New Roman" w:cs="Times New Roman"/>
          <w:color w:val="000000"/>
          <w:sz w:val="28"/>
          <w:szCs w:val="28"/>
          <w:lang w:val="uk-UA" w:eastAsia="ru-RU"/>
        </w:rPr>
        <w:t xml:space="preserve">вміст </w:t>
      </w:r>
      <w:r w:rsidR="00537E3F" w:rsidRPr="00537E3F">
        <w:rPr>
          <w:rFonts w:ascii="Times New Roman" w:eastAsia="Times New Roman" w:hAnsi="Times New Roman" w:cs="Times New Roman"/>
          <w:color w:val="000000"/>
          <w:sz w:val="28"/>
          <w:szCs w:val="28"/>
          <w:lang w:val="uk-UA" w:eastAsia="ru-RU"/>
        </w:rPr>
        <w:t>HbA1с</w:t>
      </w:r>
      <w:r w:rsidR="006B1982" w:rsidRPr="006B1982">
        <w:rPr>
          <w:rFonts w:ascii="Times New Roman" w:eastAsia="Times New Roman" w:hAnsi="Times New Roman" w:cs="Times New Roman"/>
          <w:color w:val="000000"/>
          <w:sz w:val="28"/>
          <w:szCs w:val="28"/>
          <w:lang w:val="uk-UA" w:eastAsia="ru-RU"/>
        </w:rPr>
        <w:t xml:space="preserve">, через </w:t>
      </w:r>
      <w:r w:rsidR="00537E3F">
        <w:rPr>
          <w:rFonts w:ascii="Times New Roman" w:eastAsia="Times New Roman" w:hAnsi="Times New Roman" w:cs="Times New Roman"/>
          <w:color w:val="000000"/>
          <w:sz w:val="28"/>
          <w:szCs w:val="28"/>
          <w:lang w:val="uk-UA" w:eastAsia="ru-RU"/>
        </w:rPr>
        <w:t>6</w:t>
      </w:r>
      <w:r w:rsidR="006B1982" w:rsidRPr="006B1982">
        <w:rPr>
          <w:rFonts w:ascii="Times New Roman" w:eastAsia="Times New Roman" w:hAnsi="Times New Roman" w:cs="Times New Roman"/>
          <w:color w:val="000000"/>
          <w:sz w:val="28"/>
          <w:szCs w:val="28"/>
          <w:lang w:val="uk-UA" w:eastAsia="ru-RU"/>
        </w:rPr>
        <w:t xml:space="preserve"> місяці</w:t>
      </w:r>
      <w:r w:rsidR="00537E3F">
        <w:rPr>
          <w:rFonts w:ascii="Times New Roman" w:eastAsia="Times New Roman" w:hAnsi="Times New Roman" w:cs="Times New Roman"/>
          <w:color w:val="000000"/>
          <w:sz w:val="28"/>
          <w:szCs w:val="28"/>
          <w:lang w:val="uk-UA" w:eastAsia="ru-RU"/>
        </w:rPr>
        <w:t>в – альбумінурії</w:t>
      </w:r>
      <w:r w:rsidR="006B1982" w:rsidRPr="006B1982">
        <w:rPr>
          <w:rFonts w:ascii="Times New Roman" w:eastAsia="Times New Roman" w:hAnsi="Times New Roman" w:cs="Times New Roman"/>
          <w:color w:val="000000"/>
          <w:sz w:val="28"/>
          <w:szCs w:val="28"/>
          <w:lang w:val="uk-UA" w:eastAsia="ru-RU"/>
        </w:rPr>
        <w:t>.</w:t>
      </w:r>
      <w:r w:rsidR="00537E3F">
        <w:rPr>
          <w:rFonts w:ascii="Times New Roman" w:eastAsia="Times New Roman" w:hAnsi="Times New Roman" w:cs="Times New Roman"/>
          <w:color w:val="000000"/>
          <w:sz w:val="28"/>
          <w:szCs w:val="28"/>
          <w:lang w:val="uk-UA" w:eastAsia="ru-RU"/>
        </w:rPr>
        <w:t xml:space="preserve"> </w:t>
      </w:r>
      <w:r w:rsidR="00537E3F">
        <w:rPr>
          <w:rFonts w:ascii="Times New Roman" w:hAnsi="Times New Roman" w:cs="Times New Roman"/>
          <w:sz w:val="28"/>
          <w:szCs w:val="28"/>
          <w:lang w:val="uk-UA"/>
        </w:rPr>
        <w:t>Д</w:t>
      </w:r>
      <w:r w:rsidR="006B1982">
        <w:rPr>
          <w:rFonts w:ascii="Times New Roman" w:hAnsi="Times New Roman" w:cs="Times New Roman"/>
          <w:sz w:val="28"/>
          <w:szCs w:val="28"/>
          <w:lang w:val="uk-UA"/>
        </w:rPr>
        <w:t>ин</w:t>
      </w:r>
      <w:r w:rsidR="00973DC3">
        <w:rPr>
          <w:rFonts w:ascii="Times New Roman" w:hAnsi="Times New Roman" w:cs="Times New Roman"/>
          <w:sz w:val="28"/>
          <w:szCs w:val="28"/>
          <w:lang w:val="uk-UA"/>
        </w:rPr>
        <w:t>аміку показників ехокарді</w:t>
      </w:r>
      <w:r w:rsidR="00973DC3" w:rsidRPr="00146D5E">
        <w:rPr>
          <w:rFonts w:ascii="Times New Roman" w:hAnsi="Times New Roman" w:cs="Times New Roman"/>
          <w:sz w:val="28"/>
          <w:szCs w:val="28"/>
          <w:lang w:val="uk-UA"/>
        </w:rPr>
        <w:t>ографії</w:t>
      </w:r>
      <w:r w:rsidR="00537E3F">
        <w:rPr>
          <w:rFonts w:ascii="Times New Roman" w:hAnsi="Times New Roman" w:cs="Times New Roman"/>
          <w:sz w:val="28"/>
          <w:szCs w:val="28"/>
          <w:lang w:val="uk-UA"/>
        </w:rPr>
        <w:t xml:space="preserve"> було оцінено через </w:t>
      </w:r>
      <w:r w:rsidR="00293A83">
        <w:rPr>
          <w:rFonts w:ascii="Times New Roman" w:hAnsi="Times New Roman" w:cs="Times New Roman"/>
          <w:sz w:val="28"/>
          <w:szCs w:val="28"/>
          <w:lang w:val="uk-UA"/>
        </w:rPr>
        <w:t xml:space="preserve">6 місяців </w:t>
      </w:r>
      <w:r w:rsidR="00C50714">
        <w:rPr>
          <w:rFonts w:ascii="Times New Roman" w:hAnsi="Times New Roman" w:cs="Times New Roman"/>
          <w:sz w:val="28"/>
          <w:szCs w:val="28"/>
          <w:lang w:val="uk-UA"/>
        </w:rPr>
        <w:t xml:space="preserve">               </w:t>
      </w:r>
      <w:r w:rsidR="00293A83">
        <w:rPr>
          <w:rFonts w:ascii="Times New Roman" w:hAnsi="Times New Roman" w:cs="Times New Roman"/>
          <w:sz w:val="28"/>
          <w:szCs w:val="28"/>
          <w:lang w:val="uk-UA"/>
        </w:rPr>
        <w:t>від початку терапії</w:t>
      </w:r>
      <w:r w:rsidR="006B1982" w:rsidRPr="00146D5E">
        <w:rPr>
          <w:rFonts w:ascii="Times New Roman" w:hAnsi="Times New Roman" w:cs="Times New Roman"/>
          <w:sz w:val="28"/>
          <w:szCs w:val="28"/>
          <w:lang w:val="uk-UA"/>
        </w:rPr>
        <w:t>.</w:t>
      </w:r>
    </w:p>
    <w:p w:rsidR="006B1982" w:rsidRDefault="006B1982"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sidRPr="006B1982">
        <w:rPr>
          <w:rFonts w:ascii="Times New Roman" w:eastAsia="Times New Roman" w:hAnsi="Times New Roman" w:cs="Times New Roman"/>
          <w:color w:val="000000"/>
          <w:sz w:val="28"/>
          <w:szCs w:val="28"/>
          <w:lang w:val="uk-UA" w:eastAsia="ru-RU"/>
        </w:rPr>
        <w:t xml:space="preserve">Пацієнтам із </w:t>
      </w:r>
      <w:r w:rsidR="00C42F9E">
        <w:rPr>
          <w:rFonts w:ascii="Times New Roman" w:eastAsia="Times New Roman" w:hAnsi="Times New Roman" w:cs="Times New Roman"/>
          <w:color w:val="000000"/>
          <w:sz w:val="28"/>
          <w:szCs w:val="28"/>
          <w:lang w:val="uk-UA" w:eastAsia="ru-RU"/>
        </w:rPr>
        <w:t>АГ та ЦД 2-го типу</w:t>
      </w:r>
      <w:r w:rsidR="003940DA">
        <w:rPr>
          <w:rFonts w:ascii="Times New Roman" w:eastAsia="Times New Roman" w:hAnsi="Times New Roman" w:cs="Times New Roman"/>
          <w:color w:val="000000"/>
          <w:sz w:val="28"/>
          <w:szCs w:val="28"/>
          <w:lang w:val="uk-UA" w:eastAsia="ru-RU"/>
        </w:rPr>
        <w:t xml:space="preserve"> із меншим за 10 пг/мл вмістом</w:t>
      </w:r>
      <w:r w:rsidRPr="006B1982">
        <w:rPr>
          <w:rFonts w:ascii="Times New Roman" w:eastAsia="Times New Roman" w:hAnsi="Times New Roman" w:cs="Times New Roman"/>
          <w:color w:val="000000"/>
          <w:sz w:val="28"/>
          <w:szCs w:val="28"/>
          <w:lang w:val="uk-UA" w:eastAsia="ru-RU"/>
        </w:rPr>
        <w:t xml:space="preserve"> ЕТ-1</w:t>
      </w:r>
      <w:r w:rsidR="00146D5E">
        <w:rPr>
          <w:rFonts w:ascii="Times New Roman" w:eastAsia="Times New Roman" w:hAnsi="Times New Roman" w:cs="Times New Roman"/>
          <w:color w:val="000000"/>
          <w:sz w:val="28"/>
          <w:szCs w:val="28"/>
          <w:lang w:val="uk-UA" w:eastAsia="ru-RU"/>
        </w:rPr>
        <w:t xml:space="preserve"> </w:t>
      </w:r>
      <w:r w:rsidR="00146D5E" w:rsidRPr="00146D5E">
        <w:rPr>
          <w:rFonts w:ascii="Times New Roman" w:eastAsia="Times New Roman" w:hAnsi="Times New Roman" w:cs="Times New Roman"/>
          <w:color w:val="000000"/>
          <w:sz w:val="28"/>
          <w:szCs w:val="28"/>
          <w:lang w:val="uk-UA" w:eastAsia="ru-RU"/>
        </w:rPr>
        <w:t xml:space="preserve">    </w:t>
      </w:r>
      <w:r w:rsidR="00146D5E">
        <w:rPr>
          <w:rFonts w:ascii="Times New Roman" w:eastAsia="Times New Roman" w:hAnsi="Times New Roman" w:cs="Times New Roman"/>
          <w:color w:val="000000"/>
          <w:sz w:val="28"/>
          <w:szCs w:val="28"/>
          <w:lang w:val="uk-UA" w:eastAsia="ru-RU"/>
        </w:rPr>
        <w:t>(</w:t>
      </w:r>
      <w:r w:rsidR="00146D5E">
        <w:rPr>
          <w:rFonts w:ascii="Times New Roman" w:eastAsia="Times New Roman" w:hAnsi="Times New Roman" w:cs="Times New Roman"/>
          <w:color w:val="000000"/>
          <w:sz w:val="28"/>
          <w:szCs w:val="28"/>
          <w:lang w:val="en-US" w:eastAsia="ru-RU"/>
        </w:rPr>
        <w:t>n</w:t>
      </w:r>
      <w:r w:rsidR="00146D5E" w:rsidRPr="00146D5E">
        <w:rPr>
          <w:rFonts w:ascii="Times New Roman" w:eastAsia="Times New Roman" w:hAnsi="Times New Roman" w:cs="Times New Roman"/>
          <w:color w:val="000000"/>
          <w:sz w:val="28"/>
          <w:szCs w:val="28"/>
          <w:lang w:val="uk-UA" w:eastAsia="ru-RU"/>
        </w:rPr>
        <w:t xml:space="preserve"> = </w:t>
      </w:r>
      <w:r w:rsidR="00146D5E">
        <w:rPr>
          <w:rFonts w:ascii="Times New Roman" w:eastAsia="Times New Roman" w:hAnsi="Times New Roman" w:cs="Times New Roman"/>
          <w:color w:val="000000"/>
          <w:sz w:val="28"/>
          <w:szCs w:val="28"/>
          <w:lang w:val="uk-UA" w:eastAsia="ru-RU"/>
        </w:rPr>
        <w:t>25), які ввійшли до</w:t>
      </w:r>
      <w:r>
        <w:rPr>
          <w:rFonts w:ascii="Times New Roman" w:eastAsia="Times New Roman" w:hAnsi="Times New Roman" w:cs="Times New Roman"/>
          <w:color w:val="000000"/>
          <w:sz w:val="28"/>
          <w:szCs w:val="28"/>
          <w:lang w:val="uk-UA" w:eastAsia="ru-RU"/>
        </w:rPr>
        <w:t xml:space="preserve"> </w:t>
      </w:r>
      <w:r w:rsidR="00146D5E">
        <w:rPr>
          <w:rFonts w:ascii="Times New Roman" w:eastAsia="Times New Roman" w:hAnsi="Times New Roman" w:cs="Times New Roman"/>
          <w:color w:val="000000"/>
          <w:sz w:val="28"/>
          <w:szCs w:val="28"/>
          <w:lang w:val="uk-UA" w:eastAsia="ru-RU"/>
        </w:rPr>
        <w:t>Іа підгрупи,</w:t>
      </w:r>
      <w:r w:rsidRPr="006B1982">
        <w:rPr>
          <w:rFonts w:ascii="Times New Roman" w:eastAsia="Times New Roman" w:hAnsi="Times New Roman" w:cs="Times New Roman"/>
          <w:color w:val="000000"/>
          <w:sz w:val="28"/>
          <w:szCs w:val="28"/>
          <w:lang w:val="uk-UA" w:eastAsia="ru-RU"/>
        </w:rPr>
        <w:t xml:space="preserve"> було признач</w:t>
      </w:r>
      <w:r w:rsidR="00590784">
        <w:rPr>
          <w:rFonts w:ascii="Times New Roman" w:eastAsia="Times New Roman" w:hAnsi="Times New Roman" w:cs="Times New Roman"/>
          <w:color w:val="000000"/>
          <w:sz w:val="28"/>
          <w:szCs w:val="28"/>
          <w:lang w:val="uk-UA" w:eastAsia="ru-RU"/>
        </w:rPr>
        <w:t>ено 40 мг/добу телмісартану. Хворим</w:t>
      </w:r>
      <w:r w:rsidR="00D10A78">
        <w:rPr>
          <w:rFonts w:ascii="Times New Roman" w:eastAsia="Times New Roman" w:hAnsi="Times New Roman" w:cs="Times New Roman"/>
          <w:color w:val="000000"/>
          <w:sz w:val="28"/>
          <w:szCs w:val="28"/>
          <w:lang w:val="uk-UA" w:eastAsia="ru-RU"/>
        </w:rPr>
        <w:t xml:space="preserve"> із</w:t>
      </w:r>
      <w:r>
        <w:rPr>
          <w:rFonts w:ascii="Times New Roman" w:eastAsia="Times New Roman" w:hAnsi="Times New Roman" w:cs="Times New Roman"/>
          <w:color w:val="000000"/>
          <w:sz w:val="28"/>
          <w:szCs w:val="28"/>
          <w:lang w:val="uk-UA" w:eastAsia="ru-RU"/>
        </w:rPr>
        <w:t xml:space="preserve"> більшим за 10 п</w:t>
      </w:r>
      <w:r w:rsidRPr="006B1982">
        <w:rPr>
          <w:rFonts w:ascii="Times New Roman" w:eastAsia="Times New Roman" w:hAnsi="Times New Roman" w:cs="Times New Roman"/>
          <w:color w:val="000000"/>
          <w:sz w:val="28"/>
          <w:szCs w:val="28"/>
          <w:lang w:val="uk-UA" w:eastAsia="ru-RU"/>
        </w:rPr>
        <w:t>г/мл</w:t>
      </w:r>
      <w:r w:rsidR="00146D5E">
        <w:rPr>
          <w:rFonts w:ascii="Times New Roman" w:eastAsia="Times New Roman" w:hAnsi="Times New Roman" w:cs="Times New Roman"/>
          <w:color w:val="000000"/>
          <w:sz w:val="28"/>
          <w:szCs w:val="28"/>
          <w:lang w:val="uk-UA" w:eastAsia="ru-RU"/>
        </w:rPr>
        <w:t xml:space="preserve"> (</w:t>
      </w:r>
      <w:r w:rsidR="00D10A78">
        <w:rPr>
          <w:rFonts w:ascii="Times New Roman" w:eastAsia="Times New Roman" w:hAnsi="Times New Roman" w:cs="Times New Roman"/>
          <w:color w:val="000000"/>
          <w:sz w:val="28"/>
          <w:szCs w:val="28"/>
          <w:lang w:val="en-US" w:eastAsia="ru-RU"/>
        </w:rPr>
        <w:t>n</w:t>
      </w:r>
      <w:r w:rsidR="00D10A78" w:rsidRPr="00D10A78">
        <w:rPr>
          <w:rFonts w:ascii="Times New Roman" w:eastAsia="Times New Roman" w:hAnsi="Times New Roman" w:cs="Times New Roman"/>
          <w:color w:val="000000"/>
          <w:sz w:val="28"/>
          <w:szCs w:val="28"/>
          <w:lang w:val="uk-UA" w:eastAsia="ru-RU"/>
        </w:rPr>
        <w:t xml:space="preserve"> = </w:t>
      </w:r>
      <w:r w:rsidR="00146D5E">
        <w:rPr>
          <w:rFonts w:ascii="Times New Roman" w:eastAsia="Times New Roman" w:hAnsi="Times New Roman" w:cs="Times New Roman"/>
          <w:color w:val="000000"/>
          <w:sz w:val="28"/>
          <w:szCs w:val="28"/>
          <w:lang w:val="uk-UA" w:eastAsia="ru-RU"/>
        </w:rPr>
        <w:t>29</w:t>
      </w:r>
      <w:r w:rsidR="00D10A78" w:rsidRPr="00D10A78">
        <w:rPr>
          <w:rFonts w:ascii="Times New Roman" w:eastAsia="Times New Roman" w:hAnsi="Times New Roman" w:cs="Times New Roman"/>
          <w:color w:val="000000"/>
          <w:sz w:val="28"/>
          <w:szCs w:val="28"/>
          <w:lang w:val="uk-UA" w:eastAsia="ru-RU"/>
        </w:rPr>
        <w:t>)</w:t>
      </w:r>
      <w:r w:rsidR="00590784">
        <w:rPr>
          <w:rFonts w:ascii="Times New Roman" w:eastAsia="Times New Roman" w:hAnsi="Times New Roman" w:cs="Times New Roman"/>
          <w:color w:val="000000"/>
          <w:sz w:val="28"/>
          <w:szCs w:val="28"/>
          <w:lang w:val="uk-UA" w:eastAsia="ru-RU"/>
        </w:rPr>
        <w:t xml:space="preserve"> (Іb підгрупа)</w:t>
      </w:r>
      <w:r w:rsidR="00D10A78">
        <w:rPr>
          <w:rFonts w:ascii="Times New Roman" w:eastAsia="Times New Roman" w:hAnsi="Times New Roman" w:cs="Times New Roman"/>
          <w:color w:val="000000"/>
          <w:sz w:val="28"/>
          <w:szCs w:val="28"/>
          <w:lang w:val="uk-UA" w:eastAsia="ru-RU"/>
        </w:rPr>
        <w:t xml:space="preserve"> </w:t>
      </w:r>
      <w:r w:rsidR="003940DA">
        <w:rPr>
          <w:rFonts w:ascii="Times New Roman" w:eastAsia="Times New Roman" w:hAnsi="Times New Roman" w:cs="Times New Roman"/>
          <w:color w:val="000000"/>
          <w:sz w:val="28"/>
          <w:szCs w:val="28"/>
          <w:lang w:val="uk-UA" w:eastAsia="ru-RU"/>
        </w:rPr>
        <w:t xml:space="preserve">вмістом </w:t>
      </w:r>
      <w:r w:rsidR="00590784">
        <w:rPr>
          <w:rFonts w:ascii="Times New Roman" w:eastAsia="Times New Roman" w:hAnsi="Times New Roman" w:cs="Times New Roman"/>
          <w:color w:val="000000"/>
          <w:sz w:val="28"/>
          <w:szCs w:val="28"/>
          <w:lang w:val="uk-UA" w:eastAsia="ru-RU"/>
        </w:rPr>
        <w:t xml:space="preserve">ЕТ-1 </w:t>
      </w:r>
      <w:r w:rsidR="00590784" w:rsidRPr="00590784">
        <w:rPr>
          <w:rFonts w:ascii="Times New Roman" w:eastAsia="Times New Roman" w:hAnsi="Times New Roman" w:cs="Times New Roman"/>
          <w:color w:val="000000"/>
          <w:sz w:val="28"/>
          <w:szCs w:val="28"/>
          <w:lang w:val="uk-UA" w:eastAsia="ru-RU"/>
        </w:rPr>
        <w:t>−</w:t>
      </w:r>
      <w:r w:rsidR="00590784">
        <w:rPr>
          <w:rFonts w:ascii="Times New Roman" w:eastAsia="Times New Roman" w:hAnsi="Times New Roman" w:cs="Times New Roman"/>
          <w:color w:val="000000"/>
          <w:sz w:val="28"/>
          <w:szCs w:val="28"/>
          <w:lang w:val="uk-UA" w:eastAsia="ru-RU"/>
        </w:rPr>
        <w:t xml:space="preserve"> </w:t>
      </w:r>
      <w:r w:rsidR="00D10A78">
        <w:rPr>
          <w:rFonts w:ascii="Times New Roman" w:eastAsia="Times New Roman" w:hAnsi="Times New Roman" w:cs="Times New Roman"/>
          <w:color w:val="000000"/>
          <w:sz w:val="28"/>
          <w:szCs w:val="28"/>
          <w:lang w:val="uk-UA" w:eastAsia="ru-RU"/>
        </w:rPr>
        <w:t>80 мг/добу</w:t>
      </w:r>
      <w:r w:rsidR="00590784">
        <w:rPr>
          <w:rFonts w:ascii="Times New Roman" w:eastAsia="Times New Roman" w:hAnsi="Times New Roman" w:cs="Times New Roman"/>
          <w:color w:val="000000"/>
          <w:sz w:val="28"/>
          <w:szCs w:val="28"/>
          <w:lang w:val="uk-UA" w:eastAsia="ru-RU"/>
        </w:rPr>
        <w:t xml:space="preserve"> телмісартану</w:t>
      </w:r>
      <w:r w:rsidR="00D10A78">
        <w:rPr>
          <w:rFonts w:ascii="Times New Roman" w:eastAsia="Times New Roman" w:hAnsi="Times New Roman" w:cs="Times New Roman"/>
          <w:color w:val="000000"/>
          <w:sz w:val="28"/>
          <w:szCs w:val="28"/>
          <w:lang w:val="uk-UA" w:eastAsia="ru-RU"/>
        </w:rPr>
        <w:t>.</w:t>
      </w:r>
      <w:r w:rsidRPr="006B1982">
        <w:rPr>
          <w:rFonts w:ascii="Times New Roman" w:eastAsia="Times New Roman" w:hAnsi="Times New Roman" w:cs="Times New Roman"/>
          <w:color w:val="000000"/>
          <w:sz w:val="28"/>
          <w:szCs w:val="28"/>
          <w:lang w:val="uk-UA" w:eastAsia="ru-RU"/>
        </w:rPr>
        <w:t xml:space="preserve"> Ми </w:t>
      </w:r>
      <w:r w:rsidR="00757316">
        <w:rPr>
          <w:rFonts w:ascii="Times New Roman" w:eastAsia="Times New Roman" w:hAnsi="Times New Roman" w:cs="Times New Roman"/>
          <w:color w:val="000000"/>
          <w:sz w:val="28"/>
          <w:szCs w:val="28"/>
          <w:lang w:val="uk-UA" w:eastAsia="ru-RU"/>
        </w:rPr>
        <w:t xml:space="preserve">визначили </w:t>
      </w:r>
      <w:r w:rsidRPr="006B1982">
        <w:rPr>
          <w:rFonts w:ascii="Times New Roman" w:eastAsia="Times New Roman" w:hAnsi="Times New Roman" w:cs="Times New Roman"/>
          <w:color w:val="000000"/>
          <w:sz w:val="28"/>
          <w:szCs w:val="28"/>
          <w:lang w:val="uk-UA" w:eastAsia="ru-RU"/>
        </w:rPr>
        <w:t>динаміку альбумінурії та ІММЛШ</w:t>
      </w:r>
      <w:r>
        <w:rPr>
          <w:rFonts w:ascii="Times New Roman" w:eastAsia="Times New Roman" w:hAnsi="Times New Roman" w:cs="Times New Roman"/>
          <w:color w:val="000000"/>
          <w:sz w:val="28"/>
          <w:szCs w:val="28"/>
          <w:lang w:val="uk-UA" w:eastAsia="ru-RU"/>
        </w:rPr>
        <w:t xml:space="preserve"> в Іа та І</w:t>
      </w:r>
      <w:r w:rsidR="00143CFA">
        <w:rPr>
          <w:rFonts w:ascii="Times New Roman" w:eastAsia="Times New Roman" w:hAnsi="Times New Roman" w:cs="Times New Roman"/>
          <w:color w:val="000000"/>
          <w:sz w:val="28"/>
          <w:szCs w:val="28"/>
          <w:lang w:val="en-US" w:eastAsia="ru-RU"/>
        </w:rPr>
        <w:t>b</w:t>
      </w:r>
      <w:r w:rsidR="00143CFA">
        <w:rPr>
          <w:rFonts w:ascii="Times New Roman" w:eastAsia="Times New Roman" w:hAnsi="Times New Roman" w:cs="Times New Roman"/>
          <w:color w:val="000000"/>
          <w:sz w:val="28"/>
          <w:szCs w:val="28"/>
          <w:lang w:val="uk-UA" w:eastAsia="ru-RU"/>
        </w:rPr>
        <w:t xml:space="preserve"> підгрупах</w:t>
      </w:r>
      <w:r w:rsidRPr="006B1982">
        <w:rPr>
          <w:rFonts w:ascii="Times New Roman" w:eastAsia="Times New Roman" w:hAnsi="Times New Roman" w:cs="Times New Roman"/>
          <w:color w:val="000000"/>
          <w:sz w:val="28"/>
          <w:szCs w:val="28"/>
          <w:lang w:val="uk-UA" w:eastAsia="ru-RU"/>
        </w:rPr>
        <w:t xml:space="preserve"> під впливом лікування з метою оцінювання органопротекторних властивостей телмісартану</w:t>
      </w:r>
      <w:r w:rsidR="00065B23">
        <w:rPr>
          <w:rFonts w:ascii="Times New Roman" w:eastAsia="Times New Roman" w:hAnsi="Times New Roman" w:cs="Times New Roman"/>
          <w:color w:val="000000"/>
          <w:sz w:val="28"/>
          <w:szCs w:val="28"/>
          <w:lang w:val="uk-UA" w:eastAsia="ru-RU"/>
        </w:rPr>
        <w:t xml:space="preserve"> і лізиноприлу</w:t>
      </w:r>
      <w:r w:rsidR="00143CFA">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p>
    <w:p w:rsidR="00DA651D" w:rsidRPr="00DF515E" w:rsidRDefault="00DA651D"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Серед осіб </w:t>
      </w:r>
      <w:r w:rsidR="00DF515E">
        <w:rPr>
          <w:rFonts w:ascii="Times New Roman" w:eastAsia="Times New Roman" w:hAnsi="Times New Roman" w:cs="Times New Roman"/>
          <w:color w:val="000000"/>
          <w:sz w:val="28"/>
          <w:szCs w:val="28"/>
          <w:lang w:val="uk-UA" w:eastAsia="ru-RU"/>
        </w:rPr>
        <w:t>групи порівняння (</w:t>
      </w:r>
      <w:r w:rsidR="00DF515E">
        <w:rPr>
          <w:rFonts w:ascii="Times New Roman" w:eastAsia="Times New Roman" w:hAnsi="Times New Roman" w:cs="Times New Roman"/>
          <w:color w:val="000000"/>
          <w:sz w:val="28"/>
          <w:szCs w:val="28"/>
          <w:lang w:val="en-US" w:eastAsia="ru-RU"/>
        </w:rPr>
        <w:t>n</w:t>
      </w:r>
      <w:r w:rsidR="00DF515E" w:rsidRPr="00DF515E">
        <w:rPr>
          <w:rFonts w:ascii="Times New Roman" w:eastAsia="Times New Roman" w:hAnsi="Times New Roman" w:cs="Times New Roman"/>
          <w:color w:val="000000"/>
          <w:sz w:val="28"/>
          <w:szCs w:val="28"/>
          <w:lang w:val="uk-UA" w:eastAsia="ru-RU"/>
        </w:rPr>
        <w:t xml:space="preserve"> = 25</w:t>
      </w:r>
      <w:r w:rsidR="00DF515E">
        <w:rPr>
          <w:rFonts w:ascii="Times New Roman" w:eastAsia="Times New Roman" w:hAnsi="Times New Roman" w:cs="Times New Roman"/>
          <w:color w:val="000000"/>
          <w:sz w:val="28"/>
          <w:szCs w:val="28"/>
          <w:lang w:val="uk-UA" w:eastAsia="ru-RU"/>
        </w:rPr>
        <w:t xml:space="preserve">) телмісартан (40−80 мг/добу) вживали 14 пацієнтів, </w:t>
      </w:r>
      <w:r>
        <w:rPr>
          <w:rFonts w:ascii="Times New Roman" w:eastAsia="Times New Roman" w:hAnsi="Times New Roman" w:cs="Times New Roman"/>
          <w:color w:val="000000"/>
          <w:sz w:val="28"/>
          <w:szCs w:val="28"/>
          <w:lang w:val="uk-UA" w:eastAsia="ru-RU"/>
        </w:rPr>
        <w:t>лізиноприл</w:t>
      </w:r>
      <w:r w:rsidRPr="00DA651D">
        <w:rPr>
          <w:rFonts w:ascii="Times New Roman" w:eastAsia="Times New Roman" w:hAnsi="Times New Roman" w:cs="Times New Roman"/>
          <w:color w:val="000000"/>
          <w:sz w:val="28"/>
          <w:szCs w:val="28"/>
          <w:lang w:val="uk-UA" w:eastAsia="ru-RU"/>
        </w:rPr>
        <w:t xml:space="preserve"> (10−20 мг/добу)</w:t>
      </w:r>
      <w:r w:rsidR="00DF515E">
        <w:rPr>
          <w:rFonts w:ascii="Times New Roman" w:eastAsia="Times New Roman" w:hAnsi="Times New Roman" w:cs="Times New Roman"/>
          <w:color w:val="000000"/>
          <w:sz w:val="28"/>
          <w:szCs w:val="28"/>
          <w:lang w:val="uk-UA" w:eastAsia="ru-RU"/>
        </w:rPr>
        <w:t xml:space="preserve"> </w:t>
      </w:r>
      <w:r w:rsidR="00DF515E" w:rsidRPr="00DF515E">
        <w:rPr>
          <w:rFonts w:ascii="Times New Roman" w:eastAsia="Times New Roman" w:hAnsi="Times New Roman" w:cs="Times New Roman"/>
          <w:color w:val="000000"/>
          <w:sz w:val="28"/>
          <w:szCs w:val="28"/>
          <w:lang w:val="uk-UA" w:eastAsia="ru-RU"/>
        </w:rPr>
        <w:t>–</w:t>
      </w:r>
      <w:r w:rsidR="00DF515E">
        <w:rPr>
          <w:rFonts w:ascii="Times New Roman" w:eastAsia="Times New Roman" w:hAnsi="Times New Roman" w:cs="Times New Roman"/>
          <w:color w:val="000000"/>
          <w:sz w:val="28"/>
          <w:szCs w:val="28"/>
          <w:lang w:val="uk-UA" w:eastAsia="ru-RU"/>
        </w:rPr>
        <w:t xml:space="preserve"> 11 хворих.</w:t>
      </w:r>
      <w:r w:rsidR="00DF515E" w:rsidRPr="00DF515E">
        <w:rPr>
          <w:rFonts w:ascii="Times New Roman" w:eastAsia="Times New Roman" w:hAnsi="Times New Roman" w:cs="Times New Roman"/>
          <w:color w:val="000000"/>
          <w:sz w:val="28"/>
          <w:szCs w:val="28"/>
          <w:lang w:val="uk-UA" w:eastAsia="ru-RU"/>
        </w:rPr>
        <w:t xml:space="preserve"> </w:t>
      </w:r>
    </w:p>
    <w:p w:rsidR="003A29DF" w:rsidRPr="003A29DF" w:rsidRDefault="00DA0E03" w:rsidP="007B7301">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Упродовж нашого дослідження троє</w:t>
      </w:r>
      <w:r w:rsidR="003A29DF" w:rsidRPr="00AC40E9">
        <w:rPr>
          <w:rFonts w:ascii="Times New Roman" w:eastAsia="Times New Roman" w:hAnsi="Times New Roman" w:cs="Times New Roman"/>
          <w:color w:val="000000"/>
          <w:sz w:val="28"/>
          <w:szCs w:val="28"/>
          <w:lang w:val="uk-UA" w:eastAsia="ru-RU"/>
        </w:rPr>
        <w:t xml:space="preserve"> осіб були виключені</w:t>
      </w:r>
      <w:r w:rsidR="00755DE3" w:rsidRPr="00755DE3">
        <w:rPr>
          <w:rFonts w:ascii="Times New Roman" w:eastAsia="Times New Roman" w:hAnsi="Times New Roman" w:cs="Times New Roman"/>
          <w:color w:val="000000"/>
          <w:sz w:val="28"/>
          <w:szCs w:val="28"/>
          <w:lang w:val="uk-UA" w:eastAsia="ru-RU"/>
        </w:rPr>
        <w:t xml:space="preserve"> </w:t>
      </w:r>
      <w:r w:rsidR="007C41D6">
        <w:rPr>
          <w:rFonts w:ascii="Times New Roman" w:eastAsia="Times New Roman" w:hAnsi="Times New Roman" w:cs="Times New Roman"/>
          <w:color w:val="000000"/>
          <w:sz w:val="28"/>
          <w:szCs w:val="28"/>
          <w:lang w:val="uk-UA" w:eastAsia="ru-RU"/>
        </w:rPr>
        <w:t xml:space="preserve">за власним бажанням </w:t>
      </w:r>
      <w:r w:rsidR="0093644D">
        <w:rPr>
          <w:rFonts w:ascii="Times New Roman" w:eastAsia="Times New Roman" w:hAnsi="Times New Roman" w:cs="Times New Roman"/>
          <w:color w:val="000000"/>
          <w:sz w:val="28"/>
          <w:szCs w:val="28"/>
          <w:lang w:val="uk-UA" w:eastAsia="ru-RU"/>
        </w:rPr>
        <w:t>ще</w:t>
      </w:r>
      <w:r w:rsidR="00755DE3" w:rsidRPr="00755DE3">
        <w:rPr>
          <w:rFonts w:ascii="Times New Roman" w:eastAsia="Times New Roman" w:hAnsi="Times New Roman" w:cs="Times New Roman"/>
          <w:color w:val="000000"/>
          <w:sz w:val="28"/>
          <w:szCs w:val="28"/>
          <w:lang w:val="uk-UA" w:eastAsia="ru-RU"/>
        </w:rPr>
        <w:t xml:space="preserve"> на початк</w:t>
      </w:r>
      <w:r>
        <w:rPr>
          <w:rFonts w:ascii="Times New Roman" w:eastAsia="Times New Roman" w:hAnsi="Times New Roman" w:cs="Times New Roman"/>
          <w:color w:val="000000"/>
          <w:sz w:val="28"/>
          <w:szCs w:val="28"/>
          <w:lang w:val="uk-UA" w:eastAsia="ru-RU"/>
        </w:rPr>
        <w:t>о</w:t>
      </w:r>
      <w:r w:rsidR="00755DE3" w:rsidRPr="00755DE3">
        <w:rPr>
          <w:rFonts w:ascii="Times New Roman" w:eastAsia="Times New Roman" w:hAnsi="Times New Roman" w:cs="Times New Roman"/>
          <w:color w:val="000000"/>
          <w:sz w:val="28"/>
          <w:szCs w:val="28"/>
          <w:lang w:val="uk-UA" w:eastAsia="ru-RU"/>
        </w:rPr>
        <w:t>вому етап</w:t>
      </w:r>
      <w:r w:rsidR="00755DE3">
        <w:rPr>
          <w:rFonts w:ascii="Times New Roman" w:eastAsia="Times New Roman" w:hAnsi="Times New Roman" w:cs="Times New Roman"/>
          <w:color w:val="000000"/>
          <w:sz w:val="28"/>
          <w:szCs w:val="28"/>
          <w:lang w:val="uk-UA" w:eastAsia="ru-RU"/>
        </w:rPr>
        <w:t>і</w:t>
      </w:r>
      <w:r w:rsidR="003A29DF" w:rsidRPr="00AC40E9">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двоє – </w:t>
      </w:r>
      <w:r w:rsidR="00E27D0E">
        <w:rPr>
          <w:rFonts w:ascii="Times New Roman" w:eastAsia="Times New Roman" w:hAnsi="Times New Roman" w:cs="Times New Roman"/>
          <w:color w:val="000000"/>
          <w:sz w:val="28"/>
          <w:szCs w:val="28"/>
          <w:lang w:val="uk-UA" w:eastAsia="ru-RU"/>
        </w:rPr>
        <w:t xml:space="preserve">з </w:t>
      </w:r>
      <w:r w:rsidR="00340C0C">
        <w:rPr>
          <w:rFonts w:ascii="Times New Roman" w:eastAsia="Times New Roman" w:hAnsi="Times New Roman" w:cs="Times New Roman"/>
          <w:color w:val="000000"/>
          <w:sz w:val="28"/>
          <w:szCs w:val="28"/>
          <w:lang w:val="uk-UA" w:eastAsia="ru-RU"/>
        </w:rPr>
        <w:t xml:space="preserve">І </w:t>
      </w:r>
      <w:r w:rsidR="00E27D0E">
        <w:rPr>
          <w:rFonts w:ascii="Times New Roman" w:eastAsia="Times New Roman" w:hAnsi="Times New Roman" w:cs="Times New Roman"/>
          <w:color w:val="000000"/>
          <w:sz w:val="28"/>
          <w:szCs w:val="28"/>
          <w:lang w:val="uk-UA" w:eastAsia="ru-RU"/>
        </w:rPr>
        <w:t>групи; один</w:t>
      </w:r>
      <w:r w:rsidR="003A29DF" w:rsidRPr="008D6381">
        <w:rPr>
          <w:rFonts w:ascii="Times New Roman" w:eastAsia="Times New Roman" w:hAnsi="Times New Roman" w:cs="Times New Roman"/>
          <w:color w:val="000000"/>
          <w:sz w:val="28"/>
          <w:szCs w:val="28"/>
          <w:lang w:val="uk-UA" w:eastAsia="ru-RU"/>
        </w:rPr>
        <w:t xml:space="preserve"> – із </w:t>
      </w:r>
      <w:r w:rsidR="00340C0C">
        <w:rPr>
          <w:rFonts w:ascii="Times New Roman" w:eastAsia="Times New Roman" w:hAnsi="Times New Roman" w:cs="Times New Roman"/>
          <w:color w:val="000000"/>
          <w:sz w:val="28"/>
          <w:szCs w:val="28"/>
          <w:lang w:val="uk-UA" w:eastAsia="ru-RU"/>
        </w:rPr>
        <w:t>ІІ групи</w:t>
      </w:r>
      <w:r>
        <w:rPr>
          <w:rFonts w:ascii="Times New Roman" w:eastAsia="Times New Roman" w:hAnsi="Times New Roman" w:cs="Times New Roman"/>
          <w:color w:val="000000"/>
          <w:sz w:val="28"/>
          <w:szCs w:val="28"/>
          <w:lang w:val="uk-UA" w:eastAsia="ru-RU"/>
        </w:rPr>
        <w:t xml:space="preserve">. </w:t>
      </w:r>
    </w:p>
    <w:p w:rsidR="00401A7E" w:rsidRPr="00AC40E9" w:rsidRDefault="00E0649E" w:rsidP="00E0649E">
      <w:pPr>
        <w:tabs>
          <w:tab w:val="left" w:pos="4249"/>
        </w:tabs>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p>
    <w:p w:rsidR="006A601C" w:rsidRPr="008707FF" w:rsidRDefault="00340897" w:rsidP="00A0016C">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color w:val="000000"/>
          <w:sz w:val="28"/>
          <w:szCs w:val="28"/>
          <w:lang w:val="uk-UA" w:eastAsia="ru-RU"/>
        </w:rPr>
        <w:t>2.2</w:t>
      </w:r>
      <w:r w:rsidR="00766D38">
        <w:rPr>
          <w:rFonts w:ascii="Times New Roman" w:eastAsia="Times New Roman" w:hAnsi="Times New Roman" w:cs="Times New Roman"/>
          <w:b/>
          <w:color w:val="000000"/>
          <w:sz w:val="28"/>
          <w:szCs w:val="28"/>
          <w:lang w:val="uk-UA" w:eastAsia="ru-RU"/>
        </w:rPr>
        <w:t>.</w:t>
      </w:r>
      <w:r w:rsidR="006A601C" w:rsidRPr="008707FF">
        <w:rPr>
          <w:rFonts w:ascii="Times New Roman" w:eastAsia="Times New Roman" w:hAnsi="Times New Roman" w:cs="Times New Roman"/>
          <w:b/>
          <w:color w:val="000000"/>
          <w:sz w:val="28"/>
          <w:szCs w:val="28"/>
          <w:lang w:val="uk-UA" w:eastAsia="ru-RU"/>
        </w:rPr>
        <w:t xml:space="preserve"> Методи дослідження</w:t>
      </w:r>
    </w:p>
    <w:p w:rsidR="00401A7E" w:rsidRDefault="00401A7E" w:rsidP="00A0016C">
      <w:pPr>
        <w:spacing w:after="0" w:line="360" w:lineRule="auto"/>
        <w:ind w:firstLine="708"/>
        <w:jc w:val="both"/>
        <w:rPr>
          <w:rFonts w:ascii="Times New Roman" w:eastAsia="Times New Roman" w:hAnsi="Times New Roman" w:cs="Times New Roman"/>
          <w:color w:val="000000"/>
          <w:sz w:val="28"/>
          <w:szCs w:val="28"/>
          <w:lang w:val="uk-UA" w:eastAsia="ru-RU"/>
        </w:rPr>
      </w:pPr>
    </w:p>
    <w:p w:rsidR="005F1092" w:rsidRDefault="00953D47" w:rsidP="005F1092">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hAnsi="Times New Roman" w:cs="Times New Roman"/>
          <w:spacing w:val="-1"/>
          <w:sz w:val="28"/>
          <w:szCs w:val="28"/>
          <w:lang w:val="uk-UA"/>
        </w:rPr>
        <w:t>О</w:t>
      </w:r>
      <w:r w:rsidR="00EA0B52" w:rsidRPr="00EA0B52">
        <w:rPr>
          <w:rFonts w:ascii="Times New Roman" w:hAnsi="Times New Roman" w:cs="Times New Roman"/>
          <w:spacing w:val="-1"/>
          <w:sz w:val="28"/>
          <w:szCs w:val="28"/>
        </w:rPr>
        <w:t>бстеження</w:t>
      </w:r>
      <w:r w:rsidR="00BC0EFA">
        <w:rPr>
          <w:rFonts w:ascii="Times New Roman" w:hAnsi="Times New Roman" w:cs="Times New Roman"/>
          <w:spacing w:val="-1"/>
          <w:sz w:val="28"/>
          <w:szCs w:val="28"/>
          <w:lang w:val="uk-UA"/>
        </w:rPr>
        <w:t xml:space="preserve"> проведене усім пацієнтам, які брали участь у дослідженні</w:t>
      </w:r>
      <w:r w:rsidR="00EA0B52" w:rsidRPr="00EA0B52">
        <w:rPr>
          <w:rFonts w:ascii="Times New Roman" w:hAnsi="Times New Roman" w:cs="Times New Roman"/>
          <w:spacing w:val="-1"/>
          <w:sz w:val="28"/>
          <w:szCs w:val="28"/>
        </w:rPr>
        <w:t>.</w:t>
      </w:r>
      <w:r w:rsidR="00EA0B52" w:rsidRPr="00EA0B52">
        <w:rPr>
          <w:rFonts w:ascii="Times New Roman" w:hAnsi="Times New Roman" w:cs="Times New Roman"/>
          <w:spacing w:val="4"/>
          <w:sz w:val="28"/>
          <w:szCs w:val="28"/>
        </w:rPr>
        <w:t xml:space="preserve"> </w:t>
      </w:r>
      <w:r w:rsidR="00EA0B52" w:rsidRPr="00EA0B52">
        <w:rPr>
          <w:rFonts w:ascii="Times New Roman" w:hAnsi="Times New Roman" w:cs="Times New Roman"/>
          <w:spacing w:val="2"/>
          <w:sz w:val="28"/>
          <w:szCs w:val="28"/>
        </w:rPr>
        <w:t xml:space="preserve">Діагноз </w:t>
      </w:r>
      <w:r w:rsidR="00EA0B52" w:rsidRPr="008707FF">
        <w:rPr>
          <w:rFonts w:ascii="Times New Roman" w:eastAsia="Times New Roman" w:hAnsi="Times New Roman" w:cs="Times New Roman"/>
          <w:color w:val="000000"/>
          <w:sz w:val="28"/>
          <w:szCs w:val="28"/>
          <w:lang w:val="uk-UA" w:eastAsia="ru-RU"/>
        </w:rPr>
        <w:t>установлювали</w:t>
      </w:r>
      <w:r w:rsidR="00EA0B52" w:rsidRPr="00EA0B52">
        <w:rPr>
          <w:rFonts w:ascii="Times New Roman" w:hAnsi="Times New Roman" w:cs="Times New Roman"/>
          <w:spacing w:val="2"/>
          <w:sz w:val="28"/>
          <w:szCs w:val="28"/>
        </w:rPr>
        <w:t xml:space="preserve"> </w:t>
      </w:r>
      <w:r w:rsidR="00EA0B52">
        <w:rPr>
          <w:rFonts w:ascii="Times New Roman" w:hAnsi="Times New Roman" w:cs="Times New Roman"/>
          <w:spacing w:val="2"/>
          <w:sz w:val="28"/>
          <w:szCs w:val="28"/>
        </w:rPr>
        <w:t>на підставі скарг</w:t>
      </w:r>
      <w:r w:rsidR="00EA0B52" w:rsidRPr="00EA0B52">
        <w:rPr>
          <w:rFonts w:ascii="Times New Roman" w:hAnsi="Times New Roman" w:cs="Times New Roman"/>
          <w:spacing w:val="2"/>
          <w:sz w:val="28"/>
          <w:szCs w:val="28"/>
        </w:rPr>
        <w:t xml:space="preserve">, анамнезу, </w:t>
      </w:r>
      <w:r w:rsidR="00BC0EFA">
        <w:rPr>
          <w:rFonts w:ascii="Times New Roman" w:hAnsi="Times New Roman" w:cs="Times New Roman"/>
          <w:spacing w:val="2"/>
          <w:sz w:val="28"/>
          <w:szCs w:val="28"/>
        </w:rPr>
        <w:t>даних обʼ</w:t>
      </w:r>
      <w:r w:rsidR="00EA0B52" w:rsidRPr="00EA0B52">
        <w:rPr>
          <w:rFonts w:ascii="Times New Roman" w:hAnsi="Times New Roman" w:cs="Times New Roman"/>
          <w:spacing w:val="2"/>
          <w:sz w:val="28"/>
          <w:szCs w:val="28"/>
        </w:rPr>
        <w:t xml:space="preserve">єктивного обстеження, </w:t>
      </w:r>
      <w:r w:rsidR="00EA0B52" w:rsidRPr="00EA0B52">
        <w:rPr>
          <w:rFonts w:ascii="Times New Roman" w:hAnsi="Times New Roman" w:cs="Times New Roman"/>
          <w:spacing w:val="2"/>
          <w:sz w:val="28"/>
          <w:szCs w:val="28"/>
          <w:lang w:val="uk-UA"/>
        </w:rPr>
        <w:t xml:space="preserve">результатів </w:t>
      </w:r>
      <w:r w:rsidR="00EA0B52" w:rsidRPr="00EA0B52">
        <w:rPr>
          <w:rFonts w:ascii="Times New Roman" w:hAnsi="Times New Roman" w:cs="Times New Roman"/>
          <w:spacing w:val="2"/>
          <w:sz w:val="28"/>
          <w:szCs w:val="28"/>
        </w:rPr>
        <w:t>лабораторних</w:t>
      </w:r>
      <w:r w:rsidR="00EA0B52">
        <w:rPr>
          <w:rFonts w:ascii="Times New Roman" w:hAnsi="Times New Roman" w:cs="Times New Roman"/>
          <w:spacing w:val="2"/>
          <w:sz w:val="28"/>
          <w:szCs w:val="28"/>
          <w:lang w:val="uk-UA"/>
        </w:rPr>
        <w:t xml:space="preserve"> (</w:t>
      </w:r>
      <w:r w:rsidR="00EA0B52" w:rsidRPr="008707FF">
        <w:rPr>
          <w:rFonts w:ascii="Times New Roman" w:eastAsia="Times New Roman" w:hAnsi="Times New Roman" w:cs="Times New Roman"/>
          <w:color w:val="000000"/>
          <w:sz w:val="28"/>
          <w:szCs w:val="28"/>
          <w:lang w:val="uk-UA" w:eastAsia="ru-RU"/>
        </w:rPr>
        <w:t>біохімічних,</w:t>
      </w:r>
      <w:r w:rsidR="00EA0B52">
        <w:rPr>
          <w:rFonts w:ascii="Times New Roman" w:eastAsia="Times New Roman" w:hAnsi="Times New Roman" w:cs="Times New Roman"/>
          <w:color w:val="000000"/>
          <w:sz w:val="28"/>
          <w:szCs w:val="28"/>
          <w:lang w:val="uk-UA" w:eastAsia="ru-RU"/>
        </w:rPr>
        <w:t xml:space="preserve"> імуноферментних)</w:t>
      </w:r>
      <w:r w:rsidR="00EA0B52">
        <w:rPr>
          <w:rFonts w:ascii="Times New Roman" w:hAnsi="Times New Roman" w:cs="Times New Roman"/>
          <w:spacing w:val="2"/>
          <w:sz w:val="28"/>
          <w:szCs w:val="28"/>
          <w:lang w:val="uk-UA"/>
        </w:rPr>
        <w:t>,</w:t>
      </w:r>
      <w:r w:rsidR="00EA0B52" w:rsidRPr="00EA0B52">
        <w:rPr>
          <w:rFonts w:ascii="Times New Roman" w:hAnsi="Times New Roman" w:cs="Times New Roman"/>
          <w:spacing w:val="2"/>
          <w:sz w:val="28"/>
          <w:szCs w:val="28"/>
        </w:rPr>
        <w:t xml:space="preserve"> </w:t>
      </w:r>
      <w:r w:rsidR="00EA0B52" w:rsidRPr="00EA0B52">
        <w:rPr>
          <w:rFonts w:ascii="Times New Roman" w:hAnsi="Times New Roman" w:cs="Times New Roman"/>
          <w:spacing w:val="2"/>
          <w:sz w:val="28"/>
          <w:szCs w:val="28"/>
        </w:rPr>
        <w:lastRenderedPageBreak/>
        <w:t>інструментальних досліджен</w:t>
      </w:r>
      <w:r w:rsidR="00EA0B52" w:rsidRPr="00EA0B52">
        <w:rPr>
          <w:rFonts w:ascii="Times New Roman" w:hAnsi="Times New Roman" w:cs="Times New Roman"/>
          <w:spacing w:val="2"/>
          <w:sz w:val="28"/>
          <w:szCs w:val="28"/>
          <w:lang w:val="uk-UA"/>
        </w:rPr>
        <w:t>ь</w:t>
      </w:r>
      <w:r w:rsidR="00EA0B52">
        <w:rPr>
          <w:rFonts w:ascii="Times New Roman" w:hAnsi="Times New Roman" w:cs="Times New Roman"/>
          <w:spacing w:val="2"/>
          <w:sz w:val="28"/>
          <w:szCs w:val="28"/>
          <w:lang w:val="uk-UA"/>
        </w:rPr>
        <w:t>.</w:t>
      </w:r>
      <w:r w:rsidR="00EA0B52" w:rsidRPr="008707FF">
        <w:rPr>
          <w:rFonts w:ascii="Times New Roman" w:eastAsia="Times New Roman" w:hAnsi="Times New Roman" w:cs="Times New Roman"/>
          <w:color w:val="000000"/>
          <w:sz w:val="28"/>
          <w:szCs w:val="28"/>
          <w:lang w:val="uk-UA" w:eastAsia="ru-RU"/>
        </w:rPr>
        <w:t xml:space="preserve"> </w:t>
      </w:r>
      <w:r w:rsidR="006F535E">
        <w:rPr>
          <w:rFonts w:ascii="Times New Roman" w:eastAsia="Times New Roman" w:hAnsi="Times New Roman" w:cs="Times New Roman"/>
          <w:color w:val="000000"/>
          <w:sz w:val="28"/>
          <w:szCs w:val="28"/>
          <w:lang w:val="uk-UA" w:eastAsia="ru-RU"/>
        </w:rPr>
        <w:t>Оброблення</w:t>
      </w:r>
      <w:r w:rsidR="00EA0B52">
        <w:rPr>
          <w:rFonts w:ascii="Times New Roman" w:eastAsia="Times New Roman" w:hAnsi="Times New Roman" w:cs="Times New Roman"/>
          <w:color w:val="000000"/>
          <w:sz w:val="28"/>
          <w:szCs w:val="28"/>
          <w:lang w:val="uk-UA" w:eastAsia="ru-RU"/>
        </w:rPr>
        <w:t xml:space="preserve"> </w:t>
      </w:r>
      <w:r w:rsidR="00680C87">
        <w:rPr>
          <w:rFonts w:ascii="Times New Roman" w:eastAsia="Times New Roman" w:hAnsi="Times New Roman" w:cs="Times New Roman"/>
          <w:color w:val="000000"/>
          <w:sz w:val="28"/>
          <w:szCs w:val="28"/>
          <w:lang w:val="uk-UA" w:eastAsia="ru-RU"/>
        </w:rPr>
        <w:t xml:space="preserve">результатів здійснювали </w:t>
      </w:r>
      <w:r w:rsidR="00F16579">
        <w:rPr>
          <w:rFonts w:ascii="Times New Roman" w:eastAsia="Times New Roman" w:hAnsi="Times New Roman" w:cs="Times New Roman"/>
          <w:color w:val="000000"/>
          <w:sz w:val="28"/>
          <w:szCs w:val="28"/>
          <w:lang w:val="uk-UA" w:eastAsia="ru-RU"/>
        </w:rPr>
        <w:t xml:space="preserve">              </w:t>
      </w:r>
      <w:r w:rsidR="00EA0B52">
        <w:rPr>
          <w:rFonts w:ascii="Times New Roman" w:eastAsia="Times New Roman" w:hAnsi="Times New Roman" w:cs="Times New Roman"/>
          <w:color w:val="000000"/>
          <w:sz w:val="28"/>
          <w:szCs w:val="28"/>
          <w:lang w:val="uk-UA" w:eastAsia="ru-RU"/>
        </w:rPr>
        <w:t xml:space="preserve">з використаням </w:t>
      </w:r>
      <w:r w:rsidR="000C4558" w:rsidRPr="008707FF">
        <w:rPr>
          <w:rFonts w:ascii="Times New Roman" w:eastAsia="Times New Roman" w:hAnsi="Times New Roman" w:cs="Times New Roman"/>
          <w:color w:val="000000"/>
          <w:sz w:val="28"/>
          <w:szCs w:val="28"/>
          <w:lang w:val="uk-UA" w:eastAsia="ru-RU"/>
        </w:rPr>
        <w:t>статистичних методів.</w:t>
      </w:r>
      <w:r w:rsidR="00D13D19">
        <w:rPr>
          <w:rFonts w:ascii="Times New Roman" w:eastAsia="Times New Roman" w:hAnsi="Times New Roman" w:cs="Times New Roman"/>
          <w:color w:val="000000"/>
          <w:sz w:val="28"/>
          <w:szCs w:val="28"/>
          <w:lang w:val="uk-UA" w:eastAsia="ru-RU"/>
        </w:rPr>
        <w:t xml:space="preserve"> </w:t>
      </w:r>
    </w:p>
    <w:p w:rsidR="005F1092" w:rsidRPr="005F1092" w:rsidRDefault="005F1092" w:rsidP="005F1092">
      <w:pPr>
        <w:spacing w:after="0" w:line="360" w:lineRule="auto"/>
        <w:ind w:firstLine="708"/>
        <w:jc w:val="both"/>
        <w:rPr>
          <w:rFonts w:ascii="Times New Roman" w:eastAsia="Times New Roman" w:hAnsi="Times New Roman" w:cs="Times New Roman"/>
          <w:color w:val="000000"/>
          <w:sz w:val="28"/>
          <w:szCs w:val="28"/>
          <w:lang w:val="uk-UA" w:eastAsia="ru-RU"/>
        </w:rPr>
      </w:pPr>
      <w:r w:rsidRPr="005F1092">
        <w:rPr>
          <w:rFonts w:ascii="Times New Roman" w:eastAsia="Times New Roman" w:hAnsi="Times New Roman" w:cs="Times New Roman"/>
          <w:color w:val="000000"/>
          <w:sz w:val="28"/>
          <w:szCs w:val="28"/>
          <w:lang w:val="uk-UA" w:eastAsia="ru-RU"/>
        </w:rPr>
        <w:t>У діагностичній лабораторії Сумської міської клінічної лікарні №1 було визначено вміст ЗХС, ХС ЛПВЩ, ТГ, АлАт</w:t>
      </w:r>
      <w:r w:rsidR="00F76C32">
        <w:rPr>
          <w:rFonts w:ascii="Times New Roman" w:eastAsia="Times New Roman" w:hAnsi="Times New Roman" w:cs="Times New Roman"/>
          <w:color w:val="000000"/>
          <w:sz w:val="28"/>
          <w:szCs w:val="28"/>
          <w:lang w:val="uk-UA" w:eastAsia="ru-RU"/>
        </w:rPr>
        <w:t>, АсАт</w:t>
      </w:r>
      <w:r w:rsidRPr="005F1092">
        <w:rPr>
          <w:rFonts w:ascii="Times New Roman" w:eastAsia="Times New Roman" w:hAnsi="Times New Roman" w:cs="Times New Roman"/>
          <w:color w:val="000000"/>
          <w:sz w:val="28"/>
          <w:szCs w:val="28"/>
          <w:lang w:val="uk-UA" w:eastAsia="ru-RU"/>
        </w:rPr>
        <w:t>, сечової кислоти, HbA1с, альбумінурії, ФНП-α, sVCAM-1</w:t>
      </w:r>
      <w:r>
        <w:rPr>
          <w:rFonts w:ascii="Times New Roman" w:eastAsia="Times New Roman" w:hAnsi="Times New Roman" w:cs="Times New Roman"/>
          <w:color w:val="000000"/>
          <w:sz w:val="28"/>
          <w:szCs w:val="28"/>
          <w:lang w:val="uk-UA" w:eastAsia="ru-RU"/>
        </w:rPr>
        <w:t>.</w:t>
      </w:r>
    </w:p>
    <w:p w:rsidR="000C4558" w:rsidRPr="008707FF" w:rsidRDefault="005F1092" w:rsidP="005F1092">
      <w:pPr>
        <w:spacing w:after="0" w:line="360" w:lineRule="auto"/>
        <w:ind w:firstLine="708"/>
        <w:jc w:val="both"/>
        <w:rPr>
          <w:rFonts w:ascii="Times New Roman" w:eastAsia="Times New Roman" w:hAnsi="Times New Roman" w:cs="Times New Roman"/>
          <w:color w:val="000000"/>
          <w:sz w:val="28"/>
          <w:szCs w:val="28"/>
          <w:lang w:val="uk-UA" w:eastAsia="ru-RU"/>
        </w:rPr>
      </w:pPr>
      <w:r w:rsidRPr="005F1092">
        <w:rPr>
          <w:rFonts w:ascii="Times New Roman" w:eastAsia="Times New Roman" w:hAnsi="Times New Roman" w:cs="Times New Roman"/>
          <w:color w:val="000000"/>
          <w:sz w:val="28"/>
          <w:szCs w:val="28"/>
          <w:lang w:val="uk-UA" w:eastAsia="ru-RU"/>
        </w:rPr>
        <w:t xml:space="preserve">Вміст ЕТ-1 було досліджено у діагностичній лабораторії Харківської міської клінічної лікарні швидкої і невідкладної медичної допомоги </w:t>
      </w:r>
      <w:r w:rsidR="0058266C">
        <w:rPr>
          <w:rFonts w:ascii="Times New Roman" w:eastAsia="Times New Roman" w:hAnsi="Times New Roman" w:cs="Times New Roman"/>
          <w:color w:val="000000"/>
          <w:sz w:val="28"/>
          <w:szCs w:val="28"/>
          <w:lang w:val="uk-UA" w:eastAsia="ru-RU"/>
        </w:rPr>
        <w:t xml:space="preserve">            </w:t>
      </w:r>
      <w:r w:rsidRPr="005F1092">
        <w:rPr>
          <w:rFonts w:ascii="Times New Roman" w:eastAsia="Times New Roman" w:hAnsi="Times New Roman" w:cs="Times New Roman"/>
          <w:color w:val="000000"/>
          <w:sz w:val="28"/>
          <w:szCs w:val="28"/>
          <w:lang w:val="uk-UA" w:eastAsia="ru-RU"/>
        </w:rPr>
        <w:t>ім. проф. О. І. Мещанінова.</w:t>
      </w:r>
    </w:p>
    <w:p w:rsidR="00D278ED" w:rsidRPr="00583414" w:rsidRDefault="00F80DA2" w:rsidP="000C4558">
      <w:pPr>
        <w:spacing w:after="0" w:line="360" w:lineRule="auto"/>
        <w:ind w:firstLine="708"/>
        <w:jc w:val="both"/>
        <w:rPr>
          <w:rFonts w:ascii="Times New Roman" w:eastAsia="Times New Roman" w:hAnsi="Times New Roman" w:cs="Times New Roman"/>
          <w:b/>
          <w:color w:val="000000"/>
          <w:sz w:val="28"/>
          <w:szCs w:val="28"/>
          <w:lang w:val="uk-UA" w:eastAsia="ru-RU"/>
        </w:rPr>
      </w:pPr>
      <w:r w:rsidRPr="00583414">
        <w:rPr>
          <w:rFonts w:ascii="Times New Roman" w:eastAsia="Times New Roman" w:hAnsi="Times New Roman" w:cs="Times New Roman"/>
          <w:b/>
          <w:color w:val="000000"/>
          <w:sz w:val="28"/>
          <w:szCs w:val="28"/>
          <w:lang w:val="uk-UA" w:eastAsia="ru-RU"/>
        </w:rPr>
        <w:t>Клінічні</w:t>
      </w:r>
      <w:r w:rsidR="00D63A22" w:rsidRPr="00583414">
        <w:rPr>
          <w:rFonts w:ascii="Times New Roman" w:eastAsia="Times New Roman" w:hAnsi="Times New Roman" w:cs="Times New Roman"/>
          <w:b/>
          <w:color w:val="000000"/>
          <w:sz w:val="28"/>
          <w:szCs w:val="28"/>
          <w:lang w:val="uk-UA" w:eastAsia="ru-RU"/>
        </w:rPr>
        <w:t xml:space="preserve"> методи</w:t>
      </w:r>
      <w:r w:rsidRPr="00583414">
        <w:rPr>
          <w:rFonts w:ascii="Times New Roman" w:eastAsia="Times New Roman" w:hAnsi="Times New Roman" w:cs="Times New Roman"/>
          <w:b/>
          <w:color w:val="000000"/>
          <w:sz w:val="28"/>
          <w:szCs w:val="28"/>
          <w:lang w:val="uk-UA" w:eastAsia="ru-RU"/>
        </w:rPr>
        <w:t xml:space="preserve"> </w:t>
      </w:r>
    </w:p>
    <w:p w:rsidR="00F80DA2" w:rsidRDefault="00F80DA2" w:rsidP="000C4558">
      <w:pPr>
        <w:spacing w:after="0" w:line="360" w:lineRule="auto"/>
        <w:ind w:firstLine="708"/>
        <w:jc w:val="both"/>
        <w:rPr>
          <w:rFonts w:ascii="Times New Roman" w:eastAsia="Times New Roman" w:hAnsi="Times New Roman" w:cs="Times New Roman"/>
          <w:color w:val="000000"/>
          <w:sz w:val="28"/>
          <w:szCs w:val="28"/>
          <w:lang w:val="uk-UA" w:eastAsia="ru-RU"/>
        </w:rPr>
      </w:pPr>
      <w:r w:rsidRPr="008D6381">
        <w:rPr>
          <w:rFonts w:ascii="Times New Roman" w:eastAsia="Times New Roman" w:hAnsi="Times New Roman" w:cs="Times New Roman"/>
          <w:color w:val="000000"/>
          <w:sz w:val="28"/>
          <w:szCs w:val="28"/>
          <w:lang w:val="uk-UA" w:eastAsia="ru-RU"/>
        </w:rPr>
        <w:t>Із</w:t>
      </w:r>
      <w:r w:rsidRPr="00F80DA2">
        <w:rPr>
          <w:rFonts w:ascii="Times New Roman" w:eastAsia="Times New Roman" w:hAnsi="Times New Roman" w:cs="Times New Roman"/>
          <w:color w:val="000000"/>
          <w:sz w:val="28"/>
          <w:szCs w:val="28"/>
          <w:lang w:val="uk-UA" w:eastAsia="ru-RU"/>
        </w:rPr>
        <w:t xml:space="preserve"> пацієн</w:t>
      </w:r>
      <w:r w:rsidR="00680C87">
        <w:rPr>
          <w:rFonts w:ascii="Times New Roman" w:eastAsia="Times New Roman" w:hAnsi="Times New Roman" w:cs="Times New Roman"/>
          <w:color w:val="000000"/>
          <w:sz w:val="28"/>
          <w:szCs w:val="28"/>
          <w:lang w:val="uk-UA" w:eastAsia="ru-RU"/>
        </w:rPr>
        <w:t>т</w:t>
      </w:r>
      <w:r w:rsidRPr="00F80DA2">
        <w:rPr>
          <w:rFonts w:ascii="Times New Roman" w:eastAsia="Times New Roman" w:hAnsi="Times New Roman" w:cs="Times New Roman"/>
          <w:color w:val="000000"/>
          <w:sz w:val="28"/>
          <w:szCs w:val="28"/>
          <w:lang w:val="uk-UA" w:eastAsia="ru-RU"/>
        </w:rPr>
        <w:t xml:space="preserve">ами було проведено детальну бесіду </w:t>
      </w:r>
      <w:r>
        <w:rPr>
          <w:rFonts w:ascii="Times New Roman" w:eastAsia="Times New Roman" w:hAnsi="Times New Roman" w:cs="Times New Roman"/>
          <w:color w:val="000000"/>
          <w:sz w:val="28"/>
          <w:szCs w:val="28"/>
          <w:lang w:val="uk-UA" w:eastAsia="ru-RU"/>
        </w:rPr>
        <w:t>та з’ясовано анам</w:t>
      </w:r>
      <w:r w:rsidR="00906215">
        <w:rPr>
          <w:rFonts w:ascii="Times New Roman" w:eastAsia="Times New Roman" w:hAnsi="Times New Roman" w:cs="Times New Roman"/>
          <w:color w:val="000000"/>
          <w:sz w:val="28"/>
          <w:szCs w:val="28"/>
          <w:lang w:val="uk-UA" w:eastAsia="ru-RU"/>
        </w:rPr>
        <w:t xml:space="preserve">нез життя, захворювання, деталі </w:t>
      </w:r>
      <w:r>
        <w:rPr>
          <w:rFonts w:ascii="Times New Roman" w:eastAsia="Times New Roman" w:hAnsi="Times New Roman" w:cs="Times New Roman"/>
          <w:color w:val="000000"/>
          <w:sz w:val="28"/>
          <w:szCs w:val="28"/>
          <w:lang w:val="uk-UA" w:eastAsia="ru-RU"/>
        </w:rPr>
        <w:t xml:space="preserve">обстеження, </w:t>
      </w:r>
      <w:r w:rsidR="00680C87">
        <w:rPr>
          <w:rFonts w:ascii="Times New Roman" w:eastAsia="Times New Roman" w:hAnsi="Times New Roman" w:cs="Times New Roman"/>
          <w:color w:val="000000"/>
          <w:sz w:val="28"/>
          <w:szCs w:val="28"/>
          <w:lang w:val="uk-UA" w:eastAsia="ru-RU"/>
        </w:rPr>
        <w:t>суть і</w:t>
      </w:r>
      <w:r w:rsidR="00B94E0E">
        <w:rPr>
          <w:rFonts w:ascii="Times New Roman" w:eastAsia="Times New Roman" w:hAnsi="Times New Roman" w:cs="Times New Roman"/>
          <w:color w:val="000000"/>
          <w:sz w:val="28"/>
          <w:szCs w:val="28"/>
          <w:lang w:val="uk-UA" w:eastAsia="ru-RU"/>
        </w:rPr>
        <w:t xml:space="preserve"> тривалість попереднього медикаментозного лікування; здійснено об’єктивний огляд кожного хворого.</w:t>
      </w:r>
      <w:r w:rsidR="00D13D19">
        <w:rPr>
          <w:rFonts w:ascii="Times New Roman" w:eastAsia="Times New Roman" w:hAnsi="Times New Roman" w:cs="Times New Roman"/>
          <w:color w:val="000000"/>
          <w:sz w:val="28"/>
          <w:szCs w:val="28"/>
          <w:lang w:val="uk-UA" w:eastAsia="ru-RU"/>
        </w:rPr>
        <w:t xml:space="preserve"> </w:t>
      </w:r>
    </w:p>
    <w:p w:rsidR="003B2BBA" w:rsidRPr="003B2BBA" w:rsidRDefault="003B2BBA" w:rsidP="003B2BBA">
      <w:pPr>
        <w:spacing w:after="0" w:line="360" w:lineRule="auto"/>
        <w:ind w:firstLine="708"/>
        <w:jc w:val="both"/>
        <w:rPr>
          <w:rFonts w:ascii="Times New Roman" w:eastAsia="Times New Roman" w:hAnsi="Times New Roman" w:cs="Times New Roman"/>
          <w:b/>
          <w:color w:val="000000"/>
          <w:sz w:val="28"/>
          <w:szCs w:val="28"/>
          <w:lang w:val="uk-UA" w:eastAsia="ru-RU"/>
        </w:rPr>
      </w:pPr>
      <w:r w:rsidRPr="003B2BBA">
        <w:rPr>
          <w:rFonts w:ascii="Times New Roman" w:eastAsia="Times New Roman" w:hAnsi="Times New Roman" w:cs="Times New Roman"/>
          <w:b/>
          <w:color w:val="000000"/>
          <w:sz w:val="28"/>
          <w:szCs w:val="28"/>
          <w:lang w:val="uk-UA" w:eastAsia="ru-RU"/>
        </w:rPr>
        <w:t>Антропометричні методи</w:t>
      </w:r>
    </w:p>
    <w:p w:rsidR="003B2BBA" w:rsidRPr="003B2BBA" w:rsidRDefault="003B2BBA" w:rsidP="003B2BBA">
      <w:pPr>
        <w:spacing w:after="0" w:line="360" w:lineRule="auto"/>
        <w:ind w:firstLine="708"/>
        <w:jc w:val="both"/>
        <w:rPr>
          <w:rFonts w:ascii="Times New Roman" w:eastAsia="Times New Roman" w:hAnsi="Times New Roman" w:cs="Times New Roman"/>
          <w:color w:val="000000"/>
          <w:sz w:val="28"/>
          <w:szCs w:val="28"/>
          <w:lang w:val="uk-UA" w:eastAsia="ru-RU"/>
        </w:rPr>
      </w:pPr>
      <w:r w:rsidRPr="003B2BBA">
        <w:rPr>
          <w:rFonts w:ascii="Times New Roman" w:eastAsia="Times New Roman" w:hAnsi="Times New Roman" w:cs="Times New Roman"/>
          <w:color w:val="000000"/>
          <w:sz w:val="28"/>
          <w:szCs w:val="28"/>
          <w:lang w:val="uk-UA" w:eastAsia="ru-RU"/>
        </w:rPr>
        <w:t xml:space="preserve">Після вимірювання зросту (м) </w:t>
      </w:r>
      <w:r>
        <w:rPr>
          <w:rFonts w:ascii="Times New Roman" w:eastAsia="Times New Roman" w:hAnsi="Times New Roman" w:cs="Times New Roman"/>
          <w:color w:val="000000"/>
          <w:sz w:val="28"/>
          <w:szCs w:val="28"/>
          <w:lang w:val="uk-UA" w:eastAsia="ru-RU"/>
        </w:rPr>
        <w:t xml:space="preserve">за допомогою сантиметрової стрічки </w:t>
      </w:r>
      <w:r w:rsidRPr="003B2BBA">
        <w:rPr>
          <w:rFonts w:ascii="Times New Roman" w:eastAsia="Times New Roman" w:hAnsi="Times New Roman" w:cs="Times New Roman"/>
          <w:color w:val="000000"/>
          <w:sz w:val="28"/>
          <w:szCs w:val="28"/>
          <w:lang w:val="uk-UA" w:eastAsia="ru-RU"/>
        </w:rPr>
        <w:t>та ваги тіла (кг) пацієнтам було обчислено ІМТ за формулою А. Кетле, рекомендованою ВООЗ, 2000:</w:t>
      </w:r>
    </w:p>
    <w:p w:rsidR="003B2BBA" w:rsidRPr="003B2BBA" w:rsidRDefault="003B2BBA" w:rsidP="003B2BBA">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ІМТ (кг/м</w:t>
      </w:r>
      <w:r>
        <w:rPr>
          <w:rFonts w:ascii="Times New Roman" w:eastAsia="Times New Roman" w:hAnsi="Times New Roman" w:cs="Times New Roman"/>
          <w:color w:val="000000"/>
          <w:sz w:val="28"/>
          <w:szCs w:val="28"/>
          <w:vertAlign w:val="superscript"/>
          <w:lang w:val="uk-UA" w:eastAsia="ru-RU"/>
        </w:rPr>
        <w:t>2</w:t>
      </w:r>
      <w:r>
        <w:rPr>
          <w:rFonts w:ascii="Times New Roman" w:eastAsia="Times New Roman" w:hAnsi="Times New Roman" w:cs="Times New Roman"/>
          <w:color w:val="000000"/>
          <w:sz w:val="28"/>
          <w:szCs w:val="28"/>
          <w:lang w:val="uk-UA" w:eastAsia="ru-RU"/>
        </w:rPr>
        <w:t>) = вага/зріст</w:t>
      </w:r>
      <w:r>
        <w:rPr>
          <w:rFonts w:ascii="Times New Roman" w:eastAsia="Times New Roman" w:hAnsi="Times New Roman" w:cs="Times New Roman"/>
          <w:color w:val="000000"/>
          <w:sz w:val="28"/>
          <w:szCs w:val="28"/>
          <w:vertAlign w:val="superscript"/>
          <w:lang w:val="uk-UA" w:eastAsia="ru-RU"/>
        </w:rPr>
        <w:t>2</w:t>
      </w:r>
      <w:r w:rsidR="00DE5F87">
        <w:rPr>
          <w:rFonts w:ascii="Times New Roman" w:eastAsia="Times New Roman" w:hAnsi="Times New Roman" w:cs="Times New Roman"/>
          <w:color w:val="000000"/>
          <w:sz w:val="28"/>
          <w:szCs w:val="28"/>
          <w:lang w:val="uk-UA" w:eastAsia="ru-RU"/>
        </w:rPr>
        <w:t xml:space="preserve"> [</w:t>
      </w:r>
      <w:r w:rsidR="00CA04D8">
        <w:rPr>
          <w:rFonts w:ascii="Times New Roman" w:eastAsia="Times New Roman" w:hAnsi="Times New Roman" w:cs="Times New Roman"/>
          <w:color w:val="000000"/>
          <w:sz w:val="28"/>
          <w:szCs w:val="28"/>
          <w:lang w:val="uk-UA" w:eastAsia="ru-RU"/>
        </w:rPr>
        <w:t>126</w:t>
      </w:r>
      <w:r w:rsidRPr="003B2BBA">
        <w:rPr>
          <w:rFonts w:ascii="Times New Roman" w:eastAsia="Times New Roman" w:hAnsi="Times New Roman" w:cs="Times New Roman"/>
          <w:color w:val="000000"/>
          <w:sz w:val="28"/>
          <w:szCs w:val="28"/>
          <w:lang w:val="uk-UA" w:eastAsia="ru-RU"/>
        </w:rPr>
        <w:t>]</w:t>
      </w:r>
      <w:r w:rsidR="00516CE0">
        <w:rPr>
          <w:rFonts w:ascii="Times New Roman" w:eastAsia="Times New Roman" w:hAnsi="Times New Roman" w:cs="Times New Roman"/>
          <w:color w:val="000000"/>
          <w:sz w:val="28"/>
          <w:szCs w:val="28"/>
          <w:lang w:val="uk-UA" w:eastAsia="ru-RU"/>
        </w:rPr>
        <w:t xml:space="preserve">                                                            (2.2.1)</w:t>
      </w:r>
    </w:p>
    <w:p w:rsidR="003B2BBA" w:rsidRDefault="003B2BBA" w:rsidP="003B2BBA">
      <w:pPr>
        <w:spacing w:after="0" w:line="360" w:lineRule="auto"/>
        <w:ind w:firstLine="708"/>
        <w:jc w:val="both"/>
        <w:rPr>
          <w:rFonts w:ascii="Times New Roman" w:eastAsia="Times New Roman" w:hAnsi="Times New Roman" w:cs="Times New Roman"/>
          <w:color w:val="000000"/>
          <w:sz w:val="28"/>
          <w:szCs w:val="28"/>
          <w:lang w:val="uk-UA" w:eastAsia="ru-RU"/>
        </w:rPr>
      </w:pPr>
      <w:r w:rsidRPr="003B2BBA">
        <w:rPr>
          <w:rFonts w:ascii="Times New Roman" w:eastAsia="Times New Roman" w:hAnsi="Times New Roman" w:cs="Times New Roman"/>
          <w:color w:val="000000"/>
          <w:sz w:val="28"/>
          <w:szCs w:val="28"/>
          <w:lang w:val="uk-UA" w:eastAsia="ru-RU"/>
        </w:rPr>
        <w:t xml:space="preserve">Ступінь ожиріння встановлювали в залежності від ІМТ згідно </w:t>
      </w:r>
      <w:r w:rsidR="00F16579">
        <w:rPr>
          <w:rFonts w:ascii="Times New Roman" w:eastAsia="Times New Roman" w:hAnsi="Times New Roman" w:cs="Times New Roman"/>
          <w:color w:val="000000"/>
          <w:sz w:val="28"/>
          <w:szCs w:val="28"/>
          <w:lang w:val="uk-UA" w:eastAsia="ru-RU"/>
        </w:rPr>
        <w:t xml:space="preserve">               </w:t>
      </w:r>
      <w:r w:rsidRPr="003B2BBA">
        <w:rPr>
          <w:rFonts w:ascii="Times New Roman" w:eastAsia="Times New Roman" w:hAnsi="Times New Roman" w:cs="Times New Roman"/>
          <w:color w:val="000000"/>
          <w:sz w:val="28"/>
          <w:szCs w:val="28"/>
          <w:lang w:val="uk-UA" w:eastAsia="ru-RU"/>
        </w:rPr>
        <w:t>з нормативною на сьогодні класиф</w:t>
      </w:r>
      <w:r w:rsidR="005D325C">
        <w:rPr>
          <w:rFonts w:ascii="Times New Roman" w:eastAsia="Times New Roman" w:hAnsi="Times New Roman" w:cs="Times New Roman"/>
          <w:color w:val="000000"/>
          <w:sz w:val="28"/>
          <w:szCs w:val="28"/>
          <w:lang w:val="uk-UA" w:eastAsia="ru-RU"/>
        </w:rPr>
        <w:t>ікацією ВООЗ (2000) [</w:t>
      </w:r>
      <w:r w:rsidR="00CA04D8">
        <w:rPr>
          <w:rFonts w:ascii="Times New Roman" w:eastAsia="Times New Roman" w:hAnsi="Times New Roman" w:cs="Times New Roman"/>
          <w:color w:val="000000"/>
          <w:sz w:val="28"/>
          <w:szCs w:val="28"/>
          <w:lang w:val="uk-UA" w:eastAsia="ru-RU"/>
        </w:rPr>
        <w:t>126</w:t>
      </w:r>
      <w:r w:rsidRPr="003B2BBA">
        <w:rPr>
          <w:rFonts w:ascii="Times New Roman" w:eastAsia="Times New Roman" w:hAnsi="Times New Roman" w:cs="Times New Roman"/>
          <w:color w:val="000000"/>
          <w:sz w:val="28"/>
          <w:szCs w:val="28"/>
          <w:lang w:val="uk-UA" w:eastAsia="ru-RU"/>
        </w:rPr>
        <w:t>].</w:t>
      </w:r>
    </w:p>
    <w:p w:rsidR="00A110DA" w:rsidRDefault="00C50714" w:rsidP="00A110DA">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Площу поверхні тіла</w:t>
      </w:r>
      <w:r w:rsidR="003B2BBA" w:rsidRPr="003B2BBA">
        <w:rPr>
          <w:rFonts w:ascii="Times New Roman" w:eastAsia="Times New Roman" w:hAnsi="Times New Roman" w:cs="Times New Roman"/>
          <w:color w:val="000000"/>
          <w:sz w:val="28"/>
          <w:szCs w:val="28"/>
          <w:lang w:val="uk-UA" w:eastAsia="ru-RU"/>
        </w:rPr>
        <w:t xml:space="preserve"> було обчислено за формулою Мостеллера як корінь квадратний із співвідношення </w:t>
      </w:r>
      <w:r w:rsidR="003B2BBA" w:rsidRPr="00207C1C">
        <w:rPr>
          <w:rFonts w:ascii="Times New Roman" w:eastAsia="Times New Roman" w:hAnsi="Times New Roman" w:cs="Times New Roman"/>
          <w:color w:val="000000"/>
          <w:sz w:val="28"/>
          <w:szCs w:val="28"/>
          <w:lang w:val="uk-UA" w:eastAsia="ru-RU"/>
        </w:rPr>
        <w:t xml:space="preserve">добутку ваги та </w:t>
      </w:r>
      <w:r w:rsidR="00961D54" w:rsidRPr="00207C1C">
        <w:rPr>
          <w:rFonts w:ascii="Times New Roman" w:eastAsia="Times New Roman" w:hAnsi="Times New Roman" w:cs="Times New Roman"/>
          <w:color w:val="000000"/>
          <w:sz w:val="28"/>
          <w:szCs w:val="28"/>
          <w:lang w:val="uk-UA" w:eastAsia="ru-RU"/>
        </w:rPr>
        <w:t>зро</w:t>
      </w:r>
      <w:r w:rsidR="005D325C" w:rsidRPr="00207C1C">
        <w:rPr>
          <w:rFonts w:ascii="Times New Roman" w:eastAsia="Times New Roman" w:hAnsi="Times New Roman" w:cs="Times New Roman"/>
          <w:color w:val="000000"/>
          <w:sz w:val="28"/>
          <w:szCs w:val="28"/>
          <w:lang w:val="uk-UA" w:eastAsia="ru-RU"/>
        </w:rPr>
        <w:t>сту</w:t>
      </w:r>
      <w:r w:rsidR="005D325C">
        <w:rPr>
          <w:rFonts w:ascii="Times New Roman" w:eastAsia="Times New Roman" w:hAnsi="Times New Roman" w:cs="Times New Roman"/>
          <w:color w:val="000000"/>
          <w:sz w:val="28"/>
          <w:szCs w:val="28"/>
          <w:lang w:val="uk-UA" w:eastAsia="ru-RU"/>
        </w:rPr>
        <w:t xml:space="preserve"> до 3600 [</w:t>
      </w:r>
      <w:r w:rsidR="00CA04D8">
        <w:rPr>
          <w:rFonts w:ascii="Times New Roman" w:eastAsia="Times New Roman" w:hAnsi="Times New Roman" w:cs="Times New Roman"/>
          <w:color w:val="000000"/>
          <w:sz w:val="28"/>
          <w:szCs w:val="28"/>
          <w:lang w:val="uk-UA" w:eastAsia="ru-RU"/>
        </w:rPr>
        <w:t>127</w:t>
      </w:r>
      <w:r w:rsidR="003B2BBA" w:rsidRPr="003B2BBA">
        <w:rPr>
          <w:rFonts w:ascii="Times New Roman" w:eastAsia="Times New Roman" w:hAnsi="Times New Roman" w:cs="Times New Roman"/>
          <w:color w:val="000000"/>
          <w:sz w:val="28"/>
          <w:szCs w:val="28"/>
          <w:lang w:val="uk-UA" w:eastAsia="ru-RU"/>
        </w:rPr>
        <w:t>].</w:t>
      </w:r>
    </w:p>
    <w:p w:rsidR="00516CE0" w:rsidRPr="003B2BBA" w:rsidRDefault="00207C1C" w:rsidP="003B2BBA">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48F7B270" wp14:editId="61855E5C">
                <wp:simplePos x="0" y="0"/>
                <wp:positionH relativeFrom="column">
                  <wp:posOffset>1493732</wp:posOffset>
                </wp:positionH>
                <wp:positionV relativeFrom="paragraph">
                  <wp:posOffset>-1552</wp:posOffset>
                </wp:positionV>
                <wp:extent cx="1332089" cy="0"/>
                <wp:effectExtent l="0" t="0" r="2095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32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pt,-.1pt" to="2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" strokecolor="black [3040]"/>
            </w:pict>
          </mc:Fallback>
        </mc:AlternateContent>
      </w:r>
      <w:r w:rsidR="00516CE0">
        <w:rPr>
          <w:rFonts w:ascii="Times New Roman" w:eastAsia="Times New Roman" w:hAnsi="Times New Roman" w:cs="Times New Roman"/>
          <w:color w:val="000000"/>
          <w:sz w:val="28"/>
          <w:szCs w:val="28"/>
          <w:lang w:val="uk-UA" w:eastAsia="ru-RU"/>
        </w:rPr>
        <w:t>ППТ</w:t>
      </w:r>
      <w:r w:rsidR="000705B9">
        <w:rPr>
          <w:rFonts w:ascii="Times New Roman" w:eastAsia="Times New Roman" w:hAnsi="Times New Roman" w:cs="Times New Roman"/>
          <w:color w:val="000000"/>
          <w:sz w:val="28"/>
          <w:szCs w:val="28"/>
          <w:lang w:val="uk-UA" w:eastAsia="ru-RU"/>
        </w:rPr>
        <w:t xml:space="preserve"> (м</w:t>
      </w:r>
      <w:r w:rsidR="000705B9">
        <w:rPr>
          <w:rFonts w:ascii="Times New Roman" w:eastAsia="Times New Roman" w:hAnsi="Times New Roman" w:cs="Times New Roman"/>
          <w:color w:val="000000"/>
          <w:sz w:val="28"/>
          <w:szCs w:val="28"/>
          <w:vertAlign w:val="superscript"/>
          <w:lang w:val="uk-UA" w:eastAsia="ru-RU"/>
        </w:rPr>
        <w:t>2</w:t>
      </w:r>
      <w:r w:rsidR="000705B9" w:rsidRPr="00677763">
        <w:rPr>
          <w:rFonts w:ascii="Times New Roman" w:eastAsia="Times New Roman" w:hAnsi="Times New Roman" w:cs="Times New Roman"/>
          <w:color w:val="000000"/>
          <w:sz w:val="28"/>
          <w:szCs w:val="28"/>
          <w:lang w:val="uk-UA" w:eastAsia="ru-RU"/>
        </w:rPr>
        <w:t>)</w:t>
      </w:r>
      <w:r w:rsidR="000705B9">
        <w:rPr>
          <w:rFonts w:ascii="Times New Roman" w:eastAsia="Times New Roman" w:hAnsi="Times New Roman" w:cs="Times New Roman"/>
          <w:color w:val="000000"/>
          <w:sz w:val="28"/>
          <w:szCs w:val="28"/>
          <w:lang w:val="uk-UA" w:eastAsia="ru-RU"/>
        </w:rPr>
        <w:t xml:space="preserve"> </w:t>
      </w:r>
      <w:r w:rsidR="00516CE0">
        <w:rPr>
          <w:rFonts w:ascii="Times New Roman" w:eastAsia="Times New Roman" w:hAnsi="Times New Roman" w:cs="Times New Roman"/>
          <w:color w:val="000000"/>
          <w:sz w:val="28"/>
          <w:szCs w:val="28"/>
          <w:lang w:val="uk-UA" w:eastAsia="ru-RU"/>
        </w:rPr>
        <w:t xml:space="preserve"> = √(вага×зріст)/3600                                 </w:t>
      </w:r>
      <w:r w:rsidR="000705B9">
        <w:rPr>
          <w:rFonts w:ascii="Times New Roman" w:eastAsia="Times New Roman" w:hAnsi="Times New Roman" w:cs="Times New Roman"/>
          <w:color w:val="000000"/>
          <w:sz w:val="28"/>
          <w:szCs w:val="28"/>
          <w:lang w:val="uk-UA" w:eastAsia="ru-RU"/>
        </w:rPr>
        <w:t xml:space="preserve">                         </w:t>
      </w:r>
      <w:r w:rsidR="00516CE0">
        <w:rPr>
          <w:rFonts w:ascii="Times New Roman" w:eastAsia="Times New Roman" w:hAnsi="Times New Roman" w:cs="Times New Roman"/>
          <w:color w:val="000000"/>
          <w:sz w:val="28"/>
          <w:szCs w:val="28"/>
          <w:lang w:val="uk-UA" w:eastAsia="ru-RU"/>
        </w:rPr>
        <w:t xml:space="preserve">  (2.2.2)</w:t>
      </w:r>
    </w:p>
    <w:p w:rsidR="00D278ED" w:rsidRPr="00583414" w:rsidRDefault="000C4558" w:rsidP="000C4558">
      <w:pPr>
        <w:spacing w:after="0" w:line="360" w:lineRule="auto"/>
        <w:ind w:firstLine="708"/>
        <w:jc w:val="both"/>
        <w:rPr>
          <w:rFonts w:ascii="Times New Roman" w:eastAsia="Times New Roman" w:hAnsi="Times New Roman" w:cs="Times New Roman"/>
          <w:b/>
          <w:color w:val="000000"/>
          <w:sz w:val="28"/>
          <w:szCs w:val="28"/>
          <w:lang w:val="uk-UA" w:eastAsia="ru-RU"/>
        </w:rPr>
      </w:pPr>
      <w:r w:rsidRPr="00583414">
        <w:rPr>
          <w:rFonts w:ascii="Times New Roman" w:eastAsia="Times New Roman" w:hAnsi="Times New Roman" w:cs="Times New Roman"/>
          <w:b/>
          <w:color w:val="000000"/>
          <w:sz w:val="28"/>
          <w:szCs w:val="28"/>
          <w:lang w:val="uk-UA" w:eastAsia="ru-RU"/>
        </w:rPr>
        <w:t>Біо</w:t>
      </w:r>
      <w:r w:rsidR="00680C87" w:rsidRPr="00583414">
        <w:rPr>
          <w:rFonts w:ascii="Times New Roman" w:eastAsia="Times New Roman" w:hAnsi="Times New Roman" w:cs="Times New Roman"/>
          <w:b/>
          <w:color w:val="000000"/>
          <w:sz w:val="28"/>
          <w:szCs w:val="28"/>
          <w:lang w:val="uk-UA" w:eastAsia="ru-RU"/>
        </w:rPr>
        <w:t>хімічні методи</w:t>
      </w:r>
      <w:r w:rsidRPr="00583414">
        <w:rPr>
          <w:rFonts w:ascii="Times New Roman" w:eastAsia="Times New Roman" w:hAnsi="Times New Roman" w:cs="Times New Roman"/>
          <w:b/>
          <w:color w:val="000000"/>
          <w:sz w:val="28"/>
          <w:szCs w:val="28"/>
          <w:lang w:val="uk-UA" w:eastAsia="ru-RU"/>
        </w:rPr>
        <w:t xml:space="preserve"> </w:t>
      </w:r>
    </w:p>
    <w:p w:rsidR="00661C12" w:rsidRDefault="000A3B9B" w:rsidP="00C820D5">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Вміст</w:t>
      </w:r>
      <w:r w:rsidR="00C820D5">
        <w:rPr>
          <w:rFonts w:ascii="Times New Roman" w:eastAsia="Times New Roman" w:hAnsi="Times New Roman" w:cs="Times New Roman"/>
          <w:color w:val="000000"/>
          <w:sz w:val="28"/>
          <w:szCs w:val="28"/>
          <w:lang w:val="uk-UA" w:eastAsia="ru-RU"/>
        </w:rPr>
        <w:t xml:space="preserve"> ЗХС, </w:t>
      </w:r>
      <w:r w:rsidR="00D13D19">
        <w:rPr>
          <w:rFonts w:ascii="Times New Roman" w:eastAsia="Times New Roman" w:hAnsi="Times New Roman" w:cs="Times New Roman"/>
          <w:color w:val="000000"/>
          <w:sz w:val="28"/>
          <w:szCs w:val="28"/>
          <w:lang w:val="uk-UA" w:eastAsia="ru-RU"/>
        </w:rPr>
        <w:t xml:space="preserve">ХС </w:t>
      </w:r>
      <w:r w:rsidR="00C820D5">
        <w:rPr>
          <w:rFonts w:ascii="Times New Roman" w:eastAsia="Times New Roman" w:hAnsi="Times New Roman" w:cs="Times New Roman"/>
          <w:color w:val="000000"/>
          <w:sz w:val="28"/>
          <w:szCs w:val="28"/>
          <w:lang w:val="uk-UA" w:eastAsia="ru-RU"/>
        </w:rPr>
        <w:t>ЛПВЩ, ТГ</w:t>
      </w:r>
      <w:r>
        <w:rPr>
          <w:rFonts w:ascii="Times New Roman" w:eastAsia="Times New Roman" w:hAnsi="Times New Roman" w:cs="Times New Roman"/>
          <w:color w:val="000000"/>
          <w:sz w:val="28"/>
          <w:szCs w:val="28"/>
          <w:lang w:val="uk-UA" w:eastAsia="ru-RU"/>
        </w:rPr>
        <w:t xml:space="preserve"> було </w:t>
      </w:r>
      <w:r w:rsidR="00933442" w:rsidRPr="00933442">
        <w:rPr>
          <w:rFonts w:ascii="Times New Roman" w:eastAsia="Times New Roman" w:hAnsi="Times New Roman" w:cs="Times New Roman"/>
          <w:color w:val="000000"/>
          <w:sz w:val="28"/>
          <w:szCs w:val="28"/>
          <w:lang w:val="uk-UA" w:eastAsia="ru-RU"/>
        </w:rPr>
        <w:t>о</w:t>
      </w:r>
      <w:r w:rsidR="00933442">
        <w:rPr>
          <w:rFonts w:ascii="Times New Roman" w:eastAsia="Times New Roman" w:hAnsi="Times New Roman" w:cs="Times New Roman"/>
          <w:color w:val="000000"/>
          <w:sz w:val="28"/>
          <w:szCs w:val="28"/>
          <w:lang w:val="uk-UA" w:eastAsia="ru-RU"/>
        </w:rPr>
        <w:t>цін</w:t>
      </w:r>
      <w:r>
        <w:rPr>
          <w:rFonts w:ascii="Times New Roman" w:eastAsia="Times New Roman" w:hAnsi="Times New Roman" w:cs="Times New Roman"/>
          <w:color w:val="000000"/>
          <w:sz w:val="28"/>
          <w:szCs w:val="28"/>
          <w:lang w:val="uk-UA" w:eastAsia="ru-RU"/>
        </w:rPr>
        <w:t>ено</w:t>
      </w:r>
      <w:r w:rsidR="007F7D4D">
        <w:rPr>
          <w:rFonts w:ascii="Times New Roman" w:eastAsia="Times New Roman" w:hAnsi="Times New Roman" w:cs="Times New Roman"/>
          <w:color w:val="000000"/>
          <w:sz w:val="28"/>
          <w:szCs w:val="28"/>
          <w:lang w:val="uk-UA" w:eastAsia="ru-RU"/>
        </w:rPr>
        <w:t xml:space="preserve"> на автоматичному біохімічному аналізаторі </w:t>
      </w:r>
      <w:r w:rsidR="007F7D4D">
        <w:rPr>
          <w:rFonts w:ascii="Times New Roman" w:eastAsia="Times New Roman" w:hAnsi="Times New Roman" w:cs="Times New Roman"/>
          <w:color w:val="000000"/>
          <w:sz w:val="28"/>
          <w:szCs w:val="28"/>
          <w:lang w:val="en-US" w:eastAsia="ru-RU"/>
        </w:rPr>
        <w:t>Cobas</w:t>
      </w:r>
      <w:r w:rsidR="007F7D4D" w:rsidRPr="007F7D4D">
        <w:rPr>
          <w:rFonts w:ascii="Times New Roman" w:eastAsia="Times New Roman" w:hAnsi="Times New Roman" w:cs="Times New Roman"/>
          <w:color w:val="000000"/>
          <w:sz w:val="28"/>
          <w:szCs w:val="28"/>
          <w:lang w:val="uk-UA" w:eastAsia="ru-RU"/>
        </w:rPr>
        <w:t xml:space="preserve"> </w:t>
      </w:r>
      <w:r w:rsidR="007F7D4D">
        <w:rPr>
          <w:rFonts w:ascii="Times New Roman" w:eastAsia="Times New Roman" w:hAnsi="Times New Roman" w:cs="Times New Roman"/>
          <w:color w:val="000000"/>
          <w:sz w:val="28"/>
          <w:szCs w:val="28"/>
          <w:lang w:val="en-US" w:eastAsia="ru-RU"/>
        </w:rPr>
        <w:t>Mira</w:t>
      </w:r>
      <w:r w:rsidR="007F7D4D" w:rsidRPr="007F7D4D">
        <w:rPr>
          <w:rFonts w:ascii="Times New Roman" w:eastAsia="Times New Roman" w:hAnsi="Times New Roman" w:cs="Times New Roman"/>
          <w:color w:val="000000"/>
          <w:sz w:val="28"/>
          <w:szCs w:val="28"/>
          <w:lang w:val="uk-UA" w:eastAsia="ru-RU"/>
        </w:rPr>
        <w:t xml:space="preserve"> </w:t>
      </w:r>
      <w:r w:rsidR="007F7D4D">
        <w:rPr>
          <w:rFonts w:ascii="Times New Roman" w:eastAsia="Times New Roman" w:hAnsi="Times New Roman" w:cs="Times New Roman"/>
          <w:color w:val="000000"/>
          <w:sz w:val="28"/>
          <w:szCs w:val="28"/>
          <w:lang w:val="en-US" w:eastAsia="ru-RU"/>
        </w:rPr>
        <w:t>Plus</w:t>
      </w:r>
      <w:r w:rsidR="000C4558" w:rsidRPr="00257619">
        <w:rPr>
          <w:rFonts w:ascii="Times New Roman" w:eastAsia="Times New Roman" w:hAnsi="Times New Roman" w:cs="Times New Roman"/>
          <w:color w:val="000000"/>
          <w:sz w:val="28"/>
          <w:szCs w:val="28"/>
          <w:lang w:val="uk-UA" w:eastAsia="ru-RU"/>
        </w:rPr>
        <w:t>.</w:t>
      </w:r>
      <w:r w:rsidR="00C820D5" w:rsidRPr="00C820D5">
        <w:rPr>
          <w:rFonts w:ascii="Times New Roman" w:eastAsia="Times New Roman" w:hAnsi="Times New Roman" w:cs="Times New Roman"/>
          <w:color w:val="000000"/>
          <w:sz w:val="28"/>
          <w:szCs w:val="28"/>
          <w:lang w:val="uk-UA" w:eastAsia="ru-RU"/>
        </w:rPr>
        <w:t xml:space="preserve"> </w:t>
      </w:r>
    </w:p>
    <w:p w:rsidR="00C820D5" w:rsidRPr="00C820D5" w:rsidRDefault="00C820D5" w:rsidP="00FA3FAC">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w:t>
      </w:r>
      <w:r w:rsidRPr="00C820D5">
        <w:rPr>
          <w:rFonts w:ascii="Times New Roman" w:eastAsia="Times New Roman" w:hAnsi="Times New Roman" w:cs="Times New Roman"/>
          <w:color w:val="000000"/>
          <w:sz w:val="28"/>
          <w:szCs w:val="28"/>
          <w:lang w:val="uk-UA" w:eastAsia="ru-RU"/>
        </w:rPr>
        <w:t xml:space="preserve">изначення </w:t>
      </w:r>
      <w:r>
        <w:rPr>
          <w:rFonts w:ascii="Times New Roman" w:eastAsia="Times New Roman" w:hAnsi="Times New Roman" w:cs="Times New Roman"/>
          <w:color w:val="000000"/>
          <w:sz w:val="28"/>
          <w:szCs w:val="28"/>
          <w:lang w:val="uk-UA" w:eastAsia="ru-RU"/>
        </w:rPr>
        <w:t xml:space="preserve">ЗХС проводилося </w:t>
      </w:r>
      <w:r w:rsidRPr="00C820D5">
        <w:rPr>
          <w:rFonts w:ascii="Times New Roman" w:eastAsia="Times New Roman" w:hAnsi="Times New Roman" w:cs="Times New Roman"/>
          <w:color w:val="000000"/>
          <w:sz w:val="28"/>
          <w:szCs w:val="28"/>
          <w:lang w:val="uk-UA" w:eastAsia="ru-RU"/>
        </w:rPr>
        <w:t>ензим</w:t>
      </w:r>
      <w:r>
        <w:rPr>
          <w:rFonts w:ascii="Times New Roman" w:eastAsia="Times New Roman" w:hAnsi="Times New Roman" w:cs="Times New Roman"/>
          <w:color w:val="000000"/>
          <w:sz w:val="28"/>
          <w:szCs w:val="28"/>
          <w:lang w:val="uk-UA" w:eastAsia="ru-RU"/>
        </w:rPr>
        <w:t>атичним фотоколориметричн</w:t>
      </w:r>
      <w:r w:rsidR="00BF697A">
        <w:rPr>
          <w:rFonts w:ascii="Times New Roman" w:eastAsia="Times New Roman" w:hAnsi="Times New Roman" w:cs="Times New Roman"/>
          <w:color w:val="000000"/>
          <w:sz w:val="28"/>
          <w:szCs w:val="28"/>
          <w:lang w:val="uk-UA" w:eastAsia="ru-RU"/>
        </w:rPr>
        <w:t>им методом</w:t>
      </w:r>
      <w:r w:rsidR="00BF697A" w:rsidRPr="00BF697A">
        <w:rPr>
          <w:rFonts w:ascii="Times New Roman" w:eastAsia="Times New Roman" w:hAnsi="Times New Roman" w:cs="Times New Roman"/>
          <w:color w:val="000000"/>
          <w:sz w:val="28"/>
          <w:szCs w:val="28"/>
          <w:lang w:eastAsia="ru-RU"/>
        </w:rPr>
        <w:t xml:space="preserve">, </w:t>
      </w:r>
      <w:r w:rsidR="00BF697A">
        <w:rPr>
          <w:rFonts w:ascii="Times New Roman" w:eastAsia="Times New Roman" w:hAnsi="Times New Roman" w:cs="Times New Roman"/>
          <w:color w:val="000000"/>
          <w:sz w:val="28"/>
          <w:szCs w:val="28"/>
          <w:lang w:eastAsia="ru-RU"/>
        </w:rPr>
        <w:t>заснованому на реакц</w:t>
      </w:r>
      <w:r w:rsidR="009130CC">
        <w:rPr>
          <w:rFonts w:ascii="Times New Roman" w:eastAsia="Times New Roman" w:hAnsi="Times New Roman" w:cs="Times New Roman"/>
          <w:color w:val="000000"/>
          <w:sz w:val="28"/>
          <w:szCs w:val="28"/>
          <w:lang w:val="uk-UA" w:eastAsia="ru-RU"/>
        </w:rPr>
        <w:t>ії Тріндера</w:t>
      </w:r>
      <w:r w:rsidR="00BF697A" w:rsidRPr="00BF697A">
        <w:rPr>
          <w:rFonts w:ascii="Times New Roman" w:eastAsia="Times New Roman" w:hAnsi="Times New Roman" w:cs="Times New Roman"/>
          <w:color w:val="000000"/>
          <w:sz w:val="28"/>
          <w:szCs w:val="28"/>
          <w:lang w:eastAsia="ru-RU"/>
        </w:rPr>
        <w:t>.</w:t>
      </w:r>
      <w:r w:rsidRPr="00C820D5">
        <w:rPr>
          <w:rFonts w:ascii="Times New Roman" w:eastAsia="Times New Roman" w:hAnsi="Times New Roman" w:cs="Times New Roman"/>
          <w:color w:val="000000"/>
          <w:sz w:val="28"/>
          <w:szCs w:val="28"/>
          <w:lang w:val="uk-UA" w:eastAsia="ru-RU"/>
        </w:rPr>
        <w:t xml:space="preserve"> </w:t>
      </w:r>
      <w:r w:rsidR="008507B5">
        <w:rPr>
          <w:rFonts w:ascii="Times New Roman" w:eastAsia="Times New Roman" w:hAnsi="Times New Roman" w:cs="Times New Roman"/>
          <w:color w:val="000000"/>
          <w:sz w:val="28"/>
          <w:szCs w:val="28"/>
          <w:lang w:val="uk-UA" w:eastAsia="ru-RU"/>
        </w:rPr>
        <w:t>Під дією фермента холестерол-естерази відбувався гідроліз ефірів холестерину</w:t>
      </w:r>
      <w:r w:rsidRPr="00C820D5">
        <w:rPr>
          <w:rFonts w:ascii="Times New Roman" w:eastAsia="Times New Roman" w:hAnsi="Times New Roman" w:cs="Times New Roman"/>
          <w:color w:val="000000"/>
          <w:sz w:val="28"/>
          <w:szCs w:val="28"/>
          <w:lang w:val="uk-UA" w:eastAsia="ru-RU"/>
        </w:rPr>
        <w:t xml:space="preserve"> </w:t>
      </w:r>
      <w:r w:rsidR="008507B5">
        <w:rPr>
          <w:rFonts w:ascii="Times New Roman" w:eastAsia="Times New Roman" w:hAnsi="Times New Roman" w:cs="Times New Roman"/>
          <w:color w:val="000000"/>
          <w:sz w:val="28"/>
          <w:szCs w:val="28"/>
          <w:lang w:val="uk-UA" w:eastAsia="ru-RU"/>
        </w:rPr>
        <w:t>з утворенням власне холестеролу і вільних жирних кислот</w:t>
      </w:r>
      <w:r w:rsidRPr="00C820D5">
        <w:rPr>
          <w:rFonts w:ascii="Times New Roman" w:eastAsia="Times New Roman" w:hAnsi="Times New Roman" w:cs="Times New Roman"/>
          <w:color w:val="000000"/>
          <w:sz w:val="28"/>
          <w:szCs w:val="28"/>
          <w:lang w:val="uk-UA" w:eastAsia="ru-RU"/>
        </w:rPr>
        <w:t>. Утворений в резуль</w:t>
      </w:r>
      <w:r w:rsidR="008507B5">
        <w:rPr>
          <w:rFonts w:ascii="Times New Roman" w:eastAsia="Times New Roman" w:hAnsi="Times New Roman" w:cs="Times New Roman"/>
          <w:color w:val="000000"/>
          <w:sz w:val="28"/>
          <w:szCs w:val="28"/>
          <w:lang w:val="uk-UA" w:eastAsia="ru-RU"/>
        </w:rPr>
        <w:t>таті гідролізу</w:t>
      </w:r>
      <w:r w:rsidRPr="00C820D5">
        <w:rPr>
          <w:rFonts w:ascii="Times New Roman" w:eastAsia="Times New Roman" w:hAnsi="Times New Roman" w:cs="Times New Roman"/>
          <w:color w:val="000000"/>
          <w:sz w:val="28"/>
          <w:szCs w:val="28"/>
          <w:lang w:val="uk-UA" w:eastAsia="ru-RU"/>
        </w:rPr>
        <w:t xml:space="preserve"> </w:t>
      </w:r>
      <w:r w:rsidR="008507B5">
        <w:rPr>
          <w:rFonts w:ascii="Times New Roman" w:eastAsia="Times New Roman" w:hAnsi="Times New Roman" w:cs="Times New Roman"/>
          <w:color w:val="000000"/>
          <w:sz w:val="28"/>
          <w:szCs w:val="28"/>
          <w:lang w:val="uk-UA" w:eastAsia="ru-RU"/>
        </w:rPr>
        <w:t xml:space="preserve">холестерин </w:t>
      </w:r>
      <w:r w:rsidR="008507B5" w:rsidRPr="008507B5">
        <w:rPr>
          <w:rFonts w:ascii="Times New Roman" w:eastAsia="Times New Roman" w:hAnsi="Times New Roman" w:cs="Times New Roman"/>
          <w:color w:val="000000"/>
          <w:sz w:val="28"/>
          <w:szCs w:val="28"/>
          <w:lang w:val="uk-UA" w:eastAsia="ru-RU"/>
        </w:rPr>
        <w:t xml:space="preserve">під дією холестерол-оксидази </w:t>
      </w:r>
      <w:r w:rsidR="00FA3FAC">
        <w:rPr>
          <w:rFonts w:ascii="Times New Roman" w:eastAsia="Times New Roman" w:hAnsi="Times New Roman" w:cs="Times New Roman"/>
          <w:color w:val="000000"/>
          <w:sz w:val="28"/>
          <w:szCs w:val="28"/>
          <w:lang w:val="uk-UA" w:eastAsia="ru-RU"/>
        </w:rPr>
        <w:t>розщеплювався</w:t>
      </w:r>
      <w:r w:rsidR="008507B5">
        <w:rPr>
          <w:rFonts w:ascii="Times New Roman" w:eastAsia="Times New Roman" w:hAnsi="Times New Roman" w:cs="Times New Roman"/>
          <w:color w:val="000000"/>
          <w:sz w:val="28"/>
          <w:szCs w:val="28"/>
          <w:lang w:val="uk-UA" w:eastAsia="ru-RU"/>
        </w:rPr>
        <w:t xml:space="preserve"> до 4-холестенону </w:t>
      </w:r>
      <w:r w:rsidR="008507B5">
        <w:rPr>
          <w:rFonts w:ascii="Times New Roman" w:eastAsia="Times New Roman" w:hAnsi="Times New Roman" w:cs="Times New Roman"/>
          <w:color w:val="000000"/>
          <w:sz w:val="28"/>
          <w:szCs w:val="28"/>
          <w:lang w:val="uk-UA" w:eastAsia="ru-RU"/>
        </w:rPr>
        <w:lastRenderedPageBreak/>
        <w:t xml:space="preserve">та перекису водню, який під впливом пероксидази у присутності фенолу перетворювався на хінон рожевого кольору. Інтенсивність забарвлення була пропорційною до </w:t>
      </w:r>
      <w:r w:rsidR="00661C12">
        <w:rPr>
          <w:rFonts w:ascii="Times New Roman" w:eastAsia="Times New Roman" w:hAnsi="Times New Roman" w:cs="Times New Roman"/>
          <w:color w:val="000000"/>
          <w:sz w:val="28"/>
          <w:szCs w:val="28"/>
          <w:lang w:val="uk-UA" w:eastAsia="ru-RU"/>
        </w:rPr>
        <w:t>концентрації З</w:t>
      </w:r>
      <w:r w:rsidRPr="00C820D5">
        <w:rPr>
          <w:rFonts w:ascii="Times New Roman" w:eastAsia="Times New Roman" w:hAnsi="Times New Roman" w:cs="Times New Roman"/>
          <w:color w:val="000000"/>
          <w:sz w:val="28"/>
          <w:szCs w:val="28"/>
          <w:lang w:val="uk-UA" w:eastAsia="ru-RU"/>
        </w:rPr>
        <w:t>ХС в пробі</w:t>
      </w:r>
      <w:r w:rsidR="00661C12">
        <w:rPr>
          <w:rFonts w:ascii="Times New Roman" w:eastAsia="Times New Roman" w:hAnsi="Times New Roman" w:cs="Times New Roman"/>
          <w:color w:val="000000"/>
          <w:sz w:val="28"/>
          <w:szCs w:val="28"/>
          <w:lang w:val="uk-UA" w:eastAsia="ru-RU"/>
        </w:rPr>
        <w:t>. Із використанням спектрофотометру</w:t>
      </w:r>
      <w:r w:rsidRPr="00C820D5">
        <w:rPr>
          <w:rFonts w:ascii="Times New Roman" w:eastAsia="Times New Roman" w:hAnsi="Times New Roman" w:cs="Times New Roman"/>
          <w:color w:val="000000"/>
          <w:sz w:val="28"/>
          <w:szCs w:val="28"/>
          <w:lang w:val="uk-UA" w:eastAsia="ru-RU"/>
        </w:rPr>
        <w:t xml:space="preserve"> при довжині хвилі 480−520 нм</w:t>
      </w:r>
      <w:r w:rsidR="00846D7F">
        <w:rPr>
          <w:rFonts w:ascii="Times New Roman" w:eastAsia="Times New Roman" w:hAnsi="Times New Roman" w:cs="Times New Roman"/>
          <w:color w:val="000000"/>
          <w:sz w:val="28"/>
          <w:szCs w:val="28"/>
          <w:lang w:val="uk-UA" w:eastAsia="ru-RU"/>
        </w:rPr>
        <w:t xml:space="preserve"> було визначено вміст</w:t>
      </w:r>
      <w:r w:rsidR="00661C12">
        <w:rPr>
          <w:rFonts w:ascii="Times New Roman" w:eastAsia="Times New Roman" w:hAnsi="Times New Roman" w:cs="Times New Roman"/>
          <w:color w:val="000000"/>
          <w:sz w:val="28"/>
          <w:szCs w:val="28"/>
          <w:lang w:val="uk-UA" w:eastAsia="ru-RU"/>
        </w:rPr>
        <w:t xml:space="preserve"> ЗХС кількісно</w:t>
      </w:r>
      <w:r w:rsidR="009130CC" w:rsidRPr="00677763">
        <w:rPr>
          <w:rFonts w:ascii="Times New Roman" w:eastAsia="Times New Roman" w:hAnsi="Times New Roman" w:cs="Times New Roman"/>
          <w:color w:val="000000"/>
          <w:sz w:val="28"/>
          <w:szCs w:val="28"/>
          <w:lang w:val="uk-UA" w:eastAsia="ru-RU"/>
        </w:rPr>
        <w:t xml:space="preserve"> </w:t>
      </w:r>
      <w:r w:rsidR="00FA2BBB">
        <w:rPr>
          <w:rFonts w:ascii="Times New Roman" w:eastAsia="Times New Roman" w:hAnsi="Times New Roman" w:cs="Times New Roman"/>
          <w:color w:val="000000"/>
          <w:sz w:val="28"/>
          <w:szCs w:val="28"/>
          <w:lang w:val="uk-UA" w:eastAsia="ru-RU"/>
        </w:rPr>
        <w:t>[</w:t>
      </w:r>
      <w:r w:rsidR="00CA04D8">
        <w:rPr>
          <w:rFonts w:ascii="Times New Roman" w:eastAsia="Times New Roman" w:hAnsi="Times New Roman" w:cs="Times New Roman"/>
          <w:color w:val="000000"/>
          <w:sz w:val="28"/>
          <w:szCs w:val="28"/>
          <w:lang w:val="uk-UA" w:eastAsia="ru-RU"/>
        </w:rPr>
        <w:t>128</w:t>
      </w:r>
      <w:r w:rsidR="009130CC" w:rsidRPr="00677763">
        <w:rPr>
          <w:rFonts w:ascii="Times New Roman" w:eastAsia="Times New Roman" w:hAnsi="Times New Roman" w:cs="Times New Roman"/>
          <w:color w:val="000000"/>
          <w:sz w:val="28"/>
          <w:szCs w:val="28"/>
          <w:lang w:val="uk-UA" w:eastAsia="ru-RU"/>
        </w:rPr>
        <w:t>]</w:t>
      </w:r>
      <w:r w:rsidRPr="00C820D5">
        <w:rPr>
          <w:rFonts w:ascii="Times New Roman" w:eastAsia="Times New Roman" w:hAnsi="Times New Roman" w:cs="Times New Roman"/>
          <w:color w:val="000000"/>
          <w:sz w:val="28"/>
          <w:szCs w:val="28"/>
          <w:lang w:val="uk-UA" w:eastAsia="ru-RU"/>
        </w:rPr>
        <w:t>.</w:t>
      </w:r>
    </w:p>
    <w:p w:rsidR="00C820D5" w:rsidRPr="00C820D5" w:rsidRDefault="00C820D5" w:rsidP="00C820D5">
      <w:pPr>
        <w:spacing w:after="0" w:line="360" w:lineRule="auto"/>
        <w:ind w:firstLine="708"/>
        <w:jc w:val="both"/>
        <w:rPr>
          <w:rFonts w:ascii="Times New Roman" w:eastAsia="Times New Roman" w:hAnsi="Times New Roman" w:cs="Times New Roman"/>
          <w:color w:val="000000"/>
          <w:sz w:val="28"/>
          <w:szCs w:val="28"/>
          <w:lang w:val="uk-UA" w:eastAsia="ru-RU"/>
        </w:rPr>
      </w:pPr>
      <w:r w:rsidRPr="00C820D5">
        <w:rPr>
          <w:rFonts w:ascii="Times New Roman" w:eastAsia="Times New Roman" w:hAnsi="Times New Roman" w:cs="Times New Roman"/>
          <w:color w:val="000000"/>
          <w:sz w:val="28"/>
          <w:szCs w:val="28"/>
          <w:lang w:val="uk-UA" w:eastAsia="ru-RU"/>
        </w:rPr>
        <w:t>Визначення ТГ проводилось ензиматичним колориме</w:t>
      </w:r>
      <w:r w:rsidR="009130CC">
        <w:rPr>
          <w:rFonts w:ascii="Times New Roman" w:eastAsia="Times New Roman" w:hAnsi="Times New Roman" w:cs="Times New Roman"/>
          <w:color w:val="000000"/>
          <w:sz w:val="28"/>
          <w:szCs w:val="28"/>
          <w:lang w:val="uk-UA" w:eastAsia="ru-RU"/>
        </w:rPr>
        <w:t>тричним методом з використанням методики, розробленої</w:t>
      </w:r>
      <w:r w:rsidRPr="00C820D5">
        <w:rPr>
          <w:rFonts w:ascii="Times New Roman" w:eastAsia="Times New Roman" w:hAnsi="Times New Roman" w:cs="Times New Roman"/>
          <w:color w:val="000000"/>
          <w:sz w:val="28"/>
          <w:szCs w:val="28"/>
          <w:lang w:val="uk-UA" w:eastAsia="ru-RU"/>
        </w:rPr>
        <w:t xml:space="preserve"> </w:t>
      </w:r>
      <w:r w:rsidR="009130CC" w:rsidRPr="009130CC">
        <w:rPr>
          <w:rFonts w:ascii="Times New Roman" w:hAnsi="Times New Roman" w:cs="Times New Roman"/>
          <w:sz w:val="28"/>
          <w:szCs w:val="28"/>
        </w:rPr>
        <w:t>Bucolo</w:t>
      </w:r>
      <w:r w:rsidR="009130CC" w:rsidRPr="009130CC">
        <w:rPr>
          <w:rFonts w:ascii="Times New Roman" w:hAnsi="Times New Roman" w:cs="Times New Roman"/>
          <w:sz w:val="28"/>
          <w:szCs w:val="28"/>
          <w:lang w:val="uk-UA"/>
        </w:rPr>
        <w:t xml:space="preserve"> </w:t>
      </w:r>
      <w:r w:rsidR="009130CC">
        <w:rPr>
          <w:rFonts w:ascii="Times New Roman" w:hAnsi="Times New Roman" w:cs="Times New Roman"/>
          <w:sz w:val="28"/>
          <w:szCs w:val="28"/>
          <w:lang w:val="en-US"/>
        </w:rPr>
        <w:t>G</w:t>
      </w:r>
      <w:r w:rsidR="009130CC" w:rsidRPr="009130CC">
        <w:rPr>
          <w:rFonts w:ascii="Times New Roman" w:hAnsi="Times New Roman" w:cs="Times New Roman"/>
          <w:sz w:val="28"/>
          <w:szCs w:val="28"/>
          <w:lang w:val="uk-UA"/>
        </w:rPr>
        <w:t>.</w:t>
      </w:r>
      <w:r w:rsidR="009130CC">
        <w:rPr>
          <w:rFonts w:ascii="Times New Roman" w:hAnsi="Times New Roman" w:cs="Times New Roman"/>
          <w:sz w:val="28"/>
          <w:szCs w:val="28"/>
          <w:lang w:val="uk-UA"/>
        </w:rPr>
        <w:t xml:space="preserve"> та</w:t>
      </w:r>
      <w:r w:rsidR="009130CC" w:rsidRPr="009130CC">
        <w:rPr>
          <w:rFonts w:ascii="Times New Roman" w:hAnsi="Times New Roman" w:cs="Times New Roman"/>
          <w:sz w:val="28"/>
          <w:szCs w:val="28"/>
          <w:lang w:val="uk-UA"/>
        </w:rPr>
        <w:t xml:space="preserve"> </w:t>
      </w:r>
      <w:r w:rsidR="009130CC" w:rsidRPr="009130CC">
        <w:rPr>
          <w:rFonts w:ascii="Times New Roman" w:hAnsi="Times New Roman" w:cs="Times New Roman"/>
          <w:sz w:val="28"/>
          <w:szCs w:val="28"/>
        </w:rPr>
        <w:t>David</w:t>
      </w:r>
      <w:r w:rsidR="009130CC" w:rsidRPr="009130CC">
        <w:rPr>
          <w:rFonts w:ascii="Times New Roman" w:hAnsi="Times New Roman" w:cs="Times New Roman"/>
          <w:sz w:val="28"/>
          <w:szCs w:val="28"/>
          <w:lang w:val="uk-UA"/>
        </w:rPr>
        <w:t xml:space="preserve"> </w:t>
      </w:r>
      <w:r w:rsidR="009130CC">
        <w:rPr>
          <w:rFonts w:ascii="Times New Roman" w:hAnsi="Times New Roman" w:cs="Times New Roman"/>
          <w:sz w:val="28"/>
          <w:szCs w:val="28"/>
          <w:lang w:val="en-US"/>
        </w:rPr>
        <w:t>H</w:t>
      </w:r>
      <w:r w:rsidR="000A3B9B">
        <w:rPr>
          <w:rFonts w:ascii="Times New Roman" w:hAnsi="Times New Roman" w:cs="Times New Roman"/>
          <w:sz w:val="28"/>
          <w:szCs w:val="28"/>
          <w:lang w:val="uk-UA"/>
        </w:rPr>
        <w:t xml:space="preserve"> (1973 р.)</w:t>
      </w:r>
      <w:r w:rsidR="009130CC" w:rsidRPr="009130CC">
        <w:rPr>
          <w:rFonts w:ascii="Times New Roman" w:hAnsi="Times New Roman" w:cs="Times New Roman"/>
          <w:sz w:val="28"/>
          <w:szCs w:val="28"/>
          <w:lang w:val="uk-UA"/>
        </w:rPr>
        <w:t xml:space="preserve">. </w:t>
      </w:r>
      <w:r w:rsidR="009130CC">
        <w:rPr>
          <w:rFonts w:ascii="Times New Roman" w:hAnsi="Times New Roman" w:cs="Times New Roman"/>
          <w:sz w:val="28"/>
          <w:szCs w:val="28"/>
          <w:lang w:val="uk-UA"/>
        </w:rPr>
        <w:t>Під впливом ліпази відбувався</w:t>
      </w:r>
      <w:r w:rsidR="000A3B9B">
        <w:rPr>
          <w:rFonts w:ascii="Times New Roman" w:eastAsia="Times New Roman" w:hAnsi="Times New Roman" w:cs="Times New Roman"/>
          <w:color w:val="000000"/>
          <w:sz w:val="28"/>
          <w:szCs w:val="28"/>
          <w:lang w:val="uk-UA" w:eastAsia="ru-RU"/>
        </w:rPr>
        <w:t xml:space="preserve"> гідроліз</w:t>
      </w:r>
      <w:r w:rsidR="00846D7F">
        <w:rPr>
          <w:rFonts w:ascii="Times New Roman" w:eastAsia="Times New Roman" w:hAnsi="Times New Roman" w:cs="Times New Roman"/>
          <w:color w:val="000000"/>
          <w:sz w:val="28"/>
          <w:szCs w:val="28"/>
          <w:lang w:val="uk-UA" w:eastAsia="ru-RU"/>
        </w:rPr>
        <w:t xml:space="preserve"> ТГ </w:t>
      </w:r>
      <w:r w:rsidRPr="00C820D5">
        <w:rPr>
          <w:rFonts w:ascii="Times New Roman" w:eastAsia="Times New Roman" w:hAnsi="Times New Roman" w:cs="Times New Roman"/>
          <w:color w:val="000000"/>
          <w:sz w:val="28"/>
          <w:szCs w:val="28"/>
          <w:lang w:val="uk-UA" w:eastAsia="ru-RU"/>
        </w:rPr>
        <w:t>з утворенням жирних кислот та ек</w:t>
      </w:r>
      <w:r w:rsidR="00726728">
        <w:rPr>
          <w:rFonts w:ascii="Times New Roman" w:eastAsia="Times New Roman" w:hAnsi="Times New Roman" w:cs="Times New Roman"/>
          <w:color w:val="000000"/>
          <w:sz w:val="28"/>
          <w:szCs w:val="28"/>
          <w:lang w:val="uk-UA" w:eastAsia="ru-RU"/>
        </w:rPr>
        <w:t xml:space="preserve">вімолярної кількості гліцерину. </w:t>
      </w:r>
      <w:r w:rsidRPr="00C820D5">
        <w:rPr>
          <w:rFonts w:ascii="Times New Roman" w:eastAsia="Times New Roman" w:hAnsi="Times New Roman" w:cs="Times New Roman"/>
          <w:color w:val="000000"/>
          <w:sz w:val="28"/>
          <w:szCs w:val="28"/>
          <w:lang w:val="uk-UA" w:eastAsia="ru-RU"/>
        </w:rPr>
        <w:t xml:space="preserve">Гліцерин за наявності </w:t>
      </w:r>
      <w:r w:rsidR="009130CC">
        <w:rPr>
          <w:rFonts w:ascii="Times New Roman" w:eastAsia="Times New Roman" w:hAnsi="Times New Roman" w:cs="Times New Roman"/>
          <w:color w:val="000000"/>
          <w:sz w:val="28"/>
          <w:szCs w:val="28"/>
          <w:lang w:val="uk-UA" w:eastAsia="ru-RU"/>
        </w:rPr>
        <w:t>аденозинтрифосфату</w:t>
      </w:r>
      <w:r w:rsidRPr="00C820D5">
        <w:rPr>
          <w:rFonts w:ascii="Times New Roman" w:eastAsia="Times New Roman" w:hAnsi="Times New Roman" w:cs="Times New Roman"/>
          <w:color w:val="000000"/>
          <w:sz w:val="28"/>
          <w:szCs w:val="28"/>
          <w:lang w:val="uk-UA" w:eastAsia="ru-RU"/>
        </w:rPr>
        <w:t>, гексокінази і гліцерофосф</w:t>
      </w:r>
      <w:r w:rsidR="009130CC">
        <w:rPr>
          <w:rFonts w:ascii="Times New Roman" w:eastAsia="Times New Roman" w:hAnsi="Times New Roman" w:cs="Times New Roman"/>
          <w:color w:val="000000"/>
          <w:sz w:val="28"/>
          <w:szCs w:val="28"/>
          <w:lang w:val="uk-UA" w:eastAsia="ru-RU"/>
        </w:rPr>
        <w:t>атоксидази окиснювався</w:t>
      </w:r>
      <w:r w:rsidRPr="00C820D5">
        <w:rPr>
          <w:rFonts w:ascii="Times New Roman" w:eastAsia="Times New Roman" w:hAnsi="Times New Roman" w:cs="Times New Roman"/>
          <w:color w:val="000000"/>
          <w:sz w:val="28"/>
          <w:szCs w:val="28"/>
          <w:lang w:val="uk-UA" w:eastAsia="ru-RU"/>
        </w:rPr>
        <w:t xml:space="preserve"> </w:t>
      </w:r>
      <w:r w:rsidR="00933442">
        <w:rPr>
          <w:rFonts w:ascii="Times New Roman" w:eastAsia="Times New Roman" w:hAnsi="Times New Roman" w:cs="Times New Roman"/>
          <w:color w:val="000000"/>
          <w:sz w:val="28"/>
          <w:szCs w:val="28"/>
          <w:lang w:val="uk-UA" w:eastAsia="ru-RU"/>
        </w:rPr>
        <w:t xml:space="preserve">       </w:t>
      </w:r>
      <w:r w:rsidRPr="00C820D5">
        <w:rPr>
          <w:rFonts w:ascii="Times New Roman" w:eastAsia="Times New Roman" w:hAnsi="Times New Roman" w:cs="Times New Roman"/>
          <w:color w:val="000000"/>
          <w:sz w:val="28"/>
          <w:szCs w:val="28"/>
          <w:lang w:val="uk-UA" w:eastAsia="ru-RU"/>
        </w:rPr>
        <w:t>з утворенням еквімолярних кількостей перек</w:t>
      </w:r>
      <w:r w:rsidR="009130CC">
        <w:rPr>
          <w:rFonts w:ascii="Times New Roman" w:eastAsia="Times New Roman" w:hAnsi="Times New Roman" w:cs="Times New Roman"/>
          <w:color w:val="000000"/>
          <w:sz w:val="28"/>
          <w:szCs w:val="28"/>
          <w:lang w:val="uk-UA" w:eastAsia="ru-RU"/>
        </w:rPr>
        <w:t>ису водню. Пероксидаза каталізувала</w:t>
      </w:r>
      <w:r w:rsidRPr="00C820D5">
        <w:rPr>
          <w:rFonts w:ascii="Times New Roman" w:eastAsia="Times New Roman" w:hAnsi="Times New Roman" w:cs="Times New Roman"/>
          <w:color w:val="000000"/>
          <w:sz w:val="28"/>
          <w:szCs w:val="28"/>
          <w:lang w:val="uk-UA" w:eastAsia="ru-RU"/>
        </w:rPr>
        <w:t xml:space="preserve"> окиснення хромогенних субстратів перекисом водню </w:t>
      </w:r>
      <w:r w:rsidR="00933442">
        <w:rPr>
          <w:rFonts w:ascii="Times New Roman" w:eastAsia="Times New Roman" w:hAnsi="Times New Roman" w:cs="Times New Roman"/>
          <w:color w:val="000000"/>
          <w:sz w:val="28"/>
          <w:szCs w:val="28"/>
          <w:lang w:val="uk-UA" w:eastAsia="ru-RU"/>
        </w:rPr>
        <w:t xml:space="preserve">                </w:t>
      </w:r>
      <w:r w:rsidRPr="00C820D5">
        <w:rPr>
          <w:rFonts w:ascii="Times New Roman" w:eastAsia="Times New Roman" w:hAnsi="Times New Roman" w:cs="Times New Roman"/>
          <w:color w:val="000000"/>
          <w:sz w:val="28"/>
          <w:szCs w:val="28"/>
          <w:lang w:val="uk-UA" w:eastAsia="ru-RU"/>
        </w:rPr>
        <w:t>за наявності хлорфенолів з у</w:t>
      </w:r>
      <w:r w:rsidR="009130CC">
        <w:rPr>
          <w:rFonts w:ascii="Times New Roman" w:eastAsia="Times New Roman" w:hAnsi="Times New Roman" w:cs="Times New Roman"/>
          <w:color w:val="000000"/>
          <w:sz w:val="28"/>
          <w:szCs w:val="28"/>
          <w:lang w:val="uk-UA" w:eastAsia="ru-RU"/>
        </w:rPr>
        <w:t>творенням забарвленого продукту. І</w:t>
      </w:r>
      <w:r w:rsidRPr="00C820D5">
        <w:rPr>
          <w:rFonts w:ascii="Times New Roman" w:eastAsia="Times New Roman" w:hAnsi="Times New Roman" w:cs="Times New Roman"/>
          <w:color w:val="000000"/>
          <w:sz w:val="28"/>
          <w:szCs w:val="28"/>
          <w:lang w:val="uk-UA" w:eastAsia="ru-RU"/>
        </w:rPr>
        <w:t>нтенсивність забарвлення</w:t>
      </w:r>
      <w:r w:rsidR="009130CC">
        <w:rPr>
          <w:rFonts w:ascii="Times New Roman" w:eastAsia="Times New Roman" w:hAnsi="Times New Roman" w:cs="Times New Roman"/>
          <w:color w:val="000000"/>
          <w:sz w:val="28"/>
          <w:szCs w:val="28"/>
          <w:lang w:val="uk-UA" w:eastAsia="ru-RU"/>
        </w:rPr>
        <w:t xml:space="preserve"> була </w:t>
      </w:r>
      <w:r w:rsidRPr="00C820D5">
        <w:rPr>
          <w:rFonts w:ascii="Times New Roman" w:eastAsia="Times New Roman" w:hAnsi="Times New Roman" w:cs="Times New Roman"/>
          <w:color w:val="000000"/>
          <w:sz w:val="28"/>
          <w:szCs w:val="28"/>
          <w:lang w:val="uk-UA" w:eastAsia="ru-RU"/>
        </w:rPr>
        <w:t>п</w:t>
      </w:r>
      <w:r w:rsidR="009130CC">
        <w:rPr>
          <w:rFonts w:ascii="Times New Roman" w:eastAsia="Times New Roman" w:hAnsi="Times New Roman" w:cs="Times New Roman"/>
          <w:color w:val="000000"/>
          <w:sz w:val="28"/>
          <w:szCs w:val="28"/>
          <w:lang w:val="uk-UA" w:eastAsia="ru-RU"/>
        </w:rPr>
        <w:t>рямо пропорційною</w:t>
      </w:r>
      <w:r w:rsidRPr="00C820D5">
        <w:rPr>
          <w:rFonts w:ascii="Times New Roman" w:eastAsia="Times New Roman" w:hAnsi="Times New Roman" w:cs="Times New Roman"/>
          <w:color w:val="000000"/>
          <w:sz w:val="28"/>
          <w:szCs w:val="28"/>
          <w:lang w:val="uk-UA" w:eastAsia="ru-RU"/>
        </w:rPr>
        <w:t xml:space="preserve"> конце</w:t>
      </w:r>
      <w:r w:rsidR="009130CC">
        <w:rPr>
          <w:rFonts w:ascii="Times New Roman" w:eastAsia="Times New Roman" w:hAnsi="Times New Roman" w:cs="Times New Roman"/>
          <w:color w:val="000000"/>
          <w:sz w:val="28"/>
          <w:szCs w:val="28"/>
          <w:lang w:val="uk-UA" w:eastAsia="ru-RU"/>
        </w:rPr>
        <w:t>нтрації ТГ в пробі і вимірювалася</w:t>
      </w:r>
      <w:r w:rsidRPr="00C820D5">
        <w:rPr>
          <w:rFonts w:ascii="Times New Roman" w:eastAsia="Times New Roman" w:hAnsi="Times New Roman" w:cs="Times New Roman"/>
          <w:color w:val="000000"/>
          <w:sz w:val="28"/>
          <w:szCs w:val="28"/>
          <w:lang w:val="uk-UA" w:eastAsia="ru-RU"/>
        </w:rPr>
        <w:t xml:space="preserve"> фотометрично при довжині хвилі 480−520 нм</w:t>
      </w:r>
      <w:r w:rsidR="003B128E">
        <w:rPr>
          <w:rFonts w:ascii="Times New Roman" w:eastAsia="Times New Roman" w:hAnsi="Times New Roman" w:cs="Times New Roman"/>
          <w:color w:val="000000"/>
          <w:sz w:val="28"/>
          <w:szCs w:val="28"/>
          <w:lang w:val="uk-UA" w:eastAsia="ru-RU"/>
        </w:rPr>
        <w:t xml:space="preserve"> [</w:t>
      </w:r>
      <w:r w:rsidR="00CA04D8">
        <w:rPr>
          <w:rFonts w:ascii="Times New Roman" w:eastAsia="Times New Roman" w:hAnsi="Times New Roman" w:cs="Times New Roman"/>
          <w:color w:val="000000"/>
          <w:sz w:val="28"/>
          <w:szCs w:val="28"/>
          <w:lang w:val="uk-UA" w:eastAsia="ru-RU"/>
        </w:rPr>
        <w:t>129</w:t>
      </w:r>
      <w:r w:rsidR="009130CC" w:rsidRPr="009130CC">
        <w:rPr>
          <w:rFonts w:ascii="Times New Roman" w:eastAsia="Times New Roman" w:hAnsi="Times New Roman" w:cs="Times New Roman"/>
          <w:color w:val="000000"/>
          <w:sz w:val="28"/>
          <w:szCs w:val="28"/>
          <w:lang w:val="uk-UA" w:eastAsia="ru-RU"/>
        </w:rPr>
        <w:t>]</w:t>
      </w:r>
      <w:r w:rsidRPr="00C820D5">
        <w:rPr>
          <w:rFonts w:ascii="Times New Roman" w:eastAsia="Times New Roman" w:hAnsi="Times New Roman" w:cs="Times New Roman"/>
          <w:color w:val="000000"/>
          <w:sz w:val="28"/>
          <w:szCs w:val="28"/>
          <w:lang w:val="uk-UA" w:eastAsia="ru-RU"/>
        </w:rPr>
        <w:t>.</w:t>
      </w:r>
    </w:p>
    <w:p w:rsidR="000C4558" w:rsidRPr="00E64D0A" w:rsidRDefault="00C820D5" w:rsidP="00C820D5">
      <w:pPr>
        <w:spacing w:after="0" w:line="360" w:lineRule="auto"/>
        <w:ind w:firstLine="708"/>
        <w:jc w:val="both"/>
        <w:rPr>
          <w:rFonts w:ascii="Times New Roman" w:eastAsia="Times New Roman" w:hAnsi="Times New Roman" w:cs="Times New Roman"/>
          <w:color w:val="000000"/>
          <w:sz w:val="28"/>
          <w:szCs w:val="28"/>
          <w:lang w:val="uk-UA" w:eastAsia="ru-RU"/>
        </w:rPr>
      </w:pPr>
      <w:r w:rsidRPr="00C820D5">
        <w:rPr>
          <w:rFonts w:ascii="Times New Roman" w:eastAsia="Times New Roman" w:hAnsi="Times New Roman" w:cs="Times New Roman"/>
          <w:color w:val="000000"/>
          <w:sz w:val="28"/>
          <w:szCs w:val="28"/>
          <w:lang w:val="uk-UA" w:eastAsia="ru-RU"/>
        </w:rPr>
        <w:t xml:space="preserve">Кількісне визначення </w:t>
      </w:r>
      <w:r w:rsidR="000A3B9B">
        <w:rPr>
          <w:rFonts w:ascii="Times New Roman" w:eastAsia="Times New Roman" w:hAnsi="Times New Roman" w:cs="Times New Roman"/>
          <w:color w:val="000000"/>
          <w:sz w:val="28"/>
          <w:szCs w:val="28"/>
          <w:lang w:val="uk-UA" w:eastAsia="ru-RU"/>
        </w:rPr>
        <w:t xml:space="preserve">ХС </w:t>
      </w:r>
      <w:r w:rsidRPr="00C820D5">
        <w:rPr>
          <w:rFonts w:ascii="Times New Roman" w:eastAsia="Times New Roman" w:hAnsi="Times New Roman" w:cs="Times New Roman"/>
          <w:color w:val="000000"/>
          <w:sz w:val="28"/>
          <w:szCs w:val="28"/>
          <w:lang w:val="uk-UA" w:eastAsia="ru-RU"/>
        </w:rPr>
        <w:t xml:space="preserve">ЛПВЩ у сироватці крові хворих проводилось методом </w:t>
      </w:r>
      <w:r w:rsidR="007F7D4D" w:rsidRPr="00BF4D8C">
        <w:rPr>
          <w:rFonts w:ascii="Times New Roman" w:eastAsia="Times New Roman" w:hAnsi="Times New Roman" w:cs="Times New Roman"/>
          <w:color w:val="000000"/>
          <w:sz w:val="28"/>
          <w:szCs w:val="28"/>
          <w:lang w:val="uk-UA" w:eastAsia="ru-RU"/>
        </w:rPr>
        <w:t>прецип</w:t>
      </w:r>
      <w:r w:rsidR="007F7D4D">
        <w:rPr>
          <w:rFonts w:ascii="Times New Roman" w:eastAsia="Times New Roman" w:hAnsi="Times New Roman" w:cs="Times New Roman"/>
          <w:color w:val="000000"/>
          <w:sz w:val="28"/>
          <w:szCs w:val="28"/>
          <w:lang w:val="uk-UA" w:eastAsia="ru-RU"/>
        </w:rPr>
        <w:t xml:space="preserve">ітації шляхом </w:t>
      </w:r>
      <w:r w:rsidRPr="00C820D5">
        <w:rPr>
          <w:rFonts w:ascii="Times New Roman" w:eastAsia="Times New Roman" w:hAnsi="Times New Roman" w:cs="Times New Roman"/>
          <w:color w:val="000000"/>
          <w:sz w:val="28"/>
          <w:szCs w:val="28"/>
          <w:lang w:val="uk-UA" w:eastAsia="ru-RU"/>
        </w:rPr>
        <w:t>осадження фосфовольфрамовою кислотою</w:t>
      </w:r>
      <w:r w:rsidR="009130CC">
        <w:rPr>
          <w:rFonts w:ascii="Times New Roman" w:eastAsia="Times New Roman" w:hAnsi="Times New Roman" w:cs="Times New Roman"/>
          <w:color w:val="000000"/>
          <w:sz w:val="28"/>
          <w:szCs w:val="28"/>
          <w:lang w:val="uk-UA" w:eastAsia="ru-RU"/>
        </w:rPr>
        <w:t xml:space="preserve"> </w:t>
      </w:r>
      <w:r w:rsidR="00BF4D8C">
        <w:rPr>
          <w:rFonts w:ascii="Times New Roman" w:eastAsia="Times New Roman" w:hAnsi="Times New Roman" w:cs="Times New Roman"/>
          <w:color w:val="000000"/>
          <w:sz w:val="28"/>
          <w:szCs w:val="28"/>
          <w:lang w:val="uk-UA" w:eastAsia="ru-RU"/>
        </w:rPr>
        <w:t xml:space="preserve">     </w:t>
      </w:r>
      <w:r w:rsidR="009130CC">
        <w:rPr>
          <w:rFonts w:ascii="Times New Roman" w:eastAsia="Times New Roman" w:hAnsi="Times New Roman" w:cs="Times New Roman"/>
          <w:color w:val="000000"/>
          <w:sz w:val="28"/>
          <w:szCs w:val="28"/>
          <w:lang w:val="uk-UA" w:eastAsia="ru-RU"/>
        </w:rPr>
        <w:t xml:space="preserve">за наявності хлористого магнію </w:t>
      </w:r>
      <w:r w:rsidR="009130CC" w:rsidRPr="008425FE">
        <w:rPr>
          <w:rFonts w:ascii="Times New Roman" w:eastAsia="Times New Roman" w:hAnsi="Times New Roman" w:cs="Times New Roman"/>
          <w:color w:val="000000"/>
          <w:sz w:val="28"/>
          <w:szCs w:val="28"/>
          <w:lang w:val="uk-UA" w:eastAsia="ru-RU"/>
        </w:rPr>
        <w:t>[</w:t>
      </w:r>
      <w:r w:rsidR="00CA04D8" w:rsidRPr="00CA04D8">
        <w:rPr>
          <w:rFonts w:ascii="Times New Roman" w:eastAsia="Times New Roman" w:hAnsi="Times New Roman" w:cs="Times New Roman"/>
          <w:color w:val="000000"/>
          <w:sz w:val="28"/>
          <w:szCs w:val="28"/>
          <w:lang w:val="uk-UA" w:eastAsia="ru-RU"/>
        </w:rPr>
        <w:t>128</w:t>
      </w:r>
      <w:r w:rsidR="009130CC" w:rsidRPr="00CA04D8">
        <w:rPr>
          <w:rFonts w:ascii="Times New Roman" w:eastAsia="Times New Roman" w:hAnsi="Times New Roman" w:cs="Times New Roman"/>
          <w:color w:val="000000"/>
          <w:sz w:val="28"/>
          <w:szCs w:val="28"/>
          <w:lang w:val="uk-UA" w:eastAsia="ru-RU"/>
        </w:rPr>
        <w:t>].</w:t>
      </w:r>
    </w:p>
    <w:p w:rsidR="00C02395" w:rsidRPr="00E64D0A" w:rsidRDefault="00C02395" w:rsidP="00C02395">
      <w:pPr>
        <w:spacing w:after="0" w:line="360" w:lineRule="auto"/>
        <w:ind w:firstLine="708"/>
        <w:jc w:val="both"/>
        <w:rPr>
          <w:rFonts w:ascii="Times New Roman" w:eastAsia="Times New Roman" w:hAnsi="Times New Roman" w:cs="Times New Roman"/>
          <w:color w:val="000000"/>
          <w:sz w:val="28"/>
          <w:szCs w:val="28"/>
          <w:lang w:val="uk-UA" w:eastAsia="ru-RU"/>
        </w:rPr>
      </w:pPr>
      <w:r w:rsidRPr="00E64D0A">
        <w:rPr>
          <w:rFonts w:ascii="Times New Roman" w:eastAsia="Times New Roman" w:hAnsi="Times New Roman" w:cs="Times New Roman"/>
          <w:color w:val="000000"/>
          <w:sz w:val="28"/>
          <w:szCs w:val="28"/>
          <w:lang w:val="uk-UA" w:eastAsia="ru-RU"/>
        </w:rPr>
        <w:t>ХС</w:t>
      </w:r>
      <w:r w:rsidR="000A3B9B">
        <w:rPr>
          <w:rFonts w:ascii="Times New Roman" w:eastAsia="Times New Roman" w:hAnsi="Times New Roman" w:cs="Times New Roman"/>
          <w:color w:val="000000"/>
          <w:sz w:val="28"/>
          <w:szCs w:val="28"/>
          <w:lang w:val="uk-UA" w:eastAsia="ru-RU"/>
        </w:rPr>
        <w:t xml:space="preserve"> </w:t>
      </w:r>
      <w:r w:rsidRPr="00E64D0A">
        <w:rPr>
          <w:rFonts w:ascii="Times New Roman" w:eastAsia="Times New Roman" w:hAnsi="Times New Roman" w:cs="Times New Roman"/>
          <w:color w:val="000000"/>
          <w:sz w:val="28"/>
          <w:szCs w:val="28"/>
          <w:lang w:val="uk-UA" w:eastAsia="ru-RU"/>
        </w:rPr>
        <w:t>ЛПНЩ та ХС</w:t>
      </w:r>
      <w:r w:rsidR="000A3B9B">
        <w:rPr>
          <w:rFonts w:ascii="Times New Roman" w:eastAsia="Times New Roman" w:hAnsi="Times New Roman" w:cs="Times New Roman"/>
          <w:color w:val="000000"/>
          <w:sz w:val="28"/>
          <w:szCs w:val="28"/>
          <w:lang w:val="uk-UA" w:eastAsia="ru-RU"/>
        </w:rPr>
        <w:t xml:space="preserve"> </w:t>
      </w:r>
      <w:r w:rsidRPr="00E64D0A">
        <w:rPr>
          <w:rFonts w:ascii="Times New Roman" w:eastAsia="Times New Roman" w:hAnsi="Times New Roman" w:cs="Times New Roman"/>
          <w:color w:val="000000"/>
          <w:sz w:val="28"/>
          <w:szCs w:val="28"/>
          <w:lang w:val="uk-UA" w:eastAsia="ru-RU"/>
        </w:rPr>
        <w:t xml:space="preserve">ЛПДНЩ </w:t>
      </w:r>
      <w:r w:rsidR="000A3B9B">
        <w:rPr>
          <w:rFonts w:ascii="Times New Roman" w:eastAsia="Times New Roman" w:hAnsi="Times New Roman" w:cs="Times New Roman"/>
          <w:color w:val="000000"/>
          <w:sz w:val="28"/>
          <w:szCs w:val="28"/>
          <w:lang w:val="uk-UA" w:eastAsia="ru-RU"/>
        </w:rPr>
        <w:t xml:space="preserve">було обчислено </w:t>
      </w:r>
      <w:r w:rsidRPr="00E64D0A">
        <w:rPr>
          <w:rFonts w:ascii="Times New Roman" w:eastAsia="Times New Roman" w:hAnsi="Times New Roman" w:cs="Times New Roman"/>
          <w:color w:val="000000"/>
          <w:sz w:val="28"/>
          <w:szCs w:val="28"/>
          <w:lang w:val="uk-UA" w:eastAsia="ru-RU"/>
        </w:rPr>
        <w:t xml:space="preserve">за методикою                      </w:t>
      </w:r>
      <w:r w:rsidRPr="00C02395">
        <w:rPr>
          <w:rFonts w:ascii="Times New Roman" w:eastAsia="Times New Roman" w:hAnsi="Times New Roman" w:cs="Times New Roman"/>
          <w:color w:val="000000"/>
          <w:sz w:val="28"/>
          <w:szCs w:val="28"/>
          <w:lang w:val="en-US" w:eastAsia="ru-RU"/>
        </w:rPr>
        <w:t>W</w:t>
      </w:r>
      <w:r w:rsidRPr="00E64D0A">
        <w:rPr>
          <w:rFonts w:ascii="Times New Roman" w:eastAsia="Times New Roman" w:hAnsi="Times New Roman" w:cs="Times New Roman"/>
          <w:color w:val="000000"/>
          <w:sz w:val="28"/>
          <w:szCs w:val="28"/>
          <w:lang w:val="uk-UA" w:eastAsia="ru-RU"/>
        </w:rPr>
        <w:t xml:space="preserve">. </w:t>
      </w:r>
      <w:r w:rsidRPr="00C02395">
        <w:rPr>
          <w:rFonts w:ascii="Times New Roman" w:eastAsia="Times New Roman" w:hAnsi="Times New Roman" w:cs="Times New Roman"/>
          <w:color w:val="000000"/>
          <w:sz w:val="28"/>
          <w:szCs w:val="28"/>
          <w:lang w:val="en-US" w:eastAsia="ru-RU"/>
        </w:rPr>
        <w:t>T</w:t>
      </w:r>
      <w:r w:rsidRPr="00E64D0A">
        <w:rPr>
          <w:rFonts w:ascii="Times New Roman" w:eastAsia="Times New Roman" w:hAnsi="Times New Roman" w:cs="Times New Roman"/>
          <w:color w:val="000000"/>
          <w:sz w:val="28"/>
          <w:szCs w:val="28"/>
          <w:lang w:val="uk-UA" w:eastAsia="ru-RU"/>
        </w:rPr>
        <w:t xml:space="preserve">. </w:t>
      </w:r>
      <w:r w:rsidRPr="00C02395">
        <w:rPr>
          <w:rFonts w:ascii="Times New Roman" w:eastAsia="Times New Roman" w:hAnsi="Times New Roman" w:cs="Times New Roman"/>
          <w:color w:val="000000"/>
          <w:sz w:val="28"/>
          <w:szCs w:val="28"/>
          <w:lang w:val="en-US" w:eastAsia="ru-RU"/>
        </w:rPr>
        <w:t>Friedewald</w:t>
      </w:r>
      <w:r w:rsidRPr="00E64D0A">
        <w:rPr>
          <w:rFonts w:ascii="Times New Roman" w:eastAsia="Times New Roman" w:hAnsi="Times New Roman" w:cs="Times New Roman"/>
          <w:color w:val="000000"/>
          <w:sz w:val="28"/>
          <w:szCs w:val="28"/>
          <w:lang w:val="uk-UA" w:eastAsia="ru-RU"/>
        </w:rPr>
        <w:t xml:space="preserve"> [</w:t>
      </w:r>
      <w:r w:rsidR="00CA04D8">
        <w:rPr>
          <w:rFonts w:ascii="Times New Roman" w:eastAsia="Times New Roman" w:hAnsi="Times New Roman" w:cs="Times New Roman"/>
          <w:color w:val="000000"/>
          <w:sz w:val="28"/>
          <w:szCs w:val="28"/>
          <w:lang w:val="uk-UA" w:eastAsia="ru-RU"/>
        </w:rPr>
        <w:t>130</w:t>
      </w:r>
      <w:r w:rsidRPr="00E64D0A">
        <w:rPr>
          <w:rFonts w:ascii="Times New Roman" w:eastAsia="Times New Roman" w:hAnsi="Times New Roman" w:cs="Times New Roman"/>
          <w:color w:val="000000"/>
          <w:sz w:val="28"/>
          <w:szCs w:val="28"/>
          <w:lang w:val="uk-UA" w:eastAsia="ru-RU"/>
        </w:rPr>
        <w:t>], доцільність застосування якої вказана у Методичних рекомендаціях Асоціації кардіологів України «Дисліпідемії: діагностика, профілактика та лікування» (2011) [</w:t>
      </w:r>
      <w:r w:rsidR="004B16DA">
        <w:rPr>
          <w:rFonts w:ascii="Times New Roman" w:eastAsia="Times New Roman" w:hAnsi="Times New Roman" w:cs="Times New Roman"/>
          <w:color w:val="000000"/>
          <w:sz w:val="28"/>
          <w:szCs w:val="28"/>
          <w:lang w:val="uk-UA" w:eastAsia="ru-RU"/>
        </w:rPr>
        <w:t>123</w:t>
      </w:r>
      <w:r w:rsidRPr="00E64D0A">
        <w:rPr>
          <w:rFonts w:ascii="Times New Roman" w:eastAsia="Times New Roman" w:hAnsi="Times New Roman" w:cs="Times New Roman"/>
          <w:color w:val="000000"/>
          <w:sz w:val="28"/>
          <w:szCs w:val="28"/>
          <w:lang w:val="uk-UA" w:eastAsia="ru-RU"/>
        </w:rPr>
        <w:t>]:</w:t>
      </w:r>
    </w:p>
    <w:p w:rsidR="00C02395" w:rsidRPr="00E64D0A" w:rsidRDefault="00C02395" w:rsidP="00C02395">
      <w:pPr>
        <w:spacing w:after="0" w:line="360" w:lineRule="auto"/>
        <w:ind w:firstLine="708"/>
        <w:jc w:val="both"/>
        <w:rPr>
          <w:rFonts w:ascii="Times New Roman" w:eastAsia="Times New Roman" w:hAnsi="Times New Roman" w:cs="Times New Roman"/>
          <w:color w:val="000000"/>
          <w:sz w:val="28"/>
          <w:szCs w:val="28"/>
          <w:lang w:val="uk-UA" w:eastAsia="ru-RU"/>
        </w:rPr>
      </w:pPr>
      <w:r w:rsidRPr="00E64D0A">
        <w:rPr>
          <w:rFonts w:ascii="Times New Roman" w:eastAsia="Times New Roman" w:hAnsi="Times New Roman" w:cs="Times New Roman"/>
          <w:color w:val="000000"/>
          <w:sz w:val="28"/>
          <w:szCs w:val="28"/>
          <w:lang w:val="uk-UA" w:eastAsia="ru-RU"/>
        </w:rPr>
        <w:t>ХС</w:t>
      </w:r>
      <w:r w:rsidR="000A3B9B">
        <w:rPr>
          <w:rFonts w:ascii="Times New Roman" w:eastAsia="Times New Roman" w:hAnsi="Times New Roman" w:cs="Times New Roman"/>
          <w:color w:val="000000"/>
          <w:sz w:val="28"/>
          <w:szCs w:val="28"/>
          <w:lang w:val="uk-UA" w:eastAsia="ru-RU"/>
        </w:rPr>
        <w:t xml:space="preserve"> </w:t>
      </w:r>
      <w:r w:rsidRPr="00E64D0A">
        <w:rPr>
          <w:rFonts w:ascii="Times New Roman" w:eastAsia="Times New Roman" w:hAnsi="Times New Roman" w:cs="Times New Roman"/>
          <w:color w:val="000000"/>
          <w:sz w:val="28"/>
          <w:szCs w:val="28"/>
          <w:lang w:val="uk-UA" w:eastAsia="ru-RU"/>
        </w:rPr>
        <w:t>ЛПДНЩ = ЗХС – ХС</w:t>
      </w:r>
      <w:r w:rsidR="000A3B9B">
        <w:rPr>
          <w:rFonts w:ascii="Times New Roman" w:eastAsia="Times New Roman" w:hAnsi="Times New Roman" w:cs="Times New Roman"/>
          <w:color w:val="000000"/>
          <w:sz w:val="28"/>
          <w:szCs w:val="28"/>
          <w:lang w:val="uk-UA" w:eastAsia="ru-RU"/>
        </w:rPr>
        <w:t xml:space="preserve"> </w:t>
      </w:r>
      <w:r w:rsidRPr="00E64D0A">
        <w:rPr>
          <w:rFonts w:ascii="Times New Roman" w:eastAsia="Times New Roman" w:hAnsi="Times New Roman" w:cs="Times New Roman"/>
          <w:color w:val="000000"/>
          <w:sz w:val="28"/>
          <w:szCs w:val="28"/>
          <w:lang w:val="uk-UA" w:eastAsia="ru-RU"/>
        </w:rPr>
        <w:t xml:space="preserve">ЛПВЩ </w:t>
      </w:r>
      <w:r w:rsidR="00ED4F5D">
        <w:rPr>
          <w:rFonts w:ascii="Times New Roman" w:eastAsia="Times New Roman" w:hAnsi="Times New Roman" w:cs="Times New Roman"/>
          <w:color w:val="000000"/>
          <w:sz w:val="28"/>
          <w:szCs w:val="28"/>
          <w:lang w:val="uk-UA" w:eastAsia="ru-RU"/>
        </w:rPr>
        <w:t>–</w:t>
      </w:r>
      <w:r w:rsidRPr="00E64D0A">
        <w:rPr>
          <w:rFonts w:ascii="Times New Roman" w:eastAsia="Times New Roman" w:hAnsi="Times New Roman" w:cs="Times New Roman"/>
          <w:color w:val="000000"/>
          <w:sz w:val="28"/>
          <w:szCs w:val="28"/>
          <w:lang w:val="uk-UA" w:eastAsia="ru-RU"/>
        </w:rPr>
        <w:t xml:space="preserve"> ХС</w:t>
      </w:r>
      <w:r w:rsidR="000A3B9B">
        <w:rPr>
          <w:rFonts w:ascii="Times New Roman" w:eastAsia="Times New Roman" w:hAnsi="Times New Roman" w:cs="Times New Roman"/>
          <w:color w:val="000000"/>
          <w:sz w:val="28"/>
          <w:szCs w:val="28"/>
          <w:lang w:val="uk-UA" w:eastAsia="ru-RU"/>
        </w:rPr>
        <w:t xml:space="preserve"> </w:t>
      </w:r>
      <w:r w:rsidRPr="00E64D0A">
        <w:rPr>
          <w:rFonts w:ascii="Times New Roman" w:eastAsia="Times New Roman" w:hAnsi="Times New Roman" w:cs="Times New Roman"/>
          <w:color w:val="000000"/>
          <w:sz w:val="28"/>
          <w:szCs w:val="28"/>
          <w:lang w:val="uk-UA" w:eastAsia="ru-RU"/>
        </w:rPr>
        <w:t>ЛПНЩ</w:t>
      </w:r>
      <w:r w:rsidR="00ED4F5D">
        <w:rPr>
          <w:rFonts w:ascii="Times New Roman" w:eastAsia="Times New Roman" w:hAnsi="Times New Roman" w:cs="Times New Roman"/>
          <w:color w:val="000000"/>
          <w:sz w:val="28"/>
          <w:szCs w:val="28"/>
          <w:lang w:val="uk-UA" w:eastAsia="ru-RU"/>
        </w:rPr>
        <w:t xml:space="preserve">                                 (2.2.3)</w:t>
      </w:r>
    </w:p>
    <w:p w:rsidR="00C02395" w:rsidRPr="00E64D0A" w:rsidRDefault="00C02395" w:rsidP="00C02395">
      <w:pPr>
        <w:spacing w:after="0" w:line="360" w:lineRule="auto"/>
        <w:ind w:firstLine="708"/>
        <w:jc w:val="both"/>
        <w:rPr>
          <w:rFonts w:ascii="Times New Roman" w:eastAsia="Times New Roman" w:hAnsi="Times New Roman" w:cs="Times New Roman"/>
          <w:color w:val="000000"/>
          <w:sz w:val="28"/>
          <w:szCs w:val="28"/>
          <w:lang w:val="uk-UA" w:eastAsia="ru-RU"/>
        </w:rPr>
      </w:pPr>
      <w:r w:rsidRPr="00E64D0A">
        <w:rPr>
          <w:rFonts w:ascii="Times New Roman" w:eastAsia="Times New Roman" w:hAnsi="Times New Roman" w:cs="Times New Roman"/>
          <w:color w:val="000000"/>
          <w:sz w:val="28"/>
          <w:szCs w:val="28"/>
          <w:lang w:val="uk-UA" w:eastAsia="ru-RU"/>
        </w:rPr>
        <w:t>ХС</w:t>
      </w:r>
      <w:r w:rsidR="000A3B9B">
        <w:rPr>
          <w:rFonts w:ascii="Times New Roman" w:eastAsia="Times New Roman" w:hAnsi="Times New Roman" w:cs="Times New Roman"/>
          <w:color w:val="000000"/>
          <w:sz w:val="28"/>
          <w:szCs w:val="28"/>
          <w:lang w:val="uk-UA" w:eastAsia="ru-RU"/>
        </w:rPr>
        <w:t xml:space="preserve"> </w:t>
      </w:r>
      <w:r w:rsidRPr="00E64D0A">
        <w:rPr>
          <w:rFonts w:ascii="Times New Roman" w:eastAsia="Times New Roman" w:hAnsi="Times New Roman" w:cs="Times New Roman"/>
          <w:color w:val="000000"/>
          <w:sz w:val="28"/>
          <w:szCs w:val="28"/>
          <w:lang w:val="uk-UA" w:eastAsia="ru-RU"/>
        </w:rPr>
        <w:t>ЛПНЩ = ЗХС – ХС ЛПВЩ – 0,45 ∙ ТГ.</w:t>
      </w:r>
      <w:r w:rsidR="00ED4F5D">
        <w:rPr>
          <w:rFonts w:ascii="Times New Roman" w:eastAsia="Times New Roman" w:hAnsi="Times New Roman" w:cs="Times New Roman"/>
          <w:color w:val="000000"/>
          <w:sz w:val="28"/>
          <w:szCs w:val="28"/>
          <w:lang w:val="uk-UA" w:eastAsia="ru-RU"/>
        </w:rPr>
        <w:t xml:space="preserve">                                     </w:t>
      </w:r>
      <w:r w:rsidR="00BF4D8C">
        <w:rPr>
          <w:rFonts w:ascii="Times New Roman" w:eastAsia="Times New Roman" w:hAnsi="Times New Roman" w:cs="Times New Roman"/>
          <w:color w:val="000000"/>
          <w:sz w:val="28"/>
          <w:szCs w:val="28"/>
          <w:lang w:val="uk-UA" w:eastAsia="ru-RU"/>
        </w:rPr>
        <w:t xml:space="preserve"> </w:t>
      </w:r>
      <w:r w:rsidR="00ED4F5D">
        <w:rPr>
          <w:rFonts w:ascii="Times New Roman" w:eastAsia="Times New Roman" w:hAnsi="Times New Roman" w:cs="Times New Roman"/>
          <w:color w:val="000000"/>
          <w:sz w:val="28"/>
          <w:szCs w:val="28"/>
          <w:lang w:val="uk-UA" w:eastAsia="ru-RU"/>
        </w:rPr>
        <w:t xml:space="preserve"> (2.2.4)</w:t>
      </w:r>
    </w:p>
    <w:p w:rsidR="00C02395" w:rsidRPr="00ED4F5D" w:rsidRDefault="007D47AB" w:rsidP="00516CE0">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Коефіцієнт атерогенності </w:t>
      </w:r>
      <w:r w:rsidR="00516CE0" w:rsidRPr="00ED4F5D">
        <w:rPr>
          <w:rFonts w:ascii="Times New Roman" w:eastAsia="Times New Roman" w:hAnsi="Times New Roman" w:cs="Times New Roman"/>
          <w:color w:val="000000"/>
          <w:sz w:val="28"/>
          <w:szCs w:val="28"/>
          <w:lang w:val="uk-UA" w:eastAsia="ru-RU"/>
        </w:rPr>
        <w:t>було обчис</w:t>
      </w:r>
      <w:r>
        <w:rPr>
          <w:rFonts w:ascii="Times New Roman" w:eastAsia="Times New Roman" w:hAnsi="Times New Roman" w:cs="Times New Roman"/>
          <w:color w:val="000000"/>
          <w:sz w:val="28"/>
          <w:szCs w:val="28"/>
          <w:lang w:val="uk-UA" w:eastAsia="ru-RU"/>
        </w:rPr>
        <w:t xml:space="preserve">лено за формулою </w:t>
      </w:r>
      <w:r w:rsidR="00C02395" w:rsidRPr="00ED4F5D">
        <w:rPr>
          <w:rFonts w:ascii="Times New Roman" w:eastAsia="Times New Roman" w:hAnsi="Times New Roman" w:cs="Times New Roman"/>
          <w:color w:val="000000"/>
          <w:sz w:val="28"/>
          <w:szCs w:val="28"/>
          <w:lang w:val="uk-UA" w:eastAsia="ru-RU"/>
        </w:rPr>
        <w:t>О. М. Клімо</w:t>
      </w:r>
      <w:r w:rsidR="001B0660">
        <w:rPr>
          <w:rFonts w:ascii="Times New Roman" w:eastAsia="Times New Roman" w:hAnsi="Times New Roman" w:cs="Times New Roman"/>
          <w:color w:val="000000"/>
          <w:sz w:val="28"/>
          <w:szCs w:val="28"/>
          <w:lang w:val="uk-UA" w:eastAsia="ru-RU"/>
        </w:rPr>
        <w:t>ва [</w:t>
      </w:r>
      <w:r w:rsidR="004B16DA">
        <w:rPr>
          <w:rFonts w:ascii="Times New Roman" w:eastAsia="Times New Roman" w:hAnsi="Times New Roman" w:cs="Times New Roman"/>
          <w:color w:val="000000"/>
          <w:sz w:val="28"/>
          <w:szCs w:val="28"/>
          <w:lang w:val="uk-UA" w:eastAsia="ru-RU"/>
        </w:rPr>
        <w:t>131</w:t>
      </w:r>
      <w:r w:rsidR="00C02395" w:rsidRPr="00ED4F5D">
        <w:rPr>
          <w:rFonts w:ascii="Times New Roman" w:eastAsia="Times New Roman" w:hAnsi="Times New Roman" w:cs="Times New Roman"/>
          <w:color w:val="000000"/>
          <w:sz w:val="28"/>
          <w:szCs w:val="28"/>
          <w:lang w:val="uk-UA" w:eastAsia="ru-RU"/>
        </w:rPr>
        <w:t>]:</w:t>
      </w:r>
    </w:p>
    <w:p w:rsidR="00C02395" w:rsidRPr="00ED4F5D" w:rsidRDefault="00C02395" w:rsidP="00C02395">
      <w:pPr>
        <w:spacing w:after="0" w:line="360" w:lineRule="auto"/>
        <w:ind w:firstLine="708"/>
        <w:jc w:val="both"/>
        <w:rPr>
          <w:rFonts w:ascii="Times New Roman" w:eastAsia="Times New Roman" w:hAnsi="Times New Roman" w:cs="Times New Roman"/>
          <w:color w:val="000000"/>
          <w:sz w:val="28"/>
          <w:szCs w:val="28"/>
          <w:lang w:val="uk-UA" w:eastAsia="ru-RU"/>
        </w:rPr>
      </w:pPr>
      <w:r w:rsidRPr="00ED4F5D">
        <w:rPr>
          <w:rFonts w:ascii="Times New Roman" w:eastAsia="Times New Roman" w:hAnsi="Times New Roman" w:cs="Times New Roman"/>
          <w:color w:val="000000"/>
          <w:sz w:val="28"/>
          <w:szCs w:val="28"/>
          <w:lang w:val="uk-UA" w:eastAsia="ru-RU"/>
        </w:rPr>
        <w:t xml:space="preserve">КА = (ЗХС − </w:t>
      </w:r>
      <w:r w:rsidR="00726728">
        <w:rPr>
          <w:rFonts w:ascii="Times New Roman" w:eastAsia="Times New Roman" w:hAnsi="Times New Roman" w:cs="Times New Roman"/>
          <w:color w:val="000000"/>
          <w:sz w:val="28"/>
          <w:szCs w:val="28"/>
          <w:lang w:val="uk-UA" w:eastAsia="ru-RU"/>
        </w:rPr>
        <w:t xml:space="preserve">ХС </w:t>
      </w:r>
      <w:r w:rsidRPr="00ED4F5D">
        <w:rPr>
          <w:rFonts w:ascii="Times New Roman" w:eastAsia="Times New Roman" w:hAnsi="Times New Roman" w:cs="Times New Roman"/>
          <w:color w:val="000000"/>
          <w:sz w:val="28"/>
          <w:szCs w:val="28"/>
          <w:lang w:val="uk-UA" w:eastAsia="ru-RU"/>
        </w:rPr>
        <w:t>ЛПВЩ)/</w:t>
      </w:r>
      <w:r w:rsidR="00726728">
        <w:rPr>
          <w:rFonts w:ascii="Times New Roman" w:eastAsia="Times New Roman" w:hAnsi="Times New Roman" w:cs="Times New Roman"/>
          <w:color w:val="000000"/>
          <w:sz w:val="28"/>
          <w:szCs w:val="28"/>
          <w:lang w:val="uk-UA" w:eastAsia="ru-RU"/>
        </w:rPr>
        <w:t xml:space="preserve">ХС </w:t>
      </w:r>
      <w:r w:rsidRPr="00ED4F5D">
        <w:rPr>
          <w:rFonts w:ascii="Times New Roman" w:eastAsia="Times New Roman" w:hAnsi="Times New Roman" w:cs="Times New Roman"/>
          <w:color w:val="000000"/>
          <w:sz w:val="28"/>
          <w:szCs w:val="28"/>
          <w:lang w:val="uk-UA" w:eastAsia="ru-RU"/>
        </w:rPr>
        <w:t>ЛПВЩ.</w:t>
      </w:r>
      <w:r w:rsidR="00ED4F5D">
        <w:rPr>
          <w:rFonts w:ascii="Times New Roman" w:eastAsia="Times New Roman" w:hAnsi="Times New Roman" w:cs="Times New Roman"/>
          <w:color w:val="000000"/>
          <w:sz w:val="28"/>
          <w:szCs w:val="28"/>
          <w:lang w:val="uk-UA" w:eastAsia="ru-RU"/>
        </w:rPr>
        <w:t xml:space="preserve">                            </w:t>
      </w:r>
      <w:r w:rsidR="00726728">
        <w:rPr>
          <w:rFonts w:ascii="Times New Roman" w:eastAsia="Times New Roman" w:hAnsi="Times New Roman" w:cs="Times New Roman"/>
          <w:color w:val="000000"/>
          <w:sz w:val="28"/>
          <w:szCs w:val="28"/>
          <w:lang w:val="uk-UA" w:eastAsia="ru-RU"/>
        </w:rPr>
        <w:t xml:space="preserve">                  </w:t>
      </w:r>
      <w:r w:rsidR="00BF4D8C">
        <w:rPr>
          <w:rFonts w:ascii="Times New Roman" w:eastAsia="Times New Roman" w:hAnsi="Times New Roman" w:cs="Times New Roman"/>
          <w:color w:val="000000"/>
          <w:sz w:val="28"/>
          <w:szCs w:val="28"/>
          <w:lang w:val="uk-UA" w:eastAsia="ru-RU"/>
        </w:rPr>
        <w:t xml:space="preserve">  </w:t>
      </w:r>
      <w:r w:rsidR="00ED4F5D">
        <w:rPr>
          <w:rFonts w:ascii="Times New Roman" w:eastAsia="Times New Roman" w:hAnsi="Times New Roman" w:cs="Times New Roman"/>
          <w:color w:val="000000"/>
          <w:sz w:val="28"/>
          <w:szCs w:val="28"/>
          <w:lang w:val="uk-UA" w:eastAsia="ru-RU"/>
        </w:rPr>
        <w:t>(2.2.5)</w:t>
      </w:r>
    </w:p>
    <w:p w:rsidR="00EB4577" w:rsidRPr="00EB4577" w:rsidRDefault="000C4558" w:rsidP="00CB7902">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Визначення </w:t>
      </w:r>
      <w:r w:rsidR="00726728">
        <w:rPr>
          <w:rFonts w:ascii="Times New Roman" w:eastAsia="Times New Roman" w:hAnsi="Times New Roman" w:cs="Times New Roman"/>
          <w:color w:val="000000"/>
          <w:sz w:val="28"/>
          <w:szCs w:val="28"/>
          <w:lang w:val="uk-UA" w:eastAsia="ru-RU"/>
        </w:rPr>
        <w:t>вмісту АлАт</w:t>
      </w:r>
      <w:r>
        <w:rPr>
          <w:rFonts w:ascii="Times New Roman" w:eastAsia="Times New Roman" w:hAnsi="Times New Roman" w:cs="Times New Roman"/>
          <w:color w:val="000000"/>
          <w:sz w:val="28"/>
          <w:szCs w:val="28"/>
          <w:lang w:val="uk-UA" w:eastAsia="ru-RU"/>
        </w:rPr>
        <w:t xml:space="preserve">, </w:t>
      </w:r>
      <w:r w:rsidR="00726728">
        <w:rPr>
          <w:rFonts w:ascii="Times New Roman" w:eastAsia="Times New Roman" w:hAnsi="Times New Roman" w:cs="Times New Roman"/>
          <w:color w:val="000000"/>
          <w:sz w:val="28"/>
          <w:szCs w:val="28"/>
          <w:lang w:val="uk-UA" w:eastAsia="ru-RU"/>
        </w:rPr>
        <w:t>АсАт</w:t>
      </w:r>
      <w:r w:rsidR="00341A7D">
        <w:rPr>
          <w:rFonts w:ascii="Times New Roman" w:eastAsia="Times New Roman" w:hAnsi="Times New Roman" w:cs="Times New Roman"/>
          <w:color w:val="000000"/>
          <w:sz w:val="28"/>
          <w:szCs w:val="28"/>
          <w:lang w:val="uk-UA" w:eastAsia="ru-RU"/>
        </w:rPr>
        <w:t xml:space="preserve"> в сироватці крові </w:t>
      </w:r>
      <w:r>
        <w:rPr>
          <w:rFonts w:ascii="Times New Roman" w:eastAsia="Times New Roman" w:hAnsi="Times New Roman" w:cs="Times New Roman"/>
          <w:color w:val="000000"/>
          <w:sz w:val="28"/>
          <w:szCs w:val="28"/>
          <w:lang w:val="uk-UA" w:eastAsia="ru-RU"/>
        </w:rPr>
        <w:t>було здійснене</w:t>
      </w:r>
      <w:r w:rsidR="000A3B9B">
        <w:rPr>
          <w:rFonts w:ascii="Times New Roman" w:eastAsia="Times New Roman" w:hAnsi="Times New Roman" w:cs="Times New Roman"/>
          <w:color w:val="000000"/>
          <w:sz w:val="28"/>
          <w:szCs w:val="28"/>
          <w:lang w:val="uk-UA" w:eastAsia="ru-RU"/>
        </w:rPr>
        <w:t xml:space="preserve"> </w:t>
      </w:r>
      <w:r w:rsidR="00655275">
        <w:rPr>
          <w:rFonts w:ascii="Times New Roman" w:eastAsia="Times New Roman" w:hAnsi="Times New Roman" w:cs="Times New Roman"/>
          <w:color w:val="000000"/>
          <w:sz w:val="28"/>
          <w:szCs w:val="28"/>
          <w:lang w:val="uk-UA" w:eastAsia="ru-RU"/>
        </w:rPr>
        <w:t xml:space="preserve">         за методикою </w:t>
      </w:r>
      <w:r w:rsidR="000A3B9B">
        <w:rPr>
          <w:rFonts w:ascii="Times New Roman" w:eastAsia="Times New Roman" w:hAnsi="Times New Roman" w:cs="Times New Roman"/>
          <w:color w:val="000000"/>
          <w:sz w:val="28"/>
          <w:szCs w:val="28"/>
          <w:lang w:val="uk-UA" w:eastAsia="ru-RU"/>
        </w:rPr>
        <w:t xml:space="preserve">Reitman </w:t>
      </w:r>
      <w:r w:rsidR="00EB4577" w:rsidRPr="00EB4577">
        <w:rPr>
          <w:rFonts w:ascii="Times New Roman" w:eastAsia="Times New Roman" w:hAnsi="Times New Roman" w:cs="Times New Roman"/>
          <w:color w:val="000000"/>
          <w:sz w:val="28"/>
          <w:szCs w:val="28"/>
          <w:lang w:val="uk-UA" w:eastAsia="ru-RU"/>
        </w:rPr>
        <w:t>S</w:t>
      </w:r>
      <w:r w:rsidR="00EB4577">
        <w:rPr>
          <w:rFonts w:ascii="Times New Roman" w:eastAsia="Times New Roman" w:hAnsi="Times New Roman" w:cs="Times New Roman"/>
          <w:color w:val="000000"/>
          <w:sz w:val="28"/>
          <w:szCs w:val="28"/>
          <w:lang w:val="uk-UA" w:eastAsia="ru-RU"/>
        </w:rPr>
        <w:t>.</w:t>
      </w:r>
      <w:r w:rsidR="000A3B9B">
        <w:rPr>
          <w:lang w:val="uk-UA"/>
        </w:rPr>
        <w:t xml:space="preserve"> </w:t>
      </w:r>
      <w:r w:rsidR="00EB4577">
        <w:rPr>
          <w:rFonts w:ascii="Times New Roman" w:eastAsia="Times New Roman" w:hAnsi="Times New Roman" w:cs="Times New Roman"/>
          <w:color w:val="000000"/>
          <w:sz w:val="28"/>
          <w:szCs w:val="28"/>
          <w:lang w:val="uk-UA" w:eastAsia="ru-RU"/>
        </w:rPr>
        <w:t>тa</w:t>
      </w:r>
      <w:r w:rsidR="00EB4577" w:rsidRPr="00EB4577">
        <w:rPr>
          <w:rFonts w:ascii="Times New Roman" w:eastAsia="Times New Roman" w:hAnsi="Times New Roman" w:cs="Times New Roman"/>
          <w:color w:val="000000"/>
          <w:sz w:val="28"/>
          <w:szCs w:val="28"/>
          <w:lang w:val="uk-UA" w:eastAsia="ru-RU"/>
        </w:rPr>
        <w:t xml:space="preserve"> Frankel S</w:t>
      </w:r>
      <w:r w:rsidR="000A3B9B">
        <w:rPr>
          <w:rFonts w:ascii="Times New Roman" w:eastAsia="Times New Roman" w:hAnsi="Times New Roman" w:cs="Times New Roman"/>
          <w:color w:val="000000"/>
          <w:sz w:val="28"/>
          <w:szCs w:val="28"/>
          <w:lang w:val="uk-UA" w:eastAsia="ru-RU"/>
        </w:rPr>
        <w:t>. (1957 р.)</w:t>
      </w:r>
      <w:r w:rsidR="00EB4577" w:rsidRPr="00EB4577">
        <w:rPr>
          <w:rFonts w:ascii="Times New Roman" w:eastAsia="Times New Roman" w:hAnsi="Times New Roman" w:cs="Times New Roman"/>
          <w:color w:val="000000"/>
          <w:sz w:val="28"/>
          <w:szCs w:val="28"/>
          <w:lang w:val="uk-UA" w:eastAsia="ru-RU"/>
        </w:rPr>
        <w:t>.</w:t>
      </w:r>
      <w:r w:rsidR="00EB4577">
        <w:rPr>
          <w:rFonts w:ascii="Times New Roman" w:eastAsia="Times New Roman" w:hAnsi="Times New Roman" w:cs="Times New Roman"/>
          <w:color w:val="000000"/>
          <w:sz w:val="28"/>
          <w:szCs w:val="28"/>
          <w:lang w:val="uk-UA" w:eastAsia="ru-RU"/>
        </w:rPr>
        <w:t xml:space="preserve"> </w:t>
      </w:r>
      <w:r w:rsidR="009304DD">
        <w:rPr>
          <w:rFonts w:ascii="Times New Roman" w:eastAsia="Times New Roman" w:hAnsi="Times New Roman" w:cs="Times New Roman"/>
          <w:color w:val="000000"/>
          <w:sz w:val="28"/>
          <w:szCs w:val="28"/>
          <w:lang w:val="uk-UA" w:eastAsia="ru-RU"/>
        </w:rPr>
        <w:t xml:space="preserve">У результаті реакції трансамінування, яка каталізувалася АсАТ, утворювалася щавелеоцтова </w:t>
      </w:r>
      <w:r w:rsidR="009304DD">
        <w:rPr>
          <w:rFonts w:ascii="Times New Roman" w:eastAsia="Times New Roman" w:hAnsi="Times New Roman" w:cs="Times New Roman"/>
          <w:color w:val="000000"/>
          <w:sz w:val="28"/>
          <w:szCs w:val="28"/>
          <w:lang w:val="uk-UA" w:eastAsia="ru-RU"/>
        </w:rPr>
        <w:lastRenderedPageBreak/>
        <w:t xml:space="preserve">кислота, а у результаті реакції трансамінування, яка  каталізувалася АлАт </w:t>
      </w:r>
      <w:r w:rsidR="00CB7902">
        <w:rPr>
          <w:rFonts w:ascii="Times New Roman" w:eastAsia="Times New Roman" w:hAnsi="Times New Roman" w:cs="Times New Roman"/>
          <w:color w:val="000000"/>
          <w:sz w:val="28"/>
          <w:szCs w:val="28"/>
          <w:lang w:val="uk-UA" w:eastAsia="ru-RU"/>
        </w:rPr>
        <w:t>–</w:t>
      </w:r>
      <w:r w:rsidR="009304DD">
        <w:rPr>
          <w:rFonts w:ascii="Times New Roman" w:eastAsia="Times New Roman" w:hAnsi="Times New Roman" w:cs="Times New Roman"/>
          <w:color w:val="000000"/>
          <w:sz w:val="28"/>
          <w:szCs w:val="28"/>
          <w:lang w:val="uk-UA" w:eastAsia="ru-RU"/>
        </w:rPr>
        <w:t xml:space="preserve"> </w:t>
      </w:r>
      <w:r w:rsidR="00CB7902">
        <w:rPr>
          <w:rFonts w:ascii="Times New Roman" w:eastAsia="Times New Roman" w:hAnsi="Times New Roman" w:cs="Times New Roman"/>
          <w:color w:val="000000"/>
          <w:sz w:val="28"/>
          <w:szCs w:val="28"/>
          <w:lang w:val="uk-UA" w:eastAsia="ru-RU"/>
        </w:rPr>
        <w:t xml:space="preserve">піровиноградна кислота. Піровиноградна кислота у лужному середовищі взаємодіяла з 2,4 динітрофенилгідразином з утворенням пофарбованого гідразону. Інтенсивність зміни кольору була пропорційною кількості піровиноградної кислоти, яка була </w:t>
      </w:r>
      <w:r w:rsidR="00726728">
        <w:rPr>
          <w:rFonts w:ascii="Times New Roman" w:eastAsia="Times New Roman" w:hAnsi="Times New Roman" w:cs="Times New Roman"/>
          <w:color w:val="000000"/>
          <w:sz w:val="28"/>
          <w:szCs w:val="28"/>
          <w:lang w:val="uk-UA" w:eastAsia="ru-RU"/>
        </w:rPr>
        <w:t xml:space="preserve">досліджена </w:t>
      </w:r>
      <w:r w:rsidR="00CB7902">
        <w:rPr>
          <w:rFonts w:ascii="Times New Roman" w:eastAsia="Times New Roman" w:hAnsi="Times New Roman" w:cs="Times New Roman"/>
          <w:color w:val="000000"/>
          <w:sz w:val="28"/>
          <w:szCs w:val="28"/>
          <w:lang w:val="uk-UA" w:eastAsia="ru-RU"/>
        </w:rPr>
        <w:t xml:space="preserve">фотоколориметрично. </w:t>
      </w:r>
      <w:r w:rsidR="00642D7E">
        <w:rPr>
          <w:rFonts w:ascii="Times New Roman" w:eastAsia="Times New Roman" w:hAnsi="Times New Roman" w:cs="Times New Roman"/>
          <w:color w:val="000000"/>
          <w:sz w:val="28"/>
          <w:szCs w:val="28"/>
          <w:lang w:val="uk-UA" w:eastAsia="ru-RU"/>
        </w:rPr>
        <w:t xml:space="preserve">Активність АлАт і АсАт визначали в мікромолях піровиноградної кислоти, що утворилася при інкубації 1 мл сироватки крові за 1 годину </w:t>
      </w:r>
      <w:r w:rsidR="00341A7D">
        <w:rPr>
          <w:rFonts w:ascii="Times New Roman" w:eastAsia="Times New Roman" w:hAnsi="Times New Roman" w:cs="Times New Roman"/>
          <w:color w:val="000000"/>
          <w:sz w:val="28"/>
          <w:szCs w:val="28"/>
          <w:lang w:val="uk-UA" w:eastAsia="ru-RU"/>
        </w:rPr>
        <w:t xml:space="preserve">                      </w:t>
      </w:r>
      <w:r w:rsidR="00642D7E">
        <w:rPr>
          <w:rFonts w:ascii="Times New Roman" w:eastAsia="Times New Roman" w:hAnsi="Times New Roman" w:cs="Times New Roman"/>
          <w:color w:val="000000"/>
          <w:sz w:val="28"/>
          <w:szCs w:val="28"/>
          <w:lang w:val="uk-UA" w:eastAsia="ru-RU"/>
        </w:rPr>
        <w:t>при температурі 37°С</w:t>
      </w:r>
      <w:r w:rsidR="00CB7902">
        <w:rPr>
          <w:rFonts w:ascii="Times New Roman" w:eastAsia="Times New Roman" w:hAnsi="Times New Roman" w:cs="Times New Roman"/>
          <w:color w:val="000000"/>
          <w:sz w:val="28"/>
          <w:szCs w:val="28"/>
          <w:lang w:val="uk-UA" w:eastAsia="ru-RU"/>
        </w:rPr>
        <w:t xml:space="preserve"> </w:t>
      </w:r>
      <w:r w:rsidR="001B0660">
        <w:rPr>
          <w:rFonts w:ascii="Times New Roman" w:eastAsia="Times New Roman" w:hAnsi="Times New Roman" w:cs="Times New Roman"/>
          <w:color w:val="000000"/>
          <w:sz w:val="28"/>
          <w:szCs w:val="28"/>
          <w:lang w:val="uk-UA" w:eastAsia="ru-RU"/>
        </w:rPr>
        <w:t>[</w:t>
      </w:r>
      <w:r w:rsidR="004B16DA">
        <w:rPr>
          <w:rFonts w:ascii="Times New Roman" w:eastAsia="Times New Roman" w:hAnsi="Times New Roman" w:cs="Times New Roman"/>
          <w:color w:val="000000"/>
          <w:sz w:val="28"/>
          <w:szCs w:val="28"/>
          <w:lang w:val="uk-UA" w:eastAsia="ru-RU"/>
        </w:rPr>
        <w:t>132</w:t>
      </w:r>
      <w:r w:rsidR="00EB4577" w:rsidRPr="00EB4577">
        <w:rPr>
          <w:rFonts w:ascii="Times New Roman" w:eastAsia="Times New Roman" w:hAnsi="Times New Roman" w:cs="Times New Roman"/>
          <w:color w:val="000000"/>
          <w:sz w:val="28"/>
          <w:szCs w:val="28"/>
          <w:lang w:val="uk-UA" w:eastAsia="ru-RU"/>
        </w:rPr>
        <w:t>]</w:t>
      </w:r>
      <w:r w:rsidR="00CB7902">
        <w:rPr>
          <w:rFonts w:ascii="Times New Roman" w:eastAsia="Times New Roman" w:hAnsi="Times New Roman" w:cs="Times New Roman"/>
          <w:color w:val="000000"/>
          <w:sz w:val="28"/>
          <w:szCs w:val="28"/>
          <w:lang w:val="uk-UA" w:eastAsia="ru-RU"/>
        </w:rPr>
        <w:t>.</w:t>
      </w:r>
    </w:p>
    <w:p w:rsidR="008A76AB" w:rsidRDefault="000A3B9B" w:rsidP="004A4EEE">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Вміст </w:t>
      </w:r>
      <w:r w:rsidR="00735E7A" w:rsidRPr="00BC534C">
        <w:rPr>
          <w:rFonts w:ascii="Times New Roman" w:eastAsia="Times New Roman" w:hAnsi="Times New Roman" w:cs="Times New Roman"/>
          <w:color w:val="000000"/>
          <w:sz w:val="28"/>
          <w:szCs w:val="28"/>
          <w:lang w:val="uk-UA" w:eastAsia="ru-RU"/>
        </w:rPr>
        <w:t>сечової кислоти</w:t>
      </w:r>
      <w:r w:rsidR="00BC534C">
        <w:rPr>
          <w:rFonts w:ascii="Times New Roman" w:eastAsia="Times New Roman" w:hAnsi="Times New Roman" w:cs="Times New Roman"/>
          <w:color w:val="000000"/>
          <w:sz w:val="28"/>
          <w:szCs w:val="28"/>
          <w:lang w:val="uk-UA" w:eastAsia="ru-RU"/>
        </w:rPr>
        <w:t xml:space="preserve"> було визначено</w:t>
      </w:r>
      <w:r w:rsidR="00BC534C" w:rsidRPr="00BC534C">
        <w:rPr>
          <w:rFonts w:ascii="Times New Roman" w:eastAsia="Times New Roman" w:hAnsi="Times New Roman" w:cs="Times New Roman"/>
          <w:color w:val="000000"/>
          <w:sz w:val="28"/>
          <w:szCs w:val="28"/>
          <w:lang w:val="uk-UA" w:eastAsia="ru-RU"/>
        </w:rPr>
        <w:t xml:space="preserve"> </w:t>
      </w:r>
      <w:r w:rsidR="008A76AB">
        <w:rPr>
          <w:rFonts w:ascii="Times New Roman" w:eastAsia="Times New Roman" w:hAnsi="Times New Roman" w:cs="Times New Roman"/>
          <w:color w:val="000000"/>
          <w:sz w:val="28"/>
          <w:szCs w:val="28"/>
          <w:lang w:val="uk-UA" w:eastAsia="ru-RU"/>
        </w:rPr>
        <w:t>ферментативним фото</w:t>
      </w:r>
      <w:r w:rsidR="00726728">
        <w:rPr>
          <w:rFonts w:ascii="Times New Roman" w:eastAsia="Times New Roman" w:hAnsi="Times New Roman" w:cs="Times New Roman"/>
          <w:color w:val="000000"/>
          <w:sz w:val="28"/>
          <w:szCs w:val="28"/>
          <w:lang w:val="uk-UA" w:eastAsia="ru-RU"/>
        </w:rPr>
        <w:t>-</w:t>
      </w:r>
      <w:r w:rsidR="008A76AB">
        <w:rPr>
          <w:rFonts w:ascii="Times New Roman" w:eastAsia="Times New Roman" w:hAnsi="Times New Roman" w:cs="Times New Roman"/>
          <w:color w:val="000000"/>
          <w:sz w:val="28"/>
          <w:szCs w:val="28"/>
          <w:lang w:val="uk-UA" w:eastAsia="ru-RU"/>
        </w:rPr>
        <w:t xml:space="preserve"> колориметричним тестом. Проведена реакція з уриказою, в результаті якої виділився п</w:t>
      </w:r>
      <w:r w:rsidR="00BC534C" w:rsidRPr="00BC534C">
        <w:rPr>
          <w:rFonts w:ascii="Times New Roman" w:eastAsia="Times New Roman" w:hAnsi="Times New Roman" w:cs="Times New Roman"/>
          <w:color w:val="000000"/>
          <w:sz w:val="28"/>
          <w:szCs w:val="28"/>
          <w:lang w:val="uk-UA" w:eastAsia="ru-RU"/>
        </w:rPr>
        <w:t xml:space="preserve">ерекис водню, </w:t>
      </w:r>
      <w:r w:rsidR="008A76AB">
        <w:rPr>
          <w:rFonts w:ascii="Times New Roman" w:eastAsia="Times New Roman" w:hAnsi="Times New Roman" w:cs="Times New Roman"/>
          <w:color w:val="000000"/>
          <w:sz w:val="28"/>
          <w:szCs w:val="28"/>
          <w:lang w:val="uk-UA" w:eastAsia="ru-RU"/>
        </w:rPr>
        <w:t xml:space="preserve">який </w:t>
      </w:r>
      <w:r w:rsidR="00BC534C" w:rsidRPr="00BC534C">
        <w:rPr>
          <w:rFonts w:ascii="Times New Roman" w:eastAsia="Times New Roman" w:hAnsi="Times New Roman" w:cs="Times New Roman"/>
          <w:color w:val="000000"/>
          <w:sz w:val="28"/>
          <w:szCs w:val="28"/>
          <w:lang w:val="uk-UA" w:eastAsia="ru-RU"/>
        </w:rPr>
        <w:t xml:space="preserve"> у присутності пероксидази з 3,5-дихлоро-2-гидроксибензол </w:t>
      </w:r>
      <w:r w:rsidR="008A76AB">
        <w:rPr>
          <w:rFonts w:ascii="Times New Roman" w:eastAsia="Times New Roman" w:hAnsi="Times New Roman" w:cs="Times New Roman"/>
          <w:color w:val="000000"/>
          <w:sz w:val="28"/>
          <w:szCs w:val="28"/>
          <w:lang w:val="uk-UA" w:eastAsia="ru-RU"/>
        </w:rPr>
        <w:t>взаємодіяв з сульфоновою кислотою і 4-амінофеназоном</w:t>
      </w:r>
      <w:r w:rsidR="00BC534C" w:rsidRPr="00BC534C">
        <w:rPr>
          <w:rFonts w:ascii="Times New Roman" w:eastAsia="Times New Roman" w:hAnsi="Times New Roman" w:cs="Times New Roman"/>
          <w:color w:val="000000"/>
          <w:sz w:val="28"/>
          <w:szCs w:val="28"/>
          <w:lang w:val="uk-UA" w:eastAsia="ru-RU"/>
        </w:rPr>
        <w:t xml:space="preserve"> </w:t>
      </w:r>
      <w:r w:rsidR="00341A7D">
        <w:rPr>
          <w:rFonts w:ascii="Times New Roman" w:eastAsia="Times New Roman" w:hAnsi="Times New Roman" w:cs="Times New Roman"/>
          <w:color w:val="000000"/>
          <w:sz w:val="28"/>
          <w:szCs w:val="28"/>
          <w:lang w:val="uk-UA" w:eastAsia="ru-RU"/>
        </w:rPr>
        <w:t xml:space="preserve">      </w:t>
      </w:r>
      <w:r w:rsidR="008A58F2">
        <w:rPr>
          <w:rFonts w:ascii="Times New Roman" w:eastAsia="Times New Roman" w:hAnsi="Times New Roman" w:cs="Times New Roman"/>
          <w:color w:val="000000"/>
          <w:sz w:val="28"/>
          <w:szCs w:val="28"/>
          <w:lang w:val="uk-UA" w:eastAsia="ru-RU"/>
        </w:rPr>
        <w:t>і</w:t>
      </w:r>
      <w:r w:rsidR="00BC534C" w:rsidRPr="00BC534C">
        <w:rPr>
          <w:rFonts w:ascii="Times New Roman" w:eastAsia="Times New Roman" w:hAnsi="Times New Roman" w:cs="Times New Roman"/>
          <w:color w:val="000000"/>
          <w:sz w:val="28"/>
          <w:szCs w:val="28"/>
          <w:lang w:val="uk-UA" w:eastAsia="ru-RU"/>
        </w:rPr>
        <w:t>з утворенням ч</w:t>
      </w:r>
      <w:r w:rsidR="00846D7F">
        <w:rPr>
          <w:rFonts w:ascii="Times New Roman" w:eastAsia="Times New Roman" w:hAnsi="Times New Roman" w:cs="Times New Roman"/>
          <w:color w:val="000000"/>
          <w:sz w:val="28"/>
          <w:szCs w:val="28"/>
          <w:lang w:val="uk-UA" w:eastAsia="ru-RU"/>
        </w:rPr>
        <w:t>ервоно-</w:t>
      </w:r>
      <w:r w:rsidR="001D1F62">
        <w:rPr>
          <w:rFonts w:ascii="Times New Roman" w:eastAsia="Times New Roman" w:hAnsi="Times New Roman" w:cs="Times New Roman"/>
          <w:color w:val="000000"/>
          <w:sz w:val="28"/>
          <w:szCs w:val="28"/>
          <w:lang w:val="uk-UA" w:eastAsia="ru-RU"/>
        </w:rPr>
        <w:t>фіолетового хіноні</w:t>
      </w:r>
      <w:r w:rsidR="000C321D">
        <w:rPr>
          <w:rFonts w:ascii="Times New Roman" w:eastAsia="Times New Roman" w:hAnsi="Times New Roman" w:cs="Times New Roman"/>
          <w:color w:val="000000"/>
          <w:sz w:val="28"/>
          <w:szCs w:val="28"/>
          <w:lang w:val="uk-UA" w:eastAsia="ru-RU"/>
        </w:rPr>
        <w:t>міна</w:t>
      </w:r>
      <w:r w:rsidR="008A58F2" w:rsidRPr="008A58F2">
        <w:rPr>
          <w:rFonts w:ascii="Times New Roman" w:eastAsia="Times New Roman" w:hAnsi="Times New Roman" w:cs="Times New Roman"/>
          <w:color w:val="000000"/>
          <w:sz w:val="28"/>
          <w:szCs w:val="28"/>
          <w:lang w:val="uk-UA" w:eastAsia="ru-RU"/>
        </w:rPr>
        <w:t>. Б</w:t>
      </w:r>
      <w:r w:rsidR="008A58F2">
        <w:rPr>
          <w:rFonts w:ascii="Times New Roman" w:eastAsia="Times New Roman" w:hAnsi="Times New Roman" w:cs="Times New Roman"/>
          <w:color w:val="000000"/>
          <w:sz w:val="28"/>
          <w:szCs w:val="28"/>
          <w:lang w:val="uk-UA" w:eastAsia="ru-RU"/>
        </w:rPr>
        <w:t>ільшій інтенсивності заб</w:t>
      </w:r>
      <w:r w:rsidR="00846D7F">
        <w:rPr>
          <w:rFonts w:ascii="Times New Roman" w:eastAsia="Times New Roman" w:hAnsi="Times New Roman" w:cs="Times New Roman"/>
          <w:color w:val="000000"/>
          <w:sz w:val="28"/>
          <w:szCs w:val="28"/>
          <w:lang w:val="uk-UA" w:eastAsia="ru-RU"/>
        </w:rPr>
        <w:t>арвлення відповідав вищий вміст</w:t>
      </w:r>
      <w:r w:rsidR="008A58F2">
        <w:rPr>
          <w:rFonts w:ascii="Times New Roman" w:eastAsia="Times New Roman" w:hAnsi="Times New Roman" w:cs="Times New Roman"/>
          <w:color w:val="000000"/>
          <w:sz w:val="28"/>
          <w:szCs w:val="28"/>
          <w:lang w:val="uk-UA" w:eastAsia="ru-RU"/>
        </w:rPr>
        <w:t xml:space="preserve"> сечової кислоти в сироватці крові</w:t>
      </w:r>
      <w:r w:rsidR="000C321D">
        <w:rPr>
          <w:rFonts w:ascii="Times New Roman" w:eastAsia="Times New Roman" w:hAnsi="Times New Roman" w:cs="Times New Roman"/>
          <w:color w:val="000000"/>
          <w:sz w:val="28"/>
          <w:szCs w:val="28"/>
          <w:lang w:val="uk-UA" w:eastAsia="ru-RU"/>
        </w:rPr>
        <w:t xml:space="preserve"> </w:t>
      </w:r>
      <w:r w:rsidR="003B138C" w:rsidRPr="00EB4577">
        <w:rPr>
          <w:rFonts w:ascii="Times New Roman" w:eastAsia="Times New Roman" w:hAnsi="Times New Roman" w:cs="Times New Roman"/>
          <w:color w:val="000000"/>
          <w:sz w:val="28"/>
          <w:szCs w:val="28"/>
          <w:lang w:val="uk-UA" w:eastAsia="ru-RU"/>
        </w:rPr>
        <w:t xml:space="preserve"> </w:t>
      </w:r>
      <w:r w:rsidR="00FF2442">
        <w:rPr>
          <w:rFonts w:ascii="Times New Roman" w:eastAsia="Times New Roman" w:hAnsi="Times New Roman" w:cs="Times New Roman"/>
          <w:color w:val="000000"/>
          <w:sz w:val="28"/>
          <w:szCs w:val="28"/>
          <w:lang w:val="uk-UA" w:eastAsia="ru-RU"/>
        </w:rPr>
        <w:t>[</w:t>
      </w:r>
      <w:r w:rsidR="004B16DA">
        <w:rPr>
          <w:rFonts w:ascii="Times New Roman" w:eastAsia="Times New Roman" w:hAnsi="Times New Roman" w:cs="Times New Roman"/>
          <w:color w:val="000000"/>
          <w:sz w:val="28"/>
          <w:szCs w:val="28"/>
          <w:lang w:val="uk-UA" w:eastAsia="ru-RU"/>
        </w:rPr>
        <w:t>133</w:t>
      </w:r>
      <w:r w:rsidR="008A58F2" w:rsidRPr="008A58F2">
        <w:rPr>
          <w:rFonts w:ascii="Times New Roman" w:eastAsia="Times New Roman" w:hAnsi="Times New Roman" w:cs="Times New Roman"/>
          <w:color w:val="000000"/>
          <w:sz w:val="28"/>
          <w:szCs w:val="28"/>
          <w:lang w:val="uk-UA" w:eastAsia="ru-RU"/>
        </w:rPr>
        <w:t>].</w:t>
      </w:r>
      <w:r w:rsidR="00735E7A">
        <w:rPr>
          <w:rFonts w:ascii="Times New Roman" w:eastAsia="Times New Roman" w:hAnsi="Times New Roman" w:cs="Times New Roman"/>
          <w:color w:val="000000"/>
          <w:sz w:val="28"/>
          <w:szCs w:val="28"/>
          <w:lang w:val="uk-UA" w:eastAsia="ru-RU"/>
        </w:rPr>
        <w:t xml:space="preserve"> </w:t>
      </w:r>
    </w:p>
    <w:p w:rsidR="00735E7A" w:rsidRPr="00677763" w:rsidRDefault="00AE7028" w:rsidP="004A4EEE">
      <w:pPr>
        <w:spacing w:after="0" w:line="360" w:lineRule="auto"/>
        <w:ind w:firstLine="708"/>
        <w:jc w:val="both"/>
        <w:rPr>
          <w:rFonts w:ascii="Times New Roman" w:eastAsia="Times New Roman" w:hAnsi="Times New Roman" w:cs="Times New Roman"/>
          <w:color w:val="000000"/>
          <w:sz w:val="28"/>
          <w:szCs w:val="28"/>
          <w:lang w:val="uk-UA" w:eastAsia="ru-RU"/>
        </w:rPr>
      </w:pPr>
      <w:r w:rsidRPr="00AE7028">
        <w:rPr>
          <w:rFonts w:ascii="Times New Roman" w:eastAsia="Times New Roman" w:hAnsi="Times New Roman" w:cs="Times New Roman"/>
          <w:color w:val="000000"/>
          <w:sz w:val="28"/>
          <w:szCs w:val="28"/>
          <w:lang w:val="uk-UA" w:eastAsia="ru-RU"/>
        </w:rPr>
        <w:t>HbA1с</w:t>
      </w:r>
      <w:r w:rsidR="00726728" w:rsidRPr="00726728">
        <w:rPr>
          <w:rFonts w:ascii="Times New Roman" w:eastAsia="Times New Roman" w:hAnsi="Times New Roman" w:cs="Times New Roman"/>
          <w:color w:val="000000"/>
          <w:sz w:val="28"/>
          <w:szCs w:val="28"/>
          <w:lang w:val="uk-UA" w:eastAsia="ru-RU"/>
        </w:rPr>
        <w:t xml:space="preserve"> </w:t>
      </w:r>
      <w:r w:rsidR="00726728">
        <w:rPr>
          <w:rFonts w:ascii="Times New Roman" w:eastAsia="Times New Roman" w:hAnsi="Times New Roman" w:cs="Times New Roman"/>
          <w:color w:val="000000"/>
          <w:sz w:val="28"/>
          <w:szCs w:val="28"/>
          <w:lang w:val="uk-UA" w:eastAsia="ru-RU"/>
        </w:rPr>
        <w:t>в</w:t>
      </w:r>
      <w:r w:rsidR="00726728" w:rsidRPr="00726728">
        <w:rPr>
          <w:rFonts w:ascii="Times New Roman" w:eastAsia="Times New Roman" w:hAnsi="Times New Roman" w:cs="Times New Roman"/>
          <w:color w:val="000000"/>
          <w:sz w:val="28"/>
          <w:szCs w:val="28"/>
          <w:lang w:val="uk-UA" w:eastAsia="ru-RU"/>
        </w:rPr>
        <w:t>изначали</w:t>
      </w:r>
      <w:r w:rsidR="00E02F04" w:rsidRPr="00E02F04">
        <w:rPr>
          <w:lang w:val="uk-UA"/>
        </w:rPr>
        <w:t xml:space="preserve"> </w:t>
      </w:r>
      <w:r>
        <w:rPr>
          <w:rFonts w:ascii="Times New Roman" w:eastAsia="Times New Roman" w:hAnsi="Times New Roman" w:cs="Times New Roman"/>
          <w:color w:val="000000"/>
          <w:sz w:val="28"/>
          <w:szCs w:val="28"/>
          <w:lang w:val="uk-UA" w:eastAsia="ru-RU"/>
        </w:rPr>
        <w:t>у с</w:t>
      </w:r>
      <w:r w:rsidR="00843774">
        <w:rPr>
          <w:rFonts w:ascii="Times New Roman" w:eastAsia="Times New Roman" w:hAnsi="Times New Roman" w:cs="Times New Roman"/>
          <w:color w:val="000000"/>
          <w:sz w:val="28"/>
          <w:szCs w:val="28"/>
          <w:lang w:val="uk-UA" w:eastAsia="ru-RU"/>
        </w:rPr>
        <w:t xml:space="preserve">ироватці крові за допомогою </w:t>
      </w:r>
      <w:r w:rsidR="00843774" w:rsidRPr="006F60B3">
        <w:rPr>
          <w:rFonts w:ascii="Times New Roman" w:eastAsia="Times New Roman" w:hAnsi="Times New Roman" w:cs="Times New Roman"/>
          <w:color w:val="000000"/>
          <w:sz w:val="28"/>
          <w:szCs w:val="28"/>
          <w:lang w:val="uk-UA" w:eastAsia="ru-RU"/>
        </w:rPr>
        <w:t>гемі</w:t>
      </w:r>
      <w:r w:rsidRPr="006F60B3">
        <w:rPr>
          <w:rFonts w:ascii="Times New Roman" w:eastAsia="Times New Roman" w:hAnsi="Times New Roman" w:cs="Times New Roman"/>
          <w:color w:val="000000"/>
          <w:sz w:val="28"/>
          <w:szCs w:val="28"/>
          <w:lang w:val="uk-UA" w:eastAsia="ru-RU"/>
        </w:rPr>
        <w:t>глобінцианідного методу</w:t>
      </w:r>
      <w:r w:rsidR="0083052D" w:rsidRPr="006F60B3">
        <w:rPr>
          <w:rFonts w:ascii="Times New Roman" w:eastAsia="Times New Roman" w:hAnsi="Times New Roman" w:cs="Times New Roman"/>
          <w:color w:val="000000"/>
          <w:sz w:val="28"/>
          <w:szCs w:val="28"/>
          <w:lang w:val="uk-UA" w:eastAsia="ru-RU"/>
        </w:rPr>
        <w:t>, принцип</w:t>
      </w:r>
      <w:r w:rsidR="00E02F04" w:rsidRPr="006F60B3">
        <w:rPr>
          <w:rFonts w:ascii="Times New Roman" w:eastAsia="Times New Roman" w:hAnsi="Times New Roman" w:cs="Times New Roman"/>
          <w:color w:val="000000"/>
          <w:sz w:val="28"/>
          <w:szCs w:val="28"/>
          <w:lang w:val="uk-UA" w:eastAsia="ru-RU"/>
        </w:rPr>
        <w:t xml:space="preserve"> якого</w:t>
      </w:r>
      <w:r w:rsidR="0083052D" w:rsidRPr="006F60B3">
        <w:rPr>
          <w:rFonts w:ascii="Times New Roman" w:eastAsia="Times New Roman" w:hAnsi="Times New Roman" w:cs="Times New Roman"/>
          <w:color w:val="000000"/>
          <w:sz w:val="28"/>
          <w:szCs w:val="28"/>
          <w:lang w:val="uk-UA" w:eastAsia="ru-RU"/>
        </w:rPr>
        <w:t xml:space="preserve"> </w:t>
      </w:r>
      <w:r w:rsidR="00E02F04" w:rsidRPr="006F60B3">
        <w:rPr>
          <w:rFonts w:ascii="Times New Roman" w:eastAsia="Times New Roman" w:hAnsi="Times New Roman" w:cs="Times New Roman"/>
          <w:color w:val="000000"/>
          <w:sz w:val="28"/>
          <w:szCs w:val="28"/>
          <w:lang w:val="uk-UA" w:eastAsia="ru-RU"/>
        </w:rPr>
        <w:t>п</w:t>
      </w:r>
      <w:r w:rsidR="0083052D" w:rsidRPr="006F60B3">
        <w:rPr>
          <w:rFonts w:ascii="Times New Roman" w:eastAsia="Times New Roman" w:hAnsi="Times New Roman" w:cs="Times New Roman"/>
          <w:color w:val="000000"/>
          <w:sz w:val="28"/>
          <w:szCs w:val="28"/>
          <w:lang w:val="uk-UA" w:eastAsia="ru-RU"/>
        </w:rPr>
        <w:t>олягав у тому, що г</w:t>
      </w:r>
      <w:r w:rsidR="008253CE" w:rsidRPr="006F60B3">
        <w:rPr>
          <w:rFonts w:ascii="Times New Roman" w:eastAsia="Times New Roman" w:hAnsi="Times New Roman" w:cs="Times New Roman"/>
          <w:color w:val="000000"/>
          <w:sz w:val="28"/>
          <w:szCs w:val="28"/>
          <w:lang w:val="uk-UA" w:eastAsia="ru-RU"/>
        </w:rPr>
        <w:t xml:space="preserve">емоглобін при взаємодії </w:t>
      </w:r>
      <w:r w:rsidR="00341A7D">
        <w:rPr>
          <w:rFonts w:ascii="Times New Roman" w:eastAsia="Times New Roman" w:hAnsi="Times New Roman" w:cs="Times New Roman"/>
          <w:color w:val="000000"/>
          <w:sz w:val="28"/>
          <w:szCs w:val="28"/>
          <w:lang w:val="uk-UA" w:eastAsia="ru-RU"/>
        </w:rPr>
        <w:t xml:space="preserve">               </w:t>
      </w:r>
      <w:r w:rsidR="008253CE" w:rsidRPr="006F60B3">
        <w:rPr>
          <w:rFonts w:ascii="Times New Roman" w:eastAsia="Times New Roman" w:hAnsi="Times New Roman" w:cs="Times New Roman"/>
          <w:color w:val="000000"/>
          <w:sz w:val="28"/>
          <w:szCs w:val="28"/>
          <w:lang w:val="uk-UA" w:eastAsia="ru-RU"/>
        </w:rPr>
        <w:t>з залі</w:t>
      </w:r>
      <w:r w:rsidR="0083052D" w:rsidRPr="006F60B3">
        <w:rPr>
          <w:rFonts w:ascii="Times New Roman" w:eastAsia="Times New Roman" w:hAnsi="Times New Roman" w:cs="Times New Roman"/>
          <w:color w:val="000000"/>
          <w:sz w:val="28"/>
          <w:szCs w:val="28"/>
          <w:lang w:val="uk-UA" w:eastAsia="ru-RU"/>
        </w:rPr>
        <w:t>зосиньородистим калієм окиснювався до</w:t>
      </w:r>
      <w:r w:rsidR="008253CE" w:rsidRPr="006F60B3">
        <w:rPr>
          <w:rFonts w:ascii="Times New Roman" w:eastAsia="Times New Roman" w:hAnsi="Times New Roman" w:cs="Times New Roman"/>
          <w:color w:val="000000"/>
          <w:sz w:val="28"/>
          <w:szCs w:val="28"/>
          <w:lang w:val="uk-UA" w:eastAsia="ru-RU"/>
        </w:rPr>
        <w:t xml:space="preserve"> метгемоглобін</w:t>
      </w:r>
      <w:r w:rsidR="0083052D" w:rsidRPr="006F60B3">
        <w:rPr>
          <w:rFonts w:ascii="Times New Roman" w:eastAsia="Times New Roman" w:hAnsi="Times New Roman" w:cs="Times New Roman"/>
          <w:color w:val="000000"/>
          <w:sz w:val="28"/>
          <w:szCs w:val="28"/>
          <w:lang w:val="uk-UA" w:eastAsia="ru-RU"/>
        </w:rPr>
        <w:t>у. Останній утворював</w:t>
      </w:r>
      <w:r w:rsidR="008253CE" w:rsidRPr="006F60B3">
        <w:rPr>
          <w:rFonts w:ascii="Times New Roman" w:eastAsia="Times New Roman" w:hAnsi="Times New Roman" w:cs="Times New Roman"/>
          <w:color w:val="000000"/>
          <w:sz w:val="28"/>
          <w:szCs w:val="28"/>
          <w:lang w:val="uk-UA" w:eastAsia="ru-RU"/>
        </w:rPr>
        <w:t xml:space="preserve"> з ацетонціангідрином  цианметгемоглобін (геміглобінцианид), інтенсивність забарвлення </w:t>
      </w:r>
      <w:r w:rsidR="0083052D" w:rsidRPr="006F60B3">
        <w:rPr>
          <w:rFonts w:ascii="Times New Roman" w:eastAsia="Times New Roman" w:hAnsi="Times New Roman" w:cs="Times New Roman"/>
          <w:color w:val="000000"/>
          <w:sz w:val="28"/>
          <w:szCs w:val="28"/>
          <w:lang w:val="uk-UA" w:eastAsia="ru-RU"/>
        </w:rPr>
        <w:t>якого була пропорційною</w:t>
      </w:r>
      <w:r w:rsidR="008253CE" w:rsidRPr="006F60B3">
        <w:rPr>
          <w:rFonts w:ascii="Times New Roman" w:eastAsia="Times New Roman" w:hAnsi="Times New Roman" w:cs="Times New Roman"/>
          <w:color w:val="000000"/>
          <w:sz w:val="28"/>
          <w:szCs w:val="28"/>
          <w:lang w:val="uk-UA" w:eastAsia="ru-RU"/>
        </w:rPr>
        <w:t xml:space="preserve"> вмісту</w:t>
      </w:r>
      <w:r w:rsidR="008253CE" w:rsidRPr="008253CE">
        <w:rPr>
          <w:rFonts w:ascii="Times New Roman" w:eastAsia="Times New Roman" w:hAnsi="Times New Roman" w:cs="Times New Roman"/>
          <w:color w:val="000000"/>
          <w:sz w:val="28"/>
          <w:szCs w:val="28"/>
          <w:lang w:val="uk-UA" w:eastAsia="ru-RU"/>
        </w:rPr>
        <w:t xml:space="preserve"> гемоглобіну.</w:t>
      </w:r>
      <w:r>
        <w:rPr>
          <w:rFonts w:ascii="Times New Roman" w:eastAsia="Times New Roman" w:hAnsi="Times New Roman" w:cs="Times New Roman"/>
          <w:color w:val="000000"/>
          <w:sz w:val="28"/>
          <w:szCs w:val="28"/>
          <w:lang w:val="uk-UA" w:eastAsia="ru-RU"/>
        </w:rPr>
        <w:t xml:space="preserve"> </w:t>
      </w:r>
      <w:r w:rsidR="008253CE" w:rsidRPr="0083052D">
        <w:rPr>
          <w:rFonts w:ascii="Times New Roman" w:eastAsia="Times New Roman" w:hAnsi="Times New Roman" w:cs="Times New Roman"/>
          <w:color w:val="000000"/>
          <w:sz w:val="28"/>
          <w:szCs w:val="28"/>
          <w:lang w:val="uk-UA" w:eastAsia="ru-RU"/>
        </w:rPr>
        <w:t>Процентний вм</w:t>
      </w:r>
      <w:r w:rsidR="008253CE">
        <w:rPr>
          <w:rFonts w:ascii="Times New Roman" w:eastAsia="Times New Roman" w:hAnsi="Times New Roman" w:cs="Times New Roman"/>
          <w:color w:val="000000"/>
          <w:sz w:val="28"/>
          <w:szCs w:val="28"/>
          <w:lang w:val="uk-UA" w:eastAsia="ru-RU"/>
        </w:rPr>
        <w:t xml:space="preserve">іст </w:t>
      </w:r>
      <w:r w:rsidR="008253CE" w:rsidRPr="008253CE">
        <w:rPr>
          <w:rFonts w:ascii="Times New Roman" w:eastAsia="Times New Roman" w:hAnsi="Times New Roman" w:cs="Times New Roman"/>
          <w:color w:val="000000"/>
          <w:sz w:val="28"/>
          <w:szCs w:val="28"/>
          <w:lang w:val="uk-UA" w:eastAsia="ru-RU"/>
        </w:rPr>
        <w:t xml:space="preserve">HbA1с </w:t>
      </w:r>
      <w:r w:rsidR="008253CE">
        <w:rPr>
          <w:rFonts w:ascii="Times New Roman" w:eastAsia="Times New Roman" w:hAnsi="Times New Roman" w:cs="Times New Roman"/>
          <w:color w:val="000000"/>
          <w:sz w:val="28"/>
          <w:szCs w:val="28"/>
          <w:lang w:val="uk-UA" w:eastAsia="ru-RU"/>
        </w:rPr>
        <w:t>визначається фото</w:t>
      </w:r>
      <w:r w:rsidR="00B11038">
        <w:rPr>
          <w:rFonts w:ascii="Times New Roman" w:eastAsia="Times New Roman" w:hAnsi="Times New Roman" w:cs="Times New Roman"/>
          <w:color w:val="000000"/>
          <w:sz w:val="28"/>
          <w:szCs w:val="28"/>
          <w:lang w:val="uk-UA" w:eastAsia="ru-RU"/>
        </w:rPr>
        <w:t>колори</w:t>
      </w:r>
      <w:r w:rsidR="008253CE">
        <w:rPr>
          <w:rFonts w:ascii="Times New Roman" w:eastAsia="Times New Roman" w:hAnsi="Times New Roman" w:cs="Times New Roman"/>
          <w:color w:val="000000"/>
          <w:sz w:val="28"/>
          <w:szCs w:val="28"/>
          <w:lang w:val="uk-UA" w:eastAsia="ru-RU"/>
        </w:rPr>
        <w:t xml:space="preserve">метрично </w:t>
      </w:r>
      <w:r w:rsidRPr="00AE7028">
        <w:rPr>
          <w:rFonts w:ascii="Times New Roman" w:eastAsia="Times New Roman" w:hAnsi="Times New Roman" w:cs="Times New Roman"/>
          <w:color w:val="000000"/>
          <w:sz w:val="28"/>
          <w:szCs w:val="28"/>
          <w:lang w:val="uk-UA" w:eastAsia="ru-RU"/>
        </w:rPr>
        <w:t>[</w:t>
      </w:r>
      <w:r w:rsidR="004B16DA">
        <w:rPr>
          <w:rFonts w:ascii="Times New Roman" w:eastAsia="Times New Roman" w:hAnsi="Times New Roman" w:cs="Times New Roman"/>
          <w:color w:val="000000"/>
          <w:sz w:val="28"/>
          <w:szCs w:val="28"/>
          <w:lang w:val="uk-UA" w:eastAsia="ru-RU"/>
        </w:rPr>
        <w:t>134</w:t>
      </w:r>
      <w:r w:rsidRPr="00AE7028">
        <w:rPr>
          <w:rFonts w:ascii="Times New Roman" w:eastAsia="Times New Roman" w:hAnsi="Times New Roman" w:cs="Times New Roman"/>
          <w:color w:val="000000"/>
          <w:sz w:val="28"/>
          <w:szCs w:val="28"/>
          <w:lang w:val="uk-UA" w:eastAsia="ru-RU"/>
        </w:rPr>
        <w:t>]</w:t>
      </w:r>
      <w:r w:rsidR="0067160F" w:rsidRPr="0067160F">
        <w:rPr>
          <w:rFonts w:ascii="Times New Roman" w:eastAsia="Times New Roman" w:hAnsi="Times New Roman" w:cs="Times New Roman"/>
          <w:color w:val="000000"/>
          <w:sz w:val="28"/>
          <w:szCs w:val="28"/>
          <w:lang w:val="uk-UA" w:eastAsia="ru-RU"/>
        </w:rPr>
        <w:t xml:space="preserve">. </w:t>
      </w:r>
    </w:p>
    <w:p w:rsidR="00E03738" w:rsidRPr="00677763" w:rsidRDefault="00E03738" w:rsidP="004A4EEE">
      <w:pPr>
        <w:spacing w:after="0" w:line="360" w:lineRule="auto"/>
        <w:ind w:firstLine="708"/>
        <w:jc w:val="both"/>
        <w:rPr>
          <w:rFonts w:ascii="Times New Roman" w:eastAsia="Times New Roman" w:hAnsi="Times New Roman" w:cs="Times New Roman"/>
          <w:color w:val="000000"/>
          <w:sz w:val="28"/>
          <w:szCs w:val="28"/>
          <w:lang w:val="uk-UA" w:eastAsia="ru-RU"/>
        </w:rPr>
      </w:pPr>
      <w:r w:rsidRPr="00677763">
        <w:rPr>
          <w:rFonts w:ascii="Times New Roman" w:eastAsia="Times New Roman" w:hAnsi="Times New Roman" w:cs="Times New Roman"/>
          <w:color w:val="000000"/>
          <w:sz w:val="28"/>
          <w:szCs w:val="28"/>
          <w:lang w:val="uk-UA" w:eastAsia="ru-RU"/>
        </w:rPr>
        <w:t xml:space="preserve">ШКФ було розраховано із використанням формули </w:t>
      </w:r>
      <w:r w:rsidRPr="00E03738">
        <w:rPr>
          <w:rFonts w:ascii="Times New Roman" w:eastAsia="Times New Roman" w:hAnsi="Times New Roman" w:cs="Times New Roman"/>
          <w:color w:val="000000"/>
          <w:sz w:val="28"/>
          <w:szCs w:val="28"/>
          <w:lang w:val="en-US" w:eastAsia="ru-RU"/>
        </w:rPr>
        <w:t>Cockroft</w:t>
      </w:r>
      <w:r w:rsidRPr="00677763">
        <w:rPr>
          <w:rFonts w:ascii="Times New Roman" w:eastAsia="Times New Roman" w:hAnsi="Times New Roman" w:cs="Times New Roman"/>
          <w:color w:val="000000"/>
          <w:sz w:val="28"/>
          <w:szCs w:val="28"/>
          <w:lang w:val="uk-UA" w:eastAsia="ru-RU"/>
        </w:rPr>
        <w:t>-</w:t>
      </w:r>
      <w:r w:rsidRPr="00E03738">
        <w:rPr>
          <w:rFonts w:ascii="Times New Roman" w:eastAsia="Times New Roman" w:hAnsi="Times New Roman" w:cs="Times New Roman"/>
          <w:color w:val="000000"/>
          <w:sz w:val="28"/>
          <w:szCs w:val="28"/>
          <w:lang w:val="en-US" w:eastAsia="ru-RU"/>
        </w:rPr>
        <w:t>Gault</w:t>
      </w:r>
      <w:r w:rsidRPr="00677763">
        <w:rPr>
          <w:rFonts w:ascii="Times New Roman" w:eastAsia="Times New Roman" w:hAnsi="Times New Roman" w:cs="Times New Roman"/>
          <w:color w:val="000000"/>
          <w:sz w:val="28"/>
          <w:szCs w:val="28"/>
          <w:lang w:val="uk-UA" w:eastAsia="ru-RU"/>
        </w:rPr>
        <w:t>, доцільність застосув</w:t>
      </w:r>
      <w:r w:rsidR="00726728">
        <w:rPr>
          <w:rFonts w:ascii="Times New Roman" w:eastAsia="Times New Roman" w:hAnsi="Times New Roman" w:cs="Times New Roman"/>
          <w:color w:val="000000"/>
          <w:sz w:val="28"/>
          <w:szCs w:val="28"/>
          <w:lang w:val="uk-UA" w:eastAsia="ru-RU"/>
        </w:rPr>
        <w:t>ання якої вказано у рекомендаціях</w:t>
      </w:r>
      <w:r w:rsidRPr="00677763">
        <w:rPr>
          <w:rFonts w:ascii="Times New Roman" w:eastAsia="Times New Roman" w:hAnsi="Times New Roman" w:cs="Times New Roman"/>
          <w:color w:val="000000"/>
          <w:sz w:val="28"/>
          <w:szCs w:val="28"/>
          <w:lang w:val="uk-UA" w:eastAsia="ru-RU"/>
        </w:rPr>
        <w:t xml:space="preserve"> Американськ</w:t>
      </w:r>
      <w:r w:rsidR="00DE7ADE">
        <w:rPr>
          <w:rFonts w:ascii="Times New Roman" w:eastAsia="Times New Roman" w:hAnsi="Times New Roman" w:cs="Times New Roman"/>
          <w:color w:val="000000"/>
          <w:sz w:val="28"/>
          <w:szCs w:val="28"/>
          <w:lang w:val="uk-UA" w:eastAsia="ru-RU"/>
        </w:rPr>
        <w:t>ої асоціації діабету (2017) [</w:t>
      </w:r>
      <w:r w:rsidR="004B16DA">
        <w:rPr>
          <w:rFonts w:ascii="Times New Roman" w:eastAsia="Times New Roman" w:hAnsi="Times New Roman" w:cs="Times New Roman"/>
          <w:color w:val="000000"/>
          <w:sz w:val="28"/>
          <w:szCs w:val="28"/>
          <w:lang w:val="uk-UA" w:eastAsia="ru-RU"/>
        </w:rPr>
        <w:t>7</w:t>
      </w:r>
      <w:r w:rsidRPr="00677763">
        <w:rPr>
          <w:rFonts w:ascii="Times New Roman" w:eastAsia="Times New Roman" w:hAnsi="Times New Roman" w:cs="Times New Roman"/>
          <w:color w:val="000000"/>
          <w:sz w:val="28"/>
          <w:szCs w:val="28"/>
          <w:lang w:val="uk-UA" w:eastAsia="ru-RU"/>
        </w:rPr>
        <w:t xml:space="preserve">] та </w:t>
      </w:r>
      <w:r>
        <w:rPr>
          <w:rFonts w:ascii="Times New Roman" w:eastAsia="Times New Roman" w:hAnsi="Times New Roman" w:cs="Times New Roman"/>
          <w:color w:val="000000"/>
          <w:sz w:val="28"/>
          <w:szCs w:val="28"/>
          <w:lang w:val="en-US" w:eastAsia="ru-RU"/>
        </w:rPr>
        <w:t>KDIGO</w:t>
      </w:r>
      <w:r w:rsidR="00DE7ADE">
        <w:rPr>
          <w:rFonts w:ascii="Times New Roman" w:eastAsia="Times New Roman" w:hAnsi="Times New Roman" w:cs="Times New Roman"/>
          <w:color w:val="000000"/>
          <w:sz w:val="28"/>
          <w:szCs w:val="28"/>
          <w:lang w:val="uk-UA" w:eastAsia="ru-RU"/>
        </w:rPr>
        <w:t xml:space="preserve"> (2012) [</w:t>
      </w:r>
      <w:r w:rsidR="005218F2" w:rsidRPr="004B16DA">
        <w:rPr>
          <w:rFonts w:ascii="Times New Roman" w:eastAsia="Times New Roman" w:hAnsi="Times New Roman" w:cs="Times New Roman"/>
          <w:color w:val="000000"/>
          <w:sz w:val="28"/>
          <w:szCs w:val="28"/>
          <w:lang w:val="uk-UA" w:eastAsia="ru-RU"/>
        </w:rPr>
        <w:t>54</w:t>
      </w:r>
      <w:r w:rsidRPr="00677763">
        <w:rPr>
          <w:rFonts w:ascii="Times New Roman" w:eastAsia="Times New Roman" w:hAnsi="Times New Roman" w:cs="Times New Roman"/>
          <w:color w:val="000000"/>
          <w:sz w:val="28"/>
          <w:szCs w:val="28"/>
          <w:lang w:val="uk-UA" w:eastAsia="ru-RU"/>
        </w:rPr>
        <w:t>].</w:t>
      </w:r>
    </w:p>
    <w:p w:rsidR="00D50FFB" w:rsidRPr="00213322" w:rsidRDefault="004962FB" w:rsidP="00213322">
      <w:pPr>
        <w:spacing w:after="0" w:line="360" w:lineRule="auto"/>
        <w:ind w:firstLine="708"/>
        <w:jc w:val="both"/>
        <w:rPr>
          <w:rFonts w:ascii="Times New Roman" w:eastAsia="Times New Roman" w:hAnsi="Times New Roman" w:cs="Times New Roman"/>
          <w:color w:val="000000"/>
          <w:sz w:val="28"/>
          <w:szCs w:val="28"/>
          <w:lang w:val="uk-UA" w:eastAsia="ru-RU"/>
        </w:rPr>
      </w:pPr>
      <w:r w:rsidRPr="004962FB">
        <w:rPr>
          <w:rFonts w:ascii="Times New Roman" w:eastAsia="Times New Roman" w:hAnsi="Times New Roman" w:cs="Times New Roman"/>
          <w:color w:val="000000"/>
          <w:sz w:val="28"/>
          <w:szCs w:val="28"/>
          <w:lang w:val="uk-UA" w:eastAsia="ru-RU"/>
        </w:rPr>
        <w:t>Вміст креатиніну у сечі було визначено за допомогою колор</w:t>
      </w:r>
      <w:r>
        <w:rPr>
          <w:rFonts w:ascii="Times New Roman" w:eastAsia="Times New Roman" w:hAnsi="Times New Roman" w:cs="Times New Roman"/>
          <w:color w:val="000000"/>
          <w:sz w:val="28"/>
          <w:szCs w:val="28"/>
          <w:lang w:val="uk-UA" w:eastAsia="ru-RU"/>
        </w:rPr>
        <w:t>иметричного методу, який полягав</w:t>
      </w:r>
      <w:r w:rsidRPr="004962FB">
        <w:rPr>
          <w:rFonts w:ascii="Times New Roman" w:eastAsia="Times New Roman" w:hAnsi="Times New Roman" w:cs="Times New Roman"/>
          <w:color w:val="000000"/>
          <w:sz w:val="28"/>
          <w:szCs w:val="28"/>
          <w:lang w:val="uk-UA" w:eastAsia="ru-RU"/>
        </w:rPr>
        <w:t xml:space="preserve"> у тому, що при взаємодії креатиніну з пікриновою кислотою у лужному середовищі в</w:t>
      </w:r>
      <w:r>
        <w:rPr>
          <w:rFonts w:ascii="Times New Roman" w:eastAsia="Times New Roman" w:hAnsi="Times New Roman" w:cs="Times New Roman"/>
          <w:color w:val="000000"/>
          <w:sz w:val="28"/>
          <w:szCs w:val="28"/>
          <w:lang w:val="uk-UA" w:eastAsia="ru-RU"/>
        </w:rPr>
        <w:t>ідбувалася зміна кольору на помаранчевий, обумовлена утворенням</w:t>
      </w:r>
      <w:r w:rsidRPr="004962FB">
        <w:rPr>
          <w:rFonts w:ascii="Times New Roman" w:eastAsia="Times New Roman" w:hAnsi="Times New Roman" w:cs="Times New Roman"/>
          <w:color w:val="000000"/>
          <w:sz w:val="28"/>
          <w:szCs w:val="28"/>
          <w:lang w:val="uk-UA" w:eastAsia="ru-RU"/>
        </w:rPr>
        <w:t xml:space="preserve"> таутомеру</w:t>
      </w:r>
      <w:r>
        <w:rPr>
          <w:rFonts w:ascii="Times New Roman" w:eastAsia="Times New Roman" w:hAnsi="Times New Roman" w:cs="Times New Roman"/>
          <w:color w:val="000000"/>
          <w:sz w:val="28"/>
          <w:szCs w:val="28"/>
          <w:lang w:val="uk-UA" w:eastAsia="ru-RU"/>
        </w:rPr>
        <w:t xml:space="preserve"> </w:t>
      </w:r>
      <w:r w:rsidRPr="004962FB">
        <w:rPr>
          <w:rFonts w:ascii="Times New Roman" w:eastAsia="Times New Roman" w:hAnsi="Times New Roman" w:cs="Times New Roman"/>
          <w:color w:val="000000"/>
          <w:sz w:val="28"/>
          <w:szCs w:val="28"/>
          <w:lang w:val="uk-UA" w:eastAsia="ru-RU"/>
        </w:rPr>
        <w:t>пі</w:t>
      </w:r>
      <w:r>
        <w:rPr>
          <w:rFonts w:ascii="Times New Roman" w:eastAsia="Times New Roman" w:hAnsi="Times New Roman" w:cs="Times New Roman"/>
          <w:color w:val="000000"/>
          <w:sz w:val="28"/>
          <w:szCs w:val="28"/>
          <w:lang w:val="uk-UA" w:eastAsia="ru-RU"/>
        </w:rPr>
        <w:t>к</w:t>
      </w:r>
      <w:r w:rsidRPr="004962FB">
        <w:rPr>
          <w:rFonts w:ascii="Times New Roman" w:eastAsia="Times New Roman" w:hAnsi="Times New Roman" w:cs="Times New Roman"/>
          <w:color w:val="000000"/>
          <w:sz w:val="28"/>
          <w:szCs w:val="28"/>
          <w:lang w:val="uk-UA" w:eastAsia="ru-RU"/>
        </w:rPr>
        <w:t>рату креатиніну [</w:t>
      </w:r>
      <w:r w:rsidR="004B16DA">
        <w:rPr>
          <w:rFonts w:ascii="Times New Roman" w:eastAsia="Times New Roman" w:hAnsi="Times New Roman" w:cs="Times New Roman"/>
          <w:color w:val="000000"/>
          <w:sz w:val="28"/>
          <w:szCs w:val="28"/>
          <w:lang w:val="uk-UA" w:eastAsia="ru-RU"/>
        </w:rPr>
        <w:t>135</w:t>
      </w:r>
      <w:r w:rsidRPr="004962FB">
        <w:rPr>
          <w:rFonts w:ascii="Times New Roman" w:eastAsia="Times New Roman" w:hAnsi="Times New Roman" w:cs="Times New Roman"/>
          <w:color w:val="000000"/>
          <w:sz w:val="28"/>
          <w:szCs w:val="28"/>
          <w:lang w:val="uk-UA" w:eastAsia="ru-RU"/>
        </w:rPr>
        <w:t>].</w:t>
      </w:r>
    </w:p>
    <w:p w:rsidR="00D50FFB" w:rsidRDefault="00494F4C" w:rsidP="00D50FFB">
      <w:pPr>
        <w:spacing w:after="0" w:line="360" w:lineRule="auto"/>
        <w:ind w:firstLine="708"/>
        <w:jc w:val="both"/>
        <w:rPr>
          <w:rFonts w:ascii="Times New Roman" w:eastAsia="Times New Roman" w:hAnsi="Times New Roman" w:cs="Times New Roman"/>
          <w:b/>
          <w:color w:val="000000"/>
          <w:sz w:val="28"/>
          <w:szCs w:val="28"/>
          <w:lang w:val="uk-UA" w:eastAsia="ru-RU"/>
        </w:rPr>
      </w:pPr>
      <w:r w:rsidRPr="00494F4C">
        <w:rPr>
          <w:rFonts w:ascii="Times New Roman" w:eastAsia="Times New Roman" w:hAnsi="Times New Roman" w:cs="Times New Roman"/>
          <w:b/>
          <w:color w:val="000000"/>
          <w:sz w:val="28"/>
          <w:szCs w:val="28"/>
          <w:lang w:val="uk-UA" w:eastAsia="ru-RU"/>
        </w:rPr>
        <w:t>Імуноферментні</w:t>
      </w:r>
      <w:r w:rsidR="00D26F30" w:rsidRPr="00494F4C">
        <w:rPr>
          <w:rFonts w:ascii="Times New Roman" w:eastAsia="Times New Roman" w:hAnsi="Times New Roman" w:cs="Times New Roman"/>
          <w:b/>
          <w:color w:val="000000"/>
          <w:sz w:val="28"/>
          <w:szCs w:val="28"/>
          <w:lang w:val="uk-UA" w:eastAsia="ru-RU"/>
        </w:rPr>
        <w:t xml:space="preserve"> метод</w:t>
      </w:r>
      <w:r w:rsidRPr="00494F4C">
        <w:rPr>
          <w:rFonts w:ascii="Times New Roman" w:eastAsia="Times New Roman" w:hAnsi="Times New Roman" w:cs="Times New Roman"/>
          <w:b/>
          <w:color w:val="000000"/>
          <w:sz w:val="28"/>
          <w:szCs w:val="28"/>
          <w:lang w:val="uk-UA" w:eastAsia="ru-RU"/>
        </w:rPr>
        <w:t>и</w:t>
      </w:r>
      <w:r w:rsidR="000C4558" w:rsidRPr="00494F4C">
        <w:rPr>
          <w:rFonts w:ascii="Times New Roman" w:eastAsia="Times New Roman" w:hAnsi="Times New Roman" w:cs="Times New Roman"/>
          <w:b/>
          <w:color w:val="000000"/>
          <w:sz w:val="28"/>
          <w:szCs w:val="28"/>
          <w:lang w:val="uk-UA" w:eastAsia="ru-RU"/>
        </w:rPr>
        <w:t xml:space="preserve"> </w:t>
      </w:r>
    </w:p>
    <w:p w:rsidR="0037551C" w:rsidRPr="00F14DC0" w:rsidRDefault="00726728" w:rsidP="00D50FFB">
      <w:pPr>
        <w:spacing w:after="0" w:line="360" w:lineRule="auto"/>
        <w:ind w:firstLine="708"/>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Концентрацію </w:t>
      </w:r>
      <w:r w:rsidR="00E64D0A">
        <w:rPr>
          <w:rFonts w:ascii="Times New Roman" w:eastAsia="Times New Roman" w:hAnsi="Times New Roman" w:cs="Times New Roman"/>
          <w:color w:val="000000"/>
          <w:sz w:val="28"/>
          <w:szCs w:val="28"/>
          <w:lang w:val="uk-UA" w:eastAsia="ru-RU"/>
        </w:rPr>
        <w:t>альбумінурії визначено</w:t>
      </w:r>
      <w:r w:rsidR="000C4558" w:rsidRPr="008707FF">
        <w:rPr>
          <w:rFonts w:ascii="Times New Roman" w:eastAsia="Times New Roman" w:hAnsi="Times New Roman" w:cs="Times New Roman"/>
          <w:color w:val="000000"/>
          <w:sz w:val="28"/>
          <w:szCs w:val="28"/>
          <w:lang w:val="uk-UA" w:eastAsia="ru-RU"/>
        </w:rPr>
        <w:t xml:space="preserve"> в одноразовій ран</w:t>
      </w:r>
      <w:r w:rsidR="00E64D0A">
        <w:rPr>
          <w:rFonts w:ascii="Times New Roman" w:eastAsia="Times New Roman" w:hAnsi="Times New Roman" w:cs="Times New Roman"/>
          <w:color w:val="000000"/>
          <w:sz w:val="28"/>
          <w:szCs w:val="28"/>
          <w:lang w:val="uk-UA" w:eastAsia="ru-RU"/>
        </w:rPr>
        <w:t>ковій порції сечі</w:t>
      </w:r>
      <w:r w:rsidR="000C4558" w:rsidRPr="008707FF">
        <w:rPr>
          <w:rFonts w:ascii="Times New Roman" w:eastAsia="Times New Roman" w:hAnsi="Times New Roman" w:cs="Times New Roman"/>
          <w:color w:val="000000"/>
          <w:sz w:val="28"/>
          <w:szCs w:val="28"/>
          <w:lang w:val="uk-UA" w:eastAsia="ru-RU"/>
        </w:rPr>
        <w:t xml:space="preserve"> на напівавтоматичному аналізаторі </w:t>
      </w:r>
      <w:r w:rsidR="000C4558" w:rsidRPr="00AA4911">
        <w:rPr>
          <w:rFonts w:ascii="Times New Roman" w:eastAsia="Times New Roman" w:hAnsi="Times New Roman" w:cs="Times New Roman"/>
          <w:color w:val="000000"/>
          <w:sz w:val="28"/>
          <w:szCs w:val="28"/>
          <w:lang w:val="en-US" w:eastAsia="ru-RU"/>
        </w:rPr>
        <w:t>BA</w:t>
      </w:r>
      <w:r w:rsidR="000C4558" w:rsidRPr="008707FF">
        <w:rPr>
          <w:rFonts w:ascii="Times New Roman" w:eastAsia="Times New Roman" w:hAnsi="Times New Roman" w:cs="Times New Roman"/>
          <w:color w:val="000000"/>
          <w:sz w:val="28"/>
          <w:szCs w:val="28"/>
          <w:lang w:val="uk-UA" w:eastAsia="ru-RU"/>
        </w:rPr>
        <w:t>-88 (Китай)</w:t>
      </w:r>
      <w:r w:rsidR="00E64D0A">
        <w:rPr>
          <w:rFonts w:ascii="Times New Roman" w:eastAsia="Times New Roman" w:hAnsi="Times New Roman" w:cs="Times New Roman"/>
          <w:color w:val="000000"/>
          <w:sz w:val="28"/>
          <w:szCs w:val="28"/>
          <w:lang w:val="uk-UA" w:eastAsia="ru-RU"/>
        </w:rPr>
        <w:t xml:space="preserve"> методом одностадійного конкурентного імуноферментного аналізу</w:t>
      </w:r>
      <w:r w:rsidR="00E03738">
        <w:rPr>
          <w:rFonts w:ascii="Times New Roman" w:eastAsia="Times New Roman" w:hAnsi="Times New Roman" w:cs="Times New Roman"/>
          <w:color w:val="000000"/>
          <w:sz w:val="28"/>
          <w:szCs w:val="28"/>
          <w:lang w:val="uk-UA" w:eastAsia="ru-RU"/>
        </w:rPr>
        <w:t xml:space="preserve"> </w:t>
      </w:r>
      <w:r w:rsidR="00E03738" w:rsidRPr="00E03738">
        <w:rPr>
          <w:rFonts w:ascii="Times New Roman" w:eastAsia="Times New Roman" w:hAnsi="Times New Roman" w:cs="Times New Roman"/>
          <w:color w:val="000000"/>
          <w:sz w:val="28"/>
          <w:szCs w:val="28"/>
          <w:lang w:val="uk-UA" w:eastAsia="ru-RU"/>
        </w:rPr>
        <w:t>[</w:t>
      </w:r>
      <w:r w:rsidR="004B16DA">
        <w:rPr>
          <w:rFonts w:ascii="Times New Roman" w:eastAsia="Times New Roman" w:hAnsi="Times New Roman" w:cs="Times New Roman"/>
          <w:color w:val="000000"/>
          <w:sz w:val="28"/>
          <w:szCs w:val="28"/>
          <w:lang w:val="uk-UA" w:eastAsia="ru-RU"/>
        </w:rPr>
        <w:t>136</w:t>
      </w:r>
      <w:r w:rsidR="00E03738" w:rsidRPr="00E03738">
        <w:rPr>
          <w:rFonts w:ascii="Times New Roman" w:eastAsia="Times New Roman" w:hAnsi="Times New Roman" w:cs="Times New Roman"/>
          <w:color w:val="000000"/>
          <w:sz w:val="28"/>
          <w:szCs w:val="28"/>
          <w:lang w:val="uk-UA" w:eastAsia="ru-RU"/>
        </w:rPr>
        <w:t>].</w:t>
      </w:r>
    </w:p>
    <w:p w:rsidR="000C4558" w:rsidRPr="00CF5B04" w:rsidRDefault="00BA09EE" w:rsidP="00856415">
      <w:pPr>
        <w:spacing w:after="0" w:line="360" w:lineRule="auto"/>
        <w:ind w:firstLine="708"/>
        <w:jc w:val="both"/>
        <w:rPr>
          <w:rFonts w:ascii="Times New Roman" w:eastAsia="Times New Roman" w:hAnsi="Times New Roman" w:cs="Times New Roman"/>
          <w:color w:val="000000"/>
          <w:sz w:val="28"/>
          <w:szCs w:val="28"/>
          <w:lang w:val="uk-UA" w:eastAsia="ru-RU"/>
        </w:rPr>
      </w:pPr>
      <w:r w:rsidRPr="001B098A">
        <w:rPr>
          <w:rFonts w:ascii="Times New Roman" w:eastAsia="Times New Roman" w:hAnsi="Times New Roman" w:cs="Times New Roman"/>
          <w:color w:val="000000"/>
          <w:sz w:val="28"/>
          <w:szCs w:val="28"/>
          <w:lang w:val="uk-UA" w:eastAsia="ru-RU"/>
        </w:rPr>
        <w:t>Визначення вм</w:t>
      </w:r>
      <w:r>
        <w:rPr>
          <w:rFonts w:ascii="Times New Roman" w:eastAsia="Times New Roman" w:hAnsi="Times New Roman" w:cs="Times New Roman"/>
          <w:color w:val="000000"/>
          <w:sz w:val="28"/>
          <w:szCs w:val="28"/>
          <w:lang w:val="uk-UA" w:eastAsia="ru-RU"/>
        </w:rPr>
        <w:t>істу ЕТ-1 проводили за допомогою імуноферментного набору «</w:t>
      </w:r>
      <w:r>
        <w:rPr>
          <w:rFonts w:ascii="Times New Roman" w:eastAsia="Times New Roman" w:hAnsi="Times New Roman" w:cs="Times New Roman"/>
          <w:color w:val="000000"/>
          <w:sz w:val="28"/>
          <w:szCs w:val="28"/>
          <w:lang w:val="en-US" w:eastAsia="ru-RU"/>
        </w:rPr>
        <w:t>Amersham</w:t>
      </w:r>
      <w:r w:rsidRPr="001B098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Phar</w:t>
      </w:r>
      <w:r w:rsidR="00471C33">
        <w:rPr>
          <w:rFonts w:ascii="Times New Roman" w:eastAsia="Times New Roman" w:hAnsi="Times New Roman" w:cs="Times New Roman"/>
          <w:color w:val="000000"/>
          <w:sz w:val="28"/>
          <w:szCs w:val="28"/>
          <w:lang w:val="en-US" w:eastAsia="ru-RU"/>
        </w:rPr>
        <w:t>m</w:t>
      </w:r>
      <w:r>
        <w:rPr>
          <w:rFonts w:ascii="Times New Roman" w:eastAsia="Times New Roman" w:hAnsi="Times New Roman" w:cs="Times New Roman"/>
          <w:color w:val="000000"/>
          <w:sz w:val="28"/>
          <w:szCs w:val="28"/>
          <w:lang w:val="en-US" w:eastAsia="ru-RU"/>
        </w:rPr>
        <w:t>acia</w:t>
      </w:r>
      <w:r w:rsidRPr="001B098A">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en-US" w:eastAsia="ru-RU"/>
        </w:rPr>
        <w:t>Biotech</w:t>
      </w:r>
      <w:r w:rsidRPr="001B098A">
        <w:rPr>
          <w:rFonts w:ascii="Times New Roman" w:eastAsia="Times New Roman" w:hAnsi="Times New Roman" w:cs="Times New Roman"/>
          <w:color w:val="000000"/>
          <w:sz w:val="28"/>
          <w:szCs w:val="28"/>
          <w:lang w:val="uk-UA" w:eastAsia="ru-RU"/>
        </w:rPr>
        <w:t>»</w:t>
      </w:r>
      <w:r w:rsidR="00CF5B04" w:rsidRPr="001B098A">
        <w:rPr>
          <w:rFonts w:ascii="Times New Roman" w:eastAsia="Times New Roman" w:hAnsi="Times New Roman" w:cs="Times New Roman"/>
          <w:color w:val="000000"/>
          <w:sz w:val="28"/>
          <w:szCs w:val="28"/>
          <w:lang w:val="uk-UA" w:eastAsia="ru-RU"/>
        </w:rPr>
        <w:t xml:space="preserve"> зг</w:t>
      </w:r>
      <w:r w:rsidR="00CF5B04">
        <w:rPr>
          <w:rFonts w:ascii="Times New Roman" w:eastAsia="Times New Roman" w:hAnsi="Times New Roman" w:cs="Times New Roman"/>
          <w:color w:val="000000"/>
          <w:sz w:val="28"/>
          <w:szCs w:val="28"/>
          <w:lang w:val="uk-UA" w:eastAsia="ru-RU"/>
        </w:rPr>
        <w:t>ідно інструкції виробника</w:t>
      </w:r>
      <w:r>
        <w:rPr>
          <w:rFonts w:ascii="Times New Roman" w:eastAsia="Times New Roman" w:hAnsi="Times New Roman" w:cs="Times New Roman"/>
          <w:color w:val="000000"/>
          <w:sz w:val="28"/>
          <w:szCs w:val="28"/>
          <w:lang w:val="uk-UA" w:eastAsia="ru-RU"/>
        </w:rPr>
        <w:t xml:space="preserve">. </w:t>
      </w:r>
      <w:r w:rsidR="00471C33">
        <w:rPr>
          <w:rFonts w:ascii="Times New Roman" w:eastAsia="Times New Roman" w:hAnsi="Times New Roman" w:cs="Times New Roman"/>
          <w:color w:val="000000"/>
          <w:sz w:val="28"/>
          <w:szCs w:val="28"/>
          <w:lang w:val="uk-UA" w:eastAsia="ru-RU"/>
        </w:rPr>
        <w:t>Забір крові здійснювали з ліктьової вени</w:t>
      </w:r>
      <w:r w:rsidR="00084EAF">
        <w:rPr>
          <w:rFonts w:ascii="Times New Roman" w:eastAsia="Times New Roman" w:hAnsi="Times New Roman" w:cs="Times New Roman"/>
          <w:color w:val="000000"/>
          <w:sz w:val="28"/>
          <w:szCs w:val="28"/>
          <w:lang w:val="uk-UA" w:eastAsia="ru-RU"/>
        </w:rPr>
        <w:t xml:space="preserve"> у охолоджені пробірки, які містили натрієву сіль етилендіамінтетраоцтової кислоти з розрахунку 1 мг на 1 мл крові. Венозну кров центрифугували протягом 50 хвилин при 3000 об/хв </w:t>
      </w:r>
      <w:r w:rsidR="00D50FFB">
        <w:rPr>
          <w:rFonts w:ascii="Times New Roman" w:eastAsia="Times New Roman" w:hAnsi="Times New Roman" w:cs="Times New Roman"/>
          <w:color w:val="000000"/>
          <w:sz w:val="28"/>
          <w:szCs w:val="28"/>
          <w:lang w:val="uk-UA" w:eastAsia="ru-RU"/>
        </w:rPr>
        <w:t xml:space="preserve">   </w:t>
      </w:r>
      <w:r w:rsidR="00084EAF">
        <w:rPr>
          <w:rFonts w:ascii="Times New Roman" w:eastAsia="Times New Roman" w:hAnsi="Times New Roman" w:cs="Times New Roman"/>
          <w:color w:val="000000"/>
          <w:sz w:val="28"/>
          <w:szCs w:val="28"/>
          <w:lang w:val="uk-UA" w:eastAsia="ru-RU"/>
        </w:rPr>
        <w:t xml:space="preserve">при температурі 4°С. Отриману сироватку зберігали при температурі </w:t>
      </w:r>
      <w:r w:rsidR="00CF5B04">
        <w:rPr>
          <w:rFonts w:ascii="Times New Roman" w:eastAsia="Times New Roman" w:hAnsi="Times New Roman" w:cs="Times New Roman"/>
          <w:color w:val="000000"/>
          <w:sz w:val="28"/>
          <w:szCs w:val="28"/>
          <w:lang w:val="uk-UA" w:eastAsia="ru-RU"/>
        </w:rPr>
        <w:t>−</w:t>
      </w:r>
      <w:r w:rsidR="00494F4C">
        <w:rPr>
          <w:rFonts w:ascii="Times New Roman" w:eastAsia="Times New Roman" w:hAnsi="Times New Roman" w:cs="Times New Roman"/>
          <w:color w:val="000000"/>
          <w:sz w:val="28"/>
          <w:szCs w:val="28"/>
          <w:lang w:val="uk-UA" w:eastAsia="ru-RU"/>
        </w:rPr>
        <w:t>27</w:t>
      </w:r>
      <w:r w:rsidR="00084EAF" w:rsidRPr="00084EAF">
        <w:rPr>
          <w:rFonts w:ascii="Times New Roman" w:eastAsia="Times New Roman" w:hAnsi="Times New Roman" w:cs="Times New Roman"/>
          <w:color w:val="000000"/>
          <w:sz w:val="28"/>
          <w:szCs w:val="28"/>
          <w:lang w:val="uk-UA" w:eastAsia="ru-RU"/>
        </w:rPr>
        <w:t>°С.</w:t>
      </w:r>
      <w:r w:rsidR="00084EAF">
        <w:rPr>
          <w:rFonts w:ascii="Times New Roman" w:eastAsia="Times New Roman" w:hAnsi="Times New Roman" w:cs="Times New Roman"/>
          <w:color w:val="000000"/>
          <w:sz w:val="28"/>
          <w:szCs w:val="28"/>
          <w:lang w:val="uk-UA" w:eastAsia="ru-RU"/>
        </w:rPr>
        <w:t xml:space="preserve"> Перед визначенням вмісту </w:t>
      </w:r>
      <w:r w:rsidR="00084EAF" w:rsidRPr="00084EAF">
        <w:rPr>
          <w:rFonts w:ascii="Times New Roman" w:eastAsia="Times New Roman" w:hAnsi="Times New Roman" w:cs="Times New Roman"/>
          <w:color w:val="000000"/>
          <w:sz w:val="28"/>
          <w:szCs w:val="28"/>
          <w:lang w:val="uk-UA" w:eastAsia="ru-RU"/>
        </w:rPr>
        <w:t>ЕТ-1</w:t>
      </w:r>
      <w:r w:rsidR="00084EAF">
        <w:rPr>
          <w:rFonts w:ascii="Times New Roman" w:eastAsia="Times New Roman" w:hAnsi="Times New Roman" w:cs="Times New Roman"/>
          <w:color w:val="000000"/>
          <w:sz w:val="28"/>
          <w:szCs w:val="28"/>
          <w:lang w:val="uk-UA" w:eastAsia="ru-RU"/>
        </w:rPr>
        <w:t xml:space="preserve"> з метою очищення сироватки було проведено афінну хроматографію за допомогою </w:t>
      </w:r>
      <w:r w:rsidR="00084EAF" w:rsidRPr="00084EAF">
        <w:rPr>
          <w:rFonts w:ascii="Times New Roman" w:eastAsia="Times New Roman" w:hAnsi="Times New Roman" w:cs="Times New Roman"/>
          <w:color w:val="000000"/>
          <w:sz w:val="28"/>
          <w:szCs w:val="28"/>
          <w:lang w:val="uk-UA" w:eastAsia="ru-RU"/>
        </w:rPr>
        <w:t>к</w:t>
      </w:r>
      <w:r w:rsidR="00084EAF">
        <w:rPr>
          <w:rFonts w:ascii="Times New Roman" w:eastAsia="Times New Roman" w:hAnsi="Times New Roman" w:cs="Times New Roman"/>
          <w:color w:val="000000"/>
          <w:sz w:val="28"/>
          <w:szCs w:val="28"/>
          <w:lang w:val="uk-UA" w:eastAsia="ru-RU"/>
        </w:rPr>
        <w:t>олонок  Amprep 500 mg C2</w:t>
      </w:r>
      <w:r w:rsidR="00084EAF" w:rsidRPr="00084EAF">
        <w:rPr>
          <w:rFonts w:ascii="Times New Roman" w:eastAsia="Times New Roman" w:hAnsi="Times New Roman" w:cs="Times New Roman"/>
          <w:color w:val="000000"/>
          <w:sz w:val="28"/>
          <w:szCs w:val="28"/>
          <w:lang w:val="uk-UA" w:eastAsia="ru-RU"/>
        </w:rPr>
        <w:t xml:space="preserve"> фірми</w:t>
      </w:r>
      <w:r w:rsidR="00084EAF">
        <w:rPr>
          <w:rFonts w:ascii="Times New Roman" w:eastAsia="Times New Roman" w:hAnsi="Times New Roman" w:cs="Times New Roman"/>
          <w:color w:val="000000"/>
          <w:sz w:val="28"/>
          <w:szCs w:val="28"/>
          <w:lang w:val="uk-UA" w:eastAsia="ru-RU"/>
        </w:rPr>
        <w:t xml:space="preserve"> </w:t>
      </w:r>
      <w:r w:rsidR="002D499F" w:rsidRPr="002D499F">
        <w:rPr>
          <w:rFonts w:ascii="Times New Roman" w:eastAsia="Times New Roman" w:hAnsi="Times New Roman" w:cs="Times New Roman"/>
          <w:color w:val="000000"/>
          <w:sz w:val="28"/>
          <w:szCs w:val="28"/>
          <w:lang w:val="uk-UA" w:eastAsia="ru-RU"/>
        </w:rPr>
        <w:t>«Amersham Pharmacia Biotech»</w:t>
      </w:r>
      <w:r w:rsidR="002D499F">
        <w:rPr>
          <w:rFonts w:ascii="Times New Roman" w:eastAsia="Times New Roman" w:hAnsi="Times New Roman" w:cs="Times New Roman"/>
          <w:color w:val="000000"/>
          <w:sz w:val="28"/>
          <w:szCs w:val="28"/>
          <w:lang w:val="uk-UA" w:eastAsia="ru-RU"/>
        </w:rPr>
        <w:t>.</w:t>
      </w:r>
      <w:r w:rsidR="00900500">
        <w:rPr>
          <w:rFonts w:ascii="Times New Roman" w:eastAsia="Times New Roman" w:hAnsi="Times New Roman" w:cs="Times New Roman"/>
          <w:color w:val="000000"/>
          <w:sz w:val="28"/>
          <w:szCs w:val="28"/>
          <w:lang w:val="uk-UA" w:eastAsia="ru-RU"/>
        </w:rPr>
        <w:t xml:space="preserve"> Наступним етапом було побудова калібровочної кривої та визначення оптичної щільності зразків в залежності від концентрації ЕТ-1 у лунці. </w:t>
      </w:r>
      <w:r w:rsidR="00886211">
        <w:rPr>
          <w:rFonts w:ascii="Times New Roman" w:eastAsia="Times New Roman" w:hAnsi="Times New Roman" w:cs="Times New Roman"/>
          <w:color w:val="000000"/>
          <w:sz w:val="28"/>
          <w:szCs w:val="28"/>
          <w:lang w:val="uk-UA" w:eastAsia="ru-RU"/>
        </w:rPr>
        <w:t xml:space="preserve">З метою безпосереднього визначення концентрації </w:t>
      </w:r>
      <w:r w:rsidR="00886211" w:rsidRPr="00886211">
        <w:rPr>
          <w:rFonts w:ascii="Times New Roman" w:eastAsia="Times New Roman" w:hAnsi="Times New Roman" w:cs="Times New Roman"/>
          <w:color w:val="000000"/>
          <w:sz w:val="28"/>
          <w:szCs w:val="28"/>
          <w:lang w:val="uk-UA" w:eastAsia="ru-RU"/>
        </w:rPr>
        <w:t>ЕТ-1</w:t>
      </w:r>
      <w:r w:rsidR="00886211">
        <w:rPr>
          <w:rFonts w:ascii="Times New Roman" w:eastAsia="Times New Roman" w:hAnsi="Times New Roman" w:cs="Times New Roman"/>
          <w:color w:val="000000"/>
          <w:sz w:val="28"/>
          <w:szCs w:val="28"/>
          <w:lang w:val="uk-UA" w:eastAsia="ru-RU"/>
        </w:rPr>
        <w:t xml:space="preserve"> здійснювали перерахунок з урахуванням ступеню концентрації зразків при проведенні хроматографії.</w:t>
      </w:r>
      <w:r w:rsidR="00323886">
        <w:rPr>
          <w:rFonts w:ascii="Times New Roman" w:eastAsia="Times New Roman" w:hAnsi="Times New Roman" w:cs="Times New Roman"/>
          <w:color w:val="000000"/>
          <w:sz w:val="28"/>
          <w:szCs w:val="28"/>
          <w:lang w:val="uk-UA" w:eastAsia="ru-RU"/>
        </w:rPr>
        <w:t xml:space="preserve"> Необхідну концентрацію </w:t>
      </w:r>
      <w:r w:rsidR="00323886" w:rsidRPr="00323886">
        <w:rPr>
          <w:rFonts w:ascii="Times New Roman" w:eastAsia="Times New Roman" w:hAnsi="Times New Roman" w:cs="Times New Roman"/>
          <w:color w:val="000000"/>
          <w:sz w:val="28"/>
          <w:szCs w:val="28"/>
          <w:lang w:val="uk-UA" w:eastAsia="ru-RU"/>
        </w:rPr>
        <w:t>ЕТ-1</w:t>
      </w:r>
      <w:r w:rsidR="00323886">
        <w:rPr>
          <w:rFonts w:ascii="Times New Roman" w:eastAsia="Times New Roman" w:hAnsi="Times New Roman" w:cs="Times New Roman"/>
          <w:color w:val="000000"/>
          <w:sz w:val="28"/>
          <w:szCs w:val="28"/>
          <w:lang w:val="uk-UA" w:eastAsia="ru-RU"/>
        </w:rPr>
        <w:t xml:space="preserve"> виражали в </w:t>
      </w:r>
      <w:r w:rsidR="00323886" w:rsidRPr="00CF5B04">
        <w:rPr>
          <w:rFonts w:ascii="Times New Roman" w:eastAsia="Times New Roman" w:hAnsi="Times New Roman" w:cs="Times New Roman"/>
          <w:color w:val="000000"/>
          <w:sz w:val="28"/>
          <w:szCs w:val="28"/>
          <w:lang w:val="uk-UA" w:eastAsia="ru-RU"/>
        </w:rPr>
        <w:t>пг/мл.</w:t>
      </w:r>
    </w:p>
    <w:p w:rsidR="00CB63BF" w:rsidRPr="000837C9" w:rsidRDefault="00F14DC0" w:rsidP="00A2082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К</w:t>
      </w:r>
      <w:r w:rsidR="00453376">
        <w:rPr>
          <w:rFonts w:ascii="Times New Roman" w:eastAsia="Times New Roman" w:hAnsi="Times New Roman" w:cs="Times New Roman"/>
          <w:color w:val="000000"/>
          <w:sz w:val="28"/>
          <w:szCs w:val="28"/>
          <w:lang w:val="uk-UA" w:eastAsia="ru-RU"/>
        </w:rPr>
        <w:t>ількісний вміст ФНП-α</w:t>
      </w:r>
      <w:r w:rsidR="00453376" w:rsidRPr="00453376">
        <w:rPr>
          <w:rFonts w:ascii="Times New Roman" w:eastAsia="Times New Roman" w:hAnsi="Times New Roman" w:cs="Times New Roman"/>
          <w:color w:val="000000"/>
          <w:sz w:val="28"/>
          <w:szCs w:val="28"/>
          <w:lang w:val="uk-UA" w:eastAsia="ru-RU"/>
        </w:rPr>
        <w:t xml:space="preserve"> у сироватці крові</w:t>
      </w:r>
      <w:r w:rsidR="00494F4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визначали методом </w:t>
      </w:r>
      <w:r w:rsidRPr="00F14DC0">
        <w:rPr>
          <w:rFonts w:ascii="Times New Roman" w:eastAsia="Times New Roman" w:hAnsi="Times New Roman" w:cs="Times New Roman"/>
          <w:color w:val="000000"/>
          <w:sz w:val="28"/>
          <w:szCs w:val="28"/>
          <w:lang w:val="uk-UA" w:eastAsia="ru-RU"/>
        </w:rPr>
        <w:t xml:space="preserve">твердофазового імуноферментного аналізу </w:t>
      </w:r>
      <w:r w:rsidR="00FE1062">
        <w:rPr>
          <w:rFonts w:ascii="Times New Roman" w:eastAsia="Times New Roman" w:hAnsi="Times New Roman" w:cs="Times New Roman"/>
          <w:color w:val="000000"/>
          <w:sz w:val="28"/>
          <w:szCs w:val="28"/>
          <w:lang w:val="uk-UA" w:eastAsia="ru-RU"/>
        </w:rPr>
        <w:t>із використанням наборів реактивів ТОВ «</w:t>
      </w:r>
      <w:r w:rsidR="0075403D">
        <w:rPr>
          <w:rFonts w:ascii="Times New Roman" w:eastAsia="Times New Roman" w:hAnsi="Times New Roman" w:cs="Times New Roman"/>
          <w:color w:val="000000"/>
          <w:sz w:val="28"/>
          <w:szCs w:val="28"/>
          <w:lang w:val="uk-UA" w:eastAsia="ru-RU"/>
        </w:rPr>
        <w:t>Укрмедсервіс</w:t>
      </w:r>
      <w:r w:rsidR="00FE1062">
        <w:rPr>
          <w:rFonts w:ascii="Times New Roman" w:eastAsia="Times New Roman" w:hAnsi="Times New Roman" w:cs="Times New Roman"/>
          <w:color w:val="000000"/>
          <w:sz w:val="28"/>
          <w:szCs w:val="28"/>
          <w:lang w:val="uk-UA" w:eastAsia="ru-RU"/>
        </w:rPr>
        <w:t xml:space="preserve">» (Донецьк) </w:t>
      </w:r>
      <w:r w:rsidR="00622DE7">
        <w:rPr>
          <w:rFonts w:ascii="Times New Roman" w:eastAsia="Times New Roman" w:hAnsi="Times New Roman" w:cs="Times New Roman"/>
          <w:color w:val="000000"/>
          <w:sz w:val="28"/>
          <w:szCs w:val="28"/>
          <w:lang w:val="uk-UA" w:eastAsia="ru-RU"/>
        </w:rPr>
        <w:t>згідно інструкції фірми-виробника</w:t>
      </w:r>
      <w:r w:rsidR="00FE1062">
        <w:rPr>
          <w:rFonts w:ascii="Times New Roman" w:eastAsia="Times New Roman" w:hAnsi="Times New Roman" w:cs="Times New Roman"/>
          <w:color w:val="000000"/>
          <w:sz w:val="28"/>
          <w:szCs w:val="28"/>
          <w:lang w:val="uk-UA" w:eastAsia="ru-RU"/>
        </w:rPr>
        <w:t>.</w:t>
      </w:r>
      <w:r w:rsidR="00CF5B04">
        <w:rPr>
          <w:rFonts w:ascii="Times New Roman" w:eastAsia="Times New Roman" w:hAnsi="Times New Roman" w:cs="Times New Roman"/>
          <w:color w:val="000000"/>
          <w:sz w:val="28"/>
          <w:szCs w:val="28"/>
          <w:lang w:val="uk-UA" w:eastAsia="ru-RU"/>
        </w:rPr>
        <w:t xml:space="preserve"> </w:t>
      </w:r>
      <w:r w:rsidR="00494F4C">
        <w:rPr>
          <w:rFonts w:ascii="Times New Roman" w:eastAsia="Times New Roman" w:hAnsi="Times New Roman" w:cs="Times New Roman"/>
          <w:color w:val="000000"/>
          <w:sz w:val="28"/>
          <w:szCs w:val="28"/>
          <w:lang w:val="uk-UA" w:eastAsia="ru-RU"/>
        </w:rPr>
        <w:t>Після забору крові із ліктьової вени</w:t>
      </w:r>
      <w:r w:rsidR="00755C5E">
        <w:rPr>
          <w:rFonts w:ascii="Times New Roman" w:eastAsia="Times New Roman" w:hAnsi="Times New Roman" w:cs="Times New Roman"/>
          <w:color w:val="000000"/>
          <w:sz w:val="28"/>
          <w:szCs w:val="28"/>
          <w:lang w:val="uk-UA" w:eastAsia="ru-RU"/>
        </w:rPr>
        <w:t xml:space="preserve"> з неї готували</w:t>
      </w:r>
      <w:r w:rsidR="00494F4C">
        <w:rPr>
          <w:rFonts w:ascii="Times New Roman" w:eastAsia="Times New Roman" w:hAnsi="Times New Roman" w:cs="Times New Roman"/>
          <w:color w:val="000000"/>
          <w:sz w:val="28"/>
          <w:szCs w:val="28"/>
          <w:lang w:val="uk-UA" w:eastAsia="ru-RU"/>
        </w:rPr>
        <w:t xml:space="preserve"> сироватку</w:t>
      </w:r>
      <w:r w:rsidR="00755C5E">
        <w:rPr>
          <w:rFonts w:ascii="Times New Roman" w:eastAsia="Times New Roman" w:hAnsi="Times New Roman" w:cs="Times New Roman"/>
          <w:color w:val="000000"/>
          <w:sz w:val="28"/>
          <w:szCs w:val="28"/>
          <w:lang w:val="uk-UA" w:eastAsia="ru-RU"/>
        </w:rPr>
        <w:t xml:space="preserve">, яку було заморожено при температурі −27°С, а перед використанням доведено </w:t>
      </w:r>
      <w:r w:rsidR="00CA718C">
        <w:rPr>
          <w:rFonts w:ascii="Times New Roman" w:eastAsia="Times New Roman" w:hAnsi="Times New Roman" w:cs="Times New Roman"/>
          <w:color w:val="000000"/>
          <w:sz w:val="28"/>
          <w:szCs w:val="28"/>
          <w:lang w:val="uk-UA" w:eastAsia="ru-RU"/>
        </w:rPr>
        <w:t xml:space="preserve">           </w:t>
      </w:r>
      <w:r w:rsidR="00755C5E">
        <w:rPr>
          <w:rFonts w:ascii="Times New Roman" w:eastAsia="Times New Roman" w:hAnsi="Times New Roman" w:cs="Times New Roman"/>
          <w:color w:val="000000"/>
          <w:sz w:val="28"/>
          <w:szCs w:val="28"/>
          <w:lang w:val="uk-UA" w:eastAsia="ru-RU"/>
        </w:rPr>
        <w:t>до кімнатної температури.</w:t>
      </w:r>
      <w:r w:rsidR="00415141">
        <w:rPr>
          <w:rFonts w:ascii="Times New Roman" w:eastAsia="Times New Roman" w:hAnsi="Times New Roman" w:cs="Times New Roman"/>
          <w:color w:val="000000"/>
          <w:sz w:val="28"/>
          <w:szCs w:val="28"/>
          <w:lang w:val="uk-UA" w:eastAsia="ru-RU"/>
        </w:rPr>
        <w:t xml:space="preserve"> У якості реактивів було використано розбавляючий розчин, промиваючий розчин, контрольний зразок, конʼюгат 1, конʼюгат 2, субстратний буфер, субстрат, зупиняючий реагент, планшет. Калібровані проби було приготовано шляхом розведення контрольного зразку, який містив 500 пг/мл</w:t>
      </w:r>
      <w:r w:rsidR="00415141" w:rsidRPr="00415141">
        <w:rPr>
          <w:rFonts w:ascii="Times New Roman" w:eastAsia="Times New Roman" w:hAnsi="Times New Roman" w:cs="Times New Roman"/>
          <w:color w:val="000000"/>
          <w:sz w:val="28"/>
          <w:szCs w:val="28"/>
          <w:lang w:eastAsia="ru-RU"/>
        </w:rPr>
        <w:t xml:space="preserve"> ФНП-α, </w:t>
      </w:r>
      <w:r w:rsidR="00415141">
        <w:rPr>
          <w:rFonts w:ascii="Times New Roman" w:eastAsia="Times New Roman" w:hAnsi="Times New Roman" w:cs="Times New Roman"/>
          <w:color w:val="000000"/>
          <w:sz w:val="28"/>
          <w:szCs w:val="28"/>
          <w:lang w:eastAsia="ru-RU"/>
        </w:rPr>
        <w:t xml:space="preserve">за схемою. </w:t>
      </w:r>
      <w:r w:rsidR="00D57EC8">
        <w:rPr>
          <w:rFonts w:ascii="Times New Roman" w:eastAsia="Times New Roman" w:hAnsi="Times New Roman" w:cs="Times New Roman"/>
          <w:color w:val="000000"/>
          <w:sz w:val="28"/>
          <w:szCs w:val="28"/>
          <w:lang w:eastAsia="ru-RU"/>
        </w:rPr>
        <w:t>П</w:t>
      </w:r>
      <w:r w:rsidR="00D57EC8">
        <w:rPr>
          <w:rFonts w:ascii="Times New Roman" w:eastAsia="Times New Roman" w:hAnsi="Times New Roman" w:cs="Times New Roman"/>
          <w:color w:val="000000"/>
          <w:sz w:val="28"/>
          <w:szCs w:val="28"/>
          <w:lang w:val="uk-UA" w:eastAsia="ru-RU"/>
        </w:rPr>
        <w:t>і</w:t>
      </w:r>
      <w:r w:rsidR="00D57EC8">
        <w:rPr>
          <w:rFonts w:ascii="Times New Roman" w:eastAsia="Times New Roman" w:hAnsi="Times New Roman" w:cs="Times New Roman"/>
          <w:color w:val="000000"/>
          <w:sz w:val="28"/>
          <w:szCs w:val="28"/>
          <w:lang w:eastAsia="ru-RU"/>
        </w:rPr>
        <w:t xml:space="preserve">сля </w:t>
      </w:r>
      <w:r w:rsidR="00D57EC8">
        <w:rPr>
          <w:rFonts w:ascii="Times New Roman" w:eastAsia="Times New Roman" w:hAnsi="Times New Roman" w:cs="Times New Roman"/>
          <w:color w:val="000000"/>
          <w:sz w:val="28"/>
          <w:szCs w:val="28"/>
          <w:lang w:val="uk-UA" w:eastAsia="ru-RU"/>
        </w:rPr>
        <w:t xml:space="preserve">послідовного </w:t>
      </w:r>
      <w:r w:rsidR="00D57EC8">
        <w:rPr>
          <w:rFonts w:ascii="Times New Roman" w:eastAsia="Times New Roman" w:hAnsi="Times New Roman" w:cs="Times New Roman"/>
          <w:color w:val="000000"/>
          <w:sz w:val="28"/>
          <w:szCs w:val="28"/>
          <w:lang w:eastAsia="ru-RU"/>
        </w:rPr>
        <w:t>розведення</w:t>
      </w:r>
      <w:r w:rsidR="00D57EC8">
        <w:rPr>
          <w:rFonts w:ascii="Times New Roman" w:eastAsia="Times New Roman" w:hAnsi="Times New Roman" w:cs="Times New Roman"/>
          <w:color w:val="000000"/>
          <w:sz w:val="28"/>
          <w:szCs w:val="28"/>
          <w:lang w:val="uk-UA" w:eastAsia="ru-RU"/>
        </w:rPr>
        <w:t xml:space="preserve"> контрольного зразку </w:t>
      </w:r>
      <w:r w:rsidR="00D764D5">
        <w:rPr>
          <w:rFonts w:ascii="Times New Roman" w:eastAsia="Times New Roman" w:hAnsi="Times New Roman" w:cs="Times New Roman"/>
          <w:color w:val="000000"/>
          <w:sz w:val="28"/>
          <w:szCs w:val="28"/>
          <w:lang w:val="uk-UA" w:eastAsia="ru-RU"/>
        </w:rPr>
        <w:t xml:space="preserve">концентрація </w:t>
      </w:r>
      <w:r w:rsidR="00D764D5" w:rsidRPr="00D764D5">
        <w:rPr>
          <w:rFonts w:ascii="Times New Roman" w:eastAsia="Times New Roman" w:hAnsi="Times New Roman" w:cs="Times New Roman"/>
          <w:color w:val="000000"/>
          <w:sz w:val="28"/>
          <w:szCs w:val="28"/>
          <w:lang w:val="uk-UA" w:eastAsia="ru-RU"/>
        </w:rPr>
        <w:t>ФНП-α</w:t>
      </w:r>
      <w:r w:rsidR="00D764D5">
        <w:rPr>
          <w:rFonts w:ascii="Times New Roman" w:eastAsia="Times New Roman" w:hAnsi="Times New Roman" w:cs="Times New Roman"/>
          <w:color w:val="000000"/>
          <w:sz w:val="28"/>
          <w:szCs w:val="28"/>
          <w:lang w:val="uk-UA" w:eastAsia="ru-RU"/>
        </w:rPr>
        <w:t xml:space="preserve"> </w:t>
      </w:r>
      <w:r w:rsidR="000837C9">
        <w:rPr>
          <w:rFonts w:ascii="Times New Roman" w:eastAsia="Times New Roman" w:hAnsi="Times New Roman" w:cs="Times New Roman"/>
          <w:color w:val="000000"/>
          <w:sz w:val="28"/>
          <w:szCs w:val="28"/>
          <w:lang w:val="uk-UA" w:eastAsia="ru-RU"/>
        </w:rPr>
        <w:t>у пробах становила відповідно 250 пг</w:t>
      </w:r>
      <w:r w:rsidR="000837C9" w:rsidRPr="000837C9">
        <w:rPr>
          <w:rFonts w:ascii="Times New Roman" w:eastAsia="Times New Roman" w:hAnsi="Times New Roman" w:cs="Times New Roman"/>
          <w:color w:val="000000"/>
          <w:sz w:val="28"/>
          <w:szCs w:val="28"/>
          <w:lang w:eastAsia="ru-RU"/>
        </w:rPr>
        <w:t>/</w:t>
      </w:r>
      <w:r w:rsidR="000837C9">
        <w:rPr>
          <w:rFonts w:ascii="Times New Roman" w:eastAsia="Times New Roman" w:hAnsi="Times New Roman" w:cs="Times New Roman"/>
          <w:color w:val="000000"/>
          <w:sz w:val="28"/>
          <w:szCs w:val="28"/>
          <w:lang w:eastAsia="ru-RU"/>
        </w:rPr>
        <w:t>мл,</w:t>
      </w:r>
      <w:r w:rsidR="000837C9">
        <w:rPr>
          <w:rFonts w:ascii="Times New Roman" w:eastAsia="Times New Roman" w:hAnsi="Times New Roman" w:cs="Times New Roman"/>
          <w:color w:val="000000"/>
          <w:sz w:val="28"/>
          <w:szCs w:val="28"/>
          <w:lang w:val="uk-UA" w:eastAsia="ru-RU"/>
        </w:rPr>
        <w:t xml:space="preserve"> 125 пг/мл, 60 </w:t>
      </w:r>
      <w:r w:rsidR="000837C9" w:rsidRPr="000837C9">
        <w:rPr>
          <w:rFonts w:ascii="Times New Roman" w:eastAsia="Times New Roman" w:hAnsi="Times New Roman" w:cs="Times New Roman"/>
          <w:color w:val="000000"/>
          <w:sz w:val="28"/>
          <w:szCs w:val="28"/>
          <w:lang w:val="uk-UA" w:eastAsia="ru-RU"/>
        </w:rPr>
        <w:t>пг/мл</w:t>
      </w:r>
      <w:r w:rsidR="000837C9">
        <w:rPr>
          <w:rFonts w:ascii="Times New Roman" w:eastAsia="Times New Roman" w:hAnsi="Times New Roman" w:cs="Times New Roman"/>
          <w:color w:val="000000"/>
          <w:sz w:val="28"/>
          <w:szCs w:val="28"/>
          <w:lang w:val="uk-UA" w:eastAsia="ru-RU"/>
        </w:rPr>
        <w:t xml:space="preserve">, 30 </w:t>
      </w:r>
      <w:r w:rsidR="000837C9" w:rsidRPr="000837C9">
        <w:rPr>
          <w:rFonts w:ascii="Times New Roman" w:eastAsia="Times New Roman" w:hAnsi="Times New Roman" w:cs="Times New Roman"/>
          <w:color w:val="000000"/>
          <w:sz w:val="28"/>
          <w:szCs w:val="28"/>
          <w:lang w:val="uk-UA" w:eastAsia="ru-RU"/>
        </w:rPr>
        <w:t>пг/мл</w:t>
      </w:r>
      <w:r w:rsidR="000837C9">
        <w:rPr>
          <w:rFonts w:ascii="Times New Roman" w:eastAsia="Times New Roman" w:hAnsi="Times New Roman" w:cs="Times New Roman"/>
          <w:color w:val="000000"/>
          <w:sz w:val="28"/>
          <w:szCs w:val="28"/>
          <w:lang w:val="uk-UA" w:eastAsia="ru-RU"/>
        </w:rPr>
        <w:t xml:space="preserve">, 0 </w:t>
      </w:r>
      <w:r w:rsidR="000837C9" w:rsidRPr="000837C9">
        <w:rPr>
          <w:rFonts w:ascii="Times New Roman" w:eastAsia="Times New Roman" w:hAnsi="Times New Roman" w:cs="Times New Roman"/>
          <w:color w:val="000000"/>
          <w:sz w:val="28"/>
          <w:szCs w:val="28"/>
          <w:lang w:val="uk-UA" w:eastAsia="ru-RU"/>
        </w:rPr>
        <w:t>пг/мл</w:t>
      </w:r>
      <w:r w:rsidR="000837C9">
        <w:rPr>
          <w:rFonts w:ascii="Times New Roman" w:eastAsia="Times New Roman" w:hAnsi="Times New Roman" w:cs="Times New Roman"/>
          <w:color w:val="000000"/>
          <w:sz w:val="28"/>
          <w:szCs w:val="28"/>
          <w:lang w:val="uk-UA" w:eastAsia="ru-RU"/>
        </w:rPr>
        <w:t xml:space="preserve">. На фотометрі </w:t>
      </w:r>
      <w:r w:rsidR="000837C9">
        <w:rPr>
          <w:rFonts w:ascii="Times New Roman" w:eastAsia="Times New Roman" w:hAnsi="Times New Roman" w:cs="Times New Roman"/>
          <w:color w:val="000000"/>
          <w:sz w:val="28"/>
          <w:szCs w:val="28"/>
          <w:lang w:val="uk-UA" w:eastAsia="ru-RU"/>
        </w:rPr>
        <w:lastRenderedPageBreak/>
        <w:t>вертикального сканування виміряли оптичну щільність у лунках при довжині хвилі 492 нм.</w:t>
      </w:r>
    </w:p>
    <w:p w:rsidR="00CB63BF" w:rsidRPr="00CB63BF" w:rsidRDefault="007438B0" w:rsidP="00A20829">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Рівень експресії</w:t>
      </w:r>
      <w:r w:rsidR="00CB63BF">
        <w:rPr>
          <w:rFonts w:ascii="Times New Roman" w:eastAsia="Times New Roman" w:hAnsi="Times New Roman" w:cs="Times New Roman"/>
          <w:color w:val="000000"/>
          <w:sz w:val="28"/>
          <w:szCs w:val="28"/>
          <w:lang w:val="uk-UA" w:eastAsia="ru-RU"/>
        </w:rPr>
        <w:t xml:space="preserve"> </w:t>
      </w:r>
      <w:r w:rsidR="00CB63BF">
        <w:rPr>
          <w:rFonts w:ascii="Times New Roman" w:eastAsia="Times New Roman" w:hAnsi="Times New Roman" w:cs="Times New Roman"/>
          <w:color w:val="000000"/>
          <w:sz w:val="28"/>
          <w:szCs w:val="28"/>
          <w:lang w:val="en-US" w:eastAsia="ru-RU"/>
        </w:rPr>
        <w:t>sVCAM</w:t>
      </w:r>
      <w:r w:rsidR="00CB63BF" w:rsidRPr="00CB63BF">
        <w:rPr>
          <w:rFonts w:ascii="Times New Roman" w:eastAsia="Times New Roman" w:hAnsi="Times New Roman" w:cs="Times New Roman"/>
          <w:color w:val="000000"/>
          <w:sz w:val="28"/>
          <w:szCs w:val="28"/>
          <w:lang w:val="uk-UA" w:eastAsia="ru-RU"/>
        </w:rPr>
        <w:t>-1</w:t>
      </w:r>
      <w:r w:rsidR="00CB63BF">
        <w:rPr>
          <w:rFonts w:ascii="Times New Roman" w:eastAsia="Times New Roman" w:hAnsi="Times New Roman" w:cs="Times New Roman"/>
          <w:color w:val="000000"/>
          <w:sz w:val="28"/>
          <w:szCs w:val="28"/>
          <w:lang w:val="uk-UA" w:eastAsia="ru-RU"/>
        </w:rPr>
        <w:t xml:space="preserve"> </w:t>
      </w:r>
      <w:r w:rsidR="00CB63BF" w:rsidRPr="00CB63BF">
        <w:rPr>
          <w:rFonts w:ascii="Times New Roman" w:eastAsia="Times New Roman" w:hAnsi="Times New Roman" w:cs="Times New Roman"/>
          <w:color w:val="000000"/>
          <w:sz w:val="28"/>
          <w:szCs w:val="28"/>
          <w:lang w:val="uk-UA" w:eastAsia="ru-RU"/>
        </w:rPr>
        <w:t xml:space="preserve">визначали </w:t>
      </w:r>
      <w:r w:rsidR="00CB63BF">
        <w:rPr>
          <w:rFonts w:ascii="Times New Roman" w:eastAsia="Times New Roman" w:hAnsi="Times New Roman" w:cs="Times New Roman"/>
          <w:color w:val="000000"/>
          <w:sz w:val="28"/>
          <w:szCs w:val="28"/>
          <w:lang w:val="uk-UA" w:eastAsia="ru-RU"/>
        </w:rPr>
        <w:t>за допомогою імуноферментного методу</w:t>
      </w:r>
      <w:r w:rsidR="005D0993">
        <w:rPr>
          <w:rFonts w:ascii="Times New Roman" w:eastAsia="Times New Roman" w:hAnsi="Times New Roman" w:cs="Times New Roman"/>
          <w:color w:val="000000"/>
          <w:sz w:val="28"/>
          <w:szCs w:val="28"/>
          <w:lang w:val="uk-UA" w:eastAsia="ru-RU"/>
        </w:rPr>
        <w:t xml:space="preserve"> у сироватці крові</w:t>
      </w:r>
      <w:r w:rsidR="00CB63BF">
        <w:rPr>
          <w:rFonts w:ascii="Times New Roman" w:eastAsia="Times New Roman" w:hAnsi="Times New Roman" w:cs="Times New Roman"/>
          <w:color w:val="000000"/>
          <w:sz w:val="28"/>
          <w:szCs w:val="28"/>
          <w:lang w:val="uk-UA" w:eastAsia="ru-RU"/>
        </w:rPr>
        <w:t>, використовуючи набір «</w:t>
      </w:r>
      <w:r w:rsidR="00D00A30">
        <w:rPr>
          <w:rFonts w:ascii="Times New Roman" w:eastAsia="Times New Roman" w:hAnsi="Times New Roman" w:cs="Times New Roman"/>
          <w:color w:val="000000"/>
          <w:sz w:val="28"/>
          <w:szCs w:val="28"/>
          <w:lang w:val="en-US" w:eastAsia="ru-RU"/>
        </w:rPr>
        <w:t>s</w:t>
      </w:r>
      <w:r w:rsidR="00CB63BF">
        <w:rPr>
          <w:rFonts w:ascii="Times New Roman" w:eastAsia="Times New Roman" w:hAnsi="Times New Roman" w:cs="Times New Roman"/>
          <w:color w:val="000000"/>
          <w:sz w:val="28"/>
          <w:szCs w:val="28"/>
          <w:lang w:val="en-US" w:eastAsia="ru-RU"/>
        </w:rPr>
        <w:t>VCAM</w:t>
      </w:r>
      <w:r w:rsidR="00CB63BF" w:rsidRPr="00CB63BF">
        <w:rPr>
          <w:rFonts w:ascii="Times New Roman" w:eastAsia="Times New Roman" w:hAnsi="Times New Roman" w:cs="Times New Roman"/>
          <w:color w:val="000000"/>
          <w:sz w:val="28"/>
          <w:szCs w:val="28"/>
          <w:lang w:val="uk-UA" w:eastAsia="ru-RU"/>
        </w:rPr>
        <w:t>-1</w:t>
      </w:r>
      <w:r w:rsidR="00CB63BF">
        <w:rPr>
          <w:rFonts w:ascii="Times New Roman" w:eastAsia="Times New Roman" w:hAnsi="Times New Roman" w:cs="Times New Roman"/>
          <w:color w:val="000000"/>
          <w:sz w:val="28"/>
          <w:szCs w:val="28"/>
          <w:lang w:val="uk-UA" w:eastAsia="ru-RU"/>
        </w:rPr>
        <w:t xml:space="preserve"> </w:t>
      </w:r>
      <w:r w:rsidR="00CB63BF">
        <w:rPr>
          <w:rFonts w:ascii="Times New Roman" w:eastAsia="Times New Roman" w:hAnsi="Times New Roman" w:cs="Times New Roman"/>
          <w:color w:val="000000"/>
          <w:sz w:val="28"/>
          <w:szCs w:val="28"/>
          <w:lang w:val="en-US" w:eastAsia="ru-RU"/>
        </w:rPr>
        <w:t>E</w:t>
      </w:r>
      <w:r w:rsidR="00D00A30">
        <w:rPr>
          <w:rFonts w:ascii="Times New Roman" w:eastAsia="Times New Roman" w:hAnsi="Times New Roman" w:cs="Times New Roman"/>
          <w:color w:val="000000"/>
          <w:sz w:val="28"/>
          <w:szCs w:val="28"/>
          <w:lang w:val="en-US" w:eastAsia="ru-RU"/>
        </w:rPr>
        <w:t>lisa</w:t>
      </w:r>
      <w:r w:rsidR="00CB63BF" w:rsidRPr="00CB63BF">
        <w:rPr>
          <w:rFonts w:ascii="Times New Roman" w:eastAsia="Times New Roman" w:hAnsi="Times New Roman" w:cs="Times New Roman"/>
          <w:color w:val="000000"/>
          <w:sz w:val="28"/>
          <w:szCs w:val="28"/>
          <w:lang w:val="uk-UA" w:eastAsia="ru-RU"/>
        </w:rPr>
        <w:t xml:space="preserve"> </w:t>
      </w:r>
      <w:r w:rsidR="00D00A30">
        <w:rPr>
          <w:rFonts w:ascii="Times New Roman" w:eastAsia="Times New Roman" w:hAnsi="Times New Roman" w:cs="Times New Roman"/>
          <w:color w:val="000000"/>
          <w:sz w:val="28"/>
          <w:szCs w:val="28"/>
          <w:lang w:val="en-US" w:eastAsia="ru-RU"/>
        </w:rPr>
        <w:t>kit</w:t>
      </w:r>
      <w:r w:rsidR="00CB63BF" w:rsidRPr="00CB63BF">
        <w:rPr>
          <w:rFonts w:ascii="Times New Roman" w:eastAsia="Times New Roman" w:hAnsi="Times New Roman" w:cs="Times New Roman"/>
          <w:color w:val="000000"/>
          <w:sz w:val="28"/>
          <w:szCs w:val="28"/>
          <w:lang w:val="uk-UA" w:eastAsia="ru-RU"/>
        </w:rPr>
        <w:t>» (</w:t>
      </w:r>
      <w:r w:rsidR="00CB63BF">
        <w:rPr>
          <w:rFonts w:ascii="Times New Roman" w:eastAsia="Times New Roman" w:hAnsi="Times New Roman" w:cs="Times New Roman"/>
          <w:color w:val="000000"/>
          <w:sz w:val="28"/>
          <w:szCs w:val="28"/>
          <w:lang w:val="en-US" w:eastAsia="ru-RU"/>
        </w:rPr>
        <w:t>Diaclone</w:t>
      </w:r>
      <w:r w:rsidR="00CB63BF" w:rsidRPr="00CB63BF">
        <w:rPr>
          <w:rFonts w:ascii="Times New Roman" w:eastAsia="Times New Roman" w:hAnsi="Times New Roman" w:cs="Times New Roman"/>
          <w:color w:val="000000"/>
          <w:sz w:val="28"/>
          <w:szCs w:val="28"/>
          <w:lang w:val="uk-UA" w:eastAsia="ru-RU"/>
        </w:rPr>
        <w:t xml:space="preserve">, </w:t>
      </w:r>
      <w:r w:rsidR="00CB63BF">
        <w:rPr>
          <w:rFonts w:ascii="Times New Roman" w:eastAsia="Times New Roman" w:hAnsi="Times New Roman" w:cs="Times New Roman"/>
          <w:color w:val="000000"/>
          <w:sz w:val="28"/>
          <w:szCs w:val="28"/>
          <w:lang w:val="uk-UA" w:eastAsia="ru-RU"/>
        </w:rPr>
        <w:t>Франція)</w:t>
      </w:r>
      <w:r w:rsidR="00856415" w:rsidRPr="00856415">
        <w:rPr>
          <w:lang w:val="uk-UA"/>
        </w:rPr>
        <w:t xml:space="preserve"> </w:t>
      </w:r>
      <w:r w:rsidR="00622DE7">
        <w:rPr>
          <w:rFonts w:ascii="Times New Roman" w:hAnsi="Times New Roman" w:cs="Times New Roman"/>
          <w:sz w:val="28"/>
          <w:szCs w:val="28"/>
          <w:lang w:val="uk-UA"/>
        </w:rPr>
        <w:t>згідно інструкції фірми-виробника</w:t>
      </w:r>
      <w:r w:rsidR="00CB63BF">
        <w:rPr>
          <w:rFonts w:ascii="Times New Roman" w:eastAsia="Times New Roman" w:hAnsi="Times New Roman" w:cs="Times New Roman"/>
          <w:color w:val="000000"/>
          <w:sz w:val="28"/>
          <w:szCs w:val="28"/>
          <w:lang w:val="uk-UA" w:eastAsia="ru-RU"/>
        </w:rPr>
        <w:t>.</w:t>
      </w:r>
      <w:r w:rsidR="000837C9">
        <w:rPr>
          <w:rFonts w:ascii="Times New Roman" w:eastAsia="Times New Roman" w:hAnsi="Times New Roman" w:cs="Times New Roman"/>
          <w:color w:val="000000"/>
          <w:sz w:val="28"/>
          <w:szCs w:val="28"/>
          <w:lang w:val="uk-UA" w:eastAsia="ru-RU"/>
        </w:rPr>
        <w:t xml:space="preserve"> </w:t>
      </w:r>
      <w:r w:rsidR="00622DE7">
        <w:rPr>
          <w:rFonts w:ascii="Times New Roman" w:eastAsia="Times New Roman" w:hAnsi="Times New Roman" w:cs="Times New Roman"/>
          <w:color w:val="000000"/>
          <w:sz w:val="28"/>
          <w:szCs w:val="28"/>
          <w:lang w:val="uk-UA" w:eastAsia="ru-RU"/>
        </w:rPr>
        <w:t xml:space="preserve">Проведено </w:t>
      </w:r>
      <w:r w:rsidR="00AC6310">
        <w:rPr>
          <w:rFonts w:ascii="Times New Roman" w:eastAsia="Times New Roman" w:hAnsi="Times New Roman" w:cs="Times New Roman"/>
          <w:color w:val="000000"/>
          <w:sz w:val="28"/>
          <w:szCs w:val="28"/>
          <w:lang w:val="uk-UA" w:eastAsia="ru-RU"/>
        </w:rPr>
        <w:t>такий різновид імуноферментного аналізу як «сендвіч» метод.</w:t>
      </w:r>
      <w:r w:rsidR="000D1E8F">
        <w:rPr>
          <w:rFonts w:ascii="Times New Roman" w:eastAsia="Times New Roman" w:hAnsi="Times New Roman" w:cs="Times New Roman"/>
          <w:color w:val="000000"/>
          <w:sz w:val="28"/>
          <w:szCs w:val="28"/>
          <w:lang w:val="uk-UA" w:eastAsia="ru-RU"/>
        </w:rPr>
        <w:t xml:space="preserve"> </w:t>
      </w:r>
      <w:r w:rsidR="00FA25D7">
        <w:rPr>
          <w:rFonts w:ascii="Times New Roman" w:eastAsia="Times New Roman" w:hAnsi="Times New Roman" w:cs="Times New Roman"/>
          <w:color w:val="000000"/>
          <w:sz w:val="28"/>
          <w:szCs w:val="28"/>
          <w:lang w:val="uk-UA" w:eastAsia="ru-RU"/>
        </w:rPr>
        <w:t xml:space="preserve">У якості імуносорбента виступало моноклональне </w:t>
      </w:r>
      <w:r w:rsidR="009B69E4">
        <w:rPr>
          <w:rFonts w:ascii="Times New Roman" w:eastAsia="Times New Roman" w:hAnsi="Times New Roman" w:cs="Times New Roman"/>
          <w:color w:val="000000"/>
          <w:sz w:val="28"/>
          <w:szCs w:val="28"/>
          <w:lang w:val="uk-UA" w:eastAsia="ru-RU"/>
        </w:rPr>
        <w:t xml:space="preserve">біотинільоване </w:t>
      </w:r>
      <w:r w:rsidR="00FA25D7">
        <w:rPr>
          <w:rFonts w:ascii="Times New Roman" w:eastAsia="Times New Roman" w:hAnsi="Times New Roman" w:cs="Times New Roman"/>
          <w:color w:val="000000"/>
          <w:sz w:val="28"/>
          <w:szCs w:val="28"/>
          <w:lang w:val="uk-UA" w:eastAsia="ru-RU"/>
        </w:rPr>
        <w:t xml:space="preserve">антитіло, специфічне для </w:t>
      </w:r>
      <w:r w:rsidR="00FA25D7" w:rsidRPr="00FA25D7">
        <w:rPr>
          <w:rFonts w:ascii="Times New Roman" w:eastAsia="Times New Roman" w:hAnsi="Times New Roman" w:cs="Times New Roman"/>
          <w:color w:val="000000"/>
          <w:sz w:val="28"/>
          <w:szCs w:val="28"/>
          <w:lang w:val="uk-UA" w:eastAsia="ru-RU"/>
        </w:rPr>
        <w:t>sVCAM-1</w:t>
      </w:r>
      <w:r w:rsidR="00FA25D7">
        <w:rPr>
          <w:rFonts w:ascii="Times New Roman" w:eastAsia="Times New Roman" w:hAnsi="Times New Roman" w:cs="Times New Roman"/>
          <w:color w:val="000000"/>
          <w:sz w:val="28"/>
          <w:szCs w:val="28"/>
          <w:lang w:val="uk-UA" w:eastAsia="ru-RU"/>
        </w:rPr>
        <w:t>.</w:t>
      </w:r>
      <w:r w:rsidR="009B69E4">
        <w:rPr>
          <w:rFonts w:ascii="Times New Roman" w:eastAsia="Times New Roman" w:hAnsi="Times New Roman" w:cs="Times New Roman"/>
          <w:color w:val="000000"/>
          <w:sz w:val="28"/>
          <w:szCs w:val="28"/>
          <w:lang w:val="uk-UA" w:eastAsia="ru-RU"/>
        </w:rPr>
        <w:t xml:space="preserve"> Протягом першої інкубації відбувалося одночасне інкубування антигену </w:t>
      </w:r>
      <w:r w:rsidR="009B69E4" w:rsidRPr="009B69E4">
        <w:rPr>
          <w:rFonts w:ascii="Times New Roman" w:eastAsia="Times New Roman" w:hAnsi="Times New Roman" w:cs="Times New Roman"/>
          <w:color w:val="000000"/>
          <w:sz w:val="28"/>
          <w:szCs w:val="28"/>
          <w:lang w:val="uk-UA" w:eastAsia="ru-RU"/>
        </w:rPr>
        <w:t>sVCAM-1</w:t>
      </w:r>
      <w:r w:rsidR="009B69E4">
        <w:rPr>
          <w:rFonts w:ascii="Times New Roman" w:eastAsia="Times New Roman" w:hAnsi="Times New Roman" w:cs="Times New Roman"/>
          <w:color w:val="000000"/>
          <w:sz w:val="28"/>
          <w:szCs w:val="28"/>
          <w:lang w:val="uk-UA" w:eastAsia="ru-RU"/>
        </w:rPr>
        <w:t xml:space="preserve"> та специфічного для </w:t>
      </w:r>
      <w:r w:rsidR="009B69E4" w:rsidRPr="009B69E4">
        <w:rPr>
          <w:rFonts w:ascii="Times New Roman" w:eastAsia="Times New Roman" w:hAnsi="Times New Roman" w:cs="Times New Roman"/>
          <w:color w:val="000000"/>
          <w:sz w:val="28"/>
          <w:szCs w:val="28"/>
          <w:lang w:val="uk-UA" w:eastAsia="ru-RU"/>
        </w:rPr>
        <w:t>sVCAM-1</w:t>
      </w:r>
      <w:r w:rsidR="009B69E4">
        <w:rPr>
          <w:rFonts w:ascii="Times New Roman" w:eastAsia="Times New Roman" w:hAnsi="Times New Roman" w:cs="Times New Roman"/>
          <w:color w:val="000000"/>
          <w:sz w:val="28"/>
          <w:szCs w:val="28"/>
          <w:lang w:val="uk-UA" w:eastAsia="ru-RU"/>
        </w:rPr>
        <w:t xml:space="preserve"> моноклонального біотинільованого антитіла. Після промивання лунок </w:t>
      </w:r>
      <w:r w:rsidR="00CA718C">
        <w:rPr>
          <w:rFonts w:ascii="Times New Roman" w:eastAsia="Times New Roman" w:hAnsi="Times New Roman" w:cs="Times New Roman"/>
          <w:color w:val="000000"/>
          <w:sz w:val="28"/>
          <w:szCs w:val="28"/>
          <w:lang w:val="uk-UA" w:eastAsia="ru-RU"/>
        </w:rPr>
        <w:t xml:space="preserve">         </w:t>
      </w:r>
      <w:r w:rsidR="009B69E4">
        <w:rPr>
          <w:rFonts w:ascii="Times New Roman" w:eastAsia="Times New Roman" w:hAnsi="Times New Roman" w:cs="Times New Roman"/>
          <w:color w:val="000000"/>
          <w:sz w:val="28"/>
          <w:szCs w:val="28"/>
          <w:lang w:val="uk-UA" w:eastAsia="ru-RU"/>
        </w:rPr>
        <w:t xml:space="preserve">від компонентів, які не зв’язалися, </w:t>
      </w:r>
      <w:r w:rsidR="00A94B87">
        <w:rPr>
          <w:rFonts w:ascii="Times New Roman" w:eastAsia="Times New Roman" w:hAnsi="Times New Roman" w:cs="Times New Roman"/>
          <w:color w:val="000000"/>
          <w:sz w:val="28"/>
          <w:szCs w:val="28"/>
          <w:lang w:val="uk-UA" w:eastAsia="ru-RU"/>
        </w:rPr>
        <w:t>було додано фермент – стрептавідин-пероксидазу. Після другої інкубації та промивання лунок від залишків фементу, які не зв’язалися, було додано розчин субстрату для запуску реакції щодо зміни кольору.</w:t>
      </w:r>
      <w:r w:rsidR="000D1E8F">
        <w:rPr>
          <w:rFonts w:ascii="Times New Roman" w:eastAsia="Times New Roman" w:hAnsi="Times New Roman" w:cs="Times New Roman"/>
          <w:color w:val="000000"/>
          <w:sz w:val="28"/>
          <w:szCs w:val="28"/>
          <w:lang w:val="uk-UA" w:eastAsia="ru-RU"/>
        </w:rPr>
        <w:t xml:space="preserve"> Чим інтенсивніше відбувалася зміна кольору, тим більшою була концентрація </w:t>
      </w:r>
      <w:r w:rsidR="000D1E8F" w:rsidRPr="000D1E8F">
        <w:rPr>
          <w:rFonts w:ascii="Times New Roman" w:eastAsia="Times New Roman" w:hAnsi="Times New Roman" w:cs="Times New Roman"/>
          <w:color w:val="000000"/>
          <w:sz w:val="28"/>
          <w:szCs w:val="28"/>
          <w:lang w:val="uk-UA" w:eastAsia="ru-RU"/>
        </w:rPr>
        <w:t>sVCAM-1</w:t>
      </w:r>
      <w:r w:rsidR="000D1E8F">
        <w:rPr>
          <w:rFonts w:ascii="Times New Roman" w:eastAsia="Times New Roman" w:hAnsi="Times New Roman" w:cs="Times New Roman"/>
          <w:color w:val="000000"/>
          <w:sz w:val="28"/>
          <w:szCs w:val="28"/>
          <w:lang w:val="uk-UA" w:eastAsia="ru-RU"/>
        </w:rPr>
        <w:t>.</w:t>
      </w:r>
      <w:r w:rsidR="00622DE7">
        <w:rPr>
          <w:rFonts w:ascii="Times New Roman" w:eastAsia="Times New Roman" w:hAnsi="Times New Roman" w:cs="Times New Roman"/>
          <w:color w:val="000000"/>
          <w:sz w:val="28"/>
          <w:szCs w:val="28"/>
          <w:lang w:val="uk-UA" w:eastAsia="ru-RU"/>
        </w:rPr>
        <w:t xml:space="preserve"> Показник було визначено кількісно </w:t>
      </w:r>
      <w:r w:rsidR="00CA718C">
        <w:rPr>
          <w:rFonts w:ascii="Times New Roman" w:eastAsia="Times New Roman" w:hAnsi="Times New Roman" w:cs="Times New Roman"/>
          <w:color w:val="000000"/>
          <w:sz w:val="28"/>
          <w:szCs w:val="28"/>
          <w:lang w:val="uk-UA" w:eastAsia="ru-RU"/>
        </w:rPr>
        <w:t xml:space="preserve">     </w:t>
      </w:r>
      <w:r w:rsidR="00622DE7">
        <w:rPr>
          <w:rFonts w:ascii="Times New Roman" w:eastAsia="Times New Roman" w:hAnsi="Times New Roman" w:cs="Times New Roman"/>
          <w:color w:val="000000"/>
          <w:sz w:val="28"/>
          <w:szCs w:val="28"/>
          <w:lang w:val="uk-UA" w:eastAsia="ru-RU"/>
        </w:rPr>
        <w:t>у нг/мл після побудови стандартної кривої.</w:t>
      </w:r>
    </w:p>
    <w:p w:rsidR="00D278ED" w:rsidRPr="00490584" w:rsidRDefault="00D26F30" w:rsidP="00A20829">
      <w:pPr>
        <w:spacing w:after="0" w:line="360" w:lineRule="auto"/>
        <w:ind w:firstLine="708"/>
        <w:jc w:val="both"/>
        <w:rPr>
          <w:rFonts w:ascii="Times New Roman" w:eastAsia="Times New Roman" w:hAnsi="Times New Roman" w:cs="Times New Roman"/>
          <w:b/>
          <w:color w:val="000000"/>
          <w:sz w:val="28"/>
          <w:szCs w:val="28"/>
          <w:lang w:val="uk-UA" w:eastAsia="ru-RU"/>
        </w:rPr>
      </w:pPr>
      <w:r w:rsidRPr="00490584">
        <w:rPr>
          <w:rFonts w:ascii="Times New Roman" w:eastAsia="Times New Roman" w:hAnsi="Times New Roman" w:cs="Times New Roman"/>
          <w:b/>
          <w:color w:val="000000"/>
          <w:sz w:val="28"/>
          <w:szCs w:val="28"/>
          <w:lang w:val="uk-UA" w:eastAsia="ru-RU"/>
        </w:rPr>
        <w:t>Інструментальні методи</w:t>
      </w:r>
      <w:r w:rsidR="000C4558" w:rsidRPr="00490584">
        <w:rPr>
          <w:rFonts w:ascii="Times New Roman" w:eastAsia="Times New Roman" w:hAnsi="Times New Roman" w:cs="Times New Roman"/>
          <w:b/>
          <w:color w:val="000000"/>
          <w:sz w:val="28"/>
          <w:szCs w:val="28"/>
          <w:lang w:val="uk-UA" w:eastAsia="ru-RU"/>
        </w:rPr>
        <w:t xml:space="preserve"> </w:t>
      </w:r>
    </w:p>
    <w:p w:rsidR="00A20829" w:rsidRPr="00892E75" w:rsidRDefault="00A20829" w:rsidP="00D941B7">
      <w:pPr>
        <w:spacing w:after="0" w:line="360" w:lineRule="auto"/>
        <w:ind w:firstLine="708"/>
        <w:jc w:val="both"/>
        <w:rPr>
          <w:rFonts w:ascii="Times New Roman" w:eastAsia="Times New Roman" w:hAnsi="Times New Roman" w:cs="Times New Roman"/>
          <w:color w:val="000000"/>
          <w:sz w:val="28"/>
          <w:szCs w:val="28"/>
          <w:lang w:val="uk-UA" w:eastAsia="ru-RU"/>
        </w:rPr>
      </w:pPr>
      <w:r w:rsidRPr="00892E75">
        <w:rPr>
          <w:rFonts w:ascii="Times New Roman" w:eastAsia="Times New Roman" w:hAnsi="Times New Roman" w:cs="Times New Roman"/>
          <w:color w:val="000000"/>
          <w:sz w:val="28"/>
          <w:szCs w:val="28"/>
          <w:lang w:val="uk-UA" w:eastAsia="ru-RU"/>
        </w:rPr>
        <w:t>Па</w:t>
      </w:r>
      <w:r w:rsidR="00D26F30">
        <w:rPr>
          <w:rFonts w:ascii="Times New Roman" w:eastAsia="Times New Roman" w:hAnsi="Times New Roman" w:cs="Times New Roman"/>
          <w:color w:val="000000"/>
          <w:sz w:val="28"/>
          <w:szCs w:val="28"/>
          <w:lang w:val="uk-UA" w:eastAsia="ru-RU"/>
        </w:rPr>
        <w:t>цієнтам виміряли</w:t>
      </w:r>
      <w:r w:rsidR="008E0638" w:rsidRPr="00892E75">
        <w:rPr>
          <w:rFonts w:ascii="Times New Roman" w:eastAsia="Times New Roman" w:hAnsi="Times New Roman" w:cs="Times New Roman"/>
          <w:color w:val="000000"/>
          <w:sz w:val="28"/>
          <w:szCs w:val="28"/>
          <w:lang w:val="uk-UA" w:eastAsia="ru-RU"/>
        </w:rPr>
        <w:t xml:space="preserve"> АТ через </w:t>
      </w:r>
      <w:r w:rsidR="008E0638" w:rsidRPr="00A650E1">
        <w:rPr>
          <w:rFonts w:ascii="Times New Roman" w:eastAsia="Times New Roman" w:hAnsi="Times New Roman" w:cs="Times New Roman"/>
          <w:color w:val="000000"/>
          <w:sz w:val="28"/>
          <w:szCs w:val="28"/>
          <w:lang w:val="uk-UA" w:eastAsia="ru-RU"/>
        </w:rPr>
        <w:t>2</w:t>
      </w:r>
      <w:r w:rsidR="00D26F30">
        <w:rPr>
          <w:rFonts w:ascii="Times New Roman" w:eastAsia="Times New Roman" w:hAnsi="Times New Roman" w:cs="Times New Roman"/>
          <w:color w:val="000000"/>
          <w:sz w:val="28"/>
          <w:szCs w:val="28"/>
          <w:lang w:val="uk-UA" w:eastAsia="ru-RU"/>
        </w:rPr>
        <w:t>0 хв після відпочинку в</w:t>
      </w:r>
      <w:r w:rsidR="00C45764">
        <w:rPr>
          <w:rFonts w:ascii="Times New Roman" w:eastAsia="Times New Roman" w:hAnsi="Times New Roman" w:cs="Times New Roman"/>
          <w:color w:val="000000"/>
          <w:sz w:val="28"/>
          <w:szCs w:val="28"/>
          <w:lang w:val="uk-UA" w:eastAsia="ru-RU"/>
        </w:rPr>
        <w:t xml:space="preserve"> положенні сидячи</w:t>
      </w:r>
      <w:r w:rsidRPr="00892E75">
        <w:rPr>
          <w:rFonts w:ascii="Times New Roman" w:eastAsia="Times New Roman" w:hAnsi="Times New Roman" w:cs="Times New Roman"/>
          <w:color w:val="000000"/>
          <w:sz w:val="28"/>
          <w:szCs w:val="28"/>
          <w:lang w:val="uk-UA" w:eastAsia="ru-RU"/>
        </w:rPr>
        <w:t xml:space="preserve"> </w:t>
      </w:r>
      <w:r w:rsidR="00C004C3" w:rsidRPr="00892E75">
        <w:rPr>
          <w:rFonts w:ascii="Times New Roman" w:eastAsia="Times New Roman" w:hAnsi="Times New Roman" w:cs="Times New Roman"/>
          <w:color w:val="000000"/>
          <w:sz w:val="28"/>
          <w:szCs w:val="28"/>
          <w:lang w:val="uk-UA" w:eastAsia="ru-RU"/>
        </w:rPr>
        <w:t>у</w:t>
      </w:r>
      <w:r w:rsidR="00C45764">
        <w:rPr>
          <w:rFonts w:ascii="Times New Roman" w:eastAsia="Times New Roman" w:hAnsi="Times New Roman" w:cs="Times New Roman"/>
          <w:color w:val="000000"/>
          <w:sz w:val="28"/>
          <w:szCs w:val="28"/>
          <w:lang w:val="uk-UA" w:eastAsia="ru-RU"/>
        </w:rPr>
        <w:t xml:space="preserve"> спокійному стані манжетою відповідного розміру на передпліччі</w:t>
      </w:r>
      <w:r w:rsidRPr="00892E75">
        <w:rPr>
          <w:rFonts w:ascii="Times New Roman" w:eastAsia="Times New Roman" w:hAnsi="Times New Roman" w:cs="Times New Roman"/>
          <w:color w:val="000000"/>
          <w:sz w:val="28"/>
          <w:szCs w:val="28"/>
          <w:lang w:val="uk-UA" w:eastAsia="ru-RU"/>
        </w:rPr>
        <w:t xml:space="preserve"> на рівні серця за допомог</w:t>
      </w:r>
      <w:r w:rsidR="00C45764">
        <w:rPr>
          <w:rFonts w:ascii="Times New Roman" w:eastAsia="Times New Roman" w:hAnsi="Times New Roman" w:cs="Times New Roman"/>
          <w:color w:val="000000"/>
          <w:sz w:val="28"/>
          <w:szCs w:val="28"/>
          <w:lang w:val="uk-UA" w:eastAsia="ru-RU"/>
        </w:rPr>
        <w:t>ою автоматичного тонометра</w:t>
      </w:r>
      <w:r w:rsidR="00CA718C">
        <w:rPr>
          <w:rFonts w:ascii="Times New Roman" w:eastAsia="Times New Roman" w:hAnsi="Times New Roman" w:cs="Times New Roman"/>
          <w:color w:val="000000"/>
          <w:sz w:val="28"/>
          <w:szCs w:val="28"/>
          <w:lang w:val="uk-UA" w:eastAsia="ru-RU"/>
        </w:rPr>
        <w:t>. Артеріальний тиск</w:t>
      </w:r>
      <w:r w:rsidRPr="00892E75">
        <w:rPr>
          <w:rFonts w:ascii="Times New Roman" w:eastAsia="Times New Roman" w:hAnsi="Times New Roman" w:cs="Times New Roman"/>
          <w:color w:val="000000"/>
          <w:sz w:val="28"/>
          <w:szCs w:val="28"/>
          <w:lang w:val="uk-UA" w:eastAsia="ru-RU"/>
        </w:rPr>
        <w:t xml:space="preserve"> було зафіксовано</w:t>
      </w:r>
      <w:r w:rsidR="008E0638" w:rsidRPr="00892E75">
        <w:rPr>
          <w:rFonts w:ascii="Times New Roman" w:eastAsia="Times New Roman" w:hAnsi="Times New Roman" w:cs="Times New Roman"/>
          <w:color w:val="000000"/>
          <w:sz w:val="28"/>
          <w:szCs w:val="28"/>
          <w:lang w:val="uk-UA" w:eastAsia="ru-RU"/>
        </w:rPr>
        <w:t xml:space="preserve"> </w:t>
      </w:r>
      <w:r w:rsidR="00C004C3" w:rsidRPr="00892E75">
        <w:rPr>
          <w:rFonts w:ascii="Times New Roman" w:eastAsia="Times New Roman" w:hAnsi="Times New Roman" w:cs="Times New Roman"/>
          <w:color w:val="000000"/>
          <w:sz w:val="28"/>
          <w:szCs w:val="28"/>
          <w:lang w:val="uk-UA" w:eastAsia="ru-RU"/>
        </w:rPr>
        <w:t xml:space="preserve"> окремо на обох руках та обрано середній показник.</w:t>
      </w:r>
      <w:r w:rsidR="00C45764">
        <w:rPr>
          <w:rFonts w:ascii="Times New Roman" w:eastAsia="Times New Roman" w:hAnsi="Times New Roman" w:cs="Times New Roman"/>
          <w:color w:val="000000"/>
          <w:sz w:val="28"/>
          <w:szCs w:val="28"/>
          <w:lang w:eastAsia="ru-RU"/>
        </w:rPr>
        <w:t xml:space="preserve"> У </w:t>
      </w:r>
      <w:r w:rsidR="00C45764">
        <w:rPr>
          <w:rFonts w:ascii="Times New Roman" w:eastAsia="Times New Roman" w:hAnsi="Times New Roman" w:cs="Times New Roman"/>
          <w:color w:val="000000"/>
          <w:sz w:val="28"/>
          <w:szCs w:val="28"/>
          <w:lang w:val="uk-UA" w:eastAsia="ru-RU"/>
        </w:rPr>
        <w:t>разі</w:t>
      </w:r>
      <w:r w:rsidR="00C45764">
        <w:rPr>
          <w:rFonts w:ascii="Times New Roman" w:eastAsia="Times New Roman" w:hAnsi="Times New Roman" w:cs="Times New Roman"/>
          <w:color w:val="000000"/>
          <w:sz w:val="28"/>
          <w:szCs w:val="28"/>
          <w:lang w:eastAsia="ru-RU"/>
        </w:rPr>
        <w:t xml:space="preserve">, </w:t>
      </w:r>
      <w:r w:rsidR="00C45764">
        <w:rPr>
          <w:rFonts w:ascii="Times New Roman" w:eastAsia="Times New Roman" w:hAnsi="Times New Roman" w:cs="Times New Roman"/>
          <w:color w:val="000000"/>
          <w:sz w:val="28"/>
          <w:szCs w:val="28"/>
          <w:lang w:val="uk-UA" w:eastAsia="ru-RU"/>
        </w:rPr>
        <w:t>якщо</w:t>
      </w:r>
      <w:r w:rsidRPr="00892E75">
        <w:rPr>
          <w:rFonts w:ascii="Times New Roman" w:eastAsia="Times New Roman" w:hAnsi="Times New Roman" w:cs="Times New Roman"/>
          <w:color w:val="000000"/>
          <w:sz w:val="28"/>
          <w:szCs w:val="28"/>
          <w:lang w:eastAsia="ru-RU"/>
        </w:rPr>
        <w:t xml:space="preserve"> </w:t>
      </w:r>
      <w:r w:rsidR="00C45764">
        <w:rPr>
          <w:rFonts w:ascii="Times New Roman" w:eastAsia="Times New Roman" w:hAnsi="Times New Roman" w:cs="Times New Roman"/>
          <w:color w:val="000000"/>
          <w:sz w:val="28"/>
          <w:szCs w:val="28"/>
          <w:lang w:val="uk-UA" w:eastAsia="ru-RU"/>
        </w:rPr>
        <w:t>середні значення АТ на правій і лівій руках</w:t>
      </w:r>
      <w:r w:rsidR="00C004C3" w:rsidRPr="00892E75">
        <w:rPr>
          <w:rFonts w:ascii="Times New Roman" w:eastAsia="Times New Roman" w:hAnsi="Times New Roman" w:cs="Times New Roman"/>
          <w:color w:val="000000"/>
          <w:sz w:val="28"/>
          <w:szCs w:val="28"/>
          <w:lang w:eastAsia="ru-RU"/>
        </w:rPr>
        <w:t xml:space="preserve"> </w:t>
      </w:r>
      <w:r w:rsidR="00C45764">
        <w:rPr>
          <w:rFonts w:ascii="Times New Roman" w:eastAsia="Times New Roman" w:hAnsi="Times New Roman" w:cs="Times New Roman"/>
          <w:color w:val="000000"/>
          <w:sz w:val="28"/>
          <w:szCs w:val="28"/>
          <w:lang w:val="uk-UA" w:eastAsia="ru-RU"/>
        </w:rPr>
        <w:t>відрізнялися, ми вибирали</w:t>
      </w:r>
      <w:r w:rsidR="00C004C3" w:rsidRPr="00892E75">
        <w:rPr>
          <w:rFonts w:ascii="Times New Roman" w:eastAsia="Times New Roman" w:hAnsi="Times New Roman" w:cs="Times New Roman"/>
          <w:color w:val="000000"/>
          <w:sz w:val="28"/>
          <w:szCs w:val="28"/>
          <w:lang w:val="uk-UA" w:eastAsia="ru-RU"/>
        </w:rPr>
        <w:t xml:space="preserve"> більший показник.</w:t>
      </w:r>
    </w:p>
    <w:p w:rsidR="00C004C3" w:rsidRPr="00AD3E42" w:rsidRDefault="00C004C3" w:rsidP="00C004C3">
      <w:pPr>
        <w:spacing w:after="0" w:line="360" w:lineRule="auto"/>
        <w:jc w:val="both"/>
        <w:rPr>
          <w:rFonts w:ascii="Times New Roman" w:eastAsia="Times New Roman" w:hAnsi="Times New Roman" w:cs="Times New Roman"/>
          <w:color w:val="000000"/>
          <w:sz w:val="28"/>
          <w:szCs w:val="28"/>
          <w:lang w:val="uk-UA" w:eastAsia="ru-RU"/>
        </w:rPr>
      </w:pPr>
      <w:r w:rsidRPr="00892E75">
        <w:rPr>
          <w:rFonts w:ascii="Times New Roman" w:eastAsia="Times New Roman" w:hAnsi="Times New Roman" w:cs="Times New Roman"/>
          <w:color w:val="000000"/>
          <w:sz w:val="28"/>
          <w:szCs w:val="28"/>
          <w:lang w:val="uk-UA" w:eastAsia="ru-RU"/>
        </w:rPr>
        <w:tab/>
        <w:t>Реєстрацію пульсу було проведено за д</w:t>
      </w:r>
      <w:r w:rsidR="00C45764">
        <w:rPr>
          <w:rFonts w:ascii="Times New Roman" w:eastAsia="Times New Roman" w:hAnsi="Times New Roman" w:cs="Times New Roman"/>
          <w:color w:val="000000"/>
          <w:sz w:val="28"/>
          <w:szCs w:val="28"/>
          <w:lang w:val="uk-UA" w:eastAsia="ru-RU"/>
        </w:rPr>
        <w:t>опомогою автоматичного тонометра</w:t>
      </w:r>
      <w:r w:rsidR="0083052D">
        <w:rPr>
          <w:rFonts w:ascii="Times New Roman" w:eastAsia="Times New Roman" w:hAnsi="Times New Roman" w:cs="Times New Roman"/>
          <w:color w:val="000000"/>
          <w:sz w:val="28"/>
          <w:szCs w:val="28"/>
          <w:lang w:val="uk-UA" w:eastAsia="ru-RU"/>
        </w:rPr>
        <w:t>,</w:t>
      </w:r>
      <w:r w:rsidRPr="00892E75">
        <w:rPr>
          <w:rFonts w:ascii="Times New Roman" w:eastAsia="Times New Roman" w:hAnsi="Times New Roman" w:cs="Times New Roman"/>
          <w:color w:val="000000"/>
          <w:sz w:val="28"/>
          <w:szCs w:val="28"/>
          <w:lang w:val="uk-UA" w:eastAsia="ru-RU"/>
        </w:rPr>
        <w:t xml:space="preserve"> </w:t>
      </w:r>
      <w:r w:rsidR="00F76C32">
        <w:rPr>
          <w:rFonts w:ascii="Times New Roman" w:eastAsia="Times New Roman" w:hAnsi="Times New Roman" w:cs="Times New Roman"/>
          <w:color w:val="000000"/>
          <w:sz w:val="28"/>
          <w:szCs w:val="28"/>
          <w:lang w:val="uk-UA" w:eastAsia="ru-RU"/>
        </w:rPr>
        <w:t>частоти серцевих скорочень</w:t>
      </w:r>
      <w:r w:rsidRPr="00892E75">
        <w:rPr>
          <w:rFonts w:ascii="Times New Roman" w:eastAsia="Times New Roman" w:hAnsi="Times New Roman" w:cs="Times New Roman"/>
          <w:color w:val="000000"/>
          <w:sz w:val="28"/>
          <w:szCs w:val="28"/>
          <w:lang w:val="uk-UA" w:eastAsia="ru-RU"/>
        </w:rPr>
        <w:t xml:space="preserve"> </w:t>
      </w:r>
      <w:r w:rsidR="0083052D">
        <w:rPr>
          <w:rFonts w:ascii="Times New Roman" w:eastAsia="Times New Roman" w:hAnsi="Times New Roman" w:cs="Times New Roman"/>
          <w:color w:val="000000"/>
          <w:sz w:val="28"/>
          <w:szCs w:val="28"/>
          <w:lang w:val="uk-UA" w:eastAsia="ru-RU"/>
        </w:rPr>
        <w:t>−</w:t>
      </w:r>
      <w:r w:rsidR="00E07E14" w:rsidRPr="00892E75">
        <w:rPr>
          <w:rFonts w:ascii="Times New Roman" w:eastAsia="Times New Roman" w:hAnsi="Times New Roman" w:cs="Times New Roman"/>
          <w:color w:val="000000"/>
          <w:sz w:val="28"/>
          <w:szCs w:val="28"/>
          <w:lang w:val="uk-UA" w:eastAsia="ru-RU"/>
        </w:rPr>
        <w:t xml:space="preserve"> під час о</w:t>
      </w:r>
      <w:r w:rsidR="00CA718C">
        <w:rPr>
          <w:rFonts w:ascii="Times New Roman" w:eastAsia="Times New Roman" w:hAnsi="Times New Roman" w:cs="Times New Roman"/>
          <w:color w:val="000000"/>
          <w:sz w:val="28"/>
          <w:szCs w:val="28"/>
          <w:lang w:val="uk-UA" w:eastAsia="ru-RU"/>
        </w:rPr>
        <w:t>б’єктивного обстеження із використанням</w:t>
      </w:r>
      <w:r w:rsidR="00C45764">
        <w:rPr>
          <w:rFonts w:ascii="Times New Roman" w:eastAsia="Times New Roman" w:hAnsi="Times New Roman" w:cs="Times New Roman"/>
          <w:color w:val="000000"/>
          <w:sz w:val="28"/>
          <w:szCs w:val="28"/>
          <w:lang w:val="uk-UA" w:eastAsia="ru-RU"/>
        </w:rPr>
        <w:t xml:space="preserve"> фонендоскопа</w:t>
      </w:r>
      <w:r w:rsidR="007B1A7E">
        <w:rPr>
          <w:rFonts w:ascii="Times New Roman" w:eastAsia="Times New Roman" w:hAnsi="Times New Roman" w:cs="Times New Roman"/>
          <w:color w:val="000000"/>
          <w:sz w:val="28"/>
          <w:szCs w:val="28"/>
          <w:lang w:val="uk-UA" w:eastAsia="ru-RU"/>
        </w:rPr>
        <w:t xml:space="preserve"> фірми M</w:t>
      </w:r>
      <w:r w:rsidR="007B1A7E">
        <w:rPr>
          <w:rFonts w:ascii="Times New Roman" w:eastAsia="Times New Roman" w:hAnsi="Times New Roman" w:cs="Times New Roman"/>
          <w:color w:val="000000"/>
          <w:sz w:val="28"/>
          <w:szCs w:val="28"/>
          <w:lang w:val="en-US" w:eastAsia="ru-RU"/>
        </w:rPr>
        <w:t>icrolife</w:t>
      </w:r>
      <w:r w:rsidR="00E07E14" w:rsidRPr="00892E75">
        <w:rPr>
          <w:rFonts w:ascii="Times New Roman" w:eastAsia="Times New Roman" w:hAnsi="Times New Roman" w:cs="Times New Roman"/>
          <w:color w:val="000000"/>
          <w:sz w:val="28"/>
          <w:szCs w:val="28"/>
          <w:lang w:val="uk-UA" w:eastAsia="ru-RU"/>
        </w:rPr>
        <w:t xml:space="preserve"> та ЕКГ-дослідження</w:t>
      </w:r>
      <w:r w:rsidR="00AD3E42" w:rsidRPr="00AD3E42">
        <w:rPr>
          <w:rFonts w:ascii="Times New Roman" w:eastAsia="Times New Roman" w:hAnsi="Times New Roman" w:cs="Times New Roman"/>
          <w:color w:val="000000"/>
          <w:sz w:val="28"/>
          <w:szCs w:val="28"/>
          <w:lang w:val="uk-UA" w:eastAsia="ru-RU"/>
        </w:rPr>
        <w:t>.</w:t>
      </w:r>
    </w:p>
    <w:p w:rsidR="000C4558" w:rsidRPr="00A03291" w:rsidRDefault="00F408C6" w:rsidP="000C4558">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Е</w:t>
      </w:r>
      <w:r w:rsidR="000C4558" w:rsidRPr="008707FF">
        <w:rPr>
          <w:rFonts w:ascii="Times New Roman" w:eastAsia="Times New Roman" w:hAnsi="Times New Roman" w:cs="Times New Roman"/>
          <w:color w:val="000000"/>
          <w:sz w:val="28"/>
          <w:szCs w:val="28"/>
          <w:lang w:val="uk-UA" w:eastAsia="ru-RU"/>
        </w:rPr>
        <w:t>хокардіогр</w:t>
      </w:r>
      <w:r w:rsidR="000C4558">
        <w:rPr>
          <w:rFonts w:ascii="Times New Roman" w:eastAsia="Times New Roman" w:hAnsi="Times New Roman" w:cs="Times New Roman"/>
          <w:color w:val="000000"/>
          <w:sz w:val="28"/>
          <w:szCs w:val="28"/>
          <w:lang w:val="uk-UA" w:eastAsia="ru-RU"/>
        </w:rPr>
        <w:t>афію в М- і В-режимах на</w:t>
      </w:r>
      <w:r w:rsidR="000C4558" w:rsidRPr="008707FF">
        <w:rPr>
          <w:rFonts w:ascii="Times New Roman" w:eastAsia="Times New Roman" w:hAnsi="Times New Roman" w:cs="Times New Roman"/>
          <w:color w:val="000000"/>
          <w:sz w:val="28"/>
          <w:szCs w:val="28"/>
          <w:lang w:val="uk-UA" w:eastAsia="ru-RU"/>
        </w:rPr>
        <w:t xml:space="preserve"> </w:t>
      </w:r>
      <w:r w:rsidR="000C4558">
        <w:rPr>
          <w:rFonts w:ascii="Times New Roman" w:hAnsi="Times New Roman" w:cs="Times New Roman"/>
          <w:sz w:val="28"/>
          <w:szCs w:val="28"/>
          <w:lang w:val="uk-UA"/>
        </w:rPr>
        <w:t>апаратах</w:t>
      </w:r>
      <w:r w:rsidR="000C4558" w:rsidRPr="004465A9">
        <w:rPr>
          <w:rFonts w:ascii="Times New Roman" w:hAnsi="Times New Roman" w:cs="Times New Roman"/>
          <w:sz w:val="28"/>
          <w:szCs w:val="28"/>
          <w:lang w:val="uk-UA"/>
        </w:rPr>
        <w:t xml:space="preserve"> «</w:t>
      </w:r>
      <w:r w:rsidR="000C4558">
        <w:rPr>
          <w:rFonts w:ascii="Times New Roman" w:hAnsi="Times New Roman" w:cs="Times New Roman"/>
          <w:sz w:val="28"/>
          <w:szCs w:val="28"/>
          <w:lang w:val="en-US"/>
        </w:rPr>
        <w:t>Alpinion</w:t>
      </w:r>
      <w:r w:rsidR="000C4558">
        <w:rPr>
          <w:rFonts w:ascii="Times New Roman" w:hAnsi="Times New Roman" w:cs="Times New Roman"/>
          <w:sz w:val="28"/>
          <w:szCs w:val="28"/>
          <w:lang w:val="uk-UA"/>
        </w:rPr>
        <w:t>» і «</w:t>
      </w:r>
      <w:r w:rsidR="000C4558">
        <w:rPr>
          <w:rFonts w:ascii="Times New Roman" w:hAnsi="Times New Roman" w:cs="Times New Roman"/>
          <w:sz w:val="28"/>
          <w:szCs w:val="28"/>
          <w:lang w:val="en-US"/>
        </w:rPr>
        <w:t>Kontron</w:t>
      </w:r>
      <w:r w:rsidR="000C4558">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проведено двічі з інтервалом 6 місяців</w:t>
      </w:r>
      <w:r>
        <w:rPr>
          <w:rFonts w:ascii="Times New Roman" w:eastAsia="Times New Roman" w:hAnsi="Times New Roman" w:cs="Times New Roman"/>
          <w:color w:val="000000"/>
          <w:sz w:val="28"/>
          <w:szCs w:val="28"/>
          <w:lang w:val="uk-UA" w:eastAsia="ru-RU"/>
        </w:rPr>
        <w:t xml:space="preserve"> з метою оцінки динаміки лікування</w:t>
      </w:r>
      <w:r w:rsidR="000C4558" w:rsidRPr="008707FF">
        <w:rPr>
          <w:rFonts w:ascii="Times New Roman" w:eastAsia="Times New Roman" w:hAnsi="Times New Roman" w:cs="Times New Roman"/>
          <w:color w:val="000000"/>
          <w:sz w:val="28"/>
          <w:szCs w:val="28"/>
          <w:lang w:val="uk-UA" w:eastAsia="ru-RU"/>
        </w:rPr>
        <w:t>.</w:t>
      </w:r>
      <w:r w:rsidR="000C4558" w:rsidRPr="008707FF">
        <w:rPr>
          <w:rFonts w:ascii="Times New Roman" w:hAnsi="Times New Roman" w:cs="Times New Roman"/>
          <w:sz w:val="28"/>
          <w:szCs w:val="28"/>
          <w:lang w:val="uk-UA"/>
        </w:rPr>
        <w:t xml:space="preserve"> </w:t>
      </w:r>
      <w:r w:rsidR="000C4558" w:rsidRPr="008707FF">
        <w:rPr>
          <w:rFonts w:ascii="Times New Roman" w:eastAsia="Times New Roman" w:hAnsi="Times New Roman" w:cs="Times New Roman"/>
          <w:color w:val="000000"/>
          <w:sz w:val="28"/>
          <w:szCs w:val="28"/>
          <w:lang w:val="uk-UA" w:eastAsia="ru-RU"/>
        </w:rPr>
        <w:t xml:space="preserve">Систолічну </w:t>
      </w:r>
      <w:r w:rsidR="000C4558" w:rsidRPr="00202B2D">
        <w:rPr>
          <w:rFonts w:ascii="Times New Roman" w:eastAsia="Times New Roman" w:hAnsi="Times New Roman" w:cs="Times New Roman"/>
          <w:color w:val="000000"/>
          <w:sz w:val="28"/>
          <w:szCs w:val="28"/>
          <w:lang w:val="uk-UA" w:eastAsia="ru-RU"/>
        </w:rPr>
        <w:t>СН діагн</w:t>
      </w:r>
      <w:r w:rsidR="007D47AB" w:rsidRPr="00202B2D">
        <w:rPr>
          <w:rFonts w:ascii="Times New Roman" w:eastAsia="Times New Roman" w:hAnsi="Times New Roman" w:cs="Times New Roman"/>
          <w:color w:val="000000"/>
          <w:sz w:val="28"/>
          <w:szCs w:val="28"/>
          <w:lang w:val="uk-UA" w:eastAsia="ru-RU"/>
        </w:rPr>
        <w:t>остували, якщо ФВ</w:t>
      </w:r>
      <w:r w:rsidR="000C4558" w:rsidRPr="00202B2D">
        <w:rPr>
          <w:rFonts w:ascii="Times New Roman" w:eastAsia="Times New Roman" w:hAnsi="Times New Roman" w:cs="Times New Roman"/>
          <w:color w:val="000000"/>
          <w:sz w:val="28"/>
          <w:szCs w:val="28"/>
          <w:lang w:val="uk-UA" w:eastAsia="ru-RU"/>
        </w:rPr>
        <w:t xml:space="preserve"> ЛШ не пере</w:t>
      </w:r>
      <w:r w:rsidR="000C4558" w:rsidRPr="00202B2D">
        <w:rPr>
          <w:rFonts w:ascii="Times New Roman" w:eastAsia="Times New Roman" w:hAnsi="Times New Roman" w:cs="Times New Roman"/>
          <w:color w:val="000000"/>
          <w:sz w:val="28"/>
          <w:szCs w:val="28"/>
          <w:lang w:val="uk-UA" w:eastAsia="ru-RU"/>
        </w:rPr>
        <w:softHyphen/>
      </w:r>
      <w:r w:rsidR="00045D67" w:rsidRPr="00202B2D">
        <w:rPr>
          <w:rFonts w:ascii="Times New Roman" w:eastAsia="Times New Roman" w:hAnsi="Times New Roman" w:cs="Times New Roman"/>
          <w:color w:val="000000"/>
          <w:sz w:val="28"/>
          <w:szCs w:val="28"/>
          <w:lang w:val="uk-UA" w:eastAsia="ru-RU"/>
        </w:rPr>
        <w:t xml:space="preserve">вищувала </w:t>
      </w:r>
      <w:r w:rsidR="007D47AB">
        <w:rPr>
          <w:rFonts w:ascii="Times New Roman" w:eastAsia="Times New Roman" w:hAnsi="Times New Roman" w:cs="Times New Roman"/>
          <w:color w:val="000000"/>
          <w:sz w:val="28"/>
          <w:szCs w:val="28"/>
          <w:lang w:val="uk-UA" w:eastAsia="ru-RU"/>
        </w:rPr>
        <w:t xml:space="preserve">     </w:t>
      </w:r>
      <w:r w:rsidR="00045D67" w:rsidRPr="00202B2D">
        <w:rPr>
          <w:rFonts w:ascii="Times New Roman" w:eastAsia="Times New Roman" w:hAnsi="Times New Roman" w:cs="Times New Roman"/>
          <w:color w:val="000000"/>
          <w:sz w:val="28"/>
          <w:szCs w:val="28"/>
          <w:lang w:val="uk-UA" w:eastAsia="ru-RU"/>
        </w:rPr>
        <w:t>40</w:t>
      </w:r>
      <w:r w:rsidR="000C4558" w:rsidRPr="00202B2D">
        <w:rPr>
          <w:rFonts w:ascii="Times New Roman" w:eastAsia="Times New Roman" w:hAnsi="Times New Roman" w:cs="Times New Roman"/>
          <w:color w:val="000000"/>
          <w:sz w:val="28"/>
          <w:szCs w:val="28"/>
          <w:lang w:val="uk-UA" w:eastAsia="ru-RU"/>
        </w:rPr>
        <w:t xml:space="preserve"> %. </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lastRenderedPageBreak/>
        <w:t xml:space="preserve">Після визначення </w:t>
      </w:r>
      <w:r w:rsidR="00F76C32">
        <w:rPr>
          <w:rFonts w:ascii="Times New Roman" w:hAnsi="Times New Roman" w:cs="Times New Roman"/>
          <w:color w:val="000000"/>
          <w:sz w:val="28"/>
          <w:szCs w:val="28"/>
          <w:shd w:val="clear" w:color="auto" w:fill="FFFFFF"/>
          <w:lang w:val="uk-UA"/>
        </w:rPr>
        <w:t>кінцево-діастолічного розміру (</w:t>
      </w:r>
      <w:r w:rsidRPr="0083052D">
        <w:rPr>
          <w:rFonts w:ascii="Times New Roman" w:hAnsi="Times New Roman" w:cs="Times New Roman"/>
          <w:color w:val="000000"/>
          <w:sz w:val="28"/>
          <w:szCs w:val="28"/>
          <w:shd w:val="clear" w:color="auto" w:fill="FFFFFF"/>
          <w:lang w:val="uk-UA"/>
        </w:rPr>
        <w:t>КДР</w:t>
      </w:r>
      <w:r w:rsidR="00F76C32">
        <w:rPr>
          <w:rFonts w:ascii="Times New Roman" w:hAnsi="Times New Roman" w:cs="Times New Roman"/>
          <w:color w:val="000000"/>
          <w:sz w:val="28"/>
          <w:szCs w:val="28"/>
          <w:shd w:val="clear" w:color="auto" w:fill="FFFFFF"/>
          <w:lang w:val="uk-UA"/>
        </w:rPr>
        <w:t>)</w:t>
      </w:r>
      <w:r w:rsidRPr="0083052D">
        <w:rPr>
          <w:rFonts w:ascii="Times New Roman" w:hAnsi="Times New Roman" w:cs="Times New Roman"/>
          <w:color w:val="000000"/>
          <w:sz w:val="28"/>
          <w:szCs w:val="28"/>
          <w:shd w:val="clear" w:color="auto" w:fill="FFFFFF"/>
          <w:lang w:val="uk-UA"/>
        </w:rPr>
        <w:t xml:space="preserve"> та </w:t>
      </w:r>
      <w:r w:rsidR="00F76C32">
        <w:rPr>
          <w:rFonts w:ascii="Times New Roman" w:hAnsi="Times New Roman" w:cs="Times New Roman"/>
          <w:color w:val="000000"/>
          <w:sz w:val="28"/>
          <w:szCs w:val="28"/>
          <w:shd w:val="clear" w:color="auto" w:fill="FFFFFF"/>
          <w:lang w:val="uk-UA"/>
        </w:rPr>
        <w:t>кінцево-систолічного розміру (</w:t>
      </w:r>
      <w:r w:rsidRPr="0083052D">
        <w:rPr>
          <w:rFonts w:ascii="Times New Roman" w:hAnsi="Times New Roman" w:cs="Times New Roman"/>
          <w:color w:val="000000"/>
          <w:sz w:val="28"/>
          <w:szCs w:val="28"/>
          <w:shd w:val="clear" w:color="auto" w:fill="FFFFFF"/>
          <w:lang w:val="uk-UA"/>
        </w:rPr>
        <w:t>КСР</w:t>
      </w:r>
      <w:r w:rsidR="00F76C32">
        <w:rPr>
          <w:rFonts w:ascii="Times New Roman" w:hAnsi="Times New Roman" w:cs="Times New Roman"/>
          <w:color w:val="000000"/>
          <w:sz w:val="28"/>
          <w:szCs w:val="28"/>
          <w:shd w:val="clear" w:color="auto" w:fill="FFFFFF"/>
          <w:lang w:val="uk-UA"/>
        </w:rPr>
        <w:t>)</w:t>
      </w:r>
      <w:r w:rsidRPr="0083052D">
        <w:rPr>
          <w:rFonts w:ascii="Times New Roman" w:hAnsi="Times New Roman" w:cs="Times New Roman"/>
          <w:color w:val="000000"/>
          <w:sz w:val="28"/>
          <w:szCs w:val="28"/>
          <w:shd w:val="clear" w:color="auto" w:fill="FFFFFF"/>
          <w:lang w:val="uk-UA"/>
        </w:rPr>
        <w:t xml:space="preserve"> за допомогою ехокардіографії було</w:t>
      </w:r>
      <w:r w:rsidR="00B81A3F">
        <w:rPr>
          <w:rFonts w:ascii="Times New Roman" w:hAnsi="Times New Roman" w:cs="Times New Roman"/>
          <w:color w:val="000000"/>
          <w:sz w:val="28"/>
          <w:szCs w:val="28"/>
          <w:shd w:val="clear" w:color="auto" w:fill="FFFFFF"/>
          <w:lang w:val="uk-UA"/>
        </w:rPr>
        <w:t xml:space="preserve"> обчислено </w:t>
      </w:r>
      <w:r w:rsidR="00F76C32">
        <w:rPr>
          <w:rFonts w:ascii="Times New Roman" w:hAnsi="Times New Roman" w:cs="Times New Roman"/>
          <w:color w:val="000000"/>
          <w:sz w:val="28"/>
          <w:szCs w:val="28"/>
          <w:shd w:val="clear" w:color="auto" w:fill="FFFFFF"/>
          <w:lang w:val="uk-UA"/>
        </w:rPr>
        <w:t>кінцево-діастолічний об’єм (</w:t>
      </w:r>
      <w:r w:rsidR="00B81A3F">
        <w:rPr>
          <w:rFonts w:ascii="Times New Roman" w:hAnsi="Times New Roman" w:cs="Times New Roman"/>
          <w:color w:val="000000"/>
          <w:sz w:val="28"/>
          <w:szCs w:val="28"/>
          <w:shd w:val="clear" w:color="auto" w:fill="FFFFFF"/>
          <w:lang w:val="uk-UA"/>
        </w:rPr>
        <w:t>КДО</w:t>
      </w:r>
      <w:r w:rsidR="00F76C32">
        <w:rPr>
          <w:rFonts w:ascii="Times New Roman" w:hAnsi="Times New Roman" w:cs="Times New Roman"/>
          <w:color w:val="000000"/>
          <w:sz w:val="28"/>
          <w:szCs w:val="28"/>
          <w:shd w:val="clear" w:color="auto" w:fill="FFFFFF"/>
          <w:lang w:val="uk-UA"/>
        </w:rPr>
        <w:t>)</w:t>
      </w:r>
      <w:r w:rsidR="00B81A3F">
        <w:rPr>
          <w:rFonts w:ascii="Times New Roman" w:hAnsi="Times New Roman" w:cs="Times New Roman"/>
          <w:color w:val="000000"/>
          <w:sz w:val="28"/>
          <w:szCs w:val="28"/>
          <w:shd w:val="clear" w:color="auto" w:fill="FFFFFF"/>
          <w:lang w:val="uk-UA"/>
        </w:rPr>
        <w:t xml:space="preserve"> і </w:t>
      </w:r>
      <w:r w:rsidR="00F76C32">
        <w:rPr>
          <w:rFonts w:ascii="Times New Roman" w:hAnsi="Times New Roman" w:cs="Times New Roman"/>
          <w:color w:val="000000"/>
          <w:sz w:val="28"/>
          <w:szCs w:val="28"/>
          <w:shd w:val="clear" w:color="auto" w:fill="FFFFFF"/>
          <w:lang w:val="uk-UA"/>
        </w:rPr>
        <w:t>кінцево-систолічний об’єм (</w:t>
      </w:r>
      <w:r w:rsidR="00B81A3F">
        <w:rPr>
          <w:rFonts w:ascii="Times New Roman" w:hAnsi="Times New Roman" w:cs="Times New Roman"/>
          <w:color w:val="000000"/>
          <w:sz w:val="28"/>
          <w:szCs w:val="28"/>
          <w:shd w:val="clear" w:color="auto" w:fill="FFFFFF"/>
          <w:lang w:val="uk-UA"/>
        </w:rPr>
        <w:t>КСО</w:t>
      </w:r>
      <w:r w:rsidR="00F76C32">
        <w:rPr>
          <w:rFonts w:ascii="Times New Roman" w:hAnsi="Times New Roman" w:cs="Times New Roman"/>
          <w:color w:val="000000"/>
          <w:sz w:val="28"/>
          <w:szCs w:val="28"/>
          <w:shd w:val="clear" w:color="auto" w:fill="FFFFFF"/>
          <w:lang w:val="uk-UA"/>
        </w:rPr>
        <w:t>)</w:t>
      </w:r>
      <w:r w:rsidR="00B81A3F">
        <w:rPr>
          <w:rFonts w:ascii="Times New Roman" w:hAnsi="Times New Roman" w:cs="Times New Roman"/>
          <w:color w:val="000000"/>
          <w:sz w:val="28"/>
          <w:szCs w:val="28"/>
          <w:shd w:val="clear" w:color="auto" w:fill="FFFFFF"/>
          <w:lang w:val="uk-UA"/>
        </w:rPr>
        <w:t xml:space="preserve"> </w:t>
      </w:r>
      <w:r w:rsidR="000927E3">
        <w:rPr>
          <w:rFonts w:ascii="Times New Roman" w:hAnsi="Times New Roman" w:cs="Times New Roman"/>
          <w:color w:val="000000"/>
          <w:sz w:val="28"/>
          <w:szCs w:val="28"/>
          <w:shd w:val="clear" w:color="auto" w:fill="FFFFFF"/>
          <w:lang w:val="uk-UA"/>
        </w:rPr>
        <w:t xml:space="preserve">           </w:t>
      </w:r>
      <w:r w:rsidR="00B81A3F">
        <w:rPr>
          <w:rFonts w:ascii="Times New Roman" w:hAnsi="Times New Roman" w:cs="Times New Roman"/>
          <w:color w:val="000000"/>
          <w:sz w:val="28"/>
          <w:szCs w:val="28"/>
          <w:shd w:val="clear" w:color="auto" w:fill="FFFFFF"/>
          <w:lang w:val="uk-UA"/>
        </w:rPr>
        <w:t>за формулами</w:t>
      </w:r>
      <w:r w:rsidRPr="0083052D">
        <w:rPr>
          <w:rFonts w:ascii="Times New Roman" w:hAnsi="Times New Roman" w:cs="Times New Roman"/>
          <w:color w:val="000000"/>
          <w:sz w:val="28"/>
          <w:szCs w:val="28"/>
          <w:shd w:val="clear" w:color="auto" w:fill="FFFFFF"/>
          <w:lang w:val="uk-UA"/>
        </w:rPr>
        <w:t xml:space="preserve"> L. Teicholz [</w:t>
      </w:r>
      <w:r w:rsidR="004B16DA">
        <w:rPr>
          <w:rFonts w:ascii="Times New Roman" w:hAnsi="Times New Roman" w:cs="Times New Roman"/>
          <w:color w:val="000000"/>
          <w:sz w:val="28"/>
          <w:szCs w:val="28"/>
          <w:shd w:val="clear" w:color="auto" w:fill="FFFFFF"/>
          <w:lang w:val="uk-UA"/>
        </w:rPr>
        <w:t>137</w:t>
      </w:r>
      <w:r w:rsidRPr="0083052D">
        <w:rPr>
          <w:rFonts w:ascii="Times New Roman" w:hAnsi="Times New Roman" w:cs="Times New Roman"/>
          <w:color w:val="000000"/>
          <w:sz w:val="28"/>
          <w:szCs w:val="28"/>
          <w:shd w:val="clear" w:color="auto" w:fill="FFFFFF"/>
          <w:lang w:val="uk-UA"/>
        </w:rPr>
        <w:t>]:</w:t>
      </w:r>
    </w:p>
    <w:p w:rsidR="0083052D" w:rsidRPr="0083052D" w:rsidRDefault="00823C42"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КСО = (7 x КСР</w:t>
      </w:r>
      <w:r>
        <w:rPr>
          <w:rFonts w:ascii="Times New Roman" w:hAnsi="Times New Roman" w:cs="Times New Roman"/>
          <w:color w:val="000000"/>
          <w:sz w:val="28"/>
          <w:szCs w:val="28"/>
          <w:shd w:val="clear" w:color="auto" w:fill="FFFFFF"/>
          <w:vertAlign w:val="superscript"/>
          <w:lang w:val="uk-UA"/>
        </w:rPr>
        <w:t>3</w:t>
      </w:r>
      <w:r w:rsidR="0083052D" w:rsidRPr="0083052D">
        <w:rPr>
          <w:rFonts w:ascii="Times New Roman" w:hAnsi="Times New Roman" w:cs="Times New Roman"/>
          <w:color w:val="000000"/>
          <w:sz w:val="28"/>
          <w:szCs w:val="28"/>
          <w:shd w:val="clear" w:color="auto" w:fill="FFFFFF"/>
          <w:lang w:val="uk-UA"/>
        </w:rPr>
        <w:t>)/(2,4 + КСР),</w:t>
      </w:r>
      <w:r w:rsidR="00ED4F5D">
        <w:rPr>
          <w:rFonts w:ascii="Times New Roman" w:hAnsi="Times New Roman" w:cs="Times New Roman"/>
          <w:color w:val="000000"/>
          <w:sz w:val="28"/>
          <w:szCs w:val="28"/>
          <w:shd w:val="clear" w:color="auto" w:fill="FFFFFF"/>
          <w:lang w:val="uk-UA"/>
        </w:rPr>
        <w:t xml:space="preserve">                                                          (2.2.6)</w:t>
      </w:r>
    </w:p>
    <w:p w:rsidR="0083052D" w:rsidRPr="0083052D" w:rsidRDefault="00823C42"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КДО = (7 x КДР</w:t>
      </w:r>
      <w:r>
        <w:rPr>
          <w:rFonts w:ascii="Times New Roman" w:hAnsi="Times New Roman" w:cs="Times New Roman"/>
          <w:color w:val="000000"/>
          <w:sz w:val="28"/>
          <w:szCs w:val="28"/>
          <w:shd w:val="clear" w:color="auto" w:fill="FFFFFF"/>
          <w:vertAlign w:val="superscript"/>
          <w:lang w:val="uk-UA"/>
        </w:rPr>
        <w:t>3</w:t>
      </w:r>
      <w:r w:rsidR="0083052D" w:rsidRPr="0083052D">
        <w:rPr>
          <w:rFonts w:ascii="Times New Roman" w:hAnsi="Times New Roman" w:cs="Times New Roman"/>
          <w:color w:val="000000"/>
          <w:sz w:val="28"/>
          <w:szCs w:val="28"/>
          <w:shd w:val="clear" w:color="auto" w:fill="FFFFFF"/>
          <w:lang w:val="uk-UA"/>
        </w:rPr>
        <w:t>)/(2,4 + КДР).</w:t>
      </w:r>
      <w:r w:rsidR="00ED4F5D">
        <w:rPr>
          <w:rFonts w:ascii="Times New Roman" w:hAnsi="Times New Roman" w:cs="Times New Roman"/>
          <w:color w:val="000000"/>
          <w:sz w:val="28"/>
          <w:szCs w:val="28"/>
          <w:shd w:val="clear" w:color="auto" w:fill="FFFFFF"/>
          <w:lang w:val="uk-UA"/>
        </w:rPr>
        <w:t xml:space="preserve">                                                          (2.2.7)</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t>Для оцінюван</w:t>
      </w:r>
      <w:r w:rsidR="00F408C6">
        <w:rPr>
          <w:rFonts w:ascii="Times New Roman" w:hAnsi="Times New Roman" w:cs="Times New Roman"/>
          <w:color w:val="000000"/>
          <w:sz w:val="28"/>
          <w:szCs w:val="28"/>
          <w:shd w:val="clear" w:color="auto" w:fill="FFFFFF"/>
          <w:lang w:val="uk-UA"/>
        </w:rPr>
        <w:t>ня діастолічної СН було обчисле</w:t>
      </w:r>
      <w:r w:rsidRPr="0083052D">
        <w:rPr>
          <w:rFonts w:ascii="Times New Roman" w:hAnsi="Times New Roman" w:cs="Times New Roman"/>
          <w:color w:val="000000"/>
          <w:sz w:val="28"/>
          <w:szCs w:val="28"/>
          <w:shd w:val="clear" w:color="auto" w:fill="FFFFFF"/>
          <w:lang w:val="uk-UA"/>
        </w:rPr>
        <w:t xml:space="preserve">но ММЛШ, </w:t>
      </w:r>
      <w:r w:rsidR="00A74E0D">
        <w:rPr>
          <w:rFonts w:ascii="Times New Roman" w:hAnsi="Times New Roman" w:cs="Times New Roman"/>
          <w:color w:val="000000"/>
          <w:sz w:val="28"/>
          <w:szCs w:val="28"/>
          <w:shd w:val="clear" w:color="auto" w:fill="FFFFFF"/>
          <w:lang w:val="uk-UA"/>
        </w:rPr>
        <w:t>внутрішню товщину стінок (</w:t>
      </w:r>
      <w:r w:rsidRPr="0083052D">
        <w:rPr>
          <w:rFonts w:ascii="Times New Roman" w:hAnsi="Times New Roman" w:cs="Times New Roman"/>
          <w:color w:val="000000"/>
          <w:sz w:val="28"/>
          <w:szCs w:val="28"/>
          <w:shd w:val="clear" w:color="auto" w:fill="FFFFFF"/>
          <w:lang w:val="uk-UA"/>
        </w:rPr>
        <w:t>ВТС</w:t>
      </w:r>
      <w:r w:rsidR="00A74E0D">
        <w:rPr>
          <w:rFonts w:ascii="Times New Roman" w:hAnsi="Times New Roman" w:cs="Times New Roman"/>
          <w:color w:val="000000"/>
          <w:sz w:val="28"/>
          <w:szCs w:val="28"/>
          <w:shd w:val="clear" w:color="auto" w:fill="FFFFFF"/>
          <w:lang w:val="uk-UA"/>
        </w:rPr>
        <w:t xml:space="preserve">) </w:t>
      </w:r>
      <w:r w:rsidRPr="0083052D">
        <w:rPr>
          <w:rFonts w:ascii="Times New Roman" w:hAnsi="Times New Roman" w:cs="Times New Roman"/>
          <w:color w:val="000000"/>
          <w:sz w:val="28"/>
          <w:szCs w:val="28"/>
          <w:shd w:val="clear" w:color="auto" w:fill="FFFFFF"/>
          <w:lang w:val="uk-UA"/>
        </w:rPr>
        <w:t xml:space="preserve">ЛШ, ІММЛШ. </w:t>
      </w:r>
      <w:r w:rsidR="00EA09C7">
        <w:rPr>
          <w:rFonts w:ascii="Times New Roman" w:hAnsi="Times New Roman" w:cs="Times New Roman"/>
          <w:color w:val="000000"/>
          <w:sz w:val="28"/>
          <w:szCs w:val="28"/>
          <w:shd w:val="clear" w:color="auto" w:fill="FFFFFF"/>
          <w:lang w:val="uk-UA"/>
        </w:rPr>
        <w:t xml:space="preserve">Індекс маси міокарда </w:t>
      </w:r>
      <w:r w:rsidRPr="0083052D">
        <w:rPr>
          <w:rFonts w:ascii="Times New Roman" w:hAnsi="Times New Roman" w:cs="Times New Roman"/>
          <w:color w:val="000000"/>
          <w:sz w:val="28"/>
          <w:szCs w:val="28"/>
          <w:shd w:val="clear" w:color="auto" w:fill="FFFFFF"/>
          <w:lang w:val="uk-UA"/>
        </w:rPr>
        <w:t>ЛШ прийнято розраховувати за формулою Американського товариства з ехокар</w:t>
      </w:r>
      <w:r w:rsidR="00F76C32">
        <w:rPr>
          <w:rFonts w:ascii="Times New Roman" w:hAnsi="Times New Roman" w:cs="Times New Roman"/>
          <w:color w:val="000000"/>
          <w:sz w:val="28"/>
          <w:szCs w:val="28"/>
          <w:shd w:val="clear" w:color="auto" w:fill="FFFFFF"/>
          <w:lang w:val="uk-UA"/>
        </w:rPr>
        <w:t>діографії як відношення ММЛШ до ППТ</w:t>
      </w:r>
      <w:r w:rsidR="00202B2D">
        <w:rPr>
          <w:rFonts w:ascii="Times New Roman" w:hAnsi="Times New Roman" w:cs="Times New Roman"/>
          <w:color w:val="000000"/>
          <w:sz w:val="28"/>
          <w:szCs w:val="28"/>
          <w:shd w:val="clear" w:color="auto" w:fill="FFFFFF"/>
          <w:lang w:val="uk-UA"/>
        </w:rPr>
        <w:t>. Значення ІММЛШ −</w:t>
      </w:r>
      <w:r w:rsidR="00F408C6">
        <w:rPr>
          <w:rFonts w:ascii="Times New Roman" w:hAnsi="Times New Roman" w:cs="Times New Roman"/>
          <w:color w:val="000000"/>
          <w:sz w:val="28"/>
          <w:szCs w:val="28"/>
          <w:shd w:val="clear" w:color="auto" w:fill="FFFFFF"/>
          <w:lang w:val="uk-UA"/>
        </w:rPr>
        <w:t xml:space="preserve"> 115 г/м</w:t>
      </w:r>
      <w:r w:rsidR="00F408C6">
        <w:rPr>
          <w:rFonts w:ascii="Times New Roman" w:hAnsi="Times New Roman" w:cs="Times New Roman"/>
          <w:color w:val="000000"/>
          <w:sz w:val="28"/>
          <w:szCs w:val="28"/>
          <w:shd w:val="clear" w:color="auto" w:fill="FFFFFF"/>
          <w:vertAlign w:val="superscript"/>
          <w:lang w:val="uk-UA"/>
        </w:rPr>
        <w:t>2</w:t>
      </w:r>
      <w:r w:rsidR="00E02F04">
        <w:rPr>
          <w:rFonts w:ascii="Times New Roman" w:hAnsi="Times New Roman" w:cs="Times New Roman"/>
          <w:color w:val="000000"/>
          <w:sz w:val="28"/>
          <w:szCs w:val="28"/>
          <w:shd w:val="clear" w:color="auto" w:fill="FFFFFF"/>
          <w:lang w:val="uk-UA"/>
        </w:rPr>
        <w:t xml:space="preserve"> у чоловіків та</w:t>
      </w:r>
      <w:r w:rsidR="00F408C6">
        <w:rPr>
          <w:rFonts w:ascii="Times New Roman" w:hAnsi="Times New Roman" w:cs="Times New Roman"/>
          <w:color w:val="000000"/>
          <w:sz w:val="28"/>
          <w:szCs w:val="28"/>
          <w:shd w:val="clear" w:color="auto" w:fill="FFFFFF"/>
          <w:lang w:val="uk-UA"/>
        </w:rPr>
        <w:t xml:space="preserve"> 95 г/м</w:t>
      </w:r>
      <w:r w:rsidR="00F408C6">
        <w:rPr>
          <w:rFonts w:ascii="Times New Roman" w:hAnsi="Times New Roman" w:cs="Times New Roman"/>
          <w:color w:val="000000"/>
          <w:sz w:val="28"/>
          <w:szCs w:val="28"/>
          <w:shd w:val="clear" w:color="auto" w:fill="FFFFFF"/>
          <w:vertAlign w:val="superscript"/>
          <w:lang w:val="uk-UA"/>
        </w:rPr>
        <w:t>2</w:t>
      </w:r>
      <w:r w:rsidRPr="0083052D">
        <w:rPr>
          <w:rFonts w:ascii="Times New Roman" w:hAnsi="Times New Roman" w:cs="Times New Roman"/>
          <w:color w:val="000000"/>
          <w:sz w:val="28"/>
          <w:szCs w:val="28"/>
          <w:shd w:val="clear" w:color="auto" w:fill="FFFFFF"/>
          <w:lang w:val="uk-UA"/>
        </w:rPr>
        <w:t xml:space="preserve"> у жінок широко використовують як порогові для оцінюв</w:t>
      </w:r>
      <w:r w:rsidR="004D5599">
        <w:rPr>
          <w:rFonts w:ascii="Times New Roman" w:hAnsi="Times New Roman" w:cs="Times New Roman"/>
          <w:color w:val="000000"/>
          <w:sz w:val="28"/>
          <w:szCs w:val="28"/>
          <w:shd w:val="clear" w:color="auto" w:fill="FFFFFF"/>
          <w:lang w:val="uk-UA"/>
        </w:rPr>
        <w:t>ання гіпертрофії ЛШ [</w:t>
      </w:r>
      <w:r w:rsidR="004B16DA">
        <w:rPr>
          <w:rFonts w:ascii="Times New Roman" w:hAnsi="Times New Roman" w:cs="Times New Roman"/>
          <w:color w:val="000000"/>
          <w:sz w:val="28"/>
          <w:szCs w:val="28"/>
          <w:shd w:val="clear" w:color="auto" w:fill="FFFFFF"/>
          <w:lang w:val="uk-UA"/>
        </w:rPr>
        <w:t>23</w:t>
      </w:r>
      <w:r w:rsidRPr="0083052D">
        <w:rPr>
          <w:rFonts w:ascii="Times New Roman" w:hAnsi="Times New Roman" w:cs="Times New Roman"/>
          <w:color w:val="000000"/>
          <w:sz w:val="28"/>
          <w:szCs w:val="28"/>
          <w:shd w:val="clear" w:color="auto" w:fill="FFFFFF"/>
          <w:lang w:val="uk-UA"/>
        </w:rPr>
        <w:t xml:space="preserve">]. </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t xml:space="preserve">Проте згідно з рекомендаціями Американського товариства </w:t>
      </w:r>
      <w:r w:rsidR="00EA09C7">
        <w:rPr>
          <w:rFonts w:ascii="Times New Roman" w:hAnsi="Times New Roman" w:cs="Times New Roman"/>
          <w:color w:val="000000"/>
          <w:sz w:val="28"/>
          <w:szCs w:val="28"/>
          <w:shd w:val="clear" w:color="auto" w:fill="FFFFFF"/>
          <w:lang w:val="uk-UA"/>
        </w:rPr>
        <w:t xml:space="preserve">                    </w:t>
      </w:r>
      <w:r w:rsidRPr="0083052D">
        <w:rPr>
          <w:rFonts w:ascii="Times New Roman" w:hAnsi="Times New Roman" w:cs="Times New Roman"/>
          <w:color w:val="000000"/>
          <w:sz w:val="28"/>
          <w:szCs w:val="28"/>
          <w:shd w:val="clear" w:color="auto" w:fill="FFFFFF"/>
          <w:lang w:val="uk-UA"/>
        </w:rPr>
        <w:t>з ехокардіографії, до яког</w:t>
      </w:r>
      <w:r w:rsidR="00202B2D">
        <w:rPr>
          <w:rFonts w:ascii="Times New Roman" w:hAnsi="Times New Roman" w:cs="Times New Roman"/>
          <w:color w:val="000000"/>
          <w:sz w:val="28"/>
          <w:szCs w:val="28"/>
          <w:shd w:val="clear" w:color="auto" w:fill="FFFFFF"/>
          <w:lang w:val="uk-UA"/>
        </w:rPr>
        <w:t>о входить група Devereux, видан</w:t>
      </w:r>
      <w:r w:rsidR="00202B2D" w:rsidRPr="00202B2D">
        <w:rPr>
          <w:rFonts w:ascii="Times New Roman" w:hAnsi="Times New Roman" w:cs="Times New Roman"/>
          <w:color w:val="000000"/>
          <w:sz w:val="28"/>
          <w:szCs w:val="28"/>
          <w:shd w:val="clear" w:color="auto" w:fill="FFFFFF"/>
          <w:lang w:val="uk-UA"/>
        </w:rPr>
        <w:t>их</w:t>
      </w:r>
      <w:r w:rsidRPr="0083052D">
        <w:rPr>
          <w:rFonts w:ascii="Times New Roman" w:hAnsi="Times New Roman" w:cs="Times New Roman"/>
          <w:color w:val="000000"/>
          <w:sz w:val="28"/>
          <w:szCs w:val="28"/>
          <w:shd w:val="clear" w:color="auto" w:fill="FFFFFF"/>
          <w:lang w:val="uk-UA"/>
        </w:rPr>
        <w:t xml:space="preserve"> в співавторстві </w:t>
      </w:r>
      <w:r w:rsidR="00EA09C7">
        <w:rPr>
          <w:rFonts w:ascii="Times New Roman" w:hAnsi="Times New Roman" w:cs="Times New Roman"/>
          <w:color w:val="000000"/>
          <w:sz w:val="28"/>
          <w:szCs w:val="28"/>
          <w:shd w:val="clear" w:color="auto" w:fill="FFFFFF"/>
          <w:lang w:val="uk-UA"/>
        </w:rPr>
        <w:t xml:space="preserve">  </w:t>
      </w:r>
      <w:r w:rsidRPr="0083052D">
        <w:rPr>
          <w:rFonts w:ascii="Times New Roman" w:hAnsi="Times New Roman" w:cs="Times New Roman"/>
          <w:color w:val="000000"/>
          <w:sz w:val="28"/>
          <w:szCs w:val="28"/>
          <w:shd w:val="clear" w:color="auto" w:fill="FFFFFF"/>
          <w:lang w:val="uk-UA"/>
        </w:rPr>
        <w:t>з Європейською асоціацією з ехокардіографії у 2005 р., пропонується обчислювати ІММЛШ як відношення ММ</w:t>
      </w:r>
      <w:r w:rsidR="00F15397">
        <w:rPr>
          <w:rFonts w:ascii="Times New Roman" w:hAnsi="Times New Roman" w:cs="Times New Roman"/>
          <w:color w:val="000000"/>
          <w:sz w:val="28"/>
          <w:szCs w:val="28"/>
          <w:shd w:val="clear" w:color="auto" w:fill="FFFFFF"/>
          <w:lang w:val="uk-UA"/>
        </w:rPr>
        <w:t>ЛШ до зросту в степені 2,7 [</w:t>
      </w:r>
      <w:r w:rsidR="004B16DA">
        <w:rPr>
          <w:rFonts w:ascii="Times New Roman" w:hAnsi="Times New Roman" w:cs="Times New Roman"/>
          <w:color w:val="000000"/>
          <w:sz w:val="28"/>
          <w:szCs w:val="28"/>
          <w:shd w:val="clear" w:color="auto" w:fill="FFFFFF"/>
          <w:lang w:val="uk-UA"/>
        </w:rPr>
        <w:t>138</w:t>
      </w:r>
      <w:r w:rsidRPr="0083052D">
        <w:rPr>
          <w:rFonts w:ascii="Times New Roman" w:hAnsi="Times New Roman" w:cs="Times New Roman"/>
          <w:color w:val="000000"/>
          <w:sz w:val="28"/>
          <w:szCs w:val="28"/>
          <w:shd w:val="clear" w:color="auto" w:fill="FFFFFF"/>
          <w:lang w:val="uk-UA"/>
        </w:rPr>
        <w:t xml:space="preserve">]. Перший метод визначення більш поширений, але він на відміну від другого може приводити до заниження ІММЛШ у пацієнтів із надлишковою вагою тіла та ожирінням за рахунок збільшення ППТ. Тобто збільшення значення ППТ, що стоїть у знаменнику формули ММЛШ/ППТ, нівелює виявлення можливого патологічного збільшення ММЛШ при ожирінні. Згідно </w:t>
      </w:r>
      <w:r w:rsidR="00880E59">
        <w:rPr>
          <w:rFonts w:ascii="Times New Roman" w:hAnsi="Times New Roman" w:cs="Times New Roman"/>
          <w:color w:val="000000"/>
          <w:sz w:val="28"/>
          <w:szCs w:val="28"/>
          <w:shd w:val="clear" w:color="auto" w:fill="FFFFFF"/>
          <w:lang w:val="uk-UA"/>
        </w:rPr>
        <w:t xml:space="preserve">                </w:t>
      </w:r>
      <w:r w:rsidRPr="0083052D">
        <w:rPr>
          <w:rFonts w:ascii="Times New Roman" w:hAnsi="Times New Roman" w:cs="Times New Roman"/>
          <w:color w:val="000000"/>
          <w:sz w:val="28"/>
          <w:szCs w:val="28"/>
          <w:shd w:val="clear" w:color="auto" w:fill="FFFFFF"/>
          <w:lang w:val="uk-UA"/>
        </w:rPr>
        <w:t xml:space="preserve">з рекомендаціями Європейського товариства з гіпертензії/Європейського </w:t>
      </w:r>
      <w:r w:rsidRPr="00475690">
        <w:rPr>
          <w:rFonts w:ascii="Times New Roman" w:hAnsi="Times New Roman" w:cs="Times New Roman"/>
          <w:color w:val="000000"/>
          <w:sz w:val="28"/>
          <w:szCs w:val="28"/>
          <w:shd w:val="clear" w:color="auto" w:fill="FFFFFF"/>
          <w:lang w:val="uk-UA"/>
        </w:rPr>
        <w:t>товариства кардіологів (2013 р.) [</w:t>
      </w:r>
      <w:r w:rsidR="004B16DA">
        <w:rPr>
          <w:rFonts w:ascii="Times New Roman" w:hAnsi="Times New Roman" w:cs="Times New Roman"/>
          <w:color w:val="000000"/>
          <w:sz w:val="28"/>
          <w:szCs w:val="28"/>
          <w:shd w:val="clear" w:color="auto" w:fill="FFFFFF"/>
          <w:lang w:val="uk-UA"/>
        </w:rPr>
        <w:t>23</w:t>
      </w:r>
      <w:r w:rsidRPr="004B16DA">
        <w:rPr>
          <w:rFonts w:ascii="Times New Roman" w:hAnsi="Times New Roman" w:cs="Times New Roman"/>
          <w:color w:val="000000"/>
          <w:sz w:val="28"/>
          <w:szCs w:val="28"/>
          <w:shd w:val="clear" w:color="auto" w:fill="FFFFFF"/>
          <w:lang w:val="uk-UA"/>
        </w:rPr>
        <w:t>]</w:t>
      </w:r>
      <w:r w:rsidRPr="00475690">
        <w:rPr>
          <w:rFonts w:ascii="Times New Roman" w:hAnsi="Times New Roman" w:cs="Times New Roman"/>
          <w:color w:val="000000"/>
          <w:sz w:val="28"/>
          <w:szCs w:val="28"/>
          <w:shd w:val="clear" w:color="auto" w:fill="FFFFFF"/>
          <w:lang w:val="uk-UA"/>
        </w:rPr>
        <w:t xml:space="preserve"> відношення ММЛШ до зросту в степені 2,7 рекомендовано використовувати в пацієнтів із надлишковою масою тіла</w:t>
      </w:r>
      <w:r w:rsidRPr="0083052D">
        <w:rPr>
          <w:rFonts w:ascii="Times New Roman" w:hAnsi="Times New Roman" w:cs="Times New Roman"/>
          <w:color w:val="000000"/>
          <w:sz w:val="28"/>
          <w:szCs w:val="28"/>
          <w:shd w:val="clear" w:color="auto" w:fill="FFFFFF"/>
          <w:lang w:val="uk-UA"/>
        </w:rPr>
        <w:t xml:space="preserve"> та ожирінням із метою усунення впливу відхилень у будові тіла та уникнення гіподіагн</w:t>
      </w:r>
      <w:r w:rsidR="00AE7B10">
        <w:rPr>
          <w:rFonts w:ascii="Times New Roman" w:hAnsi="Times New Roman" w:cs="Times New Roman"/>
          <w:color w:val="000000"/>
          <w:sz w:val="28"/>
          <w:szCs w:val="28"/>
          <w:shd w:val="clear" w:color="auto" w:fill="FFFFFF"/>
          <w:lang w:val="uk-UA"/>
        </w:rPr>
        <w:t xml:space="preserve">остики  гіпертрофії </w:t>
      </w:r>
      <w:r w:rsidR="00F408C6">
        <w:rPr>
          <w:rFonts w:ascii="Times New Roman" w:hAnsi="Times New Roman" w:cs="Times New Roman"/>
          <w:color w:val="000000"/>
          <w:sz w:val="28"/>
          <w:szCs w:val="28"/>
          <w:shd w:val="clear" w:color="auto" w:fill="FFFFFF"/>
          <w:lang w:val="uk-UA"/>
        </w:rPr>
        <w:t>ЛШ. Порогові значення:</w:t>
      </w:r>
      <w:r w:rsidRPr="0083052D">
        <w:rPr>
          <w:rFonts w:ascii="Times New Roman" w:hAnsi="Times New Roman" w:cs="Times New Roman"/>
          <w:color w:val="000000"/>
          <w:sz w:val="28"/>
          <w:szCs w:val="28"/>
          <w:shd w:val="clear" w:color="auto" w:fill="FFFFFF"/>
          <w:lang w:val="uk-UA"/>
        </w:rPr>
        <w:t xml:space="preserve"> 48</w:t>
      </w:r>
      <w:r w:rsidR="00F408C6">
        <w:rPr>
          <w:rFonts w:ascii="Times New Roman" w:hAnsi="Times New Roman" w:cs="Times New Roman"/>
          <w:color w:val="000000"/>
          <w:sz w:val="28"/>
          <w:szCs w:val="28"/>
          <w:shd w:val="clear" w:color="auto" w:fill="FFFFFF"/>
          <w:lang w:val="uk-UA"/>
        </w:rPr>
        <w:t xml:space="preserve"> г/м</w:t>
      </w:r>
      <w:r w:rsidR="00F408C6">
        <w:rPr>
          <w:rFonts w:ascii="Times New Roman" w:hAnsi="Times New Roman" w:cs="Times New Roman"/>
          <w:color w:val="000000"/>
          <w:sz w:val="28"/>
          <w:szCs w:val="28"/>
          <w:shd w:val="clear" w:color="auto" w:fill="FFFFFF"/>
          <w:vertAlign w:val="superscript"/>
          <w:lang w:val="uk-UA"/>
        </w:rPr>
        <w:t>2,7</w:t>
      </w:r>
      <w:r w:rsidR="00F408C6">
        <w:rPr>
          <w:rFonts w:ascii="Times New Roman" w:hAnsi="Times New Roman" w:cs="Times New Roman"/>
          <w:color w:val="000000"/>
          <w:sz w:val="28"/>
          <w:szCs w:val="28"/>
          <w:shd w:val="clear" w:color="auto" w:fill="FFFFFF"/>
          <w:lang w:val="uk-UA"/>
        </w:rPr>
        <w:t xml:space="preserve"> − для чоловіків та 44 г/м</w:t>
      </w:r>
      <w:r w:rsidR="00F408C6">
        <w:rPr>
          <w:rFonts w:ascii="Times New Roman" w:hAnsi="Times New Roman" w:cs="Times New Roman"/>
          <w:color w:val="000000"/>
          <w:sz w:val="28"/>
          <w:szCs w:val="28"/>
          <w:shd w:val="clear" w:color="auto" w:fill="FFFFFF"/>
          <w:vertAlign w:val="superscript"/>
          <w:lang w:val="uk-UA"/>
        </w:rPr>
        <w:t>2,7</w:t>
      </w:r>
      <w:r w:rsidR="00C014F6">
        <w:rPr>
          <w:rFonts w:ascii="Times New Roman" w:hAnsi="Times New Roman" w:cs="Times New Roman"/>
          <w:color w:val="000000"/>
          <w:sz w:val="28"/>
          <w:szCs w:val="28"/>
          <w:shd w:val="clear" w:color="auto" w:fill="FFFFFF"/>
          <w:lang w:val="uk-UA"/>
        </w:rPr>
        <w:t xml:space="preserve"> − для жінок [</w:t>
      </w:r>
      <w:r w:rsidR="004B16DA">
        <w:rPr>
          <w:rFonts w:ascii="Times New Roman" w:hAnsi="Times New Roman" w:cs="Times New Roman"/>
          <w:color w:val="000000"/>
          <w:sz w:val="28"/>
          <w:szCs w:val="28"/>
          <w:shd w:val="clear" w:color="auto" w:fill="FFFFFF"/>
        </w:rPr>
        <w:t>13</w:t>
      </w:r>
      <w:r w:rsidR="004B16DA">
        <w:rPr>
          <w:rFonts w:ascii="Times New Roman" w:hAnsi="Times New Roman" w:cs="Times New Roman"/>
          <w:color w:val="000000"/>
          <w:sz w:val="28"/>
          <w:szCs w:val="28"/>
          <w:shd w:val="clear" w:color="auto" w:fill="FFFFFF"/>
          <w:lang w:val="uk-UA"/>
        </w:rPr>
        <w:t>9</w:t>
      </w:r>
      <w:r w:rsidR="005218F2" w:rsidRPr="004B16DA">
        <w:rPr>
          <w:rFonts w:ascii="Times New Roman" w:hAnsi="Times New Roman" w:cs="Times New Roman"/>
          <w:color w:val="000000"/>
          <w:sz w:val="28"/>
          <w:szCs w:val="28"/>
          <w:shd w:val="clear" w:color="auto" w:fill="FFFFFF"/>
        </w:rPr>
        <w:t>,1</w:t>
      </w:r>
      <w:r w:rsidR="004B16DA">
        <w:rPr>
          <w:rFonts w:ascii="Times New Roman" w:hAnsi="Times New Roman" w:cs="Times New Roman"/>
          <w:color w:val="000000"/>
          <w:sz w:val="28"/>
          <w:szCs w:val="28"/>
          <w:shd w:val="clear" w:color="auto" w:fill="FFFFFF"/>
          <w:lang w:val="uk-UA"/>
        </w:rPr>
        <w:t>40</w:t>
      </w:r>
      <w:r w:rsidRPr="0083052D">
        <w:rPr>
          <w:rFonts w:ascii="Times New Roman" w:hAnsi="Times New Roman" w:cs="Times New Roman"/>
          <w:color w:val="000000"/>
          <w:sz w:val="28"/>
          <w:szCs w:val="28"/>
          <w:shd w:val="clear" w:color="auto" w:fill="FFFFFF"/>
          <w:lang w:val="uk-UA"/>
        </w:rPr>
        <w:t>]. Зважаючи на вищенаведені докази, ІММЛШ було обчислено двома способами з метою відбору найоптимальнішої формули.</w:t>
      </w:r>
      <w:r w:rsidR="005F1092">
        <w:rPr>
          <w:rFonts w:ascii="Times New Roman" w:hAnsi="Times New Roman" w:cs="Times New Roman"/>
          <w:color w:val="000000"/>
          <w:sz w:val="28"/>
          <w:szCs w:val="28"/>
          <w:shd w:val="clear" w:color="auto" w:fill="FFFFFF"/>
          <w:lang w:val="uk-UA"/>
        </w:rPr>
        <w:t xml:space="preserve"> Д</w:t>
      </w:r>
      <w:r w:rsidRPr="0083052D">
        <w:rPr>
          <w:rFonts w:ascii="Times New Roman" w:hAnsi="Times New Roman" w:cs="Times New Roman"/>
          <w:color w:val="000000"/>
          <w:sz w:val="28"/>
          <w:szCs w:val="28"/>
          <w:shd w:val="clear" w:color="auto" w:fill="FFFFFF"/>
          <w:lang w:val="uk-UA"/>
        </w:rPr>
        <w:t xml:space="preserve">ля оцінювання ММЛШ ми використали формулу, рекомендовану Американським товариством ехокардіографії (ASE) </w:t>
      </w:r>
      <w:r w:rsidRPr="0083052D">
        <w:rPr>
          <w:rFonts w:ascii="Times New Roman" w:hAnsi="Times New Roman" w:cs="Times New Roman"/>
          <w:color w:val="000000"/>
          <w:sz w:val="28"/>
          <w:szCs w:val="28"/>
          <w:shd w:val="clear" w:color="auto" w:fill="FFFFFF"/>
          <w:lang w:val="uk-UA"/>
        </w:rPr>
        <w:lastRenderedPageBreak/>
        <w:t>для оцінювання ММЛШ, що базується на лінійних вимірювання</w:t>
      </w:r>
      <w:r w:rsidR="00F408C6">
        <w:rPr>
          <w:rFonts w:ascii="Times New Roman" w:hAnsi="Times New Roman" w:cs="Times New Roman"/>
          <w:color w:val="000000"/>
          <w:sz w:val="28"/>
          <w:szCs w:val="28"/>
          <w:shd w:val="clear" w:color="auto" w:fill="FFFFFF"/>
          <w:lang w:val="uk-UA"/>
        </w:rPr>
        <w:t>х і моделі ЛШ у вигляді витягну</w:t>
      </w:r>
      <w:r w:rsidRPr="0083052D">
        <w:rPr>
          <w:rFonts w:ascii="Times New Roman" w:hAnsi="Times New Roman" w:cs="Times New Roman"/>
          <w:color w:val="000000"/>
          <w:sz w:val="28"/>
          <w:szCs w:val="28"/>
          <w:shd w:val="clear" w:color="auto" w:fill="FFFFFF"/>
          <w:lang w:val="uk-UA"/>
        </w:rPr>
        <w:t xml:space="preserve">того еліпсоїда: </w:t>
      </w:r>
    </w:p>
    <w:p w:rsidR="00ED4F5D" w:rsidRDefault="0083052D" w:rsidP="00ED4F5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t xml:space="preserve">ММЛШ (г) = 0,8 ∙ {1,04 ∙ ([(КДР + ТЗСЛШ + ТМШП)3 – (КДР)3]} + 0,6, </w:t>
      </w:r>
      <w:r w:rsidR="00ED4F5D">
        <w:rPr>
          <w:rFonts w:ascii="Times New Roman" w:hAnsi="Times New Roman" w:cs="Times New Roman"/>
          <w:color w:val="000000"/>
          <w:sz w:val="28"/>
          <w:szCs w:val="28"/>
          <w:shd w:val="clear" w:color="auto" w:fill="FFFFFF"/>
          <w:lang w:val="uk-UA"/>
        </w:rPr>
        <w:t xml:space="preserve"> </w:t>
      </w:r>
    </w:p>
    <w:p w:rsidR="0083052D" w:rsidRPr="0083052D" w:rsidRDefault="00ED4F5D" w:rsidP="00ED4F5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                                                                                                               (2.2.8)                       </w:t>
      </w:r>
    </w:p>
    <w:p w:rsidR="0083052D" w:rsidRPr="0083052D" w:rsidRDefault="00A67EC7"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де: КДР – кінцево-</w:t>
      </w:r>
      <w:r w:rsidR="0083052D" w:rsidRPr="0083052D">
        <w:rPr>
          <w:rFonts w:ascii="Times New Roman" w:hAnsi="Times New Roman" w:cs="Times New Roman"/>
          <w:color w:val="000000"/>
          <w:sz w:val="28"/>
          <w:szCs w:val="28"/>
          <w:shd w:val="clear" w:color="auto" w:fill="FFFFFF"/>
          <w:lang w:val="uk-UA"/>
        </w:rPr>
        <w:t>діастолічний розмір ЛШ; ТМШП − товщин</w:t>
      </w:r>
      <w:r w:rsidR="00F408C6">
        <w:rPr>
          <w:rFonts w:ascii="Times New Roman" w:hAnsi="Times New Roman" w:cs="Times New Roman"/>
          <w:color w:val="000000"/>
          <w:sz w:val="28"/>
          <w:szCs w:val="28"/>
          <w:shd w:val="clear" w:color="auto" w:fill="FFFFFF"/>
          <w:lang w:val="uk-UA"/>
        </w:rPr>
        <w:t>а міжшлуночкової перетин</w:t>
      </w:r>
      <w:r w:rsidR="0083052D" w:rsidRPr="0083052D">
        <w:rPr>
          <w:rFonts w:ascii="Times New Roman" w:hAnsi="Times New Roman" w:cs="Times New Roman"/>
          <w:color w:val="000000"/>
          <w:sz w:val="28"/>
          <w:szCs w:val="28"/>
          <w:shd w:val="clear" w:color="auto" w:fill="FFFFFF"/>
          <w:lang w:val="uk-UA"/>
        </w:rPr>
        <w:t>ки; ТЗС – товщина задньої стінки ЛШ [</w:t>
      </w:r>
      <w:r w:rsidR="004B16DA">
        <w:rPr>
          <w:rFonts w:ascii="Times New Roman" w:hAnsi="Times New Roman" w:cs="Times New Roman"/>
          <w:color w:val="000000"/>
          <w:sz w:val="28"/>
          <w:szCs w:val="28"/>
          <w:shd w:val="clear" w:color="auto" w:fill="FFFFFF"/>
          <w:lang w:val="uk-UA"/>
        </w:rPr>
        <w:t>138</w:t>
      </w:r>
      <w:r w:rsidR="0083052D" w:rsidRPr="0083052D">
        <w:rPr>
          <w:rFonts w:ascii="Times New Roman" w:hAnsi="Times New Roman" w:cs="Times New Roman"/>
          <w:color w:val="000000"/>
          <w:sz w:val="28"/>
          <w:szCs w:val="28"/>
          <w:shd w:val="clear" w:color="auto" w:fill="FFFFFF"/>
          <w:lang w:val="uk-UA"/>
        </w:rPr>
        <w:t xml:space="preserve">]. </w:t>
      </w:r>
    </w:p>
    <w:p w:rsidR="0083052D" w:rsidRPr="0083052D" w:rsidRDefault="00CD682F"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Внутрішню товщину стінок </w:t>
      </w:r>
      <w:r w:rsidR="0083052D" w:rsidRPr="0083052D">
        <w:rPr>
          <w:rFonts w:ascii="Times New Roman" w:hAnsi="Times New Roman" w:cs="Times New Roman"/>
          <w:color w:val="000000"/>
          <w:sz w:val="28"/>
          <w:szCs w:val="28"/>
          <w:shd w:val="clear" w:color="auto" w:fill="FFFFFF"/>
          <w:lang w:val="uk-UA"/>
        </w:rPr>
        <w:t>ЛШ обчислено за формулою:</w:t>
      </w:r>
    </w:p>
    <w:p w:rsidR="0083052D" w:rsidRPr="0083052D" w:rsidRDefault="00262892"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ВТС = (ТМШП + ТЗСЛШ)/КДР [</w:t>
      </w:r>
      <w:r w:rsidR="002746C2" w:rsidRPr="004B16DA">
        <w:rPr>
          <w:rFonts w:ascii="Times New Roman" w:hAnsi="Times New Roman" w:cs="Times New Roman"/>
          <w:color w:val="000000"/>
          <w:sz w:val="28"/>
          <w:szCs w:val="28"/>
          <w:shd w:val="clear" w:color="auto" w:fill="FFFFFF"/>
          <w:lang w:val="uk-UA"/>
        </w:rPr>
        <w:t>100</w:t>
      </w:r>
      <w:r w:rsidR="0083052D" w:rsidRPr="0083052D">
        <w:rPr>
          <w:rFonts w:ascii="Times New Roman" w:hAnsi="Times New Roman" w:cs="Times New Roman"/>
          <w:color w:val="000000"/>
          <w:sz w:val="28"/>
          <w:szCs w:val="28"/>
          <w:shd w:val="clear" w:color="auto" w:fill="FFFFFF"/>
          <w:lang w:val="uk-UA"/>
        </w:rPr>
        <w:t xml:space="preserve">]. </w:t>
      </w:r>
      <w:r w:rsidR="00ED4F5D">
        <w:rPr>
          <w:rFonts w:ascii="Times New Roman" w:hAnsi="Times New Roman" w:cs="Times New Roman"/>
          <w:color w:val="000000"/>
          <w:sz w:val="28"/>
          <w:szCs w:val="28"/>
          <w:shd w:val="clear" w:color="auto" w:fill="FFFFFF"/>
          <w:lang w:val="uk-UA"/>
        </w:rPr>
        <w:t xml:space="preserve">                                             (2.2.9)</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t xml:space="preserve">Методика, за якою ІММ ЛШ визначається як співвідношення ММЛШ до ППТ є більш поширеною, але може приводити до заниження ІММЛШ </w:t>
      </w:r>
      <w:r w:rsidR="00271BB5">
        <w:rPr>
          <w:rFonts w:ascii="Times New Roman" w:hAnsi="Times New Roman" w:cs="Times New Roman"/>
          <w:color w:val="000000"/>
          <w:sz w:val="28"/>
          <w:szCs w:val="28"/>
          <w:shd w:val="clear" w:color="auto" w:fill="FFFFFF"/>
          <w:lang w:val="uk-UA"/>
        </w:rPr>
        <w:t xml:space="preserve">     </w:t>
      </w:r>
      <w:r w:rsidRPr="0083052D">
        <w:rPr>
          <w:rFonts w:ascii="Times New Roman" w:hAnsi="Times New Roman" w:cs="Times New Roman"/>
          <w:color w:val="000000"/>
          <w:sz w:val="28"/>
          <w:szCs w:val="28"/>
          <w:shd w:val="clear" w:color="auto" w:fill="FFFFFF"/>
          <w:lang w:val="uk-UA"/>
        </w:rPr>
        <w:t>у пацієнтів із надлишковою масою тіла та ожирінням за рахунок збільшення ППТ. При ожирінні маса тіла та ППТ у хворих зростають за рахунок жирової тканини. Збільшення значення ППТ може нівелювати виявлення можлив</w:t>
      </w:r>
      <w:r w:rsidR="00092370">
        <w:rPr>
          <w:rFonts w:ascii="Times New Roman" w:hAnsi="Times New Roman" w:cs="Times New Roman"/>
          <w:color w:val="000000"/>
          <w:sz w:val="28"/>
          <w:szCs w:val="28"/>
          <w:shd w:val="clear" w:color="auto" w:fill="FFFFFF"/>
          <w:lang w:val="uk-UA"/>
        </w:rPr>
        <w:t>ого патологічного збільшення ММ</w:t>
      </w:r>
      <w:r w:rsidRPr="0083052D">
        <w:rPr>
          <w:rFonts w:ascii="Times New Roman" w:hAnsi="Times New Roman" w:cs="Times New Roman"/>
          <w:color w:val="000000"/>
          <w:sz w:val="28"/>
          <w:szCs w:val="28"/>
          <w:shd w:val="clear" w:color="auto" w:fill="FFFFFF"/>
          <w:lang w:val="uk-UA"/>
        </w:rPr>
        <w:t xml:space="preserve">ЛШ при ожирінні. </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t>Формули, що були використані для обчислення ІММЛШ:</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ІММ (г/м</w:t>
      </w:r>
      <w:r>
        <w:rPr>
          <w:rFonts w:ascii="Times New Roman" w:hAnsi="Times New Roman" w:cs="Times New Roman"/>
          <w:color w:val="000000"/>
          <w:sz w:val="28"/>
          <w:szCs w:val="28"/>
          <w:shd w:val="clear" w:color="auto" w:fill="FFFFFF"/>
          <w:vertAlign w:val="superscript"/>
          <w:lang w:val="uk-UA"/>
        </w:rPr>
        <w:t>2,7</w:t>
      </w:r>
      <w:r>
        <w:rPr>
          <w:rFonts w:ascii="Times New Roman" w:hAnsi="Times New Roman" w:cs="Times New Roman"/>
          <w:color w:val="000000"/>
          <w:sz w:val="28"/>
          <w:szCs w:val="28"/>
          <w:shd w:val="clear" w:color="auto" w:fill="FFFFFF"/>
          <w:lang w:val="uk-UA"/>
        </w:rPr>
        <w:t>) = ММЛШ/зріст</w:t>
      </w:r>
      <w:r>
        <w:rPr>
          <w:rFonts w:ascii="Times New Roman" w:hAnsi="Times New Roman" w:cs="Times New Roman"/>
          <w:color w:val="000000"/>
          <w:sz w:val="28"/>
          <w:szCs w:val="28"/>
          <w:shd w:val="clear" w:color="auto" w:fill="FFFFFF"/>
          <w:vertAlign w:val="superscript"/>
          <w:lang w:val="uk-UA"/>
        </w:rPr>
        <w:t>2,7</w:t>
      </w:r>
      <w:r w:rsidR="00A818B9">
        <w:rPr>
          <w:rFonts w:ascii="Times New Roman" w:hAnsi="Times New Roman" w:cs="Times New Roman"/>
          <w:color w:val="000000"/>
          <w:sz w:val="28"/>
          <w:szCs w:val="28"/>
          <w:shd w:val="clear" w:color="auto" w:fill="FFFFFF"/>
          <w:lang w:val="uk-UA"/>
        </w:rPr>
        <w:t>[</w:t>
      </w:r>
      <w:r w:rsidR="004B16DA">
        <w:rPr>
          <w:rFonts w:ascii="Times New Roman" w:hAnsi="Times New Roman" w:cs="Times New Roman"/>
          <w:color w:val="000000"/>
          <w:sz w:val="28"/>
          <w:szCs w:val="28"/>
          <w:shd w:val="clear" w:color="auto" w:fill="FFFFFF"/>
          <w:lang w:val="uk-UA"/>
        </w:rPr>
        <w:t>23</w:t>
      </w:r>
      <w:r w:rsidRPr="0083052D">
        <w:rPr>
          <w:rFonts w:ascii="Times New Roman" w:hAnsi="Times New Roman" w:cs="Times New Roman"/>
          <w:color w:val="000000"/>
          <w:sz w:val="28"/>
          <w:szCs w:val="28"/>
          <w:shd w:val="clear" w:color="auto" w:fill="FFFFFF"/>
          <w:lang w:val="uk-UA"/>
        </w:rPr>
        <w:t>],</w:t>
      </w:r>
      <w:r w:rsidR="00ED4F5D">
        <w:rPr>
          <w:rFonts w:ascii="Times New Roman" w:hAnsi="Times New Roman" w:cs="Times New Roman"/>
          <w:color w:val="000000"/>
          <w:sz w:val="28"/>
          <w:szCs w:val="28"/>
          <w:shd w:val="clear" w:color="auto" w:fill="FFFFFF"/>
          <w:lang w:val="uk-UA"/>
        </w:rPr>
        <w:t xml:space="preserve">                                        </w:t>
      </w:r>
      <w:r w:rsidR="00E02F04" w:rsidRPr="00E02F04">
        <w:rPr>
          <w:rFonts w:ascii="Times New Roman" w:hAnsi="Times New Roman" w:cs="Times New Roman"/>
          <w:color w:val="000000"/>
          <w:sz w:val="28"/>
          <w:szCs w:val="28"/>
          <w:shd w:val="clear" w:color="auto" w:fill="FFFFFF"/>
        </w:rPr>
        <w:t xml:space="preserve">        </w:t>
      </w:r>
      <w:r w:rsidR="00A818B9">
        <w:rPr>
          <w:rFonts w:ascii="Times New Roman" w:hAnsi="Times New Roman" w:cs="Times New Roman"/>
          <w:color w:val="000000"/>
          <w:sz w:val="28"/>
          <w:szCs w:val="28"/>
          <w:shd w:val="clear" w:color="auto" w:fill="FFFFFF"/>
          <w:lang w:val="uk-UA"/>
        </w:rPr>
        <w:t xml:space="preserve">  </w:t>
      </w:r>
      <w:r w:rsidR="00ED4F5D">
        <w:rPr>
          <w:rFonts w:ascii="Times New Roman" w:hAnsi="Times New Roman" w:cs="Times New Roman"/>
          <w:color w:val="000000"/>
          <w:sz w:val="28"/>
          <w:szCs w:val="28"/>
          <w:shd w:val="clear" w:color="auto" w:fill="FFFFFF"/>
          <w:lang w:val="uk-UA"/>
        </w:rPr>
        <w:t>(2.2.10)</w:t>
      </w:r>
    </w:p>
    <w:p w:rsidR="0083052D" w:rsidRP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ІММ (г/м</w:t>
      </w:r>
      <w:r>
        <w:rPr>
          <w:rFonts w:ascii="Times New Roman" w:hAnsi="Times New Roman" w:cs="Times New Roman"/>
          <w:color w:val="000000"/>
          <w:sz w:val="28"/>
          <w:szCs w:val="28"/>
          <w:shd w:val="clear" w:color="auto" w:fill="FFFFFF"/>
          <w:vertAlign w:val="superscript"/>
          <w:lang w:val="uk-UA"/>
        </w:rPr>
        <w:t>2</w:t>
      </w:r>
      <w:r w:rsidR="00A818B9">
        <w:rPr>
          <w:rFonts w:ascii="Times New Roman" w:hAnsi="Times New Roman" w:cs="Times New Roman"/>
          <w:color w:val="000000"/>
          <w:sz w:val="28"/>
          <w:szCs w:val="28"/>
          <w:shd w:val="clear" w:color="auto" w:fill="FFFFFF"/>
          <w:lang w:val="uk-UA"/>
        </w:rPr>
        <w:t>) = ММЛШ/ППТ [</w:t>
      </w:r>
      <w:r w:rsidR="004B16DA">
        <w:rPr>
          <w:rFonts w:ascii="Times New Roman" w:hAnsi="Times New Roman" w:cs="Times New Roman"/>
          <w:color w:val="000000"/>
          <w:sz w:val="28"/>
          <w:szCs w:val="28"/>
          <w:shd w:val="clear" w:color="auto" w:fill="FFFFFF"/>
          <w:lang w:val="uk-UA"/>
        </w:rPr>
        <w:t>138</w:t>
      </w:r>
      <w:r w:rsidRPr="0083052D">
        <w:rPr>
          <w:rFonts w:ascii="Times New Roman" w:hAnsi="Times New Roman" w:cs="Times New Roman"/>
          <w:color w:val="000000"/>
          <w:sz w:val="28"/>
          <w:szCs w:val="28"/>
          <w:shd w:val="clear" w:color="auto" w:fill="FFFFFF"/>
          <w:lang w:val="uk-UA"/>
        </w:rPr>
        <w:t>].</w:t>
      </w:r>
      <w:r w:rsidR="00ED4F5D">
        <w:rPr>
          <w:rFonts w:ascii="Times New Roman" w:hAnsi="Times New Roman" w:cs="Times New Roman"/>
          <w:color w:val="000000"/>
          <w:sz w:val="28"/>
          <w:szCs w:val="28"/>
          <w:shd w:val="clear" w:color="auto" w:fill="FFFFFF"/>
          <w:lang w:val="uk-UA"/>
        </w:rPr>
        <w:t xml:space="preserve">                                                    </w:t>
      </w:r>
      <w:r w:rsidR="00880E59">
        <w:rPr>
          <w:rFonts w:ascii="Times New Roman" w:hAnsi="Times New Roman" w:cs="Times New Roman"/>
          <w:color w:val="000000"/>
          <w:sz w:val="28"/>
          <w:szCs w:val="28"/>
          <w:shd w:val="clear" w:color="auto" w:fill="FFFFFF"/>
          <w:lang w:val="uk-UA"/>
        </w:rPr>
        <w:t xml:space="preserve"> </w:t>
      </w:r>
      <w:r w:rsidR="00ED4F5D">
        <w:rPr>
          <w:rFonts w:ascii="Times New Roman" w:hAnsi="Times New Roman" w:cs="Times New Roman"/>
          <w:color w:val="000000"/>
          <w:sz w:val="28"/>
          <w:szCs w:val="28"/>
          <w:shd w:val="clear" w:color="auto" w:fill="FFFFFF"/>
          <w:lang w:val="uk-UA"/>
        </w:rPr>
        <w:t>(2.2.11)</w:t>
      </w:r>
    </w:p>
    <w:p w:rsidR="0083052D" w:rsidRDefault="0083052D" w:rsidP="0083052D">
      <w:pPr>
        <w:spacing w:after="0" w:line="360" w:lineRule="auto"/>
        <w:ind w:firstLine="708"/>
        <w:jc w:val="both"/>
        <w:rPr>
          <w:rFonts w:ascii="Times New Roman" w:hAnsi="Times New Roman" w:cs="Times New Roman"/>
          <w:color w:val="000000"/>
          <w:sz w:val="28"/>
          <w:szCs w:val="28"/>
          <w:shd w:val="clear" w:color="auto" w:fill="FFFFFF"/>
          <w:lang w:val="uk-UA"/>
        </w:rPr>
      </w:pPr>
      <w:r w:rsidRPr="0083052D">
        <w:rPr>
          <w:rFonts w:ascii="Times New Roman" w:hAnsi="Times New Roman" w:cs="Times New Roman"/>
          <w:color w:val="000000"/>
          <w:sz w:val="28"/>
          <w:szCs w:val="28"/>
          <w:shd w:val="clear" w:color="auto" w:fill="FFFFFF"/>
          <w:lang w:val="uk-UA"/>
        </w:rPr>
        <w:t>На підставі величини ІММЛШ та ВТСЛШ виділили 4 геометричних типи ЛШ: нормальну геометрію (ІММЛШ у межах норми, ВТСЛШ &lt; 0,42); концентричне ремоделювання (ІММЛШ у межах норми, ВТСЛШ &gt; 0,42); концентричну гіпертрофію (ІММЛШ збільшений, ВТСЛШ &gt; 0,42); ексцентричну гіпертрофію (ІММЛШ зб</w:t>
      </w:r>
      <w:r w:rsidR="00A818B9">
        <w:rPr>
          <w:rFonts w:ascii="Times New Roman" w:hAnsi="Times New Roman" w:cs="Times New Roman"/>
          <w:color w:val="000000"/>
          <w:sz w:val="28"/>
          <w:szCs w:val="28"/>
          <w:shd w:val="clear" w:color="auto" w:fill="FFFFFF"/>
          <w:lang w:val="uk-UA"/>
        </w:rPr>
        <w:t>ільшена, ВТСЛШ &lt; 0,42) [</w:t>
      </w:r>
      <w:r w:rsidR="002746C2" w:rsidRPr="004B16DA">
        <w:rPr>
          <w:rFonts w:ascii="Times New Roman" w:hAnsi="Times New Roman" w:cs="Times New Roman"/>
          <w:color w:val="000000"/>
          <w:sz w:val="28"/>
          <w:szCs w:val="28"/>
          <w:shd w:val="clear" w:color="auto" w:fill="FFFFFF"/>
          <w:lang w:val="uk-UA"/>
        </w:rPr>
        <w:t>2</w:t>
      </w:r>
      <w:r w:rsidR="004B16DA">
        <w:rPr>
          <w:rFonts w:ascii="Times New Roman" w:hAnsi="Times New Roman" w:cs="Times New Roman"/>
          <w:color w:val="000000"/>
          <w:sz w:val="28"/>
          <w:szCs w:val="28"/>
          <w:shd w:val="clear" w:color="auto" w:fill="FFFFFF"/>
          <w:lang w:val="uk-UA"/>
        </w:rPr>
        <w:t>3</w:t>
      </w:r>
      <w:r w:rsidR="00A818B9" w:rsidRPr="004B16DA">
        <w:rPr>
          <w:rFonts w:ascii="Times New Roman" w:hAnsi="Times New Roman" w:cs="Times New Roman"/>
          <w:color w:val="000000"/>
          <w:sz w:val="28"/>
          <w:szCs w:val="28"/>
          <w:shd w:val="clear" w:color="auto" w:fill="FFFFFF"/>
          <w:lang w:val="uk-UA"/>
        </w:rPr>
        <w:t>,</w:t>
      </w:r>
      <w:r w:rsidR="004B16DA">
        <w:rPr>
          <w:rFonts w:ascii="Times New Roman" w:hAnsi="Times New Roman" w:cs="Times New Roman"/>
          <w:color w:val="000000"/>
          <w:sz w:val="28"/>
          <w:szCs w:val="28"/>
          <w:shd w:val="clear" w:color="auto" w:fill="FFFFFF"/>
          <w:lang w:val="uk-UA"/>
        </w:rPr>
        <w:t>139</w:t>
      </w:r>
      <w:r w:rsidRPr="0083052D">
        <w:rPr>
          <w:rFonts w:ascii="Times New Roman" w:hAnsi="Times New Roman" w:cs="Times New Roman"/>
          <w:color w:val="000000"/>
          <w:sz w:val="28"/>
          <w:szCs w:val="28"/>
          <w:shd w:val="clear" w:color="auto" w:fill="FFFFFF"/>
          <w:lang w:val="uk-UA"/>
        </w:rPr>
        <w:t xml:space="preserve">]. </w:t>
      </w:r>
    </w:p>
    <w:p w:rsidR="0019552C" w:rsidRPr="00271BB5" w:rsidRDefault="00F408C6" w:rsidP="00271BB5">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hAnsi="Times New Roman" w:cs="Times New Roman"/>
          <w:color w:val="000000"/>
          <w:sz w:val="28"/>
          <w:szCs w:val="28"/>
          <w:shd w:val="clear" w:color="auto" w:fill="FFFFFF"/>
          <w:lang w:val="uk-UA"/>
        </w:rPr>
        <w:t xml:space="preserve">Було проведено </w:t>
      </w:r>
      <w:r w:rsidR="000C4558" w:rsidRPr="00A03291">
        <w:rPr>
          <w:rFonts w:ascii="Times New Roman" w:hAnsi="Times New Roman" w:cs="Times New Roman"/>
          <w:color w:val="000000"/>
          <w:sz w:val="28"/>
          <w:szCs w:val="28"/>
          <w:shd w:val="clear" w:color="auto" w:fill="FFFFFF"/>
          <w:lang w:val="uk-UA"/>
        </w:rPr>
        <w:t>доплер</w:t>
      </w:r>
      <w:r w:rsidR="0083052D">
        <w:rPr>
          <w:rFonts w:ascii="Times New Roman" w:hAnsi="Times New Roman" w:cs="Times New Roman"/>
          <w:color w:val="000000"/>
          <w:sz w:val="28"/>
          <w:szCs w:val="28"/>
          <w:shd w:val="clear" w:color="auto" w:fill="FFFFFF"/>
          <w:lang w:val="uk-UA"/>
        </w:rPr>
        <w:t>ехокардіо</w:t>
      </w:r>
      <w:r w:rsidR="00F05330">
        <w:rPr>
          <w:rFonts w:ascii="Times New Roman" w:hAnsi="Times New Roman" w:cs="Times New Roman"/>
          <w:color w:val="000000"/>
          <w:sz w:val="28"/>
          <w:szCs w:val="28"/>
          <w:shd w:val="clear" w:color="auto" w:fill="FFFFFF"/>
          <w:lang w:val="uk-UA"/>
        </w:rPr>
        <w:t>графію</w:t>
      </w:r>
      <w:r>
        <w:rPr>
          <w:rFonts w:ascii="Times New Roman" w:hAnsi="Times New Roman" w:cs="Times New Roman"/>
          <w:color w:val="000000"/>
          <w:sz w:val="28"/>
          <w:szCs w:val="28"/>
          <w:shd w:val="clear" w:color="auto" w:fill="FFFFFF"/>
          <w:lang w:val="uk-UA"/>
        </w:rPr>
        <w:t>. П</w:t>
      </w:r>
      <w:r w:rsidR="000C4558" w:rsidRPr="00A03291">
        <w:rPr>
          <w:rFonts w:ascii="Times New Roman" w:hAnsi="Times New Roman" w:cs="Times New Roman"/>
          <w:color w:val="000000"/>
          <w:sz w:val="28"/>
          <w:szCs w:val="28"/>
          <w:shd w:val="clear" w:color="auto" w:fill="FFFFFF"/>
          <w:lang w:val="uk-UA"/>
        </w:rPr>
        <w:t>ікова швидкість крово</w:t>
      </w:r>
      <w:r w:rsidR="00D02643">
        <w:rPr>
          <w:rFonts w:ascii="Times New Roman" w:hAnsi="Times New Roman" w:cs="Times New Roman"/>
          <w:color w:val="000000"/>
          <w:sz w:val="28"/>
          <w:szCs w:val="28"/>
          <w:shd w:val="clear" w:color="auto" w:fill="FFFFFF"/>
          <w:lang w:val="uk-UA"/>
        </w:rPr>
        <w:t>току через мітральний клапан при ранньому діастолічному</w:t>
      </w:r>
      <w:r w:rsidR="000C4558" w:rsidRPr="00A03291">
        <w:rPr>
          <w:rFonts w:ascii="Times New Roman" w:hAnsi="Times New Roman" w:cs="Times New Roman"/>
          <w:color w:val="000000"/>
          <w:sz w:val="28"/>
          <w:szCs w:val="28"/>
          <w:shd w:val="clear" w:color="auto" w:fill="FFFFFF"/>
          <w:lang w:val="uk-UA"/>
        </w:rPr>
        <w:t xml:space="preserve"> наповненн</w:t>
      </w:r>
      <w:r w:rsidR="00D02643">
        <w:rPr>
          <w:rFonts w:ascii="Times New Roman" w:hAnsi="Times New Roman" w:cs="Times New Roman"/>
          <w:color w:val="000000"/>
          <w:sz w:val="28"/>
          <w:szCs w:val="28"/>
          <w:shd w:val="clear" w:color="auto" w:fill="FFFFFF"/>
          <w:lang w:val="uk-UA"/>
        </w:rPr>
        <w:t>і відповідала</w:t>
      </w:r>
      <w:r w:rsidR="000C4558" w:rsidRPr="00A03291">
        <w:rPr>
          <w:rFonts w:ascii="Times New Roman" w:hAnsi="Times New Roman" w:cs="Times New Roman"/>
          <w:color w:val="000000"/>
          <w:sz w:val="28"/>
          <w:szCs w:val="28"/>
          <w:shd w:val="clear" w:color="auto" w:fill="FFFFFF"/>
          <w:lang w:val="uk-UA"/>
        </w:rPr>
        <w:t xml:space="preserve"> хвилі Е, тоді як швидкість кровотоку </w:t>
      </w:r>
      <w:r w:rsidR="00D02643">
        <w:rPr>
          <w:rFonts w:ascii="Times New Roman" w:hAnsi="Times New Roman" w:cs="Times New Roman"/>
          <w:color w:val="000000"/>
          <w:sz w:val="28"/>
          <w:szCs w:val="28"/>
          <w:shd w:val="clear" w:color="auto" w:fill="FFFFFF"/>
          <w:lang w:val="uk-UA"/>
        </w:rPr>
        <w:t>при скороченні передсердь відповідала</w:t>
      </w:r>
      <w:r w:rsidR="000C4558" w:rsidRPr="00A03291">
        <w:rPr>
          <w:rFonts w:ascii="Times New Roman" w:hAnsi="Times New Roman" w:cs="Times New Roman"/>
          <w:color w:val="000000"/>
          <w:sz w:val="28"/>
          <w:szCs w:val="28"/>
          <w:shd w:val="clear" w:color="auto" w:fill="FFFFFF"/>
          <w:lang w:val="uk-UA"/>
        </w:rPr>
        <w:t xml:space="preserve"> хвилі А. </w:t>
      </w:r>
      <w:r w:rsidR="00D02643">
        <w:rPr>
          <w:rFonts w:ascii="Times New Roman" w:hAnsi="Times New Roman" w:cs="Times New Roman"/>
          <w:color w:val="000000"/>
          <w:sz w:val="28"/>
          <w:szCs w:val="28"/>
          <w:shd w:val="clear" w:color="auto" w:fill="FFFFFF"/>
          <w:lang w:val="uk-UA"/>
        </w:rPr>
        <w:t>З</w:t>
      </w:r>
      <w:r w:rsidR="000C4558" w:rsidRPr="00A03291">
        <w:rPr>
          <w:rFonts w:ascii="Times New Roman" w:hAnsi="Times New Roman" w:cs="Times New Roman"/>
          <w:color w:val="000000"/>
          <w:sz w:val="28"/>
          <w:szCs w:val="28"/>
          <w:shd w:val="clear" w:color="auto" w:fill="FFFFFF"/>
          <w:lang w:val="uk-UA"/>
        </w:rPr>
        <w:t xml:space="preserve"> о</w:t>
      </w:r>
      <w:r w:rsidR="00D02643">
        <w:rPr>
          <w:rFonts w:ascii="Times New Roman" w:hAnsi="Times New Roman" w:cs="Times New Roman"/>
          <w:color w:val="000000"/>
          <w:sz w:val="28"/>
          <w:szCs w:val="28"/>
          <w:shd w:val="clear" w:color="auto" w:fill="FFFFFF"/>
          <w:lang w:val="uk-UA"/>
        </w:rPr>
        <w:t>держ</w:t>
      </w:r>
      <w:r w:rsidR="00F05330">
        <w:rPr>
          <w:rFonts w:ascii="Times New Roman" w:hAnsi="Times New Roman" w:cs="Times New Roman"/>
          <w:color w:val="000000"/>
          <w:sz w:val="28"/>
          <w:szCs w:val="28"/>
          <w:shd w:val="clear" w:color="auto" w:fill="FFFFFF"/>
          <w:lang w:val="uk-UA"/>
        </w:rPr>
        <w:t>аних даних здійснене обчислення</w:t>
      </w:r>
      <w:r w:rsidR="000C4558" w:rsidRPr="00A03291">
        <w:rPr>
          <w:rFonts w:ascii="Times New Roman" w:hAnsi="Times New Roman" w:cs="Times New Roman"/>
          <w:color w:val="000000"/>
          <w:sz w:val="28"/>
          <w:szCs w:val="28"/>
          <w:shd w:val="clear" w:color="auto" w:fill="FFFFFF"/>
          <w:lang w:val="uk-UA"/>
        </w:rPr>
        <w:t xml:space="preserve"> співвідношення Е/А. </w:t>
      </w:r>
      <w:r w:rsidR="00271BB5">
        <w:rPr>
          <w:rFonts w:ascii="Times New Roman" w:hAnsi="Times New Roman" w:cs="Times New Roman"/>
          <w:color w:val="000000"/>
          <w:sz w:val="28"/>
          <w:szCs w:val="28"/>
          <w:shd w:val="clear" w:color="auto" w:fill="FFFFFF"/>
          <w:lang w:val="uk-UA"/>
        </w:rPr>
        <w:t xml:space="preserve">         </w:t>
      </w:r>
      <w:r w:rsidR="00D02643">
        <w:rPr>
          <w:rFonts w:ascii="Times New Roman" w:hAnsi="Times New Roman" w:cs="Times New Roman"/>
          <w:color w:val="000000"/>
          <w:sz w:val="28"/>
          <w:szCs w:val="28"/>
          <w:shd w:val="clear" w:color="auto" w:fill="FFFFFF"/>
          <w:lang w:val="uk-UA"/>
        </w:rPr>
        <w:t>У</w:t>
      </w:r>
      <w:r w:rsidR="000C4558" w:rsidRPr="00A03291">
        <w:rPr>
          <w:rFonts w:ascii="Times New Roman" w:hAnsi="Times New Roman" w:cs="Times New Roman"/>
          <w:color w:val="000000"/>
          <w:sz w:val="28"/>
          <w:szCs w:val="28"/>
          <w:shd w:val="clear" w:color="auto" w:fill="FFFFFF"/>
          <w:lang w:val="uk-UA"/>
        </w:rPr>
        <w:t xml:space="preserve"> нормі амплітуда хвилі Е вища за амплітуду хвилі А</w:t>
      </w:r>
      <w:r w:rsidR="00D02643">
        <w:rPr>
          <w:rFonts w:ascii="Times New Roman" w:hAnsi="Times New Roman" w:cs="Times New Roman"/>
          <w:color w:val="000000"/>
          <w:sz w:val="28"/>
          <w:szCs w:val="28"/>
          <w:shd w:val="clear" w:color="auto" w:fill="FFFFFF"/>
          <w:lang w:val="uk-UA"/>
        </w:rPr>
        <w:t>,</w:t>
      </w:r>
      <w:r w:rsidR="000C4558" w:rsidRPr="00A03291">
        <w:rPr>
          <w:rFonts w:ascii="Times New Roman" w:hAnsi="Times New Roman" w:cs="Times New Roman"/>
          <w:color w:val="000000"/>
          <w:sz w:val="28"/>
          <w:szCs w:val="28"/>
          <w:shd w:val="clear" w:color="auto" w:fill="FFFFFF"/>
          <w:lang w:val="uk-UA"/>
        </w:rPr>
        <w:t xml:space="preserve"> і співвідношення Е/А становить приблизно 1,5.</w:t>
      </w:r>
      <w:r w:rsidR="00F05330">
        <w:rPr>
          <w:rFonts w:ascii="Times New Roman" w:hAnsi="Times New Roman" w:cs="Times New Roman"/>
          <w:sz w:val="28"/>
          <w:szCs w:val="28"/>
          <w:lang w:val="uk-UA"/>
        </w:rPr>
        <w:t xml:space="preserve"> </w:t>
      </w:r>
      <w:r w:rsidR="00F05330">
        <w:rPr>
          <w:rFonts w:ascii="Times New Roman" w:hAnsi="Times New Roman" w:cs="Times New Roman"/>
          <w:color w:val="000000"/>
          <w:sz w:val="28"/>
          <w:szCs w:val="28"/>
          <w:shd w:val="clear" w:color="auto" w:fill="FFFFFF"/>
          <w:lang w:val="uk-UA"/>
        </w:rPr>
        <w:t>П</w:t>
      </w:r>
      <w:r w:rsidR="00D02643">
        <w:rPr>
          <w:rFonts w:ascii="Times New Roman" w:hAnsi="Times New Roman" w:cs="Times New Roman"/>
          <w:color w:val="000000"/>
          <w:sz w:val="28"/>
          <w:szCs w:val="28"/>
          <w:shd w:val="clear" w:color="auto" w:fill="FFFFFF"/>
          <w:lang w:val="uk-UA"/>
        </w:rPr>
        <w:t>роцес релаксації</w:t>
      </w:r>
      <w:r w:rsidR="00F05330">
        <w:rPr>
          <w:rFonts w:ascii="Times New Roman" w:hAnsi="Times New Roman" w:cs="Times New Roman"/>
          <w:color w:val="000000"/>
          <w:sz w:val="28"/>
          <w:szCs w:val="28"/>
          <w:shd w:val="clear" w:color="auto" w:fill="FFFFFF"/>
          <w:lang w:val="uk-UA"/>
        </w:rPr>
        <w:t xml:space="preserve"> порушується на </w:t>
      </w:r>
      <w:r w:rsidR="00F05330" w:rsidRPr="00F05330">
        <w:rPr>
          <w:rFonts w:ascii="Times New Roman" w:hAnsi="Times New Roman" w:cs="Times New Roman"/>
          <w:color w:val="000000"/>
          <w:sz w:val="28"/>
          <w:szCs w:val="28"/>
          <w:shd w:val="clear" w:color="auto" w:fill="FFFFFF"/>
          <w:lang w:val="uk-UA"/>
        </w:rPr>
        <w:t>ранніх стадіях діастолічної дисфункції</w:t>
      </w:r>
      <w:r w:rsidR="000C4558" w:rsidRPr="00A03291">
        <w:rPr>
          <w:rFonts w:ascii="Times New Roman" w:hAnsi="Times New Roman" w:cs="Times New Roman"/>
          <w:color w:val="000000"/>
          <w:sz w:val="28"/>
          <w:szCs w:val="28"/>
          <w:shd w:val="clear" w:color="auto" w:fill="FFFFFF"/>
          <w:lang w:val="uk-UA"/>
        </w:rPr>
        <w:t xml:space="preserve"> за рахунок енергійного скорочення передсердь, співвідношення Е/А знижується і становить менше </w:t>
      </w:r>
      <w:r w:rsidR="00D02643">
        <w:rPr>
          <w:rFonts w:ascii="Times New Roman" w:hAnsi="Times New Roman" w:cs="Times New Roman"/>
          <w:color w:val="000000"/>
          <w:sz w:val="28"/>
          <w:szCs w:val="28"/>
          <w:shd w:val="clear" w:color="auto" w:fill="FFFFFF"/>
          <w:lang w:val="uk-UA"/>
        </w:rPr>
        <w:t xml:space="preserve">ніж </w:t>
      </w:r>
      <w:r w:rsidR="000C4558" w:rsidRPr="00A03291">
        <w:rPr>
          <w:rFonts w:ascii="Times New Roman" w:hAnsi="Times New Roman" w:cs="Times New Roman"/>
          <w:color w:val="000000"/>
          <w:sz w:val="28"/>
          <w:szCs w:val="28"/>
          <w:shd w:val="clear" w:color="auto" w:fill="FFFFFF"/>
          <w:lang w:val="uk-UA"/>
        </w:rPr>
        <w:t xml:space="preserve">1,0. </w:t>
      </w:r>
      <w:r w:rsidR="00D02643">
        <w:rPr>
          <w:rFonts w:ascii="Times New Roman" w:hAnsi="Times New Roman" w:cs="Times New Roman"/>
          <w:color w:val="000000"/>
          <w:sz w:val="28"/>
          <w:szCs w:val="28"/>
          <w:shd w:val="clear" w:color="auto" w:fill="FFFFFF"/>
          <w:lang w:val="uk-UA"/>
        </w:rPr>
        <w:t xml:space="preserve">У разі </w:t>
      </w:r>
      <w:r w:rsidR="00D02643">
        <w:rPr>
          <w:rFonts w:ascii="Times New Roman" w:hAnsi="Times New Roman" w:cs="Times New Roman"/>
          <w:color w:val="000000"/>
          <w:sz w:val="28"/>
          <w:szCs w:val="28"/>
          <w:shd w:val="clear" w:color="auto" w:fill="FFFFFF"/>
          <w:lang w:val="uk-UA"/>
        </w:rPr>
        <w:lastRenderedPageBreak/>
        <w:t>прогресування</w:t>
      </w:r>
      <w:r w:rsidR="000C4558" w:rsidRPr="00A03291">
        <w:rPr>
          <w:rFonts w:ascii="Times New Roman" w:hAnsi="Times New Roman" w:cs="Times New Roman"/>
          <w:color w:val="000000"/>
          <w:sz w:val="28"/>
          <w:szCs w:val="28"/>
          <w:shd w:val="clear" w:color="auto" w:fill="FFFFFF"/>
          <w:lang w:val="uk-UA"/>
        </w:rPr>
        <w:t xml:space="preserve"> захворювання знижується піддатливість ЛШ, </w:t>
      </w:r>
      <w:r w:rsidR="00A02006">
        <w:rPr>
          <w:rFonts w:ascii="Times New Roman" w:hAnsi="Times New Roman" w:cs="Times New Roman"/>
          <w:color w:val="000000"/>
          <w:sz w:val="28"/>
          <w:szCs w:val="28"/>
          <w:shd w:val="clear" w:color="auto" w:fill="FFFFFF"/>
          <w:lang w:val="uk-UA"/>
        </w:rPr>
        <w:t>унаслідок ць</w:t>
      </w:r>
      <w:r w:rsidR="000C4558" w:rsidRPr="00A03291">
        <w:rPr>
          <w:rFonts w:ascii="Times New Roman" w:hAnsi="Times New Roman" w:cs="Times New Roman"/>
          <w:color w:val="000000"/>
          <w:sz w:val="28"/>
          <w:szCs w:val="28"/>
          <w:shd w:val="clear" w:color="auto" w:fill="FFFFFF"/>
          <w:lang w:val="uk-UA"/>
        </w:rPr>
        <w:t>ого зростає тиск</w:t>
      </w:r>
      <w:r w:rsidR="00A02006">
        <w:rPr>
          <w:rFonts w:ascii="Times New Roman" w:hAnsi="Times New Roman" w:cs="Times New Roman"/>
          <w:color w:val="000000"/>
          <w:sz w:val="28"/>
          <w:szCs w:val="28"/>
          <w:shd w:val="clear" w:color="auto" w:fill="FFFFFF"/>
          <w:lang w:val="uk-UA"/>
        </w:rPr>
        <w:t xml:space="preserve"> у лівому передсерді (ЛП); це, у</w:t>
      </w:r>
      <w:r w:rsidR="000C4558" w:rsidRPr="00A03291">
        <w:rPr>
          <w:rFonts w:ascii="Times New Roman" w:hAnsi="Times New Roman" w:cs="Times New Roman"/>
          <w:color w:val="000000"/>
          <w:sz w:val="28"/>
          <w:szCs w:val="28"/>
          <w:shd w:val="clear" w:color="auto" w:fill="FFFFFF"/>
          <w:lang w:val="uk-UA"/>
        </w:rPr>
        <w:t xml:space="preserve"> свою чергу, збільшує раннє наповнення ЛШ, незважаючи на порушення його релаксації. Така парадоксальна нормалізація співвідношення Е/А називається псевдонормалізацією. У пацієнтів </w:t>
      </w:r>
      <w:r w:rsidR="00A02006">
        <w:rPr>
          <w:rFonts w:ascii="Times New Roman" w:hAnsi="Times New Roman" w:cs="Times New Roman"/>
          <w:color w:val="000000"/>
          <w:sz w:val="28"/>
          <w:szCs w:val="28"/>
          <w:shd w:val="clear" w:color="auto" w:fill="FFFFFF"/>
          <w:lang w:val="uk-UA"/>
        </w:rPr>
        <w:t>і</w:t>
      </w:r>
      <w:r w:rsidR="000C4558" w:rsidRPr="00A03291">
        <w:rPr>
          <w:rFonts w:ascii="Times New Roman" w:hAnsi="Times New Roman" w:cs="Times New Roman"/>
          <w:color w:val="000000"/>
          <w:sz w:val="28"/>
          <w:szCs w:val="28"/>
          <w:shd w:val="clear" w:color="auto" w:fill="FFFFFF"/>
          <w:lang w:val="uk-UA"/>
        </w:rPr>
        <w:t xml:space="preserve">з тяжкою діастолічною дисфункцією наповнення ЛШ відбувається переважно в ранню діастолу, внаслідок </w:t>
      </w:r>
      <w:r w:rsidR="00A02006">
        <w:rPr>
          <w:rFonts w:ascii="Times New Roman" w:hAnsi="Times New Roman" w:cs="Times New Roman"/>
          <w:color w:val="000000"/>
          <w:sz w:val="28"/>
          <w:szCs w:val="28"/>
          <w:shd w:val="clear" w:color="auto" w:fill="FFFFFF"/>
          <w:lang w:val="uk-UA"/>
        </w:rPr>
        <w:t>ць</w:t>
      </w:r>
      <w:r w:rsidR="000C4558" w:rsidRPr="00A03291">
        <w:rPr>
          <w:rFonts w:ascii="Times New Roman" w:hAnsi="Times New Roman" w:cs="Times New Roman"/>
          <w:color w:val="000000"/>
          <w:sz w:val="28"/>
          <w:szCs w:val="28"/>
          <w:shd w:val="clear" w:color="auto" w:fill="FFFFFF"/>
          <w:lang w:val="uk-UA"/>
        </w:rPr>
        <w:t>ого співвідношення Е/А становить понад 2,0, що відповідає рестриктивному типу порушення</w:t>
      </w:r>
      <w:r w:rsidR="00FD120C">
        <w:rPr>
          <w:rFonts w:ascii="Times New Roman" w:eastAsia="Times New Roman" w:hAnsi="Times New Roman" w:cs="Times New Roman"/>
          <w:color w:val="000000"/>
          <w:sz w:val="28"/>
          <w:szCs w:val="28"/>
          <w:lang w:val="uk-UA" w:eastAsia="ru-RU"/>
        </w:rPr>
        <w:t xml:space="preserve"> </w:t>
      </w:r>
      <w:r w:rsidR="00FD120C" w:rsidRPr="004B16DA">
        <w:rPr>
          <w:rFonts w:ascii="Times New Roman" w:eastAsia="Times New Roman" w:hAnsi="Times New Roman" w:cs="Times New Roman"/>
          <w:color w:val="000000"/>
          <w:sz w:val="28"/>
          <w:szCs w:val="28"/>
          <w:lang w:val="uk-UA" w:eastAsia="ru-RU"/>
        </w:rPr>
        <w:t>[</w:t>
      </w:r>
      <w:r w:rsidR="004B16DA">
        <w:rPr>
          <w:rFonts w:ascii="Times New Roman" w:eastAsia="Times New Roman" w:hAnsi="Times New Roman" w:cs="Times New Roman"/>
          <w:color w:val="000000"/>
          <w:sz w:val="28"/>
          <w:szCs w:val="28"/>
          <w:lang w:val="uk-UA" w:eastAsia="ru-RU"/>
        </w:rPr>
        <w:t>125</w:t>
      </w:r>
      <w:r w:rsidR="000C4558" w:rsidRPr="003208AF">
        <w:rPr>
          <w:rFonts w:ascii="Times New Roman" w:eastAsia="Times New Roman" w:hAnsi="Times New Roman" w:cs="Times New Roman"/>
          <w:color w:val="000000"/>
          <w:sz w:val="28"/>
          <w:szCs w:val="28"/>
          <w:lang w:val="uk-UA" w:eastAsia="ru-RU"/>
        </w:rPr>
        <w:t>].</w:t>
      </w:r>
    </w:p>
    <w:p w:rsidR="00D278ED" w:rsidRPr="00516CE0" w:rsidRDefault="00D278ED" w:rsidP="00FA202D">
      <w:pPr>
        <w:spacing w:after="0" w:line="360" w:lineRule="auto"/>
        <w:ind w:firstLine="708"/>
        <w:jc w:val="both"/>
        <w:rPr>
          <w:rFonts w:ascii="Times New Roman" w:hAnsi="Times New Roman" w:cs="Times New Roman"/>
          <w:b/>
          <w:sz w:val="28"/>
          <w:szCs w:val="28"/>
          <w:lang w:val="uk-UA"/>
        </w:rPr>
      </w:pPr>
      <w:r w:rsidRPr="00516CE0">
        <w:rPr>
          <w:rFonts w:ascii="Times New Roman" w:hAnsi="Times New Roman" w:cs="Times New Roman"/>
          <w:b/>
          <w:sz w:val="28"/>
          <w:szCs w:val="28"/>
          <w:lang w:val="uk-UA"/>
        </w:rPr>
        <w:t>Статистичні методи</w:t>
      </w:r>
      <w:r w:rsidR="00612BFC" w:rsidRPr="00516CE0">
        <w:rPr>
          <w:rFonts w:ascii="Times New Roman" w:hAnsi="Times New Roman" w:cs="Times New Roman"/>
          <w:b/>
          <w:sz w:val="28"/>
          <w:szCs w:val="28"/>
          <w:lang w:val="uk-UA"/>
        </w:rPr>
        <w:t xml:space="preserve"> </w:t>
      </w:r>
    </w:p>
    <w:p w:rsidR="00D723E7" w:rsidRPr="007438B0" w:rsidRDefault="00C8239C" w:rsidP="007438B0">
      <w:pPr>
        <w:spacing w:after="0" w:line="360" w:lineRule="auto"/>
        <w:ind w:firstLine="708"/>
        <w:jc w:val="both"/>
        <w:rPr>
          <w:rFonts w:ascii="Times New Roman" w:eastAsia="Times New Roman" w:hAnsi="Times New Roman" w:cs="Times New Roman"/>
          <w:color w:val="000000"/>
          <w:sz w:val="28"/>
          <w:szCs w:val="28"/>
          <w:lang w:val="uk-UA" w:eastAsia="ru-RU"/>
        </w:rPr>
      </w:pPr>
      <w:r w:rsidRPr="00825F63">
        <w:rPr>
          <w:rFonts w:ascii="Times New Roman" w:eastAsia="Times New Roman" w:hAnsi="Times New Roman" w:cs="Times New Roman"/>
          <w:color w:val="000000"/>
          <w:sz w:val="28"/>
          <w:szCs w:val="28"/>
          <w:lang w:val="uk-UA" w:eastAsia="ru-RU"/>
        </w:rPr>
        <w:t>О</w:t>
      </w:r>
      <w:r w:rsidR="00A02006">
        <w:rPr>
          <w:rFonts w:ascii="Times New Roman" w:eastAsia="Times New Roman" w:hAnsi="Times New Roman" w:cs="Times New Roman"/>
          <w:color w:val="000000"/>
          <w:sz w:val="28"/>
          <w:szCs w:val="28"/>
          <w:lang w:val="uk-UA" w:eastAsia="ru-RU"/>
        </w:rPr>
        <w:t>держ</w:t>
      </w:r>
      <w:r>
        <w:rPr>
          <w:rFonts w:ascii="Times New Roman" w:eastAsia="Times New Roman" w:hAnsi="Times New Roman" w:cs="Times New Roman"/>
          <w:color w:val="000000"/>
          <w:sz w:val="28"/>
          <w:szCs w:val="28"/>
          <w:lang w:val="uk-UA" w:eastAsia="ru-RU"/>
        </w:rPr>
        <w:t xml:space="preserve">ані дані </w:t>
      </w:r>
      <w:r w:rsidR="00A02006">
        <w:rPr>
          <w:rFonts w:ascii="Times New Roman" w:eastAsia="Times New Roman" w:hAnsi="Times New Roman" w:cs="Times New Roman"/>
          <w:color w:val="000000"/>
          <w:sz w:val="28"/>
          <w:szCs w:val="28"/>
          <w:lang w:val="uk-UA" w:eastAsia="ru-RU"/>
        </w:rPr>
        <w:t>оброб</w:t>
      </w:r>
      <w:r w:rsidR="004635B1">
        <w:rPr>
          <w:rFonts w:ascii="Times New Roman" w:eastAsia="Times New Roman" w:hAnsi="Times New Roman" w:cs="Times New Roman"/>
          <w:color w:val="000000"/>
          <w:sz w:val="28"/>
          <w:szCs w:val="28"/>
          <w:lang w:val="uk-UA" w:eastAsia="ru-RU"/>
        </w:rPr>
        <w:t>лені</w:t>
      </w:r>
      <w:r>
        <w:rPr>
          <w:rFonts w:ascii="Times New Roman" w:eastAsia="Times New Roman" w:hAnsi="Times New Roman" w:cs="Times New Roman"/>
          <w:color w:val="000000"/>
          <w:sz w:val="28"/>
          <w:szCs w:val="28"/>
          <w:lang w:val="uk-UA" w:eastAsia="ru-RU"/>
        </w:rPr>
        <w:t xml:space="preserve"> </w:t>
      </w:r>
      <w:r w:rsidRPr="00825F63">
        <w:rPr>
          <w:rFonts w:ascii="Times New Roman" w:eastAsia="Times New Roman" w:hAnsi="Times New Roman" w:cs="Times New Roman"/>
          <w:color w:val="000000"/>
          <w:sz w:val="28"/>
          <w:szCs w:val="28"/>
          <w:lang w:val="uk-UA" w:eastAsia="ru-RU"/>
        </w:rPr>
        <w:t>методом варіаційної статистики за допомогою програм</w:t>
      </w:r>
      <w:r w:rsidR="00F56E23">
        <w:rPr>
          <w:rFonts w:ascii="Times New Roman" w:eastAsia="Times New Roman" w:hAnsi="Times New Roman" w:cs="Times New Roman"/>
          <w:color w:val="000000"/>
          <w:sz w:val="28"/>
          <w:szCs w:val="28"/>
          <w:lang w:val="uk-UA" w:eastAsia="ru-RU"/>
        </w:rPr>
        <w:t>и</w:t>
      </w:r>
      <w:r w:rsidRPr="00825F63">
        <w:rPr>
          <w:rFonts w:ascii="Times New Roman" w:eastAsia="Times New Roman" w:hAnsi="Times New Roman" w:cs="Times New Roman"/>
          <w:color w:val="000000"/>
          <w:sz w:val="28"/>
          <w:szCs w:val="28"/>
          <w:lang w:val="uk-UA" w:eastAsia="ru-RU"/>
        </w:rPr>
        <w:t xml:space="preserve"> </w:t>
      </w:r>
      <w:r w:rsidRPr="00825F63">
        <w:rPr>
          <w:rFonts w:ascii="Times New Roman" w:eastAsia="Times New Roman" w:hAnsi="Times New Roman" w:cs="Times New Roman"/>
          <w:color w:val="000000"/>
          <w:sz w:val="28"/>
          <w:szCs w:val="28"/>
          <w:lang w:val="en-US" w:eastAsia="ru-RU"/>
        </w:rPr>
        <w:t>Microsoft</w:t>
      </w:r>
      <w:r w:rsidRPr="00825F63">
        <w:rPr>
          <w:rFonts w:ascii="Times New Roman" w:eastAsia="Times New Roman" w:hAnsi="Times New Roman" w:cs="Times New Roman"/>
          <w:color w:val="000000"/>
          <w:sz w:val="28"/>
          <w:szCs w:val="28"/>
          <w:lang w:val="uk-UA" w:eastAsia="ru-RU"/>
        </w:rPr>
        <w:t xml:space="preserve"> </w:t>
      </w:r>
      <w:r w:rsidRPr="00825F63">
        <w:rPr>
          <w:rFonts w:ascii="Times New Roman" w:eastAsia="Times New Roman" w:hAnsi="Times New Roman" w:cs="Times New Roman"/>
          <w:color w:val="000000"/>
          <w:sz w:val="28"/>
          <w:szCs w:val="28"/>
          <w:lang w:val="en-US" w:eastAsia="ru-RU"/>
        </w:rPr>
        <w:t>Ex</w:t>
      </w:r>
      <w:r w:rsidR="004A4EEE">
        <w:rPr>
          <w:rFonts w:ascii="Times New Roman" w:eastAsia="Times New Roman" w:hAnsi="Times New Roman" w:cs="Times New Roman"/>
          <w:color w:val="000000"/>
          <w:sz w:val="28"/>
          <w:szCs w:val="28"/>
          <w:lang w:val="en-US" w:eastAsia="ru-RU"/>
        </w:rPr>
        <w:t>c</w:t>
      </w:r>
      <w:r w:rsidRPr="00825F63">
        <w:rPr>
          <w:rFonts w:ascii="Times New Roman" w:eastAsia="Times New Roman" w:hAnsi="Times New Roman" w:cs="Times New Roman"/>
          <w:color w:val="000000"/>
          <w:sz w:val="28"/>
          <w:szCs w:val="28"/>
          <w:lang w:val="en-US" w:eastAsia="ru-RU"/>
        </w:rPr>
        <w:t>el</w:t>
      </w:r>
      <w:r w:rsidR="006B2F0A">
        <w:rPr>
          <w:rFonts w:ascii="Times New Roman" w:eastAsia="Times New Roman" w:hAnsi="Times New Roman" w:cs="Times New Roman"/>
          <w:color w:val="000000"/>
          <w:sz w:val="28"/>
          <w:szCs w:val="28"/>
          <w:lang w:val="uk-UA" w:eastAsia="ru-RU"/>
        </w:rPr>
        <w:t xml:space="preserve"> 2016</w:t>
      </w:r>
      <w:r w:rsidR="0065519A">
        <w:rPr>
          <w:rFonts w:ascii="Times New Roman" w:eastAsia="Times New Roman" w:hAnsi="Times New Roman" w:cs="Times New Roman"/>
          <w:color w:val="000000"/>
          <w:sz w:val="28"/>
          <w:szCs w:val="28"/>
          <w:lang w:val="uk-UA" w:eastAsia="ru-RU"/>
        </w:rPr>
        <w:t xml:space="preserve">. </w:t>
      </w:r>
      <w:r w:rsidR="00BD4EDA" w:rsidRPr="00BD4EDA">
        <w:rPr>
          <w:rFonts w:ascii="Times New Roman" w:eastAsia="Times New Roman" w:hAnsi="Times New Roman" w:cs="Times New Roman"/>
          <w:color w:val="000000"/>
          <w:sz w:val="28"/>
          <w:szCs w:val="28"/>
          <w:lang w:val="uk-UA" w:eastAsia="ru-RU"/>
        </w:rPr>
        <w:t>З</w:t>
      </w:r>
      <w:r w:rsidR="0065519A">
        <w:rPr>
          <w:rFonts w:ascii="Times New Roman" w:eastAsia="Times New Roman" w:hAnsi="Times New Roman" w:cs="Times New Roman"/>
          <w:color w:val="000000"/>
          <w:sz w:val="28"/>
          <w:szCs w:val="28"/>
          <w:lang w:val="uk-UA" w:eastAsia="ru-RU"/>
        </w:rPr>
        <w:t>а допомогою</w:t>
      </w:r>
      <w:r w:rsidR="00BD4EDA">
        <w:rPr>
          <w:rFonts w:ascii="Times New Roman" w:eastAsia="Times New Roman" w:hAnsi="Times New Roman" w:cs="Times New Roman"/>
          <w:color w:val="000000"/>
          <w:sz w:val="28"/>
          <w:szCs w:val="28"/>
          <w:lang w:val="uk-UA" w:eastAsia="ru-RU"/>
        </w:rPr>
        <w:t xml:space="preserve"> критерію Колм</w:t>
      </w:r>
      <w:r w:rsidR="004A4EEE">
        <w:rPr>
          <w:rFonts w:ascii="Times New Roman" w:eastAsia="Times New Roman" w:hAnsi="Times New Roman" w:cs="Times New Roman"/>
          <w:color w:val="000000"/>
          <w:sz w:val="28"/>
          <w:szCs w:val="28"/>
          <w:lang w:val="uk-UA" w:eastAsia="ru-RU"/>
        </w:rPr>
        <w:t>а</w:t>
      </w:r>
      <w:r w:rsidR="00BD4EDA">
        <w:rPr>
          <w:rFonts w:ascii="Times New Roman" w:eastAsia="Times New Roman" w:hAnsi="Times New Roman" w:cs="Times New Roman"/>
          <w:color w:val="000000"/>
          <w:sz w:val="28"/>
          <w:szCs w:val="28"/>
          <w:lang w:val="uk-UA" w:eastAsia="ru-RU"/>
        </w:rPr>
        <w:t>горова</w:t>
      </w:r>
      <w:r w:rsidR="00A02006">
        <w:rPr>
          <w:rFonts w:ascii="Times New Roman" w:eastAsia="Times New Roman" w:hAnsi="Times New Roman" w:cs="Times New Roman"/>
          <w:color w:val="000000"/>
          <w:sz w:val="28"/>
          <w:szCs w:val="28"/>
          <w:lang w:val="uk-UA" w:eastAsia="ru-RU"/>
        </w:rPr>
        <w:t xml:space="preserve"> − Сми</w:t>
      </w:r>
      <w:r w:rsidR="00BD4EDA">
        <w:rPr>
          <w:rFonts w:ascii="Times New Roman" w:eastAsia="Times New Roman" w:hAnsi="Times New Roman" w:cs="Times New Roman"/>
          <w:color w:val="000000"/>
          <w:sz w:val="28"/>
          <w:szCs w:val="28"/>
          <w:lang w:val="uk-UA" w:eastAsia="ru-RU"/>
        </w:rPr>
        <w:t>рнова здій</w:t>
      </w:r>
      <w:r w:rsidR="00A02006">
        <w:rPr>
          <w:rFonts w:ascii="Times New Roman" w:eastAsia="Times New Roman" w:hAnsi="Times New Roman" w:cs="Times New Roman"/>
          <w:color w:val="000000"/>
          <w:sz w:val="28"/>
          <w:szCs w:val="28"/>
          <w:lang w:val="uk-UA" w:eastAsia="ru-RU"/>
        </w:rPr>
        <w:t>снювали</w:t>
      </w:r>
      <w:r w:rsidR="009F39B0">
        <w:rPr>
          <w:rFonts w:ascii="Times New Roman" w:eastAsia="Times New Roman" w:hAnsi="Times New Roman" w:cs="Times New Roman"/>
          <w:color w:val="000000"/>
          <w:sz w:val="28"/>
          <w:szCs w:val="28"/>
          <w:lang w:val="uk-UA" w:eastAsia="ru-RU"/>
        </w:rPr>
        <w:t xml:space="preserve"> перевірк</w:t>
      </w:r>
      <w:r w:rsidR="00A02006">
        <w:rPr>
          <w:rFonts w:ascii="Times New Roman" w:eastAsia="Times New Roman" w:hAnsi="Times New Roman" w:cs="Times New Roman"/>
          <w:color w:val="000000"/>
          <w:sz w:val="28"/>
          <w:szCs w:val="28"/>
          <w:lang w:val="uk-UA" w:eastAsia="ru-RU"/>
        </w:rPr>
        <w:t>у</w:t>
      </w:r>
      <w:r w:rsidR="009F39B0">
        <w:rPr>
          <w:rFonts w:ascii="Times New Roman" w:eastAsia="Times New Roman" w:hAnsi="Times New Roman" w:cs="Times New Roman"/>
          <w:color w:val="000000"/>
          <w:sz w:val="28"/>
          <w:szCs w:val="28"/>
          <w:lang w:val="uk-UA" w:eastAsia="ru-RU"/>
        </w:rPr>
        <w:t xml:space="preserve"> гіпотези щодо нормального</w:t>
      </w:r>
      <w:r w:rsidR="00BD4EDA">
        <w:rPr>
          <w:rFonts w:ascii="Times New Roman" w:eastAsia="Times New Roman" w:hAnsi="Times New Roman" w:cs="Times New Roman"/>
          <w:color w:val="000000"/>
          <w:sz w:val="28"/>
          <w:szCs w:val="28"/>
          <w:lang w:val="uk-UA" w:eastAsia="ru-RU"/>
        </w:rPr>
        <w:t xml:space="preserve"> розподілення сукупностей. У </w:t>
      </w:r>
      <w:r w:rsidR="00A02006">
        <w:rPr>
          <w:rFonts w:ascii="Times New Roman" w:eastAsia="Times New Roman" w:hAnsi="Times New Roman" w:cs="Times New Roman"/>
          <w:color w:val="000000"/>
          <w:sz w:val="28"/>
          <w:szCs w:val="28"/>
          <w:lang w:val="uk-UA" w:eastAsia="ru-RU"/>
        </w:rPr>
        <w:t>разі</w:t>
      </w:r>
      <w:r w:rsidR="00BD4EDA">
        <w:rPr>
          <w:rFonts w:ascii="Times New Roman" w:eastAsia="Times New Roman" w:hAnsi="Times New Roman" w:cs="Times New Roman"/>
          <w:color w:val="000000"/>
          <w:sz w:val="28"/>
          <w:szCs w:val="28"/>
          <w:lang w:val="uk-UA" w:eastAsia="ru-RU"/>
        </w:rPr>
        <w:t xml:space="preserve">, </w:t>
      </w:r>
      <w:r w:rsidR="00A02006">
        <w:rPr>
          <w:rFonts w:ascii="Times New Roman" w:eastAsia="Times New Roman" w:hAnsi="Times New Roman" w:cs="Times New Roman"/>
          <w:color w:val="000000"/>
          <w:sz w:val="28"/>
          <w:szCs w:val="28"/>
          <w:lang w:val="uk-UA" w:eastAsia="ru-RU"/>
        </w:rPr>
        <w:t>якщо</w:t>
      </w:r>
      <w:r w:rsidR="00BD4EDA">
        <w:rPr>
          <w:rFonts w:ascii="Times New Roman" w:eastAsia="Times New Roman" w:hAnsi="Times New Roman" w:cs="Times New Roman"/>
          <w:color w:val="000000"/>
          <w:sz w:val="28"/>
          <w:szCs w:val="28"/>
          <w:lang w:val="uk-UA" w:eastAsia="ru-RU"/>
        </w:rPr>
        <w:t xml:space="preserve"> ми не змогли відкинути гіпотезу, що закон розподілення є норма</w:t>
      </w:r>
      <w:r w:rsidR="00A02006">
        <w:rPr>
          <w:rFonts w:ascii="Times New Roman" w:eastAsia="Times New Roman" w:hAnsi="Times New Roman" w:cs="Times New Roman"/>
          <w:color w:val="000000"/>
          <w:sz w:val="28"/>
          <w:szCs w:val="28"/>
          <w:lang w:val="uk-UA" w:eastAsia="ru-RU"/>
        </w:rPr>
        <w:t>ль</w:t>
      </w:r>
      <w:r w:rsidR="00BD4EDA">
        <w:rPr>
          <w:rFonts w:ascii="Times New Roman" w:eastAsia="Times New Roman" w:hAnsi="Times New Roman" w:cs="Times New Roman"/>
          <w:color w:val="000000"/>
          <w:sz w:val="28"/>
          <w:szCs w:val="28"/>
          <w:lang w:val="uk-UA" w:eastAsia="ru-RU"/>
        </w:rPr>
        <w:t>ним, було використано критерій Стьюдента для</w:t>
      </w:r>
      <w:r w:rsidR="004B07A6" w:rsidRPr="004B07A6">
        <w:rPr>
          <w:rFonts w:ascii="Times New Roman" w:eastAsia="Times New Roman" w:hAnsi="Times New Roman" w:cs="Times New Roman"/>
          <w:color w:val="000000"/>
          <w:sz w:val="28"/>
          <w:szCs w:val="28"/>
          <w:lang w:val="uk-UA" w:eastAsia="ru-RU"/>
        </w:rPr>
        <w:t xml:space="preserve"> не</w:t>
      </w:r>
      <w:r w:rsidR="004B07A6">
        <w:rPr>
          <w:rFonts w:ascii="Times New Roman" w:eastAsia="Times New Roman" w:hAnsi="Times New Roman" w:cs="Times New Roman"/>
          <w:color w:val="000000"/>
          <w:sz w:val="28"/>
          <w:szCs w:val="28"/>
          <w:lang w:val="uk-UA" w:eastAsia="ru-RU"/>
        </w:rPr>
        <w:t>залежних і парних виборок.</w:t>
      </w:r>
      <w:r w:rsidR="00BD4EDA">
        <w:rPr>
          <w:rFonts w:ascii="Times New Roman" w:eastAsia="Times New Roman" w:hAnsi="Times New Roman" w:cs="Times New Roman"/>
          <w:color w:val="000000"/>
          <w:sz w:val="28"/>
          <w:szCs w:val="28"/>
          <w:lang w:val="uk-UA" w:eastAsia="ru-RU"/>
        </w:rPr>
        <w:t xml:space="preserve"> </w:t>
      </w:r>
      <w:r w:rsidR="004B07A6">
        <w:rPr>
          <w:rFonts w:ascii="Times New Roman" w:eastAsia="Times New Roman" w:hAnsi="Times New Roman" w:cs="Times New Roman"/>
          <w:color w:val="000000"/>
          <w:sz w:val="28"/>
          <w:szCs w:val="28"/>
          <w:lang w:val="uk-UA" w:eastAsia="ru-RU"/>
        </w:rPr>
        <w:t>Розраховували</w:t>
      </w:r>
      <w:r w:rsidR="0065519A" w:rsidRPr="0065519A">
        <w:rPr>
          <w:rFonts w:ascii="Times New Roman" w:eastAsia="Times New Roman" w:hAnsi="Times New Roman" w:cs="Times New Roman"/>
          <w:color w:val="000000"/>
          <w:sz w:val="28"/>
          <w:szCs w:val="28"/>
          <w:lang w:val="uk-UA" w:eastAsia="ru-RU"/>
        </w:rPr>
        <w:t xml:space="preserve"> значення середнього арифметичного (М), похибки середнього арифметичного (</w:t>
      </w:r>
      <w:r w:rsidR="0065519A" w:rsidRPr="0065519A">
        <w:rPr>
          <w:rFonts w:ascii="Times New Roman" w:eastAsia="Times New Roman" w:hAnsi="Times New Roman" w:cs="Times New Roman"/>
          <w:color w:val="000000"/>
          <w:sz w:val="28"/>
          <w:szCs w:val="28"/>
          <w:lang w:eastAsia="ru-RU"/>
        </w:rPr>
        <w:t>m</w:t>
      </w:r>
      <w:r w:rsidR="0065519A" w:rsidRPr="0065519A">
        <w:rPr>
          <w:rFonts w:ascii="Times New Roman" w:eastAsia="Times New Roman" w:hAnsi="Times New Roman" w:cs="Times New Roman"/>
          <w:color w:val="000000"/>
          <w:sz w:val="28"/>
          <w:szCs w:val="28"/>
          <w:lang w:val="uk-UA" w:eastAsia="ru-RU"/>
        </w:rPr>
        <w:t>), достовірності розходжень між показниками (р)</w:t>
      </w:r>
      <w:r w:rsidR="0065519A">
        <w:rPr>
          <w:rFonts w:ascii="Times New Roman" w:eastAsia="Times New Roman" w:hAnsi="Times New Roman" w:cs="Times New Roman"/>
          <w:color w:val="000000"/>
          <w:sz w:val="28"/>
          <w:szCs w:val="28"/>
          <w:lang w:val="uk-UA" w:eastAsia="ru-RU"/>
        </w:rPr>
        <w:t>.</w:t>
      </w:r>
      <w:r w:rsidR="00BD4EDA">
        <w:rPr>
          <w:rFonts w:ascii="Times New Roman" w:eastAsia="Times New Roman" w:hAnsi="Times New Roman" w:cs="Times New Roman"/>
          <w:color w:val="000000"/>
          <w:sz w:val="28"/>
          <w:szCs w:val="28"/>
          <w:lang w:val="uk-UA" w:eastAsia="ru-RU"/>
        </w:rPr>
        <w:t xml:space="preserve"> </w:t>
      </w:r>
      <w:r w:rsidR="0065519A" w:rsidRPr="0065519A">
        <w:rPr>
          <w:rFonts w:ascii="Times New Roman" w:eastAsia="Times New Roman" w:hAnsi="Times New Roman" w:cs="Times New Roman"/>
          <w:color w:val="000000"/>
          <w:sz w:val="28"/>
          <w:szCs w:val="28"/>
          <w:lang w:val="uk-UA" w:eastAsia="ru-RU"/>
        </w:rPr>
        <w:t xml:space="preserve">Значення р </w:t>
      </w:r>
      <w:r w:rsidR="00E825E9">
        <w:rPr>
          <w:rFonts w:ascii="Times New Roman" w:eastAsia="Times New Roman" w:hAnsi="Times New Roman" w:cs="Times New Roman"/>
          <w:color w:val="000000"/>
          <w:sz w:val="28"/>
          <w:szCs w:val="28"/>
          <w:lang w:val="uk-UA" w:eastAsia="ru-RU"/>
        </w:rPr>
        <w:t>&lt;</w:t>
      </w:r>
      <w:r w:rsidR="0065519A" w:rsidRPr="0065519A">
        <w:rPr>
          <w:rFonts w:ascii="Times New Roman" w:eastAsia="Times New Roman" w:hAnsi="Times New Roman" w:cs="Times New Roman"/>
          <w:color w:val="000000"/>
          <w:sz w:val="28"/>
          <w:szCs w:val="28"/>
          <w:lang w:val="uk-UA" w:eastAsia="ru-RU"/>
        </w:rPr>
        <w:t xml:space="preserve"> 0,05 вважали статистично значущими</w:t>
      </w:r>
      <w:r w:rsidR="0065519A">
        <w:rPr>
          <w:rFonts w:ascii="Times New Roman" w:eastAsia="Times New Roman" w:hAnsi="Times New Roman" w:cs="Times New Roman"/>
          <w:color w:val="000000"/>
          <w:sz w:val="28"/>
          <w:szCs w:val="28"/>
          <w:lang w:val="uk-UA" w:eastAsia="ru-RU"/>
        </w:rPr>
        <w:t>.</w:t>
      </w:r>
      <w:r w:rsidR="0065519A" w:rsidRPr="0065519A">
        <w:rPr>
          <w:rFonts w:ascii="Times New Roman" w:eastAsia="Times New Roman" w:hAnsi="Times New Roman" w:cs="Times New Roman"/>
          <w:color w:val="000000"/>
          <w:sz w:val="28"/>
          <w:szCs w:val="28"/>
          <w:lang w:val="uk-UA" w:eastAsia="ru-RU"/>
        </w:rPr>
        <w:t xml:space="preserve"> </w:t>
      </w:r>
      <w:r w:rsidRPr="00FA202D">
        <w:rPr>
          <w:rFonts w:ascii="Times New Roman" w:eastAsia="Times New Roman" w:hAnsi="Times New Roman" w:cs="Times New Roman"/>
          <w:color w:val="000000"/>
          <w:sz w:val="28"/>
          <w:szCs w:val="28"/>
          <w:lang w:val="uk-UA" w:eastAsia="ru-RU"/>
        </w:rPr>
        <w:t>Для оцін</w:t>
      </w:r>
      <w:r w:rsidR="00A02006">
        <w:rPr>
          <w:rFonts w:ascii="Times New Roman" w:eastAsia="Times New Roman" w:hAnsi="Times New Roman" w:cs="Times New Roman"/>
          <w:color w:val="000000"/>
          <w:sz w:val="28"/>
          <w:szCs w:val="28"/>
          <w:lang w:val="uk-UA" w:eastAsia="ru-RU"/>
        </w:rPr>
        <w:t>ювання</w:t>
      </w:r>
      <w:r w:rsidRPr="00FA202D">
        <w:rPr>
          <w:rFonts w:ascii="Times New Roman" w:eastAsia="Times New Roman" w:hAnsi="Times New Roman" w:cs="Times New Roman"/>
          <w:color w:val="000000"/>
          <w:sz w:val="28"/>
          <w:szCs w:val="28"/>
          <w:lang w:val="uk-UA" w:eastAsia="ru-RU"/>
        </w:rPr>
        <w:t xml:space="preserve"> тісноти зв’язку</w:t>
      </w:r>
      <w:r>
        <w:rPr>
          <w:rFonts w:ascii="Times New Roman" w:eastAsia="Times New Roman" w:hAnsi="Times New Roman" w:cs="Times New Roman"/>
          <w:color w:val="000000"/>
          <w:sz w:val="28"/>
          <w:szCs w:val="28"/>
          <w:lang w:val="uk-UA" w:eastAsia="ru-RU"/>
        </w:rPr>
        <w:t xml:space="preserve"> </w:t>
      </w:r>
      <w:r w:rsidRPr="00FA202D">
        <w:rPr>
          <w:rFonts w:ascii="Times New Roman" w:eastAsia="Times New Roman" w:hAnsi="Times New Roman" w:cs="Times New Roman"/>
          <w:color w:val="000000"/>
          <w:sz w:val="28"/>
          <w:szCs w:val="28"/>
          <w:lang w:val="uk-UA" w:eastAsia="ru-RU"/>
        </w:rPr>
        <w:t>між змінними використовували коефіцієнт кореляції Пірсона</w:t>
      </w:r>
      <w:r w:rsidR="00A57227">
        <w:rPr>
          <w:rFonts w:ascii="Times New Roman" w:eastAsia="Times New Roman" w:hAnsi="Times New Roman" w:cs="Times New Roman"/>
          <w:color w:val="000000"/>
          <w:sz w:val="28"/>
          <w:szCs w:val="28"/>
          <w:lang w:val="uk-UA" w:eastAsia="ru-RU"/>
        </w:rPr>
        <w:t xml:space="preserve"> (</w:t>
      </w:r>
      <w:r w:rsidR="00A57227">
        <w:rPr>
          <w:rFonts w:ascii="Times New Roman" w:eastAsia="Times New Roman" w:hAnsi="Times New Roman" w:cs="Times New Roman"/>
          <w:color w:val="000000"/>
          <w:sz w:val="28"/>
          <w:szCs w:val="28"/>
          <w:lang w:val="en-US" w:eastAsia="ru-RU"/>
        </w:rPr>
        <w:t>r</w:t>
      </w:r>
      <w:r w:rsidR="00A57227" w:rsidRPr="00A57227">
        <w:rPr>
          <w:rFonts w:ascii="Times New Roman" w:eastAsia="Times New Roman" w:hAnsi="Times New Roman" w:cs="Times New Roman"/>
          <w:color w:val="000000"/>
          <w:sz w:val="28"/>
          <w:szCs w:val="28"/>
          <w:lang w:val="uk-UA" w:eastAsia="ru-RU"/>
        </w:rPr>
        <w:t>)</w:t>
      </w:r>
      <w:r w:rsidRPr="00FA202D">
        <w:rPr>
          <w:rFonts w:ascii="Times New Roman" w:eastAsia="Times New Roman" w:hAnsi="Times New Roman" w:cs="Times New Roman"/>
          <w:color w:val="000000"/>
          <w:sz w:val="28"/>
          <w:szCs w:val="28"/>
          <w:lang w:val="uk-UA" w:eastAsia="ru-RU"/>
        </w:rPr>
        <w:t>,</w:t>
      </w:r>
      <w:r w:rsidR="00A57227">
        <w:rPr>
          <w:rFonts w:ascii="Times New Roman" w:eastAsia="Times New Roman" w:hAnsi="Times New Roman" w:cs="Times New Roman"/>
          <w:color w:val="000000"/>
          <w:sz w:val="28"/>
          <w:szCs w:val="28"/>
          <w:lang w:val="uk-UA" w:eastAsia="ru-RU"/>
        </w:rPr>
        <w:t xml:space="preserve"> </w:t>
      </w:r>
      <w:r w:rsidRPr="00FA202D">
        <w:rPr>
          <w:rFonts w:ascii="Times New Roman" w:eastAsia="Times New Roman" w:hAnsi="Times New Roman" w:cs="Times New Roman"/>
          <w:color w:val="000000"/>
          <w:sz w:val="28"/>
          <w:szCs w:val="28"/>
          <w:lang w:val="uk-UA" w:eastAsia="ru-RU"/>
        </w:rPr>
        <w:t>статистичну</w:t>
      </w:r>
      <w:r>
        <w:rPr>
          <w:rFonts w:ascii="Times New Roman" w:eastAsia="Times New Roman" w:hAnsi="Times New Roman" w:cs="Times New Roman"/>
          <w:color w:val="000000"/>
          <w:sz w:val="28"/>
          <w:szCs w:val="28"/>
          <w:lang w:val="uk-UA" w:eastAsia="ru-RU"/>
        </w:rPr>
        <w:t xml:space="preserve"> </w:t>
      </w:r>
      <w:r w:rsidRPr="00FA202D">
        <w:rPr>
          <w:rFonts w:ascii="Times New Roman" w:eastAsia="Times New Roman" w:hAnsi="Times New Roman" w:cs="Times New Roman"/>
          <w:color w:val="000000"/>
          <w:sz w:val="28"/>
          <w:szCs w:val="28"/>
          <w:lang w:val="uk-UA" w:eastAsia="ru-RU"/>
        </w:rPr>
        <w:t xml:space="preserve">значущість якого перевіряли за </w:t>
      </w:r>
      <w:r>
        <w:rPr>
          <w:rFonts w:ascii="Times New Roman" w:eastAsia="Times New Roman" w:hAnsi="Times New Roman" w:cs="Times New Roman"/>
          <w:color w:val="000000"/>
          <w:sz w:val="28"/>
          <w:szCs w:val="28"/>
          <w:lang w:eastAsia="ru-RU"/>
        </w:rPr>
        <w:t>t</w:t>
      </w:r>
      <w:r w:rsidR="00FA202D">
        <w:rPr>
          <w:rFonts w:ascii="Times New Roman" w:eastAsia="Times New Roman" w:hAnsi="Times New Roman" w:cs="Times New Roman"/>
          <w:color w:val="000000"/>
          <w:sz w:val="28"/>
          <w:szCs w:val="28"/>
          <w:lang w:val="uk-UA" w:eastAsia="ru-RU"/>
        </w:rPr>
        <w:t>-</w:t>
      </w:r>
      <w:r w:rsidRPr="00FA202D">
        <w:rPr>
          <w:rFonts w:ascii="Times New Roman" w:eastAsia="Times New Roman" w:hAnsi="Times New Roman" w:cs="Times New Roman"/>
          <w:color w:val="000000"/>
          <w:sz w:val="28"/>
          <w:szCs w:val="28"/>
          <w:lang w:val="uk-UA" w:eastAsia="ru-RU"/>
        </w:rPr>
        <w:t>критерієм Ст</w:t>
      </w:r>
      <w:r>
        <w:rPr>
          <w:rFonts w:ascii="Times New Roman" w:eastAsia="Times New Roman" w:hAnsi="Times New Roman" w:cs="Times New Roman"/>
          <w:color w:val="000000"/>
          <w:sz w:val="28"/>
          <w:szCs w:val="28"/>
          <w:lang w:val="uk-UA" w:eastAsia="ru-RU"/>
        </w:rPr>
        <w:t>ь</w:t>
      </w:r>
      <w:r w:rsidRPr="00FA202D">
        <w:rPr>
          <w:rFonts w:ascii="Times New Roman" w:eastAsia="Times New Roman" w:hAnsi="Times New Roman" w:cs="Times New Roman"/>
          <w:color w:val="000000"/>
          <w:sz w:val="28"/>
          <w:szCs w:val="28"/>
          <w:lang w:val="uk-UA" w:eastAsia="ru-RU"/>
        </w:rPr>
        <w:t>юдента.</w:t>
      </w:r>
      <w:r w:rsidR="00A57227" w:rsidRPr="00A57227">
        <w:rPr>
          <w:rFonts w:ascii="Times New Roman" w:eastAsia="Times New Roman" w:hAnsi="Times New Roman" w:cs="Times New Roman"/>
          <w:color w:val="000000"/>
          <w:sz w:val="28"/>
          <w:szCs w:val="28"/>
          <w:lang w:val="uk-UA" w:eastAsia="ru-RU"/>
        </w:rPr>
        <w:t xml:space="preserve"> </w:t>
      </w:r>
      <w:r w:rsidR="00A57227">
        <w:rPr>
          <w:rFonts w:ascii="Times New Roman" w:eastAsia="Times New Roman" w:hAnsi="Times New Roman" w:cs="Times New Roman"/>
          <w:color w:val="000000"/>
          <w:sz w:val="28"/>
          <w:szCs w:val="28"/>
          <w:lang w:val="uk-UA" w:eastAsia="ru-RU"/>
        </w:rPr>
        <w:t>Позитивний кореляційний зв</w:t>
      </w:r>
      <w:r w:rsidR="00A02006">
        <w:rPr>
          <w:rFonts w:ascii="Times New Roman" w:eastAsia="Times New Roman" w:hAnsi="Times New Roman" w:cs="Times New Roman"/>
          <w:color w:val="000000"/>
          <w:sz w:val="28"/>
          <w:szCs w:val="28"/>
          <w:lang w:val="uk-UA" w:eastAsia="ru-RU"/>
        </w:rPr>
        <w:t>’</w:t>
      </w:r>
      <w:r w:rsidR="00A57227">
        <w:rPr>
          <w:rFonts w:ascii="Times New Roman" w:eastAsia="Times New Roman" w:hAnsi="Times New Roman" w:cs="Times New Roman"/>
          <w:color w:val="000000"/>
          <w:sz w:val="28"/>
          <w:szCs w:val="28"/>
          <w:lang w:val="uk-UA" w:eastAsia="ru-RU"/>
        </w:rPr>
        <w:t>язок дуже слабкої сили було констатовано</w:t>
      </w:r>
      <w:r w:rsidR="00A57227" w:rsidRPr="00A57227">
        <w:rPr>
          <w:rFonts w:ascii="Times New Roman" w:eastAsia="Times New Roman" w:hAnsi="Times New Roman" w:cs="Times New Roman"/>
          <w:color w:val="000000"/>
          <w:sz w:val="28"/>
          <w:szCs w:val="28"/>
          <w:lang w:val="uk-UA" w:eastAsia="ru-RU"/>
        </w:rPr>
        <w:t xml:space="preserve"> </w:t>
      </w:r>
      <w:r w:rsidR="00A57227">
        <w:rPr>
          <w:rFonts w:ascii="Times New Roman" w:eastAsia="Times New Roman" w:hAnsi="Times New Roman" w:cs="Times New Roman"/>
          <w:color w:val="000000"/>
          <w:sz w:val="28"/>
          <w:szCs w:val="28"/>
          <w:lang w:val="uk-UA" w:eastAsia="ru-RU"/>
        </w:rPr>
        <w:t xml:space="preserve">за умови </w:t>
      </w:r>
      <w:r w:rsidR="00A57227">
        <w:rPr>
          <w:rFonts w:ascii="Times New Roman" w:eastAsia="Times New Roman" w:hAnsi="Times New Roman" w:cs="Times New Roman"/>
          <w:color w:val="000000"/>
          <w:sz w:val="28"/>
          <w:szCs w:val="28"/>
          <w:lang w:val="en-US" w:eastAsia="ru-RU"/>
        </w:rPr>
        <w:t>r</w:t>
      </w:r>
      <w:r w:rsidR="00A57227">
        <w:rPr>
          <w:rFonts w:ascii="Times New Roman" w:eastAsia="Times New Roman" w:hAnsi="Times New Roman" w:cs="Times New Roman"/>
          <w:color w:val="000000"/>
          <w:sz w:val="28"/>
          <w:szCs w:val="28"/>
          <w:lang w:val="uk-UA" w:eastAsia="ru-RU"/>
        </w:rPr>
        <w:t xml:space="preserve"> </w:t>
      </w:r>
      <w:r w:rsidR="00A57227" w:rsidRPr="00A57227">
        <w:rPr>
          <w:rFonts w:ascii="Times New Roman" w:eastAsia="Times New Roman" w:hAnsi="Times New Roman" w:cs="Times New Roman"/>
          <w:color w:val="000000"/>
          <w:sz w:val="28"/>
          <w:szCs w:val="28"/>
          <w:lang w:val="uk-UA" w:eastAsia="ru-RU"/>
        </w:rPr>
        <w:t xml:space="preserve">&lt; 0,2; </w:t>
      </w:r>
      <w:r w:rsidR="00A57227">
        <w:rPr>
          <w:rFonts w:ascii="Times New Roman" w:eastAsia="Times New Roman" w:hAnsi="Times New Roman" w:cs="Times New Roman"/>
          <w:color w:val="000000"/>
          <w:sz w:val="28"/>
          <w:szCs w:val="28"/>
          <w:lang w:val="uk-UA" w:eastAsia="ru-RU"/>
        </w:rPr>
        <w:t xml:space="preserve">слабкої сили </w:t>
      </w:r>
      <w:r w:rsidR="000A629A">
        <w:rPr>
          <w:rFonts w:ascii="Times New Roman" w:eastAsia="Times New Roman" w:hAnsi="Times New Roman" w:cs="Times New Roman"/>
          <w:color w:val="000000"/>
          <w:sz w:val="28"/>
          <w:szCs w:val="28"/>
          <w:lang w:val="uk-UA" w:eastAsia="ru-RU"/>
        </w:rPr>
        <w:t>–</w:t>
      </w:r>
      <w:r w:rsidR="00A57227">
        <w:rPr>
          <w:rFonts w:ascii="Times New Roman" w:eastAsia="Times New Roman" w:hAnsi="Times New Roman" w:cs="Times New Roman"/>
          <w:color w:val="000000"/>
          <w:sz w:val="28"/>
          <w:szCs w:val="28"/>
          <w:lang w:val="uk-UA" w:eastAsia="ru-RU"/>
        </w:rPr>
        <w:t xml:space="preserve"> </w:t>
      </w:r>
      <w:r w:rsidR="000A629A">
        <w:rPr>
          <w:rFonts w:ascii="Times New Roman" w:eastAsia="Times New Roman" w:hAnsi="Times New Roman" w:cs="Times New Roman"/>
          <w:color w:val="000000"/>
          <w:sz w:val="28"/>
          <w:szCs w:val="28"/>
          <w:lang w:val="uk-UA" w:eastAsia="ru-RU"/>
        </w:rPr>
        <w:t>0,2</w:t>
      </w:r>
      <w:r w:rsidR="000A629A" w:rsidRPr="000A629A">
        <w:rPr>
          <w:rFonts w:ascii="Times New Roman" w:eastAsia="Times New Roman" w:hAnsi="Times New Roman" w:cs="Times New Roman"/>
          <w:color w:val="000000"/>
          <w:sz w:val="28"/>
          <w:szCs w:val="28"/>
          <w:lang w:val="uk-UA" w:eastAsia="ru-RU"/>
        </w:rPr>
        <w:t xml:space="preserve"> &lt; </w:t>
      </w:r>
      <w:r w:rsidR="000A629A">
        <w:rPr>
          <w:rFonts w:ascii="Times New Roman" w:eastAsia="Times New Roman" w:hAnsi="Times New Roman" w:cs="Times New Roman"/>
          <w:color w:val="000000"/>
          <w:sz w:val="28"/>
          <w:szCs w:val="28"/>
          <w:lang w:val="en-US" w:eastAsia="ru-RU"/>
        </w:rPr>
        <w:t>r</w:t>
      </w:r>
      <w:r w:rsidR="000A629A" w:rsidRPr="000A629A">
        <w:rPr>
          <w:rFonts w:ascii="Times New Roman" w:eastAsia="Times New Roman" w:hAnsi="Times New Roman" w:cs="Times New Roman"/>
          <w:color w:val="000000"/>
          <w:sz w:val="28"/>
          <w:szCs w:val="28"/>
          <w:lang w:val="uk-UA" w:eastAsia="ru-RU"/>
        </w:rPr>
        <w:t xml:space="preserve"> &lt; 0,5; </w:t>
      </w:r>
      <w:r w:rsidR="000A629A">
        <w:rPr>
          <w:rFonts w:ascii="Times New Roman" w:eastAsia="Times New Roman" w:hAnsi="Times New Roman" w:cs="Times New Roman"/>
          <w:color w:val="000000"/>
          <w:sz w:val="28"/>
          <w:szCs w:val="28"/>
          <w:lang w:val="uk-UA" w:eastAsia="ru-RU"/>
        </w:rPr>
        <w:t>середньої сили – 0,5</w:t>
      </w:r>
      <w:r w:rsidR="000A629A" w:rsidRPr="000A629A">
        <w:rPr>
          <w:rFonts w:ascii="Times New Roman" w:eastAsia="Times New Roman" w:hAnsi="Times New Roman" w:cs="Times New Roman"/>
          <w:color w:val="000000"/>
          <w:sz w:val="28"/>
          <w:szCs w:val="28"/>
          <w:lang w:val="uk-UA" w:eastAsia="ru-RU"/>
        </w:rPr>
        <w:t xml:space="preserve"> &lt; </w:t>
      </w:r>
      <w:r w:rsidR="000A629A">
        <w:rPr>
          <w:rFonts w:ascii="Times New Roman" w:eastAsia="Times New Roman" w:hAnsi="Times New Roman" w:cs="Times New Roman"/>
          <w:color w:val="000000"/>
          <w:sz w:val="28"/>
          <w:szCs w:val="28"/>
          <w:lang w:val="en-US" w:eastAsia="ru-RU"/>
        </w:rPr>
        <w:t>r</w:t>
      </w:r>
      <w:r w:rsidR="000A629A" w:rsidRPr="000A629A">
        <w:rPr>
          <w:rFonts w:ascii="Times New Roman" w:eastAsia="Times New Roman" w:hAnsi="Times New Roman" w:cs="Times New Roman"/>
          <w:color w:val="000000"/>
          <w:sz w:val="28"/>
          <w:szCs w:val="28"/>
          <w:lang w:val="uk-UA" w:eastAsia="ru-RU"/>
        </w:rPr>
        <w:t xml:space="preserve"> &lt; 0,7; </w:t>
      </w:r>
      <w:r w:rsidR="000A629A">
        <w:rPr>
          <w:rFonts w:ascii="Times New Roman" w:eastAsia="Times New Roman" w:hAnsi="Times New Roman" w:cs="Times New Roman"/>
          <w:color w:val="000000"/>
          <w:sz w:val="28"/>
          <w:szCs w:val="28"/>
          <w:lang w:val="uk-UA" w:eastAsia="ru-RU"/>
        </w:rPr>
        <w:t xml:space="preserve">сильний – 0,7 </w:t>
      </w:r>
      <w:r w:rsidR="000A629A" w:rsidRPr="000A629A">
        <w:rPr>
          <w:rFonts w:ascii="Times New Roman" w:eastAsia="Times New Roman" w:hAnsi="Times New Roman" w:cs="Times New Roman"/>
          <w:color w:val="000000"/>
          <w:sz w:val="28"/>
          <w:szCs w:val="28"/>
          <w:lang w:val="uk-UA" w:eastAsia="ru-RU"/>
        </w:rPr>
        <w:t xml:space="preserve">&lt; </w:t>
      </w:r>
      <w:r w:rsidR="000A629A">
        <w:rPr>
          <w:rFonts w:ascii="Times New Roman" w:eastAsia="Times New Roman" w:hAnsi="Times New Roman" w:cs="Times New Roman"/>
          <w:color w:val="000000"/>
          <w:sz w:val="28"/>
          <w:szCs w:val="28"/>
          <w:lang w:val="en-US" w:eastAsia="ru-RU"/>
        </w:rPr>
        <w:t>r</w:t>
      </w:r>
      <w:r w:rsidR="000A629A" w:rsidRPr="000A629A">
        <w:rPr>
          <w:rFonts w:ascii="Times New Roman" w:eastAsia="Times New Roman" w:hAnsi="Times New Roman" w:cs="Times New Roman"/>
          <w:color w:val="000000"/>
          <w:sz w:val="28"/>
          <w:szCs w:val="28"/>
          <w:lang w:val="uk-UA" w:eastAsia="ru-RU"/>
        </w:rPr>
        <w:t xml:space="preserve"> &lt; 0,9; </w:t>
      </w:r>
      <w:r w:rsidR="000A629A">
        <w:rPr>
          <w:rFonts w:ascii="Times New Roman" w:eastAsia="Times New Roman" w:hAnsi="Times New Roman" w:cs="Times New Roman"/>
          <w:color w:val="000000"/>
          <w:sz w:val="28"/>
          <w:szCs w:val="28"/>
          <w:lang w:val="uk-UA" w:eastAsia="ru-RU"/>
        </w:rPr>
        <w:t xml:space="preserve">дуже сильний – 0,9 </w:t>
      </w:r>
      <w:r w:rsidR="000A629A" w:rsidRPr="000A629A">
        <w:rPr>
          <w:rFonts w:ascii="Times New Roman" w:eastAsia="Times New Roman" w:hAnsi="Times New Roman" w:cs="Times New Roman"/>
          <w:color w:val="000000"/>
          <w:sz w:val="28"/>
          <w:szCs w:val="28"/>
          <w:lang w:val="uk-UA" w:eastAsia="ru-RU"/>
        </w:rPr>
        <w:t xml:space="preserve">&lt; </w:t>
      </w:r>
      <w:r w:rsidR="000A629A">
        <w:rPr>
          <w:rFonts w:ascii="Times New Roman" w:eastAsia="Times New Roman" w:hAnsi="Times New Roman" w:cs="Times New Roman"/>
          <w:color w:val="000000"/>
          <w:sz w:val="28"/>
          <w:szCs w:val="28"/>
          <w:lang w:val="en-US" w:eastAsia="ru-RU"/>
        </w:rPr>
        <w:t>r</w:t>
      </w:r>
      <w:r w:rsidR="000A629A" w:rsidRPr="000A629A">
        <w:rPr>
          <w:rFonts w:ascii="Times New Roman" w:eastAsia="Times New Roman" w:hAnsi="Times New Roman" w:cs="Times New Roman"/>
          <w:color w:val="000000"/>
          <w:sz w:val="28"/>
          <w:szCs w:val="28"/>
          <w:lang w:val="uk-UA" w:eastAsia="ru-RU"/>
        </w:rPr>
        <w:t xml:space="preserve"> &lt; 1.</w:t>
      </w:r>
    </w:p>
    <w:p w:rsidR="00541EEA" w:rsidRDefault="00541EEA" w:rsidP="00DF6553">
      <w:pPr>
        <w:pStyle w:val="a3"/>
        <w:spacing w:before="0" w:beforeAutospacing="0" w:after="0" w:afterAutospacing="0" w:line="360" w:lineRule="auto"/>
        <w:rPr>
          <w:b/>
          <w:sz w:val="28"/>
          <w:szCs w:val="28"/>
          <w:lang w:val="uk-UA"/>
        </w:rPr>
      </w:pPr>
    </w:p>
    <w:p w:rsidR="00825860" w:rsidRPr="00E947C8" w:rsidRDefault="00825860" w:rsidP="00DF6553">
      <w:pPr>
        <w:pStyle w:val="a3"/>
        <w:spacing w:before="0" w:beforeAutospacing="0" w:after="0" w:afterAutospacing="0" w:line="360" w:lineRule="auto"/>
        <w:rPr>
          <w:b/>
          <w:sz w:val="28"/>
          <w:szCs w:val="28"/>
          <w:lang w:val="uk-UA"/>
        </w:rPr>
      </w:pPr>
    </w:p>
    <w:p w:rsidR="00A67EC7" w:rsidRDefault="00A67EC7" w:rsidP="00DD622B">
      <w:pPr>
        <w:pStyle w:val="a3"/>
        <w:spacing w:before="0" w:beforeAutospacing="0" w:after="0" w:afterAutospacing="0" w:line="360" w:lineRule="auto"/>
        <w:rPr>
          <w:b/>
          <w:sz w:val="28"/>
          <w:szCs w:val="28"/>
          <w:lang w:val="uk-UA"/>
        </w:rPr>
      </w:pPr>
    </w:p>
    <w:p w:rsidR="00A67EC7" w:rsidRDefault="00A67EC7" w:rsidP="00DD622B">
      <w:pPr>
        <w:pStyle w:val="a3"/>
        <w:spacing w:before="0" w:beforeAutospacing="0" w:after="0" w:afterAutospacing="0" w:line="360" w:lineRule="auto"/>
        <w:rPr>
          <w:b/>
          <w:sz w:val="28"/>
          <w:szCs w:val="28"/>
          <w:lang w:val="uk-UA"/>
        </w:rPr>
      </w:pPr>
    </w:p>
    <w:p w:rsidR="00DD622B" w:rsidRDefault="00DD622B" w:rsidP="00DD622B">
      <w:pPr>
        <w:pStyle w:val="a3"/>
        <w:spacing w:before="0" w:beforeAutospacing="0" w:after="0" w:afterAutospacing="0" w:line="360" w:lineRule="auto"/>
        <w:rPr>
          <w:b/>
          <w:sz w:val="28"/>
          <w:szCs w:val="28"/>
          <w:lang w:val="uk-UA"/>
        </w:rPr>
      </w:pPr>
    </w:p>
    <w:p w:rsidR="00213322" w:rsidRDefault="00213322" w:rsidP="00E84892">
      <w:pPr>
        <w:pStyle w:val="a3"/>
        <w:spacing w:before="0" w:beforeAutospacing="0" w:after="0" w:afterAutospacing="0" w:line="360" w:lineRule="auto"/>
        <w:rPr>
          <w:b/>
          <w:sz w:val="28"/>
          <w:szCs w:val="28"/>
          <w:lang w:val="uk-UA"/>
        </w:rPr>
      </w:pPr>
    </w:p>
    <w:p w:rsidR="00E84892" w:rsidRDefault="00E84892" w:rsidP="00E84892">
      <w:pPr>
        <w:pStyle w:val="a3"/>
        <w:spacing w:before="0" w:beforeAutospacing="0" w:after="0" w:afterAutospacing="0" w:line="360" w:lineRule="auto"/>
        <w:rPr>
          <w:b/>
          <w:sz w:val="28"/>
          <w:szCs w:val="28"/>
          <w:lang w:val="uk-UA"/>
        </w:rPr>
      </w:pPr>
    </w:p>
    <w:p w:rsidR="00E84892" w:rsidRDefault="00E84892" w:rsidP="00E84892">
      <w:pPr>
        <w:pStyle w:val="a3"/>
        <w:spacing w:before="0" w:beforeAutospacing="0" w:after="0" w:afterAutospacing="0" w:line="360" w:lineRule="auto"/>
        <w:rPr>
          <w:b/>
          <w:sz w:val="28"/>
          <w:szCs w:val="28"/>
          <w:lang w:val="uk-UA"/>
        </w:rPr>
      </w:pPr>
    </w:p>
    <w:p w:rsidR="00857300" w:rsidRDefault="00612BFC" w:rsidP="00DA5658">
      <w:pPr>
        <w:pStyle w:val="a3"/>
        <w:spacing w:before="0" w:beforeAutospacing="0" w:after="0" w:afterAutospacing="0" w:line="360" w:lineRule="auto"/>
        <w:jc w:val="center"/>
        <w:rPr>
          <w:b/>
          <w:sz w:val="28"/>
          <w:szCs w:val="28"/>
          <w:lang w:val="uk-UA"/>
        </w:rPr>
      </w:pPr>
      <w:r>
        <w:rPr>
          <w:b/>
          <w:sz w:val="28"/>
          <w:szCs w:val="28"/>
          <w:lang w:val="uk-UA"/>
        </w:rPr>
        <w:lastRenderedPageBreak/>
        <w:t>РОЗДІЛ 3</w:t>
      </w:r>
    </w:p>
    <w:p w:rsidR="00340897" w:rsidRPr="00340897" w:rsidRDefault="007F372B" w:rsidP="00857300">
      <w:pPr>
        <w:pStyle w:val="a3"/>
        <w:spacing w:before="0" w:beforeAutospacing="0" w:after="0" w:afterAutospacing="0" w:line="360" w:lineRule="auto"/>
        <w:jc w:val="center"/>
        <w:rPr>
          <w:b/>
          <w:sz w:val="28"/>
          <w:szCs w:val="28"/>
          <w:lang w:val="uk-UA"/>
        </w:rPr>
      </w:pPr>
      <w:r>
        <w:rPr>
          <w:b/>
          <w:sz w:val="28"/>
          <w:szCs w:val="28"/>
          <w:lang w:val="uk-UA"/>
        </w:rPr>
        <w:t>ПОКАЗНИКИ ЛІПІДНОГО ОБМІНУ В</w:t>
      </w:r>
      <w:r w:rsidR="004A4EEE">
        <w:rPr>
          <w:b/>
          <w:sz w:val="28"/>
          <w:szCs w:val="28"/>
          <w:lang w:val="uk-UA"/>
        </w:rPr>
        <w:t xml:space="preserve"> ПАЦІЄНТІВ </w:t>
      </w:r>
      <w:r w:rsidR="000F0FD1">
        <w:rPr>
          <w:b/>
          <w:sz w:val="28"/>
          <w:szCs w:val="28"/>
          <w:lang w:val="uk-UA"/>
        </w:rPr>
        <w:t>І</w:t>
      </w:r>
      <w:r w:rsidR="00340897" w:rsidRPr="00340897">
        <w:rPr>
          <w:b/>
          <w:sz w:val="28"/>
          <w:szCs w:val="28"/>
          <w:lang w:val="uk-UA"/>
        </w:rPr>
        <w:t xml:space="preserve">З </w:t>
      </w:r>
      <w:r w:rsidR="00757316">
        <w:rPr>
          <w:b/>
          <w:sz w:val="28"/>
          <w:szCs w:val="28"/>
          <w:lang w:val="uk-UA"/>
        </w:rPr>
        <w:t xml:space="preserve">АРТЕРІАЛЬНОЮ ГІПЕРТЕНЗІЄЮ ТА </w:t>
      </w:r>
      <w:r w:rsidR="00340897" w:rsidRPr="00340897">
        <w:rPr>
          <w:b/>
          <w:sz w:val="28"/>
          <w:szCs w:val="28"/>
          <w:lang w:val="uk-UA"/>
        </w:rPr>
        <w:t>ЦУКРОВИМ ДІАБЕТОМ 2</w:t>
      </w:r>
      <w:r w:rsidR="00A8365F">
        <w:rPr>
          <w:b/>
          <w:sz w:val="28"/>
          <w:szCs w:val="28"/>
          <w:lang w:val="uk-UA"/>
        </w:rPr>
        <w:t>-ГО</w:t>
      </w:r>
      <w:r w:rsidR="00340897" w:rsidRPr="00340897">
        <w:rPr>
          <w:b/>
          <w:sz w:val="28"/>
          <w:szCs w:val="28"/>
          <w:lang w:val="uk-UA"/>
        </w:rPr>
        <w:t xml:space="preserve"> Т</w:t>
      </w:r>
      <w:r w:rsidR="00757316">
        <w:rPr>
          <w:b/>
          <w:sz w:val="28"/>
          <w:szCs w:val="28"/>
          <w:lang w:val="uk-UA"/>
        </w:rPr>
        <w:t xml:space="preserve">ИПУ </w:t>
      </w:r>
    </w:p>
    <w:p w:rsidR="00401A7E" w:rsidRDefault="00401A7E" w:rsidP="00A0016C">
      <w:pPr>
        <w:spacing w:after="0" w:line="360" w:lineRule="auto"/>
        <w:ind w:firstLine="708"/>
        <w:jc w:val="both"/>
        <w:rPr>
          <w:rFonts w:ascii="Times New Roman" w:hAnsi="Times New Roman" w:cs="Times New Roman"/>
          <w:b/>
          <w:sz w:val="28"/>
          <w:szCs w:val="28"/>
          <w:lang w:val="uk-UA"/>
        </w:rPr>
      </w:pPr>
    </w:p>
    <w:p w:rsidR="00A44D43" w:rsidRPr="00340897" w:rsidRDefault="00612BFC" w:rsidP="00A0016C">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A44D43" w:rsidRPr="00340897">
        <w:rPr>
          <w:rFonts w:ascii="Times New Roman" w:hAnsi="Times New Roman" w:cs="Times New Roman"/>
          <w:b/>
          <w:sz w:val="28"/>
          <w:szCs w:val="28"/>
          <w:lang w:val="uk-UA"/>
        </w:rPr>
        <w:t>.1</w:t>
      </w:r>
      <w:r w:rsidR="00A8365F">
        <w:rPr>
          <w:rFonts w:ascii="Times New Roman" w:hAnsi="Times New Roman" w:cs="Times New Roman"/>
          <w:b/>
          <w:sz w:val="28"/>
          <w:szCs w:val="28"/>
          <w:lang w:val="uk-UA"/>
        </w:rPr>
        <w:t>.</w:t>
      </w:r>
      <w:r w:rsidR="00A44D43" w:rsidRPr="00340897">
        <w:rPr>
          <w:rFonts w:ascii="Times New Roman" w:hAnsi="Times New Roman" w:cs="Times New Roman"/>
          <w:b/>
          <w:sz w:val="28"/>
          <w:szCs w:val="28"/>
          <w:lang w:val="uk-UA"/>
        </w:rPr>
        <w:t xml:space="preserve"> </w:t>
      </w:r>
      <w:r w:rsidR="005F1092">
        <w:rPr>
          <w:rFonts w:ascii="Times New Roman" w:hAnsi="Times New Roman" w:cs="Times New Roman"/>
          <w:b/>
          <w:sz w:val="28"/>
          <w:szCs w:val="28"/>
          <w:lang w:val="uk-UA"/>
        </w:rPr>
        <w:t xml:space="preserve">Особливості </w:t>
      </w:r>
      <w:r w:rsidR="00A44D43" w:rsidRPr="00340897">
        <w:rPr>
          <w:rFonts w:ascii="Times New Roman" w:hAnsi="Times New Roman" w:cs="Times New Roman"/>
          <w:b/>
          <w:sz w:val="28"/>
          <w:szCs w:val="28"/>
          <w:lang w:val="uk-UA"/>
        </w:rPr>
        <w:t>ліпідного обміну</w:t>
      </w:r>
      <w:r w:rsidR="00154CC0">
        <w:rPr>
          <w:rFonts w:ascii="Times New Roman" w:hAnsi="Times New Roman" w:cs="Times New Roman"/>
          <w:b/>
          <w:sz w:val="28"/>
          <w:szCs w:val="28"/>
          <w:lang w:val="uk-UA"/>
        </w:rPr>
        <w:t xml:space="preserve"> </w:t>
      </w:r>
      <w:r w:rsidR="007F372B">
        <w:rPr>
          <w:rFonts w:ascii="Times New Roman" w:hAnsi="Times New Roman" w:cs="Times New Roman"/>
          <w:b/>
          <w:sz w:val="28"/>
          <w:szCs w:val="28"/>
          <w:lang w:val="uk-UA"/>
        </w:rPr>
        <w:t>в</w:t>
      </w:r>
      <w:r w:rsidR="00A44D43" w:rsidRPr="00340897">
        <w:rPr>
          <w:rFonts w:ascii="Times New Roman" w:hAnsi="Times New Roman" w:cs="Times New Roman"/>
          <w:b/>
          <w:sz w:val="28"/>
          <w:szCs w:val="28"/>
          <w:lang w:val="uk-UA"/>
        </w:rPr>
        <w:t xml:space="preserve"> пацієнтів </w:t>
      </w:r>
      <w:r w:rsidR="000F0FD1">
        <w:rPr>
          <w:rFonts w:ascii="Times New Roman" w:hAnsi="Times New Roman" w:cs="Times New Roman"/>
          <w:b/>
          <w:sz w:val="28"/>
          <w:szCs w:val="28"/>
          <w:lang w:val="uk-UA"/>
        </w:rPr>
        <w:t>і</w:t>
      </w:r>
      <w:r w:rsidR="00A44D43" w:rsidRPr="00340897">
        <w:rPr>
          <w:rFonts w:ascii="Times New Roman" w:hAnsi="Times New Roman" w:cs="Times New Roman"/>
          <w:b/>
          <w:sz w:val="28"/>
          <w:szCs w:val="28"/>
          <w:lang w:val="uk-UA"/>
        </w:rPr>
        <w:t xml:space="preserve">з </w:t>
      </w:r>
      <w:r w:rsidR="007F372B">
        <w:rPr>
          <w:rFonts w:ascii="Times New Roman" w:hAnsi="Times New Roman" w:cs="Times New Roman"/>
          <w:b/>
          <w:sz w:val="28"/>
          <w:szCs w:val="28"/>
          <w:lang w:val="uk-UA"/>
        </w:rPr>
        <w:t>артеріальною гіпертензією</w:t>
      </w:r>
      <w:r w:rsidR="00A44D43" w:rsidRPr="00340897">
        <w:rPr>
          <w:rFonts w:ascii="Times New Roman" w:hAnsi="Times New Roman" w:cs="Times New Roman"/>
          <w:b/>
          <w:sz w:val="28"/>
          <w:szCs w:val="28"/>
          <w:lang w:val="uk-UA"/>
        </w:rPr>
        <w:t xml:space="preserve"> та </w:t>
      </w:r>
      <w:r w:rsidR="007F372B">
        <w:rPr>
          <w:rFonts w:ascii="Times New Roman" w:hAnsi="Times New Roman" w:cs="Times New Roman"/>
          <w:b/>
          <w:sz w:val="28"/>
          <w:szCs w:val="28"/>
          <w:lang w:val="uk-UA"/>
        </w:rPr>
        <w:t>цукровим діабетом</w:t>
      </w:r>
      <w:r w:rsidR="00A44D43" w:rsidRPr="00340897">
        <w:rPr>
          <w:rFonts w:ascii="Times New Roman" w:hAnsi="Times New Roman" w:cs="Times New Roman"/>
          <w:b/>
          <w:sz w:val="28"/>
          <w:szCs w:val="28"/>
          <w:lang w:val="uk-UA"/>
        </w:rPr>
        <w:t xml:space="preserve"> 2</w:t>
      </w:r>
      <w:r w:rsidR="00A8365F">
        <w:rPr>
          <w:rFonts w:ascii="Times New Roman" w:hAnsi="Times New Roman" w:cs="Times New Roman"/>
          <w:b/>
          <w:sz w:val="28"/>
          <w:szCs w:val="28"/>
          <w:lang w:val="uk-UA"/>
        </w:rPr>
        <w:t>-го типу</w:t>
      </w:r>
    </w:p>
    <w:p w:rsidR="00E97B75" w:rsidRDefault="00E97B75" w:rsidP="00C677BA">
      <w:pPr>
        <w:autoSpaceDE w:val="0"/>
        <w:autoSpaceDN w:val="0"/>
        <w:adjustRightInd w:val="0"/>
        <w:spacing w:after="0" w:line="360" w:lineRule="auto"/>
        <w:jc w:val="both"/>
        <w:rPr>
          <w:rFonts w:ascii="Times New Roman" w:hAnsi="Times New Roman" w:cs="Times New Roman"/>
          <w:sz w:val="28"/>
          <w:szCs w:val="28"/>
          <w:lang w:val="uk-UA"/>
        </w:rPr>
      </w:pPr>
    </w:p>
    <w:p w:rsidR="00577AFD" w:rsidRPr="00E97B75" w:rsidRDefault="00577AFD" w:rsidP="00C677B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86D76">
        <w:rPr>
          <w:rFonts w:ascii="Times New Roman" w:hAnsi="Times New Roman" w:cs="Times New Roman"/>
          <w:sz w:val="28"/>
          <w:szCs w:val="28"/>
          <w:lang w:val="uk-UA"/>
        </w:rPr>
        <w:t>У пацієнтів із АГ та ЦД 2-го типу будь-який вид</w:t>
      </w:r>
      <w:r w:rsidR="007F372B">
        <w:rPr>
          <w:rFonts w:ascii="Times New Roman" w:hAnsi="Times New Roman" w:cs="Times New Roman"/>
          <w:sz w:val="28"/>
          <w:szCs w:val="28"/>
          <w:lang w:val="uk-UA"/>
        </w:rPr>
        <w:t xml:space="preserve"> дисліпідемії </w:t>
      </w:r>
      <w:r>
        <w:rPr>
          <w:rFonts w:ascii="Times New Roman" w:hAnsi="Times New Roman" w:cs="Times New Roman"/>
          <w:sz w:val="28"/>
          <w:szCs w:val="28"/>
          <w:lang w:val="uk-UA"/>
        </w:rPr>
        <w:t xml:space="preserve">призводить до дисбалансу </w:t>
      </w:r>
      <w:r w:rsidR="00CB07A6">
        <w:rPr>
          <w:rFonts w:ascii="Times New Roman" w:hAnsi="Times New Roman" w:cs="Times New Roman"/>
          <w:sz w:val="28"/>
          <w:szCs w:val="28"/>
          <w:lang w:val="uk-UA"/>
        </w:rPr>
        <w:t>атероге</w:t>
      </w:r>
      <w:r w:rsidR="007F372B">
        <w:rPr>
          <w:rFonts w:ascii="Times New Roman" w:hAnsi="Times New Roman" w:cs="Times New Roman"/>
          <w:sz w:val="28"/>
          <w:szCs w:val="28"/>
          <w:lang w:val="uk-UA"/>
        </w:rPr>
        <w:t>н</w:t>
      </w:r>
      <w:r w:rsidR="00CB07A6">
        <w:rPr>
          <w:rFonts w:ascii="Times New Roman" w:hAnsi="Times New Roman" w:cs="Times New Roman"/>
          <w:sz w:val="28"/>
          <w:szCs w:val="28"/>
          <w:lang w:val="uk-UA"/>
        </w:rPr>
        <w:t>них та антиатерогенних ліпопротеїдів</w:t>
      </w:r>
      <w:r>
        <w:rPr>
          <w:rFonts w:ascii="Times New Roman" w:hAnsi="Times New Roman" w:cs="Times New Roman"/>
          <w:sz w:val="28"/>
          <w:szCs w:val="28"/>
          <w:lang w:val="uk-UA"/>
        </w:rPr>
        <w:t>, пошкодження судинної стінки, розвитку ат</w:t>
      </w:r>
      <w:r w:rsidR="00D278ED">
        <w:rPr>
          <w:rFonts w:ascii="Times New Roman" w:hAnsi="Times New Roman" w:cs="Times New Roman"/>
          <w:sz w:val="28"/>
          <w:szCs w:val="28"/>
          <w:lang w:val="uk-UA"/>
        </w:rPr>
        <w:t xml:space="preserve">еросклеротичного процесу </w:t>
      </w:r>
      <w:r w:rsidR="00BD5278" w:rsidRPr="00BD5278">
        <w:rPr>
          <w:rFonts w:ascii="Times New Roman" w:hAnsi="Times New Roman" w:cs="Times New Roman"/>
          <w:sz w:val="28"/>
          <w:szCs w:val="28"/>
          <w:lang w:val="uk-UA"/>
        </w:rPr>
        <w:t xml:space="preserve">          </w:t>
      </w:r>
      <w:r w:rsidR="00D278ED">
        <w:rPr>
          <w:rFonts w:ascii="Times New Roman" w:hAnsi="Times New Roman" w:cs="Times New Roman"/>
          <w:sz w:val="28"/>
          <w:szCs w:val="28"/>
          <w:lang w:val="uk-UA"/>
        </w:rPr>
        <w:t xml:space="preserve">за </w:t>
      </w:r>
      <w:r w:rsidR="007F372B">
        <w:rPr>
          <w:rFonts w:ascii="Times New Roman" w:hAnsi="Times New Roman" w:cs="Times New Roman"/>
          <w:sz w:val="28"/>
          <w:szCs w:val="28"/>
          <w:lang w:val="uk-UA"/>
        </w:rPr>
        <w:t>наявності</w:t>
      </w:r>
      <w:r w:rsidR="000D32B1">
        <w:rPr>
          <w:rFonts w:ascii="Times New Roman" w:hAnsi="Times New Roman" w:cs="Times New Roman"/>
          <w:sz w:val="28"/>
          <w:szCs w:val="28"/>
          <w:lang w:val="uk-UA"/>
        </w:rPr>
        <w:t xml:space="preserve"> дисфункції ендотелію, імуно</w:t>
      </w:r>
      <w:r>
        <w:rPr>
          <w:rFonts w:ascii="Times New Roman" w:hAnsi="Times New Roman" w:cs="Times New Roman"/>
          <w:sz w:val="28"/>
          <w:szCs w:val="28"/>
          <w:lang w:val="uk-UA"/>
        </w:rPr>
        <w:t>запального компонент</w:t>
      </w:r>
      <w:r w:rsidR="007F372B">
        <w:rPr>
          <w:rFonts w:ascii="Times New Roman" w:hAnsi="Times New Roman" w:cs="Times New Roman"/>
          <w:sz w:val="28"/>
          <w:szCs w:val="28"/>
          <w:lang w:val="uk-UA"/>
        </w:rPr>
        <w:t>а</w:t>
      </w:r>
      <w:r>
        <w:rPr>
          <w:rFonts w:ascii="Times New Roman" w:hAnsi="Times New Roman" w:cs="Times New Roman"/>
          <w:sz w:val="28"/>
          <w:szCs w:val="28"/>
          <w:lang w:val="uk-UA"/>
        </w:rPr>
        <w:t xml:space="preserve">. Саме фіброз </w:t>
      </w:r>
      <w:r w:rsidR="007F372B">
        <w:rPr>
          <w:rFonts w:ascii="Times New Roman" w:hAnsi="Times New Roman" w:cs="Times New Roman"/>
          <w:sz w:val="28"/>
          <w:szCs w:val="28"/>
          <w:lang w:val="uk-UA"/>
        </w:rPr>
        <w:t>є основою</w:t>
      </w:r>
      <w:r>
        <w:rPr>
          <w:rFonts w:ascii="Times New Roman" w:hAnsi="Times New Roman" w:cs="Times New Roman"/>
          <w:sz w:val="28"/>
          <w:szCs w:val="28"/>
          <w:lang w:val="uk-UA"/>
        </w:rPr>
        <w:t xml:space="preserve"> ураження </w:t>
      </w:r>
      <w:r w:rsidR="005E21DD">
        <w:rPr>
          <w:rFonts w:ascii="Times New Roman" w:hAnsi="Times New Roman" w:cs="Times New Roman"/>
          <w:sz w:val="28"/>
          <w:szCs w:val="28"/>
          <w:lang w:val="uk-UA"/>
        </w:rPr>
        <w:t>нирок при ЦД 2-го типу,</w:t>
      </w:r>
      <w:r>
        <w:rPr>
          <w:rFonts w:ascii="Times New Roman" w:hAnsi="Times New Roman" w:cs="Times New Roman"/>
          <w:sz w:val="28"/>
          <w:szCs w:val="28"/>
          <w:lang w:val="uk-UA"/>
        </w:rPr>
        <w:t xml:space="preserve"> підвищення жорсткості та порушен</w:t>
      </w:r>
      <w:r w:rsidR="00374A08">
        <w:rPr>
          <w:rFonts w:ascii="Times New Roman" w:hAnsi="Times New Roman" w:cs="Times New Roman"/>
          <w:sz w:val="28"/>
          <w:szCs w:val="28"/>
          <w:lang w:val="uk-UA"/>
        </w:rPr>
        <w:t>ня функції діастоли серцевого мʼ</w:t>
      </w:r>
      <w:r>
        <w:rPr>
          <w:rFonts w:ascii="Times New Roman" w:hAnsi="Times New Roman" w:cs="Times New Roman"/>
          <w:sz w:val="28"/>
          <w:szCs w:val="28"/>
          <w:lang w:val="uk-UA"/>
        </w:rPr>
        <w:t xml:space="preserve">яза. </w:t>
      </w:r>
      <w:r w:rsidR="007F372B">
        <w:rPr>
          <w:rFonts w:ascii="Times New Roman" w:hAnsi="Times New Roman" w:cs="Times New Roman"/>
          <w:sz w:val="28"/>
          <w:szCs w:val="28"/>
          <w:lang w:val="uk-UA"/>
        </w:rPr>
        <w:t>У</w:t>
      </w:r>
      <w:r w:rsidR="00F72094">
        <w:rPr>
          <w:rFonts w:ascii="Times New Roman" w:hAnsi="Times New Roman" w:cs="Times New Roman"/>
          <w:sz w:val="28"/>
          <w:szCs w:val="28"/>
          <w:lang w:val="uk-UA"/>
        </w:rPr>
        <w:t>сі вищезгадані факти об</w:t>
      </w:r>
      <w:r w:rsidR="00F72094" w:rsidRPr="00F72094">
        <w:rPr>
          <w:rFonts w:ascii="Times New Roman" w:hAnsi="Times New Roman" w:cs="Times New Roman"/>
          <w:bCs/>
          <w:sz w:val="28"/>
          <w:szCs w:val="28"/>
          <w:lang w:val="uk-UA"/>
        </w:rPr>
        <w:t>ґ</w:t>
      </w:r>
      <w:r w:rsidR="005E21DD">
        <w:rPr>
          <w:rFonts w:ascii="Times New Roman" w:hAnsi="Times New Roman" w:cs="Times New Roman"/>
          <w:sz w:val="28"/>
          <w:szCs w:val="28"/>
          <w:lang w:val="uk-UA"/>
        </w:rPr>
        <w:t>рунтовують необхідність корекц</w:t>
      </w:r>
      <w:r w:rsidR="00F72094">
        <w:rPr>
          <w:rFonts w:ascii="Times New Roman" w:hAnsi="Times New Roman" w:cs="Times New Roman"/>
          <w:sz w:val="28"/>
          <w:szCs w:val="28"/>
          <w:lang w:val="uk-UA"/>
        </w:rPr>
        <w:t xml:space="preserve">ії дисліпідемії </w:t>
      </w:r>
      <w:r w:rsidR="00374A08">
        <w:rPr>
          <w:rFonts w:ascii="Times New Roman" w:hAnsi="Times New Roman" w:cs="Times New Roman"/>
          <w:sz w:val="28"/>
          <w:szCs w:val="28"/>
          <w:lang w:val="uk-UA"/>
        </w:rPr>
        <w:t>у хворих на АГ та супутній</w:t>
      </w:r>
      <w:r w:rsidR="00386D76">
        <w:rPr>
          <w:rFonts w:ascii="Times New Roman" w:hAnsi="Times New Roman" w:cs="Times New Roman"/>
          <w:sz w:val="28"/>
          <w:szCs w:val="28"/>
          <w:lang w:val="uk-UA"/>
        </w:rPr>
        <w:t xml:space="preserve"> ЦД 2-го типу</w:t>
      </w:r>
      <w:r w:rsidR="005E21DD">
        <w:rPr>
          <w:rFonts w:ascii="Times New Roman" w:hAnsi="Times New Roman" w:cs="Times New Roman"/>
          <w:sz w:val="28"/>
          <w:szCs w:val="28"/>
          <w:lang w:val="uk-UA"/>
        </w:rPr>
        <w:t>.</w:t>
      </w:r>
    </w:p>
    <w:p w:rsidR="00551775" w:rsidRPr="00BB537B" w:rsidRDefault="002B7EEC" w:rsidP="0013615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w:t>
      </w:r>
      <w:r w:rsidR="00386D76">
        <w:rPr>
          <w:rFonts w:ascii="Times New Roman" w:hAnsi="Times New Roman" w:cs="Times New Roman"/>
          <w:sz w:val="28"/>
          <w:szCs w:val="28"/>
          <w:lang w:val="uk-UA"/>
        </w:rPr>
        <w:t>іпідозни</w:t>
      </w:r>
      <w:r w:rsidR="009969D0" w:rsidRPr="002B7EEC">
        <w:rPr>
          <w:rFonts w:ascii="Times New Roman" w:hAnsi="Times New Roman" w:cs="Times New Roman"/>
          <w:sz w:val="28"/>
          <w:szCs w:val="28"/>
          <w:lang w:val="uk-UA"/>
        </w:rPr>
        <w:t>жувальну</w:t>
      </w:r>
      <w:r w:rsidR="00386D76">
        <w:rPr>
          <w:rFonts w:ascii="Times New Roman" w:hAnsi="Times New Roman" w:cs="Times New Roman"/>
          <w:sz w:val="28"/>
          <w:szCs w:val="28"/>
          <w:lang w:val="uk-UA"/>
        </w:rPr>
        <w:t xml:space="preserve"> терапію </w:t>
      </w:r>
      <w:r>
        <w:rPr>
          <w:rFonts w:ascii="Times New Roman" w:hAnsi="Times New Roman" w:cs="Times New Roman"/>
          <w:sz w:val="28"/>
          <w:szCs w:val="28"/>
          <w:lang w:val="uk-UA"/>
        </w:rPr>
        <w:t xml:space="preserve">було </w:t>
      </w:r>
      <w:r w:rsidRPr="002B7EEC">
        <w:rPr>
          <w:rFonts w:ascii="Times New Roman" w:hAnsi="Times New Roman" w:cs="Times New Roman"/>
          <w:sz w:val="28"/>
          <w:szCs w:val="28"/>
          <w:lang w:val="uk-UA"/>
        </w:rPr>
        <w:t xml:space="preserve">призначено пацієнтам </w:t>
      </w:r>
      <w:r w:rsidR="00F724D1">
        <w:rPr>
          <w:rFonts w:ascii="Times New Roman" w:hAnsi="Times New Roman" w:cs="Times New Roman"/>
          <w:sz w:val="28"/>
          <w:szCs w:val="28"/>
          <w:lang w:val="uk-UA"/>
        </w:rPr>
        <w:t>ще</w:t>
      </w:r>
      <w:r w:rsidR="0013615B">
        <w:rPr>
          <w:rFonts w:ascii="Times New Roman" w:hAnsi="Times New Roman" w:cs="Times New Roman"/>
          <w:sz w:val="28"/>
          <w:szCs w:val="28"/>
          <w:lang w:val="uk-UA"/>
        </w:rPr>
        <w:t xml:space="preserve"> до початку нашого дослідження</w:t>
      </w:r>
      <w:r>
        <w:rPr>
          <w:rFonts w:ascii="Times New Roman" w:hAnsi="Times New Roman" w:cs="Times New Roman"/>
          <w:sz w:val="28"/>
          <w:szCs w:val="28"/>
          <w:lang w:val="uk-UA"/>
        </w:rPr>
        <w:t xml:space="preserve">, зважаючи </w:t>
      </w:r>
      <w:r w:rsidRPr="002B7EEC">
        <w:rPr>
          <w:rFonts w:ascii="Times New Roman" w:hAnsi="Times New Roman" w:cs="Times New Roman"/>
          <w:sz w:val="28"/>
          <w:szCs w:val="28"/>
          <w:lang w:val="uk-UA"/>
        </w:rPr>
        <w:t>на вік, наявність перенесених у минулому ССУ</w:t>
      </w:r>
      <w:r>
        <w:rPr>
          <w:rFonts w:ascii="Times New Roman" w:hAnsi="Times New Roman" w:cs="Times New Roman"/>
          <w:sz w:val="28"/>
          <w:szCs w:val="28"/>
          <w:lang w:val="uk-UA"/>
        </w:rPr>
        <w:t>.</w:t>
      </w:r>
      <w:r w:rsidR="00386D76">
        <w:rPr>
          <w:rFonts w:ascii="Times New Roman" w:hAnsi="Times New Roman" w:cs="Times New Roman"/>
          <w:sz w:val="28"/>
          <w:szCs w:val="28"/>
          <w:lang w:val="uk-UA"/>
        </w:rPr>
        <w:t xml:space="preserve"> </w:t>
      </w:r>
      <w:r w:rsidR="00BB537B">
        <w:rPr>
          <w:rFonts w:ascii="Times New Roman" w:hAnsi="Times New Roman" w:cs="Times New Roman"/>
          <w:sz w:val="28"/>
          <w:szCs w:val="28"/>
          <w:lang w:val="uk-UA"/>
        </w:rPr>
        <w:t xml:space="preserve">Хворі </w:t>
      </w:r>
      <w:r w:rsidR="004D570C">
        <w:rPr>
          <w:rFonts w:ascii="Times New Roman" w:hAnsi="Times New Roman" w:cs="Times New Roman"/>
          <w:sz w:val="28"/>
          <w:szCs w:val="28"/>
          <w:lang w:val="uk-UA"/>
        </w:rPr>
        <w:t>приймали статини, бо</w:t>
      </w:r>
      <w:r w:rsidR="00386D76">
        <w:rPr>
          <w:rFonts w:ascii="Times New Roman" w:hAnsi="Times New Roman" w:cs="Times New Roman"/>
          <w:sz w:val="28"/>
          <w:szCs w:val="28"/>
          <w:lang w:val="uk-UA"/>
        </w:rPr>
        <w:t xml:space="preserve"> вони є препаратами першого ряду </w:t>
      </w:r>
      <w:r w:rsidR="004A2AFC">
        <w:rPr>
          <w:rFonts w:ascii="Times New Roman" w:hAnsi="Times New Roman" w:cs="Times New Roman"/>
          <w:sz w:val="28"/>
          <w:szCs w:val="28"/>
          <w:lang w:val="uk-UA"/>
        </w:rPr>
        <w:t xml:space="preserve">              </w:t>
      </w:r>
      <w:r w:rsidR="00386D76">
        <w:rPr>
          <w:rFonts w:ascii="Times New Roman" w:hAnsi="Times New Roman" w:cs="Times New Roman"/>
          <w:sz w:val="28"/>
          <w:szCs w:val="28"/>
          <w:lang w:val="uk-UA"/>
        </w:rPr>
        <w:t>у л</w:t>
      </w:r>
      <w:r w:rsidR="004A4CFD">
        <w:rPr>
          <w:rFonts w:ascii="Times New Roman" w:hAnsi="Times New Roman" w:cs="Times New Roman"/>
          <w:sz w:val="28"/>
          <w:szCs w:val="28"/>
          <w:lang w:val="uk-UA"/>
        </w:rPr>
        <w:t xml:space="preserve">ікуванні дисліпідемії </w:t>
      </w:r>
      <w:r w:rsidR="004A2AFC">
        <w:rPr>
          <w:rFonts w:ascii="Times New Roman" w:hAnsi="Times New Roman" w:cs="Times New Roman"/>
          <w:sz w:val="28"/>
          <w:szCs w:val="28"/>
          <w:lang w:val="uk-UA"/>
        </w:rPr>
        <w:t xml:space="preserve">пацієнтів </w:t>
      </w:r>
      <w:r w:rsidR="004A4CFD">
        <w:rPr>
          <w:rFonts w:ascii="Times New Roman" w:hAnsi="Times New Roman" w:cs="Times New Roman"/>
          <w:sz w:val="28"/>
          <w:szCs w:val="28"/>
          <w:lang w:val="uk-UA"/>
        </w:rPr>
        <w:t>із</w:t>
      </w:r>
      <w:r w:rsidR="00BB537B">
        <w:rPr>
          <w:rFonts w:ascii="Times New Roman" w:hAnsi="Times New Roman" w:cs="Times New Roman"/>
          <w:sz w:val="28"/>
          <w:szCs w:val="28"/>
          <w:lang w:val="uk-UA"/>
        </w:rPr>
        <w:t xml:space="preserve"> </w:t>
      </w:r>
      <w:r w:rsidR="004A2AFC">
        <w:rPr>
          <w:rFonts w:ascii="Times New Roman" w:hAnsi="Times New Roman" w:cs="Times New Roman"/>
          <w:sz w:val="28"/>
          <w:szCs w:val="28"/>
          <w:lang w:val="uk-UA"/>
        </w:rPr>
        <w:t xml:space="preserve">АГ та </w:t>
      </w:r>
      <w:r w:rsidR="00386D76">
        <w:rPr>
          <w:rFonts w:ascii="Times New Roman" w:hAnsi="Times New Roman" w:cs="Times New Roman"/>
          <w:sz w:val="28"/>
          <w:szCs w:val="28"/>
          <w:lang w:val="uk-UA"/>
        </w:rPr>
        <w:t>ЦД 2-го типу</w:t>
      </w:r>
      <w:r w:rsidR="00DB73F5">
        <w:rPr>
          <w:rFonts w:ascii="Times New Roman" w:hAnsi="Times New Roman" w:cs="Times New Roman"/>
          <w:sz w:val="28"/>
          <w:szCs w:val="28"/>
          <w:lang w:val="uk-UA"/>
        </w:rPr>
        <w:t xml:space="preserve"> </w:t>
      </w:r>
      <w:r w:rsidR="00BB537B" w:rsidRPr="00BB537B">
        <w:rPr>
          <w:rFonts w:ascii="Times New Roman" w:hAnsi="Times New Roman" w:cs="Times New Roman"/>
          <w:sz w:val="28"/>
          <w:szCs w:val="28"/>
          <w:lang w:val="uk-UA"/>
        </w:rPr>
        <w:t>[</w:t>
      </w:r>
      <w:r w:rsidR="004B16DA">
        <w:rPr>
          <w:rFonts w:ascii="Times New Roman" w:hAnsi="Times New Roman" w:cs="Times New Roman"/>
          <w:sz w:val="28"/>
          <w:szCs w:val="28"/>
          <w:lang w:val="uk-UA"/>
        </w:rPr>
        <w:t>123</w:t>
      </w:r>
      <w:r w:rsidR="004D570C">
        <w:rPr>
          <w:rFonts w:ascii="Times New Roman" w:hAnsi="Times New Roman" w:cs="Times New Roman"/>
          <w:sz w:val="28"/>
          <w:szCs w:val="28"/>
          <w:lang w:val="uk-UA"/>
        </w:rPr>
        <w:t xml:space="preserve">], рекомендовані для </w:t>
      </w:r>
      <w:r w:rsidR="00DB73F5">
        <w:rPr>
          <w:rFonts w:ascii="Times New Roman" w:hAnsi="Times New Roman" w:cs="Times New Roman"/>
          <w:sz w:val="28"/>
          <w:szCs w:val="28"/>
          <w:lang w:val="uk-UA"/>
        </w:rPr>
        <w:t xml:space="preserve">первинної </w:t>
      </w:r>
      <w:r w:rsidR="004A2AFC">
        <w:rPr>
          <w:rFonts w:ascii="Times New Roman" w:hAnsi="Times New Roman" w:cs="Times New Roman"/>
          <w:sz w:val="28"/>
          <w:szCs w:val="28"/>
          <w:lang w:val="uk-UA"/>
        </w:rPr>
        <w:t xml:space="preserve">та </w:t>
      </w:r>
      <w:r w:rsidR="004D570C">
        <w:rPr>
          <w:rFonts w:ascii="Times New Roman" w:hAnsi="Times New Roman" w:cs="Times New Roman"/>
          <w:sz w:val="28"/>
          <w:szCs w:val="28"/>
          <w:lang w:val="uk-UA"/>
        </w:rPr>
        <w:t>вторинної профілактики ССУ та запобіга</w:t>
      </w:r>
      <w:r w:rsidR="00BA3ED5">
        <w:rPr>
          <w:rFonts w:ascii="Times New Roman" w:hAnsi="Times New Roman" w:cs="Times New Roman"/>
          <w:sz w:val="28"/>
          <w:szCs w:val="28"/>
          <w:lang w:val="uk-UA"/>
        </w:rPr>
        <w:t>ння</w:t>
      </w:r>
      <w:r w:rsidR="004D570C">
        <w:rPr>
          <w:rFonts w:ascii="Times New Roman" w:hAnsi="Times New Roman" w:cs="Times New Roman"/>
          <w:sz w:val="28"/>
          <w:szCs w:val="28"/>
          <w:lang w:val="uk-UA"/>
        </w:rPr>
        <w:t xml:space="preserve"> </w:t>
      </w:r>
      <w:r w:rsidR="00F33CCC">
        <w:rPr>
          <w:rFonts w:ascii="Times New Roman" w:hAnsi="Times New Roman" w:cs="Times New Roman"/>
          <w:sz w:val="28"/>
          <w:szCs w:val="28"/>
          <w:lang w:val="uk-UA"/>
        </w:rPr>
        <w:t xml:space="preserve">формування </w:t>
      </w:r>
      <w:r w:rsidR="004D570C">
        <w:rPr>
          <w:rFonts w:ascii="Times New Roman" w:hAnsi="Times New Roman" w:cs="Times New Roman"/>
          <w:sz w:val="28"/>
          <w:szCs w:val="28"/>
          <w:lang w:val="uk-UA"/>
        </w:rPr>
        <w:t>атеросклеротичного процесу [</w:t>
      </w:r>
      <w:r w:rsidR="00833F5B" w:rsidRPr="004B16DA">
        <w:rPr>
          <w:rFonts w:ascii="Times New Roman" w:hAnsi="Times New Roman" w:cs="Times New Roman"/>
          <w:sz w:val="28"/>
          <w:szCs w:val="28"/>
          <w:lang w:val="uk-UA"/>
        </w:rPr>
        <w:t>10</w:t>
      </w:r>
      <w:r w:rsidR="004D570C" w:rsidRPr="004D570C">
        <w:rPr>
          <w:rFonts w:ascii="Times New Roman" w:hAnsi="Times New Roman" w:cs="Times New Roman"/>
          <w:sz w:val="28"/>
          <w:szCs w:val="28"/>
          <w:lang w:val="uk-UA"/>
        </w:rPr>
        <w:t>]</w:t>
      </w:r>
      <w:r w:rsidR="004D570C">
        <w:rPr>
          <w:rFonts w:ascii="Times New Roman" w:hAnsi="Times New Roman" w:cs="Times New Roman"/>
          <w:sz w:val="28"/>
          <w:szCs w:val="28"/>
          <w:lang w:val="uk-UA"/>
        </w:rPr>
        <w:t>.</w:t>
      </w:r>
    </w:p>
    <w:p w:rsidR="007514D4" w:rsidRDefault="009969D0" w:rsidP="00C647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ліпідного спектра крові показало, що у</w:t>
      </w:r>
      <w:r w:rsidR="00F72A5E">
        <w:rPr>
          <w:rFonts w:ascii="Times New Roman" w:hAnsi="Times New Roman" w:cs="Times New Roman"/>
          <w:sz w:val="28"/>
          <w:szCs w:val="28"/>
          <w:lang w:val="uk-UA"/>
        </w:rPr>
        <w:t xml:space="preserve"> пацієнтів І, ІІ</w:t>
      </w:r>
      <w:r w:rsidR="00D331DE">
        <w:rPr>
          <w:rFonts w:ascii="Times New Roman" w:hAnsi="Times New Roman" w:cs="Times New Roman"/>
          <w:sz w:val="28"/>
          <w:szCs w:val="28"/>
          <w:lang w:val="uk-UA"/>
        </w:rPr>
        <w:t xml:space="preserve"> груп та осіб </w:t>
      </w:r>
      <w:r w:rsidR="00F72A5E">
        <w:rPr>
          <w:rFonts w:ascii="Times New Roman" w:hAnsi="Times New Roman" w:cs="Times New Roman"/>
          <w:sz w:val="28"/>
          <w:szCs w:val="28"/>
          <w:lang w:val="uk-UA"/>
        </w:rPr>
        <w:t>груп</w:t>
      </w:r>
      <w:r w:rsidR="00D331DE">
        <w:rPr>
          <w:rFonts w:ascii="Times New Roman" w:hAnsi="Times New Roman" w:cs="Times New Roman"/>
          <w:sz w:val="28"/>
          <w:szCs w:val="28"/>
          <w:lang w:val="uk-UA"/>
        </w:rPr>
        <w:t>и контролю</w:t>
      </w:r>
      <w:r>
        <w:rPr>
          <w:rFonts w:ascii="Times New Roman" w:hAnsi="Times New Roman" w:cs="Times New Roman"/>
          <w:sz w:val="28"/>
          <w:szCs w:val="28"/>
          <w:lang w:val="uk-UA"/>
        </w:rPr>
        <w:t xml:space="preserve"> вміст</w:t>
      </w:r>
      <w:r w:rsidR="002B0BAC">
        <w:rPr>
          <w:rFonts w:ascii="Times New Roman" w:hAnsi="Times New Roman" w:cs="Times New Roman"/>
          <w:sz w:val="28"/>
          <w:szCs w:val="28"/>
          <w:lang w:val="uk-UA"/>
        </w:rPr>
        <w:t xml:space="preserve"> ЗХС с</w:t>
      </w:r>
      <w:r w:rsidR="00F72094">
        <w:rPr>
          <w:rFonts w:ascii="Times New Roman" w:hAnsi="Times New Roman" w:cs="Times New Roman"/>
          <w:sz w:val="28"/>
          <w:szCs w:val="28"/>
          <w:lang w:val="uk-UA"/>
        </w:rPr>
        <w:t>танови</w:t>
      </w:r>
      <w:r w:rsidR="002B0BAC">
        <w:rPr>
          <w:rFonts w:ascii="Times New Roman" w:hAnsi="Times New Roman" w:cs="Times New Roman"/>
          <w:sz w:val="28"/>
          <w:szCs w:val="28"/>
          <w:lang w:val="uk-UA"/>
        </w:rPr>
        <w:t>в (5,2</w:t>
      </w:r>
      <w:r w:rsidR="002B0BAC" w:rsidRPr="002B0BAC">
        <w:rPr>
          <w:rFonts w:ascii="Times New Roman" w:hAnsi="Times New Roman" w:cs="Times New Roman"/>
          <w:sz w:val="28"/>
          <w:szCs w:val="28"/>
          <w:lang w:val="uk-UA"/>
        </w:rPr>
        <w:t>2</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4E53B5">
        <w:rPr>
          <w:rFonts w:ascii="Times New Roman" w:hAnsi="Times New Roman" w:cs="Times New Roman"/>
          <w:sz w:val="28"/>
          <w:szCs w:val="28"/>
          <w:lang w:val="uk-UA"/>
        </w:rPr>
        <w:t>0</w:t>
      </w:r>
      <w:r w:rsidR="002B0BAC">
        <w:rPr>
          <w:rFonts w:ascii="Times New Roman" w:hAnsi="Times New Roman" w:cs="Times New Roman"/>
          <w:sz w:val="28"/>
          <w:szCs w:val="28"/>
          <w:lang w:val="uk-UA"/>
        </w:rPr>
        <w:t>,</w:t>
      </w:r>
      <w:r w:rsidR="00556502" w:rsidRPr="00556502">
        <w:rPr>
          <w:rFonts w:ascii="Times New Roman" w:hAnsi="Times New Roman" w:cs="Times New Roman"/>
          <w:sz w:val="28"/>
          <w:szCs w:val="28"/>
          <w:lang w:val="uk-UA"/>
        </w:rPr>
        <w:t>1</w:t>
      </w:r>
      <w:r w:rsidR="00A44D43" w:rsidRPr="008707FF">
        <w:rPr>
          <w:rFonts w:ascii="Times New Roman" w:hAnsi="Times New Roman" w:cs="Times New Roman"/>
          <w:sz w:val="28"/>
          <w:szCs w:val="28"/>
          <w:lang w:val="uk-UA"/>
        </w:rPr>
        <w:t>) ммо</w:t>
      </w:r>
      <w:r w:rsidR="002B0BAC">
        <w:rPr>
          <w:rFonts w:ascii="Times New Roman" w:hAnsi="Times New Roman" w:cs="Times New Roman"/>
          <w:sz w:val="28"/>
          <w:szCs w:val="28"/>
          <w:lang w:val="uk-UA"/>
        </w:rPr>
        <w:t xml:space="preserve">ль/л, </w:t>
      </w:r>
      <w:r w:rsidR="00262338">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w:t>
      </w:r>
      <w:r w:rsidR="002B0BAC" w:rsidRPr="002B0BAC">
        <w:rPr>
          <w:rFonts w:ascii="Times New Roman" w:hAnsi="Times New Roman" w:cs="Times New Roman"/>
          <w:sz w:val="28"/>
          <w:szCs w:val="28"/>
          <w:lang w:val="uk-UA"/>
        </w:rPr>
        <w:t>4</w:t>
      </w:r>
      <w:r w:rsidR="002B0BAC">
        <w:rPr>
          <w:rFonts w:ascii="Times New Roman" w:hAnsi="Times New Roman" w:cs="Times New Roman"/>
          <w:sz w:val="28"/>
          <w:szCs w:val="28"/>
          <w:lang w:val="uk-UA"/>
        </w:rPr>
        <w:t>,</w:t>
      </w:r>
      <w:r w:rsidR="002B0BAC" w:rsidRPr="002B0BAC">
        <w:rPr>
          <w:rFonts w:ascii="Times New Roman" w:hAnsi="Times New Roman" w:cs="Times New Roman"/>
          <w:sz w:val="28"/>
          <w:szCs w:val="28"/>
          <w:lang w:val="uk-UA"/>
        </w:rPr>
        <w:t>69</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0,</w:t>
      </w:r>
      <w:r w:rsidR="004E53B5">
        <w:rPr>
          <w:rFonts w:ascii="Times New Roman" w:hAnsi="Times New Roman" w:cs="Times New Roman"/>
          <w:sz w:val="28"/>
          <w:szCs w:val="28"/>
          <w:lang w:val="uk-UA"/>
        </w:rPr>
        <w:t>3</w:t>
      </w:r>
      <w:r w:rsidR="002B0BAC" w:rsidRPr="002B0BAC">
        <w:rPr>
          <w:rFonts w:ascii="Times New Roman" w:hAnsi="Times New Roman" w:cs="Times New Roman"/>
          <w:sz w:val="28"/>
          <w:szCs w:val="28"/>
          <w:lang w:val="uk-UA"/>
        </w:rPr>
        <w:t>2</w:t>
      </w:r>
      <w:r w:rsidR="00EA0B52">
        <w:rPr>
          <w:rFonts w:ascii="Times New Roman" w:hAnsi="Times New Roman" w:cs="Times New Roman"/>
          <w:sz w:val="28"/>
          <w:szCs w:val="28"/>
          <w:lang w:val="uk-UA"/>
        </w:rPr>
        <w:t>) ммоль/л,</w:t>
      </w:r>
      <w:r w:rsidR="00A44D43" w:rsidRPr="008707FF">
        <w:rPr>
          <w:rFonts w:ascii="Times New Roman" w:hAnsi="Times New Roman" w:cs="Times New Roman"/>
          <w:sz w:val="28"/>
          <w:szCs w:val="28"/>
          <w:lang w:val="uk-UA"/>
        </w:rPr>
        <w:t xml:space="preserve"> </w:t>
      </w:r>
      <w:r w:rsidR="00A44D43" w:rsidRPr="008707FF">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1-2</w:t>
      </w:r>
      <w:r w:rsidR="00D331DE">
        <w:rPr>
          <w:rFonts w:ascii="Times New Roman" w:hAnsi="Times New Roman" w:cs="Times New Roman"/>
          <w:sz w:val="28"/>
          <w:szCs w:val="28"/>
          <w:lang w:val="uk-UA"/>
        </w:rPr>
        <w:t xml:space="preserve"> </w:t>
      </w:r>
      <w:r w:rsidR="00EA0B52">
        <w:rPr>
          <w:rFonts w:ascii="Times New Roman" w:hAnsi="Times New Roman" w:cs="Times New Roman"/>
          <w:sz w:val="28"/>
          <w:szCs w:val="28"/>
          <w:lang w:val="uk-UA"/>
        </w:rPr>
        <w:t xml:space="preserve">= </w:t>
      </w:r>
      <w:r w:rsidR="00A44D43" w:rsidRPr="00556502">
        <w:rPr>
          <w:rFonts w:ascii="Times New Roman" w:hAnsi="Times New Roman" w:cs="Times New Roman"/>
          <w:sz w:val="28"/>
          <w:szCs w:val="28"/>
          <w:lang w:val="uk-UA"/>
        </w:rPr>
        <w:t>0,0</w:t>
      </w:r>
      <w:r w:rsidR="004E53B5">
        <w:rPr>
          <w:rFonts w:ascii="Times New Roman" w:hAnsi="Times New Roman" w:cs="Times New Roman"/>
          <w:sz w:val="28"/>
          <w:szCs w:val="28"/>
          <w:lang w:val="uk-UA"/>
        </w:rPr>
        <w:t>393</w:t>
      </w:r>
      <w:r w:rsidR="002B0BAC">
        <w:rPr>
          <w:rFonts w:ascii="Times New Roman" w:hAnsi="Times New Roman" w:cs="Times New Roman"/>
          <w:sz w:val="28"/>
          <w:szCs w:val="28"/>
          <w:lang w:val="uk-UA"/>
        </w:rPr>
        <w:t>; (4,</w:t>
      </w:r>
      <w:r w:rsidR="002B0BAC" w:rsidRPr="002B0BAC">
        <w:rPr>
          <w:rFonts w:ascii="Times New Roman" w:hAnsi="Times New Roman" w:cs="Times New Roman"/>
          <w:sz w:val="28"/>
          <w:szCs w:val="28"/>
          <w:lang w:val="uk-UA"/>
        </w:rPr>
        <w:t>18</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0,</w:t>
      </w:r>
      <w:r w:rsidR="002B0BAC" w:rsidRPr="002B0BAC">
        <w:rPr>
          <w:rFonts w:ascii="Times New Roman" w:hAnsi="Times New Roman" w:cs="Times New Roman"/>
          <w:sz w:val="28"/>
          <w:szCs w:val="28"/>
          <w:lang w:val="uk-UA"/>
        </w:rPr>
        <w:t>58</w:t>
      </w:r>
      <w:r w:rsidR="00CD49CC" w:rsidRPr="008D6381">
        <w:rPr>
          <w:rFonts w:ascii="Times New Roman" w:hAnsi="Times New Roman" w:cs="Times New Roman"/>
          <w:sz w:val="28"/>
          <w:szCs w:val="28"/>
          <w:lang w:val="uk-UA"/>
        </w:rPr>
        <w:t xml:space="preserve">) ммоль/л, </w:t>
      </w:r>
      <w:r w:rsidR="00A44D43" w:rsidRPr="008D6381">
        <w:rPr>
          <w:rFonts w:ascii="Times New Roman" w:hAnsi="Times New Roman" w:cs="Times New Roman"/>
          <w:sz w:val="28"/>
          <w:szCs w:val="28"/>
          <w:lang w:val="uk-UA"/>
        </w:rPr>
        <w:t xml:space="preserve"> </w:t>
      </w:r>
      <w:r w:rsidR="00A44D43" w:rsidRPr="008D6381">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1-3</w:t>
      </w:r>
      <w:r w:rsidR="00CD49CC" w:rsidRPr="008D6381">
        <w:rPr>
          <w:rFonts w:ascii="Times New Roman" w:hAnsi="Times New Roman" w:cs="Times New Roman"/>
          <w:sz w:val="28"/>
          <w:szCs w:val="28"/>
          <w:lang w:val="uk-UA"/>
        </w:rPr>
        <w:t xml:space="preserve"> </w:t>
      </w:r>
      <w:r w:rsidR="00071500" w:rsidRPr="00071500">
        <w:rPr>
          <w:rFonts w:ascii="Times New Roman" w:hAnsi="Times New Roman" w:cs="Times New Roman"/>
          <w:sz w:val="28"/>
          <w:szCs w:val="28"/>
          <w:lang w:val="uk-UA"/>
        </w:rPr>
        <w:t>=</w:t>
      </w:r>
      <w:r w:rsidR="00CD49CC" w:rsidRPr="00071500">
        <w:rPr>
          <w:rFonts w:ascii="Times New Roman" w:hAnsi="Times New Roman" w:cs="Times New Roman"/>
          <w:sz w:val="28"/>
          <w:szCs w:val="28"/>
          <w:lang w:val="uk-UA"/>
        </w:rPr>
        <w:t xml:space="preserve"> 0,00</w:t>
      </w:r>
      <w:r w:rsidR="004E53B5">
        <w:rPr>
          <w:rFonts w:ascii="Times New Roman" w:hAnsi="Times New Roman" w:cs="Times New Roman"/>
          <w:sz w:val="28"/>
          <w:szCs w:val="28"/>
          <w:lang w:val="uk-UA"/>
        </w:rPr>
        <w:t>27</w:t>
      </w:r>
      <w:r w:rsidR="00262338">
        <w:rPr>
          <w:rFonts w:ascii="Times New Roman" w:hAnsi="Times New Roman" w:cs="Times New Roman"/>
          <w:sz w:val="28"/>
          <w:szCs w:val="28"/>
          <w:lang w:val="uk-UA"/>
        </w:rPr>
        <w:t xml:space="preserve"> відповідно; </w:t>
      </w:r>
      <w:r w:rsidR="00445BA9" w:rsidRPr="00445BA9">
        <w:rPr>
          <w:rFonts w:ascii="Times New Roman" w:hAnsi="Times New Roman" w:cs="Times New Roman"/>
          <w:sz w:val="28"/>
          <w:szCs w:val="28"/>
          <w:lang w:val="uk-UA"/>
        </w:rPr>
        <w:t xml:space="preserve">ХС </w:t>
      </w:r>
      <w:r w:rsidR="002B0BAC">
        <w:rPr>
          <w:rFonts w:ascii="Times New Roman" w:hAnsi="Times New Roman" w:cs="Times New Roman"/>
          <w:sz w:val="28"/>
          <w:szCs w:val="28"/>
          <w:lang w:val="uk-UA"/>
        </w:rPr>
        <w:t>ЛПВЩ – (1,1</w:t>
      </w:r>
      <w:r w:rsidR="002B0BAC" w:rsidRPr="002B0BAC">
        <w:rPr>
          <w:rFonts w:ascii="Times New Roman" w:hAnsi="Times New Roman" w:cs="Times New Roman"/>
          <w:sz w:val="28"/>
          <w:szCs w:val="28"/>
          <w:lang w:val="uk-UA"/>
        </w:rPr>
        <w:t>6</w:t>
      </w:r>
      <w:r w:rsidR="00D331DE">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0,</w:t>
      </w:r>
      <w:r w:rsidR="004E53B5">
        <w:rPr>
          <w:rFonts w:ascii="Times New Roman" w:hAnsi="Times New Roman" w:cs="Times New Roman"/>
          <w:sz w:val="28"/>
          <w:szCs w:val="28"/>
          <w:lang w:val="uk-UA"/>
        </w:rPr>
        <w:t>0</w:t>
      </w:r>
      <w:r w:rsidR="00071500" w:rsidRPr="00071500">
        <w:rPr>
          <w:rFonts w:ascii="Times New Roman" w:hAnsi="Times New Roman" w:cs="Times New Roman"/>
          <w:sz w:val="28"/>
          <w:szCs w:val="28"/>
          <w:lang w:val="uk-UA"/>
        </w:rPr>
        <w:t>1</w:t>
      </w:r>
      <w:r w:rsidR="002B0BAC">
        <w:rPr>
          <w:rFonts w:ascii="Times New Roman" w:hAnsi="Times New Roman" w:cs="Times New Roman"/>
          <w:sz w:val="28"/>
          <w:szCs w:val="28"/>
          <w:lang w:val="uk-UA"/>
        </w:rPr>
        <w:t>) ммоль/л, (1,</w:t>
      </w:r>
      <w:r w:rsidR="002B0BAC" w:rsidRPr="002B0BAC">
        <w:rPr>
          <w:rFonts w:ascii="Times New Roman" w:hAnsi="Times New Roman" w:cs="Times New Roman"/>
          <w:sz w:val="28"/>
          <w:szCs w:val="28"/>
          <w:lang w:val="uk-UA"/>
        </w:rPr>
        <w:t>22</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2B0BAC">
        <w:rPr>
          <w:rFonts w:ascii="Times New Roman" w:hAnsi="Times New Roman" w:cs="Times New Roman"/>
          <w:sz w:val="28"/>
          <w:szCs w:val="28"/>
          <w:lang w:val="uk-UA"/>
        </w:rPr>
        <w:t>0,</w:t>
      </w:r>
      <w:r w:rsidR="004E53B5">
        <w:rPr>
          <w:rFonts w:ascii="Times New Roman" w:hAnsi="Times New Roman" w:cs="Times New Roman"/>
          <w:sz w:val="28"/>
          <w:szCs w:val="28"/>
          <w:lang w:val="uk-UA"/>
        </w:rPr>
        <w:t>04</w:t>
      </w:r>
      <w:r w:rsidR="00262338">
        <w:rPr>
          <w:rFonts w:ascii="Times New Roman" w:hAnsi="Times New Roman" w:cs="Times New Roman"/>
          <w:sz w:val="28"/>
          <w:szCs w:val="28"/>
          <w:lang w:val="uk-UA"/>
        </w:rPr>
        <w:t>) ммоль/л,</w:t>
      </w:r>
      <w:r w:rsidR="00A44D43" w:rsidRPr="008D6381">
        <w:rPr>
          <w:rFonts w:ascii="Times New Roman" w:hAnsi="Times New Roman" w:cs="Times New Roman"/>
          <w:sz w:val="28"/>
          <w:szCs w:val="28"/>
          <w:lang w:val="uk-UA"/>
        </w:rPr>
        <w:t xml:space="preserve"> </w:t>
      </w:r>
      <w:r w:rsidR="00262338">
        <w:rPr>
          <w:rFonts w:ascii="Times New Roman" w:hAnsi="Times New Roman" w:cs="Times New Roman"/>
          <w:sz w:val="28"/>
          <w:szCs w:val="28"/>
          <w:lang w:val="uk-UA"/>
        </w:rPr>
        <w:t xml:space="preserve">            </w:t>
      </w:r>
      <w:r w:rsidR="00A44D43" w:rsidRPr="008D6381">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1-2</w:t>
      </w:r>
      <w:r w:rsidR="00CD49CC" w:rsidRPr="008D6381">
        <w:rPr>
          <w:rFonts w:ascii="Times New Roman" w:hAnsi="Times New Roman" w:cs="Times New Roman"/>
          <w:sz w:val="28"/>
          <w:szCs w:val="28"/>
          <w:lang w:val="uk-UA"/>
        </w:rPr>
        <w:t xml:space="preserve"> = 0</w:t>
      </w:r>
      <w:r w:rsidR="004E53B5">
        <w:rPr>
          <w:rFonts w:ascii="Times New Roman" w:hAnsi="Times New Roman" w:cs="Times New Roman"/>
          <w:sz w:val="28"/>
          <w:szCs w:val="28"/>
          <w:lang w:val="uk-UA"/>
        </w:rPr>
        <w:t>,0352</w:t>
      </w:r>
      <w:r w:rsidR="002B0BAC">
        <w:rPr>
          <w:rFonts w:ascii="Times New Roman" w:hAnsi="Times New Roman" w:cs="Times New Roman"/>
          <w:sz w:val="28"/>
          <w:szCs w:val="28"/>
          <w:lang w:val="uk-UA"/>
        </w:rPr>
        <w:t>; (1,</w:t>
      </w:r>
      <w:r w:rsidR="002B0BAC" w:rsidRPr="002B0BAC">
        <w:rPr>
          <w:rFonts w:ascii="Times New Roman" w:hAnsi="Times New Roman" w:cs="Times New Roman"/>
          <w:sz w:val="28"/>
          <w:szCs w:val="28"/>
          <w:lang w:val="uk-UA"/>
        </w:rPr>
        <w:t>3</w:t>
      </w:r>
      <w:r w:rsidR="00262338">
        <w:rPr>
          <w:rFonts w:ascii="Times New Roman" w:hAnsi="Times New Roman" w:cs="Times New Roman"/>
          <w:sz w:val="28"/>
          <w:szCs w:val="28"/>
          <w:lang w:val="uk-UA"/>
        </w:rPr>
        <w:t xml:space="preserve"> </w:t>
      </w:r>
      <w:r w:rsidR="00ED13A6" w:rsidRPr="008D6381">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ED13A6" w:rsidRPr="008D6381">
        <w:rPr>
          <w:rFonts w:ascii="Times New Roman" w:hAnsi="Times New Roman" w:cs="Times New Roman"/>
          <w:sz w:val="28"/>
          <w:szCs w:val="28"/>
          <w:lang w:val="uk-UA"/>
        </w:rPr>
        <w:t>0,1</w:t>
      </w:r>
      <w:r w:rsidR="002B0BAC" w:rsidRPr="002B0BAC">
        <w:rPr>
          <w:rFonts w:ascii="Times New Roman" w:hAnsi="Times New Roman" w:cs="Times New Roman"/>
          <w:sz w:val="28"/>
          <w:szCs w:val="28"/>
          <w:lang w:val="uk-UA"/>
        </w:rPr>
        <w:t>2</w:t>
      </w:r>
      <w:r w:rsidR="00ED13A6" w:rsidRPr="008D6381">
        <w:rPr>
          <w:rFonts w:ascii="Times New Roman" w:hAnsi="Times New Roman" w:cs="Times New Roman"/>
          <w:sz w:val="28"/>
          <w:szCs w:val="28"/>
          <w:lang w:val="uk-UA"/>
        </w:rPr>
        <w:t xml:space="preserve">) ммоль/л, </w:t>
      </w:r>
      <w:r w:rsidR="00ED13A6" w:rsidRPr="008D6381">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1-3</w:t>
      </w:r>
      <w:r w:rsidR="00D331DE">
        <w:rPr>
          <w:rFonts w:ascii="Times New Roman" w:hAnsi="Times New Roman" w:cs="Times New Roman"/>
          <w:sz w:val="28"/>
          <w:szCs w:val="28"/>
          <w:lang w:val="uk-UA"/>
        </w:rPr>
        <w:t xml:space="preserve"> </w:t>
      </w:r>
      <w:r w:rsidR="00071500" w:rsidRPr="00071500">
        <w:rPr>
          <w:rFonts w:ascii="Times New Roman" w:hAnsi="Times New Roman" w:cs="Times New Roman"/>
          <w:sz w:val="28"/>
          <w:szCs w:val="28"/>
          <w:lang w:val="uk-UA"/>
        </w:rPr>
        <w:t>=</w:t>
      </w:r>
      <w:r w:rsidR="00CD49CC" w:rsidRPr="00071500">
        <w:rPr>
          <w:rFonts w:ascii="Times New Roman" w:hAnsi="Times New Roman" w:cs="Times New Roman"/>
          <w:sz w:val="28"/>
          <w:szCs w:val="28"/>
          <w:lang w:val="uk-UA"/>
        </w:rPr>
        <w:t xml:space="preserve"> </w:t>
      </w:r>
      <w:r w:rsidR="00ED13A6" w:rsidRPr="00071500">
        <w:rPr>
          <w:rFonts w:ascii="Times New Roman" w:hAnsi="Times New Roman" w:cs="Times New Roman"/>
          <w:sz w:val="28"/>
          <w:szCs w:val="28"/>
          <w:lang w:val="uk-UA"/>
        </w:rPr>
        <w:t>0,0</w:t>
      </w:r>
      <w:r w:rsidR="004E53B5">
        <w:rPr>
          <w:rFonts w:ascii="Times New Roman" w:hAnsi="Times New Roman" w:cs="Times New Roman"/>
          <w:sz w:val="28"/>
          <w:szCs w:val="28"/>
          <w:lang w:val="uk-UA"/>
        </w:rPr>
        <w:t>09</w:t>
      </w:r>
      <w:r w:rsidR="00071500" w:rsidRPr="00071500">
        <w:rPr>
          <w:rFonts w:ascii="Times New Roman" w:hAnsi="Times New Roman" w:cs="Times New Roman"/>
          <w:sz w:val="28"/>
          <w:szCs w:val="28"/>
          <w:lang w:val="uk-UA"/>
        </w:rPr>
        <w:t>2</w:t>
      </w:r>
      <w:r w:rsidR="004B377E">
        <w:rPr>
          <w:rFonts w:ascii="Times New Roman" w:hAnsi="Times New Roman" w:cs="Times New Roman"/>
          <w:sz w:val="28"/>
          <w:szCs w:val="28"/>
          <w:lang w:val="uk-UA"/>
        </w:rPr>
        <w:t xml:space="preserve">; </w:t>
      </w:r>
      <w:r w:rsidR="00445BA9">
        <w:rPr>
          <w:rFonts w:ascii="Times New Roman" w:hAnsi="Times New Roman" w:cs="Times New Roman"/>
          <w:sz w:val="28"/>
          <w:szCs w:val="28"/>
          <w:lang w:val="uk-UA"/>
        </w:rPr>
        <w:t xml:space="preserve">ХС </w:t>
      </w:r>
      <w:r w:rsidR="004B377E">
        <w:rPr>
          <w:rFonts w:ascii="Times New Roman" w:hAnsi="Times New Roman" w:cs="Times New Roman"/>
          <w:sz w:val="28"/>
          <w:szCs w:val="28"/>
          <w:lang w:val="uk-UA"/>
        </w:rPr>
        <w:t xml:space="preserve">ЛПНЩ </w:t>
      </w:r>
      <w:r w:rsidR="00F72094">
        <w:rPr>
          <w:rFonts w:ascii="Times New Roman" w:hAnsi="Times New Roman" w:cs="Times New Roman"/>
          <w:sz w:val="28"/>
          <w:szCs w:val="28"/>
          <w:lang w:val="uk-UA"/>
        </w:rPr>
        <w:t>−</w:t>
      </w:r>
      <w:r w:rsidR="004B377E">
        <w:rPr>
          <w:rFonts w:ascii="Times New Roman" w:hAnsi="Times New Roman" w:cs="Times New Roman"/>
          <w:sz w:val="28"/>
          <w:szCs w:val="28"/>
          <w:lang w:val="uk-UA"/>
        </w:rPr>
        <w:t xml:space="preserve"> (2,8</w:t>
      </w:r>
      <w:r w:rsidR="004B377E" w:rsidRPr="004B377E">
        <w:rPr>
          <w:rFonts w:ascii="Times New Roman" w:hAnsi="Times New Roman" w:cs="Times New Roman"/>
          <w:sz w:val="28"/>
          <w:szCs w:val="28"/>
          <w:lang w:val="uk-UA"/>
        </w:rPr>
        <w:t>4</w:t>
      </w:r>
      <w:r w:rsidR="00F72094">
        <w:rPr>
          <w:rFonts w:ascii="Times New Roman" w:hAnsi="Times New Roman" w:cs="Times New Roman"/>
          <w:sz w:val="28"/>
          <w:szCs w:val="28"/>
          <w:lang w:val="uk-UA"/>
        </w:rPr>
        <w:t xml:space="preserve"> </w:t>
      </w:r>
      <w:r w:rsidR="00262338">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BF4054" w:rsidRPr="00BF4054">
        <w:rPr>
          <w:rFonts w:ascii="Times New Roman" w:hAnsi="Times New Roman" w:cs="Times New Roman"/>
          <w:sz w:val="28"/>
          <w:szCs w:val="28"/>
          <w:lang w:val="uk-UA"/>
        </w:rPr>
        <w:t>0</w:t>
      </w:r>
      <w:r w:rsidR="004B377E">
        <w:rPr>
          <w:rFonts w:ascii="Times New Roman" w:hAnsi="Times New Roman" w:cs="Times New Roman"/>
          <w:sz w:val="28"/>
          <w:szCs w:val="28"/>
          <w:lang w:val="uk-UA"/>
        </w:rPr>
        <w:t>,</w:t>
      </w:r>
      <w:r w:rsidR="00B74651">
        <w:rPr>
          <w:rFonts w:ascii="Times New Roman" w:hAnsi="Times New Roman" w:cs="Times New Roman"/>
          <w:sz w:val="28"/>
          <w:szCs w:val="28"/>
          <w:lang w:val="uk-UA"/>
        </w:rPr>
        <w:t>01</w:t>
      </w:r>
      <w:r w:rsidR="004B377E">
        <w:rPr>
          <w:rFonts w:ascii="Times New Roman" w:hAnsi="Times New Roman" w:cs="Times New Roman"/>
          <w:sz w:val="28"/>
          <w:szCs w:val="28"/>
          <w:lang w:val="uk-UA"/>
        </w:rPr>
        <w:t>) ммоль/л, (2,</w:t>
      </w:r>
      <w:r w:rsidR="008A4ACC" w:rsidRPr="008A4ACC">
        <w:rPr>
          <w:rFonts w:ascii="Times New Roman" w:hAnsi="Times New Roman" w:cs="Times New Roman"/>
          <w:sz w:val="28"/>
          <w:szCs w:val="28"/>
          <w:lang w:val="uk-UA"/>
        </w:rPr>
        <w:t>7</w:t>
      </w:r>
      <w:r w:rsidR="004B377E" w:rsidRPr="004B377E">
        <w:rPr>
          <w:rFonts w:ascii="Times New Roman" w:hAnsi="Times New Roman" w:cs="Times New Roman"/>
          <w:sz w:val="28"/>
          <w:szCs w:val="28"/>
          <w:lang w:val="uk-UA"/>
        </w:rPr>
        <w:t>8</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8A4ACC" w:rsidRPr="008A4ACC">
        <w:rPr>
          <w:rFonts w:ascii="Times New Roman" w:hAnsi="Times New Roman" w:cs="Times New Roman"/>
          <w:sz w:val="28"/>
          <w:szCs w:val="28"/>
          <w:lang w:val="uk-UA"/>
        </w:rPr>
        <w:t>0</w:t>
      </w:r>
      <w:r w:rsidR="008A4ACC">
        <w:rPr>
          <w:rFonts w:ascii="Times New Roman" w:hAnsi="Times New Roman" w:cs="Times New Roman"/>
          <w:sz w:val="28"/>
          <w:szCs w:val="28"/>
          <w:lang w:val="uk-UA"/>
        </w:rPr>
        <w:t>,</w:t>
      </w:r>
      <w:r w:rsidR="00B74651">
        <w:rPr>
          <w:rFonts w:ascii="Times New Roman" w:hAnsi="Times New Roman" w:cs="Times New Roman"/>
          <w:sz w:val="28"/>
          <w:szCs w:val="28"/>
          <w:lang w:val="uk-UA"/>
        </w:rPr>
        <w:t>02</w:t>
      </w:r>
      <w:r w:rsidR="00ED13A6" w:rsidRPr="008D6381">
        <w:rPr>
          <w:rFonts w:ascii="Times New Roman" w:hAnsi="Times New Roman" w:cs="Times New Roman"/>
          <w:sz w:val="28"/>
          <w:szCs w:val="28"/>
          <w:lang w:val="uk-UA"/>
        </w:rPr>
        <w:t>) ммоль/л</w:t>
      </w:r>
      <w:r w:rsidR="00ED13A6" w:rsidRPr="008A4ACC">
        <w:rPr>
          <w:rFonts w:ascii="Times New Roman" w:hAnsi="Times New Roman" w:cs="Times New Roman"/>
          <w:sz w:val="28"/>
          <w:szCs w:val="28"/>
          <w:lang w:val="uk-UA"/>
        </w:rPr>
        <w:t xml:space="preserve">, </w:t>
      </w:r>
      <w:r w:rsidR="00ED13A6" w:rsidRPr="008A4ACC">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1-2</w:t>
      </w:r>
      <w:r w:rsidR="00B74651">
        <w:rPr>
          <w:rFonts w:ascii="Times New Roman" w:hAnsi="Times New Roman" w:cs="Times New Roman"/>
          <w:sz w:val="28"/>
          <w:szCs w:val="28"/>
          <w:lang w:val="uk-UA"/>
        </w:rPr>
        <w:t xml:space="preserve"> = 0,0076</w:t>
      </w:r>
      <w:r w:rsidR="00ED13A6" w:rsidRPr="008D6381">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(2,</w:t>
      </w:r>
      <w:r w:rsidR="008A4ACC" w:rsidRPr="008A4ACC">
        <w:rPr>
          <w:rFonts w:ascii="Times New Roman" w:hAnsi="Times New Roman" w:cs="Times New Roman"/>
          <w:sz w:val="28"/>
          <w:szCs w:val="28"/>
          <w:lang w:val="uk-UA"/>
        </w:rPr>
        <w:t>7</w:t>
      </w:r>
      <w:r w:rsidR="004B377E" w:rsidRPr="004B377E">
        <w:rPr>
          <w:rFonts w:ascii="Times New Roman" w:hAnsi="Times New Roman" w:cs="Times New Roman"/>
          <w:sz w:val="28"/>
          <w:szCs w:val="28"/>
          <w:lang w:val="uk-UA"/>
        </w:rPr>
        <w:t>6</w:t>
      </w:r>
      <w:r w:rsidR="00F72094">
        <w:rPr>
          <w:rFonts w:ascii="Times New Roman" w:hAnsi="Times New Roman" w:cs="Times New Roman"/>
          <w:sz w:val="28"/>
          <w:szCs w:val="28"/>
          <w:lang w:val="uk-UA"/>
        </w:rPr>
        <w:t xml:space="preserve"> </w:t>
      </w:r>
      <w:r w:rsidR="00696759" w:rsidRPr="008D6381">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696759" w:rsidRPr="008D6381">
        <w:rPr>
          <w:rFonts w:ascii="Times New Roman" w:hAnsi="Times New Roman" w:cs="Times New Roman"/>
          <w:sz w:val="28"/>
          <w:szCs w:val="28"/>
          <w:lang w:val="uk-UA"/>
        </w:rPr>
        <w:t>0,</w:t>
      </w:r>
      <w:r w:rsidR="00B74651">
        <w:rPr>
          <w:rFonts w:ascii="Times New Roman" w:hAnsi="Times New Roman" w:cs="Times New Roman"/>
          <w:sz w:val="28"/>
          <w:szCs w:val="28"/>
          <w:lang w:val="uk-UA"/>
        </w:rPr>
        <w:t>08</w:t>
      </w:r>
      <w:r w:rsidR="00696759" w:rsidRPr="008D6381">
        <w:rPr>
          <w:rFonts w:ascii="Times New Roman" w:hAnsi="Times New Roman" w:cs="Times New Roman"/>
          <w:sz w:val="28"/>
          <w:szCs w:val="28"/>
          <w:lang w:val="uk-UA"/>
        </w:rPr>
        <w:t>) ммоль/л,</w:t>
      </w:r>
      <w:r w:rsidR="00ED13A6" w:rsidRPr="008D6381">
        <w:rPr>
          <w:rFonts w:ascii="Times New Roman" w:hAnsi="Times New Roman" w:cs="Times New Roman"/>
          <w:sz w:val="28"/>
          <w:szCs w:val="28"/>
          <w:lang w:val="uk-UA"/>
        </w:rPr>
        <w:t xml:space="preserve"> </w:t>
      </w:r>
      <w:r w:rsidR="00262338">
        <w:rPr>
          <w:rFonts w:ascii="Times New Roman" w:hAnsi="Times New Roman" w:cs="Times New Roman"/>
          <w:sz w:val="28"/>
          <w:szCs w:val="28"/>
          <w:lang w:val="uk-UA"/>
        </w:rPr>
        <w:t xml:space="preserve">     </w:t>
      </w:r>
      <w:r w:rsidR="00ED13A6" w:rsidRPr="008D6381">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1-3</w:t>
      </w:r>
      <w:r w:rsidR="00696759" w:rsidRPr="008D6381">
        <w:rPr>
          <w:rFonts w:ascii="Times New Roman" w:hAnsi="Times New Roman" w:cs="Times New Roman"/>
          <w:sz w:val="28"/>
          <w:szCs w:val="28"/>
          <w:lang w:val="uk-UA"/>
        </w:rPr>
        <w:t xml:space="preserve"> </w:t>
      </w:r>
      <w:r w:rsidR="008A4ACC" w:rsidRPr="008A4ACC">
        <w:rPr>
          <w:rFonts w:ascii="Times New Roman" w:hAnsi="Times New Roman" w:cs="Times New Roman"/>
          <w:sz w:val="28"/>
          <w:szCs w:val="28"/>
          <w:lang w:val="uk-UA"/>
        </w:rPr>
        <w:t>=</w:t>
      </w:r>
      <w:r w:rsidR="00696759" w:rsidRPr="008D6381">
        <w:rPr>
          <w:rFonts w:ascii="Times New Roman" w:hAnsi="Times New Roman" w:cs="Times New Roman"/>
          <w:sz w:val="28"/>
          <w:szCs w:val="28"/>
          <w:lang w:val="uk-UA"/>
        </w:rPr>
        <w:t xml:space="preserve"> </w:t>
      </w:r>
      <w:r w:rsidR="00ED13A6" w:rsidRPr="008D6381">
        <w:rPr>
          <w:rFonts w:ascii="Times New Roman" w:hAnsi="Times New Roman" w:cs="Times New Roman"/>
          <w:sz w:val="28"/>
          <w:szCs w:val="28"/>
          <w:lang w:val="uk-UA"/>
        </w:rPr>
        <w:t>0,0</w:t>
      </w:r>
      <w:r w:rsidR="00B74651">
        <w:rPr>
          <w:rFonts w:ascii="Times New Roman" w:hAnsi="Times New Roman" w:cs="Times New Roman"/>
          <w:sz w:val="28"/>
          <w:szCs w:val="28"/>
          <w:lang w:val="uk-UA"/>
        </w:rPr>
        <w:t>477</w:t>
      </w:r>
      <w:r w:rsidR="004B377E">
        <w:rPr>
          <w:rFonts w:ascii="Times New Roman" w:hAnsi="Times New Roman" w:cs="Times New Roman"/>
          <w:sz w:val="28"/>
          <w:szCs w:val="28"/>
          <w:lang w:val="uk-UA"/>
        </w:rPr>
        <w:t xml:space="preserve">; </w:t>
      </w:r>
      <w:r w:rsidR="00445BA9">
        <w:rPr>
          <w:rFonts w:ascii="Times New Roman" w:hAnsi="Times New Roman" w:cs="Times New Roman"/>
          <w:sz w:val="28"/>
          <w:szCs w:val="28"/>
          <w:lang w:val="uk-UA"/>
        </w:rPr>
        <w:t xml:space="preserve">ХС </w:t>
      </w:r>
      <w:r w:rsidR="004B377E">
        <w:rPr>
          <w:rFonts w:ascii="Times New Roman" w:hAnsi="Times New Roman" w:cs="Times New Roman"/>
          <w:sz w:val="28"/>
          <w:szCs w:val="28"/>
          <w:lang w:val="uk-UA"/>
        </w:rPr>
        <w:t>ЛПДНЩ – (1,</w:t>
      </w:r>
      <w:r w:rsidR="004B377E" w:rsidRPr="004B377E">
        <w:rPr>
          <w:rFonts w:ascii="Times New Roman" w:hAnsi="Times New Roman" w:cs="Times New Roman"/>
          <w:sz w:val="28"/>
          <w:szCs w:val="28"/>
          <w:lang w:val="uk-UA"/>
        </w:rPr>
        <w:t>23</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B74651">
        <w:rPr>
          <w:rFonts w:ascii="Times New Roman" w:hAnsi="Times New Roman" w:cs="Times New Roman"/>
          <w:sz w:val="28"/>
          <w:szCs w:val="28"/>
          <w:lang w:val="uk-UA"/>
        </w:rPr>
        <w:t>0,1</w:t>
      </w:r>
      <w:r w:rsidR="004B377E">
        <w:rPr>
          <w:rFonts w:ascii="Times New Roman" w:hAnsi="Times New Roman" w:cs="Times New Roman"/>
          <w:sz w:val="28"/>
          <w:szCs w:val="28"/>
          <w:lang w:val="uk-UA"/>
        </w:rPr>
        <w:t>) ммоль/л, (0,</w:t>
      </w:r>
      <w:r w:rsidR="004B377E" w:rsidRPr="004B377E">
        <w:rPr>
          <w:rFonts w:ascii="Times New Roman" w:hAnsi="Times New Roman" w:cs="Times New Roman"/>
          <w:sz w:val="28"/>
          <w:szCs w:val="28"/>
          <w:lang w:val="uk-UA"/>
        </w:rPr>
        <w:t>67</w:t>
      </w:r>
      <w:r>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0,</w:t>
      </w:r>
      <w:r w:rsidR="00B74651">
        <w:rPr>
          <w:rFonts w:ascii="Times New Roman" w:hAnsi="Times New Roman" w:cs="Times New Roman"/>
          <w:sz w:val="28"/>
          <w:szCs w:val="28"/>
          <w:lang w:val="uk-UA"/>
        </w:rPr>
        <w:t>3</w:t>
      </w:r>
      <w:r w:rsidR="004B377E" w:rsidRPr="004B377E">
        <w:rPr>
          <w:rFonts w:ascii="Times New Roman" w:hAnsi="Times New Roman" w:cs="Times New Roman"/>
          <w:sz w:val="28"/>
          <w:szCs w:val="28"/>
          <w:lang w:val="uk-UA"/>
        </w:rPr>
        <w:t>4</w:t>
      </w:r>
      <w:r w:rsidR="00696759" w:rsidRPr="008D6381">
        <w:rPr>
          <w:rFonts w:ascii="Times New Roman" w:hAnsi="Times New Roman" w:cs="Times New Roman"/>
          <w:sz w:val="28"/>
          <w:szCs w:val="28"/>
          <w:lang w:val="uk-UA"/>
        </w:rPr>
        <w:t>) ммоль/л,</w:t>
      </w:r>
      <w:r w:rsidR="00ED13A6" w:rsidRPr="008D6381">
        <w:rPr>
          <w:rFonts w:ascii="Times New Roman" w:hAnsi="Times New Roman" w:cs="Times New Roman"/>
          <w:sz w:val="28"/>
          <w:szCs w:val="28"/>
          <w:lang w:val="uk-UA"/>
        </w:rPr>
        <w:t xml:space="preserve"> </w:t>
      </w:r>
      <w:r w:rsidR="00262338">
        <w:rPr>
          <w:rFonts w:ascii="Times New Roman" w:hAnsi="Times New Roman" w:cs="Times New Roman"/>
          <w:sz w:val="28"/>
          <w:szCs w:val="28"/>
          <w:lang w:val="uk-UA"/>
        </w:rPr>
        <w:t xml:space="preserve">         </w:t>
      </w:r>
      <w:r w:rsidR="00ED13A6" w:rsidRPr="008D6381">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1-2</w:t>
      </w:r>
      <w:r w:rsidR="00696759" w:rsidRPr="008D6381">
        <w:rPr>
          <w:rFonts w:ascii="Times New Roman" w:hAnsi="Times New Roman" w:cs="Times New Roman"/>
          <w:sz w:val="28"/>
          <w:szCs w:val="28"/>
          <w:lang w:val="uk-UA"/>
        </w:rPr>
        <w:t xml:space="preserve"> = </w:t>
      </w:r>
      <w:r w:rsidR="00B74651">
        <w:rPr>
          <w:rFonts w:ascii="Times New Roman" w:hAnsi="Times New Roman" w:cs="Times New Roman"/>
          <w:sz w:val="28"/>
          <w:szCs w:val="28"/>
          <w:lang w:val="uk-UA"/>
        </w:rPr>
        <w:t>0,0</w:t>
      </w:r>
      <w:r w:rsidR="00FF2319">
        <w:rPr>
          <w:rFonts w:ascii="Times New Roman" w:hAnsi="Times New Roman" w:cs="Times New Roman"/>
          <w:sz w:val="28"/>
          <w:szCs w:val="28"/>
          <w:lang w:val="uk-UA"/>
        </w:rPr>
        <w:t>33</w:t>
      </w:r>
      <w:r w:rsidR="00B74651">
        <w:rPr>
          <w:rFonts w:ascii="Times New Roman" w:hAnsi="Times New Roman" w:cs="Times New Roman"/>
          <w:sz w:val="28"/>
          <w:szCs w:val="28"/>
          <w:lang w:val="uk-UA"/>
        </w:rPr>
        <w:t>8</w:t>
      </w:r>
      <w:r w:rsidR="004B377E">
        <w:rPr>
          <w:rFonts w:ascii="Times New Roman" w:hAnsi="Times New Roman" w:cs="Times New Roman"/>
          <w:sz w:val="28"/>
          <w:szCs w:val="28"/>
          <w:lang w:val="uk-UA"/>
        </w:rPr>
        <w:t>; (0,6</w:t>
      </w:r>
      <w:r w:rsidR="004B377E" w:rsidRPr="004B377E">
        <w:rPr>
          <w:rFonts w:ascii="Times New Roman" w:hAnsi="Times New Roman" w:cs="Times New Roman"/>
          <w:sz w:val="28"/>
          <w:szCs w:val="28"/>
          <w:lang w:val="uk-UA"/>
        </w:rPr>
        <w:t>7</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0,</w:t>
      </w:r>
      <w:r w:rsidR="004B377E" w:rsidRPr="004B377E">
        <w:rPr>
          <w:rFonts w:ascii="Times New Roman" w:hAnsi="Times New Roman" w:cs="Times New Roman"/>
          <w:sz w:val="28"/>
          <w:szCs w:val="28"/>
          <w:lang w:val="uk-UA"/>
        </w:rPr>
        <w:t>21</w:t>
      </w:r>
      <w:r w:rsidR="00696759" w:rsidRPr="008D6381">
        <w:rPr>
          <w:rFonts w:ascii="Times New Roman" w:hAnsi="Times New Roman" w:cs="Times New Roman"/>
          <w:sz w:val="28"/>
          <w:szCs w:val="28"/>
          <w:lang w:val="uk-UA"/>
        </w:rPr>
        <w:t>) ммоль/л,</w:t>
      </w:r>
      <w:r w:rsidR="00ED13A6" w:rsidRPr="008D6381">
        <w:rPr>
          <w:rFonts w:ascii="Times New Roman" w:hAnsi="Times New Roman" w:cs="Times New Roman"/>
          <w:sz w:val="28"/>
          <w:szCs w:val="28"/>
          <w:lang w:val="uk-UA"/>
        </w:rPr>
        <w:t xml:space="preserve"> </w:t>
      </w:r>
      <w:r w:rsidR="00ED13A6" w:rsidRPr="008D6381">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1-3</w:t>
      </w:r>
      <w:r w:rsidR="00262338">
        <w:rPr>
          <w:rFonts w:ascii="Times New Roman" w:hAnsi="Times New Roman" w:cs="Times New Roman"/>
          <w:sz w:val="28"/>
          <w:szCs w:val="28"/>
          <w:lang w:val="uk-UA"/>
        </w:rPr>
        <w:t xml:space="preserve"> </w:t>
      </w:r>
      <w:r w:rsidR="00696759" w:rsidRPr="008D6381">
        <w:rPr>
          <w:rFonts w:ascii="Times New Roman" w:hAnsi="Times New Roman" w:cs="Times New Roman"/>
          <w:sz w:val="28"/>
          <w:szCs w:val="28"/>
          <w:lang w:val="uk-UA"/>
        </w:rPr>
        <w:t xml:space="preserve">= </w:t>
      </w:r>
      <w:r w:rsidR="00B74651">
        <w:rPr>
          <w:rFonts w:ascii="Times New Roman" w:hAnsi="Times New Roman" w:cs="Times New Roman"/>
          <w:sz w:val="28"/>
          <w:szCs w:val="28"/>
          <w:lang w:val="uk-UA"/>
        </w:rPr>
        <w:t>0,0379</w:t>
      </w:r>
      <w:r w:rsidR="00ED13A6" w:rsidRPr="008D6381">
        <w:rPr>
          <w:rFonts w:ascii="Times New Roman" w:hAnsi="Times New Roman" w:cs="Times New Roman"/>
          <w:sz w:val="28"/>
          <w:szCs w:val="28"/>
          <w:lang w:val="uk-UA"/>
        </w:rPr>
        <w:t>;</w:t>
      </w:r>
      <w:r w:rsidR="004B377E">
        <w:rPr>
          <w:rFonts w:ascii="Times New Roman" w:hAnsi="Times New Roman" w:cs="Times New Roman"/>
          <w:sz w:val="28"/>
          <w:szCs w:val="28"/>
          <w:lang w:val="uk-UA"/>
        </w:rPr>
        <w:t xml:space="preserve"> ТГ – (2,</w:t>
      </w:r>
      <w:r w:rsidR="004B377E" w:rsidRPr="004B377E">
        <w:rPr>
          <w:rFonts w:ascii="Times New Roman" w:hAnsi="Times New Roman" w:cs="Times New Roman"/>
          <w:sz w:val="28"/>
          <w:szCs w:val="28"/>
          <w:lang w:val="uk-UA"/>
        </w:rPr>
        <w:t>33</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B74651">
        <w:rPr>
          <w:rFonts w:ascii="Times New Roman" w:hAnsi="Times New Roman" w:cs="Times New Roman"/>
          <w:sz w:val="28"/>
          <w:szCs w:val="28"/>
          <w:lang w:val="uk-UA"/>
        </w:rPr>
        <w:t>0</w:t>
      </w:r>
      <w:r w:rsidR="004B377E">
        <w:rPr>
          <w:rFonts w:ascii="Times New Roman" w:hAnsi="Times New Roman" w:cs="Times New Roman"/>
          <w:sz w:val="28"/>
          <w:szCs w:val="28"/>
          <w:lang w:val="uk-UA"/>
        </w:rPr>
        <w:t>,</w:t>
      </w:r>
      <w:r w:rsidR="00B74651">
        <w:rPr>
          <w:rFonts w:ascii="Times New Roman" w:hAnsi="Times New Roman" w:cs="Times New Roman"/>
          <w:sz w:val="28"/>
          <w:szCs w:val="28"/>
          <w:lang w:val="uk-UA"/>
        </w:rPr>
        <w:t>1</w:t>
      </w:r>
      <w:r w:rsidR="00C6476C">
        <w:rPr>
          <w:rFonts w:ascii="Times New Roman" w:hAnsi="Times New Roman" w:cs="Times New Roman"/>
          <w:sz w:val="28"/>
          <w:szCs w:val="28"/>
          <w:lang w:val="uk-UA"/>
        </w:rPr>
        <w:t xml:space="preserve">) ммоль/л, </w:t>
      </w:r>
      <w:r w:rsidR="004B377E">
        <w:rPr>
          <w:rFonts w:ascii="Times New Roman" w:hAnsi="Times New Roman" w:cs="Times New Roman"/>
          <w:sz w:val="28"/>
          <w:szCs w:val="28"/>
          <w:lang w:val="uk-UA"/>
        </w:rPr>
        <w:lastRenderedPageBreak/>
        <w:t>(</w:t>
      </w:r>
      <w:r w:rsidR="004B377E" w:rsidRPr="004B377E">
        <w:rPr>
          <w:rFonts w:ascii="Times New Roman" w:hAnsi="Times New Roman" w:cs="Times New Roman"/>
          <w:sz w:val="28"/>
          <w:szCs w:val="28"/>
          <w:lang w:val="uk-UA"/>
        </w:rPr>
        <w:t>1</w:t>
      </w:r>
      <w:r w:rsidR="004B377E">
        <w:rPr>
          <w:rFonts w:ascii="Times New Roman" w:hAnsi="Times New Roman" w:cs="Times New Roman"/>
          <w:sz w:val="28"/>
          <w:szCs w:val="28"/>
          <w:lang w:val="uk-UA"/>
        </w:rPr>
        <w:t>,</w:t>
      </w:r>
      <w:r w:rsidR="004B377E" w:rsidRPr="004B377E">
        <w:rPr>
          <w:rFonts w:ascii="Times New Roman" w:hAnsi="Times New Roman" w:cs="Times New Roman"/>
          <w:sz w:val="28"/>
          <w:szCs w:val="28"/>
          <w:lang w:val="uk-UA"/>
        </w:rPr>
        <w:t>63</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0,</w:t>
      </w:r>
      <w:r w:rsidR="00346BEC" w:rsidRPr="008D6381">
        <w:rPr>
          <w:rFonts w:ascii="Times New Roman" w:hAnsi="Times New Roman" w:cs="Times New Roman"/>
          <w:sz w:val="28"/>
          <w:szCs w:val="28"/>
          <w:lang w:val="uk-UA"/>
        </w:rPr>
        <w:t>5</w:t>
      </w:r>
      <w:r w:rsidR="004B377E" w:rsidRPr="004B377E">
        <w:rPr>
          <w:rFonts w:ascii="Times New Roman" w:hAnsi="Times New Roman" w:cs="Times New Roman"/>
          <w:sz w:val="28"/>
          <w:szCs w:val="28"/>
          <w:lang w:val="uk-UA"/>
        </w:rPr>
        <w:t>1</w:t>
      </w:r>
      <w:r w:rsidR="00346BEC" w:rsidRPr="008D6381">
        <w:rPr>
          <w:rFonts w:ascii="Times New Roman" w:hAnsi="Times New Roman" w:cs="Times New Roman"/>
          <w:sz w:val="28"/>
          <w:szCs w:val="28"/>
          <w:lang w:val="uk-UA"/>
        </w:rPr>
        <w:t xml:space="preserve">) ммоль/л, </w:t>
      </w:r>
      <w:r w:rsidR="00346BEC" w:rsidRPr="008D6381">
        <w:rPr>
          <w:rFonts w:ascii="Times New Roman" w:hAnsi="Times New Roman" w:cs="Times New Roman"/>
          <w:sz w:val="28"/>
          <w:szCs w:val="28"/>
          <w:lang w:val="en-US"/>
        </w:rPr>
        <w:t>p</w:t>
      </w:r>
      <w:r w:rsidR="00C6476C">
        <w:rPr>
          <w:rFonts w:ascii="Times New Roman" w:hAnsi="Times New Roman" w:cs="Times New Roman"/>
          <w:sz w:val="28"/>
          <w:szCs w:val="28"/>
          <w:vertAlign w:val="subscript"/>
          <w:lang w:val="uk-UA"/>
        </w:rPr>
        <w:t>1-2</w:t>
      </w:r>
      <w:r w:rsidR="00696759" w:rsidRPr="008D6381">
        <w:rPr>
          <w:rFonts w:ascii="Times New Roman" w:hAnsi="Times New Roman" w:cs="Times New Roman"/>
          <w:sz w:val="28"/>
          <w:szCs w:val="28"/>
          <w:lang w:val="uk-UA"/>
        </w:rPr>
        <w:t xml:space="preserve"> </w:t>
      </w:r>
      <w:r w:rsidR="00B74651">
        <w:rPr>
          <w:rFonts w:ascii="Times New Roman" w:hAnsi="Times New Roman" w:cs="Times New Roman"/>
          <w:sz w:val="28"/>
          <w:szCs w:val="28"/>
          <w:lang w:val="uk-UA"/>
        </w:rPr>
        <w:t>= 0,0326</w:t>
      </w:r>
      <w:r w:rsidR="004B377E">
        <w:rPr>
          <w:rFonts w:ascii="Times New Roman" w:hAnsi="Times New Roman" w:cs="Times New Roman"/>
          <w:sz w:val="28"/>
          <w:szCs w:val="28"/>
          <w:lang w:val="uk-UA"/>
        </w:rPr>
        <w:t>; (1,</w:t>
      </w:r>
      <w:r w:rsidR="004B377E" w:rsidRPr="004B377E">
        <w:rPr>
          <w:rFonts w:ascii="Times New Roman" w:hAnsi="Times New Roman" w:cs="Times New Roman"/>
          <w:sz w:val="28"/>
          <w:szCs w:val="28"/>
          <w:lang w:val="uk-UA"/>
        </w:rPr>
        <w:t>33</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F72094">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0,</w:t>
      </w:r>
      <w:r w:rsidR="004B377E" w:rsidRPr="004B377E">
        <w:rPr>
          <w:rFonts w:ascii="Times New Roman" w:hAnsi="Times New Roman" w:cs="Times New Roman"/>
          <w:sz w:val="28"/>
          <w:szCs w:val="28"/>
          <w:lang w:val="uk-UA"/>
        </w:rPr>
        <w:t>5</w:t>
      </w:r>
      <w:r w:rsidR="00696759" w:rsidRPr="008D6381">
        <w:rPr>
          <w:rFonts w:ascii="Times New Roman" w:hAnsi="Times New Roman" w:cs="Times New Roman"/>
          <w:sz w:val="28"/>
          <w:szCs w:val="28"/>
          <w:lang w:val="uk-UA"/>
        </w:rPr>
        <w:t>) ммоль/л,</w:t>
      </w:r>
      <w:r w:rsidR="00346BEC" w:rsidRPr="008D6381">
        <w:rPr>
          <w:rFonts w:ascii="Times New Roman" w:hAnsi="Times New Roman" w:cs="Times New Roman"/>
          <w:sz w:val="28"/>
          <w:szCs w:val="28"/>
          <w:lang w:val="uk-UA"/>
        </w:rPr>
        <w:t xml:space="preserve"> </w:t>
      </w:r>
      <w:r w:rsidR="00346BEC" w:rsidRPr="008D6381">
        <w:rPr>
          <w:rFonts w:ascii="Times New Roman" w:hAnsi="Times New Roman" w:cs="Times New Roman"/>
          <w:sz w:val="28"/>
          <w:szCs w:val="28"/>
          <w:lang w:val="en-US"/>
        </w:rPr>
        <w:t>p</w:t>
      </w:r>
      <w:r w:rsidR="00C6476C">
        <w:rPr>
          <w:rFonts w:ascii="Times New Roman" w:hAnsi="Times New Roman" w:cs="Times New Roman"/>
          <w:sz w:val="28"/>
          <w:szCs w:val="28"/>
          <w:vertAlign w:val="subscript"/>
          <w:lang w:val="uk-UA"/>
        </w:rPr>
        <w:t>1-3</w:t>
      </w:r>
      <w:r w:rsidR="008A4ACC">
        <w:rPr>
          <w:rFonts w:ascii="Times New Roman" w:hAnsi="Times New Roman" w:cs="Times New Roman"/>
          <w:sz w:val="28"/>
          <w:szCs w:val="28"/>
          <w:lang w:val="uk-UA"/>
        </w:rPr>
        <w:t xml:space="preserve"> = 0,0</w:t>
      </w:r>
      <w:r w:rsidR="00B74651">
        <w:rPr>
          <w:rFonts w:ascii="Times New Roman" w:hAnsi="Times New Roman" w:cs="Times New Roman"/>
          <w:sz w:val="28"/>
          <w:szCs w:val="28"/>
          <w:lang w:val="uk-UA"/>
        </w:rPr>
        <w:t>022</w:t>
      </w:r>
      <w:r w:rsidR="004A2AFC">
        <w:rPr>
          <w:rFonts w:ascii="Times New Roman" w:hAnsi="Times New Roman" w:cs="Times New Roman"/>
          <w:sz w:val="28"/>
          <w:szCs w:val="28"/>
          <w:lang w:val="uk-UA"/>
        </w:rPr>
        <w:t xml:space="preserve"> відповідно</w:t>
      </w:r>
      <w:r w:rsidR="00B94E0E">
        <w:rPr>
          <w:rFonts w:ascii="Times New Roman" w:hAnsi="Times New Roman" w:cs="Times New Roman"/>
          <w:sz w:val="28"/>
          <w:szCs w:val="28"/>
          <w:lang w:val="uk-UA"/>
        </w:rPr>
        <w:t xml:space="preserve">. </w:t>
      </w:r>
    </w:p>
    <w:p w:rsidR="003461DA" w:rsidRPr="008707FF" w:rsidRDefault="00CA182D" w:rsidP="004D65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пацієнтів </w:t>
      </w:r>
      <w:r w:rsidR="008144C9">
        <w:rPr>
          <w:rFonts w:ascii="Times New Roman" w:hAnsi="Times New Roman" w:cs="Times New Roman"/>
          <w:sz w:val="28"/>
          <w:szCs w:val="28"/>
          <w:lang w:val="uk-UA"/>
        </w:rPr>
        <w:t>і</w:t>
      </w:r>
      <w:r w:rsidR="009818B8" w:rsidRPr="008707FF">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АГ та </w:t>
      </w:r>
      <w:r w:rsidR="009818B8" w:rsidRPr="008707FF">
        <w:rPr>
          <w:rFonts w:ascii="Times New Roman" w:hAnsi="Times New Roman" w:cs="Times New Roman"/>
          <w:sz w:val="28"/>
          <w:szCs w:val="28"/>
          <w:lang w:val="uk-UA"/>
        </w:rPr>
        <w:t>ЦД 2</w:t>
      </w:r>
      <w:r w:rsidR="00A8365F">
        <w:rPr>
          <w:rFonts w:ascii="Times New Roman" w:hAnsi="Times New Roman" w:cs="Times New Roman"/>
          <w:sz w:val="28"/>
          <w:szCs w:val="28"/>
          <w:lang w:val="uk-UA"/>
        </w:rPr>
        <w:t>-го</w:t>
      </w:r>
      <w:r>
        <w:rPr>
          <w:rFonts w:ascii="Times New Roman" w:hAnsi="Times New Roman" w:cs="Times New Roman"/>
          <w:sz w:val="28"/>
          <w:szCs w:val="28"/>
          <w:lang w:val="uk-UA"/>
        </w:rPr>
        <w:t xml:space="preserve"> типу</w:t>
      </w:r>
      <w:r w:rsidR="009818B8" w:rsidRPr="008707FF">
        <w:rPr>
          <w:rFonts w:ascii="Times New Roman" w:hAnsi="Times New Roman" w:cs="Times New Roman"/>
          <w:sz w:val="28"/>
          <w:szCs w:val="28"/>
          <w:lang w:val="uk-UA"/>
        </w:rPr>
        <w:t xml:space="preserve"> </w:t>
      </w:r>
      <w:r w:rsidR="008144C9">
        <w:rPr>
          <w:rFonts w:ascii="Times New Roman" w:hAnsi="Times New Roman" w:cs="Times New Roman"/>
          <w:sz w:val="28"/>
          <w:szCs w:val="28"/>
          <w:lang w:val="uk-UA"/>
        </w:rPr>
        <w:t xml:space="preserve">вміст </w:t>
      </w:r>
      <w:r w:rsidR="009818B8" w:rsidRPr="008707FF">
        <w:rPr>
          <w:rFonts w:ascii="Times New Roman" w:hAnsi="Times New Roman" w:cs="Times New Roman"/>
          <w:sz w:val="28"/>
          <w:szCs w:val="28"/>
          <w:lang w:val="uk-UA"/>
        </w:rPr>
        <w:t xml:space="preserve">ЗХС, </w:t>
      </w:r>
      <w:r w:rsidR="00C6476C">
        <w:rPr>
          <w:rFonts w:ascii="Times New Roman" w:hAnsi="Times New Roman" w:cs="Times New Roman"/>
          <w:sz w:val="28"/>
          <w:szCs w:val="28"/>
          <w:lang w:val="uk-UA"/>
        </w:rPr>
        <w:t xml:space="preserve">ХС </w:t>
      </w:r>
      <w:r w:rsidR="009818B8" w:rsidRPr="008707FF">
        <w:rPr>
          <w:rFonts w:ascii="Times New Roman" w:hAnsi="Times New Roman" w:cs="Times New Roman"/>
          <w:sz w:val="28"/>
          <w:szCs w:val="28"/>
          <w:lang w:val="uk-UA"/>
        </w:rPr>
        <w:t xml:space="preserve">ЛПНЩ, </w:t>
      </w:r>
      <w:r w:rsidR="00C6476C">
        <w:rPr>
          <w:rFonts w:ascii="Times New Roman" w:hAnsi="Times New Roman" w:cs="Times New Roman"/>
          <w:sz w:val="28"/>
          <w:szCs w:val="28"/>
          <w:lang w:val="uk-UA"/>
        </w:rPr>
        <w:t xml:space="preserve">ХС </w:t>
      </w:r>
      <w:r w:rsidR="009818B8" w:rsidRPr="008707FF">
        <w:rPr>
          <w:rFonts w:ascii="Times New Roman" w:hAnsi="Times New Roman" w:cs="Times New Roman"/>
          <w:sz w:val="28"/>
          <w:szCs w:val="28"/>
          <w:lang w:val="uk-UA"/>
        </w:rPr>
        <w:t>ЛПДНЩ,</w:t>
      </w:r>
      <w:r w:rsidR="00432BEB">
        <w:rPr>
          <w:rFonts w:ascii="Times New Roman" w:hAnsi="Times New Roman" w:cs="Times New Roman"/>
          <w:sz w:val="28"/>
          <w:szCs w:val="28"/>
          <w:lang w:val="uk-UA"/>
        </w:rPr>
        <w:t xml:space="preserve"> </w:t>
      </w:r>
      <w:r w:rsidR="008144C9">
        <w:rPr>
          <w:rFonts w:ascii="Times New Roman" w:hAnsi="Times New Roman" w:cs="Times New Roman"/>
          <w:sz w:val="28"/>
          <w:szCs w:val="28"/>
          <w:lang w:val="uk-UA"/>
        </w:rPr>
        <w:t>ТГ був</w:t>
      </w:r>
      <w:r w:rsidR="00A13566" w:rsidRPr="008707FF">
        <w:rPr>
          <w:rFonts w:ascii="Times New Roman" w:hAnsi="Times New Roman" w:cs="Times New Roman"/>
          <w:sz w:val="28"/>
          <w:szCs w:val="28"/>
          <w:lang w:val="uk-UA"/>
        </w:rPr>
        <w:t xml:space="preserve"> </w:t>
      </w:r>
      <w:r w:rsidR="00E545B1">
        <w:rPr>
          <w:rFonts w:ascii="Times New Roman" w:hAnsi="Times New Roman" w:cs="Times New Roman"/>
          <w:sz w:val="28"/>
          <w:szCs w:val="28"/>
          <w:lang w:val="uk-UA"/>
        </w:rPr>
        <w:t xml:space="preserve">достовірно </w:t>
      </w:r>
      <w:r w:rsidR="008144C9">
        <w:rPr>
          <w:rFonts w:ascii="Times New Roman" w:hAnsi="Times New Roman" w:cs="Times New Roman"/>
          <w:sz w:val="28"/>
          <w:szCs w:val="28"/>
          <w:lang w:val="uk-UA"/>
        </w:rPr>
        <w:t>вищим</w:t>
      </w:r>
      <w:r w:rsidR="00C6476C">
        <w:rPr>
          <w:rFonts w:ascii="Times New Roman" w:hAnsi="Times New Roman" w:cs="Times New Roman"/>
          <w:sz w:val="28"/>
          <w:szCs w:val="28"/>
          <w:lang w:val="uk-UA"/>
        </w:rPr>
        <w:t>, ніж у хворих на</w:t>
      </w:r>
      <w:r w:rsidR="00A13566" w:rsidRPr="008707FF">
        <w:rPr>
          <w:rFonts w:ascii="Times New Roman" w:hAnsi="Times New Roman" w:cs="Times New Roman"/>
          <w:sz w:val="28"/>
          <w:szCs w:val="28"/>
          <w:lang w:val="uk-UA"/>
        </w:rPr>
        <w:t xml:space="preserve"> АГ без супутнього ЦД 2</w:t>
      </w:r>
      <w:r w:rsidR="00A8365F">
        <w:rPr>
          <w:rFonts w:ascii="Times New Roman" w:hAnsi="Times New Roman" w:cs="Times New Roman"/>
          <w:sz w:val="28"/>
          <w:szCs w:val="28"/>
          <w:lang w:val="uk-UA"/>
        </w:rPr>
        <w:t>-го</w:t>
      </w:r>
      <w:r w:rsidR="00A13566" w:rsidRPr="008707FF">
        <w:rPr>
          <w:rFonts w:ascii="Times New Roman" w:hAnsi="Times New Roman" w:cs="Times New Roman"/>
          <w:sz w:val="28"/>
          <w:szCs w:val="28"/>
          <w:lang w:val="uk-UA"/>
        </w:rPr>
        <w:t xml:space="preserve"> типу, а </w:t>
      </w:r>
      <w:r w:rsidR="00B71115">
        <w:rPr>
          <w:rFonts w:ascii="Times New Roman" w:hAnsi="Times New Roman" w:cs="Times New Roman"/>
          <w:sz w:val="28"/>
          <w:szCs w:val="28"/>
          <w:lang w:val="uk-UA"/>
        </w:rPr>
        <w:t xml:space="preserve">ХС </w:t>
      </w:r>
      <w:r w:rsidR="00A13566" w:rsidRPr="008707FF">
        <w:rPr>
          <w:rFonts w:ascii="Times New Roman" w:hAnsi="Times New Roman" w:cs="Times New Roman"/>
          <w:sz w:val="28"/>
          <w:szCs w:val="28"/>
          <w:lang w:val="uk-UA"/>
        </w:rPr>
        <w:t>ЛПВЩ –</w:t>
      </w:r>
      <w:r w:rsidR="00E545B1">
        <w:rPr>
          <w:rFonts w:ascii="Times New Roman" w:hAnsi="Times New Roman" w:cs="Times New Roman"/>
          <w:sz w:val="28"/>
          <w:szCs w:val="28"/>
          <w:lang w:val="uk-UA"/>
        </w:rPr>
        <w:t xml:space="preserve"> достовірно</w:t>
      </w:r>
      <w:r w:rsidR="008144C9">
        <w:rPr>
          <w:rFonts w:ascii="Times New Roman" w:hAnsi="Times New Roman" w:cs="Times New Roman"/>
          <w:sz w:val="28"/>
          <w:szCs w:val="28"/>
          <w:lang w:val="uk-UA"/>
        </w:rPr>
        <w:t xml:space="preserve"> нижчим</w:t>
      </w:r>
      <w:r w:rsidR="00E545B1">
        <w:rPr>
          <w:rFonts w:ascii="Times New Roman" w:hAnsi="Times New Roman" w:cs="Times New Roman"/>
          <w:sz w:val="28"/>
          <w:szCs w:val="28"/>
          <w:lang w:val="uk-UA"/>
        </w:rPr>
        <w:t xml:space="preserve"> (</w:t>
      </w:r>
      <w:r w:rsidR="00E545B1" w:rsidRPr="00E545B1">
        <w:rPr>
          <w:rFonts w:ascii="Times New Roman" w:hAnsi="Times New Roman" w:cs="Times New Roman"/>
          <w:sz w:val="28"/>
          <w:szCs w:val="28"/>
          <w:lang w:val="uk-UA"/>
        </w:rPr>
        <w:t>p &lt; 0,05</w:t>
      </w:r>
      <w:r w:rsidR="00E545B1">
        <w:rPr>
          <w:rFonts w:ascii="Times New Roman" w:hAnsi="Times New Roman" w:cs="Times New Roman"/>
          <w:sz w:val="28"/>
          <w:szCs w:val="28"/>
          <w:lang w:val="uk-UA"/>
        </w:rPr>
        <w:t xml:space="preserve">), що свідчить </w:t>
      </w:r>
      <w:r w:rsidR="002B362B" w:rsidRPr="002B362B">
        <w:rPr>
          <w:rFonts w:ascii="Times New Roman" w:hAnsi="Times New Roman" w:cs="Times New Roman"/>
          <w:sz w:val="28"/>
          <w:szCs w:val="28"/>
          <w:lang w:val="uk-UA"/>
        </w:rPr>
        <w:t xml:space="preserve">     </w:t>
      </w:r>
      <w:r w:rsidR="00E545B1">
        <w:rPr>
          <w:rFonts w:ascii="Times New Roman" w:hAnsi="Times New Roman" w:cs="Times New Roman"/>
          <w:sz w:val="28"/>
          <w:szCs w:val="28"/>
          <w:lang w:val="uk-UA"/>
        </w:rPr>
        <w:t xml:space="preserve">про </w:t>
      </w:r>
      <w:r w:rsidR="007C3F2B">
        <w:rPr>
          <w:rFonts w:ascii="Times New Roman" w:hAnsi="Times New Roman" w:cs="Times New Roman"/>
          <w:sz w:val="28"/>
          <w:szCs w:val="28"/>
          <w:lang w:val="uk-UA"/>
        </w:rPr>
        <w:t xml:space="preserve">більшу </w:t>
      </w:r>
      <w:r w:rsidR="00705AE7" w:rsidRPr="00705AE7">
        <w:rPr>
          <w:rFonts w:ascii="Times New Roman" w:hAnsi="Times New Roman" w:cs="Times New Roman"/>
          <w:sz w:val="28"/>
          <w:szCs w:val="28"/>
          <w:lang w:val="uk-UA"/>
        </w:rPr>
        <w:t xml:space="preserve">проатерогенну спрямованість </w:t>
      </w:r>
      <w:r w:rsidR="007C3F2B">
        <w:rPr>
          <w:rFonts w:ascii="Times New Roman" w:hAnsi="Times New Roman" w:cs="Times New Roman"/>
          <w:sz w:val="28"/>
          <w:szCs w:val="28"/>
          <w:lang w:val="uk-UA"/>
        </w:rPr>
        <w:t xml:space="preserve">при поєднанні </w:t>
      </w:r>
      <w:r>
        <w:rPr>
          <w:rFonts w:ascii="Times New Roman" w:hAnsi="Times New Roman" w:cs="Times New Roman"/>
          <w:sz w:val="28"/>
          <w:szCs w:val="28"/>
          <w:lang w:val="uk-UA"/>
        </w:rPr>
        <w:t>АГ та ЦД 2-го типу</w:t>
      </w:r>
      <w:r w:rsidR="007C3F2B">
        <w:rPr>
          <w:rFonts w:ascii="Times New Roman" w:hAnsi="Times New Roman" w:cs="Times New Roman"/>
          <w:sz w:val="28"/>
          <w:szCs w:val="28"/>
          <w:lang w:val="uk-UA"/>
        </w:rPr>
        <w:t>.</w:t>
      </w:r>
    </w:p>
    <w:p w:rsidR="00B46E1E" w:rsidRPr="00642A4B" w:rsidRDefault="00953D47" w:rsidP="00A0016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Коефіцієнт атерогенності</w:t>
      </w:r>
      <w:r w:rsidR="00C6476C">
        <w:rPr>
          <w:rFonts w:ascii="Times New Roman" w:hAnsi="Times New Roman" w:cs="Times New Roman"/>
          <w:sz w:val="28"/>
          <w:szCs w:val="28"/>
          <w:lang w:val="uk-UA"/>
        </w:rPr>
        <w:t xml:space="preserve"> у пацієнтів І групи </w:t>
      </w:r>
      <w:r w:rsidR="00A13566" w:rsidRPr="008707FF">
        <w:rPr>
          <w:rFonts w:ascii="Times New Roman" w:hAnsi="Times New Roman" w:cs="Times New Roman"/>
          <w:sz w:val="28"/>
          <w:szCs w:val="28"/>
          <w:lang w:val="uk-UA"/>
        </w:rPr>
        <w:t>с</w:t>
      </w:r>
      <w:r w:rsidR="002A71EF">
        <w:rPr>
          <w:rFonts w:ascii="Times New Roman" w:hAnsi="Times New Roman" w:cs="Times New Roman"/>
          <w:sz w:val="28"/>
          <w:szCs w:val="28"/>
          <w:lang w:val="uk-UA"/>
        </w:rPr>
        <w:t>танови</w:t>
      </w:r>
      <w:r w:rsidR="00A13566" w:rsidRPr="008707FF">
        <w:rPr>
          <w:rFonts w:ascii="Times New Roman" w:hAnsi="Times New Roman" w:cs="Times New Roman"/>
          <w:sz w:val="28"/>
          <w:szCs w:val="28"/>
          <w:lang w:val="uk-UA"/>
        </w:rPr>
        <w:t>в (</w:t>
      </w:r>
      <w:r w:rsidR="004B377E">
        <w:rPr>
          <w:rFonts w:ascii="Times New Roman" w:hAnsi="Times New Roman" w:cs="Times New Roman"/>
          <w:sz w:val="28"/>
          <w:szCs w:val="28"/>
          <w:lang w:val="uk-UA"/>
        </w:rPr>
        <w:t>3,</w:t>
      </w:r>
      <w:r w:rsidR="00BE0CC3" w:rsidRPr="00BE0CC3">
        <w:rPr>
          <w:rFonts w:ascii="Times New Roman" w:hAnsi="Times New Roman" w:cs="Times New Roman"/>
          <w:sz w:val="28"/>
          <w:szCs w:val="28"/>
          <w:lang w:val="uk-UA"/>
        </w:rPr>
        <w:t>85</w:t>
      </w:r>
      <w:r w:rsidR="002A71EF">
        <w:rPr>
          <w:rFonts w:ascii="Times New Roman" w:hAnsi="Times New Roman" w:cs="Times New Roman"/>
          <w:sz w:val="28"/>
          <w:szCs w:val="28"/>
          <w:lang w:val="uk-UA"/>
        </w:rPr>
        <w:t xml:space="preserve"> </w:t>
      </w:r>
      <w:r w:rsidR="004B377E">
        <w:rPr>
          <w:rFonts w:ascii="Times New Roman" w:hAnsi="Times New Roman" w:cs="Times New Roman"/>
          <w:sz w:val="28"/>
          <w:szCs w:val="28"/>
          <w:lang w:val="uk-UA"/>
        </w:rPr>
        <w:t>±</w:t>
      </w:r>
      <w:r w:rsidR="002A71EF">
        <w:rPr>
          <w:rFonts w:ascii="Times New Roman" w:hAnsi="Times New Roman" w:cs="Times New Roman"/>
          <w:sz w:val="28"/>
          <w:szCs w:val="28"/>
          <w:lang w:val="uk-UA"/>
        </w:rPr>
        <w:t xml:space="preserve"> </w:t>
      </w:r>
      <w:r w:rsidR="006545FD">
        <w:rPr>
          <w:rFonts w:ascii="Times New Roman" w:hAnsi="Times New Roman" w:cs="Times New Roman"/>
          <w:sz w:val="28"/>
          <w:szCs w:val="28"/>
          <w:lang w:val="uk-UA"/>
        </w:rPr>
        <w:t>0</w:t>
      </w:r>
      <w:r w:rsidR="004B377E">
        <w:rPr>
          <w:rFonts w:ascii="Times New Roman" w:hAnsi="Times New Roman" w:cs="Times New Roman"/>
          <w:sz w:val="28"/>
          <w:szCs w:val="28"/>
          <w:lang w:val="uk-UA"/>
        </w:rPr>
        <w:t>,</w:t>
      </w:r>
      <w:r w:rsidR="00BE0CC3" w:rsidRPr="00BE0CC3">
        <w:rPr>
          <w:rFonts w:ascii="Times New Roman" w:hAnsi="Times New Roman" w:cs="Times New Roman"/>
          <w:sz w:val="28"/>
          <w:szCs w:val="28"/>
          <w:lang w:val="uk-UA"/>
        </w:rPr>
        <w:t>2</w:t>
      </w:r>
      <w:r w:rsidR="00900405" w:rsidRPr="008707FF">
        <w:rPr>
          <w:rFonts w:ascii="Times New Roman" w:hAnsi="Times New Roman" w:cs="Times New Roman"/>
          <w:sz w:val="28"/>
          <w:szCs w:val="28"/>
          <w:lang w:val="uk-UA"/>
        </w:rPr>
        <w:t xml:space="preserve">), </w:t>
      </w:r>
      <w:r w:rsidR="002B362B" w:rsidRPr="002B362B">
        <w:rPr>
          <w:rFonts w:ascii="Times New Roman" w:hAnsi="Times New Roman" w:cs="Times New Roman"/>
          <w:sz w:val="28"/>
          <w:szCs w:val="28"/>
        </w:rPr>
        <w:t xml:space="preserve">       </w:t>
      </w:r>
      <w:r w:rsidR="00900405" w:rsidRPr="008707FF">
        <w:rPr>
          <w:rFonts w:ascii="Times New Roman" w:hAnsi="Times New Roman" w:cs="Times New Roman"/>
          <w:sz w:val="28"/>
          <w:szCs w:val="28"/>
          <w:lang w:val="uk-UA"/>
        </w:rPr>
        <w:t>ІІ – (</w:t>
      </w:r>
      <w:r w:rsidR="00BE0CC3" w:rsidRPr="00BE0CC3">
        <w:rPr>
          <w:rFonts w:ascii="Times New Roman" w:hAnsi="Times New Roman" w:cs="Times New Roman"/>
          <w:sz w:val="28"/>
          <w:szCs w:val="28"/>
          <w:lang w:val="uk-UA"/>
        </w:rPr>
        <w:t>2</w:t>
      </w:r>
      <w:r w:rsidR="00556502">
        <w:rPr>
          <w:rFonts w:ascii="Times New Roman" w:hAnsi="Times New Roman" w:cs="Times New Roman"/>
          <w:sz w:val="28"/>
          <w:szCs w:val="28"/>
          <w:lang w:val="uk-UA"/>
        </w:rPr>
        <w:t>,</w:t>
      </w:r>
      <w:r w:rsidR="00BE0CC3" w:rsidRPr="00BE0CC3">
        <w:rPr>
          <w:rFonts w:ascii="Times New Roman" w:hAnsi="Times New Roman" w:cs="Times New Roman"/>
          <w:sz w:val="28"/>
          <w:szCs w:val="28"/>
          <w:lang w:val="uk-UA"/>
        </w:rPr>
        <w:t>95</w:t>
      </w:r>
      <w:r w:rsidR="002A71EF">
        <w:rPr>
          <w:rFonts w:ascii="Times New Roman" w:hAnsi="Times New Roman" w:cs="Times New Roman"/>
          <w:sz w:val="28"/>
          <w:szCs w:val="28"/>
          <w:lang w:val="uk-UA"/>
        </w:rPr>
        <w:t xml:space="preserve"> </w:t>
      </w:r>
      <w:r w:rsidR="00556502">
        <w:rPr>
          <w:rFonts w:ascii="Times New Roman" w:hAnsi="Times New Roman" w:cs="Times New Roman"/>
          <w:sz w:val="28"/>
          <w:szCs w:val="28"/>
          <w:lang w:val="uk-UA"/>
        </w:rPr>
        <w:t>±</w:t>
      </w:r>
      <w:r w:rsidR="002A71EF">
        <w:rPr>
          <w:rFonts w:ascii="Times New Roman" w:hAnsi="Times New Roman" w:cs="Times New Roman"/>
          <w:sz w:val="28"/>
          <w:szCs w:val="28"/>
          <w:lang w:val="uk-UA"/>
        </w:rPr>
        <w:t xml:space="preserve"> </w:t>
      </w:r>
      <w:r w:rsidR="006545FD">
        <w:rPr>
          <w:rFonts w:ascii="Times New Roman" w:hAnsi="Times New Roman" w:cs="Times New Roman"/>
          <w:sz w:val="28"/>
          <w:szCs w:val="28"/>
          <w:lang w:val="uk-UA"/>
        </w:rPr>
        <w:t>0</w:t>
      </w:r>
      <w:r w:rsidR="00556502">
        <w:rPr>
          <w:rFonts w:ascii="Times New Roman" w:hAnsi="Times New Roman" w:cs="Times New Roman"/>
          <w:sz w:val="28"/>
          <w:szCs w:val="28"/>
          <w:lang w:val="uk-UA"/>
        </w:rPr>
        <w:t>,</w:t>
      </w:r>
      <w:r w:rsidR="006545FD">
        <w:rPr>
          <w:rFonts w:ascii="Times New Roman" w:hAnsi="Times New Roman" w:cs="Times New Roman"/>
          <w:sz w:val="28"/>
          <w:szCs w:val="28"/>
          <w:lang w:val="uk-UA"/>
        </w:rPr>
        <w:t>4</w:t>
      </w:r>
      <w:r w:rsidR="00696759">
        <w:rPr>
          <w:rFonts w:ascii="Times New Roman" w:hAnsi="Times New Roman" w:cs="Times New Roman"/>
          <w:sz w:val="28"/>
          <w:szCs w:val="28"/>
          <w:lang w:val="uk-UA"/>
        </w:rPr>
        <w:t>),</w:t>
      </w:r>
      <w:r w:rsidR="00CE2340" w:rsidRPr="008707FF">
        <w:rPr>
          <w:rFonts w:ascii="Times New Roman" w:hAnsi="Times New Roman" w:cs="Times New Roman"/>
          <w:sz w:val="28"/>
          <w:szCs w:val="28"/>
          <w:lang w:val="uk-UA"/>
        </w:rPr>
        <w:t xml:space="preserve"> </w:t>
      </w:r>
      <w:r w:rsidR="00CE2340" w:rsidRPr="00BE0CC3">
        <w:rPr>
          <w:rFonts w:ascii="Times New Roman" w:hAnsi="Times New Roman" w:cs="Times New Roman"/>
          <w:sz w:val="28"/>
          <w:szCs w:val="28"/>
          <w:lang w:val="en-US"/>
        </w:rPr>
        <w:t>p</w:t>
      </w:r>
      <w:r w:rsidR="00C6476C">
        <w:rPr>
          <w:rFonts w:ascii="Times New Roman" w:hAnsi="Times New Roman" w:cs="Times New Roman"/>
          <w:sz w:val="28"/>
          <w:szCs w:val="28"/>
          <w:vertAlign w:val="subscript"/>
          <w:lang w:val="uk-UA"/>
        </w:rPr>
        <w:t>1-2</w:t>
      </w:r>
      <w:r w:rsidR="00D9659E">
        <w:rPr>
          <w:rFonts w:ascii="Times New Roman" w:hAnsi="Times New Roman" w:cs="Times New Roman"/>
          <w:sz w:val="28"/>
          <w:szCs w:val="28"/>
          <w:lang w:val="uk-UA"/>
        </w:rPr>
        <w:t xml:space="preserve"> </w:t>
      </w:r>
      <w:r w:rsidR="006545FD">
        <w:rPr>
          <w:rFonts w:ascii="Times New Roman" w:hAnsi="Times New Roman" w:cs="Times New Roman"/>
          <w:sz w:val="28"/>
          <w:szCs w:val="28"/>
          <w:lang w:val="uk-UA"/>
        </w:rPr>
        <w:t>= 0,0439</w:t>
      </w:r>
      <w:r w:rsidR="00D331DE">
        <w:rPr>
          <w:rFonts w:ascii="Times New Roman" w:hAnsi="Times New Roman" w:cs="Times New Roman"/>
          <w:sz w:val="28"/>
          <w:szCs w:val="28"/>
          <w:lang w:val="uk-UA"/>
        </w:rPr>
        <w:t>; групи контролю</w:t>
      </w:r>
      <w:r w:rsidR="00556502">
        <w:rPr>
          <w:rFonts w:ascii="Times New Roman" w:hAnsi="Times New Roman" w:cs="Times New Roman"/>
          <w:sz w:val="28"/>
          <w:szCs w:val="28"/>
          <w:lang w:val="uk-UA"/>
        </w:rPr>
        <w:t xml:space="preserve"> – (2,</w:t>
      </w:r>
      <w:r w:rsidR="00556502" w:rsidRPr="00556502">
        <w:rPr>
          <w:rFonts w:ascii="Times New Roman" w:hAnsi="Times New Roman" w:cs="Times New Roman"/>
          <w:sz w:val="28"/>
          <w:szCs w:val="28"/>
          <w:lang w:val="uk-UA"/>
        </w:rPr>
        <w:t>24</w:t>
      </w:r>
      <w:r w:rsidR="002A71EF">
        <w:rPr>
          <w:rFonts w:ascii="Times New Roman" w:hAnsi="Times New Roman" w:cs="Times New Roman"/>
          <w:sz w:val="28"/>
          <w:szCs w:val="28"/>
          <w:lang w:val="uk-UA"/>
        </w:rPr>
        <w:t xml:space="preserve"> </w:t>
      </w:r>
      <w:r w:rsidR="00110A47" w:rsidRPr="008D6381">
        <w:rPr>
          <w:rFonts w:ascii="Times New Roman" w:hAnsi="Times New Roman" w:cs="Times New Roman"/>
          <w:sz w:val="28"/>
          <w:szCs w:val="28"/>
          <w:lang w:val="uk-UA"/>
        </w:rPr>
        <w:t>±</w:t>
      </w:r>
      <w:r w:rsidR="002A71EF">
        <w:rPr>
          <w:rFonts w:ascii="Times New Roman" w:hAnsi="Times New Roman" w:cs="Times New Roman"/>
          <w:sz w:val="28"/>
          <w:szCs w:val="28"/>
          <w:lang w:val="uk-UA"/>
        </w:rPr>
        <w:t xml:space="preserve"> </w:t>
      </w:r>
      <w:r w:rsidR="00110A47" w:rsidRPr="008D6381">
        <w:rPr>
          <w:rFonts w:ascii="Times New Roman" w:hAnsi="Times New Roman" w:cs="Times New Roman"/>
          <w:sz w:val="28"/>
          <w:szCs w:val="28"/>
          <w:lang w:val="uk-UA"/>
        </w:rPr>
        <w:t>0,</w:t>
      </w:r>
      <w:r w:rsidR="00556502" w:rsidRPr="00556502">
        <w:rPr>
          <w:rFonts w:ascii="Times New Roman" w:hAnsi="Times New Roman" w:cs="Times New Roman"/>
          <w:sz w:val="28"/>
          <w:szCs w:val="28"/>
          <w:lang w:val="uk-UA"/>
        </w:rPr>
        <w:t>5</w:t>
      </w:r>
      <w:r w:rsidR="00110A47" w:rsidRPr="008D6381">
        <w:rPr>
          <w:rFonts w:ascii="Times New Roman" w:hAnsi="Times New Roman" w:cs="Times New Roman"/>
          <w:sz w:val="28"/>
          <w:szCs w:val="28"/>
          <w:lang w:val="uk-UA"/>
        </w:rPr>
        <w:t>6),</w:t>
      </w:r>
      <w:r w:rsidR="004706D8" w:rsidRPr="008D6381">
        <w:rPr>
          <w:rFonts w:ascii="Times New Roman" w:hAnsi="Times New Roman" w:cs="Times New Roman"/>
          <w:sz w:val="28"/>
          <w:szCs w:val="28"/>
          <w:lang w:val="uk-UA"/>
        </w:rPr>
        <w:t xml:space="preserve"> </w:t>
      </w:r>
      <w:r w:rsidR="004706D8" w:rsidRPr="00BE0CC3">
        <w:rPr>
          <w:rFonts w:ascii="Times New Roman" w:hAnsi="Times New Roman" w:cs="Times New Roman"/>
          <w:sz w:val="28"/>
          <w:szCs w:val="28"/>
          <w:lang w:val="en-US"/>
        </w:rPr>
        <w:t>p</w:t>
      </w:r>
      <w:r w:rsidR="00C6476C">
        <w:rPr>
          <w:rFonts w:ascii="Times New Roman" w:hAnsi="Times New Roman" w:cs="Times New Roman"/>
          <w:sz w:val="28"/>
          <w:szCs w:val="28"/>
          <w:vertAlign w:val="subscript"/>
          <w:lang w:val="uk-UA"/>
        </w:rPr>
        <w:t>1-3</w:t>
      </w:r>
      <w:r w:rsidR="006545FD">
        <w:rPr>
          <w:rFonts w:ascii="Times New Roman" w:hAnsi="Times New Roman" w:cs="Times New Roman"/>
          <w:sz w:val="28"/>
          <w:szCs w:val="28"/>
          <w:lang w:val="uk-UA"/>
        </w:rPr>
        <w:t xml:space="preserve"> = 0,0043</w:t>
      </w:r>
      <w:r w:rsidR="00642A4B">
        <w:rPr>
          <w:rFonts w:ascii="Times New Roman" w:hAnsi="Times New Roman" w:cs="Times New Roman"/>
          <w:sz w:val="28"/>
          <w:szCs w:val="28"/>
          <w:lang w:val="uk-UA"/>
        </w:rPr>
        <w:t xml:space="preserve"> (рис. </w:t>
      </w:r>
      <w:r w:rsidR="009D0685">
        <w:rPr>
          <w:rFonts w:ascii="Times New Roman" w:hAnsi="Times New Roman" w:cs="Times New Roman"/>
          <w:sz w:val="28"/>
          <w:szCs w:val="28"/>
          <w:lang w:val="uk-UA"/>
        </w:rPr>
        <w:t>3.1</w:t>
      </w:r>
      <w:r w:rsidR="008B77A1" w:rsidRPr="008B77A1">
        <w:rPr>
          <w:rFonts w:ascii="Times New Roman" w:hAnsi="Times New Roman" w:cs="Times New Roman"/>
          <w:sz w:val="28"/>
          <w:szCs w:val="28"/>
        </w:rPr>
        <w:t>.1</w:t>
      </w:r>
      <w:r w:rsidR="00642A4B">
        <w:rPr>
          <w:rFonts w:ascii="Times New Roman" w:hAnsi="Times New Roman" w:cs="Times New Roman"/>
          <w:sz w:val="28"/>
          <w:szCs w:val="28"/>
          <w:lang w:val="uk-UA"/>
        </w:rPr>
        <w:t>).</w:t>
      </w:r>
    </w:p>
    <w:p w:rsidR="00B46E1E" w:rsidRDefault="00B46E1E" w:rsidP="00A0016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5481C9EF" wp14:editId="122CBFDA">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6E1E" w:rsidRPr="00642A4B" w:rsidRDefault="00642A4B" w:rsidP="00A001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Рис</w:t>
      </w:r>
      <w:r w:rsidR="009D0685" w:rsidRPr="00E062B3">
        <w:rPr>
          <w:rFonts w:ascii="Times New Roman" w:hAnsi="Times New Roman" w:cs="Times New Roman"/>
          <w:sz w:val="28"/>
          <w:szCs w:val="28"/>
        </w:rPr>
        <w:t>. 3.</w:t>
      </w:r>
      <w:r w:rsidRPr="00E062B3">
        <w:rPr>
          <w:rFonts w:ascii="Times New Roman" w:hAnsi="Times New Roman" w:cs="Times New Roman"/>
          <w:sz w:val="28"/>
          <w:szCs w:val="28"/>
        </w:rPr>
        <w:t>1</w:t>
      </w:r>
      <w:r w:rsidR="008B77A1" w:rsidRPr="00E062B3">
        <w:rPr>
          <w:rFonts w:ascii="Times New Roman" w:hAnsi="Times New Roman" w:cs="Times New Roman"/>
          <w:sz w:val="28"/>
          <w:szCs w:val="28"/>
        </w:rPr>
        <w:t>.1</w:t>
      </w:r>
      <w:r w:rsidRPr="00E062B3">
        <w:rPr>
          <w:rFonts w:ascii="Times New Roman" w:hAnsi="Times New Roman" w:cs="Times New Roman"/>
          <w:sz w:val="28"/>
          <w:szCs w:val="28"/>
        </w:rPr>
        <w:t xml:space="preserve"> – </w:t>
      </w:r>
      <w:r>
        <w:rPr>
          <w:rFonts w:ascii="Times New Roman" w:hAnsi="Times New Roman" w:cs="Times New Roman"/>
          <w:sz w:val="28"/>
          <w:szCs w:val="28"/>
        </w:rPr>
        <w:t>Оц</w:t>
      </w:r>
      <w:r>
        <w:rPr>
          <w:rFonts w:ascii="Times New Roman" w:hAnsi="Times New Roman" w:cs="Times New Roman"/>
          <w:sz w:val="28"/>
          <w:szCs w:val="28"/>
          <w:lang w:val="uk-UA"/>
        </w:rPr>
        <w:t xml:space="preserve">інка коефіцієнта атерогенності в </w:t>
      </w:r>
      <w:r w:rsidR="00E062B3">
        <w:rPr>
          <w:rFonts w:ascii="Times New Roman" w:hAnsi="Times New Roman" w:cs="Times New Roman"/>
          <w:sz w:val="28"/>
          <w:szCs w:val="28"/>
          <w:lang w:val="uk-UA"/>
        </w:rPr>
        <w:t>обстежених пацієнтів</w:t>
      </w:r>
    </w:p>
    <w:p w:rsidR="00B46E1E" w:rsidRPr="00E062B3" w:rsidRDefault="00B46E1E" w:rsidP="00A0016C">
      <w:pPr>
        <w:spacing w:after="0" w:line="360" w:lineRule="auto"/>
        <w:ind w:firstLine="708"/>
        <w:jc w:val="both"/>
        <w:rPr>
          <w:rFonts w:ascii="Times New Roman" w:hAnsi="Times New Roman" w:cs="Times New Roman"/>
          <w:sz w:val="28"/>
          <w:szCs w:val="28"/>
        </w:rPr>
      </w:pPr>
    </w:p>
    <w:p w:rsidR="00794F98" w:rsidRDefault="00953D47" w:rsidP="00A001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Коефіцієнт атерогенності</w:t>
      </w:r>
      <w:r w:rsidR="00C6476C">
        <w:rPr>
          <w:rFonts w:ascii="Times New Roman" w:hAnsi="Times New Roman" w:cs="Times New Roman"/>
          <w:sz w:val="28"/>
          <w:szCs w:val="28"/>
          <w:lang w:val="uk-UA"/>
        </w:rPr>
        <w:t xml:space="preserve"> у хворих на АГ та супутній</w:t>
      </w:r>
      <w:r w:rsidR="00167C39">
        <w:rPr>
          <w:rFonts w:ascii="Times New Roman" w:hAnsi="Times New Roman" w:cs="Times New Roman"/>
          <w:sz w:val="28"/>
          <w:szCs w:val="28"/>
          <w:lang w:val="uk-UA"/>
        </w:rPr>
        <w:t xml:space="preserve"> </w:t>
      </w:r>
      <w:r w:rsidR="00642A4B">
        <w:rPr>
          <w:rFonts w:ascii="Times New Roman" w:hAnsi="Times New Roman" w:cs="Times New Roman"/>
          <w:sz w:val="28"/>
          <w:szCs w:val="28"/>
          <w:lang w:val="uk-UA"/>
        </w:rPr>
        <w:t xml:space="preserve"> </w:t>
      </w:r>
      <w:r w:rsidR="00167C39">
        <w:rPr>
          <w:rFonts w:ascii="Times New Roman" w:hAnsi="Times New Roman" w:cs="Times New Roman"/>
          <w:sz w:val="28"/>
          <w:szCs w:val="28"/>
          <w:lang w:val="uk-UA"/>
        </w:rPr>
        <w:t>ЦД 2-го</w:t>
      </w:r>
      <w:r w:rsidR="00C6476C">
        <w:rPr>
          <w:rFonts w:ascii="Times New Roman" w:hAnsi="Times New Roman" w:cs="Times New Roman"/>
          <w:sz w:val="28"/>
          <w:szCs w:val="28"/>
          <w:lang w:val="uk-UA"/>
        </w:rPr>
        <w:t xml:space="preserve"> типу виявився вищим, ніж у пацієнтів</w:t>
      </w:r>
      <w:r w:rsidR="00167C39">
        <w:rPr>
          <w:rFonts w:ascii="Times New Roman" w:hAnsi="Times New Roman" w:cs="Times New Roman"/>
          <w:sz w:val="28"/>
          <w:szCs w:val="28"/>
          <w:lang w:val="uk-UA"/>
        </w:rPr>
        <w:t xml:space="preserve"> із однією АГ, що свідчить про більшу </w:t>
      </w:r>
      <w:r w:rsidR="00F2036F" w:rsidRPr="00F2036F">
        <w:rPr>
          <w:rFonts w:ascii="Times New Roman" w:hAnsi="Times New Roman" w:cs="Times New Roman"/>
          <w:sz w:val="28"/>
          <w:szCs w:val="28"/>
          <w:lang w:val="uk-UA"/>
        </w:rPr>
        <w:t xml:space="preserve">проатерогенну спрямованість </w:t>
      </w:r>
      <w:r w:rsidR="00642A4B">
        <w:rPr>
          <w:rFonts w:ascii="Times New Roman" w:hAnsi="Times New Roman" w:cs="Times New Roman"/>
          <w:sz w:val="28"/>
          <w:szCs w:val="28"/>
          <w:lang w:val="uk-UA"/>
        </w:rPr>
        <w:t>за наявності</w:t>
      </w:r>
      <w:r w:rsidR="00C6476C">
        <w:rPr>
          <w:rFonts w:ascii="Times New Roman" w:hAnsi="Times New Roman" w:cs="Times New Roman"/>
          <w:sz w:val="28"/>
          <w:szCs w:val="28"/>
          <w:lang w:val="uk-UA"/>
        </w:rPr>
        <w:t xml:space="preserve"> комор</w:t>
      </w:r>
      <w:r w:rsidR="00642A4B">
        <w:rPr>
          <w:rFonts w:ascii="Times New Roman" w:hAnsi="Times New Roman" w:cs="Times New Roman"/>
          <w:sz w:val="28"/>
          <w:szCs w:val="28"/>
          <w:lang w:val="uk-UA"/>
        </w:rPr>
        <w:t>бідної</w:t>
      </w:r>
      <w:r w:rsidR="00794F98">
        <w:rPr>
          <w:rFonts w:ascii="Times New Roman" w:hAnsi="Times New Roman" w:cs="Times New Roman"/>
          <w:sz w:val="28"/>
          <w:szCs w:val="28"/>
          <w:lang w:val="uk-UA"/>
        </w:rPr>
        <w:t xml:space="preserve"> патології</w:t>
      </w:r>
      <w:r w:rsidR="00167C39" w:rsidRPr="00167C39">
        <w:rPr>
          <w:rFonts w:ascii="Times New Roman" w:hAnsi="Times New Roman" w:cs="Times New Roman"/>
          <w:sz w:val="28"/>
          <w:szCs w:val="28"/>
        </w:rPr>
        <w:t>.</w:t>
      </w:r>
      <w:r w:rsidR="00167C39">
        <w:rPr>
          <w:rFonts w:ascii="Times New Roman" w:hAnsi="Times New Roman" w:cs="Times New Roman"/>
          <w:sz w:val="28"/>
          <w:szCs w:val="28"/>
          <w:lang w:val="uk-UA"/>
        </w:rPr>
        <w:t xml:space="preserve"> </w:t>
      </w:r>
    </w:p>
    <w:p w:rsidR="00D03AE1" w:rsidRPr="002B1801" w:rsidRDefault="00090FAB" w:rsidP="00A0016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72D17">
        <w:rPr>
          <w:rFonts w:ascii="Times New Roman" w:hAnsi="Times New Roman" w:cs="Times New Roman"/>
          <w:sz w:val="28"/>
          <w:szCs w:val="28"/>
          <w:lang w:val="uk-UA"/>
        </w:rPr>
        <w:t xml:space="preserve">остовірну </w:t>
      </w:r>
      <w:r w:rsidR="00C3562D">
        <w:rPr>
          <w:rFonts w:ascii="Times New Roman" w:hAnsi="Times New Roman" w:cs="Times New Roman"/>
          <w:sz w:val="28"/>
          <w:szCs w:val="28"/>
          <w:lang w:val="uk-UA"/>
        </w:rPr>
        <w:t xml:space="preserve">позитивну </w:t>
      </w:r>
      <w:r w:rsidR="00794F98">
        <w:rPr>
          <w:rFonts w:ascii="Times New Roman" w:hAnsi="Times New Roman" w:cs="Times New Roman"/>
          <w:sz w:val="28"/>
          <w:szCs w:val="28"/>
          <w:lang w:val="uk-UA"/>
        </w:rPr>
        <w:t xml:space="preserve">залежність </w:t>
      </w:r>
      <w:r>
        <w:rPr>
          <w:rFonts w:ascii="Times New Roman" w:hAnsi="Times New Roman" w:cs="Times New Roman"/>
          <w:sz w:val="28"/>
          <w:szCs w:val="28"/>
          <w:lang w:val="uk-UA"/>
        </w:rPr>
        <w:t xml:space="preserve">установлено </w:t>
      </w:r>
      <w:r w:rsidR="00C3562D">
        <w:rPr>
          <w:rFonts w:ascii="Times New Roman" w:hAnsi="Times New Roman" w:cs="Times New Roman"/>
          <w:sz w:val="28"/>
          <w:szCs w:val="28"/>
          <w:lang w:val="uk-UA"/>
        </w:rPr>
        <w:t>між рівнем КА</w:t>
      </w:r>
      <w:r w:rsidR="009C0830">
        <w:rPr>
          <w:rFonts w:ascii="Times New Roman" w:hAnsi="Times New Roman" w:cs="Times New Roman"/>
          <w:sz w:val="28"/>
          <w:szCs w:val="28"/>
          <w:lang w:val="uk-UA"/>
        </w:rPr>
        <w:t xml:space="preserve"> та глікемією натще</w:t>
      </w:r>
      <w:r w:rsidR="00143A0A">
        <w:rPr>
          <w:rFonts w:ascii="Times New Roman" w:hAnsi="Times New Roman" w:cs="Times New Roman"/>
          <w:sz w:val="28"/>
          <w:szCs w:val="28"/>
          <w:lang w:val="uk-UA"/>
        </w:rPr>
        <w:t xml:space="preserve"> </w:t>
      </w:r>
      <w:r w:rsidR="00272D17">
        <w:rPr>
          <w:rFonts w:ascii="Times New Roman" w:hAnsi="Times New Roman" w:cs="Times New Roman"/>
          <w:sz w:val="28"/>
          <w:szCs w:val="28"/>
          <w:lang w:val="uk-UA"/>
        </w:rPr>
        <w:t xml:space="preserve">у хворих </w:t>
      </w:r>
      <w:r w:rsidR="00143A0A">
        <w:rPr>
          <w:rFonts w:ascii="Times New Roman" w:hAnsi="Times New Roman" w:cs="Times New Roman"/>
          <w:sz w:val="28"/>
          <w:szCs w:val="28"/>
          <w:lang w:val="uk-UA"/>
        </w:rPr>
        <w:t xml:space="preserve">ІІ </w:t>
      </w:r>
      <w:r w:rsidR="00272D17">
        <w:rPr>
          <w:rFonts w:ascii="Times New Roman" w:hAnsi="Times New Roman" w:cs="Times New Roman"/>
          <w:sz w:val="28"/>
          <w:szCs w:val="28"/>
          <w:lang w:val="uk-UA"/>
        </w:rPr>
        <w:t xml:space="preserve">групи </w:t>
      </w:r>
      <w:r w:rsidR="00143A0A">
        <w:rPr>
          <w:rFonts w:ascii="Times New Roman" w:hAnsi="Times New Roman" w:cs="Times New Roman"/>
          <w:sz w:val="28"/>
          <w:szCs w:val="28"/>
          <w:lang w:val="uk-UA"/>
        </w:rPr>
        <w:t>(</w:t>
      </w:r>
      <w:r w:rsidR="00143A0A" w:rsidRPr="00143A0A">
        <w:rPr>
          <w:rFonts w:ascii="Times New Roman" w:hAnsi="Times New Roman" w:cs="Times New Roman"/>
          <w:sz w:val="28"/>
          <w:szCs w:val="28"/>
          <w:lang w:val="en-US"/>
        </w:rPr>
        <w:t>r</w:t>
      </w:r>
      <w:r w:rsidR="00143A0A">
        <w:rPr>
          <w:rFonts w:ascii="Times New Roman" w:hAnsi="Times New Roman" w:cs="Times New Roman"/>
          <w:sz w:val="28"/>
          <w:szCs w:val="28"/>
          <w:lang w:val="uk-UA"/>
        </w:rPr>
        <w:t xml:space="preserve"> = 0,47</w:t>
      </w:r>
      <w:r w:rsidR="00143A0A" w:rsidRPr="00143A0A">
        <w:rPr>
          <w:rFonts w:ascii="Times New Roman" w:hAnsi="Times New Roman" w:cs="Times New Roman"/>
          <w:sz w:val="28"/>
          <w:szCs w:val="28"/>
          <w:lang w:val="uk-UA"/>
        </w:rPr>
        <w:t xml:space="preserve">; </w:t>
      </w:r>
      <w:r w:rsidR="00143A0A" w:rsidRPr="00143A0A">
        <w:rPr>
          <w:rFonts w:ascii="Times New Roman" w:hAnsi="Times New Roman" w:cs="Times New Roman"/>
          <w:sz w:val="28"/>
          <w:szCs w:val="28"/>
          <w:lang w:val="en-US"/>
        </w:rPr>
        <w:t>p</w:t>
      </w:r>
      <w:r w:rsidR="00272D17">
        <w:rPr>
          <w:rFonts w:ascii="Times New Roman" w:hAnsi="Times New Roman" w:cs="Times New Roman"/>
          <w:sz w:val="28"/>
          <w:szCs w:val="28"/>
          <w:lang w:val="uk-UA"/>
        </w:rPr>
        <w:t xml:space="preserve"> = 0,0154)</w:t>
      </w:r>
      <w:r w:rsidR="00143A0A">
        <w:rPr>
          <w:rFonts w:ascii="Times New Roman" w:hAnsi="Times New Roman" w:cs="Times New Roman"/>
          <w:sz w:val="28"/>
          <w:szCs w:val="28"/>
          <w:lang w:val="uk-UA"/>
        </w:rPr>
        <w:t>.</w:t>
      </w:r>
      <w:r w:rsidR="002B1801" w:rsidRPr="00143A0A">
        <w:rPr>
          <w:rFonts w:ascii="Times New Roman" w:hAnsi="Times New Roman" w:cs="Times New Roman"/>
          <w:sz w:val="28"/>
          <w:szCs w:val="28"/>
          <w:lang w:val="uk-UA"/>
        </w:rPr>
        <w:t xml:space="preserve"> </w:t>
      </w:r>
      <w:r w:rsidR="00306946" w:rsidRPr="00143A0A">
        <w:rPr>
          <w:rFonts w:ascii="Times New Roman" w:hAnsi="Times New Roman" w:cs="Times New Roman"/>
          <w:sz w:val="28"/>
          <w:szCs w:val="28"/>
          <w:lang w:val="uk-UA"/>
        </w:rPr>
        <w:t xml:space="preserve">Таким чином, чим </w:t>
      </w:r>
      <w:r w:rsidR="00306946">
        <w:rPr>
          <w:rFonts w:ascii="Times New Roman" w:hAnsi="Times New Roman" w:cs="Times New Roman"/>
          <w:sz w:val="28"/>
          <w:szCs w:val="28"/>
          <w:lang w:val="uk-UA"/>
        </w:rPr>
        <w:t>вищою</w:t>
      </w:r>
      <w:r w:rsidR="002B1801">
        <w:rPr>
          <w:rFonts w:ascii="Times New Roman" w:hAnsi="Times New Roman" w:cs="Times New Roman"/>
          <w:sz w:val="28"/>
          <w:szCs w:val="28"/>
          <w:lang w:val="uk-UA"/>
        </w:rPr>
        <w:t xml:space="preserve"> є гіперглікемія, тим </w:t>
      </w:r>
      <w:r w:rsidR="00143A0A">
        <w:rPr>
          <w:rFonts w:ascii="Times New Roman" w:hAnsi="Times New Roman" w:cs="Times New Roman"/>
          <w:sz w:val="28"/>
          <w:szCs w:val="28"/>
          <w:lang w:val="uk-UA"/>
        </w:rPr>
        <w:t xml:space="preserve">достовірно </w:t>
      </w:r>
      <w:r w:rsidR="002B1801">
        <w:rPr>
          <w:rFonts w:ascii="Times New Roman" w:hAnsi="Times New Roman" w:cs="Times New Roman"/>
          <w:sz w:val="28"/>
          <w:szCs w:val="28"/>
          <w:lang w:val="uk-UA"/>
        </w:rPr>
        <w:t>більшою</w:t>
      </w:r>
      <w:r w:rsidR="00272D17">
        <w:rPr>
          <w:rFonts w:ascii="Times New Roman" w:hAnsi="Times New Roman" w:cs="Times New Roman"/>
          <w:sz w:val="28"/>
          <w:szCs w:val="28"/>
          <w:lang w:val="uk-UA"/>
        </w:rPr>
        <w:t xml:space="preserve"> є вираженість атеросклеротичних змін у пацієнтів</w:t>
      </w:r>
      <w:r w:rsidR="002A71EF">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00143A0A">
        <w:rPr>
          <w:rFonts w:ascii="Times New Roman" w:hAnsi="Times New Roman" w:cs="Times New Roman"/>
          <w:sz w:val="28"/>
          <w:szCs w:val="28"/>
          <w:lang w:val="uk-UA"/>
        </w:rPr>
        <w:t>з АГ</w:t>
      </w:r>
      <w:r w:rsidR="002B1801">
        <w:rPr>
          <w:rFonts w:ascii="Times New Roman" w:hAnsi="Times New Roman" w:cs="Times New Roman"/>
          <w:sz w:val="28"/>
          <w:szCs w:val="28"/>
          <w:lang w:val="uk-UA"/>
        </w:rPr>
        <w:t xml:space="preserve">. </w:t>
      </w:r>
      <w:r w:rsidR="00143A0A">
        <w:rPr>
          <w:rFonts w:ascii="Times New Roman" w:hAnsi="Times New Roman" w:cs="Times New Roman"/>
          <w:sz w:val="28"/>
          <w:szCs w:val="28"/>
          <w:lang w:val="uk-UA"/>
        </w:rPr>
        <w:t>Позитивний зв</w:t>
      </w:r>
      <w:r>
        <w:rPr>
          <w:rFonts w:ascii="Times New Roman" w:hAnsi="Times New Roman" w:cs="Times New Roman"/>
          <w:sz w:val="28"/>
          <w:szCs w:val="28"/>
          <w:lang w:val="uk-UA"/>
        </w:rPr>
        <w:t>ʼ</w:t>
      </w:r>
      <w:r w:rsidR="002A71EF">
        <w:rPr>
          <w:rFonts w:ascii="Times New Roman" w:hAnsi="Times New Roman" w:cs="Times New Roman"/>
          <w:sz w:val="28"/>
          <w:szCs w:val="28"/>
          <w:lang w:val="uk-UA"/>
        </w:rPr>
        <w:t>язок мі</w:t>
      </w:r>
      <w:r w:rsidR="00272D17">
        <w:rPr>
          <w:rFonts w:ascii="Times New Roman" w:hAnsi="Times New Roman" w:cs="Times New Roman"/>
          <w:sz w:val="28"/>
          <w:szCs w:val="28"/>
          <w:lang w:val="uk-UA"/>
        </w:rPr>
        <w:t xml:space="preserve">ж </w:t>
      </w:r>
      <w:r>
        <w:rPr>
          <w:rFonts w:ascii="Times New Roman" w:hAnsi="Times New Roman" w:cs="Times New Roman"/>
          <w:sz w:val="28"/>
          <w:szCs w:val="28"/>
          <w:lang w:val="uk-UA"/>
        </w:rPr>
        <w:t xml:space="preserve">вмістом </w:t>
      </w:r>
      <w:r w:rsidR="00272D17">
        <w:rPr>
          <w:rFonts w:ascii="Times New Roman" w:hAnsi="Times New Roman" w:cs="Times New Roman"/>
          <w:sz w:val="28"/>
          <w:szCs w:val="28"/>
          <w:lang w:val="uk-UA"/>
        </w:rPr>
        <w:t>глюкози</w:t>
      </w:r>
      <w:r w:rsidR="009C0830">
        <w:rPr>
          <w:rFonts w:ascii="Times New Roman" w:hAnsi="Times New Roman" w:cs="Times New Roman"/>
          <w:sz w:val="28"/>
          <w:szCs w:val="28"/>
          <w:lang w:val="uk-UA"/>
        </w:rPr>
        <w:t xml:space="preserve"> крові натще</w:t>
      </w:r>
      <w:r w:rsidR="00272D17">
        <w:rPr>
          <w:rFonts w:ascii="Times New Roman" w:hAnsi="Times New Roman" w:cs="Times New Roman"/>
          <w:sz w:val="28"/>
          <w:szCs w:val="28"/>
          <w:lang w:val="uk-UA"/>
        </w:rPr>
        <w:t xml:space="preserve"> та КА у хворих</w:t>
      </w:r>
      <w:r w:rsidR="00143A0A">
        <w:rPr>
          <w:rFonts w:ascii="Times New Roman" w:hAnsi="Times New Roman" w:cs="Times New Roman"/>
          <w:sz w:val="28"/>
          <w:szCs w:val="28"/>
          <w:lang w:val="uk-UA"/>
        </w:rPr>
        <w:t xml:space="preserve"> І групи з коморбідною па</w:t>
      </w:r>
      <w:r w:rsidR="009C0830">
        <w:rPr>
          <w:rFonts w:ascii="Times New Roman" w:hAnsi="Times New Roman" w:cs="Times New Roman"/>
          <w:sz w:val="28"/>
          <w:szCs w:val="28"/>
          <w:lang w:val="uk-UA"/>
        </w:rPr>
        <w:t xml:space="preserve">тологією </w:t>
      </w:r>
      <w:r w:rsidR="009C0830">
        <w:rPr>
          <w:rFonts w:ascii="Times New Roman" w:hAnsi="Times New Roman" w:cs="Times New Roman"/>
          <w:sz w:val="28"/>
          <w:szCs w:val="28"/>
          <w:lang w:val="uk-UA"/>
        </w:rPr>
        <w:lastRenderedPageBreak/>
        <w:t>виявився недостовірним</w:t>
      </w:r>
      <w:r w:rsidR="00272D17">
        <w:rPr>
          <w:rFonts w:ascii="Times New Roman" w:hAnsi="Times New Roman" w:cs="Times New Roman"/>
          <w:sz w:val="28"/>
          <w:szCs w:val="28"/>
          <w:lang w:val="uk-UA"/>
        </w:rPr>
        <w:t xml:space="preserve"> </w:t>
      </w:r>
      <w:r w:rsidR="00143A0A">
        <w:rPr>
          <w:rFonts w:ascii="Times New Roman" w:hAnsi="Times New Roman" w:cs="Times New Roman"/>
          <w:sz w:val="28"/>
          <w:szCs w:val="28"/>
          <w:lang w:val="uk-UA"/>
        </w:rPr>
        <w:t>(</w:t>
      </w:r>
      <w:r w:rsidR="00272D17" w:rsidRPr="00272D17">
        <w:rPr>
          <w:rFonts w:ascii="Times New Roman" w:hAnsi="Times New Roman" w:cs="Times New Roman"/>
          <w:sz w:val="28"/>
          <w:szCs w:val="28"/>
          <w:lang w:val="uk-UA"/>
        </w:rPr>
        <w:t>r = 0,14</w:t>
      </w:r>
      <w:r w:rsidR="00272D17">
        <w:rPr>
          <w:rFonts w:ascii="Times New Roman" w:hAnsi="Times New Roman" w:cs="Times New Roman"/>
          <w:sz w:val="28"/>
          <w:szCs w:val="28"/>
          <w:lang w:val="uk-UA"/>
        </w:rPr>
        <w:t xml:space="preserve">; </w:t>
      </w:r>
      <w:r w:rsidR="00143A0A">
        <w:rPr>
          <w:rFonts w:ascii="Times New Roman" w:hAnsi="Times New Roman" w:cs="Times New Roman"/>
          <w:sz w:val="28"/>
          <w:szCs w:val="28"/>
          <w:lang w:val="uk-UA"/>
        </w:rPr>
        <w:t>р = 0,1714). Можливо, це можна поясн</w:t>
      </w:r>
      <w:r w:rsidR="00C47BAC">
        <w:rPr>
          <w:rFonts w:ascii="Times New Roman" w:hAnsi="Times New Roman" w:cs="Times New Roman"/>
          <w:sz w:val="28"/>
          <w:szCs w:val="28"/>
          <w:lang w:val="uk-UA"/>
        </w:rPr>
        <w:t>ити тим, що зміна не стільки кількісних, скільки якісних характеристик ліпопротеїдів (здатність утворювати гл</w:t>
      </w:r>
      <w:r w:rsidR="002A71EF">
        <w:rPr>
          <w:rFonts w:ascii="Times New Roman" w:hAnsi="Times New Roman" w:cs="Times New Roman"/>
          <w:sz w:val="28"/>
          <w:szCs w:val="28"/>
          <w:lang w:val="uk-UA"/>
        </w:rPr>
        <w:t xml:space="preserve">іковані сполуки, малі щільні </w:t>
      </w:r>
      <w:r w:rsidR="00743397">
        <w:rPr>
          <w:rFonts w:ascii="Times New Roman" w:hAnsi="Times New Roman" w:cs="Times New Roman"/>
          <w:sz w:val="28"/>
          <w:szCs w:val="28"/>
          <w:lang w:val="uk-UA"/>
        </w:rPr>
        <w:t xml:space="preserve">розміри ХС </w:t>
      </w:r>
      <w:r w:rsidR="002A71EF">
        <w:rPr>
          <w:rFonts w:ascii="Times New Roman" w:hAnsi="Times New Roman" w:cs="Times New Roman"/>
          <w:sz w:val="28"/>
          <w:szCs w:val="28"/>
          <w:lang w:val="uk-UA"/>
        </w:rPr>
        <w:t>ЛПНЩ,</w:t>
      </w:r>
      <w:r w:rsidR="00743397">
        <w:rPr>
          <w:rFonts w:ascii="Times New Roman" w:hAnsi="Times New Roman" w:cs="Times New Roman"/>
          <w:sz w:val="28"/>
          <w:szCs w:val="28"/>
          <w:lang w:val="uk-UA"/>
        </w:rPr>
        <w:t xml:space="preserve"> </w:t>
      </w:r>
      <w:r w:rsidR="00632D12">
        <w:rPr>
          <w:rFonts w:ascii="Times New Roman" w:hAnsi="Times New Roman" w:cs="Times New Roman"/>
          <w:sz w:val="28"/>
          <w:szCs w:val="28"/>
          <w:lang w:val="uk-UA"/>
        </w:rPr>
        <w:t>які легше проникають</w:t>
      </w:r>
      <w:r w:rsidR="00C47BAC">
        <w:rPr>
          <w:rFonts w:ascii="Times New Roman" w:hAnsi="Times New Roman" w:cs="Times New Roman"/>
          <w:sz w:val="28"/>
          <w:szCs w:val="28"/>
          <w:lang w:val="uk-UA"/>
        </w:rPr>
        <w:t xml:space="preserve"> через ендотеліоцити судинної стінки)</w:t>
      </w:r>
      <w:r w:rsidR="00743397">
        <w:rPr>
          <w:rFonts w:ascii="Times New Roman" w:hAnsi="Times New Roman" w:cs="Times New Roman"/>
          <w:sz w:val="28"/>
          <w:szCs w:val="28"/>
          <w:lang w:val="uk-UA"/>
        </w:rPr>
        <w:t xml:space="preserve"> є </w:t>
      </w:r>
      <w:r w:rsidR="00743397" w:rsidRPr="00743397">
        <w:rPr>
          <w:rFonts w:ascii="Times New Roman" w:hAnsi="Times New Roman" w:cs="Times New Roman"/>
          <w:sz w:val="28"/>
          <w:szCs w:val="28"/>
          <w:lang w:val="uk-UA"/>
        </w:rPr>
        <w:t>важливою характеристикою</w:t>
      </w:r>
      <w:r w:rsidR="00743397" w:rsidRPr="000A0A1D">
        <w:rPr>
          <w:lang w:val="uk-UA"/>
        </w:rPr>
        <w:t xml:space="preserve"> </w:t>
      </w:r>
      <w:r w:rsidR="00743397" w:rsidRPr="00743397">
        <w:rPr>
          <w:rFonts w:ascii="Times New Roman" w:hAnsi="Times New Roman" w:cs="Times New Roman"/>
          <w:sz w:val="28"/>
          <w:szCs w:val="28"/>
          <w:lang w:val="uk-UA"/>
        </w:rPr>
        <w:t>для пацієнтів із ЦД 2-го</w:t>
      </w:r>
      <w:r w:rsidR="00743397">
        <w:rPr>
          <w:rFonts w:ascii="Times New Roman" w:hAnsi="Times New Roman" w:cs="Times New Roman"/>
          <w:sz w:val="28"/>
          <w:szCs w:val="28"/>
          <w:lang w:val="uk-UA"/>
        </w:rPr>
        <w:t xml:space="preserve"> </w:t>
      </w:r>
      <w:r w:rsidR="000A0A1D">
        <w:rPr>
          <w:rFonts w:ascii="Times New Roman" w:hAnsi="Times New Roman" w:cs="Times New Roman"/>
          <w:sz w:val="28"/>
          <w:szCs w:val="28"/>
          <w:lang w:val="uk-UA"/>
        </w:rPr>
        <w:t>типу</w:t>
      </w:r>
      <w:r w:rsidR="00C47BAC">
        <w:rPr>
          <w:rFonts w:ascii="Times New Roman" w:hAnsi="Times New Roman" w:cs="Times New Roman"/>
          <w:sz w:val="28"/>
          <w:szCs w:val="28"/>
          <w:lang w:val="uk-UA"/>
        </w:rPr>
        <w:t xml:space="preserve">. </w:t>
      </w:r>
    </w:p>
    <w:p w:rsidR="001B058B" w:rsidRPr="000E4CD6" w:rsidRDefault="00833D4E" w:rsidP="000E4CD6">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Дисл</w:t>
      </w:r>
      <w:r w:rsidR="00272D17">
        <w:rPr>
          <w:rFonts w:ascii="Times New Roman" w:hAnsi="Times New Roman" w:cs="Times New Roman"/>
          <w:sz w:val="28"/>
          <w:szCs w:val="28"/>
          <w:lang w:val="uk-UA"/>
        </w:rPr>
        <w:t>іпідемія була виявлена у 93 хворих</w:t>
      </w:r>
      <w:r>
        <w:rPr>
          <w:rFonts w:ascii="Times New Roman" w:hAnsi="Times New Roman" w:cs="Times New Roman"/>
          <w:sz w:val="28"/>
          <w:szCs w:val="28"/>
          <w:lang w:val="uk-UA"/>
        </w:rPr>
        <w:t xml:space="preserve"> (96,88</w:t>
      </w:r>
      <w:r w:rsidR="002A71EF">
        <w:rPr>
          <w:rFonts w:ascii="Times New Roman" w:hAnsi="Times New Roman" w:cs="Times New Roman"/>
          <w:sz w:val="28"/>
          <w:szCs w:val="28"/>
          <w:lang w:val="uk-UA"/>
        </w:rPr>
        <w:t xml:space="preserve"> </w:t>
      </w:r>
      <w:r w:rsidR="002406A7">
        <w:rPr>
          <w:rFonts w:ascii="Times New Roman" w:hAnsi="Times New Roman" w:cs="Times New Roman"/>
          <w:sz w:val="28"/>
          <w:szCs w:val="28"/>
          <w:lang w:val="uk-UA"/>
        </w:rPr>
        <w:t>%</w:t>
      </w:r>
      <w:r w:rsidR="00CA6A43">
        <w:rPr>
          <w:rFonts w:ascii="Times New Roman" w:hAnsi="Times New Roman" w:cs="Times New Roman"/>
          <w:sz w:val="28"/>
          <w:szCs w:val="28"/>
          <w:lang w:val="uk-UA"/>
        </w:rPr>
        <w:t xml:space="preserve">) </w:t>
      </w:r>
      <w:r w:rsidR="00743EBB">
        <w:rPr>
          <w:rFonts w:ascii="Times New Roman" w:hAnsi="Times New Roman" w:cs="Times New Roman"/>
          <w:sz w:val="28"/>
          <w:szCs w:val="28"/>
          <w:lang w:val="uk-UA"/>
        </w:rPr>
        <w:t>на</w:t>
      </w:r>
      <w:r w:rsidR="00F373D4">
        <w:rPr>
          <w:rFonts w:ascii="Times New Roman" w:hAnsi="Times New Roman" w:cs="Times New Roman"/>
          <w:sz w:val="28"/>
          <w:szCs w:val="28"/>
          <w:lang w:val="uk-UA"/>
        </w:rPr>
        <w:t xml:space="preserve"> </w:t>
      </w:r>
      <w:r w:rsidR="00CA182D">
        <w:rPr>
          <w:rFonts w:ascii="Times New Roman" w:hAnsi="Times New Roman" w:cs="Times New Roman"/>
          <w:sz w:val="28"/>
          <w:szCs w:val="28"/>
          <w:lang w:val="uk-UA"/>
        </w:rPr>
        <w:t xml:space="preserve">АГ та </w:t>
      </w:r>
      <w:r w:rsidR="00E35DAD">
        <w:rPr>
          <w:rFonts w:ascii="Times New Roman" w:hAnsi="Times New Roman" w:cs="Times New Roman"/>
          <w:sz w:val="28"/>
          <w:szCs w:val="28"/>
          <w:lang w:val="uk-UA"/>
        </w:rPr>
        <w:t xml:space="preserve">                </w:t>
      </w:r>
      <w:r w:rsidR="00CA182D">
        <w:rPr>
          <w:rFonts w:ascii="Times New Roman" w:hAnsi="Times New Roman" w:cs="Times New Roman"/>
          <w:sz w:val="28"/>
          <w:szCs w:val="28"/>
          <w:lang w:val="uk-UA"/>
        </w:rPr>
        <w:t xml:space="preserve">ЦД 2-го типу </w:t>
      </w:r>
      <w:r w:rsidR="00F373D4">
        <w:rPr>
          <w:rFonts w:ascii="Times New Roman" w:hAnsi="Times New Roman" w:cs="Times New Roman"/>
          <w:sz w:val="28"/>
          <w:szCs w:val="28"/>
          <w:lang w:val="uk-UA"/>
        </w:rPr>
        <w:t xml:space="preserve">і </w:t>
      </w:r>
      <w:r w:rsidR="002A71EF">
        <w:rPr>
          <w:rFonts w:ascii="Times New Roman" w:hAnsi="Times New Roman" w:cs="Times New Roman"/>
          <w:sz w:val="28"/>
          <w:szCs w:val="28"/>
          <w:lang w:val="uk-UA"/>
        </w:rPr>
        <w:t>в</w:t>
      </w:r>
      <w:r w:rsidR="00F373D4">
        <w:rPr>
          <w:rFonts w:ascii="Times New Roman" w:hAnsi="Times New Roman" w:cs="Times New Roman"/>
          <w:sz w:val="28"/>
          <w:szCs w:val="28"/>
          <w:lang w:val="uk-UA"/>
        </w:rPr>
        <w:t xml:space="preserve"> 24 (96</w:t>
      </w:r>
      <w:r w:rsidR="002A71EF">
        <w:rPr>
          <w:rFonts w:ascii="Times New Roman" w:hAnsi="Times New Roman" w:cs="Times New Roman"/>
          <w:sz w:val="28"/>
          <w:szCs w:val="28"/>
          <w:lang w:val="uk-UA"/>
        </w:rPr>
        <w:t xml:space="preserve"> </w:t>
      </w:r>
      <w:r w:rsidR="00F373D4">
        <w:rPr>
          <w:rFonts w:ascii="Times New Roman" w:hAnsi="Times New Roman" w:cs="Times New Roman"/>
          <w:sz w:val="28"/>
          <w:szCs w:val="28"/>
          <w:lang w:val="uk-UA"/>
        </w:rPr>
        <w:t>%)</w:t>
      </w:r>
      <w:r w:rsidR="00D12D05">
        <w:rPr>
          <w:rFonts w:ascii="Times New Roman" w:hAnsi="Times New Roman" w:cs="Times New Roman"/>
          <w:sz w:val="28"/>
          <w:szCs w:val="28"/>
          <w:lang w:val="uk-UA"/>
        </w:rPr>
        <w:t xml:space="preserve"> − </w:t>
      </w:r>
      <w:r w:rsidR="00743EBB">
        <w:rPr>
          <w:rFonts w:ascii="Times New Roman" w:hAnsi="Times New Roman" w:cs="Times New Roman"/>
          <w:sz w:val="28"/>
          <w:szCs w:val="28"/>
          <w:lang w:val="uk-UA"/>
        </w:rPr>
        <w:t>на</w:t>
      </w:r>
      <w:r w:rsidR="002406A7">
        <w:rPr>
          <w:rFonts w:ascii="Times New Roman" w:hAnsi="Times New Roman" w:cs="Times New Roman"/>
          <w:sz w:val="28"/>
          <w:szCs w:val="28"/>
          <w:lang w:val="uk-UA"/>
        </w:rPr>
        <w:t xml:space="preserve"> АГ. </w:t>
      </w:r>
      <w:r w:rsidR="00282FB5" w:rsidRPr="00BC268F">
        <w:rPr>
          <w:rFonts w:ascii="Times New Roman" w:hAnsi="Times New Roman" w:cs="Times New Roman"/>
          <w:sz w:val="28"/>
          <w:szCs w:val="28"/>
          <w:lang w:val="uk-UA"/>
        </w:rPr>
        <w:t xml:space="preserve">Комбінований тип дисліпідемії (підвищення ЗХС, </w:t>
      </w:r>
      <w:r w:rsidR="00743EBB">
        <w:rPr>
          <w:rFonts w:ascii="Times New Roman" w:hAnsi="Times New Roman" w:cs="Times New Roman"/>
          <w:sz w:val="28"/>
          <w:szCs w:val="28"/>
          <w:lang w:val="uk-UA"/>
        </w:rPr>
        <w:t xml:space="preserve">ХС </w:t>
      </w:r>
      <w:r w:rsidR="00282FB5" w:rsidRPr="00BC268F">
        <w:rPr>
          <w:rFonts w:ascii="Times New Roman" w:hAnsi="Times New Roman" w:cs="Times New Roman"/>
          <w:sz w:val="28"/>
          <w:szCs w:val="28"/>
          <w:lang w:val="uk-UA"/>
        </w:rPr>
        <w:t>ЛПНЩ, ТГ, зниження</w:t>
      </w:r>
      <w:r w:rsidR="00B94E0E" w:rsidRPr="00BC268F">
        <w:rPr>
          <w:rFonts w:ascii="Times New Roman" w:hAnsi="Times New Roman" w:cs="Times New Roman"/>
          <w:sz w:val="28"/>
          <w:szCs w:val="28"/>
          <w:lang w:val="uk-UA"/>
        </w:rPr>
        <w:t xml:space="preserve"> </w:t>
      </w:r>
      <w:r w:rsidR="00743EBB">
        <w:rPr>
          <w:rFonts w:ascii="Times New Roman" w:hAnsi="Times New Roman" w:cs="Times New Roman"/>
          <w:sz w:val="28"/>
          <w:szCs w:val="28"/>
          <w:lang w:val="uk-UA"/>
        </w:rPr>
        <w:t xml:space="preserve">ХС </w:t>
      </w:r>
      <w:r w:rsidR="00724E3E" w:rsidRPr="00BC268F">
        <w:rPr>
          <w:rFonts w:ascii="Times New Roman" w:hAnsi="Times New Roman" w:cs="Times New Roman"/>
          <w:sz w:val="28"/>
          <w:szCs w:val="28"/>
          <w:lang w:val="uk-UA"/>
        </w:rPr>
        <w:t>ЛПВЩ), який є найбільш несприятливим</w:t>
      </w:r>
      <w:r w:rsidR="00E35DAD">
        <w:rPr>
          <w:rFonts w:ascii="Times New Roman" w:hAnsi="Times New Roman" w:cs="Times New Roman"/>
          <w:sz w:val="28"/>
          <w:szCs w:val="28"/>
          <w:lang w:val="uk-UA"/>
        </w:rPr>
        <w:t xml:space="preserve"> </w:t>
      </w:r>
      <w:r w:rsidR="00282FB5" w:rsidRPr="00BC268F">
        <w:rPr>
          <w:rFonts w:ascii="Times New Roman" w:hAnsi="Times New Roman" w:cs="Times New Roman"/>
          <w:sz w:val="28"/>
          <w:szCs w:val="28"/>
          <w:lang w:val="uk-UA"/>
        </w:rPr>
        <w:t>у прогностичн</w:t>
      </w:r>
      <w:r w:rsidR="00F373D4" w:rsidRPr="00BC268F">
        <w:rPr>
          <w:rFonts w:ascii="Times New Roman" w:hAnsi="Times New Roman" w:cs="Times New Roman"/>
          <w:sz w:val="28"/>
          <w:szCs w:val="28"/>
          <w:lang w:val="uk-UA"/>
        </w:rPr>
        <w:t>ому плані</w:t>
      </w:r>
      <w:r w:rsidR="002A71EF">
        <w:rPr>
          <w:rFonts w:ascii="Times New Roman" w:hAnsi="Times New Roman" w:cs="Times New Roman"/>
          <w:sz w:val="28"/>
          <w:szCs w:val="28"/>
          <w:lang w:val="uk-UA"/>
        </w:rPr>
        <w:t>,</w:t>
      </w:r>
      <w:r w:rsidR="00272D17">
        <w:rPr>
          <w:rFonts w:ascii="Times New Roman" w:hAnsi="Times New Roman" w:cs="Times New Roman"/>
          <w:sz w:val="28"/>
          <w:szCs w:val="28"/>
          <w:lang w:val="uk-UA"/>
        </w:rPr>
        <w:t xml:space="preserve"> було констатовано у 18 пацієнтів</w:t>
      </w:r>
      <w:r w:rsidR="00F373D4" w:rsidRPr="00BC268F">
        <w:rPr>
          <w:rFonts w:ascii="Times New Roman" w:hAnsi="Times New Roman" w:cs="Times New Roman"/>
          <w:sz w:val="28"/>
          <w:szCs w:val="28"/>
          <w:lang w:val="uk-UA"/>
        </w:rPr>
        <w:t xml:space="preserve"> (18,</w:t>
      </w:r>
      <w:r w:rsidR="00272D17">
        <w:rPr>
          <w:rFonts w:ascii="Times New Roman" w:hAnsi="Times New Roman" w:cs="Times New Roman"/>
          <w:sz w:val="28"/>
          <w:szCs w:val="28"/>
          <w:lang w:val="uk-UA"/>
        </w:rPr>
        <w:t xml:space="preserve">8 %) І групи та жодного </w:t>
      </w:r>
      <w:r w:rsidR="00272D17" w:rsidRPr="00272D17">
        <w:rPr>
          <w:rFonts w:ascii="Times New Roman" w:hAnsi="Times New Roman" w:cs="Times New Roman"/>
          <w:sz w:val="28"/>
          <w:szCs w:val="28"/>
          <w:lang w:val="uk-UA"/>
        </w:rPr>
        <w:t>−</w:t>
      </w:r>
      <w:r w:rsidR="00F373D4" w:rsidRPr="00BC268F">
        <w:rPr>
          <w:rFonts w:ascii="Times New Roman" w:hAnsi="Times New Roman" w:cs="Times New Roman"/>
          <w:sz w:val="28"/>
          <w:szCs w:val="28"/>
          <w:lang w:val="uk-UA"/>
        </w:rPr>
        <w:t xml:space="preserve"> ІІ</w:t>
      </w:r>
      <w:r w:rsidR="00282FB5" w:rsidRPr="00BC268F">
        <w:rPr>
          <w:rFonts w:ascii="Times New Roman" w:hAnsi="Times New Roman" w:cs="Times New Roman"/>
          <w:sz w:val="28"/>
          <w:szCs w:val="28"/>
          <w:lang w:val="uk-UA"/>
        </w:rPr>
        <w:t>.</w:t>
      </w:r>
      <w:r w:rsidR="00724E3E" w:rsidRPr="00BC268F">
        <w:rPr>
          <w:rFonts w:ascii="Times New Roman" w:hAnsi="Times New Roman" w:cs="Times New Roman"/>
          <w:sz w:val="28"/>
          <w:szCs w:val="28"/>
          <w:lang w:val="uk-UA"/>
        </w:rPr>
        <w:t xml:space="preserve"> Зни</w:t>
      </w:r>
      <w:r w:rsidR="00FD361F">
        <w:rPr>
          <w:rFonts w:ascii="Times New Roman" w:hAnsi="Times New Roman" w:cs="Times New Roman"/>
          <w:sz w:val="28"/>
          <w:szCs w:val="28"/>
          <w:lang w:val="uk-UA"/>
        </w:rPr>
        <w:t xml:space="preserve">ження </w:t>
      </w:r>
      <w:r w:rsidR="00743EBB">
        <w:rPr>
          <w:rFonts w:ascii="Times New Roman" w:hAnsi="Times New Roman" w:cs="Times New Roman"/>
          <w:sz w:val="28"/>
          <w:szCs w:val="28"/>
          <w:lang w:val="uk-UA"/>
        </w:rPr>
        <w:t xml:space="preserve">ХС </w:t>
      </w:r>
      <w:r w:rsidR="00FD361F">
        <w:rPr>
          <w:rFonts w:ascii="Times New Roman" w:hAnsi="Times New Roman" w:cs="Times New Roman"/>
          <w:sz w:val="28"/>
          <w:szCs w:val="28"/>
          <w:lang w:val="uk-UA"/>
        </w:rPr>
        <w:t>ЛПВЩ та підвищення ТГ відзн</w:t>
      </w:r>
      <w:r w:rsidR="00724E3E" w:rsidRPr="00BC268F">
        <w:rPr>
          <w:rFonts w:ascii="Times New Roman" w:hAnsi="Times New Roman" w:cs="Times New Roman"/>
          <w:sz w:val="28"/>
          <w:szCs w:val="28"/>
          <w:lang w:val="uk-UA"/>
        </w:rPr>
        <w:t>а</w:t>
      </w:r>
      <w:r w:rsidR="00FD361F">
        <w:rPr>
          <w:rFonts w:ascii="Times New Roman" w:hAnsi="Times New Roman" w:cs="Times New Roman"/>
          <w:sz w:val="28"/>
          <w:szCs w:val="28"/>
          <w:lang w:val="uk-UA"/>
        </w:rPr>
        <w:t>чали</w:t>
      </w:r>
      <w:r w:rsidR="00724E3E" w:rsidRPr="00BC268F">
        <w:rPr>
          <w:rFonts w:ascii="Times New Roman" w:hAnsi="Times New Roman" w:cs="Times New Roman"/>
          <w:sz w:val="28"/>
          <w:szCs w:val="28"/>
          <w:lang w:val="uk-UA"/>
        </w:rPr>
        <w:t xml:space="preserve">ся </w:t>
      </w:r>
      <w:r w:rsidR="006314DF" w:rsidRPr="00BC268F">
        <w:rPr>
          <w:rFonts w:ascii="Times New Roman" w:hAnsi="Times New Roman" w:cs="Times New Roman"/>
          <w:sz w:val="28"/>
          <w:szCs w:val="28"/>
          <w:lang w:val="uk-UA"/>
        </w:rPr>
        <w:t xml:space="preserve">у </w:t>
      </w:r>
      <w:r w:rsidR="00A76BDA" w:rsidRPr="00BC268F">
        <w:rPr>
          <w:rFonts w:ascii="Times New Roman" w:hAnsi="Times New Roman" w:cs="Times New Roman"/>
          <w:sz w:val="28"/>
          <w:szCs w:val="28"/>
          <w:lang w:val="uk-UA"/>
        </w:rPr>
        <w:t>9</w:t>
      </w:r>
      <w:r w:rsidR="00272D17">
        <w:rPr>
          <w:rFonts w:ascii="Times New Roman" w:hAnsi="Times New Roman" w:cs="Times New Roman"/>
          <w:sz w:val="28"/>
          <w:szCs w:val="28"/>
          <w:lang w:val="uk-UA"/>
        </w:rPr>
        <w:t xml:space="preserve"> хворих</w:t>
      </w:r>
      <w:r w:rsidR="006314DF" w:rsidRPr="00BC268F">
        <w:rPr>
          <w:rFonts w:ascii="Times New Roman" w:hAnsi="Times New Roman" w:cs="Times New Roman"/>
          <w:sz w:val="28"/>
          <w:szCs w:val="28"/>
          <w:lang w:val="uk-UA"/>
        </w:rPr>
        <w:t xml:space="preserve"> (</w:t>
      </w:r>
      <w:r w:rsidR="00A76BDA" w:rsidRPr="00BC268F">
        <w:rPr>
          <w:rFonts w:ascii="Times New Roman" w:hAnsi="Times New Roman" w:cs="Times New Roman"/>
          <w:sz w:val="28"/>
          <w:szCs w:val="28"/>
          <w:lang w:val="uk-UA"/>
        </w:rPr>
        <w:t>9,38</w:t>
      </w:r>
      <w:r w:rsidR="00FD361F">
        <w:rPr>
          <w:rFonts w:ascii="Times New Roman" w:hAnsi="Times New Roman" w:cs="Times New Roman"/>
          <w:sz w:val="28"/>
          <w:szCs w:val="28"/>
          <w:lang w:val="uk-UA"/>
        </w:rPr>
        <w:t xml:space="preserve"> </w:t>
      </w:r>
      <w:r w:rsidR="00724E3E" w:rsidRPr="00BC268F">
        <w:rPr>
          <w:rFonts w:ascii="Times New Roman" w:hAnsi="Times New Roman" w:cs="Times New Roman"/>
          <w:sz w:val="28"/>
          <w:szCs w:val="28"/>
          <w:lang w:val="uk-UA"/>
        </w:rPr>
        <w:t xml:space="preserve">%) І групи </w:t>
      </w:r>
      <w:r w:rsidR="00FD361F">
        <w:rPr>
          <w:rFonts w:ascii="Times New Roman" w:hAnsi="Times New Roman" w:cs="Times New Roman"/>
          <w:sz w:val="28"/>
          <w:szCs w:val="28"/>
          <w:lang w:val="uk-UA"/>
        </w:rPr>
        <w:t>і не були констатовані</w:t>
      </w:r>
      <w:r w:rsidR="00724E3E" w:rsidRPr="00BC268F">
        <w:rPr>
          <w:rFonts w:ascii="Times New Roman" w:hAnsi="Times New Roman" w:cs="Times New Roman"/>
          <w:sz w:val="28"/>
          <w:szCs w:val="28"/>
          <w:lang w:val="uk-UA"/>
        </w:rPr>
        <w:t xml:space="preserve"> в жодного пацієнта ІІ групи</w:t>
      </w:r>
      <w:r w:rsidR="00724E3E" w:rsidRPr="006314DF">
        <w:rPr>
          <w:rFonts w:ascii="Times New Roman" w:hAnsi="Times New Roman" w:cs="Times New Roman"/>
          <w:sz w:val="28"/>
          <w:szCs w:val="28"/>
          <w:lang w:val="uk-UA"/>
        </w:rPr>
        <w:t xml:space="preserve">. </w:t>
      </w:r>
      <w:r w:rsidR="00724E3E" w:rsidRPr="004142FD">
        <w:rPr>
          <w:rFonts w:ascii="Times New Roman" w:hAnsi="Times New Roman" w:cs="Times New Roman"/>
          <w:sz w:val="28"/>
          <w:szCs w:val="28"/>
          <w:lang w:val="uk-UA"/>
        </w:rPr>
        <w:t>Зниженн</w:t>
      </w:r>
      <w:r w:rsidR="00FD361F">
        <w:rPr>
          <w:rFonts w:ascii="Times New Roman" w:hAnsi="Times New Roman" w:cs="Times New Roman"/>
          <w:sz w:val="28"/>
          <w:szCs w:val="28"/>
          <w:lang w:val="uk-UA"/>
        </w:rPr>
        <w:t xml:space="preserve">я </w:t>
      </w:r>
      <w:r w:rsidR="00743EBB">
        <w:rPr>
          <w:rFonts w:ascii="Times New Roman" w:hAnsi="Times New Roman" w:cs="Times New Roman"/>
          <w:sz w:val="28"/>
          <w:szCs w:val="28"/>
          <w:lang w:val="uk-UA"/>
        </w:rPr>
        <w:t xml:space="preserve">ХС </w:t>
      </w:r>
      <w:r w:rsidR="00FD361F">
        <w:rPr>
          <w:rFonts w:ascii="Times New Roman" w:hAnsi="Times New Roman" w:cs="Times New Roman"/>
          <w:sz w:val="28"/>
          <w:szCs w:val="28"/>
          <w:lang w:val="uk-UA"/>
        </w:rPr>
        <w:t xml:space="preserve">ЛПВЩ, підвищення ТГ, </w:t>
      </w:r>
      <w:r w:rsidR="00743EBB">
        <w:rPr>
          <w:rFonts w:ascii="Times New Roman" w:hAnsi="Times New Roman" w:cs="Times New Roman"/>
          <w:sz w:val="28"/>
          <w:szCs w:val="28"/>
          <w:lang w:val="uk-UA"/>
        </w:rPr>
        <w:t xml:space="preserve">ХС </w:t>
      </w:r>
      <w:r w:rsidR="00FD361F">
        <w:rPr>
          <w:rFonts w:ascii="Times New Roman" w:hAnsi="Times New Roman" w:cs="Times New Roman"/>
          <w:sz w:val="28"/>
          <w:szCs w:val="28"/>
          <w:lang w:val="uk-UA"/>
        </w:rPr>
        <w:t xml:space="preserve">ЛПНЩ були </w:t>
      </w:r>
      <w:r w:rsidR="00724E3E" w:rsidRPr="004142FD">
        <w:rPr>
          <w:rFonts w:ascii="Times New Roman" w:hAnsi="Times New Roman" w:cs="Times New Roman"/>
          <w:sz w:val="28"/>
          <w:szCs w:val="28"/>
          <w:lang w:val="uk-UA"/>
        </w:rPr>
        <w:t xml:space="preserve">у </w:t>
      </w:r>
      <w:r w:rsidR="00272D17">
        <w:rPr>
          <w:rFonts w:ascii="Times New Roman" w:hAnsi="Times New Roman" w:cs="Times New Roman"/>
          <w:sz w:val="28"/>
          <w:szCs w:val="28"/>
          <w:lang w:val="uk-UA"/>
        </w:rPr>
        <w:t>2 хворих</w:t>
      </w:r>
      <w:r w:rsidR="004142FD" w:rsidRPr="004142FD">
        <w:rPr>
          <w:rFonts w:ascii="Times New Roman" w:hAnsi="Times New Roman" w:cs="Times New Roman"/>
          <w:sz w:val="28"/>
          <w:szCs w:val="28"/>
          <w:lang w:val="uk-UA"/>
        </w:rPr>
        <w:t xml:space="preserve"> (2,08</w:t>
      </w:r>
      <w:r w:rsidR="00FD361F">
        <w:rPr>
          <w:rFonts w:ascii="Times New Roman" w:hAnsi="Times New Roman" w:cs="Times New Roman"/>
          <w:sz w:val="28"/>
          <w:szCs w:val="28"/>
          <w:lang w:val="uk-UA"/>
        </w:rPr>
        <w:t xml:space="preserve"> </w:t>
      </w:r>
      <w:r w:rsidR="004142FD" w:rsidRPr="004142FD">
        <w:rPr>
          <w:rFonts w:ascii="Times New Roman" w:hAnsi="Times New Roman" w:cs="Times New Roman"/>
          <w:sz w:val="28"/>
          <w:szCs w:val="28"/>
          <w:lang w:val="uk-UA"/>
        </w:rPr>
        <w:t xml:space="preserve">%) І групи та </w:t>
      </w:r>
      <w:r w:rsidR="00FD361F">
        <w:rPr>
          <w:rFonts w:ascii="Times New Roman" w:hAnsi="Times New Roman" w:cs="Times New Roman"/>
          <w:sz w:val="28"/>
          <w:szCs w:val="28"/>
          <w:lang w:val="uk-UA"/>
        </w:rPr>
        <w:t>в</w:t>
      </w:r>
      <w:r w:rsidR="004142FD" w:rsidRPr="004142FD">
        <w:rPr>
          <w:rFonts w:ascii="Times New Roman" w:hAnsi="Times New Roman" w:cs="Times New Roman"/>
          <w:sz w:val="28"/>
          <w:szCs w:val="28"/>
          <w:lang w:val="uk-UA"/>
        </w:rPr>
        <w:t xml:space="preserve"> 1 (4</w:t>
      </w:r>
      <w:r w:rsidR="00FD361F">
        <w:rPr>
          <w:rFonts w:ascii="Times New Roman" w:hAnsi="Times New Roman" w:cs="Times New Roman"/>
          <w:sz w:val="28"/>
          <w:szCs w:val="28"/>
          <w:lang w:val="uk-UA"/>
        </w:rPr>
        <w:t xml:space="preserve"> </w:t>
      </w:r>
      <w:r w:rsidR="00724E3E" w:rsidRPr="004142FD">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w:t>
      </w:r>
      <w:r w:rsidR="00A77C9C" w:rsidRPr="00A77C9C">
        <w:rPr>
          <w:rFonts w:ascii="Times New Roman" w:hAnsi="Times New Roman" w:cs="Times New Roman"/>
          <w:sz w:val="28"/>
          <w:szCs w:val="28"/>
          <w:lang w:val="uk-UA"/>
        </w:rPr>
        <w:t>−</w:t>
      </w:r>
      <w:r w:rsidR="00724E3E" w:rsidRPr="004142FD">
        <w:rPr>
          <w:rFonts w:ascii="Times New Roman" w:hAnsi="Times New Roman" w:cs="Times New Roman"/>
          <w:sz w:val="28"/>
          <w:szCs w:val="28"/>
          <w:lang w:val="uk-UA"/>
        </w:rPr>
        <w:t xml:space="preserve"> ІІ групи. </w:t>
      </w:r>
      <w:r w:rsidR="007514D4" w:rsidRPr="004142FD">
        <w:rPr>
          <w:rFonts w:ascii="Times New Roman" w:hAnsi="Times New Roman" w:cs="Times New Roman"/>
          <w:sz w:val="28"/>
          <w:szCs w:val="28"/>
          <w:lang w:val="uk-UA"/>
        </w:rPr>
        <w:t xml:space="preserve">Підвищення </w:t>
      </w:r>
      <w:r w:rsidR="00FF6578" w:rsidRPr="004142FD">
        <w:rPr>
          <w:rFonts w:ascii="Times New Roman" w:hAnsi="Times New Roman" w:cs="Times New Roman"/>
          <w:sz w:val="28"/>
          <w:szCs w:val="28"/>
          <w:lang w:val="uk-UA"/>
        </w:rPr>
        <w:t xml:space="preserve">ЗХС, </w:t>
      </w:r>
      <w:r w:rsidR="00743EBB">
        <w:rPr>
          <w:rFonts w:ascii="Times New Roman" w:hAnsi="Times New Roman" w:cs="Times New Roman"/>
          <w:sz w:val="28"/>
          <w:szCs w:val="28"/>
          <w:lang w:val="uk-UA"/>
        </w:rPr>
        <w:t xml:space="preserve">ХС </w:t>
      </w:r>
      <w:r w:rsidR="00FF6578" w:rsidRPr="004142FD">
        <w:rPr>
          <w:rFonts w:ascii="Times New Roman" w:hAnsi="Times New Roman" w:cs="Times New Roman"/>
          <w:sz w:val="28"/>
          <w:szCs w:val="28"/>
          <w:lang w:val="uk-UA"/>
        </w:rPr>
        <w:t xml:space="preserve">ЛПНЩ, </w:t>
      </w:r>
      <w:r w:rsidR="00F72A5E" w:rsidRPr="004142FD">
        <w:rPr>
          <w:rFonts w:ascii="Times New Roman" w:hAnsi="Times New Roman" w:cs="Times New Roman"/>
          <w:sz w:val="28"/>
          <w:szCs w:val="28"/>
          <w:lang w:val="uk-UA"/>
        </w:rPr>
        <w:t xml:space="preserve">ТГ констатовано у </w:t>
      </w:r>
      <w:r w:rsidR="004142FD" w:rsidRPr="00995DB6">
        <w:rPr>
          <w:rFonts w:ascii="Times New Roman" w:hAnsi="Times New Roman" w:cs="Times New Roman"/>
          <w:sz w:val="28"/>
          <w:szCs w:val="28"/>
          <w:lang w:val="uk-UA"/>
        </w:rPr>
        <w:t>2</w:t>
      </w:r>
      <w:r w:rsidR="00A77C9C">
        <w:rPr>
          <w:rFonts w:ascii="Times New Roman" w:hAnsi="Times New Roman" w:cs="Times New Roman"/>
          <w:sz w:val="28"/>
          <w:szCs w:val="28"/>
          <w:lang w:val="uk-UA"/>
        </w:rPr>
        <w:t>3 пацієнтів</w:t>
      </w:r>
      <w:r w:rsidR="004142FD" w:rsidRPr="00995DB6">
        <w:rPr>
          <w:rFonts w:ascii="Times New Roman" w:hAnsi="Times New Roman" w:cs="Times New Roman"/>
          <w:sz w:val="28"/>
          <w:szCs w:val="28"/>
          <w:lang w:val="uk-UA"/>
        </w:rPr>
        <w:t xml:space="preserve"> (</w:t>
      </w:r>
      <w:r w:rsidR="00995DB6" w:rsidRPr="00995DB6">
        <w:rPr>
          <w:rFonts w:ascii="Times New Roman" w:hAnsi="Times New Roman" w:cs="Times New Roman"/>
          <w:sz w:val="28"/>
          <w:szCs w:val="28"/>
          <w:lang w:val="uk-UA"/>
        </w:rPr>
        <w:t>24</w:t>
      </w:r>
      <w:r w:rsidR="00FD361F">
        <w:rPr>
          <w:rFonts w:ascii="Times New Roman" w:hAnsi="Times New Roman" w:cs="Times New Roman"/>
          <w:sz w:val="28"/>
          <w:szCs w:val="28"/>
          <w:lang w:val="uk-UA"/>
        </w:rPr>
        <w:t xml:space="preserve"> </w:t>
      </w:r>
      <w:r w:rsidR="004142FD" w:rsidRPr="00995DB6">
        <w:rPr>
          <w:rFonts w:ascii="Times New Roman" w:hAnsi="Times New Roman" w:cs="Times New Roman"/>
          <w:sz w:val="28"/>
          <w:szCs w:val="28"/>
          <w:lang w:val="uk-UA"/>
        </w:rPr>
        <w:t>%) І групи та 6</w:t>
      </w:r>
      <w:r w:rsidR="00FF6578" w:rsidRPr="00995DB6">
        <w:rPr>
          <w:rFonts w:ascii="Times New Roman" w:hAnsi="Times New Roman" w:cs="Times New Roman"/>
          <w:sz w:val="28"/>
          <w:szCs w:val="28"/>
          <w:lang w:val="uk-UA"/>
        </w:rPr>
        <w:t xml:space="preserve"> (</w:t>
      </w:r>
      <w:r w:rsidR="00995DB6" w:rsidRPr="00995DB6">
        <w:rPr>
          <w:rFonts w:ascii="Times New Roman" w:hAnsi="Times New Roman" w:cs="Times New Roman"/>
          <w:sz w:val="28"/>
          <w:szCs w:val="28"/>
          <w:lang w:val="uk-UA"/>
        </w:rPr>
        <w:t>24</w:t>
      </w:r>
      <w:r w:rsidR="00FD361F">
        <w:rPr>
          <w:rFonts w:ascii="Times New Roman" w:hAnsi="Times New Roman" w:cs="Times New Roman"/>
          <w:sz w:val="28"/>
          <w:szCs w:val="28"/>
          <w:lang w:val="uk-UA"/>
        </w:rPr>
        <w:t xml:space="preserve"> </w:t>
      </w:r>
      <w:r w:rsidR="00562FCB" w:rsidRPr="00995DB6">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w:t>
      </w:r>
      <w:r w:rsidR="00A77C9C" w:rsidRPr="00A77C9C">
        <w:rPr>
          <w:rFonts w:ascii="Times New Roman" w:hAnsi="Times New Roman" w:cs="Times New Roman"/>
          <w:sz w:val="28"/>
          <w:szCs w:val="28"/>
          <w:lang w:val="uk-UA"/>
        </w:rPr>
        <w:t>−</w:t>
      </w:r>
      <w:r w:rsidR="00562FCB" w:rsidRPr="00995DB6">
        <w:rPr>
          <w:rFonts w:ascii="Times New Roman" w:hAnsi="Times New Roman" w:cs="Times New Roman"/>
          <w:sz w:val="28"/>
          <w:szCs w:val="28"/>
          <w:lang w:val="uk-UA"/>
        </w:rPr>
        <w:t xml:space="preserve"> ІІ групи; підвище</w:t>
      </w:r>
      <w:r w:rsidR="00F132FB" w:rsidRPr="00995DB6">
        <w:rPr>
          <w:rFonts w:ascii="Times New Roman" w:hAnsi="Times New Roman" w:cs="Times New Roman"/>
          <w:sz w:val="28"/>
          <w:szCs w:val="28"/>
          <w:lang w:val="uk-UA"/>
        </w:rPr>
        <w:t xml:space="preserve">ння </w:t>
      </w:r>
      <w:r w:rsidR="00743EBB">
        <w:rPr>
          <w:rFonts w:ascii="Times New Roman" w:hAnsi="Times New Roman" w:cs="Times New Roman"/>
          <w:sz w:val="28"/>
          <w:szCs w:val="28"/>
          <w:lang w:val="uk-UA"/>
        </w:rPr>
        <w:t xml:space="preserve">ХС </w:t>
      </w:r>
      <w:r w:rsidR="00F132FB" w:rsidRPr="00995DB6">
        <w:rPr>
          <w:rFonts w:ascii="Times New Roman" w:hAnsi="Times New Roman" w:cs="Times New Roman"/>
          <w:sz w:val="28"/>
          <w:szCs w:val="28"/>
          <w:lang w:val="uk-UA"/>
        </w:rPr>
        <w:t xml:space="preserve">ЛПНЩ та зниження </w:t>
      </w:r>
      <w:r w:rsidR="00743EBB">
        <w:rPr>
          <w:rFonts w:ascii="Times New Roman" w:hAnsi="Times New Roman" w:cs="Times New Roman"/>
          <w:sz w:val="28"/>
          <w:szCs w:val="28"/>
          <w:lang w:val="uk-UA"/>
        </w:rPr>
        <w:t xml:space="preserve">ХС </w:t>
      </w:r>
      <w:r w:rsidR="00F132FB" w:rsidRPr="00995DB6">
        <w:rPr>
          <w:rFonts w:ascii="Times New Roman" w:hAnsi="Times New Roman" w:cs="Times New Roman"/>
          <w:sz w:val="28"/>
          <w:szCs w:val="28"/>
          <w:lang w:val="uk-UA"/>
        </w:rPr>
        <w:t xml:space="preserve">ЛПВЩ </w:t>
      </w:r>
      <w:r w:rsidR="00FD361F">
        <w:rPr>
          <w:rFonts w:ascii="Times New Roman" w:hAnsi="Times New Roman" w:cs="Times New Roman"/>
          <w:sz w:val="28"/>
          <w:szCs w:val="28"/>
          <w:lang w:val="uk-UA"/>
        </w:rPr>
        <w:t>−</w:t>
      </w:r>
      <w:r w:rsidR="00995DB6" w:rsidRPr="00995DB6">
        <w:rPr>
          <w:rFonts w:ascii="Times New Roman" w:hAnsi="Times New Roman" w:cs="Times New Roman"/>
          <w:sz w:val="28"/>
          <w:szCs w:val="28"/>
          <w:lang w:val="uk-UA"/>
        </w:rPr>
        <w:t xml:space="preserve"> у 6</w:t>
      </w:r>
      <w:r w:rsidR="00995DB6">
        <w:rPr>
          <w:rFonts w:ascii="Times New Roman" w:hAnsi="Times New Roman" w:cs="Times New Roman"/>
          <w:sz w:val="28"/>
          <w:szCs w:val="28"/>
          <w:lang w:val="uk-UA"/>
        </w:rPr>
        <w:t xml:space="preserve"> </w:t>
      </w:r>
      <w:r w:rsidR="00A77C9C">
        <w:rPr>
          <w:rFonts w:ascii="Times New Roman" w:hAnsi="Times New Roman" w:cs="Times New Roman"/>
          <w:sz w:val="28"/>
          <w:szCs w:val="28"/>
          <w:lang w:val="uk-UA"/>
        </w:rPr>
        <w:t xml:space="preserve">хворих </w:t>
      </w:r>
      <w:r w:rsidR="00995DB6">
        <w:rPr>
          <w:rFonts w:ascii="Times New Roman" w:hAnsi="Times New Roman" w:cs="Times New Roman"/>
          <w:sz w:val="28"/>
          <w:szCs w:val="28"/>
          <w:lang w:val="uk-UA"/>
        </w:rPr>
        <w:t>(6,25</w:t>
      </w:r>
      <w:r w:rsidR="00A77C9C">
        <w:rPr>
          <w:rFonts w:ascii="Times New Roman" w:hAnsi="Times New Roman" w:cs="Times New Roman"/>
          <w:sz w:val="28"/>
          <w:szCs w:val="28"/>
          <w:lang w:val="uk-UA"/>
        </w:rPr>
        <w:t>%) І групи та жодного</w:t>
      </w:r>
      <w:r w:rsidR="00995DB6" w:rsidRPr="00995DB6">
        <w:rPr>
          <w:rFonts w:ascii="Times New Roman" w:hAnsi="Times New Roman" w:cs="Times New Roman"/>
          <w:sz w:val="28"/>
          <w:szCs w:val="28"/>
          <w:lang w:val="uk-UA"/>
        </w:rPr>
        <w:t xml:space="preserve"> </w:t>
      </w:r>
      <w:r w:rsidR="00FD361F">
        <w:rPr>
          <w:rFonts w:ascii="Times New Roman" w:hAnsi="Times New Roman" w:cs="Times New Roman"/>
          <w:sz w:val="28"/>
          <w:szCs w:val="28"/>
          <w:lang w:val="uk-UA"/>
        </w:rPr>
        <w:t xml:space="preserve">− </w:t>
      </w:r>
      <w:r w:rsidR="00562FCB" w:rsidRPr="00995DB6">
        <w:rPr>
          <w:rFonts w:ascii="Times New Roman" w:hAnsi="Times New Roman" w:cs="Times New Roman"/>
          <w:sz w:val="28"/>
          <w:szCs w:val="28"/>
          <w:lang w:val="uk-UA"/>
        </w:rPr>
        <w:t>ІІ групи; підвищення ЗХ</w:t>
      </w:r>
      <w:r w:rsidR="00BB080F" w:rsidRPr="00995DB6">
        <w:rPr>
          <w:rFonts w:ascii="Times New Roman" w:hAnsi="Times New Roman" w:cs="Times New Roman"/>
          <w:sz w:val="28"/>
          <w:szCs w:val="28"/>
          <w:lang w:val="uk-UA"/>
        </w:rPr>
        <w:t xml:space="preserve">С, </w:t>
      </w:r>
      <w:r w:rsidR="00743EBB">
        <w:rPr>
          <w:rFonts w:ascii="Times New Roman" w:hAnsi="Times New Roman" w:cs="Times New Roman"/>
          <w:sz w:val="28"/>
          <w:szCs w:val="28"/>
          <w:lang w:val="uk-UA"/>
        </w:rPr>
        <w:t xml:space="preserve">ХС </w:t>
      </w:r>
      <w:r w:rsidR="00BB080F" w:rsidRPr="00995DB6">
        <w:rPr>
          <w:rFonts w:ascii="Times New Roman" w:hAnsi="Times New Roman" w:cs="Times New Roman"/>
          <w:sz w:val="28"/>
          <w:szCs w:val="28"/>
          <w:lang w:val="uk-UA"/>
        </w:rPr>
        <w:t xml:space="preserve">ЛПНЩ та зниження </w:t>
      </w:r>
      <w:r w:rsidR="00743EBB">
        <w:rPr>
          <w:rFonts w:ascii="Times New Roman" w:hAnsi="Times New Roman" w:cs="Times New Roman"/>
          <w:sz w:val="28"/>
          <w:szCs w:val="28"/>
          <w:lang w:val="uk-UA"/>
        </w:rPr>
        <w:t xml:space="preserve">ХС </w:t>
      </w:r>
      <w:r w:rsidR="00BB080F" w:rsidRPr="00995DB6">
        <w:rPr>
          <w:rFonts w:ascii="Times New Roman" w:hAnsi="Times New Roman" w:cs="Times New Roman"/>
          <w:sz w:val="28"/>
          <w:szCs w:val="28"/>
          <w:lang w:val="uk-UA"/>
        </w:rPr>
        <w:t xml:space="preserve">ЛПВЩ </w:t>
      </w:r>
      <w:r w:rsidR="00A77C9C">
        <w:rPr>
          <w:rFonts w:ascii="Times New Roman" w:hAnsi="Times New Roman" w:cs="Times New Roman"/>
          <w:sz w:val="28"/>
          <w:szCs w:val="28"/>
          <w:lang w:val="uk-UA"/>
        </w:rPr>
        <w:t>– у 5 пацієнтів</w:t>
      </w:r>
      <w:r w:rsidR="002064E3" w:rsidRPr="002064E3">
        <w:rPr>
          <w:rFonts w:ascii="Times New Roman" w:hAnsi="Times New Roman" w:cs="Times New Roman"/>
          <w:sz w:val="28"/>
          <w:szCs w:val="28"/>
          <w:lang w:val="uk-UA"/>
        </w:rPr>
        <w:t xml:space="preserve"> (5,21</w:t>
      </w:r>
      <w:r w:rsidR="00FD361F">
        <w:rPr>
          <w:rFonts w:ascii="Times New Roman" w:hAnsi="Times New Roman" w:cs="Times New Roman"/>
          <w:sz w:val="28"/>
          <w:szCs w:val="28"/>
          <w:lang w:val="uk-UA"/>
        </w:rPr>
        <w:t xml:space="preserve"> </w:t>
      </w:r>
      <w:r w:rsidR="00562FCB" w:rsidRPr="002064E3">
        <w:rPr>
          <w:rFonts w:ascii="Times New Roman" w:hAnsi="Times New Roman" w:cs="Times New Roman"/>
          <w:sz w:val="28"/>
          <w:szCs w:val="28"/>
          <w:lang w:val="uk-UA"/>
        </w:rPr>
        <w:t xml:space="preserve">%) І групи </w:t>
      </w:r>
      <w:r w:rsidR="00A77C9C">
        <w:rPr>
          <w:rFonts w:ascii="Times New Roman" w:hAnsi="Times New Roman" w:cs="Times New Roman"/>
          <w:sz w:val="28"/>
          <w:szCs w:val="28"/>
          <w:lang w:val="uk-UA"/>
        </w:rPr>
        <w:t>та у 2</w:t>
      </w:r>
      <w:r w:rsidR="002064E3" w:rsidRPr="002064E3">
        <w:rPr>
          <w:rFonts w:ascii="Times New Roman" w:hAnsi="Times New Roman" w:cs="Times New Roman"/>
          <w:sz w:val="28"/>
          <w:szCs w:val="28"/>
          <w:lang w:val="uk-UA"/>
        </w:rPr>
        <w:t xml:space="preserve"> (8</w:t>
      </w:r>
      <w:r w:rsidR="00FD361F">
        <w:rPr>
          <w:rFonts w:ascii="Times New Roman" w:hAnsi="Times New Roman" w:cs="Times New Roman"/>
          <w:sz w:val="28"/>
          <w:szCs w:val="28"/>
          <w:lang w:val="uk-UA"/>
        </w:rPr>
        <w:t xml:space="preserve"> </w:t>
      </w:r>
      <w:r w:rsidR="00A21C9C" w:rsidRPr="002064E3">
        <w:rPr>
          <w:rFonts w:ascii="Times New Roman" w:hAnsi="Times New Roman" w:cs="Times New Roman"/>
          <w:sz w:val="28"/>
          <w:szCs w:val="28"/>
          <w:lang w:val="uk-UA"/>
        </w:rPr>
        <w:t xml:space="preserve">%) </w:t>
      </w:r>
      <w:r w:rsidR="00A77C9C" w:rsidRPr="00A77C9C">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w:t>
      </w:r>
      <w:r w:rsidR="00A21C9C" w:rsidRPr="002064E3">
        <w:rPr>
          <w:rFonts w:ascii="Times New Roman" w:hAnsi="Times New Roman" w:cs="Times New Roman"/>
          <w:sz w:val="28"/>
          <w:szCs w:val="28"/>
          <w:lang w:val="uk-UA"/>
        </w:rPr>
        <w:t>І</w:t>
      </w:r>
      <w:r w:rsidR="00562FCB" w:rsidRPr="002064E3">
        <w:rPr>
          <w:rFonts w:ascii="Times New Roman" w:hAnsi="Times New Roman" w:cs="Times New Roman"/>
          <w:sz w:val="28"/>
          <w:szCs w:val="28"/>
          <w:lang w:val="uk-UA"/>
        </w:rPr>
        <w:t xml:space="preserve">І </w:t>
      </w:r>
      <w:r w:rsidR="00562FCB" w:rsidRPr="007E0ED6">
        <w:rPr>
          <w:rFonts w:ascii="Times New Roman" w:hAnsi="Times New Roman" w:cs="Times New Roman"/>
          <w:sz w:val="28"/>
          <w:szCs w:val="28"/>
          <w:lang w:val="uk-UA"/>
        </w:rPr>
        <w:t>групи; підвищення ЗХС та</w:t>
      </w:r>
      <w:r w:rsidR="00743EBB">
        <w:rPr>
          <w:rFonts w:ascii="Times New Roman" w:hAnsi="Times New Roman" w:cs="Times New Roman"/>
          <w:sz w:val="28"/>
          <w:szCs w:val="28"/>
          <w:lang w:val="uk-UA"/>
        </w:rPr>
        <w:t xml:space="preserve"> ХС</w:t>
      </w:r>
      <w:r w:rsidR="00562FCB" w:rsidRPr="007E0ED6">
        <w:rPr>
          <w:rFonts w:ascii="Times New Roman" w:hAnsi="Times New Roman" w:cs="Times New Roman"/>
          <w:sz w:val="28"/>
          <w:szCs w:val="28"/>
          <w:lang w:val="uk-UA"/>
        </w:rPr>
        <w:t xml:space="preserve"> ЛПНЩ – у </w:t>
      </w:r>
      <w:r w:rsidR="00A77C9C">
        <w:rPr>
          <w:rFonts w:ascii="Times New Roman" w:hAnsi="Times New Roman" w:cs="Times New Roman"/>
          <w:sz w:val="28"/>
          <w:szCs w:val="28"/>
          <w:lang w:val="uk-UA"/>
        </w:rPr>
        <w:t>12 хворих</w:t>
      </w:r>
      <w:r w:rsidR="002064E3" w:rsidRPr="007E0ED6">
        <w:rPr>
          <w:rFonts w:ascii="Times New Roman" w:hAnsi="Times New Roman" w:cs="Times New Roman"/>
          <w:sz w:val="28"/>
          <w:szCs w:val="28"/>
          <w:lang w:val="uk-UA"/>
        </w:rPr>
        <w:t xml:space="preserve"> (12,5</w:t>
      </w:r>
      <w:r w:rsidR="00FD361F">
        <w:rPr>
          <w:rFonts w:ascii="Times New Roman" w:hAnsi="Times New Roman" w:cs="Times New Roman"/>
          <w:sz w:val="28"/>
          <w:szCs w:val="28"/>
          <w:lang w:val="uk-UA"/>
        </w:rPr>
        <w:t xml:space="preserve"> </w:t>
      </w:r>
      <w:r w:rsidR="002064E3" w:rsidRPr="007E0ED6">
        <w:rPr>
          <w:rFonts w:ascii="Times New Roman" w:hAnsi="Times New Roman" w:cs="Times New Roman"/>
          <w:sz w:val="28"/>
          <w:szCs w:val="28"/>
          <w:lang w:val="uk-UA"/>
        </w:rPr>
        <w:t>%) І групи та 4 (16</w:t>
      </w:r>
      <w:r w:rsidR="00FD361F">
        <w:rPr>
          <w:rFonts w:ascii="Times New Roman" w:hAnsi="Times New Roman" w:cs="Times New Roman"/>
          <w:sz w:val="28"/>
          <w:szCs w:val="28"/>
          <w:lang w:val="uk-UA"/>
        </w:rPr>
        <w:t xml:space="preserve"> </w:t>
      </w:r>
      <w:r w:rsidR="00E62D7C" w:rsidRPr="007E0ED6">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w:t>
      </w:r>
      <w:r w:rsidR="00A77C9C" w:rsidRPr="00A77C9C">
        <w:rPr>
          <w:rFonts w:ascii="Times New Roman" w:hAnsi="Times New Roman" w:cs="Times New Roman"/>
          <w:sz w:val="28"/>
          <w:szCs w:val="28"/>
          <w:lang w:val="uk-UA"/>
        </w:rPr>
        <w:t>–</w:t>
      </w:r>
      <w:r w:rsidR="00E62D7C" w:rsidRPr="007E0ED6">
        <w:rPr>
          <w:rFonts w:ascii="Times New Roman" w:hAnsi="Times New Roman" w:cs="Times New Roman"/>
          <w:sz w:val="28"/>
          <w:szCs w:val="28"/>
          <w:lang w:val="uk-UA"/>
        </w:rPr>
        <w:t xml:space="preserve"> ІІ групи; </w:t>
      </w:r>
      <w:r w:rsidR="00767DC8" w:rsidRPr="007E0ED6">
        <w:rPr>
          <w:rFonts w:ascii="Times New Roman" w:hAnsi="Times New Roman" w:cs="Times New Roman"/>
          <w:sz w:val="28"/>
          <w:szCs w:val="28"/>
          <w:lang w:val="uk-UA"/>
        </w:rPr>
        <w:t xml:space="preserve">підвищення ЗХС та зниження </w:t>
      </w:r>
      <w:r w:rsidR="00743EBB">
        <w:rPr>
          <w:rFonts w:ascii="Times New Roman" w:hAnsi="Times New Roman" w:cs="Times New Roman"/>
          <w:sz w:val="28"/>
          <w:szCs w:val="28"/>
          <w:lang w:val="uk-UA"/>
        </w:rPr>
        <w:t xml:space="preserve">ХС </w:t>
      </w:r>
      <w:r w:rsidR="00767DC8" w:rsidRPr="007E0ED6">
        <w:rPr>
          <w:rFonts w:ascii="Times New Roman" w:hAnsi="Times New Roman" w:cs="Times New Roman"/>
          <w:sz w:val="28"/>
          <w:szCs w:val="28"/>
          <w:lang w:val="uk-UA"/>
        </w:rPr>
        <w:t xml:space="preserve">ЛПВЩ – у </w:t>
      </w:r>
      <w:r w:rsidR="00A77C9C">
        <w:rPr>
          <w:rFonts w:ascii="Times New Roman" w:hAnsi="Times New Roman" w:cs="Times New Roman"/>
          <w:sz w:val="28"/>
          <w:szCs w:val="28"/>
          <w:lang w:val="uk-UA"/>
        </w:rPr>
        <w:t>4 пацієнтів</w:t>
      </w:r>
      <w:r w:rsidR="00985B6C" w:rsidRPr="00985B6C">
        <w:rPr>
          <w:rFonts w:ascii="Times New Roman" w:hAnsi="Times New Roman" w:cs="Times New Roman"/>
          <w:sz w:val="28"/>
          <w:szCs w:val="28"/>
          <w:lang w:val="uk-UA"/>
        </w:rPr>
        <w:t xml:space="preserve"> (4,17</w:t>
      </w:r>
      <w:r w:rsidR="00FD361F">
        <w:rPr>
          <w:rFonts w:ascii="Times New Roman" w:hAnsi="Times New Roman" w:cs="Times New Roman"/>
          <w:sz w:val="28"/>
          <w:szCs w:val="28"/>
          <w:lang w:val="uk-UA"/>
        </w:rPr>
        <w:t xml:space="preserve"> </w:t>
      </w:r>
      <w:r w:rsidR="00767DC8" w:rsidRPr="00985B6C">
        <w:rPr>
          <w:rFonts w:ascii="Times New Roman" w:hAnsi="Times New Roman" w:cs="Times New Roman"/>
          <w:sz w:val="28"/>
          <w:szCs w:val="28"/>
          <w:lang w:val="uk-UA"/>
        </w:rPr>
        <w:t xml:space="preserve">%) І групи </w:t>
      </w:r>
      <w:r w:rsidR="00A77C9C">
        <w:rPr>
          <w:rFonts w:ascii="Times New Roman" w:hAnsi="Times New Roman" w:cs="Times New Roman"/>
          <w:sz w:val="28"/>
          <w:szCs w:val="28"/>
          <w:lang w:val="uk-UA"/>
        </w:rPr>
        <w:t xml:space="preserve">та жодного </w:t>
      </w:r>
      <w:r w:rsidR="00F72A5E" w:rsidRPr="007E0ED6">
        <w:rPr>
          <w:rFonts w:ascii="Times New Roman" w:hAnsi="Times New Roman" w:cs="Times New Roman"/>
          <w:sz w:val="28"/>
          <w:szCs w:val="28"/>
          <w:lang w:val="uk-UA"/>
        </w:rPr>
        <w:t xml:space="preserve">– </w:t>
      </w:r>
      <w:r w:rsidR="00767DC8" w:rsidRPr="007E0ED6">
        <w:rPr>
          <w:rFonts w:ascii="Times New Roman" w:hAnsi="Times New Roman" w:cs="Times New Roman"/>
          <w:sz w:val="28"/>
          <w:szCs w:val="28"/>
          <w:lang w:val="uk-UA"/>
        </w:rPr>
        <w:t xml:space="preserve">ІІ групи; </w:t>
      </w:r>
      <w:r w:rsidR="00E62D7C" w:rsidRPr="007E0ED6">
        <w:rPr>
          <w:rFonts w:ascii="Times New Roman" w:hAnsi="Times New Roman" w:cs="Times New Roman"/>
          <w:sz w:val="28"/>
          <w:szCs w:val="28"/>
          <w:lang w:val="uk-UA"/>
        </w:rPr>
        <w:t xml:space="preserve"> </w:t>
      </w:r>
      <w:r w:rsidR="00E44262" w:rsidRPr="00985B6C">
        <w:rPr>
          <w:rFonts w:ascii="Times New Roman" w:hAnsi="Times New Roman" w:cs="Times New Roman"/>
          <w:sz w:val="28"/>
          <w:szCs w:val="28"/>
          <w:lang w:val="uk-UA"/>
        </w:rPr>
        <w:t xml:space="preserve">підвищення </w:t>
      </w:r>
      <w:r w:rsidR="00743EBB">
        <w:rPr>
          <w:rFonts w:ascii="Times New Roman" w:hAnsi="Times New Roman" w:cs="Times New Roman"/>
          <w:sz w:val="28"/>
          <w:szCs w:val="28"/>
          <w:lang w:val="uk-UA"/>
        </w:rPr>
        <w:t xml:space="preserve">ХС </w:t>
      </w:r>
      <w:r w:rsidR="00E44262" w:rsidRPr="00985B6C">
        <w:rPr>
          <w:rFonts w:ascii="Times New Roman" w:hAnsi="Times New Roman" w:cs="Times New Roman"/>
          <w:sz w:val="28"/>
          <w:szCs w:val="28"/>
          <w:lang w:val="uk-UA"/>
        </w:rPr>
        <w:t xml:space="preserve">ЛПНЩ та ТГ – у </w:t>
      </w:r>
      <w:r w:rsidR="00A77C9C">
        <w:rPr>
          <w:rFonts w:ascii="Times New Roman" w:hAnsi="Times New Roman" w:cs="Times New Roman"/>
          <w:sz w:val="28"/>
          <w:szCs w:val="28"/>
          <w:lang w:val="uk-UA"/>
        </w:rPr>
        <w:t>2 хворих</w:t>
      </w:r>
      <w:r w:rsidR="00985B6C" w:rsidRPr="00985B6C">
        <w:rPr>
          <w:rFonts w:ascii="Times New Roman" w:hAnsi="Times New Roman" w:cs="Times New Roman"/>
          <w:sz w:val="28"/>
          <w:szCs w:val="28"/>
          <w:lang w:val="uk-UA"/>
        </w:rPr>
        <w:t xml:space="preserve"> (2,08</w:t>
      </w:r>
      <w:r w:rsidR="00FD361F">
        <w:rPr>
          <w:rFonts w:ascii="Times New Roman" w:hAnsi="Times New Roman" w:cs="Times New Roman"/>
          <w:sz w:val="28"/>
          <w:szCs w:val="28"/>
          <w:lang w:val="uk-UA"/>
        </w:rPr>
        <w:t xml:space="preserve"> </w:t>
      </w:r>
      <w:r w:rsidR="00985B6C" w:rsidRPr="00985B6C">
        <w:rPr>
          <w:rFonts w:ascii="Times New Roman" w:hAnsi="Times New Roman" w:cs="Times New Roman"/>
          <w:sz w:val="28"/>
          <w:szCs w:val="28"/>
          <w:lang w:val="uk-UA"/>
        </w:rPr>
        <w:t xml:space="preserve">%) І групи та </w:t>
      </w:r>
      <w:r w:rsidR="00FD361F">
        <w:rPr>
          <w:rFonts w:ascii="Times New Roman" w:hAnsi="Times New Roman" w:cs="Times New Roman"/>
          <w:sz w:val="28"/>
          <w:szCs w:val="28"/>
          <w:lang w:val="uk-UA"/>
        </w:rPr>
        <w:t>в</w:t>
      </w:r>
      <w:r w:rsidR="00A77C9C">
        <w:rPr>
          <w:rFonts w:ascii="Times New Roman" w:hAnsi="Times New Roman" w:cs="Times New Roman"/>
          <w:sz w:val="28"/>
          <w:szCs w:val="28"/>
          <w:lang w:val="uk-UA"/>
        </w:rPr>
        <w:t xml:space="preserve"> 6</w:t>
      </w:r>
      <w:r w:rsidR="00985B6C" w:rsidRPr="00985B6C">
        <w:rPr>
          <w:rFonts w:ascii="Times New Roman" w:hAnsi="Times New Roman" w:cs="Times New Roman"/>
          <w:sz w:val="28"/>
          <w:szCs w:val="28"/>
          <w:lang w:val="uk-UA"/>
        </w:rPr>
        <w:t xml:space="preserve"> (24</w:t>
      </w:r>
      <w:r w:rsidR="00FD361F">
        <w:rPr>
          <w:rFonts w:ascii="Times New Roman" w:hAnsi="Times New Roman" w:cs="Times New Roman"/>
          <w:sz w:val="28"/>
          <w:szCs w:val="28"/>
          <w:lang w:val="uk-UA"/>
        </w:rPr>
        <w:t xml:space="preserve"> </w:t>
      </w:r>
      <w:r w:rsidR="00E44262" w:rsidRPr="00985B6C">
        <w:rPr>
          <w:rFonts w:ascii="Times New Roman" w:hAnsi="Times New Roman" w:cs="Times New Roman"/>
          <w:sz w:val="28"/>
          <w:szCs w:val="28"/>
          <w:lang w:val="uk-UA"/>
        </w:rPr>
        <w:t>%</w:t>
      </w:r>
      <w:r w:rsidR="00F72A5E" w:rsidRPr="00985B6C">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w:t>
      </w:r>
      <w:r w:rsidR="00A77C9C" w:rsidRPr="00A77C9C">
        <w:rPr>
          <w:rFonts w:ascii="Times New Roman" w:hAnsi="Times New Roman" w:cs="Times New Roman"/>
          <w:sz w:val="28"/>
          <w:szCs w:val="28"/>
          <w:lang w:val="uk-UA"/>
        </w:rPr>
        <w:t>–</w:t>
      </w:r>
      <w:r w:rsidR="00E35DAD">
        <w:rPr>
          <w:rFonts w:ascii="Times New Roman" w:hAnsi="Times New Roman" w:cs="Times New Roman"/>
          <w:sz w:val="28"/>
          <w:szCs w:val="28"/>
          <w:lang w:val="uk-UA"/>
        </w:rPr>
        <w:t xml:space="preserve"> ІІ групи. </w:t>
      </w:r>
      <w:r w:rsidR="00A77C9C">
        <w:rPr>
          <w:rFonts w:ascii="Times New Roman" w:hAnsi="Times New Roman" w:cs="Times New Roman"/>
          <w:sz w:val="28"/>
          <w:szCs w:val="28"/>
          <w:lang w:val="uk-UA"/>
        </w:rPr>
        <w:t>У обстежених</w:t>
      </w:r>
      <w:r w:rsidR="00F72A5E" w:rsidRPr="00985B6C">
        <w:rPr>
          <w:rFonts w:ascii="Times New Roman" w:hAnsi="Times New Roman" w:cs="Times New Roman"/>
          <w:sz w:val="28"/>
          <w:szCs w:val="28"/>
          <w:lang w:val="uk-UA"/>
        </w:rPr>
        <w:t xml:space="preserve"> І та ІІ груп</w:t>
      </w:r>
      <w:r w:rsidR="00E44262" w:rsidRPr="00985B6C">
        <w:rPr>
          <w:rFonts w:ascii="Times New Roman" w:hAnsi="Times New Roman" w:cs="Times New Roman"/>
          <w:sz w:val="28"/>
          <w:szCs w:val="28"/>
          <w:lang w:val="uk-UA"/>
        </w:rPr>
        <w:t xml:space="preserve"> підвищення </w:t>
      </w:r>
      <w:r w:rsidR="00743EBB">
        <w:rPr>
          <w:rFonts w:ascii="Times New Roman" w:hAnsi="Times New Roman" w:cs="Times New Roman"/>
          <w:sz w:val="28"/>
          <w:szCs w:val="28"/>
          <w:lang w:val="uk-UA"/>
        </w:rPr>
        <w:t xml:space="preserve">ХС </w:t>
      </w:r>
      <w:r w:rsidR="00E44262" w:rsidRPr="00985B6C">
        <w:rPr>
          <w:rFonts w:ascii="Times New Roman" w:hAnsi="Times New Roman" w:cs="Times New Roman"/>
          <w:sz w:val="28"/>
          <w:szCs w:val="28"/>
          <w:lang w:val="uk-UA"/>
        </w:rPr>
        <w:t xml:space="preserve">ЛПНЩ констатовано відповідно у </w:t>
      </w:r>
      <w:r w:rsidR="00A76BDA">
        <w:rPr>
          <w:rFonts w:ascii="Times New Roman" w:hAnsi="Times New Roman" w:cs="Times New Roman"/>
          <w:sz w:val="28"/>
          <w:szCs w:val="28"/>
          <w:lang w:val="uk-UA"/>
        </w:rPr>
        <w:t>8</w:t>
      </w:r>
      <w:r w:rsidR="00A76BDA" w:rsidRPr="00A76BDA">
        <w:rPr>
          <w:rFonts w:ascii="Times New Roman" w:hAnsi="Times New Roman" w:cs="Times New Roman"/>
          <w:sz w:val="28"/>
          <w:szCs w:val="28"/>
          <w:lang w:val="uk-UA"/>
        </w:rPr>
        <w:t xml:space="preserve"> (8,33</w:t>
      </w:r>
      <w:r w:rsidR="00FD361F">
        <w:rPr>
          <w:rFonts w:ascii="Times New Roman" w:hAnsi="Times New Roman" w:cs="Times New Roman"/>
          <w:sz w:val="28"/>
          <w:szCs w:val="28"/>
          <w:lang w:val="uk-UA"/>
        </w:rPr>
        <w:t xml:space="preserve"> </w:t>
      </w:r>
      <w:r w:rsidR="00A77C9C">
        <w:rPr>
          <w:rFonts w:ascii="Times New Roman" w:hAnsi="Times New Roman" w:cs="Times New Roman"/>
          <w:sz w:val="28"/>
          <w:szCs w:val="28"/>
          <w:lang w:val="uk-UA"/>
        </w:rPr>
        <w:t xml:space="preserve">%) та 6 </w:t>
      </w:r>
      <w:r w:rsidR="00A76BDA" w:rsidRPr="00A76BDA">
        <w:rPr>
          <w:rFonts w:ascii="Times New Roman" w:hAnsi="Times New Roman" w:cs="Times New Roman"/>
          <w:sz w:val="28"/>
          <w:szCs w:val="28"/>
          <w:lang w:val="uk-UA"/>
        </w:rPr>
        <w:t>(24</w:t>
      </w:r>
      <w:r w:rsidR="00FD361F">
        <w:rPr>
          <w:rFonts w:ascii="Times New Roman" w:hAnsi="Times New Roman" w:cs="Times New Roman"/>
          <w:sz w:val="28"/>
          <w:szCs w:val="28"/>
          <w:lang w:val="uk-UA"/>
        </w:rPr>
        <w:t xml:space="preserve"> </w:t>
      </w:r>
      <w:r w:rsidR="00E44262" w:rsidRPr="00A76BDA">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пацієнтів</w:t>
      </w:r>
      <w:r w:rsidR="00E44262" w:rsidRPr="00A76BDA">
        <w:rPr>
          <w:rFonts w:ascii="Times New Roman" w:hAnsi="Times New Roman" w:cs="Times New Roman"/>
          <w:sz w:val="28"/>
          <w:szCs w:val="28"/>
          <w:lang w:val="uk-UA"/>
        </w:rPr>
        <w:t xml:space="preserve">; ТГ </w:t>
      </w:r>
      <w:r w:rsidR="00A76BDA" w:rsidRPr="00A76BDA">
        <w:rPr>
          <w:rFonts w:ascii="Times New Roman" w:hAnsi="Times New Roman" w:cs="Times New Roman"/>
          <w:sz w:val="28"/>
          <w:szCs w:val="28"/>
          <w:lang w:val="uk-UA"/>
        </w:rPr>
        <w:t xml:space="preserve">– </w:t>
      </w:r>
      <w:r w:rsidR="00FD361F">
        <w:rPr>
          <w:rFonts w:ascii="Times New Roman" w:hAnsi="Times New Roman" w:cs="Times New Roman"/>
          <w:sz w:val="28"/>
          <w:szCs w:val="28"/>
          <w:lang w:val="uk-UA"/>
        </w:rPr>
        <w:t>в</w:t>
      </w:r>
      <w:r w:rsidR="00A76BDA" w:rsidRPr="00A76BDA">
        <w:rPr>
          <w:rFonts w:ascii="Times New Roman" w:hAnsi="Times New Roman" w:cs="Times New Roman"/>
          <w:sz w:val="28"/>
          <w:szCs w:val="28"/>
          <w:lang w:val="uk-UA"/>
        </w:rPr>
        <w:t xml:space="preserve"> 1 (1,04</w:t>
      </w:r>
      <w:r w:rsidR="00FD361F">
        <w:rPr>
          <w:rFonts w:ascii="Times New Roman" w:hAnsi="Times New Roman" w:cs="Times New Roman"/>
          <w:sz w:val="28"/>
          <w:szCs w:val="28"/>
          <w:lang w:val="uk-UA"/>
        </w:rPr>
        <w:t xml:space="preserve"> </w:t>
      </w:r>
      <w:r w:rsidR="00A77C9C">
        <w:rPr>
          <w:rFonts w:ascii="Times New Roman" w:hAnsi="Times New Roman" w:cs="Times New Roman"/>
          <w:sz w:val="28"/>
          <w:szCs w:val="28"/>
          <w:lang w:val="uk-UA"/>
        </w:rPr>
        <w:t>%) коморбідного хворого</w:t>
      </w:r>
      <w:r w:rsidR="00E44262" w:rsidRPr="00A76BDA">
        <w:rPr>
          <w:rFonts w:ascii="Times New Roman" w:hAnsi="Times New Roman" w:cs="Times New Roman"/>
          <w:sz w:val="28"/>
          <w:szCs w:val="28"/>
          <w:lang w:val="uk-UA"/>
        </w:rPr>
        <w:t xml:space="preserve">. Зниження </w:t>
      </w:r>
      <w:r w:rsidR="00743EBB">
        <w:rPr>
          <w:rFonts w:ascii="Times New Roman" w:hAnsi="Times New Roman" w:cs="Times New Roman"/>
          <w:sz w:val="28"/>
          <w:szCs w:val="28"/>
          <w:lang w:val="uk-UA"/>
        </w:rPr>
        <w:t xml:space="preserve">ХС </w:t>
      </w:r>
      <w:r w:rsidR="00E44262" w:rsidRPr="00A76BDA">
        <w:rPr>
          <w:rFonts w:ascii="Times New Roman" w:hAnsi="Times New Roman" w:cs="Times New Roman"/>
          <w:sz w:val="28"/>
          <w:szCs w:val="28"/>
          <w:lang w:val="uk-UA"/>
        </w:rPr>
        <w:t>ЛПВЩ від</w:t>
      </w:r>
      <w:r w:rsidR="00FD361F">
        <w:rPr>
          <w:rFonts w:ascii="Times New Roman" w:hAnsi="Times New Roman" w:cs="Times New Roman"/>
          <w:sz w:val="28"/>
          <w:szCs w:val="28"/>
          <w:lang w:val="uk-UA"/>
        </w:rPr>
        <w:t>зна</w:t>
      </w:r>
      <w:r w:rsidR="00E44262" w:rsidRPr="00A76BDA">
        <w:rPr>
          <w:rFonts w:ascii="Times New Roman" w:hAnsi="Times New Roman" w:cs="Times New Roman"/>
          <w:sz w:val="28"/>
          <w:szCs w:val="28"/>
          <w:lang w:val="uk-UA"/>
        </w:rPr>
        <w:t xml:space="preserve">чене </w:t>
      </w:r>
      <w:r w:rsidR="00A77C9C">
        <w:rPr>
          <w:rFonts w:ascii="Times New Roman" w:hAnsi="Times New Roman" w:cs="Times New Roman"/>
          <w:sz w:val="28"/>
          <w:szCs w:val="28"/>
          <w:lang w:val="uk-UA"/>
        </w:rPr>
        <w:t>у 2 пацієнтів</w:t>
      </w:r>
      <w:r w:rsidR="00A76BDA" w:rsidRPr="00A76BDA">
        <w:rPr>
          <w:rFonts w:ascii="Times New Roman" w:hAnsi="Times New Roman" w:cs="Times New Roman"/>
          <w:sz w:val="28"/>
          <w:szCs w:val="28"/>
          <w:lang w:val="uk-UA"/>
        </w:rPr>
        <w:t xml:space="preserve"> (2,08</w:t>
      </w:r>
      <w:r w:rsidR="00FD361F">
        <w:rPr>
          <w:rFonts w:ascii="Times New Roman" w:hAnsi="Times New Roman" w:cs="Times New Roman"/>
          <w:sz w:val="28"/>
          <w:szCs w:val="28"/>
          <w:lang w:val="uk-UA"/>
        </w:rPr>
        <w:t xml:space="preserve"> </w:t>
      </w:r>
      <w:r w:rsidR="00E44262" w:rsidRPr="00A76BDA">
        <w:rPr>
          <w:rFonts w:ascii="Times New Roman" w:hAnsi="Times New Roman" w:cs="Times New Roman"/>
          <w:sz w:val="28"/>
          <w:szCs w:val="28"/>
          <w:lang w:val="uk-UA"/>
        </w:rPr>
        <w:t>%) І</w:t>
      </w:r>
      <w:r w:rsidR="00A77C9C">
        <w:rPr>
          <w:rFonts w:ascii="Times New Roman" w:hAnsi="Times New Roman" w:cs="Times New Roman"/>
          <w:sz w:val="28"/>
          <w:szCs w:val="28"/>
          <w:lang w:val="uk-UA"/>
        </w:rPr>
        <w:t xml:space="preserve"> групи та</w:t>
      </w:r>
      <w:r w:rsidR="00F72A5E" w:rsidRPr="00A76BDA">
        <w:rPr>
          <w:rFonts w:ascii="Times New Roman" w:hAnsi="Times New Roman" w:cs="Times New Roman"/>
          <w:sz w:val="28"/>
          <w:szCs w:val="28"/>
          <w:lang w:val="uk-UA"/>
        </w:rPr>
        <w:t xml:space="preserve"> </w:t>
      </w:r>
      <w:r w:rsidR="00A77C9C">
        <w:rPr>
          <w:rFonts w:ascii="Times New Roman" w:hAnsi="Times New Roman" w:cs="Times New Roman"/>
          <w:sz w:val="28"/>
          <w:szCs w:val="28"/>
          <w:lang w:val="uk-UA"/>
        </w:rPr>
        <w:t>жодного</w:t>
      </w:r>
      <w:r w:rsidR="001B058B" w:rsidRPr="00A76BDA">
        <w:rPr>
          <w:rFonts w:ascii="Times New Roman" w:hAnsi="Times New Roman" w:cs="Times New Roman"/>
          <w:sz w:val="28"/>
          <w:szCs w:val="28"/>
          <w:lang w:val="uk-UA"/>
        </w:rPr>
        <w:t xml:space="preserve"> </w:t>
      </w:r>
      <w:r w:rsidR="00A77C9C" w:rsidRPr="00A77C9C">
        <w:rPr>
          <w:rFonts w:ascii="Times New Roman" w:hAnsi="Times New Roman" w:cs="Times New Roman"/>
          <w:sz w:val="28"/>
          <w:szCs w:val="28"/>
          <w:lang w:val="uk-UA"/>
        </w:rPr>
        <w:t>–</w:t>
      </w:r>
      <w:r w:rsidR="00A77C9C">
        <w:rPr>
          <w:rFonts w:ascii="Times New Roman" w:hAnsi="Times New Roman" w:cs="Times New Roman"/>
          <w:sz w:val="28"/>
          <w:szCs w:val="28"/>
          <w:lang w:val="uk-UA"/>
        </w:rPr>
        <w:t xml:space="preserve"> </w:t>
      </w:r>
      <w:r w:rsidR="001B058B" w:rsidRPr="00A76BDA">
        <w:rPr>
          <w:rFonts w:ascii="Times New Roman" w:hAnsi="Times New Roman" w:cs="Times New Roman"/>
          <w:sz w:val="28"/>
          <w:szCs w:val="28"/>
          <w:lang w:val="uk-UA"/>
        </w:rPr>
        <w:t>ІІ групи.</w:t>
      </w:r>
      <w:r w:rsidR="001B058B">
        <w:rPr>
          <w:rFonts w:ascii="Times New Roman" w:hAnsi="Times New Roman" w:cs="Times New Roman"/>
          <w:sz w:val="28"/>
          <w:szCs w:val="28"/>
          <w:lang w:val="uk-UA"/>
        </w:rPr>
        <w:t xml:space="preserve"> </w:t>
      </w:r>
    </w:p>
    <w:p w:rsidR="00794F98" w:rsidRDefault="00D12D05" w:rsidP="004D65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282FB5">
        <w:rPr>
          <w:rFonts w:ascii="Times New Roman" w:hAnsi="Times New Roman" w:cs="Times New Roman"/>
          <w:sz w:val="28"/>
          <w:szCs w:val="28"/>
          <w:lang w:val="uk-UA"/>
        </w:rPr>
        <w:t>комбінований тип д</w:t>
      </w:r>
      <w:r w:rsidR="00963191">
        <w:rPr>
          <w:rFonts w:ascii="Times New Roman" w:hAnsi="Times New Roman" w:cs="Times New Roman"/>
          <w:sz w:val="28"/>
          <w:szCs w:val="28"/>
          <w:lang w:val="uk-UA"/>
        </w:rPr>
        <w:t>исліпідемії від</w:t>
      </w:r>
      <w:r w:rsidR="00205A0E">
        <w:rPr>
          <w:rFonts w:ascii="Times New Roman" w:hAnsi="Times New Roman" w:cs="Times New Roman"/>
          <w:sz w:val="28"/>
          <w:szCs w:val="28"/>
          <w:lang w:val="uk-UA"/>
        </w:rPr>
        <w:t>значається приблизно у п’ятої частини хворих (18,75</w:t>
      </w:r>
      <w:r w:rsidR="004C2399">
        <w:rPr>
          <w:rFonts w:ascii="Times New Roman" w:hAnsi="Times New Roman" w:cs="Times New Roman"/>
          <w:sz w:val="28"/>
          <w:szCs w:val="28"/>
          <w:lang w:val="uk-UA"/>
        </w:rPr>
        <w:t xml:space="preserve"> </w:t>
      </w:r>
      <w:r w:rsidR="00282FB5">
        <w:rPr>
          <w:rFonts w:ascii="Times New Roman" w:hAnsi="Times New Roman" w:cs="Times New Roman"/>
          <w:sz w:val="28"/>
          <w:szCs w:val="28"/>
          <w:lang w:val="uk-UA"/>
        </w:rPr>
        <w:t>%</w:t>
      </w:r>
      <w:r w:rsidR="00205A0E">
        <w:rPr>
          <w:rFonts w:ascii="Times New Roman" w:hAnsi="Times New Roman" w:cs="Times New Roman"/>
          <w:sz w:val="28"/>
          <w:szCs w:val="28"/>
          <w:lang w:val="uk-UA"/>
        </w:rPr>
        <w:t>)</w:t>
      </w:r>
      <w:r w:rsidR="00743EBB">
        <w:rPr>
          <w:rFonts w:ascii="Times New Roman" w:hAnsi="Times New Roman" w:cs="Times New Roman"/>
          <w:sz w:val="28"/>
          <w:szCs w:val="28"/>
          <w:lang w:val="uk-UA"/>
        </w:rPr>
        <w:t xml:space="preserve"> на </w:t>
      </w:r>
      <w:r w:rsidR="00743EBB" w:rsidRPr="00743EBB">
        <w:rPr>
          <w:rFonts w:ascii="Times New Roman" w:hAnsi="Times New Roman" w:cs="Times New Roman"/>
          <w:sz w:val="28"/>
          <w:szCs w:val="28"/>
          <w:lang w:val="uk-UA"/>
        </w:rPr>
        <w:t>АГ та ЦД 2-го типу</w:t>
      </w:r>
      <w:r w:rsidR="00282FB5">
        <w:rPr>
          <w:rFonts w:ascii="Times New Roman" w:hAnsi="Times New Roman" w:cs="Times New Roman"/>
          <w:sz w:val="28"/>
          <w:szCs w:val="28"/>
          <w:lang w:val="uk-UA"/>
        </w:rPr>
        <w:t xml:space="preserve">, </w:t>
      </w:r>
      <w:r w:rsidR="00CE2340" w:rsidRPr="008707FF">
        <w:rPr>
          <w:rFonts w:ascii="Times New Roman" w:hAnsi="Times New Roman" w:cs="Times New Roman"/>
          <w:sz w:val="28"/>
          <w:szCs w:val="28"/>
          <w:lang w:val="uk-UA"/>
        </w:rPr>
        <w:t>що свідчить про більш</w:t>
      </w:r>
      <w:r w:rsidR="00F2036F">
        <w:rPr>
          <w:rFonts w:ascii="Times New Roman" w:hAnsi="Times New Roman" w:cs="Times New Roman"/>
          <w:sz w:val="28"/>
          <w:szCs w:val="28"/>
          <w:lang w:val="uk-UA"/>
        </w:rPr>
        <w:t xml:space="preserve">у </w:t>
      </w:r>
      <w:r w:rsidR="00743EBB">
        <w:rPr>
          <w:rFonts w:ascii="Times New Roman" w:hAnsi="Times New Roman" w:cs="Times New Roman"/>
          <w:sz w:val="28"/>
          <w:szCs w:val="28"/>
          <w:lang w:val="uk-UA"/>
        </w:rPr>
        <w:t xml:space="preserve"> </w:t>
      </w:r>
      <w:r w:rsidR="00F2036F" w:rsidRPr="00F2036F">
        <w:rPr>
          <w:rFonts w:ascii="Times New Roman" w:hAnsi="Times New Roman" w:cs="Times New Roman"/>
          <w:sz w:val="28"/>
          <w:szCs w:val="28"/>
          <w:lang w:val="uk-UA"/>
        </w:rPr>
        <w:t xml:space="preserve">проатерогенну спрямованість </w:t>
      </w:r>
      <w:r w:rsidR="00743EBB">
        <w:rPr>
          <w:rFonts w:ascii="Times New Roman" w:hAnsi="Times New Roman" w:cs="Times New Roman"/>
          <w:sz w:val="28"/>
          <w:szCs w:val="28"/>
          <w:lang w:val="uk-UA"/>
        </w:rPr>
        <w:t>порівняно з пацієнтами</w:t>
      </w:r>
      <w:r w:rsidR="004C2399">
        <w:rPr>
          <w:rFonts w:ascii="Times New Roman" w:hAnsi="Times New Roman" w:cs="Times New Roman"/>
          <w:sz w:val="28"/>
          <w:szCs w:val="28"/>
          <w:lang w:val="uk-UA"/>
        </w:rPr>
        <w:t xml:space="preserve"> </w:t>
      </w:r>
      <w:r w:rsidR="00743EBB">
        <w:rPr>
          <w:rFonts w:ascii="Times New Roman" w:hAnsi="Times New Roman" w:cs="Times New Roman"/>
          <w:sz w:val="28"/>
          <w:szCs w:val="28"/>
          <w:lang w:val="uk-UA"/>
        </w:rPr>
        <w:t>з</w:t>
      </w:r>
      <w:r w:rsidR="00CE2340" w:rsidRPr="008707FF">
        <w:rPr>
          <w:rFonts w:ascii="Times New Roman" w:hAnsi="Times New Roman" w:cs="Times New Roman"/>
          <w:sz w:val="28"/>
          <w:szCs w:val="28"/>
          <w:lang w:val="uk-UA"/>
        </w:rPr>
        <w:t xml:space="preserve"> АГ та </w:t>
      </w:r>
      <w:r w:rsidR="000076F6">
        <w:rPr>
          <w:rFonts w:ascii="Times New Roman" w:hAnsi="Times New Roman" w:cs="Times New Roman"/>
          <w:sz w:val="28"/>
          <w:szCs w:val="28"/>
          <w:lang w:val="uk-UA"/>
        </w:rPr>
        <w:t xml:space="preserve">практично здоровими </w:t>
      </w:r>
      <w:r w:rsidR="00743EBB">
        <w:rPr>
          <w:rFonts w:ascii="Times New Roman" w:hAnsi="Times New Roman" w:cs="Times New Roman"/>
          <w:sz w:val="28"/>
          <w:szCs w:val="28"/>
          <w:lang w:val="uk-UA"/>
        </w:rPr>
        <w:t xml:space="preserve">особами </w:t>
      </w:r>
      <w:r w:rsidR="009244B6">
        <w:rPr>
          <w:rFonts w:ascii="Times New Roman" w:hAnsi="Times New Roman" w:cs="Times New Roman"/>
          <w:sz w:val="28"/>
          <w:szCs w:val="28"/>
          <w:lang w:val="uk-UA"/>
        </w:rPr>
        <w:t>і</w:t>
      </w:r>
      <w:r w:rsidR="00F1667A" w:rsidRPr="00F1667A">
        <w:rPr>
          <w:rFonts w:ascii="Times New Roman" w:hAnsi="Times New Roman" w:cs="Times New Roman"/>
          <w:sz w:val="28"/>
          <w:szCs w:val="28"/>
          <w:lang w:val="uk-UA"/>
        </w:rPr>
        <w:t xml:space="preserve"> необх</w:t>
      </w:r>
      <w:r w:rsidR="00F1667A">
        <w:rPr>
          <w:rFonts w:ascii="Times New Roman" w:hAnsi="Times New Roman" w:cs="Times New Roman"/>
          <w:sz w:val="28"/>
          <w:szCs w:val="28"/>
          <w:lang w:val="uk-UA"/>
        </w:rPr>
        <w:t>ідність корекції дисліпідемії для попередже</w:t>
      </w:r>
      <w:r w:rsidR="001B058B">
        <w:rPr>
          <w:rFonts w:ascii="Times New Roman" w:hAnsi="Times New Roman" w:cs="Times New Roman"/>
          <w:sz w:val="28"/>
          <w:szCs w:val="28"/>
          <w:lang w:val="uk-UA"/>
        </w:rPr>
        <w:t>ння ризику виникнення нових ССУ</w:t>
      </w:r>
      <w:r w:rsidR="001B058B" w:rsidRPr="009425C6">
        <w:rPr>
          <w:rFonts w:ascii="Times New Roman" w:hAnsi="Times New Roman" w:cs="Times New Roman"/>
          <w:sz w:val="28"/>
          <w:szCs w:val="28"/>
          <w:lang w:val="uk-UA"/>
        </w:rPr>
        <w:t xml:space="preserve">. </w:t>
      </w:r>
    </w:p>
    <w:p w:rsidR="009374FB" w:rsidRDefault="007D41F3" w:rsidP="004D651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w:t>
      </w:r>
      <w:r w:rsidR="000076F6" w:rsidRPr="009425C6">
        <w:rPr>
          <w:rFonts w:ascii="Times New Roman" w:hAnsi="Times New Roman" w:cs="Times New Roman"/>
          <w:sz w:val="28"/>
          <w:szCs w:val="28"/>
          <w:lang w:val="uk-UA"/>
        </w:rPr>
        <w:t>іпідна тріада, яка</w:t>
      </w:r>
      <w:r w:rsidR="009244B6" w:rsidRPr="009425C6">
        <w:rPr>
          <w:rFonts w:ascii="Times New Roman" w:hAnsi="Times New Roman" w:cs="Times New Roman"/>
          <w:sz w:val="28"/>
          <w:szCs w:val="28"/>
          <w:lang w:val="uk-UA"/>
        </w:rPr>
        <w:t xml:space="preserve"> включає збільшення концентрації ТГ, зниження ХС ЛПВЩ та переважання у крові дрібних щільних частин</w:t>
      </w:r>
      <w:r w:rsidR="004C2399" w:rsidRPr="009425C6">
        <w:rPr>
          <w:rFonts w:ascii="Times New Roman" w:hAnsi="Times New Roman" w:cs="Times New Roman"/>
          <w:sz w:val="28"/>
          <w:szCs w:val="28"/>
          <w:lang w:val="uk-UA"/>
        </w:rPr>
        <w:t>ок</w:t>
      </w:r>
      <w:r w:rsidR="009244B6" w:rsidRPr="009425C6">
        <w:rPr>
          <w:rFonts w:ascii="Times New Roman" w:hAnsi="Times New Roman" w:cs="Times New Roman"/>
          <w:sz w:val="28"/>
          <w:szCs w:val="28"/>
          <w:lang w:val="uk-UA"/>
        </w:rPr>
        <w:t xml:space="preserve"> </w:t>
      </w:r>
      <w:r w:rsidR="00A77C9C">
        <w:rPr>
          <w:rFonts w:ascii="Times New Roman" w:hAnsi="Times New Roman" w:cs="Times New Roman"/>
          <w:sz w:val="28"/>
          <w:szCs w:val="28"/>
          <w:lang w:val="uk-UA"/>
        </w:rPr>
        <w:t xml:space="preserve">ХС </w:t>
      </w:r>
      <w:r w:rsidR="009244B6" w:rsidRPr="009425C6">
        <w:rPr>
          <w:rFonts w:ascii="Times New Roman" w:hAnsi="Times New Roman" w:cs="Times New Roman"/>
          <w:sz w:val="28"/>
          <w:szCs w:val="28"/>
          <w:lang w:val="uk-UA"/>
        </w:rPr>
        <w:t>ЛПНЩ</w:t>
      </w:r>
      <w:r>
        <w:rPr>
          <w:rFonts w:ascii="Times New Roman" w:hAnsi="Times New Roman" w:cs="Times New Roman"/>
          <w:sz w:val="28"/>
          <w:szCs w:val="28"/>
          <w:lang w:val="uk-UA"/>
        </w:rPr>
        <w:t xml:space="preserve">, є </w:t>
      </w:r>
      <w:r w:rsidRPr="007D41F3">
        <w:rPr>
          <w:rFonts w:ascii="Times New Roman" w:hAnsi="Times New Roman" w:cs="Times New Roman"/>
          <w:sz w:val="28"/>
          <w:szCs w:val="28"/>
          <w:lang w:val="uk-UA"/>
        </w:rPr>
        <w:t>характерною</w:t>
      </w:r>
      <w:r>
        <w:rPr>
          <w:rFonts w:ascii="Times New Roman" w:hAnsi="Times New Roman" w:cs="Times New Roman"/>
          <w:sz w:val="28"/>
          <w:szCs w:val="28"/>
          <w:lang w:val="uk-UA"/>
        </w:rPr>
        <w:t xml:space="preserve"> </w:t>
      </w:r>
      <w:r w:rsidRPr="007D41F3">
        <w:rPr>
          <w:rFonts w:ascii="Times New Roman" w:hAnsi="Times New Roman" w:cs="Times New Roman"/>
          <w:sz w:val="28"/>
          <w:szCs w:val="28"/>
          <w:lang w:val="uk-UA"/>
        </w:rPr>
        <w:t>для пацієнтів із ЦД 2-го типу</w:t>
      </w:r>
      <w:r w:rsidR="009244B6" w:rsidRPr="009425C6">
        <w:rPr>
          <w:rFonts w:ascii="Times New Roman" w:hAnsi="Times New Roman" w:cs="Times New Roman"/>
          <w:sz w:val="28"/>
          <w:szCs w:val="28"/>
          <w:lang w:val="uk-UA"/>
        </w:rPr>
        <w:t xml:space="preserve"> [</w:t>
      </w:r>
      <w:r w:rsidR="00B219AF" w:rsidRPr="004B16DA">
        <w:rPr>
          <w:rFonts w:ascii="Times New Roman" w:hAnsi="Times New Roman" w:cs="Times New Roman"/>
          <w:sz w:val="28"/>
          <w:szCs w:val="28"/>
          <w:lang w:val="uk-UA"/>
        </w:rPr>
        <w:t>10</w:t>
      </w:r>
      <w:r w:rsidR="009244B6" w:rsidRPr="009425C6">
        <w:rPr>
          <w:rFonts w:ascii="Times New Roman" w:hAnsi="Times New Roman" w:cs="Times New Roman"/>
          <w:sz w:val="28"/>
          <w:szCs w:val="28"/>
          <w:lang w:val="uk-UA"/>
        </w:rPr>
        <w:t xml:space="preserve">]. </w:t>
      </w:r>
      <w:r w:rsidR="000076F6" w:rsidRPr="00FB1FF8">
        <w:rPr>
          <w:rFonts w:ascii="Times New Roman" w:hAnsi="Times New Roman" w:cs="Times New Roman"/>
          <w:sz w:val="28"/>
          <w:szCs w:val="28"/>
          <w:lang w:val="uk-UA"/>
        </w:rPr>
        <w:t xml:space="preserve">Але, відповідно </w:t>
      </w:r>
      <w:r w:rsidR="00BF1E21">
        <w:rPr>
          <w:rFonts w:ascii="Times New Roman" w:hAnsi="Times New Roman" w:cs="Times New Roman"/>
          <w:sz w:val="28"/>
          <w:szCs w:val="28"/>
          <w:lang w:val="uk-UA"/>
        </w:rPr>
        <w:t xml:space="preserve">                    </w:t>
      </w:r>
      <w:r w:rsidR="000076F6" w:rsidRPr="00FB1FF8">
        <w:rPr>
          <w:rFonts w:ascii="Times New Roman" w:hAnsi="Times New Roman" w:cs="Times New Roman"/>
          <w:sz w:val="28"/>
          <w:szCs w:val="28"/>
          <w:lang w:val="uk-UA"/>
        </w:rPr>
        <w:t xml:space="preserve">до результатів нашого дослідження, саме комбінований тип дисліпідемії, </w:t>
      </w:r>
      <w:r w:rsidR="006E7C9F">
        <w:rPr>
          <w:rFonts w:ascii="Times New Roman" w:hAnsi="Times New Roman" w:cs="Times New Roman"/>
          <w:sz w:val="28"/>
          <w:szCs w:val="28"/>
          <w:lang w:val="uk-UA"/>
        </w:rPr>
        <w:t>складовою якого є гіперхолестеринемія</w:t>
      </w:r>
      <w:r w:rsidR="000076F6" w:rsidRPr="00FB1FF8">
        <w:rPr>
          <w:rFonts w:ascii="Times New Roman" w:hAnsi="Times New Roman" w:cs="Times New Roman"/>
          <w:sz w:val="28"/>
          <w:szCs w:val="28"/>
          <w:lang w:val="uk-UA"/>
        </w:rPr>
        <w:t xml:space="preserve">, </w:t>
      </w:r>
      <w:r w:rsidR="00933C1B" w:rsidRPr="00FB1FF8">
        <w:rPr>
          <w:rFonts w:ascii="Times New Roman" w:hAnsi="Times New Roman" w:cs="Times New Roman"/>
          <w:sz w:val="28"/>
          <w:szCs w:val="28"/>
          <w:lang w:val="uk-UA"/>
        </w:rPr>
        <w:t xml:space="preserve">констатовано частіше, ніж зазначену ліпідну тріаду. Це можна пояснити наявністю супутньої АГ </w:t>
      </w:r>
      <w:r w:rsidR="00A77C9C">
        <w:rPr>
          <w:rFonts w:ascii="Times New Roman" w:hAnsi="Times New Roman" w:cs="Times New Roman"/>
          <w:sz w:val="28"/>
          <w:szCs w:val="28"/>
          <w:lang w:val="uk-UA"/>
        </w:rPr>
        <w:t xml:space="preserve">у хворих </w:t>
      </w:r>
      <w:r w:rsidR="00BF1E21">
        <w:rPr>
          <w:rFonts w:ascii="Times New Roman" w:hAnsi="Times New Roman" w:cs="Times New Roman"/>
          <w:sz w:val="28"/>
          <w:szCs w:val="28"/>
          <w:lang w:val="uk-UA"/>
        </w:rPr>
        <w:t xml:space="preserve">            на </w:t>
      </w:r>
      <w:r w:rsidR="00933C1B" w:rsidRPr="00FB1FF8">
        <w:rPr>
          <w:rFonts w:ascii="Times New Roman" w:hAnsi="Times New Roman" w:cs="Times New Roman"/>
          <w:sz w:val="28"/>
          <w:szCs w:val="28"/>
          <w:lang w:val="uk-UA"/>
        </w:rPr>
        <w:t xml:space="preserve">ЦД 2-го типу, більш глибокими порушеннями ліпідного </w:t>
      </w:r>
      <w:r w:rsidR="009425C6" w:rsidRPr="00FB1FF8">
        <w:rPr>
          <w:rFonts w:ascii="Times New Roman" w:hAnsi="Times New Roman" w:cs="Times New Roman"/>
          <w:sz w:val="28"/>
          <w:szCs w:val="28"/>
          <w:lang w:val="uk-UA"/>
        </w:rPr>
        <w:t xml:space="preserve">обміну </w:t>
      </w:r>
      <w:r w:rsidR="00BF1E21">
        <w:rPr>
          <w:rFonts w:ascii="Times New Roman" w:hAnsi="Times New Roman" w:cs="Times New Roman"/>
          <w:sz w:val="28"/>
          <w:szCs w:val="28"/>
          <w:lang w:val="uk-UA"/>
        </w:rPr>
        <w:t xml:space="preserve">                 </w:t>
      </w:r>
      <w:r w:rsidR="009425C6" w:rsidRPr="00FB1FF8">
        <w:rPr>
          <w:rFonts w:ascii="Times New Roman" w:hAnsi="Times New Roman" w:cs="Times New Roman"/>
          <w:sz w:val="28"/>
          <w:szCs w:val="28"/>
          <w:lang w:val="uk-UA"/>
        </w:rPr>
        <w:t>за наявності коморбідної патології.</w:t>
      </w:r>
      <w:r w:rsidR="000B6E05" w:rsidRPr="00FB1FF8">
        <w:rPr>
          <w:rFonts w:ascii="Times New Roman" w:hAnsi="Times New Roman" w:cs="Times New Roman"/>
          <w:sz w:val="28"/>
          <w:szCs w:val="28"/>
          <w:lang w:val="uk-UA"/>
        </w:rPr>
        <w:t xml:space="preserve"> </w:t>
      </w:r>
      <w:r w:rsidR="009425C6" w:rsidRPr="00FB1FF8">
        <w:rPr>
          <w:rFonts w:ascii="Times New Roman" w:hAnsi="Times New Roman" w:cs="Times New Roman"/>
          <w:sz w:val="28"/>
          <w:szCs w:val="28"/>
          <w:lang w:val="uk-UA"/>
        </w:rPr>
        <w:t xml:space="preserve">А зниження </w:t>
      </w:r>
      <w:r w:rsidR="001F65D7">
        <w:rPr>
          <w:rFonts w:ascii="Times New Roman" w:hAnsi="Times New Roman" w:cs="Times New Roman"/>
          <w:sz w:val="28"/>
          <w:szCs w:val="28"/>
          <w:lang w:val="uk-UA"/>
        </w:rPr>
        <w:t>ХС</w:t>
      </w:r>
      <w:r w:rsidR="009425C6" w:rsidRPr="00FB1FF8">
        <w:rPr>
          <w:rFonts w:ascii="Times New Roman" w:hAnsi="Times New Roman" w:cs="Times New Roman"/>
          <w:sz w:val="28"/>
          <w:szCs w:val="28"/>
          <w:lang w:val="uk-UA"/>
        </w:rPr>
        <w:t xml:space="preserve"> ЛПВЩ та підвищення ТГ були наявними</w:t>
      </w:r>
      <w:r w:rsidR="000B6E05" w:rsidRPr="00FB1FF8">
        <w:rPr>
          <w:rFonts w:ascii="Times New Roman" w:hAnsi="Times New Roman" w:cs="Times New Roman"/>
          <w:sz w:val="28"/>
          <w:szCs w:val="28"/>
          <w:lang w:val="uk-UA"/>
        </w:rPr>
        <w:t xml:space="preserve"> лише у 9,38 %</w:t>
      </w:r>
      <w:r w:rsidR="001F65D7">
        <w:rPr>
          <w:rFonts w:ascii="Times New Roman" w:hAnsi="Times New Roman" w:cs="Times New Roman"/>
          <w:sz w:val="28"/>
          <w:szCs w:val="28"/>
          <w:lang w:val="uk-UA"/>
        </w:rPr>
        <w:t xml:space="preserve"> пацієнтів</w:t>
      </w:r>
      <w:r w:rsidR="009425C6" w:rsidRPr="00FB1FF8">
        <w:rPr>
          <w:rFonts w:ascii="Times New Roman" w:hAnsi="Times New Roman" w:cs="Times New Roman"/>
          <w:sz w:val="28"/>
          <w:szCs w:val="28"/>
          <w:lang w:val="uk-UA"/>
        </w:rPr>
        <w:t xml:space="preserve"> І групи.</w:t>
      </w:r>
      <w:r w:rsidR="009425C6">
        <w:rPr>
          <w:rFonts w:ascii="Times New Roman" w:hAnsi="Times New Roman" w:cs="Times New Roman"/>
          <w:sz w:val="28"/>
          <w:szCs w:val="28"/>
          <w:lang w:val="uk-UA"/>
        </w:rPr>
        <w:t xml:space="preserve"> </w:t>
      </w:r>
    </w:p>
    <w:p w:rsidR="00167C39" w:rsidRPr="005F440F" w:rsidRDefault="00205A0E" w:rsidP="004D65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Ні комбінований тип дисліпідемії, ні одночасне знижен</w:t>
      </w:r>
      <w:r w:rsidR="004C2399">
        <w:rPr>
          <w:rFonts w:ascii="Times New Roman" w:hAnsi="Times New Roman" w:cs="Times New Roman"/>
          <w:sz w:val="28"/>
          <w:szCs w:val="28"/>
          <w:lang w:val="uk-UA"/>
        </w:rPr>
        <w:t xml:space="preserve">ня </w:t>
      </w:r>
      <w:r w:rsidR="009F1891">
        <w:rPr>
          <w:rFonts w:ascii="Times New Roman" w:hAnsi="Times New Roman" w:cs="Times New Roman"/>
          <w:sz w:val="28"/>
          <w:szCs w:val="28"/>
          <w:lang w:val="uk-UA"/>
        </w:rPr>
        <w:t xml:space="preserve">ХС </w:t>
      </w:r>
      <w:r w:rsidR="004C2399">
        <w:rPr>
          <w:rFonts w:ascii="Times New Roman" w:hAnsi="Times New Roman" w:cs="Times New Roman"/>
          <w:sz w:val="28"/>
          <w:szCs w:val="28"/>
          <w:lang w:val="uk-UA"/>
        </w:rPr>
        <w:t>ЛПВЩ та підвищенн</w:t>
      </w:r>
      <w:r w:rsidR="009F1891">
        <w:rPr>
          <w:rFonts w:ascii="Times New Roman" w:hAnsi="Times New Roman" w:cs="Times New Roman"/>
          <w:sz w:val="28"/>
          <w:szCs w:val="28"/>
          <w:lang w:val="uk-UA"/>
        </w:rPr>
        <w:t xml:space="preserve">я ТГ не були констатовані у хворих на </w:t>
      </w:r>
      <w:r>
        <w:rPr>
          <w:rFonts w:ascii="Times New Roman" w:hAnsi="Times New Roman" w:cs="Times New Roman"/>
          <w:sz w:val="28"/>
          <w:szCs w:val="28"/>
          <w:lang w:val="uk-UA"/>
        </w:rPr>
        <w:t>АГ.</w:t>
      </w:r>
      <w:r w:rsidR="009244B6">
        <w:rPr>
          <w:rFonts w:ascii="Times New Roman" w:hAnsi="Times New Roman" w:cs="Times New Roman"/>
          <w:sz w:val="28"/>
          <w:szCs w:val="28"/>
          <w:lang w:val="uk-UA"/>
        </w:rPr>
        <w:t xml:space="preserve"> </w:t>
      </w:r>
      <w:r w:rsidR="009244B6" w:rsidRPr="00145F54">
        <w:rPr>
          <w:rFonts w:ascii="Times New Roman" w:hAnsi="Times New Roman" w:cs="Times New Roman"/>
          <w:sz w:val="28"/>
          <w:szCs w:val="28"/>
          <w:lang w:val="uk-UA"/>
        </w:rPr>
        <w:t xml:space="preserve">Проте </w:t>
      </w:r>
      <w:r w:rsidR="00145F54" w:rsidRPr="00145F54">
        <w:rPr>
          <w:rFonts w:ascii="Times New Roman" w:hAnsi="Times New Roman" w:cs="Times New Roman"/>
          <w:sz w:val="28"/>
          <w:szCs w:val="28"/>
          <w:lang w:val="uk-UA"/>
        </w:rPr>
        <w:t>у 2</w:t>
      </w:r>
      <w:r w:rsidR="00BF3FF0" w:rsidRPr="00145F54">
        <w:rPr>
          <w:rFonts w:ascii="Times New Roman" w:hAnsi="Times New Roman" w:cs="Times New Roman"/>
          <w:sz w:val="28"/>
          <w:szCs w:val="28"/>
          <w:lang w:val="uk-UA"/>
        </w:rPr>
        <w:t>,03</w:t>
      </w:r>
      <w:r w:rsidR="00145F54" w:rsidRPr="00145F54">
        <w:rPr>
          <w:rFonts w:ascii="Times New Roman" w:hAnsi="Times New Roman" w:cs="Times New Roman"/>
          <w:sz w:val="28"/>
          <w:szCs w:val="28"/>
          <w:lang w:val="uk-UA"/>
        </w:rPr>
        <w:t>8</w:t>
      </w:r>
      <w:r w:rsidR="00716848" w:rsidRPr="00145F54">
        <w:rPr>
          <w:rFonts w:ascii="Times New Roman" w:hAnsi="Times New Roman" w:cs="Times New Roman"/>
          <w:sz w:val="28"/>
          <w:szCs w:val="28"/>
          <w:lang w:val="uk-UA"/>
        </w:rPr>
        <w:t xml:space="preserve"> </w:t>
      </w:r>
      <w:r w:rsidR="00BF3FF0" w:rsidRPr="00145F54">
        <w:rPr>
          <w:rFonts w:ascii="Times New Roman" w:hAnsi="Times New Roman" w:cs="Times New Roman"/>
          <w:sz w:val="28"/>
          <w:szCs w:val="28"/>
          <w:lang w:val="uk-UA"/>
        </w:rPr>
        <w:t>% пацієнтів І групи одночасно</w:t>
      </w:r>
      <w:r w:rsidR="009244B6" w:rsidRPr="00145F54">
        <w:rPr>
          <w:rFonts w:ascii="Times New Roman" w:hAnsi="Times New Roman" w:cs="Times New Roman"/>
          <w:sz w:val="28"/>
          <w:szCs w:val="28"/>
          <w:lang w:val="uk-UA"/>
        </w:rPr>
        <w:t xml:space="preserve"> з підвищенням ТГ та зниженням </w:t>
      </w:r>
      <w:r w:rsidR="009F1891">
        <w:rPr>
          <w:rFonts w:ascii="Times New Roman" w:hAnsi="Times New Roman" w:cs="Times New Roman"/>
          <w:sz w:val="28"/>
          <w:szCs w:val="28"/>
          <w:lang w:val="uk-UA"/>
        </w:rPr>
        <w:t xml:space="preserve">ХС </w:t>
      </w:r>
      <w:r w:rsidR="009244B6" w:rsidRPr="00145F54">
        <w:rPr>
          <w:rFonts w:ascii="Times New Roman" w:hAnsi="Times New Roman" w:cs="Times New Roman"/>
          <w:sz w:val="28"/>
          <w:szCs w:val="28"/>
          <w:lang w:val="uk-UA"/>
        </w:rPr>
        <w:t xml:space="preserve">ЛПВЩ </w:t>
      </w:r>
      <w:r w:rsidR="001602AB">
        <w:rPr>
          <w:rFonts w:ascii="Times New Roman" w:hAnsi="Times New Roman" w:cs="Times New Roman"/>
          <w:sz w:val="28"/>
          <w:szCs w:val="28"/>
          <w:lang w:val="uk-UA"/>
        </w:rPr>
        <w:t xml:space="preserve">виявлене </w:t>
      </w:r>
      <w:r w:rsidR="004C2399">
        <w:rPr>
          <w:rFonts w:ascii="Times New Roman" w:hAnsi="Times New Roman" w:cs="Times New Roman"/>
          <w:sz w:val="28"/>
          <w:szCs w:val="28"/>
          <w:lang w:val="uk-UA"/>
        </w:rPr>
        <w:t>й</w:t>
      </w:r>
      <w:r w:rsidR="009244B6" w:rsidRPr="00145F54">
        <w:rPr>
          <w:rFonts w:ascii="Times New Roman" w:hAnsi="Times New Roman" w:cs="Times New Roman"/>
          <w:sz w:val="28"/>
          <w:szCs w:val="28"/>
          <w:lang w:val="uk-UA"/>
        </w:rPr>
        <w:t xml:space="preserve"> </w:t>
      </w:r>
      <w:r w:rsidR="001602AB">
        <w:rPr>
          <w:rFonts w:ascii="Times New Roman" w:hAnsi="Times New Roman" w:cs="Times New Roman"/>
          <w:sz w:val="28"/>
          <w:szCs w:val="28"/>
          <w:lang w:val="uk-UA"/>
        </w:rPr>
        <w:t xml:space="preserve">збільшення </w:t>
      </w:r>
      <w:r w:rsidR="009F1891">
        <w:rPr>
          <w:rFonts w:ascii="Times New Roman" w:hAnsi="Times New Roman" w:cs="Times New Roman"/>
          <w:sz w:val="28"/>
          <w:szCs w:val="28"/>
          <w:lang w:val="uk-UA"/>
        </w:rPr>
        <w:t xml:space="preserve">ХС </w:t>
      </w:r>
      <w:r w:rsidR="009244B6" w:rsidRPr="00145F54">
        <w:rPr>
          <w:rFonts w:ascii="Times New Roman" w:hAnsi="Times New Roman" w:cs="Times New Roman"/>
          <w:sz w:val="28"/>
          <w:szCs w:val="28"/>
          <w:lang w:val="uk-UA"/>
        </w:rPr>
        <w:t>ЛПНЩ. Це може бути пояснене ная</w:t>
      </w:r>
      <w:r w:rsidR="004C2399">
        <w:rPr>
          <w:rFonts w:ascii="Times New Roman" w:hAnsi="Times New Roman" w:cs="Times New Roman"/>
          <w:sz w:val="28"/>
          <w:szCs w:val="28"/>
          <w:lang w:val="uk-UA"/>
        </w:rPr>
        <w:t>в</w:t>
      </w:r>
      <w:r w:rsidR="009244B6" w:rsidRPr="00145F54">
        <w:rPr>
          <w:rFonts w:ascii="Times New Roman" w:hAnsi="Times New Roman" w:cs="Times New Roman"/>
          <w:sz w:val="28"/>
          <w:szCs w:val="28"/>
          <w:lang w:val="uk-UA"/>
        </w:rPr>
        <w:t>ністю супутньої АГ, для якої характерний саме цей атерогенний варіант дисліпідемії.</w:t>
      </w:r>
      <w:r w:rsidR="00C677BA" w:rsidRPr="00145F54">
        <w:rPr>
          <w:rFonts w:ascii="Times New Roman" w:hAnsi="Times New Roman" w:cs="Times New Roman"/>
          <w:sz w:val="28"/>
          <w:szCs w:val="28"/>
          <w:lang w:val="uk-UA"/>
        </w:rPr>
        <w:t xml:space="preserve"> Зазначений варіант дис</w:t>
      </w:r>
      <w:r w:rsidR="00145F54" w:rsidRPr="00145F54">
        <w:rPr>
          <w:rFonts w:ascii="Times New Roman" w:hAnsi="Times New Roman" w:cs="Times New Roman"/>
          <w:sz w:val="28"/>
          <w:szCs w:val="28"/>
          <w:lang w:val="uk-UA"/>
        </w:rPr>
        <w:t xml:space="preserve">ліпідемії </w:t>
      </w:r>
      <w:r w:rsidR="004C2399">
        <w:rPr>
          <w:rFonts w:ascii="Times New Roman" w:hAnsi="Times New Roman" w:cs="Times New Roman"/>
          <w:sz w:val="28"/>
          <w:szCs w:val="28"/>
          <w:lang w:val="uk-UA"/>
        </w:rPr>
        <w:t>спостеріг</w:t>
      </w:r>
      <w:r w:rsidR="00145F54" w:rsidRPr="00145F54">
        <w:rPr>
          <w:rFonts w:ascii="Times New Roman" w:hAnsi="Times New Roman" w:cs="Times New Roman"/>
          <w:sz w:val="28"/>
          <w:szCs w:val="28"/>
          <w:lang w:val="uk-UA"/>
        </w:rPr>
        <w:t>ається і у 4</w:t>
      </w:r>
      <w:r w:rsidR="00716848" w:rsidRPr="00145F54">
        <w:rPr>
          <w:rFonts w:ascii="Times New Roman" w:hAnsi="Times New Roman" w:cs="Times New Roman"/>
          <w:sz w:val="28"/>
          <w:szCs w:val="28"/>
          <w:lang w:val="uk-UA"/>
        </w:rPr>
        <w:t xml:space="preserve"> </w:t>
      </w:r>
      <w:r w:rsidR="00C677BA" w:rsidRPr="00145F54">
        <w:rPr>
          <w:rFonts w:ascii="Times New Roman" w:hAnsi="Times New Roman" w:cs="Times New Roman"/>
          <w:sz w:val="28"/>
          <w:szCs w:val="28"/>
          <w:lang w:val="uk-UA"/>
        </w:rPr>
        <w:t xml:space="preserve">% пацієнтів ІІ групи. </w:t>
      </w:r>
      <w:r w:rsidR="009F1891">
        <w:rPr>
          <w:rFonts w:ascii="Times New Roman" w:hAnsi="Times New Roman" w:cs="Times New Roman"/>
          <w:sz w:val="28"/>
          <w:szCs w:val="28"/>
          <w:lang w:val="uk-UA"/>
        </w:rPr>
        <w:t>Майже четверта частина хворих</w:t>
      </w:r>
      <w:r w:rsidR="00145F54" w:rsidRPr="00145F54">
        <w:rPr>
          <w:rFonts w:ascii="Times New Roman" w:hAnsi="Times New Roman" w:cs="Times New Roman"/>
          <w:sz w:val="28"/>
          <w:szCs w:val="28"/>
          <w:lang w:val="uk-UA"/>
        </w:rPr>
        <w:t xml:space="preserve"> (24</w:t>
      </w:r>
      <w:r w:rsidR="004C2399">
        <w:rPr>
          <w:rFonts w:ascii="Times New Roman" w:hAnsi="Times New Roman" w:cs="Times New Roman"/>
          <w:sz w:val="28"/>
          <w:szCs w:val="28"/>
          <w:lang w:val="uk-UA"/>
        </w:rPr>
        <w:t xml:space="preserve"> </w:t>
      </w:r>
      <w:r w:rsidR="00145F54" w:rsidRPr="00145F54">
        <w:rPr>
          <w:rFonts w:ascii="Times New Roman" w:hAnsi="Times New Roman" w:cs="Times New Roman"/>
          <w:sz w:val="28"/>
          <w:szCs w:val="28"/>
          <w:lang w:val="uk-UA"/>
        </w:rPr>
        <w:t xml:space="preserve">%) </w:t>
      </w:r>
      <w:r w:rsidR="004C2399">
        <w:rPr>
          <w:rFonts w:ascii="Times New Roman" w:hAnsi="Times New Roman" w:cs="Times New Roman"/>
          <w:sz w:val="28"/>
          <w:szCs w:val="28"/>
          <w:lang w:val="uk-UA"/>
        </w:rPr>
        <w:t>І та ІІ груп</w:t>
      </w:r>
      <w:r w:rsidR="00145F54" w:rsidRPr="00145F54">
        <w:rPr>
          <w:rFonts w:ascii="Times New Roman" w:hAnsi="Times New Roman" w:cs="Times New Roman"/>
          <w:sz w:val="28"/>
          <w:szCs w:val="28"/>
          <w:lang w:val="uk-UA"/>
        </w:rPr>
        <w:t xml:space="preserve"> </w:t>
      </w:r>
      <w:r w:rsidR="00202918">
        <w:rPr>
          <w:rFonts w:ascii="Times New Roman" w:hAnsi="Times New Roman" w:cs="Times New Roman"/>
          <w:sz w:val="28"/>
          <w:szCs w:val="28"/>
          <w:lang w:val="uk-UA"/>
        </w:rPr>
        <w:t xml:space="preserve">мають підвищений вміст </w:t>
      </w:r>
      <w:r w:rsidR="005E21DD" w:rsidRPr="00145F54">
        <w:rPr>
          <w:rFonts w:ascii="Times New Roman" w:hAnsi="Times New Roman" w:cs="Times New Roman"/>
          <w:sz w:val="28"/>
          <w:szCs w:val="28"/>
          <w:lang w:val="uk-UA"/>
        </w:rPr>
        <w:t xml:space="preserve">ТГ, </w:t>
      </w:r>
      <w:r w:rsidR="009F1891">
        <w:rPr>
          <w:rFonts w:ascii="Times New Roman" w:hAnsi="Times New Roman" w:cs="Times New Roman"/>
          <w:sz w:val="28"/>
          <w:szCs w:val="28"/>
          <w:lang w:val="uk-UA"/>
        </w:rPr>
        <w:t xml:space="preserve">ХС </w:t>
      </w:r>
      <w:r w:rsidR="005E21DD" w:rsidRPr="00145F54">
        <w:rPr>
          <w:rFonts w:ascii="Times New Roman" w:hAnsi="Times New Roman" w:cs="Times New Roman"/>
          <w:sz w:val="28"/>
          <w:szCs w:val="28"/>
          <w:lang w:val="uk-UA"/>
        </w:rPr>
        <w:t xml:space="preserve">ЛПНЩ, ЗХС </w:t>
      </w:r>
      <w:r w:rsidR="004C2399">
        <w:rPr>
          <w:rFonts w:ascii="Times New Roman" w:hAnsi="Times New Roman" w:cs="Times New Roman"/>
          <w:sz w:val="28"/>
          <w:szCs w:val="28"/>
          <w:lang w:val="uk-UA"/>
        </w:rPr>
        <w:t>за нормальних значень</w:t>
      </w:r>
      <w:r w:rsidR="005E21DD" w:rsidRPr="00145F54">
        <w:rPr>
          <w:rFonts w:ascii="Times New Roman" w:hAnsi="Times New Roman" w:cs="Times New Roman"/>
          <w:sz w:val="28"/>
          <w:szCs w:val="28"/>
          <w:lang w:val="uk-UA"/>
        </w:rPr>
        <w:t xml:space="preserve"> антиатерогенних ліпопротеїдів. </w:t>
      </w:r>
      <w:r w:rsidR="009F1891">
        <w:rPr>
          <w:rFonts w:ascii="Times New Roman" w:hAnsi="Times New Roman" w:cs="Times New Roman"/>
          <w:sz w:val="28"/>
          <w:szCs w:val="28"/>
          <w:lang w:val="uk-UA"/>
        </w:rPr>
        <w:t>Майже четверта частина хворих на</w:t>
      </w:r>
      <w:r w:rsidR="005E21DD" w:rsidRPr="00145F54">
        <w:rPr>
          <w:rFonts w:ascii="Times New Roman" w:hAnsi="Times New Roman" w:cs="Times New Roman"/>
          <w:sz w:val="28"/>
          <w:szCs w:val="28"/>
          <w:lang w:val="uk-UA"/>
        </w:rPr>
        <w:t xml:space="preserve"> АГ</w:t>
      </w:r>
      <w:r w:rsidR="00145F54">
        <w:rPr>
          <w:rFonts w:ascii="Times New Roman" w:hAnsi="Times New Roman" w:cs="Times New Roman"/>
          <w:sz w:val="28"/>
          <w:szCs w:val="28"/>
          <w:lang w:val="uk-UA"/>
        </w:rPr>
        <w:t xml:space="preserve"> (24</w:t>
      </w:r>
      <w:r w:rsidR="004C2399">
        <w:rPr>
          <w:rFonts w:ascii="Times New Roman" w:hAnsi="Times New Roman" w:cs="Times New Roman"/>
          <w:sz w:val="28"/>
          <w:szCs w:val="28"/>
          <w:lang w:val="uk-UA"/>
        </w:rPr>
        <w:t xml:space="preserve"> </w:t>
      </w:r>
      <w:r w:rsidR="00145F54">
        <w:rPr>
          <w:rFonts w:ascii="Times New Roman" w:hAnsi="Times New Roman" w:cs="Times New Roman"/>
          <w:sz w:val="28"/>
          <w:szCs w:val="28"/>
          <w:lang w:val="uk-UA"/>
        </w:rPr>
        <w:t>%)</w:t>
      </w:r>
      <w:r w:rsidR="005E21DD" w:rsidRPr="00145F54">
        <w:rPr>
          <w:rFonts w:ascii="Times New Roman" w:hAnsi="Times New Roman" w:cs="Times New Roman"/>
          <w:sz w:val="28"/>
          <w:szCs w:val="28"/>
          <w:lang w:val="uk-UA"/>
        </w:rPr>
        <w:t xml:space="preserve"> мають збільшення </w:t>
      </w:r>
      <w:r w:rsidR="00202918">
        <w:rPr>
          <w:rFonts w:ascii="Times New Roman" w:hAnsi="Times New Roman" w:cs="Times New Roman"/>
          <w:sz w:val="28"/>
          <w:szCs w:val="28"/>
          <w:lang w:val="uk-UA"/>
        </w:rPr>
        <w:t xml:space="preserve">вмісту </w:t>
      </w:r>
      <w:r w:rsidR="005E21DD" w:rsidRPr="00145F54">
        <w:rPr>
          <w:rFonts w:ascii="Times New Roman" w:hAnsi="Times New Roman" w:cs="Times New Roman"/>
          <w:sz w:val="28"/>
          <w:szCs w:val="28"/>
          <w:lang w:val="uk-UA"/>
        </w:rPr>
        <w:t xml:space="preserve">ТГ та </w:t>
      </w:r>
      <w:r w:rsidR="009F1891">
        <w:rPr>
          <w:rFonts w:ascii="Times New Roman" w:hAnsi="Times New Roman" w:cs="Times New Roman"/>
          <w:sz w:val="28"/>
          <w:szCs w:val="28"/>
          <w:lang w:val="uk-UA"/>
        </w:rPr>
        <w:t xml:space="preserve">ХС </w:t>
      </w:r>
      <w:r w:rsidR="005E21DD" w:rsidRPr="00145F54">
        <w:rPr>
          <w:rFonts w:ascii="Times New Roman" w:hAnsi="Times New Roman" w:cs="Times New Roman"/>
          <w:sz w:val="28"/>
          <w:szCs w:val="28"/>
          <w:lang w:val="uk-UA"/>
        </w:rPr>
        <w:t>ЛПН</w:t>
      </w:r>
      <w:r w:rsidR="009F1891">
        <w:rPr>
          <w:rFonts w:ascii="Times New Roman" w:hAnsi="Times New Roman" w:cs="Times New Roman"/>
          <w:sz w:val="28"/>
          <w:szCs w:val="28"/>
          <w:lang w:val="uk-UA"/>
        </w:rPr>
        <w:t>Щ за нормальних значень ЗХС. Проте</w:t>
      </w:r>
      <w:r w:rsidR="005E21DD"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у пацієнтів</w:t>
      </w:r>
      <w:r w:rsidR="005E21DD" w:rsidRPr="00145F54">
        <w:rPr>
          <w:rFonts w:ascii="Times New Roman" w:hAnsi="Times New Roman" w:cs="Times New Roman"/>
          <w:sz w:val="28"/>
          <w:szCs w:val="28"/>
          <w:lang w:val="uk-UA"/>
        </w:rPr>
        <w:t xml:space="preserve"> із коморбідною патологією такий тип дис</w:t>
      </w:r>
      <w:r w:rsidR="004C2399">
        <w:rPr>
          <w:rFonts w:ascii="Times New Roman" w:hAnsi="Times New Roman" w:cs="Times New Roman"/>
          <w:sz w:val="28"/>
          <w:szCs w:val="28"/>
          <w:lang w:val="uk-UA"/>
        </w:rPr>
        <w:t>ліпідемії трапля</w:t>
      </w:r>
      <w:r w:rsidR="00145F54" w:rsidRPr="00145F54">
        <w:rPr>
          <w:rFonts w:ascii="Times New Roman" w:hAnsi="Times New Roman" w:cs="Times New Roman"/>
          <w:sz w:val="28"/>
          <w:szCs w:val="28"/>
          <w:lang w:val="uk-UA"/>
        </w:rPr>
        <w:t>ється лише у 2,08</w:t>
      </w:r>
      <w:r w:rsidR="00716848"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w:t>
      </w:r>
      <w:r w:rsidR="005E21DD" w:rsidRPr="00145F54">
        <w:rPr>
          <w:rFonts w:ascii="Times New Roman" w:hAnsi="Times New Roman" w:cs="Times New Roman"/>
          <w:sz w:val="28"/>
          <w:szCs w:val="28"/>
          <w:lang w:val="uk-UA"/>
        </w:rPr>
        <w:t>.</w:t>
      </w:r>
      <w:r w:rsidR="00A410F6" w:rsidRPr="00145F54">
        <w:rPr>
          <w:rFonts w:ascii="Times New Roman" w:hAnsi="Times New Roman" w:cs="Times New Roman"/>
          <w:sz w:val="28"/>
          <w:szCs w:val="28"/>
          <w:lang w:val="uk-UA"/>
        </w:rPr>
        <w:t xml:space="preserve"> Ізольоване п</w:t>
      </w:r>
      <w:r w:rsidR="00145F54" w:rsidRPr="00145F54">
        <w:rPr>
          <w:rFonts w:ascii="Times New Roman" w:hAnsi="Times New Roman" w:cs="Times New Roman"/>
          <w:sz w:val="28"/>
          <w:szCs w:val="28"/>
          <w:lang w:val="uk-UA"/>
        </w:rPr>
        <w:t xml:space="preserve">ідвищення </w:t>
      </w:r>
      <w:r w:rsidR="009F1891">
        <w:rPr>
          <w:rFonts w:ascii="Times New Roman" w:hAnsi="Times New Roman" w:cs="Times New Roman"/>
          <w:sz w:val="28"/>
          <w:szCs w:val="28"/>
          <w:lang w:val="uk-UA"/>
        </w:rPr>
        <w:t xml:space="preserve">ХС </w:t>
      </w:r>
      <w:r w:rsidR="00145F54" w:rsidRPr="00145F54">
        <w:rPr>
          <w:rFonts w:ascii="Times New Roman" w:hAnsi="Times New Roman" w:cs="Times New Roman"/>
          <w:sz w:val="28"/>
          <w:szCs w:val="28"/>
          <w:lang w:val="uk-UA"/>
        </w:rPr>
        <w:t xml:space="preserve">ЛПНЩ </w:t>
      </w:r>
      <w:r w:rsidR="004C2399">
        <w:rPr>
          <w:rFonts w:ascii="Times New Roman" w:hAnsi="Times New Roman" w:cs="Times New Roman"/>
          <w:sz w:val="28"/>
          <w:szCs w:val="28"/>
          <w:lang w:val="uk-UA"/>
        </w:rPr>
        <w:t>спостеріг</w:t>
      </w:r>
      <w:r w:rsidR="00145F54" w:rsidRPr="00145F54">
        <w:rPr>
          <w:rFonts w:ascii="Times New Roman" w:hAnsi="Times New Roman" w:cs="Times New Roman"/>
          <w:sz w:val="28"/>
          <w:szCs w:val="28"/>
          <w:lang w:val="uk-UA"/>
        </w:rPr>
        <w:t>ається</w:t>
      </w:r>
      <w:r w:rsidR="004076BF">
        <w:rPr>
          <w:rFonts w:ascii="Times New Roman" w:hAnsi="Times New Roman" w:cs="Times New Roman"/>
          <w:sz w:val="28"/>
          <w:szCs w:val="28"/>
          <w:lang w:val="uk-UA"/>
        </w:rPr>
        <w:t xml:space="preserve"> </w:t>
      </w:r>
      <w:r w:rsidR="004C2399">
        <w:rPr>
          <w:rFonts w:ascii="Times New Roman" w:hAnsi="Times New Roman" w:cs="Times New Roman"/>
          <w:sz w:val="28"/>
          <w:szCs w:val="28"/>
          <w:lang w:val="uk-UA"/>
        </w:rPr>
        <w:t>у</w:t>
      </w:r>
      <w:r w:rsidR="00145F54" w:rsidRPr="00145F54">
        <w:rPr>
          <w:rFonts w:ascii="Times New Roman" w:hAnsi="Times New Roman" w:cs="Times New Roman"/>
          <w:sz w:val="28"/>
          <w:szCs w:val="28"/>
          <w:lang w:val="uk-UA"/>
        </w:rPr>
        <w:t xml:space="preserve"> 2</w:t>
      </w:r>
      <w:r w:rsidR="004C2399">
        <w:rPr>
          <w:rFonts w:ascii="Times New Roman" w:hAnsi="Times New Roman" w:cs="Times New Roman"/>
          <w:sz w:val="28"/>
          <w:szCs w:val="28"/>
          <w:lang w:val="uk-UA"/>
        </w:rPr>
        <w:t>,9 раза</w:t>
      </w:r>
      <w:r w:rsidR="00CC17D4">
        <w:rPr>
          <w:rFonts w:ascii="Times New Roman" w:hAnsi="Times New Roman" w:cs="Times New Roman"/>
          <w:sz w:val="28"/>
          <w:szCs w:val="28"/>
          <w:lang w:val="uk-UA"/>
        </w:rPr>
        <w:t xml:space="preserve"> частіше </w:t>
      </w:r>
      <w:r w:rsidR="009F1891">
        <w:rPr>
          <w:rFonts w:ascii="Times New Roman" w:hAnsi="Times New Roman" w:cs="Times New Roman"/>
          <w:sz w:val="28"/>
          <w:szCs w:val="28"/>
          <w:lang w:val="uk-UA"/>
        </w:rPr>
        <w:t xml:space="preserve">у хворих </w:t>
      </w:r>
      <w:r w:rsidR="00202918">
        <w:rPr>
          <w:rFonts w:ascii="Times New Roman" w:hAnsi="Times New Roman" w:cs="Times New Roman"/>
          <w:sz w:val="28"/>
          <w:szCs w:val="28"/>
          <w:lang w:val="uk-UA"/>
        </w:rPr>
        <w:t>на</w:t>
      </w:r>
      <w:r w:rsidR="00CC17D4">
        <w:rPr>
          <w:rFonts w:ascii="Times New Roman" w:hAnsi="Times New Roman" w:cs="Times New Roman"/>
          <w:sz w:val="28"/>
          <w:szCs w:val="28"/>
          <w:lang w:val="uk-UA"/>
        </w:rPr>
        <w:t xml:space="preserve"> АГ порівняно</w:t>
      </w:r>
      <w:r w:rsidR="00A410F6" w:rsidRPr="00145F54">
        <w:rPr>
          <w:rFonts w:ascii="Times New Roman" w:hAnsi="Times New Roman" w:cs="Times New Roman"/>
          <w:sz w:val="28"/>
          <w:szCs w:val="28"/>
          <w:lang w:val="uk-UA"/>
        </w:rPr>
        <w:t xml:space="preserve"> з пацієнтами </w:t>
      </w:r>
      <w:r w:rsidR="004076BF">
        <w:rPr>
          <w:rFonts w:ascii="Times New Roman" w:hAnsi="Times New Roman" w:cs="Times New Roman"/>
          <w:sz w:val="28"/>
          <w:szCs w:val="28"/>
          <w:lang w:val="uk-UA"/>
        </w:rPr>
        <w:t xml:space="preserve">     </w:t>
      </w:r>
      <w:r w:rsidR="00A410F6" w:rsidRPr="00145F54">
        <w:rPr>
          <w:rFonts w:ascii="Times New Roman" w:hAnsi="Times New Roman" w:cs="Times New Roman"/>
          <w:sz w:val="28"/>
          <w:szCs w:val="28"/>
          <w:lang w:val="uk-UA"/>
        </w:rPr>
        <w:t xml:space="preserve">із </w:t>
      </w:r>
      <w:r w:rsidR="009F1891">
        <w:rPr>
          <w:rFonts w:ascii="Times New Roman" w:hAnsi="Times New Roman" w:cs="Times New Roman"/>
          <w:sz w:val="28"/>
          <w:szCs w:val="28"/>
          <w:lang w:val="uk-UA"/>
        </w:rPr>
        <w:t>АГ та супутнім ЦД 2-го типу</w:t>
      </w:r>
      <w:r w:rsidR="00A410F6" w:rsidRPr="00145F54">
        <w:rPr>
          <w:rFonts w:ascii="Times New Roman" w:hAnsi="Times New Roman" w:cs="Times New Roman"/>
          <w:sz w:val="28"/>
          <w:szCs w:val="28"/>
          <w:lang w:val="uk-UA"/>
        </w:rPr>
        <w:t xml:space="preserve">. </w:t>
      </w:r>
      <w:r w:rsidR="00716848" w:rsidRPr="00145F54">
        <w:rPr>
          <w:rFonts w:ascii="Times New Roman" w:hAnsi="Times New Roman" w:cs="Times New Roman"/>
          <w:sz w:val="28"/>
          <w:szCs w:val="28"/>
          <w:lang w:val="uk-UA"/>
        </w:rPr>
        <w:t xml:space="preserve">Натомість серед пацієнтів </w:t>
      </w:r>
      <w:r w:rsidR="00A410F6" w:rsidRPr="00145F54">
        <w:rPr>
          <w:rFonts w:ascii="Times New Roman" w:hAnsi="Times New Roman" w:cs="Times New Roman"/>
          <w:sz w:val="28"/>
          <w:szCs w:val="28"/>
          <w:lang w:val="uk-UA"/>
        </w:rPr>
        <w:t>І групи бі</w:t>
      </w:r>
      <w:r w:rsidR="00F14CAE" w:rsidRPr="00145F54">
        <w:rPr>
          <w:rFonts w:ascii="Times New Roman" w:hAnsi="Times New Roman" w:cs="Times New Roman"/>
          <w:sz w:val="28"/>
          <w:szCs w:val="28"/>
          <w:lang w:val="uk-UA"/>
        </w:rPr>
        <w:t>льший відсоток осіб з</w:t>
      </w:r>
      <w:r w:rsidR="00CC17D4">
        <w:rPr>
          <w:rFonts w:ascii="Times New Roman" w:hAnsi="Times New Roman" w:cs="Times New Roman"/>
          <w:sz w:val="28"/>
          <w:szCs w:val="28"/>
          <w:lang w:val="uk-UA"/>
        </w:rPr>
        <w:t>і</w:t>
      </w:r>
      <w:r w:rsidR="00F14CAE" w:rsidRPr="00145F54">
        <w:rPr>
          <w:rFonts w:ascii="Times New Roman" w:hAnsi="Times New Roman" w:cs="Times New Roman"/>
          <w:sz w:val="28"/>
          <w:szCs w:val="28"/>
          <w:lang w:val="uk-UA"/>
        </w:rPr>
        <w:t xml:space="preserve"> зниженим</w:t>
      </w:r>
      <w:r w:rsidR="00202918">
        <w:rPr>
          <w:rFonts w:ascii="Times New Roman" w:hAnsi="Times New Roman" w:cs="Times New Roman"/>
          <w:sz w:val="28"/>
          <w:szCs w:val="28"/>
          <w:lang w:val="uk-UA"/>
        </w:rPr>
        <w:t xml:space="preserve"> вмістом</w:t>
      </w:r>
      <w:r w:rsidR="00A410F6"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 xml:space="preserve">ХС </w:t>
      </w:r>
      <w:r w:rsidR="00A410F6" w:rsidRPr="00145F54">
        <w:rPr>
          <w:rFonts w:ascii="Times New Roman" w:hAnsi="Times New Roman" w:cs="Times New Roman"/>
          <w:sz w:val="28"/>
          <w:szCs w:val="28"/>
          <w:lang w:val="uk-UA"/>
        </w:rPr>
        <w:t>ЛПВЩ (як ізольов</w:t>
      </w:r>
      <w:r w:rsidR="00CC17D4">
        <w:rPr>
          <w:rFonts w:ascii="Times New Roman" w:hAnsi="Times New Roman" w:cs="Times New Roman"/>
          <w:sz w:val="28"/>
          <w:szCs w:val="28"/>
          <w:lang w:val="uk-UA"/>
        </w:rPr>
        <w:t xml:space="preserve">аним, так і </w:t>
      </w:r>
      <w:r w:rsidR="00202918">
        <w:rPr>
          <w:rFonts w:ascii="Times New Roman" w:hAnsi="Times New Roman" w:cs="Times New Roman"/>
          <w:sz w:val="28"/>
          <w:szCs w:val="28"/>
          <w:lang w:val="uk-UA"/>
        </w:rPr>
        <w:t xml:space="preserve">                </w:t>
      </w:r>
      <w:r w:rsidR="00CC17D4">
        <w:rPr>
          <w:rFonts w:ascii="Times New Roman" w:hAnsi="Times New Roman" w:cs="Times New Roman"/>
          <w:sz w:val="28"/>
          <w:szCs w:val="28"/>
          <w:lang w:val="uk-UA"/>
        </w:rPr>
        <w:t xml:space="preserve">в поєднанні </w:t>
      </w:r>
      <w:r w:rsidR="00A410F6" w:rsidRPr="00145F54">
        <w:rPr>
          <w:rFonts w:ascii="Times New Roman" w:hAnsi="Times New Roman" w:cs="Times New Roman"/>
          <w:sz w:val="28"/>
          <w:szCs w:val="28"/>
          <w:lang w:val="uk-UA"/>
        </w:rPr>
        <w:t xml:space="preserve">з </w:t>
      </w:r>
      <w:r w:rsidR="00202918">
        <w:rPr>
          <w:rFonts w:ascii="Times New Roman" w:hAnsi="Times New Roman" w:cs="Times New Roman"/>
          <w:sz w:val="28"/>
          <w:szCs w:val="28"/>
          <w:lang w:val="uk-UA"/>
        </w:rPr>
        <w:t>підвищеним вмістом</w:t>
      </w:r>
      <w:r w:rsidR="00F14CAE"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 xml:space="preserve">ХС </w:t>
      </w:r>
      <w:r w:rsidR="00F14CAE" w:rsidRPr="00145F54">
        <w:rPr>
          <w:rFonts w:ascii="Times New Roman" w:hAnsi="Times New Roman" w:cs="Times New Roman"/>
          <w:sz w:val="28"/>
          <w:szCs w:val="28"/>
          <w:lang w:val="uk-UA"/>
        </w:rPr>
        <w:t xml:space="preserve">ЛПНЩ, ЗХС). </w:t>
      </w:r>
      <w:r w:rsidR="00145F54" w:rsidRPr="00145F54">
        <w:rPr>
          <w:rFonts w:ascii="Times New Roman" w:hAnsi="Times New Roman" w:cs="Times New Roman"/>
          <w:sz w:val="28"/>
          <w:szCs w:val="28"/>
          <w:lang w:val="uk-UA"/>
        </w:rPr>
        <w:t>У 12,5</w:t>
      </w:r>
      <w:r w:rsidR="009F1891">
        <w:rPr>
          <w:rFonts w:ascii="Times New Roman" w:hAnsi="Times New Roman" w:cs="Times New Roman"/>
          <w:sz w:val="28"/>
          <w:szCs w:val="28"/>
          <w:lang w:val="uk-UA"/>
        </w:rPr>
        <w:t xml:space="preserve"> % хворих на АГ та</w:t>
      </w:r>
      <w:r w:rsidR="00F14CAE"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ЦД 2-го типу</w:t>
      </w:r>
      <w:r w:rsidR="0095679C" w:rsidRPr="00145F54">
        <w:rPr>
          <w:rFonts w:ascii="Times New Roman" w:hAnsi="Times New Roman" w:cs="Times New Roman"/>
          <w:sz w:val="28"/>
          <w:szCs w:val="28"/>
          <w:lang w:val="uk-UA"/>
        </w:rPr>
        <w:t xml:space="preserve"> спостер</w:t>
      </w:r>
      <w:r w:rsidR="00202918">
        <w:rPr>
          <w:rFonts w:ascii="Times New Roman" w:hAnsi="Times New Roman" w:cs="Times New Roman"/>
          <w:sz w:val="28"/>
          <w:szCs w:val="28"/>
          <w:lang w:val="uk-UA"/>
        </w:rPr>
        <w:t>ігається збільшення</w:t>
      </w:r>
      <w:r w:rsidR="00CC17D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 xml:space="preserve">вмісту </w:t>
      </w:r>
      <w:r w:rsidR="00CC17D4">
        <w:rPr>
          <w:rFonts w:ascii="Times New Roman" w:hAnsi="Times New Roman" w:cs="Times New Roman"/>
          <w:sz w:val="28"/>
          <w:szCs w:val="28"/>
          <w:lang w:val="uk-UA"/>
        </w:rPr>
        <w:t>ЗХС і</w:t>
      </w:r>
      <w:r w:rsidR="0095679C"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 xml:space="preserve">ХС </w:t>
      </w:r>
      <w:r w:rsidR="00202918">
        <w:rPr>
          <w:rFonts w:ascii="Times New Roman" w:hAnsi="Times New Roman" w:cs="Times New Roman"/>
          <w:sz w:val="28"/>
          <w:szCs w:val="28"/>
          <w:lang w:val="uk-UA"/>
        </w:rPr>
        <w:t xml:space="preserve">ЛПНЩ </w:t>
      </w:r>
      <w:r w:rsidR="00703A80">
        <w:rPr>
          <w:rFonts w:ascii="Times New Roman" w:hAnsi="Times New Roman" w:cs="Times New Roman"/>
          <w:sz w:val="28"/>
          <w:szCs w:val="28"/>
          <w:lang w:val="uk-UA"/>
        </w:rPr>
        <w:t xml:space="preserve">           </w:t>
      </w:r>
      <w:r w:rsidR="00202918">
        <w:rPr>
          <w:rFonts w:ascii="Times New Roman" w:hAnsi="Times New Roman" w:cs="Times New Roman"/>
          <w:sz w:val="28"/>
          <w:szCs w:val="28"/>
          <w:lang w:val="uk-UA"/>
        </w:rPr>
        <w:t>без зниження</w:t>
      </w:r>
      <w:r w:rsidR="00CC17D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 xml:space="preserve">ХС </w:t>
      </w:r>
      <w:r w:rsidR="00CC17D4">
        <w:rPr>
          <w:rFonts w:ascii="Times New Roman" w:hAnsi="Times New Roman" w:cs="Times New Roman"/>
          <w:sz w:val="28"/>
          <w:szCs w:val="28"/>
          <w:lang w:val="uk-UA"/>
        </w:rPr>
        <w:t>ЛПВЩ. Можливо, це обумовлено</w:t>
      </w:r>
      <w:r w:rsidR="0095679C" w:rsidRPr="00145F54">
        <w:rPr>
          <w:rFonts w:ascii="Times New Roman" w:hAnsi="Times New Roman" w:cs="Times New Roman"/>
          <w:sz w:val="28"/>
          <w:szCs w:val="28"/>
          <w:lang w:val="uk-UA"/>
        </w:rPr>
        <w:t xml:space="preserve"> якісними змі</w:t>
      </w:r>
      <w:r w:rsidR="00CC17D4">
        <w:rPr>
          <w:rFonts w:ascii="Times New Roman" w:hAnsi="Times New Roman" w:cs="Times New Roman"/>
          <w:sz w:val="28"/>
          <w:szCs w:val="28"/>
          <w:lang w:val="uk-UA"/>
        </w:rPr>
        <w:t xml:space="preserve">нами </w:t>
      </w:r>
      <w:r w:rsidR="009F1891">
        <w:rPr>
          <w:rFonts w:ascii="Times New Roman" w:hAnsi="Times New Roman" w:cs="Times New Roman"/>
          <w:sz w:val="28"/>
          <w:szCs w:val="28"/>
          <w:lang w:val="uk-UA"/>
        </w:rPr>
        <w:t xml:space="preserve">ХС </w:t>
      </w:r>
      <w:r w:rsidR="00CC17D4">
        <w:rPr>
          <w:rFonts w:ascii="Times New Roman" w:hAnsi="Times New Roman" w:cs="Times New Roman"/>
          <w:sz w:val="28"/>
          <w:szCs w:val="28"/>
          <w:lang w:val="uk-UA"/>
        </w:rPr>
        <w:t>ЛПВЩ, їх глікозилюванням і</w:t>
      </w:r>
      <w:r w:rsidR="0095679C" w:rsidRPr="00145F54">
        <w:rPr>
          <w:rFonts w:ascii="Times New Roman" w:hAnsi="Times New Roman" w:cs="Times New Roman"/>
          <w:sz w:val="28"/>
          <w:szCs w:val="28"/>
          <w:lang w:val="uk-UA"/>
        </w:rPr>
        <w:t xml:space="preserve"> втратою антиатерогенних властивостей. </w:t>
      </w:r>
    </w:p>
    <w:p w:rsidR="00401A7E" w:rsidRPr="00AE1F8F" w:rsidRDefault="00145F54" w:rsidP="00AE1F8F">
      <w:pPr>
        <w:spacing w:after="0" w:line="360" w:lineRule="auto"/>
        <w:ind w:firstLine="708"/>
        <w:jc w:val="both"/>
        <w:rPr>
          <w:rFonts w:ascii="Times New Roman" w:hAnsi="Times New Roman" w:cs="Times New Roman"/>
          <w:sz w:val="28"/>
          <w:szCs w:val="28"/>
          <w:lang w:val="uk-UA"/>
        </w:rPr>
      </w:pPr>
      <w:r w:rsidRPr="00145F54">
        <w:rPr>
          <w:rFonts w:ascii="Times New Roman" w:hAnsi="Times New Roman" w:cs="Times New Roman"/>
          <w:sz w:val="28"/>
          <w:szCs w:val="28"/>
          <w:lang w:val="uk-UA"/>
        </w:rPr>
        <w:t>Таким чином, у 96,88</w:t>
      </w:r>
      <w:r w:rsidR="00716848" w:rsidRPr="00145F54">
        <w:rPr>
          <w:rFonts w:ascii="Times New Roman" w:hAnsi="Times New Roman" w:cs="Times New Roman"/>
          <w:sz w:val="28"/>
          <w:szCs w:val="28"/>
          <w:lang w:val="uk-UA"/>
        </w:rPr>
        <w:t xml:space="preserve"> </w:t>
      </w:r>
      <w:r w:rsidR="00CC17D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 xml:space="preserve">пацієнтів </w:t>
      </w:r>
      <w:r w:rsidR="00CC17D4">
        <w:rPr>
          <w:rFonts w:ascii="Times New Roman" w:hAnsi="Times New Roman" w:cs="Times New Roman"/>
          <w:sz w:val="28"/>
          <w:szCs w:val="28"/>
          <w:lang w:val="uk-UA"/>
        </w:rPr>
        <w:t>І групи та в</w:t>
      </w:r>
      <w:r w:rsidRPr="00145F54">
        <w:rPr>
          <w:rFonts w:ascii="Times New Roman" w:hAnsi="Times New Roman" w:cs="Times New Roman"/>
          <w:sz w:val="28"/>
          <w:szCs w:val="28"/>
          <w:lang w:val="uk-UA"/>
        </w:rPr>
        <w:t xml:space="preserve"> 96</w:t>
      </w:r>
      <w:r w:rsidR="00CC17D4">
        <w:rPr>
          <w:rFonts w:ascii="Times New Roman" w:hAnsi="Times New Roman" w:cs="Times New Roman"/>
          <w:sz w:val="28"/>
          <w:szCs w:val="28"/>
          <w:lang w:val="uk-UA"/>
        </w:rPr>
        <w:t xml:space="preserve"> </w:t>
      </w:r>
      <w:r w:rsidR="00CC17D4" w:rsidRPr="00145F54">
        <w:rPr>
          <w:rFonts w:ascii="Times New Roman" w:hAnsi="Times New Roman" w:cs="Times New Roman"/>
          <w:sz w:val="28"/>
          <w:szCs w:val="28"/>
          <w:lang w:val="uk-UA"/>
        </w:rPr>
        <w:t xml:space="preserve">% </w:t>
      </w:r>
      <w:r w:rsidR="009F1891">
        <w:rPr>
          <w:rFonts w:ascii="Times New Roman" w:hAnsi="Times New Roman" w:cs="Times New Roman"/>
          <w:sz w:val="28"/>
          <w:szCs w:val="28"/>
          <w:lang w:val="uk-UA"/>
        </w:rPr>
        <w:t>хворих</w:t>
      </w:r>
      <w:r w:rsidR="00716848" w:rsidRPr="00145F54">
        <w:rPr>
          <w:rFonts w:ascii="Times New Roman" w:hAnsi="Times New Roman" w:cs="Times New Roman"/>
          <w:sz w:val="28"/>
          <w:szCs w:val="28"/>
          <w:lang w:val="uk-UA"/>
        </w:rPr>
        <w:t xml:space="preserve"> </w:t>
      </w:r>
      <w:r w:rsidR="0095679C" w:rsidRPr="00145F54">
        <w:rPr>
          <w:rFonts w:ascii="Times New Roman" w:hAnsi="Times New Roman" w:cs="Times New Roman"/>
          <w:sz w:val="28"/>
          <w:szCs w:val="28"/>
          <w:lang w:val="uk-UA"/>
        </w:rPr>
        <w:t>ІІ</w:t>
      </w:r>
      <w:r w:rsidR="00C3406C" w:rsidRPr="00145F54">
        <w:rPr>
          <w:rFonts w:ascii="Times New Roman" w:hAnsi="Times New Roman" w:cs="Times New Roman"/>
          <w:sz w:val="28"/>
          <w:szCs w:val="28"/>
          <w:lang w:val="uk-UA"/>
        </w:rPr>
        <w:t xml:space="preserve"> групи</w:t>
      </w:r>
      <w:r w:rsidR="0095679C" w:rsidRPr="00145F54">
        <w:rPr>
          <w:rFonts w:ascii="Times New Roman" w:hAnsi="Times New Roman" w:cs="Times New Roman"/>
          <w:sz w:val="28"/>
          <w:szCs w:val="28"/>
          <w:lang w:val="uk-UA"/>
        </w:rPr>
        <w:t xml:space="preserve"> спостерігається той чи інший тип</w:t>
      </w:r>
      <w:r w:rsidR="0095679C">
        <w:rPr>
          <w:rFonts w:ascii="Times New Roman" w:hAnsi="Times New Roman" w:cs="Times New Roman"/>
          <w:sz w:val="28"/>
          <w:szCs w:val="28"/>
          <w:lang w:val="uk-UA"/>
        </w:rPr>
        <w:t xml:space="preserve"> дисліпідемі</w:t>
      </w:r>
      <w:r w:rsidR="009F1891">
        <w:rPr>
          <w:rFonts w:ascii="Times New Roman" w:hAnsi="Times New Roman" w:cs="Times New Roman"/>
          <w:sz w:val="28"/>
          <w:szCs w:val="28"/>
          <w:lang w:val="uk-UA"/>
        </w:rPr>
        <w:t>ї, що потребує корекції.</w:t>
      </w:r>
    </w:p>
    <w:p w:rsidR="00260035" w:rsidRPr="00340897" w:rsidRDefault="00F87ADC" w:rsidP="00A0016C">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w:t>
      </w:r>
      <w:r w:rsidR="00340897">
        <w:rPr>
          <w:rFonts w:ascii="Times New Roman" w:hAnsi="Times New Roman" w:cs="Times New Roman"/>
          <w:b/>
          <w:sz w:val="28"/>
          <w:szCs w:val="28"/>
          <w:lang w:val="uk-UA"/>
        </w:rPr>
        <w:t>.2</w:t>
      </w:r>
      <w:r w:rsidR="00A8365F">
        <w:rPr>
          <w:rFonts w:ascii="Times New Roman" w:hAnsi="Times New Roman" w:cs="Times New Roman"/>
          <w:b/>
          <w:sz w:val="28"/>
          <w:szCs w:val="28"/>
          <w:lang w:val="uk-UA"/>
        </w:rPr>
        <w:t>.</w:t>
      </w:r>
      <w:r w:rsidR="00340897">
        <w:rPr>
          <w:rFonts w:ascii="Times New Roman" w:hAnsi="Times New Roman" w:cs="Times New Roman"/>
          <w:b/>
          <w:sz w:val="28"/>
          <w:szCs w:val="28"/>
          <w:lang w:val="uk-UA"/>
        </w:rPr>
        <w:t xml:space="preserve"> </w:t>
      </w:r>
      <w:r w:rsidR="007B67E1" w:rsidRPr="007B67E1">
        <w:rPr>
          <w:rFonts w:ascii="Times New Roman" w:hAnsi="Times New Roman" w:cs="Times New Roman"/>
          <w:b/>
          <w:sz w:val="28"/>
          <w:szCs w:val="28"/>
          <w:lang w:val="uk-UA"/>
        </w:rPr>
        <w:t xml:space="preserve">Дослідження зв’язку між </w:t>
      </w:r>
      <w:r w:rsidR="000F0FD1">
        <w:rPr>
          <w:rFonts w:ascii="Times New Roman" w:hAnsi="Times New Roman" w:cs="Times New Roman"/>
          <w:b/>
          <w:sz w:val="28"/>
          <w:szCs w:val="28"/>
          <w:lang w:val="uk-UA"/>
        </w:rPr>
        <w:t xml:space="preserve">вмістом </w:t>
      </w:r>
      <w:r w:rsidR="007B67E1">
        <w:rPr>
          <w:rFonts w:ascii="Times New Roman" w:hAnsi="Times New Roman" w:cs="Times New Roman"/>
          <w:b/>
          <w:sz w:val="28"/>
          <w:szCs w:val="28"/>
          <w:lang w:val="uk-UA"/>
        </w:rPr>
        <w:t>глікозильованого гемоглобіну</w:t>
      </w:r>
      <w:r w:rsidR="007B67E1" w:rsidRPr="007B67E1">
        <w:rPr>
          <w:rFonts w:ascii="Times New Roman" w:hAnsi="Times New Roman" w:cs="Times New Roman"/>
          <w:b/>
          <w:sz w:val="28"/>
          <w:szCs w:val="28"/>
          <w:lang w:val="uk-UA"/>
        </w:rPr>
        <w:t xml:space="preserve"> та показниками ліпід</w:t>
      </w:r>
      <w:r w:rsidR="00D12D05">
        <w:rPr>
          <w:rFonts w:ascii="Times New Roman" w:hAnsi="Times New Roman" w:cs="Times New Roman"/>
          <w:b/>
          <w:sz w:val="28"/>
          <w:szCs w:val="28"/>
          <w:lang w:val="uk-UA"/>
        </w:rPr>
        <w:t xml:space="preserve">ного спектра крові у </w:t>
      </w:r>
      <w:r w:rsidR="000F0FD1">
        <w:rPr>
          <w:rFonts w:ascii="Times New Roman" w:hAnsi="Times New Roman" w:cs="Times New Roman"/>
          <w:b/>
          <w:sz w:val="28"/>
          <w:szCs w:val="28"/>
          <w:lang w:val="uk-UA"/>
        </w:rPr>
        <w:t>хворих на артеріальну гіпертензію та цукровий діабет</w:t>
      </w:r>
      <w:r w:rsidR="007B67E1" w:rsidRPr="007B67E1">
        <w:rPr>
          <w:rFonts w:ascii="Times New Roman" w:hAnsi="Times New Roman" w:cs="Times New Roman"/>
          <w:b/>
          <w:sz w:val="28"/>
          <w:szCs w:val="28"/>
          <w:lang w:val="uk-UA"/>
        </w:rPr>
        <w:t xml:space="preserve"> 2-го типу</w:t>
      </w:r>
    </w:p>
    <w:p w:rsidR="00401A7E" w:rsidRDefault="00401A7E" w:rsidP="006677F3">
      <w:pPr>
        <w:spacing w:after="0" w:line="360" w:lineRule="auto"/>
        <w:ind w:firstLine="708"/>
        <w:jc w:val="both"/>
        <w:rPr>
          <w:rFonts w:ascii="Times New Roman" w:hAnsi="Times New Roman" w:cs="Times New Roman"/>
          <w:sz w:val="28"/>
          <w:szCs w:val="28"/>
          <w:lang w:val="uk-UA"/>
        </w:rPr>
      </w:pPr>
    </w:p>
    <w:p w:rsidR="00D16FBA" w:rsidRDefault="00A76E0E" w:rsidP="00D16F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Глікозильований гемоглобін </w:t>
      </w:r>
      <w:r w:rsidR="006677F3">
        <w:rPr>
          <w:rFonts w:ascii="Times New Roman" w:hAnsi="Times New Roman" w:cs="Times New Roman"/>
          <w:sz w:val="28"/>
          <w:szCs w:val="28"/>
          <w:lang w:val="uk-UA"/>
        </w:rPr>
        <w:t>визнано «з</w:t>
      </w:r>
      <w:r w:rsidR="00202918">
        <w:rPr>
          <w:rFonts w:ascii="Times New Roman" w:hAnsi="Times New Roman" w:cs="Times New Roman"/>
          <w:sz w:val="28"/>
          <w:szCs w:val="28"/>
          <w:lang w:val="uk-UA"/>
        </w:rPr>
        <w:t>олотим стандартом» компенсації у хворих на</w:t>
      </w:r>
      <w:r w:rsidR="006677F3">
        <w:rPr>
          <w:rFonts w:ascii="Times New Roman" w:hAnsi="Times New Roman" w:cs="Times New Roman"/>
          <w:sz w:val="28"/>
          <w:szCs w:val="28"/>
          <w:lang w:val="uk-UA"/>
        </w:rPr>
        <w:t xml:space="preserve"> ЦД 2-го типу, фактором ризику розвитку ССУ </w:t>
      </w:r>
      <w:r w:rsidR="00243724">
        <w:rPr>
          <w:rFonts w:ascii="Times New Roman" w:hAnsi="Times New Roman" w:cs="Times New Roman"/>
          <w:sz w:val="28"/>
          <w:szCs w:val="28"/>
          <w:lang w:val="uk-UA"/>
        </w:rPr>
        <w:t xml:space="preserve">      </w:t>
      </w:r>
      <w:r w:rsidR="006677F3">
        <w:rPr>
          <w:rFonts w:ascii="Times New Roman" w:hAnsi="Times New Roman" w:cs="Times New Roman"/>
          <w:sz w:val="28"/>
          <w:szCs w:val="28"/>
          <w:lang w:val="uk-UA"/>
        </w:rPr>
        <w:t xml:space="preserve">при поєднанні </w:t>
      </w:r>
      <w:r w:rsidR="00D12D05">
        <w:rPr>
          <w:rFonts w:ascii="Times New Roman" w:hAnsi="Times New Roman" w:cs="Times New Roman"/>
          <w:sz w:val="28"/>
          <w:szCs w:val="28"/>
          <w:lang w:val="uk-UA"/>
        </w:rPr>
        <w:t>АГ та ЦД 2-го типу</w:t>
      </w:r>
      <w:r w:rsidR="00084B3F">
        <w:rPr>
          <w:rFonts w:ascii="Times New Roman" w:hAnsi="Times New Roman" w:cs="Times New Roman"/>
          <w:sz w:val="28"/>
          <w:szCs w:val="28"/>
          <w:lang w:val="uk-UA"/>
        </w:rPr>
        <w:t xml:space="preserve"> і показником порушення функції нирок</w:t>
      </w:r>
      <w:r w:rsidR="006677F3">
        <w:rPr>
          <w:rFonts w:ascii="Times New Roman" w:hAnsi="Times New Roman" w:cs="Times New Roman"/>
          <w:sz w:val="28"/>
          <w:szCs w:val="28"/>
          <w:lang w:val="uk-UA"/>
        </w:rPr>
        <w:t>, зважаючи на його здатність накопичуватися в базальн</w:t>
      </w:r>
      <w:r w:rsidR="00084B3F">
        <w:rPr>
          <w:rFonts w:ascii="Times New Roman" w:hAnsi="Times New Roman" w:cs="Times New Roman"/>
          <w:sz w:val="28"/>
          <w:szCs w:val="28"/>
          <w:lang w:val="uk-UA"/>
        </w:rPr>
        <w:t xml:space="preserve">их мембранах капілярів </w:t>
      </w:r>
      <w:r w:rsidR="006677F3">
        <w:rPr>
          <w:rFonts w:ascii="Times New Roman" w:hAnsi="Times New Roman" w:cs="Times New Roman"/>
          <w:sz w:val="28"/>
          <w:szCs w:val="28"/>
          <w:lang w:val="uk-UA"/>
        </w:rPr>
        <w:t>клубочків.</w:t>
      </w:r>
      <w:r w:rsidR="00293E0C">
        <w:rPr>
          <w:rFonts w:ascii="Times New Roman" w:hAnsi="Times New Roman" w:cs="Times New Roman"/>
          <w:sz w:val="28"/>
          <w:szCs w:val="28"/>
          <w:lang w:val="uk-UA"/>
        </w:rPr>
        <w:t xml:space="preserve"> Визначення вмісту</w:t>
      </w:r>
      <w:r w:rsidR="00020D24">
        <w:rPr>
          <w:rFonts w:ascii="Times New Roman" w:hAnsi="Times New Roman" w:cs="Times New Roman"/>
          <w:sz w:val="28"/>
          <w:szCs w:val="28"/>
          <w:lang w:val="uk-UA"/>
        </w:rPr>
        <w:t xml:space="preserve"> </w:t>
      </w:r>
      <w:r w:rsidR="00020D24" w:rsidRPr="00020D24">
        <w:rPr>
          <w:rFonts w:ascii="Times New Roman" w:hAnsi="Times New Roman" w:cs="Times New Roman"/>
          <w:sz w:val="28"/>
          <w:szCs w:val="28"/>
          <w:lang w:val="uk-UA"/>
        </w:rPr>
        <w:t>HbA1с</w:t>
      </w:r>
      <w:r w:rsidR="00293E0C">
        <w:rPr>
          <w:rFonts w:ascii="Times New Roman" w:hAnsi="Times New Roman" w:cs="Times New Roman"/>
          <w:sz w:val="28"/>
          <w:szCs w:val="28"/>
          <w:lang w:val="uk-UA"/>
        </w:rPr>
        <w:t xml:space="preserve"> є </w:t>
      </w:r>
      <w:r w:rsidR="00293E0C" w:rsidRPr="00293E0C">
        <w:rPr>
          <w:rFonts w:ascii="Times New Roman" w:hAnsi="Times New Roman" w:cs="Times New Roman"/>
          <w:sz w:val="28"/>
          <w:szCs w:val="28"/>
          <w:lang w:val="uk-UA"/>
        </w:rPr>
        <w:t>доцільним</w:t>
      </w:r>
      <w:r w:rsidR="00293E0C">
        <w:rPr>
          <w:rFonts w:ascii="Times New Roman" w:hAnsi="Times New Roman" w:cs="Times New Roman"/>
          <w:sz w:val="28"/>
          <w:szCs w:val="28"/>
          <w:lang w:val="uk-UA"/>
        </w:rPr>
        <w:t xml:space="preserve"> для </w:t>
      </w:r>
      <w:r w:rsidR="00293E0C" w:rsidRPr="00293E0C">
        <w:rPr>
          <w:rFonts w:ascii="Times New Roman" w:hAnsi="Times New Roman" w:cs="Times New Roman"/>
          <w:sz w:val="28"/>
          <w:szCs w:val="28"/>
          <w:lang w:val="uk-UA"/>
        </w:rPr>
        <w:t>оцінювання кардіоваскулярного ризику</w:t>
      </w:r>
      <w:r w:rsidR="00020D24">
        <w:rPr>
          <w:rFonts w:ascii="Times New Roman" w:hAnsi="Times New Roman" w:cs="Times New Roman"/>
          <w:sz w:val="28"/>
          <w:szCs w:val="28"/>
          <w:lang w:val="uk-UA"/>
        </w:rPr>
        <w:t xml:space="preserve"> </w:t>
      </w:r>
      <w:r w:rsidR="00020D24" w:rsidRPr="00020D24">
        <w:rPr>
          <w:rFonts w:ascii="Times New Roman" w:hAnsi="Times New Roman" w:cs="Times New Roman"/>
          <w:sz w:val="28"/>
          <w:szCs w:val="28"/>
          <w:lang w:val="uk-UA"/>
        </w:rPr>
        <w:t>[</w:t>
      </w:r>
      <w:r w:rsidR="004B16DA">
        <w:rPr>
          <w:rFonts w:ascii="Times New Roman" w:hAnsi="Times New Roman" w:cs="Times New Roman"/>
          <w:sz w:val="28"/>
          <w:szCs w:val="28"/>
          <w:lang w:val="uk-UA"/>
        </w:rPr>
        <w:t>141</w:t>
      </w:r>
      <w:r w:rsidR="00020D24" w:rsidRPr="004B16DA">
        <w:rPr>
          <w:rFonts w:ascii="Times New Roman" w:hAnsi="Times New Roman" w:cs="Times New Roman"/>
          <w:sz w:val="28"/>
          <w:szCs w:val="28"/>
          <w:lang w:val="uk-UA"/>
        </w:rPr>
        <w:t>].</w:t>
      </w:r>
      <w:r w:rsidR="00020D24" w:rsidRPr="00020D24">
        <w:rPr>
          <w:rFonts w:ascii="Times New Roman" w:hAnsi="Times New Roman" w:cs="Times New Roman"/>
          <w:sz w:val="28"/>
          <w:szCs w:val="28"/>
          <w:lang w:val="uk-UA"/>
        </w:rPr>
        <w:t xml:space="preserve"> </w:t>
      </w:r>
      <w:r w:rsidR="00D16FBA" w:rsidRPr="00D16FBA">
        <w:rPr>
          <w:rFonts w:ascii="Times New Roman" w:hAnsi="Times New Roman" w:cs="Times New Roman"/>
          <w:sz w:val="28"/>
          <w:szCs w:val="28"/>
          <w:lang w:val="uk-UA"/>
        </w:rPr>
        <w:t>Аналіз 1</w:t>
      </w:r>
      <w:r w:rsidR="00D16FBA">
        <w:rPr>
          <w:rFonts w:ascii="Times New Roman" w:hAnsi="Times New Roman" w:cs="Times New Roman"/>
          <w:sz w:val="28"/>
          <w:szCs w:val="28"/>
          <w:lang w:val="uk-UA"/>
        </w:rPr>
        <w:t>0-річного клінічного досліджен</w:t>
      </w:r>
      <w:r w:rsidR="00D16FBA" w:rsidRPr="00D16FBA">
        <w:rPr>
          <w:rFonts w:ascii="Times New Roman" w:hAnsi="Times New Roman" w:cs="Times New Roman"/>
          <w:sz w:val="28"/>
          <w:szCs w:val="28"/>
          <w:lang w:val="uk-UA"/>
        </w:rPr>
        <w:t xml:space="preserve">ня </w:t>
      </w:r>
      <w:r w:rsidR="00243724">
        <w:rPr>
          <w:rFonts w:ascii="Times New Roman" w:hAnsi="Times New Roman" w:cs="Times New Roman"/>
          <w:sz w:val="28"/>
          <w:szCs w:val="28"/>
          <w:lang w:val="uk-UA"/>
        </w:rPr>
        <w:t xml:space="preserve">  </w:t>
      </w:r>
      <w:r w:rsidR="00D16FBA" w:rsidRPr="00D16FBA">
        <w:rPr>
          <w:rFonts w:ascii="Times New Roman" w:hAnsi="Times New Roman" w:cs="Times New Roman"/>
          <w:sz w:val="28"/>
          <w:szCs w:val="28"/>
          <w:lang w:val="uk-UA"/>
        </w:rPr>
        <w:t>з конт</w:t>
      </w:r>
      <w:r w:rsidR="00D16FBA">
        <w:rPr>
          <w:rFonts w:ascii="Times New Roman" w:hAnsi="Times New Roman" w:cs="Times New Roman"/>
          <w:sz w:val="28"/>
          <w:szCs w:val="28"/>
          <w:lang w:val="uk-UA"/>
        </w:rPr>
        <w:t xml:space="preserve">ролю діабету та його ускладнень </w:t>
      </w:r>
      <w:r w:rsidR="00D16FBA" w:rsidRPr="00D16FBA">
        <w:rPr>
          <w:rFonts w:ascii="Times New Roman" w:hAnsi="Times New Roman" w:cs="Times New Roman"/>
          <w:sz w:val="28"/>
          <w:szCs w:val="28"/>
          <w:lang w:val="uk-UA"/>
        </w:rPr>
        <w:t>DCCT (The Dia</w:t>
      </w:r>
      <w:r w:rsidR="00D16FBA">
        <w:rPr>
          <w:rFonts w:ascii="Times New Roman" w:hAnsi="Times New Roman" w:cs="Times New Roman"/>
          <w:sz w:val="28"/>
          <w:szCs w:val="28"/>
          <w:lang w:val="uk-UA"/>
        </w:rPr>
        <w:t xml:space="preserve">betes Control and Complications </w:t>
      </w:r>
      <w:r w:rsidR="00D16FBA" w:rsidRPr="00D16FBA">
        <w:rPr>
          <w:rFonts w:ascii="Times New Roman" w:hAnsi="Times New Roman" w:cs="Times New Roman"/>
          <w:sz w:val="28"/>
          <w:szCs w:val="28"/>
          <w:lang w:val="uk-UA"/>
        </w:rPr>
        <w:t>Tr</w:t>
      </w:r>
      <w:r w:rsidR="00D16FBA">
        <w:rPr>
          <w:rFonts w:ascii="Times New Roman" w:hAnsi="Times New Roman" w:cs="Times New Roman"/>
          <w:sz w:val="28"/>
          <w:szCs w:val="28"/>
          <w:lang w:val="uk-UA"/>
        </w:rPr>
        <w:t xml:space="preserve">ial) продемонстрував, що кожний </w:t>
      </w:r>
      <w:r w:rsidR="00D16FBA" w:rsidRPr="00D16FBA">
        <w:rPr>
          <w:rFonts w:ascii="Times New Roman" w:hAnsi="Times New Roman" w:cs="Times New Roman"/>
          <w:sz w:val="28"/>
          <w:szCs w:val="28"/>
          <w:lang w:val="uk-UA"/>
        </w:rPr>
        <w:t>відсоток з</w:t>
      </w:r>
      <w:r w:rsidR="00293E0C">
        <w:rPr>
          <w:rFonts w:ascii="Times New Roman" w:hAnsi="Times New Roman" w:cs="Times New Roman"/>
          <w:sz w:val="28"/>
          <w:szCs w:val="28"/>
          <w:lang w:val="uk-UA"/>
        </w:rPr>
        <w:t>меншення</w:t>
      </w:r>
      <w:r w:rsidR="00D16FBA" w:rsidRPr="00D16FBA">
        <w:rPr>
          <w:rFonts w:ascii="Times New Roman" w:hAnsi="Times New Roman" w:cs="Times New Roman"/>
          <w:sz w:val="28"/>
          <w:szCs w:val="28"/>
          <w:lang w:val="uk-UA"/>
        </w:rPr>
        <w:t xml:space="preserve"> пок</w:t>
      </w:r>
      <w:r w:rsidR="00D16FBA">
        <w:rPr>
          <w:rFonts w:ascii="Times New Roman" w:hAnsi="Times New Roman" w:cs="Times New Roman"/>
          <w:sz w:val="28"/>
          <w:szCs w:val="28"/>
          <w:lang w:val="uk-UA"/>
        </w:rPr>
        <w:t xml:space="preserve">азника </w:t>
      </w:r>
      <w:r w:rsidR="00EB5F06" w:rsidRPr="006677F3">
        <w:rPr>
          <w:rFonts w:ascii="Times New Roman" w:hAnsi="Times New Roman" w:cs="Times New Roman"/>
          <w:sz w:val="28"/>
          <w:szCs w:val="28"/>
          <w:lang w:val="uk-UA"/>
        </w:rPr>
        <w:t>HbA1с</w:t>
      </w:r>
      <w:r w:rsidR="00EB5F06">
        <w:rPr>
          <w:rFonts w:ascii="Times New Roman" w:hAnsi="Times New Roman" w:cs="Times New Roman"/>
          <w:sz w:val="28"/>
          <w:szCs w:val="28"/>
          <w:lang w:val="uk-UA"/>
        </w:rPr>
        <w:t xml:space="preserve"> </w:t>
      </w:r>
      <w:r w:rsidR="00D16FBA">
        <w:rPr>
          <w:rFonts w:ascii="Times New Roman" w:hAnsi="Times New Roman" w:cs="Times New Roman"/>
          <w:sz w:val="28"/>
          <w:szCs w:val="28"/>
          <w:lang w:val="uk-UA"/>
        </w:rPr>
        <w:t xml:space="preserve">супроводжується </w:t>
      </w:r>
      <w:r w:rsidR="00D16FBA" w:rsidRPr="00D16FBA">
        <w:rPr>
          <w:rFonts w:ascii="Times New Roman" w:hAnsi="Times New Roman" w:cs="Times New Roman"/>
          <w:sz w:val="28"/>
          <w:szCs w:val="28"/>
          <w:lang w:val="uk-UA"/>
        </w:rPr>
        <w:t>зниженн</w:t>
      </w:r>
      <w:r w:rsidR="00D16FBA">
        <w:rPr>
          <w:rFonts w:ascii="Times New Roman" w:hAnsi="Times New Roman" w:cs="Times New Roman"/>
          <w:sz w:val="28"/>
          <w:szCs w:val="28"/>
          <w:lang w:val="uk-UA"/>
        </w:rPr>
        <w:t>ям ризику мікросудинних усклад</w:t>
      </w:r>
      <w:r w:rsidR="00D16FBA" w:rsidRPr="00D16FBA">
        <w:rPr>
          <w:rFonts w:ascii="Times New Roman" w:hAnsi="Times New Roman" w:cs="Times New Roman"/>
          <w:sz w:val="28"/>
          <w:szCs w:val="28"/>
          <w:lang w:val="uk-UA"/>
        </w:rPr>
        <w:t>нень (ретинопатії, нефропатії) на 35</w:t>
      </w:r>
      <w:r w:rsidR="00716848">
        <w:rPr>
          <w:rFonts w:ascii="Times New Roman" w:hAnsi="Times New Roman" w:cs="Times New Roman"/>
          <w:sz w:val="28"/>
          <w:szCs w:val="28"/>
          <w:lang w:val="uk-UA"/>
        </w:rPr>
        <w:t xml:space="preserve"> </w:t>
      </w:r>
      <w:r w:rsidR="00D16FBA" w:rsidRPr="00D16FBA">
        <w:rPr>
          <w:rFonts w:ascii="Times New Roman" w:hAnsi="Times New Roman" w:cs="Times New Roman"/>
          <w:sz w:val="28"/>
          <w:szCs w:val="28"/>
          <w:lang w:val="uk-UA"/>
        </w:rPr>
        <w:t>%</w:t>
      </w:r>
      <w:r w:rsidR="00D16FBA">
        <w:rPr>
          <w:rFonts w:ascii="Times New Roman" w:hAnsi="Times New Roman" w:cs="Times New Roman"/>
          <w:sz w:val="28"/>
          <w:szCs w:val="28"/>
          <w:lang w:val="uk-UA"/>
        </w:rPr>
        <w:t xml:space="preserve"> </w:t>
      </w:r>
      <w:r w:rsidR="00D16FBA" w:rsidRPr="004B16DA">
        <w:rPr>
          <w:rFonts w:ascii="Times New Roman" w:hAnsi="Times New Roman" w:cs="Times New Roman"/>
          <w:sz w:val="28"/>
          <w:szCs w:val="28"/>
          <w:lang w:val="uk-UA"/>
        </w:rPr>
        <w:t>[</w:t>
      </w:r>
      <w:r w:rsidR="004B16DA">
        <w:rPr>
          <w:rFonts w:ascii="Times New Roman" w:hAnsi="Times New Roman" w:cs="Times New Roman"/>
          <w:sz w:val="28"/>
          <w:szCs w:val="28"/>
          <w:lang w:val="uk-UA"/>
        </w:rPr>
        <w:t>142</w:t>
      </w:r>
      <w:r w:rsidR="00D16FBA" w:rsidRPr="00D16FBA">
        <w:rPr>
          <w:rFonts w:ascii="Times New Roman" w:hAnsi="Times New Roman" w:cs="Times New Roman"/>
          <w:sz w:val="28"/>
          <w:szCs w:val="28"/>
          <w:lang w:val="uk-UA"/>
        </w:rPr>
        <w:t>].</w:t>
      </w:r>
      <w:r w:rsidR="00D16FBA">
        <w:rPr>
          <w:rFonts w:ascii="Times New Roman" w:hAnsi="Times New Roman" w:cs="Times New Roman"/>
          <w:sz w:val="28"/>
          <w:szCs w:val="28"/>
          <w:lang w:val="uk-UA"/>
        </w:rPr>
        <w:t xml:space="preserve"> </w:t>
      </w:r>
    </w:p>
    <w:p w:rsidR="00007339" w:rsidRPr="00B461CC" w:rsidRDefault="00B6759C" w:rsidP="00D16FB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Глікемія натще склала (9,26 </w:t>
      </w:r>
      <w:r w:rsidRPr="00B6759C">
        <w:rPr>
          <w:rFonts w:ascii="Times New Roman" w:hAnsi="Times New Roman" w:cs="Times New Roman"/>
          <w:sz w:val="28"/>
          <w:szCs w:val="28"/>
          <w:lang w:val="uk-UA"/>
        </w:rPr>
        <w:t>±</w:t>
      </w:r>
      <w:r>
        <w:rPr>
          <w:rFonts w:ascii="Times New Roman" w:hAnsi="Times New Roman" w:cs="Times New Roman"/>
          <w:sz w:val="28"/>
          <w:szCs w:val="28"/>
          <w:lang w:val="uk-UA"/>
        </w:rPr>
        <w:t xml:space="preserve"> 0,14) ммоль/л, вміст </w:t>
      </w:r>
      <w:r w:rsidRPr="00B6759C">
        <w:rPr>
          <w:rFonts w:ascii="Times New Roman" w:hAnsi="Times New Roman" w:cs="Times New Roman"/>
          <w:sz w:val="28"/>
          <w:szCs w:val="28"/>
          <w:lang w:val="uk-UA"/>
        </w:rPr>
        <w:t>HbA1с</w:t>
      </w:r>
      <w:r>
        <w:rPr>
          <w:rFonts w:ascii="Times New Roman" w:hAnsi="Times New Roman" w:cs="Times New Roman"/>
          <w:sz w:val="28"/>
          <w:szCs w:val="28"/>
          <w:lang w:val="uk-UA"/>
        </w:rPr>
        <w:t xml:space="preserve"> – (8,48           </w:t>
      </w:r>
      <w:r w:rsidRPr="00B6759C">
        <w:rPr>
          <w:rFonts w:ascii="Times New Roman" w:hAnsi="Times New Roman" w:cs="Times New Roman"/>
          <w:sz w:val="28"/>
          <w:szCs w:val="28"/>
          <w:lang w:val="uk-UA"/>
        </w:rPr>
        <w:t>±</w:t>
      </w:r>
      <w:r>
        <w:rPr>
          <w:rFonts w:ascii="Times New Roman" w:hAnsi="Times New Roman" w:cs="Times New Roman"/>
          <w:sz w:val="28"/>
          <w:szCs w:val="28"/>
          <w:lang w:val="uk-UA"/>
        </w:rPr>
        <w:t xml:space="preserve"> 0,14) % у пацієнтів І групи. Достовірне зростання вмісту </w:t>
      </w:r>
      <w:r w:rsidRPr="00B6759C">
        <w:rPr>
          <w:rFonts w:ascii="Times New Roman" w:hAnsi="Times New Roman" w:cs="Times New Roman"/>
          <w:sz w:val="28"/>
          <w:szCs w:val="28"/>
          <w:lang w:val="uk-UA"/>
        </w:rPr>
        <w:t>HbA1с</w:t>
      </w:r>
      <w:r>
        <w:rPr>
          <w:rFonts w:ascii="Times New Roman" w:hAnsi="Times New Roman" w:cs="Times New Roman"/>
          <w:sz w:val="28"/>
          <w:szCs w:val="28"/>
          <w:lang w:val="uk-UA"/>
        </w:rPr>
        <w:t xml:space="preserve"> </w:t>
      </w:r>
      <w:r w:rsidR="00FF1585" w:rsidRPr="00FF15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збільшенням глікемії  </w:t>
      </w:r>
      <w:r w:rsidR="00007339" w:rsidRPr="00E67A1F">
        <w:rPr>
          <w:rFonts w:ascii="Times New Roman" w:hAnsi="Times New Roman" w:cs="Times New Roman"/>
          <w:sz w:val="28"/>
          <w:szCs w:val="28"/>
          <w:lang w:val="uk-UA"/>
        </w:rPr>
        <w:t>(</w:t>
      </w:r>
      <w:r w:rsidR="00007339" w:rsidRPr="00E67A1F">
        <w:rPr>
          <w:rFonts w:ascii="Times New Roman" w:hAnsi="Times New Roman" w:cs="Times New Roman"/>
          <w:sz w:val="28"/>
          <w:szCs w:val="28"/>
          <w:lang w:val="en-US"/>
        </w:rPr>
        <w:t>r</w:t>
      </w:r>
      <w:r w:rsidR="00E67A1F" w:rsidRPr="00E67A1F">
        <w:rPr>
          <w:rFonts w:ascii="Times New Roman" w:hAnsi="Times New Roman" w:cs="Times New Roman"/>
          <w:sz w:val="28"/>
          <w:szCs w:val="28"/>
          <w:lang w:val="uk-UA"/>
        </w:rPr>
        <w:t xml:space="preserve"> = 0</w:t>
      </w:r>
      <w:r w:rsidR="00E67A1F" w:rsidRPr="00F05385">
        <w:rPr>
          <w:rFonts w:ascii="Times New Roman" w:hAnsi="Times New Roman" w:cs="Times New Roman"/>
          <w:sz w:val="28"/>
          <w:szCs w:val="28"/>
          <w:lang w:val="uk-UA"/>
        </w:rPr>
        <w:t>,43</w:t>
      </w:r>
      <w:r w:rsidR="00007339" w:rsidRPr="00E67A1F">
        <w:rPr>
          <w:rFonts w:ascii="Times New Roman" w:hAnsi="Times New Roman" w:cs="Times New Roman"/>
          <w:sz w:val="28"/>
          <w:szCs w:val="28"/>
          <w:lang w:val="uk-UA"/>
        </w:rPr>
        <w:t>; р &lt; 0,0001)</w:t>
      </w:r>
      <w:r w:rsidR="002F5580">
        <w:rPr>
          <w:rFonts w:ascii="Times New Roman" w:hAnsi="Times New Roman" w:cs="Times New Roman"/>
          <w:sz w:val="28"/>
          <w:szCs w:val="28"/>
          <w:lang w:val="uk-UA"/>
        </w:rPr>
        <w:t xml:space="preserve"> </w:t>
      </w:r>
      <w:r w:rsidR="0067336B">
        <w:rPr>
          <w:rFonts w:ascii="Times New Roman" w:hAnsi="Times New Roman" w:cs="Times New Roman"/>
          <w:sz w:val="28"/>
          <w:szCs w:val="28"/>
          <w:lang w:val="uk-UA"/>
        </w:rPr>
        <w:t xml:space="preserve">установлено </w:t>
      </w:r>
      <w:r w:rsidR="002F5580">
        <w:rPr>
          <w:rFonts w:ascii="Times New Roman" w:hAnsi="Times New Roman" w:cs="Times New Roman"/>
          <w:sz w:val="28"/>
          <w:szCs w:val="28"/>
          <w:lang w:val="uk-UA"/>
        </w:rPr>
        <w:t xml:space="preserve">саме при </w:t>
      </w:r>
      <w:r w:rsidR="00B461CC">
        <w:rPr>
          <w:rFonts w:ascii="Times New Roman" w:hAnsi="Times New Roman" w:cs="Times New Roman"/>
          <w:sz w:val="28"/>
          <w:szCs w:val="28"/>
          <w:lang w:val="uk-UA"/>
        </w:rPr>
        <w:t>комор</w:t>
      </w:r>
      <w:r w:rsidR="002F5580">
        <w:rPr>
          <w:rFonts w:ascii="Times New Roman" w:hAnsi="Times New Roman" w:cs="Times New Roman"/>
          <w:sz w:val="28"/>
          <w:szCs w:val="28"/>
          <w:lang w:val="uk-UA"/>
        </w:rPr>
        <w:t>бідній патології – АГ і ЦД 2-го типу</w:t>
      </w:r>
      <w:r w:rsidR="00007339" w:rsidRPr="00E67A1F">
        <w:rPr>
          <w:rFonts w:ascii="Times New Roman" w:hAnsi="Times New Roman" w:cs="Times New Roman"/>
          <w:sz w:val="28"/>
          <w:szCs w:val="28"/>
          <w:lang w:val="uk-UA"/>
        </w:rPr>
        <w:t xml:space="preserve">. </w:t>
      </w:r>
      <w:r w:rsidR="00146815">
        <w:rPr>
          <w:rFonts w:ascii="Times New Roman" w:hAnsi="Times New Roman" w:cs="Times New Roman"/>
          <w:sz w:val="28"/>
          <w:szCs w:val="28"/>
          <w:lang w:val="uk-UA"/>
        </w:rPr>
        <w:t>Таким чином,</w:t>
      </w:r>
      <w:r w:rsidR="009C0830">
        <w:rPr>
          <w:rFonts w:ascii="Times New Roman" w:hAnsi="Times New Roman" w:cs="Times New Roman"/>
          <w:sz w:val="28"/>
          <w:szCs w:val="28"/>
          <w:lang w:val="uk-UA"/>
        </w:rPr>
        <w:t xml:space="preserve"> залежність</w:t>
      </w:r>
      <w:r w:rsidR="002F5580" w:rsidRPr="00F779AE">
        <w:rPr>
          <w:rFonts w:ascii="Times New Roman" w:hAnsi="Times New Roman" w:cs="Times New Roman"/>
          <w:sz w:val="28"/>
          <w:szCs w:val="28"/>
          <w:lang w:val="uk-UA"/>
        </w:rPr>
        <w:t xml:space="preserve"> між вказаними показниками у проведено</w:t>
      </w:r>
      <w:r w:rsidR="009C0830">
        <w:rPr>
          <w:rFonts w:ascii="Times New Roman" w:hAnsi="Times New Roman" w:cs="Times New Roman"/>
          <w:sz w:val="28"/>
          <w:szCs w:val="28"/>
          <w:lang w:val="uk-UA"/>
        </w:rPr>
        <w:t>му нами дослідженні виявилася слабкою</w:t>
      </w:r>
      <w:r w:rsidR="00B461CC" w:rsidRPr="00F779AE">
        <w:rPr>
          <w:rFonts w:ascii="Times New Roman" w:hAnsi="Times New Roman" w:cs="Times New Roman"/>
          <w:sz w:val="28"/>
          <w:szCs w:val="28"/>
        </w:rPr>
        <w:t>.</w:t>
      </w:r>
      <w:r w:rsidR="00B461CC" w:rsidRPr="00F779AE">
        <w:rPr>
          <w:rFonts w:ascii="Times New Roman" w:hAnsi="Times New Roman" w:cs="Times New Roman"/>
          <w:sz w:val="28"/>
          <w:szCs w:val="28"/>
          <w:lang w:val="uk-UA"/>
        </w:rPr>
        <w:t xml:space="preserve"> Це можна пояснити тим, що не лише глікемія впливає на с</w:t>
      </w:r>
      <w:r>
        <w:rPr>
          <w:rFonts w:ascii="Times New Roman" w:hAnsi="Times New Roman" w:cs="Times New Roman"/>
          <w:sz w:val="28"/>
          <w:szCs w:val="28"/>
          <w:lang w:val="uk-UA"/>
        </w:rPr>
        <w:t>тупінь компенсації ЦД 2-го типу. В</w:t>
      </w:r>
      <w:r w:rsidR="00B461CC" w:rsidRPr="00F779AE">
        <w:rPr>
          <w:rFonts w:ascii="Times New Roman" w:hAnsi="Times New Roman" w:cs="Times New Roman"/>
          <w:sz w:val="28"/>
          <w:szCs w:val="28"/>
          <w:lang w:val="uk-UA"/>
        </w:rPr>
        <w:t xml:space="preserve">ажливе значення саме за наявної супутньої АГ відіграють і інші чинники – дисліпідемія, альбумінурія, гіпертрофія міокарда ЛШ, </w:t>
      </w:r>
      <w:r w:rsidR="00FF1585" w:rsidRPr="00FF1585">
        <w:rPr>
          <w:rFonts w:ascii="Times New Roman" w:hAnsi="Times New Roman" w:cs="Times New Roman"/>
          <w:sz w:val="28"/>
          <w:szCs w:val="28"/>
          <w:lang w:val="uk-UA"/>
        </w:rPr>
        <w:t xml:space="preserve">         </w:t>
      </w:r>
      <w:r w:rsidR="00B461CC" w:rsidRPr="00F779AE">
        <w:rPr>
          <w:rFonts w:ascii="Times New Roman" w:hAnsi="Times New Roman" w:cs="Times New Roman"/>
          <w:sz w:val="28"/>
          <w:szCs w:val="28"/>
          <w:lang w:val="uk-UA"/>
        </w:rPr>
        <w:t>які виступають ще і в якості незалежних фак</w:t>
      </w:r>
      <w:r w:rsidR="009C0830">
        <w:rPr>
          <w:rFonts w:ascii="Times New Roman" w:hAnsi="Times New Roman" w:cs="Times New Roman"/>
          <w:sz w:val="28"/>
          <w:szCs w:val="28"/>
          <w:lang w:val="uk-UA"/>
        </w:rPr>
        <w:t xml:space="preserve">торів ризику розвитку ССУ </w:t>
      </w:r>
      <w:r w:rsidR="00FF1585" w:rsidRPr="00FF1585">
        <w:rPr>
          <w:rFonts w:ascii="Times New Roman" w:hAnsi="Times New Roman" w:cs="Times New Roman"/>
          <w:sz w:val="28"/>
          <w:szCs w:val="28"/>
          <w:lang w:val="uk-UA"/>
        </w:rPr>
        <w:t xml:space="preserve">         </w:t>
      </w:r>
      <w:r w:rsidR="009C0830">
        <w:rPr>
          <w:rFonts w:ascii="Times New Roman" w:hAnsi="Times New Roman" w:cs="Times New Roman"/>
          <w:sz w:val="28"/>
          <w:szCs w:val="28"/>
          <w:lang w:val="uk-UA"/>
        </w:rPr>
        <w:t>у хворих</w:t>
      </w:r>
      <w:r w:rsidR="00B461CC" w:rsidRPr="00F779AE">
        <w:rPr>
          <w:rFonts w:ascii="Times New Roman" w:hAnsi="Times New Roman" w:cs="Times New Roman"/>
          <w:sz w:val="28"/>
          <w:szCs w:val="28"/>
          <w:lang w:val="uk-UA"/>
        </w:rPr>
        <w:t xml:space="preserve"> </w:t>
      </w:r>
      <w:r w:rsidR="0067336B">
        <w:rPr>
          <w:rFonts w:ascii="Times New Roman" w:hAnsi="Times New Roman" w:cs="Times New Roman"/>
          <w:sz w:val="28"/>
          <w:szCs w:val="28"/>
          <w:lang w:val="uk-UA"/>
        </w:rPr>
        <w:t>на зазначену коморбідну патологі</w:t>
      </w:r>
      <w:r w:rsidR="00B461CC" w:rsidRPr="00F779AE">
        <w:rPr>
          <w:rFonts w:ascii="Times New Roman" w:hAnsi="Times New Roman" w:cs="Times New Roman"/>
          <w:sz w:val="28"/>
          <w:szCs w:val="28"/>
          <w:lang w:val="uk-UA"/>
        </w:rPr>
        <w:t>ю.</w:t>
      </w:r>
    </w:p>
    <w:p w:rsidR="0067336B" w:rsidRPr="00243724" w:rsidRDefault="005B446C" w:rsidP="00243724">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716848">
        <w:rPr>
          <w:rFonts w:ascii="Times New Roman" w:hAnsi="Times New Roman" w:cs="Times New Roman"/>
          <w:sz w:val="28"/>
          <w:szCs w:val="28"/>
          <w:lang w:val="uk-UA"/>
        </w:rPr>
        <w:t xml:space="preserve"> пацієнтів </w:t>
      </w:r>
      <w:r>
        <w:rPr>
          <w:rFonts w:ascii="Times New Roman" w:hAnsi="Times New Roman" w:cs="Times New Roman"/>
          <w:sz w:val="28"/>
          <w:szCs w:val="28"/>
          <w:lang w:val="uk-UA"/>
        </w:rPr>
        <w:t xml:space="preserve">І групи </w:t>
      </w:r>
      <w:r w:rsidR="001F78E6">
        <w:rPr>
          <w:rFonts w:ascii="Times New Roman" w:hAnsi="Times New Roman" w:cs="Times New Roman"/>
          <w:sz w:val="28"/>
          <w:szCs w:val="28"/>
          <w:lang w:val="uk-UA"/>
        </w:rPr>
        <w:t xml:space="preserve">із меншим та більшим за 8,0 % вмістом </w:t>
      </w:r>
      <w:r w:rsidR="001F78E6" w:rsidRPr="001F78E6">
        <w:rPr>
          <w:rFonts w:ascii="Times New Roman" w:hAnsi="Times New Roman" w:cs="Times New Roman"/>
          <w:sz w:val="28"/>
          <w:szCs w:val="28"/>
          <w:lang w:val="uk-UA"/>
        </w:rPr>
        <w:t xml:space="preserve">HbA1с </w:t>
      </w:r>
      <w:r w:rsidR="00431125">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 xml:space="preserve">вміст </w:t>
      </w:r>
      <w:r w:rsidRPr="005B446C">
        <w:rPr>
          <w:rFonts w:ascii="Times New Roman" w:hAnsi="Times New Roman" w:cs="Times New Roman"/>
          <w:sz w:val="28"/>
          <w:szCs w:val="28"/>
          <w:lang w:val="uk-UA"/>
        </w:rPr>
        <w:t xml:space="preserve">ЗХС </w:t>
      </w:r>
      <w:r w:rsidR="00431125">
        <w:rPr>
          <w:rFonts w:ascii="Times New Roman" w:hAnsi="Times New Roman" w:cs="Times New Roman"/>
          <w:sz w:val="28"/>
          <w:szCs w:val="28"/>
          <w:lang w:val="uk-UA"/>
        </w:rPr>
        <w:t>с</w:t>
      </w:r>
      <w:r w:rsidR="00D9643E">
        <w:rPr>
          <w:rFonts w:ascii="Times New Roman" w:hAnsi="Times New Roman" w:cs="Times New Roman"/>
          <w:sz w:val="28"/>
          <w:szCs w:val="28"/>
          <w:lang w:val="uk-UA"/>
        </w:rPr>
        <w:t>тановив</w:t>
      </w:r>
      <w:r w:rsidR="00431125">
        <w:rPr>
          <w:rFonts w:ascii="Times New Roman" w:hAnsi="Times New Roman" w:cs="Times New Roman"/>
          <w:sz w:val="28"/>
          <w:szCs w:val="28"/>
          <w:lang w:val="uk-UA"/>
        </w:rPr>
        <w:t xml:space="preserve"> (5,51</w:t>
      </w:r>
      <w:r w:rsidR="00D9643E">
        <w:rPr>
          <w:rFonts w:ascii="Times New Roman" w:hAnsi="Times New Roman" w:cs="Times New Roman"/>
          <w:sz w:val="28"/>
          <w:szCs w:val="28"/>
          <w:lang w:val="uk-UA"/>
        </w:rPr>
        <w:t xml:space="preserve"> </w:t>
      </w:r>
      <w:r w:rsidR="00431125">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431125">
        <w:rPr>
          <w:rFonts w:ascii="Times New Roman" w:hAnsi="Times New Roman" w:cs="Times New Roman"/>
          <w:sz w:val="28"/>
          <w:szCs w:val="28"/>
          <w:lang w:val="uk-UA"/>
        </w:rPr>
        <w:t>0,13</w:t>
      </w:r>
      <w:r w:rsidR="00AF54E7">
        <w:rPr>
          <w:rFonts w:ascii="Times New Roman" w:hAnsi="Times New Roman" w:cs="Times New Roman"/>
          <w:sz w:val="28"/>
          <w:szCs w:val="28"/>
          <w:lang w:val="uk-UA"/>
        </w:rPr>
        <w:t>) ммо</w:t>
      </w:r>
      <w:r w:rsidR="00431125">
        <w:rPr>
          <w:rFonts w:ascii="Times New Roman" w:hAnsi="Times New Roman" w:cs="Times New Roman"/>
          <w:sz w:val="28"/>
          <w:szCs w:val="28"/>
          <w:lang w:val="uk-UA"/>
        </w:rPr>
        <w:t>ль/л, (5,06</w:t>
      </w:r>
      <w:r w:rsidR="00D9643E">
        <w:rPr>
          <w:rFonts w:ascii="Times New Roman" w:hAnsi="Times New Roman" w:cs="Times New Roman"/>
          <w:sz w:val="28"/>
          <w:szCs w:val="28"/>
          <w:lang w:val="uk-UA"/>
        </w:rPr>
        <w:t xml:space="preserve"> </w:t>
      </w:r>
      <w:r w:rsidR="00431125">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431125">
        <w:rPr>
          <w:rFonts w:ascii="Times New Roman" w:hAnsi="Times New Roman" w:cs="Times New Roman"/>
          <w:sz w:val="28"/>
          <w:szCs w:val="28"/>
          <w:lang w:val="uk-UA"/>
        </w:rPr>
        <w:t>0,15</w:t>
      </w:r>
      <w:r w:rsidR="00AF54E7">
        <w:rPr>
          <w:rFonts w:ascii="Times New Roman" w:hAnsi="Times New Roman" w:cs="Times New Roman"/>
          <w:sz w:val="28"/>
          <w:szCs w:val="28"/>
          <w:lang w:val="uk-UA"/>
        </w:rPr>
        <w:t>) ммоль/л</w:t>
      </w:r>
      <w:r w:rsidR="004706D8" w:rsidRPr="008707FF">
        <w:rPr>
          <w:rFonts w:ascii="Times New Roman" w:hAnsi="Times New Roman" w:cs="Times New Roman"/>
          <w:sz w:val="28"/>
          <w:szCs w:val="28"/>
          <w:lang w:val="uk-UA"/>
        </w:rPr>
        <w:t xml:space="preserve">, </w:t>
      </w:r>
      <w:r w:rsidR="0067336B">
        <w:rPr>
          <w:rFonts w:ascii="Times New Roman" w:hAnsi="Times New Roman" w:cs="Times New Roman"/>
          <w:sz w:val="28"/>
          <w:szCs w:val="28"/>
          <w:lang w:val="uk-UA"/>
        </w:rPr>
        <w:t xml:space="preserve">   </w:t>
      </w:r>
      <w:r w:rsidR="004706D8" w:rsidRPr="008707FF">
        <w:rPr>
          <w:rFonts w:ascii="Times New Roman" w:hAnsi="Times New Roman" w:cs="Times New Roman"/>
          <w:sz w:val="28"/>
          <w:szCs w:val="28"/>
          <w:lang w:val="en-US"/>
        </w:rPr>
        <w:t>p</w:t>
      </w:r>
      <w:r w:rsidR="00B16A05">
        <w:rPr>
          <w:rFonts w:ascii="Times New Roman" w:hAnsi="Times New Roman" w:cs="Times New Roman"/>
          <w:sz w:val="28"/>
          <w:szCs w:val="28"/>
          <w:lang w:val="uk-UA"/>
        </w:rPr>
        <w:t xml:space="preserve"> </w:t>
      </w:r>
      <w:r w:rsidR="00B16A05" w:rsidRPr="00B16A05">
        <w:rPr>
          <w:rFonts w:ascii="Times New Roman" w:hAnsi="Times New Roman" w:cs="Times New Roman"/>
          <w:sz w:val="28"/>
          <w:szCs w:val="28"/>
          <w:lang w:val="uk-UA"/>
        </w:rPr>
        <w:t>=</w:t>
      </w:r>
      <w:r w:rsidR="00B16A05">
        <w:rPr>
          <w:rFonts w:ascii="Times New Roman" w:hAnsi="Times New Roman" w:cs="Times New Roman"/>
          <w:sz w:val="28"/>
          <w:szCs w:val="28"/>
          <w:lang w:val="uk-UA"/>
        </w:rPr>
        <w:t xml:space="preserve"> 0,0</w:t>
      </w:r>
      <w:r w:rsidR="00431125">
        <w:rPr>
          <w:rFonts w:ascii="Times New Roman" w:hAnsi="Times New Roman" w:cs="Times New Roman"/>
          <w:sz w:val="28"/>
          <w:szCs w:val="28"/>
          <w:lang w:val="uk-UA"/>
        </w:rPr>
        <w:t xml:space="preserve">449; </w:t>
      </w:r>
      <w:r w:rsidR="0067336B">
        <w:rPr>
          <w:rFonts w:ascii="Times New Roman" w:hAnsi="Times New Roman" w:cs="Times New Roman"/>
          <w:sz w:val="28"/>
          <w:szCs w:val="28"/>
          <w:lang w:val="uk-UA"/>
        </w:rPr>
        <w:t xml:space="preserve">ХС </w:t>
      </w:r>
      <w:r w:rsidR="00431125">
        <w:rPr>
          <w:rFonts w:ascii="Times New Roman" w:hAnsi="Times New Roman" w:cs="Times New Roman"/>
          <w:sz w:val="28"/>
          <w:szCs w:val="28"/>
          <w:lang w:val="uk-UA"/>
        </w:rPr>
        <w:t>ЛПВЩ – (1,22</w:t>
      </w:r>
      <w:r w:rsidR="00D9643E">
        <w:rPr>
          <w:rFonts w:ascii="Times New Roman" w:hAnsi="Times New Roman" w:cs="Times New Roman"/>
          <w:sz w:val="28"/>
          <w:szCs w:val="28"/>
          <w:lang w:val="uk-UA"/>
        </w:rPr>
        <w:t xml:space="preserve"> </w:t>
      </w:r>
      <w:r w:rsidR="00B16A05">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B16A05">
        <w:rPr>
          <w:rFonts w:ascii="Times New Roman" w:hAnsi="Times New Roman" w:cs="Times New Roman"/>
          <w:sz w:val="28"/>
          <w:szCs w:val="28"/>
          <w:lang w:val="uk-UA"/>
        </w:rPr>
        <w:t>0,0</w:t>
      </w:r>
      <w:r w:rsidR="00B16A05" w:rsidRPr="00B16A05">
        <w:rPr>
          <w:rFonts w:ascii="Times New Roman" w:hAnsi="Times New Roman" w:cs="Times New Roman"/>
          <w:sz w:val="28"/>
          <w:szCs w:val="28"/>
          <w:lang w:val="uk-UA"/>
        </w:rPr>
        <w:t>2</w:t>
      </w:r>
      <w:r w:rsidR="00431125">
        <w:rPr>
          <w:rFonts w:ascii="Times New Roman" w:hAnsi="Times New Roman" w:cs="Times New Roman"/>
          <w:sz w:val="28"/>
          <w:szCs w:val="28"/>
          <w:lang w:val="uk-UA"/>
        </w:rPr>
        <w:t>) ммоль/л, (1,13</w:t>
      </w:r>
      <w:r w:rsidR="00D9643E">
        <w:rPr>
          <w:rFonts w:ascii="Times New Roman" w:hAnsi="Times New Roman" w:cs="Times New Roman"/>
          <w:sz w:val="28"/>
          <w:szCs w:val="28"/>
          <w:lang w:val="uk-UA"/>
        </w:rPr>
        <w:t xml:space="preserve"> </w:t>
      </w:r>
      <w:r w:rsidR="00431125">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431125">
        <w:rPr>
          <w:rFonts w:ascii="Times New Roman" w:hAnsi="Times New Roman" w:cs="Times New Roman"/>
          <w:sz w:val="28"/>
          <w:szCs w:val="28"/>
          <w:lang w:val="uk-UA"/>
        </w:rPr>
        <w:t>0,03</w:t>
      </w:r>
      <w:r w:rsidR="00B16A05">
        <w:rPr>
          <w:rFonts w:ascii="Times New Roman" w:hAnsi="Times New Roman" w:cs="Times New Roman"/>
          <w:sz w:val="28"/>
          <w:szCs w:val="28"/>
          <w:lang w:val="uk-UA"/>
        </w:rPr>
        <w:t xml:space="preserve">), </w:t>
      </w:r>
      <w:r w:rsidR="004706D8" w:rsidRPr="008707FF">
        <w:rPr>
          <w:rFonts w:ascii="Times New Roman" w:hAnsi="Times New Roman" w:cs="Times New Roman"/>
          <w:sz w:val="28"/>
          <w:szCs w:val="28"/>
          <w:lang w:val="uk-UA"/>
        </w:rPr>
        <w:t xml:space="preserve"> </w:t>
      </w:r>
      <w:r w:rsidR="004706D8" w:rsidRPr="008707FF">
        <w:rPr>
          <w:rFonts w:ascii="Times New Roman" w:hAnsi="Times New Roman" w:cs="Times New Roman"/>
          <w:sz w:val="28"/>
          <w:szCs w:val="28"/>
          <w:lang w:val="en-US"/>
        </w:rPr>
        <w:t>p</w:t>
      </w:r>
      <w:r w:rsidR="00B16A05">
        <w:rPr>
          <w:rFonts w:ascii="Times New Roman" w:hAnsi="Times New Roman" w:cs="Times New Roman"/>
          <w:sz w:val="28"/>
          <w:szCs w:val="28"/>
          <w:lang w:val="uk-UA"/>
        </w:rPr>
        <w:t xml:space="preserve"> </w:t>
      </w:r>
      <w:r w:rsidR="00B16A05" w:rsidRPr="00B16A05">
        <w:rPr>
          <w:rFonts w:ascii="Times New Roman" w:hAnsi="Times New Roman" w:cs="Times New Roman"/>
          <w:sz w:val="28"/>
          <w:szCs w:val="28"/>
          <w:lang w:val="uk-UA"/>
        </w:rPr>
        <w:t>=</w:t>
      </w:r>
      <w:r w:rsidR="00B16A05">
        <w:rPr>
          <w:rFonts w:ascii="Times New Roman" w:hAnsi="Times New Roman" w:cs="Times New Roman"/>
          <w:sz w:val="28"/>
          <w:szCs w:val="28"/>
          <w:lang w:val="uk-UA"/>
        </w:rPr>
        <w:t xml:space="preserve"> 0,0</w:t>
      </w:r>
      <w:r w:rsidR="00431125">
        <w:rPr>
          <w:rFonts w:ascii="Times New Roman" w:hAnsi="Times New Roman" w:cs="Times New Roman"/>
          <w:sz w:val="28"/>
          <w:szCs w:val="28"/>
          <w:lang w:val="uk-UA"/>
        </w:rPr>
        <w:t xml:space="preserve">367;  </w:t>
      </w:r>
      <w:r w:rsidR="0067336B">
        <w:rPr>
          <w:rFonts w:ascii="Times New Roman" w:hAnsi="Times New Roman" w:cs="Times New Roman"/>
          <w:sz w:val="28"/>
          <w:szCs w:val="28"/>
          <w:lang w:val="uk-UA"/>
        </w:rPr>
        <w:t xml:space="preserve">ХС </w:t>
      </w:r>
      <w:r w:rsidR="00431125">
        <w:rPr>
          <w:rFonts w:ascii="Times New Roman" w:hAnsi="Times New Roman" w:cs="Times New Roman"/>
          <w:sz w:val="28"/>
          <w:szCs w:val="28"/>
          <w:lang w:val="uk-UA"/>
        </w:rPr>
        <w:t>ЛПНЩ – (2,93</w:t>
      </w:r>
      <w:r w:rsidR="00D9643E">
        <w:rPr>
          <w:rFonts w:ascii="Times New Roman" w:hAnsi="Times New Roman" w:cs="Times New Roman"/>
          <w:sz w:val="28"/>
          <w:szCs w:val="28"/>
          <w:lang w:val="uk-UA"/>
        </w:rPr>
        <w:t xml:space="preserve"> </w:t>
      </w:r>
      <w:r w:rsidR="00B16A05">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B16A05">
        <w:rPr>
          <w:rFonts w:ascii="Times New Roman" w:hAnsi="Times New Roman" w:cs="Times New Roman"/>
          <w:sz w:val="28"/>
          <w:szCs w:val="28"/>
          <w:lang w:val="uk-UA"/>
        </w:rPr>
        <w:t>0,0</w:t>
      </w:r>
      <w:r w:rsidR="00431125">
        <w:rPr>
          <w:rFonts w:ascii="Times New Roman" w:hAnsi="Times New Roman" w:cs="Times New Roman"/>
          <w:sz w:val="28"/>
          <w:szCs w:val="28"/>
          <w:lang w:val="uk-UA"/>
        </w:rPr>
        <w:t>8</w:t>
      </w:r>
      <w:r w:rsidR="004706D8" w:rsidRPr="008707FF">
        <w:rPr>
          <w:rFonts w:ascii="Times New Roman" w:hAnsi="Times New Roman" w:cs="Times New Roman"/>
          <w:sz w:val="28"/>
          <w:szCs w:val="28"/>
          <w:lang w:val="uk-UA"/>
        </w:rPr>
        <w:t>) м</w:t>
      </w:r>
      <w:r>
        <w:rPr>
          <w:rFonts w:ascii="Times New Roman" w:hAnsi="Times New Roman" w:cs="Times New Roman"/>
          <w:sz w:val="28"/>
          <w:szCs w:val="28"/>
          <w:lang w:val="uk-UA"/>
        </w:rPr>
        <w:t xml:space="preserve">моль/л, </w:t>
      </w:r>
      <w:r w:rsidR="00431125">
        <w:rPr>
          <w:rFonts w:ascii="Times New Roman" w:hAnsi="Times New Roman" w:cs="Times New Roman"/>
          <w:sz w:val="28"/>
          <w:szCs w:val="28"/>
          <w:lang w:val="uk-UA"/>
        </w:rPr>
        <w:t>(2,78</w:t>
      </w:r>
      <w:r w:rsidR="00D9643E">
        <w:rPr>
          <w:rFonts w:ascii="Times New Roman" w:hAnsi="Times New Roman" w:cs="Times New Roman"/>
          <w:sz w:val="28"/>
          <w:szCs w:val="28"/>
          <w:lang w:val="uk-UA"/>
        </w:rPr>
        <w:t xml:space="preserve"> </w:t>
      </w:r>
      <w:r w:rsidR="00B16A05">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B16A05">
        <w:rPr>
          <w:rFonts w:ascii="Times New Roman" w:hAnsi="Times New Roman" w:cs="Times New Roman"/>
          <w:sz w:val="28"/>
          <w:szCs w:val="28"/>
          <w:lang w:val="uk-UA"/>
        </w:rPr>
        <w:t>0,0</w:t>
      </w:r>
      <w:r w:rsidR="00431125">
        <w:rPr>
          <w:rFonts w:ascii="Times New Roman" w:hAnsi="Times New Roman" w:cs="Times New Roman"/>
          <w:sz w:val="28"/>
          <w:szCs w:val="28"/>
          <w:lang w:val="uk-UA"/>
        </w:rPr>
        <w:t>3</w:t>
      </w:r>
      <w:r w:rsidR="00C30FB4">
        <w:rPr>
          <w:rFonts w:ascii="Times New Roman" w:hAnsi="Times New Roman" w:cs="Times New Roman"/>
          <w:sz w:val="28"/>
          <w:szCs w:val="28"/>
          <w:lang w:val="uk-UA"/>
        </w:rPr>
        <w:t>) ммоль/л,</w:t>
      </w:r>
      <w:r>
        <w:rPr>
          <w:rFonts w:ascii="Times New Roman" w:hAnsi="Times New Roman" w:cs="Times New Roman"/>
          <w:sz w:val="28"/>
          <w:szCs w:val="28"/>
          <w:lang w:val="uk-UA"/>
        </w:rPr>
        <w:t xml:space="preserve"> </w:t>
      </w:r>
      <w:r w:rsidR="004706D8" w:rsidRPr="008707FF">
        <w:rPr>
          <w:rFonts w:ascii="Times New Roman" w:hAnsi="Times New Roman" w:cs="Times New Roman"/>
          <w:sz w:val="28"/>
          <w:szCs w:val="28"/>
          <w:lang w:val="en-US"/>
        </w:rPr>
        <w:t>p</w:t>
      </w:r>
      <w:r w:rsidR="00B16A05">
        <w:rPr>
          <w:rFonts w:ascii="Times New Roman" w:hAnsi="Times New Roman" w:cs="Times New Roman"/>
          <w:sz w:val="28"/>
          <w:szCs w:val="28"/>
          <w:lang w:val="uk-UA"/>
        </w:rPr>
        <w:t xml:space="preserve"> </w:t>
      </w:r>
      <w:r w:rsidR="00B16A05" w:rsidRPr="00B16A05">
        <w:rPr>
          <w:rFonts w:ascii="Times New Roman" w:hAnsi="Times New Roman" w:cs="Times New Roman"/>
          <w:sz w:val="28"/>
          <w:szCs w:val="28"/>
          <w:lang w:val="uk-UA"/>
        </w:rPr>
        <w:t>=</w:t>
      </w:r>
      <w:r w:rsidR="00B16A05">
        <w:rPr>
          <w:rFonts w:ascii="Times New Roman" w:hAnsi="Times New Roman" w:cs="Times New Roman"/>
          <w:sz w:val="28"/>
          <w:szCs w:val="28"/>
          <w:lang w:val="uk-UA"/>
        </w:rPr>
        <w:t xml:space="preserve"> 0,0</w:t>
      </w:r>
      <w:r w:rsidR="00431125">
        <w:rPr>
          <w:rFonts w:ascii="Times New Roman" w:hAnsi="Times New Roman" w:cs="Times New Roman"/>
          <w:sz w:val="28"/>
          <w:szCs w:val="28"/>
          <w:lang w:val="uk-UA"/>
        </w:rPr>
        <w:t>406</w:t>
      </w:r>
      <w:r w:rsidR="004706D8" w:rsidRPr="008707FF">
        <w:rPr>
          <w:rFonts w:ascii="Times New Roman" w:hAnsi="Times New Roman" w:cs="Times New Roman"/>
          <w:sz w:val="28"/>
          <w:szCs w:val="28"/>
          <w:lang w:val="uk-UA"/>
        </w:rPr>
        <w:t>;</w:t>
      </w:r>
      <w:r w:rsidR="005E6150">
        <w:rPr>
          <w:rFonts w:ascii="Times New Roman" w:hAnsi="Times New Roman" w:cs="Times New Roman"/>
          <w:sz w:val="28"/>
          <w:szCs w:val="28"/>
          <w:lang w:val="uk-UA"/>
        </w:rPr>
        <w:t xml:space="preserve"> </w:t>
      </w:r>
      <w:r w:rsidR="0067336B">
        <w:rPr>
          <w:rFonts w:ascii="Times New Roman" w:hAnsi="Times New Roman" w:cs="Times New Roman"/>
          <w:sz w:val="28"/>
          <w:szCs w:val="28"/>
          <w:lang w:val="uk-UA"/>
        </w:rPr>
        <w:t xml:space="preserve">ХС </w:t>
      </w:r>
      <w:r w:rsidR="005E6150">
        <w:rPr>
          <w:rFonts w:ascii="Times New Roman" w:hAnsi="Times New Roman" w:cs="Times New Roman"/>
          <w:sz w:val="28"/>
          <w:szCs w:val="28"/>
          <w:lang w:val="uk-UA"/>
        </w:rPr>
        <w:t>ЛПДНЩ – (1,36</w:t>
      </w:r>
      <w:r w:rsidR="00D9643E">
        <w:rPr>
          <w:rFonts w:ascii="Times New Roman" w:hAnsi="Times New Roman" w:cs="Times New Roman"/>
          <w:sz w:val="28"/>
          <w:szCs w:val="28"/>
          <w:lang w:val="uk-UA"/>
        </w:rPr>
        <w:t xml:space="preserve"> </w:t>
      </w:r>
      <w:r w:rsidR="005E6150">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5E6150">
        <w:rPr>
          <w:rFonts w:ascii="Times New Roman" w:hAnsi="Times New Roman" w:cs="Times New Roman"/>
          <w:sz w:val="28"/>
          <w:szCs w:val="28"/>
          <w:lang w:val="uk-UA"/>
        </w:rPr>
        <w:t>0,09</w:t>
      </w:r>
      <w:r w:rsidR="005D5D28" w:rsidRPr="008707FF">
        <w:rPr>
          <w:rFonts w:ascii="Times New Roman" w:hAnsi="Times New Roman" w:cs="Times New Roman"/>
          <w:sz w:val="28"/>
          <w:szCs w:val="28"/>
          <w:lang w:val="uk-UA"/>
        </w:rPr>
        <w:t>) ммо</w:t>
      </w:r>
      <w:r>
        <w:rPr>
          <w:rFonts w:ascii="Times New Roman" w:hAnsi="Times New Roman" w:cs="Times New Roman"/>
          <w:sz w:val="28"/>
          <w:szCs w:val="28"/>
          <w:lang w:val="uk-UA"/>
        </w:rPr>
        <w:t xml:space="preserve">ль/л, </w:t>
      </w:r>
      <w:r w:rsidR="005E6150">
        <w:rPr>
          <w:rFonts w:ascii="Times New Roman" w:hAnsi="Times New Roman" w:cs="Times New Roman"/>
          <w:sz w:val="28"/>
          <w:szCs w:val="28"/>
          <w:lang w:val="uk-UA"/>
        </w:rPr>
        <w:t>(1,15</w:t>
      </w:r>
      <w:r w:rsidR="00D9643E">
        <w:rPr>
          <w:rFonts w:ascii="Times New Roman" w:hAnsi="Times New Roman" w:cs="Times New Roman"/>
          <w:sz w:val="28"/>
          <w:szCs w:val="28"/>
          <w:lang w:val="uk-UA"/>
        </w:rPr>
        <w:t xml:space="preserve"> </w:t>
      </w:r>
      <w:r w:rsidR="00C30FB4">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C30FB4">
        <w:rPr>
          <w:rFonts w:ascii="Times New Roman" w:hAnsi="Times New Roman" w:cs="Times New Roman"/>
          <w:sz w:val="28"/>
          <w:szCs w:val="28"/>
          <w:lang w:val="uk-UA"/>
        </w:rPr>
        <w:t>0,06) ммоль/л,</w:t>
      </w:r>
      <w:r>
        <w:rPr>
          <w:rFonts w:ascii="Times New Roman" w:hAnsi="Times New Roman" w:cs="Times New Roman"/>
          <w:sz w:val="28"/>
          <w:szCs w:val="28"/>
          <w:lang w:val="uk-UA"/>
        </w:rPr>
        <w:t xml:space="preserve"> </w:t>
      </w:r>
      <w:r w:rsidR="005D5D28" w:rsidRPr="008707FF">
        <w:rPr>
          <w:rFonts w:ascii="Times New Roman" w:hAnsi="Times New Roman" w:cs="Times New Roman"/>
          <w:sz w:val="28"/>
          <w:szCs w:val="28"/>
          <w:lang w:val="en-US"/>
        </w:rPr>
        <w:t>p</w:t>
      </w:r>
      <w:r w:rsidR="00B16A05">
        <w:rPr>
          <w:rFonts w:ascii="Times New Roman" w:hAnsi="Times New Roman" w:cs="Times New Roman"/>
          <w:sz w:val="28"/>
          <w:szCs w:val="28"/>
          <w:lang w:val="uk-UA"/>
        </w:rPr>
        <w:t xml:space="preserve"> </w:t>
      </w:r>
      <w:r w:rsidR="00B16A05" w:rsidRPr="00B16A05">
        <w:rPr>
          <w:rFonts w:ascii="Times New Roman" w:hAnsi="Times New Roman" w:cs="Times New Roman"/>
          <w:sz w:val="28"/>
          <w:szCs w:val="28"/>
          <w:lang w:val="uk-UA"/>
        </w:rPr>
        <w:t>=</w:t>
      </w:r>
      <w:r w:rsidR="00B16A05">
        <w:rPr>
          <w:rFonts w:ascii="Times New Roman" w:hAnsi="Times New Roman" w:cs="Times New Roman"/>
          <w:sz w:val="28"/>
          <w:szCs w:val="28"/>
          <w:lang w:val="uk-UA"/>
        </w:rPr>
        <w:t xml:space="preserve"> 0,0</w:t>
      </w:r>
      <w:r w:rsidR="005E6150">
        <w:rPr>
          <w:rFonts w:ascii="Times New Roman" w:hAnsi="Times New Roman" w:cs="Times New Roman"/>
          <w:sz w:val="28"/>
          <w:szCs w:val="28"/>
          <w:lang w:val="uk-UA"/>
        </w:rPr>
        <w:t>473</w:t>
      </w:r>
      <w:r w:rsidR="005D5D28" w:rsidRPr="008707FF">
        <w:rPr>
          <w:rFonts w:ascii="Times New Roman" w:hAnsi="Times New Roman" w:cs="Times New Roman"/>
          <w:sz w:val="28"/>
          <w:szCs w:val="28"/>
          <w:lang w:val="uk-UA"/>
        </w:rPr>
        <w:t xml:space="preserve">; </w:t>
      </w:r>
      <w:r w:rsidR="005E6150">
        <w:rPr>
          <w:rFonts w:ascii="Times New Roman" w:hAnsi="Times New Roman" w:cs="Times New Roman"/>
          <w:sz w:val="28"/>
          <w:szCs w:val="28"/>
          <w:lang w:val="uk-UA"/>
        </w:rPr>
        <w:t>ТГ – (2,18</w:t>
      </w:r>
      <w:r w:rsidR="00D9643E">
        <w:rPr>
          <w:rFonts w:ascii="Times New Roman" w:hAnsi="Times New Roman" w:cs="Times New Roman"/>
          <w:sz w:val="28"/>
          <w:szCs w:val="28"/>
          <w:lang w:val="uk-UA"/>
        </w:rPr>
        <w:t xml:space="preserve"> </w:t>
      </w:r>
      <w:r w:rsidR="005D5D28" w:rsidRPr="008707FF">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5D5D28" w:rsidRPr="008707FF">
        <w:rPr>
          <w:rFonts w:ascii="Times New Roman" w:hAnsi="Times New Roman" w:cs="Times New Roman"/>
          <w:sz w:val="28"/>
          <w:szCs w:val="28"/>
          <w:lang w:val="uk-UA"/>
        </w:rPr>
        <w:t>0,1) мм</w:t>
      </w:r>
      <w:r w:rsidR="005E6150">
        <w:rPr>
          <w:rFonts w:ascii="Times New Roman" w:hAnsi="Times New Roman" w:cs="Times New Roman"/>
          <w:sz w:val="28"/>
          <w:szCs w:val="28"/>
          <w:lang w:val="uk-UA"/>
        </w:rPr>
        <w:t>оль/л, (2,42</w:t>
      </w:r>
      <w:r w:rsidR="00D9643E">
        <w:rPr>
          <w:rFonts w:ascii="Times New Roman" w:hAnsi="Times New Roman" w:cs="Times New Roman"/>
          <w:sz w:val="28"/>
          <w:szCs w:val="28"/>
          <w:lang w:val="uk-UA"/>
        </w:rPr>
        <w:t xml:space="preserve"> </w:t>
      </w:r>
      <w:r w:rsidR="005E6150">
        <w:rPr>
          <w:rFonts w:ascii="Times New Roman" w:hAnsi="Times New Roman" w:cs="Times New Roman"/>
          <w:sz w:val="28"/>
          <w:szCs w:val="28"/>
          <w:lang w:val="uk-UA"/>
        </w:rPr>
        <w:t>±</w:t>
      </w:r>
      <w:r w:rsidR="00D9643E">
        <w:rPr>
          <w:rFonts w:ascii="Times New Roman" w:hAnsi="Times New Roman" w:cs="Times New Roman"/>
          <w:sz w:val="28"/>
          <w:szCs w:val="28"/>
          <w:lang w:val="uk-UA"/>
        </w:rPr>
        <w:t xml:space="preserve"> </w:t>
      </w:r>
      <w:r w:rsidR="005E6150">
        <w:rPr>
          <w:rFonts w:ascii="Times New Roman" w:hAnsi="Times New Roman" w:cs="Times New Roman"/>
          <w:sz w:val="28"/>
          <w:szCs w:val="28"/>
          <w:lang w:val="uk-UA"/>
        </w:rPr>
        <w:t>0,04</w:t>
      </w:r>
      <w:r w:rsidR="00CC6472">
        <w:rPr>
          <w:rFonts w:ascii="Times New Roman" w:hAnsi="Times New Roman" w:cs="Times New Roman"/>
          <w:sz w:val="28"/>
          <w:szCs w:val="28"/>
          <w:lang w:val="uk-UA"/>
        </w:rPr>
        <w:t>) ммоль/л,</w:t>
      </w:r>
      <w:r w:rsidR="00B16A05">
        <w:rPr>
          <w:rFonts w:ascii="Times New Roman" w:hAnsi="Times New Roman" w:cs="Times New Roman"/>
          <w:sz w:val="28"/>
          <w:szCs w:val="28"/>
          <w:lang w:val="uk-UA"/>
        </w:rPr>
        <w:t xml:space="preserve"> </w:t>
      </w:r>
      <w:r w:rsidR="005D5D28" w:rsidRPr="008707FF">
        <w:rPr>
          <w:rFonts w:ascii="Times New Roman" w:hAnsi="Times New Roman" w:cs="Times New Roman"/>
          <w:sz w:val="28"/>
          <w:szCs w:val="28"/>
          <w:lang w:val="en-US"/>
        </w:rPr>
        <w:t>p</w:t>
      </w:r>
      <w:r w:rsidR="00B16A05">
        <w:rPr>
          <w:rFonts w:ascii="Times New Roman" w:hAnsi="Times New Roman" w:cs="Times New Roman"/>
          <w:sz w:val="28"/>
          <w:szCs w:val="28"/>
          <w:lang w:val="uk-UA"/>
        </w:rPr>
        <w:t xml:space="preserve"> </w:t>
      </w:r>
      <w:r w:rsidR="00B16A05" w:rsidRPr="00B16A05">
        <w:rPr>
          <w:rFonts w:ascii="Times New Roman" w:hAnsi="Times New Roman" w:cs="Times New Roman"/>
          <w:sz w:val="28"/>
          <w:szCs w:val="28"/>
          <w:lang w:val="uk-UA"/>
        </w:rPr>
        <w:t>=</w:t>
      </w:r>
      <w:r w:rsidR="00B16A05">
        <w:rPr>
          <w:rFonts w:ascii="Times New Roman" w:hAnsi="Times New Roman" w:cs="Times New Roman"/>
          <w:sz w:val="28"/>
          <w:szCs w:val="28"/>
          <w:lang w:val="uk-UA"/>
        </w:rPr>
        <w:t xml:space="preserve"> 0,0</w:t>
      </w:r>
      <w:r w:rsidR="005E6150">
        <w:rPr>
          <w:rFonts w:ascii="Times New Roman" w:hAnsi="Times New Roman" w:cs="Times New Roman"/>
          <w:sz w:val="28"/>
          <w:szCs w:val="28"/>
          <w:lang w:val="uk-UA"/>
        </w:rPr>
        <w:t>018</w:t>
      </w:r>
      <w:r w:rsidR="004D651D">
        <w:rPr>
          <w:rFonts w:ascii="Times New Roman" w:hAnsi="Times New Roman" w:cs="Times New Roman"/>
          <w:sz w:val="28"/>
          <w:szCs w:val="28"/>
          <w:lang w:val="uk-UA"/>
        </w:rPr>
        <w:t xml:space="preserve"> (табл</w:t>
      </w:r>
      <w:r w:rsidR="00FE5454">
        <w:rPr>
          <w:rFonts w:ascii="Times New Roman" w:hAnsi="Times New Roman" w:cs="Times New Roman"/>
          <w:sz w:val="28"/>
          <w:szCs w:val="28"/>
          <w:lang w:val="uk-UA"/>
        </w:rPr>
        <w:t>.</w:t>
      </w:r>
      <w:r w:rsidR="004D651D">
        <w:rPr>
          <w:rFonts w:ascii="Times New Roman" w:hAnsi="Times New Roman" w:cs="Times New Roman"/>
          <w:sz w:val="28"/>
          <w:szCs w:val="28"/>
          <w:lang w:val="uk-UA"/>
        </w:rPr>
        <w:t xml:space="preserve"> 3.</w:t>
      </w:r>
      <w:r w:rsidR="004D651D" w:rsidRPr="00431125">
        <w:rPr>
          <w:rFonts w:ascii="Times New Roman" w:hAnsi="Times New Roman" w:cs="Times New Roman"/>
          <w:sz w:val="28"/>
          <w:szCs w:val="28"/>
          <w:lang w:val="uk-UA"/>
        </w:rPr>
        <w:t>2</w:t>
      </w:r>
      <w:r w:rsidR="008B77A1" w:rsidRPr="007B6771">
        <w:rPr>
          <w:rFonts w:ascii="Times New Roman" w:hAnsi="Times New Roman" w:cs="Times New Roman"/>
          <w:sz w:val="28"/>
          <w:szCs w:val="28"/>
          <w:lang w:val="uk-UA"/>
        </w:rPr>
        <w:t>.1</w:t>
      </w:r>
      <w:r w:rsidR="005D5D28" w:rsidRPr="008707FF">
        <w:rPr>
          <w:rFonts w:ascii="Times New Roman" w:hAnsi="Times New Roman" w:cs="Times New Roman"/>
          <w:sz w:val="28"/>
          <w:szCs w:val="28"/>
          <w:lang w:val="uk-UA"/>
        </w:rPr>
        <w:t>).</w:t>
      </w:r>
    </w:p>
    <w:p w:rsidR="009D0685" w:rsidRPr="009D0685" w:rsidRDefault="00D9643E" w:rsidP="009D0685">
      <w:pPr>
        <w:spacing w:after="0" w:line="360" w:lineRule="auto"/>
        <w:ind w:firstLine="708"/>
        <w:jc w:val="right"/>
        <w:rPr>
          <w:rFonts w:ascii="Times New Roman" w:hAnsi="Times New Roman" w:cs="Times New Roman"/>
          <w:i/>
          <w:sz w:val="28"/>
          <w:szCs w:val="28"/>
          <w:lang w:val="uk-UA"/>
        </w:rPr>
      </w:pPr>
      <w:r w:rsidRPr="009D0685">
        <w:rPr>
          <w:rFonts w:ascii="Times New Roman" w:hAnsi="Times New Roman" w:cs="Times New Roman"/>
          <w:i/>
          <w:sz w:val="28"/>
          <w:szCs w:val="28"/>
          <w:lang w:val="uk-UA"/>
        </w:rPr>
        <w:lastRenderedPageBreak/>
        <w:t>Таблиця</w:t>
      </w:r>
      <w:r w:rsidR="00B94E0E" w:rsidRPr="009D0685">
        <w:rPr>
          <w:rFonts w:ascii="Times New Roman" w:hAnsi="Times New Roman" w:cs="Times New Roman"/>
          <w:i/>
          <w:sz w:val="28"/>
          <w:szCs w:val="28"/>
          <w:lang w:val="uk-UA"/>
        </w:rPr>
        <w:t xml:space="preserve"> 3</w:t>
      </w:r>
      <w:r w:rsidR="004D651D" w:rsidRPr="009D0685">
        <w:rPr>
          <w:rFonts w:ascii="Times New Roman" w:hAnsi="Times New Roman" w:cs="Times New Roman"/>
          <w:i/>
          <w:sz w:val="28"/>
          <w:szCs w:val="28"/>
          <w:lang w:val="uk-UA"/>
        </w:rPr>
        <w:t>.2</w:t>
      </w:r>
      <w:r w:rsidR="00B773A0">
        <w:rPr>
          <w:rFonts w:ascii="Times New Roman" w:hAnsi="Times New Roman" w:cs="Times New Roman"/>
          <w:i/>
          <w:sz w:val="28"/>
          <w:szCs w:val="28"/>
          <w:lang w:val="uk-UA"/>
        </w:rPr>
        <w:t>.</w:t>
      </w:r>
      <w:r w:rsidR="008B77A1" w:rsidRPr="007B6771">
        <w:rPr>
          <w:rFonts w:ascii="Times New Roman" w:hAnsi="Times New Roman" w:cs="Times New Roman"/>
          <w:i/>
          <w:sz w:val="28"/>
          <w:szCs w:val="28"/>
          <w:lang w:val="uk-UA"/>
        </w:rPr>
        <w:t>1</w:t>
      </w:r>
      <w:r w:rsidR="004D651D" w:rsidRPr="009D0685">
        <w:rPr>
          <w:rFonts w:ascii="Times New Roman" w:hAnsi="Times New Roman" w:cs="Times New Roman"/>
          <w:i/>
          <w:sz w:val="28"/>
          <w:szCs w:val="28"/>
          <w:lang w:val="uk-UA"/>
        </w:rPr>
        <w:t xml:space="preserve"> </w:t>
      </w:r>
    </w:p>
    <w:p w:rsidR="004706D8" w:rsidRPr="009D0685" w:rsidRDefault="000C6E8B" w:rsidP="009D0685">
      <w:pPr>
        <w:spacing w:after="0" w:line="360" w:lineRule="auto"/>
        <w:ind w:firstLine="708"/>
        <w:jc w:val="center"/>
        <w:rPr>
          <w:rFonts w:ascii="Times New Roman" w:hAnsi="Times New Roman" w:cs="Times New Roman"/>
          <w:b/>
          <w:sz w:val="28"/>
          <w:szCs w:val="28"/>
          <w:lang w:val="uk-UA"/>
        </w:rPr>
      </w:pPr>
      <w:r w:rsidRPr="009D0685">
        <w:rPr>
          <w:rFonts w:ascii="Times New Roman" w:hAnsi="Times New Roman" w:cs="Times New Roman"/>
          <w:b/>
          <w:sz w:val="28"/>
          <w:szCs w:val="28"/>
          <w:lang w:val="uk-UA"/>
        </w:rPr>
        <w:t xml:space="preserve">Показники </w:t>
      </w:r>
      <w:r w:rsidR="009D0685">
        <w:rPr>
          <w:rFonts w:ascii="Times New Roman" w:hAnsi="Times New Roman" w:cs="Times New Roman"/>
          <w:b/>
          <w:sz w:val="28"/>
          <w:szCs w:val="28"/>
          <w:lang w:val="uk-UA"/>
        </w:rPr>
        <w:t xml:space="preserve">ліпідного спектра крові </w:t>
      </w:r>
      <w:r w:rsidR="00B94E0E" w:rsidRPr="009D0685">
        <w:rPr>
          <w:rFonts w:ascii="Times New Roman" w:hAnsi="Times New Roman" w:cs="Times New Roman"/>
          <w:b/>
          <w:sz w:val="28"/>
          <w:szCs w:val="28"/>
          <w:lang w:val="uk-UA"/>
        </w:rPr>
        <w:t>у хворих на артеріальну гіпертензію та цукровий діабет</w:t>
      </w:r>
      <w:r w:rsidRPr="009D0685">
        <w:rPr>
          <w:rFonts w:ascii="Times New Roman" w:hAnsi="Times New Roman" w:cs="Times New Roman"/>
          <w:b/>
          <w:sz w:val="28"/>
          <w:szCs w:val="28"/>
          <w:lang w:val="uk-UA"/>
        </w:rPr>
        <w:t xml:space="preserve"> 2</w:t>
      </w:r>
      <w:r w:rsidR="00A8365F" w:rsidRPr="009D0685">
        <w:rPr>
          <w:rFonts w:ascii="Times New Roman" w:hAnsi="Times New Roman" w:cs="Times New Roman"/>
          <w:b/>
          <w:sz w:val="28"/>
          <w:szCs w:val="28"/>
          <w:lang w:val="uk-UA"/>
        </w:rPr>
        <w:t>-го</w:t>
      </w:r>
      <w:r w:rsidRPr="009D0685">
        <w:rPr>
          <w:rFonts w:ascii="Times New Roman" w:hAnsi="Times New Roman" w:cs="Times New Roman"/>
          <w:b/>
          <w:sz w:val="28"/>
          <w:szCs w:val="28"/>
          <w:lang w:val="uk-UA"/>
        </w:rPr>
        <w:t xml:space="preserve"> типу залежно від </w:t>
      </w:r>
      <w:r w:rsidR="00C704DB">
        <w:rPr>
          <w:rFonts w:ascii="Times New Roman" w:hAnsi="Times New Roman" w:cs="Times New Roman"/>
          <w:b/>
          <w:sz w:val="28"/>
          <w:szCs w:val="28"/>
          <w:lang w:val="uk-UA"/>
        </w:rPr>
        <w:t xml:space="preserve">вмісту </w:t>
      </w:r>
      <w:r w:rsidR="005B446C" w:rsidRPr="009D0685">
        <w:rPr>
          <w:rFonts w:ascii="Times New Roman" w:hAnsi="Times New Roman" w:cs="Times New Roman"/>
          <w:b/>
          <w:sz w:val="28"/>
          <w:szCs w:val="28"/>
          <w:lang w:val="uk-UA"/>
        </w:rPr>
        <w:t>глікозильованого гемоглобіну</w:t>
      </w:r>
    </w:p>
    <w:tbl>
      <w:tblPr>
        <w:tblStyle w:val="a5"/>
        <w:tblW w:w="0" w:type="auto"/>
        <w:tblInd w:w="108" w:type="dxa"/>
        <w:tblLook w:val="04A0" w:firstRow="1" w:lastRow="0" w:firstColumn="1" w:lastColumn="0" w:noHBand="0" w:noVBand="1"/>
      </w:tblPr>
      <w:tblGrid>
        <w:gridCol w:w="2103"/>
        <w:gridCol w:w="2192"/>
        <w:gridCol w:w="3284"/>
        <w:gridCol w:w="1748"/>
      </w:tblGrid>
      <w:tr w:rsidR="00110A47" w:rsidRPr="00464331" w:rsidTr="00EE7E42">
        <w:trPr>
          <w:trHeight w:val="322"/>
        </w:trPr>
        <w:tc>
          <w:tcPr>
            <w:tcW w:w="2103" w:type="dxa"/>
          </w:tcPr>
          <w:p w:rsidR="00110A47" w:rsidRPr="008707FF" w:rsidRDefault="001F78E6" w:rsidP="000C6E8B">
            <w:pPr>
              <w:jc w:val="center"/>
              <w:rPr>
                <w:rFonts w:ascii="Times New Roman" w:hAnsi="Times New Roman" w:cs="Times New Roman"/>
                <w:sz w:val="28"/>
                <w:szCs w:val="28"/>
                <w:lang w:val="uk-UA"/>
              </w:rPr>
            </w:pPr>
            <w:r w:rsidRPr="001F78E6">
              <w:rPr>
                <w:rFonts w:ascii="Times New Roman" w:hAnsi="Times New Roman" w:cs="Times New Roman"/>
                <w:sz w:val="28"/>
                <w:szCs w:val="28"/>
                <w:lang w:val="uk-UA"/>
              </w:rPr>
              <w:t>Показник</w:t>
            </w:r>
          </w:p>
        </w:tc>
        <w:tc>
          <w:tcPr>
            <w:tcW w:w="2192" w:type="dxa"/>
          </w:tcPr>
          <w:p w:rsidR="00110A47" w:rsidRDefault="001F78E6" w:rsidP="000C6E8B">
            <w:pPr>
              <w:jc w:val="center"/>
              <w:rPr>
                <w:rFonts w:ascii="Times New Roman" w:hAnsi="Times New Roman" w:cs="Times New Roman"/>
                <w:sz w:val="28"/>
                <w:szCs w:val="28"/>
                <w:lang w:val="uk-UA"/>
              </w:rPr>
            </w:pPr>
            <w:r w:rsidRPr="001F78E6">
              <w:rPr>
                <w:rFonts w:ascii="Times New Roman" w:hAnsi="Times New Roman" w:cs="Times New Roman"/>
                <w:sz w:val="28"/>
                <w:szCs w:val="28"/>
                <w:lang w:val="uk-UA"/>
              </w:rPr>
              <w:t xml:space="preserve">HbA1с </w:t>
            </w:r>
            <w:r w:rsidR="00AA4911" w:rsidRPr="00AA4911">
              <w:rPr>
                <w:rFonts w:ascii="Times New Roman" w:hAnsi="Times New Roman" w:cs="Times New Roman"/>
                <w:sz w:val="28"/>
                <w:szCs w:val="28"/>
                <w:lang w:val="uk-UA"/>
              </w:rPr>
              <w:t>≤</w:t>
            </w:r>
            <w:r w:rsidR="00454B6E" w:rsidRPr="008D6381">
              <w:rPr>
                <w:rFonts w:ascii="Times New Roman" w:hAnsi="Times New Roman" w:cs="Times New Roman"/>
                <w:sz w:val="28"/>
                <w:szCs w:val="28"/>
                <w:lang w:val="uk-UA"/>
              </w:rPr>
              <w:t xml:space="preserve"> 8,0</w:t>
            </w:r>
            <w:r>
              <w:rPr>
                <w:rFonts w:ascii="Times New Roman" w:hAnsi="Times New Roman" w:cs="Times New Roman"/>
                <w:sz w:val="28"/>
                <w:szCs w:val="28"/>
                <w:lang w:val="uk-UA"/>
              </w:rPr>
              <w:t xml:space="preserve"> </w:t>
            </w:r>
            <w:r w:rsidRPr="001F78E6">
              <w:rPr>
                <w:rFonts w:ascii="Times New Roman" w:hAnsi="Times New Roman" w:cs="Times New Roman"/>
                <w:sz w:val="28"/>
                <w:szCs w:val="28"/>
                <w:lang w:val="uk-UA"/>
              </w:rPr>
              <w:t>%</w:t>
            </w:r>
          </w:p>
          <w:p w:rsidR="001F78E6" w:rsidRPr="00F05385" w:rsidRDefault="001F78E6" w:rsidP="000C6E8B">
            <w:pPr>
              <w:jc w:val="center"/>
              <w:rPr>
                <w:rFonts w:ascii="Times New Roman" w:hAnsi="Times New Roman" w:cs="Times New Roman"/>
                <w:sz w:val="28"/>
                <w:szCs w:val="28"/>
                <w:lang w:val="uk-UA"/>
              </w:rPr>
            </w:pPr>
            <w:r w:rsidRPr="001F78E6">
              <w:rPr>
                <w:rFonts w:ascii="Times New Roman" w:hAnsi="Times New Roman" w:cs="Times New Roman"/>
                <w:sz w:val="28"/>
                <w:szCs w:val="28"/>
                <w:lang w:val="uk-UA"/>
              </w:rPr>
              <w:t>(n = 35)</w:t>
            </w:r>
          </w:p>
        </w:tc>
        <w:tc>
          <w:tcPr>
            <w:tcW w:w="3284" w:type="dxa"/>
          </w:tcPr>
          <w:p w:rsidR="00110A47" w:rsidRDefault="001F78E6" w:rsidP="000C6E8B">
            <w:pPr>
              <w:jc w:val="center"/>
              <w:rPr>
                <w:rFonts w:ascii="Times New Roman" w:hAnsi="Times New Roman" w:cs="Times New Roman"/>
                <w:sz w:val="28"/>
                <w:szCs w:val="28"/>
                <w:lang w:val="uk-UA"/>
              </w:rPr>
            </w:pPr>
            <w:r w:rsidRPr="001F78E6">
              <w:rPr>
                <w:rFonts w:ascii="Times New Roman" w:hAnsi="Times New Roman" w:cs="Times New Roman"/>
                <w:sz w:val="28"/>
                <w:szCs w:val="28"/>
                <w:lang w:val="uk-UA"/>
              </w:rPr>
              <w:t xml:space="preserve">HbA1с </w:t>
            </w:r>
            <w:r w:rsidR="00454B6E" w:rsidRPr="008D6381">
              <w:rPr>
                <w:rFonts w:ascii="Times New Roman" w:hAnsi="Times New Roman" w:cs="Times New Roman"/>
                <w:sz w:val="28"/>
                <w:szCs w:val="28"/>
                <w:lang w:val="uk-UA"/>
              </w:rPr>
              <w:t>&gt;</w:t>
            </w:r>
            <w:r w:rsidR="00454B6E" w:rsidRPr="008D6381">
              <w:rPr>
                <w:rFonts w:ascii="Times New Roman" w:hAnsi="Times New Roman" w:cs="Times New Roman"/>
                <w:sz w:val="28"/>
                <w:szCs w:val="28"/>
                <w:lang w:val="en-US"/>
              </w:rPr>
              <w:t xml:space="preserve"> </w:t>
            </w:r>
            <w:r w:rsidR="00AA4911">
              <w:rPr>
                <w:rFonts w:ascii="Times New Roman" w:hAnsi="Times New Roman" w:cs="Times New Roman"/>
                <w:sz w:val="28"/>
                <w:szCs w:val="28"/>
                <w:lang w:val="uk-UA"/>
              </w:rPr>
              <w:t>8,0</w:t>
            </w:r>
            <w:r>
              <w:rPr>
                <w:rFonts w:ascii="Times New Roman" w:hAnsi="Times New Roman" w:cs="Times New Roman"/>
                <w:sz w:val="28"/>
                <w:szCs w:val="28"/>
                <w:lang w:val="uk-UA"/>
              </w:rPr>
              <w:t xml:space="preserve"> </w:t>
            </w:r>
            <w:r w:rsidRPr="001F78E6">
              <w:rPr>
                <w:rFonts w:ascii="Times New Roman" w:hAnsi="Times New Roman" w:cs="Times New Roman"/>
                <w:sz w:val="28"/>
                <w:szCs w:val="28"/>
                <w:lang w:val="uk-UA"/>
              </w:rPr>
              <w:t>%</w:t>
            </w:r>
          </w:p>
          <w:p w:rsidR="001F78E6" w:rsidRPr="00F05385" w:rsidRDefault="001F78E6" w:rsidP="000C6E8B">
            <w:pPr>
              <w:jc w:val="center"/>
              <w:rPr>
                <w:rFonts w:ascii="Times New Roman" w:hAnsi="Times New Roman" w:cs="Times New Roman"/>
                <w:sz w:val="28"/>
                <w:szCs w:val="28"/>
                <w:lang w:val="uk-UA"/>
              </w:rPr>
            </w:pPr>
            <w:r w:rsidRPr="001F78E6">
              <w:rPr>
                <w:rFonts w:ascii="Times New Roman" w:hAnsi="Times New Roman" w:cs="Times New Roman"/>
                <w:sz w:val="28"/>
                <w:szCs w:val="28"/>
                <w:lang w:val="uk-UA"/>
              </w:rPr>
              <w:t>(n = 61)</w:t>
            </w:r>
          </w:p>
        </w:tc>
        <w:tc>
          <w:tcPr>
            <w:tcW w:w="1748" w:type="dxa"/>
          </w:tcPr>
          <w:p w:rsidR="00110A47" w:rsidRPr="00454B6E" w:rsidRDefault="001F78E6" w:rsidP="000C6E8B">
            <w:pPr>
              <w:jc w:val="center"/>
              <w:rPr>
                <w:rFonts w:ascii="Times New Roman" w:hAnsi="Times New Roman" w:cs="Times New Roman"/>
                <w:sz w:val="28"/>
                <w:szCs w:val="28"/>
                <w:lang w:val="uk-UA"/>
              </w:rPr>
            </w:pPr>
            <w:r>
              <w:rPr>
                <w:rFonts w:ascii="Times New Roman" w:hAnsi="Times New Roman" w:cs="Times New Roman"/>
                <w:sz w:val="28"/>
                <w:szCs w:val="28"/>
                <w:lang w:val="uk-UA"/>
              </w:rPr>
              <w:t>р</w:t>
            </w:r>
            <w:r w:rsidR="00F05385">
              <w:rPr>
                <w:rFonts w:ascii="Times New Roman" w:hAnsi="Times New Roman" w:cs="Times New Roman"/>
                <w:sz w:val="28"/>
                <w:szCs w:val="28"/>
                <w:lang w:val="uk-UA"/>
              </w:rPr>
              <w:t xml:space="preserve"> </w:t>
            </w:r>
          </w:p>
        </w:tc>
      </w:tr>
      <w:tr w:rsidR="00F05385" w:rsidRPr="008707FF" w:rsidTr="00EE7E42">
        <w:trPr>
          <w:trHeight w:val="643"/>
        </w:trPr>
        <w:tc>
          <w:tcPr>
            <w:tcW w:w="2103" w:type="dxa"/>
          </w:tcPr>
          <w:p w:rsidR="00F05385" w:rsidRPr="00F05385" w:rsidRDefault="00F05385" w:rsidP="00F05385">
            <w:pPr>
              <w:rPr>
                <w:rFonts w:ascii="Times New Roman" w:hAnsi="Times New Roman" w:cs="Times New Roman"/>
                <w:sz w:val="28"/>
                <w:szCs w:val="28"/>
              </w:rPr>
            </w:pPr>
            <w:r w:rsidRPr="00F05385">
              <w:rPr>
                <w:rFonts w:ascii="Times New Roman" w:hAnsi="Times New Roman" w:cs="Times New Roman"/>
                <w:sz w:val="28"/>
                <w:szCs w:val="28"/>
              </w:rPr>
              <w:t>ЗХС (ммоль/л)</w:t>
            </w:r>
          </w:p>
        </w:tc>
        <w:tc>
          <w:tcPr>
            <w:tcW w:w="2192" w:type="dxa"/>
          </w:tcPr>
          <w:p w:rsidR="00F05385" w:rsidRPr="00F05385" w:rsidRDefault="00F05385" w:rsidP="00F05385">
            <w:pPr>
              <w:jc w:val="center"/>
              <w:rPr>
                <w:rFonts w:ascii="Times New Roman" w:hAnsi="Times New Roman" w:cs="Times New Roman"/>
                <w:sz w:val="28"/>
                <w:szCs w:val="28"/>
              </w:rPr>
            </w:pPr>
            <w:r w:rsidRPr="00F05385">
              <w:rPr>
                <w:rFonts w:ascii="Times New Roman" w:hAnsi="Times New Roman" w:cs="Times New Roman"/>
                <w:sz w:val="28"/>
                <w:szCs w:val="28"/>
              </w:rPr>
              <w:t>5,51</w:t>
            </w:r>
            <w:r w:rsidR="00574E4C">
              <w:rPr>
                <w:rFonts w:ascii="Times New Roman" w:hAnsi="Times New Roman" w:cs="Times New Roman"/>
                <w:sz w:val="28"/>
                <w:szCs w:val="28"/>
                <w:lang w:val="uk-UA"/>
              </w:rPr>
              <w:t xml:space="preserve"> </w:t>
            </w:r>
            <w:r w:rsidRPr="00F05385">
              <w:rPr>
                <w:rFonts w:ascii="Times New Roman" w:hAnsi="Times New Roman" w:cs="Times New Roman"/>
                <w:sz w:val="28"/>
                <w:szCs w:val="28"/>
              </w:rPr>
              <w:t>±</w:t>
            </w:r>
            <w:r w:rsidR="00574E4C">
              <w:rPr>
                <w:rFonts w:ascii="Times New Roman" w:hAnsi="Times New Roman" w:cs="Times New Roman"/>
                <w:sz w:val="28"/>
                <w:szCs w:val="28"/>
                <w:lang w:val="uk-UA"/>
              </w:rPr>
              <w:t xml:space="preserve"> </w:t>
            </w:r>
            <w:r w:rsidRPr="00F05385">
              <w:rPr>
                <w:rFonts w:ascii="Times New Roman" w:hAnsi="Times New Roman" w:cs="Times New Roman"/>
                <w:sz w:val="28"/>
                <w:szCs w:val="28"/>
              </w:rPr>
              <w:t>0,18</w:t>
            </w:r>
          </w:p>
        </w:tc>
        <w:tc>
          <w:tcPr>
            <w:tcW w:w="3284" w:type="dxa"/>
          </w:tcPr>
          <w:p w:rsidR="00F05385" w:rsidRPr="00F05385" w:rsidRDefault="00F05385" w:rsidP="00F05385">
            <w:pPr>
              <w:jc w:val="center"/>
              <w:rPr>
                <w:rFonts w:ascii="Times New Roman" w:hAnsi="Times New Roman" w:cs="Times New Roman"/>
                <w:sz w:val="28"/>
                <w:szCs w:val="28"/>
              </w:rPr>
            </w:pPr>
            <w:r w:rsidRPr="00F05385">
              <w:rPr>
                <w:rFonts w:ascii="Times New Roman" w:hAnsi="Times New Roman" w:cs="Times New Roman"/>
                <w:sz w:val="28"/>
                <w:szCs w:val="28"/>
              </w:rPr>
              <w:t>5,06</w:t>
            </w:r>
            <w:r w:rsidR="00574E4C">
              <w:rPr>
                <w:rFonts w:ascii="Times New Roman" w:hAnsi="Times New Roman" w:cs="Times New Roman"/>
                <w:sz w:val="28"/>
                <w:szCs w:val="28"/>
                <w:lang w:val="uk-UA"/>
              </w:rPr>
              <w:t xml:space="preserve"> </w:t>
            </w:r>
            <w:r w:rsidRPr="00F05385">
              <w:rPr>
                <w:rFonts w:ascii="Times New Roman" w:hAnsi="Times New Roman" w:cs="Times New Roman"/>
                <w:sz w:val="28"/>
                <w:szCs w:val="28"/>
              </w:rPr>
              <w:t>±</w:t>
            </w:r>
            <w:r w:rsidR="00574E4C">
              <w:rPr>
                <w:rFonts w:ascii="Times New Roman" w:hAnsi="Times New Roman" w:cs="Times New Roman"/>
                <w:sz w:val="28"/>
                <w:szCs w:val="28"/>
                <w:lang w:val="uk-UA"/>
              </w:rPr>
              <w:t xml:space="preserve"> </w:t>
            </w:r>
            <w:r w:rsidRPr="00F05385">
              <w:rPr>
                <w:rFonts w:ascii="Times New Roman" w:hAnsi="Times New Roman" w:cs="Times New Roman"/>
                <w:sz w:val="28"/>
                <w:szCs w:val="28"/>
              </w:rPr>
              <w:t>0,15</w:t>
            </w:r>
          </w:p>
        </w:tc>
        <w:tc>
          <w:tcPr>
            <w:tcW w:w="1748" w:type="dxa"/>
          </w:tcPr>
          <w:p w:rsidR="00F05385" w:rsidRPr="00F05385" w:rsidRDefault="00F05385" w:rsidP="00F05385">
            <w:pPr>
              <w:jc w:val="center"/>
              <w:rPr>
                <w:rFonts w:ascii="Times New Roman" w:hAnsi="Times New Roman" w:cs="Times New Roman"/>
                <w:sz w:val="28"/>
                <w:szCs w:val="28"/>
              </w:rPr>
            </w:pPr>
            <w:r w:rsidRPr="00F05385">
              <w:rPr>
                <w:rFonts w:ascii="Times New Roman" w:hAnsi="Times New Roman" w:cs="Times New Roman"/>
                <w:sz w:val="28"/>
                <w:szCs w:val="28"/>
              </w:rPr>
              <w:t>0,0644</w:t>
            </w:r>
          </w:p>
        </w:tc>
      </w:tr>
      <w:tr w:rsidR="00110A47" w:rsidRPr="008707FF" w:rsidTr="00EE7E42">
        <w:trPr>
          <w:trHeight w:val="643"/>
        </w:trPr>
        <w:tc>
          <w:tcPr>
            <w:tcW w:w="2103" w:type="dxa"/>
          </w:tcPr>
          <w:p w:rsidR="00110A47" w:rsidRPr="008707FF" w:rsidRDefault="009C0830" w:rsidP="000C6E8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ХС </w:t>
            </w:r>
            <w:r w:rsidR="00110A47" w:rsidRPr="008707FF">
              <w:rPr>
                <w:rFonts w:ascii="Times New Roman" w:hAnsi="Times New Roman" w:cs="Times New Roman"/>
                <w:sz w:val="28"/>
                <w:szCs w:val="28"/>
                <w:lang w:val="uk-UA"/>
              </w:rPr>
              <w:t>ЛПВЩ (ммоль/л)</w:t>
            </w:r>
          </w:p>
        </w:tc>
        <w:tc>
          <w:tcPr>
            <w:tcW w:w="2192" w:type="dxa"/>
          </w:tcPr>
          <w:p w:rsidR="00110A47" w:rsidRPr="00454B6E" w:rsidRDefault="00EB1E51" w:rsidP="000C6E8B">
            <w:pPr>
              <w:jc w:val="center"/>
              <w:rPr>
                <w:rFonts w:ascii="Times New Roman" w:hAnsi="Times New Roman" w:cs="Times New Roman"/>
                <w:sz w:val="28"/>
                <w:szCs w:val="28"/>
              </w:rPr>
            </w:pPr>
            <w:r>
              <w:rPr>
                <w:rFonts w:ascii="Times New Roman" w:hAnsi="Times New Roman" w:cs="Times New Roman"/>
                <w:sz w:val="28"/>
                <w:szCs w:val="28"/>
                <w:lang w:val="uk-UA"/>
              </w:rPr>
              <w:t>1,</w:t>
            </w:r>
            <w:r w:rsidRPr="00454B6E">
              <w:rPr>
                <w:rFonts w:ascii="Times New Roman" w:hAnsi="Times New Roman" w:cs="Times New Roman"/>
                <w:sz w:val="28"/>
                <w:szCs w:val="28"/>
              </w:rPr>
              <w:t>22</w:t>
            </w:r>
            <w:r w:rsidR="00574E4C">
              <w:rPr>
                <w:rFonts w:ascii="Times New Roman" w:hAnsi="Times New Roman" w:cs="Times New Roman"/>
                <w:sz w:val="28"/>
                <w:szCs w:val="28"/>
                <w:lang w:val="uk-UA"/>
              </w:rPr>
              <w:t xml:space="preserve"> </w:t>
            </w:r>
            <w:r w:rsidR="00B16A05" w:rsidRPr="008D6381">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sidR="00B16A05" w:rsidRPr="008D6381">
              <w:rPr>
                <w:rFonts w:ascii="Times New Roman" w:hAnsi="Times New Roman" w:cs="Times New Roman"/>
                <w:sz w:val="28"/>
                <w:szCs w:val="28"/>
                <w:lang w:val="uk-UA"/>
              </w:rPr>
              <w:t>0,0</w:t>
            </w:r>
            <w:r w:rsidR="00B16A05" w:rsidRPr="00454B6E">
              <w:rPr>
                <w:rFonts w:ascii="Times New Roman" w:hAnsi="Times New Roman" w:cs="Times New Roman"/>
                <w:sz w:val="28"/>
                <w:szCs w:val="28"/>
              </w:rPr>
              <w:t>2</w:t>
            </w:r>
          </w:p>
        </w:tc>
        <w:tc>
          <w:tcPr>
            <w:tcW w:w="3284" w:type="dxa"/>
          </w:tcPr>
          <w:p w:rsidR="00110A47" w:rsidRPr="00454B6E" w:rsidRDefault="00EB1E51" w:rsidP="000C6E8B">
            <w:pPr>
              <w:jc w:val="center"/>
              <w:rPr>
                <w:rFonts w:ascii="Times New Roman" w:hAnsi="Times New Roman" w:cs="Times New Roman"/>
                <w:sz w:val="28"/>
                <w:szCs w:val="28"/>
              </w:rPr>
            </w:pPr>
            <w:r>
              <w:rPr>
                <w:rFonts w:ascii="Times New Roman" w:hAnsi="Times New Roman" w:cs="Times New Roman"/>
                <w:sz w:val="28"/>
                <w:szCs w:val="28"/>
                <w:lang w:val="uk-UA"/>
              </w:rPr>
              <w:t>1,1</w:t>
            </w:r>
            <w:r w:rsidRPr="00454B6E">
              <w:rPr>
                <w:rFonts w:ascii="Times New Roman" w:hAnsi="Times New Roman" w:cs="Times New Roman"/>
                <w:sz w:val="28"/>
                <w:szCs w:val="28"/>
              </w:rPr>
              <w:t>3</w:t>
            </w:r>
            <w:r w:rsidR="00574E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sidRPr="00454B6E">
              <w:rPr>
                <w:rFonts w:ascii="Times New Roman" w:hAnsi="Times New Roman" w:cs="Times New Roman"/>
                <w:sz w:val="28"/>
                <w:szCs w:val="28"/>
              </w:rPr>
              <w:t>3</w:t>
            </w:r>
          </w:p>
        </w:tc>
        <w:tc>
          <w:tcPr>
            <w:tcW w:w="1748" w:type="dxa"/>
          </w:tcPr>
          <w:p w:rsidR="00110A47" w:rsidRPr="00454B6E" w:rsidRDefault="00B16A05" w:rsidP="000C6E8B">
            <w:pPr>
              <w:jc w:val="center"/>
              <w:rPr>
                <w:rFonts w:ascii="Times New Roman" w:hAnsi="Times New Roman" w:cs="Times New Roman"/>
                <w:sz w:val="28"/>
                <w:szCs w:val="28"/>
              </w:rPr>
            </w:pPr>
            <w:r w:rsidRPr="008D6381">
              <w:rPr>
                <w:rFonts w:ascii="Times New Roman" w:hAnsi="Times New Roman" w:cs="Times New Roman"/>
                <w:sz w:val="28"/>
                <w:szCs w:val="28"/>
                <w:lang w:val="uk-UA"/>
              </w:rPr>
              <w:t>0,0</w:t>
            </w:r>
            <w:r w:rsidR="00EB1E51" w:rsidRPr="00454B6E">
              <w:rPr>
                <w:rFonts w:ascii="Times New Roman" w:hAnsi="Times New Roman" w:cs="Times New Roman"/>
                <w:sz w:val="28"/>
                <w:szCs w:val="28"/>
              </w:rPr>
              <w:t>367</w:t>
            </w:r>
          </w:p>
        </w:tc>
      </w:tr>
      <w:tr w:rsidR="00110A47" w:rsidRPr="008707FF" w:rsidTr="00EE7E42">
        <w:trPr>
          <w:trHeight w:val="658"/>
        </w:trPr>
        <w:tc>
          <w:tcPr>
            <w:tcW w:w="2103" w:type="dxa"/>
          </w:tcPr>
          <w:p w:rsidR="00110A47" w:rsidRPr="008707FF" w:rsidRDefault="009C0830" w:rsidP="000C6E8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ХС </w:t>
            </w:r>
            <w:r w:rsidR="00110A47" w:rsidRPr="008707FF">
              <w:rPr>
                <w:rFonts w:ascii="Times New Roman" w:hAnsi="Times New Roman" w:cs="Times New Roman"/>
                <w:sz w:val="28"/>
                <w:szCs w:val="28"/>
                <w:lang w:val="uk-UA"/>
              </w:rPr>
              <w:t>ЛПНЩ (ммоль/л)</w:t>
            </w:r>
          </w:p>
        </w:tc>
        <w:tc>
          <w:tcPr>
            <w:tcW w:w="2192" w:type="dxa"/>
          </w:tcPr>
          <w:p w:rsidR="00110A47" w:rsidRPr="00454B6E" w:rsidRDefault="00EB1E51" w:rsidP="000C6E8B">
            <w:pPr>
              <w:jc w:val="center"/>
              <w:rPr>
                <w:rFonts w:ascii="Times New Roman" w:hAnsi="Times New Roman" w:cs="Times New Roman"/>
                <w:sz w:val="28"/>
                <w:szCs w:val="28"/>
              </w:rPr>
            </w:pPr>
            <w:r>
              <w:rPr>
                <w:rFonts w:ascii="Times New Roman" w:hAnsi="Times New Roman" w:cs="Times New Roman"/>
                <w:sz w:val="28"/>
                <w:szCs w:val="28"/>
                <w:lang w:val="uk-UA"/>
              </w:rPr>
              <w:t>2,</w:t>
            </w:r>
            <w:r w:rsidRPr="00454B6E">
              <w:rPr>
                <w:rFonts w:ascii="Times New Roman" w:hAnsi="Times New Roman" w:cs="Times New Roman"/>
                <w:sz w:val="28"/>
                <w:szCs w:val="28"/>
              </w:rPr>
              <w:t>93</w:t>
            </w:r>
            <w:r w:rsidR="00574E4C">
              <w:rPr>
                <w:rFonts w:ascii="Times New Roman" w:hAnsi="Times New Roman" w:cs="Times New Roman"/>
                <w:sz w:val="28"/>
                <w:szCs w:val="28"/>
                <w:lang w:val="uk-UA"/>
              </w:rPr>
              <w:t xml:space="preserve"> </w:t>
            </w:r>
            <w:r w:rsidR="00B16A05" w:rsidRPr="008D6381">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sidR="00B16A05" w:rsidRPr="008D6381">
              <w:rPr>
                <w:rFonts w:ascii="Times New Roman" w:hAnsi="Times New Roman" w:cs="Times New Roman"/>
                <w:sz w:val="28"/>
                <w:szCs w:val="28"/>
                <w:lang w:val="uk-UA"/>
              </w:rPr>
              <w:t>0,0</w:t>
            </w:r>
            <w:r w:rsidRPr="00454B6E">
              <w:rPr>
                <w:rFonts w:ascii="Times New Roman" w:hAnsi="Times New Roman" w:cs="Times New Roman"/>
                <w:sz w:val="28"/>
                <w:szCs w:val="28"/>
              </w:rPr>
              <w:t>8</w:t>
            </w:r>
          </w:p>
        </w:tc>
        <w:tc>
          <w:tcPr>
            <w:tcW w:w="3284" w:type="dxa"/>
          </w:tcPr>
          <w:p w:rsidR="00110A47" w:rsidRPr="008D6381" w:rsidRDefault="00EB1E51" w:rsidP="000C6E8B">
            <w:pPr>
              <w:jc w:val="center"/>
              <w:rPr>
                <w:rFonts w:ascii="Times New Roman" w:hAnsi="Times New Roman" w:cs="Times New Roman"/>
                <w:sz w:val="28"/>
                <w:szCs w:val="28"/>
                <w:lang w:val="en-US"/>
              </w:rPr>
            </w:pPr>
            <w:r>
              <w:rPr>
                <w:rFonts w:ascii="Times New Roman" w:hAnsi="Times New Roman" w:cs="Times New Roman"/>
                <w:sz w:val="28"/>
                <w:szCs w:val="28"/>
                <w:lang w:val="uk-UA"/>
              </w:rPr>
              <w:t>2,</w:t>
            </w:r>
            <w:r w:rsidRPr="00454B6E">
              <w:rPr>
                <w:rFonts w:ascii="Times New Roman" w:hAnsi="Times New Roman" w:cs="Times New Roman"/>
                <w:sz w:val="28"/>
                <w:szCs w:val="28"/>
              </w:rPr>
              <w:t>78</w:t>
            </w:r>
            <w:r w:rsidR="00574E4C">
              <w:rPr>
                <w:rFonts w:ascii="Times New Roman" w:hAnsi="Times New Roman" w:cs="Times New Roman"/>
                <w:sz w:val="28"/>
                <w:szCs w:val="28"/>
                <w:lang w:val="uk-UA"/>
              </w:rPr>
              <w:t xml:space="preserve"> </w:t>
            </w:r>
            <w:r w:rsidR="00B16A05" w:rsidRPr="008D6381">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sidR="00B16A05" w:rsidRPr="008D6381">
              <w:rPr>
                <w:rFonts w:ascii="Times New Roman" w:hAnsi="Times New Roman" w:cs="Times New Roman"/>
                <w:sz w:val="28"/>
                <w:szCs w:val="28"/>
                <w:lang w:val="uk-UA"/>
              </w:rPr>
              <w:t>0,0</w:t>
            </w:r>
            <w:r w:rsidR="00F05385">
              <w:rPr>
                <w:rFonts w:ascii="Times New Roman" w:hAnsi="Times New Roman" w:cs="Times New Roman"/>
                <w:sz w:val="28"/>
                <w:szCs w:val="28"/>
                <w:lang w:val="en-US"/>
              </w:rPr>
              <w:t>5</w:t>
            </w:r>
          </w:p>
        </w:tc>
        <w:tc>
          <w:tcPr>
            <w:tcW w:w="1748" w:type="dxa"/>
          </w:tcPr>
          <w:p w:rsidR="00110A47" w:rsidRPr="008D6381" w:rsidRDefault="00B16A05" w:rsidP="000C6E8B">
            <w:pPr>
              <w:jc w:val="center"/>
              <w:rPr>
                <w:rFonts w:ascii="Times New Roman" w:hAnsi="Times New Roman" w:cs="Times New Roman"/>
                <w:sz w:val="28"/>
                <w:szCs w:val="28"/>
                <w:lang w:val="en-US"/>
              </w:rPr>
            </w:pPr>
            <w:r w:rsidRPr="008D6381">
              <w:rPr>
                <w:rFonts w:ascii="Times New Roman" w:hAnsi="Times New Roman" w:cs="Times New Roman"/>
                <w:sz w:val="28"/>
                <w:szCs w:val="28"/>
                <w:lang w:val="uk-UA"/>
              </w:rPr>
              <w:t>0,0</w:t>
            </w:r>
            <w:r w:rsidR="00F05385">
              <w:rPr>
                <w:rFonts w:ascii="Times New Roman" w:hAnsi="Times New Roman" w:cs="Times New Roman"/>
                <w:sz w:val="28"/>
                <w:szCs w:val="28"/>
                <w:lang w:val="en-US"/>
              </w:rPr>
              <w:t>973</w:t>
            </w:r>
          </w:p>
        </w:tc>
      </w:tr>
      <w:tr w:rsidR="00110A47" w:rsidRPr="008707FF" w:rsidTr="00EE7E42">
        <w:trPr>
          <w:trHeight w:val="658"/>
        </w:trPr>
        <w:tc>
          <w:tcPr>
            <w:tcW w:w="2103" w:type="dxa"/>
          </w:tcPr>
          <w:p w:rsidR="00110A47" w:rsidRPr="008707FF" w:rsidRDefault="009C0830" w:rsidP="000C6E8B">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ХС </w:t>
            </w:r>
            <w:r w:rsidR="00110A47" w:rsidRPr="008707FF">
              <w:rPr>
                <w:rFonts w:ascii="Times New Roman" w:hAnsi="Times New Roman" w:cs="Times New Roman"/>
                <w:sz w:val="28"/>
                <w:szCs w:val="28"/>
                <w:lang w:val="uk-UA"/>
              </w:rPr>
              <w:t>ЛПДНЩ (ммоль/л)</w:t>
            </w:r>
          </w:p>
        </w:tc>
        <w:tc>
          <w:tcPr>
            <w:tcW w:w="2192" w:type="dxa"/>
          </w:tcPr>
          <w:p w:rsidR="00110A47" w:rsidRPr="00F05385" w:rsidRDefault="00EB1E51" w:rsidP="000C6E8B">
            <w:pPr>
              <w:jc w:val="center"/>
              <w:rPr>
                <w:rFonts w:ascii="Times New Roman" w:hAnsi="Times New Roman" w:cs="Times New Roman"/>
                <w:sz w:val="28"/>
                <w:szCs w:val="28"/>
                <w:lang w:val="en-US"/>
              </w:rPr>
            </w:pPr>
            <w:r>
              <w:rPr>
                <w:rFonts w:ascii="Times New Roman" w:hAnsi="Times New Roman" w:cs="Times New Roman"/>
                <w:sz w:val="28"/>
                <w:szCs w:val="28"/>
                <w:lang w:val="uk-UA"/>
              </w:rPr>
              <w:t>1,</w:t>
            </w:r>
            <w:r w:rsidR="00110A47" w:rsidRPr="008D6381">
              <w:rPr>
                <w:rFonts w:ascii="Times New Roman" w:hAnsi="Times New Roman" w:cs="Times New Roman"/>
                <w:sz w:val="28"/>
                <w:szCs w:val="28"/>
                <w:lang w:val="uk-UA"/>
              </w:rPr>
              <w:t>3</w:t>
            </w:r>
            <w:r>
              <w:rPr>
                <w:rFonts w:ascii="Times New Roman" w:hAnsi="Times New Roman" w:cs="Times New Roman"/>
                <w:sz w:val="28"/>
                <w:szCs w:val="28"/>
                <w:lang w:val="en-US"/>
              </w:rPr>
              <w:t>6</w:t>
            </w:r>
            <w:r w:rsidR="00574E4C">
              <w:rPr>
                <w:rFonts w:ascii="Times New Roman" w:hAnsi="Times New Roman" w:cs="Times New Roman"/>
                <w:sz w:val="28"/>
                <w:szCs w:val="28"/>
                <w:lang w:val="uk-UA"/>
              </w:rPr>
              <w:t xml:space="preserve"> </w:t>
            </w:r>
            <w:r w:rsidR="00F05385">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sidR="00F05385">
              <w:rPr>
                <w:rFonts w:ascii="Times New Roman" w:hAnsi="Times New Roman" w:cs="Times New Roman"/>
                <w:sz w:val="28"/>
                <w:szCs w:val="28"/>
                <w:lang w:val="uk-UA"/>
              </w:rPr>
              <w:t>0,</w:t>
            </w:r>
            <w:r w:rsidR="00F05385">
              <w:rPr>
                <w:rFonts w:ascii="Times New Roman" w:hAnsi="Times New Roman" w:cs="Times New Roman"/>
                <w:sz w:val="28"/>
                <w:szCs w:val="28"/>
                <w:lang w:val="en-US"/>
              </w:rPr>
              <w:t>1</w:t>
            </w:r>
          </w:p>
        </w:tc>
        <w:tc>
          <w:tcPr>
            <w:tcW w:w="3284" w:type="dxa"/>
          </w:tcPr>
          <w:p w:rsidR="00110A47" w:rsidRPr="008D6381" w:rsidRDefault="00EB1E51" w:rsidP="000C6E8B">
            <w:pPr>
              <w:jc w:val="center"/>
              <w:rPr>
                <w:rFonts w:ascii="Times New Roman" w:hAnsi="Times New Roman" w:cs="Times New Roman"/>
                <w:sz w:val="28"/>
                <w:szCs w:val="28"/>
                <w:lang w:val="en-US"/>
              </w:rPr>
            </w:pPr>
            <w:r>
              <w:rPr>
                <w:rFonts w:ascii="Times New Roman" w:hAnsi="Times New Roman" w:cs="Times New Roman"/>
                <w:sz w:val="28"/>
                <w:szCs w:val="28"/>
                <w:lang w:val="uk-UA"/>
              </w:rPr>
              <w:t>1,</w:t>
            </w:r>
            <w:r>
              <w:rPr>
                <w:rFonts w:ascii="Times New Roman" w:hAnsi="Times New Roman" w:cs="Times New Roman"/>
                <w:sz w:val="28"/>
                <w:szCs w:val="28"/>
                <w:lang w:val="en-US"/>
              </w:rPr>
              <w:t>15</w:t>
            </w:r>
            <w:r w:rsidR="00574E4C">
              <w:rPr>
                <w:rFonts w:ascii="Times New Roman" w:hAnsi="Times New Roman" w:cs="Times New Roman"/>
                <w:sz w:val="28"/>
                <w:szCs w:val="28"/>
                <w:lang w:val="uk-UA"/>
              </w:rPr>
              <w:t xml:space="preserve"> </w:t>
            </w:r>
            <w:r w:rsidR="00110A47" w:rsidRPr="008D6381">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sidR="00110A47" w:rsidRPr="008D6381">
              <w:rPr>
                <w:rFonts w:ascii="Times New Roman" w:hAnsi="Times New Roman" w:cs="Times New Roman"/>
                <w:sz w:val="28"/>
                <w:szCs w:val="28"/>
                <w:lang w:val="uk-UA"/>
              </w:rPr>
              <w:t>0,06</w:t>
            </w:r>
          </w:p>
        </w:tc>
        <w:tc>
          <w:tcPr>
            <w:tcW w:w="1748" w:type="dxa"/>
          </w:tcPr>
          <w:p w:rsidR="00110A47" w:rsidRPr="008D6381" w:rsidRDefault="00B16A05" w:rsidP="000C6E8B">
            <w:pPr>
              <w:jc w:val="center"/>
              <w:rPr>
                <w:rFonts w:ascii="Times New Roman" w:hAnsi="Times New Roman" w:cs="Times New Roman"/>
                <w:sz w:val="28"/>
                <w:szCs w:val="28"/>
                <w:lang w:val="en-US"/>
              </w:rPr>
            </w:pPr>
            <w:r w:rsidRPr="008D6381">
              <w:rPr>
                <w:rFonts w:ascii="Times New Roman" w:hAnsi="Times New Roman" w:cs="Times New Roman"/>
                <w:sz w:val="28"/>
                <w:szCs w:val="28"/>
                <w:lang w:val="uk-UA"/>
              </w:rPr>
              <w:t>0,0</w:t>
            </w:r>
            <w:r w:rsidR="00F05385">
              <w:rPr>
                <w:rFonts w:ascii="Times New Roman" w:hAnsi="Times New Roman" w:cs="Times New Roman"/>
                <w:sz w:val="28"/>
                <w:szCs w:val="28"/>
                <w:lang w:val="en-US"/>
              </w:rPr>
              <w:t>582</w:t>
            </w:r>
          </w:p>
        </w:tc>
      </w:tr>
      <w:tr w:rsidR="00110A47" w:rsidRPr="008707FF" w:rsidTr="00EE7E42">
        <w:trPr>
          <w:trHeight w:val="322"/>
        </w:trPr>
        <w:tc>
          <w:tcPr>
            <w:tcW w:w="2103" w:type="dxa"/>
          </w:tcPr>
          <w:p w:rsidR="00110A47" w:rsidRPr="008707FF" w:rsidRDefault="00110A47" w:rsidP="000C6E8B">
            <w:pPr>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ТГ (ммоль/л)</w:t>
            </w:r>
          </w:p>
        </w:tc>
        <w:tc>
          <w:tcPr>
            <w:tcW w:w="2192" w:type="dxa"/>
          </w:tcPr>
          <w:p w:rsidR="00110A47" w:rsidRPr="008D6381" w:rsidRDefault="00EB1E51" w:rsidP="000C6E8B">
            <w:pPr>
              <w:jc w:val="center"/>
              <w:rPr>
                <w:rFonts w:ascii="Times New Roman" w:hAnsi="Times New Roman" w:cs="Times New Roman"/>
                <w:sz w:val="28"/>
                <w:szCs w:val="28"/>
                <w:lang w:val="uk-UA"/>
              </w:rPr>
            </w:pPr>
            <w:r>
              <w:rPr>
                <w:rFonts w:ascii="Times New Roman" w:hAnsi="Times New Roman" w:cs="Times New Roman"/>
                <w:sz w:val="28"/>
                <w:szCs w:val="28"/>
                <w:lang w:val="uk-UA"/>
              </w:rPr>
              <w:t>2,</w:t>
            </w:r>
            <w:r>
              <w:rPr>
                <w:rFonts w:ascii="Times New Roman" w:hAnsi="Times New Roman" w:cs="Times New Roman"/>
                <w:sz w:val="28"/>
                <w:szCs w:val="28"/>
                <w:lang w:val="en-US"/>
              </w:rPr>
              <w:t>18</w:t>
            </w:r>
            <w:r w:rsidR="00574E4C">
              <w:rPr>
                <w:rFonts w:ascii="Times New Roman" w:hAnsi="Times New Roman" w:cs="Times New Roman"/>
                <w:sz w:val="28"/>
                <w:szCs w:val="28"/>
                <w:lang w:val="uk-UA"/>
              </w:rPr>
              <w:t xml:space="preserve"> </w:t>
            </w:r>
            <w:r w:rsidR="00110A47" w:rsidRPr="008D6381">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sidR="00110A47" w:rsidRPr="008D6381">
              <w:rPr>
                <w:rFonts w:ascii="Times New Roman" w:hAnsi="Times New Roman" w:cs="Times New Roman"/>
                <w:sz w:val="28"/>
                <w:szCs w:val="28"/>
                <w:lang w:val="uk-UA"/>
              </w:rPr>
              <w:t>0,</w:t>
            </w:r>
            <w:r>
              <w:rPr>
                <w:rFonts w:ascii="Times New Roman" w:hAnsi="Times New Roman" w:cs="Times New Roman"/>
                <w:sz w:val="28"/>
                <w:szCs w:val="28"/>
                <w:lang w:val="en-US"/>
              </w:rPr>
              <w:t>0</w:t>
            </w:r>
            <w:r w:rsidR="00110A47" w:rsidRPr="008D6381">
              <w:rPr>
                <w:rFonts w:ascii="Times New Roman" w:hAnsi="Times New Roman" w:cs="Times New Roman"/>
                <w:sz w:val="28"/>
                <w:szCs w:val="28"/>
                <w:lang w:val="uk-UA"/>
              </w:rPr>
              <w:t>1</w:t>
            </w:r>
          </w:p>
        </w:tc>
        <w:tc>
          <w:tcPr>
            <w:tcW w:w="3284" w:type="dxa"/>
          </w:tcPr>
          <w:p w:rsidR="00110A47" w:rsidRPr="00EB1E51" w:rsidRDefault="00EB1E51" w:rsidP="000C6E8B">
            <w:pPr>
              <w:jc w:val="center"/>
              <w:rPr>
                <w:rFonts w:ascii="Times New Roman" w:hAnsi="Times New Roman" w:cs="Times New Roman"/>
                <w:sz w:val="28"/>
                <w:szCs w:val="28"/>
                <w:lang w:val="en-US"/>
              </w:rPr>
            </w:pPr>
            <w:r>
              <w:rPr>
                <w:rFonts w:ascii="Times New Roman" w:hAnsi="Times New Roman" w:cs="Times New Roman"/>
                <w:sz w:val="28"/>
                <w:szCs w:val="28"/>
                <w:lang w:val="uk-UA"/>
              </w:rPr>
              <w:t>2,</w:t>
            </w:r>
            <w:r>
              <w:rPr>
                <w:rFonts w:ascii="Times New Roman" w:hAnsi="Times New Roman" w:cs="Times New Roman"/>
                <w:sz w:val="28"/>
                <w:szCs w:val="28"/>
                <w:lang w:val="en-US"/>
              </w:rPr>
              <w:t>42</w:t>
            </w:r>
            <w:r w:rsidR="00574E4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574E4C">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Pr>
                <w:rFonts w:ascii="Times New Roman" w:hAnsi="Times New Roman" w:cs="Times New Roman"/>
                <w:sz w:val="28"/>
                <w:szCs w:val="28"/>
                <w:lang w:val="en-US"/>
              </w:rPr>
              <w:t>4</w:t>
            </w:r>
          </w:p>
        </w:tc>
        <w:tc>
          <w:tcPr>
            <w:tcW w:w="1748" w:type="dxa"/>
          </w:tcPr>
          <w:p w:rsidR="00110A47" w:rsidRPr="008D6381" w:rsidRDefault="00B16A05" w:rsidP="000C6E8B">
            <w:pPr>
              <w:jc w:val="center"/>
              <w:rPr>
                <w:rFonts w:ascii="Times New Roman" w:hAnsi="Times New Roman" w:cs="Times New Roman"/>
                <w:sz w:val="28"/>
                <w:szCs w:val="28"/>
                <w:lang w:val="en-US"/>
              </w:rPr>
            </w:pPr>
            <w:r w:rsidRPr="008D6381">
              <w:rPr>
                <w:rFonts w:ascii="Times New Roman" w:hAnsi="Times New Roman" w:cs="Times New Roman"/>
                <w:sz w:val="28"/>
                <w:szCs w:val="28"/>
                <w:lang w:val="uk-UA"/>
              </w:rPr>
              <w:t>0,0</w:t>
            </w:r>
            <w:r w:rsidR="00EB1E51">
              <w:rPr>
                <w:rFonts w:ascii="Times New Roman" w:hAnsi="Times New Roman" w:cs="Times New Roman"/>
                <w:sz w:val="28"/>
                <w:szCs w:val="28"/>
                <w:lang w:val="en-US"/>
              </w:rPr>
              <w:t>018</w:t>
            </w:r>
          </w:p>
        </w:tc>
      </w:tr>
    </w:tbl>
    <w:p w:rsidR="00DE50C3" w:rsidRDefault="00DE50C3" w:rsidP="00574E4C">
      <w:pPr>
        <w:spacing w:after="0"/>
        <w:ind w:firstLine="708"/>
        <w:rPr>
          <w:rFonts w:ascii="Times New Roman" w:hAnsi="Times New Roman" w:cs="Times New Roman"/>
          <w:bCs/>
          <w:sz w:val="28"/>
          <w:szCs w:val="28"/>
          <w:lang w:val="uk-UA"/>
        </w:rPr>
      </w:pPr>
      <w:r>
        <w:rPr>
          <w:rFonts w:ascii="Times New Roman" w:hAnsi="Times New Roman" w:cs="Times New Roman"/>
          <w:bCs/>
          <w:sz w:val="28"/>
          <w:szCs w:val="28"/>
          <w:lang w:val="uk-UA"/>
        </w:rPr>
        <w:t>Примітки</w:t>
      </w:r>
      <w:r w:rsidR="00EC0C3D" w:rsidRPr="00574E4C">
        <w:rPr>
          <w:rFonts w:ascii="Times New Roman" w:hAnsi="Times New Roman" w:cs="Times New Roman"/>
          <w:bCs/>
          <w:sz w:val="28"/>
          <w:szCs w:val="28"/>
          <w:lang w:val="uk-UA"/>
        </w:rPr>
        <w:t>:</w:t>
      </w:r>
      <w:r w:rsidR="00574E4C">
        <w:rPr>
          <w:rFonts w:ascii="Times New Roman" w:hAnsi="Times New Roman" w:cs="Times New Roman"/>
          <w:bCs/>
          <w:sz w:val="28"/>
          <w:szCs w:val="28"/>
          <w:lang w:val="uk-UA"/>
        </w:rPr>
        <w:t xml:space="preserve"> </w:t>
      </w:r>
    </w:p>
    <w:p w:rsidR="00B16A05" w:rsidRPr="00DE50C3" w:rsidRDefault="00B16A05" w:rsidP="00356098">
      <w:pPr>
        <w:pStyle w:val="a8"/>
        <w:numPr>
          <w:ilvl w:val="0"/>
          <w:numId w:val="19"/>
        </w:numPr>
        <w:spacing w:after="0" w:line="360" w:lineRule="auto"/>
        <w:rPr>
          <w:rFonts w:ascii="Times New Roman" w:hAnsi="Times New Roman" w:cs="Times New Roman"/>
          <w:bCs/>
          <w:sz w:val="28"/>
          <w:szCs w:val="28"/>
          <w:lang w:val="en-US"/>
        </w:rPr>
      </w:pPr>
      <w:r w:rsidRPr="00DE50C3">
        <w:rPr>
          <w:rFonts w:ascii="Times New Roman" w:hAnsi="Times New Roman" w:cs="Times New Roman"/>
          <w:sz w:val="28"/>
          <w:szCs w:val="28"/>
          <w:lang w:val="en-US"/>
        </w:rPr>
        <w:t>n</w:t>
      </w:r>
      <w:r w:rsidRPr="00DE50C3">
        <w:rPr>
          <w:rFonts w:ascii="Times New Roman" w:hAnsi="Times New Roman" w:cs="Times New Roman"/>
          <w:sz w:val="28"/>
          <w:szCs w:val="28"/>
        </w:rPr>
        <w:t xml:space="preserve"> – кількість осіб</w:t>
      </w:r>
      <w:r w:rsidR="00F10B92" w:rsidRPr="00DE50C3">
        <w:rPr>
          <w:rFonts w:ascii="Times New Roman" w:hAnsi="Times New Roman" w:cs="Times New Roman"/>
          <w:sz w:val="28"/>
          <w:szCs w:val="28"/>
        </w:rPr>
        <w:t>;</w:t>
      </w:r>
    </w:p>
    <w:p w:rsidR="0008787E" w:rsidRPr="00DE50C3" w:rsidRDefault="00353FED" w:rsidP="00356098">
      <w:pPr>
        <w:pStyle w:val="a8"/>
        <w:numPr>
          <w:ilvl w:val="0"/>
          <w:numId w:val="19"/>
        </w:numPr>
        <w:spacing w:after="0" w:line="360" w:lineRule="auto"/>
        <w:jc w:val="both"/>
        <w:rPr>
          <w:rFonts w:ascii="Times New Roman" w:hAnsi="Times New Roman" w:cs="Times New Roman"/>
          <w:sz w:val="28"/>
          <w:szCs w:val="28"/>
        </w:rPr>
      </w:pPr>
      <w:r w:rsidRPr="00DE50C3">
        <w:rPr>
          <w:rFonts w:ascii="Times New Roman" w:hAnsi="Times New Roman" w:cs="Times New Roman"/>
          <w:sz w:val="28"/>
          <w:szCs w:val="28"/>
        </w:rPr>
        <w:t>р – достовірність розходження між показниками</w:t>
      </w:r>
    </w:p>
    <w:p w:rsidR="007514D4" w:rsidRDefault="007514D4" w:rsidP="003720C7">
      <w:pPr>
        <w:spacing w:after="0" w:line="360" w:lineRule="auto"/>
        <w:ind w:firstLine="708"/>
        <w:jc w:val="both"/>
        <w:rPr>
          <w:rFonts w:ascii="Times New Roman" w:hAnsi="Times New Roman" w:cs="Times New Roman"/>
          <w:sz w:val="28"/>
          <w:szCs w:val="28"/>
          <w:lang w:val="uk-UA"/>
        </w:rPr>
      </w:pPr>
    </w:p>
    <w:p w:rsidR="00EC0C3D" w:rsidRPr="008707FF" w:rsidRDefault="00246F96" w:rsidP="003720C7">
      <w:pPr>
        <w:spacing w:after="0" w:line="360" w:lineRule="auto"/>
        <w:ind w:firstLine="708"/>
        <w:jc w:val="both"/>
        <w:rPr>
          <w:rFonts w:ascii="Times New Roman" w:hAnsi="Times New Roman" w:cs="Times New Roman"/>
          <w:sz w:val="28"/>
          <w:szCs w:val="28"/>
          <w:lang w:val="uk-UA"/>
        </w:rPr>
      </w:pPr>
      <w:r w:rsidRPr="009F1B70">
        <w:rPr>
          <w:rFonts w:ascii="Times New Roman" w:hAnsi="Times New Roman" w:cs="Times New Roman"/>
          <w:sz w:val="28"/>
          <w:szCs w:val="28"/>
          <w:lang w:val="uk-UA"/>
        </w:rPr>
        <w:t>Таким чином, д</w:t>
      </w:r>
      <w:r w:rsidR="00EC0C3D" w:rsidRPr="009F1B70">
        <w:rPr>
          <w:rFonts w:ascii="Times New Roman" w:hAnsi="Times New Roman" w:cs="Times New Roman"/>
          <w:sz w:val="28"/>
          <w:szCs w:val="28"/>
          <w:lang w:val="uk-UA"/>
        </w:rPr>
        <w:t xml:space="preserve">ля пацієнтів, які мали </w:t>
      </w:r>
      <w:r w:rsidR="00EC0C3D" w:rsidRPr="009F1B70">
        <w:rPr>
          <w:rFonts w:ascii="Times New Roman" w:hAnsi="Times New Roman" w:cs="Times New Roman"/>
          <w:sz w:val="28"/>
          <w:szCs w:val="28"/>
          <w:lang w:val="en-US"/>
        </w:rPr>
        <w:t>HbA</w:t>
      </w:r>
      <w:r w:rsidR="00EC0C3D" w:rsidRPr="009F1B70">
        <w:rPr>
          <w:rFonts w:ascii="Times New Roman" w:hAnsi="Times New Roman" w:cs="Times New Roman"/>
          <w:sz w:val="28"/>
          <w:szCs w:val="28"/>
          <w:lang w:val="uk-UA"/>
        </w:rPr>
        <w:t>1</w:t>
      </w:r>
      <w:r w:rsidR="00AA4911">
        <w:rPr>
          <w:rFonts w:ascii="Times New Roman" w:hAnsi="Times New Roman" w:cs="Times New Roman"/>
          <w:sz w:val="28"/>
          <w:szCs w:val="28"/>
          <w:lang w:val="uk-UA"/>
        </w:rPr>
        <w:t xml:space="preserve">с </w:t>
      </w:r>
      <w:r w:rsidR="00AA4911" w:rsidRPr="00AA4911">
        <w:rPr>
          <w:rFonts w:ascii="Times New Roman" w:hAnsi="Times New Roman" w:cs="Times New Roman"/>
          <w:sz w:val="28"/>
          <w:szCs w:val="28"/>
          <w:lang w:val="uk-UA"/>
        </w:rPr>
        <w:t>&gt;</w:t>
      </w:r>
      <w:r w:rsidR="00AA4911">
        <w:rPr>
          <w:rFonts w:ascii="Times New Roman" w:hAnsi="Times New Roman" w:cs="Times New Roman"/>
          <w:sz w:val="28"/>
          <w:szCs w:val="28"/>
          <w:lang w:val="uk-UA"/>
        </w:rPr>
        <w:t xml:space="preserve"> 8,</w:t>
      </w:r>
      <w:r w:rsidR="00AA4911" w:rsidRPr="00AA4911">
        <w:rPr>
          <w:rFonts w:ascii="Times New Roman" w:hAnsi="Times New Roman" w:cs="Times New Roman"/>
          <w:sz w:val="28"/>
          <w:szCs w:val="28"/>
          <w:lang w:val="uk-UA"/>
        </w:rPr>
        <w:t>0</w:t>
      </w:r>
      <w:r w:rsidR="00D12D05">
        <w:rPr>
          <w:rFonts w:ascii="Times New Roman" w:hAnsi="Times New Roman" w:cs="Times New Roman"/>
          <w:sz w:val="28"/>
          <w:szCs w:val="28"/>
          <w:lang w:val="uk-UA"/>
        </w:rPr>
        <w:t xml:space="preserve"> %, порівняно </w:t>
      </w:r>
      <w:r w:rsidR="000812C4">
        <w:rPr>
          <w:rFonts w:ascii="Times New Roman" w:hAnsi="Times New Roman" w:cs="Times New Roman"/>
          <w:sz w:val="28"/>
          <w:szCs w:val="28"/>
          <w:lang w:val="uk-UA"/>
        </w:rPr>
        <w:t xml:space="preserve">             </w:t>
      </w:r>
      <w:r w:rsidR="00D12D05">
        <w:rPr>
          <w:rFonts w:ascii="Times New Roman" w:hAnsi="Times New Roman" w:cs="Times New Roman"/>
          <w:sz w:val="28"/>
          <w:szCs w:val="28"/>
          <w:lang w:val="uk-UA"/>
        </w:rPr>
        <w:t xml:space="preserve">з </w:t>
      </w:r>
      <w:r w:rsidR="005A5A79">
        <w:rPr>
          <w:rFonts w:ascii="Times New Roman" w:hAnsi="Times New Roman" w:cs="Times New Roman"/>
          <w:sz w:val="28"/>
          <w:szCs w:val="28"/>
          <w:lang w:val="uk-UA"/>
        </w:rPr>
        <w:t xml:space="preserve">хворими </w:t>
      </w:r>
      <w:r w:rsidR="00EC0C3D" w:rsidRPr="009F1B70">
        <w:rPr>
          <w:rFonts w:ascii="Times New Roman" w:hAnsi="Times New Roman" w:cs="Times New Roman"/>
          <w:sz w:val="28"/>
          <w:szCs w:val="28"/>
          <w:lang w:val="uk-UA"/>
        </w:rPr>
        <w:t xml:space="preserve">з </w:t>
      </w:r>
      <w:r w:rsidR="00EC0C3D" w:rsidRPr="009F1B70">
        <w:rPr>
          <w:rFonts w:ascii="Times New Roman" w:hAnsi="Times New Roman" w:cs="Times New Roman"/>
          <w:sz w:val="28"/>
          <w:szCs w:val="28"/>
          <w:lang w:val="en-US"/>
        </w:rPr>
        <w:t>HbA</w:t>
      </w:r>
      <w:r w:rsidR="00EC0C3D" w:rsidRPr="009F1B70">
        <w:rPr>
          <w:rFonts w:ascii="Times New Roman" w:hAnsi="Times New Roman" w:cs="Times New Roman"/>
          <w:sz w:val="28"/>
          <w:szCs w:val="28"/>
          <w:lang w:val="uk-UA"/>
        </w:rPr>
        <w:t>1с ≤ 8</w:t>
      </w:r>
      <w:r w:rsidR="00AA4911">
        <w:rPr>
          <w:rFonts w:ascii="Times New Roman" w:hAnsi="Times New Roman" w:cs="Times New Roman"/>
          <w:sz w:val="28"/>
          <w:szCs w:val="28"/>
          <w:lang w:val="uk-UA"/>
        </w:rPr>
        <w:t>,0</w:t>
      </w:r>
      <w:r w:rsidR="00EC0C3D" w:rsidRPr="009F1B70">
        <w:rPr>
          <w:rFonts w:ascii="Times New Roman" w:hAnsi="Times New Roman" w:cs="Times New Roman"/>
          <w:sz w:val="28"/>
          <w:szCs w:val="28"/>
          <w:lang w:val="uk-UA"/>
        </w:rPr>
        <w:t xml:space="preserve"> % були характерними </w:t>
      </w:r>
      <w:r w:rsidR="003C5070" w:rsidRPr="009F1B70">
        <w:rPr>
          <w:rFonts w:ascii="Times New Roman" w:hAnsi="Times New Roman" w:cs="Times New Roman"/>
          <w:sz w:val="28"/>
          <w:szCs w:val="28"/>
          <w:lang w:val="uk-UA"/>
        </w:rPr>
        <w:t xml:space="preserve">достовірно </w:t>
      </w:r>
      <w:r w:rsidR="00EC0C3D" w:rsidRPr="009F1B70">
        <w:rPr>
          <w:rFonts w:ascii="Times New Roman" w:hAnsi="Times New Roman" w:cs="Times New Roman"/>
          <w:sz w:val="28"/>
          <w:szCs w:val="28"/>
          <w:lang w:val="uk-UA"/>
        </w:rPr>
        <w:t xml:space="preserve">більші значення </w:t>
      </w:r>
      <w:r w:rsidR="00431125" w:rsidRPr="009F1B70">
        <w:rPr>
          <w:rFonts w:ascii="Times New Roman" w:hAnsi="Times New Roman" w:cs="Times New Roman"/>
          <w:sz w:val="28"/>
          <w:szCs w:val="28"/>
          <w:lang w:val="uk-UA"/>
        </w:rPr>
        <w:t>ТГ (р = 0,0018)</w:t>
      </w:r>
      <w:r w:rsidR="002C7A94" w:rsidRPr="009F1B70">
        <w:rPr>
          <w:rFonts w:ascii="Times New Roman" w:hAnsi="Times New Roman" w:cs="Times New Roman"/>
          <w:sz w:val="28"/>
          <w:szCs w:val="28"/>
          <w:lang w:val="uk-UA"/>
        </w:rPr>
        <w:t>,</w:t>
      </w:r>
      <w:r w:rsidR="007B0201" w:rsidRPr="009F1B70">
        <w:rPr>
          <w:rFonts w:ascii="Times New Roman" w:hAnsi="Times New Roman" w:cs="Times New Roman"/>
          <w:sz w:val="28"/>
          <w:szCs w:val="28"/>
          <w:lang w:val="uk-UA"/>
        </w:rPr>
        <w:t xml:space="preserve"> </w:t>
      </w:r>
      <w:r w:rsidR="003C5070" w:rsidRPr="009F1B70">
        <w:rPr>
          <w:rFonts w:ascii="Times New Roman" w:hAnsi="Times New Roman" w:cs="Times New Roman"/>
          <w:sz w:val="28"/>
          <w:szCs w:val="28"/>
          <w:lang w:val="uk-UA"/>
        </w:rPr>
        <w:t xml:space="preserve">нижчі – </w:t>
      </w:r>
      <w:r w:rsidR="005A5A79">
        <w:rPr>
          <w:rFonts w:ascii="Times New Roman" w:hAnsi="Times New Roman" w:cs="Times New Roman"/>
          <w:sz w:val="28"/>
          <w:szCs w:val="28"/>
          <w:lang w:val="uk-UA"/>
        </w:rPr>
        <w:t xml:space="preserve">ХС </w:t>
      </w:r>
      <w:r w:rsidR="003C5070" w:rsidRPr="009F1B70">
        <w:rPr>
          <w:rFonts w:ascii="Times New Roman" w:hAnsi="Times New Roman" w:cs="Times New Roman"/>
          <w:sz w:val="28"/>
          <w:szCs w:val="28"/>
          <w:lang w:val="uk-UA"/>
        </w:rPr>
        <w:t>ЛПВЩ (</w:t>
      </w:r>
      <w:r w:rsidR="00CC6472" w:rsidRPr="009F1B70">
        <w:rPr>
          <w:rFonts w:ascii="Times New Roman" w:hAnsi="Times New Roman" w:cs="Times New Roman"/>
          <w:sz w:val="28"/>
          <w:szCs w:val="28"/>
          <w:lang w:val="en-US"/>
        </w:rPr>
        <w:t>p</w:t>
      </w:r>
      <w:r w:rsidR="00CC6472" w:rsidRPr="009F1B70">
        <w:rPr>
          <w:rFonts w:ascii="Times New Roman" w:hAnsi="Times New Roman" w:cs="Times New Roman"/>
          <w:sz w:val="28"/>
          <w:szCs w:val="28"/>
          <w:lang w:val="uk-UA"/>
        </w:rPr>
        <w:t xml:space="preserve"> = 0,0</w:t>
      </w:r>
      <w:r w:rsidR="00431125" w:rsidRPr="009F1B70">
        <w:rPr>
          <w:rFonts w:ascii="Times New Roman" w:hAnsi="Times New Roman" w:cs="Times New Roman"/>
          <w:sz w:val="28"/>
          <w:szCs w:val="28"/>
          <w:lang w:val="uk-UA"/>
        </w:rPr>
        <w:t>367</w:t>
      </w:r>
      <w:r w:rsidR="003C5070" w:rsidRPr="009F1B70">
        <w:rPr>
          <w:rFonts w:ascii="Times New Roman" w:hAnsi="Times New Roman" w:cs="Times New Roman"/>
          <w:sz w:val="28"/>
          <w:szCs w:val="28"/>
          <w:lang w:val="uk-UA"/>
        </w:rPr>
        <w:t>), що свідч</w:t>
      </w:r>
      <w:r w:rsidR="00431125" w:rsidRPr="009F1B70">
        <w:rPr>
          <w:rFonts w:ascii="Times New Roman" w:hAnsi="Times New Roman" w:cs="Times New Roman"/>
          <w:sz w:val="28"/>
          <w:szCs w:val="28"/>
          <w:lang w:val="uk-UA"/>
        </w:rPr>
        <w:t>ить про вагому роль саме цих фракцій ліпопротеїдів</w:t>
      </w:r>
      <w:r w:rsidR="003C5070" w:rsidRPr="009F1B70">
        <w:rPr>
          <w:rFonts w:ascii="Times New Roman" w:hAnsi="Times New Roman" w:cs="Times New Roman"/>
          <w:sz w:val="28"/>
          <w:szCs w:val="28"/>
          <w:lang w:val="uk-UA"/>
        </w:rPr>
        <w:t xml:space="preserve"> у </w:t>
      </w:r>
      <w:r w:rsidR="008F7AC6">
        <w:rPr>
          <w:rFonts w:ascii="Times New Roman" w:hAnsi="Times New Roman" w:cs="Times New Roman"/>
          <w:sz w:val="28"/>
          <w:szCs w:val="28"/>
          <w:lang w:val="uk-UA"/>
        </w:rPr>
        <w:t xml:space="preserve">декомпенсації ЦД 2-го типу </w:t>
      </w:r>
      <w:r w:rsidR="00146815" w:rsidRPr="00146815">
        <w:rPr>
          <w:rFonts w:ascii="Times New Roman" w:hAnsi="Times New Roman" w:cs="Times New Roman"/>
          <w:sz w:val="28"/>
          <w:szCs w:val="28"/>
          <w:lang w:val="uk-UA"/>
        </w:rPr>
        <w:t>[</w:t>
      </w:r>
      <w:r w:rsidR="004B16DA">
        <w:rPr>
          <w:rFonts w:ascii="Times New Roman" w:hAnsi="Times New Roman" w:cs="Times New Roman"/>
          <w:sz w:val="28"/>
          <w:szCs w:val="28"/>
          <w:lang w:val="uk-UA"/>
        </w:rPr>
        <w:t>143</w:t>
      </w:r>
      <w:r w:rsidR="00146815" w:rsidRPr="00146815">
        <w:rPr>
          <w:rFonts w:ascii="Times New Roman" w:hAnsi="Times New Roman" w:cs="Times New Roman"/>
          <w:sz w:val="28"/>
          <w:szCs w:val="28"/>
          <w:lang w:val="uk-UA"/>
        </w:rPr>
        <w:t>]</w:t>
      </w:r>
      <w:r w:rsidR="006677F3" w:rsidRPr="009F1B70">
        <w:rPr>
          <w:rFonts w:ascii="Times New Roman" w:hAnsi="Times New Roman" w:cs="Times New Roman"/>
          <w:sz w:val="28"/>
          <w:szCs w:val="28"/>
          <w:lang w:val="uk-UA"/>
        </w:rPr>
        <w:t>.</w:t>
      </w:r>
    </w:p>
    <w:p w:rsidR="00401A7E" w:rsidRDefault="00A76E0E" w:rsidP="00462CF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B773A0">
        <w:rPr>
          <w:rFonts w:ascii="Times New Roman" w:hAnsi="Times New Roman" w:cs="Times New Roman"/>
          <w:sz w:val="28"/>
          <w:szCs w:val="28"/>
          <w:lang w:val="uk-UA"/>
        </w:rPr>
        <w:t xml:space="preserve">становлено недостовірний </w:t>
      </w:r>
      <w:r w:rsidR="007B0201">
        <w:rPr>
          <w:rFonts w:ascii="Times New Roman" w:hAnsi="Times New Roman" w:cs="Times New Roman"/>
          <w:sz w:val="28"/>
          <w:szCs w:val="28"/>
          <w:lang w:val="uk-UA"/>
        </w:rPr>
        <w:t xml:space="preserve">слабкої </w:t>
      </w:r>
      <w:r w:rsidR="000812C4">
        <w:rPr>
          <w:rFonts w:ascii="Times New Roman" w:hAnsi="Times New Roman" w:cs="Times New Roman"/>
          <w:sz w:val="28"/>
          <w:szCs w:val="28"/>
          <w:lang w:val="uk-UA"/>
        </w:rPr>
        <w:t>сили позитивний кореляційний звʼ</w:t>
      </w:r>
      <w:r w:rsidR="007B0201">
        <w:rPr>
          <w:rFonts w:ascii="Times New Roman" w:hAnsi="Times New Roman" w:cs="Times New Roman"/>
          <w:sz w:val="28"/>
          <w:szCs w:val="28"/>
          <w:lang w:val="uk-UA"/>
        </w:rPr>
        <w:t xml:space="preserve">язок між </w:t>
      </w:r>
      <w:r w:rsidR="000812C4">
        <w:rPr>
          <w:rFonts w:ascii="Times New Roman" w:hAnsi="Times New Roman" w:cs="Times New Roman"/>
          <w:sz w:val="28"/>
          <w:szCs w:val="28"/>
          <w:lang w:val="uk-UA"/>
        </w:rPr>
        <w:t xml:space="preserve">вмістом </w:t>
      </w:r>
      <w:r w:rsidR="007B0201" w:rsidRPr="0008787E">
        <w:rPr>
          <w:rFonts w:ascii="Times New Roman" w:hAnsi="Times New Roman" w:cs="Times New Roman"/>
          <w:sz w:val="28"/>
          <w:szCs w:val="28"/>
          <w:lang w:val="en-US"/>
        </w:rPr>
        <w:t>HbA</w:t>
      </w:r>
      <w:r w:rsidR="007B0201" w:rsidRPr="008707FF">
        <w:rPr>
          <w:rFonts w:ascii="Times New Roman" w:hAnsi="Times New Roman" w:cs="Times New Roman"/>
          <w:sz w:val="28"/>
          <w:szCs w:val="28"/>
          <w:lang w:val="uk-UA"/>
        </w:rPr>
        <w:t>1с</w:t>
      </w:r>
      <w:r w:rsidR="007B0201">
        <w:rPr>
          <w:rFonts w:ascii="Times New Roman" w:hAnsi="Times New Roman" w:cs="Times New Roman"/>
          <w:sz w:val="28"/>
          <w:szCs w:val="28"/>
          <w:lang w:val="uk-UA"/>
        </w:rPr>
        <w:t xml:space="preserve"> та ТГ (</w:t>
      </w:r>
      <w:r w:rsidR="007B0201">
        <w:rPr>
          <w:rFonts w:ascii="Times New Roman" w:hAnsi="Times New Roman" w:cs="Times New Roman"/>
          <w:sz w:val="28"/>
          <w:szCs w:val="28"/>
          <w:lang w:val="en-US"/>
        </w:rPr>
        <w:t>r</w:t>
      </w:r>
      <w:r w:rsidR="007B0201" w:rsidRPr="005C65D9">
        <w:rPr>
          <w:rFonts w:ascii="Times New Roman" w:hAnsi="Times New Roman" w:cs="Times New Roman"/>
          <w:sz w:val="28"/>
          <w:szCs w:val="28"/>
          <w:lang w:val="uk-UA"/>
        </w:rPr>
        <w:t xml:space="preserve"> </w:t>
      </w:r>
      <w:r w:rsidR="007B0201" w:rsidRPr="008D6381">
        <w:rPr>
          <w:rFonts w:ascii="Times New Roman" w:hAnsi="Times New Roman" w:cs="Times New Roman"/>
          <w:sz w:val="28"/>
          <w:szCs w:val="28"/>
          <w:lang w:val="uk-UA"/>
        </w:rPr>
        <w:t>= 0,1</w:t>
      </w:r>
      <w:r>
        <w:rPr>
          <w:rFonts w:ascii="Times New Roman" w:hAnsi="Times New Roman" w:cs="Times New Roman"/>
          <w:sz w:val="28"/>
          <w:szCs w:val="28"/>
          <w:lang w:val="uk-UA"/>
        </w:rPr>
        <w:t xml:space="preserve">4; </w:t>
      </w:r>
      <w:r w:rsidR="00C760C8">
        <w:rPr>
          <w:rFonts w:ascii="Times New Roman" w:hAnsi="Times New Roman" w:cs="Times New Roman"/>
          <w:sz w:val="28"/>
          <w:szCs w:val="28"/>
          <w:lang w:val="uk-UA"/>
        </w:rPr>
        <w:t>р = 0,1714</w:t>
      </w:r>
      <w:r w:rsidR="007B0201" w:rsidRPr="008D6381">
        <w:rPr>
          <w:rFonts w:ascii="Times New Roman" w:hAnsi="Times New Roman" w:cs="Times New Roman"/>
          <w:sz w:val="28"/>
          <w:szCs w:val="28"/>
          <w:lang w:val="uk-UA"/>
        </w:rPr>
        <w:t>)</w:t>
      </w:r>
      <w:r w:rsidR="00B773A0">
        <w:rPr>
          <w:rFonts w:ascii="Times New Roman" w:hAnsi="Times New Roman" w:cs="Times New Roman"/>
          <w:sz w:val="28"/>
          <w:szCs w:val="28"/>
          <w:lang w:val="uk-UA"/>
        </w:rPr>
        <w:t>.</w:t>
      </w:r>
      <w:r w:rsidR="005C65D9" w:rsidRPr="008D6381">
        <w:rPr>
          <w:rFonts w:ascii="Times New Roman" w:hAnsi="Times New Roman" w:cs="Times New Roman"/>
          <w:sz w:val="28"/>
          <w:szCs w:val="28"/>
          <w:lang w:val="uk-UA"/>
        </w:rPr>
        <w:t xml:space="preserve"> </w:t>
      </w:r>
      <w:r w:rsidR="00762BE0">
        <w:rPr>
          <w:rFonts w:ascii="Times New Roman" w:hAnsi="Times New Roman" w:cs="Times New Roman"/>
          <w:sz w:val="28"/>
          <w:szCs w:val="28"/>
          <w:lang w:val="uk-UA"/>
        </w:rPr>
        <w:t>Поряд із цим,</w:t>
      </w:r>
      <w:r w:rsidR="001666A6" w:rsidRPr="008D6381">
        <w:rPr>
          <w:rFonts w:ascii="Times New Roman" w:hAnsi="Times New Roman" w:cs="Times New Roman"/>
          <w:sz w:val="28"/>
          <w:szCs w:val="28"/>
          <w:lang w:val="uk-UA"/>
        </w:rPr>
        <w:t xml:space="preserve"> констатовано</w:t>
      </w:r>
      <w:r w:rsidR="00260E94" w:rsidRPr="008D6381">
        <w:rPr>
          <w:rFonts w:ascii="Times New Roman" w:hAnsi="Times New Roman" w:cs="Times New Roman"/>
          <w:sz w:val="28"/>
          <w:szCs w:val="28"/>
          <w:lang w:val="uk-UA"/>
        </w:rPr>
        <w:t xml:space="preserve"> </w:t>
      </w:r>
      <w:r w:rsidR="00B773A0">
        <w:rPr>
          <w:rFonts w:ascii="Times New Roman" w:hAnsi="Times New Roman" w:cs="Times New Roman"/>
          <w:sz w:val="28"/>
          <w:szCs w:val="28"/>
          <w:lang w:val="uk-UA"/>
        </w:rPr>
        <w:t>негативну залежність</w:t>
      </w:r>
      <w:r w:rsidR="000812C4">
        <w:rPr>
          <w:rFonts w:ascii="Times New Roman" w:hAnsi="Times New Roman" w:cs="Times New Roman"/>
          <w:sz w:val="28"/>
          <w:szCs w:val="28"/>
          <w:lang w:val="uk-UA"/>
        </w:rPr>
        <w:t xml:space="preserve"> між вмістом</w:t>
      </w:r>
      <w:r w:rsidR="005C65D9" w:rsidRPr="008D6381">
        <w:rPr>
          <w:rFonts w:ascii="Times New Roman" w:hAnsi="Times New Roman" w:cs="Times New Roman"/>
          <w:sz w:val="28"/>
          <w:szCs w:val="28"/>
          <w:lang w:val="uk-UA"/>
        </w:rPr>
        <w:t xml:space="preserve"> </w:t>
      </w:r>
      <w:r w:rsidR="005C65D9" w:rsidRPr="008D6381">
        <w:rPr>
          <w:rFonts w:ascii="Times New Roman" w:hAnsi="Times New Roman" w:cs="Times New Roman"/>
          <w:sz w:val="28"/>
          <w:szCs w:val="28"/>
          <w:lang w:val="en-US"/>
        </w:rPr>
        <w:t>HbA</w:t>
      </w:r>
      <w:r w:rsidR="005C65D9" w:rsidRPr="008D6381">
        <w:rPr>
          <w:rFonts w:ascii="Times New Roman" w:hAnsi="Times New Roman" w:cs="Times New Roman"/>
          <w:sz w:val="28"/>
          <w:szCs w:val="28"/>
          <w:lang w:val="uk-UA"/>
        </w:rPr>
        <w:t xml:space="preserve">1с та </w:t>
      </w:r>
      <w:r w:rsidR="000812C4">
        <w:rPr>
          <w:rFonts w:ascii="Times New Roman" w:hAnsi="Times New Roman" w:cs="Times New Roman"/>
          <w:sz w:val="28"/>
          <w:szCs w:val="28"/>
          <w:lang w:val="uk-UA"/>
        </w:rPr>
        <w:t xml:space="preserve">ХС </w:t>
      </w:r>
      <w:r w:rsidR="005C65D9" w:rsidRPr="008D6381">
        <w:rPr>
          <w:rFonts w:ascii="Times New Roman" w:hAnsi="Times New Roman" w:cs="Times New Roman"/>
          <w:sz w:val="28"/>
          <w:szCs w:val="28"/>
          <w:lang w:val="uk-UA"/>
        </w:rPr>
        <w:t xml:space="preserve">ЛПВЩ </w:t>
      </w:r>
      <w:r w:rsidR="00B30C2F">
        <w:rPr>
          <w:rFonts w:ascii="Times New Roman" w:hAnsi="Times New Roman" w:cs="Times New Roman"/>
          <w:sz w:val="28"/>
          <w:szCs w:val="28"/>
          <w:lang w:val="uk-UA"/>
        </w:rPr>
        <w:t xml:space="preserve">           </w:t>
      </w:r>
      <w:r w:rsidR="005C65D9" w:rsidRPr="008D6381">
        <w:rPr>
          <w:rFonts w:ascii="Times New Roman" w:hAnsi="Times New Roman" w:cs="Times New Roman"/>
          <w:sz w:val="28"/>
          <w:szCs w:val="28"/>
          <w:lang w:val="uk-UA"/>
        </w:rPr>
        <w:t>(</w:t>
      </w:r>
      <w:r w:rsidR="005C65D9" w:rsidRPr="008D6381">
        <w:rPr>
          <w:rFonts w:ascii="Times New Roman" w:hAnsi="Times New Roman" w:cs="Times New Roman"/>
          <w:sz w:val="28"/>
          <w:szCs w:val="28"/>
          <w:lang w:val="en-US"/>
        </w:rPr>
        <w:t>r</w:t>
      </w:r>
      <w:r w:rsidR="00574E4C">
        <w:rPr>
          <w:rFonts w:ascii="Times New Roman" w:hAnsi="Times New Roman" w:cs="Times New Roman"/>
          <w:sz w:val="28"/>
          <w:szCs w:val="28"/>
          <w:lang w:val="uk-UA"/>
        </w:rPr>
        <w:t xml:space="preserve"> = −</w:t>
      </w:r>
      <w:r w:rsidR="005C65D9" w:rsidRPr="008D6381">
        <w:rPr>
          <w:rFonts w:ascii="Times New Roman" w:hAnsi="Times New Roman" w:cs="Times New Roman"/>
          <w:sz w:val="28"/>
          <w:szCs w:val="28"/>
          <w:lang w:val="uk-UA"/>
        </w:rPr>
        <w:t xml:space="preserve"> 0</w:t>
      </w:r>
      <w:r w:rsidR="00C760C8">
        <w:rPr>
          <w:rFonts w:ascii="Times New Roman" w:hAnsi="Times New Roman" w:cs="Times New Roman"/>
          <w:sz w:val="28"/>
          <w:szCs w:val="28"/>
          <w:lang w:val="uk-UA"/>
        </w:rPr>
        <w:t>,2</w:t>
      </w:r>
      <w:r w:rsidR="00260E94" w:rsidRPr="008D6381">
        <w:rPr>
          <w:rFonts w:ascii="Times New Roman" w:hAnsi="Times New Roman" w:cs="Times New Roman"/>
          <w:sz w:val="28"/>
          <w:szCs w:val="28"/>
          <w:lang w:val="uk-UA"/>
        </w:rPr>
        <w:t>; р =</w:t>
      </w:r>
      <w:r w:rsidR="005C65D9" w:rsidRPr="008D6381">
        <w:rPr>
          <w:rFonts w:ascii="Times New Roman" w:hAnsi="Times New Roman" w:cs="Times New Roman"/>
          <w:sz w:val="28"/>
          <w:szCs w:val="28"/>
          <w:lang w:val="uk-UA"/>
        </w:rPr>
        <w:t xml:space="preserve"> </w:t>
      </w:r>
      <w:r w:rsidR="00C760C8">
        <w:rPr>
          <w:rFonts w:ascii="Times New Roman" w:hAnsi="Times New Roman" w:cs="Times New Roman"/>
          <w:sz w:val="28"/>
          <w:szCs w:val="28"/>
          <w:lang w:val="uk-UA"/>
        </w:rPr>
        <w:t>0,0495</w:t>
      </w:r>
      <w:r w:rsidR="005C65D9" w:rsidRPr="00EE7E42">
        <w:rPr>
          <w:rFonts w:ascii="Times New Roman" w:hAnsi="Times New Roman" w:cs="Times New Roman"/>
          <w:sz w:val="28"/>
          <w:szCs w:val="28"/>
          <w:lang w:val="uk-UA"/>
        </w:rPr>
        <w:t>)</w:t>
      </w:r>
      <w:r w:rsidR="00CE43A0" w:rsidRPr="00CE43A0">
        <w:t xml:space="preserve"> </w:t>
      </w:r>
      <w:r w:rsidR="00CE43A0">
        <w:rPr>
          <w:rFonts w:ascii="Times New Roman" w:hAnsi="Times New Roman" w:cs="Times New Roman"/>
          <w:sz w:val="28"/>
          <w:szCs w:val="28"/>
          <w:lang w:val="uk-UA"/>
        </w:rPr>
        <w:t>[</w:t>
      </w:r>
      <w:r w:rsidR="004B16DA">
        <w:rPr>
          <w:rFonts w:ascii="Times New Roman" w:hAnsi="Times New Roman" w:cs="Times New Roman"/>
          <w:sz w:val="28"/>
          <w:szCs w:val="28"/>
        </w:rPr>
        <w:t>14</w:t>
      </w:r>
      <w:r w:rsidR="004B16DA">
        <w:rPr>
          <w:rFonts w:ascii="Times New Roman" w:hAnsi="Times New Roman" w:cs="Times New Roman"/>
          <w:sz w:val="28"/>
          <w:szCs w:val="28"/>
          <w:lang w:val="uk-UA"/>
        </w:rPr>
        <w:t>3</w:t>
      </w:r>
      <w:r w:rsidR="00CE43A0">
        <w:rPr>
          <w:rFonts w:ascii="Times New Roman" w:hAnsi="Times New Roman" w:cs="Times New Roman"/>
          <w:sz w:val="28"/>
          <w:szCs w:val="28"/>
          <w:lang w:val="uk-UA"/>
        </w:rPr>
        <w:t xml:space="preserve">] </w:t>
      </w:r>
      <w:r w:rsidR="005C65D9" w:rsidRPr="005C65D9">
        <w:rPr>
          <w:rFonts w:ascii="Times New Roman" w:hAnsi="Times New Roman" w:cs="Times New Roman"/>
          <w:sz w:val="28"/>
          <w:szCs w:val="28"/>
          <w:lang w:val="uk-UA"/>
        </w:rPr>
        <w:t>(</w:t>
      </w:r>
      <w:r w:rsidR="00B94E0E">
        <w:rPr>
          <w:rFonts w:ascii="Times New Roman" w:hAnsi="Times New Roman" w:cs="Times New Roman"/>
          <w:sz w:val="28"/>
          <w:szCs w:val="28"/>
          <w:lang w:val="uk-UA"/>
        </w:rPr>
        <w:t>рис. 3</w:t>
      </w:r>
      <w:r w:rsidR="00B773A0">
        <w:rPr>
          <w:rFonts w:ascii="Times New Roman" w:hAnsi="Times New Roman" w:cs="Times New Roman"/>
          <w:sz w:val="28"/>
          <w:szCs w:val="28"/>
          <w:lang w:val="uk-UA"/>
        </w:rPr>
        <w:t>.2</w:t>
      </w:r>
      <w:r w:rsidR="008B77A1" w:rsidRPr="008B77A1">
        <w:rPr>
          <w:rFonts w:ascii="Times New Roman" w:hAnsi="Times New Roman" w:cs="Times New Roman"/>
          <w:sz w:val="28"/>
          <w:szCs w:val="28"/>
        </w:rPr>
        <w:t>.1</w:t>
      </w:r>
      <w:r w:rsidR="005C65D9">
        <w:rPr>
          <w:rFonts w:ascii="Times New Roman" w:hAnsi="Times New Roman" w:cs="Times New Roman"/>
          <w:sz w:val="28"/>
          <w:szCs w:val="28"/>
          <w:lang w:val="uk-UA"/>
        </w:rPr>
        <w:t>).</w:t>
      </w:r>
    </w:p>
    <w:p w:rsidR="005C65D9" w:rsidRDefault="007676D1" w:rsidP="0039775C">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33804580" wp14:editId="5AF707BB">
            <wp:extent cx="5904089" cy="3499555"/>
            <wp:effectExtent l="0" t="0" r="20955" b="2476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5D9" w:rsidRDefault="00B94E0E" w:rsidP="00B773A0">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B773A0">
        <w:rPr>
          <w:rFonts w:ascii="Times New Roman" w:hAnsi="Times New Roman" w:cs="Times New Roman"/>
          <w:sz w:val="28"/>
          <w:szCs w:val="28"/>
          <w:lang w:val="uk-UA"/>
        </w:rPr>
        <w:t>.</w:t>
      </w:r>
      <w:r>
        <w:rPr>
          <w:rFonts w:ascii="Times New Roman" w:hAnsi="Times New Roman" w:cs="Times New Roman"/>
          <w:sz w:val="28"/>
          <w:szCs w:val="28"/>
          <w:lang w:val="uk-UA"/>
        </w:rPr>
        <w:t xml:space="preserve"> 3</w:t>
      </w:r>
      <w:r w:rsidR="00B773A0">
        <w:rPr>
          <w:rFonts w:ascii="Times New Roman" w:hAnsi="Times New Roman" w:cs="Times New Roman"/>
          <w:sz w:val="28"/>
          <w:szCs w:val="28"/>
          <w:lang w:val="uk-UA"/>
        </w:rPr>
        <w:t>.2</w:t>
      </w:r>
      <w:r w:rsidR="008B77A1" w:rsidRPr="008B77A1">
        <w:rPr>
          <w:rFonts w:ascii="Times New Roman" w:hAnsi="Times New Roman" w:cs="Times New Roman"/>
          <w:sz w:val="28"/>
          <w:szCs w:val="28"/>
          <w:lang w:val="uk-UA"/>
        </w:rPr>
        <w:t>.1</w:t>
      </w:r>
      <w:r w:rsidR="00F10B92">
        <w:rPr>
          <w:rFonts w:ascii="Times New Roman" w:hAnsi="Times New Roman" w:cs="Times New Roman"/>
          <w:sz w:val="28"/>
          <w:szCs w:val="28"/>
          <w:lang w:val="uk-UA"/>
        </w:rPr>
        <w:t xml:space="preserve"> – Кореляційна залежність між </w:t>
      </w:r>
      <w:r w:rsidR="00B773A0">
        <w:rPr>
          <w:rFonts w:ascii="Times New Roman" w:hAnsi="Times New Roman" w:cs="Times New Roman"/>
          <w:sz w:val="28"/>
          <w:szCs w:val="28"/>
          <w:lang w:val="uk-UA"/>
        </w:rPr>
        <w:t xml:space="preserve">вмістом </w:t>
      </w:r>
      <w:r w:rsidR="00F10B92">
        <w:rPr>
          <w:rFonts w:ascii="Times New Roman" w:hAnsi="Times New Roman" w:cs="Times New Roman"/>
          <w:sz w:val="28"/>
          <w:szCs w:val="28"/>
          <w:lang w:val="uk-UA"/>
        </w:rPr>
        <w:t xml:space="preserve">глікозильованого гемоглобіну та </w:t>
      </w:r>
      <w:r w:rsidR="00B773A0">
        <w:rPr>
          <w:rFonts w:ascii="Times New Roman" w:hAnsi="Times New Roman" w:cs="Times New Roman"/>
          <w:sz w:val="28"/>
          <w:szCs w:val="28"/>
          <w:lang w:val="uk-UA"/>
        </w:rPr>
        <w:t xml:space="preserve">холестерину </w:t>
      </w:r>
      <w:r w:rsidR="00F10B92">
        <w:rPr>
          <w:rFonts w:ascii="Times New Roman" w:hAnsi="Times New Roman" w:cs="Times New Roman"/>
          <w:sz w:val="28"/>
          <w:szCs w:val="28"/>
          <w:lang w:val="uk-UA"/>
        </w:rPr>
        <w:t>лі</w:t>
      </w:r>
      <w:r w:rsidR="00B773A0">
        <w:rPr>
          <w:rFonts w:ascii="Times New Roman" w:hAnsi="Times New Roman" w:cs="Times New Roman"/>
          <w:sz w:val="28"/>
          <w:szCs w:val="28"/>
          <w:lang w:val="uk-UA"/>
        </w:rPr>
        <w:t>попротеїдів високої щільності у хворих</w:t>
      </w:r>
      <w:r w:rsidR="00574E4C">
        <w:rPr>
          <w:rFonts w:ascii="Times New Roman" w:hAnsi="Times New Roman" w:cs="Times New Roman"/>
          <w:sz w:val="28"/>
          <w:szCs w:val="28"/>
          <w:lang w:val="uk-UA"/>
        </w:rPr>
        <w:t xml:space="preserve"> І групи</w:t>
      </w:r>
    </w:p>
    <w:p w:rsidR="00EE1A58" w:rsidRDefault="00EE1A58" w:rsidP="00FC6739">
      <w:pPr>
        <w:autoSpaceDE w:val="0"/>
        <w:autoSpaceDN w:val="0"/>
        <w:adjustRightInd w:val="0"/>
        <w:spacing w:after="0" w:line="360" w:lineRule="auto"/>
        <w:ind w:firstLine="708"/>
        <w:jc w:val="both"/>
        <w:rPr>
          <w:rFonts w:ascii="Times New Roman" w:hAnsi="Times New Roman" w:cs="Times New Roman"/>
          <w:sz w:val="28"/>
          <w:szCs w:val="28"/>
          <w:lang w:val="uk-UA"/>
        </w:rPr>
      </w:pPr>
    </w:p>
    <w:p w:rsidR="00FB129C" w:rsidRPr="00C538ED" w:rsidRDefault="006D21FC" w:rsidP="00B0779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C6739">
        <w:rPr>
          <w:rFonts w:ascii="Times New Roman" w:hAnsi="Times New Roman" w:cs="Times New Roman"/>
          <w:sz w:val="28"/>
          <w:szCs w:val="28"/>
          <w:lang w:val="uk-UA"/>
        </w:rPr>
        <w:t xml:space="preserve"> </w:t>
      </w:r>
      <w:r w:rsidR="00A76E0E">
        <w:rPr>
          <w:rFonts w:ascii="Times New Roman" w:hAnsi="Times New Roman" w:cs="Times New Roman"/>
          <w:sz w:val="28"/>
          <w:szCs w:val="28"/>
          <w:lang w:val="uk-UA"/>
        </w:rPr>
        <w:t>дослідженні не у</w:t>
      </w:r>
      <w:r w:rsidR="00FC6739">
        <w:rPr>
          <w:rFonts w:ascii="Times New Roman" w:hAnsi="Times New Roman" w:cs="Times New Roman"/>
          <w:sz w:val="28"/>
          <w:szCs w:val="28"/>
          <w:lang w:val="uk-UA"/>
        </w:rPr>
        <w:t xml:space="preserve">становлено позитивної </w:t>
      </w:r>
      <w:r w:rsidR="00B773A0">
        <w:rPr>
          <w:rFonts w:ascii="Times New Roman" w:hAnsi="Times New Roman" w:cs="Times New Roman"/>
          <w:sz w:val="28"/>
          <w:szCs w:val="28"/>
          <w:lang w:val="uk-UA"/>
        </w:rPr>
        <w:t xml:space="preserve">залежності </w:t>
      </w:r>
      <w:r w:rsidR="00880679">
        <w:rPr>
          <w:rFonts w:ascii="Times New Roman" w:hAnsi="Times New Roman" w:cs="Times New Roman"/>
          <w:sz w:val="28"/>
          <w:szCs w:val="28"/>
          <w:lang w:val="uk-UA"/>
        </w:rPr>
        <w:t>між вмістом</w:t>
      </w:r>
      <w:r w:rsidR="00FC6739">
        <w:rPr>
          <w:rFonts w:ascii="Times New Roman" w:hAnsi="Times New Roman" w:cs="Times New Roman"/>
          <w:sz w:val="28"/>
          <w:szCs w:val="28"/>
          <w:lang w:val="uk-UA"/>
        </w:rPr>
        <w:t xml:space="preserve"> </w:t>
      </w:r>
      <w:r w:rsidR="00FC6739" w:rsidRPr="0008787E">
        <w:rPr>
          <w:rFonts w:ascii="Times New Roman" w:hAnsi="Times New Roman" w:cs="Times New Roman"/>
          <w:sz w:val="28"/>
          <w:szCs w:val="28"/>
          <w:lang w:val="en-US"/>
        </w:rPr>
        <w:t>HbA</w:t>
      </w:r>
      <w:r w:rsidR="00FC6739" w:rsidRPr="008707FF">
        <w:rPr>
          <w:rFonts w:ascii="Times New Roman" w:hAnsi="Times New Roman" w:cs="Times New Roman"/>
          <w:sz w:val="28"/>
          <w:szCs w:val="28"/>
          <w:lang w:val="uk-UA"/>
        </w:rPr>
        <w:t>1с</w:t>
      </w:r>
      <w:r w:rsidR="00FC6739">
        <w:rPr>
          <w:rFonts w:ascii="Times New Roman" w:hAnsi="Times New Roman" w:cs="Times New Roman"/>
          <w:sz w:val="28"/>
          <w:szCs w:val="28"/>
          <w:lang w:val="uk-UA"/>
        </w:rPr>
        <w:t xml:space="preserve"> та </w:t>
      </w:r>
      <w:r w:rsidR="00B71115">
        <w:rPr>
          <w:rFonts w:ascii="Times New Roman" w:hAnsi="Times New Roman" w:cs="Times New Roman"/>
          <w:sz w:val="28"/>
          <w:szCs w:val="28"/>
          <w:lang w:val="uk-UA"/>
        </w:rPr>
        <w:t xml:space="preserve">ХС </w:t>
      </w:r>
      <w:r w:rsidR="00FC6739">
        <w:rPr>
          <w:rFonts w:ascii="Times New Roman" w:hAnsi="Times New Roman" w:cs="Times New Roman"/>
          <w:sz w:val="28"/>
          <w:szCs w:val="28"/>
          <w:lang w:val="uk-UA"/>
        </w:rPr>
        <w:t xml:space="preserve">ЛПНЩ. </w:t>
      </w:r>
      <w:r>
        <w:rPr>
          <w:rFonts w:ascii="Times New Roman" w:hAnsi="Times New Roman" w:cs="Times New Roman"/>
          <w:sz w:val="28"/>
          <w:szCs w:val="28"/>
          <w:lang w:val="uk-UA"/>
        </w:rPr>
        <w:t>На думку науковців, у пацієнтів із ЦД 2-го типу вміст ХС ЛПНЩ</w:t>
      </w:r>
      <w:r w:rsidR="00773F68">
        <w:rPr>
          <w:rFonts w:ascii="Times New Roman" w:hAnsi="Times New Roman" w:cs="Times New Roman"/>
          <w:sz w:val="28"/>
          <w:szCs w:val="28"/>
          <w:lang w:val="uk-UA"/>
        </w:rPr>
        <w:t xml:space="preserve"> може бути і не збільш</w:t>
      </w:r>
      <w:r>
        <w:rPr>
          <w:rFonts w:ascii="Times New Roman" w:hAnsi="Times New Roman" w:cs="Times New Roman"/>
          <w:sz w:val="28"/>
          <w:szCs w:val="28"/>
          <w:lang w:val="uk-UA"/>
        </w:rPr>
        <w:t>еним, зважаючи</w:t>
      </w:r>
      <w:r w:rsidRPr="006D21FC">
        <w:rPr>
          <w:rFonts w:ascii="Times New Roman" w:hAnsi="Times New Roman" w:cs="Times New Roman"/>
          <w:sz w:val="28"/>
          <w:szCs w:val="28"/>
          <w:lang w:val="uk-UA"/>
        </w:rPr>
        <w:t xml:space="preserve"> на те</w:t>
      </w:r>
      <w:r w:rsidR="00773F68">
        <w:rPr>
          <w:rFonts w:ascii="Times New Roman" w:hAnsi="Times New Roman" w:cs="Times New Roman"/>
          <w:sz w:val="28"/>
          <w:szCs w:val="28"/>
          <w:lang w:val="uk-UA"/>
        </w:rPr>
        <w:t>, що</w:t>
      </w:r>
      <w:r>
        <w:rPr>
          <w:rFonts w:ascii="Times New Roman" w:hAnsi="Times New Roman" w:cs="Times New Roman"/>
          <w:sz w:val="28"/>
          <w:szCs w:val="28"/>
          <w:lang w:val="uk-UA"/>
        </w:rPr>
        <w:t xml:space="preserve"> </w:t>
      </w:r>
      <w:r w:rsidR="00773F68">
        <w:rPr>
          <w:rFonts w:ascii="Times New Roman" w:hAnsi="Times New Roman" w:cs="Times New Roman"/>
          <w:sz w:val="28"/>
          <w:szCs w:val="28"/>
          <w:lang w:val="uk-UA"/>
        </w:rPr>
        <w:t>в</w:t>
      </w:r>
      <w:r>
        <w:rPr>
          <w:rFonts w:ascii="Times New Roman" w:hAnsi="Times New Roman" w:cs="Times New Roman"/>
          <w:sz w:val="28"/>
          <w:szCs w:val="28"/>
          <w:lang w:val="uk-UA"/>
        </w:rPr>
        <w:t xml:space="preserve">ажливішими </w:t>
      </w:r>
      <w:r w:rsidR="00D31F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кількісні зміни ХС ЛПНЩ є їх якісні властивості, обумовлені у тому числі </w:t>
      </w:r>
      <w:r w:rsidR="00773F68">
        <w:rPr>
          <w:rFonts w:ascii="Times New Roman" w:hAnsi="Times New Roman" w:cs="Times New Roman"/>
          <w:sz w:val="28"/>
          <w:szCs w:val="28"/>
          <w:lang w:val="uk-UA"/>
        </w:rPr>
        <w:t>гіперглікемією</w:t>
      </w:r>
      <w:r>
        <w:rPr>
          <w:rFonts w:ascii="Times New Roman" w:hAnsi="Times New Roman" w:cs="Times New Roman"/>
          <w:sz w:val="28"/>
          <w:szCs w:val="28"/>
          <w:lang w:val="uk-UA"/>
        </w:rPr>
        <w:t xml:space="preserve"> (здатні</w:t>
      </w:r>
      <w:r w:rsidR="00E83F34">
        <w:rPr>
          <w:rFonts w:ascii="Times New Roman" w:hAnsi="Times New Roman" w:cs="Times New Roman"/>
          <w:sz w:val="28"/>
          <w:szCs w:val="28"/>
          <w:lang w:val="uk-UA"/>
        </w:rPr>
        <w:t>сть до глікоз</w:t>
      </w:r>
      <w:r w:rsidR="00E83F34" w:rsidRPr="00C538ED">
        <w:rPr>
          <w:rFonts w:ascii="Times New Roman" w:hAnsi="Times New Roman" w:cs="Times New Roman"/>
          <w:sz w:val="28"/>
          <w:szCs w:val="28"/>
          <w:lang w:val="uk-UA"/>
        </w:rPr>
        <w:t>илю</w:t>
      </w:r>
      <w:r>
        <w:rPr>
          <w:rFonts w:ascii="Times New Roman" w:hAnsi="Times New Roman" w:cs="Times New Roman"/>
          <w:sz w:val="28"/>
          <w:szCs w:val="28"/>
          <w:lang w:val="uk-UA"/>
        </w:rPr>
        <w:t>вання, більша</w:t>
      </w:r>
      <w:r w:rsidRPr="006D21FC">
        <w:rPr>
          <w:rFonts w:ascii="Times New Roman" w:hAnsi="Times New Roman" w:cs="Times New Roman"/>
          <w:sz w:val="28"/>
          <w:szCs w:val="28"/>
          <w:lang w:val="uk-UA"/>
        </w:rPr>
        <w:t xml:space="preserve"> </w:t>
      </w:r>
      <w:r>
        <w:rPr>
          <w:rFonts w:ascii="Times New Roman" w:hAnsi="Times New Roman" w:cs="Times New Roman"/>
          <w:sz w:val="28"/>
          <w:szCs w:val="28"/>
          <w:lang w:val="uk-UA"/>
        </w:rPr>
        <w:t>щільність, менші розміри</w:t>
      </w:r>
      <w:r w:rsidR="00773F68">
        <w:rPr>
          <w:rFonts w:ascii="Times New Roman" w:hAnsi="Times New Roman" w:cs="Times New Roman"/>
          <w:sz w:val="28"/>
          <w:szCs w:val="28"/>
          <w:lang w:val="uk-UA"/>
        </w:rPr>
        <w:t xml:space="preserve">) </w:t>
      </w:r>
      <w:r w:rsidR="00773F68" w:rsidRPr="00C538ED">
        <w:rPr>
          <w:rFonts w:ascii="Times New Roman" w:hAnsi="Times New Roman" w:cs="Times New Roman"/>
          <w:sz w:val="28"/>
          <w:szCs w:val="28"/>
          <w:lang w:val="uk-UA"/>
        </w:rPr>
        <w:t>[</w:t>
      </w:r>
      <w:r w:rsidR="00267B2C" w:rsidRPr="004B16DA">
        <w:rPr>
          <w:rFonts w:ascii="Times New Roman" w:hAnsi="Times New Roman" w:cs="Times New Roman"/>
          <w:sz w:val="28"/>
          <w:szCs w:val="28"/>
          <w:lang w:val="uk-UA"/>
        </w:rPr>
        <w:t>2</w:t>
      </w:r>
      <w:r w:rsidR="004B16DA">
        <w:rPr>
          <w:rFonts w:ascii="Times New Roman" w:hAnsi="Times New Roman" w:cs="Times New Roman"/>
          <w:sz w:val="28"/>
          <w:szCs w:val="28"/>
          <w:lang w:val="uk-UA"/>
        </w:rPr>
        <w:t>4</w:t>
      </w:r>
      <w:r w:rsidR="00773F68" w:rsidRPr="00C538ED">
        <w:rPr>
          <w:rFonts w:ascii="Times New Roman" w:hAnsi="Times New Roman" w:cs="Times New Roman"/>
          <w:sz w:val="28"/>
          <w:szCs w:val="28"/>
          <w:lang w:val="uk-UA"/>
        </w:rPr>
        <w:t>].</w:t>
      </w:r>
    </w:p>
    <w:p w:rsidR="000F0FD1" w:rsidRPr="000F0FD1" w:rsidRDefault="00574E4C" w:rsidP="00C0356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1666A6">
        <w:rPr>
          <w:rFonts w:ascii="Times New Roman" w:hAnsi="Times New Roman" w:cs="Times New Roman"/>
          <w:sz w:val="28"/>
          <w:szCs w:val="28"/>
          <w:lang w:val="uk-UA"/>
        </w:rPr>
        <w:t>достовірний нега</w:t>
      </w:r>
      <w:r w:rsidR="00880679">
        <w:rPr>
          <w:rFonts w:ascii="Times New Roman" w:hAnsi="Times New Roman" w:cs="Times New Roman"/>
          <w:sz w:val="28"/>
          <w:szCs w:val="28"/>
          <w:lang w:val="uk-UA"/>
        </w:rPr>
        <w:t>тивний звʼ</w:t>
      </w:r>
      <w:r>
        <w:rPr>
          <w:rFonts w:ascii="Times New Roman" w:hAnsi="Times New Roman" w:cs="Times New Roman"/>
          <w:sz w:val="28"/>
          <w:szCs w:val="28"/>
          <w:lang w:val="uk-UA"/>
        </w:rPr>
        <w:t>язок між</w:t>
      </w:r>
      <w:r w:rsidR="00880679">
        <w:rPr>
          <w:rFonts w:ascii="Times New Roman" w:hAnsi="Times New Roman" w:cs="Times New Roman"/>
          <w:sz w:val="28"/>
          <w:szCs w:val="28"/>
          <w:lang w:val="uk-UA"/>
        </w:rPr>
        <w:t xml:space="preserve"> вмістом </w:t>
      </w:r>
      <w:r w:rsidR="001666A6" w:rsidRPr="000C53B2">
        <w:rPr>
          <w:rFonts w:ascii="Times New Roman" w:hAnsi="Times New Roman" w:cs="Times New Roman"/>
          <w:sz w:val="28"/>
          <w:szCs w:val="28"/>
        </w:rPr>
        <w:t>HbA</w:t>
      </w:r>
      <w:r w:rsidR="001666A6">
        <w:rPr>
          <w:rFonts w:ascii="Times New Roman" w:hAnsi="Times New Roman" w:cs="Times New Roman"/>
          <w:sz w:val="28"/>
          <w:szCs w:val="28"/>
          <w:lang w:val="uk-UA"/>
        </w:rPr>
        <w:t xml:space="preserve">1с та </w:t>
      </w:r>
      <w:r w:rsidR="00B71115">
        <w:rPr>
          <w:rFonts w:ascii="Times New Roman" w:hAnsi="Times New Roman" w:cs="Times New Roman"/>
          <w:sz w:val="28"/>
          <w:szCs w:val="28"/>
          <w:lang w:val="uk-UA"/>
        </w:rPr>
        <w:t xml:space="preserve">ХС </w:t>
      </w:r>
      <w:r w:rsidR="001666A6">
        <w:rPr>
          <w:rFonts w:ascii="Times New Roman" w:hAnsi="Times New Roman" w:cs="Times New Roman"/>
          <w:sz w:val="28"/>
          <w:szCs w:val="28"/>
          <w:lang w:val="uk-UA"/>
        </w:rPr>
        <w:t>ЛПВЩ</w:t>
      </w:r>
      <w:r w:rsidR="001666A6" w:rsidRPr="000C53B2">
        <w:rPr>
          <w:rFonts w:ascii="Times New Roman" w:hAnsi="Times New Roman" w:cs="Times New Roman"/>
          <w:sz w:val="28"/>
          <w:szCs w:val="28"/>
          <w:lang w:val="uk-UA"/>
        </w:rPr>
        <w:t xml:space="preserve"> (</w:t>
      </w:r>
      <w:r w:rsidR="001666A6" w:rsidRPr="000C53B2">
        <w:rPr>
          <w:rFonts w:ascii="Times New Roman" w:hAnsi="Times New Roman" w:cs="Times New Roman"/>
          <w:sz w:val="28"/>
          <w:szCs w:val="28"/>
        </w:rPr>
        <w:t>r</w:t>
      </w:r>
      <w:r w:rsidR="001666A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760C8">
        <w:rPr>
          <w:rFonts w:ascii="Times New Roman" w:hAnsi="Times New Roman" w:cs="Times New Roman"/>
          <w:sz w:val="28"/>
          <w:szCs w:val="28"/>
          <w:lang w:val="uk-UA"/>
        </w:rPr>
        <w:t xml:space="preserve"> 0,2; р = 0,0495</w:t>
      </w:r>
      <w:r w:rsidR="001666A6" w:rsidRPr="000C53B2">
        <w:rPr>
          <w:rFonts w:ascii="Times New Roman" w:hAnsi="Times New Roman" w:cs="Times New Roman"/>
          <w:sz w:val="28"/>
          <w:szCs w:val="28"/>
          <w:lang w:val="uk-UA"/>
        </w:rPr>
        <w:t>)</w:t>
      </w:r>
      <w:r w:rsidR="00C538ED">
        <w:rPr>
          <w:rFonts w:ascii="Times New Roman" w:hAnsi="Times New Roman" w:cs="Times New Roman"/>
          <w:sz w:val="28"/>
          <w:szCs w:val="28"/>
          <w:lang w:val="uk-UA"/>
        </w:rPr>
        <w:t xml:space="preserve"> у пацієнтів із АГ та супутнім ЦД 2-го типу</w:t>
      </w:r>
      <w:r w:rsidR="001666A6">
        <w:rPr>
          <w:rFonts w:ascii="Times New Roman" w:hAnsi="Times New Roman" w:cs="Times New Roman"/>
          <w:sz w:val="28"/>
          <w:szCs w:val="28"/>
          <w:lang w:val="uk-UA"/>
        </w:rPr>
        <w:t xml:space="preserve">, </w:t>
      </w:r>
      <w:r w:rsidR="00C538ED">
        <w:rPr>
          <w:rFonts w:ascii="Times New Roman" w:hAnsi="Times New Roman" w:cs="Times New Roman"/>
          <w:sz w:val="28"/>
          <w:szCs w:val="28"/>
          <w:lang w:val="uk-UA"/>
        </w:rPr>
        <w:t>ви</w:t>
      </w:r>
      <w:r w:rsidR="00880679">
        <w:rPr>
          <w:rFonts w:ascii="Times New Roman" w:hAnsi="Times New Roman" w:cs="Times New Roman"/>
          <w:sz w:val="28"/>
          <w:szCs w:val="28"/>
          <w:lang w:val="uk-UA"/>
        </w:rPr>
        <w:t>щий вміст ТГ у хворих із більшим</w:t>
      </w:r>
      <w:r w:rsidR="00C538ED">
        <w:rPr>
          <w:rFonts w:ascii="Times New Roman" w:hAnsi="Times New Roman" w:cs="Times New Roman"/>
          <w:sz w:val="28"/>
          <w:szCs w:val="28"/>
          <w:lang w:val="uk-UA"/>
        </w:rPr>
        <w:t xml:space="preserve"> за 8</w:t>
      </w:r>
      <w:r w:rsidR="001A2A59">
        <w:rPr>
          <w:rFonts w:ascii="Times New Roman" w:hAnsi="Times New Roman" w:cs="Times New Roman"/>
          <w:sz w:val="28"/>
          <w:szCs w:val="28"/>
          <w:lang w:val="uk-UA"/>
        </w:rPr>
        <w:t>,0</w:t>
      </w:r>
      <w:r w:rsidR="00880679">
        <w:rPr>
          <w:rFonts w:ascii="Times New Roman" w:hAnsi="Times New Roman" w:cs="Times New Roman"/>
          <w:sz w:val="28"/>
          <w:szCs w:val="28"/>
          <w:lang w:val="uk-UA"/>
        </w:rPr>
        <w:t xml:space="preserve"> %</w:t>
      </w:r>
      <w:r w:rsidR="001A2A59" w:rsidRPr="001A2A59">
        <w:rPr>
          <w:lang w:val="uk-UA"/>
        </w:rPr>
        <w:t xml:space="preserve"> </w:t>
      </w:r>
      <w:r w:rsidR="001A2A59" w:rsidRPr="001A2A59">
        <w:rPr>
          <w:rFonts w:ascii="Times New Roman" w:hAnsi="Times New Roman" w:cs="Times New Roman"/>
          <w:sz w:val="28"/>
          <w:szCs w:val="28"/>
          <w:lang w:val="uk-UA"/>
        </w:rPr>
        <w:t>HbA1с</w:t>
      </w:r>
      <w:r w:rsidR="00C538ED">
        <w:rPr>
          <w:rFonts w:ascii="Times New Roman" w:hAnsi="Times New Roman" w:cs="Times New Roman"/>
          <w:sz w:val="28"/>
          <w:szCs w:val="28"/>
          <w:lang w:val="uk-UA"/>
        </w:rPr>
        <w:t xml:space="preserve"> </w:t>
      </w:r>
      <w:r w:rsidR="001A2A59">
        <w:rPr>
          <w:rFonts w:ascii="Times New Roman" w:hAnsi="Times New Roman" w:cs="Times New Roman"/>
          <w:sz w:val="28"/>
          <w:szCs w:val="28"/>
          <w:lang w:val="uk-UA"/>
        </w:rPr>
        <w:t>свідча</w:t>
      </w:r>
      <w:r w:rsidR="001666A6">
        <w:rPr>
          <w:rFonts w:ascii="Times New Roman" w:hAnsi="Times New Roman" w:cs="Times New Roman"/>
          <w:sz w:val="28"/>
          <w:szCs w:val="28"/>
          <w:lang w:val="uk-UA"/>
        </w:rPr>
        <w:t xml:space="preserve">ть про зниження </w:t>
      </w:r>
      <w:r w:rsidR="00C538ED">
        <w:rPr>
          <w:rFonts w:ascii="Times New Roman" w:hAnsi="Times New Roman" w:cs="Times New Roman"/>
          <w:sz w:val="28"/>
          <w:szCs w:val="28"/>
          <w:lang w:val="uk-UA"/>
        </w:rPr>
        <w:t>вмісту антиатерогенних ліпопротеїдів</w:t>
      </w:r>
      <w:r w:rsidR="001A2A59">
        <w:rPr>
          <w:rFonts w:ascii="Times New Roman" w:hAnsi="Times New Roman" w:cs="Times New Roman"/>
          <w:sz w:val="28"/>
          <w:szCs w:val="28"/>
          <w:lang w:val="uk-UA"/>
        </w:rPr>
        <w:t xml:space="preserve"> та підвищення ТГ</w:t>
      </w:r>
      <w:r w:rsidR="00C538ED">
        <w:rPr>
          <w:rFonts w:ascii="Times New Roman" w:hAnsi="Times New Roman" w:cs="Times New Roman"/>
          <w:sz w:val="28"/>
          <w:szCs w:val="28"/>
          <w:lang w:val="uk-UA"/>
        </w:rPr>
        <w:t xml:space="preserve"> пропорційно </w:t>
      </w:r>
      <w:r w:rsidR="00D31F65">
        <w:rPr>
          <w:rFonts w:ascii="Times New Roman" w:hAnsi="Times New Roman" w:cs="Times New Roman"/>
          <w:sz w:val="28"/>
          <w:szCs w:val="28"/>
          <w:lang w:val="uk-UA"/>
        </w:rPr>
        <w:t xml:space="preserve">          </w:t>
      </w:r>
      <w:r w:rsidR="00C538ED">
        <w:rPr>
          <w:rFonts w:ascii="Times New Roman" w:hAnsi="Times New Roman" w:cs="Times New Roman"/>
          <w:sz w:val="28"/>
          <w:szCs w:val="28"/>
          <w:lang w:val="uk-UA"/>
        </w:rPr>
        <w:t>до зменшення ступеня компенсації ЦД 2-го типу.</w:t>
      </w:r>
      <w:r w:rsidR="001666A6">
        <w:rPr>
          <w:rFonts w:ascii="Times New Roman" w:hAnsi="Times New Roman" w:cs="Times New Roman"/>
          <w:sz w:val="28"/>
          <w:szCs w:val="28"/>
          <w:lang w:val="uk-UA"/>
        </w:rPr>
        <w:t xml:space="preserve"> </w:t>
      </w:r>
      <w:r w:rsidR="00C538ED">
        <w:rPr>
          <w:rFonts w:ascii="Times New Roman" w:hAnsi="Times New Roman" w:cs="Times New Roman"/>
          <w:sz w:val="28"/>
          <w:szCs w:val="28"/>
          <w:lang w:val="uk-UA"/>
        </w:rPr>
        <w:t xml:space="preserve">Вищий КА у хворих на АГ та ЦД 2-го типу порівняно з пацієнтами </w:t>
      </w:r>
      <w:r w:rsidR="00BD6933">
        <w:rPr>
          <w:rFonts w:ascii="Times New Roman" w:hAnsi="Times New Roman" w:cs="Times New Roman"/>
          <w:sz w:val="28"/>
          <w:szCs w:val="28"/>
          <w:lang w:val="uk-UA"/>
        </w:rPr>
        <w:t>і</w:t>
      </w:r>
      <w:r w:rsidR="00C538ED">
        <w:rPr>
          <w:rFonts w:ascii="Times New Roman" w:hAnsi="Times New Roman" w:cs="Times New Roman"/>
          <w:sz w:val="28"/>
          <w:szCs w:val="28"/>
          <w:lang w:val="uk-UA"/>
        </w:rPr>
        <w:t xml:space="preserve">з АГ </w:t>
      </w:r>
      <w:r w:rsidR="001A2A59">
        <w:rPr>
          <w:rFonts w:ascii="Times New Roman" w:hAnsi="Times New Roman" w:cs="Times New Roman"/>
          <w:sz w:val="28"/>
          <w:szCs w:val="28"/>
          <w:lang w:val="uk-UA"/>
        </w:rPr>
        <w:t>є доказом доцільності</w:t>
      </w:r>
      <w:r w:rsidR="00C538ED">
        <w:rPr>
          <w:rFonts w:ascii="Times New Roman" w:hAnsi="Times New Roman" w:cs="Times New Roman"/>
          <w:sz w:val="28"/>
          <w:szCs w:val="28"/>
          <w:lang w:val="uk-UA"/>
        </w:rPr>
        <w:t xml:space="preserve"> призначення </w:t>
      </w:r>
      <w:r w:rsidR="001A2A59">
        <w:rPr>
          <w:rFonts w:ascii="Times New Roman" w:hAnsi="Times New Roman" w:cs="Times New Roman"/>
          <w:sz w:val="28"/>
          <w:szCs w:val="28"/>
          <w:lang w:val="uk-UA"/>
        </w:rPr>
        <w:t>статинів з метою вторинної профілактики ССУ за наявності коморбідної патології.</w:t>
      </w:r>
    </w:p>
    <w:p w:rsidR="00D05D69" w:rsidRDefault="00D05D69" w:rsidP="00345EFB">
      <w:pPr>
        <w:spacing w:line="360" w:lineRule="auto"/>
        <w:ind w:firstLine="708"/>
        <w:jc w:val="both"/>
        <w:rPr>
          <w:rFonts w:ascii="Times New Roman" w:hAnsi="Times New Roman" w:cs="Times New Roman"/>
          <w:b/>
          <w:sz w:val="28"/>
          <w:szCs w:val="28"/>
          <w:lang w:val="uk-UA"/>
        </w:rPr>
      </w:pPr>
      <w:r w:rsidRPr="00D05D69">
        <w:rPr>
          <w:rFonts w:ascii="Times New Roman" w:hAnsi="Times New Roman" w:cs="Times New Roman"/>
          <w:b/>
          <w:sz w:val="28"/>
          <w:szCs w:val="28"/>
          <w:lang w:val="uk-UA"/>
        </w:rPr>
        <w:lastRenderedPageBreak/>
        <w:t xml:space="preserve">3.3. </w:t>
      </w:r>
      <w:r w:rsidR="007B67E1" w:rsidRPr="007B67E1">
        <w:rPr>
          <w:rFonts w:ascii="Times New Roman" w:hAnsi="Times New Roman" w:cs="Times New Roman"/>
          <w:b/>
          <w:sz w:val="28"/>
          <w:szCs w:val="28"/>
          <w:lang w:val="uk-UA"/>
        </w:rPr>
        <w:t xml:space="preserve">Оцінювання зв’язку між показниками ліпідного спектра крові та </w:t>
      </w:r>
      <w:r w:rsidR="000F0FD1">
        <w:rPr>
          <w:rFonts w:ascii="Times New Roman" w:hAnsi="Times New Roman" w:cs="Times New Roman"/>
          <w:b/>
          <w:sz w:val="28"/>
          <w:szCs w:val="28"/>
          <w:lang w:val="uk-UA"/>
        </w:rPr>
        <w:t xml:space="preserve">концентрацією </w:t>
      </w:r>
      <w:r w:rsidR="007B67E1" w:rsidRPr="007B67E1">
        <w:rPr>
          <w:rFonts w:ascii="Times New Roman" w:hAnsi="Times New Roman" w:cs="Times New Roman"/>
          <w:b/>
          <w:sz w:val="28"/>
          <w:szCs w:val="28"/>
          <w:lang w:val="uk-UA"/>
        </w:rPr>
        <w:t>розчинної форми молекули адгезії судинного ендотелію 1-го типу</w:t>
      </w:r>
    </w:p>
    <w:p w:rsidR="00D05D69" w:rsidRPr="00D05D69" w:rsidRDefault="00574E4C" w:rsidP="00D05D6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w:t>
      </w:r>
      <w:r w:rsidR="00D05D69">
        <w:rPr>
          <w:rFonts w:ascii="Times New Roman" w:hAnsi="Times New Roman" w:cs="Times New Roman"/>
          <w:sz w:val="28"/>
          <w:szCs w:val="28"/>
          <w:lang w:val="uk-UA"/>
        </w:rPr>
        <w:t xml:space="preserve"> м</w:t>
      </w:r>
      <w:r w:rsidR="00E72E32">
        <w:rPr>
          <w:rFonts w:ascii="Times New Roman" w:hAnsi="Times New Roman" w:cs="Times New Roman"/>
          <w:sz w:val="28"/>
          <w:szCs w:val="28"/>
          <w:lang w:val="uk-UA"/>
        </w:rPr>
        <w:t xml:space="preserve">олекули міжклітинної адгезії </w:t>
      </w:r>
      <w:r w:rsidR="00D05D69">
        <w:rPr>
          <w:rFonts w:ascii="Times New Roman" w:hAnsi="Times New Roman" w:cs="Times New Roman"/>
          <w:sz w:val="28"/>
          <w:szCs w:val="28"/>
          <w:lang w:val="uk-UA"/>
        </w:rPr>
        <w:t>розцінюються</w:t>
      </w:r>
      <w:r>
        <w:rPr>
          <w:rFonts w:ascii="Times New Roman" w:hAnsi="Times New Roman" w:cs="Times New Roman"/>
          <w:sz w:val="28"/>
          <w:szCs w:val="28"/>
          <w:lang w:val="uk-UA"/>
        </w:rPr>
        <w:t xml:space="preserve"> не лише як показники</w:t>
      </w:r>
      <w:r w:rsidR="00DF57F7">
        <w:rPr>
          <w:rFonts w:ascii="Times New Roman" w:hAnsi="Times New Roman" w:cs="Times New Roman"/>
          <w:sz w:val="28"/>
          <w:szCs w:val="28"/>
          <w:lang w:val="uk-UA"/>
        </w:rPr>
        <w:t>, що</w:t>
      </w:r>
      <w:r w:rsidR="00D05D69" w:rsidRPr="00D05D69">
        <w:rPr>
          <w:rFonts w:ascii="Times New Roman" w:hAnsi="Times New Roman" w:cs="Times New Roman"/>
          <w:sz w:val="28"/>
          <w:szCs w:val="28"/>
          <w:lang w:val="uk-UA"/>
        </w:rPr>
        <w:t xml:space="preserve"> відображають функціональну </w:t>
      </w:r>
      <w:r w:rsidR="009F2166">
        <w:rPr>
          <w:rFonts w:ascii="Times New Roman" w:hAnsi="Times New Roman" w:cs="Times New Roman"/>
          <w:sz w:val="28"/>
          <w:szCs w:val="28"/>
          <w:lang w:val="uk-UA"/>
        </w:rPr>
        <w:t xml:space="preserve">активність </w:t>
      </w:r>
      <w:r w:rsidR="0030084F">
        <w:rPr>
          <w:rFonts w:ascii="Times New Roman" w:hAnsi="Times New Roman" w:cs="Times New Roman"/>
          <w:sz w:val="28"/>
          <w:szCs w:val="28"/>
          <w:lang w:val="uk-UA"/>
        </w:rPr>
        <w:t xml:space="preserve">ендотелію, а й як маркери </w:t>
      </w:r>
      <w:r w:rsidR="009F1B70">
        <w:rPr>
          <w:rFonts w:ascii="Times New Roman" w:hAnsi="Times New Roman" w:cs="Times New Roman"/>
          <w:sz w:val="28"/>
          <w:szCs w:val="28"/>
          <w:lang w:val="uk-UA"/>
        </w:rPr>
        <w:t>імуно</w:t>
      </w:r>
      <w:r w:rsidR="00D05D69" w:rsidRPr="00D05D69">
        <w:rPr>
          <w:rFonts w:ascii="Times New Roman" w:hAnsi="Times New Roman" w:cs="Times New Roman"/>
          <w:sz w:val="28"/>
          <w:szCs w:val="28"/>
          <w:lang w:val="uk-UA"/>
        </w:rPr>
        <w:t xml:space="preserve">запальних реакцій, оскільки </w:t>
      </w:r>
      <w:r w:rsidR="0013413B">
        <w:rPr>
          <w:rFonts w:ascii="Times New Roman" w:hAnsi="Times New Roman" w:cs="Times New Roman"/>
          <w:sz w:val="28"/>
          <w:szCs w:val="28"/>
          <w:lang w:val="uk-UA"/>
        </w:rPr>
        <w:t xml:space="preserve">збільшення </w:t>
      </w:r>
      <w:r w:rsidR="00D05D69" w:rsidRPr="00D05D69">
        <w:rPr>
          <w:rFonts w:ascii="Times New Roman" w:hAnsi="Times New Roman" w:cs="Times New Roman"/>
          <w:sz w:val="28"/>
          <w:szCs w:val="28"/>
          <w:lang w:val="uk-UA"/>
        </w:rPr>
        <w:t>їх продукції обумовлене підвищенням системної секреції прозапальних цитокінів [</w:t>
      </w:r>
      <w:r w:rsidR="00267B2C" w:rsidRPr="004B16DA">
        <w:rPr>
          <w:rFonts w:ascii="Times New Roman" w:hAnsi="Times New Roman" w:cs="Times New Roman"/>
          <w:sz w:val="28"/>
          <w:szCs w:val="28"/>
          <w:lang w:val="uk-UA"/>
        </w:rPr>
        <w:t>77</w:t>
      </w:r>
      <w:r w:rsidR="00D05D69" w:rsidRPr="00A33607">
        <w:rPr>
          <w:rFonts w:ascii="Times New Roman" w:hAnsi="Times New Roman" w:cs="Times New Roman"/>
          <w:sz w:val="28"/>
          <w:szCs w:val="28"/>
          <w:lang w:val="uk-UA"/>
        </w:rPr>
        <w:t>].</w:t>
      </w:r>
    </w:p>
    <w:p w:rsidR="00765BC8" w:rsidRDefault="00B87C4B" w:rsidP="00765BC8">
      <w:pPr>
        <w:autoSpaceDE w:val="0"/>
        <w:autoSpaceDN w:val="0"/>
        <w:adjustRightInd w:val="0"/>
        <w:spacing w:after="0" w:line="360" w:lineRule="auto"/>
        <w:ind w:firstLine="708"/>
        <w:jc w:val="both"/>
        <w:rPr>
          <w:rFonts w:ascii="Times New Roman" w:hAnsi="Times New Roman" w:cs="Times New Roman"/>
          <w:sz w:val="28"/>
          <w:szCs w:val="28"/>
          <w:lang w:val="uk-UA"/>
        </w:rPr>
      </w:pPr>
      <w:r w:rsidRPr="00B87C4B">
        <w:rPr>
          <w:rFonts w:ascii="Times New Roman" w:hAnsi="Times New Roman" w:cs="Times New Roman"/>
          <w:sz w:val="28"/>
          <w:szCs w:val="28"/>
          <w:lang w:val="uk-UA"/>
        </w:rPr>
        <w:t>Концентрація цих молекул на поверхні ендотеліальних клітин збільшується внас</w:t>
      </w:r>
      <w:r w:rsidR="00DF57F7">
        <w:rPr>
          <w:rFonts w:ascii="Times New Roman" w:hAnsi="Times New Roman" w:cs="Times New Roman"/>
          <w:sz w:val="28"/>
          <w:szCs w:val="28"/>
          <w:lang w:val="uk-UA"/>
        </w:rPr>
        <w:t>лідок дії пошкоджувальних факторів, зокрема</w:t>
      </w:r>
      <w:r w:rsidRPr="00B87C4B">
        <w:rPr>
          <w:rFonts w:ascii="Times New Roman" w:hAnsi="Times New Roman" w:cs="Times New Roman"/>
          <w:sz w:val="28"/>
          <w:szCs w:val="28"/>
          <w:lang w:val="uk-UA"/>
        </w:rPr>
        <w:t xml:space="preserve"> </w:t>
      </w:r>
      <w:r w:rsidR="005C3BC2">
        <w:rPr>
          <w:rFonts w:ascii="Times New Roman" w:hAnsi="Times New Roman" w:cs="Times New Roman"/>
          <w:sz w:val="28"/>
          <w:szCs w:val="28"/>
          <w:lang w:val="uk-UA"/>
        </w:rPr>
        <w:t xml:space="preserve">                   </w:t>
      </w:r>
      <w:r w:rsidRPr="00B87C4B">
        <w:rPr>
          <w:rFonts w:ascii="Times New Roman" w:hAnsi="Times New Roman" w:cs="Times New Roman"/>
          <w:sz w:val="28"/>
          <w:szCs w:val="28"/>
          <w:lang w:val="uk-UA"/>
        </w:rPr>
        <w:t>при накопиченні у субендотеліальному про</w:t>
      </w:r>
      <w:r w:rsidR="00A33607">
        <w:rPr>
          <w:rFonts w:ascii="Times New Roman" w:hAnsi="Times New Roman" w:cs="Times New Roman"/>
          <w:sz w:val="28"/>
          <w:szCs w:val="28"/>
          <w:lang w:val="uk-UA"/>
        </w:rPr>
        <w:t xml:space="preserve">сторі ліпідів та </w:t>
      </w:r>
      <w:r w:rsidR="00A33607" w:rsidRPr="0019794C">
        <w:rPr>
          <w:rFonts w:ascii="Times New Roman" w:hAnsi="Times New Roman" w:cs="Times New Roman"/>
          <w:sz w:val="28"/>
          <w:szCs w:val="28"/>
          <w:lang w:val="uk-UA"/>
        </w:rPr>
        <w:t xml:space="preserve">ліпопротеїдів </w:t>
      </w:r>
      <w:r w:rsidRPr="0019794C">
        <w:rPr>
          <w:rFonts w:ascii="Times New Roman" w:hAnsi="Times New Roman" w:cs="Times New Roman"/>
          <w:sz w:val="28"/>
          <w:szCs w:val="28"/>
          <w:lang w:val="uk-UA"/>
        </w:rPr>
        <w:t>[</w:t>
      </w:r>
      <w:r w:rsidR="004B16DA">
        <w:rPr>
          <w:rFonts w:ascii="Times New Roman" w:hAnsi="Times New Roman" w:cs="Times New Roman"/>
          <w:sz w:val="28"/>
          <w:szCs w:val="28"/>
          <w:lang w:val="uk-UA"/>
        </w:rPr>
        <w:t>144</w:t>
      </w:r>
      <w:r w:rsidRPr="0019794C">
        <w:rPr>
          <w:rFonts w:ascii="Times New Roman" w:hAnsi="Times New Roman" w:cs="Times New Roman"/>
          <w:sz w:val="28"/>
          <w:szCs w:val="28"/>
          <w:lang w:val="uk-UA"/>
        </w:rPr>
        <w:t>].</w:t>
      </w:r>
    </w:p>
    <w:p w:rsidR="00765BC8" w:rsidRDefault="00765BC8" w:rsidP="00EE4D7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експресії </w:t>
      </w:r>
      <w:r w:rsidRPr="00B87C4B">
        <w:rPr>
          <w:rFonts w:ascii="Times New Roman" w:hAnsi="Times New Roman" w:cs="Times New Roman"/>
          <w:sz w:val="28"/>
          <w:szCs w:val="28"/>
        </w:rPr>
        <w:t>sVCAM</w:t>
      </w:r>
      <w:r w:rsidRPr="00B87C4B">
        <w:rPr>
          <w:rFonts w:ascii="Times New Roman" w:hAnsi="Times New Roman" w:cs="Times New Roman"/>
          <w:sz w:val="28"/>
          <w:szCs w:val="28"/>
          <w:lang w:val="uk-UA"/>
        </w:rPr>
        <w:t>-1</w:t>
      </w:r>
      <w:r w:rsidR="00DF57F7">
        <w:rPr>
          <w:rFonts w:ascii="Times New Roman" w:hAnsi="Times New Roman" w:cs="Times New Roman"/>
          <w:sz w:val="28"/>
          <w:szCs w:val="28"/>
          <w:lang w:val="uk-UA"/>
        </w:rPr>
        <w:t xml:space="preserve"> </w:t>
      </w:r>
      <w:r w:rsidR="00D40A69">
        <w:rPr>
          <w:rFonts w:ascii="Times New Roman" w:hAnsi="Times New Roman" w:cs="Times New Roman"/>
          <w:sz w:val="28"/>
          <w:szCs w:val="28"/>
          <w:lang w:val="uk-UA"/>
        </w:rPr>
        <w:t xml:space="preserve">у хворих </w:t>
      </w:r>
      <w:r w:rsidR="00DF57F7">
        <w:rPr>
          <w:rFonts w:ascii="Times New Roman" w:hAnsi="Times New Roman" w:cs="Times New Roman"/>
          <w:sz w:val="28"/>
          <w:szCs w:val="28"/>
          <w:lang w:val="uk-UA"/>
        </w:rPr>
        <w:t>І групи становив</w:t>
      </w:r>
      <w:r>
        <w:rPr>
          <w:rFonts w:ascii="Times New Roman" w:hAnsi="Times New Roman" w:cs="Times New Roman"/>
          <w:sz w:val="28"/>
          <w:szCs w:val="28"/>
          <w:lang w:val="uk-UA"/>
        </w:rPr>
        <w:t xml:space="preserve"> (1258,24</w:t>
      </w:r>
      <w:r w:rsidR="00DF57F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F57F7">
        <w:rPr>
          <w:rFonts w:ascii="Times New Roman" w:hAnsi="Times New Roman" w:cs="Times New Roman"/>
          <w:sz w:val="28"/>
          <w:szCs w:val="28"/>
          <w:lang w:val="uk-UA"/>
        </w:rPr>
        <w:t xml:space="preserve"> </w:t>
      </w:r>
      <w:r>
        <w:rPr>
          <w:rFonts w:ascii="Times New Roman" w:hAnsi="Times New Roman" w:cs="Times New Roman"/>
          <w:sz w:val="28"/>
          <w:szCs w:val="28"/>
          <w:lang w:val="uk-UA"/>
        </w:rPr>
        <w:t>43,89) нг/мл; ІІ – (1049</w:t>
      </w:r>
      <w:r w:rsidR="00DF57F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F57F7">
        <w:rPr>
          <w:rFonts w:ascii="Times New Roman" w:hAnsi="Times New Roman" w:cs="Times New Roman"/>
          <w:sz w:val="28"/>
          <w:szCs w:val="28"/>
          <w:lang w:val="uk-UA"/>
        </w:rPr>
        <w:t xml:space="preserve"> </w:t>
      </w:r>
      <w:r w:rsidR="00F262D0">
        <w:rPr>
          <w:rFonts w:ascii="Times New Roman" w:hAnsi="Times New Roman" w:cs="Times New Roman"/>
          <w:sz w:val="28"/>
          <w:szCs w:val="28"/>
          <w:lang w:val="uk-UA"/>
        </w:rPr>
        <w:t>120,47) нг/мл,</w:t>
      </w:r>
      <w:r>
        <w:rPr>
          <w:rFonts w:ascii="Times New Roman" w:hAnsi="Times New Roman" w:cs="Times New Roman"/>
          <w:sz w:val="28"/>
          <w:szCs w:val="28"/>
          <w:lang w:val="uk-UA"/>
        </w:rPr>
        <w:t xml:space="preserve"> </w:t>
      </w:r>
      <w:r w:rsidR="00176077">
        <w:rPr>
          <w:rFonts w:ascii="Times New Roman" w:hAnsi="Times New Roman" w:cs="Times New Roman"/>
          <w:sz w:val="28"/>
          <w:szCs w:val="28"/>
          <w:lang w:val="uk-UA"/>
        </w:rPr>
        <w:t>р</w:t>
      </w:r>
      <w:r w:rsidR="003C5F42">
        <w:rPr>
          <w:rFonts w:ascii="Times New Roman" w:hAnsi="Times New Roman" w:cs="Times New Roman"/>
          <w:sz w:val="28"/>
          <w:szCs w:val="28"/>
          <w:vertAlign w:val="subscript"/>
          <w:lang w:val="uk-UA"/>
        </w:rPr>
        <w:t>1-2</w:t>
      </w:r>
      <w:r w:rsidR="00176077">
        <w:rPr>
          <w:rFonts w:ascii="Times New Roman" w:hAnsi="Times New Roman" w:cs="Times New Roman"/>
          <w:sz w:val="28"/>
          <w:szCs w:val="28"/>
          <w:lang w:val="uk-UA"/>
        </w:rPr>
        <w:t xml:space="preserve"> = 0,049</w:t>
      </w:r>
      <w:r w:rsidR="00FC5DDA" w:rsidRPr="00FC5DDA">
        <w:rPr>
          <w:rFonts w:ascii="Times New Roman" w:hAnsi="Times New Roman" w:cs="Times New Roman"/>
          <w:sz w:val="28"/>
          <w:szCs w:val="28"/>
          <w:lang w:val="uk-UA"/>
        </w:rPr>
        <w:t>7</w:t>
      </w:r>
      <w:r w:rsidR="00F262D0">
        <w:rPr>
          <w:rFonts w:ascii="Times New Roman" w:hAnsi="Times New Roman" w:cs="Times New Roman"/>
          <w:sz w:val="28"/>
          <w:szCs w:val="28"/>
          <w:lang w:val="uk-UA"/>
        </w:rPr>
        <w:t xml:space="preserve">; </w:t>
      </w:r>
      <w:r w:rsidR="002B33B9">
        <w:rPr>
          <w:rFonts w:ascii="Times New Roman" w:hAnsi="Times New Roman" w:cs="Times New Roman"/>
          <w:sz w:val="28"/>
          <w:szCs w:val="28"/>
          <w:lang w:val="uk-UA"/>
        </w:rPr>
        <w:t>групи контролю</w:t>
      </w:r>
      <w:r>
        <w:rPr>
          <w:rFonts w:ascii="Times New Roman" w:hAnsi="Times New Roman" w:cs="Times New Roman"/>
          <w:sz w:val="28"/>
          <w:szCs w:val="28"/>
          <w:lang w:val="uk-UA"/>
        </w:rPr>
        <w:t xml:space="preserve"> – (709,6</w:t>
      </w:r>
      <w:r w:rsidR="00DF57F7">
        <w:rPr>
          <w:rFonts w:ascii="Times New Roman" w:hAnsi="Times New Roman" w:cs="Times New Roman"/>
          <w:sz w:val="28"/>
          <w:szCs w:val="28"/>
          <w:lang w:val="uk-UA"/>
        </w:rPr>
        <w:t xml:space="preserve"> </w:t>
      </w:r>
      <w:r w:rsidR="00A76E0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F57F7">
        <w:rPr>
          <w:rFonts w:ascii="Times New Roman" w:hAnsi="Times New Roman" w:cs="Times New Roman"/>
          <w:sz w:val="28"/>
          <w:szCs w:val="28"/>
          <w:lang w:val="uk-UA"/>
        </w:rPr>
        <w:t xml:space="preserve"> </w:t>
      </w:r>
      <w:r w:rsidR="00176077">
        <w:rPr>
          <w:rFonts w:ascii="Times New Roman" w:hAnsi="Times New Roman" w:cs="Times New Roman"/>
          <w:sz w:val="28"/>
          <w:szCs w:val="28"/>
          <w:lang w:val="uk-UA"/>
        </w:rPr>
        <w:t>131,59) нг/мл</w:t>
      </w:r>
      <w:r w:rsidR="00176077" w:rsidRPr="00176077">
        <w:rPr>
          <w:rFonts w:ascii="Times New Roman" w:hAnsi="Times New Roman" w:cs="Times New Roman"/>
          <w:sz w:val="28"/>
          <w:szCs w:val="28"/>
          <w:lang w:val="uk-UA"/>
        </w:rPr>
        <w:t xml:space="preserve">, </w:t>
      </w:r>
      <w:r w:rsidR="00176077">
        <w:rPr>
          <w:rFonts w:ascii="Times New Roman" w:hAnsi="Times New Roman" w:cs="Times New Roman"/>
          <w:sz w:val="28"/>
          <w:szCs w:val="28"/>
          <w:lang w:val="en-US"/>
        </w:rPr>
        <w:t>p</w:t>
      </w:r>
      <w:r w:rsidR="003C5F42">
        <w:rPr>
          <w:rFonts w:ascii="Times New Roman" w:hAnsi="Times New Roman" w:cs="Times New Roman"/>
          <w:sz w:val="28"/>
          <w:szCs w:val="28"/>
          <w:vertAlign w:val="subscript"/>
          <w:lang w:val="uk-UA"/>
        </w:rPr>
        <w:t>1-3</w:t>
      </w:r>
      <w:r w:rsidR="00176077" w:rsidRPr="00176077">
        <w:rPr>
          <w:rFonts w:ascii="Times New Roman" w:hAnsi="Times New Roman" w:cs="Times New Roman"/>
          <w:sz w:val="28"/>
          <w:szCs w:val="28"/>
          <w:lang w:val="uk-UA"/>
        </w:rPr>
        <w:t xml:space="preserve"> &lt; 0,0001.</w:t>
      </w:r>
      <w:r w:rsidR="00176077">
        <w:rPr>
          <w:rFonts w:ascii="Times New Roman" w:hAnsi="Times New Roman" w:cs="Times New Roman"/>
          <w:sz w:val="28"/>
          <w:szCs w:val="28"/>
          <w:lang w:val="uk-UA"/>
        </w:rPr>
        <w:t xml:space="preserve"> Отже</w:t>
      </w:r>
      <w:r>
        <w:rPr>
          <w:rFonts w:ascii="Times New Roman" w:hAnsi="Times New Roman" w:cs="Times New Roman"/>
          <w:sz w:val="28"/>
          <w:szCs w:val="28"/>
          <w:lang w:val="uk-UA"/>
        </w:rPr>
        <w:t xml:space="preserve">, </w:t>
      </w:r>
      <w:r w:rsidR="00D40A69">
        <w:rPr>
          <w:rFonts w:ascii="Times New Roman" w:hAnsi="Times New Roman" w:cs="Times New Roman"/>
          <w:sz w:val="28"/>
          <w:szCs w:val="28"/>
          <w:lang w:val="uk-UA"/>
        </w:rPr>
        <w:t>у пацієнтів і</w:t>
      </w:r>
      <w:r>
        <w:rPr>
          <w:rFonts w:ascii="Times New Roman" w:hAnsi="Times New Roman" w:cs="Times New Roman"/>
          <w:sz w:val="28"/>
          <w:szCs w:val="28"/>
          <w:lang w:val="uk-UA"/>
        </w:rPr>
        <w:t xml:space="preserve">з </w:t>
      </w:r>
      <w:r w:rsidR="00AA4134">
        <w:rPr>
          <w:rFonts w:ascii="Times New Roman" w:hAnsi="Times New Roman" w:cs="Times New Roman"/>
          <w:sz w:val="28"/>
          <w:szCs w:val="28"/>
          <w:lang w:val="uk-UA"/>
        </w:rPr>
        <w:t>АГ та ЦД 2-го типу</w:t>
      </w:r>
      <w:r>
        <w:rPr>
          <w:rFonts w:ascii="Times New Roman" w:hAnsi="Times New Roman" w:cs="Times New Roman"/>
          <w:sz w:val="28"/>
          <w:szCs w:val="28"/>
          <w:lang w:val="uk-UA"/>
        </w:rPr>
        <w:t xml:space="preserve"> рівень експресії </w:t>
      </w:r>
      <w:r w:rsidRPr="00765BC8">
        <w:rPr>
          <w:rFonts w:ascii="Times New Roman" w:hAnsi="Times New Roman" w:cs="Times New Roman"/>
          <w:sz w:val="28"/>
          <w:szCs w:val="28"/>
          <w:lang w:val="uk-UA"/>
        </w:rPr>
        <w:t>sVCAM-1</w:t>
      </w:r>
      <w:r w:rsidR="009954B4">
        <w:rPr>
          <w:rFonts w:ascii="Times New Roman" w:hAnsi="Times New Roman" w:cs="Times New Roman"/>
          <w:sz w:val="28"/>
          <w:szCs w:val="28"/>
          <w:lang w:val="uk-UA"/>
        </w:rPr>
        <w:t xml:space="preserve"> був достовірно вищ</w:t>
      </w:r>
      <w:r>
        <w:rPr>
          <w:rFonts w:ascii="Times New Roman" w:hAnsi="Times New Roman" w:cs="Times New Roman"/>
          <w:sz w:val="28"/>
          <w:szCs w:val="28"/>
          <w:lang w:val="uk-UA"/>
        </w:rPr>
        <w:t>им (р = 0,049</w:t>
      </w:r>
      <w:r w:rsidR="00F663D1" w:rsidRPr="00F663D1">
        <w:rPr>
          <w:rFonts w:ascii="Times New Roman" w:hAnsi="Times New Roman" w:cs="Times New Roman"/>
          <w:sz w:val="28"/>
          <w:szCs w:val="28"/>
          <w:lang w:val="uk-UA"/>
        </w:rPr>
        <w:t>7</w:t>
      </w:r>
      <w:r>
        <w:rPr>
          <w:rFonts w:ascii="Times New Roman" w:hAnsi="Times New Roman" w:cs="Times New Roman"/>
          <w:sz w:val="28"/>
          <w:szCs w:val="28"/>
          <w:lang w:val="uk-UA"/>
        </w:rPr>
        <w:t>)</w:t>
      </w:r>
      <w:r w:rsidR="00DF57F7">
        <w:rPr>
          <w:rFonts w:ascii="Times New Roman" w:hAnsi="Times New Roman" w:cs="Times New Roman"/>
          <w:sz w:val="28"/>
          <w:szCs w:val="28"/>
          <w:lang w:val="uk-UA"/>
        </w:rPr>
        <w:t>,</w:t>
      </w:r>
      <w:r>
        <w:rPr>
          <w:rFonts w:ascii="Times New Roman" w:hAnsi="Times New Roman" w:cs="Times New Roman"/>
          <w:sz w:val="28"/>
          <w:szCs w:val="28"/>
          <w:lang w:val="uk-UA"/>
        </w:rPr>
        <w:t xml:space="preserve"> ні</w:t>
      </w:r>
      <w:r w:rsidR="00EE4D7A">
        <w:rPr>
          <w:rFonts w:ascii="Times New Roman" w:hAnsi="Times New Roman" w:cs="Times New Roman"/>
          <w:sz w:val="28"/>
          <w:szCs w:val="28"/>
          <w:lang w:val="uk-UA"/>
        </w:rPr>
        <w:t xml:space="preserve">ж у </w:t>
      </w:r>
      <w:r w:rsidR="00D40A69">
        <w:rPr>
          <w:rFonts w:ascii="Times New Roman" w:hAnsi="Times New Roman" w:cs="Times New Roman"/>
          <w:sz w:val="28"/>
          <w:szCs w:val="28"/>
          <w:lang w:val="uk-UA"/>
        </w:rPr>
        <w:t xml:space="preserve">хворих на </w:t>
      </w:r>
      <w:r w:rsidR="00EE4D7A">
        <w:rPr>
          <w:rFonts w:ascii="Times New Roman" w:hAnsi="Times New Roman" w:cs="Times New Roman"/>
          <w:sz w:val="28"/>
          <w:szCs w:val="28"/>
          <w:lang w:val="uk-UA"/>
        </w:rPr>
        <w:t>АГ, що свідчить</w:t>
      </w:r>
      <w:r w:rsidR="00B6716F">
        <w:rPr>
          <w:rFonts w:ascii="Times New Roman" w:hAnsi="Times New Roman" w:cs="Times New Roman"/>
          <w:sz w:val="28"/>
          <w:szCs w:val="28"/>
          <w:lang w:val="uk-UA"/>
        </w:rPr>
        <w:t xml:space="preserve"> про більш</w:t>
      </w:r>
      <w:r w:rsidR="00D40A69">
        <w:rPr>
          <w:rFonts w:ascii="Times New Roman" w:hAnsi="Times New Roman" w:cs="Times New Roman"/>
          <w:sz w:val="28"/>
          <w:szCs w:val="28"/>
          <w:lang w:val="uk-UA"/>
        </w:rPr>
        <w:t>у вираженість</w:t>
      </w:r>
      <w:r w:rsidR="00B6716F">
        <w:rPr>
          <w:rFonts w:ascii="Times New Roman" w:hAnsi="Times New Roman" w:cs="Times New Roman"/>
          <w:sz w:val="28"/>
          <w:szCs w:val="28"/>
          <w:lang w:val="uk-UA"/>
        </w:rPr>
        <w:t xml:space="preserve"> </w:t>
      </w:r>
      <w:r w:rsidR="0030084F">
        <w:rPr>
          <w:rFonts w:ascii="Times New Roman" w:hAnsi="Times New Roman" w:cs="Times New Roman"/>
          <w:sz w:val="28"/>
          <w:szCs w:val="28"/>
          <w:lang w:val="uk-UA"/>
        </w:rPr>
        <w:t xml:space="preserve">порушення функції ендотелію </w:t>
      </w:r>
      <w:r w:rsidR="00B6716F">
        <w:rPr>
          <w:rFonts w:ascii="Times New Roman" w:hAnsi="Times New Roman" w:cs="Times New Roman"/>
          <w:sz w:val="28"/>
          <w:szCs w:val="28"/>
          <w:lang w:val="uk-UA"/>
        </w:rPr>
        <w:t>та імуно</w:t>
      </w:r>
      <w:r w:rsidR="00DF57F7">
        <w:rPr>
          <w:rFonts w:ascii="Times New Roman" w:hAnsi="Times New Roman" w:cs="Times New Roman"/>
          <w:sz w:val="28"/>
          <w:szCs w:val="28"/>
          <w:lang w:val="uk-UA"/>
        </w:rPr>
        <w:t>запальних реакцій при комор</w:t>
      </w:r>
      <w:r w:rsidR="00EE4D7A">
        <w:rPr>
          <w:rFonts w:ascii="Times New Roman" w:hAnsi="Times New Roman" w:cs="Times New Roman"/>
          <w:sz w:val="28"/>
          <w:szCs w:val="28"/>
          <w:lang w:val="uk-UA"/>
        </w:rPr>
        <w:t>бідній патології.</w:t>
      </w:r>
    </w:p>
    <w:p w:rsidR="00D05D69" w:rsidRDefault="003C5F42" w:rsidP="0002657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Проведене дослідження</w:t>
      </w:r>
      <w:r w:rsidR="00B87C4B">
        <w:rPr>
          <w:rFonts w:ascii="Times New Roman" w:hAnsi="Times New Roman" w:cs="Times New Roman"/>
          <w:sz w:val="28"/>
          <w:szCs w:val="28"/>
          <w:lang w:val="uk-UA"/>
        </w:rPr>
        <w:t xml:space="preserve"> </w:t>
      </w:r>
      <w:r>
        <w:rPr>
          <w:rFonts w:ascii="Times New Roman" w:hAnsi="Times New Roman" w:cs="Times New Roman"/>
          <w:sz w:val="28"/>
          <w:szCs w:val="28"/>
          <w:lang w:val="uk-UA"/>
        </w:rPr>
        <w:t>зв’яз</w:t>
      </w:r>
      <w:r w:rsidR="00B87C4B">
        <w:rPr>
          <w:rFonts w:ascii="Times New Roman" w:hAnsi="Times New Roman" w:cs="Times New Roman"/>
          <w:sz w:val="28"/>
          <w:szCs w:val="28"/>
          <w:lang w:val="uk-UA"/>
        </w:rPr>
        <w:t>к</w:t>
      </w:r>
      <w:r>
        <w:rPr>
          <w:rFonts w:ascii="Times New Roman" w:hAnsi="Times New Roman" w:cs="Times New Roman"/>
          <w:sz w:val="28"/>
          <w:szCs w:val="28"/>
          <w:lang w:val="uk-UA"/>
        </w:rPr>
        <w:t>у</w:t>
      </w:r>
      <w:r w:rsidR="00B87C4B">
        <w:rPr>
          <w:rFonts w:ascii="Times New Roman" w:hAnsi="Times New Roman" w:cs="Times New Roman"/>
          <w:sz w:val="28"/>
          <w:szCs w:val="28"/>
          <w:lang w:val="uk-UA"/>
        </w:rPr>
        <w:t xml:space="preserve"> між </w:t>
      </w:r>
      <w:r>
        <w:rPr>
          <w:rFonts w:ascii="Times New Roman" w:hAnsi="Times New Roman" w:cs="Times New Roman"/>
          <w:sz w:val="28"/>
          <w:szCs w:val="28"/>
          <w:lang w:val="uk-UA"/>
        </w:rPr>
        <w:t xml:space="preserve">концентрацією </w:t>
      </w:r>
      <w:r w:rsidR="00B87C4B" w:rsidRPr="00B87C4B">
        <w:rPr>
          <w:rFonts w:ascii="Times New Roman" w:hAnsi="Times New Roman" w:cs="Times New Roman"/>
          <w:sz w:val="28"/>
          <w:szCs w:val="28"/>
        </w:rPr>
        <w:t>sVCAM</w:t>
      </w:r>
      <w:r w:rsidR="00B87C4B" w:rsidRPr="00B87C4B">
        <w:rPr>
          <w:rFonts w:ascii="Times New Roman" w:hAnsi="Times New Roman" w:cs="Times New Roman"/>
          <w:sz w:val="28"/>
          <w:szCs w:val="28"/>
          <w:lang w:val="uk-UA"/>
        </w:rPr>
        <w:t>-1</w:t>
      </w:r>
      <w:r w:rsidR="005310DE">
        <w:rPr>
          <w:rFonts w:ascii="Times New Roman" w:hAnsi="Times New Roman" w:cs="Times New Roman"/>
          <w:sz w:val="28"/>
          <w:szCs w:val="28"/>
          <w:lang w:val="uk-UA"/>
        </w:rPr>
        <w:t xml:space="preserve"> та </w:t>
      </w:r>
      <w:r w:rsidR="005310DE" w:rsidRPr="005310DE">
        <w:rPr>
          <w:rFonts w:ascii="Times New Roman" w:hAnsi="Times New Roman" w:cs="Times New Roman"/>
          <w:sz w:val="28"/>
          <w:szCs w:val="28"/>
          <w:lang w:val="uk-UA"/>
        </w:rPr>
        <w:t>К</w:t>
      </w:r>
      <w:r w:rsidR="00A42A5D">
        <w:rPr>
          <w:rFonts w:ascii="Times New Roman" w:hAnsi="Times New Roman" w:cs="Times New Roman"/>
          <w:sz w:val="28"/>
          <w:szCs w:val="28"/>
          <w:lang w:val="uk-UA"/>
        </w:rPr>
        <w:t>А</w:t>
      </w:r>
      <w:r w:rsidR="00415486">
        <w:rPr>
          <w:rFonts w:ascii="Times New Roman" w:hAnsi="Times New Roman" w:cs="Times New Roman"/>
          <w:sz w:val="28"/>
          <w:szCs w:val="28"/>
          <w:lang w:val="uk-UA"/>
        </w:rPr>
        <w:t xml:space="preserve"> </w:t>
      </w:r>
      <w:r w:rsidR="00C03560">
        <w:rPr>
          <w:rFonts w:ascii="Times New Roman" w:hAnsi="Times New Roman" w:cs="Times New Roman"/>
          <w:sz w:val="28"/>
          <w:szCs w:val="28"/>
          <w:lang w:val="uk-UA"/>
        </w:rPr>
        <w:t xml:space="preserve">     </w:t>
      </w:r>
      <w:r w:rsidR="00DF57F7">
        <w:rPr>
          <w:rFonts w:ascii="Times New Roman" w:hAnsi="Times New Roman" w:cs="Times New Roman"/>
          <w:sz w:val="28"/>
          <w:szCs w:val="28"/>
          <w:lang w:val="uk-UA"/>
        </w:rPr>
        <w:t>в</w:t>
      </w:r>
      <w:r w:rsidR="009132E5">
        <w:rPr>
          <w:rFonts w:ascii="Times New Roman" w:hAnsi="Times New Roman" w:cs="Times New Roman"/>
          <w:sz w:val="28"/>
          <w:szCs w:val="28"/>
          <w:lang w:val="uk-UA"/>
        </w:rPr>
        <w:t xml:space="preserve"> обстежених пацієнтів</w:t>
      </w:r>
      <w:r w:rsidR="00415486">
        <w:rPr>
          <w:rFonts w:ascii="Times New Roman" w:hAnsi="Times New Roman" w:cs="Times New Roman"/>
          <w:sz w:val="28"/>
          <w:szCs w:val="28"/>
          <w:lang w:val="uk-UA"/>
        </w:rPr>
        <w:t>.</w:t>
      </w:r>
      <w:r w:rsidR="00EC04C9">
        <w:rPr>
          <w:rFonts w:ascii="Times New Roman" w:hAnsi="Times New Roman" w:cs="Times New Roman"/>
          <w:sz w:val="28"/>
          <w:szCs w:val="28"/>
          <w:lang w:val="uk-UA"/>
        </w:rPr>
        <w:t xml:space="preserve"> </w:t>
      </w:r>
      <w:r w:rsidR="00DF57F7">
        <w:rPr>
          <w:rFonts w:ascii="Times New Roman" w:hAnsi="Times New Roman" w:cs="Times New Roman"/>
          <w:sz w:val="28"/>
          <w:szCs w:val="28"/>
          <w:lang w:val="uk-UA"/>
        </w:rPr>
        <w:t>У</w:t>
      </w:r>
      <w:r w:rsidR="00A42A5D">
        <w:rPr>
          <w:rFonts w:ascii="Times New Roman" w:hAnsi="Times New Roman" w:cs="Times New Roman"/>
          <w:sz w:val="28"/>
          <w:szCs w:val="28"/>
          <w:lang w:val="uk-UA"/>
        </w:rPr>
        <w:t xml:space="preserve">становлено позитивну залежність </w:t>
      </w:r>
      <w:r w:rsidR="005310DE">
        <w:rPr>
          <w:rFonts w:ascii="Times New Roman" w:hAnsi="Times New Roman" w:cs="Times New Roman"/>
          <w:sz w:val="28"/>
          <w:szCs w:val="28"/>
          <w:lang w:val="uk-UA"/>
        </w:rPr>
        <w:t>між рівнем</w:t>
      </w:r>
      <w:r>
        <w:rPr>
          <w:rFonts w:ascii="Times New Roman" w:hAnsi="Times New Roman" w:cs="Times New Roman"/>
          <w:sz w:val="28"/>
          <w:szCs w:val="28"/>
          <w:lang w:val="uk-UA"/>
        </w:rPr>
        <w:t xml:space="preserve"> експресії</w:t>
      </w:r>
      <w:r w:rsidR="005310DE">
        <w:rPr>
          <w:rFonts w:ascii="Times New Roman" w:hAnsi="Times New Roman" w:cs="Times New Roman"/>
          <w:sz w:val="28"/>
          <w:szCs w:val="28"/>
          <w:lang w:val="uk-UA"/>
        </w:rPr>
        <w:t xml:space="preserve"> </w:t>
      </w:r>
      <w:r w:rsidR="005310DE" w:rsidRPr="00B87C4B">
        <w:rPr>
          <w:rFonts w:ascii="Times New Roman" w:hAnsi="Times New Roman" w:cs="Times New Roman"/>
          <w:sz w:val="28"/>
          <w:szCs w:val="28"/>
        </w:rPr>
        <w:t>sVCAM</w:t>
      </w:r>
      <w:r w:rsidR="005310DE" w:rsidRPr="00B87C4B">
        <w:rPr>
          <w:rFonts w:ascii="Times New Roman" w:hAnsi="Times New Roman" w:cs="Times New Roman"/>
          <w:sz w:val="28"/>
          <w:szCs w:val="28"/>
          <w:lang w:val="uk-UA"/>
        </w:rPr>
        <w:t>-1</w:t>
      </w:r>
      <w:r w:rsidR="00DF57F7">
        <w:rPr>
          <w:rFonts w:ascii="Times New Roman" w:hAnsi="Times New Roman" w:cs="Times New Roman"/>
          <w:sz w:val="28"/>
          <w:szCs w:val="28"/>
          <w:lang w:val="uk-UA"/>
        </w:rPr>
        <w:t xml:space="preserve"> та КА </w:t>
      </w:r>
      <w:r w:rsidR="00C03560">
        <w:rPr>
          <w:rFonts w:ascii="Times New Roman" w:hAnsi="Times New Roman" w:cs="Times New Roman"/>
          <w:sz w:val="28"/>
          <w:szCs w:val="28"/>
          <w:lang w:val="uk-UA"/>
        </w:rPr>
        <w:t xml:space="preserve">у хворих </w:t>
      </w:r>
      <w:r w:rsidR="005310DE">
        <w:rPr>
          <w:rFonts w:ascii="Times New Roman" w:hAnsi="Times New Roman" w:cs="Times New Roman"/>
          <w:sz w:val="28"/>
          <w:szCs w:val="28"/>
          <w:lang w:val="uk-UA"/>
        </w:rPr>
        <w:t xml:space="preserve">І </w:t>
      </w:r>
      <w:r w:rsidR="002B33B9">
        <w:rPr>
          <w:rFonts w:ascii="Times New Roman" w:hAnsi="Times New Roman" w:cs="Times New Roman"/>
          <w:sz w:val="28"/>
          <w:szCs w:val="28"/>
          <w:lang w:val="uk-UA"/>
        </w:rPr>
        <w:t xml:space="preserve">групи </w:t>
      </w:r>
      <w:r w:rsidR="005310DE">
        <w:rPr>
          <w:rFonts w:ascii="Times New Roman" w:hAnsi="Times New Roman" w:cs="Times New Roman"/>
          <w:sz w:val="28"/>
          <w:szCs w:val="28"/>
          <w:lang w:val="uk-UA"/>
        </w:rPr>
        <w:t>(</w:t>
      </w:r>
      <w:r w:rsidR="005310DE">
        <w:rPr>
          <w:rFonts w:ascii="Times New Roman" w:hAnsi="Times New Roman" w:cs="Times New Roman"/>
          <w:sz w:val="28"/>
          <w:szCs w:val="28"/>
          <w:lang w:val="en-US"/>
        </w:rPr>
        <w:t>r</w:t>
      </w:r>
      <w:r w:rsidR="005310DE" w:rsidRPr="009132E5">
        <w:rPr>
          <w:rFonts w:ascii="Times New Roman" w:hAnsi="Times New Roman" w:cs="Times New Roman"/>
          <w:sz w:val="28"/>
          <w:szCs w:val="28"/>
          <w:lang w:val="uk-UA"/>
        </w:rPr>
        <w:t xml:space="preserve"> = </w:t>
      </w:r>
      <w:r w:rsidR="00765BC8">
        <w:rPr>
          <w:rFonts w:ascii="Times New Roman" w:hAnsi="Times New Roman" w:cs="Times New Roman"/>
          <w:sz w:val="28"/>
          <w:szCs w:val="28"/>
          <w:lang w:val="uk-UA"/>
        </w:rPr>
        <w:t>0,2</w:t>
      </w:r>
      <w:r w:rsidR="009132E5">
        <w:rPr>
          <w:rFonts w:ascii="Times New Roman" w:hAnsi="Times New Roman" w:cs="Times New Roman"/>
          <w:sz w:val="28"/>
          <w:szCs w:val="28"/>
          <w:lang w:val="uk-UA"/>
        </w:rPr>
        <w:t xml:space="preserve">; р </w:t>
      </w:r>
      <w:r w:rsidR="00765BC8">
        <w:rPr>
          <w:rFonts w:ascii="Times New Roman" w:hAnsi="Times New Roman" w:cs="Times New Roman"/>
          <w:sz w:val="28"/>
          <w:szCs w:val="28"/>
          <w:lang w:val="uk-UA"/>
        </w:rPr>
        <w:t>=</w:t>
      </w:r>
      <w:r w:rsidR="005310DE">
        <w:rPr>
          <w:rFonts w:ascii="Times New Roman" w:hAnsi="Times New Roman" w:cs="Times New Roman"/>
          <w:sz w:val="28"/>
          <w:szCs w:val="28"/>
          <w:lang w:val="uk-UA"/>
        </w:rPr>
        <w:t xml:space="preserve"> </w:t>
      </w:r>
      <w:r w:rsidR="00765BC8">
        <w:rPr>
          <w:rFonts w:ascii="Times New Roman" w:hAnsi="Times New Roman" w:cs="Times New Roman"/>
          <w:sz w:val="28"/>
          <w:szCs w:val="28"/>
          <w:lang w:val="uk-UA"/>
        </w:rPr>
        <w:t>0,0495</w:t>
      </w:r>
      <w:r w:rsidR="002B33B9">
        <w:rPr>
          <w:rFonts w:ascii="Times New Roman" w:hAnsi="Times New Roman" w:cs="Times New Roman"/>
          <w:sz w:val="28"/>
          <w:szCs w:val="28"/>
          <w:lang w:val="uk-UA"/>
        </w:rPr>
        <w:t xml:space="preserve">), осіб групи контролю </w:t>
      </w:r>
      <w:r w:rsidR="005310DE">
        <w:rPr>
          <w:rFonts w:ascii="Times New Roman" w:hAnsi="Times New Roman" w:cs="Times New Roman"/>
          <w:sz w:val="28"/>
          <w:szCs w:val="28"/>
          <w:lang w:val="uk-UA"/>
        </w:rPr>
        <w:t>(</w:t>
      </w:r>
      <w:r w:rsidR="009132E5">
        <w:rPr>
          <w:rFonts w:ascii="Times New Roman" w:hAnsi="Times New Roman" w:cs="Times New Roman"/>
          <w:sz w:val="28"/>
          <w:szCs w:val="28"/>
          <w:lang w:val="en-US"/>
        </w:rPr>
        <w:t>r</w:t>
      </w:r>
      <w:r w:rsidR="009132E5" w:rsidRPr="009132E5">
        <w:rPr>
          <w:rFonts w:ascii="Times New Roman" w:hAnsi="Times New Roman" w:cs="Times New Roman"/>
          <w:sz w:val="28"/>
          <w:szCs w:val="28"/>
          <w:lang w:val="uk-UA"/>
        </w:rPr>
        <w:t xml:space="preserve"> = </w:t>
      </w:r>
      <w:r w:rsidR="00765BC8">
        <w:rPr>
          <w:rFonts w:ascii="Times New Roman" w:hAnsi="Times New Roman" w:cs="Times New Roman"/>
          <w:sz w:val="28"/>
          <w:szCs w:val="28"/>
          <w:lang w:val="uk-UA"/>
        </w:rPr>
        <w:t>0,71</w:t>
      </w:r>
      <w:r w:rsidR="009132E5">
        <w:rPr>
          <w:rFonts w:ascii="Times New Roman" w:hAnsi="Times New Roman" w:cs="Times New Roman"/>
          <w:sz w:val="28"/>
          <w:szCs w:val="28"/>
          <w:lang w:val="uk-UA"/>
        </w:rPr>
        <w:t>; р =</w:t>
      </w:r>
      <w:r w:rsidR="00765BC8">
        <w:rPr>
          <w:rFonts w:ascii="Times New Roman" w:hAnsi="Times New Roman" w:cs="Times New Roman"/>
          <w:sz w:val="28"/>
          <w:szCs w:val="28"/>
          <w:lang w:val="uk-UA"/>
        </w:rPr>
        <w:t xml:space="preserve"> 0,0021</w:t>
      </w:r>
      <w:r w:rsidR="002B33B9">
        <w:rPr>
          <w:rFonts w:ascii="Times New Roman" w:hAnsi="Times New Roman" w:cs="Times New Roman"/>
          <w:sz w:val="28"/>
          <w:szCs w:val="28"/>
          <w:lang w:val="uk-UA"/>
        </w:rPr>
        <w:t>)</w:t>
      </w:r>
      <w:r>
        <w:rPr>
          <w:rFonts w:ascii="Times New Roman" w:hAnsi="Times New Roman" w:cs="Times New Roman"/>
          <w:sz w:val="28"/>
          <w:szCs w:val="28"/>
          <w:lang w:val="uk-UA"/>
        </w:rPr>
        <w:t xml:space="preserve">. У пацієнтів із АГ зазначений </w:t>
      </w:r>
      <w:r w:rsidR="00090982">
        <w:rPr>
          <w:rFonts w:ascii="Times New Roman" w:hAnsi="Times New Roman" w:cs="Times New Roman"/>
          <w:sz w:val="28"/>
          <w:szCs w:val="28"/>
          <w:lang w:val="uk-UA"/>
        </w:rPr>
        <w:t>зв</w:t>
      </w:r>
      <w:r w:rsidR="00090982" w:rsidRPr="00090982">
        <w:rPr>
          <w:rFonts w:ascii="Times New Roman" w:hAnsi="Times New Roman" w:cs="Times New Roman"/>
          <w:sz w:val="28"/>
          <w:szCs w:val="28"/>
          <w:lang w:val="uk-UA"/>
        </w:rPr>
        <w:t>’</w:t>
      </w:r>
      <w:r>
        <w:rPr>
          <w:rFonts w:ascii="Times New Roman" w:hAnsi="Times New Roman" w:cs="Times New Roman"/>
          <w:sz w:val="28"/>
          <w:szCs w:val="28"/>
          <w:lang w:val="uk-UA"/>
        </w:rPr>
        <w:t>язок виявився недостовірним (r = 0,26; р = 0,1196)</w:t>
      </w:r>
      <w:r w:rsidR="001729BF">
        <w:rPr>
          <w:rFonts w:ascii="Times New Roman" w:hAnsi="Times New Roman" w:cs="Times New Roman"/>
          <w:sz w:val="28"/>
          <w:szCs w:val="28"/>
          <w:lang w:val="uk-UA"/>
        </w:rPr>
        <w:t xml:space="preserve"> [</w:t>
      </w:r>
      <w:r w:rsidR="004B16DA">
        <w:rPr>
          <w:rFonts w:ascii="Times New Roman" w:hAnsi="Times New Roman" w:cs="Times New Roman"/>
          <w:sz w:val="28"/>
          <w:szCs w:val="28"/>
        </w:rPr>
        <w:t>14</w:t>
      </w:r>
      <w:r w:rsidR="004B16DA">
        <w:rPr>
          <w:rFonts w:ascii="Times New Roman" w:hAnsi="Times New Roman" w:cs="Times New Roman"/>
          <w:sz w:val="28"/>
          <w:szCs w:val="28"/>
          <w:lang w:val="uk-UA"/>
        </w:rPr>
        <w:t>5</w:t>
      </w:r>
      <w:r w:rsidR="001729BF">
        <w:rPr>
          <w:rFonts w:ascii="Times New Roman" w:hAnsi="Times New Roman" w:cs="Times New Roman"/>
          <w:sz w:val="28"/>
          <w:szCs w:val="28"/>
          <w:lang w:val="uk-UA"/>
        </w:rPr>
        <w:t>]</w:t>
      </w:r>
      <w:r w:rsidR="005310DE">
        <w:rPr>
          <w:rFonts w:ascii="Times New Roman" w:hAnsi="Times New Roman" w:cs="Times New Roman"/>
          <w:sz w:val="28"/>
          <w:szCs w:val="28"/>
          <w:lang w:val="uk-UA"/>
        </w:rPr>
        <w:t>.</w:t>
      </w:r>
      <w:r w:rsidR="00FA07A8">
        <w:rPr>
          <w:rFonts w:ascii="Times New Roman" w:hAnsi="Times New Roman" w:cs="Times New Roman"/>
          <w:sz w:val="28"/>
          <w:szCs w:val="28"/>
          <w:lang w:val="uk-UA"/>
        </w:rPr>
        <w:t xml:space="preserve"> </w:t>
      </w:r>
      <w:r w:rsidR="00090982">
        <w:rPr>
          <w:rFonts w:ascii="Times New Roman" w:hAnsi="Times New Roman" w:cs="Times New Roman"/>
          <w:sz w:val="28"/>
          <w:szCs w:val="28"/>
          <w:lang w:val="uk-UA"/>
        </w:rPr>
        <w:t xml:space="preserve">Таким чином, </w:t>
      </w:r>
      <w:r w:rsidR="00C03560" w:rsidRPr="00C03560">
        <w:rPr>
          <w:rFonts w:ascii="Times New Roman" w:hAnsi="Times New Roman" w:cs="Times New Roman"/>
          <w:sz w:val="28"/>
          <w:szCs w:val="28"/>
          <w:lang w:val="uk-UA"/>
        </w:rPr>
        <w:t xml:space="preserve">вплив молекул адгезії на вираженість атеросклеротичних змін є більш значущим у пацієнтів із АГ </w:t>
      </w:r>
      <w:r w:rsidR="00090982">
        <w:rPr>
          <w:rFonts w:ascii="Times New Roman" w:hAnsi="Times New Roman" w:cs="Times New Roman"/>
          <w:sz w:val="28"/>
          <w:szCs w:val="28"/>
          <w:lang w:val="uk-UA"/>
        </w:rPr>
        <w:t xml:space="preserve">саме за наявності супутнього ЦД 2-го типу. </w:t>
      </w:r>
    </w:p>
    <w:p w:rsidR="00D05D69" w:rsidRDefault="00FE7CE7" w:rsidP="00EE4D7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30084F">
        <w:rPr>
          <w:rFonts w:ascii="Times New Roman" w:hAnsi="Times New Roman" w:cs="Times New Roman"/>
          <w:sz w:val="28"/>
          <w:szCs w:val="28"/>
          <w:lang w:val="uk-UA"/>
        </w:rPr>
        <w:t>зі збільшенням рівня</w:t>
      </w:r>
      <w:r>
        <w:rPr>
          <w:rFonts w:ascii="Times New Roman" w:hAnsi="Times New Roman" w:cs="Times New Roman"/>
          <w:sz w:val="28"/>
          <w:szCs w:val="28"/>
          <w:lang w:val="uk-UA"/>
        </w:rPr>
        <w:t xml:space="preserve"> експресії </w:t>
      </w:r>
      <w:r w:rsidRPr="00FE7CE7">
        <w:rPr>
          <w:rFonts w:ascii="Times New Roman" w:hAnsi="Times New Roman" w:cs="Times New Roman"/>
          <w:sz w:val="28"/>
          <w:szCs w:val="28"/>
          <w:lang w:val="uk-UA"/>
        </w:rPr>
        <w:t>sVCAM-1</w:t>
      </w:r>
      <w:r w:rsidR="0030084F">
        <w:rPr>
          <w:rFonts w:ascii="Times New Roman" w:hAnsi="Times New Roman" w:cs="Times New Roman"/>
          <w:sz w:val="28"/>
          <w:szCs w:val="28"/>
          <w:lang w:val="uk-UA"/>
        </w:rPr>
        <w:t xml:space="preserve"> зростає проатерогенна спрямованість у хворих на АГ та ЦД 2-го типу</w:t>
      </w:r>
      <w:r>
        <w:rPr>
          <w:rFonts w:ascii="Times New Roman" w:hAnsi="Times New Roman" w:cs="Times New Roman"/>
          <w:sz w:val="28"/>
          <w:szCs w:val="28"/>
          <w:lang w:val="uk-UA"/>
        </w:rPr>
        <w:t xml:space="preserve">. </w:t>
      </w:r>
      <w:r w:rsidR="00FA07A8">
        <w:rPr>
          <w:rFonts w:ascii="Times New Roman" w:hAnsi="Times New Roman" w:cs="Times New Roman"/>
          <w:sz w:val="28"/>
          <w:szCs w:val="28"/>
          <w:lang w:val="uk-UA"/>
        </w:rPr>
        <w:t>Зважаючи на те, що саме атероскл</w:t>
      </w:r>
      <w:r w:rsidR="00DF57F7">
        <w:rPr>
          <w:rFonts w:ascii="Times New Roman" w:hAnsi="Times New Roman" w:cs="Times New Roman"/>
          <w:sz w:val="28"/>
          <w:szCs w:val="28"/>
          <w:lang w:val="uk-UA"/>
        </w:rPr>
        <w:t>еротичне ураження артерій покладене в основу</w:t>
      </w:r>
      <w:r w:rsidR="00FA07A8">
        <w:rPr>
          <w:rFonts w:ascii="Times New Roman" w:hAnsi="Times New Roman" w:cs="Times New Roman"/>
          <w:sz w:val="28"/>
          <w:szCs w:val="28"/>
          <w:lang w:val="uk-UA"/>
        </w:rPr>
        <w:t xml:space="preserve"> і нефросклерозу, і кардіосклерозу, які мають місце при діабетичній ангіопатії, перспективним є </w:t>
      </w:r>
      <w:r w:rsidR="00FA07A8">
        <w:rPr>
          <w:rFonts w:ascii="Times New Roman" w:hAnsi="Times New Roman" w:cs="Times New Roman"/>
          <w:sz w:val="28"/>
          <w:szCs w:val="28"/>
          <w:lang w:val="uk-UA"/>
        </w:rPr>
        <w:lastRenderedPageBreak/>
        <w:t xml:space="preserve">пошук препаратів із плейотропними </w:t>
      </w:r>
      <w:r w:rsidR="00DF57F7">
        <w:rPr>
          <w:rFonts w:ascii="Times New Roman" w:hAnsi="Times New Roman" w:cs="Times New Roman"/>
          <w:sz w:val="28"/>
          <w:szCs w:val="28"/>
          <w:lang w:val="uk-UA"/>
        </w:rPr>
        <w:t xml:space="preserve">властивостями для лікування АГ </w:t>
      </w:r>
      <w:r w:rsidR="00F4102A">
        <w:rPr>
          <w:rFonts w:ascii="Times New Roman" w:hAnsi="Times New Roman" w:cs="Times New Roman"/>
          <w:sz w:val="28"/>
          <w:szCs w:val="28"/>
          <w:lang w:val="uk-UA"/>
        </w:rPr>
        <w:t xml:space="preserve">             </w:t>
      </w:r>
      <w:r w:rsidR="00F523D7">
        <w:rPr>
          <w:rFonts w:ascii="Times New Roman" w:hAnsi="Times New Roman" w:cs="Times New Roman"/>
          <w:sz w:val="28"/>
          <w:szCs w:val="28"/>
          <w:lang w:val="uk-UA"/>
        </w:rPr>
        <w:t>у хворих на супутній</w:t>
      </w:r>
      <w:r w:rsidR="00FA07A8">
        <w:rPr>
          <w:rFonts w:ascii="Times New Roman" w:hAnsi="Times New Roman" w:cs="Times New Roman"/>
          <w:sz w:val="28"/>
          <w:szCs w:val="28"/>
          <w:lang w:val="uk-UA"/>
        </w:rPr>
        <w:t xml:space="preserve"> ЦД 2-го типу.</w:t>
      </w:r>
    </w:p>
    <w:p w:rsidR="00FB1FF8" w:rsidRDefault="00FB1FF8" w:rsidP="00B9413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д</w:t>
      </w:r>
      <w:r w:rsidRPr="00FB1FF8">
        <w:rPr>
          <w:rFonts w:ascii="Times New Roman" w:hAnsi="Times New Roman" w:cs="Times New Roman"/>
          <w:sz w:val="28"/>
          <w:szCs w:val="28"/>
          <w:lang w:val="uk-UA"/>
        </w:rPr>
        <w:t>ля пацієн</w:t>
      </w:r>
      <w:r w:rsidR="00AA4134">
        <w:rPr>
          <w:rFonts w:ascii="Times New Roman" w:hAnsi="Times New Roman" w:cs="Times New Roman"/>
          <w:sz w:val="28"/>
          <w:szCs w:val="28"/>
          <w:lang w:val="uk-UA"/>
        </w:rPr>
        <w:t xml:space="preserve">тів </w:t>
      </w:r>
      <w:r w:rsidR="00F523D7">
        <w:rPr>
          <w:rFonts w:ascii="Times New Roman" w:hAnsi="Times New Roman" w:cs="Times New Roman"/>
          <w:sz w:val="28"/>
          <w:szCs w:val="28"/>
          <w:lang w:val="uk-UA"/>
        </w:rPr>
        <w:t>і</w:t>
      </w:r>
      <w:r>
        <w:rPr>
          <w:rFonts w:ascii="Times New Roman" w:hAnsi="Times New Roman" w:cs="Times New Roman"/>
          <w:sz w:val="28"/>
          <w:szCs w:val="28"/>
          <w:lang w:val="uk-UA"/>
        </w:rPr>
        <w:t>з АГ та ЦД</w:t>
      </w:r>
      <w:r w:rsidRPr="00FB1FF8">
        <w:rPr>
          <w:rFonts w:ascii="Times New Roman" w:hAnsi="Times New Roman" w:cs="Times New Roman"/>
          <w:sz w:val="28"/>
          <w:szCs w:val="28"/>
          <w:lang w:val="uk-UA"/>
        </w:rPr>
        <w:t xml:space="preserve"> 2-го типу характерним є к</w:t>
      </w:r>
      <w:r w:rsidR="003C2C41">
        <w:rPr>
          <w:rFonts w:ascii="Times New Roman" w:hAnsi="Times New Roman" w:cs="Times New Roman"/>
          <w:sz w:val="28"/>
          <w:szCs w:val="28"/>
          <w:lang w:val="uk-UA"/>
        </w:rPr>
        <w:t>омбінований тип дисліпідемії, який</w:t>
      </w:r>
      <w:r w:rsidRPr="00FB1FF8">
        <w:rPr>
          <w:rFonts w:ascii="Times New Roman" w:hAnsi="Times New Roman" w:cs="Times New Roman"/>
          <w:sz w:val="28"/>
          <w:szCs w:val="28"/>
          <w:lang w:val="uk-UA"/>
        </w:rPr>
        <w:t xml:space="preserve"> характеризується підвищення</w:t>
      </w:r>
      <w:r w:rsidR="00F523D7">
        <w:rPr>
          <w:rFonts w:ascii="Times New Roman" w:hAnsi="Times New Roman" w:cs="Times New Roman"/>
          <w:sz w:val="28"/>
          <w:szCs w:val="28"/>
          <w:lang w:val="uk-UA"/>
        </w:rPr>
        <w:t>м вмісту</w:t>
      </w:r>
      <w:r>
        <w:rPr>
          <w:rFonts w:ascii="Times New Roman" w:hAnsi="Times New Roman" w:cs="Times New Roman"/>
          <w:sz w:val="28"/>
          <w:szCs w:val="28"/>
          <w:lang w:val="uk-UA"/>
        </w:rPr>
        <w:t xml:space="preserve"> ЗХС, </w:t>
      </w:r>
      <w:r w:rsidR="00D90C17">
        <w:rPr>
          <w:rFonts w:ascii="Times New Roman" w:hAnsi="Times New Roman" w:cs="Times New Roman"/>
          <w:sz w:val="28"/>
          <w:szCs w:val="28"/>
          <w:lang w:val="uk-UA"/>
        </w:rPr>
        <w:t xml:space="preserve">ХС </w:t>
      </w:r>
      <w:r>
        <w:rPr>
          <w:rFonts w:ascii="Times New Roman" w:hAnsi="Times New Roman" w:cs="Times New Roman"/>
          <w:sz w:val="28"/>
          <w:szCs w:val="28"/>
          <w:lang w:val="uk-UA"/>
        </w:rPr>
        <w:t xml:space="preserve">ЛПНЩ, ТГ, зниженням – </w:t>
      </w:r>
      <w:r w:rsidR="00F523D7">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ЛПВЩ</w:t>
      </w:r>
      <w:r w:rsidRPr="00FB1FF8">
        <w:rPr>
          <w:rFonts w:ascii="Times New Roman" w:hAnsi="Times New Roman" w:cs="Times New Roman"/>
          <w:sz w:val="28"/>
          <w:szCs w:val="28"/>
          <w:lang w:val="uk-UA"/>
        </w:rPr>
        <w:t xml:space="preserve">; достовірно </w:t>
      </w:r>
      <w:r w:rsidR="005614A0">
        <w:rPr>
          <w:rFonts w:ascii="Times New Roman" w:hAnsi="Times New Roman" w:cs="Times New Roman"/>
          <w:sz w:val="28"/>
          <w:szCs w:val="28"/>
          <w:lang w:val="uk-UA"/>
        </w:rPr>
        <w:t>вищими значеннями атерогенних</w:t>
      </w:r>
      <w:r w:rsidRPr="00FB1FF8">
        <w:rPr>
          <w:rFonts w:ascii="Times New Roman" w:hAnsi="Times New Roman" w:cs="Times New Roman"/>
          <w:sz w:val="28"/>
          <w:szCs w:val="28"/>
          <w:lang w:val="uk-UA"/>
        </w:rPr>
        <w:t>, нижчими – антиатерогенних</w:t>
      </w:r>
      <w:r w:rsidR="005614A0">
        <w:rPr>
          <w:rFonts w:ascii="Times New Roman" w:hAnsi="Times New Roman" w:cs="Times New Roman"/>
          <w:sz w:val="28"/>
          <w:szCs w:val="28"/>
          <w:lang w:val="uk-UA"/>
        </w:rPr>
        <w:t xml:space="preserve"> ліпопротеїдів</w:t>
      </w:r>
      <w:r w:rsidRPr="00FB1FF8">
        <w:rPr>
          <w:rFonts w:ascii="Times New Roman" w:hAnsi="Times New Roman" w:cs="Times New Roman"/>
          <w:sz w:val="28"/>
          <w:szCs w:val="28"/>
          <w:lang w:val="uk-UA"/>
        </w:rPr>
        <w:t>, що свідчить про більш глибокі порушення ліпідного обміну</w:t>
      </w:r>
      <w:r w:rsidR="00AA4134">
        <w:rPr>
          <w:rFonts w:ascii="Times New Roman" w:hAnsi="Times New Roman" w:cs="Times New Roman"/>
          <w:sz w:val="28"/>
          <w:szCs w:val="28"/>
          <w:lang w:val="uk-UA"/>
        </w:rPr>
        <w:t xml:space="preserve"> порівняно з </w:t>
      </w:r>
      <w:r w:rsidR="00F523D7">
        <w:rPr>
          <w:rFonts w:ascii="Times New Roman" w:hAnsi="Times New Roman" w:cs="Times New Roman"/>
          <w:sz w:val="28"/>
          <w:szCs w:val="28"/>
          <w:lang w:val="uk-UA"/>
        </w:rPr>
        <w:t xml:space="preserve">хворими на </w:t>
      </w:r>
      <w:r w:rsidR="005614A0">
        <w:rPr>
          <w:rFonts w:ascii="Times New Roman" w:hAnsi="Times New Roman" w:cs="Times New Roman"/>
          <w:sz w:val="28"/>
          <w:szCs w:val="28"/>
          <w:lang w:val="uk-UA"/>
        </w:rPr>
        <w:t xml:space="preserve">АГ. </w:t>
      </w:r>
      <w:r>
        <w:rPr>
          <w:rFonts w:ascii="Times New Roman" w:hAnsi="Times New Roman" w:cs="Times New Roman"/>
          <w:sz w:val="28"/>
          <w:szCs w:val="28"/>
          <w:lang w:val="uk-UA"/>
        </w:rPr>
        <w:t>Д</w:t>
      </w:r>
      <w:r w:rsidR="00F523D7">
        <w:rPr>
          <w:rFonts w:ascii="Times New Roman" w:hAnsi="Times New Roman" w:cs="Times New Roman"/>
          <w:sz w:val="28"/>
          <w:szCs w:val="28"/>
          <w:lang w:val="uk-UA"/>
        </w:rPr>
        <w:t>ля пацієнтів</w:t>
      </w:r>
      <w:r w:rsidR="00AA4134">
        <w:rPr>
          <w:rFonts w:ascii="Times New Roman" w:hAnsi="Times New Roman" w:cs="Times New Roman"/>
          <w:sz w:val="28"/>
          <w:szCs w:val="28"/>
          <w:lang w:val="uk-UA"/>
        </w:rPr>
        <w:t xml:space="preserve"> </w:t>
      </w:r>
      <w:r w:rsidR="00F523D7">
        <w:rPr>
          <w:rFonts w:ascii="Times New Roman" w:hAnsi="Times New Roman" w:cs="Times New Roman"/>
          <w:sz w:val="28"/>
          <w:szCs w:val="28"/>
          <w:lang w:val="uk-UA"/>
        </w:rPr>
        <w:t>і</w:t>
      </w:r>
      <w:r w:rsidRPr="00FB1FF8">
        <w:rPr>
          <w:rFonts w:ascii="Times New Roman" w:hAnsi="Times New Roman" w:cs="Times New Roman"/>
          <w:sz w:val="28"/>
          <w:szCs w:val="28"/>
          <w:lang w:val="uk-UA"/>
        </w:rPr>
        <w:t xml:space="preserve">з </w:t>
      </w:r>
      <w:r w:rsidR="00F523D7">
        <w:rPr>
          <w:rFonts w:ascii="Times New Roman" w:hAnsi="Times New Roman" w:cs="Times New Roman"/>
          <w:sz w:val="28"/>
          <w:szCs w:val="28"/>
          <w:lang w:val="uk-UA"/>
        </w:rPr>
        <w:t xml:space="preserve">АГ та </w:t>
      </w:r>
      <w:r>
        <w:rPr>
          <w:rFonts w:ascii="Times New Roman" w:hAnsi="Times New Roman" w:cs="Times New Roman"/>
          <w:sz w:val="28"/>
          <w:szCs w:val="28"/>
          <w:lang w:val="uk-UA"/>
        </w:rPr>
        <w:t>ЦД</w:t>
      </w:r>
      <w:r w:rsidRPr="00FB1FF8">
        <w:rPr>
          <w:rFonts w:ascii="Times New Roman" w:hAnsi="Times New Roman" w:cs="Times New Roman"/>
          <w:sz w:val="28"/>
          <w:szCs w:val="28"/>
          <w:lang w:val="uk-UA"/>
        </w:rPr>
        <w:t xml:space="preserve"> 2-го типу, які</w:t>
      </w:r>
      <w:r>
        <w:rPr>
          <w:rFonts w:ascii="Times New Roman" w:hAnsi="Times New Roman" w:cs="Times New Roman"/>
          <w:sz w:val="28"/>
          <w:szCs w:val="28"/>
          <w:lang w:val="uk-UA"/>
        </w:rPr>
        <w:t xml:space="preserve"> мали </w:t>
      </w:r>
      <w:r w:rsidRPr="00744ABB">
        <w:rPr>
          <w:rFonts w:ascii="Times New Roman" w:hAnsi="Times New Roman" w:cs="Times New Roman"/>
          <w:sz w:val="28"/>
          <w:szCs w:val="28"/>
          <w:lang w:val="uk-UA"/>
        </w:rPr>
        <w:t>HbA1с</w:t>
      </w:r>
      <w:r w:rsidRPr="00FB1FF8">
        <w:rPr>
          <w:rFonts w:ascii="Times New Roman" w:hAnsi="Times New Roman" w:cs="Times New Roman"/>
          <w:sz w:val="28"/>
          <w:szCs w:val="28"/>
          <w:lang w:val="uk-UA"/>
        </w:rPr>
        <w:t xml:space="preserve"> вищий </w:t>
      </w:r>
      <w:r w:rsidR="00090982">
        <w:rPr>
          <w:rFonts w:ascii="Times New Roman" w:hAnsi="Times New Roman" w:cs="Times New Roman"/>
          <w:sz w:val="28"/>
          <w:szCs w:val="28"/>
          <w:lang w:val="uk-UA"/>
        </w:rPr>
        <w:t>за 8,0</w:t>
      </w:r>
      <w:r>
        <w:rPr>
          <w:rFonts w:ascii="Times New Roman" w:hAnsi="Times New Roman" w:cs="Times New Roman"/>
          <w:sz w:val="28"/>
          <w:szCs w:val="28"/>
          <w:lang w:val="uk-UA"/>
        </w:rPr>
        <w:t xml:space="preserve"> %, порівняно </w:t>
      </w:r>
      <w:r w:rsidR="00F523D7">
        <w:rPr>
          <w:rFonts w:ascii="Times New Roman" w:hAnsi="Times New Roman" w:cs="Times New Roman"/>
          <w:sz w:val="28"/>
          <w:szCs w:val="28"/>
          <w:lang w:val="uk-UA"/>
        </w:rPr>
        <w:t>з хворими</w:t>
      </w:r>
      <w:r w:rsidR="00AA4134">
        <w:rPr>
          <w:rFonts w:ascii="Times New Roman" w:hAnsi="Times New Roman" w:cs="Times New Roman"/>
          <w:sz w:val="28"/>
          <w:szCs w:val="28"/>
          <w:lang w:val="uk-UA"/>
        </w:rPr>
        <w:t xml:space="preserve"> </w:t>
      </w:r>
      <w:r w:rsidRPr="00FB1FF8">
        <w:rPr>
          <w:rFonts w:ascii="Times New Roman" w:hAnsi="Times New Roman" w:cs="Times New Roman"/>
          <w:sz w:val="28"/>
          <w:szCs w:val="28"/>
          <w:lang w:val="uk-UA"/>
        </w:rPr>
        <w:t xml:space="preserve">з </w:t>
      </w:r>
      <w:r w:rsidRPr="00744ABB">
        <w:rPr>
          <w:rFonts w:ascii="Times New Roman" w:hAnsi="Times New Roman" w:cs="Times New Roman"/>
          <w:sz w:val="28"/>
          <w:szCs w:val="28"/>
          <w:lang w:val="uk-UA"/>
        </w:rPr>
        <w:t>HbA1с</w:t>
      </w:r>
      <w:r>
        <w:rPr>
          <w:rFonts w:ascii="Times New Roman" w:hAnsi="Times New Roman" w:cs="Times New Roman"/>
          <w:sz w:val="28"/>
          <w:szCs w:val="28"/>
          <w:lang w:val="uk-UA"/>
        </w:rPr>
        <w:t>,</w:t>
      </w:r>
      <w:r w:rsidRPr="00FB1FF8">
        <w:rPr>
          <w:rFonts w:ascii="Times New Roman" w:hAnsi="Times New Roman" w:cs="Times New Roman"/>
          <w:sz w:val="28"/>
          <w:szCs w:val="28"/>
          <w:lang w:val="uk-UA"/>
        </w:rPr>
        <w:t xml:space="preserve"> меншим за 8</w:t>
      </w:r>
      <w:r w:rsidR="00525757">
        <w:rPr>
          <w:rFonts w:ascii="Times New Roman" w:hAnsi="Times New Roman" w:cs="Times New Roman"/>
          <w:sz w:val="28"/>
          <w:szCs w:val="28"/>
          <w:lang w:val="uk-UA"/>
        </w:rPr>
        <w:t>,0</w:t>
      </w:r>
      <w:r w:rsidRPr="00FB1FF8">
        <w:rPr>
          <w:rFonts w:ascii="Times New Roman" w:hAnsi="Times New Roman" w:cs="Times New Roman"/>
          <w:sz w:val="28"/>
          <w:szCs w:val="28"/>
          <w:lang w:val="uk-UA"/>
        </w:rPr>
        <w:t xml:space="preserve"> %, були характерними достовірно більші значення </w:t>
      </w:r>
      <w:r w:rsidR="00D90C17">
        <w:rPr>
          <w:rFonts w:ascii="Times New Roman" w:hAnsi="Times New Roman" w:cs="Times New Roman"/>
          <w:sz w:val="28"/>
          <w:szCs w:val="28"/>
          <w:lang w:val="uk-UA"/>
        </w:rPr>
        <w:t>ТГ (р = 0,0018),</w:t>
      </w:r>
      <w:r w:rsidRPr="00FB1FF8">
        <w:rPr>
          <w:rFonts w:ascii="Times New Roman" w:hAnsi="Times New Roman" w:cs="Times New Roman"/>
          <w:sz w:val="28"/>
          <w:szCs w:val="28"/>
          <w:lang w:val="uk-UA"/>
        </w:rPr>
        <w:t xml:space="preserve"> нижчі –</w:t>
      </w:r>
      <w:r>
        <w:rPr>
          <w:rFonts w:ascii="Times New Roman" w:hAnsi="Times New Roman" w:cs="Times New Roman"/>
          <w:sz w:val="28"/>
          <w:szCs w:val="28"/>
          <w:lang w:val="uk-UA"/>
        </w:rPr>
        <w:t xml:space="preserve"> </w:t>
      </w:r>
      <w:r w:rsidR="00D90C17">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ЛПВЩ</w:t>
      </w:r>
      <w:r w:rsidRPr="00FB1FF8">
        <w:rPr>
          <w:rFonts w:ascii="Times New Roman" w:hAnsi="Times New Roman" w:cs="Times New Roman"/>
          <w:sz w:val="28"/>
          <w:szCs w:val="28"/>
          <w:lang w:val="uk-UA"/>
        </w:rPr>
        <w:t xml:space="preserve"> (p = 0,0367), що свідчить про вагому роль кількісних змін саме цих фракцій ліпопротеїдів у </w:t>
      </w:r>
      <w:r w:rsidR="00282763">
        <w:rPr>
          <w:rFonts w:ascii="Times New Roman" w:hAnsi="Times New Roman" w:cs="Times New Roman"/>
          <w:sz w:val="28"/>
          <w:szCs w:val="28"/>
          <w:lang w:val="uk-UA"/>
        </w:rPr>
        <w:t xml:space="preserve">декомпенсації </w:t>
      </w:r>
      <w:r w:rsidR="00AA4134">
        <w:rPr>
          <w:rFonts w:ascii="Times New Roman" w:hAnsi="Times New Roman" w:cs="Times New Roman"/>
          <w:sz w:val="28"/>
          <w:szCs w:val="28"/>
          <w:lang w:val="uk-UA"/>
        </w:rPr>
        <w:t xml:space="preserve">ЦД </w:t>
      </w:r>
      <w:r w:rsidRPr="00FB1FF8">
        <w:rPr>
          <w:rFonts w:ascii="Times New Roman" w:hAnsi="Times New Roman" w:cs="Times New Roman"/>
          <w:sz w:val="28"/>
          <w:szCs w:val="28"/>
          <w:lang w:val="uk-UA"/>
        </w:rPr>
        <w:t xml:space="preserve">2-го типу. </w:t>
      </w:r>
      <w:r w:rsidR="00D90C17">
        <w:rPr>
          <w:rFonts w:ascii="Times New Roman" w:hAnsi="Times New Roman" w:cs="Times New Roman"/>
          <w:sz w:val="28"/>
          <w:szCs w:val="28"/>
          <w:lang w:val="uk-UA"/>
        </w:rPr>
        <w:t>У хворих на коморбідну патологі</w:t>
      </w:r>
      <w:r w:rsidR="00090982">
        <w:rPr>
          <w:rFonts w:ascii="Times New Roman" w:hAnsi="Times New Roman" w:cs="Times New Roman"/>
          <w:sz w:val="28"/>
          <w:szCs w:val="28"/>
          <w:lang w:val="uk-UA"/>
        </w:rPr>
        <w:t xml:space="preserve">ю </w:t>
      </w:r>
      <w:r w:rsidR="00F4102A">
        <w:rPr>
          <w:rFonts w:ascii="Times New Roman" w:hAnsi="Times New Roman" w:cs="Times New Roman"/>
          <w:sz w:val="28"/>
          <w:szCs w:val="28"/>
          <w:lang w:val="uk-UA"/>
        </w:rPr>
        <w:t xml:space="preserve">                   </w:t>
      </w:r>
      <w:r w:rsidR="00090982">
        <w:rPr>
          <w:rFonts w:ascii="Times New Roman" w:hAnsi="Times New Roman" w:cs="Times New Roman"/>
          <w:sz w:val="28"/>
          <w:szCs w:val="28"/>
          <w:lang w:val="uk-UA"/>
        </w:rPr>
        <w:t xml:space="preserve">із зростанням експресії </w:t>
      </w:r>
      <w:r w:rsidR="00090982" w:rsidRPr="00090982">
        <w:rPr>
          <w:rFonts w:ascii="Times New Roman" w:hAnsi="Times New Roman" w:cs="Times New Roman"/>
          <w:sz w:val="28"/>
          <w:szCs w:val="28"/>
          <w:lang w:val="uk-UA"/>
        </w:rPr>
        <w:t>sVCAM-1</w:t>
      </w:r>
      <w:r w:rsidR="00090982">
        <w:rPr>
          <w:rFonts w:ascii="Times New Roman" w:hAnsi="Times New Roman" w:cs="Times New Roman"/>
          <w:sz w:val="28"/>
          <w:szCs w:val="28"/>
          <w:lang w:val="uk-UA"/>
        </w:rPr>
        <w:t xml:space="preserve"> збільшується КА, що є доказом важливої ролі молекул адгезії у якості показників функції ендотелію та запалення за наявності АГ і супутнього ЦД 2-го типу.</w:t>
      </w:r>
    </w:p>
    <w:p w:rsidR="0054115A" w:rsidRDefault="00857352" w:rsidP="005411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Проте для оптимізації лікування коморбідних пацієнтів необхідним є детальне дослідження впливу </w:t>
      </w:r>
      <w:r w:rsidR="002C530E">
        <w:rPr>
          <w:rFonts w:ascii="Times New Roman" w:hAnsi="Times New Roman" w:cs="Times New Roman"/>
          <w:sz w:val="28"/>
          <w:szCs w:val="28"/>
          <w:lang w:val="uk-UA"/>
        </w:rPr>
        <w:t xml:space="preserve">ендотелію </w:t>
      </w:r>
      <w:r>
        <w:rPr>
          <w:rFonts w:ascii="Times New Roman" w:hAnsi="Times New Roman" w:cs="Times New Roman"/>
          <w:sz w:val="28"/>
          <w:szCs w:val="28"/>
          <w:lang w:val="uk-UA"/>
        </w:rPr>
        <w:t>та імунно</w:t>
      </w:r>
      <w:r w:rsidR="002C530E">
        <w:rPr>
          <w:rFonts w:ascii="Times New Roman" w:hAnsi="Times New Roman" w:cs="Times New Roman"/>
          <w:sz w:val="28"/>
          <w:szCs w:val="28"/>
          <w:lang w:val="uk-UA"/>
        </w:rPr>
        <w:t xml:space="preserve">го запалення </w:t>
      </w:r>
      <w:r w:rsidR="00F4102A">
        <w:rPr>
          <w:rFonts w:ascii="Times New Roman" w:hAnsi="Times New Roman" w:cs="Times New Roman"/>
          <w:sz w:val="28"/>
          <w:szCs w:val="28"/>
          <w:lang w:val="uk-UA"/>
        </w:rPr>
        <w:t xml:space="preserve">                     </w:t>
      </w:r>
      <w:r w:rsidR="002C530E">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 фу</w:t>
      </w:r>
      <w:r w:rsidR="002C530E">
        <w:rPr>
          <w:rFonts w:ascii="Times New Roman" w:hAnsi="Times New Roman" w:cs="Times New Roman"/>
          <w:sz w:val="28"/>
          <w:szCs w:val="28"/>
          <w:lang w:val="uk-UA"/>
        </w:rPr>
        <w:t>нкціональний стан нирок, структурно-функціональні характеристики міокарда</w:t>
      </w:r>
      <w:r w:rsidR="0054115A">
        <w:rPr>
          <w:rFonts w:ascii="Times New Roman" w:hAnsi="Times New Roman" w:cs="Times New Roman"/>
          <w:sz w:val="28"/>
          <w:szCs w:val="28"/>
          <w:lang w:val="uk-UA"/>
        </w:rPr>
        <w:t>.</w:t>
      </w:r>
    </w:p>
    <w:p w:rsidR="0054115A" w:rsidRDefault="0054115A" w:rsidP="0054115A">
      <w:pPr>
        <w:autoSpaceDE w:val="0"/>
        <w:autoSpaceDN w:val="0"/>
        <w:adjustRightInd w:val="0"/>
        <w:spacing w:after="0" w:line="360" w:lineRule="auto"/>
        <w:ind w:firstLine="708"/>
        <w:jc w:val="both"/>
        <w:rPr>
          <w:rFonts w:ascii="Times New Roman" w:hAnsi="Times New Roman" w:cs="Times New Roman"/>
          <w:sz w:val="28"/>
          <w:szCs w:val="28"/>
          <w:lang w:val="uk-UA"/>
        </w:rPr>
      </w:pPr>
    </w:p>
    <w:p w:rsidR="00E36F09" w:rsidRDefault="00857352" w:rsidP="0054115A">
      <w:pPr>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Основні положення розділу висвітлено у</w:t>
      </w:r>
      <w:r w:rsidR="00AE437A">
        <w:rPr>
          <w:rFonts w:ascii="Times New Roman" w:hAnsi="Times New Roman" w:cs="Times New Roman"/>
          <w:sz w:val="28"/>
          <w:szCs w:val="28"/>
          <w:lang w:val="uk-UA"/>
        </w:rPr>
        <w:t xml:space="preserve"> статтях</w:t>
      </w:r>
      <w:r w:rsidR="00215267" w:rsidRPr="00E36F09">
        <w:rPr>
          <w:rFonts w:ascii="Times New Roman" w:hAnsi="Times New Roman" w:cs="Times New Roman"/>
          <w:sz w:val="28"/>
          <w:szCs w:val="28"/>
          <w:lang w:val="uk-UA"/>
        </w:rPr>
        <w:t>:</w:t>
      </w:r>
    </w:p>
    <w:p w:rsidR="00AE437A" w:rsidRDefault="00AE437A" w:rsidP="005411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AE437A">
        <w:rPr>
          <w:rFonts w:ascii="Times New Roman" w:hAnsi="Times New Roman" w:cs="Times New Roman"/>
          <w:sz w:val="28"/>
          <w:szCs w:val="28"/>
          <w:lang w:val="uk-UA"/>
        </w:rPr>
        <w:t xml:space="preserve">Чернацька О. М. Особливості ліпідного обміну в осіб з артеріальною гіпертензією </w:t>
      </w:r>
      <w:r w:rsidR="00B95DDE">
        <w:rPr>
          <w:rFonts w:ascii="Times New Roman" w:hAnsi="Times New Roman" w:cs="Times New Roman"/>
          <w:sz w:val="28"/>
          <w:szCs w:val="28"/>
          <w:lang w:val="uk-UA"/>
        </w:rPr>
        <w:t>і цукровим діабетом 2-го типу / О. М. Чернацька //</w:t>
      </w:r>
      <w:r w:rsidRPr="00AE437A">
        <w:rPr>
          <w:rFonts w:ascii="Times New Roman" w:hAnsi="Times New Roman" w:cs="Times New Roman"/>
          <w:sz w:val="28"/>
          <w:szCs w:val="28"/>
          <w:lang w:val="uk-UA"/>
        </w:rPr>
        <w:t xml:space="preserve"> Журнал клінічних та експериментальних м</w:t>
      </w:r>
      <w:r>
        <w:rPr>
          <w:rFonts w:ascii="Times New Roman" w:hAnsi="Times New Roman" w:cs="Times New Roman"/>
          <w:sz w:val="28"/>
          <w:szCs w:val="28"/>
          <w:lang w:val="uk-UA"/>
        </w:rPr>
        <w:t xml:space="preserve">едичних досліджень. – 2018. – </w:t>
      </w:r>
      <w:r w:rsidR="001729BF" w:rsidRPr="004302F8">
        <w:rPr>
          <w:rFonts w:ascii="Times New Roman" w:hAnsi="Times New Roman" w:cs="Times New Roman"/>
          <w:sz w:val="28"/>
          <w:szCs w:val="28"/>
          <w:lang w:val="uk-UA"/>
        </w:rPr>
        <w:t xml:space="preserve">Том 6, </w:t>
      </w:r>
      <w:r w:rsidRPr="00AE437A">
        <w:rPr>
          <w:rFonts w:ascii="Times New Roman" w:hAnsi="Times New Roman" w:cs="Times New Roman"/>
          <w:sz w:val="28"/>
          <w:szCs w:val="28"/>
          <w:lang w:val="uk-UA"/>
        </w:rPr>
        <w:t>№</w:t>
      </w:r>
      <w:r w:rsidR="0032206D">
        <w:rPr>
          <w:rFonts w:ascii="Times New Roman" w:hAnsi="Times New Roman" w:cs="Times New Roman"/>
          <w:sz w:val="28"/>
          <w:szCs w:val="28"/>
          <w:lang w:val="uk-UA"/>
        </w:rPr>
        <w:t xml:space="preserve"> </w:t>
      </w:r>
      <w:r w:rsidR="001729BF">
        <w:rPr>
          <w:rFonts w:ascii="Times New Roman" w:hAnsi="Times New Roman" w:cs="Times New Roman"/>
          <w:sz w:val="28"/>
          <w:szCs w:val="28"/>
          <w:lang w:val="uk-UA"/>
        </w:rPr>
        <w:t>2</w:t>
      </w:r>
      <w:r w:rsidR="004F4AEC">
        <w:rPr>
          <w:rFonts w:ascii="Times New Roman" w:hAnsi="Times New Roman" w:cs="Times New Roman"/>
          <w:sz w:val="28"/>
          <w:szCs w:val="28"/>
          <w:lang w:val="uk-UA"/>
        </w:rPr>
        <w:t>. – С. 238</w:t>
      </w:r>
      <w:r w:rsidR="004F4AEC" w:rsidRPr="004F4AEC">
        <w:rPr>
          <w:rFonts w:ascii="Times New Roman" w:hAnsi="Times New Roman" w:cs="Times New Roman"/>
          <w:sz w:val="28"/>
          <w:szCs w:val="28"/>
          <w:lang w:val="uk-UA"/>
        </w:rPr>
        <w:t>–</w:t>
      </w:r>
      <w:r w:rsidRPr="00AE437A">
        <w:rPr>
          <w:rFonts w:ascii="Times New Roman" w:hAnsi="Times New Roman" w:cs="Times New Roman"/>
          <w:sz w:val="28"/>
          <w:szCs w:val="28"/>
          <w:lang w:val="uk-UA"/>
        </w:rPr>
        <w:t>244.</w:t>
      </w:r>
    </w:p>
    <w:p w:rsidR="0054115A" w:rsidRDefault="0054115A" w:rsidP="00F4102A">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2. Чернацька О. М. Взаємозвʼ</w:t>
      </w:r>
      <w:r w:rsidR="00EB52B3" w:rsidRPr="00EB52B3">
        <w:rPr>
          <w:rFonts w:ascii="Times New Roman" w:hAnsi="Times New Roman" w:cs="Times New Roman"/>
          <w:sz w:val="28"/>
          <w:szCs w:val="28"/>
          <w:lang w:val="uk-UA"/>
        </w:rPr>
        <w:t>язок між коефіцієнтом атерогенності та рівнем розчинної форми молекули адгезії судинного ендотелію 1 типу в осіб з артеріальною гіпертен</w:t>
      </w:r>
      <w:r w:rsidR="00B95DDE">
        <w:rPr>
          <w:rFonts w:ascii="Times New Roman" w:hAnsi="Times New Roman" w:cs="Times New Roman"/>
          <w:sz w:val="28"/>
          <w:szCs w:val="28"/>
          <w:lang w:val="uk-UA"/>
        </w:rPr>
        <w:t>зією і цукровим діабетом 2 типу / О. М. Чернацька //</w:t>
      </w:r>
      <w:r w:rsidR="00EB52B3" w:rsidRPr="00EB52B3">
        <w:rPr>
          <w:rFonts w:ascii="Times New Roman" w:hAnsi="Times New Roman" w:cs="Times New Roman"/>
          <w:sz w:val="28"/>
          <w:szCs w:val="28"/>
          <w:lang w:val="uk-UA"/>
        </w:rPr>
        <w:t xml:space="preserve"> </w:t>
      </w:r>
      <w:r w:rsidR="00B95DDE" w:rsidRPr="00B95DDE">
        <w:rPr>
          <w:rFonts w:ascii="Times New Roman" w:hAnsi="Times New Roman" w:cs="Times New Roman"/>
          <w:sz w:val="28"/>
          <w:szCs w:val="28"/>
          <w:lang w:val="uk-UA"/>
        </w:rPr>
        <w:t xml:space="preserve">Науково-практичний журнал </w:t>
      </w:r>
      <w:r w:rsidR="00CA6671" w:rsidRPr="00CA6671">
        <w:rPr>
          <w:rFonts w:ascii="Times New Roman" w:hAnsi="Times New Roman" w:cs="Times New Roman"/>
          <w:sz w:val="28"/>
          <w:szCs w:val="28"/>
          <w:lang w:val="uk-UA"/>
        </w:rPr>
        <w:t>«</w:t>
      </w:r>
      <w:r w:rsidR="00EB52B3" w:rsidRPr="00EB52B3">
        <w:rPr>
          <w:rFonts w:ascii="Times New Roman" w:hAnsi="Times New Roman" w:cs="Times New Roman"/>
          <w:sz w:val="28"/>
          <w:szCs w:val="28"/>
          <w:lang w:val="uk-UA"/>
        </w:rPr>
        <w:t>Проблеми безперервної медичної освіти та науки</w:t>
      </w:r>
      <w:r w:rsidR="00CA6671" w:rsidRPr="00CA6671">
        <w:rPr>
          <w:rFonts w:ascii="Times New Roman" w:hAnsi="Times New Roman" w:cs="Times New Roman"/>
          <w:sz w:val="28"/>
          <w:szCs w:val="28"/>
          <w:lang w:val="uk-UA"/>
        </w:rPr>
        <w:t>»</w:t>
      </w:r>
      <w:r w:rsidR="00EB52B3" w:rsidRPr="00EB52B3">
        <w:rPr>
          <w:rFonts w:ascii="Times New Roman" w:hAnsi="Times New Roman" w:cs="Times New Roman"/>
          <w:sz w:val="28"/>
          <w:szCs w:val="28"/>
          <w:lang w:val="uk-UA"/>
        </w:rPr>
        <w:t>. – 2018. – №</w:t>
      </w:r>
      <w:r w:rsidR="0032206D">
        <w:rPr>
          <w:rFonts w:ascii="Times New Roman" w:hAnsi="Times New Roman" w:cs="Times New Roman"/>
          <w:sz w:val="28"/>
          <w:szCs w:val="28"/>
          <w:lang w:val="uk-UA"/>
        </w:rPr>
        <w:t xml:space="preserve"> </w:t>
      </w:r>
      <w:r w:rsidR="00EB52B3" w:rsidRPr="00EB52B3">
        <w:rPr>
          <w:rFonts w:ascii="Times New Roman" w:hAnsi="Times New Roman" w:cs="Times New Roman"/>
          <w:sz w:val="28"/>
          <w:szCs w:val="28"/>
          <w:lang w:val="uk-UA"/>
        </w:rPr>
        <w:t>2. – С. 82–85.</w:t>
      </w:r>
    </w:p>
    <w:p w:rsidR="00950A89" w:rsidRDefault="0095126D" w:rsidP="00B555E0">
      <w:pPr>
        <w:autoSpaceDE w:val="0"/>
        <w:autoSpaceDN w:val="0"/>
        <w:adjustRightInd w:val="0"/>
        <w:spacing w:after="0" w:line="360" w:lineRule="auto"/>
        <w:jc w:val="center"/>
        <w:rPr>
          <w:rFonts w:ascii="Times New Roman" w:hAnsi="Times New Roman" w:cs="Times New Roman"/>
          <w:b/>
          <w:sz w:val="28"/>
          <w:szCs w:val="28"/>
          <w:lang w:val="uk-UA"/>
        </w:rPr>
      </w:pPr>
      <w:r w:rsidRPr="00340897">
        <w:rPr>
          <w:rFonts w:ascii="Times New Roman" w:hAnsi="Times New Roman" w:cs="Times New Roman"/>
          <w:b/>
          <w:sz w:val="28"/>
          <w:szCs w:val="28"/>
          <w:lang w:val="uk-UA"/>
        </w:rPr>
        <w:lastRenderedPageBreak/>
        <w:t xml:space="preserve">РОЗДІЛ </w:t>
      </w:r>
      <w:r w:rsidR="00612BFC">
        <w:rPr>
          <w:rFonts w:ascii="Times New Roman" w:hAnsi="Times New Roman" w:cs="Times New Roman"/>
          <w:b/>
          <w:sz w:val="28"/>
          <w:szCs w:val="28"/>
          <w:lang w:val="uk-UA"/>
        </w:rPr>
        <w:t>4</w:t>
      </w:r>
    </w:p>
    <w:p w:rsidR="00C908BB" w:rsidRDefault="00C908BB" w:rsidP="00B555E0">
      <w:pPr>
        <w:autoSpaceDE w:val="0"/>
        <w:autoSpaceDN w:val="0"/>
        <w:adjustRightInd w:val="0"/>
        <w:spacing w:after="0" w:line="360" w:lineRule="auto"/>
        <w:jc w:val="center"/>
        <w:rPr>
          <w:rFonts w:ascii="Times New Roman" w:hAnsi="Times New Roman" w:cs="Times New Roman"/>
          <w:b/>
          <w:sz w:val="28"/>
          <w:szCs w:val="28"/>
          <w:lang w:val="uk-UA"/>
        </w:rPr>
      </w:pPr>
      <w:r w:rsidRPr="00C908BB">
        <w:rPr>
          <w:rFonts w:ascii="Times New Roman" w:hAnsi="Times New Roman" w:cs="Times New Roman"/>
          <w:b/>
          <w:sz w:val="28"/>
          <w:szCs w:val="28"/>
          <w:lang w:val="uk-UA"/>
        </w:rPr>
        <w:t xml:space="preserve">МАРКЕРИ ФУНКЦІОНАЛЬНОГО СТАНУ НИРОК </w:t>
      </w:r>
      <w:r>
        <w:rPr>
          <w:rFonts w:ascii="Times New Roman" w:hAnsi="Times New Roman" w:cs="Times New Roman"/>
          <w:b/>
          <w:sz w:val="28"/>
          <w:szCs w:val="28"/>
          <w:lang w:val="uk-UA"/>
        </w:rPr>
        <w:t xml:space="preserve">                                   </w:t>
      </w:r>
      <w:r w:rsidRPr="00C908BB">
        <w:rPr>
          <w:rFonts w:ascii="Times New Roman" w:hAnsi="Times New Roman" w:cs="Times New Roman"/>
          <w:b/>
          <w:sz w:val="28"/>
          <w:szCs w:val="28"/>
          <w:lang w:val="uk-UA"/>
        </w:rPr>
        <w:t xml:space="preserve">У ПАЦIЄНТIВ ІЗ АРТЕРIАЛЬНОЮ ГIПЕРТЕНЗIЄЮ </w:t>
      </w:r>
      <w:r>
        <w:rPr>
          <w:rFonts w:ascii="Times New Roman" w:hAnsi="Times New Roman" w:cs="Times New Roman"/>
          <w:b/>
          <w:sz w:val="28"/>
          <w:szCs w:val="28"/>
          <w:lang w:val="uk-UA"/>
        </w:rPr>
        <w:t xml:space="preserve">                                                        </w:t>
      </w:r>
      <w:r w:rsidRPr="00C908BB">
        <w:rPr>
          <w:rFonts w:ascii="Times New Roman" w:hAnsi="Times New Roman" w:cs="Times New Roman"/>
          <w:b/>
          <w:sz w:val="28"/>
          <w:szCs w:val="28"/>
          <w:lang w:val="uk-UA"/>
        </w:rPr>
        <w:t>ТА ЦУКРОВИМ ДIАБЕТОМ 2-ГО ТИПУ</w:t>
      </w:r>
    </w:p>
    <w:p w:rsidR="007B67E1" w:rsidRPr="00462FDB" w:rsidRDefault="007B67E1" w:rsidP="007B67E1">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p>
    <w:p w:rsidR="00E24A85" w:rsidRPr="00462FDB" w:rsidRDefault="007B67E1" w:rsidP="007B67E1">
      <w:pPr>
        <w:autoSpaceDE w:val="0"/>
        <w:autoSpaceDN w:val="0"/>
        <w:adjustRightInd w:val="0"/>
        <w:spacing w:after="0" w:line="360" w:lineRule="auto"/>
        <w:ind w:firstLine="708"/>
        <w:jc w:val="both"/>
        <w:rPr>
          <w:rFonts w:ascii="Times New Roman" w:hAnsi="Times New Roman" w:cs="Times New Roman"/>
          <w:b/>
          <w:sz w:val="28"/>
          <w:szCs w:val="28"/>
          <w:lang w:val="uk-UA"/>
        </w:rPr>
      </w:pPr>
      <w:r w:rsidRPr="007B67E1">
        <w:rPr>
          <w:rFonts w:ascii="Times New Roman" w:hAnsi="Times New Roman" w:cs="Times New Roman"/>
          <w:b/>
          <w:sz w:val="28"/>
          <w:szCs w:val="28"/>
          <w:lang w:val="uk-UA"/>
        </w:rPr>
        <w:t xml:space="preserve">4.1. </w:t>
      </w:r>
      <w:r w:rsidR="000525C8" w:rsidRPr="000525C8">
        <w:rPr>
          <w:rFonts w:ascii="Times New Roman" w:hAnsi="Times New Roman" w:cs="Times New Roman"/>
          <w:b/>
          <w:sz w:val="28"/>
          <w:szCs w:val="28"/>
          <w:lang w:val="uk-UA"/>
        </w:rPr>
        <w:t>Особливостi функціонального стану нирок у хворих на артерiальну гiпертензiю та цукровий діабет 2-го типу</w:t>
      </w:r>
    </w:p>
    <w:p w:rsidR="00401A7E" w:rsidRPr="00462FDB" w:rsidRDefault="00401A7E" w:rsidP="00A0016C">
      <w:pPr>
        <w:autoSpaceDE w:val="0"/>
        <w:autoSpaceDN w:val="0"/>
        <w:adjustRightInd w:val="0"/>
        <w:spacing w:after="0" w:line="360" w:lineRule="auto"/>
        <w:ind w:firstLine="708"/>
        <w:jc w:val="both"/>
        <w:rPr>
          <w:rFonts w:ascii="Times New Roman" w:hAnsi="Times New Roman" w:cs="Times New Roman"/>
          <w:sz w:val="28"/>
          <w:szCs w:val="28"/>
          <w:lang w:val="uk-UA"/>
        </w:rPr>
      </w:pPr>
    </w:p>
    <w:p w:rsidR="00744ABB" w:rsidRPr="00707BB3" w:rsidRDefault="00485ABD" w:rsidP="00A0016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6E0E">
        <w:rPr>
          <w:rFonts w:ascii="Times New Roman" w:hAnsi="Times New Roman" w:cs="Times New Roman"/>
          <w:sz w:val="28"/>
          <w:szCs w:val="28"/>
          <w:lang w:val="uk-UA"/>
        </w:rPr>
        <w:t xml:space="preserve">Глікозильований гемоглобін </w:t>
      </w:r>
      <w:r w:rsidR="00127632">
        <w:rPr>
          <w:rFonts w:ascii="Times New Roman" w:hAnsi="Times New Roman" w:cs="Times New Roman"/>
          <w:sz w:val="28"/>
          <w:szCs w:val="28"/>
          <w:lang w:val="uk-UA"/>
        </w:rPr>
        <w:t>є доведеним фактором р</w:t>
      </w:r>
      <w:r w:rsidR="00656549">
        <w:rPr>
          <w:rFonts w:ascii="Times New Roman" w:hAnsi="Times New Roman" w:cs="Times New Roman"/>
          <w:sz w:val="28"/>
          <w:szCs w:val="28"/>
          <w:lang w:val="uk-UA"/>
        </w:rPr>
        <w:t>изику розвитку ССУ у пац</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єнт</w:t>
      </w:r>
      <w:r w:rsidR="00656549">
        <w:rPr>
          <w:rFonts w:ascii="Times New Roman" w:hAnsi="Times New Roman" w:cs="Times New Roman"/>
          <w:sz w:val="28"/>
          <w:szCs w:val="28"/>
          <w:lang w:val="en-US"/>
        </w:rPr>
        <w:t>i</w:t>
      </w:r>
      <w:r w:rsidR="00AA4134">
        <w:rPr>
          <w:rFonts w:ascii="Times New Roman" w:hAnsi="Times New Roman" w:cs="Times New Roman"/>
          <w:sz w:val="28"/>
          <w:szCs w:val="28"/>
          <w:lang w:val="uk-UA"/>
        </w:rPr>
        <w:t xml:space="preserve">в </w:t>
      </w:r>
      <w:r w:rsidR="0054115A">
        <w:rPr>
          <w:rFonts w:ascii="Times New Roman" w:hAnsi="Times New Roman" w:cs="Times New Roman"/>
          <w:sz w:val="28"/>
          <w:szCs w:val="28"/>
          <w:lang w:val="uk-UA"/>
        </w:rPr>
        <w:t>і</w:t>
      </w:r>
      <w:r w:rsidR="00127632">
        <w:rPr>
          <w:rFonts w:ascii="Times New Roman" w:hAnsi="Times New Roman" w:cs="Times New Roman"/>
          <w:sz w:val="28"/>
          <w:szCs w:val="28"/>
          <w:lang w:val="uk-UA"/>
        </w:rPr>
        <w:t xml:space="preserve">з </w:t>
      </w:r>
      <w:r w:rsidR="00AA4134">
        <w:rPr>
          <w:rFonts w:ascii="Times New Roman" w:hAnsi="Times New Roman" w:cs="Times New Roman"/>
          <w:sz w:val="28"/>
          <w:szCs w:val="28"/>
          <w:lang w:val="uk-UA"/>
        </w:rPr>
        <w:t>АГ та ЦД 2-го типу</w:t>
      </w:r>
      <w:r w:rsidR="00127632">
        <w:rPr>
          <w:rFonts w:ascii="Times New Roman" w:hAnsi="Times New Roman" w:cs="Times New Roman"/>
          <w:sz w:val="28"/>
          <w:szCs w:val="28"/>
          <w:lang w:val="uk-UA"/>
        </w:rPr>
        <w:t>,</w:t>
      </w:r>
      <w:r w:rsidR="00656549">
        <w:rPr>
          <w:rFonts w:ascii="Times New Roman" w:hAnsi="Times New Roman" w:cs="Times New Roman"/>
          <w:sz w:val="28"/>
          <w:szCs w:val="28"/>
          <w:lang w:val="uk-UA"/>
        </w:rPr>
        <w:t xml:space="preserve"> «золотим стандартом» компенсац</w:t>
      </w:r>
      <w:r w:rsidR="00656549">
        <w:rPr>
          <w:rFonts w:ascii="Times New Roman" w:hAnsi="Times New Roman" w:cs="Times New Roman"/>
          <w:sz w:val="28"/>
          <w:szCs w:val="28"/>
          <w:lang w:val="en-US"/>
        </w:rPr>
        <w:t>i</w:t>
      </w:r>
      <w:r w:rsidR="00127632">
        <w:rPr>
          <w:rFonts w:ascii="Times New Roman" w:hAnsi="Times New Roman" w:cs="Times New Roman"/>
          <w:sz w:val="28"/>
          <w:szCs w:val="28"/>
          <w:lang w:val="uk-UA"/>
        </w:rPr>
        <w:t xml:space="preserve">ї ЦД </w:t>
      </w:r>
      <w:r w:rsidR="00656549">
        <w:rPr>
          <w:rFonts w:ascii="Times New Roman" w:hAnsi="Times New Roman" w:cs="Times New Roman"/>
          <w:sz w:val="28"/>
          <w:szCs w:val="28"/>
          <w:lang w:val="uk-UA"/>
        </w:rPr>
        <w:t>2-го типу,</w:t>
      </w:r>
      <w:r w:rsidR="00B555E0">
        <w:rPr>
          <w:rFonts w:ascii="Times New Roman" w:hAnsi="Times New Roman" w:cs="Times New Roman"/>
          <w:sz w:val="28"/>
          <w:szCs w:val="28"/>
          <w:lang w:val="uk-UA"/>
        </w:rPr>
        <w:t xml:space="preserve"> має здат</w:t>
      </w:r>
      <w:r w:rsidR="00707BB3">
        <w:rPr>
          <w:rFonts w:ascii="Times New Roman" w:hAnsi="Times New Roman" w:cs="Times New Roman"/>
          <w:sz w:val="28"/>
          <w:szCs w:val="28"/>
          <w:lang w:val="uk-UA"/>
        </w:rPr>
        <w:t>н</w:t>
      </w:r>
      <w:r w:rsidR="00B555E0">
        <w:rPr>
          <w:rFonts w:ascii="Times New Roman" w:hAnsi="Times New Roman" w:cs="Times New Roman"/>
          <w:sz w:val="28"/>
          <w:szCs w:val="28"/>
          <w:lang w:val="uk-UA"/>
        </w:rPr>
        <w:t>ість до накопичення</w:t>
      </w:r>
      <w:r w:rsidR="00656549">
        <w:rPr>
          <w:rFonts w:ascii="Times New Roman" w:hAnsi="Times New Roman" w:cs="Times New Roman"/>
          <w:sz w:val="28"/>
          <w:szCs w:val="28"/>
          <w:lang w:val="uk-UA"/>
        </w:rPr>
        <w:t xml:space="preserve"> в базальних мембранах кап</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 xml:space="preserve">лярів ниркових </w:t>
      </w:r>
      <w:r w:rsidR="00B555E0">
        <w:rPr>
          <w:rFonts w:ascii="Times New Roman" w:hAnsi="Times New Roman" w:cs="Times New Roman"/>
          <w:sz w:val="28"/>
          <w:szCs w:val="28"/>
          <w:lang w:val="uk-UA"/>
        </w:rPr>
        <w:t>клубочків, спричинюючи розвито</w:t>
      </w:r>
      <w:r w:rsidR="00656549">
        <w:rPr>
          <w:rFonts w:ascii="Times New Roman" w:hAnsi="Times New Roman" w:cs="Times New Roman"/>
          <w:sz w:val="28"/>
          <w:szCs w:val="28"/>
          <w:lang w:val="uk-UA"/>
        </w:rPr>
        <w:t xml:space="preserve">к </w:t>
      </w:r>
      <w:r w:rsidR="00656549">
        <w:rPr>
          <w:rFonts w:ascii="Times New Roman" w:hAnsi="Times New Roman" w:cs="Times New Roman"/>
          <w:sz w:val="28"/>
          <w:szCs w:val="28"/>
          <w:lang w:val="en-US"/>
        </w:rPr>
        <w:t>i</w:t>
      </w:r>
      <w:r w:rsidR="00707BB3">
        <w:rPr>
          <w:rFonts w:ascii="Times New Roman" w:hAnsi="Times New Roman" w:cs="Times New Roman"/>
          <w:sz w:val="28"/>
          <w:szCs w:val="28"/>
          <w:lang w:val="uk-UA"/>
        </w:rPr>
        <w:t xml:space="preserve"> </w:t>
      </w:r>
      <w:r w:rsidR="00B555E0">
        <w:rPr>
          <w:rFonts w:ascii="Times New Roman" w:hAnsi="Times New Roman" w:cs="Times New Roman"/>
          <w:sz w:val="28"/>
          <w:szCs w:val="28"/>
          <w:lang w:val="uk-UA"/>
        </w:rPr>
        <w:t>прогресування</w:t>
      </w:r>
      <w:r w:rsidR="00707BB3">
        <w:rPr>
          <w:rFonts w:ascii="Times New Roman" w:hAnsi="Times New Roman" w:cs="Times New Roman"/>
          <w:sz w:val="28"/>
          <w:szCs w:val="28"/>
          <w:lang w:val="uk-UA"/>
        </w:rPr>
        <w:t xml:space="preserve"> ДН [</w:t>
      </w:r>
      <w:r w:rsidR="004B16DA">
        <w:rPr>
          <w:rFonts w:ascii="Times New Roman" w:hAnsi="Times New Roman" w:cs="Times New Roman"/>
          <w:sz w:val="28"/>
          <w:szCs w:val="28"/>
          <w:lang w:val="uk-UA"/>
        </w:rPr>
        <w:t>146</w:t>
      </w:r>
      <w:r w:rsidR="00707BB3">
        <w:rPr>
          <w:rFonts w:ascii="Times New Roman" w:hAnsi="Times New Roman" w:cs="Times New Roman"/>
          <w:sz w:val="28"/>
          <w:szCs w:val="28"/>
          <w:lang w:val="uk-UA"/>
        </w:rPr>
        <w:t>]</w:t>
      </w:r>
      <w:r w:rsidR="00707BB3" w:rsidRPr="00707BB3">
        <w:rPr>
          <w:rFonts w:ascii="Times New Roman" w:hAnsi="Times New Roman" w:cs="Times New Roman"/>
          <w:sz w:val="28"/>
          <w:szCs w:val="28"/>
          <w:lang w:val="uk-UA"/>
        </w:rPr>
        <w:t xml:space="preserve">. </w:t>
      </w:r>
    </w:p>
    <w:p w:rsidR="00B25022" w:rsidRPr="0054115A" w:rsidRDefault="00B555E0" w:rsidP="0054115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w:t>
      </w:r>
      <w:r w:rsidR="00083A3E" w:rsidRPr="008707FF">
        <w:rPr>
          <w:rFonts w:ascii="Times New Roman" w:hAnsi="Times New Roman" w:cs="Times New Roman"/>
          <w:sz w:val="28"/>
          <w:szCs w:val="28"/>
          <w:lang w:val="uk-UA"/>
        </w:rPr>
        <w:t>Hb</w:t>
      </w:r>
      <w:r w:rsidR="00656549">
        <w:rPr>
          <w:rFonts w:ascii="Times New Roman" w:hAnsi="Times New Roman" w:cs="Times New Roman"/>
          <w:sz w:val="28"/>
          <w:szCs w:val="28"/>
          <w:lang w:val="uk-UA"/>
        </w:rPr>
        <w:t>A1с у пац</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єнт</w:t>
      </w:r>
      <w:r w:rsidR="00656549">
        <w:rPr>
          <w:rFonts w:ascii="Times New Roman" w:hAnsi="Times New Roman" w:cs="Times New Roman"/>
          <w:sz w:val="28"/>
          <w:szCs w:val="28"/>
          <w:lang w:val="en-US"/>
        </w:rPr>
        <w:t>i</w:t>
      </w:r>
      <w:r w:rsidR="00E03D77">
        <w:rPr>
          <w:rFonts w:ascii="Times New Roman" w:hAnsi="Times New Roman" w:cs="Times New Roman"/>
          <w:sz w:val="28"/>
          <w:szCs w:val="28"/>
          <w:lang w:val="uk-UA"/>
        </w:rPr>
        <w:t xml:space="preserve">в І, ІІ </w:t>
      </w:r>
      <w:r w:rsidR="00CB2C9F">
        <w:rPr>
          <w:rFonts w:ascii="Times New Roman" w:hAnsi="Times New Roman" w:cs="Times New Roman"/>
          <w:sz w:val="28"/>
          <w:szCs w:val="28"/>
          <w:lang w:val="uk-UA"/>
        </w:rPr>
        <w:t>груп</w:t>
      </w:r>
      <w:r w:rsidR="00485ABD">
        <w:rPr>
          <w:rFonts w:ascii="Times New Roman" w:hAnsi="Times New Roman" w:cs="Times New Roman"/>
          <w:sz w:val="28"/>
          <w:szCs w:val="28"/>
          <w:lang w:val="uk-UA"/>
        </w:rPr>
        <w:t xml:space="preserve"> </w:t>
      </w:r>
      <w:r w:rsidR="00E03D77">
        <w:rPr>
          <w:rFonts w:ascii="Times New Roman" w:hAnsi="Times New Roman" w:cs="Times New Roman"/>
          <w:sz w:val="28"/>
          <w:szCs w:val="28"/>
          <w:lang w:val="uk-UA"/>
        </w:rPr>
        <w:t xml:space="preserve">та осіб групи контролю </w:t>
      </w:r>
      <w:r w:rsidR="00485ABD">
        <w:rPr>
          <w:rFonts w:ascii="Times New Roman" w:hAnsi="Times New Roman" w:cs="Times New Roman"/>
          <w:sz w:val="28"/>
          <w:szCs w:val="28"/>
          <w:lang w:val="uk-UA"/>
        </w:rPr>
        <w:t>становив</w:t>
      </w:r>
      <w:r w:rsidR="00083A3E" w:rsidRPr="008707FF">
        <w:rPr>
          <w:rFonts w:ascii="Times New Roman" w:hAnsi="Times New Roman" w:cs="Times New Roman"/>
          <w:sz w:val="28"/>
          <w:szCs w:val="28"/>
          <w:lang w:val="uk-UA"/>
        </w:rPr>
        <w:t xml:space="preserve"> </w:t>
      </w:r>
      <w:r w:rsidR="00E03D77">
        <w:rPr>
          <w:rFonts w:ascii="Times New Roman" w:hAnsi="Times New Roman" w:cs="Times New Roman"/>
          <w:sz w:val="28"/>
          <w:szCs w:val="28"/>
          <w:lang w:val="uk-UA"/>
        </w:rPr>
        <w:t xml:space="preserve">відповідно </w:t>
      </w:r>
      <w:r w:rsidR="00C73050" w:rsidRPr="00C73050">
        <w:rPr>
          <w:rFonts w:ascii="Times New Roman" w:hAnsi="Times New Roman" w:cs="Times New Roman"/>
          <w:sz w:val="28"/>
          <w:szCs w:val="28"/>
          <w:lang w:val="uk-UA"/>
        </w:rPr>
        <w:t>(8,48</w:t>
      </w:r>
      <w:r w:rsidR="00485ABD">
        <w:rPr>
          <w:rFonts w:ascii="Times New Roman" w:hAnsi="Times New Roman" w:cs="Times New Roman"/>
          <w:sz w:val="28"/>
          <w:szCs w:val="28"/>
          <w:lang w:val="uk-UA"/>
        </w:rPr>
        <w:t xml:space="preserve"> </w:t>
      </w:r>
      <w:r w:rsidR="00F62392" w:rsidRPr="00C73050">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F62392" w:rsidRPr="00C73050">
        <w:rPr>
          <w:rFonts w:ascii="Times New Roman" w:hAnsi="Times New Roman" w:cs="Times New Roman"/>
          <w:sz w:val="28"/>
          <w:szCs w:val="28"/>
          <w:lang w:val="uk-UA"/>
        </w:rPr>
        <w:t>0,14)</w:t>
      </w:r>
      <w:r w:rsidR="00C73050" w:rsidRPr="00C73050">
        <w:rPr>
          <w:rFonts w:ascii="Times New Roman" w:hAnsi="Times New Roman" w:cs="Times New Roman"/>
          <w:sz w:val="28"/>
          <w:szCs w:val="28"/>
          <w:lang w:val="uk-UA"/>
        </w:rPr>
        <w:t>, (3,85</w:t>
      </w:r>
      <w:r w:rsidR="00485ABD">
        <w:rPr>
          <w:rFonts w:ascii="Times New Roman" w:hAnsi="Times New Roman" w:cs="Times New Roman"/>
          <w:sz w:val="28"/>
          <w:szCs w:val="28"/>
          <w:lang w:val="uk-UA"/>
        </w:rPr>
        <w:t xml:space="preserve"> </w:t>
      </w:r>
      <w:r w:rsidR="00C73050" w:rsidRPr="00C73050">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C73050" w:rsidRPr="00C73050">
        <w:rPr>
          <w:rFonts w:ascii="Times New Roman" w:hAnsi="Times New Roman" w:cs="Times New Roman"/>
          <w:sz w:val="28"/>
          <w:szCs w:val="28"/>
          <w:lang w:val="uk-UA"/>
        </w:rPr>
        <w:t>0,17</w:t>
      </w:r>
      <w:r w:rsidR="00806FE0" w:rsidRPr="00C73050">
        <w:rPr>
          <w:rFonts w:ascii="Times New Roman" w:hAnsi="Times New Roman" w:cs="Times New Roman"/>
          <w:sz w:val="28"/>
          <w:szCs w:val="28"/>
          <w:lang w:val="uk-UA"/>
        </w:rPr>
        <w:t>)</w:t>
      </w:r>
      <w:r w:rsidR="00CB2C9F" w:rsidRPr="00C73050">
        <w:rPr>
          <w:rFonts w:ascii="Times New Roman" w:hAnsi="Times New Roman" w:cs="Times New Roman"/>
          <w:sz w:val="28"/>
          <w:szCs w:val="28"/>
          <w:lang w:val="uk-UA"/>
        </w:rPr>
        <w:t xml:space="preserve"> </w:t>
      </w:r>
      <w:r w:rsidR="00806FE0" w:rsidRPr="00C73050">
        <w:rPr>
          <w:rFonts w:ascii="Times New Roman" w:hAnsi="Times New Roman" w:cs="Times New Roman"/>
          <w:sz w:val="28"/>
          <w:szCs w:val="28"/>
          <w:lang w:val="uk-UA"/>
        </w:rPr>
        <w:t xml:space="preserve">%, </w:t>
      </w:r>
      <w:r w:rsidR="000D1611" w:rsidRPr="00C73050">
        <w:rPr>
          <w:rFonts w:ascii="Times New Roman" w:hAnsi="Times New Roman" w:cs="Times New Roman"/>
          <w:sz w:val="28"/>
          <w:szCs w:val="28"/>
          <w:lang w:val="uk-UA"/>
        </w:rPr>
        <w:t>p</w:t>
      </w:r>
      <w:r w:rsidR="00857352">
        <w:rPr>
          <w:rFonts w:ascii="Times New Roman" w:hAnsi="Times New Roman" w:cs="Times New Roman"/>
          <w:sz w:val="28"/>
          <w:szCs w:val="28"/>
          <w:vertAlign w:val="subscript"/>
          <w:lang w:val="uk-UA"/>
        </w:rPr>
        <w:t>1-2</w:t>
      </w:r>
      <w:r w:rsidR="000D1611" w:rsidRPr="00C73050">
        <w:rPr>
          <w:rFonts w:ascii="Times New Roman" w:hAnsi="Times New Roman" w:cs="Times New Roman"/>
          <w:sz w:val="28"/>
          <w:szCs w:val="28"/>
          <w:lang w:val="uk-UA"/>
        </w:rPr>
        <w:t xml:space="preserve"> </w:t>
      </w:r>
      <w:r w:rsidR="00C73050" w:rsidRPr="00C73050">
        <w:rPr>
          <w:rFonts w:ascii="Times New Roman" w:hAnsi="Times New Roman" w:cs="Times New Roman"/>
          <w:sz w:val="28"/>
          <w:szCs w:val="28"/>
          <w:lang w:val="uk-UA"/>
        </w:rPr>
        <w:t>&lt;</w:t>
      </w:r>
      <w:r w:rsidR="00806FE0" w:rsidRPr="00C73050">
        <w:rPr>
          <w:rFonts w:ascii="Times New Roman" w:hAnsi="Times New Roman" w:cs="Times New Roman"/>
          <w:sz w:val="28"/>
          <w:szCs w:val="28"/>
          <w:lang w:val="uk-UA"/>
        </w:rPr>
        <w:t xml:space="preserve"> </w:t>
      </w:r>
      <w:r w:rsidR="000D1611" w:rsidRPr="00C73050">
        <w:rPr>
          <w:rFonts w:ascii="Times New Roman" w:hAnsi="Times New Roman" w:cs="Times New Roman"/>
          <w:sz w:val="28"/>
          <w:szCs w:val="28"/>
          <w:lang w:val="uk-UA"/>
        </w:rPr>
        <w:t>0,0</w:t>
      </w:r>
      <w:r w:rsidR="00C73050" w:rsidRPr="00C73050">
        <w:rPr>
          <w:rFonts w:ascii="Times New Roman" w:hAnsi="Times New Roman" w:cs="Times New Roman"/>
          <w:sz w:val="28"/>
          <w:szCs w:val="28"/>
          <w:lang w:val="uk-UA"/>
        </w:rPr>
        <w:t>001</w:t>
      </w:r>
      <w:r w:rsidR="009F05D9" w:rsidRPr="00C73050">
        <w:rPr>
          <w:rFonts w:ascii="Times New Roman" w:hAnsi="Times New Roman" w:cs="Times New Roman"/>
          <w:sz w:val="28"/>
          <w:szCs w:val="28"/>
          <w:lang w:val="uk-UA"/>
        </w:rPr>
        <w:t>;</w:t>
      </w:r>
      <w:r w:rsidR="00C73050" w:rsidRPr="00C73050">
        <w:rPr>
          <w:rFonts w:ascii="Times New Roman" w:hAnsi="Times New Roman" w:cs="Times New Roman"/>
          <w:sz w:val="28"/>
          <w:szCs w:val="28"/>
          <w:lang w:val="uk-UA"/>
        </w:rPr>
        <w:t xml:space="preserve"> (3,83</w:t>
      </w:r>
      <w:r w:rsidR="00485ABD">
        <w:rPr>
          <w:rFonts w:ascii="Times New Roman" w:hAnsi="Times New Roman" w:cs="Times New Roman"/>
          <w:sz w:val="28"/>
          <w:szCs w:val="28"/>
          <w:lang w:val="uk-UA"/>
        </w:rPr>
        <w:t xml:space="preserve"> </w:t>
      </w:r>
      <w:r w:rsidR="00C73050" w:rsidRPr="00C73050">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C73050" w:rsidRPr="00C73050">
        <w:rPr>
          <w:rFonts w:ascii="Times New Roman" w:hAnsi="Times New Roman" w:cs="Times New Roman"/>
          <w:sz w:val="28"/>
          <w:szCs w:val="28"/>
          <w:lang w:val="uk-UA"/>
        </w:rPr>
        <w:t>0,2</w:t>
      </w:r>
      <w:r w:rsidR="000D1611" w:rsidRPr="00C73050">
        <w:rPr>
          <w:rFonts w:ascii="Times New Roman" w:hAnsi="Times New Roman" w:cs="Times New Roman"/>
          <w:sz w:val="28"/>
          <w:szCs w:val="28"/>
          <w:lang w:val="uk-UA"/>
        </w:rPr>
        <w:t>)</w:t>
      </w:r>
      <w:r w:rsidR="00CB2C9F" w:rsidRPr="00C73050">
        <w:rPr>
          <w:rFonts w:ascii="Times New Roman" w:hAnsi="Times New Roman" w:cs="Times New Roman"/>
          <w:sz w:val="28"/>
          <w:szCs w:val="28"/>
          <w:lang w:val="uk-UA"/>
        </w:rPr>
        <w:t xml:space="preserve"> </w:t>
      </w:r>
      <w:r w:rsidR="000D1611" w:rsidRPr="00C73050">
        <w:rPr>
          <w:rFonts w:ascii="Times New Roman" w:hAnsi="Times New Roman" w:cs="Times New Roman"/>
          <w:sz w:val="28"/>
          <w:szCs w:val="28"/>
          <w:lang w:val="uk-UA"/>
        </w:rPr>
        <w:t xml:space="preserve">%, </w:t>
      </w:r>
      <w:r w:rsidR="00E03D77">
        <w:rPr>
          <w:rFonts w:ascii="Times New Roman" w:hAnsi="Times New Roman" w:cs="Times New Roman"/>
          <w:sz w:val="28"/>
          <w:szCs w:val="28"/>
          <w:lang w:val="uk-UA"/>
        </w:rPr>
        <w:t xml:space="preserve">             </w:t>
      </w:r>
      <w:r w:rsidR="000D1611" w:rsidRPr="00C73050">
        <w:rPr>
          <w:rFonts w:ascii="Times New Roman" w:hAnsi="Times New Roman" w:cs="Times New Roman"/>
          <w:sz w:val="28"/>
          <w:szCs w:val="28"/>
          <w:lang w:val="uk-UA"/>
        </w:rPr>
        <w:t>p</w:t>
      </w:r>
      <w:r w:rsidR="00857352">
        <w:rPr>
          <w:rFonts w:ascii="Times New Roman" w:hAnsi="Times New Roman" w:cs="Times New Roman"/>
          <w:sz w:val="28"/>
          <w:szCs w:val="28"/>
          <w:vertAlign w:val="subscript"/>
          <w:lang w:val="uk-UA"/>
        </w:rPr>
        <w:t>1-3</w:t>
      </w:r>
      <w:r w:rsidR="000D1611" w:rsidRPr="00C73050">
        <w:rPr>
          <w:rFonts w:ascii="Times New Roman" w:hAnsi="Times New Roman" w:cs="Times New Roman"/>
          <w:sz w:val="28"/>
          <w:szCs w:val="28"/>
          <w:lang w:val="uk-UA"/>
        </w:rPr>
        <w:t xml:space="preserve"> </w:t>
      </w:r>
      <w:r w:rsidR="00C73050" w:rsidRPr="00C73050">
        <w:rPr>
          <w:rFonts w:ascii="Times New Roman" w:hAnsi="Times New Roman" w:cs="Times New Roman"/>
          <w:sz w:val="28"/>
          <w:szCs w:val="28"/>
          <w:lang w:val="uk-UA"/>
        </w:rPr>
        <w:t>&lt;</w:t>
      </w:r>
      <w:r w:rsidR="000D1611" w:rsidRPr="00C73050">
        <w:rPr>
          <w:rFonts w:ascii="Times New Roman" w:hAnsi="Times New Roman" w:cs="Times New Roman"/>
          <w:sz w:val="28"/>
          <w:szCs w:val="28"/>
          <w:lang w:val="uk-UA"/>
        </w:rPr>
        <w:t xml:space="preserve"> 0,0</w:t>
      </w:r>
      <w:r w:rsidR="00C73050" w:rsidRPr="00C73050">
        <w:rPr>
          <w:rFonts w:ascii="Times New Roman" w:hAnsi="Times New Roman" w:cs="Times New Roman"/>
          <w:sz w:val="28"/>
          <w:szCs w:val="28"/>
          <w:lang w:val="uk-UA"/>
        </w:rPr>
        <w:t>001</w:t>
      </w:r>
      <w:r w:rsidR="009A5563" w:rsidRPr="009A5563">
        <w:rPr>
          <w:rFonts w:ascii="Times New Roman" w:hAnsi="Times New Roman" w:cs="Times New Roman"/>
          <w:sz w:val="28"/>
          <w:szCs w:val="28"/>
          <w:lang w:val="uk-UA"/>
        </w:rPr>
        <w:t>;</w:t>
      </w:r>
      <w:r w:rsidR="00854A95" w:rsidRPr="00C73050">
        <w:rPr>
          <w:rFonts w:ascii="Times New Roman" w:hAnsi="Times New Roman" w:cs="Times New Roman"/>
          <w:sz w:val="28"/>
          <w:szCs w:val="28"/>
          <w:lang w:val="uk-UA"/>
        </w:rPr>
        <w:t xml:space="preserve"> </w:t>
      </w:r>
      <w:r w:rsidR="00656549">
        <w:rPr>
          <w:rFonts w:ascii="Times New Roman" w:hAnsi="Times New Roman" w:cs="Times New Roman"/>
          <w:sz w:val="28"/>
          <w:szCs w:val="28"/>
          <w:lang w:val="uk-UA"/>
        </w:rPr>
        <w:t>альбум</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нур</w:t>
      </w:r>
      <w:r w:rsidR="00656549">
        <w:rPr>
          <w:rFonts w:ascii="Times New Roman" w:hAnsi="Times New Roman" w:cs="Times New Roman"/>
          <w:sz w:val="28"/>
          <w:szCs w:val="28"/>
          <w:lang w:val="en-US"/>
        </w:rPr>
        <w:t>i</w:t>
      </w:r>
      <w:r w:rsidR="00857352">
        <w:rPr>
          <w:rFonts w:ascii="Times New Roman" w:hAnsi="Times New Roman" w:cs="Times New Roman"/>
          <w:sz w:val="28"/>
          <w:szCs w:val="28"/>
          <w:lang w:val="uk-UA"/>
        </w:rPr>
        <w:t>ї</w:t>
      </w:r>
      <w:r w:rsidR="009A5563">
        <w:rPr>
          <w:rFonts w:ascii="Times New Roman" w:hAnsi="Times New Roman" w:cs="Times New Roman"/>
          <w:sz w:val="28"/>
          <w:szCs w:val="28"/>
          <w:lang w:val="uk-UA"/>
        </w:rPr>
        <w:t xml:space="preserve"> </w:t>
      </w:r>
      <w:r w:rsidR="00857352" w:rsidRPr="00857352">
        <w:rPr>
          <w:rFonts w:ascii="Times New Roman" w:hAnsi="Times New Roman" w:cs="Times New Roman"/>
          <w:sz w:val="28"/>
          <w:szCs w:val="28"/>
          <w:lang w:val="uk-UA"/>
        </w:rPr>
        <w:t xml:space="preserve">– </w:t>
      </w:r>
      <w:r w:rsidR="00116CC2" w:rsidRPr="005E78B2">
        <w:rPr>
          <w:rFonts w:ascii="Times New Roman" w:hAnsi="Times New Roman" w:cs="Times New Roman"/>
          <w:sz w:val="28"/>
          <w:szCs w:val="28"/>
          <w:lang w:val="uk-UA"/>
        </w:rPr>
        <w:t>(</w:t>
      </w:r>
      <w:r w:rsidR="007C7EFE">
        <w:rPr>
          <w:rFonts w:ascii="Times New Roman" w:hAnsi="Times New Roman" w:cs="Times New Roman"/>
          <w:sz w:val="28"/>
          <w:szCs w:val="28"/>
          <w:lang w:val="uk-UA"/>
        </w:rPr>
        <w:t>5</w:t>
      </w:r>
      <w:r w:rsidR="007C7EFE" w:rsidRPr="007C7EFE">
        <w:rPr>
          <w:rFonts w:ascii="Times New Roman" w:hAnsi="Times New Roman" w:cs="Times New Roman"/>
          <w:sz w:val="28"/>
          <w:szCs w:val="28"/>
          <w:lang w:val="uk-UA"/>
        </w:rPr>
        <w:t>6</w:t>
      </w:r>
      <w:r w:rsidR="00116CC2" w:rsidRPr="005E78B2">
        <w:rPr>
          <w:rFonts w:ascii="Times New Roman" w:hAnsi="Times New Roman" w:cs="Times New Roman"/>
          <w:sz w:val="28"/>
          <w:szCs w:val="28"/>
          <w:lang w:val="uk-UA"/>
        </w:rPr>
        <w:t>,</w:t>
      </w:r>
      <w:r w:rsidR="007C7EFE" w:rsidRPr="007C7EFE">
        <w:rPr>
          <w:rFonts w:ascii="Times New Roman" w:hAnsi="Times New Roman" w:cs="Times New Roman"/>
          <w:sz w:val="28"/>
          <w:szCs w:val="28"/>
          <w:lang w:val="uk-UA"/>
        </w:rPr>
        <w:t>1</w:t>
      </w:r>
      <w:r w:rsidR="005E78B2" w:rsidRPr="005E78B2">
        <w:rPr>
          <w:rFonts w:ascii="Times New Roman" w:hAnsi="Times New Roman" w:cs="Times New Roman"/>
          <w:sz w:val="28"/>
          <w:szCs w:val="28"/>
          <w:lang w:val="uk-UA"/>
        </w:rPr>
        <w:t>1</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6,</w:t>
      </w:r>
      <w:r w:rsidR="00854A95" w:rsidRPr="005E78B2">
        <w:rPr>
          <w:rFonts w:ascii="Times New Roman" w:hAnsi="Times New Roman" w:cs="Times New Roman"/>
          <w:sz w:val="28"/>
          <w:szCs w:val="28"/>
          <w:lang w:val="uk-UA"/>
        </w:rPr>
        <w:t>9)</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(5,56</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2</w:t>
      </w:r>
      <w:r w:rsidR="00854A95" w:rsidRPr="005E78B2">
        <w:rPr>
          <w:rFonts w:ascii="Times New Roman" w:hAnsi="Times New Roman" w:cs="Times New Roman"/>
          <w:sz w:val="28"/>
          <w:szCs w:val="28"/>
          <w:lang w:val="uk-UA"/>
        </w:rPr>
        <w:t>,8</w:t>
      </w:r>
      <w:r w:rsidR="005E78B2" w:rsidRPr="005E78B2">
        <w:rPr>
          <w:rFonts w:ascii="Times New Roman" w:hAnsi="Times New Roman" w:cs="Times New Roman"/>
          <w:sz w:val="28"/>
          <w:szCs w:val="28"/>
          <w:lang w:val="uk-UA"/>
        </w:rPr>
        <w:t>5</w:t>
      </w:r>
      <w:r w:rsidR="00854A95" w:rsidRPr="005E78B2">
        <w:rPr>
          <w:rFonts w:ascii="Times New Roman" w:hAnsi="Times New Roman" w:cs="Times New Roman"/>
          <w:sz w:val="28"/>
          <w:szCs w:val="28"/>
          <w:lang w:val="uk-UA"/>
        </w:rPr>
        <w:t xml:space="preserve">) мг/л, </w:t>
      </w:r>
      <w:r w:rsidR="000D1611" w:rsidRPr="005E78B2">
        <w:rPr>
          <w:rFonts w:ascii="Times New Roman" w:hAnsi="Times New Roman" w:cs="Times New Roman"/>
          <w:sz w:val="28"/>
          <w:szCs w:val="28"/>
          <w:lang w:val="uk-UA"/>
        </w:rPr>
        <w:t>p</w:t>
      </w:r>
      <w:r w:rsidR="00857352">
        <w:rPr>
          <w:rFonts w:ascii="Times New Roman" w:hAnsi="Times New Roman" w:cs="Times New Roman"/>
          <w:sz w:val="28"/>
          <w:szCs w:val="28"/>
          <w:vertAlign w:val="subscript"/>
          <w:lang w:val="uk-UA"/>
        </w:rPr>
        <w:t>1-2</w:t>
      </w:r>
      <w:r w:rsidR="000D1611" w:rsidRPr="005E78B2">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w:t>
      </w:r>
      <w:r w:rsidR="000D1611" w:rsidRPr="005E78B2">
        <w:rPr>
          <w:rFonts w:ascii="Times New Roman" w:hAnsi="Times New Roman" w:cs="Times New Roman"/>
          <w:sz w:val="28"/>
          <w:szCs w:val="28"/>
          <w:lang w:val="uk-UA"/>
        </w:rPr>
        <w:t xml:space="preserve"> 0,0</w:t>
      </w:r>
      <w:r w:rsidR="00EE1A58" w:rsidRPr="005E78B2">
        <w:rPr>
          <w:rFonts w:ascii="Times New Roman" w:hAnsi="Times New Roman" w:cs="Times New Roman"/>
          <w:sz w:val="28"/>
          <w:szCs w:val="28"/>
          <w:lang w:val="uk-UA"/>
        </w:rPr>
        <w:t>0</w:t>
      </w:r>
      <w:r w:rsidR="007C7EFE">
        <w:rPr>
          <w:rFonts w:ascii="Times New Roman" w:hAnsi="Times New Roman" w:cs="Times New Roman"/>
          <w:sz w:val="28"/>
          <w:szCs w:val="28"/>
          <w:lang w:val="uk-UA"/>
        </w:rPr>
        <w:t>0</w:t>
      </w:r>
      <w:r w:rsidR="007C7EFE" w:rsidRPr="007C7EFE">
        <w:rPr>
          <w:rFonts w:ascii="Times New Roman" w:hAnsi="Times New Roman" w:cs="Times New Roman"/>
          <w:sz w:val="28"/>
          <w:szCs w:val="28"/>
          <w:lang w:val="uk-UA"/>
        </w:rPr>
        <w:t>3</w:t>
      </w:r>
      <w:r w:rsidR="005E78B2" w:rsidRPr="005E78B2">
        <w:rPr>
          <w:rFonts w:ascii="Times New Roman" w:hAnsi="Times New Roman" w:cs="Times New Roman"/>
          <w:sz w:val="28"/>
          <w:szCs w:val="28"/>
          <w:lang w:val="uk-UA"/>
        </w:rPr>
        <w:t>; (3,27</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0,76</w:t>
      </w:r>
      <w:r w:rsidR="00E03D77">
        <w:rPr>
          <w:rFonts w:ascii="Times New Roman" w:hAnsi="Times New Roman" w:cs="Times New Roman"/>
          <w:sz w:val="28"/>
          <w:szCs w:val="28"/>
          <w:lang w:val="uk-UA"/>
        </w:rPr>
        <w:t xml:space="preserve">) мг/л, </w:t>
      </w:r>
      <w:r w:rsidR="000D1611" w:rsidRPr="005E78B2">
        <w:rPr>
          <w:rFonts w:ascii="Times New Roman" w:hAnsi="Times New Roman" w:cs="Times New Roman"/>
          <w:sz w:val="28"/>
          <w:szCs w:val="28"/>
          <w:lang w:val="uk-UA"/>
        </w:rPr>
        <w:t>p</w:t>
      </w:r>
      <w:r w:rsidR="00857352">
        <w:rPr>
          <w:rFonts w:ascii="Times New Roman" w:hAnsi="Times New Roman" w:cs="Times New Roman"/>
          <w:sz w:val="28"/>
          <w:szCs w:val="28"/>
          <w:vertAlign w:val="subscript"/>
          <w:lang w:val="uk-UA"/>
        </w:rPr>
        <w:t>1-3</w:t>
      </w:r>
      <w:r w:rsidR="000D1611" w:rsidRPr="005E78B2">
        <w:rPr>
          <w:rFonts w:ascii="Times New Roman" w:hAnsi="Times New Roman" w:cs="Times New Roman"/>
          <w:sz w:val="28"/>
          <w:szCs w:val="28"/>
          <w:lang w:val="uk-UA"/>
        </w:rPr>
        <w:t xml:space="preserve"> </w:t>
      </w:r>
      <w:r w:rsidR="005E78B2" w:rsidRPr="005E78B2">
        <w:rPr>
          <w:rFonts w:ascii="Times New Roman" w:hAnsi="Times New Roman" w:cs="Times New Roman"/>
          <w:sz w:val="28"/>
          <w:szCs w:val="28"/>
          <w:lang w:val="uk-UA"/>
        </w:rPr>
        <w:t>=</w:t>
      </w:r>
      <w:r w:rsidR="000D1611" w:rsidRPr="005E78B2">
        <w:rPr>
          <w:rFonts w:ascii="Times New Roman" w:hAnsi="Times New Roman" w:cs="Times New Roman"/>
          <w:sz w:val="28"/>
          <w:szCs w:val="28"/>
          <w:lang w:val="uk-UA"/>
        </w:rPr>
        <w:t xml:space="preserve"> 0,0</w:t>
      </w:r>
      <w:r w:rsidR="00116CC2" w:rsidRPr="005E78B2">
        <w:rPr>
          <w:rFonts w:ascii="Times New Roman" w:hAnsi="Times New Roman" w:cs="Times New Roman"/>
          <w:sz w:val="28"/>
          <w:szCs w:val="28"/>
          <w:lang w:val="uk-UA"/>
        </w:rPr>
        <w:t>0</w:t>
      </w:r>
      <w:r w:rsidR="007C7EFE" w:rsidRPr="007C7EFE">
        <w:rPr>
          <w:rFonts w:ascii="Times New Roman" w:hAnsi="Times New Roman" w:cs="Times New Roman"/>
          <w:sz w:val="28"/>
          <w:szCs w:val="28"/>
          <w:lang w:val="uk-UA"/>
        </w:rPr>
        <w:t>32</w:t>
      </w:r>
      <w:r w:rsidR="00656549">
        <w:rPr>
          <w:rFonts w:ascii="Times New Roman" w:hAnsi="Times New Roman" w:cs="Times New Roman"/>
          <w:sz w:val="28"/>
          <w:szCs w:val="28"/>
          <w:lang w:val="uk-UA"/>
        </w:rPr>
        <w:t>; сп</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вв</w:t>
      </w:r>
      <w:r w:rsidR="00656549">
        <w:rPr>
          <w:rFonts w:ascii="Times New Roman" w:hAnsi="Times New Roman" w:cs="Times New Roman"/>
          <w:sz w:val="28"/>
          <w:szCs w:val="28"/>
          <w:lang w:val="en-US"/>
        </w:rPr>
        <w:t>i</w:t>
      </w:r>
      <w:r w:rsidR="00854A95" w:rsidRPr="005E78B2">
        <w:rPr>
          <w:rFonts w:ascii="Times New Roman" w:hAnsi="Times New Roman" w:cs="Times New Roman"/>
          <w:sz w:val="28"/>
          <w:szCs w:val="28"/>
          <w:lang w:val="uk-UA"/>
        </w:rPr>
        <w:t>дношен</w:t>
      </w:r>
      <w:r w:rsidR="00656549">
        <w:rPr>
          <w:rFonts w:ascii="Times New Roman" w:hAnsi="Times New Roman" w:cs="Times New Roman"/>
          <w:sz w:val="28"/>
          <w:szCs w:val="28"/>
          <w:lang w:val="uk-UA"/>
        </w:rPr>
        <w:t>ня альбум</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ну до креатин</w:t>
      </w:r>
      <w:r w:rsidR="00656549">
        <w:rPr>
          <w:rFonts w:ascii="Times New Roman" w:hAnsi="Times New Roman" w:cs="Times New Roman"/>
          <w:sz w:val="28"/>
          <w:szCs w:val="28"/>
          <w:lang w:val="en-US"/>
        </w:rPr>
        <w:t>i</w:t>
      </w:r>
      <w:r w:rsidR="00116CC2" w:rsidRPr="00E21E56">
        <w:rPr>
          <w:rFonts w:ascii="Times New Roman" w:hAnsi="Times New Roman" w:cs="Times New Roman"/>
          <w:sz w:val="28"/>
          <w:szCs w:val="28"/>
          <w:lang w:val="uk-UA"/>
        </w:rPr>
        <w:t>ну – (</w:t>
      </w:r>
      <w:r w:rsidR="00D0026B" w:rsidRPr="00D0026B">
        <w:rPr>
          <w:rFonts w:ascii="Times New Roman" w:hAnsi="Times New Roman" w:cs="Times New Roman"/>
          <w:sz w:val="28"/>
          <w:szCs w:val="28"/>
          <w:lang w:val="uk-UA"/>
        </w:rPr>
        <w:t>5</w:t>
      </w:r>
      <w:r w:rsidR="00E21E56" w:rsidRPr="00E21E56">
        <w:rPr>
          <w:rFonts w:ascii="Times New Roman" w:hAnsi="Times New Roman" w:cs="Times New Roman"/>
          <w:sz w:val="28"/>
          <w:szCs w:val="28"/>
          <w:lang w:val="uk-UA"/>
        </w:rPr>
        <w:t>7,93</w:t>
      </w:r>
      <w:r w:rsidR="00E03D77">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6,1</w:t>
      </w:r>
      <w:r w:rsidR="00854A95" w:rsidRPr="00E21E56">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(6,79</w:t>
      </w:r>
      <w:r w:rsidR="00AA4134">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854A95" w:rsidRPr="00E21E56">
        <w:rPr>
          <w:rFonts w:ascii="Times New Roman" w:hAnsi="Times New Roman" w:cs="Times New Roman"/>
          <w:sz w:val="28"/>
          <w:szCs w:val="28"/>
          <w:lang w:val="uk-UA"/>
        </w:rPr>
        <w:t>0,8</w:t>
      </w:r>
      <w:r w:rsidR="00E21E56" w:rsidRPr="00E21E56">
        <w:rPr>
          <w:rFonts w:ascii="Times New Roman" w:hAnsi="Times New Roman" w:cs="Times New Roman"/>
          <w:sz w:val="28"/>
          <w:szCs w:val="28"/>
          <w:lang w:val="uk-UA"/>
        </w:rPr>
        <w:t>4</w:t>
      </w:r>
      <w:r w:rsidR="00854A95" w:rsidRPr="00E21E56">
        <w:rPr>
          <w:rFonts w:ascii="Times New Roman" w:hAnsi="Times New Roman" w:cs="Times New Roman"/>
          <w:sz w:val="28"/>
          <w:szCs w:val="28"/>
          <w:lang w:val="uk-UA"/>
        </w:rPr>
        <w:t>)</w:t>
      </w:r>
      <w:r w:rsidR="00116CC2" w:rsidRPr="00E21E56">
        <w:rPr>
          <w:rFonts w:ascii="Times New Roman" w:hAnsi="Times New Roman" w:cs="Times New Roman"/>
          <w:sz w:val="28"/>
          <w:szCs w:val="28"/>
          <w:lang w:val="uk-UA"/>
        </w:rPr>
        <w:t xml:space="preserve"> мг/г</w:t>
      </w:r>
      <w:r w:rsidR="00854A95" w:rsidRPr="00E21E56">
        <w:rPr>
          <w:rFonts w:ascii="Times New Roman" w:hAnsi="Times New Roman" w:cs="Times New Roman"/>
          <w:sz w:val="28"/>
          <w:szCs w:val="28"/>
          <w:lang w:val="uk-UA"/>
        </w:rPr>
        <w:t xml:space="preserve">, </w:t>
      </w:r>
      <w:r w:rsidR="00D0026B">
        <w:rPr>
          <w:rFonts w:ascii="Times New Roman" w:hAnsi="Times New Roman" w:cs="Times New Roman"/>
          <w:sz w:val="28"/>
          <w:szCs w:val="28"/>
          <w:lang w:val="uk-UA"/>
        </w:rPr>
        <w:t>p</w:t>
      </w:r>
      <w:r w:rsidR="00857352">
        <w:rPr>
          <w:rFonts w:ascii="Times New Roman" w:hAnsi="Times New Roman" w:cs="Times New Roman"/>
          <w:sz w:val="28"/>
          <w:szCs w:val="28"/>
          <w:vertAlign w:val="subscript"/>
          <w:lang w:val="uk-UA"/>
        </w:rPr>
        <w:t>1-2</w:t>
      </w:r>
      <w:r w:rsidR="00D0026B">
        <w:rPr>
          <w:rFonts w:ascii="Times New Roman" w:hAnsi="Times New Roman" w:cs="Times New Roman"/>
          <w:sz w:val="28"/>
          <w:szCs w:val="28"/>
          <w:lang w:val="uk-UA"/>
        </w:rPr>
        <w:t xml:space="preserve"> </w:t>
      </w:r>
      <w:r w:rsidR="00D0026B" w:rsidRPr="00D0026B">
        <w:rPr>
          <w:rFonts w:ascii="Times New Roman" w:hAnsi="Times New Roman" w:cs="Times New Roman"/>
          <w:sz w:val="28"/>
          <w:szCs w:val="28"/>
          <w:lang w:val="uk-UA"/>
        </w:rPr>
        <w:t>&lt;</w:t>
      </w:r>
      <w:r w:rsidR="000D1611" w:rsidRPr="00E21E56">
        <w:rPr>
          <w:rFonts w:ascii="Times New Roman" w:hAnsi="Times New Roman" w:cs="Times New Roman"/>
          <w:sz w:val="28"/>
          <w:szCs w:val="28"/>
          <w:lang w:val="uk-UA"/>
        </w:rPr>
        <w:t xml:space="preserve"> 0,0</w:t>
      </w:r>
      <w:r w:rsidR="00D0026B" w:rsidRPr="00D0026B">
        <w:rPr>
          <w:rFonts w:ascii="Times New Roman" w:hAnsi="Times New Roman" w:cs="Times New Roman"/>
          <w:sz w:val="28"/>
          <w:szCs w:val="28"/>
          <w:lang w:val="uk-UA"/>
        </w:rPr>
        <w:t>0</w:t>
      </w:r>
      <w:r w:rsidR="00D0026B">
        <w:rPr>
          <w:rFonts w:ascii="Times New Roman" w:hAnsi="Times New Roman" w:cs="Times New Roman"/>
          <w:sz w:val="28"/>
          <w:szCs w:val="28"/>
          <w:lang w:val="uk-UA"/>
        </w:rPr>
        <w:t>0</w:t>
      </w:r>
      <w:r w:rsidR="00D0026B" w:rsidRPr="00D0026B">
        <w:rPr>
          <w:rFonts w:ascii="Times New Roman" w:hAnsi="Times New Roman" w:cs="Times New Roman"/>
          <w:sz w:val="28"/>
          <w:szCs w:val="28"/>
          <w:lang w:val="uk-UA"/>
        </w:rPr>
        <w:t>1</w:t>
      </w:r>
      <w:r w:rsidR="009F05D9" w:rsidRPr="00E21E56">
        <w:rPr>
          <w:rFonts w:ascii="Times New Roman" w:hAnsi="Times New Roman" w:cs="Times New Roman"/>
          <w:sz w:val="28"/>
          <w:szCs w:val="28"/>
          <w:lang w:val="uk-UA"/>
        </w:rPr>
        <w:t>;</w:t>
      </w:r>
      <w:r w:rsidR="00854A95" w:rsidRPr="00E21E56">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(3,73</w:t>
      </w:r>
      <w:r w:rsidR="00485ABD">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E21E56" w:rsidRPr="00E21E56">
        <w:rPr>
          <w:rFonts w:ascii="Times New Roman" w:hAnsi="Times New Roman" w:cs="Times New Roman"/>
          <w:sz w:val="28"/>
          <w:szCs w:val="28"/>
          <w:lang w:val="uk-UA"/>
        </w:rPr>
        <w:t>0,94</w:t>
      </w:r>
      <w:r w:rsidR="00854A95" w:rsidRPr="00E21E56">
        <w:rPr>
          <w:rFonts w:ascii="Times New Roman" w:hAnsi="Times New Roman" w:cs="Times New Roman"/>
          <w:sz w:val="28"/>
          <w:szCs w:val="28"/>
          <w:lang w:val="uk-UA"/>
        </w:rPr>
        <w:t>)</w:t>
      </w:r>
      <w:r w:rsidR="00A1309C" w:rsidRPr="00E21E56">
        <w:rPr>
          <w:rFonts w:ascii="Times New Roman" w:hAnsi="Times New Roman" w:cs="Times New Roman"/>
          <w:sz w:val="28"/>
          <w:szCs w:val="28"/>
          <w:lang w:val="uk-UA"/>
        </w:rPr>
        <w:t xml:space="preserve">, </w:t>
      </w:r>
      <w:r w:rsidR="000D1611" w:rsidRPr="00E21E56">
        <w:rPr>
          <w:rFonts w:ascii="Times New Roman" w:hAnsi="Times New Roman" w:cs="Times New Roman"/>
          <w:sz w:val="28"/>
          <w:szCs w:val="28"/>
          <w:lang w:val="uk-UA"/>
        </w:rPr>
        <w:t>p</w:t>
      </w:r>
      <w:r w:rsidR="00857352">
        <w:rPr>
          <w:rFonts w:ascii="Times New Roman" w:hAnsi="Times New Roman" w:cs="Times New Roman"/>
          <w:sz w:val="28"/>
          <w:szCs w:val="28"/>
          <w:vertAlign w:val="subscript"/>
          <w:lang w:val="uk-UA"/>
        </w:rPr>
        <w:t>1-3</w:t>
      </w:r>
      <w:r w:rsidR="000D1611" w:rsidRPr="00E21E56">
        <w:rPr>
          <w:rFonts w:ascii="Times New Roman" w:hAnsi="Times New Roman" w:cs="Times New Roman"/>
          <w:sz w:val="28"/>
          <w:szCs w:val="28"/>
          <w:lang w:val="uk-UA"/>
        </w:rPr>
        <w:t xml:space="preserve"> = 0,0</w:t>
      </w:r>
      <w:r w:rsidR="004F4AEC" w:rsidRPr="004F4AEC">
        <w:rPr>
          <w:rFonts w:ascii="Times New Roman" w:hAnsi="Times New Roman" w:cs="Times New Roman"/>
          <w:sz w:val="28"/>
          <w:szCs w:val="28"/>
          <w:lang w:val="uk-UA"/>
        </w:rPr>
        <w:t>007</w:t>
      </w:r>
      <w:r w:rsidR="00A1309C" w:rsidRPr="00E21E56">
        <w:rPr>
          <w:rFonts w:ascii="Times New Roman" w:hAnsi="Times New Roman" w:cs="Times New Roman"/>
          <w:sz w:val="28"/>
          <w:szCs w:val="28"/>
          <w:lang w:val="uk-UA"/>
        </w:rPr>
        <w:t xml:space="preserve">; ШКФ – </w:t>
      </w:r>
      <w:r w:rsidR="00BB0880" w:rsidRPr="00BB0880">
        <w:rPr>
          <w:rFonts w:ascii="Times New Roman" w:hAnsi="Times New Roman" w:cs="Times New Roman"/>
          <w:sz w:val="28"/>
          <w:szCs w:val="28"/>
          <w:lang w:val="uk-UA"/>
        </w:rPr>
        <w:t>(73,1</w:t>
      </w:r>
      <w:r w:rsidR="00485ABD">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2</w:t>
      </w:r>
      <w:r w:rsidR="00A1309C" w:rsidRPr="00BB0880">
        <w:rPr>
          <w:rFonts w:ascii="Times New Roman" w:hAnsi="Times New Roman" w:cs="Times New Roman"/>
          <w:sz w:val="28"/>
          <w:szCs w:val="28"/>
          <w:lang w:val="uk-UA"/>
        </w:rPr>
        <w:t>,</w:t>
      </w:r>
      <w:r w:rsidR="00BB0880" w:rsidRPr="00BB0880">
        <w:rPr>
          <w:rFonts w:ascii="Times New Roman" w:hAnsi="Times New Roman" w:cs="Times New Roman"/>
          <w:sz w:val="28"/>
          <w:szCs w:val="28"/>
          <w:lang w:val="uk-UA"/>
        </w:rPr>
        <w:t>01</w:t>
      </w:r>
      <w:r w:rsidR="00485ABD">
        <w:rPr>
          <w:rFonts w:ascii="Times New Roman" w:hAnsi="Times New Roman" w:cs="Times New Roman"/>
          <w:sz w:val="28"/>
          <w:szCs w:val="28"/>
          <w:lang w:val="uk-UA"/>
        </w:rPr>
        <w:t>) мл/хв</w:t>
      </w:r>
      <w:r w:rsidR="00DF6553">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(90,8</w:t>
      </w:r>
      <w:r w:rsidR="00485ABD">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w:t>
      </w:r>
      <w:r w:rsidR="00485ABD">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13,4</w:t>
      </w:r>
      <w:r w:rsidR="00485ABD">
        <w:rPr>
          <w:rFonts w:ascii="Times New Roman" w:hAnsi="Times New Roman" w:cs="Times New Roman"/>
          <w:sz w:val="28"/>
          <w:szCs w:val="28"/>
          <w:lang w:val="uk-UA"/>
        </w:rPr>
        <w:t>4) мл/хв</w:t>
      </w:r>
      <w:r w:rsidR="00E22049" w:rsidRPr="00BB0880">
        <w:rPr>
          <w:rFonts w:ascii="Times New Roman" w:hAnsi="Times New Roman" w:cs="Times New Roman"/>
          <w:sz w:val="28"/>
          <w:szCs w:val="28"/>
          <w:lang w:val="uk-UA"/>
        </w:rPr>
        <w:t>,</w:t>
      </w:r>
      <w:r w:rsidR="00A1309C" w:rsidRPr="00BB0880">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p</w:t>
      </w:r>
      <w:r w:rsidR="00DF6553">
        <w:rPr>
          <w:rFonts w:ascii="Times New Roman" w:hAnsi="Times New Roman" w:cs="Times New Roman"/>
          <w:sz w:val="28"/>
          <w:szCs w:val="28"/>
          <w:vertAlign w:val="subscript"/>
          <w:lang w:val="uk-UA"/>
        </w:rPr>
        <w:t>1-2</w:t>
      </w:r>
      <w:r w:rsidR="00BB0880" w:rsidRPr="00BB0880">
        <w:rPr>
          <w:rFonts w:ascii="Times New Roman" w:hAnsi="Times New Roman" w:cs="Times New Roman"/>
          <w:sz w:val="28"/>
          <w:szCs w:val="28"/>
          <w:lang w:val="uk-UA"/>
        </w:rPr>
        <w:t xml:space="preserve"> &lt; 0,0001; (92,27</w:t>
      </w:r>
      <w:r w:rsidR="00AA4134">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w:t>
      </w:r>
      <w:r w:rsidR="00AA4134">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0,94</w:t>
      </w:r>
      <w:r w:rsidR="00AA4134">
        <w:rPr>
          <w:rFonts w:ascii="Times New Roman" w:hAnsi="Times New Roman" w:cs="Times New Roman"/>
          <w:sz w:val="28"/>
          <w:szCs w:val="28"/>
          <w:lang w:val="uk-UA"/>
        </w:rPr>
        <w:t>) мл/хв</w:t>
      </w:r>
      <w:r w:rsidR="00A1309C" w:rsidRPr="00BB0880">
        <w:rPr>
          <w:rFonts w:ascii="Times New Roman" w:hAnsi="Times New Roman" w:cs="Times New Roman"/>
          <w:sz w:val="28"/>
          <w:szCs w:val="28"/>
          <w:lang w:val="uk-UA"/>
        </w:rPr>
        <w:t xml:space="preserve">, </w:t>
      </w:r>
      <w:r w:rsidR="00CA2F8A">
        <w:rPr>
          <w:rFonts w:ascii="Times New Roman" w:hAnsi="Times New Roman" w:cs="Times New Roman"/>
          <w:sz w:val="28"/>
          <w:szCs w:val="28"/>
          <w:lang w:val="uk-UA"/>
        </w:rPr>
        <w:t xml:space="preserve">             </w:t>
      </w:r>
      <w:r w:rsidR="00BB0880" w:rsidRPr="00BB0880">
        <w:rPr>
          <w:rFonts w:ascii="Times New Roman" w:hAnsi="Times New Roman" w:cs="Times New Roman"/>
          <w:sz w:val="28"/>
          <w:szCs w:val="28"/>
          <w:lang w:val="uk-UA"/>
        </w:rPr>
        <w:t>p</w:t>
      </w:r>
      <w:r w:rsidR="00DF6553">
        <w:rPr>
          <w:rFonts w:ascii="Times New Roman" w:hAnsi="Times New Roman" w:cs="Times New Roman"/>
          <w:sz w:val="28"/>
          <w:szCs w:val="28"/>
          <w:vertAlign w:val="subscript"/>
          <w:lang w:val="uk-UA"/>
        </w:rPr>
        <w:t>1-3</w:t>
      </w:r>
      <w:r w:rsidR="00BB0880" w:rsidRPr="00BB0880">
        <w:rPr>
          <w:rFonts w:ascii="Times New Roman" w:hAnsi="Times New Roman" w:cs="Times New Roman"/>
          <w:sz w:val="28"/>
          <w:szCs w:val="28"/>
          <w:lang w:val="uk-UA"/>
        </w:rPr>
        <w:t xml:space="preserve"> = 0,0003</w:t>
      </w:r>
      <w:r w:rsidR="0095126D" w:rsidRPr="00BB0880">
        <w:rPr>
          <w:rFonts w:ascii="Times New Roman" w:hAnsi="Times New Roman" w:cs="Times New Roman"/>
          <w:sz w:val="28"/>
          <w:szCs w:val="28"/>
          <w:lang w:val="uk-UA"/>
        </w:rPr>
        <w:t xml:space="preserve"> (табл</w:t>
      </w:r>
      <w:r w:rsidR="0054115A">
        <w:rPr>
          <w:rFonts w:ascii="Times New Roman" w:hAnsi="Times New Roman" w:cs="Times New Roman"/>
          <w:sz w:val="28"/>
          <w:szCs w:val="28"/>
          <w:lang w:val="uk-UA"/>
        </w:rPr>
        <w:t>.</w:t>
      </w:r>
      <w:r w:rsidR="0095126D" w:rsidRPr="00BB0880">
        <w:rPr>
          <w:rFonts w:ascii="Times New Roman" w:hAnsi="Times New Roman" w:cs="Times New Roman"/>
          <w:sz w:val="28"/>
          <w:szCs w:val="28"/>
          <w:lang w:val="uk-UA"/>
        </w:rPr>
        <w:t xml:space="preserve"> </w:t>
      </w:r>
      <w:r w:rsidR="00B94E0E" w:rsidRPr="00BB0880">
        <w:rPr>
          <w:rFonts w:ascii="Times New Roman" w:hAnsi="Times New Roman" w:cs="Times New Roman"/>
          <w:sz w:val="28"/>
          <w:szCs w:val="28"/>
          <w:lang w:val="uk-UA"/>
        </w:rPr>
        <w:t>4</w:t>
      </w:r>
      <w:r w:rsidR="00857352">
        <w:rPr>
          <w:rFonts w:ascii="Times New Roman" w:hAnsi="Times New Roman" w:cs="Times New Roman"/>
          <w:sz w:val="28"/>
          <w:szCs w:val="28"/>
          <w:lang w:val="uk-UA"/>
        </w:rPr>
        <w:t>.1</w:t>
      </w:r>
      <w:r w:rsidR="008B77A1" w:rsidRPr="00E03D77">
        <w:rPr>
          <w:rFonts w:ascii="Times New Roman" w:hAnsi="Times New Roman" w:cs="Times New Roman"/>
          <w:sz w:val="28"/>
          <w:szCs w:val="28"/>
          <w:lang w:val="uk-UA"/>
        </w:rPr>
        <w:t>.1</w:t>
      </w:r>
      <w:r w:rsidR="00A1309C" w:rsidRPr="00BB0880">
        <w:rPr>
          <w:rFonts w:ascii="Times New Roman" w:hAnsi="Times New Roman" w:cs="Times New Roman"/>
          <w:sz w:val="28"/>
          <w:szCs w:val="28"/>
          <w:lang w:val="uk-UA"/>
        </w:rPr>
        <w:t>).</w:t>
      </w:r>
    </w:p>
    <w:p w:rsidR="00857352" w:rsidRPr="00DF6553" w:rsidRDefault="00485ABD" w:rsidP="00857352">
      <w:pPr>
        <w:autoSpaceDE w:val="0"/>
        <w:autoSpaceDN w:val="0"/>
        <w:adjustRightInd w:val="0"/>
        <w:spacing w:after="0" w:line="360" w:lineRule="auto"/>
        <w:jc w:val="right"/>
        <w:rPr>
          <w:rFonts w:ascii="Times New Roman" w:hAnsi="Times New Roman" w:cs="Times New Roman"/>
          <w:i/>
          <w:sz w:val="28"/>
          <w:szCs w:val="28"/>
          <w:lang w:val="uk-UA"/>
        </w:rPr>
      </w:pPr>
      <w:r w:rsidRPr="00DF6553">
        <w:rPr>
          <w:rFonts w:ascii="Times New Roman" w:hAnsi="Times New Roman" w:cs="Times New Roman"/>
          <w:i/>
          <w:sz w:val="28"/>
          <w:szCs w:val="28"/>
          <w:lang w:val="uk-UA"/>
        </w:rPr>
        <w:t>Таблиця</w:t>
      </w:r>
      <w:r w:rsidR="005A6D49" w:rsidRPr="00DF6553">
        <w:rPr>
          <w:rFonts w:ascii="Times New Roman" w:hAnsi="Times New Roman" w:cs="Times New Roman"/>
          <w:i/>
          <w:sz w:val="28"/>
          <w:szCs w:val="28"/>
          <w:lang w:val="uk-UA"/>
        </w:rPr>
        <w:t xml:space="preserve"> </w:t>
      </w:r>
      <w:r w:rsidR="00B94E0E" w:rsidRPr="00DF6553">
        <w:rPr>
          <w:rFonts w:ascii="Times New Roman" w:hAnsi="Times New Roman" w:cs="Times New Roman"/>
          <w:i/>
          <w:sz w:val="28"/>
          <w:szCs w:val="28"/>
          <w:lang w:val="uk-UA"/>
        </w:rPr>
        <w:t>4</w:t>
      </w:r>
      <w:r w:rsidR="00857352" w:rsidRPr="00DF6553">
        <w:rPr>
          <w:rFonts w:ascii="Times New Roman" w:hAnsi="Times New Roman" w:cs="Times New Roman"/>
          <w:i/>
          <w:sz w:val="28"/>
          <w:szCs w:val="28"/>
          <w:lang w:val="uk-UA"/>
        </w:rPr>
        <w:t>.1</w:t>
      </w:r>
      <w:r w:rsidR="008B77A1" w:rsidRPr="008B77A1">
        <w:rPr>
          <w:rFonts w:ascii="Times New Roman" w:hAnsi="Times New Roman" w:cs="Times New Roman"/>
          <w:i/>
          <w:sz w:val="28"/>
          <w:szCs w:val="28"/>
        </w:rPr>
        <w:t>.</w:t>
      </w:r>
      <w:r w:rsidR="008B77A1">
        <w:rPr>
          <w:rFonts w:ascii="Times New Roman" w:hAnsi="Times New Roman" w:cs="Times New Roman"/>
          <w:i/>
          <w:sz w:val="28"/>
          <w:szCs w:val="28"/>
          <w:lang w:val="en-US"/>
        </w:rPr>
        <w:t>1</w:t>
      </w:r>
      <w:r w:rsidRPr="00DF6553">
        <w:rPr>
          <w:rFonts w:ascii="Times New Roman" w:hAnsi="Times New Roman" w:cs="Times New Roman"/>
          <w:i/>
          <w:sz w:val="28"/>
          <w:szCs w:val="28"/>
          <w:lang w:val="uk-UA"/>
        </w:rPr>
        <w:t xml:space="preserve"> </w:t>
      </w:r>
      <w:r w:rsidR="0021110C" w:rsidRPr="00DF6553">
        <w:rPr>
          <w:rFonts w:ascii="Times New Roman" w:hAnsi="Times New Roman" w:cs="Times New Roman"/>
          <w:i/>
          <w:sz w:val="28"/>
          <w:szCs w:val="28"/>
          <w:lang w:val="uk-UA"/>
        </w:rPr>
        <w:t xml:space="preserve"> </w:t>
      </w:r>
    </w:p>
    <w:p w:rsidR="00A1309C" w:rsidRPr="00857352" w:rsidRDefault="00A1643D" w:rsidP="00857352">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rPr>
        <w:t>П</w:t>
      </w:r>
      <w:r w:rsidR="00656549" w:rsidRPr="00857352">
        <w:rPr>
          <w:rFonts w:ascii="Times New Roman" w:hAnsi="Times New Roman" w:cs="Times New Roman"/>
          <w:b/>
          <w:sz w:val="28"/>
          <w:szCs w:val="28"/>
          <w:lang w:val="uk-UA"/>
        </w:rPr>
        <w:t xml:space="preserve">оказники </w:t>
      </w:r>
      <w:r>
        <w:rPr>
          <w:rFonts w:ascii="Times New Roman" w:hAnsi="Times New Roman" w:cs="Times New Roman"/>
          <w:b/>
          <w:sz w:val="28"/>
          <w:szCs w:val="28"/>
          <w:lang w:val="uk-UA"/>
        </w:rPr>
        <w:t>функціонального стану</w:t>
      </w:r>
      <w:r w:rsidR="00485ABD" w:rsidRPr="00857352">
        <w:rPr>
          <w:rFonts w:ascii="Times New Roman" w:hAnsi="Times New Roman" w:cs="Times New Roman"/>
          <w:b/>
          <w:sz w:val="28"/>
          <w:szCs w:val="28"/>
          <w:lang w:val="uk-UA"/>
        </w:rPr>
        <w:t xml:space="preserve"> нирок в</w:t>
      </w:r>
      <w:r w:rsidR="00A1309C" w:rsidRPr="00857352">
        <w:rPr>
          <w:rFonts w:ascii="Times New Roman" w:hAnsi="Times New Roman" w:cs="Times New Roman"/>
          <w:b/>
          <w:sz w:val="28"/>
          <w:szCs w:val="28"/>
          <w:lang w:val="uk-UA"/>
        </w:rPr>
        <w:t xml:space="preserve"> </w:t>
      </w:r>
      <w:r w:rsidR="00656549" w:rsidRPr="00857352">
        <w:rPr>
          <w:rFonts w:ascii="Times New Roman" w:hAnsi="Times New Roman" w:cs="Times New Roman"/>
          <w:b/>
          <w:sz w:val="28"/>
          <w:szCs w:val="28"/>
          <w:lang w:val="uk-UA"/>
        </w:rPr>
        <w:t>обстежених пац</w:t>
      </w:r>
      <w:r w:rsidR="00656549" w:rsidRPr="00857352">
        <w:rPr>
          <w:rFonts w:ascii="Times New Roman" w:hAnsi="Times New Roman" w:cs="Times New Roman"/>
          <w:b/>
          <w:sz w:val="28"/>
          <w:szCs w:val="28"/>
          <w:lang w:val="en-US"/>
        </w:rPr>
        <w:t>i</w:t>
      </w:r>
      <w:r w:rsidR="00656549" w:rsidRPr="00857352">
        <w:rPr>
          <w:rFonts w:ascii="Times New Roman" w:hAnsi="Times New Roman" w:cs="Times New Roman"/>
          <w:b/>
          <w:sz w:val="28"/>
          <w:szCs w:val="28"/>
          <w:lang w:val="uk-UA"/>
        </w:rPr>
        <w:t>єнт</w:t>
      </w:r>
      <w:r w:rsidR="00656549" w:rsidRPr="00857352">
        <w:rPr>
          <w:rFonts w:ascii="Times New Roman" w:hAnsi="Times New Roman" w:cs="Times New Roman"/>
          <w:b/>
          <w:sz w:val="28"/>
          <w:szCs w:val="28"/>
          <w:lang w:val="en-US"/>
        </w:rPr>
        <w:t>i</w:t>
      </w:r>
      <w:r w:rsidR="004F3B19" w:rsidRPr="00857352">
        <w:rPr>
          <w:rFonts w:ascii="Times New Roman" w:hAnsi="Times New Roman" w:cs="Times New Roman"/>
          <w:b/>
          <w:sz w:val="28"/>
          <w:szCs w:val="28"/>
          <w:lang w:val="uk-UA"/>
        </w:rPr>
        <w:t>в</w:t>
      </w:r>
    </w:p>
    <w:tbl>
      <w:tblPr>
        <w:tblStyle w:val="a5"/>
        <w:tblW w:w="9356" w:type="dxa"/>
        <w:tblInd w:w="108" w:type="dxa"/>
        <w:tblLayout w:type="fixed"/>
        <w:tblLook w:val="04A0" w:firstRow="1" w:lastRow="0" w:firstColumn="1" w:lastColumn="0" w:noHBand="0" w:noVBand="1"/>
      </w:tblPr>
      <w:tblGrid>
        <w:gridCol w:w="2410"/>
        <w:gridCol w:w="1701"/>
        <w:gridCol w:w="1985"/>
        <w:gridCol w:w="1559"/>
        <w:gridCol w:w="1701"/>
      </w:tblGrid>
      <w:tr w:rsidR="00703CCF" w:rsidRPr="00B94E0E" w:rsidTr="00EE7E42">
        <w:tc>
          <w:tcPr>
            <w:tcW w:w="2410" w:type="dxa"/>
          </w:tcPr>
          <w:p w:rsidR="00703CCF" w:rsidRPr="008707FF" w:rsidRDefault="00857352" w:rsidP="00A0016C">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1701" w:type="dxa"/>
          </w:tcPr>
          <w:p w:rsidR="009B6335" w:rsidRPr="00C73050" w:rsidRDefault="00703CCF" w:rsidP="00A0016C">
            <w:pPr>
              <w:tabs>
                <w:tab w:val="left" w:pos="268"/>
              </w:tabs>
              <w:autoSpaceDE w:val="0"/>
              <w:autoSpaceDN w:val="0"/>
              <w:adjustRightInd w:val="0"/>
              <w:spacing w:line="360" w:lineRule="auto"/>
              <w:rPr>
                <w:rFonts w:ascii="Times New Roman" w:hAnsi="Times New Roman" w:cs="Times New Roman"/>
                <w:sz w:val="28"/>
                <w:szCs w:val="28"/>
                <w:lang w:val="uk-UA"/>
              </w:rPr>
            </w:pPr>
            <w:r w:rsidRPr="008707FF">
              <w:rPr>
                <w:rFonts w:ascii="Times New Roman" w:hAnsi="Times New Roman" w:cs="Times New Roman"/>
                <w:sz w:val="28"/>
                <w:szCs w:val="28"/>
                <w:lang w:val="uk-UA"/>
              </w:rPr>
              <w:tab/>
              <w:t>І група</w:t>
            </w:r>
          </w:p>
          <w:p w:rsidR="00703CCF" w:rsidRPr="00C73050" w:rsidRDefault="009B6335" w:rsidP="009B6335">
            <w:pPr>
              <w:tabs>
                <w:tab w:val="left" w:pos="268"/>
              </w:tabs>
              <w:autoSpaceDE w:val="0"/>
              <w:autoSpaceDN w:val="0"/>
              <w:adjustRightInd w:val="0"/>
              <w:spacing w:line="360" w:lineRule="auto"/>
              <w:jc w:val="center"/>
              <w:rPr>
                <w:rFonts w:ascii="Times New Roman" w:hAnsi="Times New Roman" w:cs="Times New Roman"/>
                <w:sz w:val="28"/>
                <w:szCs w:val="28"/>
                <w:lang w:val="uk-UA"/>
              </w:rPr>
            </w:pPr>
            <w:r w:rsidRPr="00C73050">
              <w:rPr>
                <w:rFonts w:ascii="Times New Roman" w:hAnsi="Times New Roman" w:cs="Times New Roman"/>
                <w:sz w:val="28"/>
                <w:szCs w:val="28"/>
                <w:lang w:val="uk-UA"/>
              </w:rPr>
              <w:t>(</w:t>
            </w:r>
            <w:r>
              <w:rPr>
                <w:rFonts w:ascii="Times New Roman" w:hAnsi="Times New Roman" w:cs="Times New Roman"/>
                <w:sz w:val="28"/>
                <w:szCs w:val="28"/>
                <w:lang w:val="en-US"/>
              </w:rPr>
              <w:t>n</w:t>
            </w:r>
            <w:r w:rsidRPr="00C73050">
              <w:rPr>
                <w:rFonts w:ascii="Times New Roman" w:hAnsi="Times New Roman" w:cs="Times New Roman"/>
                <w:sz w:val="28"/>
                <w:szCs w:val="28"/>
                <w:lang w:val="uk-UA"/>
              </w:rPr>
              <w:t xml:space="preserve"> = 96)</w:t>
            </w:r>
          </w:p>
        </w:tc>
        <w:tc>
          <w:tcPr>
            <w:tcW w:w="1985" w:type="dxa"/>
          </w:tcPr>
          <w:p w:rsidR="00703CCF" w:rsidRPr="00857352"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ІІ група</w:t>
            </w:r>
            <w:r w:rsidR="009B6335" w:rsidRPr="00C73050">
              <w:rPr>
                <w:rFonts w:ascii="Times New Roman" w:hAnsi="Times New Roman" w:cs="Times New Roman"/>
                <w:sz w:val="28"/>
                <w:szCs w:val="28"/>
                <w:lang w:val="uk-UA"/>
              </w:rPr>
              <w:t xml:space="preserve">         (</w:t>
            </w:r>
            <w:r w:rsidR="009B6335">
              <w:rPr>
                <w:rFonts w:ascii="Times New Roman" w:hAnsi="Times New Roman" w:cs="Times New Roman"/>
                <w:sz w:val="28"/>
                <w:szCs w:val="28"/>
                <w:lang w:val="en-US"/>
              </w:rPr>
              <w:t>n</w:t>
            </w:r>
            <w:r w:rsidR="009B6335" w:rsidRPr="00C73050">
              <w:rPr>
                <w:rFonts w:ascii="Times New Roman" w:hAnsi="Times New Roman" w:cs="Times New Roman"/>
                <w:sz w:val="28"/>
                <w:szCs w:val="28"/>
                <w:lang w:val="uk-UA"/>
              </w:rPr>
              <w:t xml:space="preserve"> </w:t>
            </w:r>
            <w:r w:rsidR="009B6335" w:rsidRPr="00857352">
              <w:rPr>
                <w:rFonts w:ascii="Times New Roman" w:hAnsi="Times New Roman" w:cs="Times New Roman"/>
                <w:sz w:val="28"/>
                <w:szCs w:val="28"/>
                <w:lang w:val="uk-UA"/>
              </w:rPr>
              <w:t>= 25)</w:t>
            </w:r>
          </w:p>
        </w:tc>
        <w:tc>
          <w:tcPr>
            <w:tcW w:w="1559" w:type="dxa"/>
          </w:tcPr>
          <w:p w:rsidR="00703CCF" w:rsidRPr="008B77A1" w:rsidRDefault="00297F80" w:rsidP="00A0016C">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контроль</w:t>
            </w:r>
          </w:p>
          <w:p w:rsidR="009B6335" w:rsidRPr="009B6335" w:rsidRDefault="009B6335" w:rsidP="00A0016C">
            <w:pPr>
              <w:autoSpaceDE w:val="0"/>
              <w:autoSpaceDN w:val="0"/>
              <w:adjustRightInd w:val="0"/>
              <w:spacing w:line="360" w:lineRule="auto"/>
              <w:jc w:val="center"/>
              <w:rPr>
                <w:rFonts w:ascii="Times New Roman" w:hAnsi="Times New Roman" w:cs="Times New Roman"/>
                <w:sz w:val="28"/>
                <w:szCs w:val="28"/>
                <w:lang w:val="en-US"/>
              </w:rPr>
            </w:pPr>
            <w:r w:rsidRPr="008B77A1">
              <w:rPr>
                <w:rFonts w:ascii="Times New Roman" w:hAnsi="Times New Roman" w:cs="Times New Roman"/>
                <w:sz w:val="28"/>
                <w:szCs w:val="28"/>
              </w:rPr>
              <w:t>(</w:t>
            </w:r>
            <w:r>
              <w:rPr>
                <w:rFonts w:ascii="Times New Roman" w:hAnsi="Times New Roman" w:cs="Times New Roman"/>
                <w:sz w:val="28"/>
                <w:szCs w:val="28"/>
                <w:lang w:val="en-US"/>
              </w:rPr>
              <w:t>n</w:t>
            </w:r>
            <w:r w:rsidRPr="008B77A1">
              <w:rPr>
                <w:rFonts w:ascii="Times New Roman" w:hAnsi="Times New Roman" w:cs="Times New Roman"/>
                <w:sz w:val="28"/>
                <w:szCs w:val="28"/>
              </w:rPr>
              <w:t xml:space="preserve"> </w:t>
            </w:r>
            <w:r>
              <w:rPr>
                <w:rFonts w:ascii="Times New Roman" w:hAnsi="Times New Roman" w:cs="Times New Roman"/>
                <w:sz w:val="28"/>
                <w:szCs w:val="28"/>
                <w:lang w:val="en-US"/>
              </w:rPr>
              <w:t>= 15)</w:t>
            </w:r>
          </w:p>
        </w:tc>
        <w:tc>
          <w:tcPr>
            <w:tcW w:w="1701" w:type="dxa"/>
          </w:tcPr>
          <w:p w:rsidR="00703CCF" w:rsidRPr="00B94E0E"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en-US"/>
              </w:rPr>
              <w:t>p</w:t>
            </w:r>
          </w:p>
        </w:tc>
      </w:tr>
      <w:tr w:rsidR="00703CCF" w:rsidRPr="00B94E0E" w:rsidTr="00EE7E42">
        <w:tc>
          <w:tcPr>
            <w:tcW w:w="2410" w:type="dxa"/>
          </w:tcPr>
          <w:p w:rsidR="00703CCF" w:rsidRPr="00B94E0E"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sidRPr="00B94E0E">
              <w:rPr>
                <w:rFonts w:ascii="Times New Roman" w:hAnsi="Times New Roman" w:cs="Times New Roman"/>
                <w:sz w:val="28"/>
                <w:szCs w:val="28"/>
                <w:lang w:val="uk-UA"/>
              </w:rPr>
              <w:t>1</w:t>
            </w:r>
          </w:p>
        </w:tc>
        <w:tc>
          <w:tcPr>
            <w:tcW w:w="1701" w:type="dxa"/>
          </w:tcPr>
          <w:p w:rsidR="00703CCF" w:rsidRPr="00B94E0E" w:rsidRDefault="00703CCF" w:rsidP="00990745">
            <w:pPr>
              <w:tabs>
                <w:tab w:val="left" w:pos="268"/>
              </w:tabs>
              <w:autoSpaceDE w:val="0"/>
              <w:autoSpaceDN w:val="0"/>
              <w:adjustRightInd w:val="0"/>
              <w:spacing w:line="360" w:lineRule="auto"/>
              <w:jc w:val="center"/>
              <w:rPr>
                <w:rFonts w:ascii="Times New Roman" w:hAnsi="Times New Roman" w:cs="Times New Roman"/>
                <w:sz w:val="28"/>
                <w:szCs w:val="28"/>
                <w:lang w:val="uk-UA"/>
              </w:rPr>
            </w:pPr>
            <w:r w:rsidRPr="00B94E0E">
              <w:rPr>
                <w:rFonts w:ascii="Times New Roman" w:hAnsi="Times New Roman" w:cs="Times New Roman"/>
                <w:sz w:val="28"/>
                <w:szCs w:val="28"/>
                <w:lang w:val="uk-UA"/>
              </w:rPr>
              <w:t>2</w:t>
            </w:r>
          </w:p>
        </w:tc>
        <w:tc>
          <w:tcPr>
            <w:tcW w:w="1985" w:type="dxa"/>
          </w:tcPr>
          <w:p w:rsidR="00703CCF" w:rsidRPr="00B94E0E"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sidRPr="00B94E0E">
              <w:rPr>
                <w:rFonts w:ascii="Times New Roman" w:hAnsi="Times New Roman" w:cs="Times New Roman"/>
                <w:sz w:val="28"/>
                <w:szCs w:val="28"/>
                <w:lang w:val="uk-UA"/>
              </w:rPr>
              <w:t>3</w:t>
            </w:r>
          </w:p>
        </w:tc>
        <w:tc>
          <w:tcPr>
            <w:tcW w:w="1559" w:type="dxa"/>
          </w:tcPr>
          <w:p w:rsidR="00703CCF" w:rsidRPr="00B94E0E"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sidRPr="00B94E0E">
              <w:rPr>
                <w:rFonts w:ascii="Times New Roman" w:hAnsi="Times New Roman" w:cs="Times New Roman"/>
                <w:sz w:val="28"/>
                <w:szCs w:val="28"/>
                <w:lang w:val="uk-UA"/>
              </w:rPr>
              <w:t>4</w:t>
            </w:r>
          </w:p>
        </w:tc>
        <w:tc>
          <w:tcPr>
            <w:tcW w:w="1701" w:type="dxa"/>
          </w:tcPr>
          <w:p w:rsidR="00703CCF" w:rsidRPr="00703CCF"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25022" w:rsidRPr="00B94E0E" w:rsidTr="00EE7E42">
        <w:tc>
          <w:tcPr>
            <w:tcW w:w="2410" w:type="dxa"/>
          </w:tcPr>
          <w:p w:rsidR="00B25022" w:rsidRPr="008707FF" w:rsidRDefault="00B25022" w:rsidP="00541EEA">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Альбумінурія (мг/л)</w:t>
            </w:r>
          </w:p>
        </w:tc>
        <w:tc>
          <w:tcPr>
            <w:tcW w:w="1701" w:type="dxa"/>
          </w:tcPr>
          <w:p w:rsidR="00B25022" w:rsidRPr="008D6381" w:rsidRDefault="00B25022" w:rsidP="00541EEA">
            <w:pPr>
              <w:autoSpaceDE w:val="0"/>
              <w:autoSpaceDN w:val="0"/>
              <w:adjustRightInd w:val="0"/>
              <w:spacing w:line="360" w:lineRule="auto"/>
              <w:rPr>
                <w:rFonts w:ascii="Times New Roman" w:hAnsi="Times New Roman" w:cs="Times New Roman"/>
                <w:sz w:val="28"/>
                <w:szCs w:val="28"/>
                <w:lang w:val="uk-UA"/>
              </w:rPr>
            </w:pPr>
            <w:r w:rsidRPr="008D6381">
              <w:rPr>
                <w:rFonts w:ascii="Times New Roman" w:hAnsi="Times New Roman" w:cs="Times New Roman"/>
                <w:sz w:val="28"/>
                <w:szCs w:val="28"/>
                <w:lang w:val="uk-UA"/>
              </w:rPr>
              <w:t>5</w:t>
            </w:r>
            <w:r w:rsidRPr="00DF6553">
              <w:rPr>
                <w:rFonts w:ascii="Times New Roman" w:hAnsi="Times New Roman" w:cs="Times New Roman"/>
                <w:sz w:val="28"/>
                <w:szCs w:val="28"/>
                <w:lang w:val="uk-UA"/>
              </w:rPr>
              <w:t>6</w:t>
            </w:r>
            <w:r>
              <w:rPr>
                <w:rFonts w:ascii="Times New Roman" w:hAnsi="Times New Roman" w:cs="Times New Roman"/>
                <w:sz w:val="28"/>
                <w:szCs w:val="28"/>
                <w:lang w:val="uk-UA"/>
              </w:rPr>
              <w:t>,</w:t>
            </w:r>
            <w:r w:rsidRPr="00DF6553">
              <w:rPr>
                <w:rFonts w:ascii="Times New Roman" w:hAnsi="Times New Roman" w:cs="Times New Roman"/>
                <w:sz w:val="28"/>
                <w:szCs w:val="28"/>
                <w:lang w:val="uk-UA"/>
              </w:rPr>
              <w:t>11</w:t>
            </w:r>
            <w:r>
              <w:rPr>
                <w:rFonts w:ascii="Times New Roman" w:hAnsi="Times New Roman" w:cs="Times New Roman"/>
                <w:sz w:val="28"/>
                <w:szCs w:val="28"/>
                <w:lang w:val="uk-UA"/>
              </w:rPr>
              <w:t xml:space="preserve"> ± </w:t>
            </w:r>
            <w:r w:rsidRPr="00DF6553">
              <w:rPr>
                <w:rFonts w:ascii="Times New Roman" w:hAnsi="Times New Roman" w:cs="Times New Roman"/>
                <w:sz w:val="28"/>
                <w:szCs w:val="28"/>
                <w:lang w:val="uk-UA"/>
              </w:rPr>
              <w:t>6</w:t>
            </w:r>
            <w:r>
              <w:rPr>
                <w:rFonts w:ascii="Times New Roman" w:hAnsi="Times New Roman" w:cs="Times New Roman"/>
                <w:sz w:val="28"/>
                <w:szCs w:val="28"/>
                <w:lang w:val="uk-UA"/>
              </w:rPr>
              <w:t>,</w:t>
            </w:r>
            <w:r w:rsidRPr="008D6381">
              <w:rPr>
                <w:rFonts w:ascii="Times New Roman" w:hAnsi="Times New Roman" w:cs="Times New Roman"/>
                <w:sz w:val="28"/>
                <w:szCs w:val="28"/>
                <w:lang w:val="uk-UA"/>
              </w:rPr>
              <w:t>9</w:t>
            </w:r>
          </w:p>
        </w:tc>
        <w:tc>
          <w:tcPr>
            <w:tcW w:w="1985" w:type="dxa"/>
          </w:tcPr>
          <w:p w:rsidR="00B25022" w:rsidRPr="00DF6553" w:rsidRDefault="00B25022" w:rsidP="00541EEA">
            <w:pPr>
              <w:autoSpaceDE w:val="0"/>
              <w:autoSpaceDN w:val="0"/>
              <w:adjustRightInd w:val="0"/>
              <w:spacing w:line="360" w:lineRule="auto"/>
              <w:rPr>
                <w:rFonts w:ascii="Times New Roman" w:hAnsi="Times New Roman" w:cs="Times New Roman"/>
                <w:sz w:val="28"/>
                <w:szCs w:val="28"/>
                <w:lang w:val="uk-UA"/>
              </w:rPr>
            </w:pPr>
            <w:r w:rsidRPr="00DF6553">
              <w:rPr>
                <w:rFonts w:ascii="Times New Roman" w:hAnsi="Times New Roman" w:cs="Times New Roman"/>
                <w:sz w:val="28"/>
                <w:szCs w:val="28"/>
                <w:lang w:val="uk-UA"/>
              </w:rPr>
              <w:t>5</w:t>
            </w:r>
            <w:r>
              <w:rPr>
                <w:rFonts w:ascii="Times New Roman" w:hAnsi="Times New Roman" w:cs="Times New Roman"/>
                <w:sz w:val="28"/>
                <w:szCs w:val="28"/>
                <w:lang w:val="uk-UA"/>
              </w:rPr>
              <w:t>,</w:t>
            </w:r>
            <w:r w:rsidRPr="00DF6553">
              <w:rPr>
                <w:rFonts w:ascii="Times New Roman" w:hAnsi="Times New Roman" w:cs="Times New Roman"/>
                <w:sz w:val="28"/>
                <w:szCs w:val="28"/>
                <w:lang w:val="uk-UA"/>
              </w:rPr>
              <w:t>56</w:t>
            </w:r>
            <w:r>
              <w:rPr>
                <w:rFonts w:ascii="Times New Roman" w:hAnsi="Times New Roman" w:cs="Times New Roman"/>
                <w:sz w:val="28"/>
                <w:szCs w:val="28"/>
                <w:lang w:val="uk-UA"/>
              </w:rPr>
              <w:t xml:space="preserve"> ± </w:t>
            </w:r>
            <w:r w:rsidRPr="00DF6553">
              <w:rPr>
                <w:rFonts w:ascii="Times New Roman" w:hAnsi="Times New Roman" w:cs="Times New Roman"/>
                <w:sz w:val="28"/>
                <w:szCs w:val="28"/>
                <w:lang w:val="uk-UA"/>
              </w:rPr>
              <w:t>2</w:t>
            </w:r>
            <w:r w:rsidRPr="008D6381">
              <w:rPr>
                <w:rFonts w:ascii="Times New Roman" w:hAnsi="Times New Roman" w:cs="Times New Roman"/>
                <w:sz w:val="28"/>
                <w:szCs w:val="28"/>
                <w:lang w:val="uk-UA"/>
              </w:rPr>
              <w:t>,8</w:t>
            </w:r>
            <w:r w:rsidRPr="00DF6553">
              <w:rPr>
                <w:rFonts w:ascii="Times New Roman" w:hAnsi="Times New Roman" w:cs="Times New Roman"/>
                <w:sz w:val="28"/>
                <w:szCs w:val="28"/>
                <w:lang w:val="uk-UA"/>
              </w:rPr>
              <w:t>5</w:t>
            </w:r>
          </w:p>
        </w:tc>
        <w:tc>
          <w:tcPr>
            <w:tcW w:w="1559" w:type="dxa"/>
          </w:tcPr>
          <w:p w:rsidR="00B25022" w:rsidRPr="00DF6553" w:rsidRDefault="00B25022" w:rsidP="00541EEA">
            <w:pPr>
              <w:autoSpaceDE w:val="0"/>
              <w:autoSpaceDN w:val="0"/>
              <w:adjustRightInd w:val="0"/>
              <w:spacing w:line="360" w:lineRule="auto"/>
              <w:rPr>
                <w:rFonts w:ascii="Times New Roman" w:hAnsi="Times New Roman" w:cs="Times New Roman"/>
                <w:sz w:val="28"/>
                <w:szCs w:val="28"/>
                <w:lang w:val="uk-UA"/>
              </w:rPr>
            </w:pPr>
            <w:r w:rsidRPr="00DF6553">
              <w:rPr>
                <w:rFonts w:ascii="Times New Roman" w:hAnsi="Times New Roman" w:cs="Times New Roman"/>
                <w:sz w:val="28"/>
                <w:szCs w:val="28"/>
                <w:lang w:val="uk-UA"/>
              </w:rPr>
              <w:t>3</w:t>
            </w:r>
            <w:r>
              <w:rPr>
                <w:rFonts w:ascii="Times New Roman" w:hAnsi="Times New Roman" w:cs="Times New Roman"/>
                <w:sz w:val="28"/>
                <w:szCs w:val="28"/>
                <w:lang w:val="uk-UA"/>
              </w:rPr>
              <w:t>,</w:t>
            </w:r>
            <w:r w:rsidRPr="00DF6553">
              <w:rPr>
                <w:rFonts w:ascii="Times New Roman" w:hAnsi="Times New Roman" w:cs="Times New Roman"/>
                <w:sz w:val="28"/>
                <w:szCs w:val="28"/>
                <w:lang w:val="uk-UA"/>
              </w:rPr>
              <w:t>27</w:t>
            </w:r>
            <w:r>
              <w:rPr>
                <w:rFonts w:ascii="Times New Roman" w:hAnsi="Times New Roman" w:cs="Times New Roman"/>
                <w:sz w:val="28"/>
                <w:szCs w:val="28"/>
                <w:lang w:val="uk-UA"/>
              </w:rPr>
              <w:t xml:space="preserve"> ± </w:t>
            </w:r>
            <w:r w:rsidRPr="00DF6553">
              <w:rPr>
                <w:rFonts w:ascii="Times New Roman" w:hAnsi="Times New Roman" w:cs="Times New Roman"/>
                <w:sz w:val="28"/>
                <w:szCs w:val="28"/>
                <w:lang w:val="uk-UA"/>
              </w:rPr>
              <w:t>0</w:t>
            </w:r>
            <w:r>
              <w:rPr>
                <w:rFonts w:ascii="Times New Roman" w:hAnsi="Times New Roman" w:cs="Times New Roman"/>
                <w:sz w:val="28"/>
                <w:szCs w:val="28"/>
                <w:lang w:val="uk-UA"/>
              </w:rPr>
              <w:t>,</w:t>
            </w:r>
            <w:r w:rsidRPr="00DF6553">
              <w:rPr>
                <w:rFonts w:ascii="Times New Roman" w:hAnsi="Times New Roman" w:cs="Times New Roman"/>
                <w:sz w:val="28"/>
                <w:szCs w:val="28"/>
                <w:lang w:val="uk-UA"/>
              </w:rPr>
              <w:t>76</w:t>
            </w:r>
          </w:p>
        </w:tc>
        <w:tc>
          <w:tcPr>
            <w:tcW w:w="1701" w:type="dxa"/>
          </w:tcPr>
          <w:p w:rsidR="00B25022" w:rsidRPr="00DF6553" w:rsidRDefault="00B25022" w:rsidP="00541EEA">
            <w:pPr>
              <w:autoSpaceDE w:val="0"/>
              <w:autoSpaceDN w:val="0"/>
              <w:adjustRightInd w:val="0"/>
              <w:spacing w:line="360" w:lineRule="auto"/>
              <w:jc w:val="center"/>
              <w:rPr>
                <w:rFonts w:ascii="Times New Roman" w:hAnsi="Times New Roman" w:cs="Times New Roman"/>
                <w:sz w:val="28"/>
                <w:szCs w:val="28"/>
                <w:lang w:val="uk-UA"/>
              </w:rPr>
            </w:pPr>
            <w:r w:rsidRPr="008D6381">
              <w:rPr>
                <w:rFonts w:ascii="Times New Roman" w:hAnsi="Times New Roman" w:cs="Times New Roman"/>
                <w:sz w:val="28"/>
                <w:szCs w:val="28"/>
                <w:lang w:val="en-US"/>
              </w:rPr>
              <w:t>p</w:t>
            </w:r>
            <w:r w:rsidRPr="00DF6553">
              <w:rPr>
                <w:rFonts w:ascii="Times New Roman" w:hAnsi="Times New Roman" w:cs="Times New Roman"/>
                <w:sz w:val="28"/>
                <w:szCs w:val="28"/>
                <w:vertAlign w:val="subscript"/>
                <w:lang w:val="uk-UA"/>
              </w:rPr>
              <w:t>1</w:t>
            </w:r>
            <w:r w:rsidRPr="00DF6553">
              <w:rPr>
                <w:rFonts w:ascii="Times New Roman" w:hAnsi="Times New Roman" w:cs="Times New Roman"/>
                <w:sz w:val="28"/>
                <w:szCs w:val="28"/>
                <w:lang w:val="uk-UA"/>
              </w:rPr>
              <w:t xml:space="preserve"> = 0,00</w:t>
            </w:r>
            <w:r w:rsidRPr="008D6381">
              <w:rPr>
                <w:rFonts w:ascii="Times New Roman" w:hAnsi="Times New Roman" w:cs="Times New Roman"/>
                <w:sz w:val="28"/>
                <w:szCs w:val="28"/>
                <w:lang w:val="uk-UA"/>
              </w:rPr>
              <w:t>0</w:t>
            </w:r>
            <w:r w:rsidRPr="00DF6553">
              <w:rPr>
                <w:rFonts w:ascii="Times New Roman" w:hAnsi="Times New Roman" w:cs="Times New Roman"/>
                <w:sz w:val="28"/>
                <w:szCs w:val="28"/>
                <w:lang w:val="uk-UA"/>
              </w:rPr>
              <w:t>3</w:t>
            </w:r>
            <w:r w:rsidRPr="00DF6553">
              <w:rPr>
                <w:lang w:val="uk-UA"/>
              </w:rPr>
              <w:t xml:space="preserve"> </w:t>
            </w:r>
            <w:r w:rsidRPr="008D6381">
              <w:rPr>
                <w:rFonts w:ascii="Times New Roman" w:hAnsi="Times New Roman" w:cs="Times New Roman"/>
                <w:sz w:val="28"/>
                <w:szCs w:val="28"/>
                <w:lang w:val="en-US"/>
              </w:rPr>
              <w:t>p</w:t>
            </w:r>
            <w:r w:rsidRPr="00DF6553">
              <w:rPr>
                <w:rFonts w:ascii="Times New Roman" w:hAnsi="Times New Roman" w:cs="Times New Roman"/>
                <w:sz w:val="28"/>
                <w:szCs w:val="28"/>
                <w:vertAlign w:val="subscript"/>
                <w:lang w:val="uk-UA"/>
              </w:rPr>
              <w:t>2</w:t>
            </w:r>
            <w:r w:rsidRPr="00DF6553">
              <w:rPr>
                <w:rFonts w:ascii="Times New Roman" w:hAnsi="Times New Roman" w:cs="Times New Roman"/>
                <w:sz w:val="28"/>
                <w:szCs w:val="28"/>
                <w:lang w:val="uk-UA"/>
              </w:rPr>
              <w:t xml:space="preserve"> = 0,0032</w:t>
            </w:r>
          </w:p>
          <w:p w:rsidR="00B25022" w:rsidRPr="00DF6553" w:rsidRDefault="00B25022" w:rsidP="00541EEA">
            <w:pPr>
              <w:autoSpaceDE w:val="0"/>
              <w:autoSpaceDN w:val="0"/>
              <w:adjustRightInd w:val="0"/>
              <w:spacing w:line="360" w:lineRule="auto"/>
              <w:jc w:val="center"/>
              <w:rPr>
                <w:rFonts w:ascii="Times New Roman" w:hAnsi="Times New Roman" w:cs="Times New Roman"/>
                <w:sz w:val="28"/>
                <w:szCs w:val="28"/>
                <w:lang w:val="uk-UA"/>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uk-UA"/>
              </w:rPr>
              <w:t>3</w:t>
            </w:r>
            <w:r w:rsidRPr="00DF6553">
              <w:rPr>
                <w:rFonts w:ascii="Times New Roman" w:hAnsi="Times New Roman" w:cs="Times New Roman"/>
                <w:sz w:val="28"/>
                <w:szCs w:val="28"/>
                <w:lang w:val="uk-UA"/>
              </w:rPr>
              <w:t xml:space="preserve"> </w:t>
            </w:r>
            <w:r w:rsidRPr="008D6381">
              <w:rPr>
                <w:rFonts w:ascii="Times New Roman" w:hAnsi="Times New Roman" w:cs="Times New Roman"/>
                <w:sz w:val="28"/>
                <w:szCs w:val="28"/>
                <w:lang w:val="uk-UA"/>
              </w:rPr>
              <w:t>=</w:t>
            </w:r>
            <w:r w:rsidRPr="00DF6553">
              <w:rPr>
                <w:rFonts w:ascii="Times New Roman" w:hAnsi="Times New Roman" w:cs="Times New Roman"/>
                <w:sz w:val="28"/>
                <w:szCs w:val="28"/>
                <w:lang w:val="uk-UA"/>
              </w:rPr>
              <w:t xml:space="preserve"> 0,5445</w:t>
            </w:r>
          </w:p>
        </w:tc>
      </w:tr>
    </w:tbl>
    <w:p w:rsidR="00B555E0" w:rsidRPr="00D2581D" w:rsidRDefault="00B555E0" w:rsidP="00E1524C">
      <w:pPr>
        <w:rPr>
          <w:rFonts w:ascii="Times New Roman" w:hAnsi="Times New Roman" w:cs="Times New Roman"/>
          <w:i/>
          <w:sz w:val="28"/>
          <w:szCs w:val="28"/>
          <w:lang w:val="en-US"/>
        </w:rPr>
      </w:pPr>
    </w:p>
    <w:p w:rsidR="009D01FC" w:rsidRDefault="009D01FC" w:rsidP="00E1524C">
      <w:pPr>
        <w:rPr>
          <w:rFonts w:ascii="Times New Roman" w:hAnsi="Times New Roman" w:cs="Times New Roman"/>
          <w:i/>
          <w:sz w:val="28"/>
          <w:szCs w:val="28"/>
          <w:lang w:val="uk-UA"/>
        </w:rPr>
      </w:pPr>
    </w:p>
    <w:p w:rsidR="00990745" w:rsidRPr="008B77A1" w:rsidRDefault="00DF6553" w:rsidP="00E1524C">
      <w:pPr>
        <w:rPr>
          <w:rFonts w:ascii="Times New Roman" w:hAnsi="Times New Roman" w:cs="Times New Roman"/>
          <w:i/>
          <w:sz w:val="28"/>
          <w:szCs w:val="28"/>
          <w:lang w:val="en-US"/>
        </w:rPr>
      </w:pPr>
      <w:r>
        <w:rPr>
          <w:rFonts w:ascii="Times New Roman" w:hAnsi="Times New Roman" w:cs="Times New Roman"/>
          <w:i/>
          <w:sz w:val="28"/>
          <w:szCs w:val="28"/>
          <w:lang w:val="uk-UA"/>
        </w:rPr>
        <w:lastRenderedPageBreak/>
        <w:t>Продовж.</w:t>
      </w:r>
      <w:r w:rsidR="00CC1690" w:rsidRPr="00DF6553">
        <w:rPr>
          <w:rFonts w:ascii="Times New Roman" w:hAnsi="Times New Roman" w:cs="Times New Roman"/>
          <w:i/>
          <w:sz w:val="28"/>
          <w:szCs w:val="28"/>
          <w:lang w:val="uk-UA"/>
        </w:rPr>
        <w:t xml:space="preserve"> табл.</w:t>
      </w:r>
      <w:r w:rsidR="00B94E0E" w:rsidRPr="00DF6553">
        <w:rPr>
          <w:rFonts w:ascii="Times New Roman" w:hAnsi="Times New Roman" w:cs="Times New Roman"/>
          <w:i/>
          <w:sz w:val="28"/>
          <w:szCs w:val="28"/>
          <w:lang w:val="uk-UA"/>
        </w:rPr>
        <w:t xml:space="preserve"> 4</w:t>
      </w:r>
      <w:r w:rsidR="00990745" w:rsidRPr="00DF6553">
        <w:rPr>
          <w:rFonts w:ascii="Times New Roman" w:hAnsi="Times New Roman" w:cs="Times New Roman"/>
          <w:i/>
          <w:sz w:val="28"/>
          <w:szCs w:val="28"/>
          <w:lang w:val="uk-UA"/>
        </w:rPr>
        <w:t>.1</w:t>
      </w:r>
      <w:r w:rsidR="008B77A1">
        <w:rPr>
          <w:rFonts w:ascii="Times New Roman" w:hAnsi="Times New Roman" w:cs="Times New Roman"/>
          <w:i/>
          <w:sz w:val="28"/>
          <w:szCs w:val="28"/>
          <w:lang w:val="en-US"/>
        </w:rPr>
        <w:t>.1</w:t>
      </w:r>
    </w:p>
    <w:tbl>
      <w:tblPr>
        <w:tblStyle w:val="a5"/>
        <w:tblW w:w="9285" w:type="dxa"/>
        <w:tblInd w:w="108" w:type="dxa"/>
        <w:tblLayout w:type="fixed"/>
        <w:tblLook w:val="04A0" w:firstRow="1" w:lastRow="0" w:firstColumn="1" w:lastColumn="0" w:noHBand="0" w:noVBand="1"/>
      </w:tblPr>
      <w:tblGrid>
        <w:gridCol w:w="2694"/>
        <w:gridCol w:w="1559"/>
        <w:gridCol w:w="1701"/>
        <w:gridCol w:w="1630"/>
        <w:gridCol w:w="1701"/>
      </w:tblGrid>
      <w:tr w:rsidR="00703CCF" w:rsidRPr="00DF6553" w:rsidTr="00B94135">
        <w:tc>
          <w:tcPr>
            <w:tcW w:w="2694" w:type="dxa"/>
          </w:tcPr>
          <w:p w:rsidR="00703CCF" w:rsidRPr="008707FF" w:rsidRDefault="00703CCF" w:rsidP="00A0016C">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559" w:type="dxa"/>
          </w:tcPr>
          <w:p w:rsidR="00703CCF" w:rsidRPr="008707FF" w:rsidRDefault="00703CCF" w:rsidP="00CC1690">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701" w:type="dxa"/>
          </w:tcPr>
          <w:p w:rsidR="00703CCF" w:rsidRDefault="00703CCF" w:rsidP="00CC1690">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30" w:type="dxa"/>
          </w:tcPr>
          <w:p w:rsidR="00703CCF" w:rsidRDefault="00703CCF" w:rsidP="00CC1690">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701" w:type="dxa"/>
          </w:tcPr>
          <w:p w:rsidR="00703CCF" w:rsidRPr="00CC1690" w:rsidRDefault="00703CCF" w:rsidP="00B44D8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703CCF" w:rsidRPr="00DF6553" w:rsidTr="00B94135">
        <w:tc>
          <w:tcPr>
            <w:tcW w:w="2694" w:type="dxa"/>
          </w:tcPr>
          <w:p w:rsidR="00703CCF" w:rsidRPr="008707FF" w:rsidRDefault="00B25022" w:rsidP="00A0016C">
            <w:pPr>
              <w:autoSpaceDE w:val="0"/>
              <w:autoSpaceDN w:val="0"/>
              <w:adjustRightInd w:val="0"/>
              <w:spacing w:line="360" w:lineRule="auto"/>
              <w:jc w:val="center"/>
              <w:rPr>
                <w:rFonts w:ascii="Times New Roman" w:hAnsi="Times New Roman" w:cs="Times New Roman"/>
                <w:sz w:val="28"/>
                <w:szCs w:val="28"/>
                <w:lang w:val="uk-UA"/>
              </w:rPr>
            </w:pPr>
            <w:r w:rsidRPr="00B25022">
              <w:rPr>
                <w:rFonts w:ascii="Times New Roman" w:hAnsi="Times New Roman" w:cs="Times New Roman"/>
                <w:sz w:val="28"/>
                <w:szCs w:val="28"/>
                <w:lang w:val="uk-UA"/>
              </w:rPr>
              <w:t>Альбумінурія/креа-тинінурія (мг/г)</w:t>
            </w:r>
          </w:p>
        </w:tc>
        <w:tc>
          <w:tcPr>
            <w:tcW w:w="1559" w:type="dxa"/>
          </w:tcPr>
          <w:p w:rsidR="00703CCF" w:rsidRPr="008D6381" w:rsidRDefault="007E064A" w:rsidP="00353FED">
            <w:pPr>
              <w:autoSpaceDE w:val="0"/>
              <w:autoSpaceDN w:val="0"/>
              <w:adjustRightInd w:val="0"/>
              <w:spacing w:line="360" w:lineRule="auto"/>
              <w:rPr>
                <w:rFonts w:ascii="Times New Roman" w:hAnsi="Times New Roman" w:cs="Times New Roman"/>
                <w:sz w:val="28"/>
                <w:szCs w:val="28"/>
                <w:lang w:val="uk-UA"/>
              </w:rPr>
            </w:pPr>
            <w:r w:rsidRPr="007E064A">
              <w:rPr>
                <w:rFonts w:ascii="Times New Roman" w:hAnsi="Times New Roman" w:cs="Times New Roman"/>
                <w:sz w:val="28"/>
                <w:szCs w:val="28"/>
                <w:lang w:val="uk-UA"/>
              </w:rPr>
              <w:t>57,93 ± 6,1</w:t>
            </w:r>
          </w:p>
        </w:tc>
        <w:tc>
          <w:tcPr>
            <w:tcW w:w="1701" w:type="dxa"/>
          </w:tcPr>
          <w:p w:rsidR="00703CCF" w:rsidRPr="00DF6553" w:rsidRDefault="007E064A" w:rsidP="00353FED">
            <w:pPr>
              <w:autoSpaceDE w:val="0"/>
              <w:autoSpaceDN w:val="0"/>
              <w:adjustRightInd w:val="0"/>
              <w:spacing w:line="360" w:lineRule="auto"/>
              <w:rPr>
                <w:rFonts w:ascii="Times New Roman" w:hAnsi="Times New Roman" w:cs="Times New Roman"/>
                <w:sz w:val="28"/>
                <w:szCs w:val="28"/>
                <w:lang w:val="uk-UA"/>
              </w:rPr>
            </w:pPr>
            <w:r w:rsidRPr="007E064A">
              <w:rPr>
                <w:rFonts w:ascii="Times New Roman" w:hAnsi="Times New Roman" w:cs="Times New Roman"/>
                <w:sz w:val="28"/>
                <w:szCs w:val="28"/>
                <w:lang w:val="uk-UA"/>
              </w:rPr>
              <w:t>6,79 ± 0,84</w:t>
            </w:r>
          </w:p>
        </w:tc>
        <w:tc>
          <w:tcPr>
            <w:tcW w:w="1630" w:type="dxa"/>
          </w:tcPr>
          <w:p w:rsidR="00703CCF" w:rsidRPr="00DF6553" w:rsidRDefault="007E064A" w:rsidP="00353FED">
            <w:pPr>
              <w:autoSpaceDE w:val="0"/>
              <w:autoSpaceDN w:val="0"/>
              <w:adjustRightInd w:val="0"/>
              <w:spacing w:line="360" w:lineRule="auto"/>
              <w:rPr>
                <w:rFonts w:ascii="Times New Roman" w:hAnsi="Times New Roman" w:cs="Times New Roman"/>
                <w:sz w:val="28"/>
                <w:szCs w:val="28"/>
                <w:lang w:val="uk-UA"/>
              </w:rPr>
            </w:pPr>
            <w:r w:rsidRPr="007E064A">
              <w:rPr>
                <w:rFonts w:ascii="Times New Roman" w:hAnsi="Times New Roman" w:cs="Times New Roman"/>
                <w:sz w:val="28"/>
                <w:szCs w:val="28"/>
                <w:lang w:val="uk-UA"/>
              </w:rPr>
              <w:t>3,73 ± 0,94</w:t>
            </w:r>
          </w:p>
        </w:tc>
        <w:tc>
          <w:tcPr>
            <w:tcW w:w="1701" w:type="dxa"/>
          </w:tcPr>
          <w:p w:rsidR="007E064A" w:rsidRPr="008D6381" w:rsidRDefault="007E064A" w:rsidP="007E064A">
            <w:pPr>
              <w:autoSpaceDE w:val="0"/>
              <w:autoSpaceDN w:val="0"/>
              <w:adjustRightInd w:val="0"/>
              <w:spacing w:line="360" w:lineRule="auto"/>
              <w:jc w:val="center"/>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1</w:t>
            </w:r>
            <w:r>
              <w:rPr>
                <w:rFonts w:ascii="Times New Roman" w:hAnsi="Times New Roman" w:cs="Times New Roman"/>
                <w:sz w:val="28"/>
                <w:szCs w:val="28"/>
                <w:lang w:val="en-US"/>
              </w:rPr>
              <w:t xml:space="preserve"> &lt; 0,0001</w:t>
            </w:r>
            <w:r w:rsidRPr="008D6381">
              <w:t xml:space="preserve"> </w:t>
            </w: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2</w:t>
            </w:r>
            <w:r w:rsidRPr="008D6381">
              <w:rPr>
                <w:rFonts w:ascii="Times New Roman" w:hAnsi="Times New Roman" w:cs="Times New Roman"/>
                <w:sz w:val="28"/>
                <w:szCs w:val="28"/>
                <w:lang w:val="en-US"/>
              </w:rPr>
              <w:t xml:space="preserve"> = 0,0</w:t>
            </w:r>
            <w:r>
              <w:rPr>
                <w:rFonts w:ascii="Times New Roman" w:hAnsi="Times New Roman" w:cs="Times New Roman"/>
                <w:sz w:val="28"/>
                <w:szCs w:val="28"/>
                <w:lang w:val="en-US"/>
              </w:rPr>
              <w:t>007</w:t>
            </w:r>
          </w:p>
          <w:p w:rsidR="00703CCF" w:rsidRPr="00DF6553" w:rsidRDefault="007E064A" w:rsidP="007E064A">
            <w:pPr>
              <w:autoSpaceDE w:val="0"/>
              <w:autoSpaceDN w:val="0"/>
              <w:adjustRightInd w:val="0"/>
              <w:spacing w:line="360" w:lineRule="auto"/>
              <w:jc w:val="center"/>
              <w:rPr>
                <w:rFonts w:ascii="Times New Roman" w:hAnsi="Times New Roman" w:cs="Times New Roman"/>
                <w:sz w:val="28"/>
                <w:szCs w:val="28"/>
                <w:lang w:val="uk-UA"/>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uk-UA"/>
              </w:rPr>
              <w:t>3</w:t>
            </w:r>
            <w:r>
              <w:rPr>
                <w:rFonts w:ascii="Times New Roman" w:hAnsi="Times New Roman" w:cs="Times New Roman"/>
                <w:sz w:val="28"/>
                <w:szCs w:val="28"/>
                <w:lang w:val="en-US"/>
              </w:rPr>
              <w:t xml:space="preserve"> = 0,0246</w:t>
            </w:r>
          </w:p>
        </w:tc>
      </w:tr>
      <w:tr w:rsidR="00703CCF" w:rsidRPr="008707FF" w:rsidTr="00B94135">
        <w:tc>
          <w:tcPr>
            <w:tcW w:w="2694" w:type="dxa"/>
          </w:tcPr>
          <w:p w:rsidR="00703CCF" w:rsidRPr="008707FF" w:rsidRDefault="00E944E6" w:rsidP="00A0016C">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ШКФ (мл/хв</w:t>
            </w:r>
            <w:r w:rsidR="00703CCF" w:rsidRPr="008707FF">
              <w:rPr>
                <w:rFonts w:ascii="Times New Roman" w:hAnsi="Times New Roman" w:cs="Times New Roman"/>
                <w:sz w:val="28"/>
                <w:szCs w:val="28"/>
                <w:lang w:val="uk-UA"/>
              </w:rPr>
              <w:t>)</w:t>
            </w:r>
          </w:p>
        </w:tc>
        <w:tc>
          <w:tcPr>
            <w:tcW w:w="1559" w:type="dxa"/>
          </w:tcPr>
          <w:p w:rsidR="00703CCF" w:rsidRPr="00BB0880" w:rsidRDefault="00BB0880" w:rsidP="00353FED">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1</w:t>
            </w:r>
            <w:r w:rsidR="00E944E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944E6">
              <w:rPr>
                <w:rFonts w:ascii="Times New Roman" w:hAnsi="Times New Roman" w:cs="Times New Roman"/>
                <w:sz w:val="28"/>
                <w:szCs w:val="28"/>
                <w:lang w:val="uk-UA"/>
              </w:rPr>
              <w:t xml:space="preserve"> </w:t>
            </w:r>
            <w:r>
              <w:rPr>
                <w:rFonts w:ascii="Times New Roman" w:hAnsi="Times New Roman" w:cs="Times New Roman"/>
                <w:sz w:val="28"/>
                <w:szCs w:val="28"/>
                <w:lang w:val="en-US"/>
              </w:rPr>
              <w:t>2</w:t>
            </w:r>
            <w:r>
              <w:rPr>
                <w:rFonts w:ascii="Times New Roman" w:hAnsi="Times New Roman" w:cs="Times New Roman"/>
                <w:sz w:val="28"/>
                <w:szCs w:val="28"/>
                <w:lang w:val="uk-UA"/>
              </w:rPr>
              <w:t>,</w:t>
            </w:r>
            <w:r>
              <w:rPr>
                <w:rFonts w:ascii="Times New Roman" w:hAnsi="Times New Roman" w:cs="Times New Roman"/>
                <w:sz w:val="28"/>
                <w:szCs w:val="28"/>
                <w:lang w:val="en-US"/>
              </w:rPr>
              <w:t>01</w:t>
            </w:r>
          </w:p>
        </w:tc>
        <w:tc>
          <w:tcPr>
            <w:tcW w:w="1701" w:type="dxa"/>
          </w:tcPr>
          <w:p w:rsidR="00703CCF" w:rsidRPr="008D6381" w:rsidRDefault="00BB0880" w:rsidP="00353FED">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9</w:t>
            </w:r>
            <w:r>
              <w:rPr>
                <w:rFonts w:ascii="Times New Roman" w:hAnsi="Times New Roman" w:cs="Times New Roman"/>
                <w:sz w:val="28"/>
                <w:szCs w:val="28"/>
                <w:lang w:val="en-US"/>
              </w:rPr>
              <w:t>0</w:t>
            </w:r>
            <w:r>
              <w:rPr>
                <w:rFonts w:ascii="Times New Roman" w:hAnsi="Times New Roman" w:cs="Times New Roman"/>
                <w:sz w:val="28"/>
                <w:szCs w:val="28"/>
                <w:lang w:val="uk-UA"/>
              </w:rPr>
              <w:t>,</w:t>
            </w:r>
            <w:r>
              <w:rPr>
                <w:rFonts w:ascii="Times New Roman" w:hAnsi="Times New Roman" w:cs="Times New Roman"/>
                <w:sz w:val="28"/>
                <w:szCs w:val="28"/>
                <w:lang w:val="en-US"/>
              </w:rPr>
              <w:t>8</w:t>
            </w:r>
            <w:r w:rsidR="00E944E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944E6">
              <w:rPr>
                <w:rFonts w:ascii="Times New Roman" w:hAnsi="Times New Roman" w:cs="Times New Roman"/>
                <w:sz w:val="28"/>
                <w:szCs w:val="28"/>
                <w:lang w:val="uk-UA"/>
              </w:rPr>
              <w:t xml:space="preserve"> </w:t>
            </w:r>
            <w:r>
              <w:rPr>
                <w:rFonts w:ascii="Times New Roman" w:hAnsi="Times New Roman" w:cs="Times New Roman"/>
                <w:sz w:val="28"/>
                <w:szCs w:val="28"/>
                <w:lang w:val="en-US"/>
              </w:rPr>
              <w:t>13</w:t>
            </w:r>
            <w:r>
              <w:rPr>
                <w:rFonts w:ascii="Times New Roman" w:hAnsi="Times New Roman" w:cs="Times New Roman"/>
                <w:sz w:val="28"/>
                <w:szCs w:val="28"/>
                <w:lang w:val="uk-UA"/>
              </w:rPr>
              <w:t>,</w:t>
            </w:r>
            <w:r>
              <w:rPr>
                <w:rFonts w:ascii="Times New Roman" w:hAnsi="Times New Roman" w:cs="Times New Roman"/>
                <w:sz w:val="28"/>
                <w:szCs w:val="28"/>
                <w:lang w:val="en-US"/>
              </w:rPr>
              <w:t>4</w:t>
            </w:r>
            <w:r w:rsidR="00703CCF" w:rsidRPr="008D6381">
              <w:rPr>
                <w:rFonts w:ascii="Times New Roman" w:hAnsi="Times New Roman" w:cs="Times New Roman"/>
                <w:sz w:val="28"/>
                <w:szCs w:val="28"/>
                <w:lang w:val="uk-UA"/>
              </w:rPr>
              <w:t>4</w:t>
            </w:r>
          </w:p>
        </w:tc>
        <w:tc>
          <w:tcPr>
            <w:tcW w:w="1630" w:type="dxa"/>
          </w:tcPr>
          <w:p w:rsidR="00703CCF" w:rsidRPr="00BB0880" w:rsidRDefault="00BB0880" w:rsidP="00353FED">
            <w:pPr>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uk-UA"/>
              </w:rPr>
              <w:t>9</w:t>
            </w:r>
            <w:r>
              <w:rPr>
                <w:rFonts w:ascii="Times New Roman" w:hAnsi="Times New Roman" w:cs="Times New Roman"/>
                <w:sz w:val="28"/>
                <w:szCs w:val="28"/>
                <w:lang w:val="en-US"/>
              </w:rPr>
              <w:t>2</w:t>
            </w:r>
            <w:r>
              <w:rPr>
                <w:rFonts w:ascii="Times New Roman" w:hAnsi="Times New Roman" w:cs="Times New Roman"/>
                <w:sz w:val="28"/>
                <w:szCs w:val="28"/>
                <w:lang w:val="uk-UA"/>
              </w:rPr>
              <w:t>,</w:t>
            </w:r>
            <w:r>
              <w:rPr>
                <w:rFonts w:ascii="Times New Roman" w:hAnsi="Times New Roman" w:cs="Times New Roman"/>
                <w:sz w:val="28"/>
                <w:szCs w:val="28"/>
                <w:lang w:val="en-US"/>
              </w:rPr>
              <w:t>27</w:t>
            </w:r>
            <w:r w:rsidR="00E944E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944E6">
              <w:rPr>
                <w:rFonts w:ascii="Times New Roman" w:hAnsi="Times New Roman" w:cs="Times New Roman"/>
                <w:sz w:val="28"/>
                <w:szCs w:val="28"/>
                <w:lang w:val="uk-UA"/>
              </w:rPr>
              <w:t xml:space="preserve"> </w:t>
            </w:r>
            <w:r>
              <w:rPr>
                <w:rFonts w:ascii="Times New Roman" w:hAnsi="Times New Roman" w:cs="Times New Roman"/>
                <w:sz w:val="28"/>
                <w:szCs w:val="28"/>
                <w:lang w:val="en-US"/>
              </w:rPr>
              <w:t>0</w:t>
            </w:r>
            <w:r>
              <w:rPr>
                <w:rFonts w:ascii="Times New Roman" w:hAnsi="Times New Roman" w:cs="Times New Roman"/>
                <w:sz w:val="28"/>
                <w:szCs w:val="28"/>
                <w:lang w:val="uk-UA"/>
              </w:rPr>
              <w:t>,</w:t>
            </w:r>
            <w:r>
              <w:rPr>
                <w:rFonts w:ascii="Times New Roman" w:hAnsi="Times New Roman" w:cs="Times New Roman"/>
                <w:sz w:val="28"/>
                <w:szCs w:val="28"/>
                <w:lang w:val="en-US"/>
              </w:rPr>
              <w:t>94</w:t>
            </w:r>
          </w:p>
        </w:tc>
        <w:tc>
          <w:tcPr>
            <w:tcW w:w="1701" w:type="dxa"/>
          </w:tcPr>
          <w:p w:rsidR="00703CCF" w:rsidRPr="008D6381" w:rsidRDefault="00703CCF" w:rsidP="00B44D8A">
            <w:pPr>
              <w:autoSpaceDE w:val="0"/>
              <w:autoSpaceDN w:val="0"/>
              <w:adjustRightInd w:val="0"/>
              <w:spacing w:line="360" w:lineRule="auto"/>
              <w:jc w:val="center"/>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1</w:t>
            </w:r>
            <w:r w:rsidR="00BB0880">
              <w:rPr>
                <w:rFonts w:ascii="Times New Roman" w:hAnsi="Times New Roman" w:cs="Times New Roman"/>
                <w:sz w:val="28"/>
                <w:szCs w:val="28"/>
                <w:lang w:val="en-US"/>
              </w:rPr>
              <w:t xml:space="preserve"> &lt; 0,0001</w:t>
            </w:r>
            <w:r w:rsidRPr="008D6381">
              <w:t xml:space="preserve"> </w:t>
            </w: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2</w:t>
            </w:r>
            <w:r w:rsidR="000D1611" w:rsidRPr="008D6381">
              <w:rPr>
                <w:rFonts w:ascii="Times New Roman" w:hAnsi="Times New Roman" w:cs="Times New Roman"/>
                <w:sz w:val="28"/>
                <w:szCs w:val="28"/>
                <w:lang w:val="en-US"/>
              </w:rPr>
              <w:t xml:space="preserve"> =</w:t>
            </w:r>
            <w:r w:rsidRPr="008D6381">
              <w:rPr>
                <w:rFonts w:ascii="Times New Roman" w:hAnsi="Times New Roman" w:cs="Times New Roman"/>
                <w:sz w:val="28"/>
                <w:szCs w:val="28"/>
                <w:lang w:val="en-US"/>
              </w:rPr>
              <w:t xml:space="preserve"> 0,0</w:t>
            </w:r>
            <w:r w:rsidR="00BB0880">
              <w:rPr>
                <w:rFonts w:ascii="Times New Roman" w:hAnsi="Times New Roman" w:cs="Times New Roman"/>
                <w:sz w:val="28"/>
                <w:szCs w:val="28"/>
                <w:lang w:val="en-US"/>
              </w:rPr>
              <w:t>003</w:t>
            </w:r>
          </w:p>
          <w:p w:rsidR="00703CCF" w:rsidRPr="008D6381" w:rsidRDefault="00703CCF" w:rsidP="00B44D8A">
            <w:pPr>
              <w:autoSpaceDE w:val="0"/>
              <w:autoSpaceDN w:val="0"/>
              <w:adjustRightInd w:val="0"/>
              <w:spacing w:line="360" w:lineRule="auto"/>
              <w:jc w:val="center"/>
              <w:rPr>
                <w:rFonts w:ascii="Times New Roman" w:hAnsi="Times New Roman" w:cs="Times New Roman"/>
                <w:sz w:val="28"/>
                <w:szCs w:val="28"/>
                <w:lang w:val="uk-UA"/>
              </w:rPr>
            </w:pPr>
            <w:r w:rsidRPr="008D6381">
              <w:rPr>
                <w:rFonts w:ascii="Times New Roman" w:hAnsi="Times New Roman" w:cs="Times New Roman"/>
                <w:sz w:val="28"/>
                <w:szCs w:val="28"/>
                <w:lang w:val="en-US"/>
              </w:rPr>
              <w:t>p</w:t>
            </w:r>
            <w:r w:rsidR="00206E82" w:rsidRPr="008D6381">
              <w:rPr>
                <w:rFonts w:ascii="Times New Roman" w:hAnsi="Times New Roman" w:cs="Times New Roman"/>
                <w:sz w:val="28"/>
                <w:szCs w:val="28"/>
                <w:vertAlign w:val="subscript"/>
                <w:lang w:val="uk-UA"/>
              </w:rPr>
              <w:t>3</w:t>
            </w:r>
            <w:r w:rsidR="00BB0880">
              <w:rPr>
                <w:rFonts w:ascii="Times New Roman" w:hAnsi="Times New Roman" w:cs="Times New Roman"/>
                <w:sz w:val="28"/>
                <w:szCs w:val="28"/>
                <w:lang w:val="en-US"/>
              </w:rPr>
              <w:t xml:space="preserve"> = 0,6829</w:t>
            </w:r>
          </w:p>
        </w:tc>
      </w:tr>
    </w:tbl>
    <w:p w:rsidR="00857352" w:rsidRDefault="00857352" w:rsidP="00E944E6">
      <w:pPr>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Примітки</w:t>
      </w:r>
      <w:r w:rsidR="00E24A85" w:rsidRPr="0021110C">
        <w:rPr>
          <w:rFonts w:ascii="Times New Roman" w:hAnsi="Times New Roman" w:cs="Times New Roman"/>
          <w:bCs/>
          <w:sz w:val="28"/>
          <w:szCs w:val="28"/>
          <w:lang w:val="uk-UA"/>
        </w:rPr>
        <w:t>:</w:t>
      </w:r>
    </w:p>
    <w:p w:rsidR="005B1224" w:rsidRPr="00857352" w:rsidRDefault="00857352" w:rsidP="00857352">
      <w:pPr>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1.</w:t>
      </w:r>
      <w:r w:rsidR="00E944E6" w:rsidRPr="00857352">
        <w:rPr>
          <w:rFonts w:ascii="Times New Roman" w:hAnsi="Times New Roman" w:cs="Times New Roman"/>
          <w:bCs/>
          <w:sz w:val="28"/>
          <w:szCs w:val="28"/>
          <w:lang w:val="uk-UA"/>
        </w:rPr>
        <w:t xml:space="preserve"> </w:t>
      </w:r>
      <w:r w:rsidR="00604EF8" w:rsidRPr="00857352">
        <w:rPr>
          <w:rFonts w:ascii="Times New Roman" w:eastAsia="Times New Roman" w:hAnsi="Times New Roman" w:cs="Times New Roman"/>
          <w:bCs/>
          <w:color w:val="000000"/>
          <w:sz w:val="28"/>
          <w:szCs w:val="28"/>
          <w:lang w:val="uk-UA" w:eastAsia="ru-RU"/>
        </w:rPr>
        <w:t>р</w:t>
      </w:r>
      <w:r w:rsidR="00604EF8" w:rsidRPr="00857352">
        <w:rPr>
          <w:rFonts w:ascii="Times New Roman" w:eastAsia="Times New Roman" w:hAnsi="Times New Roman" w:cs="Times New Roman"/>
          <w:bCs/>
          <w:color w:val="000000"/>
          <w:sz w:val="28"/>
          <w:szCs w:val="28"/>
          <w:vertAlign w:val="subscript"/>
          <w:lang w:val="uk-UA" w:eastAsia="ru-RU"/>
        </w:rPr>
        <w:t>1</w:t>
      </w:r>
      <w:r w:rsidR="00656549" w:rsidRPr="00857352">
        <w:rPr>
          <w:rFonts w:ascii="Times New Roman" w:eastAsia="Times New Roman" w:hAnsi="Times New Roman" w:cs="Times New Roman"/>
          <w:bCs/>
          <w:color w:val="000000"/>
          <w:sz w:val="28"/>
          <w:szCs w:val="28"/>
          <w:lang w:val="uk-UA" w:eastAsia="ru-RU"/>
        </w:rPr>
        <w:t xml:space="preserve"> – достов</w:t>
      </w:r>
      <w:r w:rsidR="00656549" w:rsidRPr="00857352">
        <w:rPr>
          <w:rFonts w:ascii="Times New Roman" w:eastAsia="Times New Roman" w:hAnsi="Times New Roman" w:cs="Times New Roman"/>
          <w:bCs/>
          <w:color w:val="000000"/>
          <w:sz w:val="28"/>
          <w:szCs w:val="28"/>
          <w:lang w:val="en-US" w:eastAsia="ru-RU"/>
        </w:rPr>
        <w:t>i</w:t>
      </w:r>
      <w:r w:rsidR="00656549" w:rsidRPr="00857352">
        <w:rPr>
          <w:rFonts w:ascii="Times New Roman" w:eastAsia="Times New Roman" w:hAnsi="Times New Roman" w:cs="Times New Roman"/>
          <w:bCs/>
          <w:color w:val="000000"/>
          <w:sz w:val="28"/>
          <w:szCs w:val="28"/>
          <w:lang w:val="uk-UA" w:eastAsia="ru-RU"/>
        </w:rPr>
        <w:t>рн</w:t>
      </w:r>
      <w:r w:rsidR="00656549" w:rsidRPr="00857352">
        <w:rPr>
          <w:rFonts w:ascii="Times New Roman" w:eastAsia="Times New Roman" w:hAnsi="Times New Roman" w:cs="Times New Roman"/>
          <w:bCs/>
          <w:color w:val="000000"/>
          <w:sz w:val="28"/>
          <w:szCs w:val="28"/>
          <w:lang w:val="en-US" w:eastAsia="ru-RU"/>
        </w:rPr>
        <w:t>i</w:t>
      </w:r>
      <w:r w:rsidR="00656549" w:rsidRPr="00857352">
        <w:rPr>
          <w:rFonts w:ascii="Times New Roman" w:eastAsia="Times New Roman" w:hAnsi="Times New Roman" w:cs="Times New Roman"/>
          <w:bCs/>
          <w:color w:val="000000"/>
          <w:sz w:val="28"/>
          <w:szCs w:val="28"/>
          <w:lang w:val="uk-UA" w:eastAsia="ru-RU"/>
        </w:rPr>
        <w:t>сть розходження м</w:t>
      </w:r>
      <w:r w:rsidR="00656549" w:rsidRPr="00857352">
        <w:rPr>
          <w:rFonts w:ascii="Times New Roman" w:eastAsia="Times New Roman" w:hAnsi="Times New Roman" w:cs="Times New Roman"/>
          <w:bCs/>
          <w:color w:val="000000"/>
          <w:sz w:val="28"/>
          <w:szCs w:val="28"/>
          <w:lang w:val="en-US" w:eastAsia="ru-RU"/>
        </w:rPr>
        <w:t>i</w:t>
      </w:r>
      <w:r w:rsidR="005B1224" w:rsidRPr="00857352">
        <w:rPr>
          <w:rFonts w:ascii="Times New Roman" w:eastAsia="Times New Roman" w:hAnsi="Times New Roman" w:cs="Times New Roman"/>
          <w:bCs/>
          <w:color w:val="000000"/>
          <w:sz w:val="28"/>
          <w:szCs w:val="28"/>
          <w:lang w:val="uk-UA" w:eastAsia="ru-RU"/>
        </w:rPr>
        <w:t xml:space="preserve">ж показниками І та ІІ </w:t>
      </w:r>
      <w:r w:rsidR="00CB2C9F" w:rsidRPr="00857352">
        <w:rPr>
          <w:rFonts w:ascii="Times New Roman" w:eastAsia="Times New Roman" w:hAnsi="Times New Roman" w:cs="Times New Roman"/>
          <w:bCs/>
          <w:color w:val="000000"/>
          <w:sz w:val="28"/>
          <w:szCs w:val="28"/>
          <w:lang w:val="uk-UA" w:eastAsia="ru-RU"/>
        </w:rPr>
        <w:t>груп</w:t>
      </w:r>
      <w:r w:rsidR="00E944E6" w:rsidRPr="00857352">
        <w:rPr>
          <w:rFonts w:ascii="Times New Roman" w:eastAsia="Times New Roman" w:hAnsi="Times New Roman" w:cs="Times New Roman"/>
          <w:bCs/>
          <w:color w:val="000000"/>
          <w:sz w:val="28"/>
          <w:szCs w:val="28"/>
          <w:lang w:val="uk-UA" w:eastAsia="ru-RU"/>
        </w:rPr>
        <w:t>;</w:t>
      </w:r>
    </w:p>
    <w:p w:rsidR="005B1224" w:rsidRPr="00857352" w:rsidRDefault="00857352" w:rsidP="00E944E6">
      <w:pPr>
        <w:spacing w:after="0" w:line="360" w:lineRule="auto"/>
        <w:ind w:firstLine="708"/>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2. </w:t>
      </w:r>
      <w:r w:rsidR="00604EF8" w:rsidRPr="00857352">
        <w:rPr>
          <w:rFonts w:ascii="Times New Roman" w:eastAsia="Times New Roman" w:hAnsi="Times New Roman" w:cs="Times New Roman"/>
          <w:bCs/>
          <w:color w:val="000000"/>
          <w:sz w:val="28"/>
          <w:szCs w:val="28"/>
          <w:lang w:val="uk-UA" w:eastAsia="ru-RU"/>
        </w:rPr>
        <w:t>р</w:t>
      </w:r>
      <w:r w:rsidR="00604EF8" w:rsidRPr="00857352">
        <w:rPr>
          <w:rFonts w:ascii="Times New Roman" w:eastAsia="Times New Roman" w:hAnsi="Times New Roman" w:cs="Times New Roman"/>
          <w:bCs/>
          <w:color w:val="000000"/>
          <w:sz w:val="28"/>
          <w:szCs w:val="28"/>
          <w:vertAlign w:val="subscript"/>
          <w:lang w:val="uk-UA" w:eastAsia="ru-RU"/>
        </w:rPr>
        <w:t>2</w:t>
      </w:r>
      <w:r w:rsidR="00656549" w:rsidRPr="00857352">
        <w:rPr>
          <w:rFonts w:ascii="Times New Roman" w:eastAsia="Times New Roman" w:hAnsi="Times New Roman" w:cs="Times New Roman"/>
          <w:bCs/>
          <w:color w:val="000000"/>
          <w:sz w:val="28"/>
          <w:szCs w:val="28"/>
          <w:lang w:val="uk-UA" w:eastAsia="ru-RU"/>
        </w:rPr>
        <w:t xml:space="preserve"> – достов</w:t>
      </w:r>
      <w:r w:rsidR="00656549">
        <w:rPr>
          <w:rFonts w:ascii="Times New Roman" w:eastAsia="Times New Roman" w:hAnsi="Times New Roman" w:cs="Times New Roman"/>
          <w:bCs/>
          <w:color w:val="000000"/>
          <w:sz w:val="28"/>
          <w:szCs w:val="28"/>
          <w:lang w:val="en-US" w:eastAsia="ru-RU"/>
        </w:rPr>
        <w:t>i</w:t>
      </w:r>
      <w:r w:rsidR="00656549" w:rsidRPr="00857352">
        <w:rPr>
          <w:rFonts w:ascii="Times New Roman" w:eastAsia="Times New Roman" w:hAnsi="Times New Roman" w:cs="Times New Roman"/>
          <w:bCs/>
          <w:color w:val="000000"/>
          <w:sz w:val="28"/>
          <w:szCs w:val="28"/>
          <w:lang w:val="uk-UA" w:eastAsia="ru-RU"/>
        </w:rPr>
        <w:t>рн</w:t>
      </w:r>
      <w:r w:rsidR="00656549">
        <w:rPr>
          <w:rFonts w:ascii="Times New Roman" w:eastAsia="Times New Roman" w:hAnsi="Times New Roman" w:cs="Times New Roman"/>
          <w:bCs/>
          <w:color w:val="000000"/>
          <w:sz w:val="28"/>
          <w:szCs w:val="28"/>
          <w:lang w:val="en-US" w:eastAsia="ru-RU"/>
        </w:rPr>
        <w:t>i</w:t>
      </w:r>
      <w:r w:rsidR="00656549" w:rsidRPr="00857352">
        <w:rPr>
          <w:rFonts w:ascii="Times New Roman" w:eastAsia="Times New Roman" w:hAnsi="Times New Roman" w:cs="Times New Roman"/>
          <w:bCs/>
          <w:color w:val="000000"/>
          <w:sz w:val="28"/>
          <w:szCs w:val="28"/>
          <w:lang w:val="uk-UA" w:eastAsia="ru-RU"/>
        </w:rPr>
        <w:t>сть розходження м</w:t>
      </w:r>
      <w:r w:rsidR="00656549">
        <w:rPr>
          <w:rFonts w:ascii="Times New Roman" w:eastAsia="Times New Roman" w:hAnsi="Times New Roman" w:cs="Times New Roman"/>
          <w:bCs/>
          <w:color w:val="000000"/>
          <w:sz w:val="28"/>
          <w:szCs w:val="28"/>
          <w:lang w:val="en-US" w:eastAsia="ru-RU"/>
        </w:rPr>
        <w:t>i</w:t>
      </w:r>
      <w:r w:rsidR="005B1224" w:rsidRPr="00857352">
        <w:rPr>
          <w:rFonts w:ascii="Times New Roman" w:eastAsia="Times New Roman" w:hAnsi="Times New Roman" w:cs="Times New Roman"/>
          <w:bCs/>
          <w:color w:val="000000"/>
          <w:sz w:val="28"/>
          <w:szCs w:val="28"/>
          <w:lang w:val="uk-UA" w:eastAsia="ru-RU"/>
        </w:rPr>
        <w:t xml:space="preserve">ж показниками </w:t>
      </w:r>
      <w:r w:rsidR="00F7073B">
        <w:rPr>
          <w:rFonts w:ascii="Times New Roman" w:eastAsia="Times New Roman" w:hAnsi="Times New Roman" w:cs="Times New Roman"/>
          <w:bCs/>
          <w:color w:val="000000"/>
          <w:sz w:val="28"/>
          <w:szCs w:val="28"/>
          <w:lang w:val="uk-UA" w:eastAsia="ru-RU"/>
        </w:rPr>
        <w:t xml:space="preserve">І </w:t>
      </w:r>
      <w:r w:rsidR="00CB2C9F" w:rsidRPr="00857352">
        <w:rPr>
          <w:rFonts w:ascii="Times New Roman" w:eastAsia="Times New Roman" w:hAnsi="Times New Roman" w:cs="Times New Roman"/>
          <w:bCs/>
          <w:color w:val="000000"/>
          <w:sz w:val="28"/>
          <w:szCs w:val="28"/>
          <w:lang w:val="uk-UA" w:eastAsia="ru-RU"/>
        </w:rPr>
        <w:t>груп</w:t>
      </w:r>
      <w:r w:rsidR="00F7073B">
        <w:rPr>
          <w:rFonts w:ascii="Times New Roman" w:eastAsia="Times New Roman" w:hAnsi="Times New Roman" w:cs="Times New Roman"/>
          <w:bCs/>
          <w:color w:val="000000"/>
          <w:sz w:val="28"/>
          <w:szCs w:val="28"/>
          <w:lang w:val="uk-UA" w:eastAsia="ru-RU"/>
        </w:rPr>
        <w:t>и та контролем</w:t>
      </w:r>
      <w:r w:rsidR="00E944E6">
        <w:rPr>
          <w:rFonts w:ascii="Times New Roman" w:eastAsia="Times New Roman" w:hAnsi="Times New Roman" w:cs="Times New Roman"/>
          <w:bCs/>
          <w:color w:val="000000"/>
          <w:sz w:val="28"/>
          <w:szCs w:val="28"/>
          <w:lang w:val="uk-UA" w:eastAsia="ru-RU"/>
        </w:rPr>
        <w:t>;</w:t>
      </w:r>
      <w:r w:rsidR="005B1224" w:rsidRPr="00857352">
        <w:rPr>
          <w:rFonts w:ascii="Times New Roman" w:eastAsia="Times New Roman" w:hAnsi="Times New Roman" w:cs="Times New Roman"/>
          <w:bCs/>
          <w:color w:val="000000"/>
          <w:sz w:val="28"/>
          <w:szCs w:val="28"/>
          <w:lang w:val="uk-UA" w:eastAsia="ru-RU"/>
        </w:rPr>
        <w:t xml:space="preserve"> </w:t>
      </w:r>
    </w:p>
    <w:p w:rsidR="005B1224" w:rsidRPr="00857352" w:rsidRDefault="00857352" w:rsidP="00F7073B">
      <w:pPr>
        <w:spacing w:after="0" w:line="360" w:lineRule="auto"/>
        <w:ind w:firstLine="708"/>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3. </w:t>
      </w:r>
      <w:r w:rsidR="00604EF8" w:rsidRPr="00857352">
        <w:rPr>
          <w:rFonts w:ascii="Times New Roman" w:eastAsia="Times New Roman" w:hAnsi="Times New Roman" w:cs="Times New Roman"/>
          <w:bCs/>
          <w:color w:val="000000"/>
          <w:sz w:val="28"/>
          <w:szCs w:val="28"/>
          <w:lang w:val="uk-UA" w:eastAsia="ru-RU"/>
        </w:rPr>
        <w:t>р</w:t>
      </w:r>
      <w:r w:rsidR="00604EF8" w:rsidRPr="00857352">
        <w:rPr>
          <w:rFonts w:ascii="Times New Roman" w:eastAsia="Times New Roman" w:hAnsi="Times New Roman" w:cs="Times New Roman"/>
          <w:bCs/>
          <w:color w:val="000000"/>
          <w:sz w:val="28"/>
          <w:szCs w:val="28"/>
          <w:vertAlign w:val="subscript"/>
          <w:lang w:val="uk-UA" w:eastAsia="ru-RU"/>
        </w:rPr>
        <w:t>3</w:t>
      </w:r>
      <w:r w:rsidR="00656549" w:rsidRPr="00857352">
        <w:rPr>
          <w:rFonts w:ascii="Times New Roman" w:eastAsia="Times New Roman" w:hAnsi="Times New Roman" w:cs="Times New Roman"/>
          <w:bCs/>
          <w:color w:val="000000"/>
          <w:sz w:val="28"/>
          <w:szCs w:val="28"/>
          <w:lang w:val="uk-UA" w:eastAsia="ru-RU"/>
        </w:rPr>
        <w:t xml:space="preserve"> – достов</w:t>
      </w:r>
      <w:r w:rsidR="00656549">
        <w:rPr>
          <w:rFonts w:ascii="Times New Roman" w:eastAsia="Times New Roman" w:hAnsi="Times New Roman" w:cs="Times New Roman"/>
          <w:bCs/>
          <w:color w:val="000000"/>
          <w:sz w:val="28"/>
          <w:szCs w:val="28"/>
          <w:lang w:val="en-US" w:eastAsia="ru-RU"/>
        </w:rPr>
        <w:t>i</w:t>
      </w:r>
      <w:r w:rsidR="00656549" w:rsidRPr="00857352">
        <w:rPr>
          <w:rFonts w:ascii="Times New Roman" w:eastAsia="Times New Roman" w:hAnsi="Times New Roman" w:cs="Times New Roman"/>
          <w:bCs/>
          <w:color w:val="000000"/>
          <w:sz w:val="28"/>
          <w:szCs w:val="28"/>
          <w:lang w:val="uk-UA" w:eastAsia="ru-RU"/>
        </w:rPr>
        <w:t>рн</w:t>
      </w:r>
      <w:r w:rsidR="00656549">
        <w:rPr>
          <w:rFonts w:ascii="Times New Roman" w:eastAsia="Times New Roman" w:hAnsi="Times New Roman" w:cs="Times New Roman"/>
          <w:bCs/>
          <w:color w:val="000000"/>
          <w:sz w:val="28"/>
          <w:szCs w:val="28"/>
          <w:lang w:val="en-US" w:eastAsia="ru-RU"/>
        </w:rPr>
        <w:t>i</w:t>
      </w:r>
      <w:r w:rsidR="00656549" w:rsidRPr="00857352">
        <w:rPr>
          <w:rFonts w:ascii="Times New Roman" w:eastAsia="Times New Roman" w:hAnsi="Times New Roman" w:cs="Times New Roman"/>
          <w:bCs/>
          <w:color w:val="000000"/>
          <w:sz w:val="28"/>
          <w:szCs w:val="28"/>
          <w:lang w:val="uk-UA" w:eastAsia="ru-RU"/>
        </w:rPr>
        <w:t>сть розходження м</w:t>
      </w:r>
      <w:r w:rsidR="00656549">
        <w:rPr>
          <w:rFonts w:ascii="Times New Roman" w:eastAsia="Times New Roman" w:hAnsi="Times New Roman" w:cs="Times New Roman"/>
          <w:bCs/>
          <w:color w:val="000000"/>
          <w:sz w:val="28"/>
          <w:szCs w:val="28"/>
          <w:lang w:val="en-US" w:eastAsia="ru-RU"/>
        </w:rPr>
        <w:t>i</w:t>
      </w:r>
      <w:r w:rsidR="005B1224" w:rsidRPr="00857352">
        <w:rPr>
          <w:rFonts w:ascii="Times New Roman" w:eastAsia="Times New Roman" w:hAnsi="Times New Roman" w:cs="Times New Roman"/>
          <w:bCs/>
          <w:color w:val="000000"/>
          <w:sz w:val="28"/>
          <w:szCs w:val="28"/>
          <w:lang w:val="uk-UA" w:eastAsia="ru-RU"/>
        </w:rPr>
        <w:t xml:space="preserve">ж показниками </w:t>
      </w:r>
      <w:r w:rsidR="00F7073B">
        <w:rPr>
          <w:rFonts w:ascii="Times New Roman" w:eastAsia="Times New Roman" w:hAnsi="Times New Roman" w:cs="Times New Roman"/>
          <w:bCs/>
          <w:color w:val="000000"/>
          <w:sz w:val="28"/>
          <w:szCs w:val="28"/>
          <w:lang w:val="uk-UA" w:eastAsia="ru-RU"/>
        </w:rPr>
        <w:t xml:space="preserve">ІІ </w:t>
      </w:r>
      <w:r w:rsidR="00CB2C9F" w:rsidRPr="00857352">
        <w:rPr>
          <w:rFonts w:ascii="Times New Roman" w:eastAsia="Times New Roman" w:hAnsi="Times New Roman" w:cs="Times New Roman"/>
          <w:bCs/>
          <w:color w:val="000000"/>
          <w:sz w:val="28"/>
          <w:szCs w:val="28"/>
          <w:lang w:val="uk-UA" w:eastAsia="ru-RU"/>
        </w:rPr>
        <w:t>груп</w:t>
      </w:r>
      <w:r w:rsidR="00F7073B">
        <w:rPr>
          <w:rFonts w:ascii="Times New Roman" w:eastAsia="Times New Roman" w:hAnsi="Times New Roman" w:cs="Times New Roman"/>
          <w:bCs/>
          <w:color w:val="000000"/>
          <w:sz w:val="28"/>
          <w:szCs w:val="28"/>
          <w:lang w:val="uk-UA" w:eastAsia="ru-RU"/>
        </w:rPr>
        <w:t>и та контролем</w:t>
      </w:r>
      <w:r w:rsidR="00B94135" w:rsidRPr="00857352">
        <w:rPr>
          <w:rFonts w:ascii="Times New Roman" w:eastAsia="Times New Roman" w:hAnsi="Times New Roman" w:cs="Times New Roman"/>
          <w:bCs/>
          <w:color w:val="000000"/>
          <w:sz w:val="28"/>
          <w:szCs w:val="28"/>
          <w:lang w:val="uk-UA" w:eastAsia="ru-RU"/>
        </w:rPr>
        <w:t>;</w:t>
      </w:r>
    </w:p>
    <w:p w:rsidR="006F5E14" w:rsidRPr="00857352" w:rsidRDefault="00B94135" w:rsidP="00C6028B">
      <w:pPr>
        <w:autoSpaceDE w:val="0"/>
        <w:autoSpaceDN w:val="0"/>
        <w:adjustRightInd w:val="0"/>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r w:rsidR="00857352">
        <w:rPr>
          <w:rFonts w:ascii="Times New Roman" w:hAnsi="Times New Roman" w:cs="Times New Roman"/>
          <w:sz w:val="28"/>
          <w:szCs w:val="28"/>
          <w:lang w:val="uk-UA"/>
        </w:rPr>
        <w:t xml:space="preserve">4. </w:t>
      </w:r>
      <w:r>
        <w:rPr>
          <w:rFonts w:ascii="Times New Roman" w:hAnsi="Times New Roman" w:cs="Times New Roman"/>
          <w:sz w:val="28"/>
          <w:szCs w:val="28"/>
          <w:lang w:val="en-US"/>
        </w:rPr>
        <w:t>n</w:t>
      </w:r>
      <w:r w:rsidRPr="00857352">
        <w:rPr>
          <w:rFonts w:ascii="Times New Roman" w:hAnsi="Times New Roman" w:cs="Times New Roman"/>
          <w:sz w:val="28"/>
          <w:szCs w:val="28"/>
          <w:lang w:val="uk-UA"/>
        </w:rPr>
        <w:t xml:space="preserve"> </w:t>
      </w:r>
      <w:r w:rsidR="00656549">
        <w:rPr>
          <w:rFonts w:ascii="Times New Roman" w:hAnsi="Times New Roman" w:cs="Times New Roman"/>
          <w:sz w:val="28"/>
          <w:szCs w:val="28"/>
          <w:lang w:val="uk-UA"/>
        </w:rPr>
        <w:t>– к</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льк</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сть ос</w:t>
      </w:r>
      <w:r w:rsidR="00656549">
        <w:rPr>
          <w:rFonts w:ascii="Times New Roman" w:hAnsi="Times New Roman" w:cs="Times New Roman"/>
          <w:sz w:val="28"/>
          <w:szCs w:val="28"/>
          <w:lang w:val="en-US"/>
        </w:rPr>
        <w:t>i</w:t>
      </w:r>
      <w:r>
        <w:rPr>
          <w:rFonts w:ascii="Times New Roman" w:hAnsi="Times New Roman" w:cs="Times New Roman"/>
          <w:sz w:val="28"/>
          <w:szCs w:val="28"/>
          <w:lang w:val="uk-UA"/>
        </w:rPr>
        <w:t>б</w:t>
      </w:r>
    </w:p>
    <w:p w:rsidR="00B94135" w:rsidRPr="00857352" w:rsidRDefault="00B94135" w:rsidP="00DC71BF">
      <w:pPr>
        <w:autoSpaceDE w:val="0"/>
        <w:autoSpaceDN w:val="0"/>
        <w:adjustRightInd w:val="0"/>
        <w:spacing w:after="0" w:line="360" w:lineRule="auto"/>
        <w:ind w:firstLine="708"/>
        <w:jc w:val="both"/>
        <w:rPr>
          <w:rFonts w:ascii="Times New Roman" w:hAnsi="Times New Roman" w:cs="Times New Roman"/>
          <w:sz w:val="28"/>
          <w:szCs w:val="28"/>
          <w:lang w:val="uk-UA"/>
        </w:rPr>
      </w:pPr>
    </w:p>
    <w:p w:rsidR="006F5E14" w:rsidRPr="00B67BE7" w:rsidRDefault="00656549" w:rsidP="00DC71BF">
      <w:pPr>
        <w:autoSpaceDE w:val="0"/>
        <w:autoSpaceDN w:val="0"/>
        <w:adjustRightInd w:val="0"/>
        <w:spacing w:after="0" w:line="360" w:lineRule="auto"/>
        <w:ind w:firstLine="708"/>
        <w:jc w:val="both"/>
        <w:rPr>
          <w:rFonts w:ascii="NewtonC" w:hAnsi="NewtonC" w:cs="NewtonC"/>
          <w:sz w:val="20"/>
          <w:szCs w:val="20"/>
          <w:lang w:val="uk-UA"/>
        </w:rPr>
      </w:pPr>
      <w:r>
        <w:rPr>
          <w:rFonts w:ascii="Times New Roman" w:hAnsi="Times New Roman" w:cs="Times New Roman"/>
          <w:sz w:val="28"/>
          <w:szCs w:val="28"/>
          <w:lang w:val="uk-UA"/>
        </w:rPr>
        <w:t>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7E480C" w:rsidRPr="00DC71BF">
        <w:rPr>
          <w:rFonts w:ascii="Times New Roman" w:hAnsi="Times New Roman" w:cs="Times New Roman"/>
          <w:sz w:val="28"/>
          <w:szCs w:val="28"/>
          <w:lang w:val="uk-UA"/>
        </w:rPr>
        <w:t>я</w:t>
      </w:r>
      <w:r w:rsidR="009D01FC">
        <w:rPr>
          <w:rFonts w:ascii="Times New Roman" w:hAnsi="Times New Roman" w:cs="Times New Roman"/>
          <w:sz w:val="28"/>
          <w:szCs w:val="28"/>
          <w:lang w:val="uk-UA"/>
        </w:rPr>
        <w:t xml:space="preserve"> є основним маркером ураження нирок при ЦД 2-го типу</w:t>
      </w:r>
      <w:r w:rsidR="00DF6553">
        <w:rPr>
          <w:rFonts w:ascii="Times New Roman" w:hAnsi="Times New Roman" w:cs="Times New Roman"/>
          <w:sz w:val="28"/>
          <w:szCs w:val="28"/>
          <w:lang w:val="uk-UA"/>
        </w:rPr>
        <w:t xml:space="preserve"> </w:t>
      </w:r>
      <w:r w:rsidR="00691D07">
        <w:rPr>
          <w:rFonts w:ascii="Times New Roman" w:hAnsi="Times New Roman" w:cs="Times New Roman"/>
          <w:sz w:val="28"/>
          <w:szCs w:val="28"/>
          <w:lang w:val="uk-UA"/>
        </w:rPr>
        <w:t>та фактором</w:t>
      </w:r>
      <w:r w:rsidR="00691D07" w:rsidRPr="00691D07">
        <w:rPr>
          <w:rFonts w:ascii="Times New Roman" w:hAnsi="Times New Roman" w:cs="Times New Roman"/>
          <w:sz w:val="28"/>
          <w:szCs w:val="28"/>
          <w:lang w:val="uk-UA"/>
        </w:rPr>
        <w:t xml:space="preserve"> ризи</w:t>
      </w:r>
      <w:r w:rsidR="00691D07">
        <w:rPr>
          <w:rFonts w:ascii="Times New Roman" w:hAnsi="Times New Roman" w:cs="Times New Roman"/>
          <w:sz w:val="28"/>
          <w:szCs w:val="28"/>
          <w:lang w:val="uk-UA"/>
        </w:rPr>
        <w:t xml:space="preserve">ку розвитку ССУ у хворих на АГ </w:t>
      </w:r>
      <w:r w:rsidR="00DF6553" w:rsidRPr="00DF6553">
        <w:rPr>
          <w:rFonts w:ascii="Times New Roman" w:hAnsi="Times New Roman" w:cs="Times New Roman"/>
          <w:sz w:val="28"/>
          <w:szCs w:val="28"/>
        </w:rPr>
        <w:t>[</w:t>
      </w:r>
      <w:r w:rsidR="004B16DA">
        <w:rPr>
          <w:rFonts w:ascii="Times New Roman" w:hAnsi="Times New Roman" w:cs="Times New Roman"/>
          <w:sz w:val="28"/>
          <w:szCs w:val="28"/>
          <w:lang w:val="uk-UA"/>
        </w:rPr>
        <w:t>7</w:t>
      </w:r>
      <w:r w:rsidR="00DF6553" w:rsidRPr="00DF6553">
        <w:rPr>
          <w:rFonts w:ascii="Times New Roman" w:hAnsi="Times New Roman" w:cs="Times New Roman"/>
          <w:sz w:val="28"/>
          <w:szCs w:val="28"/>
        </w:rPr>
        <w:t>]</w:t>
      </w:r>
      <w:r w:rsidR="006F5E14" w:rsidRPr="00DC71BF">
        <w:rPr>
          <w:rFonts w:ascii="Times New Roman" w:hAnsi="Times New Roman" w:cs="Times New Roman"/>
          <w:sz w:val="28"/>
          <w:szCs w:val="28"/>
          <w:lang w:val="uk-UA"/>
        </w:rPr>
        <w:t xml:space="preserve">. </w:t>
      </w:r>
    </w:p>
    <w:p w:rsidR="0096513D" w:rsidRPr="00E947C8" w:rsidRDefault="008615C0" w:rsidP="00E85076">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Серед пацієнтів </w:t>
      </w:r>
      <w:r w:rsidR="0054115A">
        <w:rPr>
          <w:rFonts w:ascii="Times New Roman" w:hAnsi="Times New Roman" w:cs="Times New Roman"/>
          <w:sz w:val="28"/>
          <w:szCs w:val="28"/>
          <w:lang w:val="uk-UA"/>
        </w:rPr>
        <w:t>і</w:t>
      </w:r>
      <w:r>
        <w:rPr>
          <w:rFonts w:ascii="Times New Roman" w:hAnsi="Times New Roman" w:cs="Times New Roman"/>
          <w:sz w:val="28"/>
          <w:szCs w:val="28"/>
          <w:lang w:val="uk-UA"/>
        </w:rPr>
        <w:t xml:space="preserve">з АГ та супутнім ЦД 2-го типу </w:t>
      </w:r>
      <w:r w:rsidR="004F69DB" w:rsidRPr="004F69DB">
        <w:rPr>
          <w:rFonts w:ascii="Times New Roman" w:hAnsi="Times New Roman" w:cs="Times New Roman"/>
          <w:sz w:val="28"/>
          <w:szCs w:val="28"/>
          <w:lang w:val="uk-UA"/>
        </w:rPr>
        <w:t>категорію альбумінурії А1</w:t>
      </w:r>
      <w:r w:rsidR="0096513D" w:rsidRPr="004F69DB">
        <w:rPr>
          <w:rFonts w:ascii="Times New Roman" w:hAnsi="Times New Roman" w:cs="Times New Roman"/>
          <w:sz w:val="28"/>
          <w:szCs w:val="28"/>
          <w:lang w:val="uk-UA"/>
        </w:rPr>
        <w:t xml:space="preserve"> мали </w:t>
      </w:r>
      <w:r w:rsidR="00507B7C" w:rsidRPr="004F69DB">
        <w:rPr>
          <w:rFonts w:ascii="Times New Roman" w:hAnsi="Times New Roman" w:cs="Times New Roman"/>
          <w:sz w:val="28"/>
          <w:szCs w:val="28"/>
          <w:lang w:val="uk-UA"/>
        </w:rPr>
        <w:t>1</w:t>
      </w:r>
      <w:r w:rsidR="00F15DFB" w:rsidRPr="004F69DB">
        <w:rPr>
          <w:rFonts w:ascii="Times New Roman" w:hAnsi="Times New Roman" w:cs="Times New Roman"/>
          <w:sz w:val="28"/>
          <w:szCs w:val="28"/>
          <w:lang w:val="uk-UA"/>
        </w:rPr>
        <w:t>5</w:t>
      </w:r>
      <w:r w:rsidR="0096513D" w:rsidRPr="004F69DB">
        <w:rPr>
          <w:rFonts w:ascii="Times New Roman" w:hAnsi="Times New Roman" w:cs="Times New Roman"/>
          <w:sz w:val="28"/>
          <w:szCs w:val="28"/>
          <w:lang w:val="uk-UA"/>
        </w:rPr>
        <w:t xml:space="preserve"> (</w:t>
      </w:r>
      <w:r w:rsidR="00F15DFB" w:rsidRPr="004F69DB">
        <w:rPr>
          <w:rFonts w:ascii="Times New Roman" w:hAnsi="Times New Roman" w:cs="Times New Roman"/>
          <w:sz w:val="28"/>
          <w:szCs w:val="28"/>
          <w:lang w:val="uk-UA"/>
        </w:rPr>
        <w:t>15,6</w:t>
      </w:r>
      <w:r w:rsidR="00E944E6" w:rsidRPr="004F69DB">
        <w:rPr>
          <w:rFonts w:ascii="Times New Roman" w:hAnsi="Times New Roman" w:cs="Times New Roman"/>
          <w:sz w:val="28"/>
          <w:szCs w:val="28"/>
          <w:lang w:val="uk-UA"/>
        </w:rPr>
        <w:t xml:space="preserve"> </w:t>
      </w:r>
      <w:r w:rsidR="004F69DB" w:rsidRPr="004F69D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F69DB" w:rsidRPr="004F69DB">
        <w:rPr>
          <w:rFonts w:ascii="Times New Roman" w:hAnsi="Times New Roman" w:cs="Times New Roman"/>
          <w:sz w:val="28"/>
          <w:szCs w:val="28"/>
          <w:lang w:val="uk-UA"/>
        </w:rPr>
        <w:t>, А2</w:t>
      </w:r>
      <w:r w:rsidR="0096513D" w:rsidRPr="004F69DB">
        <w:rPr>
          <w:rFonts w:ascii="Times New Roman" w:hAnsi="Times New Roman" w:cs="Times New Roman"/>
          <w:sz w:val="28"/>
          <w:szCs w:val="28"/>
          <w:lang w:val="uk-UA"/>
        </w:rPr>
        <w:t xml:space="preserve"> </w:t>
      </w:r>
      <w:r w:rsidR="00D5538F" w:rsidRPr="004F69DB">
        <w:rPr>
          <w:rFonts w:ascii="Times New Roman" w:hAnsi="Times New Roman" w:cs="Times New Roman"/>
          <w:sz w:val="28"/>
          <w:szCs w:val="28"/>
          <w:lang w:val="uk-UA"/>
        </w:rPr>
        <w:t>–</w:t>
      </w:r>
      <w:r w:rsidR="00F15DFB" w:rsidRPr="004F69DB">
        <w:rPr>
          <w:rFonts w:ascii="Times New Roman" w:hAnsi="Times New Roman" w:cs="Times New Roman"/>
          <w:sz w:val="28"/>
          <w:szCs w:val="28"/>
          <w:lang w:val="uk-UA"/>
        </w:rPr>
        <w:t xml:space="preserve"> 71</w:t>
      </w:r>
      <w:r w:rsidR="00D5538F" w:rsidRPr="004F69DB">
        <w:rPr>
          <w:rFonts w:ascii="Times New Roman" w:hAnsi="Times New Roman" w:cs="Times New Roman"/>
          <w:sz w:val="28"/>
          <w:szCs w:val="28"/>
          <w:lang w:val="uk-UA"/>
        </w:rPr>
        <w:t xml:space="preserve"> </w:t>
      </w:r>
      <w:r w:rsidR="00F15DFB" w:rsidRPr="004F69DB">
        <w:rPr>
          <w:rFonts w:ascii="Times New Roman" w:hAnsi="Times New Roman" w:cs="Times New Roman"/>
          <w:sz w:val="28"/>
          <w:szCs w:val="28"/>
          <w:lang w:val="uk-UA"/>
        </w:rPr>
        <w:t xml:space="preserve">(74 </w:t>
      </w:r>
      <w:r w:rsidR="004F69DB" w:rsidRPr="004F69DB">
        <w:rPr>
          <w:rFonts w:ascii="Times New Roman" w:hAnsi="Times New Roman" w:cs="Times New Roman"/>
          <w:sz w:val="28"/>
          <w:szCs w:val="28"/>
          <w:lang w:val="uk-UA"/>
        </w:rPr>
        <w:t>%), А3</w:t>
      </w:r>
      <w:r w:rsidR="00D5538F" w:rsidRPr="004F69DB">
        <w:rPr>
          <w:rFonts w:ascii="Times New Roman" w:hAnsi="Times New Roman" w:cs="Times New Roman"/>
          <w:sz w:val="28"/>
          <w:szCs w:val="28"/>
          <w:lang w:val="uk-UA"/>
        </w:rPr>
        <w:t xml:space="preserve"> –</w:t>
      </w:r>
      <w:r w:rsidR="00F15DFB" w:rsidRPr="004F69DB">
        <w:rPr>
          <w:rFonts w:ascii="Times New Roman" w:hAnsi="Times New Roman" w:cs="Times New Roman"/>
          <w:sz w:val="28"/>
          <w:szCs w:val="28"/>
          <w:lang w:val="uk-UA"/>
        </w:rPr>
        <w:t xml:space="preserve"> 10</w:t>
      </w:r>
      <w:r w:rsidR="00D5538F" w:rsidRPr="004F69DB">
        <w:rPr>
          <w:rFonts w:ascii="Times New Roman" w:hAnsi="Times New Roman" w:cs="Times New Roman"/>
          <w:sz w:val="28"/>
          <w:szCs w:val="28"/>
          <w:lang w:val="uk-UA"/>
        </w:rPr>
        <w:t xml:space="preserve"> </w:t>
      </w:r>
      <w:r w:rsidR="00F15DFB" w:rsidRPr="004F69DB">
        <w:rPr>
          <w:rFonts w:ascii="Times New Roman" w:hAnsi="Times New Roman" w:cs="Times New Roman"/>
          <w:sz w:val="28"/>
          <w:szCs w:val="28"/>
          <w:lang w:val="uk-UA"/>
        </w:rPr>
        <w:t xml:space="preserve">(10,4 </w:t>
      </w:r>
      <w:r>
        <w:rPr>
          <w:rFonts w:ascii="Times New Roman" w:hAnsi="Times New Roman" w:cs="Times New Roman"/>
          <w:sz w:val="28"/>
          <w:szCs w:val="28"/>
          <w:lang w:val="uk-UA"/>
        </w:rPr>
        <w:t>%) хворих відповідно</w:t>
      </w:r>
      <w:r w:rsidR="005A6D49" w:rsidRPr="004F69DB">
        <w:rPr>
          <w:rFonts w:ascii="Times New Roman" w:hAnsi="Times New Roman" w:cs="Times New Roman"/>
          <w:sz w:val="28"/>
          <w:szCs w:val="28"/>
          <w:lang w:val="uk-UA"/>
        </w:rPr>
        <w:t xml:space="preserve"> (рис. </w:t>
      </w:r>
      <w:r w:rsidR="00B94E0E" w:rsidRPr="004F69DB">
        <w:rPr>
          <w:rFonts w:ascii="Times New Roman" w:hAnsi="Times New Roman" w:cs="Times New Roman"/>
          <w:sz w:val="28"/>
          <w:szCs w:val="28"/>
          <w:lang w:val="uk-UA"/>
        </w:rPr>
        <w:t>4</w:t>
      </w:r>
      <w:r w:rsidR="00D5538F" w:rsidRPr="004F69DB">
        <w:rPr>
          <w:rFonts w:ascii="Times New Roman" w:hAnsi="Times New Roman" w:cs="Times New Roman"/>
          <w:sz w:val="28"/>
          <w:szCs w:val="28"/>
          <w:lang w:val="uk-UA"/>
        </w:rPr>
        <w:t>.1.1).</w:t>
      </w:r>
    </w:p>
    <w:p w:rsidR="0020690A" w:rsidRDefault="00541EEA" w:rsidP="0020690A">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eastAsia="Times New Roman" w:hAnsi="Times New Roman" w:cs="Times New Roman"/>
          <w:noProof/>
          <w:color w:val="000000"/>
          <w:sz w:val="28"/>
          <w:szCs w:val="28"/>
          <w:lang w:eastAsia="ru-RU"/>
        </w:rPr>
        <w:drawing>
          <wp:inline distT="0" distB="0" distL="0" distR="0" wp14:anchorId="55746C25" wp14:editId="6E65AC84">
            <wp:extent cx="5960534" cy="1603022"/>
            <wp:effectExtent l="0" t="0" r="21590" b="1651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17F6" w:rsidRDefault="00A04C08" w:rsidP="0020690A">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Pr="00A04C08">
        <w:rPr>
          <w:rFonts w:ascii="Times New Roman" w:hAnsi="Times New Roman" w:cs="Times New Roman"/>
          <w:sz w:val="28"/>
          <w:szCs w:val="28"/>
          <w:lang w:val="uk-UA"/>
        </w:rPr>
        <w:t>.</w:t>
      </w:r>
      <w:r w:rsidR="005A6D49">
        <w:rPr>
          <w:rFonts w:ascii="Times New Roman" w:hAnsi="Times New Roman" w:cs="Times New Roman"/>
          <w:sz w:val="28"/>
          <w:szCs w:val="28"/>
          <w:lang w:val="uk-UA"/>
        </w:rPr>
        <w:t xml:space="preserve"> </w:t>
      </w:r>
      <w:r w:rsidR="00B94E0E">
        <w:rPr>
          <w:rFonts w:ascii="Times New Roman" w:hAnsi="Times New Roman" w:cs="Times New Roman"/>
          <w:sz w:val="28"/>
          <w:szCs w:val="28"/>
          <w:lang w:val="uk-UA"/>
        </w:rPr>
        <w:t>4</w:t>
      </w:r>
      <w:r w:rsidR="00E944E6">
        <w:rPr>
          <w:rFonts w:ascii="Times New Roman" w:hAnsi="Times New Roman" w:cs="Times New Roman"/>
          <w:sz w:val="28"/>
          <w:szCs w:val="28"/>
          <w:lang w:val="uk-UA"/>
        </w:rPr>
        <w:t>.1.1 −</w:t>
      </w:r>
      <w:r w:rsidR="00656549">
        <w:rPr>
          <w:rFonts w:ascii="Times New Roman" w:hAnsi="Times New Roman" w:cs="Times New Roman"/>
          <w:sz w:val="28"/>
          <w:szCs w:val="28"/>
          <w:lang w:val="uk-UA"/>
        </w:rPr>
        <w:t xml:space="preserve"> Розпод</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л пац</w:t>
      </w:r>
      <w:r w:rsidR="00656549">
        <w:rPr>
          <w:rFonts w:ascii="Times New Roman" w:hAnsi="Times New Roman" w:cs="Times New Roman"/>
          <w:sz w:val="28"/>
          <w:szCs w:val="28"/>
          <w:lang w:val="en-US"/>
        </w:rPr>
        <w:t>i</w:t>
      </w:r>
      <w:r w:rsidR="00656549">
        <w:rPr>
          <w:rFonts w:ascii="Times New Roman" w:hAnsi="Times New Roman" w:cs="Times New Roman"/>
          <w:sz w:val="28"/>
          <w:szCs w:val="28"/>
          <w:lang w:val="uk-UA"/>
        </w:rPr>
        <w:t>єнт</w:t>
      </w:r>
      <w:r w:rsidR="00656549">
        <w:rPr>
          <w:rFonts w:ascii="Times New Roman" w:hAnsi="Times New Roman" w:cs="Times New Roman"/>
          <w:sz w:val="28"/>
          <w:szCs w:val="28"/>
          <w:lang w:val="en-US"/>
        </w:rPr>
        <w:t>i</w:t>
      </w:r>
      <w:r w:rsidR="007E480C">
        <w:rPr>
          <w:rFonts w:ascii="Times New Roman" w:hAnsi="Times New Roman" w:cs="Times New Roman"/>
          <w:sz w:val="28"/>
          <w:szCs w:val="28"/>
          <w:lang w:val="uk-UA"/>
        </w:rPr>
        <w:t>в</w:t>
      </w:r>
      <w:r w:rsidR="0021110C" w:rsidRPr="0021110C">
        <w:rPr>
          <w:rFonts w:ascii="Times New Roman" w:hAnsi="Times New Roman" w:cs="Times New Roman"/>
          <w:sz w:val="28"/>
          <w:szCs w:val="28"/>
          <w:lang w:val="uk-UA"/>
        </w:rPr>
        <w:t xml:space="preserve"> із </w:t>
      </w:r>
      <w:r w:rsidR="008615C0" w:rsidRPr="008615C0">
        <w:rPr>
          <w:rFonts w:ascii="Times New Roman" w:hAnsi="Times New Roman" w:cs="Times New Roman"/>
          <w:sz w:val="28"/>
          <w:szCs w:val="28"/>
          <w:lang w:val="uk-UA"/>
        </w:rPr>
        <w:t xml:space="preserve">артеріальною гіпертензією </w:t>
      </w:r>
      <w:r w:rsidR="008615C0">
        <w:rPr>
          <w:rFonts w:ascii="Times New Roman" w:hAnsi="Times New Roman" w:cs="Times New Roman"/>
          <w:sz w:val="28"/>
          <w:szCs w:val="28"/>
          <w:lang w:val="uk-UA"/>
        </w:rPr>
        <w:t xml:space="preserve">та </w:t>
      </w:r>
      <w:r w:rsidR="0021110C" w:rsidRPr="0021110C">
        <w:rPr>
          <w:rFonts w:ascii="Times New Roman" w:hAnsi="Times New Roman" w:cs="Times New Roman"/>
          <w:sz w:val="28"/>
          <w:szCs w:val="28"/>
          <w:lang w:val="uk-UA"/>
        </w:rPr>
        <w:t>цукровим діабетом 2</w:t>
      </w:r>
      <w:r w:rsidR="00B25EF1">
        <w:rPr>
          <w:rFonts w:ascii="Times New Roman" w:hAnsi="Times New Roman" w:cs="Times New Roman"/>
          <w:sz w:val="28"/>
          <w:szCs w:val="28"/>
          <w:lang w:val="uk-UA"/>
        </w:rPr>
        <w:t>-го</w:t>
      </w:r>
      <w:r w:rsidR="0021110C" w:rsidRPr="0021110C">
        <w:rPr>
          <w:rFonts w:ascii="Times New Roman" w:hAnsi="Times New Roman" w:cs="Times New Roman"/>
          <w:sz w:val="28"/>
          <w:szCs w:val="28"/>
          <w:lang w:val="uk-UA"/>
        </w:rPr>
        <w:t xml:space="preserve"> ти</w:t>
      </w:r>
      <w:r w:rsidR="00B25EF1">
        <w:rPr>
          <w:rFonts w:ascii="Times New Roman" w:hAnsi="Times New Roman" w:cs="Times New Roman"/>
          <w:sz w:val="28"/>
          <w:szCs w:val="28"/>
          <w:lang w:val="uk-UA"/>
        </w:rPr>
        <w:t xml:space="preserve">пу </w:t>
      </w:r>
      <w:r w:rsidR="007E480C" w:rsidRPr="0021110C">
        <w:rPr>
          <w:rFonts w:ascii="Times New Roman" w:hAnsi="Times New Roman" w:cs="Times New Roman"/>
          <w:sz w:val="28"/>
          <w:szCs w:val="28"/>
          <w:lang w:val="uk-UA"/>
        </w:rPr>
        <w:t>за</w:t>
      </w:r>
      <w:r w:rsidR="004F69DB">
        <w:rPr>
          <w:rFonts w:ascii="Times New Roman" w:hAnsi="Times New Roman" w:cs="Times New Roman"/>
          <w:sz w:val="28"/>
          <w:szCs w:val="28"/>
          <w:lang w:val="uk-UA"/>
        </w:rPr>
        <w:t xml:space="preserve"> категоріями</w:t>
      </w:r>
      <w:r w:rsidR="007E480C">
        <w:rPr>
          <w:rFonts w:ascii="Times New Roman" w:hAnsi="Times New Roman" w:cs="Times New Roman"/>
          <w:sz w:val="28"/>
          <w:szCs w:val="28"/>
          <w:lang w:val="uk-UA"/>
        </w:rPr>
        <w:t xml:space="preserve"> альбумінурії</w:t>
      </w:r>
    </w:p>
    <w:p w:rsidR="00335F47" w:rsidRDefault="00335F47" w:rsidP="009642F2">
      <w:pPr>
        <w:autoSpaceDE w:val="0"/>
        <w:autoSpaceDN w:val="0"/>
        <w:adjustRightInd w:val="0"/>
        <w:spacing w:after="0" w:line="360" w:lineRule="auto"/>
        <w:ind w:firstLine="708"/>
        <w:jc w:val="both"/>
        <w:rPr>
          <w:rFonts w:ascii="Times New Roman" w:hAnsi="Times New Roman" w:cs="Times New Roman"/>
          <w:sz w:val="28"/>
          <w:szCs w:val="28"/>
          <w:lang w:val="uk-UA"/>
        </w:rPr>
      </w:pPr>
    </w:p>
    <w:p w:rsidR="00C26B49" w:rsidRDefault="00656549" w:rsidP="009642F2">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вень </w:t>
      </w:r>
      <w:r w:rsidR="00A67EC7">
        <w:rPr>
          <w:rFonts w:ascii="Times New Roman" w:hAnsi="Times New Roman" w:cs="Times New Roman"/>
          <w:sz w:val="28"/>
          <w:szCs w:val="28"/>
          <w:lang w:val="uk-UA"/>
        </w:rPr>
        <w:t>С</w:t>
      </w:r>
      <w:r>
        <w:rPr>
          <w:rFonts w:ascii="Times New Roman" w:hAnsi="Times New Roman" w:cs="Times New Roman"/>
          <w:sz w:val="28"/>
          <w:szCs w:val="28"/>
          <w:lang w:val="uk-UA"/>
        </w:rPr>
        <w:t>АТ 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sidR="00A04C08">
        <w:rPr>
          <w:rFonts w:ascii="Times New Roman" w:hAnsi="Times New Roman" w:cs="Times New Roman"/>
          <w:sz w:val="28"/>
          <w:szCs w:val="28"/>
          <w:lang w:val="uk-UA"/>
        </w:rPr>
        <w:t xml:space="preserve">І групи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з </w:t>
      </w:r>
      <w:r w:rsidR="004F69DB">
        <w:rPr>
          <w:rFonts w:ascii="Times New Roman" w:hAnsi="Times New Roman" w:cs="Times New Roman"/>
          <w:sz w:val="28"/>
          <w:szCs w:val="28"/>
          <w:lang w:val="uk-UA"/>
        </w:rPr>
        <w:t xml:space="preserve">категорією альбумінурії А1 </w:t>
      </w:r>
      <w:r w:rsidR="008F0511">
        <w:rPr>
          <w:rFonts w:ascii="Times New Roman" w:hAnsi="Times New Roman" w:cs="Times New Roman"/>
          <w:sz w:val="28"/>
          <w:szCs w:val="28"/>
          <w:lang w:val="uk-UA"/>
        </w:rPr>
        <w:t>стано</w:t>
      </w:r>
      <w:r w:rsidR="00F9048E" w:rsidRPr="005371C5">
        <w:rPr>
          <w:rFonts w:ascii="Times New Roman" w:hAnsi="Times New Roman" w:cs="Times New Roman"/>
          <w:sz w:val="28"/>
          <w:szCs w:val="28"/>
          <w:lang w:val="uk-UA"/>
        </w:rPr>
        <w:t>в</w:t>
      </w:r>
      <w:r w:rsidR="008F0511">
        <w:rPr>
          <w:rFonts w:ascii="Times New Roman" w:hAnsi="Times New Roman" w:cs="Times New Roman"/>
          <w:sz w:val="28"/>
          <w:szCs w:val="28"/>
          <w:lang w:val="uk-UA"/>
        </w:rPr>
        <w:t>ив</w:t>
      </w:r>
      <w:r w:rsidR="0054115A">
        <w:rPr>
          <w:rFonts w:ascii="Times New Roman" w:hAnsi="Times New Roman" w:cs="Times New Roman"/>
          <w:sz w:val="28"/>
          <w:szCs w:val="28"/>
          <w:lang w:val="uk-UA"/>
        </w:rPr>
        <w:t xml:space="preserve"> </w:t>
      </w:r>
      <w:r w:rsidR="00F9048E" w:rsidRPr="005371C5">
        <w:rPr>
          <w:rFonts w:ascii="Times New Roman" w:hAnsi="Times New Roman" w:cs="Times New Roman"/>
          <w:sz w:val="28"/>
          <w:szCs w:val="28"/>
          <w:lang w:val="uk-UA"/>
        </w:rPr>
        <w:t>(143,4</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2</w:t>
      </w:r>
      <w:r w:rsidR="008F0511">
        <w:rPr>
          <w:rFonts w:ascii="Times New Roman" w:hAnsi="Times New Roman" w:cs="Times New Roman"/>
          <w:sz w:val="28"/>
          <w:szCs w:val="28"/>
          <w:lang w:val="uk-UA"/>
        </w:rPr>
        <w:t>,8) мм</w:t>
      </w:r>
      <w:r w:rsidR="00F9048E" w:rsidRPr="005371C5">
        <w:rPr>
          <w:rFonts w:ascii="Times New Roman" w:hAnsi="Times New Roman" w:cs="Times New Roman"/>
          <w:sz w:val="28"/>
          <w:szCs w:val="28"/>
          <w:lang w:val="uk-UA"/>
        </w:rPr>
        <w:t xml:space="preserve"> рт. ст</w:t>
      </w:r>
      <w:r w:rsidR="004F69DB">
        <w:rPr>
          <w:rFonts w:ascii="Times New Roman" w:hAnsi="Times New Roman" w:cs="Times New Roman"/>
          <w:sz w:val="28"/>
          <w:szCs w:val="28"/>
          <w:lang w:val="uk-UA"/>
        </w:rPr>
        <w:t>., А2</w:t>
      </w:r>
      <w:r w:rsidR="009F05D9" w:rsidRPr="005371C5">
        <w:rPr>
          <w:rFonts w:ascii="Times New Roman" w:hAnsi="Times New Roman" w:cs="Times New Roman"/>
          <w:sz w:val="28"/>
          <w:szCs w:val="28"/>
          <w:lang w:val="uk-UA"/>
        </w:rPr>
        <w:t xml:space="preserve"> – (153,8</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1,4)</w:t>
      </w:r>
      <w:r w:rsidR="008F0511">
        <w:rPr>
          <w:rFonts w:ascii="Times New Roman" w:hAnsi="Times New Roman" w:cs="Times New Roman"/>
          <w:sz w:val="28"/>
          <w:szCs w:val="28"/>
          <w:lang w:val="uk-UA"/>
        </w:rPr>
        <w:t xml:space="preserve"> мм</w:t>
      </w:r>
      <w:r w:rsidR="00F9048E" w:rsidRPr="005371C5">
        <w:rPr>
          <w:rFonts w:ascii="Times New Roman" w:hAnsi="Times New Roman" w:cs="Times New Roman"/>
          <w:sz w:val="28"/>
          <w:szCs w:val="28"/>
          <w:lang w:val="uk-UA"/>
        </w:rPr>
        <w:t xml:space="preserve"> рт. ст., </w:t>
      </w:r>
      <w:r w:rsidR="005371C5" w:rsidRPr="005371C5">
        <w:rPr>
          <w:rFonts w:ascii="Times New Roman" w:hAnsi="Times New Roman" w:cs="Times New Roman"/>
          <w:sz w:val="28"/>
          <w:szCs w:val="28"/>
          <w:lang w:val="uk-UA"/>
        </w:rPr>
        <w:t>p</w:t>
      </w:r>
      <w:r w:rsidR="00A04C08">
        <w:rPr>
          <w:rFonts w:ascii="Times New Roman" w:hAnsi="Times New Roman" w:cs="Times New Roman"/>
          <w:sz w:val="28"/>
          <w:szCs w:val="28"/>
          <w:vertAlign w:val="subscript"/>
          <w:lang w:val="uk-UA"/>
        </w:rPr>
        <w:t>1-2</w:t>
      </w:r>
      <w:r w:rsidR="005371C5" w:rsidRPr="005371C5">
        <w:rPr>
          <w:rFonts w:ascii="Times New Roman" w:hAnsi="Times New Roman" w:cs="Times New Roman"/>
          <w:sz w:val="28"/>
          <w:szCs w:val="28"/>
          <w:lang w:val="uk-UA"/>
        </w:rPr>
        <w:t xml:space="preserve"> = 0,0023</w:t>
      </w:r>
      <w:r w:rsidR="004F69DB">
        <w:rPr>
          <w:rFonts w:ascii="Times New Roman" w:hAnsi="Times New Roman" w:cs="Times New Roman"/>
          <w:sz w:val="28"/>
          <w:szCs w:val="28"/>
          <w:lang w:val="uk-UA"/>
        </w:rPr>
        <w:t>, А3</w:t>
      </w:r>
      <w:r w:rsidR="00F9048E" w:rsidRPr="005371C5">
        <w:rPr>
          <w:rFonts w:ascii="Times New Roman" w:hAnsi="Times New Roman" w:cs="Times New Roman"/>
          <w:sz w:val="28"/>
          <w:szCs w:val="28"/>
          <w:lang w:val="uk-UA"/>
        </w:rPr>
        <w:t xml:space="preserve"> – (164,5</w:t>
      </w:r>
      <w:r w:rsidR="008F0511">
        <w:rPr>
          <w:rFonts w:ascii="Times New Roman" w:hAnsi="Times New Roman" w:cs="Times New Roman"/>
          <w:sz w:val="28"/>
          <w:szCs w:val="28"/>
          <w:lang w:val="uk-UA"/>
        </w:rPr>
        <w:t xml:space="preserve"> </w:t>
      </w:r>
      <w:r w:rsidR="005371C5" w:rsidRPr="005371C5">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4,9) мм</w:t>
      </w:r>
      <w:r w:rsidR="005371C5" w:rsidRPr="005371C5">
        <w:rPr>
          <w:rFonts w:ascii="Times New Roman" w:hAnsi="Times New Roman" w:cs="Times New Roman"/>
          <w:sz w:val="28"/>
          <w:szCs w:val="28"/>
          <w:lang w:val="uk-UA"/>
        </w:rPr>
        <w:t xml:space="preserve"> рт. ст., p</w:t>
      </w:r>
      <w:r w:rsidR="00A04C08">
        <w:rPr>
          <w:rFonts w:ascii="Times New Roman" w:hAnsi="Times New Roman" w:cs="Times New Roman"/>
          <w:sz w:val="28"/>
          <w:szCs w:val="28"/>
          <w:vertAlign w:val="subscript"/>
          <w:lang w:val="uk-UA"/>
        </w:rPr>
        <w:t>1-3</w:t>
      </w:r>
      <w:r w:rsidR="005371C5" w:rsidRPr="005371C5">
        <w:rPr>
          <w:rFonts w:ascii="Times New Roman" w:hAnsi="Times New Roman" w:cs="Times New Roman"/>
          <w:sz w:val="28"/>
          <w:szCs w:val="28"/>
          <w:lang w:val="uk-UA"/>
        </w:rPr>
        <w:t xml:space="preserve"> = 0,0005</w:t>
      </w:r>
      <w:r w:rsidR="00C26B49">
        <w:rPr>
          <w:rFonts w:ascii="Times New Roman" w:hAnsi="Times New Roman" w:cs="Times New Roman"/>
          <w:sz w:val="28"/>
          <w:szCs w:val="28"/>
          <w:lang w:val="uk-UA"/>
        </w:rPr>
        <w:t>.</w:t>
      </w:r>
    </w:p>
    <w:p w:rsidR="00A03291" w:rsidRPr="002F160E" w:rsidRDefault="00656549" w:rsidP="002F160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вень </w:t>
      </w:r>
      <w:r w:rsidR="00A67EC7">
        <w:rPr>
          <w:rFonts w:ascii="Times New Roman" w:hAnsi="Times New Roman" w:cs="Times New Roman"/>
          <w:sz w:val="28"/>
          <w:szCs w:val="28"/>
          <w:lang w:val="uk-UA"/>
        </w:rPr>
        <w:t>Д</w:t>
      </w:r>
      <w:r>
        <w:rPr>
          <w:rFonts w:ascii="Times New Roman" w:hAnsi="Times New Roman" w:cs="Times New Roman"/>
          <w:sz w:val="28"/>
          <w:szCs w:val="28"/>
          <w:lang w:val="uk-UA"/>
        </w:rPr>
        <w:t xml:space="preserve">АТ у </w:t>
      </w:r>
      <w:r w:rsidR="0054115A">
        <w:rPr>
          <w:rFonts w:ascii="Times New Roman" w:hAnsi="Times New Roman" w:cs="Times New Roman"/>
          <w:sz w:val="28"/>
          <w:szCs w:val="28"/>
          <w:lang w:val="uk-UA"/>
        </w:rPr>
        <w:t xml:space="preserve">хворих І групи </w:t>
      </w:r>
      <w:r w:rsidR="00A04C08">
        <w:rPr>
          <w:rFonts w:ascii="Times New Roman" w:hAnsi="Times New Roman" w:cs="Times New Roman"/>
          <w:sz w:val="28"/>
          <w:szCs w:val="28"/>
          <w:lang w:val="uk-UA"/>
        </w:rPr>
        <w:t xml:space="preserve">iз категорією альбумінурії А1 </w:t>
      </w:r>
      <w:r w:rsidR="008F0511">
        <w:rPr>
          <w:rFonts w:ascii="Times New Roman" w:hAnsi="Times New Roman" w:cs="Times New Roman"/>
          <w:sz w:val="28"/>
          <w:szCs w:val="28"/>
          <w:lang w:val="uk-UA"/>
        </w:rPr>
        <w:t>с</w:t>
      </w:r>
      <w:r w:rsidR="00090BE4">
        <w:rPr>
          <w:rFonts w:ascii="Times New Roman" w:hAnsi="Times New Roman" w:cs="Times New Roman"/>
          <w:sz w:val="28"/>
          <w:szCs w:val="28"/>
          <w:lang w:val="uk-UA"/>
        </w:rPr>
        <w:t>клав</w:t>
      </w:r>
      <w:r>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(96,7</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1,9) мм</w:t>
      </w:r>
      <w:r w:rsidR="009F05D9" w:rsidRPr="005371C5">
        <w:rPr>
          <w:rFonts w:ascii="Times New Roman" w:hAnsi="Times New Roman" w:cs="Times New Roman"/>
          <w:sz w:val="28"/>
          <w:szCs w:val="28"/>
          <w:lang w:val="uk-UA"/>
        </w:rPr>
        <w:t xml:space="preserve"> рт. </w:t>
      </w:r>
      <w:r w:rsidR="008F0511">
        <w:rPr>
          <w:rFonts w:ascii="Times New Roman" w:hAnsi="Times New Roman" w:cs="Times New Roman"/>
          <w:sz w:val="28"/>
          <w:szCs w:val="28"/>
          <w:lang w:val="uk-UA"/>
        </w:rPr>
        <w:t>ст.</w:t>
      </w:r>
      <w:r w:rsidR="009F05D9" w:rsidRPr="005371C5">
        <w:rPr>
          <w:rFonts w:ascii="Times New Roman" w:hAnsi="Times New Roman" w:cs="Times New Roman"/>
          <w:sz w:val="28"/>
          <w:szCs w:val="28"/>
          <w:lang w:val="uk-UA"/>
        </w:rPr>
        <w:t xml:space="preserve">, </w:t>
      </w:r>
      <w:r w:rsidR="00A04C08">
        <w:rPr>
          <w:rFonts w:ascii="Times New Roman" w:hAnsi="Times New Roman" w:cs="Times New Roman"/>
          <w:sz w:val="28"/>
          <w:szCs w:val="28"/>
          <w:lang w:val="uk-UA"/>
        </w:rPr>
        <w:t xml:space="preserve">А2 </w:t>
      </w:r>
      <w:r w:rsidR="00A04C08" w:rsidRPr="00A04C08">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(103,4</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9F05D9" w:rsidRPr="005371C5">
        <w:rPr>
          <w:rFonts w:ascii="Times New Roman" w:hAnsi="Times New Roman" w:cs="Times New Roman"/>
          <w:sz w:val="28"/>
          <w:szCs w:val="28"/>
          <w:lang w:val="uk-UA"/>
        </w:rPr>
        <w:t>0</w:t>
      </w:r>
      <w:r w:rsidR="008F0511">
        <w:rPr>
          <w:rFonts w:ascii="Times New Roman" w:hAnsi="Times New Roman" w:cs="Times New Roman"/>
          <w:sz w:val="28"/>
          <w:szCs w:val="28"/>
          <w:lang w:val="uk-UA"/>
        </w:rPr>
        <w:t>,71) мм</w:t>
      </w:r>
      <w:r w:rsidR="00CC63D8" w:rsidRPr="005371C5">
        <w:rPr>
          <w:rFonts w:ascii="Times New Roman" w:hAnsi="Times New Roman" w:cs="Times New Roman"/>
          <w:sz w:val="28"/>
          <w:szCs w:val="28"/>
          <w:lang w:val="uk-UA"/>
        </w:rPr>
        <w:t xml:space="preserve"> рт. ст., </w:t>
      </w:r>
      <w:r w:rsidR="005371C5" w:rsidRPr="005371C5">
        <w:rPr>
          <w:rFonts w:ascii="Times New Roman" w:hAnsi="Times New Roman" w:cs="Times New Roman"/>
          <w:sz w:val="28"/>
          <w:szCs w:val="28"/>
          <w:lang w:val="uk-UA"/>
        </w:rPr>
        <w:t>p</w:t>
      </w:r>
      <w:r w:rsidR="00A04C08">
        <w:rPr>
          <w:rFonts w:ascii="Times New Roman" w:hAnsi="Times New Roman" w:cs="Times New Roman"/>
          <w:sz w:val="28"/>
          <w:szCs w:val="28"/>
          <w:vertAlign w:val="subscript"/>
          <w:lang w:val="uk-UA"/>
        </w:rPr>
        <w:t>1-2</w:t>
      </w:r>
      <w:r w:rsidR="005371C5" w:rsidRPr="005371C5">
        <w:rPr>
          <w:rFonts w:ascii="Times New Roman" w:hAnsi="Times New Roman" w:cs="Times New Roman"/>
          <w:sz w:val="28"/>
          <w:szCs w:val="28"/>
          <w:lang w:val="uk-UA"/>
        </w:rPr>
        <w:t xml:space="preserve"> = 0,0003</w:t>
      </w:r>
      <w:r w:rsidR="00B87F14" w:rsidRPr="005371C5">
        <w:rPr>
          <w:rFonts w:ascii="Times New Roman" w:hAnsi="Times New Roman" w:cs="Times New Roman"/>
          <w:sz w:val="28"/>
          <w:szCs w:val="28"/>
          <w:lang w:val="uk-UA"/>
        </w:rPr>
        <w:t xml:space="preserve">; </w:t>
      </w:r>
      <w:r w:rsidR="00A67EC7">
        <w:rPr>
          <w:rFonts w:ascii="Times New Roman" w:hAnsi="Times New Roman" w:cs="Times New Roman"/>
          <w:sz w:val="28"/>
          <w:szCs w:val="28"/>
          <w:lang w:val="uk-UA"/>
        </w:rPr>
        <w:t>А3</w:t>
      </w:r>
      <w:r w:rsidR="0054115A">
        <w:rPr>
          <w:rFonts w:ascii="Times New Roman" w:hAnsi="Times New Roman" w:cs="Times New Roman"/>
          <w:sz w:val="28"/>
          <w:szCs w:val="28"/>
          <w:lang w:val="uk-UA"/>
        </w:rPr>
        <w:t xml:space="preserve"> </w:t>
      </w:r>
      <w:r w:rsidR="00A04C08" w:rsidRPr="00A04C08">
        <w:rPr>
          <w:rFonts w:ascii="Times New Roman" w:hAnsi="Times New Roman" w:cs="Times New Roman"/>
          <w:sz w:val="28"/>
          <w:szCs w:val="28"/>
          <w:lang w:val="uk-UA"/>
        </w:rPr>
        <w:t xml:space="preserve">– </w:t>
      </w:r>
      <w:r w:rsidR="00B87F14" w:rsidRPr="005371C5">
        <w:rPr>
          <w:rFonts w:ascii="Times New Roman" w:hAnsi="Times New Roman" w:cs="Times New Roman"/>
          <w:sz w:val="28"/>
          <w:szCs w:val="28"/>
          <w:lang w:val="uk-UA"/>
        </w:rPr>
        <w:t>(105,7</w:t>
      </w:r>
      <w:r w:rsidR="003E3D37">
        <w:rPr>
          <w:rFonts w:ascii="Times New Roman" w:hAnsi="Times New Roman" w:cs="Times New Roman"/>
          <w:sz w:val="28"/>
          <w:szCs w:val="28"/>
          <w:lang w:val="uk-UA"/>
        </w:rPr>
        <w:t xml:space="preserve">          </w:t>
      </w:r>
      <w:r w:rsidR="008F0511">
        <w:rPr>
          <w:rFonts w:ascii="Times New Roman" w:hAnsi="Times New Roman" w:cs="Times New Roman"/>
          <w:sz w:val="28"/>
          <w:szCs w:val="28"/>
          <w:lang w:val="uk-UA"/>
        </w:rPr>
        <w:t xml:space="preserve"> </w:t>
      </w:r>
      <w:r w:rsidR="00B87F14" w:rsidRPr="005371C5">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B87F14" w:rsidRPr="005371C5">
        <w:rPr>
          <w:rFonts w:ascii="Times New Roman" w:hAnsi="Times New Roman" w:cs="Times New Roman"/>
          <w:sz w:val="28"/>
          <w:szCs w:val="28"/>
          <w:lang w:val="uk-UA"/>
        </w:rPr>
        <w:t>2</w:t>
      </w:r>
      <w:r w:rsidR="008F0511">
        <w:rPr>
          <w:rFonts w:ascii="Times New Roman" w:hAnsi="Times New Roman" w:cs="Times New Roman"/>
          <w:sz w:val="28"/>
          <w:szCs w:val="28"/>
          <w:lang w:val="uk-UA"/>
        </w:rPr>
        <w:t xml:space="preserve">,75) мм </w:t>
      </w:r>
      <w:r w:rsidR="00CC63D8" w:rsidRPr="005371C5">
        <w:rPr>
          <w:rFonts w:ascii="Times New Roman" w:hAnsi="Times New Roman" w:cs="Times New Roman"/>
          <w:sz w:val="28"/>
          <w:szCs w:val="28"/>
          <w:lang w:val="uk-UA"/>
        </w:rPr>
        <w:t>рт.</w:t>
      </w:r>
      <w:r w:rsidR="008F0511">
        <w:rPr>
          <w:rFonts w:ascii="Times New Roman" w:hAnsi="Times New Roman" w:cs="Times New Roman"/>
          <w:sz w:val="28"/>
          <w:szCs w:val="28"/>
          <w:lang w:val="uk-UA"/>
        </w:rPr>
        <w:t xml:space="preserve"> </w:t>
      </w:r>
      <w:r w:rsidR="00CC63D8" w:rsidRPr="005371C5">
        <w:rPr>
          <w:rFonts w:ascii="Times New Roman" w:hAnsi="Times New Roman" w:cs="Times New Roman"/>
          <w:sz w:val="28"/>
          <w:szCs w:val="28"/>
          <w:lang w:val="uk-UA"/>
        </w:rPr>
        <w:t>ст</w:t>
      </w:r>
      <w:r w:rsidR="008F0511">
        <w:rPr>
          <w:rFonts w:ascii="Times New Roman" w:hAnsi="Times New Roman" w:cs="Times New Roman"/>
          <w:sz w:val="28"/>
          <w:szCs w:val="28"/>
          <w:lang w:val="uk-UA"/>
        </w:rPr>
        <w:t>.</w:t>
      </w:r>
      <w:r w:rsidR="00CC63D8" w:rsidRPr="005371C5">
        <w:rPr>
          <w:rFonts w:ascii="Times New Roman" w:hAnsi="Times New Roman" w:cs="Times New Roman"/>
          <w:sz w:val="28"/>
          <w:szCs w:val="28"/>
          <w:lang w:val="uk-UA"/>
        </w:rPr>
        <w:t xml:space="preserve">, </w:t>
      </w:r>
      <w:r w:rsidR="005371C5" w:rsidRPr="005371C5">
        <w:rPr>
          <w:rFonts w:ascii="Times New Roman" w:hAnsi="Times New Roman" w:cs="Times New Roman"/>
          <w:sz w:val="28"/>
          <w:szCs w:val="28"/>
          <w:lang w:val="uk-UA"/>
        </w:rPr>
        <w:t>p</w:t>
      </w:r>
      <w:r w:rsidR="009642F2">
        <w:rPr>
          <w:rFonts w:ascii="Times New Roman" w:hAnsi="Times New Roman" w:cs="Times New Roman"/>
          <w:sz w:val="28"/>
          <w:szCs w:val="28"/>
          <w:vertAlign w:val="subscript"/>
          <w:lang w:val="uk-UA"/>
        </w:rPr>
        <w:t>1-3</w:t>
      </w:r>
      <w:r w:rsidR="005371C5" w:rsidRPr="005371C5">
        <w:rPr>
          <w:rFonts w:ascii="Times New Roman" w:hAnsi="Times New Roman" w:cs="Times New Roman"/>
          <w:sz w:val="28"/>
          <w:szCs w:val="28"/>
          <w:lang w:val="uk-UA"/>
        </w:rPr>
        <w:t xml:space="preserve"> = 0,0105</w:t>
      </w:r>
      <w:r w:rsidR="00CC63D8" w:rsidRPr="005371C5">
        <w:rPr>
          <w:rFonts w:ascii="Times New Roman" w:hAnsi="Times New Roman" w:cs="Times New Roman"/>
          <w:sz w:val="28"/>
          <w:szCs w:val="28"/>
          <w:lang w:val="uk-UA"/>
        </w:rPr>
        <w:t>.</w:t>
      </w:r>
    </w:p>
    <w:p w:rsidR="00D31479" w:rsidRPr="008707FF" w:rsidRDefault="009642F2" w:rsidP="003E3D37">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чином, із збільшенням рівня </w:t>
      </w:r>
      <w:r w:rsidR="003E3D37">
        <w:rPr>
          <w:rFonts w:ascii="Times New Roman" w:hAnsi="Times New Roman" w:cs="Times New Roman"/>
          <w:sz w:val="28"/>
          <w:szCs w:val="28"/>
          <w:lang w:val="uk-UA"/>
        </w:rPr>
        <w:t xml:space="preserve">САТ та ДАТ зростала вираженість </w:t>
      </w:r>
      <w:r>
        <w:rPr>
          <w:rFonts w:ascii="Times New Roman" w:hAnsi="Times New Roman" w:cs="Times New Roman"/>
          <w:sz w:val="28"/>
          <w:szCs w:val="28"/>
          <w:lang w:val="uk-UA"/>
        </w:rPr>
        <w:t>альбумінурії</w:t>
      </w:r>
      <w:r w:rsidR="0054115A">
        <w:rPr>
          <w:rFonts w:ascii="Times New Roman" w:hAnsi="Times New Roman" w:cs="Times New Roman"/>
          <w:sz w:val="28"/>
          <w:szCs w:val="28"/>
          <w:lang w:val="uk-UA"/>
        </w:rPr>
        <w:t xml:space="preserve"> у пацієнтів із АГ та</w:t>
      </w:r>
      <w:r>
        <w:rPr>
          <w:rFonts w:ascii="Times New Roman" w:hAnsi="Times New Roman" w:cs="Times New Roman"/>
          <w:sz w:val="28"/>
          <w:szCs w:val="28"/>
          <w:lang w:val="uk-UA"/>
        </w:rPr>
        <w:t xml:space="preserve"> супутнім ЦД 2-го типу.</w:t>
      </w:r>
    </w:p>
    <w:p w:rsidR="00E16253" w:rsidRPr="006F0BF4" w:rsidRDefault="0094416D" w:rsidP="006F0BF4">
      <w:pPr>
        <w:autoSpaceDE w:val="0"/>
        <w:autoSpaceDN w:val="0"/>
        <w:adjustRightInd w:val="0"/>
        <w:spacing w:after="0" w:line="360" w:lineRule="auto"/>
        <w:ind w:firstLine="708"/>
        <w:jc w:val="both"/>
        <w:rPr>
          <w:rFonts w:ascii="Times New Roman" w:hAnsi="Times New Roman" w:cs="Times New Roman"/>
          <w:sz w:val="28"/>
          <w:szCs w:val="28"/>
          <w:lang w:val="uk-UA"/>
        </w:rPr>
      </w:pPr>
      <w:r w:rsidRPr="008707FF">
        <w:rPr>
          <w:rFonts w:ascii="Times New Roman" w:hAnsi="Times New Roman" w:cs="Times New Roman"/>
          <w:sz w:val="28"/>
          <w:szCs w:val="28"/>
          <w:lang w:val="uk-UA"/>
        </w:rPr>
        <w:t xml:space="preserve">У </w:t>
      </w:r>
      <w:r w:rsidR="006F0BF4">
        <w:rPr>
          <w:rFonts w:ascii="Times New Roman" w:hAnsi="Times New Roman" w:cs="Times New Roman"/>
          <w:sz w:val="28"/>
          <w:szCs w:val="28"/>
          <w:lang w:val="uk-UA"/>
        </w:rPr>
        <w:t xml:space="preserve">коморбідних хворих </w:t>
      </w:r>
      <w:r w:rsidR="00090BE4">
        <w:rPr>
          <w:rFonts w:ascii="Times New Roman" w:hAnsi="Times New Roman" w:cs="Times New Roman"/>
          <w:sz w:val="28"/>
          <w:szCs w:val="28"/>
          <w:lang w:val="uk-UA"/>
        </w:rPr>
        <w:t xml:space="preserve">категорії А1 </w:t>
      </w:r>
      <w:r w:rsidRPr="003777AB">
        <w:rPr>
          <w:rFonts w:ascii="Times New Roman" w:hAnsi="Times New Roman" w:cs="Times New Roman"/>
          <w:sz w:val="28"/>
          <w:szCs w:val="28"/>
          <w:lang w:val="uk-UA"/>
        </w:rPr>
        <w:t>трива</w:t>
      </w:r>
      <w:r w:rsidR="0076594D">
        <w:rPr>
          <w:rFonts w:ascii="Times New Roman" w:hAnsi="Times New Roman" w:cs="Times New Roman"/>
          <w:sz w:val="28"/>
          <w:szCs w:val="28"/>
          <w:lang w:val="uk-UA"/>
        </w:rPr>
        <w:t>л</w:t>
      </w:r>
      <w:r w:rsidR="0076594D">
        <w:rPr>
          <w:rFonts w:ascii="Times New Roman" w:hAnsi="Times New Roman" w:cs="Times New Roman"/>
          <w:sz w:val="28"/>
          <w:szCs w:val="28"/>
          <w:lang w:val="en-US"/>
        </w:rPr>
        <w:t>i</w:t>
      </w:r>
      <w:r w:rsidR="008F0511">
        <w:rPr>
          <w:rFonts w:ascii="Times New Roman" w:hAnsi="Times New Roman" w:cs="Times New Roman"/>
          <w:sz w:val="28"/>
          <w:szCs w:val="28"/>
          <w:lang w:val="uk-UA"/>
        </w:rPr>
        <w:t>сть ЦД станови</w:t>
      </w:r>
      <w:r w:rsidR="00B25EF1" w:rsidRPr="003777AB">
        <w:rPr>
          <w:rFonts w:ascii="Times New Roman" w:hAnsi="Times New Roman" w:cs="Times New Roman"/>
          <w:sz w:val="28"/>
          <w:szCs w:val="28"/>
          <w:lang w:val="uk-UA"/>
        </w:rPr>
        <w:t xml:space="preserve">ла </w:t>
      </w:r>
      <w:r w:rsidR="003E3D37">
        <w:rPr>
          <w:rFonts w:ascii="Times New Roman" w:hAnsi="Times New Roman" w:cs="Times New Roman"/>
          <w:sz w:val="28"/>
          <w:szCs w:val="28"/>
          <w:lang w:val="uk-UA"/>
        </w:rPr>
        <w:t xml:space="preserve">           </w:t>
      </w:r>
      <w:r w:rsidR="00B25EF1" w:rsidRPr="003777AB">
        <w:rPr>
          <w:rFonts w:ascii="Times New Roman" w:hAnsi="Times New Roman" w:cs="Times New Roman"/>
          <w:sz w:val="28"/>
          <w:szCs w:val="28"/>
          <w:lang w:val="uk-UA"/>
        </w:rPr>
        <w:t>(5,47</w:t>
      </w:r>
      <w:r w:rsidR="003E3D37">
        <w:rPr>
          <w:rFonts w:ascii="Times New Roman" w:hAnsi="Times New Roman" w:cs="Times New Roman"/>
          <w:sz w:val="28"/>
          <w:szCs w:val="28"/>
          <w:lang w:val="uk-UA"/>
        </w:rPr>
        <w:t xml:space="preserve"> </w:t>
      </w:r>
      <w:r w:rsidR="00B25EF1" w:rsidRPr="003777AB">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1,56) року</w:t>
      </w:r>
      <w:r w:rsidRPr="003777AB">
        <w:rPr>
          <w:rFonts w:ascii="Times New Roman" w:hAnsi="Times New Roman" w:cs="Times New Roman"/>
          <w:sz w:val="28"/>
          <w:szCs w:val="28"/>
          <w:lang w:val="uk-UA"/>
        </w:rPr>
        <w:t>,</w:t>
      </w:r>
      <w:r w:rsidR="0076594D">
        <w:rPr>
          <w:rFonts w:ascii="Times New Roman" w:hAnsi="Times New Roman" w:cs="Times New Roman"/>
          <w:sz w:val="28"/>
          <w:szCs w:val="28"/>
          <w:lang w:val="uk-UA"/>
        </w:rPr>
        <w:t xml:space="preserve"> </w:t>
      </w:r>
      <w:r w:rsidR="00090BE4">
        <w:rPr>
          <w:rFonts w:ascii="Times New Roman" w:hAnsi="Times New Roman" w:cs="Times New Roman"/>
          <w:sz w:val="28"/>
          <w:szCs w:val="28"/>
          <w:lang w:val="uk-UA"/>
        </w:rPr>
        <w:t>А2</w:t>
      </w:r>
      <w:r w:rsidR="00B87F14" w:rsidRPr="003777AB">
        <w:rPr>
          <w:rFonts w:ascii="Times New Roman" w:hAnsi="Times New Roman" w:cs="Times New Roman"/>
          <w:sz w:val="28"/>
          <w:szCs w:val="28"/>
          <w:lang w:val="uk-UA"/>
        </w:rPr>
        <w:t xml:space="preserve"> – (11,4</w:t>
      </w:r>
      <w:r w:rsidR="008F0511">
        <w:rPr>
          <w:rFonts w:ascii="Times New Roman" w:hAnsi="Times New Roman" w:cs="Times New Roman"/>
          <w:sz w:val="28"/>
          <w:szCs w:val="28"/>
          <w:lang w:val="uk-UA"/>
        </w:rPr>
        <w:t xml:space="preserve"> </w:t>
      </w:r>
      <w:r w:rsidR="00B87F14" w:rsidRPr="003777AB">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B87F14" w:rsidRPr="003777AB">
        <w:rPr>
          <w:rFonts w:ascii="Times New Roman" w:hAnsi="Times New Roman" w:cs="Times New Roman"/>
          <w:sz w:val="28"/>
          <w:szCs w:val="28"/>
          <w:lang w:val="uk-UA"/>
        </w:rPr>
        <w:t>0,8</w:t>
      </w:r>
      <w:r w:rsidR="008F0511">
        <w:rPr>
          <w:rFonts w:ascii="Times New Roman" w:hAnsi="Times New Roman" w:cs="Times New Roman"/>
          <w:sz w:val="28"/>
          <w:szCs w:val="28"/>
          <w:lang w:val="uk-UA"/>
        </w:rPr>
        <w:t>) року</w:t>
      </w:r>
      <w:r w:rsidRPr="003777AB">
        <w:rPr>
          <w:rFonts w:ascii="Times New Roman" w:hAnsi="Times New Roman" w:cs="Times New Roman"/>
          <w:sz w:val="28"/>
          <w:szCs w:val="28"/>
          <w:lang w:val="uk-UA"/>
        </w:rPr>
        <w:t xml:space="preserve">, </w:t>
      </w:r>
      <w:r w:rsidR="00B87F14" w:rsidRPr="003777AB">
        <w:rPr>
          <w:rFonts w:ascii="Times New Roman" w:hAnsi="Times New Roman" w:cs="Times New Roman"/>
          <w:sz w:val="28"/>
          <w:szCs w:val="28"/>
          <w:lang w:val="uk-UA"/>
        </w:rPr>
        <w:t>p</w:t>
      </w:r>
      <w:r w:rsidR="008C1539" w:rsidRPr="008C1539">
        <w:rPr>
          <w:rFonts w:ascii="Times New Roman" w:hAnsi="Times New Roman" w:cs="Times New Roman"/>
          <w:sz w:val="28"/>
          <w:szCs w:val="28"/>
          <w:vertAlign w:val="subscript"/>
        </w:rPr>
        <w:t>1-2</w:t>
      </w:r>
      <w:r w:rsidR="00B87F14" w:rsidRPr="003777AB">
        <w:rPr>
          <w:rFonts w:ascii="Times New Roman" w:hAnsi="Times New Roman" w:cs="Times New Roman"/>
          <w:sz w:val="28"/>
          <w:szCs w:val="28"/>
          <w:lang w:val="uk-UA"/>
        </w:rPr>
        <w:t xml:space="preserve"> =</w:t>
      </w:r>
      <w:r w:rsidRPr="003777AB">
        <w:rPr>
          <w:rFonts w:ascii="Times New Roman" w:hAnsi="Times New Roman" w:cs="Times New Roman"/>
          <w:sz w:val="28"/>
          <w:szCs w:val="28"/>
          <w:lang w:val="uk-UA"/>
        </w:rPr>
        <w:t xml:space="preserve"> 0</w:t>
      </w:r>
      <w:r w:rsidR="003777AB" w:rsidRPr="003777AB">
        <w:rPr>
          <w:rFonts w:ascii="Times New Roman" w:hAnsi="Times New Roman" w:cs="Times New Roman"/>
          <w:sz w:val="28"/>
          <w:szCs w:val="28"/>
          <w:lang w:val="uk-UA"/>
        </w:rPr>
        <w:t>,05</w:t>
      </w:r>
      <w:r w:rsidR="0033507C" w:rsidRPr="003777AB">
        <w:rPr>
          <w:rFonts w:ascii="Times New Roman" w:hAnsi="Times New Roman" w:cs="Times New Roman"/>
          <w:sz w:val="28"/>
          <w:szCs w:val="28"/>
          <w:lang w:val="uk-UA"/>
        </w:rPr>
        <w:t>;</w:t>
      </w:r>
      <w:r w:rsidR="0076594D">
        <w:rPr>
          <w:rFonts w:ascii="Times New Roman" w:hAnsi="Times New Roman" w:cs="Times New Roman"/>
          <w:sz w:val="28"/>
          <w:szCs w:val="28"/>
          <w:lang w:val="uk-UA"/>
        </w:rPr>
        <w:t xml:space="preserve"> </w:t>
      </w:r>
      <w:r w:rsidR="00090BE4">
        <w:rPr>
          <w:rFonts w:ascii="Times New Roman" w:hAnsi="Times New Roman" w:cs="Times New Roman"/>
          <w:sz w:val="28"/>
          <w:szCs w:val="28"/>
          <w:lang w:val="uk-UA"/>
        </w:rPr>
        <w:t>А3</w:t>
      </w:r>
      <w:r w:rsidR="00622346" w:rsidRPr="003777AB">
        <w:rPr>
          <w:rFonts w:ascii="Times New Roman" w:hAnsi="Times New Roman" w:cs="Times New Roman"/>
          <w:sz w:val="28"/>
          <w:szCs w:val="28"/>
          <w:lang w:val="uk-UA"/>
        </w:rPr>
        <w:t xml:space="preserve"> – (15</w:t>
      </w:r>
      <w:r w:rsidRPr="003777AB">
        <w:rPr>
          <w:rFonts w:ascii="Times New Roman" w:hAnsi="Times New Roman" w:cs="Times New Roman"/>
          <w:sz w:val="28"/>
          <w:szCs w:val="28"/>
          <w:lang w:val="uk-UA"/>
        </w:rPr>
        <w:t>,2</w:t>
      </w:r>
      <w:r w:rsidR="008F0511">
        <w:rPr>
          <w:rFonts w:ascii="Times New Roman" w:hAnsi="Times New Roman" w:cs="Times New Roman"/>
          <w:sz w:val="28"/>
          <w:szCs w:val="28"/>
          <w:lang w:val="uk-UA"/>
        </w:rPr>
        <w:t xml:space="preserve"> </w:t>
      </w:r>
      <w:r w:rsidRPr="003777AB">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3,2) року</w:t>
      </w:r>
      <w:r w:rsidRPr="003777AB">
        <w:rPr>
          <w:rFonts w:ascii="Times New Roman" w:hAnsi="Times New Roman" w:cs="Times New Roman"/>
          <w:sz w:val="28"/>
          <w:szCs w:val="28"/>
          <w:lang w:val="uk-UA"/>
        </w:rPr>
        <w:t xml:space="preserve">, </w:t>
      </w:r>
      <w:r w:rsidR="003E3D37">
        <w:rPr>
          <w:rFonts w:ascii="Times New Roman" w:hAnsi="Times New Roman" w:cs="Times New Roman"/>
          <w:sz w:val="28"/>
          <w:szCs w:val="28"/>
          <w:lang w:val="uk-UA"/>
        </w:rPr>
        <w:t xml:space="preserve">            </w:t>
      </w:r>
      <w:r w:rsidR="003777AB" w:rsidRPr="003777AB">
        <w:rPr>
          <w:rFonts w:ascii="Times New Roman" w:hAnsi="Times New Roman" w:cs="Times New Roman"/>
          <w:sz w:val="28"/>
          <w:szCs w:val="28"/>
          <w:lang w:val="uk-UA"/>
        </w:rPr>
        <w:t>p</w:t>
      </w:r>
      <w:r w:rsidR="008C1539" w:rsidRPr="008C1539">
        <w:rPr>
          <w:rFonts w:ascii="Times New Roman" w:hAnsi="Times New Roman" w:cs="Times New Roman"/>
          <w:sz w:val="28"/>
          <w:szCs w:val="28"/>
          <w:vertAlign w:val="subscript"/>
        </w:rPr>
        <w:t>1-3</w:t>
      </w:r>
      <w:r w:rsidR="003777AB" w:rsidRPr="003777AB">
        <w:rPr>
          <w:rFonts w:ascii="Times New Roman" w:hAnsi="Times New Roman" w:cs="Times New Roman"/>
          <w:sz w:val="28"/>
          <w:szCs w:val="28"/>
          <w:lang w:val="uk-UA"/>
        </w:rPr>
        <w:t xml:space="preserve"> = 0,0208</w:t>
      </w:r>
      <w:r w:rsidR="006F0BF4">
        <w:rPr>
          <w:rFonts w:ascii="Times New Roman" w:hAnsi="Times New Roman" w:cs="Times New Roman"/>
          <w:sz w:val="28"/>
          <w:szCs w:val="28"/>
          <w:lang w:val="uk-UA"/>
        </w:rPr>
        <w:t xml:space="preserve"> (рис. 4.1.2)</w:t>
      </w:r>
      <w:r w:rsidR="00E16253">
        <w:rPr>
          <w:rFonts w:ascii="Times New Roman" w:hAnsi="Times New Roman" w:cs="Times New Roman"/>
          <w:sz w:val="28"/>
          <w:szCs w:val="28"/>
          <w:lang w:val="uk-UA"/>
        </w:rPr>
        <w:t>.</w:t>
      </w:r>
    </w:p>
    <w:p w:rsidR="00E16253" w:rsidRDefault="00E16253" w:rsidP="00F90D18">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1900EA16" wp14:editId="5320FA33">
            <wp:extent cx="5949245" cy="3804355"/>
            <wp:effectExtent l="0" t="0" r="13970" b="247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16253" w:rsidRPr="006F0BF4" w:rsidRDefault="006F0BF4" w:rsidP="00EF17F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4.1.2 </w:t>
      </w:r>
      <w:r w:rsidRPr="006F0BF4">
        <w:rPr>
          <w:rFonts w:ascii="Times New Roman" w:hAnsi="Times New Roman" w:cs="Times New Roman"/>
          <w:sz w:val="28"/>
          <w:szCs w:val="28"/>
          <w:lang w:val="uk-UA"/>
        </w:rPr>
        <w:t>–</w:t>
      </w:r>
      <w:r w:rsidR="00B555E0">
        <w:rPr>
          <w:rFonts w:ascii="Times New Roman" w:hAnsi="Times New Roman" w:cs="Times New Roman"/>
          <w:sz w:val="28"/>
          <w:szCs w:val="28"/>
          <w:lang w:val="uk-UA"/>
        </w:rPr>
        <w:t xml:space="preserve"> Звʼ</w:t>
      </w:r>
      <w:r>
        <w:rPr>
          <w:rFonts w:ascii="Times New Roman" w:hAnsi="Times New Roman" w:cs="Times New Roman"/>
          <w:sz w:val="28"/>
          <w:szCs w:val="28"/>
          <w:lang w:val="uk-UA"/>
        </w:rPr>
        <w:t xml:space="preserve">язок між тривалістю цукрового діабету </w:t>
      </w:r>
      <w:r w:rsidR="0020690A">
        <w:rPr>
          <w:rFonts w:ascii="Times New Roman" w:hAnsi="Times New Roman" w:cs="Times New Roman"/>
          <w:sz w:val="28"/>
          <w:szCs w:val="28"/>
          <w:lang w:val="uk-UA"/>
        </w:rPr>
        <w:t xml:space="preserve">2-го типу </w:t>
      </w:r>
      <w:r>
        <w:rPr>
          <w:rFonts w:ascii="Times New Roman" w:hAnsi="Times New Roman" w:cs="Times New Roman"/>
          <w:sz w:val="28"/>
          <w:szCs w:val="28"/>
          <w:lang w:val="uk-UA"/>
        </w:rPr>
        <w:t>та категорією альбумінурії за наявності артеріальної гіпертензії</w:t>
      </w:r>
    </w:p>
    <w:p w:rsidR="00E16253" w:rsidRDefault="00E16253" w:rsidP="00EF17F6">
      <w:pPr>
        <w:autoSpaceDE w:val="0"/>
        <w:autoSpaceDN w:val="0"/>
        <w:adjustRightInd w:val="0"/>
        <w:spacing w:after="0" w:line="360" w:lineRule="auto"/>
        <w:ind w:firstLine="708"/>
        <w:jc w:val="both"/>
        <w:rPr>
          <w:rFonts w:ascii="Times New Roman" w:hAnsi="Times New Roman" w:cs="Times New Roman"/>
          <w:sz w:val="28"/>
          <w:szCs w:val="28"/>
          <w:lang w:val="en-US"/>
        </w:rPr>
      </w:pPr>
    </w:p>
    <w:p w:rsidR="0094416D" w:rsidRPr="00C45E42" w:rsidRDefault="0076594D" w:rsidP="00C45E42">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Тривал</w:t>
      </w:r>
      <w:r>
        <w:rPr>
          <w:rFonts w:ascii="Times New Roman" w:hAnsi="Times New Roman" w:cs="Times New Roman"/>
          <w:sz w:val="28"/>
          <w:szCs w:val="28"/>
          <w:lang w:val="en-US"/>
        </w:rPr>
        <w:t>i</w:t>
      </w:r>
      <w:r>
        <w:rPr>
          <w:rFonts w:ascii="Times New Roman" w:hAnsi="Times New Roman" w:cs="Times New Roman"/>
          <w:sz w:val="28"/>
          <w:szCs w:val="28"/>
          <w:lang w:val="uk-UA"/>
        </w:rPr>
        <w:t>сть АГ 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sidR="006F0BF4">
        <w:rPr>
          <w:rFonts w:ascii="Times New Roman" w:hAnsi="Times New Roman" w:cs="Times New Roman"/>
          <w:sz w:val="28"/>
          <w:szCs w:val="28"/>
          <w:lang w:val="uk-UA"/>
        </w:rPr>
        <w:t xml:space="preserve">із ЦД 2-го типу </w:t>
      </w:r>
      <w:r w:rsidR="00090BE4">
        <w:rPr>
          <w:rFonts w:ascii="Times New Roman" w:hAnsi="Times New Roman" w:cs="Times New Roman"/>
          <w:sz w:val="28"/>
          <w:szCs w:val="28"/>
          <w:lang w:val="uk-UA"/>
        </w:rPr>
        <w:t xml:space="preserve">категорії А1 </w:t>
      </w:r>
      <w:r w:rsidR="008F0511">
        <w:rPr>
          <w:rFonts w:ascii="Times New Roman" w:hAnsi="Times New Roman" w:cs="Times New Roman"/>
          <w:sz w:val="28"/>
          <w:szCs w:val="28"/>
          <w:lang w:val="uk-UA"/>
        </w:rPr>
        <w:t>станови</w:t>
      </w:r>
      <w:r>
        <w:rPr>
          <w:rFonts w:ascii="Times New Roman" w:hAnsi="Times New Roman" w:cs="Times New Roman"/>
          <w:sz w:val="28"/>
          <w:szCs w:val="28"/>
          <w:lang w:val="uk-UA"/>
        </w:rPr>
        <w:t>ла в</w:t>
      </w:r>
      <w:r>
        <w:rPr>
          <w:rFonts w:ascii="Times New Roman" w:hAnsi="Times New Roman" w:cs="Times New Roman"/>
          <w:sz w:val="28"/>
          <w:szCs w:val="28"/>
          <w:lang w:val="en-US"/>
        </w:rPr>
        <w:t>i</w:t>
      </w:r>
      <w:r w:rsidR="0094416D" w:rsidRPr="008707FF">
        <w:rPr>
          <w:rFonts w:ascii="Times New Roman" w:hAnsi="Times New Roman" w:cs="Times New Roman"/>
          <w:sz w:val="28"/>
          <w:szCs w:val="28"/>
          <w:lang w:val="uk-UA"/>
        </w:rPr>
        <w:t>дпо</w:t>
      </w:r>
      <w:r w:rsidR="00B42DB6">
        <w:rPr>
          <w:rFonts w:ascii="Times New Roman" w:hAnsi="Times New Roman" w:cs="Times New Roman"/>
          <w:sz w:val="28"/>
          <w:szCs w:val="28"/>
          <w:lang w:val="uk-UA"/>
        </w:rPr>
        <w:t>в</w:t>
      </w:r>
      <w:r w:rsidR="00B42DB6">
        <w:rPr>
          <w:rFonts w:ascii="Times New Roman" w:hAnsi="Times New Roman" w:cs="Times New Roman"/>
          <w:sz w:val="28"/>
          <w:szCs w:val="28"/>
          <w:lang w:val="en-US"/>
        </w:rPr>
        <w:t>i</w:t>
      </w:r>
      <w:r w:rsidR="007E480C">
        <w:rPr>
          <w:rFonts w:ascii="Times New Roman" w:hAnsi="Times New Roman" w:cs="Times New Roman"/>
          <w:sz w:val="28"/>
          <w:szCs w:val="28"/>
          <w:lang w:val="uk-UA"/>
        </w:rPr>
        <w:t>дно (4,1</w:t>
      </w:r>
      <w:r w:rsidR="008F0511">
        <w:rPr>
          <w:rFonts w:ascii="Times New Roman" w:hAnsi="Times New Roman" w:cs="Times New Roman"/>
          <w:sz w:val="28"/>
          <w:szCs w:val="28"/>
          <w:lang w:val="uk-UA"/>
        </w:rPr>
        <w:t xml:space="preserve"> </w:t>
      </w:r>
      <w:r w:rsidR="007E480C">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0,1) року</w:t>
      </w:r>
      <w:r w:rsidR="00090BE4">
        <w:rPr>
          <w:rFonts w:ascii="Times New Roman" w:hAnsi="Times New Roman" w:cs="Times New Roman"/>
          <w:sz w:val="28"/>
          <w:szCs w:val="28"/>
          <w:lang w:val="uk-UA"/>
        </w:rPr>
        <w:t>, А2</w:t>
      </w:r>
      <w:r w:rsidR="00CB1131">
        <w:rPr>
          <w:rFonts w:ascii="Times New Roman" w:hAnsi="Times New Roman" w:cs="Times New Roman"/>
          <w:sz w:val="28"/>
          <w:szCs w:val="28"/>
          <w:lang w:val="uk-UA"/>
        </w:rPr>
        <w:t xml:space="preserve"> – (5,4</w:t>
      </w:r>
      <w:r w:rsidR="008F0511">
        <w:rPr>
          <w:rFonts w:ascii="Times New Roman" w:hAnsi="Times New Roman" w:cs="Times New Roman"/>
          <w:sz w:val="28"/>
          <w:szCs w:val="28"/>
          <w:lang w:val="uk-UA"/>
        </w:rPr>
        <w:t xml:space="preserve"> </w:t>
      </w:r>
      <w:r w:rsidR="00CB1131">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CB1131">
        <w:rPr>
          <w:rFonts w:ascii="Times New Roman" w:hAnsi="Times New Roman" w:cs="Times New Roman"/>
          <w:sz w:val="28"/>
          <w:szCs w:val="28"/>
          <w:lang w:val="uk-UA"/>
        </w:rPr>
        <w:t>0</w:t>
      </w:r>
      <w:r w:rsidR="00CB1131" w:rsidRPr="008D6381">
        <w:rPr>
          <w:rFonts w:ascii="Times New Roman" w:hAnsi="Times New Roman" w:cs="Times New Roman"/>
          <w:sz w:val="28"/>
          <w:szCs w:val="28"/>
          <w:lang w:val="uk-UA"/>
        </w:rPr>
        <w:t>,14</w:t>
      </w:r>
      <w:r w:rsidR="008F0511">
        <w:rPr>
          <w:rFonts w:ascii="Times New Roman" w:hAnsi="Times New Roman" w:cs="Times New Roman"/>
          <w:sz w:val="28"/>
          <w:szCs w:val="28"/>
          <w:lang w:val="uk-UA"/>
        </w:rPr>
        <w:t>) року</w:t>
      </w:r>
      <w:r w:rsidR="0094416D" w:rsidRPr="008D6381">
        <w:rPr>
          <w:rFonts w:ascii="Times New Roman" w:hAnsi="Times New Roman" w:cs="Times New Roman"/>
          <w:sz w:val="28"/>
          <w:szCs w:val="28"/>
          <w:lang w:val="uk-UA"/>
        </w:rPr>
        <w:t xml:space="preserve">,  </w:t>
      </w:r>
      <w:r w:rsidR="003777AB">
        <w:rPr>
          <w:rFonts w:ascii="Times New Roman" w:hAnsi="Times New Roman" w:cs="Times New Roman"/>
          <w:sz w:val="28"/>
          <w:szCs w:val="28"/>
          <w:lang w:val="uk-UA"/>
        </w:rPr>
        <w:t>p</w:t>
      </w:r>
      <w:r w:rsidR="0020690A">
        <w:rPr>
          <w:rFonts w:ascii="Times New Roman" w:hAnsi="Times New Roman" w:cs="Times New Roman"/>
          <w:sz w:val="28"/>
          <w:szCs w:val="28"/>
          <w:vertAlign w:val="subscript"/>
          <w:lang w:val="uk-UA"/>
        </w:rPr>
        <w:t>1-2</w:t>
      </w:r>
      <w:r w:rsidR="003777AB">
        <w:rPr>
          <w:rFonts w:ascii="Times New Roman" w:hAnsi="Times New Roman" w:cs="Times New Roman"/>
          <w:sz w:val="28"/>
          <w:szCs w:val="28"/>
          <w:lang w:val="uk-UA"/>
        </w:rPr>
        <w:t xml:space="preserve"> </w:t>
      </w:r>
      <w:r w:rsidR="003777AB" w:rsidRPr="003777AB">
        <w:rPr>
          <w:rFonts w:ascii="Times New Roman" w:hAnsi="Times New Roman" w:cs="Times New Roman"/>
          <w:sz w:val="28"/>
          <w:szCs w:val="28"/>
          <w:lang w:val="uk-UA"/>
        </w:rPr>
        <w:t>&lt;</w:t>
      </w:r>
      <w:r w:rsidR="003777AB">
        <w:rPr>
          <w:rFonts w:ascii="Times New Roman" w:hAnsi="Times New Roman" w:cs="Times New Roman"/>
          <w:sz w:val="28"/>
          <w:szCs w:val="28"/>
          <w:lang w:val="uk-UA"/>
        </w:rPr>
        <w:t xml:space="preserve"> 0,00</w:t>
      </w:r>
      <w:r w:rsidR="003777AB" w:rsidRPr="003777AB">
        <w:rPr>
          <w:rFonts w:ascii="Times New Roman" w:hAnsi="Times New Roman" w:cs="Times New Roman"/>
          <w:sz w:val="28"/>
          <w:szCs w:val="28"/>
          <w:lang w:val="uk-UA"/>
        </w:rPr>
        <w:t>01</w:t>
      </w:r>
      <w:r w:rsidR="00B42DB6">
        <w:rPr>
          <w:rFonts w:ascii="Times New Roman" w:hAnsi="Times New Roman" w:cs="Times New Roman"/>
          <w:sz w:val="28"/>
          <w:szCs w:val="28"/>
          <w:lang w:val="uk-UA"/>
        </w:rPr>
        <w:t xml:space="preserve">, </w:t>
      </w:r>
      <w:r w:rsidR="00090BE4">
        <w:rPr>
          <w:rFonts w:ascii="Times New Roman" w:hAnsi="Times New Roman" w:cs="Times New Roman"/>
          <w:sz w:val="28"/>
          <w:szCs w:val="28"/>
          <w:lang w:val="uk-UA"/>
        </w:rPr>
        <w:t>А3</w:t>
      </w:r>
      <w:r w:rsidR="000E6281" w:rsidRPr="008D6381">
        <w:rPr>
          <w:rFonts w:ascii="Times New Roman" w:hAnsi="Times New Roman" w:cs="Times New Roman"/>
          <w:sz w:val="28"/>
          <w:szCs w:val="28"/>
          <w:lang w:val="uk-UA"/>
        </w:rPr>
        <w:t xml:space="preserve"> – (8</w:t>
      </w:r>
      <w:r w:rsidR="0094416D" w:rsidRPr="008D6381">
        <w:rPr>
          <w:rFonts w:ascii="Times New Roman" w:hAnsi="Times New Roman" w:cs="Times New Roman"/>
          <w:sz w:val="28"/>
          <w:szCs w:val="28"/>
          <w:lang w:val="uk-UA"/>
        </w:rPr>
        <w:t>,15</w:t>
      </w:r>
      <w:r w:rsidR="008F0511">
        <w:rPr>
          <w:rFonts w:ascii="Times New Roman" w:hAnsi="Times New Roman" w:cs="Times New Roman"/>
          <w:sz w:val="28"/>
          <w:szCs w:val="28"/>
          <w:lang w:val="uk-UA"/>
        </w:rPr>
        <w:t xml:space="preserve"> </w:t>
      </w:r>
      <w:r w:rsidR="00C45E42" w:rsidRPr="00C45E42">
        <w:rPr>
          <w:rFonts w:ascii="Times New Roman" w:hAnsi="Times New Roman" w:cs="Times New Roman"/>
          <w:sz w:val="28"/>
          <w:szCs w:val="28"/>
        </w:rPr>
        <w:t xml:space="preserve">    </w:t>
      </w:r>
      <w:r w:rsidR="0094416D" w:rsidRPr="008D6381">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0,4) року</w:t>
      </w:r>
      <w:r w:rsidR="00CC55E5" w:rsidRPr="008D6381">
        <w:rPr>
          <w:rFonts w:ascii="Times New Roman" w:hAnsi="Times New Roman" w:cs="Times New Roman"/>
          <w:sz w:val="28"/>
          <w:szCs w:val="28"/>
          <w:lang w:val="uk-UA"/>
        </w:rPr>
        <w:t xml:space="preserve">, </w:t>
      </w:r>
      <w:r w:rsidR="00CB1131" w:rsidRPr="008D6381">
        <w:rPr>
          <w:rFonts w:ascii="Times New Roman" w:hAnsi="Times New Roman" w:cs="Times New Roman"/>
          <w:sz w:val="28"/>
          <w:szCs w:val="28"/>
          <w:lang w:val="uk-UA"/>
        </w:rPr>
        <w:t>p</w:t>
      </w:r>
      <w:r w:rsidR="0020690A">
        <w:rPr>
          <w:rFonts w:ascii="Times New Roman" w:hAnsi="Times New Roman" w:cs="Times New Roman"/>
          <w:sz w:val="28"/>
          <w:szCs w:val="28"/>
          <w:vertAlign w:val="subscript"/>
          <w:lang w:val="uk-UA"/>
        </w:rPr>
        <w:t>1-3</w:t>
      </w:r>
      <w:r w:rsidR="00CB1131" w:rsidRPr="008D6381">
        <w:rPr>
          <w:rFonts w:ascii="Times New Roman" w:hAnsi="Times New Roman" w:cs="Times New Roman"/>
          <w:sz w:val="28"/>
          <w:szCs w:val="28"/>
          <w:lang w:val="uk-UA"/>
        </w:rPr>
        <w:t xml:space="preserve"> &lt; 0,00</w:t>
      </w:r>
      <w:r w:rsidR="00EE1A58" w:rsidRPr="008D6381">
        <w:rPr>
          <w:rFonts w:ascii="Times New Roman" w:hAnsi="Times New Roman" w:cs="Times New Roman"/>
          <w:sz w:val="28"/>
          <w:szCs w:val="28"/>
          <w:lang w:val="uk-UA"/>
        </w:rPr>
        <w:t>0</w:t>
      </w:r>
      <w:r w:rsidR="00CB1131" w:rsidRPr="008D6381">
        <w:rPr>
          <w:rFonts w:ascii="Times New Roman" w:hAnsi="Times New Roman" w:cs="Times New Roman"/>
          <w:sz w:val="28"/>
          <w:szCs w:val="28"/>
          <w:lang w:val="uk-UA"/>
        </w:rPr>
        <w:t>1</w:t>
      </w:r>
      <w:r w:rsidR="0054115A">
        <w:rPr>
          <w:rFonts w:ascii="Times New Roman" w:hAnsi="Times New Roman" w:cs="Times New Roman"/>
          <w:sz w:val="28"/>
          <w:szCs w:val="28"/>
          <w:lang w:val="uk-UA"/>
        </w:rPr>
        <w:t xml:space="preserve"> (рис. 4.1.3)</w:t>
      </w:r>
      <w:r w:rsidR="00CC55E5" w:rsidRPr="008D6381">
        <w:rPr>
          <w:rFonts w:ascii="Times New Roman" w:hAnsi="Times New Roman" w:cs="Times New Roman"/>
          <w:sz w:val="28"/>
          <w:szCs w:val="28"/>
          <w:lang w:val="uk-UA"/>
        </w:rPr>
        <w:t xml:space="preserve">. </w:t>
      </w:r>
    </w:p>
    <w:p w:rsidR="006F0BF4" w:rsidRDefault="006F0BF4" w:rsidP="006F0BF4">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2FE712A0" wp14:editId="4EC2550C">
            <wp:extent cx="5869172" cy="4284921"/>
            <wp:effectExtent l="0" t="0" r="17780" b="209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BF4" w:rsidRDefault="006F0BF4" w:rsidP="00090BE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 4.1.3</w:t>
      </w:r>
      <w:r w:rsidR="00B67BE7">
        <w:rPr>
          <w:rFonts w:ascii="Times New Roman" w:hAnsi="Times New Roman" w:cs="Times New Roman"/>
          <w:sz w:val="28"/>
          <w:szCs w:val="28"/>
          <w:lang w:val="uk-UA"/>
        </w:rPr>
        <w:t xml:space="preserve"> – Звʼ</w:t>
      </w:r>
      <w:r w:rsidRPr="006F0BF4">
        <w:rPr>
          <w:rFonts w:ascii="Times New Roman" w:hAnsi="Times New Roman" w:cs="Times New Roman"/>
          <w:sz w:val="28"/>
          <w:szCs w:val="28"/>
          <w:lang w:val="uk-UA"/>
        </w:rPr>
        <w:t xml:space="preserve">язок </w:t>
      </w:r>
      <w:r>
        <w:rPr>
          <w:rFonts w:ascii="Times New Roman" w:hAnsi="Times New Roman" w:cs="Times New Roman"/>
          <w:sz w:val="28"/>
          <w:szCs w:val="28"/>
          <w:lang w:val="uk-UA"/>
        </w:rPr>
        <w:t>між тривалістю артеріальної гіпертензії</w:t>
      </w:r>
      <w:r w:rsidRPr="006F0BF4">
        <w:rPr>
          <w:rFonts w:ascii="Times New Roman" w:hAnsi="Times New Roman" w:cs="Times New Roman"/>
          <w:sz w:val="28"/>
          <w:szCs w:val="28"/>
          <w:lang w:val="uk-UA"/>
        </w:rPr>
        <w:t xml:space="preserve"> та категорією альбумінурії за на</w:t>
      </w:r>
      <w:r w:rsidR="0020690A">
        <w:rPr>
          <w:rFonts w:ascii="Times New Roman" w:hAnsi="Times New Roman" w:cs="Times New Roman"/>
          <w:sz w:val="28"/>
          <w:szCs w:val="28"/>
          <w:lang w:val="uk-UA"/>
        </w:rPr>
        <w:t xml:space="preserve">явності супутнього цукрового </w:t>
      </w:r>
      <w:r w:rsidR="00B67BE7">
        <w:rPr>
          <w:rFonts w:ascii="Times New Roman" w:hAnsi="Times New Roman" w:cs="Times New Roman"/>
          <w:sz w:val="28"/>
          <w:szCs w:val="28"/>
          <w:lang w:val="uk-UA"/>
        </w:rPr>
        <w:t>діабету 2-го типу</w:t>
      </w:r>
    </w:p>
    <w:p w:rsidR="006F0BF4" w:rsidRDefault="0020690A" w:rsidP="00090BE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F0BF4" w:rsidRDefault="0020690A" w:rsidP="00805C6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вираженість альбумінурії </w:t>
      </w:r>
      <w:r w:rsidR="0054115A" w:rsidRPr="0054115A">
        <w:rPr>
          <w:rFonts w:ascii="Times New Roman" w:hAnsi="Times New Roman" w:cs="Times New Roman"/>
          <w:sz w:val="28"/>
          <w:szCs w:val="28"/>
          <w:lang w:val="uk-UA"/>
        </w:rPr>
        <w:t xml:space="preserve">зростала пропорційно </w:t>
      </w:r>
      <w:r w:rsidR="00F34E64">
        <w:rPr>
          <w:rFonts w:ascii="Times New Roman" w:hAnsi="Times New Roman" w:cs="Times New Roman"/>
          <w:sz w:val="28"/>
          <w:szCs w:val="28"/>
          <w:lang w:val="uk-UA"/>
        </w:rPr>
        <w:t xml:space="preserve">            </w:t>
      </w:r>
      <w:r w:rsidR="0054115A" w:rsidRPr="0054115A">
        <w:rPr>
          <w:rFonts w:ascii="Times New Roman" w:hAnsi="Times New Roman" w:cs="Times New Roman"/>
          <w:sz w:val="28"/>
          <w:szCs w:val="28"/>
          <w:lang w:val="uk-UA"/>
        </w:rPr>
        <w:t xml:space="preserve">до тривалості АГ, ЦД 2-го типу </w:t>
      </w:r>
      <w:r>
        <w:rPr>
          <w:rFonts w:ascii="Times New Roman" w:hAnsi="Times New Roman" w:cs="Times New Roman"/>
          <w:sz w:val="28"/>
          <w:szCs w:val="28"/>
          <w:lang w:val="uk-UA"/>
        </w:rPr>
        <w:t>у пацієнтів</w:t>
      </w:r>
      <w:r w:rsidR="0054115A">
        <w:rPr>
          <w:rFonts w:ascii="Times New Roman" w:hAnsi="Times New Roman" w:cs="Times New Roman"/>
          <w:sz w:val="28"/>
          <w:szCs w:val="28"/>
          <w:lang w:val="uk-UA"/>
        </w:rPr>
        <w:t xml:space="preserve"> І групи</w:t>
      </w:r>
      <w:r>
        <w:rPr>
          <w:rFonts w:ascii="Times New Roman" w:hAnsi="Times New Roman" w:cs="Times New Roman"/>
          <w:sz w:val="28"/>
          <w:szCs w:val="28"/>
          <w:lang w:val="uk-UA"/>
        </w:rPr>
        <w:t>.</w:t>
      </w:r>
    </w:p>
    <w:p w:rsidR="00CE0218" w:rsidRDefault="00B42DB6" w:rsidP="00090BE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Було досліджено зв’язок 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ж </w:t>
      </w:r>
      <w:r w:rsidR="00B67BE7">
        <w:rPr>
          <w:rFonts w:ascii="Times New Roman" w:hAnsi="Times New Roman" w:cs="Times New Roman"/>
          <w:sz w:val="28"/>
          <w:szCs w:val="28"/>
          <w:lang w:val="uk-UA"/>
        </w:rPr>
        <w:t xml:space="preserve">вмістом </w:t>
      </w:r>
      <w:r w:rsidR="00D31479" w:rsidRPr="008707FF">
        <w:rPr>
          <w:rFonts w:ascii="Times New Roman" w:hAnsi="Times New Roman" w:cs="Times New Roman"/>
          <w:sz w:val="28"/>
          <w:szCs w:val="28"/>
          <w:lang w:val="uk-UA"/>
        </w:rPr>
        <w:t>HbA1с</w:t>
      </w:r>
      <w:r w:rsidR="00805C6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805C61">
        <w:rPr>
          <w:rFonts w:ascii="Times New Roman" w:hAnsi="Times New Roman" w:cs="Times New Roman"/>
          <w:sz w:val="28"/>
          <w:szCs w:val="28"/>
          <w:lang w:val="uk-UA"/>
        </w:rPr>
        <w:t>вираженістю альбумінурії у хворих на АГ і супутній ЦД 2-го типу</w:t>
      </w:r>
      <w:r w:rsidR="00D31479" w:rsidRPr="008707FF">
        <w:rPr>
          <w:rFonts w:ascii="Times New Roman" w:hAnsi="Times New Roman" w:cs="Times New Roman"/>
          <w:sz w:val="28"/>
          <w:szCs w:val="28"/>
          <w:lang w:val="uk-UA"/>
        </w:rPr>
        <w:t xml:space="preserve">. </w:t>
      </w:r>
      <w:r>
        <w:rPr>
          <w:rFonts w:ascii="Times New Roman" w:hAnsi="Times New Roman" w:cs="Times New Roman"/>
          <w:sz w:val="28"/>
          <w:szCs w:val="28"/>
          <w:lang w:val="uk-UA"/>
        </w:rPr>
        <w:t>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sidR="0054115A">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з </w:t>
      </w:r>
      <w:r w:rsidR="00090BE4">
        <w:rPr>
          <w:rFonts w:ascii="Times New Roman" w:hAnsi="Times New Roman" w:cs="Times New Roman"/>
          <w:sz w:val="28"/>
          <w:szCs w:val="28"/>
          <w:lang w:val="uk-UA"/>
        </w:rPr>
        <w:t xml:space="preserve">категорією альбумінурії А1 </w:t>
      </w:r>
      <w:r w:rsidR="00B67BE7">
        <w:rPr>
          <w:rFonts w:ascii="Times New Roman" w:hAnsi="Times New Roman" w:cs="Times New Roman"/>
          <w:sz w:val="28"/>
          <w:szCs w:val="28"/>
          <w:lang w:val="uk-UA"/>
        </w:rPr>
        <w:t>вміст</w:t>
      </w:r>
      <w:r w:rsidR="008F0511">
        <w:rPr>
          <w:rFonts w:ascii="Times New Roman" w:hAnsi="Times New Roman" w:cs="Times New Roman"/>
          <w:sz w:val="28"/>
          <w:szCs w:val="28"/>
          <w:lang w:val="uk-UA"/>
        </w:rPr>
        <w:t xml:space="preserve"> HbA1с станови</w:t>
      </w:r>
      <w:r w:rsidR="000A6D94" w:rsidRPr="008707FF">
        <w:rPr>
          <w:rFonts w:ascii="Times New Roman" w:hAnsi="Times New Roman" w:cs="Times New Roman"/>
          <w:sz w:val="28"/>
          <w:szCs w:val="28"/>
          <w:lang w:val="uk-UA"/>
        </w:rPr>
        <w:t xml:space="preserve">в </w:t>
      </w:r>
      <w:r w:rsidR="007E480C">
        <w:rPr>
          <w:rFonts w:ascii="Times New Roman" w:hAnsi="Times New Roman" w:cs="Times New Roman"/>
          <w:sz w:val="28"/>
          <w:szCs w:val="28"/>
          <w:lang w:val="uk-UA"/>
        </w:rPr>
        <w:t>(6,8</w:t>
      </w:r>
      <w:r w:rsidR="008F0511">
        <w:rPr>
          <w:rFonts w:ascii="Times New Roman" w:hAnsi="Times New Roman" w:cs="Times New Roman"/>
          <w:sz w:val="28"/>
          <w:szCs w:val="28"/>
          <w:lang w:val="uk-UA"/>
        </w:rPr>
        <w:t xml:space="preserve"> </w:t>
      </w:r>
      <w:r w:rsidR="007E480C">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090BE4">
        <w:rPr>
          <w:rFonts w:ascii="Times New Roman" w:hAnsi="Times New Roman" w:cs="Times New Roman"/>
          <w:sz w:val="28"/>
          <w:szCs w:val="28"/>
          <w:lang w:val="uk-UA"/>
        </w:rPr>
        <w:t>0,09) %, А2</w:t>
      </w:r>
      <w:r w:rsidR="000A6D94" w:rsidRPr="008707FF">
        <w:rPr>
          <w:rFonts w:ascii="Times New Roman" w:hAnsi="Times New Roman" w:cs="Times New Roman"/>
          <w:sz w:val="28"/>
          <w:szCs w:val="28"/>
          <w:lang w:val="uk-UA"/>
        </w:rPr>
        <w:t xml:space="preserve"> – (8,2</w:t>
      </w:r>
      <w:r w:rsidR="008F0511">
        <w:rPr>
          <w:rFonts w:ascii="Times New Roman" w:hAnsi="Times New Roman" w:cs="Times New Roman"/>
          <w:sz w:val="28"/>
          <w:szCs w:val="28"/>
          <w:lang w:val="uk-UA"/>
        </w:rPr>
        <w:t xml:space="preserve"> </w:t>
      </w:r>
      <w:r w:rsidR="000A6D94" w:rsidRPr="008707FF">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0A6D94" w:rsidRPr="008707FF">
        <w:rPr>
          <w:rFonts w:ascii="Times New Roman" w:hAnsi="Times New Roman" w:cs="Times New Roman"/>
          <w:sz w:val="28"/>
          <w:szCs w:val="28"/>
          <w:lang w:val="uk-UA"/>
        </w:rPr>
        <w:t xml:space="preserve">0,06) %, </w:t>
      </w:r>
      <w:r w:rsidR="00CB1131" w:rsidRPr="008D6381">
        <w:rPr>
          <w:rFonts w:ascii="Times New Roman" w:hAnsi="Times New Roman" w:cs="Times New Roman"/>
          <w:sz w:val="28"/>
          <w:szCs w:val="28"/>
          <w:lang w:val="uk-UA"/>
        </w:rPr>
        <w:t>p</w:t>
      </w:r>
      <w:r w:rsidR="00805C61">
        <w:rPr>
          <w:rFonts w:ascii="Times New Roman" w:hAnsi="Times New Roman" w:cs="Times New Roman"/>
          <w:sz w:val="28"/>
          <w:szCs w:val="28"/>
          <w:vertAlign w:val="subscript"/>
          <w:lang w:val="uk-UA"/>
        </w:rPr>
        <w:t>1-2</w:t>
      </w:r>
      <w:r w:rsidR="00CB1131" w:rsidRPr="008D6381">
        <w:rPr>
          <w:rFonts w:ascii="Times New Roman" w:hAnsi="Times New Roman" w:cs="Times New Roman"/>
          <w:sz w:val="28"/>
          <w:szCs w:val="28"/>
          <w:lang w:val="uk-UA"/>
        </w:rPr>
        <w:t xml:space="preserve"> &lt; 0,00</w:t>
      </w:r>
      <w:r w:rsidR="00EE1A58" w:rsidRPr="008D6381">
        <w:rPr>
          <w:rFonts w:ascii="Times New Roman" w:hAnsi="Times New Roman" w:cs="Times New Roman"/>
          <w:sz w:val="28"/>
          <w:szCs w:val="28"/>
          <w:lang w:val="uk-UA"/>
        </w:rPr>
        <w:t>0</w:t>
      </w:r>
      <w:r w:rsidR="00CB1131" w:rsidRPr="008D6381">
        <w:rPr>
          <w:rFonts w:ascii="Times New Roman" w:hAnsi="Times New Roman" w:cs="Times New Roman"/>
          <w:sz w:val="28"/>
          <w:szCs w:val="28"/>
          <w:lang w:val="uk-UA"/>
        </w:rPr>
        <w:t>1</w:t>
      </w:r>
      <w:r w:rsidR="00FA765F" w:rsidRPr="00FA765F">
        <w:rPr>
          <w:rFonts w:ascii="Times New Roman" w:hAnsi="Times New Roman" w:cs="Times New Roman"/>
          <w:sz w:val="28"/>
          <w:szCs w:val="28"/>
          <w:lang w:val="uk-UA"/>
        </w:rPr>
        <w:t xml:space="preserve">, </w:t>
      </w:r>
      <w:r w:rsidR="00090BE4">
        <w:rPr>
          <w:rFonts w:ascii="Times New Roman" w:hAnsi="Times New Roman" w:cs="Times New Roman"/>
          <w:sz w:val="28"/>
          <w:szCs w:val="28"/>
          <w:lang w:val="uk-UA"/>
        </w:rPr>
        <w:t>А3</w:t>
      </w:r>
      <w:r w:rsidR="00CB1131" w:rsidRPr="008D6381">
        <w:rPr>
          <w:rFonts w:ascii="Times New Roman" w:hAnsi="Times New Roman" w:cs="Times New Roman"/>
          <w:sz w:val="28"/>
          <w:szCs w:val="28"/>
          <w:lang w:val="uk-UA"/>
        </w:rPr>
        <w:t xml:space="preserve"> – (9,7</w:t>
      </w:r>
      <w:r w:rsidR="008F0511">
        <w:rPr>
          <w:rFonts w:ascii="Times New Roman" w:hAnsi="Times New Roman" w:cs="Times New Roman"/>
          <w:sz w:val="28"/>
          <w:szCs w:val="28"/>
          <w:lang w:val="uk-UA"/>
        </w:rPr>
        <w:t xml:space="preserve"> </w:t>
      </w:r>
      <w:r w:rsidR="00CB1131" w:rsidRPr="008D6381">
        <w:rPr>
          <w:rFonts w:ascii="Times New Roman" w:hAnsi="Times New Roman" w:cs="Times New Roman"/>
          <w:sz w:val="28"/>
          <w:szCs w:val="28"/>
          <w:lang w:val="uk-UA"/>
        </w:rPr>
        <w:t>±</w:t>
      </w:r>
      <w:r w:rsidR="008F0511">
        <w:rPr>
          <w:rFonts w:ascii="Times New Roman" w:hAnsi="Times New Roman" w:cs="Times New Roman"/>
          <w:sz w:val="28"/>
          <w:szCs w:val="28"/>
          <w:lang w:val="uk-UA"/>
        </w:rPr>
        <w:t xml:space="preserve"> </w:t>
      </w:r>
      <w:r w:rsidR="00CB1131" w:rsidRPr="008D6381">
        <w:rPr>
          <w:rFonts w:ascii="Times New Roman" w:hAnsi="Times New Roman" w:cs="Times New Roman"/>
          <w:sz w:val="28"/>
          <w:szCs w:val="28"/>
          <w:lang w:val="uk-UA"/>
        </w:rPr>
        <w:t>0,93</w:t>
      </w:r>
      <w:r w:rsidR="000A6D94" w:rsidRPr="008D6381">
        <w:rPr>
          <w:rFonts w:ascii="Times New Roman" w:hAnsi="Times New Roman" w:cs="Times New Roman"/>
          <w:sz w:val="28"/>
          <w:szCs w:val="28"/>
          <w:lang w:val="uk-UA"/>
        </w:rPr>
        <w:t xml:space="preserve">) %, </w:t>
      </w:r>
      <w:r w:rsidR="00815041">
        <w:rPr>
          <w:rFonts w:ascii="Times New Roman" w:hAnsi="Times New Roman" w:cs="Times New Roman"/>
          <w:sz w:val="28"/>
          <w:szCs w:val="28"/>
          <w:lang w:val="uk-UA"/>
        </w:rPr>
        <w:t>p</w:t>
      </w:r>
      <w:r w:rsidR="00805C61">
        <w:rPr>
          <w:rFonts w:ascii="Times New Roman" w:hAnsi="Times New Roman" w:cs="Times New Roman"/>
          <w:sz w:val="28"/>
          <w:szCs w:val="28"/>
          <w:vertAlign w:val="subscript"/>
          <w:lang w:val="uk-UA"/>
        </w:rPr>
        <w:t>1-3</w:t>
      </w:r>
      <w:r w:rsidR="00815041">
        <w:rPr>
          <w:rFonts w:ascii="Times New Roman" w:hAnsi="Times New Roman" w:cs="Times New Roman"/>
          <w:sz w:val="28"/>
          <w:szCs w:val="28"/>
          <w:lang w:val="uk-UA"/>
        </w:rPr>
        <w:t xml:space="preserve"> = 0,0</w:t>
      </w:r>
      <w:r w:rsidR="00815041" w:rsidRPr="00815041">
        <w:rPr>
          <w:rFonts w:ascii="Times New Roman" w:hAnsi="Times New Roman" w:cs="Times New Roman"/>
          <w:sz w:val="28"/>
          <w:szCs w:val="28"/>
          <w:lang w:val="uk-UA"/>
        </w:rPr>
        <w:t>00</w:t>
      </w:r>
      <w:r w:rsidR="00CB1131" w:rsidRPr="008D6381">
        <w:rPr>
          <w:rFonts w:ascii="Times New Roman" w:hAnsi="Times New Roman" w:cs="Times New Roman"/>
          <w:sz w:val="28"/>
          <w:szCs w:val="28"/>
          <w:lang w:val="uk-UA"/>
        </w:rPr>
        <w:t>9</w:t>
      </w:r>
      <w:r w:rsidR="000A6D94" w:rsidRPr="008D6381">
        <w:rPr>
          <w:rFonts w:ascii="Times New Roman" w:hAnsi="Times New Roman" w:cs="Times New Roman"/>
          <w:sz w:val="28"/>
          <w:szCs w:val="28"/>
          <w:lang w:val="uk-UA"/>
        </w:rPr>
        <w:t>.</w:t>
      </w:r>
      <w:r w:rsidR="00A46E2B" w:rsidRPr="008D6381">
        <w:rPr>
          <w:rFonts w:ascii="Times New Roman" w:hAnsi="Times New Roman" w:cs="Times New Roman"/>
          <w:sz w:val="28"/>
          <w:szCs w:val="28"/>
          <w:lang w:val="uk-UA"/>
        </w:rPr>
        <w:t xml:space="preserve"> </w:t>
      </w:r>
    </w:p>
    <w:p w:rsidR="00632894" w:rsidRPr="00090BE4" w:rsidRDefault="00CE0218" w:rsidP="00090BE4">
      <w:pPr>
        <w:autoSpaceDE w:val="0"/>
        <w:autoSpaceDN w:val="0"/>
        <w:adjustRightInd w:val="0"/>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У хворих</w:t>
      </w:r>
      <w:r w:rsidR="00D77826">
        <w:rPr>
          <w:rFonts w:ascii="Times New Roman" w:hAnsi="Times New Roman" w:cs="Times New Roman"/>
          <w:bCs/>
          <w:sz w:val="28"/>
          <w:szCs w:val="28"/>
          <w:lang w:val="uk-UA"/>
        </w:rPr>
        <w:t xml:space="preserve"> на</w:t>
      </w:r>
      <w:r w:rsidR="00A22531">
        <w:rPr>
          <w:rFonts w:ascii="Times New Roman" w:hAnsi="Times New Roman" w:cs="Times New Roman"/>
          <w:bCs/>
          <w:sz w:val="28"/>
          <w:szCs w:val="28"/>
          <w:lang w:val="uk-UA"/>
        </w:rPr>
        <w:t xml:space="preserve"> АГ та ЦД 2-го типу </w:t>
      </w:r>
      <w:r w:rsidR="00090BE4">
        <w:rPr>
          <w:rFonts w:ascii="Times New Roman" w:hAnsi="Times New Roman" w:cs="Times New Roman"/>
          <w:bCs/>
          <w:sz w:val="28"/>
          <w:szCs w:val="28"/>
          <w:lang w:val="uk-UA"/>
        </w:rPr>
        <w:t>конст</w:t>
      </w:r>
      <w:r w:rsidR="00B67BE7">
        <w:rPr>
          <w:rFonts w:ascii="Times New Roman" w:hAnsi="Times New Roman" w:cs="Times New Roman"/>
          <w:bCs/>
          <w:sz w:val="28"/>
          <w:szCs w:val="28"/>
          <w:lang w:val="uk-UA"/>
        </w:rPr>
        <w:t>атовано, що із збільшенням вмісту</w:t>
      </w:r>
      <w:r w:rsidR="007758EB" w:rsidRPr="007758EB">
        <w:rPr>
          <w:rFonts w:ascii="Times New Roman" w:hAnsi="Times New Roman" w:cs="Times New Roman"/>
          <w:bCs/>
          <w:sz w:val="28"/>
          <w:szCs w:val="28"/>
          <w:lang w:val="uk-UA"/>
        </w:rPr>
        <w:t xml:space="preserve"> </w:t>
      </w:r>
      <w:r w:rsidR="00090BE4" w:rsidRPr="00090BE4">
        <w:rPr>
          <w:rFonts w:ascii="Times New Roman" w:hAnsi="Times New Roman" w:cs="Times New Roman"/>
          <w:bCs/>
          <w:sz w:val="28"/>
          <w:szCs w:val="28"/>
          <w:lang w:val="uk-UA"/>
        </w:rPr>
        <w:t>HbA1с</w:t>
      </w:r>
      <w:r w:rsidR="00B67BE7">
        <w:rPr>
          <w:rFonts w:ascii="Times New Roman" w:hAnsi="Times New Roman" w:cs="Times New Roman"/>
          <w:bCs/>
          <w:sz w:val="28"/>
          <w:szCs w:val="28"/>
          <w:lang w:val="uk-UA"/>
        </w:rPr>
        <w:t xml:space="preserve"> зростала і </w:t>
      </w:r>
      <w:r w:rsidR="007758EB" w:rsidRPr="007758EB">
        <w:rPr>
          <w:rFonts w:ascii="Times New Roman" w:hAnsi="Times New Roman" w:cs="Times New Roman"/>
          <w:bCs/>
          <w:sz w:val="28"/>
          <w:szCs w:val="28"/>
          <w:lang w:val="uk-UA"/>
        </w:rPr>
        <w:t>аль</w:t>
      </w:r>
      <w:r w:rsidR="00B42DB6">
        <w:rPr>
          <w:rFonts w:ascii="Times New Roman" w:hAnsi="Times New Roman" w:cs="Times New Roman"/>
          <w:bCs/>
          <w:sz w:val="28"/>
          <w:szCs w:val="28"/>
          <w:lang w:val="uk-UA"/>
        </w:rPr>
        <w:t>бум</w:t>
      </w:r>
      <w:r w:rsidR="00B42DB6">
        <w:rPr>
          <w:rFonts w:ascii="Times New Roman" w:hAnsi="Times New Roman" w:cs="Times New Roman"/>
          <w:bCs/>
          <w:sz w:val="28"/>
          <w:szCs w:val="28"/>
          <w:lang w:val="en-US"/>
        </w:rPr>
        <w:t>i</w:t>
      </w:r>
      <w:r w:rsidR="00B42DB6">
        <w:rPr>
          <w:rFonts w:ascii="Times New Roman" w:hAnsi="Times New Roman" w:cs="Times New Roman"/>
          <w:bCs/>
          <w:sz w:val="28"/>
          <w:szCs w:val="28"/>
          <w:lang w:val="uk-UA"/>
        </w:rPr>
        <w:t>нур</w:t>
      </w:r>
      <w:r w:rsidR="00B42DB6">
        <w:rPr>
          <w:rFonts w:ascii="Times New Roman" w:hAnsi="Times New Roman" w:cs="Times New Roman"/>
          <w:bCs/>
          <w:sz w:val="28"/>
          <w:szCs w:val="28"/>
          <w:lang w:val="en-US"/>
        </w:rPr>
        <w:t>i</w:t>
      </w:r>
      <w:r w:rsidR="00B67BE7">
        <w:rPr>
          <w:rFonts w:ascii="Times New Roman" w:hAnsi="Times New Roman" w:cs="Times New Roman"/>
          <w:bCs/>
          <w:sz w:val="28"/>
          <w:szCs w:val="28"/>
          <w:lang w:val="uk-UA"/>
        </w:rPr>
        <w:t xml:space="preserve">я </w:t>
      </w:r>
      <w:r w:rsidR="007758EB" w:rsidRPr="007758EB">
        <w:rPr>
          <w:rFonts w:ascii="Times New Roman" w:hAnsi="Times New Roman" w:cs="Times New Roman"/>
          <w:bCs/>
          <w:sz w:val="28"/>
          <w:szCs w:val="28"/>
          <w:lang w:val="uk-UA"/>
        </w:rPr>
        <w:t>(</w:t>
      </w:r>
      <w:r w:rsidR="007758EB" w:rsidRPr="007758EB">
        <w:rPr>
          <w:rFonts w:ascii="Times New Roman" w:hAnsi="Times New Roman" w:cs="Times New Roman"/>
          <w:bCs/>
          <w:sz w:val="28"/>
          <w:szCs w:val="28"/>
          <w:lang w:val="en-US"/>
        </w:rPr>
        <w:t>r</w:t>
      </w:r>
      <w:r w:rsidR="00815041">
        <w:rPr>
          <w:rFonts w:ascii="Times New Roman" w:hAnsi="Times New Roman" w:cs="Times New Roman"/>
          <w:bCs/>
          <w:sz w:val="28"/>
          <w:szCs w:val="28"/>
          <w:lang w:val="uk-UA"/>
        </w:rPr>
        <w:t xml:space="preserve"> = 0,</w:t>
      </w:r>
      <w:r w:rsidR="00815041" w:rsidRPr="00815041">
        <w:rPr>
          <w:rFonts w:ascii="Times New Roman" w:hAnsi="Times New Roman" w:cs="Times New Roman"/>
          <w:bCs/>
          <w:sz w:val="28"/>
          <w:szCs w:val="28"/>
          <w:lang w:val="uk-UA"/>
        </w:rPr>
        <w:t>6</w:t>
      </w:r>
      <w:r w:rsidR="00A46E2B">
        <w:rPr>
          <w:rFonts w:ascii="Times New Roman" w:hAnsi="Times New Roman" w:cs="Times New Roman"/>
          <w:bCs/>
          <w:sz w:val="28"/>
          <w:szCs w:val="28"/>
          <w:lang w:val="uk-UA"/>
        </w:rPr>
        <w:t>; р &lt; 0,00</w:t>
      </w:r>
      <w:r w:rsidR="00EE1A58">
        <w:rPr>
          <w:rFonts w:ascii="Times New Roman" w:hAnsi="Times New Roman" w:cs="Times New Roman"/>
          <w:bCs/>
          <w:sz w:val="28"/>
          <w:szCs w:val="28"/>
          <w:lang w:val="uk-UA"/>
        </w:rPr>
        <w:t>0</w:t>
      </w:r>
      <w:r w:rsidR="00805C61">
        <w:rPr>
          <w:rFonts w:ascii="Times New Roman" w:hAnsi="Times New Roman" w:cs="Times New Roman"/>
          <w:bCs/>
          <w:sz w:val="28"/>
          <w:szCs w:val="28"/>
          <w:lang w:val="uk-UA"/>
        </w:rPr>
        <w:t>1) (рис. 4.1.4</w:t>
      </w:r>
      <w:r w:rsidR="00D66A90">
        <w:rPr>
          <w:rFonts w:ascii="Times New Roman" w:hAnsi="Times New Roman" w:cs="Times New Roman"/>
          <w:bCs/>
          <w:sz w:val="28"/>
          <w:szCs w:val="28"/>
          <w:lang w:val="uk-UA"/>
        </w:rPr>
        <w:t>).</w:t>
      </w:r>
    </w:p>
    <w:p w:rsidR="007758EB" w:rsidRPr="008645D9" w:rsidRDefault="00965A0B" w:rsidP="0039775C">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14:anchorId="64FCE388" wp14:editId="54B1CD71">
            <wp:extent cx="5870223" cy="3127022"/>
            <wp:effectExtent l="0" t="0" r="16510" b="165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1C7A" w:rsidRPr="00093365" w:rsidRDefault="00863D6C" w:rsidP="008F0511">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805C61">
        <w:rPr>
          <w:rFonts w:ascii="Times New Roman" w:hAnsi="Times New Roman" w:cs="Times New Roman"/>
          <w:sz w:val="28"/>
          <w:szCs w:val="28"/>
          <w:lang w:val="uk-UA"/>
        </w:rPr>
        <w:t>. 4.1.4</w:t>
      </w:r>
      <w:r w:rsidR="00D66A90" w:rsidRPr="00D66A90">
        <w:rPr>
          <w:rFonts w:ascii="Times New Roman" w:hAnsi="Times New Roman" w:cs="Times New Roman"/>
          <w:sz w:val="28"/>
          <w:szCs w:val="28"/>
          <w:lang w:val="uk-UA"/>
        </w:rPr>
        <w:t xml:space="preserve"> </w:t>
      </w:r>
      <w:r w:rsidR="00805C61">
        <w:rPr>
          <w:rFonts w:ascii="Times New Roman" w:hAnsi="Times New Roman" w:cs="Times New Roman"/>
          <w:sz w:val="28"/>
          <w:szCs w:val="28"/>
          <w:lang w:val="uk-UA"/>
        </w:rPr>
        <w:t>– З</w:t>
      </w:r>
      <w:r w:rsidR="00D66A90">
        <w:rPr>
          <w:rFonts w:ascii="Times New Roman" w:hAnsi="Times New Roman" w:cs="Times New Roman"/>
          <w:sz w:val="28"/>
          <w:szCs w:val="28"/>
          <w:lang w:val="uk-UA"/>
        </w:rPr>
        <w:t xml:space="preserve">алежність між </w:t>
      </w:r>
      <w:r w:rsidR="00B67BE7">
        <w:rPr>
          <w:rFonts w:ascii="Times New Roman" w:hAnsi="Times New Roman" w:cs="Times New Roman"/>
          <w:sz w:val="28"/>
          <w:szCs w:val="28"/>
          <w:lang w:val="uk-UA"/>
        </w:rPr>
        <w:t xml:space="preserve">вмістом </w:t>
      </w:r>
      <w:r w:rsidR="00805C61">
        <w:rPr>
          <w:rFonts w:ascii="Times New Roman" w:hAnsi="Times New Roman" w:cs="Times New Roman"/>
          <w:sz w:val="28"/>
          <w:szCs w:val="28"/>
          <w:lang w:val="uk-UA"/>
        </w:rPr>
        <w:t>глікозильованого гемоглобіну</w:t>
      </w:r>
      <w:r w:rsidR="008F0511">
        <w:rPr>
          <w:rFonts w:ascii="Times New Roman" w:hAnsi="Times New Roman" w:cs="Times New Roman"/>
          <w:sz w:val="28"/>
          <w:szCs w:val="28"/>
          <w:lang w:val="uk-UA"/>
        </w:rPr>
        <w:t xml:space="preserve"> та</w:t>
      </w:r>
      <w:r w:rsidR="00805C61">
        <w:rPr>
          <w:rFonts w:ascii="Times New Roman" w:hAnsi="Times New Roman" w:cs="Times New Roman"/>
          <w:sz w:val="28"/>
          <w:szCs w:val="28"/>
          <w:lang w:val="uk-UA"/>
        </w:rPr>
        <w:t xml:space="preserve"> альбумінурією у пацієнтів</w:t>
      </w:r>
      <w:r w:rsidR="00A22531">
        <w:rPr>
          <w:rFonts w:ascii="Times New Roman" w:hAnsi="Times New Roman" w:cs="Times New Roman"/>
          <w:sz w:val="28"/>
          <w:szCs w:val="28"/>
          <w:lang w:val="uk-UA"/>
        </w:rPr>
        <w:t xml:space="preserve"> </w:t>
      </w:r>
      <w:r w:rsidR="0054115A">
        <w:rPr>
          <w:rFonts w:ascii="Times New Roman" w:hAnsi="Times New Roman" w:cs="Times New Roman"/>
          <w:sz w:val="28"/>
          <w:szCs w:val="28"/>
          <w:lang w:val="uk-UA"/>
        </w:rPr>
        <w:t>і</w:t>
      </w:r>
      <w:r w:rsidR="00D66A90">
        <w:rPr>
          <w:rFonts w:ascii="Times New Roman" w:hAnsi="Times New Roman" w:cs="Times New Roman"/>
          <w:sz w:val="28"/>
          <w:szCs w:val="28"/>
          <w:lang w:val="uk-UA"/>
        </w:rPr>
        <w:t xml:space="preserve">з артеріальною гіпертензією і </w:t>
      </w:r>
      <w:r w:rsidR="00F34E64">
        <w:rPr>
          <w:rFonts w:ascii="Times New Roman" w:hAnsi="Times New Roman" w:cs="Times New Roman"/>
          <w:sz w:val="28"/>
          <w:szCs w:val="28"/>
          <w:lang w:val="uk-UA"/>
        </w:rPr>
        <w:t xml:space="preserve">                   </w:t>
      </w:r>
      <w:r w:rsidR="00D66A90">
        <w:rPr>
          <w:rFonts w:ascii="Times New Roman" w:hAnsi="Times New Roman" w:cs="Times New Roman"/>
          <w:sz w:val="28"/>
          <w:szCs w:val="28"/>
          <w:lang w:val="uk-UA"/>
        </w:rPr>
        <w:t>цукровим діабетом 2-го типу</w:t>
      </w:r>
    </w:p>
    <w:p w:rsidR="00D66A90" w:rsidRDefault="00D66A90" w:rsidP="00A03291">
      <w:pPr>
        <w:autoSpaceDE w:val="0"/>
        <w:autoSpaceDN w:val="0"/>
        <w:adjustRightInd w:val="0"/>
        <w:spacing w:after="0" w:line="360" w:lineRule="auto"/>
        <w:ind w:firstLine="708"/>
        <w:jc w:val="both"/>
        <w:rPr>
          <w:rFonts w:ascii="Times New Roman" w:hAnsi="Times New Roman" w:cs="Times New Roman"/>
          <w:sz w:val="28"/>
          <w:szCs w:val="28"/>
          <w:lang w:val="uk-UA"/>
        </w:rPr>
      </w:pPr>
    </w:p>
    <w:p w:rsidR="005E4CA5" w:rsidRDefault="005E4CA5" w:rsidP="00A0329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AB3B5C">
        <w:rPr>
          <w:rFonts w:ascii="Times New Roman" w:hAnsi="Times New Roman" w:cs="Times New Roman"/>
          <w:sz w:val="28"/>
          <w:szCs w:val="28"/>
          <w:lang w:val="uk-UA"/>
        </w:rPr>
        <w:t>90</w:t>
      </w:r>
      <w:r w:rsidR="00B42DB6">
        <w:rPr>
          <w:rFonts w:ascii="Times New Roman" w:hAnsi="Times New Roman" w:cs="Times New Roman"/>
          <w:sz w:val="28"/>
          <w:szCs w:val="28"/>
          <w:lang w:val="uk-UA"/>
        </w:rPr>
        <w:t xml:space="preserve"> пац</w:t>
      </w:r>
      <w:r w:rsidR="00777EB0">
        <w:rPr>
          <w:rFonts w:ascii="Times New Roman" w:hAnsi="Times New Roman" w:cs="Times New Roman"/>
          <w:sz w:val="28"/>
          <w:szCs w:val="28"/>
          <w:lang w:val="en-US"/>
        </w:rPr>
        <w:t>i</w:t>
      </w:r>
      <w:r w:rsidR="00B42DB6">
        <w:rPr>
          <w:rFonts w:ascii="Times New Roman" w:hAnsi="Times New Roman" w:cs="Times New Roman"/>
          <w:sz w:val="28"/>
          <w:szCs w:val="28"/>
          <w:lang w:val="uk-UA"/>
        </w:rPr>
        <w:t>єнт</w:t>
      </w:r>
      <w:r w:rsidR="00777EB0">
        <w:rPr>
          <w:rFonts w:ascii="Times New Roman" w:hAnsi="Times New Roman" w:cs="Times New Roman"/>
          <w:sz w:val="28"/>
          <w:szCs w:val="28"/>
          <w:lang w:val="en-US"/>
        </w:rPr>
        <w:t>i</w:t>
      </w:r>
      <w:r>
        <w:rPr>
          <w:rFonts w:ascii="Times New Roman" w:hAnsi="Times New Roman" w:cs="Times New Roman"/>
          <w:sz w:val="28"/>
          <w:szCs w:val="28"/>
          <w:lang w:val="uk-UA"/>
        </w:rPr>
        <w:t>в</w:t>
      </w:r>
      <w:r w:rsidR="005272C8">
        <w:rPr>
          <w:rFonts w:ascii="Times New Roman" w:hAnsi="Times New Roman" w:cs="Times New Roman"/>
          <w:sz w:val="28"/>
          <w:szCs w:val="28"/>
          <w:lang w:val="uk-UA"/>
        </w:rPr>
        <w:t xml:space="preserve"> (94</w:t>
      </w:r>
      <w:r w:rsidRPr="005E4CA5">
        <w:rPr>
          <w:rFonts w:ascii="Times New Roman" w:hAnsi="Times New Roman" w:cs="Times New Roman"/>
          <w:sz w:val="28"/>
          <w:szCs w:val="28"/>
          <w:lang w:val="uk-UA"/>
        </w:rPr>
        <w:t>,0</w:t>
      </w:r>
      <w:r w:rsidR="008B620F">
        <w:rPr>
          <w:rFonts w:ascii="Times New Roman" w:hAnsi="Times New Roman" w:cs="Times New Roman"/>
          <w:sz w:val="28"/>
          <w:szCs w:val="28"/>
          <w:lang w:val="uk-UA"/>
        </w:rPr>
        <w:t xml:space="preserve"> </w:t>
      </w:r>
      <w:r w:rsidRPr="005E4CA5">
        <w:rPr>
          <w:rFonts w:ascii="Times New Roman" w:hAnsi="Times New Roman" w:cs="Times New Roman"/>
          <w:sz w:val="28"/>
          <w:szCs w:val="28"/>
          <w:lang w:val="uk-UA"/>
        </w:rPr>
        <w:t>%)</w:t>
      </w:r>
      <w:r w:rsidR="00805C61">
        <w:rPr>
          <w:rFonts w:ascii="Times New Roman" w:hAnsi="Times New Roman" w:cs="Times New Roman"/>
          <w:sz w:val="28"/>
          <w:szCs w:val="28"/>
          <w:lang w:val="uk-UA"/>
        </w:rPr>
        <w:t xml:space="preserve"> категорія альбумінурії</w:t>
      </w:r>
      <w:r w:rsidRPr="005E4CA5">
        <w:rPr>
          <w:rFonts w:ascii="Times New Roman" w:hAnsi="Times New Roman" w:cs="Times New Roman"/>
          <w:sz w:val="28"/>
          <w:szCs w:val="28"/>
          <w:lang w:val="uk-UA"/>
        </w:rPr>
        <w:t xml:space="preserve">, </w:t>
      </w:r>
      <w:r w:rsidR="005272C8">
        <w:rPr>
          <w:rFonts w:ascii="Times New Roman" w:hAnsi="Times New Roman" w:cs="Times New Roman"/>
          <w:sz w:val="28"/>
          <w:szCs w:val="28"/>
          <w:lang w:val="uk-UA"/>
        </w:rPr>
        <w:t>в</w:t>
      </w:r>
      <w:r w:rsidR="00805C61">
        <w:rPr>
          <w:rFonts w:ascii="Times New Roman" w:hAnsi="Times New Roman" w:cs="Times New Roman"/>
          <w:sz w:val="28"/>
          <w:szCs w:val="28"/>
          <w:lang w:val="uk-UA"/>
        </w:rPr>
        <w:t>изначена</w:t>
      </w:r>
      <w:r w:rsidR="00777EB0">
        <w:rPr>
          <w:rFonts w:ascii="Times New Roman" w:hAnsi="Times New Roman" w:cs="Times New Roman"/>
          <w:sz w:val="28"/>
          <w:szCs w:val="28"/>
          <w:lang w:val="uk-UA"/>
        </w:rPr>
        <w:t xml:space="preserve"> п</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сля вим</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рювання альбум</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нур</w:t>
      </w:r>
      <w:r w:rsidR="00777EB0">
        <w:rPr>
          <w:rFonts w:ascii="Times New Roman" w:hAnsi="Times New Roman" w:cs="Times New Roman"/>
          <w:sz w:val="28"/>
          <w:szCs w:val="28"/>
          <w:lang w:val="en-US"/>
        </w:rPr>
        <w:t>i</w:t>
      </w:r>
      <w:r w:rsidR="005272C8">
        <w:rPr>
          <w:rFonts w:ascii="Times New Roman" w:hAnsi="Times New Roman" w:cs="Times New Roman"/>
          <w:sz w:val="28"/>
          <w:szCs w:val="28"/>
          <w:lang w:val="uk-UA"/>
        </w:rPr>
        <w:t>ї та</w:t>
      </w:r>
      <w:r w:rsidRPr="005E4CA5">
        <w:rPr>
          <w:rFonts w:ascii="Times New Roman" w:hAnsi="Times New Roman" w:cs="Times New Roman"/>
          <w:sz w:val="28"/>
          <w:szCs w:val="28"/>
          <w:lang w:val="uk-UA"/>
        </w:rPr>
        <w:t xml:space="preserve"> с</w:t>
      </w:r>
      <w:r w:rsidR="00777EB0">
        <w:rPr>
          <w:rFonts w:ascii="Times New Roman" w:hAnsi="Times New Roman" w:cs="Times New Roman"/>
          <w:sz w:val="28"/>
          <w:szCs w:val="28"/>
          <w:lang w:val="uk-UA"/>
        </w:rPr>
        <w:t>п</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вв</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дношення  альбум</w:t>
      </w:r>
      <w:r w:rsidR="00777EB0">
        <w:rPr>
          <w:rFonts w:ascii="Times New Roman" w:hAnsi="Times New Roman" w:cs="Times New Roman"/>
          <w:sz w:val="28"/>
          <w:szCs w:val="28"/>
          <w:lang w:val="en-US"/>
        </w:rPr>
        <w:t>i</w:t>
      </w:r>
      <w:r w:rsidR="005272C8">
        <w:rPr>
          <w:rFonts w:ascii="Times New Roman" w:hAnsi="Times New Roman" w:cs="Times New Roman"/>
          <w:sz w:val="28"/>
          <w:szCs w:val="28"/>
          <w:lang w:val="uk-UA"/>
        </w:rPr>
        <w:t>ну</w:t>
      </w:r>
      <w:r w:rsidRPr="005E4CA5">
        <w:rPr>
          <w:rFonts w:ascii="Times New Roman" w:hAnsi="Times New Roman" w:cs="Times New Roman"/>
          <w:sz w:val="28"/>
          <w:szCs w:val="28"/>
          <w:lang w:val="uk-UA"/>
        </w:rPr>
        <w:t xml:space="preserve"> </w:t>
      </w:r>
      <w:r w:rsidR="00777EB0">
        <w:rPr>
          <w:rFonts w:ascii="Times New Roman" w:hAnsi="Times New Roman" w:cs="Times New Roman"/>
          <w:sz w:val="28"/>
          <w:szCs w:val="28"/>
          <w:lang w:val="uk-UA"/>
        </w:rPr>
        <w:t>до креатин</w:t>
      </w:r>
      <w:r w:rsidR="00777EB0">
        <w:rPr>
          <w:rFonts w:ascii="Times New Roman" w:hAnsi="Times New Roman" w:cs="Times New Roman"/>
          <w:sz w:val="28"/>
          <w:szCs w:val="28"/>
          <w:lang w:val="en-US"/>
        </w:rPr>
        <w:t>i</w:t>
      </w:r>
      <w:r w:rsidR="00805C61">
        <w:rPr>
          <w:rFonts w:ascii="Times New Roman" w:hAnsi="Times New Roman" w:cs="Times New Roman"/>
          <w:sz w:val="28"/>
          <w:szCs w:val="28"/>
          <w:lang w:val="uk-UA"/>
        </w:rPr>
        <w:t>ну, була аналогічною</w:t>
      </w:r>
      <w:r w:rsidR="00AB3B5C">
        <w:rPr>
          <w:rFonts w:ascii="Times New Roman" w:hAnsi="Times New Roman" w:cs="Times New Roman"/>
          <w:sz w:val="28"/>
          <w:szCs w:val="28"/>
          <w:lang w:val="uk-UA"/>
        </w:rPr>
        <w:t>, а у 6</w:t>
      </w:r>
      <w:r w:rsidR="00C01D2A">
        <w:rPr>
          <w:rFonts w:ascii="Times New Roman" w:hAnsi="Times New Roman" w:cs="Times New Roman"/>
          <w:sz w:val="28"/>
          <w:szCs w:val="28"/>
          <w:lang w:val="uk-UA"/>
        </w:rPr>
        <w:t xml:space="preserve"> (6,0</w:t>
      </w:r>
      <w:r w:rsidR="008B620F">
        <w:rPr>
          <w:rFonts w:ascii="Times New Roman" w:hAnsi="Times New Roman" w:cs="Times New Roman"/>
          <w:sz w:val="28"/>
          <w:szCs w:val="28"/>
          <w:lang w:val="uk-UA"/>
        </w:rPr>
        <w:t xml:space="preserve"> </w:t>
      </w:r>
      <w:r w:rsidR="00777EB0">
        <w:rPr>
          <w:rFonts w:ascii="Times New Roman" w:hAnsi="Times New Roman" w:cs="Times New Roman"/>
          <w:sz w:val="28"/>
          <w:szCs w:val="28"/>
          <w:lang w:val="uk-UA"/>
        </w:rPr>
        <w:t>%) – в</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др</w:t>
      </w:r>
      <w:r w:rsidR="00777EB0">
        <w:rPr>
          <w:rFonts w:ascii="Times New Roman" w:hAnsi="Times New Roman" w:cs="Times New Roman"/>
          <w:sz w:val="28"/>
          <w:szCs w:val="28"/>
          <w:lang w:val="en-US"/>
        </w:rPr>
        <w:t>i</w:t>
      </w:r>
      <w:r w:rsidR="00805C61">
        <w:rPr>
          <w:rFonts w:ascii="Times New Roman" w:hAnsi="Times New Roman" w:cs="Times New Roman"/>
          <w:sz w:val="28"/>
          <w:szCs w:val="28"/>
          <w:lang w:val="uk-UA"/>
        </w:rPr>
        <w:t>знялася</w:t>
      </w:r>
      <w:r w:rsidR="00777EB0">
        <w:rPr>
          <w:rFonts w:ascii="Times New Roman" w:hAnsi="Times New Roman" w:cs="Times New Roman"/>
          <w:sz w:val="28"/>
          <w:szCs w:val="28"/>
          <w:lang w:val="uk-UA"/>
        </w:rPr>
        <w:t>. У цих шести пац</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єнтів було б</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льшим сп</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вв</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дношення альбум</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 до креатин</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w:t>
      </w:r>
      <w:r w:rsidR="00805C61">
        <w:rPr>
          <w:rFonts w:ascii="Times New Roman" w:hAnsi="Times New Roman" w:cs="Times New Roman"/>
          <w:sz w:val="28"/>
          <w:szCs w:val="28"/>
          <w:lang w:val="uk-UA"/>
        </w:rPr>
        <w:t xml:space="preserve"> в сечі</w:t>
      </w:r>
      <w:r w:rsidR="00B67BE7">
        <w:rPr>
          <w:rFonts w:ascii="Times New Roman" w:hAnsi="Times New Roman" w:cs="Times New Roman"/>
          <w:sz w:val="28"/>
          <w:szCs w:val="28"/>
          <w:lang w:val="uk-UA"/>
        </w:rPr>
        <w:t xml:space="preserve">, а меншим – </w:t>
      </w:r>
      <w:r w:rsidR="00777EB0">
        <w:rPr>
          <w:rFonts w:ascii="Times New Roman" w:hAnsi="Times New Roman" w:cs="Times New Roman"/>
          <w:sz w:val="28"/>
          <w:szCs w:val="28"/>
          <w:lang w:val="uk-UA"/>
        </w:rPr>
        <w:t>альбум</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нур</w:t>
      </w:r>
      <w:r w:rsidR="00777EB0">
        <w:rPr>
          <w:rFonts w:ascii="Times New Roman" w:hAnsi="Times New Roman" w:cs="Times New Roman"/>
          <w:sz w:val="28"/>
          <w:szCs w:val="28"/>
          <w:lang w:val="en-US"/>
        </w:rPr>
        <w:t>i</w:t>
      </w:r>
      <w:r w:rsidR="00B67BE7">
        <w:rPr>
          <w:rFonts w:ascii="Times New Roman" w:hAnsi="Times New Roman" w:cs="Times New Roman"/>
          <w:sz w:val="28"/>
          <w:szCs w:val="28"/>
          <w:lang w:val="uk-UA"/>
        </w:rPr>
        <w:t>я</w:t>
      </w:r>
      <w:r w:rsidR="00C01D2A">
        <w:rPr>
          <w:rFonts w:ascii="Times New Roman" w:hAnsi="Times New Roman" w:cs="Times New Roman"/>
          <w:sz w:val="28"/>
          <w:szCs w:val="28"/>
          <w:lang w:val="uk-UA"/>
        </w:rPr>
        <w:t>.</w:t>
      </w:r>
      <w:r w:rsidR="00D66A90" w:rsidRPr="00D66A90">
        <w:rPr>
          <w:lang w:val="uk-UA"/>
        </w:rPr>
        <w:t xml:space="preserve"> </w:t>
      </w:r>
      <w:r w:rsidR="00777EB0">
        <w:rPr>
          <w:rFonts w:ascii="Times New Roman" w:hAnsi="Times New Roman" w:cs="Times New Roman"/>
          <w:sz w:val="28"/>
          <w:szCs w:val="28"/>
          <w:lang w:val="uk-UA"/>
        </w:rPr>
        <w:t>Це п</w:t>
      </w:r>
      <w:r w:rsidR="00777EB0">
        <w:rPr>
          <w:rFonts w:ascii="Times New Roman" w:hAnsi="Times New Roman" w:cs="Times New Roman"/>
          <w:sz w:val="28"/>
          <w:szCs w:val="28"/>
          <w:lang w:val="en-US"/>
        </w:rPr>
        <w:t>i</w:t>
      </w:r>
      <w:r w:rsidR="00D66A90">
        <w:rPr>
          <w:rFonts w:ascii="Times New Roman" w:hAnsi="Times New Roman" w:cs="Times New Roman"/>
          <w:sz w:val="28"/>
          <w:szCs w:val="28"/>
          <w:lang w:val="uk-UA"/>
        </w:rPr>
        <w:t xml:space="preserve">дтверджує той факт, </w:t>
      </w:r>
      <w:r w:rsidR="007F25DA">
        <w:rPr>
          <w:rFonts w:ascii="Times New Roman" w:hAnsi="Times New Roman" w:cs="Times New Roman"/>
          <w:sz w:val="28"/>
          <w:szCs w:val="28"/>
          <w:lang w:val="uk-UA"/>
        </w:rPr>
        <w:t xml:space="preserve">що </w:t>
      </w:r>
      <w:r w:rsidR="00777EB0">
        <w:rPr>
          <w:rFonts w:ascii="Times New Roman" w:hAnsi="Times New Roman" w:cs="Times New Roman"/>
          <w:sz w:val="28"/>
          <w:szCs w:val="28"/>
          <w:lang w:val="uk-UA"/>
        </w:rPr>
        <w:t>визначення сп</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вв</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дношення альбум</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 до креатин</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 в одноразов</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й ранков</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й порц</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ї сеч</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 xml:space="preserve"> є б</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льш точним методом, н</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ж визначення одн</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єї лише альбум</w:t>
      </w:r>
      <w:r w:rsidR="00777EB0">
        <w:rPr>
          <w:rFonts w:ascii="Times New Roman" w:hAnsi="Times New Roman" w:cs="Times New Roman"/>
          <w:sz w:val="28"/>
          <w:szCs w:val="28"/>
          <w:lang w:val="en-US"/>
        </w:rPr>
        <w:t>i</w:t>
      </w:r>
      <w:r w:rsidR="00777EB0">
        <w:rPr>
          <w:rFonts w:ascii="Times New Roman" w:hAnsi="Times New Roman" w:cs="Times New Roman"/>
          <w:sz w:val="28"/>
          <w:szCs w:val="28"/>
          <w:lang w:val="uk-UA"/>
        </w:rPr>
        <w:t>нур</w:t>
      </w:r>
      <w:r w:rsidR="00777EB0">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 xml:space="preserve">ї. </w:t>
      </w:r>
      <w:r w:rsidR="00FD17A2">
        <w:rPr>
          <w:rFonts w:ascii="Times New Roman" w:hAnsi="Times New Roman" w:cs="Times New Roman"/>
          <w:sz w:val="28"/>
          <w:szCs w:val="28"/>
          <w:lang w:val="uk-UA"/>
        </w:rPr>
        <w:t>Відомо, що в</w:t>
      </w:r>
      <w:r w:rsidR="00777EB0">
        <w:rPr>
          <w:rFonts w:ascii="Times New Roman" w:hAnsi="Times New Roman" w:cs="Times New Roman"/>
          <w:sz w:val="28"/>
          <w:szCs w:val="28"/>
          <w:lang w:val="uk-UA"/>
        </w:rPr>
        <w:t xml:space="preserve"> середньому </w:t>
      </w:r>
      <w:r w:rsidR="00777EB0">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з</w:t>
      </w:r>
      <w:r w:rsidR="00777EB0">
        <w:rPr>
          <w:rFonts w:ascii="Times New Roman" w:hAnsi="Times New Roman" w:cs="Times New Roman"/>
          <w:sz w:val="28"/>
          <w:szCs w:val="28"/>
          <w:lang w:val="uk-UA"/>
        </w:rPr>
        <w:t xml:space="preserve"> сечею виводиться 1,0 г креатин</w:t>
      </w:r>
      <w:r w:rsidR="00777EB0">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 xml:space="preserve">ну за добу. Якщо у знаменнику стоїть одиниця, </w:t>
      </w:r>
      <w:r w:rsidR="000C4B22">
        <w:rPr>
          <w:rFonts w:ascii="Times New Roman" w:hAnsi="Times New Roman" w:cs="Times New Roman"/>
          <w:sz w:val="28"/>
          <w:szCs w:val="28"/>
          <w:lang w:val="uk-UA"/>
        </w:rPr>
        <w:t>то значення сп</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вв</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дношення альбум</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ну до креатин</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ну в сеч</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 буде дор</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внювати показнику альбум</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нур</w:t>
      </w:r>
      <w:r w:rsidR="000C4B22">
        <w:rPr>
          <w:rFonts w:ascii="Times New Roman" w:hAnsi="Times New Roman" w:cs="Times New Roman"/>
          <w:sz w:val="28"/>
          <w:szCs w:val="28"/>
          <w:lang w:val="en-US"/>
        </w:rPr>
        <w:t>i</w:t>
      </w:r>
      <w:r w:rsidR="00805C61">
        <w:rPr>
          <w:rFonts w:ascii="Times New Roman" w:hAnsi="Times New Roman" w:cs="Times New Roman"/>
          <w:sz w:val="28"/>
          <w:szCs w:val="28"/>
          <w:lang w:val="uk-UA"/>
        </w:rPr>
        <w:t xml:space="preserve">ї. </w:t>
      </w:r>
      <w:r w:rsidR="00102C5B">
        <w:rPr>
          <w:rFonts w:ascii="Times New Roman" w:hAnsi="Times New Roman" w:cs="Times New Roman"/>
          <w:sz w:val="28"/>
          <w:szCs w:val="28"/>
          <w:lang w:val="uk-UA"/>
        </w:rPr>
        <w:t xml:space="preserve">Вміст </w:t>
      </w:r>
      <w:r w:rsidR="000C4B22">
        <w:rPr>
          <w:rFonts w:ascii="Times New Roman" w:hAnsi="Times New Roman" w:cs="Times New Roman"/>
          <w:sz w:val="28"/>
          <w:szCs w:val="28"/>
          <w:lang w:val="uk-UA"/>
        </w:rPr>
        <w:t>вид</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леного </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з сечею креатин</w:t>
      </w:r>
      <w:r w:rsidR="000C4B22">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 xml:space="preserve">ну </w:t>
      </w:r>
      <w:r w:rsidR="000C4B22">
        <w:rPr>
          <w:rFonts w:ascii="Times New Roman" w:hAnsi="Times New Roman" w:cs="Times New Roman"/>
          <w:sz w:val="28"/>
          <w:szCs w:val="28"/>
          <w:lang w:val="uk-UA"/>
        </w:rPr>
        <w:t>не завжди дор</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внює 1,0 г </w:t>
      </w:r>
      <w:r w:rsidR="000C4B22">
        <w:rPr>
          <w:rFonts w:ascii="Times New Roman" w:hAnsi="Times New Roman" w:cs="Times New Roman"/>
          <w:sz w:val="28"/>
          <w:szCs w:val="28"/>
          <w:lang w:val="en-US"/>
        </w:rPr>
        <w:t>i</w:t>
      </w:r>
      <w:r w:rsidR="00FD17A2">
        <w:rPr>
          <w:rFonts w:ascii="Times New Roman" w:hAnsi="Times New Roman" w:cs="Times New Roman"/>
          <w:sz w:val="28"/>
          <w:szCs w:val="28"/>
          <w:lang w:val="uk-UA"/>
        </w:rPr>
        <w:t xml:space="preserve"> </w:t>
      </w:r>
      <w:r w:rsidR="000C4B22">
        <w:rPr>
          <w:rFonts w:ascii="Times New Roman" w:hAnsi="Times New Roman" w:cs="Times New Roman"/>
          <w:sz w:val="28"/>
          <w:szCs w:val="28"/>
          <w:lang w:val="uk-UA"/>
        </w:rPr>
        <w:t>залежить в</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д в</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ку, стат</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 </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ндексу маси т</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ла. Ж</w:t>
      </w:r>
      <w:r w:rsidR="000C4B22">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нки</w:t>
      </w:r>
      <w:r w:rsidR="000C4B22">
        <w:rPr>
          <w:rFonts w:ascii="Times New Roman" w:hAnsi="Times New Roman" w:cs="Times New Roman"/>
          <w:sz w:val="28"/>
          <w:szCs w:val="28"/>
          <w:lang w:val="uk-UA"/>
        </w:rPr>
        <w:t>, особи похилого та старечого в</w:t>
      </w:r>
      <w:r w:rsidR="000C4B22">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ку, па</w:t>
      </w:r>
      <w:r w:rsidR="000C4B22">
        <w:rPr>
          <w:rFonts w:ascii="Times New Roman" w:hAnsi="Times New Roman" w:cs="Times New Roman"/>
          <w:sz w:val="28"/>
          <w:szCs w:val="28"/>
          <w:lang w:val="uk-UA"/>
        </w:rPr>
        <w:t>ц</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єнти </w:t>
      </w:r>
      <w:r w:rsidR="000C4B22">
        <w:rPr>
          <w:rFonts w:ascii="Times New Roman" w:hAnsi="Times New Roman" w:cs="Times New Roman"/>
          <w:sz w:val="28"/>
          <w:szCs w:val="28"/>
          <w:lang w:val="en-US"/>
        </w:rPr>
        <w:t>i</w:t>
      </w:r>
      <w:r w:rsidR="00D66A90" w:rsidRPr="00D66A90">
        <w:rPr>
          <w:rFonts w:ascii="Times New Roman" w:hAnsi="Times New Roman" w:cs="Times New Roman"/>
          <w:sz w:val="28"/>
          <w:szCs w:val="28"/>
          <w:lang w:val="uk-UA"/>
        </w:rPr>
        <w:t>з зниженою масою м</w:t>
      </w:r>
      <w:r w:rsidR="000C4B22">
        <w:rPr>
          <w:rFonts w:ascii="Times New Roman" w:hAnsi="Times New Roman" w:cs="Times New Roman"/>
          <w:sz w:val="28"/>
          <w:szCs w:val="28"/>
          <w:lang w:val="uk-UA"/>
        </w:rPr>
        <w:t>’язової тканини схильн</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 до зменшення вид</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лення креатин</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ну </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з сечею</w:t>
      </w:r>
      <w:r w:rsidR="00CE0218">
        <w:rPr>
          <w:rFonts w:ascii="Times New Roman" w:hAnsi="Times New Roman" w:cs="Times New Roman"/>
          <w:sz w:val="28"/>
          <w:szCs w:val="28"/>
          <w:lang w:val="uk-UA"/>
        </w:rPr>
        <w:t xml:space="preserve"> </w:t>
      </w:r>
      <w:r w:rsidR="00CE0218" w:rsidRPr="00035521">
        <w:rPr>
          <w:rFonts w:ascii="Times New Roman" w:hAnsi="Times New Roman" w:cs="Times New Roman"/>
          <w:sz w:val="28"/>
          <w:szCs w:val="28"/>
          <w:lang w:val="uk-UA"/>
        </w:rPr>
        <w:t>[</w:t>
      </w:r>
      <w:r w:rsidR="00267B2C" w:rsidRPr="004B16DA">
        <w:rPr>
          <w:rFonts w:ascii="Times New Roman" w:hAnsi="Times New Roman" w:cs="Times New Roman"/>
          <w:sz w:val="28"/>
          <w:szCs w:val="28"/>
          <w:lang w:val="uk-UA"/>
        </w:rPr>
        <w:t>53</w:t>
      </w:r>
      <w:r w:rsidR="00CE0218" w:rsidRPr="00035521">
        <w:rPr>
          <w:rFonts w:ascii="Times New Roman" w:hAnsi="Times New Roman" w:cs="Times New Roman"/>
          <w:sz w:val="28"/>
          <w:szCs w:val="28"/>
          <w:lang w:val="uk-UA"/>
        </w:rPr>
        <w:t>]</w:t>
      </w:r>
      <w:r w:rsidR="000C4B22">
        <w:rPr>
          <w:rFonts w:ascii="Times New Roman" w:hAnsi="Times New Roman" w:cs="Times New Roman"/>
          <w:sz w:val="28"/>
          <w:szCs w:val="28"/>
          <w:lang w:val="uk-UA"/>
        </w:rPr>
        <w:t xml:space="preserve">. </w:t>
      </w:r>
    </w:p>
    <w:p w:rsidR="00EE4331" w:rsidRPr="00F50E8F" w:rsidRDefault="004553D6" w:rsidP="00EE4331">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чином, у коморбідних пацієнтів І групи ступінь альбумінурії зростав із збільшенням САТ, ДАТ, тривалості АГ, ЦД 2-го типу, </w:t>
      </w:r>
      <w:r w:rsidRPr="004553D6">
        <w:rPr>
          <w:rFonts w:ascii="Times New Roman" w:hAnsi="Times New Roman" w:cs="Times New Roman"/>
          <w:sz w:val="28"/>
          <w:szCs w:val="28"/>
          <w:lang w:val="uk-UA"/>
        </w:rPr>
        <w:t>HbA1с</w:t>
      </w:r>
      <w:r>
        <w:rPr>
          <w:rFonts w:ascii="Times New Roman" w:hAnsi="Times New Roman" w:cs="Times New Roman"/>
          <w:sz w:val="28"/>
          <w:szCs w:val="28"/>
          <w:lang w:val="uk-UA"/>
        </w:rPr>
        <w:t xml:space="preserve">. </w:t>
      </w:r>
    </w:p>
    <w:p w:rsidR="00FF4AD2" w:rsidRDefault="00F87ADC" w:rsidP="005B5DC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4</w:t>
      </w:r>
      <w:r w:rsidR="00FF4AD2">
        <w:rPr>
          <w:rFonts w:ascii="Times New Roman" w:hAnsi="Times New Roman" w:cs="Times New Roman"/>
          <w:b/>
          <w:sz w:val="28"/>
          <w:szCs w:val="28"/>
          <w:lang w:val="uk-UA"/>
        </w:rPr>
        <w:t>.2</w:t>
      </w:r>
      <w:r w:rsidR="00D8405C">
        <w:rPr>
          <w:rFonts w:ascii="Times New Roman" w:hAnsi="Times New Roman" w:cs="Times New Roman"/>
          <w:b/>
          <w:sz w:val="28"/>
          <w:szCs w:val="28"/>
          <w:lang w:val="uk-UA"/>
        </w:rPr>
        <w:t>.</w:t>
      </w:r>
      <w:r w:rsidR="00A72D16" w:rsidRPr="00FF4AD2">
        <w:rPr>
          <w:rFonts w:ascii="Times New Roman" w:hAnsi="Times New Roman" w:cs="Times New Roman"/>
          <w:b/>
          <w:sz w:val="28"/>
          <w:szCs w:val="28"/>
          <w:lang w:val="uk-UA"/>
        </w:rPr>
        <w:t xml:space="preserve"> </w:t>
      </w:r>
      <w:r w:rsidR="007B67E1" w:rsidRPr="007B67E1">
        <w:rPr>
          <w:rFonts w:ascii="Times New Roman" w:hAnsi="Times New Roman" w:cs="Times New Roman"/>
          <w:b/>
          <w:sz w:val="28"/>
          <w:szCs w:val="28"/>
          <w:lang w:val="uk-UA"/>
        </w:rPr>
        <w:t xml:space="preserve">Дослідження зв’язку між ступенем альбумінурії та показниками </w:t>
      </w:r>
      <w:r w:rsidR="00A22531">
        <w:rPr>
          <w:rFonts w:ascii="Times New Roman" w:hAnsi="Times New Roman" w:cs="Times New Roman"/>
          <w:b/>
          <w:sz w:val="28"/>
          <w:szCs w:val="28"/>
          <w:lang w:val="uk-UA"/>
        </w:rPr>
        <w:t xml:space="preserve">ліпідного спектра крові </w:t>
      </w:r>
      <w:r w:rsidR="00B555E0">
        <w:rPr>
          <w:rFonts w:ascii="Times New Roman" w:hAnsi="Times New Roman" w:cs="Times New Roman"/>
          <w:b/>
          <w:sz w:val="28"/>
          <w:szCs w:val="28"/>
          <w:lang w:val="uk-UA"/>
        </w:rPr>
        <w:t xml:space="preserve">у пацієнтів </w:t>
      </w:r>
      <w:r w:rsidR="001C3F87">
        <w:rPr>
          <w:rFonts w:ascii="Times New Roman" w:hAnsi="Times New Roman" w:cs="Times New Roman"/>
          <w:b/>
          <w:sz w:val="28"/>
          <w:szCs w:val="28"/>
          <w:lang w:val="uk-UA"/>
        </w:rPr>
        <w:t>і</w:t>
      </w:r>
      <w:r w:rsidR="007B67E1" w:rsidRPr="007B67E1">
        <w:rPr>
          <w:rFonts w:ascii="Times New Roman" w:hAnsi="Times New Roman" w:cs="Times New Roman"/>
          <w:b/>
          <w:sz w:val="28"/>
          <w:szCs w:val="28"/>
          <w:lang w:val="uk-UA"/>
        </w:rPr>
        <w:t>з артеріальною гіпертензією та цукровим діабетом 2-го типу</w:t>
      </w:r>
    </w:p>
    <w:p w:rsidR="00401A7E" w:rsidRPr="005B5DCE" w:rsidRDefault="00401A7E" w:rsidP="005B5DCE">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707BB3" w:rsidRPr="00E55418" w:rsidRDefault="000C4B22" w:rsidP="00A0016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те, що дисл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дем</w:t>
      </w:r>
      <w:r>
        <w:rPr>
          <w:rFonts w:ascii="Times New Roman" w:hAnsi="Times New Roman" w:cs="Times New Roman"/>
          <w:sz w:val="28"/>
          <w:szCs w:val="28"/>
          <w:lang w:val="en-US"/>
        </w:rPr>
        <w:t>i</w:t>
      </w:r>
      <w:r>
        <w:rPr>
          <w:rFonts w:ascii="Times New Roman" w:hAnsi="Times New Roman" w:cs="Times New Roman"/>
          <w:sz w:val="28"/>
          <w:szCs w:val="28"/>
          <w:lang w:val="uk-UA"/>
        </w:rPr>
        <w:t>я в</w:t>
      </w:r>
      <w:r>
        <w:rPr>
          <w:rFonts w:ascii="Times New Roman" w:hAnsi="Times New Roman" w:cs="Times New Roman"/>
          <w:sz w:val="28"/>
          <w:szCs w:val="28"/>
          <w:lang w:val="en-US"/>
        </w:rPr>
        <w:t>i</w:t>
      </w:r>
      <w:r>
        <w:rPr>
          <w:rFonts w:ascii="Times New Roman" w:hAnsi="Times New Roman" w:cs="Times New Roman"/>
          <w:sz w:val="28"/>
          <w:szCs w:val="28"/>
          <w:lang w:val="uk-UA"/>
        </w:rPr>
        <w:t>д</w:t>
      </w:r>
      <w:r>
        <w:rPr>
          <w:rFonts w:ascii="Times New Roman" w:hAnsi="Times New Roman" w:cs="Times New Roman"/>
          <w:sz w:val="28"/>
          <w:szCs w:val="28"/>
          <w:lang w:val="en-US"/>
        </w:rPr>
        <w:t>i</w:t>
      </w:r>
      <w:r w:rsidR="00E55418">
        <w:rPr>
          <w:rFonts w:ascii="Times New Roman" w:hAnsi="Times New Roman" w:cs="Times New Roman"/>
          <w:sz w:val="28"/>
          <w:szCs w:val="28"/>
          <w:lang w:val="uk-UA"/>
        </w:rPr>
        <w:t>грає вагому роль у розвитку гломеруло</w:t>
      </w:r>
      <w:r>
        <w:rPr>
          <w:rFonts w:ascii="Times New Roman" w:hAnsi="Times New Roman" w:cs="Times New Roman"/>
          <w:sz w:val="28"/>
          <w:szCs w:val="28"/>
          <w:lang w:val="uk-UA"/>
        </w:rPr>
        <w:t xml:space="preserve">склерозу </w:t>
      </w:r>
      <w:r>
        <w:rPr>
          <w:rFonts w:ascii="Times New Roman" w:hAnsi="Times New Roman" w:cs="Times New Roman"/>
          <w:sz w:val="28"/>
          <w:szCs w:val="28"/>
          <w:lang w:val="en-US"/>
        </w:rPr>
        <w:t>i</w:t>
      </w:r>
      <w:r w:rsidR="00E55418">
        <w:rPr>
          <w:rFonts w:ascii="Times New Roman" w:hAnsi="Times New Roman" w:cs="Times New Roman"/>
          <w:sz w:val="28"/>
          <w:szCs w:val="28"/>
          <w:lang w:val="uk-UA"/>
        </w:rPr>
        <w:t xml:space="preserve"> призвод</w:t>
      </w:r>
      <w:r>
        <w:rPr>
          <w:rFonts w:ascii="Times New Roman" w:hAnsi="Times New Roman" w:cs="Times New Roman"/>
          <w:sz w:val="28"/>
          <w:szCs w:val="28"/>
          <w:lang w:val="uk-UA"/>
        </w:rPr>
        <w:t>ить до</w:t>
      </w:r>
      <w:r w:rsidR="00CD1F7B">
        <w:rPr>
          <w:rFonts w:ascii="Times New Roman" w:hAnsi="Times New Roman" w:cs="Times New Roman"/>
          <w:sz w:val="28"/>
          <w:szCs w:val="28"/>
          <w:lang w:val="uk-UA"/>
        </w:rPr>
        <w:t xml:space="preserve"> погіршення фу</w:t>
      </w:r>
      <w:r w:rsidR="006031C5">
        <w:rPr>
          <w:rFonts w:ascii="Times New Roman" w:hAnsi="Times New Roman" w:cs="Times New Roman"/>
          <w:sz w:val="28"/>
          <w:szCs w:val="28"/>
          <w:lang w:val="uk-UA"/>
        </w:rPr>
        <w:t xml:space="preserve">нкції </w:t>
      </w:r>
      <w:r w:rsidR="00CD1F7B">
        <w:rPr>
          <w:rFonts w:ascii="Times New Roman" w:hAnsi="Times New Roman" w:cs="Times New Roman"/>
          <w:sz w:val="28"/>
          <w:szCs w:val="28"/>
          <w:lang w:val="uk-UA"/>
        </w:rPr>
        <w:t>нирок</w:t>
      </w:r>
      <w:r>
        <w:rPr>
          <w:rFonts w:ascii="Times New Roman" w:hAnsi="Times New Roman" w:cs="Times New Roman"/>
          <w:sz w:val="28"/>
          <w:szCs w:val="28"/>
          <w:lang w:val="uk-UA"/>
        </w:rPr>
        <w:t>, ми вир</w:t>
      </w:r>
      <w:r>
        <w:rPr>
          <w:rFonts w:ascii="Times New Roman" w:hAnsi="Times New Roman" w:cs="Times New Roman"/>
          <w:sz w:val="28"/>
          <w:szCs w:val="28"/>
          <w:lang w:val="en-US"/>
        </w:rPr>
        <w:t>i</w:t>
      </w:r>
      <w:r>
        <w:rPr>
          <w:rFonts w:ascii="Times New Roman" w:hAnsi="Times New Roman" w:cs="Times New Roman"/>
          <w:sz w:val="28"/>
          <w:szCs w:val="28"/>
          <w:lang w:val="uk-UA"/>
        </w:rPr>
        <w:t>шили досл</w:t>
      </w:r>
      <w:r>
        <w:rPr>
          <w:rFonts w:ascii="Times New Roman" w:hAnsi="Times New Roman" w:cs="Times New Roman"/>
          <w:sz w:val="28"/>
          <w:szCs w:val="28"/>
          <w:lang w:val="en-US"/>
        </w:rPr>
        <w:t>i</w:t>
      </w:r>
      <w:r>
        <w:rPr>
          <w:rFonts w:ascii="Times New Roman" w:hAnsi="Times New Roman" w:cs="Times New Roman"/>
          <w:sz w:val="28"/>
          <w:szCs w:val="28"/>
          <w:lang w:val="uk-UA"/>
        </w:rPr>
        <w:t>дити зв’язки м</w:t>
      </w:r>
      <w:r>
        <w:rPr>
          <w:rFonts w:ascii="Times New Roman" w:hAnsi="Times New Roman" w:cs="Times New Roman"/>
          <w:sz w:val="28"/>
          <w:szCs w:val="28"/>
          <w:lang w:val="en-US"/>
        </w:rPr>
        <w:t>i</w:t>
      </w:r>
      <w:r>
        <w:rPr>
          <w:rFonts w:ascii="Times New Roman" w:hAnsi="Times New Roman" w:cs="Times New Roman"/>
          <w:sz w:val="28"/>
          <w:szCs w:val="28"/>
          <w:lang w:val="uk-UA"/>
        </w:rPr>
        <w:t>ж ступенем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E55418">
        <w:rPr>
          <w:rFonts w:ascii="Times New Roman" w:hAnsi="Times New Roman" w:cs="Times New Roman"/>
          <w:sz w:val="28"/>
          <w:szCs w:val="28"/>
          <w:lang w:val="uk-UA"/>
        </w:rPr>
        <w:t xml:space="preserve">ї </w:t>
      </w:r>
      <w:r>
        <w:rPr>
          <w:rFonts w:ascii="Times New Roman" w:hAnsi="Times New Roman" w:cs="Times New Roman"/>
          <w:sz w:val="28"/>
          <w:szCs w:val="28"/>
          <w:lang w:val="uk-UA"/>
        </w:rPr>
        <w:t>та показниками 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sidR="008B620F">
        <w:rPr>
          <w:rFonts w:ascii="Times New Roman" w:hAnsi="Times New Roman" w:cs="Times New Roman"/>
          <w:sz w:val="28"/>
          <w:szCs w:val="28"/>
          <w:lang w:val="uk-UA"/>
        </w:rPr>
        <w:t>дного спектра</w:t>
      </w:r>
      <w:r>
        <w:rPr>
          <w:rFonts w:ascii="Times New Roman" w:hAnsi="Times New Roman" w:cs="Times New Roman"/>
          <w:sz w:val="28"/>
          <w:szCs w:val="28"/>
          <w:lang w:val="uk-UA"/>
        </w:rPr>
        <w:t xml:space="preserve"> кров</w:t>
      </w:r>
      <w:r>
        <w:rPr>
          <w:rFonts w:ascii="Times New Roman" w:hAnsi="Times New Roman" w:cs="Times New Roman"/>
          <w:sz w:val="28"/>
          <w:szCs w:val="28"/>
          <w:lang w:val="en-US"/>
        </w:rPr>
        <w:t>i</w:t>
      </w:r>
      <w:r w:rsidR="00E55418">
        <w:rPr>
          <w:rFonts w:ascii="Times New Roman" w:hAnsi="Times New Roman" w:cs="Times New Roman"/>
          <w:sz w:val="28"/>
          <w:szCs w:val="28"/>
          <w:lang w:val="uk-UA"/>
        </w:rPr>
        <w:t>.</w:t>
      </w:r>
    </w:p>
    <w:p w:rsidR="004A6339" w:rsidRPr="00BE51B9" w:rsidRDefault="00B67BE7" w:rsidP="00BE51B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w:t>
      </w:r>
      <w:r w:rsidR="000C4B22">
        <w:rPr>
          <w:rFonts w:ascii="Times New Roman" w:hAnsi="Times New Roman" w:cs="Times New Roman"/>
          <w:sz w:val="28"/>
          <w:szCs w:val="28"/>
          <w:lang w:val="uk-UA"/>
        </w:rPr>
        <w:t>ЗХС у пац</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єнт</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в </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з </w:t>
      </w:r>
      <w:r w:rsidR="00090BE4">
        <w:rPr>
          <w:rFonts w:ascii="Times New Roman" w:hAnsi="Times New Roman" w:cs="Times New Roman"/>
          <w:sz w:val="28"/>
          <w:szCs w:val="28"/>
          <w:lang w:val="uk-UA"/>
        </w:rPr>
        <w:t>категоріями альбумінурії А1, А2, А3</w:t>
      </w:r>
      <w:r w:rsidR="008B620F">
        <w:rPr>
          <w:rFonts w:ascii="Times New Roman" w:hAnsi="Times New Roman" w:cs="Times New Roman"/>
          <w:sz w:val="28"/>
          <w:szCs w:val="28"/>
          <w:lang w:val="uk-UA"/>
        </w:rPr>
        <w:t xml:space="preserve"> становив</w:t>
      </w:r>
      <w:r w:rsidR="000C4B22">
        <w:rPr>
          <w:rFonts w:ascii="Times New Roman" w:hAnsi="Times New Roman" w:cs="Times New Roman"/>
          <w:sz w:val="28"/>
          <w:szCs w:val="28"/>
          <w:lang w:val="uk-UA"/>
        </w:rPr>
        <w:t xml:space="preserve"> в</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дпов</w:t>
      </w:r>
      <w:r w:rsidR="000C4B22">
        <w:rPr>
          <w:rFonts w:ascii="Times New Roman" w:hAnsi="Times New Roman" w:cs="Times New Roman"/>
          <w:sz w:val="28"/>
          <w:szCs w:val="28"/>
          <w:lang w:val="en-US"/>
        </w:rPr>
        <w:t>i</w:t>
      </w:r>
      <w:r w:rsidR="00EB4415" w:rsidRPr="008707FF">
        <w:rPr>
          <w:rFonts w:ascii="Times New Roman" w:hAnsi="Times New Roman" w:cs="Times New Roman"/>
          <w:sz w:val="28"/>
          <w:szCs w:val="28"/>
          <w:lang w:val="uk-UA"/>
        </w:rPr>
        <w:t>дно (4,9</w:t>
      </w:r>
      <w:r w:rsidR="008B620F">
        <w:rPr>
          <w:rFonts w:ascii="Times New Roman" w:hAnsi="Times New Roman" w:cs="Times New Roman"/>
          <w:sz w:val="28"/>
          <w:szCs w:val="28"/>
          <w:lang w:val="uk-UA"/>
        </w:rPr>
        <w:t xml:space="preserve"> </w:t>
      </w:r>
      <w:r w:rsidR="00EB4415" w:rsidRPr="008707FF">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0,17)</w:t>
      </w:r>
      <w:r w:rsidR="00EB4415" w:rsidRPr="008707FF">
        <w:rPr>
          <w:rFonts w:ascii="Times New Roman" w:hAnsi="Times New Roman" w:cs="Times New Roman"/>
          <w:sz w:val="28"/>
          <w:szCs w:val="28"/>
          <w:lang w:val="uk-UA"/>
        </w:rPr>
        <w:t>, (5,26</w:t>
      </w:r>
      <w:r w:rsidR="008B620F">
        <w:rPr>
          <w:rFonts w:ascii="Times New Roman" w:hAnsi="Times New Roman" w:cs="Times New Roman"/>
          <w:sz w:val="28"/>
          <w:szCs w:val="28"/>
          <w:lang w:val="uk-UA"/>
        </w:rPr>
        <w:t xml:space="preserve"> </w:t>
      </w:r>
      <w:r w:rsidR="00EB4415" w:rsidRPr="008707FF">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EB4415" w:rsidRPr="008707FF">
        <w:rPr>
          <w:rFonts w:ascii="Times New Roman" w:hAnsi="Times New Roman" w:cs="Times New Roman"/>
          <w:sz w:val="28"/>
          <w:szCs w:val="28"/>
          <w:lang w:val="uk-UA"/>
        </w:rPr>
        <w:t>0,04) ммоль/л</w:t>
      </w:r>
      <w:r w:rsidR="00EB4415" w:rsidRPr="008D6381">
        <w:rPr>
          <w:rFonts w:ascii="Times New Roman" w:hAnsi="Times New Roman" w:cs="Times New Roman"/>
          <w:sz w:val="28"/>
          <w:szCs w:val="28"/>
          <w:lang w:val="uk-UA"/>
        </w:rPr>
        <w:t xml:space="preserve">, </w:t>
      </w:r>
      <w:r w:rsidR="007C7EFE">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1-2</w:t>
      </w:r>
      <w:r w:rsidR="007C7EFE">
        <w:rPr>
          <w:rFonts w:ascii="Times New Roman" w:hAnsi="Times New Roman" w:cs="Times New Roman"/>
          <w:sz w:val="28"/>
          <w:szCs w:val="28"/>
          <w:lang w:val="uk-UA"/>
        </w:rPr>
        <w:t xml:space="preserve"> = 0,0</w:t>
      </w:r>
      <w:r w:rsidR="007C7EFE" w:rsidRPr="007C7EFE">
        <w:rPr>
          <w:rFonts w:ascii="Times New Roman" w:hAnsi="Times New Roman" w:cs="Times New Roman"/>
          <w:sz w:val="28"/>
          <w:szCs w:val="28"/>
          <w:lang w:val="uk-UA"/>
        </w:rPr>
        <w:t>026</w:t>
      </w:r>
      <w:r w:rsidR="006922A6" w:rsidRPr="008D6381">
        <w:rPr>
          <w:rFonts w:ascii="Times New Roman" w:hAnsi="Times New Roman" w:cs="Times New Roman"/>
          <w:sz w:val="28"/>
          <w:szCs w:val="28"/>
          <w:lang w:val="uk-UA"/>
        </w:rPr>
        <w:t>;</w:t>
      </w:r>
      <w:r w:rsidR="00EB4415" w:rsidRPr="008D6381">
        <w:rPr>
          <w:rFonts w:ascii="Times New Roman" w:hAnsi="Times New Roman" w:cs="Times New Roman"/>
          <w:sz w:val="28"/>
          <w:szCs w:val="28"/>
          <w:lang w:val="uk-UA"/>
        </w:rPr>
        <w:t xml:space="preserve"> </w:t>
      </w:r>
      <w:r w:rsidR="008B620F">
        <w:rPr>
          <w:rFonts w:ascii="Times New Roman" w:hAnsi="Times New Roman" w:cs="Times New Roman"/>
          <w:sz w:val="28"/>
          <w:szCs w:val="28"/>
          <w:lang w:val="uk-UA"/>
        </w:rPr>
        <w:t xml:space="preserve">                             </w:t>
      </w:r>
      <w:r w:rsidR="00EB4415" w:rsidRPr="008D6381">
        <w:rPr>
          <w:rFonts w:ascii="Times New Roman" w:hAnsi="Times New Roman" w:cs="Times New Roman"/>
          <w:sz w:val="28"/>
          <w:szCs w:val="28"/>
          <w:lang w:val="uk-UA"/>
        </w:rPr>
        <w:t>(5,38</w:t>
      </w:r>
      <w:r w:rsidR="008B620F">
        <w:rPr>
          <w:rFonts w:ascii="Times New Roman" w:hAnsi="Times New Roman" w:cs="Times New Roman"/>
          <w:sz w:val="28"/>
          <w:szCs w:val="28"/>
          <w:lang w:val="uk-UA"/>
        </w:rPr>
        <w:t xml:space="preserve"> </w:t>
      </w:r>
      <w:r w:rsidR="00EB4415"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EB4415" w:rsidRPr="008D6381">
        <w:rPr>
          <w:rFonts w:ascii="Times New Roman" w:hAnsi="Times New Roman" w:cs="Times New Roman"/>
          <w:sz w:val="28"/>
          <w:szCs w:val="28"/>
          <w:lang w:val="uk-UA"/>
        </w:rPr>
        <w:t xml:space="preserve">0,07) ммоль/л, </w:t>
      </w:r>
      <w:r w:rsidR="007C7EFE">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1-3</w:t>
      </w:r>
      <w:r w:rsidR="007C7EFE">
        <w:rPr>
          <w:rFonts w:ascii="Times New Roman" w:hAnsi="Times New Roman" w:cs="Times New Roman"/>
          <w:sz w:val="28"/>
          <w:szCs w:val="28"/>
          <w:lang w:val="uk-UA"/>
        </w:rPr>
        <w:t xml:space="preserve"> = 0,0</w:t>
      </w:r>
      <w:r w:rsidR="007C7EFE" w:rsidRPr="007C7EFE">
        <w:rPr>
          <w:rFonts w:ascii="Times New Roman" w:hAnsi="Times New Roman" w:cs="Times New Roman"/>
          <w:sz w:val="28"/>
          <w:szCs w:val="28"/>
          <w:lang w:val="uk-UA"/>
        </w:rPr>
        <w:t>373</w:t>
      </w:r>
      <w:r w:rsidR="00EB4415" w:rsidRPr="008D63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ХС </w:t>
      </w:r>
      <w:r w:rsidR="00EB4415" w:rsidRPr="008D6381">
        <w:rPr>
          <w:rFonts w:ascii="Times New Roman" w:hAnsi="Times New Roman" w:cs="Times New Roman"/>
          <w:sz w:val="28"/>
          <w:szCs w:val="28"/>
          <w:lang w:val="uk-UA"/>
        </w:rPr>
        <w:t>ЛПВЩ – (2,23</w:t>
      </w:r>
      <w:r w:rsidR="008B620F">
        <w:rPr>
          <w:rFonts w:ascii="Times New Roman" w:hAnsi="Times New Roman" w:cs="Times New Roman"/>
          <w:sz w:val="28"/>
          <w:szCs w:val="28"/>
          <w:lang w:val="uk-UA"/>
        </w:rPr>
        <w:t xml:space="preserve"> </w:t>
      </w:r>
      <w:r w:rsidR="00EB4415"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0,08)</w:t>
      </w:r>
      <w:r w:rsidR="00EB4415" w:rsidRPr="008D6381">
        <w:rPr>
          <w:rFonts w:ascii="Times New Roman" w:hAnsi="Times New Roman" w:cs="Times New Roman"/>
          <w:sz w:val="28"/>
          <w:szCs w:val="28"/>
          <w:lang w:val="uk-UA"/>
        </w:rPr>
        <w:t>, (1,12</w:t>
      </w:r>
      <w:r w:rsidR="008B620F">
        <w:rPr>
          <w:rFonts w:ascii="Times New Roman" w:hAnsi="Times New Roman" w:cs="Times New Roman"/>
          <w:sz w:val="28"/>
          <w:szCs w:val="28"/>
          <w:lang w:val="uk-UA"/>
        </w:rPr>
        <w:t xml:space="preserve"> </w:t>
      </w:r>
      <w:r w:rsidR="00EB4415"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EB4415" w:rsidRPr="008D6381">
        <w:rPr>
          <w:rFonts w:ascii="Times New Roman" w:hAnsi="Times New Roman" w:cs="Times New Roman"/>
          <w:sz w:val="28"/>
          <w:szCs w:val="28"/>
          <w:lang w:val="uk-UA"/>
        </w:rPr>
        <w:t>0,04) ммоль/л,</w:t>
      </w:r>
      <w:r w:rsidR="006922A6" w:rsidRPr="008D6381">
        <w:rPr>
          <w:rFonts w:ascii="Times New Roman" w:hAnsi="Times New Roman" w:cs="Times New Roman"/>
          <w:sz w:val="28"/>
          <w:szCs w:val="28"/>
          <w:lang w:val="uk-UA"/>
        </w:rPr>
        <w:t xml:space="preserve"> p</w:t>
      </w:r>
      <w:r w:rsidR="000766F8">
        <w:rPr>
          <w:rFonts w:ascii="Times New Roman" w:hAnsi="Times New Roman" w:cs="Times New Roman"/>
          <w:sz w:val="28"/>
          <w:szCs w:val="28"/>
          <w:vertAlign w:val="subscript"/>
          <w:lang w:val="uk-UA"/>
        </w:rPr>
        <w:t>1-2</w:t>
      </w:r>
      <w:r w:rsidR="006922A6" w:rsidRPr="008D6381">
        <w:rPr>
          <w:rFonts w:ascii="Times New Roman" w:hAnsi="Times New Roman" w:cs="Times New Roman"/>
          <w:sz w:val="28"/>
          <w:szCs w:val="28"/>
          <w:lang w:val="uk-UA"/>
        </w:rPr>
        <w:t xml:space="preserve"> &lt; 0,00</w:t>
      </w:r>
      <w:r w:rsidR="007C7EFE" w:rsidRPr="007C7EFE">
        <w:rPr>
          <w:rFonts w:ascii="Times New Roman" w:hAnsi="Times New Roman" w:cs="Times New Roman"/>
          <w:sz w:val="28"/>
          <w:szCs w:val="28"/>
          <w:lang w:val="uk-UA"/>
        </w:rPr>
        <w:t>0</w:t>
      </w:r>
      <w:r w:rsidR="006922A6" w:rsidRPr="008D6381">
        <w:rPr>
          <w:rFonts w:ascii="Times New Roman" w:hAnsi="Times New Roman" w:cs="Times New Roman"/>
          <w:sz w:val="28"/>
          <w:szCs w:val="28"/>
          <w:lang w:val="uk-UA"/>
        </w:rPr>
        <w:t>1; (0,93</w:t>
      </w:r>
      <w:r w:rsidR="008B620F">
        <w:rPr>
          <w:rFonts w:ascii="Times New Roman" w:hAnsi="Times New Roman" w:cs="Times New Roman"/>
          <w:sz w:val="28"/>
          <w:szCs w:val="28"/>
          <w:lang w:val="uk-UA"/>
        </w:rPr>
        <w:t xml:space="preserve"> </w:t>
      </w:r>
      <w:r w:rsidR="006922A6"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6922A6" w:rsidRPr="008D6381">
        <w:rPr>
          <w:rFonts w:ascii="Times New Roman" w:hAnsi="Times New Roman" w:cs="Times New Roman"/>
          <w:sz w:val="28"/>
          <w:szCs w:val="28"/>
          <w:lang w:val="uk-UA"/>
        </w:rPr>
        <w:t>0,3</w:t>
      </w:r>
      <w:r w:rsidR="00EB4415" w:rsidRPr="008D6381">
        <w:rPr>
          <w:rFonts w:ascii="Times New Roman" w:hAnsi="Times New Roman" w:cs="Times New Roman"/>
          <w:sz w:val="28"/>
          <w:szCs w:val="28"/>
          <w:lang w:val="uk-UA"/>
        </w:rPr>
        <w:t xml:space="preserve">) ммоль/л, </w:t>
      </w:r>
      <w:r w:rsidR="007C7EFE">
        <w:rPr>
          <w:rFonts w:ascii="Times New Roman" w:hAnsi="Times New Roman" w:cs="Times New Roman"/>
          <w:sz w:val="28"/>
          <w:szCs w:val="28"/>
          <w:lang w:val="uk-UA"/>
        </w:rPr>
        <w:t xml:space="preserve"> p</w:t>
      </w:r>
      <w:r w:rsidR="000766F8">
        <w:rPr>
          <w:rFonts w:ascii="Times New Roman" w:hAnsi="Times New Roman" w:cs="Times New Roman"/>
          <w:sz w:val="28"/>
          <w:szCs w:val="28"/>
          <w:vertAlign w:val="subscript"/>
          <w:lang w:val="uk-UA"/>
        </w:rPr>
        <w:t>1-3</w:t>
      </w:r>
      <w:r w:rsidR="007C7EFE">
        <w:rPr>
          <w:rFonts w:ascii="Times New Roman" w:hAnsi="Times New Roman" w:cs="Times New Roman"/>
          <w:sz w:val="28"/>
          <w:szCs w:val="28"/>
          <w:lang w:val="uk-UA"/>
        </w:rPr>
        <w:t xml:space="preserve"> </w:t>
      </w:r>
      <w:r w:rsidR="007C7EFE" w:rsidRPr="007C7EFE">
        <w:rPr>
          <w:rFonts w:ascii="Times New Roman" w:hAnsi="Times New Roman" w:cs="Times New Roman"/>
          <w:sz w:val="28"/>
          <w:szCs w:val="28"/>
          <w:lang w:val="uk-UA"/>
        </w:rPr>
        <w:t>&lt;</w:t>
      </w:r>
      <w:r w:rsidR="007C7EFE">
        <w:rPr>
          <w:rFonts w:ascii="Times New Roman" w:hAnsi="Times New Roman" w:cs="Times New Roman"/>
          <w:sz w:val="28"/>
          <w:szCs w:val="28"/>
          <w:lang w:val="uk-UA"/>
        </w:rPr>
        <w:t xml:space="preserve"> 0,00</w:t>
      </w:r>
      <w:r w:rsidR="007C7EFE" w:rsidRPr="007C7EFE">
        <w:rPr>
          <w:rFonts w:ascii="Times New Roman" w:hAnsi="Times New Roman" w:cs="Times New Roman"/>
          <w:sz w:val="28"/>
          <w:szCs w:val="28"/>
          <w:lang w:val="uk-UA"/>
        </w:rPr>
        <w:t>01</w:t>
      </w:r>
      <w:r w:rsidR="00EB4415" w:rsidRPr="008D63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ХС </w:t>
      </w:r>
      <w:r w:rsidR="00EB4415" w:rsidRPr="008D6381">
        <w:rPr>
          <w:rFonts w:ascii="Times New Roman" w:hAnsi="Times New Roman" w:cs="Times New Roman"/>
          <w:sz w:val="28"/>
          <w:szCs w:val="28"/>
          <w:lang w:val="uk-UA"/>
        </w:rPr>
        <w:t xml:space="preserve">ЛПНЩ </w:t>
      </w:r>
      <w:r w:rsidR="00F34468" w:rsidRPr="008D6381">
        <w:rPr>
          <w:rFonts w:ascii="Times New Roman" w:hAnsi="Times New Roman" w:cs="Times New Roman"/>
          <w:sz w:val="28"/>
          <w:szCs w:val="28"/>
          <w:lang w:val="uk-UA"/>
        </w:rPr>
        <w:t>–</w:t>
      </w:r>
      <w:r w:rsidR="00EB4415" w:rsidRPr="008D6381">
        <w:rPr>
          <w:rFonts w:ascii="Times New Roman" w:hAnsi="Times New Roman" w:cs="Times New Roman"/>
          <w:sz w:val="28"/>
          <w:szCs w:val="28"/>
          <w:lang w:val="uk-UA"/>
        </w:rPr>
        <w:t xml:space="preserve"> </w:t>
      </w:r>
      <w:r w:rsidR="00F34468" w:rsidRPr="008D6381">
        <w:rPr>
          <w:rFonts w:ascii="Times New Roman" w:hAnsi="Times New Roman" w:cs="Times New Roman"/>
          <w:sz w:val="28"/>
          <w:szCs w:val="28"/>
          <w:lang w:val="uk-UA"/>
        </w:rPr>
        <w:t>(2,75</w:t>
      </w:r>
      <w:r w:rsidR="008B620F">
        <w:rPr>
          <w:rFonts w:ascii="Times New Roman" w:hAnsi="Times New Roman" w:cs="Times New Roman"/>
          <w:sz w:val="28"/>
          <w:szCs w:val="28"/>
          <w:lang w:val="uk-UA"/>
        </w:rPr>
        <w:t xml:space="preserve"> </w:t>
      </w:r>
      <w:r w:rsidR="000766F8">
        <w:rPr>
          <w:rFonts w:ascii="Times New Roman" w:hAnsi="Times New Roman" w:cs="Times New Roman"/>
          <w:sz w:val="28"/>
          <w:szCs w:val="28"/>
          <w:lang w:val="uk-UA"/>
        </w:rPr>
        <w:t xml:space="preserve">        </w:t>
      </w:r>
      <w:r w:rsidR="00F34468"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F34468" w:rsidRPr="008D6381">
        <w:rPr>
          <w:rFonts w:ascii="Times New Roman" w:hAnsi="Times New Roman" w:cs="Times New Roman"/>
          <w:sz w:val="28"/>
          <w:szCs w:val="28"/>
          <w:lang w:val="uk-UA"/>
        </w:rPr>
        <w:t>0,05</w:t>
      </w:r>
      <w:r w:rsidR="009A7878" w:rsidRPr="008D6381">
        <w:rPr>
          <w:rFonts w:ascii="Times New Roman" w:hAnsi="Times New Roman" w:cs="Times New Roman"/>
          <w:sz w:val="28"/>
          <w:szCs w:val="28"/>
          <w:lang w:val="uk-UA"/>
        </w:rPr>
        <w:t>) ммоль/л, (2,88</w:t>
      </w:r>
      <w:r w:rsidR="008B620F">
        <w:rPr>
          <w:rFonts w:ascii="Times New Roman" w:hAnsi="Times New Roman" w:cs="Times New Roman"/>
          <w:sz w:val="28"/>
          <w:szCs w:val="28"/>
          <w:lang w:val="uk-UA"/>
        </w:rPr>
        <w:t xml:space="preserve"> </w:t>
      </w:r>
      <w:r w:rsidR="009A7878"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9A7878" w:rsidRPr="008D6381">
        <w:rPr>
          <w:rFonts w:ascii="Times New Roman" w:hAnsi="Times New Roman" w:cs="Times New Roman"/>
          <w:sz w:val="28"/>
          <w:szCs w:val="28"/>
          <w:lang w:val="uk-UA"/>
        </w:rPr>
        <w:t>0,01) ммоль/л, p</w:t>
      </w:r>
      <w:r w:rsidR="000766F8">
        <w:rPr>
          <w:rFonts w:ascii="Times New Roman" w:hAnsi="Times New Roman" w:cs="Times New Roman"/>
          <w:sz w:val="28"/>
          <w:szCs w:val="28"/>
          <w:vertAlign w:val="subscript"/>
          <w:lang w:val="uk-UA"/>
        </w:rPr>
        <w:t>1-2</w:t>
      </w:r>
      <w:r w:rsidR="009A7878" w:rsidRPr="008D6381">
        <w:rPr>
          <w:rFonts w:ascii="Times New Roman" w:hAnsi="Times New Roman" w:cs="Times New Roman"/>
          <w:sz w:val="28"/>
          <w:szCs w:val="28"/>
          <w:lang w:val="uk-UA"/>
        </w:rPr>
        <w:t xml:space="preserve"> &lt; 0,00</w:t>
      </w:r>
      <w:r w:rsidR="00EE1A58" w:rsidRPr="008D6381">
        <w:rPr>
          <w:rFonts w:ascii="Times New Roman" w:hAnsi="Times New Roman" w:cs="Times New Roman"/>
          <w:sz w:val="28"/>
          <w:szCs w:val="28"/>
          <w:lang w:val="uk-UA"/>
        </w:rPr>
        <w:t>0</w:t>
      </w:r>
      <w:r w:rsidR="009A7878" w:rsidRPr="008D6381">
        <w:rPr>
          <w:rFonts w:ascii="Times New Roman" w:hAnsi="Times New Roman" w:cs="Times New Roman"/>
          <w:sz w:val="28"/>
          <w:szCs w:val="28"/>
          <w:lang w:val="uk-UA"/>
        </w:rPr>
        <w:t>1</w:t>
      </w:r>
      <w:r w:rsidR="00F34468" w:rsidRPr="008D6381">
        <w:rPr>
          <w:rFonts w:ascii="Times New Roman" w:hAnsi="Times New Roman" w:cs="Times New Roman"/>
          <w:sz w:val="28"/>
          <w:szCs w:val="28"/>
          <w:lang w:val="uk-UA"/>
        </w:rPr>
        <w:t>; (3,24</w:t>
      </w:r>
      <w:r w:rsidR="008B620F">
        <w:rPr>
          <w:rFonts w:ascii="Times New Roman" w:hAnsi="Times New Roman" w:cs="Times New Roman"/>
          <w:sz w:val="28"/>
          <w:szCs w:val="28"/>
          <w:lang w:val="uk-UA"/>
        </w:rPr>
        <w:t xml:space="preserve"> </w:t>
      </w:r>
      <w:r w:rsidR="00F34468"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F34468" w:rsidRPr="008D6381">
        <w:rPr>
          <w:rFonts w:ascii="Times New Roman" w:hAnsi="Times New Roman" w:cs="Times New Roman"/>
          <w:sz w:val="28"/>
          <w:szCs w:val="28"/>
          <w:lang w:val="uk-UA"/>
        </w:rPr>
        <w:t xml:space="preserve">0,2) ммоль/л, </w:t>
      </w:r>
      <w:r w:rsidR="00CA2F8A">
        <w:rPr>
          <w:rFonts w:ascii="Times New Roman" w:hAnsi="Times New Roman" w:cs="Times New Roman"/>
          <w:sz w:val="28"/>
          <w:szCs w:val="28"/>
          <w:lang w:val="uk-UA"/>
        </w:rPr>
        <w:t xml:space="preserve">     </w:t>
      </w:r>
      <w:r w:rsidR="009A7878" w:rsidRPr="008D6381">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1-3</w:t>
      </w:r>
      <w:r w:rsidR="009A7878" w:rsidRPr="008D6381">
        <w:rPr>
          <w:rFonts w:ascii="Times New Roman" w:hAnsi="Times New Roman" w:cs="Times New Roman"/>
          <w:sz w:val="28"/>
          <w:szCs w:val="28"/>
          <w:lang w:val="uk-UA"/>
        </w:rPr>
        <w:t xml:space="preserve"> =</w:t>
      </w:r>
      <w:r w:rsidR="00F34468" w:rsidRPr="008D6381">
        <w:rPr>
          <w:rFonts w:ascii="Times New Roman" w:hAnsi="Times New Roman" w:cs="Times New Roman"/>
          <w:sz w:val="28"/>
          <w:szCs w:val="28"/>
          <w:lang w:val="uk-UA"/>
        </w:rPr>
        <w:t xml:space="preserve"> 0,0</w:t>
      </w:r>
      <w:r w:rsidR="007C7EFE" w:rsidRPr="007C7EFE">
        <w:rPr>
          <w:rFonts w:ascii="Times New Roman" w:hAnsi="Times New Roman" w:cs="Times New Roman"/>
          <w:sz w:val="28"/>
          <w:szCs w:val="28"/>
          <w:lang w:val="uk-UA"/>
        </w:rPr>
        <w:t>094</w:t>
      </w:r>
      <w:r w:rsidR="00F34468" w:rsidRPr="008D6381">
        <w:rPr>
          <w:rFonts w:ascii="Times New Roman" w:hAnsi="Times New Roman" w:cs="Times New Roman"/>
          <w:sz w:val="28"/>
          <w:szCs w:val="28"/>
          <w:lang w:val="uk-UA"/>
        </w:rPr>
        <w:t>; ТГ –</w:t>
      </w:r>
      <w:r w:rsidR="008B620F">
        <w:rPr>
          <w:rFonts w:ascii="Times New Roman" w:hAnsi="Times New Roman" w:cs="Times New Roman"/>
          <w:sz w:val="28"/>
          <w:szCs w:val="28"/>
          <w:lang w:val="uk-UA"/>
        </w:rPr>
        <w:t xml:space="preserve"> </w:t>
      </w:r>
      <w:r w:rsidR="009F36D0">
        <w:rPr>
          <w:rFonts w:ascii="Times New Roman" w:hAnsi="Times New Roman" w:cs="Times New Roman"/>
          <w:sz w:val="28"/>
          <w:szCs w:val="28"/>
          <w:lang w:val="uk-UA"/>
        </w:rPr>
        <w:t>(2,3</w:t>
      </w:r>
      <w:r w:rsidR="008B620F">
        <w:rPr>
          <w:rFonts w:ascii="Times New Roman" w:hAnsi="Times New Roman" w:cs="Times New Roman"/>
          <w:sz w:val="28"/>
          <w:szCs w:val="28"/>
          <w:lang w:val="uk-UA"/>
        </w:rPr>
        <w:t xml:space="preserve"> </w:t>
      </w:r>
      <w:r w:rsidR="00E04698"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0,05)</w:t>
      </w:r>
      <w:r w:rsidR="00E04698" w:rsidRPr="008D6381">
        <w:rPr>
          <w:rFonts w:ascii="Times New Roman" w:hAnsi="Times New Roman" w:cs="Times New Roman"/>
          <w:sz w:val="28"/>
          <w:szCs w:val="28"/>
          <w:lang w:val="uk-UA"/>
        </w:rPr>
        <w:t>, (2,51</w:t>
      </w:r>
      <w:r w:rsidR="008B620F">
        <w:rPr>
          <w:rFonts w:ascii="Times New Roman" w:hAnsi="Times New Roman" w:cs="Times New Roman"/>
          <w:sz w:val="28"/>
          <w:szCs w:val="28"/>
          <w:lang w:val="uk-UA"/>
        </w:rPr>
        <w:t xml:space="preserve"> </w:t>
      </w:r>
      <w:r w:rsidR="00E04698"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E04698" w:rsidRPr="008D6381">
        <w:rPr>
          <w:rFonts w:ascii="Times New Roman" w:hAnsi="Times New Roman" w:cs="Times New Roman"/>
          <w:sz w:val="28"/>
          <w:szCs w:val="28"/>
          <w:lang w:val="uk-UA"/>
        </w:rPr>
        <w:t>0,02</w:t>
      </w:r>
      <w:r w:rsidR="00F34468" w:rsidRPr="008D6381">
        <w:rPr>
          <w:rFonts w:ascii="Times New Roman" w:hAnsi="Times New Roman" w:cs="Times New Roman"/>
          <w:sz w:val="28"/>
          <w:szCs w:val="28"/>
          <w:lang w:val="uk-UA"/>
        </w:rPr>
        <w:t xml:space="preserve">) ммоль/л, </w:t>
      </w:r>
      <w:r w:rsidR="009F36D0">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1-2</w:t>
      </w:r>
      <w:r w:rsidR="009F36D0">
        <w:rPr>
          <w:rFonts w:ascii="Times New Roman" w:hAnsi="Times New Roman" w:cs="Times New Roman"/>
          <w:sz w:val="28"/>
          <w:szCs w:val="28"/>
          <w:lang w:val="uk-UA"/>
        </w:rPr>
        <w:t xml:space="preserve"> </w:t>
      </w:r>
      <w:r w:rsidR="009F36D0" w:rsidRPr="009F36D0">
        <w:rPr>
          <w:rFonts w:ascii="Times New Roman" w:hAnsi="Times New Roman" w:cs="Times New Roman"/>
          <w:sz w:val="28"/>
          <w:szCs w:val="28"/>
          <w:lang w:val="uk-UA"/>
        </w:rPr>
        <w:t>&lt;</w:t>
      </w:r>
      <w:r w:rsidR="007C7EFE">
        <w:rPr>
          <w:rFonts w:ascii="Times New Roman" w:hAnsi="Times New Roman" w:cs="Times New Roman"/>
          <w:sz w:val="28"/>
          <w:szCs w:val="28"/>
          <w:lang w:val="uk-UA"/>
        </w:rPr>
        <w:t xml:space="preserve"> 0,0</w:t>
      </w:r>
      <w:r w:rsidR="009F36D0">
        <w:rPr>
          <w:rFonts w:ascii="Times New Roman" w:hAnsi="Times New Roman" w:cs="Times New Roman"/>
          <w:sz w:val="28"/>
          <w:szCs w:val="28"/>
          <w:lang w:val="uk-UA"/>
        </w:rPr>
        <w:t>0</w:t>
      </w:r>
      <w:r w:rsidR="009F36D0" w:rsidRPr="009F36D0">
        <w:rPr>
          <w:rFonts w:ascii="Times New Roman" w:hAnsi="Times New Roman" w:cs="Times New Roman"/>
          <w:sz w:val="28"/>
          <w:szCs w:val="28"/>
          <w:lang w:val="uk-UA"/>
        </w:rPr>
        <w:t>01</w:t>
      </w:r>
      <w:r w:rsidR="00F34468" w:rsidRPr="008D6381">
        <w:rPr>
          <w:rFonts w:ascii="Times New Roman" w:hAnsi="Times New Roman" w:cs="Times New Roman"/>
          <w:sz w:val="28"/>
          <w:szCs w:val="28"/>
          <w:lang w:val="uk-UA"/>
        </w:rPr>
        <w:t>; (2,6</w:t>
      </w:r>
      <w:r w:rsidR="008B620F">
        <w:rPr>
          <w:rFonts w:ascii="Times New Roman" w:hAnsi="Times New Roman" w:cs="Times New Roman"/>
          <w:sz w:val="28"/>
          <w:szCs w:val="28"/>
          <w:lang w:val="uk-UA"/>
        </w:rPr>
        <w:t xml:space="preserve"> </w:t>
      </w:r>
      <w:r w:rsidR="004A6339"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4A6339" w:rsidRPr="008D6381">
        <w:rPr>
          <w:rFonts w:ascii="Times New Roman" w:hAnsi="Times New Roman" w:cs="Times New Roman"/>
          <w:sz w:val="28"/>
          <w:szCs w:val="28"/>
          <w:lang w:val="uk-UA"/>
        </w:rPr>
        <w:t xml:space="preserve">0,06) ммоль/л, </w:t>
      </w:r>
      <w:r w:rsidR="009F36D0">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1-3</w:t>
      </w:r>
      <w:r w:rsidR="009F36D0">
        <w:rPr>
          <w:rFonts w:ascii="Times New Roman" w:hAnsi="Times New Roman" w:cs="Times New Roman"/>
          <w:sz w:val="28"/>
          <w:szCs w:val="28"/>
          <w:lang w:val="uk-UA"/>
        </w:rPr>
        <w:t xml:space="preserve"> = 0,00</w:t>
      </w:r>
      <w:r w:rsidR="009F36D0" w:rsidRPr="009F36D0">
        <w:rPr>
          <w:rFonts w:ascii="Times New Roman" w:hAnsi="Times New Roman" w:cs="Times New Roman"/>
          <w:sz w:val="28"/>
          <w:szCs w:val="28"/>
          <w:lang w:val="uk-UA"/>
        </w:rPr>
        <w:t>09</w:t>
      </w:r>
      <w:r w:rsidR="004A6339" w:rsidRPr="008D638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ХС </w:t>
      </w:r>
      <w:r w:rsidR="004A6339" w:rsidRPr="008D6381">
        <w:rPr>
          <w:rFonts w:ascii="Times New Roman" w:hAnsi="Times New Roman" w:cs="Times New Roman"/>
          <w:sz w:val="28"/>
          <w:szCs w:val="28"/>
          <w:lang w:val="uk-UA"/>
        </w:rPr>
        <w:t>ЛПДНЩ – (1,09</w:t>
      </w:r>
      <w:r w:rsidR="008B620F">
        <w:rPr>
          <w:rFonts w:ascii="Times New Roman" w:hAnsi="Times New Roman" w:cs="Times New Roman"/>
          <w:sz w:val="28"/>
          <w:szCs w:val="28"/>
          <w:lang w:val="uk-UA"/>
        </w:rPr>
        <w:t xml:space="preserve"> </w:t>
      </w:r>
      <w:r w:rsidR="004A6339"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4A6339" w:rsidRPr="008D6381">
        <w:rPr>
          <w:rFonts w:ascii="Times New Roman" w:hAnsi="Times New Roman" w:cs="Times New Roman"/>
          <w:sz w:val="28"/>
          <w:szCs w:val="28"/>
          <w:lang w:val="uk-UA"/>
        </w:rPr>
        <w:t>0,02</w:t>
      </w:r>
      <w:r w:rsidR="008B620F">
        <w:rPr>
          <w:rFonts w:ascii="Times New Roman" w:hAnsi="Times New Roman" w:cs="Times New Roman"/>
          <w:sz w:val="28"/>
          <w:szCs w:val="28"/>
          <w:lang w:val="uk-UA"/>
        </w:rPr>
        <w:t>)</w:t>
      </w:r>
      <w:r w:rsidR="00C259D3" w:rsidRPr="008D6381">
        <w:rPr>
          <w:rFonts w:ascii="Times New Roman" w:hAnsi="Times New Roman" w:cs="Times New Roman"/>
          <w:sz w:val="28"/>
          <w:szCs w:val="28"/>
          <w:lang w:val="uk-UA"/>
        </w:rPr>
        <w:t>,</w:t>
      </w:r>
      <w:r w:rsidR="007C7EFE">
        <w:rPr>
          <w:rFonts w:ascii="Times New Roman" w:hAnsi="Times New Roman" w:cs="Times New Roman"/>
          <w:sz w:val="28"/>
          <w:szCs w:val="28"/>
          <w:lang w:val="uk-UA"/>
        </w:rPr>
        <w:t xml:space="preserve"> (1,15</w:t>
      </w:r>
      <w:r w:rsidR="008B620F">
        <w:rPr>
          <w:rFonts w:ascii="Times New Roman" w:hAnsi="Times New Roman" w:cs="Times New Roman"/>
          <w:sz w:val="28"/>
          <w:szCs w:val="28"/>
          <w:lang w:val="uk-UA"/>
        </w:rPr>
        <w:t xml:space="preserve"> </w:t>
      </w:r>
      <w:r w:rsidR="007C7EFE">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7C7EFE">
        <w:rPr>
          <w:rFonts w:ascii="Times New Roman" w:hAnsi="Times New Roman" w:cs="Times New Roman"/>
          <w:sz w:val="28"/>
          <w:szCs w:val="28"/>
          <w:lang w:val="uk-UA"/>
        </w:rPr>
        <w:t xml:space="preserve">0,01) ммоль/л, </w:t>
      </w:r>
      <w:r w:rsidR="00CA2F8A">
        <w:rPr>
          <w:rFonts w:ascii="Times New Roman" w:hAnsi="Times New Roman" w:cs="Times New Roman"/>
          <w:sz w:val="28"/>
          <w:szCs w:val="28"/>
          <w:lang w:val="uk-UA"/>
        </w:rPr>
        <w:t xml:space="preserve">      </w:t>
      </w:r>
      <w:r w:rsidR="007C7EFE">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1-2</w:t>
      </w:r>
      <w:r w:rsidR="007C7EFE">
        <w:rPr>
          <w:rFonts w:ascii="Times New Roman" w:hAnsi="Times New Roman" w:cs="Times New Roman"/>
          <w:sz w:val="28"/>
          <w:szCs w:val="28"/>
          <w:lang w:val="uk-UA"/>
        </w:rPr>
        <w:t xml:space="preserve"> = 0,0</w:t>
      </w:r>
      <w:r w:rsidR="007C7EFE" w:rsidRPr="007C7EFE">
        <w:rPr>
          <w:rFonts w:ascii="Times New Roman" w:hAnsi="Times New Roman" w:cs="Times New Roman"/>
          <w:sz w:val="28"/>
          <w:szCs w:val="28"/>
          <w:lang w:val="uk-UA"/>
        </w:rPr>
        <w:t>130</w:t>
      </w:r>
      <w:r w:rsidR="00C259D3" w:rsidRPr="008D6381">
        <w:rPr>
          <w:rFonts w:ascii="Times New Roman" w:hAnsi="Times New Roman" w:cs="Times New Roman"/>
          <w:sz w:val="28"/>
          <w:szCs w:val="28"/>
          <w:lang w:val="uk-UA"/>
        </w:rPr>
        <w:t>; (1,3</w:t>
      </w:r>
      <w:r w:rsidR="008B620F">
        <w:rPr>
          <w:rFonts w:ascii="Times New Roman" w:hAnsi="Times New Roman" w:cs="Times New Roman"/>
          <w:sz w:val="28"/>
          <w:szCs w:val="28"/>
          <w:lang w:val="uk-UA"/>
        </w:rPr>
        <w:t xml:space="preserve"> </w:t>
      </w:r>
      <w:r w:rsidR="00C259D3" w:rsidRPr="008D6381">
        <w:rPr>
          <w:rFonts w:ascii="Times New Roman" w:hAnsi="Times New Roman" w:cs="Times New Roman"/>
          <w:sz w:val="28"/>
          <w:szCs w:val="28"/>
          <w:lang w:val="uk-UA"/>
        </w:rPr>
        <w:t>±</w:t>
      </w:r>
      <w:r w:rsidR="008B620F">
        <w:rPr>
          <w:rFonts w:ascii="Times New Roman" w:hAnsi="Times New Roman" w:cs="Times New Roman"/>
          <w:sz w:val="28"/>
          <w:szCs w:val="28"/>
          <w:lang w:val="uk-UA"/>
        </w:rPr>
        <w:t xml:space="preserve"> </w:t>
      </w:r>
      <w:r w:rsidR="00C259D3" w:rsidRPr="008D6381">
        <w:rPr>
          <w:rFonts w:ascii="Times New Roman" w:hAnsi="Times New Roman" w:cs="Times New Roman"/>
          <w:sz w:val="28"/>
          <w:szCs w:val="28"/>
          <w:lang w:val="uk-UA"/>
        </w:rPr>
        <w:t>0,05</w:t>
      </w:r>
      <w:r w:rsidR="004A6339" w:rsidRPr="008D6381">
        <w:rPr>
          <w:rFonts w:ascii="Times New Roman" w:hAnsi="Times New Roman" w:cs="Times New Roman"/>
          <w:sz w:val="28"/>
          <w:szCs w:val="28"/>
          <w:lang w:val="uk-UA"/>
        </w:rPr>
        <w:t xml:space="preserve">) ммоль/л, </w:t>
      </w:r>
      <w:r w:rsidR="00097821">
        <w:rPr>
          <w:rFonts w:ascii="Times New Roman" w:hAnsi="Times New Roman" w:cs="Times New Roman"/>
          <w:sz w:val="28"/>
          <w:szCs w:val="28"/>
          <w:lang w:val="uk-UA"/>
        </w:rPr>
        <w:t>p</w:t>
      </w:r>
      <w:r w:rsidR="000766F8">
        <w:rPr>
          <w:rFonts w:ascii="Times New Roman" w:hAnsi="Times New Roman" w:cs="Times New Roman"/>
          <w:sz w:val="28"/>
          <w:szCs w:val="28"/>
          <w:vertAlign w:val="subscript"/>
          <w:lang w:val="uk-UA"/>
        </w:rPr>
        <w:t>1-3</w:t>
      </w:r>
      <w:r w:rsidR="00097821">
        <w:rPr>
          <w:rFonts w:ascii="Times New Roman" w:hAnsi="Times New Roman" w:cs="Times New Roman"/>
          <w:sz w:val="28"/>
          <w:szCs w:val="28"/>
          <w:lang w:val="uk-UA"/>
        </w:rPr>
        <w:t xml:space="preserve"> = 0,00</w:t>
      </w:r>
      <w:r w:rsidR="00097821" w:rsidRPr="00097821">
        <w:rPr>
          <w:rFonts w:ascii="Times New Roman" w:hAnsi="Times New Roman" w:cs="Times New Roman"/>
          <w:sz w:val="28"/>
          <w:szCs w:val="28"/>
          <w:lang w:val="uk-UA"/>
        </w:rPr>
        <w:t>02</w:t>
      </w:r>
      <w:r w:rsidR="004A6339" w:rsidRPr="008707FF">
        <w:rPr>
          <w:rFonts w:ascii="Times New Roman" w:hAnsi="Times New Roman" w:cs="Times New Roman"/>
          <w:sz w:val="28"/>
          <w:szCs w:val="28"/>
          <w:lang w:val="uk-UA"/>
        </w:rPr>
        <w:t>.</w:t>
      </w:r>
    </w:p>
    <w:p w:rsidR="00686AD8" w:rsidRPr="007F154B" w:rsidRDefault="00686AD8" w:rsidP="00A0016C">
      <w:pPr>
        <w:autoSpaceDE w:val="0"/>
        <w:autoSpaceDN w:val="0"/>
        <w:adjustRightInd w:val="0"/>
        <w:spacing w:after="0" w:line="360" w:lineRule="auto"/>
        <w:ind w:firstLine="708"/>
        <w:jc w:val="both"/>
        <w:rPr>
          <w:rFonts w:ascii="Times New Roman" w:hAnsi="Times New Roman" w:cs="Times New Roman"/>
          <w:sz w:val="28"/>
          <w:szCs w:val="28"/>
        </w:rPr>
      </w:pPr>
      <w:r w:rsidRPr="008707FF">
        <w:rPr>
          <w:rFonts w:ascii="Times New Roman" w:hAnsi="Times New Roman" w:cs="Times New Roman"/>
          <w:sz w:val="28"/>
          <w:szCs w:val="28"/>
          <w:lang w:val="uk-UA"/>
        </w:rPr>
        <w:t>Таким чином</w:t>
      </w:r>
      <w:r w:rsidR="007F25DA">
        <w:rPr>
          <w:rFonts w:ascii="Times New Roman" w:hAnsi="Times New Roman" w:cs="Times New Roman"/>
          <w:sz w:val="28"/>
          <w:szCs w:val="28"/>
          <w:lang w:val="uk-UA"/>
        </w:rPr>
        <w:t>,</w:t>
      </w:r>
      <w:r w:rsidR="000C4B22">
        <w:rPr>
          <w:rFonts w:ascii="Times New Roman" w:hAnsi="Times New Roman" w:cs="Times New Roman"/>
          <w:sz w:val="28"/>
          <w:szCs w:val="28"/>
          <w:lang w:val="uk-UA"/>
        </w:rPr>
        <w:t xml:space="preserve"> у пац</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єнт</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в </w:t>
      </w:r>
      <w:r w:rsidR="000C4B22">
        <w:rPr>
          <w:rFonts w:ascii="Times New Roman" w:hAnsi="Times New Roman" w:cs="Times New Roman"/>
          <w:sz w:val="28"/>
          <w:szCs w:val="28"/>
          <w:lang w:val="en-US"/>
        </w:rPr>
        <w:t>i</w:t>
      </w:r>
      <w:r w:rsidR="000C4B22">
        <w:rPr>
          <w:rFonts w:ascii="Times New Roman" w:hAnsi="Times New Roman" w:cs="Times New Roman"/>
          <w:sz w:val="28"/>
          <w:szCs w:val="28"/>
          <w:lang w:val="uk-UA"/>
        </w:rPr>
        <w:t xml:space="preserve">з </w:t>
      </w:r>
      <w:r w:rsidR="000766F8">
        <w:rPr>
          <w:rFonts w:ascii="Times New Roman" w:hAnsi="Times New Roman" w:cs="Times New Roman"/>
          <w:sz w:val="28"/>
          <w:szCs w:val="28"/>
          <w:lang w:val="uk-UA"/>
        </w:rPr>
        <w:t xml:space="preserve">АГ та супутнім ЦД 2-го типу і </w:t>
      </w:r>
      <w:r w:rsidR="00090BE4">
        <w:rPr>
          <w:rFonts w:ascii="Times New Roman" w:hAnsi="Times New Roman" w:cs="Times New Roman"/>
          <w:sz w:val="28"/>
          <w:szCs w:val="28"/>
          <w:lang w:val="uk-UA"/>
        </w:rPr>
        <w:t xml:space="preserve">категорією альбумінурії А3 </w:t>
      </w:r>
      <w:r w:rsidR="000C4B22">
        <w:rPr>
          <w:rFonts w:ascii="Times New Roman" w:hAnsi="Times New Roman" w:cs="Times New Roman"/>
          <w:sz w:val="28"/>
          <w:szCs w:val="28"/>
          <w:lang w:val="uk-UA"/>
        </w:rPr>
        <w:t>пор</w:t>
      </w:r>
      <w:r w:rsidR="000C4B22">
        <w:rPr>
          <w:rFonts w:ascii="Times New Roman" w:hAnsi="Times New Roman" w:cs="Times New Roman"/>
          <w:sz w:val="28"/>
          <w:szCs w:val="28"/>
          <w:lang w:val="en-US"/>
        </w:rPr>
        <w:t>i</w:t>
      </w:r>
      <w:r w:rsidR="00FC49B8">
        <w:rPr>
          <w:rFonts w:ascii="Times New Roman" w:hAnsi="Times New Roman" w:cs="Times New Roman"/>
          <w:sz w:val="28"/>
          <w:szCs w:val="28"/>
          <w:lang w:val="uk-UA"/>
        </w:rPr>
        <w:t xml:space="preserve">вняно з особами </w:t>
      </w:r>
      <w:r w:rsidR="00FC49B8">
        <w:rPr>
          <w:rFonts w:ascii="Times New Roman" w:hAnsi="Times New Roman" w:cs="Times New Roman"/>
          <w:sz w:val="28"/>
          <w:szCs w:val="28"/>
          <w:lang w:val="en-US"/>
        </w:rPr>
        <w:t>i</w:t>
      </w:r>
      <w:r w:rsidR="00090BE4">
        <w:rPr>
          <w:rFonts w:ascii="Times New Roman" w:hAnsi="Times New Roman" w:cs="Times New Roman"/>
          <w:sz w:val="28"/>
          <w:szCs w:val="28"/>
          <w:lang w:val="uk-UA"/>
        </w:rPr>
        <w:t>з категорією А2</w:t>
      </w:r>
      <w:r w:rsidRPr="008707FF">
        <w:rPr>
          <w:rFonts w:ascii="Times New Roman" w:hAnsi="Times New Roman" w:cs="Times New Roman"/>
          <w:sz w:val="28"/>
          <w:szCs w:val="28"/>
          <w:lang w:val="uk-UA"/>
        </w:rPr>
        <w:t xml:space="preserve"> констатовано </w:t>
      </w:r>
      <w:r w:rsidR="00FC49B8">
        <w:rPr>
          <w:rFonts w:ascii="Times New Roman" w:hAnsi="Times New Roman" w:cs="Times New Roman"/>
          <w:sz w:val="28"/>
          <w:szCs w:val="28"/>
          <w:lang w:val="uk-UA"/>
        </w:rPr>
        <w:t>достов</w:t>
      </w:r>
      <w:r w:rsidR="00FC49B8">
        <w:rPr>
          <w:rFonts w:ascii="Times New Roman" w:hAnsi="Times New Roman" w:cs="Times New Roman"/>
          <w:sz w:val="28"/>
          <w:szCs w:val="28"/>
          <w:lang w:val="en-US"/>
        </w:rPr>
        <w:t>i</w:t>
      </w:r>
      <w:r w:rsidR="00C6028B">
        <w:rPr>
          <w:rFonts w:ascii="Times New Roman" w:hAnsi="Times New Roman" w:cs="Times New Roman"/>
          <w:sz w:val="28"/>
          <w:szCs w:val="28"/>
          <w:lang w:val="uk-UA"/>
        </w:rPr>
        <w:t xml:space="preserve">рно </w:t>
      </w:r>
      <w:r w:rsidR="00FC49B8">
        <w:rPr>
          <w:rFonts w:ascii="Times New Roman" w:hAnsi="Times New Roman" w:cs="Times New Roman"/>
          <w:sz w:val="28"/>
          <w:szCs w:val="28"/>
          <w:lang w:val="uk-UA"/>
        </w:rPr>
        <w:t>вищ</w:t>
      </w:r>
      <w:r w:rsidR="00FC49B8">
        <w:rPr>
          <w:rFonts w:ascii="Times New Roman" w:hAnsi="Times New Roman" w:cs="Times New Roman"/>
          <w:sz w:val="28"/>
          <w:szCs w:val="28"/>
          <w:lang w:val="en-US"/>
        </w:rPr>
        <w:t>i</w:t>
      </w:r>
      <w:r w:rsidR="00C6028B">
        <w:rPr>
          <w:rFonts w:ascii="Times New Roman" w:hAnsi="Times New Roman" w:cs="Times New Roman"/>
          <w:sz w:val="28"/>
          <w:szCs w:val="28"/>
          <w:lang w:val="uk-UA"/>
        </w:rPr>
        <w:t xml:space="preserve"> (</w:t>
      </w:r>
      <w:r w:rsidR="00C6028B">
        <w:rPr>
          <w:rFonts w:ascii="Times New Roman" w:hAnsi="Times New Roman" w:cs="Times New Roman"/>
          <w:sz w:val="28"/>
          <w:szCs w:val="28"/>
          <w:lang w:val="en-US"/>
        </w:rPr>
        <w:t>p</w:t>
      </w:r>
      <w:r w:rsidR="00C6028B" w:rsidRPr="00C6028B">
        <w:rPr>
          <w:rFonts w:ascii="Times New Roman" w:hAnsi="Times New Roman" w:cs="Times New Roman"/>
          <w:sz w:val="28"/>
          <w:szCs w:val="28"/>
          <w:lang w:val="uk-UA"/>
        </w:rPr>
        <w:t xml:space="preserve"> </w:t>
      </w:r>
      <w:r w:rsidR="006145F0" w:rsidRPr="006145F0">
        <w:rPr>
          <w:rFonts w:ascii="Times New Roman" w:hAnsi="Times New Roman" w:cs="Times New Roman"/>
          <w:sz w:val="28"/>
          <w:szCs w:val="28"/>
          <w:lang w:val="uk-UA"/>
        </w:rPr>
        <w:t>&lt; 0,05)</w:t>
      </w:r>
      <w:r w:rsidRPr="008707FF">
        <w:rPr>
          <w:rFonts w:ascii="Times New Roman" w:hAnsi="Times New Roman" w:cs="Times New Roman"/>
          <w:sz w:val="28"/>
          <w:szCs w:val="28"/>
          <w:lang w:val="uk-UA"/>
        </w:rPr>
        <w:t xml:space="preserve"> значення ЗХС, </w:t>
      </w:r>
      <w:r w:rsidR="000766F8">
        <w:rPr>
          <w:rFonts w:ascii="Times New Roman" w:hAnsi="Times New Roman" w:cs="Times New Roman"/>
          <w:sz w:val="28"/>
          <w:szCs w:val="28"/>
          <w:lang w:val="uk-UA"/>
        </w:rPr>
        <w:t xml:space="preserve">ХС </w:t>
      </w:r>
      <w:r w:rsidRPr="008707FF">
        <w:rPr>
          <w:rFonts w:ascii="Times New Roman" w:hAnsi="Times New Roman" w:cs="Times New Roman"/>
          <w:sz w:val="28"/>
          <w:szCs w:val="28"/>
          <w:lang w:val="uk-UA"/>
        </w:rPr>
        <w:t xml:space="preserve">ЛПНЩ, </w:t>
      </w:r>
      <w:r w:rsidR="000766F8">
        <w:rPr>
          <w:rFonts w:ascii="Times New Roman" w:hAnsi="Times New Roman" w:cs="Times New Roman"/>
          <w:sz w:val="28"/>
          <w:szCs w:val="28"/>
          <w:lang w:val="uk-UA"/>
        </w:rPr>
        <w:t xml:space="preserve">ХС </w:t>
      </w:r>
      <w:r w:rsidRPr="008707FF">
        <w:rPr>
          <w:rFonts w:ascii="Times New Roman" w:hAnsi="Times New Roman" w:cs="Times New Roman"/>
          <w:sz w:val="28"/>
          <w:szCs w:val="28"/>
          <w:lang w:val="uk-UA"/>
        </w:rPr>
        <w:t xml:space="preserve">ЛПДНЩ, </w:t>
      </w:r>
      <w:r w:rsidR="00FC49B8">
        <w:rPr>
          <w:rFonts w:ascii="Times New Roman" w:hAnsi="Times New Roman" w:cs="Times New Roman"/>
          <w:sz w:val="28"/>
          <w:szCs w:val="28"/>
          <w:lang w:val="uk-UA"/>
        </w:rPr>
        <w:t>ТГ та нижч</w:t>
      </w:r>
      <w:r w:rsidR="00FC49B8">
        <w:rPr>
          <w:rFonts w:ascii="Times New Roman" w:hAnsi="Times New Roman" w:cs="Times New Roman"/>
          <w:sz w:val="28"/>
          <w:szCs w:val="28"/>
          <w:lang w:val="en-US"/>
        </w:rPr>
        <w:t>i</w:t>
      </w:r>
      <w:r w:rsidRPr="008707FF">
        <w:rPr>
          <w:rFonts w:ascii="Times New Roman" w:hAnsi="Times New Roman" w:cs="Times New Roman"/>
          <w:sz w:val="28"/>
          <w:szCs w:val="28"/>
          <w:lang w:val="uk-UA"/>
        </w:rPr>
        <w:t xml:space="preserve"> – </w:t>
      </w:r>
      <w:r w:rsidR="000766F8">
        <w:rPr>
          <w:rFonts w:ascii="Times New Roman" w:hAnsi="Times New Roman" w:cs="Times New Roman"/>
          <w:sz w:val="28"/>
          <w:szCs w:val="28"/>
          <w:lang w:val="uk-UA"/>
        </w:rPr>
        <w:t xml:space="preserve">ХС </w:t>
      </w:r>
      <w:r w:rsidRPr="008707FF">
        <w:rPr>
          <w:rFonts w:ascii="Times New Roman" w:hAnsi="Times New Roman" w:cs="Times New Roman"/>
          <w:sz w:val="28"/>
          <w:szCs w:val="28"/>
          <w:lang w:val="uk-UA"/>
        </w:rPr>
        <w:t>ЛПВЩ</w:t>
      </w:r>
      <w:r w:rsidR="007F25DA">
        <w:rPr>
          <w:rFonts w:ascii="Times New Roman" w:hAnsi="Times New Roman" w:cs="Times New Roman"/>
          <w:sz w:val="28"/>
          <w:szCs w:val="28"/>
          <w:lang w:val="uk-UA"/>
        </w:rPr>
        <w:t xml:space="preserve">. </w:t>
      </w:r>
      <w:r w:rsidR="00FF4494">
        <w:rPr>
          <w:rFonts w:ascii="Times New Roman" w:hAnsi="Times New Roman" w:cs="Times New Roman"/>
          <w:sz w:val="28"/>
          <w:szCs w:val="28"/>
          <w:lang w:val="uk-UA"/>
        </w:rPr>
        <w:t>У хворих</w:t>
      </w:r>
      <w:r w:rsidR="00FC49B8">
        <w:rPr>
          <w:rFonts w:ascii="Times New Roman" w:hAnsi="Times New Roman" w:cs="Times New Roman"/>
          <w:sz w:val="28"/>
          <w:szCs w:val="28"/>
          <w:lang w:val="uk-UA"/>
        </w:rPr>
        <w:t xml:space="preserve"> </w:t>
      </w:r>
      <w:r w:rsidR="00FC49B8">
        <w:rPr>
          <w:rFonts w:ascii="Times New Roman" w:hAnsi="Times New Roman" w:cs="Times New Roman"/>
          <w:sz w:val="28"/>
          <w:szCs w:val="28"/>
          <w:lang w:val="en-US"/>
        </w:rPr>
        <w:t>i</w:t>
      </w:r>
      <w:r w:rsidR="00090BE4">
        <w:rPr>
          <w:rFonts w:ascii="Times New Roman" w:hAnsi="Times New Roman" w:cs="Times New Roman"/>
          <w:sz w:val="28"/>
          <w:szCs w:val="28"/>
          <w:lang w:val="uk-UA"/>
        </w:rPr>
        <w:t>з категорією А2</w:t>
      </w:r>
      <w:r w:rsidRPr="008707FF">
        <w:rPr>
          <w:rFonts w:ascii="Times New Roman" w:hAnsi="Times New Roman" w:cs="Times New Roman"/>
          <w:sz w:val="28"/>
          <w:szCs w:val="28"/>
          <w:lang w:val="uk-UA"/>
        </w:rPr>
        <w:t xml:space="preserve"> виявлено </w:t>
      </w:r>
      <w:r w:rsidR="00FC49B8">
        <w:rPr>
          <w:rFonts w:ascii="Times New Roman" w:hAnsi="Times New Roman" w:cs="Times New Roman"/>
          <w:sz w:val="28"/>
          <w:szCs w:val="28"/>
          <w:lang w:val="uk-UA"/>
        </w:rPr>
        <w:t>достов</w:t>
      </w:r>
      <w:r w:rsidR="00FC49B8">
        <w:rPr>
          <w:rFonts w:ascii="Times New Roman" w:hAnsi="Times New Roman" w:cs="Times New Roman"/>
          <w:sz w:val="28"/>
          <w:szCs w:val="28"/>
          <w:lang w:val="en-US"/>
        </w:rPr>
        <w:t>i</w:t>
      </w:r>
      <w:r w:rsidR="006145F0">
        <w:rPr>
          <w:rFonts w:ascii="Times New Roman" w:hAnsi="Times New Roman" w:cs="Times New Roman"/>
          <w:sz w:val="28"/>
          <w:szCs w:val="28"/>
          <w:lang w:val="uk-UA"/>
        </w:rPr>
        <w:t xml:space="preserve">рно </w:t>
      </w:r>
      <w:r w:rsidR="00FC49B8">
        <w:rPr>
          <w:rFonts w:ascii="Times New Roman" w:hAnsi="Times New Roman" w:cs="Times New Roman"/>
          <w:sz w:val="28"/>
          <w:szCs w:val="28"/>
          <w:lang w:val="uk-UA"/>
        </w:rPr>
        <w:t>вищ</w:t>
      </w:r>
      <w:r w:rsidR="00FC49B8">
        <w:rPr>
          <w:rFonts w:ascii="Times New Roman" w:hAnsi="Times New Roman" w:cs="Times New Roman"/>
          <w:sz w:val="28"/>
          <w:szCs w:val="28"/>
          <w:lang w:val="en-US"/>
        </w:rPr>
        <w:t>i</w:t>
      </w:r>
      <w:r w:rsidRPr="008707FF">
        <w:rPr>
          <w:rFonts w:ascii="Times New Roman" w:hAnsi="Times New Roman" w:cs="Times New Roman"/>
          <w:sz w:val="28"/>
          <w:szCs w:val="28"/>
          <w:lang w:val="uk-UA"/>
        </w:rPr>
        <w:t xml:space="preserve"> зна</w:t>
      </w:r>
      <w:r w:rsidR="00FC49B8">
        <w:rPr>
          <w:rFonts w:ascii="Times New Roman" w:hAnsi="Times New Roman" w:cs="Times New Roman"/>
          <w:sz w:val="28"/>
          <w:szCs w:val="28"/>
          <w:lang w:val="uk-UA"/>
        </w:rPr>
        <w:t>чення атерогенних л</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попротеїд</w:t>
      </w:r>
      <w:r w:rsidR="00FC49B8">
        <w:rPr>
          <w:rFonts w:ascii="Times New Roman" w:hAnsi="Times New Roman" w:cs="Times New Roman"/>
          <w:sz w:val="28"/>
          <w:szCs w:val="28"/>
          <w:lang w:val="en-US"/>
        </w:rPr>
        <w:t>i</w:t>
      </w:r>
      <w:r w:rsidR="008B620F">
        <w:rPr>
          <w:rFonts w:ascii="Times New Roman" w:hAnsi="Times New Roman" w:cs="Times New Roman"/>
          <w:sz w:val="28"/>
          <w:szCs w:val="28"/>
          <w:lang w:val="uk-UA"/>
        </w:rPr>
        <w:t>в</w:t>
      </w:r>
      <w:r w:rsidR="00FC49B8">
        <w:rPr>
          <w:rFonts w:ascii="Times New Roman" w:hAnsi="Times New Roman" w:cs="Times New Roman"/>
          <w:sz w:val="28"/>
          <w:szCs w:val="28"/>
          <w:lang w:val="uk-UA"/>
        </w:rPr>
        <w:t xml:space="preserve"> та нижч</w:t>
      </w:r>
      <w:r w:rsidR="00FC49B8">
        <w:rPr>
          <w:rFonts w:ascii="Times New Roman" w:hAnsi="Times New Roman" w:cs="Times New Roman"/>
          <w:sz w:val="28"/>
          <w:szCs w:val="28"/>
          <w:lang w:val="en-US"/>
        </w:rPr>
        <w:t>i</w:t>
      </w:r>
      <w:r w:rsidRPr="008707FF">
        <w:rPr>
          <w:rFonts w:ascii="Times New Roman" w:hAnsi="Times New Roman" w:cs="Times New Roman"/>
          <w:sz w:val="28"/>
          <w:szCs w:val="28"/>
          <w:lang w:val="uk-UA"/>
        </w:rPr>
        <w:t xml:space="preserve"> – антиатерог</w:t>
      </w:r>
      <w:r w:rsidR="006145F0">
        <w:rPr>
          <w:rFonts w:ascii="Times New Roman" w:hAnsi="Times New Roman" w:cs="Times New Roman"/>
          <w:sz w:val="28"/>
          <w:szCs w:val="28"/>
          <w:lang w:val="uk-UA"/>
        </w:rPr>
        <w:t xml:space="preserve">енних </w:t>
      </w:r>
      <w:r w:rsidR="006145F0" w:rsidRPr="006145F0">
        <w:rPr>
          <w:rFonts w:ascii="Times New Roman" w:hAnsi="Times New Roman" w:cs="Times New Roman"/>
          <w:sz w:val="28"/>
          <w:szCs w:val="28"/>
          <w:lang w:val="uk-UA"/>
        </w:rPr>
        <w:t>(p &lt; 0,05)</w:t>
      </w:r>
      <w:r w:rsidR="00FC49B8">
        <w:rPr>
          <w:rFonts w:ascii="Times New Roman" w:hAnsi="Times New Roman" w:cs="Times New Roman"/>
          <w:sz w:val="28"/>
          <w:szCs w:val="28"/>
          <w:lang w:val="uk-UA"/>
        </w:rPr>
        <w:t>, н</w:t>
      </w:r>
      <w:r w:rsidR="00FC49B8">
        <w:rPr>
          <w:rFonts w:ascii="Times New Roman" w:hAnsi="Times New Roman" w:cs="Times New Roman"/>
          <w:sz w:val="28"/>
          <w:szCs w:val="28"/>
          <w:lang w:val="en-US"/>
        </w:rPr>
        <w:t>i</w:t>
      </w:r>
      <w:r w:rsidR="00FF4494">
        <w:rPr>
          <w:rFonts w:ascii="Times New Roman" w:hAnsi="Times New Roman" w:cs="Times New Roman"/>
          <w:sz w:val="28"/>
          <w:szCs w:val="28"/>
          <w:lang w:val="uk-UA"/>
        </w:rPr>
        <w:t>ж у обстежених</w:t>
      </w:r>
      <w:r w:rsidR="00FC49B8">
        <w:rPr>
          <w:rFonts w:ascii="Times New Roman" w:hAnsi="Times New Roman" w:cs="Times New Roman"/>
          <w:sz w:val="28"/>
          <w:szCs w:val="28"/>
          <w:lang w:val="uk-UA"/>
        </w:rPr>
        <w:t xml:space="preserve"> </w:t>
      </w:r>
      <w:r w:rsidR="00FC49B8">
        <w:rPr>
          <w:rFonts w:ascii="Times New Roman" w:hAnsi="Times New Roman" w:cs="Times New Roman"/>
          <w:sz w:val="28"/>
          <w:szCs w:val="28"/>
          <w:lang w:val="en-US"/>
        </w:rPr>
        <w:t>i</w:t>
      </w:r>
      <w:r w:rsidR="00FF4494">
        <w:rPr>
          <w:rFonts w:ascii="Times New Roman" w:hAnsi="Times New Roman" w:cs="Times New Roman"/>
          <w:sz w:val="28"/>
          <w:szCs w:val="28"/>
          <w:lang w:val="uk-UA"/>
        </w:rPr>
        <w:t>з категорією А1</w:t>
      </w:r>
      <w:r w:rsidRPr="008707FF">
        <w:rPr>
          <w:rFonts w:ascii="Times New Roman" w:hAnsi="Times New Roman" w:cs="Times New Roman"/>
          <w:sz w:val="28"/>
          <w:szCs w:val="28"/>
          <w:lang w:val="uk-UA"/>
        </w:rPr>
        <w:t>.</w:t>
      </w:r>
      <w:r w:rsidR="00AD1D12" w:rsidRPr="007F154B">
        <w:rPr>
          <w:rFonts w:ascii="Times New Roman" w:hAnsi="Times New Roman" w:cs="Times New Roman"/>
          <w:sz w:val="28"/>
          <w:szCs w:val="28"/>
        </w:rPr>
        <w:t xml:space="preserve"> </w:t>
      </w:r>
    </w:p>
    <w:p w:rsidR="00AD1D12" w:rsidRPr="00AD1D12" w:rsidRDefault="00AD1D12" w:rsidP="00A0016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Ступінь альбумінурії зростав пропорційно до підвищення вмісту ЗХС, атерогенних ліпопротеїдів, зниження – антиатерогенних.</w:t>
      </w:r>
    </w:p>
    <w:p w:rsidR="0039775C" w:rsidRPr="00097821" w:rsidRDefault="00FC49B8" w:rsidP="0009782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вир</w:t>
      </w:r>
      <w:r>
        <w:rPr>
          <w:rFonts w:ascii="Times New Roman" w:hAnsi="Times New Roman" w:cs="Times New Roman"/>
          <w:sz w:val="28"/>
          <w:szCs w:val="28"/>
          <w:lang w:val="en-US"/>
        </w:rPr>
        <w:t>i</w:t>
      </w:r>
      <w:r>
        <w:rPr>
          <w:rFonts w:ascii="Times New Roman" w:hAnsi="Times New Roman" w:cs="Times New Roman"/>
          <w:sz w:val="28"/>
          <w:szCs w:val="28"/>
          <w:lang w:val="uk-UA"/>
        </w:rPr>
        <w:t>шили досл</w:t>
      </w:r>
      <w:r>
        <w:rPr>
          <w:rFonts w:ascii="Times New Roman" w:hAnsi="Times New Roman" w:cs="Times New Roman"/>
          <w:sz w:val="28"/>
          <w:szCs w:val="28"/>
          <w:lang w:val="en-US"/>
        </w:rPr>
        <w:t>i</w:t>
      </w:r>
      <w:r>
        <w:rPr>
          <w:rFonts w:ascii="Times New Roman" w:hAnsi="Times New Roman" w:cs="Times New Roman"/>
          <w:sz w:val="28"/>
          <w:szCs w:val="28"/>
          <w:lang w:val="uk-UA"/>
        </w:rPr>
        <w:t>дити кореляц</w:t>
      </w:r>
      <w:r>
        <w:rPr>
          <w:rFonts w:ascii="Times New Roman" w:hAnsi="Times New Roman" w:cs="Times New Roman"/>
          <w:sz w:val="28"/>
          <w:szCs w:val="28"/>
          <w:lang w:val="en-US"/>
        </w:rPr>
        <w:t>i</w:t>
      </w:r>
      <w:r>
        <w:rPr>
          <w:rFonts w:ascii="Times New Roman" w:hAnsi="Times New Roman" w:cs="Times New Roman"/>
          <w:sz w:val="28"/>
          <w:szCs w:val="28"/>
          <w:lang w:val="uk-UA"/>
        </w:rPr>
        <w:t>йн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зв’язки 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ж </w:t>
      </w:r>
      <w:r w:rsidR="00633A5C">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атерогенних л</w:t>
      </w:r>
      <w:r>
        <w:rPr>
          <w:rFonts w:ascii="Times New Roman" w:hAnsi="Times New Roman" w:cs="Times New Roman"/>
          <w:sz w:val="28"/>
          <w:szCs w:val="28"/>
          <w:lang w:val="en-US"/>
        </w:rPr>
        <w:t>i</w:t>
      </w:r>
      <w:r>
        <w:rPr>
          <w:rFonts w:ascii="Times New Roman" w:hAnsi="Times New Roman" w:cs="Times New Roman"/>
          <w:sz w:val="28"/>
          <w:szCs w:val="28"/>
          <w:lang w:val="uk-UA"/>
        </w:rPr>
        <w:t>попротеїд</w:t>
      </w:r>
      <w:r>
        <w:rPr>
          <w:rFonts w:ascii="Times New Roman" w:hAnsi="Times New Roman" w:cs="Times New Roman"/>
          <w:sz w:val="28"/>
          <w:szCs w:val="28"/>
          <w:lang w:val="en-US"/>
        </w:rPr>
        <w:t>i</w:t>
      </w:r>
      <w:r w:rsidR="00581A3F">
        <w:rPr>
          <w:rFonts w:ascii="Times New Roman" w:hAnsi="Times New Roman" w:cs="Times New Roman"/>
          <w:sz w:val="28"/>
          <w:szCs w:val="28"/>
          <w:lang w:val="uk-UA"/>
        </w:rPr>
        <w:t>в та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581A3F">
        <w:rPr>
          <w:rFonts w:ascii="Times New Roman" w:hAnsi="Times New Roman" w:cs="Times New Roman"/>
          <w:sz w:val="28"/>
          <w:szCs w:val="28"/>
          <w:lang w:val="uk-UA"/>
        </w:rPr>
        <w:t>дношенням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 до креатин</w:t>
      </w:r>
      <w:r>
        <w:rPr>
          <w:rFonts w:ascii="Times New Roman" w:hAnsi="Times New Roman" w:cs="Times New Roman"/>
          <w:sz w:val="28"/>
          <w:szCs w:val="28"/>
          <w:lang w:val="en-US"/>
        </w:rPr>
        <w:t>i</w:t>
      </w:r>
      <w:r>
        <w:rPr>
          <w:rFonts w:ascii="Times New Roman" w:hAnsi="Times New Roman" w:cs="Times New Roman"/>
          <w:sz w:val="28"/>
          <w:szCs w:val="28"/>
          <w:lang w:val="uk-UA"/>
        </w:rPr>
        <w:t>ну в сеч</w:t>
      </w:r>
      <w:r>
        <w:rPr>
          <w:rFonts w:ascii="Times New Roman" w:hAnsi="Times New Roman" w:cs="Times New Roman"/>
          <w:sz w:val="28"/>
          <w:szCs w:val="28"/>
          <w:lang w:val="en-US"/>
        </w:rPr>
        <w:t>i</w:t>
      </w:r>
      <w:r w:rsidR="003941A5">
        <w:rPr>
          <w:rFonts w:ascii="Times New Roman" w:hAnsi="Times New Roman" w:cs="Times New Roman"/>
          <w:sz w:val="28"/>
          <w:szCs w:val="28"/>
          <w:lang w:val="uk-UA"/>
        </w:rPr>
        <w:t xml:space="preserve"> (рис. 4</w:t>
      </w:r>
      <w:r w:rsidR="00F90D18">
        <w:rPr>
          <w:rFonts w:ascii="Times New Roman" w:hAnsi="Times New Roman" w:cs="Times New Roman"/>
          <w:sz w:val="28"/>
          <w:szCs w:val="28"/>
          <w:lang w:val="uk-UA"/>
        </w:rPr>
        <w:t>.2</w:t>
      </w:r>
      <w:r w:rsidR="008B77A1" w:rsidRPr="008B77A1">
        <w:rPr>
          <w:rFonts w:ascii="Times New Roman" w:hAnsi="Times New Roman" w:cs="Times New Roman"/>
          <w:sz w:val="28"/>
          <w:szCs w:val="28"/>
          <w:lang w:val="uk-UA"/>
        </w:rPr>
        <w:t>.1</w:t>
      </w:r>
      <w:r w:rsidR="00581A3F">
        <w:rPr>
          <w:rFonts w:ascii="Times New Roman" w:hAnsi="Times New Roman" w:cs="Times New Roman"/>
          <w:sz w:val="28"/>
          <w:szCs w:val="28"/>
          <w:lang w:val="uk-UA"/>
        </w:rPr>
        <w:t>)</w:t>
      </w:r>
      <w:r w:rsidR="003941A5">
        <w:rPr>
          <w:rFonts w:ascii="Times New Roman" w:hAnsi="Times New Roman" w:cs="Times New Roman"/>
          <w:sz w:val="28"/>
          <w:szCs w:val="28"/>
          <w:lang w:val="uk-UA"/>
        </w:rPr>
        <w:t>.</w:t>
      </w:r>
    </w:p>
    <w:p w:rsidR="0003443E" w:rsidRPr="0003443E" w:rsidRDefault="0003443E" w:rsidP="0039775C">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5C09A86F" wp14:editId="798F9013">
            <wp:extent cx="6005689" cy="3499555"/>
            <wp:effectExtent l="0" t="0" r="14605" b="247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81A3F" w:rsidRPr="00F90D18" w:rsidRDefault="003941A5" w:rsidP="008B620F">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F90D18">
        <w:rPr>
          <w:rFonts w:ascii="Times New Roman" w:hAnsi="Times New Roman" w:cs="Times New Roman"/>
          <w:sz w:val="28"/>
          <w:szCs w:val="28"/>
          <w:lang w:val="uk-UA"/>
        </w:rPr>
        <w:t>.</w:t>
      </w:r>
      <w:r>
        <w:rPr>
          <w:rFonts w:ascii="Times New Roman" w:hAnsi="Times New Roman" w:cs="Times New Roman"/>
          <w:sz w:val="28"/>
          <w:szCs w:val="28"/>
          <w:lang w:val="uk-UA"/>
        </w:rPr>
        <w:t xml:space="preserve"> 4</w:t>
      </w:r>
      <w:r w:rsidR="00F90D18">
        <w:rPr>
          <w:rFonts w:ascii="Times New Roman" w:hAnsi="Times New Roman" w:cs="Times New Roman"/>
          <w:sz w:val="28"/>
          <w:szCs w:val="28"/>
          <w:lang w:val="uk-UA"/>
        </w:rPr>
        <w:t>.2</w:t>
      </w:r>
      <w:r w:rsidR="008B77A1" w:rsidRPr="008B77A1">
        <w:rPr>
          <w:rFonts w:ascii="Times New Roman" w:hAnsi="Times New Roman" w:cs="Times New Roman"/>
          <w:sz w:val="28"/>
          <w:szCs w:val="28"/>
          <w:lang w:val="uk-UA"/>
        </w:rPr>
        <w:t>.1</w:t>
      </w:r>
      <w:r w:rsidR="00F90D18">
        <w:rPr>
          <w:rFonts w:ascii="Times New Roman" w:hAnsi="Times New Roman" w:cs="Times New Roman"/>
          <w:sz w:val="28"/>
          <w:szCs w:val="28"/>
          <w:lang w:val="uk-UA"/>
        </w:rPr>
        <w:t xml:space="preserve"> – З</w:t>
      </w:r>
      <w:r w:rsidR="00FC49B8">
        <w:rPr>
          <w:rFonts w:ascii="Times New Roman" w:hAnsi="Times New Roman" w:cs="Times New Roman"/>
          <w:sz w:val="28"/>
          <w:szCs w:val="28"/>
          <w:lang w:val="uk-UA"/>
        </w:rPr>
        <w:t>алежн</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сть м</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 xml:space="preserve">ж </w:t>
      </w:r>
      <w:r w:rsidR="00F90D18">
        <w:rPr>
          <w:rFonts w:ascii="Times New Roman" w:hAnsi="Times New Roman" w:cs="Times New Roman"/>
          <w:sz w:val="28"/>
          <w:szCs w:val="28"/>
          <w:lang w:val="uk-UA"/>
        </w:rPr>
        <w:t xml:space="preserve">вмістом </w:t>
      </w:r>
      <w:r w:rsidR="00DF103D">
        <w:rPr>
          <w:rFonts w:ascii="Times New Roman" w:hAnsi="Times New Roman" w:cs="Times New Roman"/>
          <w:sz w:val="28"/>
          <w:szCs w:val="28"/>
          <w:lang w:val="uk-UA"/>
        </w:rPr>
        <w:t xml:space="preserve">холестерину </w:t>
      </w:r>
      <w:r w:rsidR="00FC49B8">
        <w:rPr>
          <w:rFonts w:ascii="Times New Roman" w:hAnsi="Times New Roman" w:cs="Times New Roman"/>
          <w:sz w:val="28"/>
          <w:szCs w:val="28"/>
          <w:lang w:val="uk-UA"/>
        </w:rPr>
        <w:t>л</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попротеїд</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в низької щ</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льност</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 xml:space="preserve"> та сп</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вв</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дношенням альбум</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ну до креатин</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ну в сеч</w:t>
      </w:r>
      <w:r w:rsidR="00FC49B8">
        <w:rPr>
          <w:rFonts w:ascii="Times New Roman" w:hAnsi="Times New Roman" w:cs="Times New Roman"/>
          <w:sz w:val="28"/>
          <w:szCs w:val="28"/>
          <w:lang w:val="en-US"/>
        </w:rPr>
        <w:t>i</w:t>
      </w:r>
      <w:r w:rsidR="00F90D18">
        <w:rPr>
          <w:rFonts w:ascii="Times New Roman" w:hAnsi="Times New Roman" w:cs="Times New Roman"/>
          <w:sz w:val="28"/>
          <w:szCs w:val="28"/>
          <w:lang w:val="uk-UA"/>
        </w:rPr>
        <w:t xml:space="preserve"> хворих І групи</w:t>
      </w:r>
    </w:p>
    <w:p w:rsidR="00D8711A" w:rsidRDefault="00D8711A" w:rsidP="00D8711A">
      <w:pPr>
        <w:autoSpaceDE w:val="0"/>
        <w:autoSpaceDN w:val="0"/>
        <w:adjustRightInd w:val="0"/>
        <w:spacing w:after="0" w:line="360" w:lineRule="auto"/>
        <w:ind w:firstLine="708"/>
        <w:jc w:val="both"/>
        <w:rPr>
          <w:rFonts w:ascii="Times New Roman" w:hAnsi="Times New Roman" w:cs="Times New Roman"/>
          <w:sz w:val="28"/>
          <w:szCs w:val="28"/>
          <w:lang w:val="uk-UA"/>
        </w:rPr>
      </w:pPr>
    </w:p>
    <w:p w:rsidR="00D8711A" w:rsidRPr="005F440F" w:rsidRDefault="008B620F" w:rsidP="00D8711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C49B8">
        <w:rPr>
          <w:rFonts w:ascii="Times New Roman" w:hAnsi="Times New Roman" w:cs="Times New Roman"/>
          <w:sz w:val="28"/>
          <w:szCs w:val="28"/>
          <w:lang w:val="uk-UA"/>
        </w:rPr>
        <w:t>становлено достов</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рн</w:t>
      </w:r>
      <w:r w:rsidR="00FC49B8">
        <w:rPr>
          <w:rFonts w:ascii="Times New Roman" w:hAnsi="Times New Roman" w:cs="Times New Roman"/>
          <w:sz w:val="28"/>
          <w:szCs w:val="28"/>
          <w:lang w:val="en-US"/>
        </w:rPr>
        <w:t>y</w:t>
      </w:r>
      <w:r w:rsidR="00D8711A">
        <w:rPr>
          <w:rFonts w:ascii="Times New Roman" w:hAnsi="Times New Roman" w:cs="Times New Roman"/>
          <w:sz w:val="28"/>
          <w:szCs w:val="28"/>
          <w:lang w:val="uk-UA"/>
        </w:rPr>
        <w:t xml:space="preserve"> позитивн</w:t>
      </w:r>
      <w:r w:rsidR="00FC49B8">
        <w:rPr>
          <w:rFonts w:ascii="Times New Roman" w:hAnsi="Times New Roman" w:cs="Times New Roman"/>
          <w:sz w:val="28"/>
          <w:szCs w:val="28"/>
          <w:lang w:val="uk-UA"/>
        </w:rPr>
        <w:t>у залежн</w:t>
      </w:r>
      <w:r w:rsidR="00FC49B8">
        <w:rPr>
          <w:rFonts w:ascii="Times New Roman" w:hAnsi="Times New Roman" w:cs="Times New Roman"/>
          <w:sz w:val="28"/>
          <w:szCs w:val="28"/>
          <w:lang w:val="en-US"/>
        </w:rPr>
        <w:t>i</w:t>
      </w:r>
      <w:r w:rsidR="00A22531">
        <w:rPr>
          <w:rFonts w:ascii="Times New Roman" w:hAnsi="Times New Roman" w:cs="Times New Roman"/>
          <w:sz w:val="28"/>
          <w:szCs w:val="28"/>
          <w:lang w:val="uk-UA"/>
        </w:rPr>
        <w:t>сть</w:t>
      </w:r>
      <w:r w:rsidR="00FC49B8">
        <w:rPr>
          <w:rFonts w:ascii="Times New Roman" w:hAnsi="Times New Roman" w:cs="Times New Roman"/>
          <w:sz w:val="28"/>
          <w:szCs w:val="28"/>
          <w:lang w:val="uk-UA"/>
        </w:rPr>
        <w:t xml:space="preserve"> м</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ж сп</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вв</w:t>
      </w:r>
      <w:r w:rsidR="00FC49B8">
        <w:rPr>
          <w:rFonts w:ascii="Times New Roman" w:hAnsi="Times New Roman" w:cs="Times New Roman"/>
          <w:sz w:val="28"/>
          <w:szCs w:val="28"/>
          <w:lang w:val="en-US"/>
        </w:rPr>
        <w:t>i</w:t>
      </w:r>
      <w:r w:rsidR="00D8711A">
        <w:rPr>
          <w:rFonts w:ascii="Times New Roman" w:hAnsi="Times New Roman" w:cs="Times New Roman"/>
          <w:sz w:val="28"/>
          <w:szCs w:val="28"/>
          <w:lang w:val="uk-UA"/>
        </w:rPr>
        <w:t>д</w:t>
      </w:r>
      <w:r w:rsidR="00FC49B8">
        <w:rPr>
          <w:rFonts w:ascii="Times New Roman" w:hAnsi="Times New Roman" w:cs="Times New Roman"/>
          <w:sz w:val="28"/>
          <w:szCs w:val="28"/>
          <w:lang w:val="uk-UA"/>
        </w:rPr>
        <w:t>ношення</w:t>
      </w:r>
      <w:r w:rsidR="00DF103D">
        <w:rPr>
          <w:rFonts w:ascii="Times New Roman" w:hAnsi="Times New Roman" w:cs="Times New Roman"/>
          <w:sz w:val="28"/>
          <w:szCs w:val="28"/>
          <w:lang w:val="uk-UA"/>
        </w:rPr>
        <w:t>м</w:t>
      </w:r>
      <w:r w:rsidR="00FC49B8">
        <w:rPr>
          <w:rFonts w:ascii="Times New Roman" w:hAnsi="Times New Roman" w:cs="Times New Roman"/>
          <w:sz w:val="28"/>
          <w:szCs w:val="28"/>
          <w:lang w:val="uk-UA"/>
        </w:rPr>
        <w:t xml:space="preserve"> альбум</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ну до креатин</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ну в сеч</w:t>
      </w:r>
      <w:r w:rsidR="00FC49B8">
        <w:rPr>
          <w:rFonts w:ascii="Times New Roman" w:hAnsi="Times New Roman" w:cs="Times New Roman"/>
          <w:sz w:val="28"/>
          <w:szCs w:val="28"/>
          <w:lang w:val="en-US"/>
        </w:rPr>
        <w:t>i</w:t>
      </w:r>
      <w:r w:rsidR="00D8711A">
        <w:rPr>
          <w:rFonts w:ascii="Times New Roman" w:hAnsi="Times New Roman" w:cs="Times New Roman"/>
          <w:sz w:val="28"/>
          <w:szCs w:val="28"/>
          <w:lang w:val="uk-UA"/>
        </w:rPr>
        <w:t xml:space="preserve"> </w:t>
      </w:r>
      <w:r w:rsidR="003B104F">
        <w:rPr>
          <w:rFonts w:ascii="Times New Roman" w:hAnsi="Times New Roman" w:cs="Times New Roman"/>
          <w:sz w:val="28"/>
          <w:szCs w:val="28"/>
          <w:lang w:val="uk-UA"/>
        </w:rPr>
        <w:t xml:space="preserve">та </w:t>
      </w:r>
      <w:r w:rsidR="00DF103D">
        <w:rPr>
          <w:rFonts w:ascii="Times New Roman" w:hAnsi="Times New Roman" w:cs="Times New Roman"/>
          <w:sz w:val="28"/>
          <w:szCs w:val="28"/>
          <w:lang w:val="uk-UA"/>
        </w:rPr>
        <w:t xml:space="preserve">вмістом ХС </w:t>
      </w:r>
      <w:r w:rsidR="00097821">
        <w:rPr>
          <w:rFonts w:ascii="Times New Roman" w:hAnsi="Times New Roman" w:cs="Times New Roman"/>
          <w:sz w:val="28"/>
          <w:szCs w:val="28"/>
          <w:lang w:val="uk-UA"/>
        </w:rPr>
        <w:t>ЛПНЩ (r = 0,2; p = 0,0</w:t>
      </w:r>
      <w:r w:rsidR="00097821" w:rsidRPr="00097821">
        <w:rPr>
          <w:rFonts w:ascii="Times New Roman" w:hAnsi="Times New Roman" w:cs="Times New Roman"/>
          <w:sz w:val="28"/>
          <w:szCs w:val="28"/>
          <w:lang w:val="uk-UA"/>
        </w:rPr>
        <w:t>495</w:t>
      </w:r>
      <w:r w:rsidR="00B67BE7">
        <w:rPr>
          <w:rFonts w:ascii="Times New Roman" w:hAnsi="Times New Roman" w:cs="Times New Roman"/>
          <w:sz w:val="28"/>
          <w:szCs w:val="28"/>
          <w:lang w:val="uk-UA"/>
        </w:rPr>
        <w:t>). Виявлено не достовірний звʼязок</w:t>
      </w:r>
      <w:r w:rsidR="00FC49B8">
        <w:rPr>
          <w:rFonts w:ascii="Times New Roman" w:hAnsi="Times New Roman" w:cs="Times New Roman"/>
          <w:sz w:val="28"/>
          <w:szCs w:val="28"/>
          <w:lang w:val="uk-UA"/>
        </w:rPr>
        <w:t xml:space="preserve"> м</w:t>
      </w:r>
      <w:r w:rsidR="00FC49B8">
        <w:rPr>
          <w:rFonts w:ascii="Times New Roman" w:hAnsi="Times New Roman" w:cs="Times New Roman"/>
          <w:sz w:val="28"/>
          <w:szCs w:val="28"/>
          <w:lang w:val="en-US"/>
        </w:rPr>
        <w:t>i</w:t>
      </w:r>
      <w:r w:rsidR="00DF103D">
        <w:rPr>
          <w:rFonts w:ascii="Times New Roman" w:hAnsi="Times New Roman" w:cs="Times New Roman"/>
          <w:sz w:val="28"/>
          <w:szCs w:val="28"/>
          <w:lang w:val="uk-UA"/>
        </w:rPr>
        <w:t>ж</w:t>
      </w:r>
      <w:r w:rsidR="00FC49B8">
        <w:rPr>
          <w:rFonts w:ascii="Times New Roman" w:hAnsi="Times New Roman" w:cs="Times New Roman"/>
          <w:sz w:val="28"/>
          <w:szCs w:val="28"/>
          <w:lang w:val="uk-UA"/>
        </w:rPr>
        <w:t xml:space="preserve"> сп</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вв</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дношення</w:t>
      </w:r>
      <w:r w:rsidR="00DF103D">
        <w:rPr>
          <w:rFonts w:ascii="Times New Roman" w:hAnsi="Times New Roman" w:cs="Times New Roman"/>
          <w:sz w:val="28"/>
          <w:szCs w:val="28"/>
          <w:lang w:val="uk-UA"/>
        </w:rPr>
        <w:t>м</w:t>
      </w:r>
      <w:r w:rsidR="00FC49B8">
        <w:rPr>
          <w:rFonts w:ascii="Times New Roman" w:hAnsi="Times New Roman" w:cs="Times New Roman"/>
          <w:sz w:val="28"/>
          <w:szCs w:val="28"/>
          <w:lang w:val="uk-UA"/>
        </w:rPr>
        <w:t xml:space="preserve"> альбум</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 xml:space="preserve">ну </w:t>
      </w:r>
      <w:r w:rsidR="00102C5B">
        <w:rPr>
          <w:rFonts w:ascii="Times New Roman" w:hAnsi="Times New Roman" w:cs="Times New Roman"/>
          <w:sz w:val="28"/>
          <w:szCs w:val="28"/>
          <w:lang w:val="uk-UA"/>
        </w:rPr>
        <w:t xml:space="preserve">                  </w:t>
      </w:r>
      <w:r w:rsidR="00FC49B8">
        <w:rPr>
          <w:rFonts w:ascii="Times New Roman" w:hAnsi="Times New Roman" w:cs="Times New Roman"/>
          <w:sz w:val="28"/>
          <w:szCs w:val="28"/>
          <w:lang w:val="uk-UA"/>
        </w:rPr>
        <w:t>до креатин</w:t>
      </w:r>
      <w:r w:rsidR="00FC49B8">
        <w:rPr>
          <w:rFonts w:ascii="Times New Roman" w:hAnsi="Times New Roman" w:cs="Times New Roman"/>
          <w:sz w:val="28"/>
          <w:szCs w:val="28"/>
          <w:lang w:val="en-US"/>
        </w:rPr>
        <w:t>i</w:t>
      </w:r>
      <w:r w:rsidR="00FC49B8">
        <w:rPr>
          <w:rFonts w:ascii="Times New Roman" w:hAnsi="Times New Roman" w:cs="Times New Roman"/>
          <w:sz w:val="28"/>
          <w:szCs w:val="28"/>
          <w:lang w:val="uk-UA"/>
        </w:rPr>
        <w:t>ну в сеч</w:t>
      </w:r>
      <w:r w:rsidR="00FC49B8">
        <w:rPr>
          <w:rFonts w:ascii="Times New Roman" w:hAnsi="Times New Roman" w:cs="Times New Roman"/>
          <w:sz w:val="28"/>
          <w:szCs w:val="28"/>
          <w:lang w:val="en-US"/>
        </w:rPr>
        <w:t>i</w:t>
      </w:r>
      <w:r w:rsidR="00DF103D">
        <w:rPr>
          <w:rFonts w:ascii="Times New Roman" w:hAnsi="Times New Roman" w:cs="Times New Roman"/>
          <w:sz w:val="28"/>
          <w:szCs w:val="28"/>
          <w:lang w:val="uk-UA"/>
        </w:rPr>
        <w:t xml:space="preserve"> та вмістом</w:t>
      </w:r>
      <w:r w:rsidR="009D44F9" w:rsidRPr="009D44F9">
        <w:rPr>
          <w:rFonts w:ascii="Times New Roman" w:hAnsi="Times New Roman" w:cs="Times New Roman"/>
          <w:sz w:val="28"/>
          <w:szCs w:val="28"/>
          <w:lang w:val="uk-UA"/>
        </w:rPr>
        <w:t xml:space="preserve"> </w:t>
      </w:r>
      <w:r w:rsidR="009D44F9">
        <w:rPr>
          <w:rFonts w:ascii="Times New Roman" w:hAnsi="Times New Roman" w:cs="Times New Roman"/>
          <w:sz w:val="28"/>
          <w:szCs w:val="28"/>
          <w:lang w:val="uk-UA"/>
        </w:rPr>
        <w:t>ТГ (</w:t>
      </w:r>
      <w:r w:rsidR="009D44F9">
        <w:rPr>
          <w:rFonts w:ascii="Times New Roman" w:hAnsi="Times New Roman" w:cs="Times New Roman"/>
          <w:sz w:val="28"/>
          <w:szCs w:val="28"/>
          <w:lang w:val="en-US"/>
        </w:rPr>
        <w:t>r</w:t>
      </w:r>
      <w:r w:rsidR="009D44F9" w:rsidRPr="009D44F9">
        <w:rPr>
          <w:rFonts w:ascii="Times New Roman" w:hAnsi="Times New Roman" w:cs="Times New Roman"/>
          <w:sz w:val="28"/>
          <w:szCs w:val="28"/>
          <w:lang w:val="uk-UA"/>
        </w:rPr>
        <w:t xml:space="preserve"> = </w:t>
      </w:r>
      <w:r w:rsidR="00097821">
        <w:rPr>
          <w:rFonts w:ascii="Times New Roman" w:hAnsi="Times New Roman" w:cs="Times New Roman"/>
          <w:sz w:val="28"/>
          <w:szCs w:val="28"/>
          <w:lang w:val="uk-UA"/>
        </w:rPr>
        <w:t>0,02; р = 0,</w:t>
      </w:r>
      <w:r w:rsidR="00097821" w:rsidRPr="00097821">
        <w:rPr>
          <w:rFonts w:ascii="Times New Roman" w:hAnsi="Times New Roman" w:cs="Times New Roman"/>
          <w:sz w:val="28"/>
          <w:szCs w:val="28"/>
          <w:lang w:val="uk-UA"/>
        </w:rPr>
        <w:t>8458</w:t>
      </w:r>
      <w:r w:rsidR="009D44F9">
        <w:rPr>
          <w:rFonts w:ascii="Times New Roman" w:hAnsi="Times New Roman" w:cs="Times New Roman"/>
          <w:sz w:val="28"/>
          <w:szCs w:val="28"/>
          <w:lang w:val="uk-UA"/>
        </w:rPr>
        <w:t xml:space="preserve">), </w:t>
      </w:r>
      <w:r w:rsidR="00B67BE7">
        <w:rPr>
          <w:rFonts w:ascii="Times New Roman" w:hAnsi="Times New Roman" w:cs="Times New Roman"/>
          <w:sz w:val="28"/>
          <w:szCs w:val="28"/>
          <w:lang w:val="uk-UA"/>
        </w:rPr>
        <w:t xml:space="preserve">ХС </w:t>
      </w:r>
      <w:r w:rsidR="009D44F9">
        <w:rPr>
          <w:rFonts w:ascii="Times New Roman" w:hAnsi="Times New Roman" w:cs="Times New Roman"/>
          <w:sz w:val="28"/>
          <w:szCs w:val="28"/>
          <w:lang w:val="uk-UA"/>
        </w:rPr>
        <w:t>ЛПВЩ (</w:t>
      </w:r>
      <w:r w:rsidR="009D44F9">
        <w:rPr>
          <w:rFonts w:ascii="Times New Roman" w:hAnsi="Times New Roman" w:cs="Times New Roman"/>
          <w:sz w:val="28"/>
          <w:szCs w:val="28"/>
          <w:lang w:val="en-US"/>
        </w:rPr>
        <w:t>r</w:t>
      </w:r>
      <w:r w:rsidR="009D44F9" w:rsidRPr="009D44F9">
        <w:rPr>
          <w:rFonts w:ascii="Times New Roman" w:hAnsi="Times New Roman" w:cs="Times New Roman"/>
          <w:sz w:val="28"/>
          <w:szCs w:val="28"/>
          <w:lang w:val="uk-UA"/>
        </w:rPr>
        <w:t xml:space="preserve"> = </w:t>
      </w:r>
      <w:r w:rsidR="00097821">
        <w:rPr>
          <w:rFonts w:ascii="Times New Roman" w:hAnsi="Times New Roman" w:cs="Times New Roman"/>
          <w:sz w:val="28"/>
          <w:szCs w:val="28"/>
          <w:lang w:val="uk-UA"/>
        </w:rPr>
        <w:t>0,07;</w:t>
      </w:r>
      <w:r w:rsidR="00DF103D">
        <w:rPr>
          <w:rFonts w:ascii="Times New Roman" w:hAnsi="Times New Roman" w:cs="Times New Roman"/>
          <w:sz w:val="28"/>
          <w:szCs w:val="28"/>
          <w:lang w:val="uk-UA"/>
        </w:rPr>
        <w:t xml:space="preserve">             </w:t>
      </w:r>
      <w:r w:rsidR="00097821">
        <w:rPr>
          <w:rFonts w:ascii="Times New Roman" w:hAnsi="Times New Roman" w:cs="Times New Roman"/>
          <w:sz w:val="28"/>
          <w:szCs w:val="28"/>
          <w:lang w:val="uk-UA"/>
        </w:rPr>
        <w:t>р = 0,</w:t>
      </w:r>
      <w:r w:rsidR="00097821" w:rsidRPr="00097821">
        <w:rPr>
          <w:rFonts w:ascii="Times New Roman" w:hAnsi="Times New Roman" w:cs="Times New Roman"/>
          <w:sz w:val="28"/>
          <w:szCs w:val="28"/>
          <w:lang w:val="uk-UA"/>
        </w:rPr>
        <w:t>4954</w:t>
      </w:r>
      <w:r w:rsidR="009D44F9">
        <w:rPr>
          <w:rFonts w:ascii="Times New Roman" w:hAnsi="Times New Roman" w:cs="Times New Roman"/>
          <w:sz w:val="28"/>
          <w:szCs w:val="28"/>
          <w:lang w:val="uk-UA"/>
        </w:rPr>
        <w:t>)</w:t>
      </w:r>
      <w:r w:rsidR="00097821" w:rsidRPr="00097821">
        <w:rPr>
          <w:rFonts w:ascii="Times New Roman" w:hAnsi="Times New Roman" w:cs="Times New Roman"/>
          <w:sz w:val="28"/>
          <w:szCs w:val="28"/>
          <w:lang w:val="uk-UA"/>
        </w:rPr>
        <w:t>, ЗХС (</w:t>
      </w:r>
      <w:r w:rsidR="00097821" w:rsidRPr="00097821">
        <w:rPr>
          <w:rFonts w:ascii="Times New Roman" w:hAnsi="Times New Roman" w:cs="Times New Roman"/>
          <w:sz w:val="28"/>
          <w:szCs w:val="28"/>
          <w:lang w:val="en-US"/>
        </w:rPr>
        <w:t>r</w:t>
      </w:r>
      <w:r w:rsidR="00097821">
        <w:rPr>
          <w:rFonts w:ascii="Times New Roman" w:hAnsi="Times New Roman" w:cs="Times New Roman"/>
          <w:sz w:val="28"/>
          <w:szCs w:val="28"/>
          <w:lang w:val="uk-UA"/>
        </w:rPr>
        <w:t xml:space="preserve"> = 0,1</w:t>
      </w:r>
      <w:r w:rsidR="00097821" w:rsidRPr="00097821">
        <w:rPr>
          <w:rFonts w:ascii="Times New Roman" w:hAnsi="Times New Roman" w:cs="Times New Roman"/>
          <w:sz w:val="28"/>
          <w:szCs w:val="28"/>
          <w:lang w:val="uk-UA"/>
        </w:rPr>
        <w:t xml:space="preserve">5; </w:t>
      </w:r>
      <w:r w:rsidR="00097821" w:rsidRPr="00097821">
        <w:rPr>
          <w:rFonts w:ascii="Times New Roman" w:hAnsi="Times New Roman" w:cs="Times New Roman"/>
          <w:sz w:val="28"/>
          <w:szCs w:val="28"/>
          <w:lang w:val="en-US"/>
        </w:rPr>
        <w:t>p</w:t>
      </w:r>
      <w:r w:rsidR="00097821">
        <w:rPr>
          <w:rFonts w:ascii="Times New Roman" w:hAnsi="Times New Roman" w:cs="Times New Roman"/>
          <w:sz w:val="28"/>
          <w:szCs w:val="28"/>
          <w:lang w:val="uk-UA"/>
        </w:rPr>
        <w:t xml:space="preserve"> = 0,</w:t>
      </w:r>
      <w:r w:rsidR="00097821" w:rsidRPr="00097821">
        <w:rPr>
          <w:rFonts w:ascii="Times New Roman" w:hAnsi="Times New Roman" w:cs="Times New Roman"/>
          <w:sz w:val="28"/>
          <w:szCs w:val="28"/>
          <w:lang w:val="uk-UA"/>
        </w:rPr>
        <w:t>1425</w:t>
      </w:r>
      <w:r w:rsidR="00097821">
        <w:rPr>
          <w:rFonts w:ascii="Times New Roman" w:hAnsi="Times New Roman" w:cs="Times New Roman"/>
          <w:sz w:val="28"/>
          <w:szCs w:val="28"/>
          <w:lang w:val="uk-UA"/>
        </w:rPr>
        <w:t>)</w:t>
      </w:r>
      <w:r w:rsidR="00097821" w:rsidRPr="00097821">
        <w:rPr>
          <w:rFonts w:ascii="Times New Roman" w:hAnsi="Times New Roman" w:cs="Times New Roman"/>
          <w:sz w:val="28"/>
          <w:szCs w:val="28"/>
          <w:lang w:val="uk-UA"/>
        </w:rPr>
        <w:t>.</w:t>
      </w:r>
    </w:p>
    <w:p w:rsidR="00D8711A" w:rsidRPr="008C5BA7" w:rsidRDefault="00FC49B8" w:rsidP="008C5BA7">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r w:rsidRPr="00FD629A">
        <w:rPr>
          <w:rFonts w:ascii="Times New Roman" w:hAnsi="Times New Roman" w:cs="Times New Roman"/>
          <w:sz w:val="28"/>
          <w:szCs w:val="28"/>
          <w:lang w:val="uk-UA"/>
        </w:rPr>
        <w:t xml:space="preserve">За даними </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нших науковц</w:t>
      </w:r>
      <w:r w:rsidRPr="00FD629A">
        <w:rPr>
          <w:rFonts w:ascii="Times New Roman" w:hAnsi="Times New Roman" w:cs="Times New Roman"/>
          <w:sz w:val="28"/>
          <w:szCs w:val="28"/>
          <w:lang w:val="en-US"/>
        </w:rPr>
        <w:t>i</w:t>
      </w:r>
      <w:r w:rsidR="00137FEF" w:rsidRPr="00FD629A">
        <w:rPr>
          <w:rFonts w:ascii="Times New Roman" w:hAnsi="Times New Roman" w:cs="Times New Roman"/>
          <w:sz w:val="28"/>
          <w:szCs w:val="28"/>
          <w:lang w:val="uk-UA"/>
        </w:rPr>
        <w:t>в</w:t>
      </w:r>
      <w:r w:rsidR="00FA044F" w:rsidRPr="00FD629A">
        <w:rPr>
          <w:rFonts w:ascii="Times New Roman" w:hAnsi="Times New Roman" w:cs="Times New Roman"/>
          <w:sz w:val="28"/>
          <w:szCs w:val="28"/>
          <w:lang w:val="uk-UA"/>
        </w:rPr>
        <w:t>,</w:t>
      </w:r>
      <w:r w:rsidR="00F5542E" w:rsidRPr="00FD629A">
        <w:rPr>
          <w:rFonts w:ascii="Times New Roman" w:hAnsi="Times New Roman" w:cs="Times New Roman"/>
          <w:sz w:val="28"/>
          <w:szCs w:val="28"/>
          <w:lang w:val="uk-UA"/>
        </w:rPr>
        <w:t xml:space="preserve"> у</w:t>
      </w:r>
      <w:r w:rsidRPr="00FD629A">
        <w:rPr>
          <w:rFonts w:ascii="Times New Roman" w:hAnsi="Times New Roman" w:cs="Times New Roman"/>
          <w:sz w:val="28"/>
          <w:szCs w:val="28"/>
          <w:lang w:val="uk-UA"/>
        </w:rPr>
        <w:t xml:space="preserve"> хворих </w:t>
      </w:r>
      <w:r w:rsidR="00F90D18" w:rsidRPr="00FD629A">
        <w:rPr>
          <w:rFonts w:ascii="Times New Roman" w:hAnsi="Times New Roman" w:cs="Times New Roman"/>
          <w:sz w:val="28"/>
          <w:szCs w:val="28"/>
          <w:lang w:val="uk-UA"/>
        </w:rPr>
        <w:t xml:space="preserve">на </w:t>
      </w:r>
      <w:r w:rsidR="00753576" w:rsidRPr="00FD629A">
        <w:rPr>
          <w:rFonts w:ascii="Times New Roman" w:hAnsi="Times New Roman" w:cs="Times New Roman"/>
          <w:sz w:val="28"/>
          <w:szCs w:val="28"/>
          <w:lang w:val="uk-UA"/>
        </w:rPr>
        <w:t xml:space="preserve">АГ та ЦД 2-го типу </w:t>
      </w:r>
      <w:r w:rsidR="00102C5B">
        <w:rPr>
          <w:rFonts w:ascii="Times New Roman" w:hAnsi="Times New Roman" w:cs="Times New Roman"/>
          <w:sz w:val="28"/>
          <w:szCs w:val="28"/>
          <w:lang w:val="uk-UA"/>
        </w:rPr>
        <w:t xml:space="preserve">                  </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з недостатньою компенсац</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єю г</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пергл</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кем</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ї спостер</w:t>
      </w:r>
      <w:r w:rsidRPr="00FD629A">
        <w:rPr>
          <w:rFonts w:ascii="Times New Roman" w:hAnsi="Times New Roman" w:cs="Times New Roman"/>
          <w:sz w:val="28"/>
          <w:szCs w:val="28"/>
          <w:lang w:val="en-US"/>
        </w:rPr>
        <w:t>i</w:t>
      </w:r>
      <w:r w:rsidR="00F5542E" w:rsidRPr="00FD629A">
        <w:rPr>
          <w:rFonts w:ascii="Times New Roman" w:hAnsi="Times New Roman" w:cs="Times New Roman"/>
          <w:sz w:val="28"/>
          <w:szCs w:val="28"/>
          <w:lang w:val="uk-UA"/>
        </w:rPr>
        <w:t>галася</w:t>
      </w:r>
      <w:r w:rsidRPr="00FD629A">
        <w:rPr>
          <w:rFonts w:ascii="Times New Roman" w:hAnsi="Times New Roman" w:cs="Times New Roman"/>
          <w:sz w:val="28"/>
          <w:szCs w:val="28"/>
          <w:lang w:val="uk-UA"/>
        </w:rPr>
        <w:t xml:space="preserve"> ймов</w:t>
      </w:r>
      <w:r w:rsidRPr="00FD629A">
        <w:rPr>
          <w:rFonts w:ascii="Times New Roman" w:hAnsi="Times New Roman" w:cs="Times New Roman"/>
          <w:sz w:val="28"/>
          <w:szCs w:val="28"/>
          <w:lang w:val="en-US"/>
        </w:rPr>
        <w:t>i</w:t>
      </w:r>
      <w:r w:rsidR="00C33BEA" w:rsidRPr="00FD629A">
        <w:rPr>
          <w:rFonts w:ascii="Times New Roman" w:hAnsi="Times New Roman" w:cs="Times New Roman"/>
          <w:sz w:val="28"/>
          <w:szCs w:val="28"/>
          <w:lang w:val="uk-UA"/>
        </w:rPr>
        <w:t>рна</w:t>
      </w:r>
      <w:r w:rsidR="00F5542E" w:rsidRPr="00FD629A">
        <w:rPr>
          <w:rFonts w:ascii="Times New Roman" w:hAnsi="Times New Roman" w:cs="Times New Roman"/>
          <w:sz w:val="28"/>
          <w:szCs w:val="28"/>
          <w:lang w:val="uk-UA"/>
        </w:rPr>
        <w:t xml:space="preserve"> позитивна</w:t>
      </w:r>
      <w:r w:rsidRPr="00FD629A">
        <w:rPr>
          <w:rFonts w:ascii="Times New Roman" w:hAnsi="Times New Roman" w:cs="Times New Roman"/>
          <w:sz w:val="28"/>
          <w:szCs w:val="28"/>
          <w:lang w:val="uk-UA"/>
        </w:rPr>
        <w:t xml:space="preserve"> кореляц</w:t>
      </w:r>
      <w:r w:rsidRPr="00FD629A">
        <w:rPr>
          <w:rFonts w:ascii="Times New Roman" w:hAnsi="Times New Roman" w:cs="Times New Roman"/>
          <w:sz w:val="28"/>
          <w:szCs w:val="28"/>
          <w:lang w:val="en-US"/>
        </w:rPr>
        <w:t>i</w:t>
      </w:r>
      <w:r w:rsidR="00C33BEA" w:rsidRPr="00FD629A">
        <w:rPr>
          <w:rFonts w:ascii="Times New Roman" w:hAnsi="Times New Roman" w:cs="Times New Roman"/>
          <w:sz w:val="28"/>
          <w:szCs w:val="28"/>
          <w:lang w:val="uk-UA"/>
        </w:rPr>
        <w:t>я</w:t>
      </w:r>
      <w:r w:rsidRPr="00FD629A">
        <w:rPr>
          <w:rFonts w:ascii="Times New Roman" w:hAnsi="Times New Roman" w:cs="Times New Roman"/>
          <w:sz w:val="28"/>
          <w:szCs w:val="28"/>
          <w:lang w:val="uk-UA"/>
        </w:rPr>
        <w:t xml:space="preserve"> </w:t>
      </w:r>
      <w:r w:rsidR="00F90D18" w:rsidRPr="00FD629A">
        <w:rPr>
          <w:rFonts w:ascii="Times New Roman" w:hAnsi="Times New Roman" w:cs="Times New Roman"/>
          <w:sz w:val="28"/>
          <w:szCs w:val="28"/>
          <w:lang w:val="uk-UA"/>
        </w:rPr>
        <w:t xml:space="preserve">вмісту </w:t>
      </w:r>
      <w:r w:rsidR="00F5542E" w:rsidRPr="00FD629A">
        <w:rPr>
          <w:rFonts w:ascii="Times New Roman" w:hAnsi="Times New Roman" w:cs="Times New Roman"/>
          <w:sz w:val="28"/>
          <w:szCs w:val="28"/>
          <w:lang w:val="uk-UA"/>
        </w:rPr>
        <w:t>ЗХС і ступеня</w:t>
      </w:r>
      <w:r w:rsidR="008F1CE3" w:rsidRPr="00FD629A">
        <w:rPr>
          <w:rFonts w:ascii="Times New Roman" w:hAnsi="Times New Roman" w:cs="Times New Roman"/>
          <w:sz w:val="28"/>
          <w:szCs w:val="28"/>
          <w:lang w:val="uk-UA"/>
        </w:rPr>
        <w:t xml:space="preserve"> </w:t>
      </w:r>
      <w:r w:rsidR="00102C5B">
        <w:rPr>
          <w:rFonts w:ascii="Times New Roman" w:hAnsi="Times New Roman" w:cs="Times New Roman"/>
          <w:sz w:val="28"/>
          <w:szCs w:val="28"/>
          <w:lang w:val="uk-UA"/>
        </w:rPr>
        <w:t xml:space="preserve">МАУ </w:t>
      </w:r>
      <w:r w:rsidR="008F1CE3" w:rsidRPr="00FD629A">
        <w:rPr>
          <w:rFonts w:ascii="Times New Roman" w:hAnsi="Times New Roman" w:cs="Times New Roman"/>
          <w:sz w:val="28"/>
          <w:szCs w:val="28"/>
          <w:lang w:val="uk-UA"/>
        </w:rPr>
        <w:t>(r</w:t>
      </w:r>
      <w:r w:rsidR="00EE7E42" w:rsidRPr="00FD629A">
        <w:rPr>
          <w:rFonts w:ascii="Times New Roman" w:hAnsi="Times New Roman" w:cs="Times New Roman"/>
          <w:sz w:val="28"/>
          <w:szCs w:val="28"/>
          <w:lang w:val="uk-UA"/>
        </w:rPr>
        <w:t xml:space="preserve"> </w:t>
      </w:r>
      <w:r w:rsidR="008F1CE3" w:rsidRPr="00FD629A">
        <w:rPr>
          <w:rFonts w:ascii="Times New Roman" w:hAnsi="Times New Roman" w:cs="Times New Roman"/>
          <w:sz w:val="28"/>
          <w:szCs w:val="28"/>
          <w:lang w:val="uk-UA"/>
        </w:rPr>
        <w:t>=</w:t>
      </w:r>
      <w:r w:rsidR="00EE7E42" w:rsidRPr="00FD629A">
        <w:rPr>
          <w:rFonts w:ascii="Times New Roman" w:hAnsi="Times New Roman" w:cs="Times New Roman"/>
          <w:sz w:val="28"/>
          <w:szCs w:val="28"/>
          <w:lang w:val="uk-UA"/>
        </w:rPr>
        <w:t xml:space="preserve"> </w:t>
      </w:r>
      <w:r w:rsidR="008F1CE3" w:rsidRPr="00FD629A">
        <w:rPr>
          <w:rFonts w:ascii="Times New Roman" w:hAnsi="Times New Roman" w:cs="Times New Roman"/>
          <w:sz w:val="28"/>
          <w:szCs w:val="28"/>
          <w:lang w:val="uk-UA"/>
        </w:rPr>
        <w:t>+0,</w:t>
      </w:r>
      <w:r w:rsidRPr="00FD629A">
        <w:rPr>
          <w:rFonts w:ascii="Times New Roman" w:hAnsi="Times New Roman" w:cs="Times New Roman"/>
          <w:sz w:val="28"/>
          <w:szCs w:val="28"/>
          <w:lang w:val="uk-UA"/>
        </w:rPr>
        <w:t>51), що св</w:t>
      </w:r>
      <w:r w:rsidRPr="00FD629A">
        <w:rPr>
          <w:rFonts w:ascii="Times New Roman" w:hAnsi="Times New Roman" w:cs="Times New Roman"/>
          <w:sz w:val="28"/>
          <w:szCs w:val="28"/>
          <w:lang w:val="en-US"/>
        </w:rPr>
        <w:t>i</w:t>
      </w:r>
      <w:r w:rsidR="00F5542E" w:rsidRPr="00FD629A">
        <w:rPr>
          <w:rFonts w:ascii="Times New Roman" w:hAnsi="Times New Roman" w:cs="Times New Roman"/>
          <w:sz w:val="28"/>
          <w:szCs w:val="28"/>
          <w:lang w:val="uk-UA"/>
        </w:rPr>
        <w:t>дчи</w:t>
      </w:r>
      <w:r w:rsidR="008F1CE3" w:rsidRPr="00FD629A">
        <w:rPr>
          <w:rFonts w:ascii="Times New Roman" w:hAnsi="Times New Roman" w:cs="Times New Roman"/>
          <w:sz w:val="28"/>
          <w:szCs w:val="28"/>
          <w:lang w:val="uk-UA"/>
        </w:rPr>
        <w:t xml:space="preserve">ть </w:t>
      </w:r>
      <w:r w:rsidR="00102C5B">
        <w:rPr>
          <w:rFonts w:ascii="Times New Roman" w:hAnsi="Times New Roman" w:cs="Times New Roman"/>
          <w:sz w:val="28"/>
          <w:szCs w:val="28"/>
          <w:lang w:val="uk-UA"/>
        </w:rPr>
        <w:t xml:space="preserve">    </w:t>
      </w:r>
      <w:r w:rsidR="008F1CE3" w:rsidRPr="00FD629A">
        <w:rPr>
          <w:rFonts w:ascii="Times New Roman" w:hAnsi="Times New Roman" w:cs="Times New Roman"/>
          <w:sz w:val="28"/>
          <w:szCs w:val="28"/>
          <w:lang w:val="uk-UA"/>
        </w:rPr>
        <w:t>про зростання взаємної</w:t>
      </w:r>
      <w:r w:rsidR="00FA044F" w:rsidRPr="00FD629A">
        <w:rPr>
          <w:rFonts w:ascii="Times New Roman" w:hAnsi="Times New Roman" w:cs="Times New Roman"/>
          <w:sz w:val="28"/>
          <w:szCs w:val="28"/>
          <w:lang w:val="uk-UA"/>
        </w:rPr>
        <w:t xml:space="preserve"> </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н</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ц</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ал</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зац</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ї патогенетичних механ</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зм</w:t>
      </w:r>
      <w:r w:rsidRPr="00FD629A">
        <w:rPr>
          <w:rFonts w:ascii="Times New Roman" w:hAnsi="Times New Roman" w:cs="Times New Roman"/>
          <w:sz w:val="28"/>
          <w:szCs w:val="28"/>
          <w:lang w:val="en-US"/>
        </w:rPr>
        <w:t>i</w:t>
      </w:r>
      <w:r w:rsidR="008F1CE3" w:rsidRPr="00FD629A">
        <w:rPr>
          <w:rFonts w:ascii="Times New Roman" w:hAnsi="Times New Roman" w:cs="Times New Roman"/>
          <w:sz w:val="28"/>
          <w:szCs w:val="28"/>
          <w:lang w:val="uk-UA"/>
        </w:rPr>
        <w:t>в поглиблен</w:t>
      </w:r>
      <w:r w:rsidRPr="00FD629A">
        <w:rPr>
          <w:rFonts w:ascii="Times New Roman" w:hAnsi="Times New Roman" w:cs="Times New Roman"/>
          <w:sz w:val="28"/>
          <w:szCs w:val="28"/>
          <w:lang w:val="uk-UA"/>
        </w:rPr>
        <w:t>ня дисл</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п</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дем</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ї за умов недостатньої компенсац</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ї г</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пергл</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кем</w:t>
      </w:r>
      <w:r w:rsidRPr="00FD629A">
        <w:rPr>
          <w:rFonts w:ascii="Times New Roman" w:hAnsi="Times New Roman" w:cs="Times New Roman"/>
          <w:sz w:val="28"/>
          <w:szCs w:val="28"/>
          <w:lang w:val="en-US"/>
        </w:rPr>
        <w:t>i</w:t>
      </w:r>
      <w:r w:rsidR="00F5542E" w:rsidRPr="00FD629A">
        <w:rPr>
          <w:rFonts w:ascii="Times New Roman" w:hAnsi="Times New Roman" w:cs="Times New Roman"/>
          <w:sz w:val="28"/>
          <w:szCs w:val="28"/>
          <w:lang w:val="uk-UA"/>
        </w:rPr>
        <w:t xml:space="preserve">ї </w:t>
      </w:r>
      <w:r w:rsidR="00F5542E" w:rsidRPr="00267B2C">
        <w:rPr>
          <w:rFonts w:ascii="Times New Roman" w:hAnsi="Times New Roman" w:cs="Times New Roman"/>
          <w:sz w:val="28"/>
          <w:szCs w:val="28"/>
          <w:lang w:val="uk-UA"/>
        </w:rPr>
        <w:t>[</w:t>
      </w:r>
      <w:r w:rsidR="004B16DA">
        <w:rPr>
          <w:rFonts w:ascii="Times New Roman" w:hAnsi="Times New Roman" w:cs="Times New Roman"/>
          <w:sz w:val="28"/>
          <w:szCs w:val="28"/>
          <w:lang w:val="uk-UA"/>
        </w:rPr>
        <w:t>147</w:t>
      </w:r>
      <w:r w:rsidR="00F5542E" w:rsidRPr="00267B2C">
        <w:rPr>
          <w:rFonts w:ascii="Times New Roman" w:hAnsi="Times New Roman" w:cs="Times New Roman"/>
          <w:sz w:val="28"/>
          <w:szCs w:val="28"/>
          <w:lang w:val="uk-UA"/>
        </w:rPr>
        <w:t>].</w:t>
      </w:r>
      <w:r w:rsidR="00137FEF" w:rsidRPr="00137FEF">
        <w:rPr>
          <w:rFonts w:ascii="Times New Roman" w:hAnsi="Times New Roman" w:cs="Times New Roman"/>
          <w:sz w:val="28"/>
          <w:szCs w:val="28"/>
          <w:lang w:val="uk-UA"/>
        </w:rPr>
        <w:t xml:space="preserve"> </w:t>
      </w:r>
      <w:r w:rsidR="00F90D18">
        <w:rPr>
          <w:rFonts w:ascii="Times New Roman" w:hAnsi="Times New Roman" w:cs="Times New Roman"/>
          <w:sz w:val="28"/>
          <w:szCs w:val="28"/>
          <w:lang w:val="uk-UA"/>
        </w:rPr>
        <w:t>У</w:t>
      </w:r>
      <w:r>
        <w:rPr>
          <w:rFonts w:ascii="Times New Roman" w:hAnsi="Times New Roman" w:cs="Times New Roman"/>
          <w:sz w:val="28"/>
          <w:szCs w:val="28"/>
          <w:lang w:val="uk-UA"/>
        </w:rPr>
        <w:t xml:space="preserve"> нашому дослідженн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F90D18">
        <w:rPr>
          <w:rFonts w:ascii="Times New Roman" w:hAnsi="Times New Roman" w:cs="Times New Roman"/>
          <w:sz w:val="28"/>
          <w:szCs w:val="28"/>
          <w:lang w:val="uk-UA"/>
        </w:rPr>
        <w:t xml:space="preserve">не було констатовано </w:t>
      </w:r>
      <w:r>
        <w:rPr>
          <w:rFonts w:ascii="Times New Roman" w:hAnsi="Times New Roman" w:cs="Times New Roman"/>
          <w:sz w:val="28"/>
          <w:szCs w:val="28"/>
          <w:lang w:val="uk-UA"/>
        </w:rPr>
        <w:t>достов</w:t>
      </w:r>
      <w:r>
        <w:rPr>
          <w:rFonts w:ascii="Times New Roman" w:hAnsi="Times New Roman" w:cs="Times New Roman"/>
          <w:sz w:val="28"/>
          <w:szCs w:val="28"/>
          <w:lang w:val="en-US"/>
        </w:rPr>
        <w:t>i</w:t>
      </w:r>
      <w:r>
        <w:rPr>
          <w:rFonts w:ascii="Times New Roman" w:hAnsi="Times New Roman" w:cs="Times New Roman"/>
          <w:sz w:val="28"/>
          <w:szCs w:val="28"/>
          <w:lang w:val="uk-UA"/>
        </w:rPr>
        <w:t>рної залежност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м</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ж </w:t>
      </w:r>
      <w:r w:rsidR="001B6D44">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ЗХС та сп</w:t>
      </w:r>
      <w:r>
        <w:rPr>
          <w:rFonts w:ascii="Times New Roman" w:hAnsi="Times New Roman" w:cs="Times New Roman"/>
          <w:sz w:val="28"/>
          <w:szCs w:val="28"/>
          <w:lang w:val="en-US"/>
        </w:rPr>
        <w:t>i</w:t>
      </w:r>
      <w:r>
        <w:rPr>
          <w:rFonts w:ascii="Times New Roman" w:hAnsi="Times New Roman" w:cs="Times New Roman"/>
          <w:sz w:val="28"/>
          <w:szCs w:val="28"/>
          <w:lang w:val="uk-UA"/>
        </w:rPr>
        <w:t>в</w:t>
      </w:r>
      <w:r>
        <w:rPr>
          <w:rFonts w:ascii="Times New Roman" w:hAnsi="Times New Roman" w:cs="Times New Roman"/>
          <w:sz w:val="28"/>
          <w:szCs w:val="28"/>
          <w:lang w:val="en-US"/>
        </w:rPr>
        <w:t>i</w:t>
      </w:r>
      <w:r>
        <w:rPr>
          <w:rFonts w:ascii="Times New Roman" w:hAnsi="Times New Roman" w:cs="Times New Roman"/>
          <w:sz w:val="28"/>
          <w:szCs w:val="28"/>
          <w:lang w:val="uk-UA"/>
        </w:rPr>
        <w:t>дношенням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 до креатин</w:t>
      </w:r>
      <w:r>
        <w:rPr>
          <w:rFonts w:ascii="Times New Roman" w:hAnsi="Times New Roman" w:cs="Times New Roman"/>
          <w:sz w:val="28"/>
          <w:szCs w:val="28"/>
          <w:lang w:val="en-US"/>
        </w:rPr>
        <w:t>i</w:t>
      </w:r>
      <w:r>
        <w:rPr>
          <w:rFonts w:ascii="Times New Roman" w:hAnsi="Times New Roman" w:cs="Times New Roman"/>
          <w:sz w:val="28"/>
          <w:szCs w:val="28"/>
          <w:lang w:val="uk-UA"/>
        </w:rPr>
        <w:t>ну в сеч</w:t>
      </w:r>
      <w:r>
        <w:rPr>
          <w:rFonts w:ascii="Times New Roman" w:hAnsi="Times New Roman" w:cs="Times New Roman"/>
          <w:sz w:val="28"/>
          <w:szCs w:val="28"/>
          <w:lang w:val="en-US"/>
        </w:rPr>
        <w:t>i</w:t>
      </w:r>
      <w:r>
        <w:rPr>
          <w:rFonts w:ascii="Times New Roman" w:hAnsi="Times New Roman" w:cs="Times New Roman"/>
          <w:sz w:val="28"/>
          <w:szCs w:val="28"/>
          <w:lang w:val="uk-UA"/>
        </w:rPr>
        <w:t>, що св</w:t>
      </w:r>
      <w:r>
        <w:rPr>
          <w:rFonts w:ascii="Times New Roman" w:hAnsi="Times New Roman" w:cs="Times New Roman"/>
          <w:sz w:val="28"/>
          <w:szCs w:val="28"/>
          <w:lang w:val="en-US"/>
        </w:rPr>
        <w:t>i</w:t>
      </w:r>
      <w:r w:rsidR="00137FEF" w:rsidRPr="00B94135">
        <w:rPr>
          <w:rFonts w:ascii="Times New Roman" w:hAnsi="Times New Roman" w:cs="Times New Roman"/>
          <w:sz w:val="28"/>
          <w:szCs w:val="28"/>
          <w:lang w:val="uk-UA"/>
        </w:rPr>
        <w:t xml:space="preserve">дчить </w:t>
      </w:r>
      <w:r>
        <w:rPr>
          <w:rFonts w:ascii="Times New Roman" w:hAnsi="Times New Roman" w:cs="Times New Roman"/>
          <w:sz w:val="28"/>
          <w:szCs w:val="28"/>
          <w:lang w:val="uk-UA"/>
        </w:rPr>
        <w:t>про важливу роль не ст</w:t>
      </w:r>
      <w:r>
        <w:rPr>
          <w:rFonts w:ascii="Times New Roman" w:hAnsi="Times New Roman" w:cs="Times New Roman"/>
          <w:sz w:val="28"/>
          <w:szCs w:val="28"/>
          <w:lang w:val="en-US"/>
        </w:rPr>
        <w:t>i</w:t>
      </w:r>
      <w:r>
        <w:rPr>
          <w:rFonts w:ascii="Times New Roman" w:hAnsi="Times New Roman" w:cs="Times New Roman"/>
          <w:sz w:val="28"/>
          <w:szCs w:val="28"/>
          <w:lang w:val="uk-UA"/>
        </w:rPr>
        <w:t>льки г</w:t>
      </w:r>
      <w:r>
        <w:rPr>
          <w:rFonts w:ascii="Times New Roman" w:hAnsi="Times New Roman" w:cs="Times New Roman"/>
          <w:sz w:val="28"/>
          <w:szCs w:val="28"/>
          <w:lang w:val="en-US"/>
        </w:rPr>
        <w:t>i</w:t>
      </w:r>
      <w:r>
        <w:rPr>
          <w:rFonts w:ascii="Times New Roman" w:hAnsi="Times New Roman" w:cs="Times New Roman"/>
          <w:sz w:val="28"/>
          <w:szCs w:val="28"/>
          <w:lang w:val="uk-UA"/>
        </w:rPr>
        <w:t>перхолестеринем</w:t>
      </w:r>
      <w:r>
        <w:rPr>
          <w:rFonts w:ascii="Times New Roman" w:hAnsi="Times New Roman" w:cs="Times New Roman"/>
          <w:sz w:val="28"/>
          <w:szCs w:val="28"/>
          <w:lang w:val="en-US"/>
        </w:rPr>
        <w:t>i</w:t>
      </w:r>
      <w:r>
        <w:rPr>
          <w:rFonts w:ascii="Times New Roman" w:hAnsi="Times New Roman" w:cs="Times New Roman"/>
          <w:sz w:val="28"/>
          <w:szCs w:val="28"/>
          <w:lang w:val="uk-UA"/>
        </w:rPr>
        <w:t>ї, ск</w:t>
      </w:r>
      <w:r>
        <w:rPr>
          <w:rFonts w:ascii="Times New Roman" w:hAnsi="Times New Roman" w:cs="Times New Roman"/>
          <w:sz w:val="28"/>
          <w:szCs w:val="28"/>
          <w:lang w:val="en-US"/>
        </w:rPr>
        <w:t>i</w:t>
      </w:r>
      <w:r>
        <w:rPr>
          <w:rFonts w:ascii="Times New Roman" w:hAnsi="Times New Roman" w:cs="Times New Roman"/>
          <w:sz w:val="28"/>
          <w:szCs w:val="28"/>
          <w:lang w:val="uk-UA"/>
        </w:rPr>
        <w:t>льки дисл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дем</w:t>
      </w:r>
      <w:r>
        <w:rPr>
          <w:rFonts w:ascii="Times New Roman" w:hAnsi="Times New Roman" w:cs="Times New Roman"/>
          <w:sz w:val="28"/>
          <w:szCs w:val="28"/>
          <w:lang w:val="en-US"/>
        </w:rPr>
        <w:t>i</w:t>
      </w:r>
      <w:r w:rsidR="00137FEF" w:rsidRPr="00B94135">
        <w:rPr>
          <w:rFonts w:ascii="Times New Roman" w:hAnsi="Times New Roman" w:cs="Times New Roman"/>
          <w:sz w:val="28"/>
          <w:szCs w:val="28"/>
          <w:lang w:val="uk-UA"/>
        </w:rPr>
        <w:t>ї в прогр</w:t>
      </w:r>
      <w:r>
        <w:rPr>
          <w:rFonts w:ascii="Times New Roman" w:hAnsi="Times New Roman" w:cs="Times New Roman"/>
          <w:sz w:val="28"/>
          <w:szCs w:val="28"/>
          <w:lang w:val="uk-UA"/>
        </w:rPr>
        <w:t>есуванн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ураження нирок </w:t>
      </w:r>
      <w:r w:rsidR="00B67BE7">
        <w:rPr>
          <w:rFonts w:ascii="Times New Roman" w:hAnsi="Times New Roman" w:cs="Times New Roman"/>
          <w:sz w:val="28"/>
          <w:szCs w:val="28"/>
          <w:lang w:val="uk-UA"/>
        </w:rPr>
        <w:t xml:space="preserve">у хворих на </w:t>
      </w:r>
      <w:r>
        <w:rPr>
          <w:rFonts w:ascii="Times New Roman" w:hAnsi="Times New Roman" w:cs="Times New Roman"/>
          <w:sz w:val="28"/>
          <w:szCs w:val="28"/>
          <w:lang w:val="uk-UA"/>
        </w:rPr>
        <w:t>АГ та супутн</w:t>
      </w:r>
      <w:r>
        <w:rPr>
          <w:rFonts w:ascii="Times New Roman" w:hAnsi="Times New Roman" w:cs="Times New Roman"/>
          <w:sz w:val="28"/>
          <w:szCs w:val="28"/>
          <w:lang w:val="en-US"/>
        </w:rPr>
        <w:t>i</w:t>
      </w:r>
      <w:r w:rsidR="00B67BE7">
        <w:rPr>
          <w:rFonts w:ascii="Times New Roman" w:hAnsi="Times New Roman" w:cs="Times New Roman"/>
          <w:sz w:val="28"/>
          <w:szCs w:val="28"/>
          <w:lang w:val="uk-UA"/>
        </w:rPr>
        <w:t>й</w:t>
      </w:r>
      <w:r w:rsidR="005027C2">
        <w:rPr>
          <w:rFonts w:ascii="Times New Roman" w:hAnsi="Times New Roman" w:cs="Times New Roman"/>
          <w:sz w:val="28"/>
          <w:szCs w:val="28"/>
          <w:lang w:val="uk-UA"/>
        </w:rPr>
        <w:t xml:space="preserve"> ЦД </w:t>
      </w:r>
      <w:r>
        <w:rPr>
          <w:rFonts w:ascii="Times New Roman" w:hAnsi="Times New Roman" w:cs="Times New Roman"/>
          <w:sz w:val="28"/>
          <w:szCs w:val="28"/>
          <w:lang w:val="uk-UA"/>
        </w:rPr>
        <w:t xml:space="preserve">2-го типу. Зростання </w:t>
      </w:r>
      <w:r>
        <w:rPr>
          <w:rFonts w:ascii="Times New Roman" w:hAnsi="Times New Roman" w:cs="Times New Roman"/>
          <w:sz w:val="28"/>
          <w:szCs w:val="28"/>
          <w:lang w:val="uk-UA"/>
        </w:rPr>
        <w:lastRenderedPageBreak/>
        <w:t>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Pr>
          <w:rFonts w:ascii="Times New Roman" w:hAnsi="Times New Roman" w:cs="Times New Roman"/>
          <w:sz w:val="28"/>
          <w:szCs w:val="28"/>
          <w:lang w:val="uk-UA"/>
        </w:rPr>
        <w:t>дношення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 до креатин</w:t>
      </w:r>
      <w:r>
        <w:rPr>
          <w:rFonts w:ascii="Times New Roman" w:hAnsi="Times New Roman" w:cs="Times New Roman"/>
          <w:sz w:val="28"/>
          <w:szCs w:val="28"/>
          <w:lang w:val="en-US"/>
        </w:rPr>
        <w:t>i</w:t>
      </w:r>
      <w:r>
        <w:rPr>
          <w:rFonts w:ascii="Times New Roman" w:hAnsi="Times New Roman" w:cs="Times New Roman"/>
          <w:sz w:val="28"/>
          <w:szCs w:val="28"/>
          <w:lang w:val="uk-UA"/>
        </w:rPr>
        <w:t>ну в сеч</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пропорц</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йно саме до </w:t>
      </w:r>
      <w:r w:rsidR="001B6D44">
        <w:rPr>
          <w:rFonts w:ascii="Times New Roman" w:hAnsi="Times New Roman" w:cs="Times New Roman"/>
          <w:sz w:val="28"/>
          <w:szCs w:val="28"/>
          <w:lang w:val="uk-UA"/>
        </w:rPr>
        <w:t xml:space="preserve">вмісту </w:t>
      </w:r>
      <w:r w:rsidR="00F90D18">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ЛПНЩ обумовлене наявн</w:t>
      </w:r>
      <w:r>
        <w:rPr>
          <w:rFonts w:ascii="Times New Roman" w:hAnsi="Times New Roman" w:cs="Times New Roman"/>
          <w:sz w:val="28"/>
          <w:szCs w:val="28"/>
          <w:lang w:val="en-US"/>
        </w:rPr>
        <w:t>i</w:t>
      </w:r>
      <w:r w:rsidR="00F90D18">
        <w:rPr>
          <w:rFonts w:ascii="Times New Roman" w:hAnsi="Times New Roman" w:cs="Times New Roman"/>
          <w:sz w:val="28"/>
          <w:szCs w:val="28"/>
          <w:lang w:val="uk-UA"/>
        </w:rPr>
        <w:t xml:space="preserve">стю супутньої АГ </w:t>
      </w:r>
      <w:r w:rsidR="005A0BBD">
        <w:rPr>
          <w:rFonts w:ascii="Times New Roman" w:hAnsi="Times New Roman" w:cs="Times New Roman"/>
          <w:sz w:val="28"/>
          <w:szCs w:val="28"/>
          <w:lang w:val="uk-UA"/>
        </w:rPr>
        <w:t>у пац</w:t>
      </w:r>
      <w:r w:rsidR="005A0BBD">
        <w:rPr>
          <w:rFonts w:ascii="Times New Roman" w:hAnsi="Times New Roman" w:cs="Times New Roman"/>
          <w:sz w:val="28"/>
          <w:szCs w:val="28"/>
          <w:lang w:val="en-US"/>
        </w:rPr>
        <w:t>i</w:t>
      </w:r>
      <w:r w:rsidR="005A0BBD">
        <w:rPr>
          <w:rFonts w:ascii="Times New Roman" w:hAnsi="Times New Roman" w:cs="Times New Roman"/>
          <w:sz w:val="28"/>
          <w:szCs w:val="28"/>
          <w:lang w:val="uk-UA"/>
        </w:rPr>
        <w:t>єнт</w:t>
      </w:r>
      <w:r w:rsidR="005A0BBD">
        <w:rPr>
          <w:rFonts w:ascii="Times New Roman" w:hAnsi="Times New Roman" w:cs="Times New Roman"/>
          <w:sz w:val="28"/>
          <w:szCs w:val="28"/>
          <w:lang w:val="en-US"/>
        </w:rPr>
        <w:t>i</w:t>
      </w:r>
      <w:r w:rsidR="00137FEF" w:rsidRPr="00B94135">
        <w:rPr>
          <w:rFonts w:ascii="Times New Roman" w:hAnsi="Times New Roman" w:cs="Times New Roman"/>
          <w:sz w:val="28"/>
          <w:szCs w:val="28"/>
          <w:lang w:val="uk-UA"/>
        </w:rPr>
        <w:t xml:space="preserve">в </w:t>
      </w:r>
      <w:r w:rsidR="005A0BBD">
        <w:rPr>
          <w:rFonts w:ascii="Times New Roman" w:hAnsi="Times New Roman" w:cs="Times New Roman"/>
          <w:sz w:val="28"/>
          <w:szCs w:val="28"/>
          <w:lang w:val="en-US"/>
        </w:rPr>
        <w:t>i</w:t>
      </w:r>
      <w:r w:rsidR="001B6D44">
        <w:rPr>
          <w:rFonts w:ascii="Times New Roman" w:hAnsi="Times New Roman" w:cs="Times New Roman"/>
          <w:sz w:val="28"/>
          <w:szCs w:val="28"/>
          <w:lang w:val="uk-UA"/>
        </w:rPr>
        <w:t>з ЦД 2-го типу</w:t>
      </w:r>
      <w:r w:rsidR="008C5BA7" w:rsidRPr="00B94135">
        <w:rPr>
          <w:rFonts w:ascii="Times New Roman" w:hAnsi="Times New Roman" w:cs="Times New Roman"/>
          <w:sz w:val="28"/>
          <w:szCs w:val="28"/>
          <w:lang w:val="uk-UA"/>
        </w:rPr>
        <w:t>.</w:t>
      </w:r>
    </w:p>
    <w:p w:rsidR="00C33BEA" w:rsidRPr="007D44E3" w:rsidRDefault="007D44E3" w:rsidP="007D44E3">
      <w:pPr>
        <w:autoSpaceDE w:val="0"/>
        <w:autoSpaceDN w:val="0"/>
        <w:adjustRightInd w:val="0"/>
        <w:spacing w:after="0" w:line="360" w:lineRule="auto"/>
        <w:ind w:firstLine="708"/>
        <w:jc w:val="both"/>
        <w:rPr>
          <w:rFonts w:ascii="Times New Roman" w:hAnsi="Times New Roman" w:cs="Times New Roman"/>
          <w:sz w:val="28"/>
          <w:szCs w:val="28"/>
          <w:lang w:val="uk-UA"/>
        </w:rPr>
      </w:pPr>
      <w:r w:rsidRPr="007D44E3">
        <w:rPr>
          <w:rFonts w:ascii="Times New Roman" w:hAnsi="Times New Roman" w:cs="Times New Roman"/>
          <w:sz w:val="28"/>
          <w:szCs w:val="28"/>
          <w:lang w:val="uk-UA"/>
        </w:rPr>
        <w:t xml:space="preserve">Таким чином, </w:t>
      </w:r>
      <w:r w:rsidR="00EB7681">
        <w:rPr>
          <w:rFonts w:ascii="Times New Roman" w:hAnsi="Times New Roman" w:cs="Times New Roman"/>
          <w:sz w:val="28"/>
          <w:szCs w:val="28"/>
          <w:lang w:val="uk-UA"/>
        </w:rPr>
        <w:t xml:space="preserve">зі збільшенням </w:t>
      </w:r>
      <w:r w:rsidR="004E4390">
        <w:rPr>
          <w:rFonts w:ascii="Times New Roman" w:hAnsi="Times New Roman" w:cs="Times New Roman"/>
          <w:sz w:val="28"/>
          <w:szCs w:val="28"/>
          <w:lang w:val="uk-UA"/>
        </w:rPr>
        <w:t>сп</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вв</w:t>
      </w:r>
      <w:r w:rsidR="004E4390">
        <w:rPr>
          <w:rFonts w:ascii="Times New Roman" w:hAnsi="Times New Roman" w:cs="Times New Roman"/>
          <w:sz w:val="28"/>
          <w:szCs w:val="28"/>
          <w:lang w:val="en-US"/>
        </w:rPr>
        <w:t>i</w:t>
      </w:r>
      <w:r>
        <w:rPr>
          <w:rFonts w:ascii="Times New Roman" w:hAnsi="Times New Roman" w:cs="Times New Roman"/>
          <w:sz w:val="28"/>
          <w:szCs w:val="28"/>
          <w:lang w:val="uk-UA"/>
        </w:rPr>
        <w:t xml:space="preserve">дношення </w:t>
      </w:r>
      <w:r w:rsidR="004E4390">
        <w:rPr>
          <w:rFonts w:ascii="Times New Roman" w:hAnsi="Times New Roman" w:cs="Times New Roman"/>
          <w:sz w:val="28"/>
          <w:szCs w:val="28"/>
          <w:lang w:val="uk-UA"/>
        </w:rPr>
        <w:t>альбум</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ну до креатин</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ну в сеч</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 xml:space="preserve"> зростає </w:t>
      </w:r>
      <w:r w:rsidR="00F90D18">
        <w:rPr>
          <w:rFonts w:ascii="Times New Roman" w:hAnsi="Times New Roman" w:cs="Times New Roman"/>
          <w:sz w:val="28"/>
          <w:szCs w:val="28"/>
          <w:lang w:val="uk-UA"/>
        </w:rPr>
        <w:t>вміст ХС</w:t>
      </w:r>
      <w:r w:rsidR="00753576">
        <w:rPr>
          <w:rFonts w:ascii="Times New Roman" w:hAnsi="Times New Roman" w:cs="Times New Roman"/>
          <w:sz w:val="28"/>
          <w:szCs w:val="28"/>
          <w:lang w:val="uk-UA"/>
        </w:rPr>
        <w:t xml:space="preserve"> ЛПНЩ</w:t>
      </w:r>
      <w:r w:rsidRPr="007D44E3">
        <w:rPr>
          <w:rFonts w:ascii="Times New Roman" w:hAnsi="Times New Roman" w:cs="Times New Roman"/>
          <w:sz w:val="28"/>
          <w:szCs w:val="28"/>
          <w:lang w:val="uk-UA"/>
        </w:rPr>
        <w:t>, що св</w:t>
      </w:r>
      <w:r w:rsidR="004E4390">
        <w:rPr>
          <w:rFonts w:ascii="Times New Roman" w:hAnsi="Times New Roman" w:cs="Times New Roman"/>
          <w:sz w:val="28"/>
          <w:szCs w:val="28"/>
          <w:lang w:val="en-US"/>
        </w:rPr>
        <w:t>i</w:t>
      </w:r>
      <w:r>
        <w:rPr>
          <w:rFonts w:ascii="Times New Roman" w:hAnsi="Times New Roman" w:cs="Times New Roman"/>
          <w:sz w:val="28"/>
          <w:szCs w:val="28"/>
          <w:lang w:val="uk-UA"/>
        </w:rPr>
        <w:t>дчит</w:t>
      </w:r>
      <w:r w:rsidR="00F90D18">
        <w:rPr>
          <w:rFonts w:ascii="Times New Roman" w:hAnsi="Times New Roman" w:cs="Times New Roman"/>
          <w:sz w:val="28"/>
          <w:szCs w:val="28"/>
          <w:lang w:val="uk-UA"/>
        </w:rPr>
        <w:t>ь про важливе значення цієї фракції атерогенних ліпопротеїдів</w:t>
      </w:r>
      <w:r w:rsidR="00EB7681">
        <w:rPr>
          <w:rFonts w:ascii="Times New Roman" w:hAnsi="Times New Roman" w:cs="Times New Roman"/>
          <w:sz w:val="28"/>
          <w:szCs w:val="28"/>
          <w:lang w:val="uk-UA"/>
        </w:rPr>
        <w:t xml:space="preserve"> у погіршенні функціонального стану</w:t>
      </w:r>
      <w:r w:rsidR="004E4390">
        <w:rPr>
          <w:rFonts w:ascii="Times New Roman" w:hAnsi="Times New Roman" w:cs="Times New Roman"/>
          <w:sz w:val="28"/>
          <w:szCs w:val="28"/>
          <w:lang w:val="uk-UA"/>
        </w:rPr>
        <w:t xml:space="preserve"> нирок</w:t>
      </w:r>
      <w:r w:rsidR="00F1082D">
        <w:rPr>
          <w:rFonts w:ascii="Times New Roman" w:hAnsi="Times New Roman" w:cs="Times New Roman"/>
          <w:sz w:val="28"/>
          <w:szCs w:val="28"/>
          <w:lang w:val="uk-UA"/>
        </w:rPr>
        <w:t xml:space="preserve"> пацієнтів</w:t>
      </w:r>
      <w:r w:rsidR="008D79DE">
        <w:rPr>
          <w:rFonts w:ascii="Times New Roman" w:hAnsi="Times New Roman" w:cs="Times New Roman"/>
          <w:sz w:val="28"/>
          <w:szCs w:val="28"/>
          <w:lang w:val="uk-UA"/>
        </w:rPr>
        <w:t xml:space="preserve"> із АГ</w:t>
      </w:r>
      <w:r w:rsidR="00EB7681">
        <w:rPr>
          <w:rFonts w:ascii="Times New Roman" w:hAnsi="Times New Roman" w:cs="Times New Roman"/>
          <w:sz w:val="28"/>
          <w:szCs w:val="28"/>
          <w:lang w:val="uk-UA"/>
        </w:rPr>
        <w:t xml:space="preserve"> та </w:t>
      </w:r>
      <w:r w:rsidR="008D79DE">
        <w:rPr>
          <w:rFonts w:ascii="Times New Roman" w:hAnsi="Times New Roman" w:cs="Times New Roman"/>
          <w:sz w:val="28"/>
          <w:szCs w:val="28"/>
          <w:lang w:val="uk-UA"/>
        </w:rPr>
        <w:t xml:space="preserve">супутнім ЦД 2-го типу. </w:t>
      </w:r>
    </w:p>
    <w:p w:rsidR="00C33BEA" w:rsidRDefault="00C33BEA" w:rsidP="00A0016C">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743BA8" w:rsidRDefault="00F87ADC" w:rsidP="00A0016C">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3E7F87">
        <w:rPr>
          <w:rFonts w:ascii="Times New Roman" w:hAnsi="Times New Roman" w:cs="Times New Roman"/>
          <w:b/>
          <w:sz w:val="28"/>
          <w:szCs w:val="28"/>
          <w:lang w:val="uk-UA"/>
        </w:rPr>
        <w:t>.3</w:t>
      </w:r>
      <w:r w:rsidR="00743BA8" w:rsidRPr="00743BA8">
        <w:rPr>
          <w:rFonts w:ascii="Times New Roman" w:hAnsi="Times New Roman" w:cs="Times New Roman"/>
          <w:b/>
          <w:sz w:val="28"/>
          <w:szCs w:val="28"/>
          <w:lang w:val="uk-UA"/>
        </w:rPr>
        <w:t>.</w:t>
      </w:r>
      <w:r w:rsidR="00743BA8">
        <w:rPr>
          <w:rFonts w:ascii="Times New Roman" w:hAnsi="Times New Roman" w:cs="Times New Roman"/>
          <w:b/>
          <w:sz w:val="28"/>
          <w:szCs w:val="28"/>
          <w:lang w:val="uk-UA"/>
        </w:rPr>
        <w:t xml:space="preserve"> </w:t>
      </w:r>
      <w:r w:rsidR="004E4390">
        <w:rPr>
          <w:rFonts w:ascii="Times New Roman" w:hAnsi="Times New Roman" w:cs="Times New Roman"/>
          <w:b/>
          <w:sz w:val="28"/>
          <w:szCs w:val="28"/>
          <w:lang w:val="uk-UA"/>
        </w:rPr>
        <w:t>Досл</w:t>
      </w:r>
      <w:r w:rsidR="004E4390">
        <w:rPr>
          <w:rFonts w:ascii="Times New Roman" w:hAnsi="Times New Roman" w:cs="Times New Roman"/>
          <w:b/>
          <w:sz w:val="28"/>
          <w:szCs w:val="28"/>
          <w:lang w:val="en-US"/>
        </w:rPr>
        <w:t>i</w:t>
      </w:r>
      <w:r w:rsidR="00B67BE7">
        <w:rPr>
          <w:rFonts w:ascii="Times New Roman" w:hAnsi="Times New Roman" w:cs="Times New Roman"/>
          <w:b/>
          <w:sz w:val="28"/>
          <w:szCs w:val="28"/>
          <w:lang w:val="uk-UA"/>
        </w:rPr>
        <w:t xml:space="preserve">дження </w:t>
      </w:r>
      <w:r w:rsidR="004E4390">
        <w:rPr>
          <w:rFonts w:ascii="Times New Roman" w:hAnsi="Times New Roman" w:cs="Times New Roman"/>
          <w:b/>
          <w:sz w:val="28"/>
          <w:szCs w:val="28"/>
          <w:lang w:val="uk-UA"/>
        </w:rPr>
        <w:t>зв’язку м</w:t>
      </w:r>
      <w:r w:rsidR="004E4390">
        <w:rPr>
          <w:rFonts w:ascii="Times New Roman" w:hAnsi="Times New Roman" w:cs="Times New Roman"/>
          <w:b/>
          <w:sz w:val="28"/>
          <w:szCs w:val="28"/>
          <w:lang w:val="en-US"/>
        </w:rPr>
        <w:t>i</w:t>
      </w:r>
      <w:r w:rsidR="004E4390">
        <w:rPr>
          <w:rFonts w:ascii="Times New Roman" w:hAnsi="Times New Roman" w:cs="Times New Roman"/>
          <w:b/>
          <w:sz w:val="28"/>
          <w:szCs w:val="28"/>
          <w:lang w:val="uk-UA"/>
        </w:rPr>
        <w:t xml:space="preserve">ж </w:t>
      </w:r>
      <w:r w:rsidR="00CE0C42">
        <w:rPr>
          <w:rFonts w:ascii="Times New Roman" w:hAnsi="Times New Roman" w:cs="Times New Roman"/>
          <w:b/>
          <w:sz w:val="28"/>
          <w:szCs w:val="28"/>
          <w:lang w:val="uk-UA"/>
        </w:rPr>
        <w:t xml:space="preserve">маркерами </w:t>
      </w:r>
      <w:r w:rsidR="00604F9D">
        <w:rPr>
          <w:rFonts w:ascii="Times New Roman" w:hAnsi="Times New Roman" w:cs="Times New Roman"/>
          <w:b/>
          <w:sz w:val="28"/>
          <w:szCs w:val="28"/>
          <w:lang w:val="uk-UA"/>
        </w:rPr>
        <w:t xml:space="preserve">функціонального стану </w:t>
      </w:r>
      <w:r w:rsidR="00CE0C42">
        <w:rPr>
          <w:rFonts w:ascii="Times New Roman" w:hAnsi="Times New Roman" w:cs="Times New Roman"/>
          <w:b/>
          <w:sz w:val="28"/>
          <w:szCs w:val="28"/>
          <w:lang w:val="uk-UA"/>
        </w:rPr>
        <w:t xml:space="preserve">нирок та </w:t>
      </w:r>
      <w:r w:rsidR="00604F9D">
        <w:rPr>
          <w:rFonts w:ascii="Times New Roman" w:hAnsi="Times New Roman" w:cs="Times New Roman"/>
          <w:b/>
          <w:sz w:val="28"/>
          <w:szCs w:val="28"/>
          <w:lang w:val="uk-UA"/>
        </w:rPr>
        <w:t xml:space="preserve">ендотелію </w:t>
      </w:r>
      <w:r w:rsidR="00743BA8" w:rsidRPr="00743BA8">
        <w:rPr>
          <w:rFonts w:ascii="Times New Roman" w:hAnsi="Times New Roman" w:cs="Times New Roman"/>
          <w:b/>
          <w:sz w:val="28"/>
          <w:szCs w:val="28"/>
          <w:lang w:val="uk-UA"/>
        </w:rPr>
        <w:t xml:space="preserve">при </w:t>
      </w:r>
      <w:r w:rsidR="00743BA8">
        <w:rPr>
          <w:rFonts w:ascii="Times New Roman" w:hAnsi="Times New Roman" w:cs="Times New Roman"/>
          <w:b/>
          <w:sz w:val="28"/>
          <w:szCs w:val="28"/>
          <w:lang w:val="uk-UA"/>
        </w:rPr>
        <w:t>комор</w:t>
      </w:r>
      <w:r w:rsidR="004E4390">
        <w:rPr>
          <w:rFonts w:ascii="Times New Roman" w:hAnsi="Times New Roman" w:cs="Times New Roman"/>
          <w:b/>
          <w:sz w:val="28"/>
          <w:szCs w:val="28"/>
          <w:lang w:val="uk-UA"/>
        </w:rPr>
        <w:t>б</w:t>
      </w:r>
      <w:r w:rsidR="004E4390">
        <w:rPr>
          <w:rFonts w:ascii="Times New Roman" w:hAnsi="Times New Roman" w:cs="Times New Roman"/>
          <w:b/>
          <w:sz w:val="28"/>
          <w:szCs w:val="28"/>
          <w:lang w:val="en-US"/>
        </w:rPr>
        <w:t>i</w:t>
      </w:r>
      <w:r w:rsidR="004E4390">
        <w:rPr>
          <w:rFonts w:ascii="Times New Roman" w:hAnsi="Times New Roman" w:cs="Times New Roman"/>
          <w:b/>
          <w:sz w:val="28"/>
          <w:szCs w:val="28"/>
          <w:lang w:val="uk-UA"/>
        </w:rPr>
        <w:t>дн</w:t>
      </w:r>
      <w:r w:rsidR="004E4390">
        <w:rPr>
          <w:rFonts w:ascii="Times New Roman" w:hAnsi="Times New Roman" w:cs="Times New Roman"/>
          <w:b/>
          <w:sz w:val="28"/>
          <w:szCs w:val="28"/>
          <w:lang w:val="en-US"/>
        </w:rPr>
        <w:t>i</w:t>
      </w:r>
      <w:r w:rsidR="004E4390">
        <w:rPr>
          <w:rFonts w:ascii="Times New Roman" w:hAnsi="Times New Roman" w:cs="Times New Roman"/>
          <w:b/>
          <w:sz w:val="28"/>
          <w:szCs w:val="28"/>
          <w:lang w:val="uk-UA"/>
        </w:rPr>
        <w:t>й патолог</w:t>
      </w:r>
      <w:r w:rsidR="004E4390">
        <w:rPr>
          <w:rFonts w:ascii="Times New Roman" w:hAnsi="Times New Roman" w:cs="Times New Roman"/>
          <w:b/>
          <w:sz w:val="28"/>
          <w:szCs w:val="28"/>
          <w:lang w:val="en-US"/>
        </w:rPr>
        <w:t>i</w:t>
      </w:r>
      <w:r w:rsidR="00743BA8" w:rsidRPr="00743BA8">
        <w:rPr>
          <w:rFonts w:ascii="Times New Roman" w:hAnsi="Times New Roman" w:cs="Times New Roman"/>
          <w:b/>
          <w:sz w:val="28"/>
          <w:szCs w:val="28"/>
          <w:lang w:val="uk-UA"/>
        </w:rPr>
        <w:t>ї</w:t>
      </w:r>
      <w:r w:rsidR="00743BA8">
        <w:rPr>
          <w:rFonts w:ascii="Times New Roman" w:hAnsi="Times New Roman" w:cs="Times New Roman"/>
          <w:b/>
          <w:sz w:val="28"/>
          <w:szCs w:val="28"/>
          <w:lang w:val="uk-UA"/>
        </w:rPr>
        <w:t>.</w:t>
      </w:r>
    </w:p>
    <w:p w:rsidR="00605DE0" w:rsidRPr="00821930" w:rsidRDefault="00605DE0" w:rsidP="00A0016C">
      <w:pPr>
        <w:autoSpaceDE w:val="0"/>
        <w:autoSpaceDN w:val="0"/>
        <w:adjustRightInd w:val="0"/>
        <w:spacing w:after="0" w:line="360" w:lineRule="auto"/>
        <w:ind w:firstLine="708"/>
        <w:jc w:val="both"/>
        <w:rPr>
          <w:rFonts w:ascii="Times New Roman" w:hAnsi="Times New Roman" w:cs="Times New Roman"/>
          <w:sz w:val="28"/>
          <w:szCs w:val="28"/>
          <w:lang w:val="uk-UA"/>
        </w:rPr>
      </w:pPr>
    </w:p>
    <w:p w:rsidR="003470BD" w:rsidRPr="00821930" w:rsidRDefault="001B6D44" w:rsidP="00F50E8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948F3">
        <w:rPr>
          <w:rFonts w:ascii="Times New Roman" w:hAnsi="Times New Roman" w:cs="Times New Roman"/>
          <w:sz w:val="28"/>
          <w:szCs w:val="28"/>
          <w:lang w:val="uk-UA"/>
        </w:rPr>
        <w:t xml:space="preserve">міст ЕТ-1 </w:t>
      </w:r>
      <w:r>
        <w:rPr>
          <w:rFonts w:ascii="Times New Roman" w:hAnsi="Times New Roman" w:cs="Times New Roman"/>
          <w:sz w:val="28"/>
          <w:szCs w:val="28"/>
          <w:lang w:val="uk-UA"/>
        </w:rPr>
        <w:t xml:space="preserve">було визначено у </w:t>
      </w:r>
      <w:r w:rsidRPr="001B6D44">
        <w:rPr>
          <w:rFonts w:ascii="Times New Roman" w:hAnsi="Times New Roman" w:cs="Times New Roman"/>
          <w:sz w:val="28"/>
          <w:szCs w:val="28"/>
          <w:lang w:val="uk-UA"/>
        </w:rPr>
        <w:t xml:space="preserve">всіх обстежених хворих </w:t>
      </w:r>
      <w:r w:rsidR="000948F3">
        <w:rPr>
          <w:rFonts w:ascii="Times New Roman" w:hAnsi="Times New Roman" w:cs="Times New Roman"/>
          <w:sz w:val="28"/>
          <w:szCs w:val="28"/>
          <w:lang w:val="uk-UA"/>
        </w:rPr>
        <w:t>зважаючи на те, що цей пептид є потужним вазоконстриктором, показником функціонального стану ендотелію судин нирок</w:t>
      </w:r>
      <w:r w:rsidR="00F966DF" w:rsidRPr="00F966DF">
        <w:rPr>
          <w:rFonts w:ascii="Times New Roman" w:hAnsi="Times New Roman" w:cs="Times New Roman"/>
          <w:sz w:val="28"/>
          <w:szCs w:val="28"/>
          <w:lang w:val="uk-UA"/>
        </w:rPr>
        <w:t xml:space="preserve"> </w:t>
      </w:r>
      <w:r w:rsidR="003470BD" w:rsidRPr="003470BD">
        <w:rPr>
          <w:rFonts w:ascii="Times New Roman" w:hAnsi="Times New Roman" w:cs="Times New Roman"/>
          <w:sz w:val="28"/>
          <w:szCs w:val="28"/>
          <w:lang w:val="uk-UA"/>
        </w:rPr>
        <w:t>[</w:t>
      </w:r>
      <w:r w:rsidR="00267B2C" w:rsidRPr="004B16DA">
        <w:rPr>
          <w:rFonts w:ascii="Times New Roman" w:hAnsi="Times New Roman" w:cs="Times New Roman"/>
          <w:sz w:val="28"/>
          <w:szCs w:val="28"/>
        </w:rPr>
        <w:t>68</w:t>
      </w:r>
      <w:r w:rsidR="000948F3">
        <w:rPr>
          <w:rFonts w:ascii="Times New Roman" w:hAnsi="Times New Roman" w:cs="Times New Roman"/>
          <w:sz w:val="28"/>
          <w:szCs w:val="28"/>
          <w:lang w:val="uk-UA"/>
        </w:rPr>
        <w:t>],</w:t>
      </w:r>
      <w:r w:rsidR="004E4390">
        <w:rPr>
          <w:rFonts w:ascii="Times New Roman" w:hAnsi="Times New Roman" w:cs="Times New Roman"/>
          <w:sz w:val="28"/>
          <w:szCs w:val="28"/>
          <w:lang w:val="uk-UA"/>
        </w:rPr>
        <w:t xml:space="preserve"> </w:t>
      </w:r>
      <w:r w:rsidR="000948F3">
        <w:rPr>
          <w:rFonts w:ascii="Times New Roman" w:hAnsi="Times New Roman" w:cs="Times New Roman"/>
          <w:sz w:val="28"/>
          <w:szCs w:val="28"/>
          <w:lang w:val="uk-UA"/>
        </w:rPr>
        <w:t>сприяє розвитку АГ [</w:t>
      </w:r>
      <w:r w:rsidR="004B16DA">
        <w:rPr>
          <w:rFonts w:ascii="Times New Roman" w:hAnsi="Times New Roman" w:cs="Times New Roman"/>
          <w:sz w:val="28"/>
          <w:szCs w:val="28"/>
        </w:rPr>
        <w:t>14</w:t>
      </w:r>
      <w:r w:rsidR="004B16DA">
        <w:rPr>
          <w:rFonts w:ascii="Times New Roman" w:hAnsi="Times New Roman" w:cs="Times New Roman"/>
          <w:sz w:val="28"/>
          <w:szCs w:val="28"/>
          <w:lang w:val="uk-UA"/>
        </w:rPr>
        <w:t>8</w:t>
      </w:r>
      <w:r w:rsidR="000948F3" w:rsidRPr="004B16DA">
        <w:rPr>
          <w:rFonts w:ascii="Times New Roman" w:hAnsi="Times New Roman" w:cs="Times New Roman"/>
          <w:sz w:val="28"/>
          <w:szCs w:val="28"/>
          <w:lang w:val="uk-UA"/>
        </w:rPr>
        <w:t xml:space="preserve">], </w:t>
      </w:r>
      <w:r w:rsidR="00F966DF" w:rsidRPr="004B16DA">
        <w:rPr>
          <w:rFonts w:ascii="Times New Roman" w:hAnsi="Times New Roman" w:cs="Times New Roman"/>
          <w:sz w:val="28"/>
          <w:szCs w:val="28"/>
          <w:lang w:val="uk-UA"/>
        </w:rPr>
        <w:t>ДН [</w:t>
      </w:r>
      <w:r w:rsidR="004B16DA">
        <w:rPr>
          <w:rFonts w:ascii="Times New Roman" w:hAnsi="Times New Roman" w:cs="Times New Roman"/>
          <w:sz w:val="28"/>
          <w:szCs w:val="28"/>
        </w:rPr>
        <w:t>14</w:t>
      </w:r>
      <w:r w:rsidR="004B16DA">
        <w:rPr>
          <w:rFonts w:ascii="Times New Roman" w:hAnsi="Times New Roman" w:cs="Times New Roman"/>
          <w:sz w:val="28"/>
          <w:szCs w:val="28"/>
          <w:lang w:val="uk-UA"/>
        </w:rPr>
        <w:t>9</w:t>
      </w:r>
      <w:r w:rsidR="00F966DF" w:rsidRPr="004B16DA">
        <w:rPr>
          <w:rFonts w:ascii="Times New Roman" w:hAnsi="Times New Roman" w:cs="Times New Roman"/>
          <w:sz w:val="28"/>
          <w:szCs w:val="28"/>
          <w:lang w:val="uk-UA"/>
        </w:rPr>
        <w:t>].</w:t>
      </w:r>
      <w:r w:rsidR="00F966DF" w:rsidRPr="00EE7E42">
        <w:rPr>
          <w:rFonts w:ascii="Times New Roman" w:hAnsi="Times New Roman" w:cs="Times New Roman"/>
          <w:sz w:val="28"/>
          <w:szCs w:val="28"/>
          <w:lang w:val="uk-UA"/>
        </w:rPr>
        <w:t xml:space="preserve"> </w:t>
      </w:r>
    </w:p>
    <w:p w:rsidR="000948F3" w:rsidRDefault="006B787D" w:rsidP="00B03E6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вмісту </w:t>
      </w:r>
      <w:r w:rsidR="00743BA8" w:rsidRPr="00985F14">
        <w:rPr>
          <w:rFonts w:ascii="Times New Roman" w:hAnsi="Times New Roman" w:cs="Times New Roman"/>
          <w:sz w:val="28"/>
          <w:szCs w:val="28"/>
          <w:lang w:val="uk-UA"/>
        </w:rPr>
        <w:t>ЕТ-1</w:t>
      </w:r>
      <w:r>
        <w:rPr>
          <w:rFonts w:ascii="Times New Roman" w:hAnsi="Times New Roman" w:cs="Times New Roman"/>
          <w:sz w:val="28"/>
          <w:szCs w:val="28"/>
          <w:lang w:val="uk-UA"/>
        </w:rPr>
        <w:t xml:space="preserve"> показало, що у</w:t>
      </w:r>
      <w:r w:rsidR="00CC2171" w:rsidRPr="00985F14">
        <w:rPr>
          <w:rFonts w:ascii="Times New Roman" w:hAnsi="Times New Roman" w:cs="Times New Roman"/>
          <w:sz w:val="28"/>
          <w:szCs w:val="28"/>
          <w:lang w:val="uk-UA"/>
        </w:rPr>
        <w:t xml:space="preserve"> </w:t>
      </w:r>
      <w:r w:rsidR="004E4390">
        <w:rPr>
          <w:rFonts w:ascii="Times New Roman" w:hAnsi="Times New Roman" w:cs="Times New Roman"/>
          <w:sz w:val="28"/>
          <w:szCs w:val="28"/>
          <w:lang w:val="uk-UA"/>
        </w:rPr>
        <w:t>пац</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єнт</w:t>
      </w:r>
      <w:r w:rsidR="004E4390">
        <w:rPr>
          <w:rFonts w:ascii="Times New Roman" w:hAnsi="Times New Roman" w:cs="Times New Roman"/>
          <w:sz w:val="28"/>
          <w:szCs w:val="28"/>
          <w:lang w:val="en-US"/>
        </w:rPr>
        <w:t>i</w:t>
      </w:r>
      <w:r>
        <w:rPr>
          <w:rFonts w:ascii="Times New Roman" w:hAnsi="Times New Roman" w:cs="Times New Roman"/>
          <w:sz w:val="28"/>
          <w:szCs w:val="28"/>
          <w:lang w:val="uk-UA"/>
        </w:rPr>
        <w:t xml:space="preserve">в І групи він склав </w:t>
      </w:r>
      <w:r w:rsidR="004E5A6E" w:rsidRPr="00985F14">
        <w:rPr>
          <w:rFonts w:ascii="Times New Roman" w:hAnsi="Times New Roman" w:cs="Times New Roman"/>
          <w:sz w:val="28"/>
          <w:szCs w:val="28"/>
          <w:lang w:val="uk-UA"/>
        </w:rPr>
        <w:t>(</w:t>
      </w:r>
      <w:r w:rsidR="002D53D2">
        <w:rPr>
          <w:rFonts w:ascii="Times New Roman" w:hAnsi="Times New Roman" w:cs="Times New Roman"/>
          <w:sz w:val="28"/>
          <w:szCs w:val="28"/>
          <w:lang w:val="uk-UA"/>
        </w:rPr>
        <w:t>11,4</w:t>
      </w:r>
      <w:r w:rsidR="002D53D2" w:rsidRPr="002D53D2">
        <w:rPr>
          <w:rFonts w:ascii="Times New Roman" w:hAnsi="Times New Roman" w:cs="Times New Roman"/>
          <w:sz w:val="28"/>
          <w:szCs w:val="28"/>
          <w:lang w:val="uk-UA"/>
        </w:rPr>
        <w:t>2</w:t>
      </w:r>
      <w:r w:rsidR="00C33BEA">
        <w:rPr>
          <w:rFonts w:ascii="Times New Roman" w:hAnsi="Times New Roman" w:cs="Times New Roman"/>
          <w:sz w:val="28"/>
          <w:szCs w:val="28"/>
          <w:lang w:val="uk-UA"/>
        </w:rPr>
        <w:t xml:space="preserve"> </w:t>
      </w:r>
      <w:r w:rsidR="006F140B">
        <w:rPr>
          <w:rFonts w:ascii="Times New Roman" w:hAnsi="Times New Roman" w:cs="Times New Roman"/>
          <w:sz w:val="28"/>
          <w:szCs w:val="28"/>
          <w:lang w:val="uk-UA"/>
        </w:rPr>
        <w:t>±</w:t>
      </w:r>
      <w:r w:rsidR="00C33BEA">
        <w:rPr>
          <w:rFonts w:ascii="Times New Roman" w:hAnsi="Times New Roman" w:cs="Times New Roman"/>
          <w:sz w:val="28"/>
          <w:szCs w:val="28"/>
          <w:lang w:val="uk-UA"/>
        </w:rPr>
        <w:t xml:space="preserve"> </w:t>
      </w:r>
      <w:r w:rsidR="002D53D2">
        <w:rPr>
          <w:rFonts w:ascii="Times New Roman" w:hAnsi="Times New Roman" w:cs="Times New Roman"/>
          <w:sz w:val="28"/>
          <w:szCs w:val="28"/>
          <w:lang w:val="uk-UA"/>
        </w:rPr>
        <w:t>0,49</w:t>
      </w:r>
      <w:r w:rsidR="00CC2171" w:rsidRPr="00985F14">
        <w:rPr>
          <w:rFonts w:ascii="Times New Roman" w:hAnsi="Times New Roman" w:cs="Times New Roman"/>
          <w:sz w:val="28"/>
          <w:szCs w:val="28"/>
          <w:lang w:val="uk-UA"/>
        </w:rPr>
        <w:t xml:space="preserve">) пг/мл, </w:t>
      </w:r>
      <w:r w:rsidR="002056B6">
        <w:rPr>
          <w:rFonts w:ascii="Times New Roman" w:hAnsi="Times New Roman" w:cs="Times New Roman"/>
          <w:sz w:val="28"/>
          <w:szCs w:val="28"/>
          <w:lang w:val="uk-UA"/>
        </w:rPr>
        <w:t>ІІ – (</w:t>
      </w:r>
      <w:r w:rsidR="002D53D2">
        <w:rPr>
          <w:rFonts w:ascii="Times New Roman" w:hAnsi="Times New Roman" w:cs="Times New Roman"/>
          <w:sz w:val="28"/>
          <w:szCs w:val="28"/>
          <w:lang w:val="uk-UA"/>
        </w:rPr>
        <w:t>9,25</w:t>
      </w:r>
      <w:r w:rsidR="00C33BEA">
        <w:rPr>
          <w:rFonts w:ascii="Times New Roman" w:hAnsi="Times New Roman" w:cs="Times New Roman"/>
          <w:sz w:val="28"/>
          <w:szCs w:val="28"/>
          <w:lang w:val="uk-UA"/>
        </w:rPr>
        <w:t xml:space="preserve"> </w:t>
      </w:r>
      <w:r w:rsidR="002D53D2">
        <w:rPr>
          <w:rFonts w:ascii="Times New Roman" w:hAnsi="Times New Roman" w:cs="Times New Roman"/>
          <w:sz w:val="28"/>
          <w:szCs w:val="28"/>
          <w:lang w:val="uk-UA"/>
        </w:rPr>
        <w:t>±</w:t>
      </w:r>
      <w:r w:rsidR="00C33BEA">
        <w:rPr>
          <w:rFonts w:ascii="Times New Roman" w:hAnsi="Times New Roman" w:cs="Times New Roman"/>
          <w:sz w:val="28"/>
          <w:szCs w:val="28"/>
          <w:lang w:val="uk-UA"/>
        </w:rPr>
        <w:t xml:space="preserve"> </w:t>
      </w:r>
      <w:r w:rsidR="002D53D2">
        <w:rPr>
          <w:rFonts w:ascii="Times New Roman" w:hAnsi="Times New Roman" w:cs="Times New Roman"/>
          <w:sz w:val="28"/>
          <w:szCs w:val="28"/>
          <w:lang w:val="uk-UA"/>
        </w:rPr>
        <w:t>0,57</w:t>
      </w:r>
      <w:r w:rsidR="002056B6">
        <w:rPr>
          <w:rFonts w:ascii="Times New Roman" w:hAnsi="Times New Roman" w:cs="Times New Roman"/>
          <w:sz w:val="28"/>
          <w:szCs w:val="28"/>
          <w:lang w:val="uk-UA"/>
        </w:rPr>
        <w:t>) пг/мл,</w:t>
      </w:r>
      <w:r w:rsidR="002D53D2">
        <w:rPr>
          <w:rFonts w:ascii="Times New Roman" w:hAnsi="Times New Roman" w:cs="Times New Roman"/>
          <w:sz w:val="28"/>
          <w:szCs w:val="28"/>
          <w:lang w:val="uk-UA"/>
        </w:rPr>
        <w:t xml:space="preserve"> р</w:t>
      </w:r>
      <w:r>
        <w:rPr>
          <w:rFonts w:ascii="Times New Roman" w:hAnsi="Times New Roman" w:cs="Times New Roman"/>
          <w:sz w:val="28"/>
          <w:szCs w:val="28"/>
          <w:vertAlign w:val="subscript"/>
          <w:lang w:val="uk-UA"/>
        </w:rPr>
        <w:t>1-2</w:t>
      </w:r>
      <w:r w:rsidR="002D53D2">
        <w:rPr>
          <w:rFonts w:ascii="Times New Roman" w:hAnsi="Times New Roman" w:cs="Times New Roman"/>
          <w:sz w:val="28"/>
          <w:szCs w:val="28"/>
          <w:lang w:val="uk-UA"/>
        </w:rPr>
        <w:t xml:space="preserve"> = 0,0329;</w:t>
      </w:r>
      <w:r w:rsidR="002056B6" w:rsidRPr="002056B6">
        <w:rPr>
          <w:rFonts w:ascii="Times New Roman" w:hAnsi="Times New Roman" w:cs="Times New Roman"/>
          <w:sz w:val="28"/>
          <w:szCs w:val="28"/>
          <w:lang w:val="uk-UA"/>
        </w:rPr>
        <w:t xml:space="preserve"> </w:t>
      </w:r>
      <w:r w:rsidR="000B678E">
        <w:rPr>
          <w:rFonts w:ascii="Times New Roman" w:hAnsi="Times New Roman" w:cs="Times New Roman"/>
          <w:sz w:val="28"/>
          <w:szCs w:val="28"/>
          <w:lang w:val="uk-UA"/>
        </w:rPr>
        <w:t xml:space="preserve">групи контролю </w:t>
      </w:r>
      <w:r w:rsidR="004E5A6E" w:rsidRPr="002D53D2">
        <w:rPr>
          <w:rFonts w:ascii="Times New Roman" w:hAnsi="Times New Roman" w:cs="Times New Roman"/>
          <w:sz w:val="28"/>
          <w:szCs w:val="28"/>
          <w:lang w:val="uk-UA"/>
        </w:rPr>
        <w:t>– (2</w:t>
      </w:r>
      <w:r w:rsidR="00915C79" w:rsidRPr="002D53D2">
        <w:rPr>
          <w:rFonts w:ascii="Times New Roman" w:hAnsi="Times New Roman" w:cs="Times New Roman"/>
          <w:sz w:val="28"/>
          <w:szCs w:val="28"/>
          <w:lang w:val="uk-UA"/>
        </w:rPr>
        <w:t>,2</w:t>
      </w:r>
      <w:r w:rsidR="002D53D2" w:rsidRPr="002D53D2">
        <w:rPr>
          <w:rFonts w:ascii="Times New Roman" w:hAnsi="Times New Roman" w:cs="Times New Roman"/>
          <w:sz w:val="28"/>
          <w:szCs w:val="28"/>
          <w:lang w:val="uk-UA"/>
        </w:rPr>
        <w:t>5</w:t>
      </w:r>
      <w:r w:rsidR="00C33BEA">
        <w:rPr>
          <w:rFonts w:ascii="Times New Roman" w:hAnsi="Times New Roman" w:cs="Times New Roman"/>
          <w:sz w:val="28"/>
          <w:szCs w:val="28"/>
          <w:lang w:val="uk-UA"/>
        </w:rPr>
        <w:t xml:space="preserve"> </w:t>
      </w:r>
      <w:r w:rsidR="002D53D2" w:rsidRPr="002D53D2">
        <w:rPr>
          <w:rFonts w:ascii="Times New Roman" w:hAnsi="Times New Roman" w:cs="Times New Roman"/>
          <w:sz w:val="28"/>
          <w:szCs w:val="28"/>
          <w:lang w:val="uk-UA"/>
        </w:rPr>
        <w:t>±</w:t>
      </w:r>
      <w:r w:rsidR="00C33BEA">
        <w:rPr>
          <w:rFonts w:ascii="Times New Roman" w:hAnsi="Times New Roman" w:cs="Times New Roman"/>
          <w:sz w:val="28"/>
          <w:szCs w:val="28"/>
          <w:lang w:val="uk-UA"/>
        </w:rPr>
        <w:t xml:space="preserve"> </w:t>
      </w:r>
      <w:r w:rsidR="002D53D2" w:rsidRPr="002D53D2">
        <w:rPr>
          <w:rFonts w:ascii="Times New Roman" w:hAnsi="Times New Roman" w:cs="Times New Roman"/>
          <w:sz w:val="28"/>
          <w:szCs w:val="28"/>
          <w:lang w:val="uk-UA"/>
        </w:rPr>
        <w:t>1,04</w:t>
      </w:r>
      <w:r w:rsidR="004E5A6E" w:rsidRPr="002D53D2">
        <w:rPr>
          <w:rFonts w:ascii="Times New Roman" w:hAnsi="Times New Roman" w:cs="Times New Roman"/>
          <w:sz w:val="28"/>
          <w:szCs w:val="28"/>
          <w:lang w:val="uk-UA"/>
        </w:rPr>
        <w:t xml:space="preserve">) пг/мл, </w:t>
      </w:r>
      <w:r w:rsidR="002D53D2" w:rsidRPr="002D53D2">
        <w:rPr>
          <w:rFonts w:ascii="Times New Roman" w:hAnsi="Times New Roman" w:cs="Times New Roman"/>
          <w:sz w:val="28"/>
          <w:szCs w:val="28"/>
          <w:lang w:val="uk-UA"/>
        </w:rPr>
        <w:t>p</w:t>
      </w:r>
      <w:r>
        <w:rPr>
          <w:rFonts w:ascii="Times New Roman" w:hAnsi="Times New Roman" w:cs="Times New Roman"/>
          <w:sz w:val="28"/>
          <w:szCs w:val="28"/>
          <w:vertAlign w:val="subscript"/>
          <w:lang w:val="uk-UA"/>
        </w:rPr>
        <w:t>1-3</w:t>
      </w:r>
      <w:r w:rsidR="002D53D2" w:rsidRPr="002D53D2">
        <w:rPr>
          <w:rFonts w:ascii="Times New Roman" w:hAnsi="Times New Roman" w:cs="Times New Roman"/>
          <w:sz w:val="28"/>
          <w:szCs w:val="28"/>
          <w:lang w:val="uk-UA"/>
        </w:rPr>
        <w:t xml:space="preserve"> &lt; 0,0001</w:t>
      </w:r>
      <w:r w:rsidR="00F372CE">
        <w:rPr>
          <w:rFonts w:ascii="Times New Roman" w:hAnsi="Times New Roman" w:cs="Times New Roman"/>
          <w:sz w:val="28"/>
          <w:szCs w:val="28"/>
          <w:lang w:val="uk-UA"/>
        </w:rPr>
        <w:t xml:space="preserve"> (рис. 4.3.1)</w:t>
      </w:r>
      <w:r w:rsidR="00C33BEA">
        <w:rPr>
          <w:rFonts w:ascii="Times New Roman" w:hAnsi="Times New Roman" w:cs="Times New Roman"/>
          <w:sz w:val="28"/>
          <w:szCs w:val="28"/>
          <w:lang w:val="uk-UA"/>
        </w:rPr>
        <w:t>.</w:t>
      </w:r>
    </w:p>
    <w:p w:rsidR="000948F3" w:rsidRDefault="000948F3" w:rsidP="00B03E6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79AAC0CC" wp14:editId="26B342A7">
            <wp:extent cx="5283200" cy="3093155"/>
            <wp:effectExtent l="0" t="0" r="12700" b="120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48F3" w:rsidRDefault="00F372CE" w:rsidP="00B03E6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Рис. 4</w:t>
      </w:r>
      <w:r w:rsidR="000B678E">
        <w:rPr>
          <w:rFonts w:ascii="Times New Roman" w:hAnsi="Times New Roman" w:cs="Times New Roman"/>
          <w:sz w:val="28"/>
          <w:szCs w:val="28"/>
          <w:lang w:val="uk-UA"/>
        </w:rPr>
        <w:t xml:space="preserve">.3.1 – Вміст ендотеліну-1 в обстежених </w:t>
      </w:r>
      <w:r w:rsidR="00FD629A">
        <w:rPr>
          <w:rFonts w:ascii="Times New Roman" w:hAnsi="Times New Roman" w:cs="Times New Roman"/>
          <w:sz w:val="28"/>
          <w:szCs w:val="28"/>
          <w:lang w:val="uk-UA"/>
        </w:rPr>
        <w:t>пацієнтів</w:t>
      </w:r>
      <w:r>
        <w:rPr>
          <w:rFonts w:ascii="Times New Roman" w:hAnsi="Times New Roman" w:cs="Times New Roman"/>
          <w:sz w:val="28"/>
          <w:szCs w:val="28"/>
          <w:lang w:val="uk-UA"/>
        </w:rPr>
        <w:t xml:space="preserve"> </w:t>
      </w:r>
    </w:p>
    <w:p w:rsidR="000948F3" w:rsidRDefault="000948F3" w:rsidP="00F372CE">
      <w:pPr>
        <w:autoSpaceDE w:val="0"/>
        <w:autoSpaceDN w:val="0"/>
        <w:adjustRightInd w:val="0"/>
        <w:spacing w:after="0" w:line="360" w:lineRule="auto"/>
        <w:jc w:val="both"/>
        <w:rPr>
          <w:rFonts w:ascii="Times New Roman" w:hAnsi="Times New Roman" w:cs="Times New Roman"/>
          <w:sz w:val="28"/>
          <w:szCs w:val="28"/>
          <w:lang w:val="uk-UA"/>
        </w:rPr>
      </w:pPr>
    </w:p>
    <w:p w:rsidR="008840E7" w:rsidRDefault="00C33BEA" w:rsidP="00B03E6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Отже, </w:t>
      </w:r>
      <w:r w:rsidR="00F372CE">
        <w:rPr>
          <w:rFonts w:ascii="Times New Roman" w:hAnsi="Times New Roman" w:cs="Times New Roman"/>
          <w:sz w:val="28"/>
          <w:szCs w:val="28"/>
          <w:lang w:val="uk-UA"/>
        </w:rPr>
        <w:t xml:space="preserve">у пацієнтів </w:t>
      </w:r>
      <w:r w:rsidR="009C4137">
        <w:rPr>
          <w:rFonts w:ascii="Times New Roman" w:hAnsi="Times New Roman" w:cs="Times New Roman"/>
          <w:sz w:val="28"/>
          <w:szCs w:val="28"/>
          <w:lang w:val="uk-UA"/>
        </w:rPr>
        <w:t>і</w:t>
      </w:r>
      <w:r w:rsidR="004E5A6E" w:rsidRPr="002D53D2">
        <w:rPr>
          <w:rFonts w:ascii="Times New Roman" w:hAnsi="Times New Roman" w:cs="Times New Roman"/>
          <w:sz w:val="28"/>
          <w:szCs w:val="28"/>
          <w:lang w:val="uk-UA"/>
        </w:rPr>
        <w:t>з АГ та ЦД 2</w:t>
      </w:r>
      <w:r w:rsidR="00D8405C" w:rsidRPr="002D53D2">
        <w:rPr>
          <w:rFonts w:ascii="Times New Roman" w:hAnsi="Times New Roman" w:cs="Times New Roman"/>
          <w:sz w:val="28"/>
          <w:szCs w:val="28"/>
          <w:lang w:val="uk-UA"/>
        </w:rPr>
        <w:t>-го</w:t>
      </w:r>
      <w:r w:rsidR="004E4390">
        <w:rPr>
          <w:rFonts w:ascii="Times New Roman" w:hAnsi="Times New Roman" w:cs="Times New Roman"/>
          <w:sz w:val="28"/>
          <w:szCs w:val="28"/>
          <w:lang w:val="uk-UA"/>
        </w:rPr>
        <w:t xml:space="preserve"> типу </w:t>
      </w:r>
      <w:r w:rsidR="00F372CE">
        <w:rPr>
          <w:rFonts w:ascii="Times New Roman" w:hAnsi="Times New Roman" w:cs="Times New Roman"/>
          <w:sz w:val="28"/>
          <w:szCs w:val="28"/>
          <w:lang w:val="uk-UA"/>
        </w:rPr>
        <w:t xml:space="preserve">вміст </w:t>
      </w:r>
      <w:r w:rsidR="004E4390">
        <w:rPr>
          <w:rFonts w:ascii="Times New Roman" w:hAnsi="Times New Roman" w:cs="Times New Roman"/>
          <w:sz w:val="28"/>
          <w:szCs w:val="28"/>
          <w:lang w:val="uk-UA"/>
        </w:rPr>
        <w:t xml:space="preserve">ЕТ-1 </w:t>
      </w:r>
      <w:r w:rsidR="00F372CE">
        <w:rPr>
          <w:rFonts w:ascii="Times New Roman" w:hAnsi="Times New Roman" w:cs="Times New Roman"/>
          <w:sz w:val="28"/>
          <w:szCs w:val="28"/>
          <w:lang w:val="uk-UA"/>
        </w:rPr>
        <w:t xml:space="preserve">виявився </w:t>
      </w:r>
      <w:r w:rsidR="004E4390">
        <w:rPr>
          <w:rFonts w:ascii="Times New Roman" w:hAnsi="Times New Roman" w:cs="Times New Roman"/>
          <w:sz w:val="28"/>
          <w:szCs w:val="28"/>
          <w:lang w:val="uk-UA"/>
        </w:rPr>
        <w:t>достов</w:t>
      </w:r>
      <w:r w:rsidR="004E4390">
        <w:rPr>
          <w:rFonts w:ascii="Times New Roman" w:hAnsi="Times New Roman" w:cs="Times New Roman"/>
          <w:sz w:val="28"/>
          <w:szCs w:val="28"/>
          <w:lang w:val="en-US"/>
        </w:rPr>
        <w:t>i</w:t>
      </w:r>
      <w:r w:rsidR="00F372CE">
        <w:rPr>
          <w:rFonts w:ascii="Times New Roman" w:hAnsi="Times New Roman" w:cs="Times New Roman"/>
          <w:sz w:val="28"/>
          <w:szCs w:val="28"/>
          <w:lang w:val="uk-UA"/>
        </w:rPr>
        <w:t>рно вищим</w:t>
      </w:r>
      <w:r w:rsidR="004E4390">
        <w:rPr>
          <w:rFonts w:ascii="Times New Roman" w:hAnsi="Times New Roman" w:cs="Times New Roman"/>
          <w:sz w:val="28"/>
          <w:szCs w:val="28"/>
          <w:lang w:val="uk-UA"/>
        </w:rPr>
        <w:t>, н</w:t>
      </w:r>
      <w:r w:rsidR="004E4390">
        <w:rPr>
          <w:rFonts w:ascii="Times New Roman" w:hAnsi="Times New Roman" w:cs="Times New Roman"/>
          <w:sz w:val="28"/>
          <w:szCs w:val="28"/>
          <w:lang w:val="en-US"/>
        </w:rPr>
        <w:t>i</w:t>
      </w:r>
      <w:r w:rsidR="004E5A6E" w:rsidRPr="002D53D2">
        <w:rPr>
          <w:rFonts w:ascii="Times New Roman" w:hAnsi="Times New Roman" w:cs="Times New Roman"/>
          <w:sz w:val="28"/>
          <w:szCs w:val="28"/>
          <w:lang w:val="uk-UA"/>
        </w:rPr>
        <w:t>ж</w:t>
      </w:r>
      <w:r w:rsidR="00CC2171" w:rsidRPr="002D53D2">
        <w:rPr>
          <w:rFonts w:ascii="Times New Roman" w:hAnsi="Times New Roman" w:cs="Times New Roman"/>
          <w:sz w:val="28"/>
          <w:szCs w:val="28"/>
          <w:lang w:val="uk-UA"/>
        </w:rPr>
        <w:t xml:space="preserve"> у </w:t>
      </w:r>
      <w:r w:rsidR="00F372CE">
        <w:rPr>
          <w:rFonts w:ascii="Times New Roman" w:hAnsi="Times New Roman" w:cs="Times New Roman"/>
          <w:sz w:val="28"/>
          <w:szCs w:val="28"/>
          <w:lang w:val="uk-UA"/>
        </w:rPr>
        <w:t>хворих на</w:t>
      </w:r>
      <w:r w:rsidR="002D53D2" w:rsidRPr="002D53D2">
        <w:rPr>
          <w:rFonts w:ascii="Times New Roman" w:hAnsi="Times New Roman" w:cs="Times New Roman"/>
          <w:sz w:val="28"/>
          <w:szCs w:val="28"/>
          <w:lang w:val="uk-UA"/>
        </w:rPr>
        <w:t xml:space="preserve"> АГ </w:t>
      </w:r>
      <w:r w:rsidR="00AA6DC2" w:rsidRPr="00AA6DC2">
        <w:rPr>
          <w:rFonts w:ascii="Times New Roman" w:hAnsi="Times New Roman" w:cs="Times New Roman"/>
          <w:sz w:val="28"/>
          <w:szCs w:val="28"/>
          <w:lang w:val="uk-UA"/>
        </w:rPr>
        <w:t xml:space="preserve">та </w:t>
      </w:r>
      <w:r w:rsidR="000948F3">
        <w:rPr>
          <w:rFonts w:ascii="Times New Roman" w:hAnsi="Times New Roman" w:cs="Times New Roman"/>
          <w:sz w:val="28"/>
          <w:szCs w:val="28"/>
          <w:lang w:val="uk-UA"/>
        </w:rPr>
        <w:t>практично здорових осі</w:t>
      </w:r>
      <w:r w:rsidR="00CC2171" w:rsidRPr="002D53D2">
        <w:rPr>
          <w:rFonts w:ascii="Times New Roman" w:hAnsi="Times New Roman" w:cs="Times New Roman"/>
          <w:sz w:val="28"/>
          <w:szCs w:val="28"/>
          <w:lang w:val="uk-UA"/>
        </w:rPr>
        <w:t>б,</w:t>
      </w:r>
      <w:r w:rsidR="004E5A6E" w:rsidRPr="002D53D2">
        <w:rPr>
          <w:rFonts w:ascii="Times New Roman" w:hAnsi="Times New Roman" w:cs="Times New Roman"/>
          <w:sz w:val="28"/>
          <w:szCs w:val="28"/>
          <w:lang w:val="uk-UA"/>
        </w:rPr>
        <w:t xml:space="preserve"> </w:t>
      </w:r>
      <w:r w:rsidR="009D1878">
        <w:rPr>
          <w:rFonts w:ascii="Times New Roman" w:hAnsi="Times New Roman" w:cs="Times New Roman"/>
          <w:sz w:val="28"/>
          <w:szCs w:val="28"/>
          <w:lang w:val="uk-UA"/>
        </w:rPr>
        <w:t xml:space="preserve">             </w:t>
      </w:r>
      <w:r w:rsidR="004E5A6E" w:rsidRPr="002D53D2">
        <w:rPr>
          <w:rFonts w:ascii="Times New Roman" w:hAnsi="Times New Roman" w:cs="Times New Roman"/>
          <w:sz w:val="28"/>
          <w:szCs w:val="28"/>
          <w:lang w:val="uk-UA"/>
        </w:rPr>
        <w:t>що</w:t>
      </w:r>
      <w:r w:rsidR="004E4390">
        <w:rPr>
          <w:rFonts w:ascii="Times New Roman" w:hAnsi="Times New Roman" w:cs="Times New Roman"/>
          <w:sz w:val="28"/>
          <w:szCs w:val="28"/>
          <w:lang w:val="uk-UA"/>
        </w:rPr>
        <w:t xml:space="preserve"> св</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дчить про більш глибок</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 xml:space="preserve"> порушення </w:t>
      </w:r>
      <w:r w:rsidR="00F372CE">
        <w:rPr>
          <w:rFonts w:ascii="Times New Roman" w:hAnsi="Times New Roman" w:cs="Times New Roman"/>
          <w:sz w:val="28"/>
          <w:szCs w:val="28"/>
          <w:lang w:val="uk-UA"/>
        </w:rPr>
        <w:t>функціонального стану</w:t>
      </w:r>
      <w:r w:rsidR="004E4390">
        <w:rPr>
          <w:rFonts w:ascii="Times New Roman" w:hAnsi="Times New Roman" w:cs="Times New Roman"/>
          <w:sz w:val="28"/>
          <w:szCs w:val="28"/>
          <w:lang w:val="uk-UA"/>
        </w:rPr>
        <w:t xml:space="preserve"> ендотел</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ю при поєднан</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й патолог</w:t>
      </w:r>
      <w:r w:rsidR="004E4390">
        <w:rPr>
          <w:rFonts w:ascii="Times New Roman" w:hAnsi="Times New Roman" w:cs="Times New Roman"/>
          <w:sz w:val="28"/>
          <w:szCs w:val="28"/>
          <w:lang w:val="en-US"/>
        </w:rPr>
        <w:t>i</w:t>
      </w:r>
      <w:r w:rsidR="004E5A6E" w:rsidRPr="00985F14">
        <w:rPr>
          <w:rFonts w:ascii="Times New Roman" w:hAnsi="Times New Roman" w:cs="Times New Roman"/>
          <w:sz w:val="28"/>
          <w:szCs w:val="28"/>
          <w:lang w:val="uk-UA"/>
        </w:rPr>
        <w:t>ї.</w:t>
      </w:r>
      <w:r w:rsidR="004914A0" w:rsidRPr="00985F14">
        <w:rPr>
          <w:rFonts w:ascii="Times New Roman" w:hAnsi="Times New Roman" w:cs="Times New Roman"/>
          <w:sz w:val="28"/>
          <w:szCs w:val="28"/>
          <w:lang w:val="uk-UA"/>
        </w:rPr>
        <w:t xml:space="preserve"> </w:t>
      </w:r>
    </w:p>
    <w:p w:rsidR="00FA044F" w:rsidRDefault="008C5BA7" w:rsidP="008C5BA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E4390">
        <w:rPr>
          <w:rFonts w:ascii="Times New Roman" w:hAnsi="Times New Roman" w:cs="Times New Roman"/>
          <w:sz w:val="28"/>
          <w:szCs w:val="28"/>
          <w:lang w:val="uk-UA"/>
        </w:rPr>
        <w:t>удинн</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 xml:space="preserve"> ефекти, </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ндукован</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 xml:space="preserve"> г</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пергл</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кем</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єю, частково обумовлен</w:t>
      </w:r>
      <w:r w:rsidR="004E4390">
        <w:rPr>
          <w:rFonts w:ascii="Times New Roman" w:hAnsi="Times New Roman" w:cs="Times New Roman"/>
          <w:sz w:val="28"/>
          <w:szCs w:val="28"/>
          <w:lang w:val="en-US"/>
        </w:rPr>
        <w:t>i</w:t>
      </w:r>
      <w:r w:rsidR="004E4390">
        <w:rPr>
          <w:rFonts w:ascii="Times New Roman" w:hAnsi="Times New Roman" w:cs="Times New Roman"/>
          <w:sz w:val="28"/>
          <w:szCs w:val="28"/>
          <w:lang w:val="uk-UA"/>
        </w:rPr>
        <w:t xml:space="preserve"> д</w:t>
      </w:r>
      <w:r w:rsidR="004E4390">
        <w:rPr>
          <w:rFonts w:ascii="Times New Roman" w:hAnsi="Times New Roman" w:cs="Times New Roman"/>
          <w:sz w:val="28"/>
          <w:szCs w:val="28"/>
          <w:lang w:val="en-US"/>
        </w:rPr>
        <w:t>i</w:t>
      </w:r>
      <w:r w:rsidR="00F849C3">
        <w:rPr>
          <w:rFonts w:ascii="Times New Roman" w:hAnsi="Times New Roman" w:cs="Times New Roman"/>
          <w:sz w:val="28"/>
          <w:szCs w:val="28"/>
          <w:lang w:val="uk-UA"/>
        </w:rPr>
        <w:t xml:space="preserve">єю ЕТ-1 </w:t>
      </w:r>
      <w:r w:rsidR="00F849C3" w:rsidRPr="00F849C3">
        <w:rPr>
          <w:rFonts w:ascii="Times New Roman" w:hAnsi="Times New Roman" w:cs="Times New Roman"/>
          <w:sz w:val="28"/>
          <w:szCs w:val="28"/>
          <w:lang w:val="uk-UA"/>
        </w:rPr>
        <w:t>[</w:t>
      </w:r>
      <w:r w:rsidR="004B16DA">
        <w:rPr>
          <w:rFonts w:ascii="Times New Roman" w:hAnsi="Times New Roman" w:cs="Times New Roman"/>
          <w:sz w:val="28"/>
          <w:szCs w:val="28"/>
          <w:lang w:val="uk-UA"/>
        </w:rPr>
        <w:t>150</w:t>
      </w:r>
      <w:r w:rsidR="00F849C3" w:rsidRPr="00911C23">
        <w:rPr>
          <w:rFonts w:ascii="Times New Roman" w:hAnsi="Times New Roman" w:cs="Times New Roman"/>
          <w:sz w:val="28"/>
          <w:szCs w:val="28"/>
          <w:lang w:val="uk-UA"/>
        </w:rPr>
        <w:t>].</w:t>
      </w:r>
      <w:r w:rsidR="00F849C3" w:rsidRPr="00F849C3">
        <w:rPr>
          <w:rFonts w:ascii="Times New Roman" w:hAnsi="Times New Roman" w:cs="Times New Roman"/>
          <w:sz w:val="28"/>
          <w:szCs w:val="28"/>
          <w:lang w:val="uk-UA"/>
        </w:rPr>
        <w:t xml:space="preserve"> </w:t>
      </w:r>
      <w:r w:rsidR="00C33BEA">
        <w:rPr>
          <w:rFonts w:ascii="Times New Roman" w:hAnsi="Times New Roman" w:cs="Times New Roman"/>
          <w:sz w:val="28"/>
          <w:szCs w:val="28"/>
          <w:lang w:val="uk-UA"/>
        </w:rPr>
        <w:t>Ми встановили</w:t>
      </w:r>
      <w:r w:rsidR="00EE2306" w:rsidRPr="00EE2306">
        <w:rPr>
          <w:rFonts w:ascii="Times New Roman" w:hAnsi="Times New Roman" w:cs="Times New Roman"/>
          <w:sz w:val="28"/>
          <w:szCs w:val="28"/>
          <w:lang w:val="uk-UA"/>
        </w:rPr>
        <w:t xml:space="preserve">, </w:t>
      </w:r>
      <w:r w:rsidR="009C4137">
        <w:rPr>
          <w:rFonts w:ascii="Times New Roman" w:hAnsi="Times New Roman" w:cs="Times New Roman"/>
          <w:sz w:val="28"/>
          <w:szCs w:val="28"/>
          <w:lang w:val="uk-UA"/>
        </w:rPr>
        <w:t xml:space="preserve">що із збільшенням вмісту глікемії </w:t>
      </w:r>
      <w:r w:rsidR="0068182C">
        <w:rPr>
          <w:rFonts w:ascii="Times New Roman" w:hAnsi="Times New Roman" w:cs="Times New Roman"/>
          <w:sz w:val="28"/>
          <w:szCs w:val="28"/>
          <w:lang w:val="uk-UA"/>
        </w:rPr>
        <w:t xml:space="preserve">натще </w:t>
      </w:r>
      <w:r w:rsidR="009C4137">
        <w:rPr>
          <w:rFonts w:ascii="Times New Roman" w:hAnsi="Times New Roman" w:cs="Times New Roman"/>
          <w:sz w:val="28"/>
          <w:szCs w:val="28"/>
          <w:lang w:val="uk-UA"/>
        </w:rPr>
        <w:t xml:space="preserve">зростає і </w:t>
      </w:r>
      <w:r w:rsidR="00EE2306">
        <w:rPr>
          <w:rFonts w:ascii="Times New Roman" w:hAnsi="Times New Roman" w:cs="Times New Roman"/>
          <w:sz w:val="28"/>
          <w:szCs w:val="28"/>
          <w:lang w:val="uk-UA"/>
        </w:rPr>
        <w:t>ЕТ-1</w:t>
      </w:r>
      <w:r w:rsidR="00C33BEA">
        <w:rPr>
          <w:rFonts w:ascii="Times New Roman" w:hAnsi="Times New Roman" w:cs="Times New Roman"/>
          <w:sz w:val="28"/>
          <w:szCs w:val="28"/>
          <w:lang w:val="uk-UA"/>
        </w:rPr>
        <w:t xml:space="preserve"> </w:t>
      </w:r>
      <w:r w:rsidR="003209E9">
        <w:rPr>
          <w:rFonts w:ascii="Times New Roman" w:hAnsi="Times New Roman" w:cs="Times New Roman"/>
          <w:sz w:val="28"/>
          <w:szCs w:val="28"/>
          <w:lang w:val="uk-UA"/>
        </w:rPr>
        <w:t>(</w:t>
      </w:r>
      <w:r w:rsidR="003209E9">
        <w:rPr>
          <w:rFonts w:ascii="Times New Roman" w:hAnsi="Times New Roman" w:cs="Times New Roman"/>
          <w:sz w:val="28"/>
          <w:szCs w:val="28"/>
          <w:lang w:val="en-US"/>
        </w:rPr>
        <w:t>r</w:t>
      </w:r>
      <w:r w:rsidR="003209E9" w:rsidRPr="003209E9">
        <w:rPr>
          <w:rFonts w:ascii="Times New Roman" w:hAnsi="Times New Roman" w:cs="Times New Roman"/>
          <w:sz w:val="28"/>
          <w:szCs w:val="28"/>
          <w:lang w:val="uk-UA"/>
        </w:rPr>
        <w:t xml:space="preserve"> = 0,29; р = 0,004)</w:t>
      </w:r>
      <w:r w:rsidR="003209E9">
        <w:rPr>
          <w:rFonts w:ascii="Times New Roman" w:hAnsi="Times New Roman" w:cs="Times New Roman"/>
          <w:sz w:val="28"/>
          <w:szCs w:val="28"/>
          <w:lang w:val="uk-UA"/>
        </w:rPr>
        <w:t>.</w:t>
      </w:r>
      <w:r w:rsidR="003209E9" w:rsidRPr="003209E9">
        <w:rPr>
          <w:lang w:val="uk-UA"/>
        </w:rPr>
        <w:t xml:space="preserve"> </w:t>
      </w:r>
      <w:r w:rsidR="003941A5">
        <w:rPr>
          <w:rFonts w:ascii="Times New Roman" w:hAnsi="Times New Roman" w:cs="Times New Roman"/>
          <w:sz w:val="28"/>
          <w:szCs w:val="28"/>
          <w:lang w:val="uk-UA"/>
        </w:rPr>
        <w:t>Дані наведено на рис. 4</w:t>
      </w:r>
      <w:r w:rsidR="003E7F87">
        <w:rPr>
          <w:rFonts w:ascii="Times New Roman" w:hAnsi="Times New Roman" w:cs="Times New Roman"/>
          <w:sz w:val="28"/>
          <w:szCs w:val="28"/>
          <w:lang w:val="uk-UA"/>
        </w:rPr>
        <w:t>.3</w:t>
      </w:r>
      <w:r w:rsidR="000103E9">
        <w:rPr>
          <w:rFonts w:ascii="Times New Roman" w:hAnsi="Times New Roman" w:cs="Times New Roman"/>
          <w:sz w:val="28"/>
          <w:szCs w:val="28"/>
          <w:lang w:val="uk-UA"/>
        </w:rPr>
        <w:t>.2.</w:t>
      </w:r>
    </w:p>
    <w:p w:rsidR="000103E9" w:rsidRPr="003209E9" w:rsidRDefault="000103E9" w:rsidP="008C5BA7">
      <w:pPr>
        <w:autoSpaceDE w:val="0"/>
        <w:autoSpaceDN w:val="0"/>
        <w:adjustRightInd w:val="0"/>
        <w:spacing w:after="0" w:line="360" w:lineRule="auto"/>
        <w:ind w:firstLine="708"/>
        <w:jc w:val="both"/>
        <w:rPr>
          <w:rFonts w:ascii="Times New Roman" w:hAnsi="Times New Roman" w:cs="Times New Roman"/>
          <w:sz w:val="28"/>
          <w:szCs w:val="28"/>
          <w:lang w:val="uk-UA"/>
        </w:rPr>
      </w:pPr>
    </w:p>
    <w:p w:rsidR="005C0192" w:rsidRPr="003941A5" w:rsidRDefault="005C0192" w:rsidP="004F3B19">
      <w:pPr>
        <w:spacing w:after="0" w:line="360" w:lineRule="auto"/>
        <w:jc w:val="both"/>
        <w:rPr>
          <w:rFonts w:ascii="Times New Roman" w:hAnsi="Times New Roman" w:cs="Times New Roman"/>
          <w:color w:val="333333"/>
          <w:sz w:val="28"/>
          <w:szCs w:val="28"/>
          <w:shd w:val="clear" w:color="auto" w:fill="FFFFFF"/>
          <w:lang w:val="uk-UA"/>
        </w:rPr>
      </w:pPr>
      <w:r>
        <w:rPr>
          <w:rFonts w:ascii="Times New Roman" w:hAnsi="Times New Roman" w:cs="Times New Roman"/>
          <w:bCs/>
          <w:noProof/>
          <w:sz w:val="28"/>
          <w:szCs w:val="28"/>
          <w:lang w:eastAsia="ru-RU"/>
        </w:rPr>
        <w:drawing>
          <wp:inline distT="0" distB="0" distL="0" distR="0" wp14:anchorId="13971C5F" wp14:editId="2728188B">
            <wp:extent cx="5960534" cy="3601155"/>
            <wp:effectExtent l="0" t="0" r="21590" b="1841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0192" w:rsidRPr="003941A5" w:rsidRDefault="000103E9" w:rsidP="009C4137">
      <w:pPr>
        <w:spacing w:after="0" w:line="360" w:lineRule="auto"/>
        <w:ind w:firstLine="708"/>
        <w:jc w:val="cente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Рис.</w:t>
      </w:r>
      <w:r w:rsidR="003941A5">
        <w:rPr>
          <w:rFonts w:ascii="Times New Roman" w:hAnsi="Times New Roman" w:cs="Times New Roman"/>
          <w:color w:val="333333"/>
          <w:sz w:val="28"/>
          <w:szCs w:val="28"/>
          <w:shd w:val="clear" w:color="auto" w:fill="FFFFFF"/>
          <w:lang w:val="uk-UA"/>
        </w:rPr>
        <w:t xml:space="preserve"> 4</w:t>
      </w:r>
      <w:r w:rsidR="003209E9" w:rsidRPr="00351F07">
        <w:rPr>
          <w:rFonts w:ascii="Times New Roman" w:hAnsi="Times New Roman" w:cs="Times New Roman"/>
          <w:color w:val="333333"/>
          <w:sz w:val="28"/>
          <w:szCs w:val="28"/>
          <w:shd w:val="clear" w:color="auto" w:fill="FFFFFF"/>
          <w:lang w:val="uk-UA"/>
        </w:rPr>
        <w:t>.</w:t>
      </w:r>
      <w:r w:rsidR="003E7F87">
        <w:rPr>
          <w:rFonts w:ascii="Times New Roman" w:hAnsi="Times New Roman" w:cs="Times New Roman"/>
          <w:color w:val="333333"/>
          <w:sz w:val="28"/>
          <w:szCs w:val="28"/>
          <w:shd w:val="clear" w:color="auto" w:fill="FFFFFF"/>
          <w:lang w:val="uk-UA"/>
        </w:rPr>
        <w:t>3</w:t>
      </w:r>
      <w:r>
        <w:rPr>
          <w:rFonts w:ascii="Times New Roman" w:hAnsi="Times New Roman" w:cs="Times New Roman"/>
          <w:color w:val="333333"/>
          <w:sz w:val="28"/>
          <w:szCs w:val="28"/>
          <w:shd w:val="clear" w:color="auto" w:fill="FFFFFF"/>
          <w:lang w:val="uk-UA"/>
        </w:rPr>
        <w:t>.2</w:t>
      </w:r>
      <w:r w:rsidR="00C33BEA">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 xml:space="preserve"> Залежність між вмістом</w:t>
      </w:r>
      <w:r w:rsidR="003209E9" w:rsidRPr="00351F07">
        <w:rPr>
          <w:rFonts w:ascii="Times New Roman" w:hAnsi="Times New Roman" w:cs="Times New Roman"/>
          <w:color w:val="333333"/>
          <w:sz w:val="28"/>
          <w:szCs w:val="28"/>
          <w:shd w:val="clear" w:color="auto" w:fill="FFFFFF"/>
          <w:lang w:val="uk-UA"/>
        </w:rPr>
        <w:t xml:space="preserve"> ендотеліну-1 та </w:t>
      </w:r>
      <w:r w:rsidR="009C4137">
        <w:rPr>
          <w:rFonts w:ascii="Times New Roman" w:hAnsi="Times New Roman" w:cs="Times New Roman"/>
          <w:color w:val="333333"/>
          <w:sz w:val="28"/>
          <w:szCs w:val="28"/>
          <w:shd w:val="clear" w:color="auto" w:fill="FFFFFF"/>
          <w:lang w:val="uk-UA"/>
        </w:rPr>
        <w:t>глі</w:t>
      </w:r>
      <w:r w:rsidR="003209E9">
        <w:rPr>
          <w:rFonts w:ascii="Times New Roman" w:hAnsi="Times New Roman" w:cs="Times New Roman"/>
          <w:color w:val="333333"/>
          <w:sz w:val="28"/>
          <w:szCs w:val="28"/>
          <w:shd w:val="clear" w:color="auto" w:fill="FFFFFF"/>
          <w:lang w:val="uk-UA"/>
        </w:rPr>
        <w:t>к</w:t>
      </w:r>
      <w:r w:rsidR="009C4137">
        <w:rPr>
          <w:rFonts w:ascii="Times New Roman" w:hAnsi="Times New Roman" w:cs="Times New Roman"/>
          <w:color w:val="333333"/>
          <w:sz w:val="28"/>
          <w:szCs w:val="28"/>
          <w:shd w:val="clear" w:color="auto" w:fill="FFFFFF"/>
          <w:lang w:val="uk-UA"/>
        </w:rPr>
        <w:t>емією</w:t>
      </w:r>
      <w:r>
        <w:rPr>
          <w:rFonts w:ascii="Times New Roman" w:hAnsi="Times New Roman" w:cs="Times New Roman"/>
          <w:color w:val="333333"/>
          <w:sz w:val="28"/>
          <w:szCs w:val="28"/>
          <w:shd w:val="clear" w:color="auto" w:fill="FFFFFF"/>
          <w:lang w:val="uk-UA"/>
        </w:rPr>
        <w:t xml:space="preserve"> натще</w:t>
      </w:r>
      <w:r w:rsidR="003209E9">
        <w:rPr>
          <w:rFonts w:ascii="Times New Roman" w:hAnsi="Times New Roman" w:cs="Times New Roman"/>
          <w:color w:val="333333"/>
          <w:sz w:val="28"/>
          <w:szCs w:val="28"/>
          <w:shd w:val="clear" w:color="auto" w:fill="FFFFFF"/>
          <w:lang w:val="uk-UA"/>
        </w:rPr>
        <w:t xml:space="preserve"> </w:t>
      </w:r>
      <w:r w:rsidR="009D1878">
        <w:rPr>
          <w:rFonts w:ascii="Times New Roman" w:hAnsi="Times New Roman" w:cs="Times New Roman"/>
          <w:color w:val="333333"/>
          <w:sz w:val="28"/>
          <w:szCs w:val="28"/>
          <w:shd w:val="clear" w:color="auto" w:fill="FFFFFF"/>
          <w:lang w:val="uk-UA"/>
        </w:rPr>
        <w:t xml:space="preserve">    </w:t>
      </w:r>
      <w:r w:rsidR="009C4137">
        <w:rPr>
          <w:rFonts w:ascii="Times New Roman" w:hAnsi="Times New Roman" w:cs="Times New Roman"/>
          <w:color w:val="333333"/>
          <w:sz w:val="28"/>
          <w:szCs w:val="28"/>
          <w:shd w:val="clear" w:color="auto" w:fill="FFFFFF"/>
          <w:lang w:val="uk-UA"/>
        </w:rPr>
        <w:t xml:space="preserve">у </w:t>
      </w:r>
      <w:r>
        <w:rPr>
          <w:rFonts w:ascii="Times New Roman" w:hAnsi="Times New Roman" w:cs="Times New Roman"/>
          <w:color w:val="333333"/>
          <w:sz w:val="28"/>
          <w:szCs w:val="28"/>
          <w:shd w:val="clear" w:color="auto" w:fill="FFFFFF"/>
          <w:lang w:val="uk-UA"/>
        </w:rPr>
        <w:t xml:space="preserve">пацієнтів із </w:t>
      </w:r>
      <w:r w:rsidR="00FD685E" w:rsidRPr="00351F07">
        <w:rPr>
          <w:rFonts w:ascii="Times New Roman" w:hAnsi="Times New Roman" w:cs="Times New Roman"/>
          <w:color w:val="333333"/>
          <w:sz w:val="28"/>
          <w:szCs w:val="28"/>
          <w:shd w:val="clear" w:color="auto" w:fill="FFFFFF"/>
          <w:lang w:val="uk-UA"/>
        </w:rPr>
        <w:t xml:space="preserve">артеріальною гіпертензією </w:t>
      </w:r>
      <w:r w:rsidR="00FD685E">
        <w:rPr>
          <w:rFonts w:ascii="Times New Roman" w:hAnsi="Times New Roman" w:cs="Times New Roman"/>
          <w:color w:val="333333"/>
          <w:sz w:val="28"/>
          <w:szCs w:val="28"/>
          <w:shd w:val="clear" w:color="auto" w:fill="FFFFFF"/>
          <w:lang w:val="uk-UA"/>
        </w:rPr>
        <w:t xml:space="preserve">та </w:t>
      </w:r>
      <w:r w:rsidR="003209E9" w:rsidRPr="00351F07">
        <w:rPr>
          <w:rFonts w:ascii="Times New Roman" w:hAnsi="Times New Roman" w:cs="Times New Roman"/>
          <w:color w:val="333333"/>
          <w:sz w:val="28"/>
          <w:szCs w:val="28"/>
          <w:shd w:val="clear" w:color="auto" w:fill="FFFFFF"/>
          <w:lang w:val="uk-UA"/>
        </w:rPr>
        <w:t>цукровим діабетом 2-го т</w:t>
      </w:r>
      <w:r w:rsidR="00FD685E">
        <w:rPr>
          <w:rFonts w:ascii="Times New Roman" w:hAnsi="Times New Roman" w:cs="Times New Roman"/>
          <w:color w:val="333333"/>
          <w:sz w:val="28"/>
          <w:szCs w:val="28"/>
          <w:shd w:val="clear" w:color="auto" w:fill="FFFFFF"/>
          <w:lang w:val="uk-UA"/>
        </w:rPr>
        <w:t xml:space="preserve">ипу </w:t>
      </w:r>
    </w:p>
    <w:p w:rsidR="005C0192" w:rsidRPr="003941A5" w:rsidRDefault="005C0192" w:rsidP="008840E7">
      <w:pPr>
        <w:spacing w:after="0" w:line="360" w:lineRule="auto"/>
        <w:ind w:firstLine="708"/>
        <w:jc w:val="both"/>
        <w:rPr>
          <w:rFonts w:ascii="Times New Roman" w:hAnsi="Times New Roman" w:cs="Times New Roman"/>
          <w:color w:val="333333"/>
          <w:sz w:val="28"/>
          <w:szCs w:val="28"/>
          <w:shd w:val="clear" w:color="auto" w:fill="FFFFFF"/>
          <w:lang w:val="uk-UA"/>
        </w:rPr>
      </w:pPr>
    </w:p>
    <w:p w:rsidR="008840E7" w:rsidRPr="000370C3" w:rsidRDefault="00C33BEA" w:rsidP="000370C3">
      <w:pPr>
        <w:spacing w:after="0" w:line="360" w:lineRule="auto"/>
        <w:ind w:firstLine="708"/>
        <w:jc w:val="both"/>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У</w:t>
      </w:r>
      <w:r w:rsidR="008840E7" w:rsidRPr="00351F07">
        <w:rPr>
          <w:rFonts w:ascii="Times New Roman" w:hAnsi="Times New Roman" w:cs="Times New Roman"/>
          <w:color w:val="333333"/>
          <w:sz w:val="28"/>
          <w:szCs w:val="28"/>
          <w:shd w:val="clear" w:color="auto" w:fill="FFFFFF"/>
          <w:lang w:val="uk-UA"/>
        </w:rPr>
        <w:t>ста</w:t>
      </w:r>
      <w:r w:rsidR="00FD685E">
        <w:rPr>
          <w:rFonts w:ascii="Times New Roman" w:hAnsi="Times New Roman" w:cs="Times New Roman"/>
          <w:color w:val="333333"/>
          <w:sz w:val="28"/>
          <w:szCs w:val="28"/>
          <w:shd w:val="clear" w:color="auto" w:fill="FFFFFF"/>
          <w:lang w:val="uk-UA"/>
        </w:rPr>
        <w:t>новлен</w:t>
      </w:r>
      <w:r w:rsidR="00FD0ABA">
        <w:rPr>
          <w:rFonts w:ascii="Times New Roman" w:hAnsi="Times New Roman" w:cs="Times New Roman"/>
          <w:color w:val="333333"/>
          <w:sz w:val="28"/>
          <w:szCs w:val="28"/>
          <w:shd w:val="clear" w:color="auto" w:fill="FFFFFF"/>
          <w:lang w:val="uk-UA"/>
        </w:rPr>
        <w:t>о слабкої сили позитивну залежн</w:t>
      </w:r>
      <w:r w:rsidR="00FD0ABA">
        <w:rPr>
          <w:rFonts w:ascii="Times New Roman" w:hAnsi="Times New Roman" w:cs="Times New Roman"/>
          <w:color w:val="333333"/>
          <w:sz w:val="28"/>
          <w:szCs w:val="28"/>
          <w:shd w:val="clear" w:color="auto" w:fill="FFFFFF"/>
          <w:lang w:val="en-US"/>
        </w:rPr>
        <w:t>i</w:t>
      </w:r>
      <w:r w:rsidR="00FD685E">
        <w:rPr>
          <w:rFonts w:ascii="Times New Roman" w:hAnsi="Times New Roman" w:cs="Times New Roman"/>
          <w:color w:val="333333"/>
          <w:sz w:val="28"/>
          <w:szCs w:val="28"/>
          <w:shd w:val="clear" w:color="auto" w:fill="FFFFFF"/>
          <w:lang w:val="uk-UA"/>
        </w:rPr>
        <w:t xml:space="preserve">сть </w:t>
      </w:r>
      <w:r w:rsidR="00FD0ABA">
        <w:rPr>
          <w:rFonts w:ascii="Times New Roman" w:hAnsi="Times New Roman" w:cs="Times New Roman"/>
          <w:color w:val="333333"/>
          <w:sz w:val="28"/>
          <w:szCs w:val="28"/>
          <w:shd w:val="clear" w:color="auto" w:fill="FFFFFF"/>
          <w:lang w:val="uk-UA"/>
        </w:rPr>
        <w:t>м</w:t>
      </w:r>
      <w:r w:rsidR="00FD0ABA">
        <w:rPr>
          <w:rFonts w:ascii="Times New Roman" w:hAnsi="Times New Roman" w:cs="Times New Roman"/>
          <w:color w:val="333333"/>
          <w:sz w:val="28"/>
          <w:szCs w:val="28"/>
          <w:shd w:val="clear" w:color="auto" w:fill="FFFFFF"/>
          <w:lang w:val="en-US"/>
        </w:rPr>
        <w:t>i</w:t>
      </w:r>
      <w:r w:rsidR="000103E9">
        <w:rPr>
          <w:rFonts w:ascii="Times New Roman" w:hAnsi="Times New Roman" w:cs="Times New Roman"/>
          <w:color w:val="333333"/>
          <w:sz w:val="28"/>
          <w:szCs w:val="28"/>
          <w:shd w:val="clear" w:color="auto" w:fill="FFFFFF"/>
          <w:lang w:val="uk-UA"/>
        </w:rPr>
        <w:t>ж вмістом</w:t>
      </w:r>
      <w:r w:rsidR="008840E7" w:rsidRPr="00351F07">
        <w:rPr>
          <w:rFonts w:ascii="Times New Roman" w:hAnsi="Times New Roman" w:cs="Times New Roman"/>
          <w:color w:val="333333"/>
          <w:sz w:val="28"/>
          <w:szCs w:val="28"/>
          <w:shd w:val="clear" w:color="auto" w:fill="FFFFFF"/>
          <w:lang w:val="uk-UA"/>
        </w:rPr>
        <w:t xml:space="preserve"> ЕТ-1 та </w:t>
      </w:r>
      <w:r w:rsidR="008840E7" w:rsidRPr="00351F07">
        <w:rPr>
          <w:rFonts w:ascii="Times New Roman" w:eastAsia="Times New Roman" w:hAnsi="Times New Roman" w:cs="Times New Roman"/>
          <w:color w:val="000000"/>
          <w:sz w:val="28"/>
          <w:szCs w:val="28"/>
          <w:lang w:val="uk-UA" w:eastAsia="ru-RU"/>
        </w:rPr>
        <w:t>HbA1с</w:t>
      </w:r>
      <w:r w:rsidR="008840E7" w:rsidRPr="00351F07">
        <w:rPr>
          <w:rFonts w:ascii="Times New Roman" w:hAnsi="Times New Roman" w:cs="Times New Roman"/>
          <w:color w:val="333333"/>
          <w:sz w:val="28"/>
          <w:szCs w:val="28"/>
          <w:shd w:val="clear" w:color="auto" w:fill="FFFFFF"/>
          <w:lang w:val="uk-UA"/>
        </w:rPr>
        <w:t xml:space="preserve"> (</w:t>
      </w:r>
      <w:r w:rsidR="008840E7" w:rsidRPr="00351F07">
        <w:rPr>
          <w:rFonts w:ascii="Times New Roman" w:hAnsi="Times New Roman" w:cs="Times New Roman"/>
          <w:color w:val="333333"/>
          <w:sz w:val="28"/>
          <w:szCs w:val="28"/>
          <w:shd w:val="clear" w:color="auto" w:fill="FFFFFF"/>
          <w:lang w:val="en-US"/>
        </w:rPr>
        <w:t>r</w:t>
      </w:r>
      <w:r w:rsidR="008840E7" w:rsidRPr="00351F07">
        <w:rPr>
          <w:rFonts w:ascii="Times New Roman" w:hAnsi="Times New Roman" w:cs="Times New Roman"/>
          <w:color w:val="333333"/>
          <w:sz w:val="28"/>
          <w:szCs w:val="28"/>
          <w:shd w:val="clear" w:color="auto" w:fill="FFFFFF"/>
          <w:lang w:val="uk-UA"/>
        </w:rPr>
        <w:t xml:space="preserve"> = 0,4; </w:t>
      </w:r>
      <w:r w:rsidR="008840E7" w:rsidRPr="00351F07">
        <w:rPr>
          <w:rFonts w:ascii="Times New Roman" w:hAnsi="Times New Roman" w:cs="Times New Roman"/>
          <w:color w:val="333333"/>
          <w:sz w:val="28"/>
          <w:szCs w:val="28"/>
          <w:shd w:val="clear" w:color="auto" w:fill="FFFFFF"/>
          <w:lang w:val="en-US"/>
        </w:rPr>
        <w:t>p</w:t>
      </w:r>
      <w:r w:rsidR="00C1266E">
        <w:rPr>
          <w:rFonts w:ascii="Times New Roman" w:hAnsi="Times New Roman" w:cs="Times New Roman"/>
          <w:color w:val="333333"/>
          <w:sz w:val="28"/>
          <w:szCs w:val="28"/>
          <w:shd w:val="clear" w:color="auto" w:fill="FFFFFF"/>
          <w:lang w:val="uk-UA"/>
        </w:rPr>
        <w:t xml:space="preserve"> &lt; 0,0</w:t>
      </w:r>
      <w:r w:rsidR="00C1266E" w:rsidRPr="000103E9">
        <w:rPr>
          <w:rFonts w:ascii="Times New Roman" w:hAnsi="Times New Roman" w:cs="Times New Roman"/>
          <w:color w:val="333333"/>
          <w:sz w:val="28"/>
          <w:szCs w:val="28"/>
          <w:shd w:val="clear" w:color="auto" w:fill="FFFFFF"/>
          <w:lang w:val="uk-UA"/>
        </w:rPr>
        <w:t>001</w:t>
      </w:r>
      <w:r w:rsidR="008840E7" w:rsidRPr="00351F07">
        <w:rPr>
          <w:rFonts w:ascii="Times New Roman" w:hAnsi="Times New Roman" w:cs="Times New Roman"/>
          <w:color w:val="333333"/>
          <w:sz w:val="28"/>
          <w:szCs w:val="28"/>
          <w:shd w:val="clear" w:color="auto" w:fill="FFFFFF"/>
          <w:lang w:val="uk-UA"/>
        </w:rPr>
        <w:t xml:space="preserve">). </w:t>
      </w:r>
      <w:r w:rsidR="003941A5">
        <w:rPr>
          <w:rFonts w:ascii="Times New Roman" w:hAnsi="Times New Roman" w:cs="Times New Roman"/>
          <w:color w:val="333333"/>
          <w:sz w:val="28"/>
          <w:szCs w:val="28"/>
          <w:shd w:val="clear" w:color="auto" w:fill="FFFFFF"/>
          <w:lang w:val="uk-UA"/>
        </w:rPr>
        <w:t>Дані наведено на рис. 4</w:t>
      </w:r>
      <w:r w:rsidR="003E7F87">
        <w:rPr>
          <w:rFonts w:ascii="Times New Roman" w:hAnsi="Times New Roman" w:cs="Times New Roman"/>
          <w:color w:val="333333"/>
          <w:sz w:val="28"/>
          <w:szCs w:val="28"/>
          <w:shd w:val="clear" w:color="auto" w:fill="FFFFFF"/>
          <w:lang w:val="uk-UA"/>
        </w:rPr>
        <w:t>.3</w:t>
      </w:r>
      <w:r w:rsidR="000103E9">
        <w:rPr>
          <w:rFonts w:ascii="Times New Roman" w:hAnsi="Times New Roman" w:cs="Times New Roman"/>
          <w:color w:val="333333"/>
          <w:sz w:val="28"/>
          <w:szCs w:val="28"/>
          <w:shd w:val="clear" w:color="auto" w:fill="FFFFFF"/>
          <w:lang w:val="uk-UA"/>
        </w:rPr>
        <w:t>.3</w:t>
      </w:r>
      <w:r w:rsidR="000370C3">
        <w:rPr>
          <w:rFonts w:ascii="Times New Roman" w:hAnsi="Times New Roman" w:cs="Times New Roman"/>
          <w:color w:val="333333"/>
          <w:sz w:val="28"/>
          <w:szCs w:val="28"/>
          <w:shd w:val="clear" w:color="auto" w:fill="FFFFFF"/>
          <w:lang w:val="uk-UA"/>
        </w:rPr>
        <w:t>.</w:t>
      </w:r>
    </w:p>
    <w:p w:rsidR="008840E7" w:rsidRDefault="008840E7" w:rsidP="0039775C">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bCs/>
          <w:noProof/>
          <w:sz w:val="28"/>
          <w:szCs w:val="28"/>
          <w:lang w:eastAsia="ru-RU"/>
        </w:rPr>
        <w:lastRenderedPageBreak/>
        <w:drawing>
          <wp:inline distT="0" distB="0" distL="0" distR="0" wp14:anchorId="48425088" wp14:editId="3318488D">
            <wp:extent cx="5904089" cy="3138311"/>
            <wp:effectExtent l="0" t="0" r="20955" b="241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840E7" w:rsidRPr="00AE7196" w:rsidRDefault="000103E9" w:rsidP="00C33BEA">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Рис.</w:t>
      </w:r>
      <w:r w:rsidR="003941A5" w:rsidRPr="00AE7196">
        <w:rPr>
          <w:rFonts w:ascii="Times New Roman" w:hAnsi="Times New Roman" w:cs="Times New Roman"/>
          <w:sz w:val="28"/>
          <w:szCs w:val="28"/>
          <w:shd w:val="clear" w:color="auto" w:fill="FFFFFF"/>
          <w:lang w:val="uk-UA"/>
        </w:rPr>
        <w:t xml:space="preserve"> 4</w:t>
      </w:r>
      <w:r w:rsidR="008840E7" w:rsidRPr="00AE7196">
        <w:rPr>
          <w:rFonts w:ascii="Times New Roman" w:hAnsi="Times New Roman" w:cs="Times New Roman"/>
          <w:sz w:val="28"/>
          <w:szCs w:val="28"/>
          <w:shd w:val="clear" w:color="auto" w:fill="FFFFFF"/>
          <w:lang w:val="uk-UA"/>
        </w:rPr>
        <w:t>.</w:t>
      </w:r>
      <w:r w:rsidR="003E7F87" w:rsidRPr="00AE7196">
        <w:rPr>
          <w:rFonts w:ascii="Times New Roman" w:hAnsi="Times New Roman" w:cs="Times New Roman"/>
          <w:sz w:val="28"/>
          <w:szCs w:val="28"/>
          <w:shd w:val="clear" w:color="auto" w:fill="FFFFFF"/>
          <w:lang w:val="uk-UA"/>
        </w:rPr>
        <w:t>3</w:t>
      </w:r>
      <w:r>
        <w:rPr>
          <w:rFonts w:ascii="Times New Roman" w:hAnsi="Times New Roman" w:cs="Times New Roman"/>
          <w:sz w:val="28"/>
          <w:szCs w:val="28"/>
          <w:shd w:val="clear" w:color="auto" w:fill="FFFFFF"/>
          <w:lang w:val="uk-UA"/>
        </w:rPr>
        <w:t>.3</w:t>
      </w:r>
      <w:r w:rsidR="00C33BE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Залежність між вмістом</w:t>
      </w:r>
      <w:r w:rsidR="008840E7" w:rsidRPr="00AE7196">
        <w:rPr>
          <w:rFonts w:ascii="Times New Roman" w:hAnsi="Times New Roman" w:cs="Times New Roman"/>
          <w:sz w:val="28"/>
          <w:szCs w:val="28"/>
          <w:shd w:val="clear" w:color="auto" w:fill="FFFFFF"/>
          <w:lang w:val="uk-UA"/>
        </w:rPr>
        <w:t xml:space="preserve"> ендотеліну-1 т</w:t>
      </w:r>
      <w:r w:rsidR="00C33BEA">
        <w:rPr>
          <w:rFonts w:ascii="Times New Roman" w:hAnsi="Times New Roman" w:cs="Times New Roman"/>
          <w:sz w:val="28"/>
          <w:szCs w:val="28"/>
          <w:shd w:val="clear" w:color="auto" w:fill="FFFFFF"/>
          <w:lang w:val="uk-UA"/>
        </w:rPr>
        <w:t xml:space="preserve">а глікозильованого гемоглобіну </w:t>
      </w:r>
      <w:r>
        <w:rPr>
          <w:rFonts w:ascii="Times New Roman" w:hAnsi="Times New Roman" w:cs="Times New Roman"/>
          <w:sz w:val="28"/>
          <w:szCs w:val="28"/>
          <w:shd w:val="clear" w:color="auto" w:fill="FFFFFF"/>
          <w:lang w:val="uk-UA"/>
        </w:rPr>
        <w:t xml:space="preserve">у пацієнтів </w:t>
      </w:r>
      <w:r w:rsidR="009C4137">
        <w:rPr>
          <w:rFonts w:ascii="Times New Roman" w:hAnsi="Times New Roman" w:cs="Times New Roman"/>
          <w:sz w:val="28"/>
          <w:szCs w:val="28"/>
          <w:shd w:val="clear" w:color="auto" w:fill="FFFFFF"/>
          <w:lang w:val="uk-UA"/>
        </w:rPr>
        <w:t>і</w:t>
      </w:r>
      <w:r w:rsidR="008840E7" w:rsidRPr="00AE7196">
        <w:rPr>
          <w:rFonts w:ascii="Times New Roman" w:hAnsi="Times New Roman" w:cs="Times New Roman"/>
          <w:sz w:val="28"/>
          <w:szCs w:val="28"/>
          <w:shd w:val="clear" w:color="auto" w:fill="FFFFFF"/>
          <w:lang w:val="uk-UA"/>
        </w:rPr>
        <w:t xml:space="preserve">з </w:t>
      </w:r>
      <w:r w:rsidR="00FD685E" w:rsidRPr="00AE7196">
        <w:rPr>
          <w:rFonts w:ascii="Times New Roman" w:hAnsi="Times New Roman" w:cs="Times New Roman"/>
          <w:sz w:val="28"/>
          <w:szCs w:val="28"/>
          <w:shd w:val="clear" w:color="auto" w:fill="FFFFFF"/>
          <w:lang w:val="uk-UA"/>
        </w:rPr>
        <w:t xml:space="preserve">артеріальною гіпертензією </w:t>
      </w:r>
      <w:r w:rsidR="00FD685E">
        <w:rPr>
          <w:rFonts w:ascii="Times New Roman" w:hAnsi="Times New Roman" w:cs="Times New Roman"/>
          <w:sz w:val="28"/>
          <w:szCs w:val="28"/>
          <w:shd w:val="clear" w:color="auto" w:fill="FFFFFF"/>
          <w:lang w:val="uk-UA"/>
        </w:rPr>
        <w:t xml:space="preserve">та </w:t>
      </w:r>
      <w:r w:rsidR="009D1878">
        <w:rPr>
          <w:rFonts w:ascii="Times New Roman" w:hAnsi="Times New Roman" w:cs="Times New Roman"/>
          <w:sz w:val="28"/>
          <w:szCs w:val="28"/>
          <w:shd w:val="clear" w:color="auto" w:fill="FFFFFF"/>
          <w:lang w:val="uk-UA"/>
        </w:rPr>
        <w:t xml:space="preserve">                      </w:t>
      </w:r>
      <w:r w:rsidR="008840E7" w:rsidRPr="00AE7196">
        <w:rPr>
          <w:rFonts w:ascii="Times New Roman" w:hAnsi="Times New Roman" w:cs="Times New Roman"/>
          <w:sz w:val="28"/>
          <w:szCs w:val="28"/>
          <w:shd w:val="clear" w:color="auto" w:fill="FFFFFF"/>
          <w:lang w:val="uk-UA"/>
        </w:rPr>
        <w:t>цукровим діабетом 2-го типу</w:t>
      </w:r>
      <w:r w:rsidR="00C33BEA">
        <w:rPr>
          <w:rFonts w:ascii="Times New Roman" w:hAnsi="Times New Roman" w:cs="Times New Roman"/>
          <w:sz w:val="28"/>
          <w:szCs w:val="28"/>
          <w:shd w:val="clear" w:color="auto" w:fill="FFFFFF"/>
          <w:lang w:val="uk-UA"/>
        </w:rPr>
        <w:t xml:space="preserve">         </w:t>
      </w:r>
      <w:r w:rsidR="008840E7" w:rsidRPr="00AE7196">
        <w:rPr>
          <w:rFonts w:ascii="Times New Roman" w:hAnsi="Times New Roman" w:cs="Times New Roman"/>
          <w:sz w:val="28"/>
          <w:szCs w:val="28"/>
          <w:shd w:val="clear" w:color="auto" w:fill="FFFFFF"/>
          <w:lang w:val="uk-UA"/>
        </w:rPr>
        <w:t xml:space="preserve"> </w:t>
      </w:r>
    </w:p>
    <w:p w:rsidR="000370C3" w:rsidRDefault="000370C3" w:rsidP="000103E9">
      <w:pPr>
        <w:autoSpaceDE w:val="0"/>
        <w:autoSpaceDN w:val="0"/>
        <w:adjustRightInd w:val="0"/>
        <w:spacing w:after="0" w:line="360" w:lineRule="auto"/>
        <w:jc w:val="both"/>
        <w:rPr>
          <w:rFonts w:ascii="Times New Roman" w:hAnsi="Times New Roman" w:cs="Times New Roman"/>
          <w:sz w:val="28"/>
          <w:szCs w:val="28"/>
          <w:lang w:val="uk-UA"/>
        </w:rPr>
      </w:pPr>
    </w:p>
    <w:p w:rsidR="004C41C5" w:rsidRDefault="001969DC" w:rsidP="00101ECB">
      <w:pPr>
        <w:autoSpaceDE w:val="0"/>
        <w:autoSpaceDN w:val="0"/>
        <w:adjustRightInd w:val="0"/>
        <w:spacing w:after="0" w:line="360" w:lineRule="auto"/>
        <w:ind w:firstLine="708"/>
        <w:jc w:val="both"/>
        <w:rPr>
          <w:rFonts w:ascii="Times New Roman" w:hAnsi="Times New Roman" w:cs="Times New Roman"/>
          <w:bCs/>
          <w:noProof/>
          <w:sz w:val="28"/>
          <w:szCs w:val="28"/>
          <w:lang w:val="uk-UA" w:eastAsia="ru-RU"/>
        </w:rPr>
      </w:pPr>
      <w:r>
        <w:rPr>
          <w:rFonts w:ascii="Times New Roman" w:hAnsi="Times New Roman" w:cs="Times New Roman"/>
          <w:sz w:val="28"/>
          <w:szCs w:val="28"/>
          <w:lang w:val="uk-UA"/>
        </w:rPr>
        <w:t xml:space="preserve">Зі збільшенням </w:t>
      </w:r>
      <w:r w:rsidR="00B67BE7">
        <w:rPr>
          <w:rFonts w:ascii="Times New Roman" w:hAnsi="Times New Roman" w:cs="Times New Roman"/>
          <w:sz w:val="28"/>
          <w:szCs w:val="28"/>
          <w:lang w:val="uk-UA"/>
        </w:rPr>
        <w:t>вмісту ЕТ-1 зростала</w:t>
      </w:r>
      <w:r>
        <w:rPr>
          <w:rFonts w:ascii="Times New Roman" w:hAnsi="Times New Roman" w:cs="Times New Roman"/>
          <w:sz w:val="28"/>
          <w:szCs w:val="28"/>
          <w:lang w:val="uk-UA"/>
        </w:rPr>
        <w:t xml:space="preserve"> </w:t>
      </w:r>
      <w:r w:rsidR="00FD0ABA">
        <w:rPr>
          <w:rFonts w:ascii="Times New Roman" w:hAnsi="Times New Roman" w:cs="Times New Roman"/>
          <w:sz w:val="28"/>
          <w:szCs w:val="28"/>
          <w:lang w:val="uk-UA"/>
        </w:rPr>
        <w:t>альбум</w:t>
      </w:r>
      <w:r w:rsidR="00FD0ABA">
        <w:rPr>
          <w:rFonts w:ascii="Times New Roman" w:hAnsi="Times New Roman" w:cs="Times New Roman"/>
          <w:sz w:val="28"/>
          <w:szCs w:val="28"/>
          <w:lang w:val="en-US"/>
        </w:rPr>
        <w:t>i</w:t>
      </w:r>
      <w:r w:rsidR="00FD0ABA">
        <w:rPr>
          <w:rFonts w:ascii="Times New Roman" w:hAnsi="Times New Roman" w:cs="Times New Roman"/>
          <w:sz w:val="28"/>
          <w:szCs w:val="28"/>
          <w:lang w:val="uk-UA"/>
        </w:rPr>
        <w:t>нур</w:t>
      </w:r>
      <w:r w:rsidR="00FD0ABA">
        <w:rPr>
          <w:rFonts w:ascii="Times New Roman" w:hAnsi="Times New Roman" w:cs="Times New Roman"/>
          <w:sz w:val="28"/>
          <w:szCs w:val="28"/>
          <w:lang w:val="en-US"/>
        </w:rPr>
        <w:t>i</w:t>
      </w:r>
      <w:r>
        <w:rPr>
          <w:rFonts w:ascii="Times New Roman" w:hAnsi="Times New Roman" w:cs="Times New Roman"/>
          <w:sz w:val="28"/>
          <w:szCs w:val="28"/>
          <w:lang w:val="uk-UA"/>
        </w:rPr>
        <w:t>я</w:t>
      </w:r>
      <w:r w:rsidR="00B03E6F">
        <w:rPr>
          <w:rFonts w:ascii="Times New Roman" w:hAnsi="Times New Roman" w:cs="Times New Roman"/>
          <w:sz w:val="28"/>
          <w:szCs w:val="28"/>
          <w:lang w:val="uk-UA"/>
        </w:rPr>
        <w:t xml:space="preserve"> (</w:t>
      </w:r>
      <w:r w:rsidR="00B03E6F">
        <w:rPr>
          <w:rFonts w:ascii="Times New Roman" w:hAnsi="Times New Roman" w:cs="Times New Roman"/>
          <w:sz w:val="28"/>
          <w:szCs w:val="28"/>
          <w:lang w:val="en-US"/>
        </w:rPr>
        <w:t>r</w:t>
      </w:r>
      <w:r w:rsidR="00B03E6F" w:rsidRPr="004C1400">
        <w:rPr>
          <w:rFonts w:ascii="Times New Roman" w:hAnsi="Times New Roman" w:cs="Times New Roman"/>
          <w:sz w:val="28"/>
          <w:szCs w:val="28"/>
          <w:lang w:val="uk-UA"/>
        </w:rPr>
        <w:t xml:space="preserve"> = </w:t>
      </w:r>
      <w:r w:rsidR="00B03E6F">
        <w:rPr>
          <w:rFonts w:ascii="Times New Roman" w:hAnsi="Times New Roman" w:cs="Times New Roman"/>
          <w:sz w:val="28"/>
          <w:szCs w:val="28"/>
          <w:lang w:val="uk-UA"/>
        </w:rPr>
        <w:t xml:space="preserve">0,57, р </w:t>
      </w:r>
      <w:r w:rsidR="00C1266E" w:rsidRPr="00C1266E">
        <w:rPr>
          <w:rFonts w:ascii="Times New Roman" w:hAnsi="Times New Roman" w:cs="Times New Roman"/>
          <w:sz w:val="28"/>
          <w:szCs w:val="28"/>
          <w:lang w:val="uk-UA"/>
        </w:rPr>
        <w:t>&lt;</w:t>
      </w:r>
      <w:r w:rsidR="00C1266E">
        <w:rPr>
          <w:rFonts w:ascii="Times New Roman" w:hAnsi="Times New Roman" w:cs="Times New Roman"/>
          <w:sz w:val="28"/>
          <w:szCs w:val="28"/>
          <w:lang w:val="uk-UA"/>
        </w:rPr>
        <w:t xml:space="preserve"> 0,0</w:t>
      </w:r>
      <w:r w:rsidR="00C1266E" w:rsidRPr="00C1266E">
        <w:rPr>
          <w:rFonts w:ascii="Times New Roman" w:hAnsi="Times New Roman" w:cs="Times New Roman"/>
          <w:sz w:val="28"/>
          <w:szCs w:val="28"/>
          <w:lang w:val="uk-UA"/>
        </w:rPr>
        <w:t>001</w:t>
      </w:r>
      <w:r w:rsidR="00B03E6F">
        <w:rPr>
          <w:rFonts w:ascii="Times New Roman" w:hAnsi="Times New Roman" w:cs="Times New Roman"/>
          <w:sz w:val="28"/>
          <w:szCs w:val="28"/>
          <w:lang w:val="uk-UA"/>
        </w:rPr>
        <w:t>)</w:t>
      </w:r>
      <w:r w:rsidR="0008099F">
        <w:rPr>
          <w:rFonts w:ascii="Times New Roman" w:hAnsi="Times New Roman" w:cs="Times New Roman"/>
          <w:sz w:val="28"/>
          <w:szCs w:val="28"/>
          <w:lang w:val="uk-UA"/>
        </w:rPr>
        <w:t xml:space="preserve"> </w:t>
      </w:r>
      <w:r w:rsidR="00FD0ABA">
        <w:rPr>
          <w:rFonts w:ascii="Times New Roman" w:hAnsi="Times New Roman" w:cs="Times New Roman"/>
          <w:sz w:val="28"/>
          <w:szCs w:val="28"/>
          <w:lang w:val="uk-UA"/>
        </w:rPr>
        <w:t>у пац</w:t>
      </w:r>
      <w:r w:rsidR="00FD0ABA">
        <w:rPr>
          <w:rFonts w:ascii="Times New Roman" w:hAnsi="Times New Roman" w:cs="Times New Roman"/>
          <w:sz w:val="28"/>
          <w:szCs w:val="28"/>
          <w:lang w:val="en-US"/>
        </w:rPr>
        <w:t>i</w:t>
      </w:r>
      <w:r w:rsidR="00FD0ABA">
        <w:rPr>
          <w:rFonts w:ascii="Times New Roman" w:hAnsi="Times New Roman" w:cs="Times New Roman"/>
          <w:sz w:val="28"/>
          <w:szCs w:val="28"/>
          <w:lang w:val="uk-UA"/>
        </w:rPr>
        <w:t>єнт</w:t>
      </w:r>
      <w:r w:rsidR="00FD0ABA">
        <w:rPr>
          <w:rFonts w:ascii="Times New Roman" w:hAnsi="Times New Roman" w:cs="Times New Roman"/>
          <w:sz w:val="28"/>
          <w:szCs w:val="28"/>
          <w:lang w:val="en-US"/>
        </w:rPr>
        <w:t>i</w:t>
      </w:r>
      <w:r w:rsidR="00FD685E">
        <w:rPr>
          <w:rFonts w:ascii="Times New Roman" w:hAnsi="Times New Roman" w:cs="Times New Roman"/>
          <w:sz w:val="28"/>
          <w:szCs w:val="28"/>
          <w:lang w:val="uk-UA"/>
        </w:rPr>
        <w:t xml:space="preserve">в </w:t>
      </w:r>
      <w:r w:rsidR="009C4137">
        <w:rPr>
          <w:rFonts w:ascii="Times New Roman" w:hAnsi="Times New Roman" w:cs="Times New Roman"/>
          <w:sz w:val="28"/>
          <w:szCs w:val="28"/>
          <w:lang w:val="uk-UA"/>
        </w:rPr>
        <w:t>і</w:t>
      </w:r>
      <w:r w:rsidR="00915C79">
        <w:rPr>
          <w:rFonts w:ascii="Times New Roman" w:hAnsi="Times New Roman" w:cs="Times New Roman"/>
          <w:sz w:val="28"/>
          <w:szCs w:val="28"/>
          <w:lang w:val="uk-UA"/>
        </w:rPr>
        <w:t xml:space="preserve">з </w:t>
      </w:r>
      <w:r w:rsidR="00FD685E">
        <w:rPr>
          <w:rFonts w:ascii="Times New Roman" w:hAnsi="Times New Roman" w:cs="Times New Roman"/>
          <w:sz w:val="28"/>
          <w:szCs w:val="28"/>
          <w:lang w:val="uk-UA"/>
        </w:rPr>
        <w:t xml:space="preserve">АГ та </w:t>
      </w:r>
      <w:r w:rsidR="00915C79">
        <w:rPr>
          <w:rFonts w:ascii="Times New Roman" w:hAnsi="Times New Roman" w:cs="Times New Roman"/>
          <w:sz w:val="28"/>
          <w:szCs w:val="28"/>
          <w:lang w:val="uk-UA"/>
        </w:rPr>
        <w:t>ЦД 2</w:t>
      </w:r>
      <w:r w:rsidR="00B03E6F">
        <w:rPr>
          <w:rFonts w:ascii="Times New Roman" w:hAnsi="Times New Roman" w:cs="Times New Roman"/>
          <w:sz w:val="28"/>
          <w:szCs w:val="28"/>
          <w:lang w:val="uk-UA"/>
        </w:rPr>
        <w:t>-го</w:t>
      </w:r>
      <w:r w:rsidR="00FD685E">
        <w:rPr>
          <w:rFonts w:ascii="Times New Roman" w:hAnsi="Times New Roman" w:cs="Times New Roman"/>
          <w:sz w:val="28"/>
          <w:szCs w:val="28"/>
          <w:lang w:val="uk-UA"/>
        </w:rPr>
        <w:t xml:space="preserve"> типу </w:t>
      </w:r>
      <w:r w:rsidR="004C1400" w:rsidRPr="004C1400">
        <w:rPr>
          <w:rFonts w:ascii="Times New Roman" w:hAnsi="Times New Roman" w:cs="Times New Roman"/>
          <w:sz w:val="28"/>
          <w:szCs w:val="28"/>
          <w:lang w:val="uk-UA"/>
        </w:rPr>
        <w:t>(</w:t>
      </w:r>
      <w:r w:rsidR="004C41C5">
        <w:rPr>
          <w:rFonts w:ascii="Times New Roman" w:hAnsi="Times New Roman" w:cs="Times New Roman"/>
          <w:sz w:val="28"/>
          <w:szCs w:val="28"/>
          <w:lang w:val="uk-UA"/>
        </w:rPr>
        <w:t xml:space="preserve">рис. </w:t>
      </w:r>
      <w:r w:rsidR="003941A5">
        <w:rPr>
          <w:rFonts w:ascii="Times New Roman" w:hAnsi="Times New Roman" w:cs="Times New Roman"/>
          <w:sz w:val="28"/>
          <w:szCs w:val="28"/>
          <w:lang w:val="uk-UA"/>
        </w:rPr>
        <w:t>4</w:t>
      </w:r>
      <w:r w:rsidR="003E7F87">
        <w:rPr>
          <w:rFonts w:ascii="Times New Roman" w:hAnsi="Times New Roman" w:cs="Times New Roman"/>
          <w:sz w:val="28"/>
          <w:szCs w:val="28"/>
          <w:lang w:val="uk-UA"/>
        </w:rPr>
        <w:t>.3</w:t>
      </w:r>
      <w:r w:rsidR="003209E9">
        <w:rPr>
          <w:rFonts w:ascii="Times New Roman" w:hAnsi="Times New Roman" w:cs="Times New Roman"/>
          <w:sz w:val="28"/>
          <w:szCs w:val="28"/>
          <w:lang w:val="uk-UA"/>
        </w:rPr>
        <w:t>.4</w:t>
      </w:r>
      <w:r w:rsidR="004C1400">
        <w:rPr>
          <w:rFonts w:ascii="Times New Roman" w:hAnsi="Times New Roman" w:cs="Times New Roman"/>
          <w:sz w:val="28"/>
          <w:szCs w:val="28"/>
          <w:lang w:val="uk-UA"/>
        </w:rPr>
        <w:t>)</w:t>
      </w:r>
      <w:r w:rsidR="003941A5">
        <w:rPr>
          <w:rFonts w:ascii="Times New Roman" w:hAnsi="Times New Roman" w:cs="Times New Roman"/>
          <w:sz w:val="28"/>
          <w:szCs w:val="28"/>
          <w:lang w:val="uk-UA"/>
        </w:rPr>
        <w:t>.</w:t>
      </w:r>
      <w:r w:rsidR="00A220A9" w:rsidRPr="00A220A9">
        <w:rPr>
          <w:rFonts w:ascii="Times New Roman" w:hAnsi="Times New Roman" w:cs="Times New Roman"/>
          <w:bCs/>
          <w:noProof/>
          <w:sz w:val="28"/>
          <w:szCs w:val="28"/>
          <w:lang w:val="uk-UA" w:eastAsia="ru-RU"/>
        </w:rPr>
        <w:t xml:space="preserve"> </w:t>
      </w:r>
    </w:p>
    <w:p w:rsidR="004C1400" w:rsidRPr="00A220A9" w:rsidRDefault="00A220A9" w:rsidP="006C737E">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bCs/>
          <w:noProof/>
          <w:sz w:val="28"/>
          <w:szCs w:val="28"/>
          <w:lang w:eastAsia="ru-RU"/>
        </w:rPr>
        <w:drawing>
          <wp:inline distT="0" distB="0" distL="0" distR="0" wp14:anchorId="52A1A488" wp14:editId="1E31CCDA">
            <wp:extent cx="5904089" cy="2912533"/>
            <wp:effectExtent l="0" t="0" r="20955" b="2159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C1400" w:rsidRPr="00936BED" w:rsidRDefault="000103E9" w:rsidP="00D469CA">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Рис.</w:t>
      </w:r>
      <w:r w:rsidR="003941A5" w:rsidRPr="00936BED">
        <w:rPr>
          <w:rFonts w:ascii="Times New Roman" w:hAnsi="Times New Roman" w:cs="Times New Roman"/>
          <w:sz w:val="28"/>
          <w:szCs w:val="28"/>
          <w:shd w:val="clear" w:color="auto" w:fill="FFFFFF"/>
          <w:lang w:val="uk-UA"/>
        </w:rPr>
        <w:t xml:space="preserve"> 4</w:t>
      </w:r>
      <w:r w:rsidR="003E7F87" w:rsidRPr="00936BED">
        <w:rPr>
          <w:rFonts w:ascii="Times New Roman" w:hAnsi="Times New Roman" w:cs="Times New Roman"/>
          <w:sz w:val="28"/>
          <w:szCs w:val="28"/>
          <w:shd w:val="clear" w:color="auto" w:fill="FFFFFF"/>
          <w:lang w:val="uk-UA"/>
        </w:rPr>
        <w:t>.3</w:t>
      </w:r>
      <w:r w:rsidR="003209E9" w:rsidRPr="00936BED">
        <w:rPr>
          <w:rFonts w:ascii="Times New Roman" w:hAnsi="Times New Roman" w:cs="Times New Roman"/>
          <w:sz w:val="28"/>
          <w:szCs w:val="28"/>
          <w:shd w:val="clear" w:color="auto" w:fill="FFFFFF"/>
          <w:lang w:val="uk-UA"/>
        </w:rPr>
        <w:t>.4</w:t>
      </w:r>
      <w:r w:rsidR="000A19B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 </w:t>
      </w:r>
      <w:r w:rsidR="00F63715">
        <w:rPr>
          <w:rFonts w:ascii="Times New Roman" w:hAnsi="Times New Roman" w:cs="Times New Roman"/>
          <w:sz w:val="28"/>
          <w:szCs w:val="28"/>
          <w:shd w:val="clear" w:color="auto" w:fill="FFFFFF"/>
          <w:lang w:val="uk-UA"/>
        </w:rPr>
        <w:t>З</w:t>
      </w:r>
      <w:r w:rsidR="000A19BA">
        <w:rPr>
          <w:rFonts w:ascii="Times New Roman" w:hAnsi="Times New Roman" w:cs="Times New Roman"/>
          <w:sz w:val="28"/>
          <w:szCs w:val="28"/>
          <w:shd w:val="clear" w:color="auto" w:fill="FFFFFF"/>
          <w:lang w:val="uk-UA"/>
        </w:rPr>
        <w:t>алежн</w:t>
      </w:r>
      <w:r w:rsidR="000A19BA">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lang w:val="uk-UA"/>
        </w:rPr>
        <w:t>сть між вмістом</w:t>
      </w:r>
      <w:r w:rsidR="000A19BA">
        <w:rPr>
          <w:rFonts w:ascii="Times New Roman" w:hAnsi="Times New Roman" w:cs="Times New Roman"/>
          <w:sz w:val="28"/>
          <w:szCs w:val="28"/>
          <w:shd w:val="clear" w:color="auto" w:fill="FFFFFF"/>
          <w:lang w:val="uk-UA"/>
        </w:rPr>
        <w:t xml:space="preserve"> ендотел</w:t>
      </w:r>
      <w:r w:rsidR="000A19BA">
        <w:rPr>
          <w:rFonts w:ascii="Times New Roman" w:hAnsi="Times New Roman" w:cs="Times New Roman"/>
          <w:sz w:val="28"/>
          <w:szCs w:val="28"/>
          <w:shd w:val="clear" w:color="auto" w:fill="FFFFFF"/>
          <w:lang w:val="en-US"/>
        </w:rPr>
        <w:t>i</w:t>
      </w:r>
      <w:r w:rsidR="00D469CA">
        <w:rPr>
          <w:rFonts w:ascii="Times New Roman" w:hAnsi="Times New Roman" w:cs="Times New Roman"/>
          <w:sz w:val="28"/>
          <w:szCs w:val="28"/>
          <w:shd w:val="clear" w:color="auto" w:fill="FFFFFF"/>
          <w:lang w:val="uk-UA"/>
        </w:rPr>
        <w:t xml:space="preserve">ну-1 </w:t>
      </w:r>
      <w:r w:rsidR="000A19BA">
        <w:rPr>
          <w:rFonts w:ascii="Times New Roman" w:hAnsi="Times New Roman" w:cs="Times New Roman"/>
          <w:sz w:val="28"/>
          <w:szCs w:val="28"/>
          <w:shd w:val="clear" w:color="auto" w:fill="FFFFFF"/>
          <w:lang w:val="uk-UA"/>
        </w:rPr>
        <w:t>та альбум</w:t>
      </w:r>
      <w:r w:rsidR="000A19BA">
        <w:rPr>
          <w:rFonts w:ascii="Times New Roman" w:hAnsi="Times New Roman" w:cs="Times New Roman"/>
          <w:sz w:val="28"/>
          <w:szCs w:val="28"/>
          <w:shd w:val="clear" w:color="auto" w:fill="FFFFFF"/>
          <w:lang w:val="en-US"/>
        </w:rPr>
        <w:t>i</w:t>
      </w:r>
      <w:r w:rsidR="000A19BA">
        <w:rPr>
          <w:rFonts w:ascii="Times New Roman" w:hAnsi="Times New Roman" w:cs="Times New Roman"/>
          <w:sz w:val="28"/>
          <w:szCs w:val="28"/>
          <w:shd w:val="clear" w:color="auto" w:fill="FFFFFF"/>
          <w:lang w:val="uk-UA"/>
        </w:rPr>
        <w:t>нур</w:t>
      </w:r>
      <w:r w:rsidR="000A19BA">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lang w:val="uk-UA"/>
        </w:rPr>
        <w:t xml:space="preserve">єю </w:t>
      </w:r>
      <w:r w:rsidR="009D1878">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у пацієнтів</w:t>
      </w:r>
      <w:r w:rsidR="00FD685E">
        <w:rPr>
          <w:rFonts w:ascii="Times New Roman" w:hAnsi="Times New Roman" w:cs="Times New Roman"/>
          <w:sz w:val="28"/>
          <w:szCs w:val="28"/>
          <w:shd w:val="clear" w:color="auto" w:fill="FFFFFF"/>
          <w:lang w:val="uk-UA"/>
        </w:rPr>
        <w:t xml:space="preserve"> </w:t>
      </w:r>
      <w:r w:rsidR="009C4137">
        <w:rPr>
          <w:rFonts w:ascii="Times New Roman" w:hAnsi="Times New Roman" w:cs="Times New Roman"/>
          <w:sz w:val="28"/>
          <w:szCs w:val="28"/>
          <w:shd w:val="clear" w:color="auto" w:fill="FFFFFF"/>
          <w:lang w:val="uk-UA"/>
        </w:rPr>
        <w:t>і</w:t>
      </w:r>
      <w:r w:rsidR="004C1400" w:rsidRPr="00936BED">
        <w:rPr>
          <w:rFonts w:ascii="Times New Roman" w:hAnsi="Times New Roman" w:cs="Times New Roman"/>
          <w:sz w:val="28"/>
          <w:szCs w:val="28"/>
          <w:shd w:val="clear" w:color="auto" w:fill="FFFFFF"/>
          <w:lang w:val="uk-UA"/>
        </w:rPr>
        <w:t xml:space="preserve">з </w:t>
      </w:r>
      <w:r w:rsidR="000A19BA">
        <w:rPr>
          <w:rFonts w:ascii="Times New Roman" w:hAnsi="Times New Roman" w:cs="Times New Roman"/>
          <w:sz w:val="28"/>
          <w:szCs w:val="28"/>
          <w:shd w:val="clear" w:color="auto" w:fill="FFFFFF"/>
          <w:lang w:val="uk-UA"/>
        </w:rPr>
        <w:t>артер</w:t>
      </w:r>
      <w:r w:rsidR="000A19BA">
        <w:rPr>
          <w:rFonts w:ascii="Times New Roman" w:hAnsi="Times New Roman" w:cs="Times New Roman"/>
          <w:sz w:val="28"/>
          <w:szCs w:val="28"/>
          <w:shd w:val="clear" w:color="auto" w:fill="FFFFFF"/>
          <w:lang w:val="en-US"/>
        </w:rPr>
        <w:t>i</w:t>
      </w:r>
      <w:r w:rsidR="000A19BA">
        <w:rPr>
          <w:rFonts w:ascii="Times New Roman" w:hAnsi="Times New Roman" w:cs="Times New Roman"/>
          <w:sz w:val="28"/>
          <w:szCs w:val="28"/>
          <w:shd w:val="clear" w:color="auto" w:fill="FFFFFF"/>
          <w:lang w:val="uk-UA"/>
        </w:rPr>
        <w:t>альною г</w:t>
      </w:r>
      <w:r w:rsidR="000A19BA">
        <w:rPr>
          <w:rFonts w:ascii="Times New Roman" w:hAnsi="Times New Roman" w:cs="Times New Roman"/>
          <w:sz w:val="28"/>
          <w:szCs w:val="28"/>
          <w:shd w:val="clear" w:color="auto" w:fill="FFFFFF"/>
          <w:lang w:val="en-US"/>
        </w:rPr>
        <w:t>i</w:t>
      </w:r>
      <w:r w:rsidR="000A19BA">
        <w:rPr>
          <w:rFonts w:ascii="Times New Roman" w:hAnsi="Times New Roman" w:cs="Times New Roman"/>
          <w:sz w:val="28"/>
          <w:szCs w:val="28"/>
          <w:shd w:val="clear" w:color="auto" w:fill="FFFFFF"/>
          <w:lang w:val="uk-UA"/>
        </w:rPr>
        <w:t>пертенз</w:t>
      </w:r>
      <w:r w:rsidR="000A19BA">
        <w:rPr>
          <w:rFonts w:ascii="Times New Roman" w:hAnsi="Times New Roman" w:cs="Times New Roman"/>
          <w:sz w:val="28"/>
          <w:szCs w:val="28"/>
          <w:shd w:val="clear" w:color="auto" w:fill="FFFFFF"/>
          <w:lang w:val="en-US"/>
        </w:rPr>
        <w:t>i</w:t>
      </w:r>
      <w:r w:rsidR="00FD685E">
        <w:rPr>
          <w:rFonts w:ascii="Times New Roman" w:hAnsi="Times New Roman" w:cs="Times New Roman"/>
          <w:sz w:val="28"/>
          <w:szCs w:val="28"/>
          <w:shd w:val="clear" w:color="auto" w:fill="FFFFFF"/>
          <w:lang w:val="uk-UA"/>
        </w:rPr>
        <w:t>єю</w:t>
      </w:r>
      <w:r w:rsidR="00FD685E" w:rsidRPr="00936BED">
        <w:rPr>
          <w:rFonts w:ascii="Times New Roman" w:hAnsi="Times New Roman" w:cs="Times New Roman"/>
          <w:sz w:val="28"/>
          <w:szCs w:val="28"/>
          <w:shd w:val="clear" w:color="auto" w:fill="FFFFFF"/>
          <w:lang w:val="uk-UA"/>
        </w:rPr>
        <w:t xml:space="preserve"> </w:t>
      </w:r>
      <w:r w:rsidR="00FD685E">
        <w:rPr>
          <w:rFonts w:ascii="Times New Roman" w:hAnsi="Times New Roman" w:cs="Times New Roman"/>
          <w:sz w:val="28"/>
          <w:szCs w:val="28"/>
          <w:shd w:val="clear" w:color="auto" w:fill="FFFFFF"/>
          <w:lang w:val="uk-UA"/>
        </w:rPr>
        <w:t xml:space="preserve">та </w:t>
      </w:r>
      <w:r w:rsidR="004C1400" w:rsidRPr="00936BED">
        <w:rPr>
          <w:rFonts w:ascii="Times New Roman" w:hAnsi="Times New Roman" w:cs="Times New Roman"/>
          <w:sz w:val="28"/>
          <w:szCs w:val="28"/>
          <w:shd w:val="clear" w:color="auto" w:fill="FFFFFF"/>
          <w:lang w:val="uk-UA"/>
        </w:rPr>
        <w:t xml:space="preserve">цукровим </w:t>
      </w:r>
      <w:r w:rsidR="000A19BA">
        <w:rPr>
          <w:rFonts w:ascii="Times New Roman" w:hAnsi="Times New Roman" w:cs="Times New Roman"/>
          <w:sz w:val="28"/>
          <w:szCs w:val="28"/>
          <w:shd w:val="clear" w:color="auto" w:fill="FFFFFF"/>
          <w:lang w:val="uk-UA"/>
        </w:rPr>
        <w:t>д</w:t>
      </w:r>
      <w:r w:rsidR="000A19BA">
        <w:rPr>
          <w:rFonts w:ascii="Times New Roman" w:hAnsi="Times New Roman" w:cs="Times New Roman"/>
          <w:sz w:val="28"/>
          <w:szCs w:val="28"/>
          <w:shd w:val="clear" w:color="auto" w:fill="FFFFFF"/>
          <w:lang w:val="en-US"/>
        </w:rPr>
        <w:t>i</w:t>
      </w:r>
      <w:r w:rsidR="004C1400" w:rsidRPr="00936BED">
        <w:rPr>
          <w:rFonts w:ascii="Times New Roman" w:hAnsi="Times New Roman" w:cs="Times New Roman"/>
          <w:sz w:val="28"/>
          <w:szCs w:val="28"/>
          <w:shd w:val="clear" w:color="auto" w:fill="FFFFFF"/>
          <w:lang w:val="uk-UA"/>
        </w:rPr>
        <w:t xml:space="preserve">абетом 2-го типу </w:t>
      </w:r>
    </w:p>
    <w:p w:rsidR="004C1400" w:rsidRPr="00BE4FA7" w:rsidRDefault="00FD0ABA" w:rsidP="005444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lastRenderedPageBreak/>
        <w:t>Таку позитивну залежн</w:t>
      </w:r>
      <w:r w:rsidR="000A19BA">
        <w:rPr>
          <w:rFonts w:ascii="Times New Roman" w:hAnsi="Times New Roman" w:cs="Times New Roman"/>
          <w:sz w:val="28"/>
          <w:szCs w:val="28"/>
          <w:shd w:val="clear" w:color="auto" w:fill="FFFFFF"/>
          <w:lang w:val="en-US"/>
        </w:rPr>
        <w:t>i</w:t>
      </w:r>
      <w:r w:rsidR="00FD685E">
        <w:rPr>
          <w:rFonts w:ascii="Times New Roman" w:hAnsi="Times New Roman" w:cs="Times New Roman"/>
          <w:sz w:val="28"/>
          <w:szCs w:val="28"/>
          <w:shd w:val="clear" w:color="auto" w:fill="FFFFFF"/>
          <w:lang w:val="uk-UA"/>
        </w:rPr>
        <w:t>сть</w:t>
      </w:r>
      <w:r>
        <w:rPr>
          <w:rFonts w:ascii="Times New Roman" w:hAnsi="Times New Roman" w:cs="Times New Roman"/>
          <w:sz w:val="28"/>
          <w:szCs w:val="28"/>
          <w:shd w:val="clear" w:color="auto" w:fill="FFFFFF"/>
          <w:lang w:val="uk-UA"/>
        </w:rPr>
        <w:t xml:space="preserve"> можна пояснити тим, що альбум</w:t>
      </w:r>
      <w:r>
        <w:rPr>
          <w:rFonts w:ascii="Times New Roman" w:hAnsi="Times New Roman" w:cs="Times New Roman"/>
          <w:sz w:val="28"/>
          <w:szCs w:val="28"/>
          <w:shd w:val="clear" w:color="auto" w:fill="FFFFFF"/>
          <w:lang w:val="en-US"/>
        </w:rPr>
        <w:t>i</w:t>
      </w:r>
      <w:r>
        <w:rPr>
          <w:rFonts w:ascii="Times New Roman" w:hAnsi="Times New Roman" w:cs="Times New Roman"/>
          <w:sz w:val="28"/>
          <w:szCs w:val="28"/>
          <w:shd w:val="clear" w:color="auto" w:fill="FFFFFF"/>
          <w:lang w:val="uk-UA"/>
        </w:rPr>
        <w:t>нур</w:t>
      </w:r>
      <w:r>
        <w:rPr>
          <w:rFonts w:ascii="Times New Roman" w:hAnsi="Times New Roman" w:cs="Times New Roman"/>
          <w:sz w:val="28"/>
          <w:szCs w:val="28"/>
          <w:shd w:val="clear" w:color="auto" w:fill="FFFFFF"/>
          <w:lang w:val="en-US"/>
        </w:rPr>
        <w:t>i</w:t>
      </w:r>
      <w:r w:rsidR="004C1400" w:rsidRPr="00936BED">
        <w:rPr>
          <w:rFonts w:ascii="Times New Roman" w:hAnsi="Times New Roman" w:cs="Times New Roman"/>
          <w:sz w:val="28"/>
          <w:szCs w:val="28"/>
          <w:shd w:val="clear" w:color="auto" w:fill="FFFFFF"/>
          <w:lang w:val="uk-UA"/>
        </w:rPr>
        <w:t xml:space="preserve">я </w:t>
      </w:r>
      <w:r w:rsidR="004C1400" w:rsidRPr="004C1400">
        <w:rPr>
          <w:rFonts w:ascii="Times New Roman" w:hAnsi="Times New Roman" w:cs="Times New Roman"/>
          <w:color w:val="333333"/>
          <w:sz w:val="28"/>
          <w:szCs w:val="28"/>
          <w:shd w:val="clear" w:color="auto" w:fill="FFFFFF"/>
          <w:lang w:val="uk-UA"/>
        </w:rPr>
        <w:t>є</w:t>
      </w:r>
      <w:r>
        <w:rPr>
          <w:rFonts w:ascii="Times New Roman" w:hAnsi="Times New Roman" w:cs="Times New Roman"/>
          <w:sz w:val="28"/>
          <w:szCs w:val="28"/>
          <w:lang w:val="uk-UA"/>
        </w:rPr>
        <w:t xml:space="preserve"> насл</w:t>
      </w:r>
      <w:r>
        <w:rPr>
          <w:rFonts w:ascii="Times New Roman" w:hAnsi="Times New Roman" w:cs="Times New Roman"/>
          <w:sz w:val="28"/>
          <w:szCs w:val="28"/>
          <w:lang w:val="en-US"/>
        </w:rPr>
        <w:t>i</w:t>
      </w:r>
      <w:r>
        <w:rPr>
          <w:rFonts w:ascii="Times New Roman" w:hAnsi="Times New Roman" w:cs="Times New Roman"/>
          <w:sz w:val="28"/>
          <w:szCs w:val="28"/>
          <w:lang w:val="uk-UA"/>
        </w:rPr>
        <w:t>дком п</w:t>
      </w:r>
      <w:r>
        <w:rPr>
          <w:rFonts w:ascii="Times New Roman" w:hAnsi="Times New Roman" w:cs="Times New Roman"/>
          <w:sz w:val="28"/>
          <w:szCs w:val="28"/>
          <w:lang w:val="en-US"/>
        </w:rPr>
        <w:t>i</w:t>
      </w:r>
      <w:r>
        <w:rPr>
          <w:rFonts w:ascii="Times New Roman" w:hAnsi="Times New Roman" w:cs="Times New Roman"/>
          <w:sz w:val="28"/>
          <w:szCs w:val="28"/>
          <w:lang w:val="uk-UA"/>
        </w:rPr>
        <w:t>двищеної втрати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 з плазми кров</w:t>
      </w:r>
      <w:r>
        <w:rPr>
          <w:rFonts w:ascii="Times New Roman" w:hAnsi="Times New Roman" w:cs="Times New Roman"/>
          <w:sz w:val="28"/>
          <w:szCs w:val="28"/>
          <w:lang w:val="en-US"/>
        </w:rPr>
        <w:t>i</w:t>
      </w:r>
      <w:r w:rsidR="004C1400" w:rsidRPr="004C1400">
        <w:rPr>
          <w:rFonts w:ascii="Times New Roman" w:hAnsi="Times New Roman" w:cs="Times New Roman"/>
          <w:sz w:val="28"/>
          <w:szCs w:val="28"/>
          <w:lang w:val="uk-UA"/>
        </w:rPr>
        <w:t xml:space="preserve"> через ен</w:t>
      </w:r>
      <w:r>
        <w:rPr>
          <w:rFonts w:ascii="Times New Roman" w:hAnsi="Times New Roman" w:cs="Times New Roman"/>
          <w:sz w:val="28"/>
          <w:szCs w:val="28"/>
          <w:lang w:val="uk-UA"/>
        </w:rPr>
        <w:t>дотел</w:t>
      </w:r>
      <w:r>
        <w:rPr>
          <w:rFonts w:ascii="Times New Roman" w:hAnsi="Times New Roman" w:cs="Times New Roman"/>
          <w:sz w:val="28"/>
          <w:szCs w:val="28"/>
          <w:lang w:val="en-US"/>
        </w:rPr>
        <w:t>i</w:t>
      </w:r>
      <w:r w:rsidR="001B4A22">
        <w:rPr>
          <w:rFonts w:ascii="Times New Roman" w:hAnsi="Times New Roman" w:cs="Times New Roman"/>
          <w:sz w:val="28"/>
          <w:szCs w:val="28"/>
          <w:lang w:val="uk-UA"/>
        </w:rPr>
        <w:t>й ниркових судин. Зважаючи на те, що</w:t>
      </w:r>
      <w:r w:rsidR="004C1400" w:rsidRPr="004C1400">
        <w:rPr>
          <w:rFonts w:ascii="Times New Roman" w:hAnsi="Times New Roman" w:cs="Times New Roman"/>
          <w:sz w:val="28"/>
          <w:szCs w:val="28"/>
          <w:lang w:val="uk-UA"/>
        </w:rPr>
        <w:t xml:space="preserve"> нирки </w:t>
      </w:r>
      <w:r>
        <w:rPr>
          <w:rFonts w:ascii="Times New Roman" w:hAnsi="Times New Roman" w:cs="Times New Roman"/>
          <w:sz w:val="28"/>
          <w:szCs w:val="28"/>
          <w:lang w:val="uk-UA"/>
        </w:rPr>
        <w:t>є органом з найвищою концентрац</w:t>
      </w:r>
      <w:r>
        <w:rPr>
          <w:rFonts w:ascii="Times New Roman" w:hAnsi="Times New Roman" w:cs="Times New Roman"/>
          <w:sz w:val="28"/>
          <w:szCs w:val="28"/>
          <w:lang w:val="en-US"/>
        </w:rPr>
        <w:t>i</w:t>
      </w:r>
      <w:r>
        <w:rPr>
          <w:rFonts w:ascii="Times New Roman" w:hAnsi="Times New Roman" w:cs="Times New Roman"/>
          <w:sz w:val="28"/>
          <w:szCs w:val="28"/>
          <w:lang w:val="uk-UA"/>
        </w:rPr>
        <w:t>єю артер</w:t>
      </w:r>
      <w:r>
        <w:rPr>
          <w:rFonts w:ascii="Times New Roman" w:hAnsi="Times New Roman" w:cs="Times New Roman"/>
          <w:sz w:val="28"/>
          <w:szCs w:val="28"/>
          <w:lang w:val="en-US"/>
        </w:rPr>
        <w:t>i</w:t>
      </w:r>
      <w:r w:rsidR="004C1400" w:rsidRPr="004C1400">
        <w:rPr>
          <w:rFonts w:ascii="Times New Roman" w:hAnsi="Times New Roman" w:cs="Times New Roman"/>
          <w:sz w:val="28"/>
          <w:szCs w:val="28"/>
          <w:lang w:val="uk-UA"/>
        </w:rPr>
        <w:t>о</w:t>
      </w:r>
      <w:r>
        <w:rPr>
          <w:rFonts w:ascii="Times New Roman" w:hAnsi="Times New Roman" w:cs="Times New Roman"/>
          <w:sz w:val="28"/>
          <w:szCs w:val="28"/>
          <w:lang w:val="uk-UA"/>
        </w:rPr>
        <w:t>л в орган</w:t>
      </w:r>
      <w:r>
        <w:rPr>
          <w:rFonts w:ascii="Times New Roman" w:hAnsi="Times New Roman" w:cs="Times New Roman"/>
          <w:sz w:val="28"/>
          <w:szCs w:val="28"/>
          <w:lang w:val="en-US"/>
        </w:rPr>
        <w:t>i</w:t>
      </w:r>
      <w:r>
        <w:rPr>
          <w:rFonts w:ascii="Times New Roman" w:hAnsi="Times New Roman" w:cs="Times New Roman"/>
          <w:sz w:val="28"/>
          <w:szCs w:val="28"/>
          <w:lang w:val="uk-UA"/>
        </w:rPr>
        <w:t>зм</w:t>
      </w:r>
      <w:r>
        <w:rPr>
          <w:rFonts w:ascii="Times New Roman" w:hAnsi="Times New Roman" w:cs="Times New Roman"/>
          <w:sz w:val="28"/>
          <w:szCs w:val="28"/>
          <w:lang w:val="en-US"/>
        </w:rPr>
        <w:t>i</w:t>
      </w:r>
      <w:r>
        <w:rPr>
          <w:rFonts w:ascii="Times New Roman" w:hAnsi="Times New Roman" w:cs="Times New Roman"/>
          <w:sz w:val="28"/>
          <w:szCs w:val="28"/>
          <w:lang w:val="uk-UA"/>
        </w:rPr>
        <w:t>, системне ураження ендотел</w:t>
      </w:r>
      <w:r>
        <w:rPr>
          <w:rFonts w:ascii="Times New Roman" w:hAnsi="Times New Roman" w:cs="Times New Roman"/>
          <w:sz w:val="28"/>
          <w:szCs w:val="28"/>
          <w:lang w:val="en-US"/>
        </w:rPr>
        <w:t>i</w:t>
      </w:r>
      <w:r w:rsidR="004C1400" w:rsidRPr="004C1400">
        <w:rPr>
          <w:rFonts w:ascii="Times New Roman" w:hAnsi="Times New Roman" w:cs="Times New Roman"/>
          <w:sz w:val="28"/>
          <w:szCs w:val="28"/>
          <w:lang w:val="uk-UA"/>
        </w:rPr>
        <w:t xml:space="preserve">ю виявляється </w:t>
      </w:r>
      <w:r w:rsidR="00F63715">
        <w:rPr>
          <w:rFonts w:ascii="Times New Roman" w:hAnsi="Times New Roman" w:cs="Times New Roman"/>
          <w:sz w:val="28"/>
          <w:szCs w:val="28"/>
          <w:lang w:val="uk-UA"/>
        </w:rPr>
        <w:t xml:space="preserve">наявністю </w:t>
      </w:r>
      <w:r>
        <w:rPr>
          <w:rFonts w:ascii="Times New Roman" w:hAnsi="Times New Roman" w:cs="Times New Roman"/>
          <w:sz w:val="28"/>
          <w:szCs w:val="28"/>
          <w:lang w:val="uk-UA"/>
        </w:rPr>
        <w:t>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317703">
        <w:rPr>
          <w:rFonts w:ascii="Times New Roman" w:hAnsi="Times New Roman" w:cs="Times New Roman"/>
          <w:sz w:val="28"/>
          <w:szCs w:val="28"/>
          <w:lang w:val="uk-UA"/>
        </w:rPr>
        <w:t>ї</w:t>
      </w:r>
      <w:r w:rsidR="00544403">
        <w:rPr>
          <w:rFonts w:ascii="Times New Roman" w:hAnsi="Times New Roman" w:cs="Times New Roman"/>
          <w:sz w:val="28"/>
          <w:szCs w:val="28"/>
          <w:lang w:val="uk-UA"/>
        </w:rPr>
        <w:t xml:space="preserve"> </w:t>
      </w:r>
      <w:r w:rsidR="00544403" w:rsidRPr="00F63715">
        <w:rPr>
          <w:rFonts w:ascii="Times New Roman" w:hAnsi="Times New Roman" w:cs="Times New Roman"/>
          <w:sz w:val="28"/>
          <w:szCs w:val="28"/>
          <w:lang w:val="uk-UA"/>
        </w:rPr>
        <w:t>[</w:t>
      </w:r>
      <w:r w:rsidR="00267B2C" w:rsidRPr="004B16DA">
        <w:rPr>
          <w:rFonts w:ascii="Times New Roman" w:hAnsi="Times New Roman" w:cs="Times New Roman"/>
          <w:sz w:val="28"/>
          <w:szCs w:val="28"/>
          <w:lang w:val="uk-UA"/>
        </w:rPr>
        <w:t>58</w:t>
      </w:r>
      <w:r w:rsidR="00544403" w:rsidRPr="00F63715">
        <w:rPr>
          <w:rFonts w:ascii="Times New Roman" w:hAnsi="Times New Roman" w:cs="Times New Roman"/>
          <w:sz w:val="28"/>
          <w:szCs w:val="28"/>
          <w:lang w:val="uk-UA"/>
        </w:rPr>
        <w:t>]</w:t>
      </w:r>
      <w:r w:rsidR="00317703">
        <w:rPr>
          <w:rFonts w:ascii="Times New Roman" w:hAnsi="Times New Roman" w:cs="Times New Roman"/>
          <w:sz w:val="28"/>
          <w:szCs w:val="28"/>
          <w:lang w:val="uk-UA"/>
        </w:rPr>
        <w:t xml:space="preserve">. </w:t>
      </w:r>
    </w:p>
    <w:p w:rsidR="00544403" w:rsidRDefault="00F63715" w:rsidP="00F6371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D0ABA">
        <w:rPr>
          <w:rFonts w:ascii="Times New Roman" w:hAnsi="Times New Roman" w:cs="Times New Roman"/>
          <w:sz w:val="28"/>
          <w:szCs w:val="28"/>
          <w:lang w:val="uk-UA"/>
        </w:rPr>
        <w:t xml:space="preserve"> пац</w:t>
      </w:r>
      <w:r w:rsidR="000A19BA">
        <w:rPr>
          <w:rFonts w:ascii="Times New Roman" w:hAnsi="Times New Roman" w:cs="Times New Roman"/>
          <w:sz w:val="28"/>
          <w:szCs w:val="28"/>
          <w:lang w:val="en-US"/>
        </w:rPr>
        <w:t>i</w:t>
      </w:r>
      <w:r w:rsidR="00FD0ABA">
        <w:rPr>
          <w:rFonts w:ascii="Times New Roman" w:hAnsi="Times New Roman" w:cs="Times New Roman"/>
          <w:sz w:val="28"/>
          <w:szCs w:val="28"/>
          <w:lang w:val="uk-UA"/>
        </w:rPr>
        <w:t>єнт</w:t>
      </w:r>
      <w:r w:rsidR="000A19BA">
        <w:rPr>
          <w:rFonts w:ascii="Times New Roman" w:hAnsi="Times New Roman" w:cs="Times New Roman"/>
          <w:sz w:val="28"/>
          <w:szCs w:val="28"/>
          <w:lang w:val="en-US"/>
        </w:rPr>
        <w:t>i</w:t>
      </w:r>
      <w:r w:rsidR="00FD685E">
        <w:rPr>
          <w:rFonts w:ascii="Times New Roman" w:hAnsi="Times New Roman" w:cs="Times New Roman"/>
          <w:sz w:val="28"/>
          <w:szCs w:val="28"/>
          <w:lang w:val="uk-UA"/>
        </w:rPr>
        <w:t xml:space="preserve">в </w:t>
      </w:r>
      <w:r w:rsidR="009C4137">
        <w:rPr>
          <w:rFonts w:ascii="Times New Roman" w:hAnsi="Times New Roman" w:cs="Times New Roman"/>
          <w:sz w:val="28"/>
          <w:szCs w:val="28"/>
          <w:lang w:val="uk-UA"/>
        </w:rPr>
        <w:t>і</w:t>
      </w:r>
      <w:r w:rsidR="003E6344" w:rsidRPr="00BD4338">
        <w:rPr>
          <w:rFonts w:ascii="Times New Roman" w:hAnsi="Times New Roman" w:cs="Times New Roman"/>
          <w:sz w:val="28"/>
          <w:szCs w:val="28"/>
          <w:lang w:val="uk-UA"/>
        </w:rPr>
        <w:t xml:space="preserve">з </w:t>
      </w:r>
      <w:r w:rsidR="00FD685E">
        <w:rPr>
          <w:rFonts w:ascii="Times New Roman" w:hAnsi="Times New Roman" w:cs="Times New Roman"/>
          <w:sz w:val="28"/>
          <w:szCs w:val="28"/>
          <w:lang w:val="uk-UA"/>
        </w:rPr>
        <w:t xml:space="preserve">АГ та </w:t>
      </w:r>
      <w:r w:rsidR="003E6344" w:rsidRPr="00BD4338">
        <w:rPr>
          <w:rFonts w:ascii="Times New Roman" w:hAnsi="Times New Roman" w:cs="Times New Roman"/>
          <w:sz w:val="28"/>
          <w:szCs w:val="28"/>
          <w:lang w:val="uk-UA"/>
        </w:rPr>
        <w:t>ЦД 2</w:t>
      </w:r>
      <w:r w:rsidR="00B03E6F" w:rsidRPr="00BD4338">
        <w:rPr>
          <w:rFonts w:ascii="Times New Roman" w:hAnsi="Times New Roman" w:cs="Times New Roman"/>
          <w:sz w:val="28"/>
          <w:szCs w:val="28"/>
          <w:lang w:val="uk-UA"/>
        </w:rPr>
        <w:t>-го</w:t>
      </w:r>
      <w:r w:rsidR="00FD685E">
        <w:rPr>
          <w:rFonts w:ascii="Times New Roman" w:hAnsi="Times New Roman" w:cs="Times New Roman"/>
          <w:sz w:val="28"/>
          <w:szCs w:val="28"/>
          <w:lang w:val="uk-UA"/>
        </w:rPr>
        <w:t xml:space="preserve"> типу</w:t>
      </w:r>
      <w:r w:rsidR="00FD0ABA">
        <w:rPr>
          <w:rFonts w:ascii="Times New Roman" w:hAnsi="Times New Roman" w:cs="Times New Roman"/>
          <w:sz w:val="28"/>
          <w:szCs w:val="28"/>
          <w:lang w:val="uk-UA"/>
        </w:rPr>
        <w:t>, як</w:t>
      </w:r>
      <w:r w:rsidR="000A19BA">
        <w:rPr>
          <w:rFonts w:ascii="Times New Roman" w:hAnsi="Times New Roman" w:cs="Times New Roman"/>
          <w:sz w:val="28"/>
          <w:szCs w:val="28"/>
          <w:lang w:val="en-US"/>
        </w:rPr>
        <w:t>i</w:t>
      </w:r>
      <w:r w:rsidR="003E6344" w:rsidRPr="00BD4338">
        <w:rPr>
          <w:rFonts w:ascii="Times New Roman" w:hAnsi="Times New Roman" w:cs="Times New Roman"/>
          <w:sz w:val="28"/>
          <w:szCs w:val="28"/>
          <w:lang w:val="uk-UA"/>
        </w:rPr>
        <w:t xml:space="preserve"> мали </w:t>
      </w:r>
      <w:r w:rsidR="00FF4494">
        <w:rPr>
          <w:rFonts w:ascii="Times New Roman" w:hAnsi="Times New Roman" w:cs="Times New Roman"/>
          <w:sz w:val="28"/>
          <w:szCs w:val="28"/>
          <w:lang w:val="uk-UA"/>
        </w:rPr>
        <w:t>альбумінурію категорії А1</w:t>
      </w:r>
      <w:r w:rsidR="00FD0ABA">
        <w:rPr>
          <w:rFonts w:ascii="Times New Roman" w:hAnsi="Times New Roman" w:cs="Times New Roman"/>
          <w:sz w:val="28"/>
          <w:szCs w:val="28"/>
          <w:lang w:val="uk-UA"/>
        </w:rPr>
        <w:t xml:space="preserve">, </w:t>
      </w:r>
      <w:r w:rsidR="00B67BE7">
        <w:rPr>
          <w:rFonts w:ascii="Times New Roman" w:hAnsi="Times New Roman" w:cs="Times New Roman"/>
          <w:sz w:val="28"/>
          <w:szCs w:val="28"/>
          <w:lang w:val="uk-UA"/>
        </w:rPr>
        <w:t xml:space="preserve">вміст </w:t>
      </w:r>
      <w:r w:rsidR="005D6A46">
        <w:rPr>
          <w:rFonts w:ascii="Times New Roman" w:hAnsi="Times New Roman" w:cs="Times New Roman"/>
          <w:sz w:val="28"/>
          <w:szCs w:val="28"/>
          <w:lang w:val="uk-UA"/>
        </w:rPr>
        <w:t xml:space="preserve">ЕТ-1 </w:t>
      </w:r>
      <w:r w:rsidR="00D469CA">
        <w:rPr>
          <w:rFonts w:ascii="Times New Roman" w:hAnsi="Times New Roman" w:cs="Times New Roman"/>
          <w:sz w:val="28"/>
          <w:szCs w:val="28"/>
          <w:lang w:val="uk-UA"/>
        </w:rPr>
        <w:t>становив</w:t>
      </w:r>
      <w:r w:rsidR="00BD4338" w:rsidRPr="00E70729">
        <w:rPr>
          <w:rFonts w:ascii="Times New Roman" w:hAnsi="Times New Roman" w:cs="Times New Roman"/>
          <w:sz w:val="28"/>
          <w:szCs w:val="28"/>
          <w:lang w:val="uk-UA"/>
        </w:rPr>
        <w:t xml:space="preserve"> (9,6</w:t>
      </w:r>
      <w:r w:rsidR="004F3B19" w:rsidRPr="00E70729">
        <w:rPr>
          <w:rFonts w:ascii="Times New Roman" w:hAnsi="Times New Roman" w:cs="Times New Roman"/>
          <w:sz w:val="28"/>
          <w:szCs w:val="28"/>
          <w:lang w:val="uk-UA"/>
        </w:rPr>
        <w:t>7</w:t>
      </w:r>
      <w:r w:rsidR="00D469CA">
        <w:rPr>
          <w:rFonts w:ascii="Times New Roman" w:hAnsi="Times New Roman" w:cs="Times New Roman"/>
          <w:sz w:val="28"/>
          <w:szCs w:val="28"/>
          <w:lang w:val="uk-UA"/>
        </w:rPr>
        <w:t xml:space="preserve"> </w:t>
      </w:r>
      <w:r w:rsidR="004F3B19" w:rsidRPr="00E70729">
        <w:rPr>
          <w:rFonts w:ascii="Times New Roman" w:hAnsi="Times New Roman" w:cs="Times New Roman"/>
          <w:sz w:val="28"/>
          <w:szCs w:val="28"/>
          <w:lang w:val="uk-UA"/>
        </w:rPr>
        <w:t>±</w:t>
      </w:r>
      <w:r w:rsidR="00D469CA">
        <w:rPr>
          <w:rFonts w:ascii="Times New Roman" w:hAnsi="Times New Roman" w:cs="Times New Roman"/>
          <w:sz w:val="28"/>
          <w:szCs w:val="28"/>
          <w:lang w:val="uk-UA"/>
        </w:rPr>
        <w:t xml:space="preserve"> </w:t>
      </w:r>
      <w:r w:rsidR="00FF4494">
        <w:rPr>
          <w:rFonts w:ascii="Times New Roman" w:hAnsi="Times New Roman" w:cs="Times New Roman"/>
          <w:sz w:val="28"/>
          <w:szCs w:val="28"/>
          <w:lang w:val="uk-UA"/>
        </w:rPr>
        <w:t>0,44) пг/мл, А2</w:t>
      </w:r>
      <w:r w:rsidR="00E70729" w:rsidRPr="00E70729">
        <w:rPr>
          <w:rFonts w:ascii="Times New Roman" w:hAnsi="Times New Roman" w:cs="Times New Roman"/>
          <w:sz w:val="28"/>
          <w:szCs w:val="28"/>
          <w:lang w:val="uk-UA"/>
        </w:rPr>
        <w:t xml:space="preserve"> – (11,34</w:t>
      </w:r>
      <w:r w:rsidR="00D469CA">
        <w:rPr>
          <w:rFonts w:ascii="Times New Roman" w:hAnsi="Times New Roman" w:cs="Times New Roman"/>
          <w:sz w:val="28"/>
          <w:szCs w:val="28"/>
          <w:lang w:val="uk-UA"/>
        </w:rPr>
        <w:t xml:space="preserve"> </w:t>
      </w:r>
      <w:r w:rsidR="00E70729" w:rsidRPr="00E70729">
        <w:rPr>
          <w:rFonts w:ascii="Times New Roman" w:hAnsi="Times New Roman" w:cs="Times New Roman"/>
          <w:sz w:val="28"/>
          <w:szCs w:val="28"/>
          <w:lang w:val="uk-UA"/>
        </w:rPr>
        <w:t>±</w:t>
      </w:r>
      <w:r w:rsidR="00D469CA">
        <w:rPr>
          <w:rFonts w:ascii="Times New Roman" w:hAnsi="Times New Roman" w:cs="Times New Roman"/>
          <w:sz w:val="28"/>
          <w:szCs w:val="28"/>
          <w:lang w:val="uk-UA"/>
        </w:rPr>
        <w:t xml:space="preserve"> </w:t>
      </w:r>
      <w:r w:rsidR="00E70729" w:rsidRPr="00E70729">
        <w:rPr>
          <w:rFonts w:ascii="Times New Roman" w:hAnsi="Times New Roman" w:cs="Times New Roman"/>
          <w:sz w:val="28"/>
          <w:szCs w:val="28"/>
          <w:lang w:val="uk-UA"/>
        </w:rPr>
        <w:t>0,3</w:t>
      </w:r>
      <w:r w:rsidR="00BD4338" w:rsidRPr="00E70729">
        <w:rPr>
          <w:rFonts w:ascii="Times New Roman" w:hAnsi="Times New Roman" w:cs="Times New Roman"/>
          <w:sz w:val="28"/>
          <w:szCs w:val="28"/>
          <w:lang w:val="uk-UA"/>
        </w:rPr>
        <w:t>1</w:t>
      </w:r>
      <w:r w:rsidR="003E6344" w:rsidRPr="00E70729">
        <w:rPr>
          <w:rFonts w:ascii="Times New Roman" w:hAnsi="Times New Roman" w:cs="Times New Roman"/>
          <w:sz w:val="28"/>
          <w:szCs w:val="28"/>
          <w:lang w:val="uk-UA"/>
        </w:rPr>
        <w:t>) пг/мл, p</w:t>
      </w:r>
      <w:r w:rsidR="00DE063E">
        <w:rPr>
          <w:rFonts w:ascii="Times New Roman" w:hAnsi="Times New Roman" w:cs="Times New Roman"/>
          <w:sz w:val="28"/>
          <w:szCs w:val="28"/>
          <w:vertAlign w:val="subscript"/>
          <w:lang w:val="uk-UA"/>
        </w:rPr>
        <w:t>1-2</w:t>
      </w:r>
      <w:r w:rsidR="00E70729" w:rsidRPr="00E70729">
        <w:rPr>
          <w:rFonts w:ascii="Times New Roman" w:hAnsi="Times New Roman" w:cs="Times New Roman"/>
          <w:sz w:val="28"/>
          <w:szCs w:val="28"/>
          <w:lang w:val="uk-UA"/>
        </w:rPr>
        <w:t xml:space="preserve"> = 0,0203</w:t>
      </w:r>
      <w:r w:rsidR="00FF4494">
        <w:rPr>
          <w:rFonts w:ascii="Times New Roman" w:hAnsi="Times New Roman" w:cs="Times New Roman"/>
          <w:sz w:val="28"/>
          <w:szCs w:val="28"/>
          <w:lang w:val="uk-UA"/>
        </w:rPr>
        <w:t>, А3</w:t>
      </w:r>
      <w:r w:rsidR="00BD4338" w:rsidRPr="00E70729">
        <w:rPr>
          <w:rFonts w:ascii="Times New Roman" w:hAnsi="Times New Roman" w:cs="Times New Roman"/>
          <w:sz w:val="28"/>
          <w:szCs w:val="28"/>
          <w:lang w:val="uk-UA"/>
        </w:rPr>
        <w:t xml:space="preserve"> – (15,2</w:t>
      </w:r>
      <w:r w:rsidR="00D469CA">
        <w:rPr>
          <w:rFonts w:ascii="Times New Roman" w:hAnsi="Times New Roman" w:cs="Times New Roman"/>
          <w:sz w:val="28"/>
          <w:szCs w:val="28"/>
          <w:lang w:val="uk-UA"/>
        </w:rPr>
        <w:t xml:space="preserve"> </w:t>
      </w:r>
      <w:r w:rsidR="00BD4338" w:rsidRPr="00E70729">
        <w:rPr>
          <w:rFonts w:ascii="Times New Roman" w:hAnsi="Times New Roman" w:cs="Times New Roman"/>
          <w:sz w:val="28"/>
          <w:szCs w:val="28"/>
          <w:lang w:val="uk-UA"/>
        </w:rPr>
        <w:t>±</w:t>
      </w:r>
      <w:r w:rsidR="00D469CA">
        <w:rPr>
          <w:rFonts w:ascii="Times New Roman" w:hAnsi="Times New Roman" w:cs="Times New Roman"/>
          <w:sz w:val="28"/>
          <w:szCs w:val="28"/>
          <w:lang w:val="uk-UA"/>
        </w:rPr>
        <w:t xml:space="preserve"> </w:t>
      </w:r>
      <w:r w:rsidR="00BD4338" w:rsidRPr="00E70729">
        <w:rPr>
          <w:rFonts w:ascii="Times New Roman" w:hAnsi="Times New Roman" w:cs="Times New Roman"/>
          <w:sz w:val="28"/>
          <w:szCs w:val="28"/>
          <w:lang w:val="uk-UA"/>
        </w:rPr>
        <w:t>0,28</w:t>
      </w:r>
      <w:r w:rsidR="003E6344" w:rsidRPr="00E70729">
        <w:rPr>
          <w:rFonts w:ascii="Times New Roman" w:hAnsi="Times New Roman" w:cs="Times New Roman"/>
          <w:sz w:val="28"/>
          <w:szCs w:val="28"/>
          <w:lang w:val="uk-UA"/>
        </w:rPr>
        <w:t>) пг/мл</w:t>
      </w:r>
      <w:r w:rsidR="00983A80" w:rsidRPr="00E70729">
        <w:rPr>
          <w:rFonts w:ascii="Times New Roman" w:hAnsi="Times New Roman" w:cs="Times New Roman"/>
          <w:sz w:val="28"/>
          <w:szCs w:val="28"/>
          <w:lang w:val="uk-UA"/>
        </w:rPr>
        <w:t>,</w:t>
      </w:r>
      <w:r w:rsidR="00CE30D5" w:rsidRPr="00E70729">
        <w:rPr>
          <w:rFonts w:ascii="Times New Roman" w:hAnsi="Times New Roman" w:cs="Times New Roman"/>
          <w:sz w:val="28"/>
          <w:szCs w:val="28"/>
          <w:lang w:val="uk-UA"/>
        </w:rPr>
        <w:t xml:space="preserve"> p</w:t>
      </w:r>
      <w:r w:rsidR="00DE063E">
        <w:rPr>
          <w:rFonts w:ascii="Times New Roman" w:hAnsi="Times New Roman" w:cs="Times New Roman"/>
          <w:sz w:val="28"/>
          <w:szCs w:val="28"/>
          <w:vertAlign w:val="subscript"/>
          <w:lang w:val="uk-UA"/>
        </w:rPr>
        <w:t>1-3</w:t>
      </w:r>
      <w:r w:rsidR="00CE30D5" w:rsidRPr="00E70729">
        <w:rPr>
          <w:rFonts w:ascii="Times New Roman" w:hAnsi="Times New Roman" w:cs="Times New Roman"/>
          <w:sz w:val="28"/>
          <w:szCs w:val="28"/>
          <w:lang w:val="uk-UA"/>
        </w:rPr>
        <w:t xml:space="preserve"> &lt; 0,0001</w:t>
      </w:r>
      <w:r w:rsidR="003941A5" w:rsidRPr="00E70729">
        <w:rPr>
          <w:rFonts w:ascii="Times New Roman" w:hAnsi="Times New Roman" w:cs="Times New Roman"/>
          <w:sz w:val="28"/>
          <w:szCs w:val="28"/>
          <w:lang w:val="uk-UA"/>
        </w:rPr>
        <w:t xml:space="preserve"> (табл. 4</w:t>
      </w:r>
      <w:r w:rsidR="003E7F87" w:rsidRPr="00E70729">
        <w:rPr>
          <w:rFonts w:ascii="Times New Roman" w:hAnsi="Times New Roman" w:cs="Times New Roman"/>
          <w:sz w:val="28"/>
          <w:szCs w:val="28"/>
          <w:lang w:val="uk-UA"/>
        </w:rPr>
        <w:t>.3</w:t>
      </w:r>
      <w:r w:rsidR="008B77A1" w:rsidRPr="007B6771">
        <w:rPr>
          <w:rFonts w:ascii="Times New Roman" w:hAnsi="Times New Roman" w:cs="Times New Roman"/>
          <w:sz w:val="28"/>
          <w:szCs w:val="28"/>
          <w:lang w:val="uk-UA"/>
        </w:rPr>
        <w:t>.1</w:t>
      </w:r>
      <w:r w:rsidR="00983A80" w:rsidRPr="00E70729">
        <w:rPr>
          <w:rFonts w:ascii="Times New Roman" w:hAnsi="Times New Roman" w:cs="Times New Roman"/>
          <w:sz w:val="28"/>
          <w:szCs w:val="28"/>
          <w:lang w:val="uk-UA"/>
        </w:rPr>
        <w:t>).</w:t>
      </w:r>
    </w:p>
    <w:p w:rsidR="00F63715" w:rsidRPr="00F63715" w:rsidRDefault="00D469CA" w:rsidP="00F63715">
      <w:pPr>
        <w:autoSpaceDE w:val="0"/>
        <w:autoSpaceDN w:val="0"/>
        <w:adjustRightInd w:val="0"/>
        <w:spacing w:after="0" w:line="360" w:lineRule="auto"/>
        <w:jc w:val="right"/>
        <w:rPr>
          <w:rFonts w:ascii="Times New Roman" w:hAnsi="Times New Roman" w:cs="Times New Roman"/>
          <w:i/>
          <w:sz w:val="28"/>
          <w:szCs w:val="28"/>
          <w:lang w:val="uk-UA"/>
        </w:rPr>
      </w:pPr>
      <w:r w:rsidRPr="00F63715">
        <w:rPr>
          <w:rFonts w:ascii="Times New Roman" w:hAnsi="Times New Roman" w:cs="Times New Roman"/>
          <w:i/>
          <w:sz w:val="28"/>
          <w:szCs w:val="28"/>
          <w:lang w:val="uk-UA"/>
        </w:rPr>
        <w:t>Таблиця</w:t>
      </w:r>
      <w:r w:rsidR="003941A5" w:rsidRPr="00F63715">
        <w:rPr>
          <w:rFonts w:ascii="Times New Roman" w:hAnsi="Times New Roman" w:cs="Times New Roman"/>
          <w:i/>
          <w:sz w:val="28"/>
          <w:szCs w:val="28"/>
          <w:lang w:val="uk-UA"/>
        </w:rPr>
        <w:t xml:space="preserve"> 4</w:t>
      </w:r>
      <w:r w:rsidR="003E7F87" w:rsidRPr="00F63715">
        <w:rPr>
          <w:rFonts w:ascii="Times New Roman" w:hAnsi="Times New Roman" w:cs="Times New Roman"/>
          <w:i/>
          <w:sz w:val="28"/>
          <w:szCs w:val="28"/>
          <w:lang w:val="uk-UA"/>
        </w:rPr>
        <w:t>.3</w:t>
      </w:r>
      <w:r w:rsidR="008B77A1" w:rsidRPr="008B77A1">
        <w:rPr>
          <w:rFonts w:ascii="Times New Roman" w:hAnsi="Times New Roman" w:cs="Times New Roman"/>
          <w:i/>
          <w:sz w:val="28"/>
          <w:szCs w:val="28"/>
          <w:lang w:val="uk-UA"/>
        </w:rPr>
        <w:t>.</w:t>
      </w:r>
      <w:r w:rsidR="008B77A1" w:rsidRPr="007B6771">
        <w:rPr>
          <w:rFonts w:ascii="Times New Roman" w:hAnsi="Times New Roman" w:cs="Times New Roman"/>
          <w:i/>
          <w:sz w:val="28"/>
          <w:szCs w:val="28"/>
          <w:lang w:val="uk-UA"/>
        </w:rPr>
        <w:t>1</w:t>
      </w:r>
      <w:r w:rsidR="00F63715" w:rsidRPr="00F63715">
        <w:rPr>
          <w:rFonts w:ascii="Times New Roman" w:hAnsi="Times New Roman" w:cs="Times New Roman"/>
          <w:i/>
          <w:sz w:val="28"/>
          <w:szCs w:val="28"/>
          <w:lang w:val="uk-UA"/>
        </w:rPr>
        <w:t xml:space="preserve"> </w:t>
      </w:r>
    </w:p>
    <w:p w:rsidR="00006416" w:rsidRPr="00F63715" w:rsidRDefault="00B67BE7" w:rsidP="00F63715">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Вміст </w:t>
      </w:r>
      <w:r w:rsidR="000A19BA" w:rsidRPr="00F63715">
        <w:rPr>
          <w:rFonts w:ascii="Times New Roman" w:hAnsi="Times New Roman" w:cs="Times New Roman"/>
          <w:b/>
          <w:sz w:val="28"/>
          <w:szCs w:val="28"/>
          <w:lang w:val="uk-UA"/>
        </w:rPr>
        <w:t>ендотел</w:t>
      </w:r>
      <w:r w:rsidR="000A19BA" w:rsidRPr="00F63715">
        <w:rPr>
          <w:rFonts w:ascii="Times New Roman" w:hAnsi="Times New Roman" w:cs="Times New Roman"/>
          <w:b/>
          <w:sz w:val="28"/>
          <w:szCs w:val="28"/>
          <w:lang w:val="en-US"/>
        </w:rPr>
        <w:t>i</w:t>
      </w:r>
      <w:r w:rsidR="00101ECB" w:rsidRPr="00F63715">
        <w:rPr>
          <w:rFonts w:ascii="Times New Roman" w:hAnsi="Times New Roman" w:cs="Times New Roman"/>
          <w:b/>
          <w:sz w:val="28"/>
          <w:szCs w:val="28"/>
          <w:lang w:val="uk-UA"/>
        </w:rPr>
        <w:t>ну</w:t>
      </w:r>
      <w:r w:rsidR="00D469CA" w:rsidRPr="00F63715">
        <w:rPr>
          <w:rFonts w:ascii="Times New Roman" w:hAnsi="Times New Roman" w:cs="Times New Roman"/>
          <w:b/>
          <w:sz w:val="28"/>
          <w:szCs w:val="28"/>
          <w:lang w:val="uk-UA"/>
        </w:rPr>
        <w:t>-1 залежно</w:t>
      </w:r>
      <w:r w:rsidR="000A19BA" w:rsidRPr="00F63715">
        <w:rPr>
          <w:rFonts w:ascii="Times New Roman" w:hAnsi="Times New Roman" w:cs="Times New Roman"/>
          <w:b/>
          <w:sz w:val="28"/>
          <w:szCs w:val="28"/>
          <w:lang w:val="uk-UA"/>
        </w:rPr>
        <w:t xml:space="preserve"> в</w:t>
      </w:r>
      <w:r w:rsidR="000A19BA" w:rsidRPr="00F63715">
        <w:rPr>
          <w:rFonts w:ascii="Times New Roman" w:hAnsi="Times New Roman" w:cs="Times New Roman"/>
          <w:b/>
          <w:sz w:val="28"/>
          <w:szCs w:val="28"/>
          <w:lang w:val="en-US"/>
        </w:rPr>
        <w:t>i</w:t>
      </w:r>
      <w:r w:rsidR="00BD4338" w:rsidRPr="00F63715">
        <w:rPr>
          <w:rFonts w:ascii="Times New Roman" w:hAnsi="Times New Roman" w:cs="Times New Roman"/>
          <w:b/>
          <w:sz w:val="28"/>
          <w:szCs w:val="28"/>
          <w:lang w:val="uk-UA"/>
        </w:rPr>
        <w:t>д</w:t>
      </w:r>
      <w:r w:rsidR="00353E7C" w:rsidRPr="00F63715">
        <w:rPr>
          <w:rFonts w:ascii="Times New Roman" w:hAnsi="Times New Roman" w:cs="Times New Roman"/>
          <w:b/>
          <w:sz w:val="28"/>
          <w:szCs w:val="28"/>
          <w:lang w:val="uk-UA"/>
        </w:rPr>
        <w:t xml:space="preserve"> </w:t>
      </w:r>
      <w:r w:rsidR="009F3992">
        <w:rPr>
          <w:rFonts w:ascii="Times New Roman" w:hAnsi="Times New Roman" w:cs="Times New Roman"/>
          <w:b/>
          <w:sz w:val="28"/>
          <w:szCs w:val="28"/>
          <w:lang w:val="uk-UA"/>
        </w:rPr>
        <w:t xml:space="preserve">категорії </w:t>
      </w:r>
      <w:r w:rsidR="00B53D5A">
        <w:rPr>
          <w:rFonts w:ascii="Times New Roman" w:hAnsi="Times New Roman" w:cs="Times New Roman"/>
          <w:b/>
          <w:sz w:val="28"/>
          <w:szCs w:val="28"/>
          <w:lang w:val="uk-UA"/>
        </w:rPr>
        <w:t xml:space="preserve">альбумінурії у хворих </w:t>
      </w:r>
      <w:r w:rsidR="009D1878">
        <w:rPr>
          <w:rFonts w:ascii="Times New Roman" w:hAnsi="Times New Roman" w:cs="Times New Roman"/>
          <w:b/>
          <w:sz w:val="28"/>
          <w:szCs w:val="28"/>
          <w:lang w:val="uk-UA"/>
        </w:rPr>
        <w:t xml:space="preserve">                на </w:t>
      </w:r>
      <w:r w:rsidR="000A19BA" w:rsidRPr="00F63715">
        <w:rPr>
          <w:rFonts w:ascii="Times New Roman" w:hAnsi="Times New Roman" w:cs="Times New Roman"/>
          <w:b/>
          <w:sz w:val="28"/>
          <w:szCs w:val="28"/>
          <w:lang w:val="uk-UA"/>
        </w:rPr>
        <w:t>артер</w:t>
      </w:r>
      <w:r w:rsidR="000A19BA" w:rsidRPr="00F63715">
        <w:rPr>
          <w:rFonts w:ascii="Times New Roman" w:hAnsi="Times New Roman" w:cs="Times New Roman"/>
          <w:b/>
          <w:sz w:val="28"/>
          <w:szCs w:val="28"/>
          <w:lang w:val="en-US"/>
        </w:rPr>
        <w:t>i</w:t>
      </w:r>
      <w:r w:rsidR="00137135">
        <w:rPr>
          <w:rFonts w:ascii="Times New Roman" w:hAnsi="Times New Roman" w:cs="Times New Roman"/>
          <w:b/>
          <w:sz w:val="28"/>
          <w:szCs w:val="28"/>
          <w:lang w:val="uk-UA"/>
        </w:rPr>
        <w:t>альну</w:t>
      </w:r>
      <w:r w:rsidR="000A19BA" w:rsidRPr="00F63715">
        <w:rPr>
          <w:rFonts w:ascii="Times New Roman" w:hAnsi="Times New Roman" w:cs="Times New Roman"/>
          <w:b/>
          <w:sz w:val="28"/>
          <w:szCs w:val="28"/>
          <w:lang w:val="uk-UA"/>
        </w:rPr>
        <w:t xml:space="preserve"> г</w:t>
      </w:r>
      <w:r w:rsidR="000A19BA" w:rsidRPr="00F63715">
        <w:rPr>
          <w:rFonts w:ascii="Times New Roman" w:hAnsi="Times New Roman" w:cs="Times New Roman"/>
          <w:b/>
          <w:sz w:val="28"/>
          <w:szCs w:val="28"/>
          <w:lang w:val="en-US"/>
        </w:rPr>
        <w:t>i</w:t>
      </w:r>
      <w:r w:rsidR="000A19BA" w:rsidRPr="00F63715">
        <w:rPr>
          <w:rFonts w:ascii="Times New Roman" w:hAnsi="Times New Roman" w:cs="Times New Roman"/>
          <w:b/>
          <w:sz w:val="28"/>
          <w:szCs w:val="28"/>
          <w:lang w:val="uk-UA"/>
        </w:rPr>
        <w:t>пертенз</w:t>
      </w:r>
      <w:r w:rsidR="000A19BA" w:rsidRPr="00F63715">
        <w:rPr>
          <w:rFonts w:ascii="Times New Roman" w:hAnsi="Times New Roman" w:cs="Times New Roman"/>
          <w:b/>
          <w:sz w:val="28"/>
          <w:szCs w:val="28"/>
          <w:lang w:val="en-US"/>
        </w:rPr>
        <w:t>i</w:t>
      </w:r>
      <w:r w:rsidR="00FD685E" w:rsidRPr="00F63715">
        <w:rPr>
          <w:rFonts w:ascii="Times New Roman" w:hAnsi="Times New Roman" w:cs="Times New Roman"/>
          <w:b/>
          <w:sz w:val="28"/>
          <w:szCs w:val="28"/>
          <w:lang w:val="uk-UA"/>
        </w:rPr>
        <w:t xml:space="preserve">ю та </w:t>
      </w:r>
      <w:r w:rsidR="00137135">
        <w:rPr>
          <w:rFonts w:ascii="Times New Roman" w:hAnsi="Times New Roman" w:cs="Times New Roman"/>
          <w:b/>
          <w:sz w:val="28"/>
          <w:szCs w:val="28"/>
          <w:lang w:val="uk-UA"/>
        </w:rPr>
        <w:t>цукровий</w:t>
      </w:r>
      <w:r w:rsidR="000A19BA" w:rsidRPr="00F63715">
        <w:rPr>
          <w:rFonts w:ascii="Times New Roman" w:hAnsi="Times New Roman" w:cs="Times New Roman"/>
          <w:b/>
          <w:sz w:val="28"/>
          <w:szCs w:val="28"/>
          <w:lang w:val="uk-UA"/>
        </w:rPr>
        <w:t xml:space="preserve"> д</w:t>
      </w:r>
      <w:r w:rsidR="000A19BA" w:rsidRPr="00F63715">
        <w:rPr>
          <w:rFonts w:ascii="Times New Roman" w:hAnsi="Times New Roman" w:cs="Times New Roman"/>
          <w:b/>
          <w:sz w:val="28"/>
          <w:szCs w:val="28"/>
          <w:lang w:val="en-US"/>
        </w:rPr>
        <w:t>i</w:t>
      </w:r>
      <w:r w:rsidR="00137135">
        <w:rPr>
          <w:rFonts w:ascii="Times New Roman" w:hAnsi="Times New Roman" w:cs="Times New Roman"/>
          <w:b/>
          <w:sz w:val="28"/>
          <w:szCs w:val="28"/>
          <w:lang w:val="uk-UA"/>
        </w:rPr>
        <w:t>абет</w:t>
      </w:r>
      <w:r w:rsidR="00BD4338" w:rsidRPr="00F63715">
        <w:rPr>
          <w:rFonts w:ascii="Times New Roman" w:hAnsi="Times New Roman" w:cs="Times New Roman"/>
          <w:b/>
          <w:sz w:val="28"/>
          <w:szCs w:val="28"/>
          <w:lang w:val="uk-UA"/>
        </w:rPr>
        <w:t xml:space="preserve"> 2</w:t>
      </w:r>
      <w:r w:rsidR="00D469CA" w:rsidRPr="00F63715">
        <w:rPr>
          <w:rFonts w:ascii="Times New Roman" w:hAnsi="Times New Roman" w:cs="Times New Roman"/>
          <w:b/>
          <w:sz w:val="28"/>
          <w:szCs w:val="28"/>
          <w:lang w:val="uk-UA"/>
        </w:rPr>
        <w:t>-го</w:t>
      </w:r>
      <w:r w:rsidR="00BD4338" w:rsidRPr="00F63715">
        <w:rPr>
          <w:rFonts w:ascii="Times New Roman" w:hAnsi="Times New Roman" w:cs="Times New Roman"/>
          <w:b/>
          <w:sz w:val="28"/>
          <w:szCs w:val="28"/>
          <w:lang w:val="uk-UA"/>
        </w:rPr>
        <w:t xml:space="preserve"> типу</w:t>
      </w:r>
    </w:p>
    <w:tbl>
      <w:tblPr>
        <w:tblStyle w:val="a5"/>
        <w:tblW w:w="0" w:type="auto"/>
        <w:tblInd w:w="108" w:type="dxa"/>
        <w:tblLayout w:type="fixed"/>
        <w:tblLook w:val="04A0" w:firstRow="1" w:lastRow="0" w:firstColumn="1" w:lastColumn="0" w:noHBand="0" w:noVBand="1"/>
      </w:tblPr>
      <w:tblGrid>
        <w:gridCol w:w="2410"/>
        <w:gridCol w:w="1843"/>
        <w:gridCol w:w="1701"/>
        <w:gridCol w:w="1701"/>
        <w:gridCol w:w="1701"/>
      </w:tblGrid>
      <w:tr w:rsidR="00BD4338" w:rsidRPr="003941A5" w:rsidTr="00FF4494">
        <w:tc>
          <w:tcPr>
            <w:tcW w:w="2410" w:type="dxa"/>
          </w:tcPr>
          <w:p w:rsidR="00BD4338" w:rsidRDefault="00FF4494" w:rsidP="004E5A6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Категорія альбумінурії</w:t>
            </w:r>
          </w:p>
        </w:tc>
        <w:tc>
          <w:tcPr>
            <w:tcW w:w="1843" w:type="dxa"/>
          </w:tcPr>
          <w:p w:rsidR="00FF4494" w:rsidRDefault="00FF4494" w:rsidP="00802FA5">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А1</w:t>
            </w:r>
            <w:r w:rsidR="00BD4338">
              <w:rPr>
                <w:rFonts w:ascii="Times New Roman" w:hAnsi="Times New Roman" w:cs="Times New Roman"/>
                <w:sz w:val="28"/>
                <w:szCs w:val="28"/>
                <w:lang w:val="uk-UA"/>
              </w:rPr>
              <w:t xml:space="preserve"> </w:t>
            </w:r>
          </w:p>
          <w:p w:rsidR="00BD4338" w:rsidRPr="003941A5" w:rsidRDefault="00BD4338" w:rsidP="00802FA5">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n</w:t>
            </w:r>
            <w:r w:rsidR="00CF42F0">
              <w:rPr>
                <w:rFonts w:ascii="Times New Roman" w:hAnsi="Times New Roman" w:cs="Times New Roman"/>
                <w:sz w:val="28"/>
                <w:szCs w:val="28"/>
                <w:lang w:val="uk-UA"/>
              </w:rPr>
              <w:t xml:space="preserve"> = 15</w:t>
            </w:r>
            <w:r w:rsidRPr="003941A5">
              <w:rPr>
                <w:rFonts w:ascii="Times New Roman" w:hAnsi="Times New Roman" w:cs="Times New Roman"/>
                <w:sz w:val="28"/>
                <w:szCs w:val="28"/>
                <w:lang w:val="uk-UA"/>
              </w:rPr>
              <w:t>)</w:t>
            </w:r>
          </w:p>
        </w:tc>
        <w:tc>
          <w:tcPr>
            <w:tcW w:w="1701" w:type="dxa"/>
          </w:tcPr>
          <w:p w:rsidR="00FF4494" w:rsidRDefault="00FF4494" w:rsidP="00FF4494">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А2 </w:t>
            </w:r>
          </w:p>
          <w:p w:rsidR="00BD4338" w:rsidRPr="003941A5" w:rsidRDefault="00BD4338" w:rsidP="00FF4494">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n</w:t>
            </w:r>
            <w:r w:rsidR="00CF42F0">
              <w:rPr>
                <w:rFonts w:ascii="Times New Roman" w:hAnsi="Times New Roman" w:cs="Times New Roman"/>
                <w:sz w:val="28"/>
                <w:szCs w:val="28"/>
                <w:lang w:val="uk-UA"/>
              </w:rPr>
              <w:t xml:space="preserve"> = 71</w:t>
            </w:r>
            <w:r w:rsidRPr="003941A5">
              <w:rPr>
                <w:rFonts w:ascii="Times New Roman" w:hAnsi="Times New Roman" w:cs="Times New Roman"/>
                <w:sz w:val="28"/>
                <w:szCs w:val="28"/>
                <w:lang w:val="uk-UA"/>
              </w:rPr>
              <w:t>)</w:t>
            </w:r>
          </w:p>
        </w:tc>
        <w:tc>
          <w:tcPr>
            <w:tcW w:w="1701" w:type="dxa"/>
          </w:tcPr>
          <w:p w:rsidR="00FF4494" w:rsidRDefault="00FF4494" w:rsidP="00802FA5">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А3</w:t>
            </w:r>
            <w:r w:rsidR="00BD4338">
              <w:rPr>
                <w:rFonts w:ascii="Times New Roman" w:hAnsi="Times New Roman" w:cs="Times New Roman"/>
                <w:sz w:val="28"/>
                <w:szCs w:val="28"/>
                <w:lang w:val="uk-UA"/>
              </w:rPr>
              <w:t xml:space="preserve"> </w:t>
            </w:r>
          </w:p>
          <w:p w:rsidR="00BD4338" w:rsidRPr="003941A5" w:rsidRDefault="00BD4338" w:rsidP="00802FA5">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en-US"/>
              </w:rPr>
              <w:t>n</w:t>
            </w:r>
            <w:r w:rsidR="00CF42F0">
              <w:rPr>
                <w:rFonts w:ascii="Times New Roman" w:hAnsi="Times New Roman" w:cs="Times New Roman"/>
                <w:sz w:val="28"/>
                <w:szCs w:val="28"/>
                <w:lang w:val="uk-UA"/>
              </w:rPr>
              <w:t xml:space="preserve"> = 10</w:t>
            </w:r>
            <w:r w:rsidRPr="003941A5">
              <w:rPr>
                <w:rFonts w:ascii="Times New Roman" w:hAnsi="Times New Roman" w:cs="Times New Roman"/>
                <w:sz w:val="28"/>
                <w:szCs w:val="28"/>
                <w:lang w:val="uk-UA"/>
              </w:rPr>
              <w:t>)</w:t>
            </w:r>
          </w:p>
        </w:tc>
        <w:tc>
          <w:tcPr>
            <w:tcW w:w="1701" w:type="dxa"/>
          </w:tcPr>
          <w:p w:rsidR="00BD4338" w:rsidRPr="00BD4338" w:rsidRDefault="00BD4338" w:rsidP="00802FA5">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BD4338" w:rsidTr="00FF4494">
        <w:tc>
          <w:tcPr>
            <w:tcW w:w="2410" w:type="dxa"/>
          </w:tcPr>
          <w:p w:rsidR="00BD4338" w:rsidRPr="00BD4338" w:rsidRDefault="00BD4338" w:rsidP="004E5A6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ET</w:t>
            </w:r>
            <w:r w:rsidRPr="003941A5">
              <w:rPr>
                <w:rFonts w:ascii="Times New Roman" w:hAnsi="Times New Roman" w:cs="Times New Roman"/>
                <w:sz w:val="28"/>
                <w:szCs w:val="28"/>
                <w:lang w:val="uk-UA"/>
              </w:rPr>
              <w:t>-1,</w:t>
            </w:r>
            <w:r w:rsidR="00802FA5">
              <w:rPr>
                <w:rFonts w:ascii="Times New Roman" w:hAnsi="Times New Roman" w:cs="Times New Roman"/>
                <w:sz w:val="28"/>
                <w:szCs w:val="28"/>
                <w:lang w:val="uk-UA"/>
              </w:rPr>
              <w:t xml:space="preserve"> </w:t>
            </w:r>
            <w:r>
              <w:rPr>
                <w:rFonts w:ascii="Times New Roman" w:hAnsi="Times New Roman" w:cs="Times New Roman"/>
                <w:sz w:val="28"/>
                <w:szCs w:val="28"/>
                <w:lang w:val="uk-UA"/>
              </w:rPr>
              <w:t>пг/мл</w:t>
            </w:r>
          </w:p>
        </w:tc>
        <w:tc>
          <w:tcPr>
            <w:tcW w:w="1843" w:type="dxa"/>
          </w:tcPr>
          <w:p w:rsidR="00BD4338" w:rsidRDefault="00CE30D5" w:rsidP="00D469C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9,67</w:t>
            </w:r>
            <w:r w:rsidR="00D469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469CA">
              <w:rPr>
                <w:rFonts w:ascii="Times New Roman" w:hAnsi="Times New Roman" w:cs="Times New Roman"/>
                <w:sz w:val="28"/>
                <w:szCs w:val="28"/>
                <w:lang w:val="uk-UA"/>
              </w:rPr>
              <w:t xml:space="preserve"> </w:t>
            </w:r>
            <w:r>
              <w:rPr>
                <w:rFonts w:ascii="Times New Roman" w:hAnsi="Times New Roman" w:cs="Times New Roman"/>
                <w:sz w:val="28"/>
                <w:szCs w:val="28"/>
                <w:lang w:val="uk-UA"/>
              </w:rPr>
              <w:t>0,44</w:t>
            </w:r>
          </w:p>
        </w:tc>
        <w:tc>
          <w:tcPr>
            <w:tcW w:w="1701" w:type="dxa"/>
          </w:tcPr>
          <w:p w:rsidR="00BD4338" w:rsidRDefault="00E70729" w:rsidP="004E5A6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11,34</w:t>
            </w:r>
            <w:r w:rsidR="00D469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469CA">
              <w:rPr>
                <w:rFonts w:ascii="Times New Roman" w:hAnsi="Times New Roman" w:cs="Times New Roman"/>
                <w:sz w:val="28"/>
                <w:szCs w:val="28"/>
                <w:lang w:val="uk-UA"/>
              </w:rPr>
              <w:t xml:space="preserve"> </w:t>
            </w:r>
            <w:r>
              <w:rPr>
                <w:rFonts w:ascii="Times New Roman" w:hAnsi="Times New Roman" w:cs="Times New Roman"/>
                <w:sz w:val="28"/>
                <w:szCs w:val="28"/>
                <w:lang w:val="uk-UA"/>
              </w:rPr>
              <w:t>0,3</w:t>
            </w:r>
            <w:r w:rsidR="00CE30D5">
              <w:rPr>
                <w:rFonts w:ascii="Times New Roman" w:hAnsi="Times New Roman" w:cs="Times New Roman"/>
                <w:sz w:val="28"/>
                <w:szCs w:val="28"/>
                <w:lang w:val="uk-UA"/>
              </w:rPr>
              <w:t>1</w:t>
            </w:r>
          </w:p>
        </w:tc>
        <w:tc>
          <w:tcPr>
            <w:tcW w:w="1701" w:type="dxa"/>
          </w:tcPr>
          <w:p w:rsidR="00BD4338" w:rsidRDefault="00CE30D5" w:rsidP="000212E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15,2</w:t>
            </w:r>
            <w:r w:rsidR="000212E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212E6">
              <w:rPr>
                <w:rFonts w:ascii="Times New Roman" w:hAnsi="Times New Roman" w:cs="Times New Roman"/>
                <w:sz w:val="28"/>
                <w:szCs w:val="28"/>
                <w:lang w:val="uk-UA"/>
              </w:rPr>
              <w:t xml:space="preserve"> </w:t>
            </w:r>
            <w:r>
              <w:rPr>
                <w:rFonts w:ascii="Times New Roman" w:hAnsi="Times New Roman" w:cs="Times New Roman"/>
                <w:sz w:val="28"/>
                <w:szCs w:val="28"/>
                <w:lang w:val="uk-UA"/>
              </w:rPr>
              <w:t>0,28</w:t>
            </w:r>
          </w:p>
        </w:tc>
        <w:tc>
          <w:tcPr>
            <w:tcW w:w="1701" w:type="dxa"/>
          </w:tcPr>
          <w:p w:rsidR="00BD4338" w:rsidRDefault="00CE30D5" w:rsidP="004E5A6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1</w:t>
            </w:r>
            <w:r w:rsidR="000212E6">
              <w:rPr>
                <w:rFonts w:ascii="Times New Roman" w:hAnsi="Times New Roman" w:cs="Times New Roman"/>
                <w:sz w:val="28"/>
                <w:szCs w:val="28"/>
                <w:vertAlign w:val="subscript"/>
                <w:lang w:val="uk-UA"/>
              </w:rPr>
              <w:t xml:space="preserve"> </w:t>
            </w:r>
            <w:r w:rsidR="00E70729">
              <w:rPr>
                <w:rFonts w:ascii="Times New Roman" w:hAnsi="Times New Roman" w:cs="Times New Roman"/>
                <w:sz w:val="28"/>
                <w:szCs w:val="28"/>
                <w:lang w:val="uk-UA"/>
              </w:rPr>
              <w:t>=</w:t>
            </w:r>
            <w:r w:rsidR="000212E6">
              <w:rPr>
                <w:rFonts w:ascii="Times New Roman" w:hAnsi="Times New Roman" w:cs="Times New Roman"/>
                <w:sz w:val="28"/>
                <w:szCs w:val="28"/>
                <w:lang w:val="uk-UA"/>
              </w:rPr>
              <w:t xml:space="preserve"> </w:t>
            </w:r>
            <w:r w:rsidR="00E70729">
              <w:rPr>
                <w:rFonts w:ascii="Times New Roman" w:hAnsi="Times New Roman" w:cs="Times New Roman"/>
                <w:sz w:val="28"/>
                <w:szCs w:val="28"/>
                <w:lang w:val="uk-UA"/>
              </w:rPr>
              <w:t>0,0203</w:t>
            </w:r>
          </w:p>
          <w:p w:rsidR="00CE30D5" w:rsidRPr="00CE30D5" w:rsidRDefault="00CE30D5" w:rsidP="004E5A6E">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2</w:t>
            </w:r>
            <w:r w:rsidR="00D469CA">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en-US"/>
              </w:rPr>
              <w:t>&lt;</w:t>
            </w:r>
            <w:r w:rsidR="00D469CA">
              <w:rPr>
                <w:rFonts w:ascii="Times New Roman" w:hAnsi="Times New Roman" w:cs="Times New Roman"/>
                <w:sz w:val="28"/>
                <w:szCs w:val="28"/>
                <w:lang w:val="uk-UA"/>
              </w:rPr>
              <w:t xml:space="preserve"> </w:t>
            </w:r>
            <w:r>
              <w:rPr>
                <w:rFonts w:ascii="Times New Roman" w:hAnsi="Times New Roman" w:cs="Times New Roman"/>
                <w:sz w:val="28"/>
                <w:szCs w:val="28"/>
                <w:lang w:val="en-US"/>
              </w:rPr>
              <w:t>0,0001</w:t>
            </w:r>
          </w:p>
          <w:p w:rsidR="00CE30D5" w:rsidRPr="00CE30D5" w:rsidRDefault="00CE30D5" w:rsidP="004E5A6E">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3</w:t>
            </w:r>
            <w:r w:rsidR="000212E6">
              <w:rPr>
                <w:rFonts w:ascii="Times New Roman" w:hAnsi="Times New Roman" w:cs="Times New Roman"/>
                <w:sz w:val="28"/>
                <w:szCs w:val="28"/>
                <w:vertAlign w:val="subscript"/>
                <w:lang w:val="uk-UA"/>
              </w:rPr>
              <w:t xml:space="preserve"> </w:t>
            </w:r>
            <w:r w:rsidR="00E70729">
              <w:rPr>
                <w:rFonts w:ascii="Times New Roman" w:hAnsi="Times New Roman" w:cs="Times New Roman"/>
                <w:sz w:val="28"/>
                <w:szCs w:val="28"/>
                <w:lang w:val="en-US"/>
              </w:rPr>
              <w:t>&lt;</w:t>
            </w:r>
            <w:r w:rsidR="000212E6">
              <w:rPr>
                <w:rFonts w:ascii="Times New Roman" w:hAnsi="Times New Roman" w:cs="Times New Roman"/>
                <w:sz w:val="28"/>
                <w:szCs w:val="28"/>
                <w:lang w:val="uk-UA"/>
              </w:rPr>
              <w:t xml:space="preserve"> </w:t>
            </w:r>
            <w:r w:rsidR="00E70729">
              <w:rPr>
                <w:rFonts w:ascii="Times New Roman" w:hAnsi="Times New Roman" w:cs="Times New Roman"/>
                <w:sz w:val="28"/>
                <w:szCs w:val="28"/>
                <w:lang w:val="en-US"/>
              </w:rPr>
              <w:t>0,0001</w:t>
            </w:r>
          </w:p>
        </w:tc>
      </w:tr>
    </w:tbl>
    <w:p w:rsidR="00F63715" w:rsidRDefault="00F63715" w:rsidP="003373F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0212E6">
        <w:rPr>
          <w:rFonts w:ascii="Times New Roman" w:hAnsi="Times New Roman" w:cs="Times New Roman"/>
          <w:sz w:val="28"/>
          <w:szCs w:val="28"/>
          <w:lang w:val="uk-UA"/>
        </w:rPr>
        <w:t xml:space="preserve">: </w:t>
      </w:r>
    </w:p>
    <w:p w:rsidR="003373F3" w:rsidRPr="009F3992" w:rsidRDefault="009F3992" w:rsidP="009F399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1. </w:t>
      </w:r>
      <w:r w:rsidR="000A19BA" w:rsidRPr="009F3992">
        <w:rPr>
          <w:rFonts w:ascii="Times New Roman" w:hAnsi="Times New Roman" w:cs="Times New Roman"/>
          <w:sz w:val="28"/>
          <w:szCs w:val="28"/>
        </w:rPr>
        <w:t>n – к</w:t>
      </w:r>
      <w:r w:rsidR="000A19BA" w:rsidRPr="009F3992">
        <w:rPr>
          <w:rFonts w:ascii="Times New Roman" w:hAnsi="Times New Roman" w:cs="Times New Roman"/>
          <w:sz w:val="28"/>
          <w:szCs w:val="28"/>
          <w:lang w:val="en-US"/>
        </w:rPr>
        <w:t>i</w:t>
      </w:r>
      <w:r w:rsidR="000A19BA" w:rsidRPr="009F3992">
        <w:rPr>
          <w:rFonts w:ascii="Times New Roman" w:hAnsi="Times New Roman" w:cs="Times New Roman"/>
          <w:sz w:val="28"/>
          <w:szCs w:val="28"/>
        </w:rPr>
        <w:t>льк</w:t>
      </w:r>
      <w:r w:rsidR="000A19BA" w:rsidRPr="009F3992">
        <w:rPr>
          <w:rFonts w:ascii="Times New Roman" w:hAnsi="Times New Roman" w:cs="Times New Roman"/>
          <w:sz w:val="28"/>
          <w:szCs w:val="28"/>
          <w:lang w:val="en-US"/>
        </w:rPr>
        <w:t>i</w:t>
      </w:r>
      <w:r w:rsidR="003373F3" w:rsidRPr="009F3992">
        <w:rPr>
          <w:rFonts w:ascii="Times New Roman" w:hAnsi="Times New Roman" w:cs="Times New Roman"/>
          <w:sz w:val="28"/>
          <w:szCs w:val="28"/>
        </w:rPr>
        <w:t>сть осіб;</w:t>
      </w:r>
    </w:p>
    <w:p w:rsidR="003373F3" w:rsidRPr="009F3992" w:rsidRDefault="009F3992" w:rsidP="009F399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3373F3" w:rsidRPr="009F3992">
        <w:rPr>
          <w:rFonts w:ascii="Times New Roman" w:hAnsi="Times New Roman" w:cs="Times New Roman"/>
          <w:sz w:val="28"/>
          <w:szCs w:val="28"/>
        </w:rPr>
        <w:t>р</w:t>
      </w:r>
      <w:r w:rsidR="003373F3" w:rsidRPr="009F3992">
        <w:rPr>
          <w:rFonts w:ascii="Times New Roman" w:hAnsi="Times New Roman" w:cs="Times New Roman"/>
          <w:sz w:val="28"/>
          <w:szCs w:val="28"/>
          <w:vertAlign w:val="subscript"/>
        </w:rPr>
        <w:t>1</w:t>
      </w:r>
      <w:r w:rsidR="000A19BA" w:rsidRPr="009F3992">
        <w:rPr>
          <w:rFonts w:ascii="Times New Roman" w:hAnsi="Times New Roman" w:cs="Times New Roman"/>
          <w:sz w:val="28"/>
          <w:szCs w:val="28"/>
        </w:rPr>
        <w:t xml:space="preserve"> – достов</w:t>
      </w:r>
      <w:r w:rsidR="000A19BA" w:rsidRPr="009F3992">
        <w:rPr>
          <w:rFonts w:ascii="Times New Roman" w:hAnsi="Times New Roman" w:cs="Times New Roman"/>
          <w:sz w:val="28"/>
          <w:szCs w:val="28"/>
          <w:lang w:val="en-US"/>
        </w:rPr>
        <w:t>i</w:t>
      </w:r>
      <w:r w:rsidR="000A19BA" w:rsidRPr="009F3992">
        <w:rPr>
          <w:rFonts w:ascii="Times New Roman" w:hAnsi="Times New Roman" w:cs="Times New Roman"/>
          <w:sz w:val="28"/>
          <w:szCs w:val="28"/>
        </w:rPr>
        <w:t>рн</w:t>
      </w:r>
      <w:r w:rsidR="000A19BA" w:rsidRPr="009F3992">
        <w:rPr>
          <w:rFonts w:ascii="Times New Roman" w:hAnsi="Times New Roman" w:cs="Times New Roman"/>
          <w:sz w:val="28"/>
          <w:szCs w:val="28"/>
          <w:lang w:val="en-US"/>
        </w:rPr>
        <w:t>i</w:t>
      </w:r>
      <w:r w:rsidR="003373F3" w:rsidRPr="009F3992">
        <w:rPr>
          <w:rFonts w:ascii="Times New Roman" w:hAnsi="Times New Roman" w:cs="Times New Roman"/>
          <w:sz w:val="28"/>
          <w:szCs w:val="28"/>
        </w:rPr>
        <w:t>сть розходжен</w:t>
      </w:r>
      <w:r w:rsidR="000A19BA" w:rsidRPr="009F3992">
        <w:rPr>
          <w:rFonts w:ascii="Times New Roman" w:hAnsi="Times New Roman" w:cs="Times New Roman"/>
          <w:sz w:val="28"/>
          <w:szCs w:val="28"/>
        </w:rPr>
        <w:t>ня м</w:t>
      </w:r>
      <w:r w:rsidR="000A19BA" w:rsidRPr="009F3992">
        <w:rPr>
          <w:rFonts w:ascii="Times New Roman" w:hAnsi="Times New Roman" w:cs="Times New Roman"/>
          <w:sz w:val="28"/>
          <w:szCs w:val="28"/>
          <w:lang w:val="en-US"/>
        </w:rPr>
        <w:t>i</w:t>
      </w:r>
      <w:r w:rsidRPr="009F3992">
        <w:rPr>
          <w:rFonts w:ascii="Times New Roman" w:hAnsi="Times New Roman" w:cs="Times New Roman"/>
          <w:sz w:val="28"/>
          <w:szCs w:val="28"/>
        </w:rPr>
        <w:t>ж показниками категорій А1 та А2</w:t>
      </w:r>
      <w:r w:rsidR="003373F3" w:rsidRPr="009F3992">
        <w:rPr>
          <w:rFonts w:ascii="Times New Roman" w:hAnsi="Times New Roman" w:cs="Times New Roman"/>
          <w:sz w:val="28"/>
          <w:szCs w:val="28"/>
        </w:rPr>
        <w:t>;</w:t>
      </w:r>
    </w:p>
    <w:p w:rsidR="003373F3" w:rsidRPr="009F3992" w:rsidRDefault="009F3992" w:rsidP="009F399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3. </w:t>
      </w:r>
      <w:r w:rsidR="003373F3" w:rsidRPr="009F3992">
        <w:rPr>
          <w:rFonts w:ascii="Times New Roman" w:hAnsi="Times New Roman" w:cs="Times New Roman"/>
          <w:sz w:val="28"/>
          <w:szCs w:val="28"/>
        </w:rPr>
        <w:t>р</w:t>
      </w:r>
      <w:r w:rsidR="003373F3" w:rsidRPr="009F3992">
        <w:rPr>
          <w:rFonts w:ascii="Times New Roman" w:hAnsi="Times New Roman" w:cs="Times New Roman"/>
          <w:sz w:val="28"/>
          <w:szCs w:val="28"/>
          <w:vertAlign w:val="subscript"/>
        </w:rPr>
        <w:t>2</w:t>
      </w:r>
      <w:r w:rsidR="000A19BA" w:rsidRPr="009F3992">
        <w:rPr>
          <w:rFonts w:ascii="Times New Roman" w:hAnsi="Times New Roman" w:cs="Times New Roman"/>
          <w:sz w:val="28"/>
          <w:szCs w:val="28"/>
        </w:rPr>
        <w:t xml:space="preserve"> – достов</w:t>
      </w:r>
      <w:r w:rsidR="000A19BA" w:rsidRPr="009F3992">
        <w:rPr>
          <w:rFonts w:ascii="Times New Roman" w:hAnsi="Times New Roman" w:cs="Times New Roman"/>
          <w:sz w:val="28"/>
          <w:szCs w:val="28"/>
          <w:lang w:val="en-US"/>
        </w:rPr>
        <w:t>i</w:t>
      </w:r>
      <w:r w:rsidR="000A19BA" w:rsidRPr="009F3992">
        <w:rPr>
          <w:rFonts w:ascii="Times New Roman" w:hAnsi="Times New Roman" w:cs="Times New Roman"/>
          <w:sz w:val="28"/>
          <w:szCs w:val="28"/>
        </w:rPr>
        <w:t>рн</w:t>
      </w:r>
      <w:r w:rsidR="000A19BA" w:rsidRPr="009F3992">
        <w:rPr>
          <w:rFonts w:ascii="Times New Roman" w:hAnsi="Times New Roman" w:cs="Times New Roman"/>
          <w:sz w:val="28"/>
          <w:szCs w:val="28"/>
          <w:lang w:val="en-US"/>
        </w:rPr>
        <w:t>i</w:t>
      </w:r>
      <w:r w:rsidR="003373F3" w:rsidRPr="009F3992">
        <w:rPr>
          <w:rFonts w:ascii="Times New Roman" w:hAnsi="Times New Roman" w:cs="Times New Roman"/>
          <w:sz w:val="28"/>
          <w:szCs w:val="28"/>
        </w:rPr>
        <w:t>сть розходженн</w:t>
      </w:r>
      <w:r w:rsidR="000A19BA" w:rsidRPr="009F3992">
        <w:rPr>
          <w:rFonts w:ascii="Times New Roman" w:hAnsi="Times New Roman" w:cs="Times New Roman"/>
          <w:sz w:val="28"/>
          <w:szCs w:val="28"/>
        </w:rPr>
        <w:t>я м</w:t>
      </w:r>
      <w:r w:rsidR="000A19BA" w:rsidRPr="009F3992">
        <w:rPr>
          <w:rFonts w:ascii="Times New Roman" w:hAnsi="Times New Roman" w:cs="Times New Roman"/>
          <w:sz w:val="28"/>
          <w:szCs w:val="28"/>
          <w:lang w:val="en-US"/>
        </w:rPr>
        <w:t>i</w:t>
      </w:r>
      <w:r w:rsidRPr="009F3992">
        <w:rPr>
          <w:rFonts w:ascii="Times New Roman" w:hAnsi="Times New Roman" w:cs="Times New Roman"/>
          <w:sz w:val="28"/>
          <w:szCs w:val="28"/>
        </w:rPr>
        <w:t xml:space="preserve">ж показниками </w:t>
      </w:r>
      <w:r>
        <w:rPr>
          <w:rFonts w:ascii="Times New Roman" w:hAnsi="Times New Roman" w:cs="Times New Roman"/>
          <w:sz w:val="28"/>
          <w:szCs w:val="28"/>
          <w:lang w:val="uk-UA"/>
        </w:rPr>
        <w:t xml:space="preserve">категорій </w:t>
      </w:r>
      <w:r w:rsidRPr="009F3992">
        <w:rPr>
          <w:rFonts w:ascii="Times New Roman" w:hAnsi="Times New Roman" w:cs="Times New Roman"/>
          <w:sz w:val="28"/>
          <w:szCs w:val="28"/>
        </w:rPr>
        <w:t>А1 та А3</w:t>
      </w:r>
      <w:r w:rsidR="003373F3" w:rsidRPr="009F3992">
        <w:rPr>
          <w:rFonts w:ascii="Times New Roman" w:hAnsi="Times New Roman" w:cs="Times New Roman"/>
          <w:sz w:val="28"/>
          <w:szCs w:val="28"/>
        </w:rPr>
        <w:t xml:space="preserve">; </w:t>
      </w:r>
    </w:p>
    <w:p w:rsidR="00351F07" w:rsidRPr="009F3992" w:rsidRDefault="009F3992" w:rsidP="009F3992">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3373F3" w:rsidRPr="009F3992">
        <w:rPr>
          <w:rFonts w:ascii="Times New Roman" w:hAnsi="Times New Roman" w:cs="Times New Roman"/>
          <w:sz w:val="28"/>
          <w:szCs w:val="28"/>
        </w:rPr>
        <w:t>р</w:t>
      </w:r>
      <w:r w:rsidR="003373F3" w:rsidRPr="009F3992">
        <w:rPr>
          <w:rFonts w:ascii="Times New Roman" w:hAnsi="Times New Roman" w:cs="Times New Roman"/>
          <w:sz w:val="28"/>
          <w:szCs w:val="28"/>
          <w:vertAlign w:val="subscript"/>
        </w:rPr>
        <w:t>3</w:t>
      </w:r>
      <w:r w:rsidR="000A19BA" w:rsidRPr="009F3992">
        <w:rPr>
          <w:rFonts w:ascii="Times New Roman" w:hAnsi="Times New Roman" w:cs="Times New Roman"/>
          <w:sz w:val="28"/>
          <w:szCs w:val="28"/>
        </w:rPr>
        <w:t xml:space="preserve"> – достов</w:t>
      </w:r>
      <w:r w:rsidR="000A19BA" w:rsidRPr="009F3992">
        <w:rPr>
          <w:rFonts w:ascii="Times New Roman" w:hAnsi="Times New Roman" w:cs="Times New Roman"/>
          <w:sz w:val="28"/>
          <w:szCs w:val="28"/>
          <w:lang w:val="en-US"/>
        </w:rPr>
        <w:t>i</w:t>
      </w:r>
      <w:r w:rsidR="000A19BA" w:rsidRPr="009F3992">
        <w:rPr>
          <w:rFonts w:ascii="Times New Roman" w:hAnsi="Times New Roman" w:cs="Times New Roman"/>
          <w:sz w:val="28"/>
          <w:szCs w:val="28"/>
        </w:rPr>
        <w:t>рн</w:t>
      </w:r>
      <w:r w:rsidR="000A19BA" w:rsidRPr="009F3992">
        <w:rPr>
          <w:rFonts w:ascii="Times New Roman" w:hAnsi="Times New Roman" w:cs="Times New Roman"/>
          <w:sz w:val="28"/>
          <w:szCs w:val="28"/>
          <w:lang w:val="en-US"/>
        </w:rPr>
        <w:t>i</w:t>
      </w:r>
      <w:r w:rsidR="000A19BA" w:rsidRPr="009F3992">
        <w:rPr>
          <w:rFonts w:ascii="Times New Roman" w:hAnsi="Times New Roman" w:cs="Times New Roman"/>
          <w:sz w:val="28"/>
          <w:szCs w:val="28"/>
        </w:rPr>
        <w:t>сть розходження м</w:t>
      </w:r>
      <w:r w:rsidR="000A19BA" w:rsidRPr="009F3992">
        <w:rPr>
          <w:rFonts w:ascii="Times New Roman" w:hAnsi="Times New Roman" w:cs="Times New Roman"/>
          <w:sz w:val="28"/>
          <w:szCs w:val="28"/>
          <w:lang w:val="en-US"/>
        </w:rPr>
        <w:t>i</w:t>
      </w:r>
      <w:r w:rsidR="003373F3" w:rsidRPr="009F3992">
        <w:rPr>
          <w:rFonts w:ascii="Times New Roman" w:hAnsi="Times New Roman" w:cs="Times New Roman"/>
          <w:sz w:val="28"/>
          <w:szCs w:val="28"/>
        </w:rPr>
        <w:t>ж п</w:t>
      </w:r>
      <w:r w:rsidRPr="009F3992">
        <w:rPr>
          <w:rFonts w:ascii="Times New Roman" w:hAnsi="Times New Roman" w:cs="Times New Roman"/>
          <w:sz w:val="28"/>
          <w:szCs w:val="28"/>
        </w:rPr>
        <w:t xml:space="preserve">оказниками </w:t>
      </w:r>
      <w:r>
        <w:rPr>
          <w:rFonts w:ascii="Times New Roman" w:hAnsi="Times New Roman" w:cs="Times New Roman"/>
          <w:sz w:val="28"/>
          <w:szCs w:val="28"/>
          <w:lang w:val="uk-UA"/>
        </w:rPr>
        <w:t xml:space="preserve">категорій </w:t>
      </w:r>
      <w:r w:rsidRPr="009F3992">
        <w:rPr>
          <w:rFonts w:ascii="Times New Roman" w:hAnsi="Times New Roman" w:cs="Times New Roman"/>
          <w:sz w:val="28"/>
          <w:szCs w:val="28"/>
        </w:rPr>
        <w:t>А2 та А3</w:t>
      </w:r>
    </w:p>
    <w:p w:rsidR="00351F07" w:rsidRDefault="00351F07" w:rsidP="004E5A6E">
      <w:pPr>
        <w:autoSpaceDE w:val="0"/>
        <w:autoSpaceDN w:val="0"/>
        <w:adjustRightInd w:val="0"/>
        <w:spacing w:after="0" w:line="360" w:lineRule="auto"/>
        <w:ind w:firstLine="708"/>
        <w:jc w:val="both"/>
        <w:rPr>
          <w:rFonts w:ascii="Times New Roman" w:hAnsi="Times New Roman" w:cs="Times New Roman"/>
          <w:sz w:val="28"/>
          <w:szCs w:val="28"/>
          <w:lang w:val="uk-UA"/>
        </w:rPr>
      </w:pPr>
    </w:p>
    <w:p w:rsidR="00F55649" w:rsidRDefault="00F55649" w:rsidP="00FB10F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221076">
        <w:rPr>
          <w:rFonts w:ascii="Times New Roman" w:hAnsi="Times New Roman" w:cs="Times New Roman"/>
          <w:sz w:val="28"/>
          <w:szCs w:val="28"/>
          <w:lang w:val="uk-UA"/>
        </w:rPr>
        <w:t>у коморбідних</w:t>
      </w:r>
      <w:r w:rsidR="009C4137">
        <w:rPr>
          <w:rFonts w:ascii="Times New Roman" w:hAnsi="Times New Roman" w:cs="Times New Roman"/>
          <w:sz w:val="28"/>
          <w:szCs w:val="28"/>
          <w:lang w:val="uk-UA"/>
        </w:rPr>
        <w:t xml:space="preserve"> хворих</w:t>
      </w:r>
      <w:r w:rsidRPr="00F55649">
        <w:rPr>
          <w:rFonts w:ascii="Times New Roman" w:hAnsi="Times New Roman" w:cs="Times New Roman"/>
          <w:sz w:val="28"/>
          <w:szCs w:val="28"/>
          <w:lang w:val="uk-UA"/>
        </w:rPr>
        <w:t xml:space="preserve"> із категорією </w:t>
      </w:r>
      <w:r>
        <w:rPr>
          <w:rFonts w:ascii="Times New Roman" w:hAnsi="Times New Roman" w:cs="Times New Roman"/>
          <w:sz w:val="28"/>
          <w:szCs w:val="28"/>
          <w:lang w:val="uk-UA"/>
        </w:rPr>
        <w:t xml:space="preserve">альбумінурії </w:t>
      </w:r>
      <w:r w:rsidRPr="00F55649">
        <w:rPr>
          <w:rFonts w:ascii="Times New Roman" w:hAnsi="Times New Roman" w:cs="Times New Roman"/>
          <w:sz w:val="28"/>
          <w:szCs w:val="28"/>
          <w:lang w:val="uk-UA"/>
        </w:rPr>
        <w:t xml:space="preserve">А2 </w:t>
      </w:r>
      <w:r w:rsidR="00137135">
        <w:rPr>
          <w:rFonts w:ascii="Times New Roman" w:hAnsi="Times New Roman" w:cs="Times New Roman"/>
          <w:sz w:val="28"/>
          <w:szCs w:val="28"/>
          <w:lang w:val="uk-UA"/>
        </w:rPr>
        <w:t xml:space="preserve">вміст </w:t>
      </w:r>
      <w:r w:rsidRPr="00F55649">
        <w:rPr>
          <w:rFonts w:ascii="Times New Roman" w:hAnsi="Times New Roman" w:cs="Times New Roman"/>
          <w:sz w:val="28"/>
          <w:szCs w:val="28"/>
          <w:lang w:val="uk-UA"/>
        </w:rPr>
        <w:t>ЕТ-1 був більшим, ніж у пацієнтів із категорією А1 (р = 0,0203) та меншим, ніж у хворих із категорією А3 (р &lt; 0,0001)</w:t>
      </w:r>
      <w:r>
        <w:rPr>
          <w:rFonts w:ascii="Times New Roman" w:hAnsi="Times New Roman" w:cs="Times New Roman"/>
          <w:sz w:val="28"/>
          <w:szCs w:val="28"/>
          <w:lang w:val="uk-UA"/>
        </w:rPr>
        <w:t xml:space="preserve"> </w:t>
      </w:r>
      <w:r w:rsidRPr="00F55649">
        <w:rPr>
          <w:rFonts w:ascii="Times New Roman" w:hAnsi="Times New Roman" w:cs="Times New Roman"/>
          <w:sz w:val="28"/>
          <w:szCs w:val="28"/>
        </w:rPr>
        <w:t>[</w:t>
      </w:r>
      <w:r w:rsidR="004B16DA">
        <w:rPr>
          <w:rFonts w:ascii="Times New Roman" w:hAnsi="Times New Roman" w:cs="Times New Roman"/>
          <w:sz w:val="28"/>
          <w:szCs w:val="28"/>
        </w:rPr>
        <w:t>15</w:t>
      </w:r>
      <w:r w:rsidR="004B16DA">
        <w:rPr>
          <w:rFonts w:ascii="Times New Roman" w:hAnsi="Times New Roman" w:cs="Times New Roman"/>
          <w:sz w:val="28"/>
          <w:szCs w:val="28"/>
          <w:lang w:val="uk-UA"/>
        </w:rPr>
        <w:t>1</w:t>
      </w:r>
      <w:r w:rsidRPr="00F55649">
        <w:rPr>
          <w:rFonts w:ascii="Times New Roman" w:hAnsi="Times New Roman" w:cs="Times New Roman"/>
          <w:sz w:val="28"/>
          <w:szCs w:val="28"/>
        </w:rPr>
        <w:t>]</w:t>
      </w:r>
      <w:r w:rsidRPr="00F55649">
        <w:rPr>
          <w:rFonts w:ascii="Times New Roman" w:hAnsi="Times New Roman" w:cs="Times New Roman"/>
          <w:sz w:val="28"/>
          <w:szCs w:val="28"/>
          <w:lang w:val="uk-UA"/>
        </w:rPr>
        <w:t>.</w:t>
      </w:r>
    </w:p>
    <w:p w:rsidR="00137135" w:rsidRDefault="00137135" w:rsidP="00FB10F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ЕТ-1 був </w:t>
      </w:r>
      <w:r w:rsidR="00A05812">
        <w:rPr>
          <w:rFonts w:ascii="Times New Roman" w:hAnsi="Times New Roman" w:cs="Times New Roman"/>
          <w:sz w:val="28"/>
          <w:szCs w:val="28"/>
          <w:lang w:val="uk-UA"/>
        </w:rPr>
        <w:t>вищим у пацієнтів І групи із більшим</w:t>
      </w:r>
      <w:r>
        <w:rPr>
          <w:rFonts w:ascii="Times New Roman" w:hAnsi="Times New Roman" w:cs="Times New Roman"/>
          <w:sz w:val="28"/>
          <w:szCs w:val="28"/>
          <w:lang w:val="uk-UA"/>
        </w:rPr>
        <w:t xml:space="preserve"> САТ (</w:t>
      </w:r>
      <w:r>
        <w:rPr>
          <w:rFonts w:ascii="Times New Roman" w:hAnsi="Times New Roman" w:cs="Times New Roman"/>
          <w:sz w:val="28"/>
          <w:szCs w:val="28"/>
          <w:lang w:val="en-US"/>
        </w:rPr>
        <w:t>r</w:t>
      </w:r>
      <w:r w:rsidRPr="00137135">
        <w:rPr>
          <w:rFonts w:ascii="Times New Roman" w:hAnsi="Times New Roman" w:cs="Times New Roman"/>
          <w:sz w:val="28"/>
          <w:szCs w:val="28"/>
          <w:lang w:val="uk-UA"/>
        </w:rPr>
        <w:t xml:space="preserve"> = </w:t>
      </w:r>
      <w:r>
        <w:rPr>
          <w:rFonts w:ascii="Times New Roman" w:hAnsi="Times New Roman" w:cs="Times New Roman"/>
          <w:sz w:val="28"/>
          <w:szCs w:val="28"/>
          <w:lang w:val="uk-UA"/>
        </w:rPr>
        <w:t>0</w:t>
      </w:r>
      <w:r w:rsidRPr="00137135">
        <w:rPr>
          <w:rFonts w:ascii="Times New Roman" w:hAnsi="Times New Roman" w:cs="Times New Roman"/>
          <w:sz w:val="28"/>
          <w:szCs w:val="28"/>
          <w:lang w:val="uk-UA"/>
        </w:rPr>
        <w:t xml:space="preserve">,23; </w:t>
      </w:r>
      <w:r w:rsidR="00211B03" w:rsidRPr="00211B03">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00211B03">
        <w:rPr>
          <w:rFonts w:ascii="Times New Roman" w:hAnsi="Times New Roman" w:cs="Times New Roman"/>
          <w:sz w:val="28"/>
          <w:szCs w:val="28"/>
          <w:lang w:val="uk-UA"/>
        </w:rPr>
        <w:t xml:space="preserve"> </w:t>
      </w:r>
      <w:r w:rsidRPr="00137135">
        <w:rPr>
          <w:rFonts w:ascii="Times New Roman" w:hAnsi="Times New Roman" w:cs="Times New Roman"/>
          <w:sz w:val="28"/>
          <w:szCs w:val="28"/>
          <w:lang w:val="uk-UA"/>
        </w:rPr>
        <w:t>= 0,0234</w:t>
      </w:r>
      <w:r>
        <w:rPr>
          <w:rFonts w:ascii="Times New Roman" w:hAnsi="Times New Roman" w:cs="Times New Roman"/>
          <w:sz w:val="28"/>
          <w:szCs w:val="28"/>
          <w:lang w:val="uk-UA"/>
        </w:rPr>
        <w:t>) та ДАТ</w:t>
      </w:r>
      <w:r w:rsidRPr="0013713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r</w:t>
      </w:r>
      <w:r w:rsidRPr="00137135">
        <w:rPr>
          <w:rFonts w:ascii="Times New Roman" w:hAnsi="Times New Roman" w:cs="Times New Roman"/>
          <w:sz w:val="28"/>
          <w:szCs w:val="28"/>
          <w:lang w:val="uk-UA"/>
        </w:rPr>
        <w:t xml:space="preserve"> = 0,21; </w:t>
      </w:r>
      <w:r>
        <w:rPr>
          <w:rFonts w:ascii="Times New Roman" w:hAnsi="Times New Roman" w:cs="Times New Roman"/>
          <w:sz w:val="28"/>
          <w:szCs w:val="28"/>
          <w:lang w:val="en-US"/>
        </w:rPr>
        <w:t>p</w:t>
      </w:r>
      <w:r w:rsidRPr="00137135">
        <w:rPr>
          <w:rFonts w:ascii="Times New Roman" w:hAnsi="Times New Roman" w:cs="Times New Roman"/>
          <w:sz w:val="28"/>
          <w:szCs w:val="28"/>
          <w:lang w:val="uk-UA"/>
        </w:rPr>
        <w:t xml:space="preserve"> = 0,0390</w:t>
      </w:r>
      <w:r>
        <w:rPr>
          <w:rFonts w:ascii="Times New Roman" w:hAnsi="Times New Roman" w:cs="Times New Roman"/>
          <w:sz w:val="28"/>
          <w:szCs w:val="28"/>
          <w:lang w:val="uk-UA"/>
        </w:rPr>
        <w:t>).</w:t>
      </w:r>
    </w:p>
    <w:p w:rsidR="00137135" w:rsidRDefault="00137135" w:rsidP="00FB10FF">
      <w:pPr>
        <w:autoSpaceDE w:val="0"/>
        <w:autoSpaceDN w:val="0"/>
        <w:adjustRightInd w:val="0"/>
        <w:spacing w:after="0" w:line="360" w:lineRule="auto"/>
        <w:ind w:firstLine="708"/>
        <w:jc w:val="both"/>
        <w:rPr>
          <w:rFonts w:ascii="Times New Roman" w:hAnsi="Times New Roman" w:cs="Times New Roman"/>
          <w:sz w:val="28"/>
          <w:szCs w:val="28"/>
          <w:lang w:val="uk-UA"/>
        </w:rPr>
      </w:pPr>
    </w:p>
    <w:p w:rsidR="00137135" w:rsidRDefault="00137135" w:rsidP="00FB10FF">
      <w:pPr>
        <w:autoSpaceDE w:val="0"/>
        <w:autoSpaceDN w:val="0"/>
        <w:adjustRightInd w:val="0"/>
        <w:spacing w:after="0" w:line="360" w:lineRule="auto"/>
        <w:ind w:firstLine="708"/>
        <w:jc w:val="both"/>
        <w:rPr>
          <w:rFonts w:ascii="Times New Roman" w:hAnsi="Times New Roman" w:cs="Times New Roman"/>
          <w:sz w:val="28"/>
          <w:szCs w:val="28"/>
          <w:lang w:val="uk-UA"/>
        </w:rPr>
      </w:pPr>
    </w:p>
    <w:p w:rsidR="00FB10FF" w:rsidRDefault="001B4A22" w:rsidP="00FB10F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w:t>
      </w:r>
      <w:r w:rsidR="00FB6AB4">
        <w:rPr>
          <w:rFonts w:ascii="Times New Roman" w:hAnsi="Times New Roman" w:cs="Times New Roman"/>
          <w:sz w:val="28"/>
          <w:szCs w:val="28"/>
          <w:lang w:val="uk-UA"/>
        </w:rPr>
        <w:t>ункціональна активн</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сть ендотел</w:t>
      </w:r>
      <w:r w:rsidR="00FB6AB4">
        <w:rPr>
          <w:rFonts w:ascii="Times New Roman" w:hAnsi="Times New Roman" w:cs="Times New Roman"/>
          <w:sz w:val="28"/>
          <w:szCs w:val="28"/>
          <w:lang w:val="en-US"/>
        </w:rPr>
        <w:t>i</w:t>
      </w:r>
      <w:r w:rsidR="00FB10FF" w:rsidRPr="00FB10FF">
        <w:rPr>
          <w:rFonts w:ascii="Times New Roman" w:hAnsi="Times New Roman" w:cs="Times New Roman"/>
          <w:sz w:val="28"/>
          <w:szCs w:val="28"/>
          <w:lang w:val="uk-UA"/>
        </w:rPr>
        <w:t>ю бага</w:t>
      </w:r>
      <w:r w:rsidR="00FB6AB4">
        <w:rPr>
          <w:rFonts w:ascii="Times New Roman" w:hAnsi="Times New Roman" w:cs="Times New Roman"/>
          <w:sz w:val="28"/>
          <w:szCs w:val="28"/>
          <w:lang w:val="uk-UA"/>
        </w:rPr>
        <w:t xml:space="preserve">то в чому залежить </w:t>
      </w:r>
      <w:r w:rsidR="00014050">
        <w:rPr>
          <w:rFonts w:ascii="Times New Roman" w:hAnsi="Times New Roman" w:cs="Times New Roman"/>
          <w:sz w:val="28"/>
          <w:szCs w:val="28"/>
          <w:lang w:val="uk-UA"/>
        </w:rPr>
        <w:t xml:space="preserve">              </w:t>
      </w:r>
      <w:r w:rsidR="00FB6AB4">
        <w:rPr>
          <w:rFonts w:ascii="Times New Roman" w:hAnsi="Times New Roman" w:cs="Times New Roman"/>
          <w:sz w:val="28"/>
          <w:szCs w:val="28"/>
          <w:lang w:val="uk-UA"/>
        </w:rPr>
        <w:t>в</w:t>
      </w:r>
      <w:r w:rsidR="00FB6AB4">
        <w:rPr>
          <w:rFonts w:ascii="Times New Roman" w:hAnsi="Times New Roman" w:cs="Times New Roman"/>
          <w:sz w:val="28"/>
          <w:szCs w:val="28"/>
          <w:lang w:val="en-US"/>
        </w:rPr>
        <w:t>i</w:t>
      </w:r>
      <w:r w:rsidR="00FB10FF">
        <w:rPr>
          <w:rFonts w:ascii="Times New Roman" w:hAnsi="Times New Roman" w:cs="Times New Roman"/>
          <w:sz w:val="28"/>
          <w:szCs w:val="28"/>
          <w:lang w:val="uk-UA"/>
        </w:rPr>
        <w:t xml:space="preserve">д </w:t>
      </w:r>
      <w:r w:rsidR="00137135" w:rsidRPr="00137135">
        <w:rPr>
          <w:rFonts w:ascii="Times New Roman" w:hAnsi="Times New Roman" w:cs="Times New Roman"/>
          <w:sz w:val="28"/>
          <w:szCs w:val="28"/>
          <w:lang w:val="uk-UA"/>
        </w:rPr>
        <w:t>концентрац</w:t>
      </w:r>
      <w:r w:rsidR="00137135">
        <w:rPr>
          <w:rFonts w:ascii="Times New Roman" w:hAnsi="Times New Roman" w:cs="Times New Roman"/>
          <w:sz w:val="28"/>
          <w:szCs w:val="28"/>
          <w:lang w:val="uk-UA"/>
        </w:rPr>
        <w:t xml:space="preserve">ії </w:t>
      </w:r>
      <w:r w:rsidR="00FB10FF">
        <w:rPr>
          <w:rFonts w:ascii="Times New Roman" w:hAnsi="Times New Roman" w:cs="Times New Roman"/>
          <w:sz w:val="28"/>
          <w:szCs w:val="28"/>
          <w:lang w:val="uk-UA"/>
        </w:rPr>
        <w:t>sVCAM-1, яка забезпечує</w:t>
      </w:r>
      <w:r w:rsidR="00FB6AB4">
        <w:rPr>
          <w:rFonts w:ascii="Times New Roman" w:hAnsi="Times New Roman" w:cs="Times New Roman"/>
          <w:sz w:val="28"/>
          <w:szCs w:val="28"/>
          <w:lang w:val="uk-UA"/>
        </w:rPr>
        <w:t xml:space="preserve"> адгез</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ю кл</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тин на </w:t>
      </w:r>
      <w:r w:rsidR="004F515B">
        <w:rPr>
          <w:rFonts w:ascii="Times New Roman" w:hAnsi="Times New Roman" w:cs="Times New Roman"/>
          <w:sz w:val="28"/>
          <w:szCs w:val="28"/>
          <w:lang w:val="uk-UA"/>
        </w:rPr>
        <w:t xml:space="preserve">його </w:t>
      </w:r>
      <w:r w:rsidR="00FB6AB4">
        <w:rPr>
          <w:rFonts w:ascii="Times New Roman" w:hAnsi="Times New Roman" w:cs="Times New Roman"/>
          <w:sz w:val="28"/>
          <w:szCs w:val="28"/>
          <w:lang w:val="uk-UA"/>
        </w:rPr>
        <w:t>поверхн</w:t>
      </w:r>
      <w:r w:rsidR="00FB6AB4">
        <w:rPr>
          <w:rFonts w:ascii="Times New Roman" w:hAnsi="Times New Roman" w:cs="Times New Roman"/>
          <w:sz w:val="28"/>
          <w:szCs w:val="28"/>
          <w:lang w:val="en-US"/>
        </w:rPr>
        <w:t>i</w:t>
      </w:r>
      <w:r w:rsidR="00FB10FF" w:rsidRPr="00FB10FF">
        <w:rPr>
          <w:rFonts w:ascii="Times New Roman" w:hAnsi="Times New Roman" w:cs="Times New Roman"/>
          <w:sz w:val="28"/>
          <w:szCs w:val="28"/>
          <w:lang w:val="uk-UA"/>
        </w:rPr>
        <w:t xml:space="preserve">. </w:t>
      </w:r>
      <w:r w:rsidR="00735385">
        <w:rPr>
          <w:rFonts w:ascii="Times New Roman" w:hAnsi="Times New Roman" w:cs="Times New Roman"/>
          <w:sz w:val="28"/>
          <w:szCs w:val="28"/>
          <w:lang w:val="uk-UA"/>
        </w:rPr>
        <w:t>Фактор некрозу пухлин</w:t>
      </w:r>
      <w:r w:rsidR="00FB10FF" w:rsidRPr="00FB10FF">
        <w:rPr>
          <w:rFonts w:ascii="Times New Roman" w:hAnsi="Times New Roman" w:cs="Times New Roman"/>
          <w:sz w:val="28"/>
          <w:szCs w:val="28"/>
          <w:lang w:val="uk-UA"/>
        </w:rPr>
        <w:t>-альфа сприяє активац</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ї ендотел</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альних кл</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тин та </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ндукує п</w:t>
      </w:r>
      <w:r w:rsidR="00FB6AB4">
        <w:rPr>
          <w:rFonts w:ascii="Times New Roman" w:hAnsi="Times New Roman" w:cs="Times New Roman"/>
          <w:sz w:val="28"/>
          <w:szCs w:val="28"/>
          <w:lang w:val="en-US"/>
        </w:rPr>
        <w:t>i</w:t>
      </w:r>
      <w:r w:rsidR="00FB10FF" w:rsidRPr="00FB10FF">
        <w:rPr>
          <w:rFonts w:ascii="Times New Roman" w:hAnsi="Times New Roman" w:cs="Times New Roman"/>
          <w:sz w:val="28"/>
          <w:szCs w:val="28"/>
          <w:lang w:val="uk-UA"/>
        </w:rPr>
        <w:t>двищену експре</w:t>
      </w:r>
      <w:r w:rsidR="00FB6AB4">
        <w:rPr>
          <w:rFonts w:ascii="Times New Roman" w:hAnsi="Times New Roman" w:cs="Times New Roman"/>
          <w:sz w:val="28"/>
          <w:szCs w:val="28"/>
          <w:lang w:val="uk-UA"/>
        </w:rPr>
        <w:t>с</w:t>
      </w:r>
      <w:r w:rsidR="00FB6AB4">
        <w:rPr>
          <w:rFonts w:ascii="Times New Roman" w:hAnsi="Times New Roman" w:cs="Times New Roman"/>
          <w:sz w:val="28"/>
          <w:szCs w:val="28"/>
          <w:lang w:val="en-US"/>
        </w:rPr>
        <w:t>i</w:t>
      </w:r>
      <w:r w:rsidR="00FB10FF">
        <w:rPr>
          <w:rFonts w:ascii="Times New Roman" w:hAnsi="Times New Roman" w:cs="Times New Roman"/>
          <w:sz w:val="28"/>
          <w:szCs w:val="28"/>
          <w:lang w:val="uk-UA"/>
        </w:rPr>
        <w:t>ю sVCAM-1, що</w:t>
      </w:r>
      <w:r w:rsidR="00FB6AB4">
        <w:rPr>
          <w:rFonts w:ascii="Times New Roman" w:hAnsi="Times New Roman" w:cs="Times New Roman"/>
          <w:sz w:val="28"/>
          <w:szCs w:val="28"/>
          <w:lang w:val="uk-UA"/>
        </w:rPr>
        <w:t xml:space="preserve"> призводить до б</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льш легкої м</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грац</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ї лейкоцит</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в через ендотел</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й </w:t>
      </w:r>
      <w:r w:rsidR="00221076">
        <w:rPr>
          <w:rFonts w:ascii="Times New Roman" w:hAnsi="Times New Roman" w:cs="Times New Roman"/>
          <w:sz w:val="28"/>
          <w:szCs w:val="28"/>
          <w:lang w:val="uk-UA"/>
        </w:rPr>
        <w:t>та</w:t>
      </w:r>
      <w:r w:rsidR="00FB6AB4">
        <w:rPr>
          <w:rFonts w:ascii="Times New Roman" w:hAnsi="Times New Roman" w:cs="Times New Roman"/>
          <w:sz w:val="28"/>
          <w:szCs w:val="28"/>
          <w:lang w:val="uk-UA"/>
        </w:rPr>
        <w:t xml:space="preserve"> </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нф</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льтрац</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ї судин нейтроф</w:t>
      </w:r>
      <w:r w:rsidR="00FB6AB4">
        <w:rPr>
          <w:rFonts w:ascii="Times New Roman" w:hAnsi="Times New Roman" w:cs="Times New Roman"/>
          <w:sz w:val="28"/>
          <w:szCs w:val="28"/>
          <w:lang w:val="en-US"/>
        </w:rPr>
        <w:t>i</w:t>
      </w:r>
      <w:r w:rsidR="00FB10FF" w:rsidRPr="00FB10FF">
        <w:rPr>
          <w:rFonts w:ascii="Times New Roman" w:hAnsi="Times New Roman" w:cs="Times New Roman"/>
          <w:sz w:val="28"/>
          <w:szCs w:val="28"/>
          <w:lang w:val="uk-UA"/>
        </w:rPr>
        <w:t>лами та макрофагами</w:t>
      </w:r>
      <w:r w:rsidR="00BD5601" w:rsidRPr="00BD5601">
        <w:rPr>
          <w:rFonts w:ascii="Times New Roman" w:hAnsi="Times New Roman" w:cs="Times New Roman"/>
          <w:sz w:val="28"/>
          <w:szCs w:val="28"/>
          <w:lang w:val="uk-UA"/>
        </w:rPr>
        <w:t xml:space="preserve"> </w:t>
      </w:r>
      <w:r w:rsidR="00BD5601" w:rsidRPr="004B16DA">
        <w:rPr>
          <w:rFonts w:ascii="Times New Roman" w:hAnsi="Times New Roman" w:cs="Times New Roman"/>
          <w:sz w:val="28"/>
          <w:szCs w:val="28"/>
          <w:lang w:val="uk-UA"/>
        </w:rPr>
        <w:t>[</w:t>
      </w:r>
      <w:r w:rsidR="00267B2C" w:rsidRPr="004B16DA">
        <w:rPr>
          <w:rFonts w:ascii="Times New Roman" w:hAnsi="Times New Roman" w:cs="Times New Roman"/>
          <w:sz w:val="28"/>
          <w:szCs w:val="28"/>
          <w:lang w:val="uk-UA"/>
        </w:rPr>
        <w:t>77</w:t>
      </w:r>
      <w:r w:rsidR="00BD5601" w:rsidRPr="00BD5601">
        <w:rPr>
          <w:rFonts w:ascii="Times New Roman" w:hAnsi="Times New Roman" w:cs="Times New Roman"/>
          <w:sz w:val="28"/>
          <w:szCs w:val="28"/>
          <w:lang w:val="uk-UA"/>
        </w:rPr>
        <w:t xml:space="preserve">] </w:t>
      </w:r>
      <w:r w:rsidR="00FB10FF" w:rsidRPr="00FB10FF">
        <w:rPr>
          <w:rFonts w:ascii="Times New Roman" w:hAnsi="Times New Roman" w:cs="Times New Roman"/>
          <w:sz w:val="28"/>
          <w:szCs w:val="28"/>
          <w:lang w:val="uk-UA"/>
        </w:rPr>
        <w:t xml:space="preserve">. </w:t>
      </w:r>
    </w:p>
    <w:p w:rsidR="00FB10FF" w:rsidRPr="007438B0" w:rsidRDefault="00FB6AB4" w:rsidP="00FB10F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досл</w:t>
      </w:r>
      <w:r>
        <w:rPr>
          <w:rFonts w:ascii="Times New Roman" w:hAnsi="Times New Roman" w:cs="Times New Roman"/>
          <w:sz w:val="28"/>
          <w:szCs w:val="28"/>
          <w:lang w:val="en-US"/>
        </w:rPr>
        <w:t>i</w:t>
      </w:r>
      <w:r>
        <w:rPr>
          <w:rFonts w:ascii="Times New Roman" w:hAnsi="Times New Roman" w:cs="Times New Roman"/>
          <w:sz w:val="28"/>
          <w:szCs w:val="28"/>
          <w:lang w:val="uk-UA"/>
        </w:rPr>
        <w:t>дженн</w:t>
      </w:r>
      <w:r>
        <w:rPr>
          <w:rFonts w:ascii="Times New Roman" w:hAnsi="Times New Roman" w:cs="Times New Roman"/>
          <w:sz w:val="28"/>
          <w:szCs w:val="28"/>
          <w:lang w:val="en-US"/>
        </w:rPr>
        <w:t>i</w:t>
      </w:r>
      <w:r w:rsidR="00FB10FF">
        <w:rPr>
          <w:rFonts w:ascii="Times New Roman" w:hAnsi="Times New Roman" w:cs="Times New Roman"/>
          <w:sz w:val="28"/>
          <w:szCs w:val="28"/>
          <w:lang w:val="uk-UA"/>
        </w:rPr>
        <w:t xml:space="preserve"> </w:t>
      </w:r>
      <w:r w:rsidR="00221076">
        <w:rPr>
          <w:rFonts w:ascii="Times New Roman" w:hAnsi="Times New Roman" w:cs="Times New Roman"/>
          <w:sz w:val="28"/>
          <w:szCs w:val="28"/>
          <w:lang w:val="uk-UA"/>
        </w:rPr>
        <w:t xml:space="preserve">у пацієнтів </w:t>
      </w:r>
      <w:r w:rsidR="006C554F">
        <w:rPr>
          <w:rFonts w:ascii="Times New Roman" w:hAnsi="Times New Roman" w:cs="Times New Roman"/>
          <w:sz w:val="28"/>
          <w:szCs w:val="28"/>
          <w:lang w:val="uk-UA"/>
        </w:rPr>
        <w:t>і</w:t>
      </w:r>
      <w:r w:rsidR="006102D7">
        <w:rPr>
          <w:rFonts w:ascii="Times New Roman" w:hAnsi="Times New Roman" w:cs="Times New Roman"/>
          <w:sz w:val="28"/>
          <w:szCs w:val="28"/>
          <w:lang w:val="uk-UA"/>
        </w:rPr>
        <w:t xml:space="preserve">з </w:t>
      </w:r>
      <w:r w:rsidR="00FD685E">
        <w:rPr>
          <w:rFonts w:ascii="Times New Roman" w:hAnsi="Times New Roman" w:cs="Times New Roman"/>
          <w:sz w:val="28"/>
          <w:szCs w:val="28"/>
          <w:lang w:val="uk-UA"/>
        </w:rPr>
        <w:t>АГ та ЦД 2-го типу</w:t>
      </w:r>
      <w:r w:rsidR="006102D7">
        <w:rPr>
          <w:rFonts w:ascii="Times New Roman" w:hAnsi="Times New Roman" w:cs="Times New Roman"/>
          <w:sz w:val="28"/>
          <w:szCs w:val="28"/>
          <w:lang w:val="uk-UA"/>
        </w:rPr>
        <w:t xml:space="preserve"> </w:t>
      </w:r>
      <w:r w:rsidR="000212E6">
        <w:rPr>
          <w:rFonts w:ascii="Times New Roman" w:hAnsi="Times New Roman" w:cs="Times New Roman"/>
          <w:sz w:val="28"/>
          <w:szCs w:val="28"/>
          <w:lang w:val="uk-UA"/>
        </w:rPr>
        <w:t>у</w:t>
      </w:r>
      <w:r w:rsidR="00FB10FF">
        <w:rPr>
          <w:rFonts w:ascii="Times New Roman" w:hAnsi="Times New Roman" w:cs="Times New Roman"/>
          <w:sz w:val="28"/>
          <w:szCs w:val="28"/>
          <w:lang w:val="uk-UA"/>
        </w:rPr>
        <w:t>становлено</w:t>
      </w:r>
      <w:r w:rsidR="006C554F">
        <w:rPr>
          <w:rFonts w:ascii="Times New Roman" w:hAnsi="Times New Roman" w:cs="Times New Roman"/>
          <w:sz w:val="28"/>
          <w:szCs w:val="28"/>
          <w:lang w:val="uk-UA"/>
        </w:rPr>
        <w:t>, що із збільшенням концентрації</w:t>
      </w:r>
      <w:r w:rsidR="00FB10FF">
        <w:rPr>
          <w:rFonts w:ascii="Times New Roman" w:hAnsi="Times New Roman" w:cs="Times New Roman"/>
          <w:sz w:val="28"/>
          <w:szCs w:val="28"/>
          <w:lang w:val="uk-UA"/>
        </w:rPr>
        <w:t xml:space="preserve"> </w:t>
      </w:r>
      <w:r w:rsidR="006102D7" w:rsidRPr="006102D7">
        <w:rPr>
          <w:rFonts w:ascii="Times New Roman" w:hAnsi="Times New Roman" w:cs="Times New Roman"/>
          <w:sz w:val="28"/>
          <w:szCs w:val="28"/>
          <w:lang w:val="uk-UA"/>
        </w:rPr>
        <w:t>sVCAM-1</w:t>
      </w:r>
      <w:r w:rsidR="001969DC">
        <w:rPr>
          <w:rFonts w:ascii="Times New Roman" w:hAnsi="Times New Roman" w:cs="Times New Roman"/>
          <w:sz w:val="28"/>
          <w:szCs w:val="28"/>
          <w:lang w:val="uk-UA"/>
        </w:rPr>
        <w:t xml:space="preserve"> зростає</w:t>
      </w:r>
      <w:r w:rsidR="006102D7">
        <w:rPr>
          <w:rFonts w:ascii="Times New Roman" w:hAnsi="Times New Roman" w:cs="Times New Roman"/>
          <w:sz w:val="28"/>
          <w:szCs w:val="28"/>
          <w:lang w:val="uk-UA"/>
        </w:rPr>
        <w:t xml:space="preserve"> </w:t>
      </w:r>
      <w:r>
        <w:rPr>
          <w:rFonts w:ascii="Times New Roman" w:hAnsi="Times New Roman" w:cs="Times New Roman"/>
          <w:sz w:val="28"/>
          <w:szCs w:val="28"/>
          <w:lang w:val="uk-UA"/>
        </w:rPr>
        <w:t>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1969DC">
        <w:rPr>
          <w:rFonts w:ascii="Times New Roman" w:hAnsi="Times New Roman" w:cs="Times New Roman"/>
          <w:sz w:val="28"/>
          <w:szCs w:val="28"/>
          <w:lang w:val="uk-UA"/>
        </w:rPr>
        <w:t>я</w:t>
      </w:r>
      <w:r w:rsidR="00FD685E">
        <w:rPr>
          <w:rFonts w:ascii="Times New Roman" w:hAnsi="Times New Roman" w:cs="Times New Roman"/>
          <w:sz w:val="28"/>
          <w:szCs w:val="28"/>
          <w:lang w:val="uk-UA"/>
        </w:rPr>
        <w:t xml:space="preserve"> </w:t>
      </w:r>
      <w:r w:rsidR="006102D7">
        <w:rPr>
          <w:rFonts w:ascii="Times New Roman" w:hAnsi="Times New Roman" w:cs="Times New Roman"/>
          <w:sz w:val="28"/>
          <w:szCs w:val="28"/>
          <w:lang w:val="uk-UA"/>
        </w:rPr>
        <w:t>(</w:t>
      </w:r>
      <w:r w:rsidR="006102D7">
        <w:rPr>
          <w:rFonts w:ascii="Times New Roman" w:hAnsi="Times New Roman" w:cs="Times New Roman"/>
          <w:sz w:val="28"/>
          <w:szCs w:val="28"/>
          <w:lang w:val="en-US"/>
        </w:rPr>
        <w:t>r</w:t>
      </w:r>
      <w:r w:rsidR="00EE4D7A">
        <w:rPr>
          <w:rFonts w:ascii="Times New Roman" w:hAnsi="Times New Roman" w:cs="Times New Roman"/>
          <w:sz w:val="28"/>
          <w:szCs w:val="28"/>
          <w:lang w:val="uk-UA"/>
        </w:rPr>
        <w:t xml:space="preserve"> = 0,36</w:t>
      </w:r>
      <w:r w:rsidR="006102D7" w:rsidRPr="007438B0">
        <w:rPr>
          <w:rFonts w:ascii="Times New Roman" w:hAnsi="Times New Roman" w:cs="Times New Roman"/>
          <w:sz w:val="28"/>
          <w:szCs w:val="28"/>
          <w:lang w:val="uk-UA"/>
        </w:rPr>
        <w:t xml:space="preserve">; </w:t>
      </w:r>
      <w:r w:rsidR="006C554F">
        <w:rPr>
          <w:rFonts w:ascii="Times New Roman" w:hAnsi="Times New Roman" w:cs="Times New Roman"/>
          <w:sz w:val="28"/>
          <w:szCs w:val="28"/>
          <w:lang w:val="uk-UA"/>
        </w:rPr>
        <w:t xml:space="preserve">      </w:t>
      </w:r>
      <w:r w:rsidR="006102D7">
        <w:rPr>
          <w:rFonts w:ascii="Times New Roman" w:hAnsi="Times New Roman" w:cs="Times New Roman"/>
          <w:sz w:val="28"/>
          <w:szCs w:val="28"/>
          <w:lang w:val="en-US"/>
        </w:rPr>
        <w:t>p</w:t>
      </w:r>
      <w:r w:rsidR="00EE4D7A">
        <w:rPr>
          <w:rFonts w:ascii="Times New Roman" w:hAnsi="Times New Roman" w:cs="Times New Roman"/>
          <w:sz w:val="28"/>
          <w:szCs w:val="28"/>
          <w:lang w:val="uk-UA"/>
        </w:rPr>
        <w:t xml:space="preserve"> = 0,0003</w:t>
      </w:r>
      <w:r w:rsidR="006102D7" w:rsidRPr="007438B0">
        <w:rPr>
          <w:rFonts w:ascii="Times New Roman" w:hAnsi="Times New Roman" w:cs="Times New Roman"/>
          <w:sz w:val="28"/>
          <w:szCs w:val="28"/>
          <w:lang w:val="uk-UA"/>
        </w:rPr>
        <w:t xml:space="preserve">). </w:t>
      </w:r>
    </w:p>
    <w:p w:rsidR="006102D7" w:rsidRPr="00412496" w:rsidRDefault="00FB6AB4" w:rsidP="006A31E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Одержан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дан</w:t>
      </w:r>
      <w:r>
        <w:rPr>
          <w:rFonts w:ascii="Times New Roman" w:hAnsi="Times New Roman" w:cs="Times New Roman"/>
          <w:sz w:val="28"/>
          <w:szCs w:val="28"/>
          <w:lang w:val="en-US"/>
        </w:rPr>
        <w:t>i</w:t>
      </w:r>
      <w:r w:rsidR="000212E6">
        <w:rPr>
          <w:rFonts w:ascii="Times New Roman" w:hAnsi="Times New Roman" w:cs="Times New Roman"/>
          <w:sz w:val="28"/>
          <w:szCs w:val="28"/>
          <w:lang w:val="uk-UA"/>
        </w:rPr>
        <w:t xml:space="preserve"> </w:t>
      </w:r>
      <w:r w:rsidR="00BB63A4">
        <w:rPr>
          <w:rFonts w:ascii="Times New Roman" w:hAnsi="Times New Roman" w:cs="Times New Roman"/>
          <w:sz w:val="28"/>
          <w:szCs w:val="28"/>
          <w:lang w:val="uk-UA"/>
        </w:rPr>
        <w:t xml:space="preserve">про </w:t>
      </w:r>
      <w:r w:rsidR="000E194C">
        <w:rPr>
          <w:rFonts w:ascii="Times New Roman" w:hAnsi="Times New Roman" w:cs="Times New Roman"/>
          <w:sz w:val="28"/>
          <w:szCs w:val="28"/>
          <w:lang w:val="uk-UA"/>
        </w:rPr>
        <w:t>підвищення</w:t>
      </w:r>
      <w:r>
        <w:rPr>
          <w:rFonts w:ascii="Times New Roman" w:hAnsi="Times New Roman" w:cs="Times New Roman"/>
          <w:sz w:val="28"/>
          <w:szCs w:val="28"/>
          <w:lang w:val="uk-UA"/>
        </w:rPr>
        <w:t xml:space="preserve">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Pr>
          <w:rFonts w:ascii="Times New Roman" w:hAnsi="Times New Roman" w:cs="Times New Roman"/>
          <w:sz w:val="28"/>
          <w:szCs w:val="28"/>
          <w:lang w:val="uk-UA"/>
        </w:rPr>
        <w:t>ї пропорц</w:t>
      </w:r>
      <w:r>
        <w:rPr>
          <w:rFonts w:ascii="Times New Roman" w:hAnsi="Times New Roman" w:cs="Times New Roman"/>
          <w:sz w:val="28"/>
          <w:szCs w:val="28"/>
          <w:lang w:val="en-US"/>
        </w:rPr>
        <w:t>i</w:t>
      </w:r>
      <w:r w:rsidR="000E194C">
        <w:rPr>
          <w:rFonts w:ascii="Times New Roman" w:hAnsi="Times New Roman" w:cs="Times New Roman"/>
          <w:sz w:val="28"/>
          <w:szCs w:val="28"/>
          <w:lang w:val="uk-UA"/>
        </w:rPr>
        <w:t xml:space="preserve">йно </w:t>
      </w:r>
      <w:r w:rsidR="00102C5B">
        <w:rPr>
          <w:rFonts w:ascii="Times New Roman" w:hAnsi="Times New Roman" w:cs="Times New Roman"/>
          <w:sz w:val="28"/>
          <w:szCs w:val="28"/>
          <w:lang w:val="uk-UA"/>
        </w:rPr>
        <w:t xml:space="preserve">                      </w:t>
      </w:r>
      <w:r w:rsidR="000E194C">
        <w:rPr>
          <w:rFonts w:ascii="Times New Roman" w:hAnsi="Times New Roman" w:cs="Times New Roman"/>
          <w:sz w:val="28"/>
          <w:szCs w:val="28"/>
          <w:lang w:val="uk-UA"/>
        </w:rPr>
        <w:t>до концентрації</w:t>
      </w:r>
      <w:r w:rsidR="00412496">
        <w:rPr>
          <w:rFonts w:ascii="Times New Roman" w:hAnsi="Times New Roman" w:cs="Times New Roman"/>
          <w:sz w:val="28"/>
          <w:szCs w:val="28"/>
          <w:lang w:val="uk-UA"/>
        </w:rPr>
        <w:t xml:space="preserve"> sVCAM-1 </w:t>
      </w:r>
      <w:r>
        <w:rPr>
          <w:rFonts w:ascii="Times New Roman" w:hAnsi="Times New Roman" w:cs="Times New Roman"/>
          <w:sz w:val="28"/>
          <w:szCs w:val="28"/>
          <w:lang w:val="uk-UA"/>
        </w:rPr>
        <w:t>зб</w:t>
      </w:r>
      <w:r>
        <w:rPr>
          <w:rFonts w:ascii="Times New Roman" w:hAnsi="Times New Roman" w:cs="Times New Roman"/>
          <w:sz w:val="28"/>
          <w:szCs w:val="28"/>
          <w:lang w:val="en-US"/>
        </w:rPr>
        <w:t>i</w:t>
      </w:r>
      <w:r w:rsidR="000212E6">
        <w:rPr>
          <w:rFonts w:ascii="Times New Roman" w:hAnsi="Times New Roman" w:cs="Times New Roman"/>
          <w:sz w:val="28"/>
          <w:szCs w:val="28"/>
          <w:lang w:val="uk-UA"/>
        </w:rPr>
        <w:t>гаються</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з даними досл</w:t>
      </w:r>
      <w:r>
        <w:rPr>
          <w:rFonts w:ascii="Times New Roman" w:hAnsi="Times New Roman" w:cs="Times New Roman"/>
          <w:sz w:val="28"/>
          <w:szCs w:val="28"/>
          <w:lang w:val="en-US"/>
        </w:rPr>
        <w:t>i</w:t>
      </w:r>
      <w:r>
        <w:rPr>
          <w:rFonts w:ascii="Times New Roman" w:hAnsi="Times New Roman" w:cs="Times New Roman"/>
          <w:sz w:val="28"/>
          <w:szCs w:val="28"/>
          <w:lang w:val="uk-UA"/>
        </w:rPr>
        <w:t>дник</w:t>
      </w:r>
      <w:r>
        <w:rPr>
          <w:rFonts w:ascii="Times New Roman" w:hAnsi="Times New Roman" w:cs="Times New Roman"/>
          <w:sz w:val="28"/>
          <w:szCs w:val="28"/>
          <w:lang w:val="en-US"/>
        </w:rPr>
        <w:t>i</w:t>
      </w:r>
      <w:r w:rsidR="006102D7" w:rsidRPr="007438B0">
        <w:rPr>
          <w:rFonts w:ascii="Times New Roman" w:hAnsi="Times New Roman" w:cs="Times New Roman"/>
          <w:sz w:val="28"/>
          <w:szCs w:val="28"/>
          <w:lang w:val="uk-UA"/>
        </w:rPr>
        <w:t>в.</w:t>
      </w:r>
      <w:r w:rsidR="00412496">
        <w:rPr>
          <w:rFonts w:ascii="Times New Roman" w:hAnsi="Times New Roman" w:cs="Times New Roman"/>
          <w:sz w:val="28"/>
          <w:szCs w:val="28"/>
          <w:lang w:val="uk-UA"/>
        </w:rPr>
        <w:t xml:space="preserve"> </w:t>
      </w:r>
      <w:r w:rsidR="00412496" w:rsidRPr="00FD629A">
        <w:rPr>
          <w:rFonts w:ascii="Times New Roman" w:hAnsi="Times New Roman" w:cs="Times New Roman"/>
          <w:sz w:val="28"/>
          <w:szCs w:val="28"/>
          <w:lang w:val="uk-UA"/>
        </w:rPr>
        <w:t xml:space="preserve">Так, </w:t>
      </w:r>
      <w:r w:rsidR="006102D7" w:rsidRPr="00FD629A">
        <w:rPr>
          <w:rFonts w:ascii="Times New Roman" w:hAnsi="Times New Roman" w:cs="Times New Roman"/>
          <w:sz w:val="28"/>
          <w:szCs w:val="28"/>
          <w:lang w:val="uk-UA"/>
        </w:rPr>
        <w:t>вияв</w:t>
      </w:r>
      <w:r w:rsidR="00A96A0F" w:rsidRPr="00FD629A">
        <w:rPr>
          <w:rFonts w:ascii="Times New Roman" w:hAnsi="Times New Roman" w:cs="Times New Roman"/>
          <w:sz w:val="28"/>
          <w:szCs w:val="28"/>
          <w:lang w:val="uk-UA"/>
        </w:rPr>
        <w:t>лена</w:t>
      </w:r>
      <w:r w:rsidRPr="00FD629A">
        <w:rPr>
          <w:rFonts w:ascii="Times New Roman" w:hAnsi="Times New Roman" w:cs="Times New Roman"/>
          <w:sz w:val="28"/>
          <w:szCs w:val="28"/>
          <w:lang w:val="uk-UA"/>
        </w:rPr>
        <w:t xml:space="preserve"> достов</w:t>
      </w:r>
      <w:r w:rsidRPr="00FD629A">
        <w:rPr>
          <w:rFonts w:ascii="Times New Roman" w:hAnsi="Times New Roman" w:cs="Times New Roman"/>
          <w:sz w:val="28"/>
          <w:szCs w:val="28"/>
          <w:lang w:val="en-US"/>
        </w:rPr>
        <w:t>i</w:t>
      </w:r>
      <w:r w:rsidR="00A96A0F" w:rsidRPr="00FD629A">
        <w:rPr>
          <w:rFonts w:ascii="Times New Roman" w:hAnsi="Times New Roman" w:cs="Times New Roman"/>
          <w:sz w:val="28"/>
          <w:szCs w:val="28"/>
          <w:lang w:val="uk-UA"/>
        </w:rPr>
        <w:t xml:space="preserve">рна позитивна залежність між </w:t>
      </w:r>
      <w:r w:rsidR="000E194C" w:rsidRPr="00FD629A">
        <w:rPr>
          <w:rFonts w:ascii="Times New Roman" w:hAnsi="Times New Roman" w:cs="Times New Roman"/>
          <w:sz w:val="28"/>
          <w:szCs w:val="28"/>
          <w:lang w:val="uk-UA"/>
        </w:rPr>
        <w:t xml:space="preserve">вмістом </w:t>
      </w:r>
      <w:r w:rsidRPr="00FD629A">
        <w:rPr>
          <w:rFonts w:ascii="Times New Roman" w:hAnsi="Times New Roman" w:cs="Times New Roman"/>
          <w:sz w:val="28"/>
          <w:szCs w:val="28"/>
          <w:lang w:val="uk-UA"/>
        </w:rPr>
        <w:t xml:space="preserve">sVCAM-1 </w:t>
      </w:r>
      <w:r w:rsidRPr="00FD629A">
        <w:rPr>
          <w:rFonts w:ascii="Times New Roman" w:hAnsi="Times New Roman" w:cs="Times New Roman"/>
          <w:sz w:val="28"/>
          <w:szCs w:val="28"/>
          <w:lang w:val="en-US"/>
        </w:rPr>
        <w:t>i</w:t>
      </w:r>
      <w:r w:rsidR="006102D7" w:rsidRPr="00FD629A">
        <w:rPr>
          <w:rFonts w:ascii="Times New Roman" w:hAnsi="Times New Roman" w:cs="Times New Roman"/>
          <w:sz w:val="28"/>
          <w:szCs w:val="28"/>
          <w:lang w:val="uk-UA"/>
        </w:rPr>
        <w:t xml:space="preserve"> МАУ (r</w:t>
      </w:r>
      <w:r w:rsidR="000212E6" w:rsidRPr="00FD629A">
        <w:rPr>
          <w:rFonts w:ascii="Times New Roman" w:hAnsi="Times New Roman" w:cs="Times New Roman"/>
          <w:sz w:val="28"/>
          <w:szCs w:val="28"/>
          <w:lang w:val="uk-UA"/>
        </w:rPr>
        <w:t xml:space="preserve"> </w:t>
      </w:r>
      <w:r w:rsidR="006102D7" w:rsidRPr="00FD629A">
        <w:rPr>
          <w:rFonts w:ascii="Times New Roman" w:hAnsi="Times New Roman" w:cs="Times New Roman"/>
          <w:sz w:val="28"/>
          <w:szCs w:val="28"/>
          <w:lang w:val="uk-UA"/>
        </w:rPr>
        <w:t>=</w:t>
      </w:r>
      <w:r w:rsidR="000212E6" w:rsidRPr="00FD629A">
        <w:rPr>
          <w:rFonts w:ascii="Times New Roman" w:hAnsi="Times New Roman" w:cs="Times New Roman"/>
          <w:sz w:val="28"/>
          <w:szCs w:val="28"/>
          <w:lang w:val="uk-UA"/>
        </w:rPr>
        <w:t xml:space="preserve"> </w:t>
      </w:r>
      <w:r w:rsidR="000373AF">
        <w:rPr>
          <w:rFonts w:ascii="Times New Roman" w:hAnsi="Times New Roman" w:cs="Times New Roman"/>
          <w:sz w:val="28"/>
          <w:szCs w:val="28"/>
          <w:lang w:val="uk-UA"/>
        </w:rPr>
        <w:t>0,3;</w:t>
      </w:r>
      <w:r w:rsidR="006102D7" w:rsidRPr="00FD629A">
        <w:rPr>
          <w:rFonts w:ascii="Times New Roman" w:hAnsi="Times New Roman" w:cs="Times New Roman"/>
          <w:sz w:val="28"/>
          <w:szCs w:val="28"/>
          <w:lang w:val="uk-UA"/>
        </w:rPr>
        <w:t xml:space="preserve"> </w:t>
      </w:r>
      <w:r w:rsidR="00102C5B">
        <w:rPr>
          <w:rFonts w:ascii="Times New Roman" w:hAnsi="Times New Roman" w:cs="Times New Roman"/>
          <w:sz w:val="28"/>
          <w:szCs w:val="28"/>
          <w:lang w:val="uk-UA"/>
        </w:rPr>
        <w:t xml:space="preserve">         </w:t>
      </w:r>
      <w:r w:rsidR="006102D7" w:rsidRPr="00FD629A">
        <w:rPr>
          <w:rFonts w:ascii="Times New Roman" w:hAnsi="Times New Roman" w:cs="Times New Roman"/>
          <w:sz w:val="28"/>
          <w:szCs w:val="28"/>
          <w:lang w:val="uk-UA"/>
        </w:rPr>
        <w:t>р</w:t>
      </w:r>
      <w:r w:rsidR="000212E6" w:rsidRPr="00FD629A">
        <w:rPr>
          <w:rFonts w:ascii="Times New Roman" w:hAnsi="Times New Roman" w:cs="Times New Roman"/>
          <w:sz w:val="28"/>
          <w:szCs w:val="28"/>
          <w:lang w:val="uk-UA"/>
        </w:rPr>
        <w:t xml:space="preserve"> </w:t>
      </w:r>
      <w:r w:rsidR="006102D7" w:rsidRPr="00FD629A">
        <w:rPr>
          <w:rFonts w:ascii="Times New Roman" w:hAnsi="Times New Roman" w:cs="Times New Roman"/>
          <w:sz w:val="28"/>
          <w:szCs w:val="28"/>
          <w:lang w:val="uk-UA"/>
        </w:rPr>
        <w:t>&lt;</w:t>
      </w:r>
      <w:r w:rsidR="000212E6" w:rsidRPr="00FD629A">
        <w:rPr>
          <w:rFonts w:ascii="Times New Roman" w:hAnsi="Times New Roman" w:cs="Times New Roman"/>
          <w:sz w:val="28"/>
          <w:szCs w:val="28"/>
          <w:lang w:val="uk-UA"/>
        </w:rPr>
        <w:t xml:space="preserve"> </w:t>
      </w:r>
      <w:r w:rsidR="00A96A0F" w:rsidRPr="00FD629A">
        <w:rPr>
          <w:rFonts w:ascii="Times New Roman" w:hAnsi="Times New Roman" w:cs="Times New Roman"/>
          <w:sz w:val="28"/>
          <w:szCs w:val="28"/>
          <w:lang w:val="uk-UA"/>
        </w:rPr>
        <w:t>0,05)</w:t>
      </w:r>
      <w:r w:rsidR="00221076" w:rsidRPr="00FD629A">
        <w:rPr>
          <w:rFonts w:ascii="Times New Roman" w:hAnsi="Times New Roman" w:cs="Times New Roman"/>
          <w:sz w:val="28"/>
          <w:szCs w:val="28"/>
          <w:lang w:val="uk-UA"/>
        </w:rPr>
        <w:t xml:space="preserve"> у хворих на </w:t>
      </w:r>
      <w:r w:rsidR="00A96A0F" w:rsidRPr="00FD629A">
        <w:rPr>
          <w:rFonts w:ascii="Times New Roman" w:hAnsi="Times New Roman" w:cs="Times New Roman"/>
          <w:sz w:val="28"/>
          <w:szCs w:val="28"/>
          <w:lang w:val="uk-UA"/>
        </w:rPr>
        <w:t>ЦД</w:t>
      </w:r>
      <w:r w:rsidR="00221076">
        <w:rPr>
          <w:rFonts w:ascii="Times New Roman" w:hAnsi="Times New Roman" w:cs="Times New Roman"/>
          <w:sz w:val="28"/>
          <w:szCs w:val="28"/>
          <w:lang w:val="uk-UA"/>
        </w:rPr>
        <w:t xml:space="preserve"> </w:t>
      </w:r>
      <w:r w:rsidR="006A31E9" w:rsidRPr="00267B2C">
        <w:rPr>
          <w:rFonts w:ascii="Times New Roman" w:hAnsi="Times New Roman" w:cs="Times New Roman"/>
          <w:sz w:val="28"/>
          <w:szCs w:val="28"/>
          <w:lang w:val="uk-UA"/>
        </w:rPr>
        <w:t>[</w:t>
      </w:r>
      <w:r w:rsidR="00267B2C" w:rsidRPr="004B16DA">
        <w:rPr>
          <w:rFonts w:ascii="Times New Roman" w:hAnsi="Times New Roman" w:cs="Times New Roman"/>
          <w:sz w:val="28"/>
          <w:szCs w:val="28"/>
        </w:rPr>
        <w:t>75</w:t>
      </w:r>
      <w:r w:rsidR="006A31E9" w:rsidRPr="00267B2C">
        <w:rPr>
          <w:rFonts w:ascii="Times New Roman" w:hAnsi="Times New Roman" w:cs="Times New Roman"/>
          <w:sz w:val="28"/>
          <w:szCs w:val="28"/>
          <w:lang w:val="uk-UA"/>
        </w:rPr>
        <w:t>].</w:t>
      </w:r>
      <w:r w:rsidR="00BB63A4">
        <w:rPr>
          <w:rFonts w:ascii="Times New Roman" w:hAnsi="Times New Roman" w:cs="Times New Roman"/>
          <w:sz w:val="28"/>
          <w:szCs w:val="28"/>
          <w:lang w:val="uk-UA"/>
        </w:rPr>
        <w:t xml:space="preserve"> </w:t>
      </w:r>
      <w:r>
        <w:rPr>
          <w:rFonts w:ascii="Times New Roman" w:hAnsi="Times New Roman" w:cs="Times New Roman"/>
          <w:sz w:val="28"/>
          <w:szCs w:val="28"/>
          <w:lang w:val="uk-UA"/>
        </w:rPr>
        <w:t>Але у проведен</w:t>
      </w:r>
      <w:r>
        <w:rPr>
          <w:rFonts w:ascii="Times New Roman" w:hAnsi="Times New Roman" w:cs="Times New Roman"/>
          <w:sz w:val="28"/>
          <w:szCs w:val="28"/>
          <w:lang w:val="en-US"/>
        </w:rPr>
        <w:t>i</w:t>
      </w:r>
      <w:r>
        <w:rPr>
          <w:rFonts w:ascii="Times New Roman" w:hAnsi="Times New Roman" w:cs="Times New Roman"/>
          <w:sz w:val="28"/>
          <w:szCs w:val="28"/>
          <w:lang w:val="uk-UA"/>
        </w:rPr>
        <w:t>й нами робот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обстежено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sidR="00412496" w:rsidRPr="00C51652">
        <w:rPr>
          <w:rFonts w:ascii="Times New Roman" w:hAnsi="Times New Roman" w:cs="Times New Roman"/>
          <w:sz w:val="28"/>
          <w:szCs w:val="28"/>
          <w:lang w:val="uk-UA"/>
        </w:rPr>
        <w:t xml:space="preserve">в не лише з ЦД 2-го типу, а </w:t>
      </w:r>
      <w:r>
        <w:rPr>
          <w:rFonts w:ascii="Times New Roman" w:hAnsi="Times New Roman" w:cs="Times New Roman"/>
          <w:sz w:val="28"/>
          <w:szCs w:val="28"/>
          <w:lang w:val="uk-UA"/>
        </w:rPr>
        <w:t xml:space="preserve">й </w:t>
      </w:r>
      <w:r>
        <w:rPr>
          <w:rFonts w:ascii="Times New Roman" w:hAnsi="Times New Roman" w:cs="Times New Roman"/>
          <w:sz w:val="28"/>
          <w:szCs w:val="28"/>
          <w:lang w:val="en-US"/>
        </w:rPr>
        <w:t>i</w:t>
      </w:r>
      <w:r w:rsidR="004C13C4" w:rsidRPr="00C51652">
        <w:rPr>
          <w:rFonts w:ascii="Times New Roman" w:hAnsi="Times New Roman" w:cs="Times New Roman"/>
          <w:sz w:val="28"/>
          <w:szCs w:val="28"/>
          <w:lang w:val="uk-UA"/>
        </w:rPr>
        <w:t>з супутньою</w:t>
      </w:r>
      <w:r w:rsidR="00412496" w:rsidRPr="00C51652">
        <w:rPr>
          <w:rFonts w:ascii="Times New Roman" w:hAnsi="Times New Roman" w:cs="Times New Roman"/>
          <w:sz w:val="28"/>
          <w:szCs w:val="28"/>
          <w:lang w:val="uk-UA"/>
        </w:rPr>
        <w:t xml:space="preserve"> АГ</w:t>
      </w:r>
      <w:r w:rsidR="00E578AE" w:rsidRPr="00C51652">
        <w:rPr>
          <w:rFonts w:ascii="Times New Roman" w:hAnsi="Times New Roman" w:cs="Times New Roman"/>
          <w:sz w:val="28"/>
          <w:szCs w:val="28"/>
          <w:lang w:val="uk-UA"/>
        </w:rPr>
        <w:t xml:space="preserve"> ІІІ стадії</w:t>
      </w:r>
      <w:r w:rsidR="00412496" w:rsidRPr="00C51652">
        <w:rPr>
          <w:rFonts w:ascii="Times New Roman" w:hAnsi="Times New Roman" w:cs="Times New Roman"/>
          <w:sz w:val="28"/>
          <w:szCs w:val="28"/>
          <w:lang w:val="uk-UA"/>
        </w:rPr>
        <w:t xml:space="preserve">, що дає </w:t>
      </w:r>
      <w:r w:rsidR="00E578AE" w:rsidRPr="00C51652">
        <w:rPr>
          <w:rFonts w:ascii="Times New Roman" w:hAnsi="Times New Roman" w:cs="Times New Roman"/>
          <w:sz w:val="28"/>
          <w:szCs w:val="28"/>
          <w:lang w:val="uk-UA"/>
        </w:rPr>
        <w:t xml:space="preserve">змогу </w:t>
      </w:r>
      <w:r>
        <w:rPr>
          <w:rFonts w:ascii="Times New Roman" w:hAnsi="Times New Roman" w:cs="Times New Roman"/>
          <w:sz w:val="28"/>
          <w:szCs w:val="28"/>
          <w:lang w:val="uk-UA"/>
        </w:rPr>
        <w:t>у перспектив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оптим</w:t>
      </w:r>
      <w:r>
        <w:rPr>
          <w:rFonts w:ascii="Times New Roman" w:hAnsi="Times New Roman" w:cs="Times New Roman"/>
          <w:sz w:val="28"/>
          <w:szCs w:val="28"/>
          <w:lang w:val="en-US"/>
        </w:rPr>
        <w:t>i</w:t>
      </w:r>
      <w:r>
        <w:rPr>
          <w:rFonts w:ascii="Times New Roman" w:hAnsi="Times New Roman" w:cs="Times New Roman"/>
          <w:sz w:val="28"/>
          <w:szCs w:val="28"/>
          <w:lang w:val="uk-UA"/>
        </w:rPr>
        <w:t>зувати д</w:t>
      </w:r>
      <w:r>
        <w:rPr>
          <w:rFonts w:ascii="Times New Roman" w:hAnsi="Times New Roman" w:cs="Times New Roman"/>
          <w:sz w:val="28"/>
          <w:szCs w:val="28"/>
          <w:lang w:val="en-US"/>
        </w:rPr>
        <w:t>i</w:t>
      </w:r>
      <w:r w:rsidR="00412496" w:rsidRPr="00C51652">
        <w:rPr>
          <w:rFonts w:ascii="Times New Roman" w:hAnsi="Times New Roman" w:cs="Times New Roman"/>
          <w:sz w:val="28"/>
          <w:szCs w:val="28"/>
          <w:lang w:val="uk-UA"/>
        </w:rPr>
        <w:t>агн</w:t>
      </w:r>
      <w:r>
        <w:rPr>
          <w:rFonts w:ascii="Times New Roman" w:hAnsi="Times New Roman" w:cs="Times New Roman"/>
          <w:sz w:val="28"/>
          <w:szCs w:val="28"/>
          <w:lang w:val="uk-UA"/>
        </w:rPr>
        <w:t>остику та л</w:t>
      </w:r>
      <w:r>
        <w:rPr>
          <w:rFonts w:ascii="Times New Roman" w:hAnsi="Times New Roman" w:cs="Times New Roman"/>
          <w:sz w:val="28"/>
          <w:szCs w:val="28"/>
          <w:lang w:val="en-US"/>
        </w:rPr>
        <w:t>i</w:t>
      </w:r>
      <w:r>
        <w:rPr>
          <w:rFonts w:ascii="Times New Roman" w:hAnsi="Times New Roman" w:cs="Times New Roman"/>
          <w:sz w:val="28"/>
          <w:szCs w:val="28"/>
          <w:lang w:val="uk-UA"/>
        </w:rPr>
        <w:t>кування альбум</w:t>
      </w:r>
      <w:r>
        <w:rPr>
          <w:rFonts w:ascii="Times New Roman" w:hAnsi="Times New Roman" w:cs="Times New Roman"/>
          <w:sz w:val="28"/>
          <w:szCs w:val="28"/>
          <w:lang w:val="en-US"/>
        </w:rPr>
        <w:t>i</w:t>
      </w:r>
      <w:r w:rsidR="00412496" w:rsidRPr="00C51652">
        <w:rPr>
          <w:rFonts w:ascii="Times New Roman" w:hAnsi="Times New Roman" w:cs="Times New Roman"/>
          <w:sz w:val="28"/>
          <w:szCs w:val="28"/>
          <w:lang w:val="uk-UA"/>
        </w:rPr>
        <w:t>нур</w:t>
      </w:r>
      <w:r>
        <w:rPr>
          <w:rFonts w:ascii="Times New Roman" w:hAnsi="Times New Roman" w:cs="Times New Roman"/>
          <w:sz w:val="28"/>
          <w:szCs w:val="28"/>
          <w:lang w:val="en-US"/>
        </w:rPr>
        <w:t>i</w:t>
      </w:r>
      <w:r w:rsidR="00E578AE" w:rsidRPr="00C51652">
        <w:rPr>
          <w:rFonts w:ascii="Times New Roman" w:hAnsi="Times New Roman" w:cs="Times New Roman"/>
          <w:sz w:val="28"/>
          <w:szCs w:val="28"/>
          <w:lang w:val="uk-UA"/>
        </w:rPr>
        <w:t xml:space="preserve">ї,  </w:t>
      </w:r>
      <w:r>
        <w:rPr>
          <w:rFonts w:ascii="Times New Roman" w:hAnsi="Times New Roman" w:cs="Times New Roman"/>
          <w:sz w:val="28"/>
          <w:szCs w:val="28"/>
          <w:lang w:val="uk-UA"/>
        </w:rPr>
        <w:t>здійснити вторинну проф</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лактику ССУ </w:t>
      </w:r>
      <w:r w:rsidR="00221076">
        <w:rPr>
          <w:rFonts w:ascii="Times New Roman" w:hAnsi="Times New Roman" w:cs="Times New Roman"/>
          <w:sz w:val="28"/>
          <w:szCs w:val="28"/>
          <w:lang w:val="uk-UA"/>
        </w:rPr>
        <w:t xml:space="preserve">за наявності </w:t>
      </w:r>
      <w:r>
        <w:rPr>
          <w:rFonts w:ascii="Times New Roman" w:hAnsi="Times New Roman" w:cs="Times New Roman"/>
          <w:sz w:val="28"/>
          <w:szCs w:val="28"/>
          <w:lang w:val="uk-UA"/>
        </w:rPr>
        <w:t>коморб</w:t>
      </w:r>
      <w:r>
        <w:rPr>
          <w:rFonts w:ascii="Times New Roman" w:hAnsi="Times New Roman" w:cs="Times New Roman"/>
          <w:sz w:val="28"/>
          <w:szCs w:val="28"/>
          <w:lang w:val="en-US"/>
        </w:rPr>
        <w:t>i</w:t>
      </w:r>
      <w:r w:rsidR="00221076">
        <w:rPr>
          <w:rFonts w:ascii="Times New Roman" w:hAnsi="Times New Roman" w:cs="Times New Roman"/>
          <w:sz w:val="28"/>
          <w:szCs w:val="28"/>
          <w:lang w:val="uk-UA"/>
        </w:rPr>
        <w:t>дної</w:t>
      </w:r>
      <w:r>
        <w:rPr>
          <w:rFonts w:ascii="Times New Roman" w:hAnsi="Times New Roman" w:cs="Times New Roman"/>
          <w:sz w:val="28"/>
          <w:szCs w:val="28"/>
          <w:lang w:val="uk-UA"/>
        </w:rPr>
        <w:t xml:space="preserve"> патолог</w:t>
      </w:r>
      <w:r>
        <w:rPr>
          <w:rFonts w:ascii="Times New Roman" w:hAnsi="Times New Roman" w:cs="Times New Roman"/>
          <w:sz w:val="28"/>
          <w:szCs w:val="28"/>
          <w:lang w:val="en-US"/>
        </w:rPr>
        <w:t>i</w:t>
      </w:r>
      <w:r w:rsidR="00221076">
        <w:rPr>
          <w:rFonts w:ascii="Times New Roman" w:hAnsi="Times New Roman" w:cs="Times New Roman"/>
          <w:sz w:val="28"/>
          <w:szCs w:val="28"/>
          <w:lang w:val="uk-UA"/>
        </w:rPr>
        <w:t>ї</w:t>
      </w:r>
      <w:r w:rsidR="004C13C4" w:rsidRPr="00FD685E">
        <w:rPr>
          <w:rFonts w:ascii="Times New Roman" w:hAnsi="Times New Roman" w:cs="Times New Roman"/>
          <w:sz w:val="28"/>
          <w:szCs w:val="28"/>
          <w:lang w:val="uk-UA"/>
        </w:rPr>
        <w:t>.</w:t>
      </w:r>
    </w:p>
    <w:p w:rsidR="00A14FCB" w:rsidRDefault="002147F4" w:rsidP="00CA08E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Науковцями доведено</w:t>
      </w:r>
      <w:r w:rsidR="00FB6AB4">
        <w:rPr>
          <w:rFonts w:ascii="Times New Roman" w:hAnsi="Times New Roman" w:cs="Times New Roman"/>
          <w:sz w:val="28"/>
          <w:szCs w:val="28"/>
          <w:lang w:val="uk-UA"/>
        </w:rPr>
        <w:t xml:space="preserve">, що </w:t>
      </w:r>
      <w:r w:rsidR="000E194C">
        <w:rPr>
          <w:rFonts w:ascii="Times New Roman" w:hAnsi="Times New Roman" w:cs="Times New Roman"/>
          <w:sz w:val="28"/>
          <w:szCs w:val="28"/>
          <w:lang w:val="uk-UA"/>
        </w:rPr>
        <w:t xml:space="preserve">концентрація </w:t>
      </w:r>
      <w:r w:rsidR="000212E6">
        <w:rPr>
          <w:rFonts w:ascii="Times New Roman" w:hAnsi="Times New Roman" w:cs="Times New Roman"/>
          <w:sz w:val="28"/>
          <w:szCs w:val="28"/>
          <w:lang w:val="uk-UA"/>
        </w:rPr>
        <w:t>sVCAM-1 є не лише показником</w:t>
      </w:r>
      <w:r w:rsidR="00BD5601">
        <w:rPr>
          <w:rFonts w:ascii="Times New Roman" w:hAnsi="Times New Roman" w:cs="Times New Roman"/>
          <w:sz w:val="28"/>
          <w:szCs w:val="28"/>
          <w:lang w:val="uk-UA"/>
        </w:rPr>
        <w:t xml:space="preserve"> ди</w:t>
      </w:r>
      <w:r w:rsidR="00FB6AB4">
        <w:rPr>
          <w:rFonts w:ascii="Times New Roman" w:hAnsi="Times New Roman" w:cs="Times New Roman"/>
          <w:sz w:val="28"/>
          <w:szCs w:val="28"/>
          <w:lang w:val="uk-UA"/>
        </w:rPr>
        <w:t>сфункц</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ї ендотел</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ю, а й маркером </w:t>
      </w:r>
      <w:r w:rsidR="00FB6AB4">
        <w:rPr>
          <w:rFonts w:ascii="Times New Roman" w:hAnsi="Times New Roman" w:cs="Times New Roman"/>
          <w:sz w:val="28"/>
          <w:szCs w:val="28"/>
          <w:lang w:val="en-US"/>
        </w:rPr>
        <w:t>i</w:t>
      </w:r>
      <w:r w:rsidR="000212E6">
        <w:rPr>
          <w:rFonts w:ascii="Times New Roman" w:hAnsi="Times New Roman" w:cs="Times New Roman"/>
          <w:sz w:val="28"/>
          <w:szCs w:val="28"/>
          <w:lang w:val="uk-UA"/>
        </w:rPr>
        <w:t>муно</w:t>
      </w:r>
      <w:r w:rsidR="00FB6AB4">
        <w:rPr>
          <w:rFonts w:ascii="Times New Roman" w:hAnsi="Times New Roman" w:cs="Times New Roman"/>
          <w:sz w:val="28"/>
          <w:szCs w:val="28"/>
          <w:lang w:val="uk-UA"/>
        </w:rPr>
        <w:t xml:space="preserve">запальних </w:t>
      </w:r>
      <w:r w:rsidR="00221076">
        <w:rPr>
          <w:rFonts w:ascii="Times New Roman" w:hAnsi="Times New Roman" w:cs="Times New Roman"/>
          <w:sz w:val="28"/>
          <w:szCs w:val="28"/>
          <w:lang w:val="uk-UA"/>
        </w:rPr>
        <w:t>процесів</w:t>
      </w:r>
      <w:r w:rsidR="001B4A22">
        <w:rPr>
          <w:rFonts w:ascii="Times New Roman" w:hAnsi="Times New Roman" w:cs="Times New Roman"/>
          <w:sz w:val="28"/>
          <w:szCs w:val="28"/>
          <w:lang w:val="uk-UA"/>
        </w:rPr>
        <w:t xml:space="preserve"> </w:t>
      </w:r>
      <w:r w:rsidR="005300A8">
        <w:rPr>
          <w:rFonts w:ascii="Times New Roman" w:hAnsi="Times New Roman" w:cs="Times New Roman"/>
          <w:sz w:val="28"/>
          <w:szCs w:val="28"/>
          <w:lang w:val="uk-UA"/>
        </w:rPr>
        <w:t>[</w:t>
      </w:r>
      <w:r w:rsidR="00267B2C" w:rsidRPr="004B16DA">
        <w:rPr>
          <w:rFonts w:ascii="Times New Roman" w:hAnsi="Times New Roman" w:cs="Times New Roman"/>
          <w:sz w:val="28"/>
          <w:szCs w:val="28"/>
        </w:rPr>
        <w:t>76</w:t>
      </w:r>
      <w:r w:rsidR="001B4A22" w:rsidRPr="001B4A22">
        <w:rPr>
          <w:rFonts w:ascii="Times New Roman" w:hAnsi="Times New Roman" w:cs="Times New Roman"/>
          <w:sz w:val="28"/>
          <w:szCs w:val="28"/>
          <w:lang w:val="uk-UA"/>
        </w:rPr>
        <w:t>]</w:t>
      </w:r>
      <w:r w:rsidR="00BD5601">
        <w:rPr>
          <w:rFonts w:ascii="Times New Roman" w:hAnsi="Times New Roman" w:cs="Times New Roman"/>
          <w:sz w:val="28"/>
          <w:szCs w:val="28"/>
          <w:lang w:val="uk-UA"/>
        </w:rPr>
        <w:t>.</w:t>
      </w:r>
    </w:p>
    <w:p w:rsidR="002147F4" w:rsidRPr="005E7486" w:rsidRDefault="002147F4" w:rsidP="00CA08E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достовірне зростання альбумінурії зі збільшенням вмісту </w:t>
      </w:r>
    </w:p>
    <w:p w:rsidR="00BD5601" w:rsidRDefault="002147F4" w:rsidP="00F87ADC">
      <w:pPr>
        <w:autoSpaceDE w:val="0"/>
        <w:autoSpaceDN w:val="0"/>
        <w:adjustRightInd w:val="0"/>
        <w:spacing w:after="0" w:line="360" w:lineRule="auto"/>
        <w:jc w:val="both"/>
        <w:rPr>
          <w:rFonts w:ascii="Times New Roman" w:hAnsi="Times New Roman" w:cs="Times New Roman"/>
          <w:sz w:val="28"/>
          <w:szCs w:val="28"/>
          <w:lang w:val="uk-UA"/>
        </w:rPr>
      </w:pPr>
      <w:r w:rsidRPr="002147F4">
        <w:rPr>
          <w:rFonts w:ascii="Times New Roman" w:hAnsi="Times New Roman" w:cs="Times New Roman"/>
          <w:sz w:val="28"/>
          <w:szCs w:val="28"/>
          <w:lang w:val="uk-UA"/>
        </w:rPr>
        <w:t>sVCAM-1</w:t>
      </w:r>
      <w:r>
        <w:rPr>
          <w:rFonts w:ascii="Times New Roman" w:hAnsi="Times New Roman" w:cs="Times New Roman"/>
          <w:sz w:val="28"/>
          <w:szCs w:val="28"/>
          <w:lang w:val="uk-UA"/>
        </w:rPr>
        <w:t xml:space="preserve"> свідчить про важливе значення стану ендотелію та імунного запалення у </w:t>
      </w:r>
      <w:r w:rsidR="006F62D5">
        <w:rPr>
          <w:rFonts w:ascii="Times New Roman" w:hAnsi="Times New Roman" w:cs="Times New Roman"/>
          <w:sz w:val="28"/>
          <w:szCs w:val="28"/>
          <w:lang w:val="uk-UA"/>
        </w:rPr>
        <w:t>погіршенні функції нирок</w:t>
      </w:r>
      <w:r>
        <w:rPr>
          <w:rFonts w:ascii="Times New Roman" w:hAnsi="Times New Roman" w:cs="Times New Roman"/>
          <w:sz w:val="28"/>
          <w:szCs w:val="28"/>
          <w:lang w:val="uk-UA"/>
        </w:rPr>
        <w:t xml:space="preserve"> хворих на АГ та супутній </w:t>
      </w:r>
      <w:r w:rsidR="0050393B">
        <w:rPr>
          <w:rFonts w:ascii="Times New Roman" w:hAnsi="Times New Roman" w:cs="Times New Roman"/>
          <w:sz w:val="28"/>
          <w:szCs w:val="28"/>
          <w:lang w:val="uk-UA"/>
        </w:rPr>
        <w:t xml:space="preserve">                  </w:t>
      </w:r>
      <w:r>
        <w:rPr>
          <w:rFonts w:ascii="Times New Roman" w:hAnsi="Times New Roman" w:cs="Times New Roman"/>
          <w:sz w:val="28"/>
          <w:szCs w:val="28"/>
          <w:lang w:val="uk-UA"/>
        </w:rPr>
        <w:t>ЦД 2-го типу.</w:t>
      </w:r>
    </w:p>
    <w:p w:rsidR="002147F4" w:rsidRPr="002147F4" w:rsidRDefault="002147F4" w:rsidP="00F87ADC">
      <w:pPr>
        <w:autoSpaceDE w:val="0"/>
        <w:autoSpaceDN w:val="0"/>
        <w:adjustRightInd w:val="0"/>
        <w:spacing w:after="0" w:line="360" w:lineRule="auto"/>
        <w:jc w:val="both"/>
        <w:rPr>
          <w:rFonts w:ascii="Times New Roman" w:hAnsi="Times New Roman" w:cs="Times New Roman"/>
          <w:sz w:val="28"/>
          <w:szCs w:val="28"/>
          <w:lang w:val="uk-UA"/>
        </w:rPr>
      </w:pPr>
    </w:p>
    <w:p w:rsidR="00D525C1" w:rsidRPr="001218BB" w:rsidRDefault="00F87ADC" w:rsidP="00F87ADC">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uk-UA"/>
        </w:rPr>
        <w:t xml:space="preserve">4.4. </w:t>
      </w:r>
      <w:r w:rsidR="000E194C" w:rsidRPr="000E194C">
        <w:rPr>
          <w:rFonts w:ascii="Times New Roman" w:hAnsi="Times New Roman" w:cs="Times New Roman"/>
          <w:b/>
          <w:sz w:val="28"/>
          <w:szCs w:val="28"/>
          <w:lang w:val="uk-UA"/>
        </w:rPr>
        <w:t>Особливостi урикемiї у хвори</w:t>
      </w:r>
      <w:r w:rsidR="002A14F4">
        <w:rPr>
          <w:rFonts w:ascii="Times New Roman" w:hAnsi="Times New Roman" w:cs="Times New Roman"/>
          <w:b/>
          <w:sz w:val="28"/>
          <w:szCs w:val="28"/>
          <w:lang w:val="uk-UA"/>
        </w:rPr>
        <w:t xml:space="preserve">х на артерiальну гіпертензію </w:t>
      </w:r>
      <w:r w:rsidR="002A14F4" w:rsidRPr="002A14F4">
        <w:rPr>
          <w:rFonts w:ascii="Times New Roman" w:hAnsi="Times New Roman" w:cs="Times New Roman"/>
          <w:b/>
          <w:sz w:val="28"/>
          <w:szCs w:val="28"/>
          <w:lang w:val="uk-UA"/>
        </w:rPr>
        <w:t>та цукровий діабет 2-го типу</w:t>
      </w:r>
    </w:p>
    <w:p w:rsidR="00B72ED9" w:rsidRDefault="00B72ED9" w:rsidP="00A0016C">
      <w:pPr>
        <w:autoSpaceDE w:val="0"/>
        <w:autoSpaceDN w:val="0"/>
        <w:adjustRightInd w:val="0"/>
        <w:spacing w:after="0" w:line="360" w:lineRule="auto"/>
        <w:ind w:firstLine="708"/>
        <w:jc w:val="both"/>
        <w:rPr>
          <w:rFonts w:ascii="Times New Roman" w:hAnsi="Times New Roman" w:cs="Times New Roman"/>
          <w:sz w:val="28"/>
          <w:szCs w:val="28"/>
          <w:lang w:val="uk-UA"/>
        </w:rPr>
      </w:pPr>
    </w:p>
    <w:p w:rsidR="004B245B" w:rsidRPr="00890AFD" w:rsidRDefault="00FB6AB4" w:rsidP="002A5D8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Г</w:t>
      </w:r>
      <w:r>
        <w:rPr>
          <w:rFonts w:ascii="Times New Roman" w:hAnsi="Times New Roman" w:cs="Times New Roman"/>
          <w:sz w:val="28"/>
          <w:szCs w:val="28"/>
          <w:lang w:val="en-US"/>
        </w:rPr>
        <w:t>i</w:t>
      </w:r>
      <w:r>
        <w:rPr>
          <w:rFonts w:ascii="Times New Roman" w:hAnsi="Times New Roman" w:cs="Times New Roman"/>
          <w:sz w:val="28"/>
          <w:szCs w:val="28"/>
          <w:lang w:val="uk-UA"/>
        </w:rPr>
        <w:t>перурикем</w:t>
      </w:r>
      <w:r>
        <w:rPr>
          <w:rFonts w:ascii="Times New Roman" w:hAnsi="Times New Roman" w:cs="Times New Roman"/>
          <w:sz w:val="28"/>
          <w:szCs w:val="28"/>
          <w:lang w:val="en-US"/>
        </w:rPr>
        <w:t>i</w:t>
      </w:r>
      <w:r w:rsidR="008A1478">
        <w:rPr>
          <w:rFonts w:ascii="Times New Roman" w:hAnsi="Times New Roman" w:cs="Times New Roman"/>
          <w:sz w:val="28"/>
          <w:szCs w:val="28"/>
          <w:lang w:val="uk-UA"/>
        </w:rPr>
        <w:t>я</w:t>
      </w:r>
      <w:r w:rsidR="008A1478" w:rsidRPr="008A1478">
        <w:rPr>
          <w:rFonts w:ascii="Times New Roman" w:hAnsi="Times New Roman" w:cs="Times New Roman"/>
          <w:sz w:val="28"/>
          <w:szCs w:val="28"/>
          <w:lang w:val="uk-UA"/>
        </w:rPr>
        <w:t xml:space="preserve"> є </w:t>
      </w:r>
      <w:r w:rsidR="00353702">
        <w:rPr>
          <w:rFonts w:ascii="Times New Roman" w:hAnsi="Times New Roman" w:cs="Times New Roman"/>
          <w:sz w:val="28"/>
          <w:szCs w:val="28"/>
          <w:lang w:val="uk-UA"/>
        </w:rPr>
        <w:t>незалежним фактором ризику розвит</w:t>
      </w:r>
      <w:r w:rsidR="007C026D">
        <w:rPr>
          <w:rFonts w:ascii="Times New Roman" w:hAnsi="Times New Roman" w:cs="Times New Roman"/>
          <w:sz w:val="28"/>
          <w:szCs w:val="28"/>
          <w:lang w:val="uk-UA"/>
        </w:rPr>
        <w:t>ку та прогресування ДН [</w:t>
      </w:r>
      <w:r w:rsidR="004B16DA">
        <w:rPr>
          <w:rFonts w:ascii="Times New Roman" w:hAnsi="Times New Roman" w:cs="Times New Roman"/>
          <w:sz w:val="28"/>
          <w:szCs w:val="28"/>
        </w:rPr>
        <w:t>15</w:t>
      </w:r>
      <w:r w:rsidR="004B16DA">
        <w:rPr>
          <w:rFonts w:ascii="Times New Roman" w:hAnsi="Times New Roman" w:cs="Times New Roman"/>
          <w:sz w:val="28"/>
          <w:szCs w:val="28"/>
          <w:lang w:val="uk-UA"/>
        </w:rPr>
        <w:t>2</w:t>
      </w:r>
      <w:r w:rsidR="007C026D">
        <w:rPr>
          <w:rFonts w:ascii="Times New Roman" w:hAnsi="Times New Roman" w:cs="Times New Roman"/>
          <w:sz w:val="28"/>
          <w:szCs w:val="28"/>
          <w:lang w:val="uk-UA"/>
        </w:rPr>
        <w:t>]</w:t>
      </w:r>
      <w:r w:rsidR="0035370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21076">
        <w:rPr>
          <w:rFonts w:ascii="Times New Roman" w:hAnsi="Times New Roman" w:cs="Times New Roman"/>
          <w:sz w:val="28"/>
          <w:szCs w:val="28"/>
          <w:lang w:val="uk-UA"/>
        </w:rPr>
        <w:t>П</w:t>
      </w:r>
      <w:r>
        <w:rPr>
          <w:rFonts w:ascii="Times New Roman" w:hAnsi="Times New Roman" w:cs="Times New Roman"/>
          <w:sz w:val="28"/>
          <w:szCs w:val="28"/>
          <w:lang w:val="en-US"/>
        </w:rPr>
        <w:t>i</w:t>
      </w:r>
      <w:r w:rsidR="00221076">
        <w:rPr>
          <w:rFonts w:ascii="Times New Roman" w:hAnsi="Times New Roman" w:cs="Times New Roman"/>
          <w:sz w:val="28"/>
          <w:szCs w:val="28"/>
          <w:lang w:val="uk-UA"/>
        </w:rPr>
        <w:t>двищення</w:t>
      </w:r>
      <w:r w:rsidR="002A5D8A">
        <w:rPr>
          <w:rFonts w:ascii="Times New Roman" w:hAnsi="Times New Roman" w:cs="Times New Roman"/>
          <w:sz w:val="28"/>
          <w:szCs w:val="28"/>
          <w:lang w:val="uk-UA"/>
        </w:rPr>
        <w:t xml:space="preserve"> вмісту</w:t>
      </w:r>
      <w:r>
        <w:rPr>
          <w:rFonts w:ascii="Times New Roman" w:hAnsi="Times New Roman" w:cs="Times New Roman"/>
          <w:sz w:val="28"/>
          <w:szCs w:val="28"/>
          <w:lang w:val="uk-UA"/>
        </w:rPr>
        <w:t xml:space="preserve"> сечової кислоти у пац</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єнтів </w:t>
      </w:r>
      <w:r w:rsidR="0050393B">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B72ED9">
        <w:rPr>
          <w:rFonts w:ascii="Times New Roman" w:hAnsi="Times New Roman" w:cs="Times New Roman"/>
          <w:sz w:val="28"/>
          <w:szCs w:val="28"/>
          <w:lang w:val="uk-UA"/>
        </w:rPr>
        <w:t xml:space="preserve">з </w:t>
      </w:r>
      <w:r w:rsidR="00221076">
        <w:rPr>
          <w:rFonts w:ascii="Times New Roman" w:hAnsi="Times New Roman" w:cs="Times New Roman"/>
          <w:sz w:val="28"/>
          <w:szCs w:val="28"/>
          <w:lang w:val="uk-UA"/>
        </w:rPr>
        <w:t xml:space="preserve"> ЦД </w:t>
      </w:r>
      <w:r w:rsidR="00B72ED9">
        <w:rPr>
          <w:rFonts w:ascii="Times New Roman" w:hAnsi="Times New Roman" w:cs="Times New Roman"/>
          <w:sz w:val="28"/>
          <w:szCs w:val="28"/>
          <w:lang w:val="uk-UA"/>
        </w:rPr>
        <w:t>2-го типу мо</w:t>
      </w:r>
      <w:r w:rsidR="00221076">
        <w:rPr>
          <w:rFonts w:ascii="Times New Roman" w:hAnsi="Times New Roman" w:cs="Times New Roman"/>
          <w:sz w:val="28"/>
          <w:szCs w:val="28"/>
          <w:lang w:val="uk-UA"/>
        </w:rPr>
        <w:t>же бути обумовлене</w:t>
      </w:r>
      <w:r>
        <w:rPr>
          <w:rFonts w:ascii="Times New Roman" w:hAnsi="Times New Roman" w:cs="Times New Roman"/>
          <w:sz w:val="28"/>
          <w:szCs w:val="28"/>
          <w:lang w:val="uk-UA"/>
        </w:rPr>
        <w:t xml:space="preserve"> як нефропат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єю, так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6C554F">
        <w:rPr>
          <w:rFonts w:ascii="Times New Roman" w:hAnsi="Times New Roman" w:cs="Times New Roman"/>
          <w:sz w:val="28"/>
          <w:szCs w:val="28"/>
          <w:lang w:val="uk-UA"/>
        </w:rPr>
        <w:t xml:space="preserve">ІР </w:t>
      </w:r>
      <w:r w:rsidR="00B72ED9" w:rsidRPr="00B72ED9">
        <w:rPr>
          <w:rFonts w:ascii="Times New Roman" w:hAnsi="Times New Roman" w:cs="Times New Roman"/>
          <w:sz w:val="28"/>
          <w:szCs w:val="28"/>
          <w:lang w:val="uk-UA"/>
        </w:rPr>
        <w:t>[</w:t>
      </w:r>
      <w:r w:rsidR="004B16DA">
        <w:rPr>
          <w:rFonts w:ascii="Times New Roman" w:hAnsi="Times New Roman" w:cs="Times New Roman"/>
          <w:sz w:val="28"/>
          <w:szCs w:val="28"/>
          <w:lang w:val="uk-UA"/>
        </w:rPr>
        <w:t>153</w:t>
      </w:r>
      <w:r w:rsidR="002A5D8A">
        <w:rPr>
          <w:rFonts w:ascii="Times New Roman" w:hAnsi="Times New Roman" w:cs="Times New Roman"/>
          <w:sz w:val="28"/>
          <w:szCs w:val="28"/>
          <w:lang w:val="uk-UA"/>
        </w:rPr>
        <w:t xml:space="preserve">] і </w:t>
      </w:r>
      <w:r w:rsidR="002A5D8A">
        <w:rPr>
          <w:rFonts w:ascii="Times New Roman" w:hAnsi="Times New Roman" w:cs="Times New Roman"/>
          <w:sz w:val="28"/>
          <w:szCs w:val="28"/>
          <w:lang w:val="uk-UA"/>
        </w:rPr>
        <w:lastRenderedPageBreak/>
        <w:t>сприяє</w:t>
      </w:r>
      <w:r w:rsidR="00116E66">
        <w:rPr>
          <w:rFonts w:ascii="Times New Roman" w:hAnsi="Times New Roman" w:cs="Times New Roman"/>
          <w:sz w:val="28"/>
          <w:szCs w:val="28"/>
          <w:lang w:val="uk-UA"/>
        </w:rPr>
        <w:t xml:space="preserve"> розвитку</w:t>
      </w:r>
      <w:r w:rsidR="002A5D8A">
        <w:rPr>
          <w:rFonts w:ascii="Times New Roman" w:hAnsi="Times New Roman" w:cs="Times New Roman"/>
          <w:sz w:val="28"/>
          <w:szCs w:val="28"/>
          <w:lang w:val="uk-UA"/>
        </w:rPr>
        <w:t xml:space="preserve"> ЕД</w:t>
      </w:r>
      <w:r>
        <w:rPr>
          <w:rFonts w:ascii="Times New Roman" w:hAnsi="Times New Roman" w:cs="Times New Roman"/>
          <w:sz w:val="28"/>
          <w:szCs w:val="28"/>
          <w:lang w:val="uk-UA"/>
        </w:rPr>
        <w:t>, п</w:t>
      </w:r>
      <w:r>
        <w:rPr>
          <w:rFonts w:ascii="Times New Roman" w:hAnsi="Times New Roman" w:cs="Times New Roman"/>
          <w:sz w:val="28"/>
          <w:szCs w:val="28"/>
          <w:lang w:val="en-US"/>
        </w:rPr>
        <w:t>i</w:t>
      </w:r>
      <w:r w:rsidR="00116E66">
        <w:rPr>
          <w:rFonts w:ascii="Times New Roman" w:hAnsi="Times New Roman" w:cs="Times New Roman"/>
          <w:sz w:val="28"/>
          <w:szCs w:val="28"/>
          <w:lang w:val="uk-UA"/>
        </w:rPr>
        <w:t>двищенню</w:t>
      </w:r>
      <w:r>
        <w:rPr>
          <w:rFonts w:ascii="Times New Roman" w:hAnsi="Times New Roman" w:cs="Times New Roman"/>
          <w:sz w:val="28"/>
          <w:szCs w:val="28"/>
          <w:lang w:val="uk-UA"/>
        </w:rPr>
        <w:t xml:space="preserve"> судинної жорсткост</w:t>
      </w:r>
      <w:r>
        <w:rPr>
          <w:rFonts w:ascii="Times New Roman" w:hAnsi="Times New Roman" w:cs="Times New Roman"/>
          <w:sz w:val="28"/>
          <w:szCs w:val="28"/>
          <w:lang w:val="en-US"/>
        </w:rPr>
        <w:t>i</w:t>
      </w:r>
      <w:r>
        <w:rPr>
          <w:rFonts w:ascii="Times New Roman" w:hAnsi="Times New Roman" w:cs="Times New Roman"/>
          <w:sz w:val="28"/>
          <w:szCs w:val="28"/>
          <w:lang w:val="uk-UA"/>
        </w:rPr>
        <w:t>, активац</w:t>
      </w:r>
      <w:r>
        <w:rPr>
          <w:rFonts w:ascii="Times New Roman" w:hAnsi="Times New Roman" w:cs="Times New Roman"/>
          <w:sz w:val="28"/>
          <w:szCs w:val="28"/>
          <w:lang w:val="en-US"/>
        </w:rPr>
        <w:t>i</w:t>
      </w:r>
      <w:r w:rsidR="00116E66">
        <w:rPr>
          <w:rFonts w:ascii="Times New Roman" w:hAnsi="Times New Roman" w:cs="Times New Roman"/>
          <w:sz w:val="28"/>
          <w:szCs w:val="28"/>
          <w:lang w:val="uk-UA"/>
        </w:rPr>
        <w:t xml:space="preserve">ї РААС, </w:t>
      </w:r>
      <w:r w:rsidR="00116E66" w:rsidRPr="00116E66">
        <w:rPr>
          <w:rFonts w:ascii="Times New Roman" w:hAnsi="Times New Roman" w:cs="Times New Roman"/>
          <w:sz w:val="28"/>
          <w:szCs w:val="28"/>
          <w:lang w:val="uk-UA"/>
        </w:rPr>
        <w:t xml:space="preserve"> окиснювального</w:t>
      </w:r>
      <w:r>
        <w:rPr>
          <w:rFonts w:ascii="Times New Roman" w:hAnsi="Times New Roman" w:cs="Times New Roman"/>
          <w:sz w:val="28"/>
          <w:szCs w:val="28"/>
          <w:lang w:val="uk-UA"/>
        </w:rPr>
        <w:t xml:space="preserve"> стресу, розвитку неадекватних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мунних </w:t>
      </w:r>
      <w:r>
        <w:rPr>
          <w:rFonts w:ascii="Times New Roman" w:hAnsi="Times New Roman" w:cs="Times New Roman"/>
          <w:sz w:val="28"/>
          <w:szCs w:val="28"/>
          <w:lang w:val="en-US"/>
        </w:rPr>
        <w:t>i</w:t>
      </w:r>
      <w:r w:rsidR="00116E66" w:rsidRPr="00116E66">
        <w:rPr>
          <w:rFonts w:ascii="Times New Roman" w:hAnsi="Times New Roman" w:cs="Times New Roman"/>
          <w:sz w:val="28"/>
          <w:szCs w:val="28"/>
          <w:lang w:val="uk-UA"/>
        </w:rPr>
        <w:t xml:space="preserve"> запальних реакц</w:t>
      </w:r>
      <w:r>
        <w:rPr>
          <w:rFonts w:ascii="Times New Roman" w:hAnsi="Times New Roman" w:cs="Times New Roman"/>
          <w:sz w:val="28"/>
          <w:szCs w:val="28"/>
          <w:lang w:val="en-US"/>
        </w:rPr>
        <w:t>i</w:t>
      </w:r>
      <w:r w:rsidR="00116E66">
        <w:rPr>
          <w:rFonts w:ascii="Times New Roman" w:hAnsi="Times New Roman" w:cs="Times New Roman"/>
          <w:sz w:val="28"/>
          <w:szCs w:val="28"/>
          <w:lang w:val="uk-UA"/>
        </w:rPr>
        <w:t xml:space="preserve">й, що, у свою чергу, сприяє </w:t>
      </w:r>
      <w:r w:rsidR="00116E66" w:rsidRPr="00116E66">
        <w:rPr>
          <w:rFonts w:ascii="Times New Roman" w:hAnsi="Times New Roman" w:cs="Times New Roman"/>
          <w:sz w:val="28"/>
          <w:szCs w:val="28"/>
          <w:lang w:val="uk-UA"/>
        </w:rPr>
        <w:t>суди</w:t>
      </w:r>
      <w:r>
        <w:rPr>
          <w:rFonts w:ascii="Times New Roman" w:hAnsi="Times New Roman" w:cs="Times New Roman"/>
          <w:sz w:val="28"/>
          <w:szCs w:val="28"/>
          <w:lang w:val="uk-UA"/>
        </w:rPr>
        <w:t>нному, серцевому та нирковому ф</w:t>
      </w:r>
      <w:r>
        <w:rPr>
          <w:rFonts w:ascii="Times New Roman" w:hAnsi="Times New Roman" w:cs="Times New Roman"/>
          <w:sz w:val="28"/>
          <w:szCs w:val="28"/>
          <w:lang w:val="en-US"/>
        </w:rPr>
        <w:t>i</w:t>
      </w:r>
      <w:r w:rsidR="006C554F">
        <w:rPr>
          <w:rFonts w:ascii="Times New Roman" w:hAnsi="Times New Roman" w:cs="Times New Roman"/>
          <w:sz w:val="28"/>
          <w:szCs w:val="28"/>
          <w:lang w:val="uk-UA"/>
        </w:rPr>
        <w:t>брозу, повʼ</w:t>
      </w:r>
      <w:r>
        <w:rPr>
          <w:rFonts w:ascii="Times New Roman" w:hAnsi="Times New Roman" w:cs="Times New Roman"/>
          <w:sz w:val="28"/>
          <w:szCs w:val="28"/>
          <w:lang w:val="uk-UA"/>
        </w:rPr>
        <w:t xml:space="preserve">язаних </w:t>
      </w:r>
      <w:r>
        <w:rPr>
          <w:rFonts w:ascii="Times New Roman" w:hAnsi="Times New Roman" w:cs="Times New Roman"/>
          <w:sz w:val="28"/>
          <w:szCs w:val="28"/>
          <w:lang w:val="en-US"/>
        </w:rPr>
        <w:t>i</w:t>
      </w:r>
      <w:r>
        <w:rPr>
          <w:rFonts w:ascii="Times New Roman" w:hAnsi="Times New Roman" w:cs="Times New Roman"/>
          <w:sz w:val="28"/>
          <w:szCs w:val="28"/>
          <w:lang w:val="uk-UA"/>
        </w:rPr>
        <w:t>з ними функц</w:t>
      </w:r>
      <w:r>
        <w:rPr>
          <w:rFonts w:ascii="Times New Roman" w:hAnsi="Times New Roman" w:cs="Times New Roman"/>
          <w:sz w:val="28"/>
          <w:szCs w:val="28"/>
          <w:lang w:val="en-US"/>
        </w:rPr>
        <w:t>i</w:t>
      </w:r>
      <w:r w:rsidR="00116E66" w:rsidRPr="00116E66">
        <w:rPr>
          <w:rFonts w:ascii="Times New Roman" w:hAnsi="Times New Roman" w:cs="Times New Roman"/>
          <w:sz w:val="28"/>
          <w:szCs w:val="28"/>
          <w:lang w:val="uk-UA"/>
        </w:rPr>
        <w:t>ональних порушень, формув</w:t>
      </w:r>
      <w:r>
        <w:rPr>
          <w:rFonts w:ascii="Times New Roman" w:hAnsi="Times New Roman" w:cs="Times New Roman"/>
          <w:sz w:val="28"/>
          <w:szCs w:val="28"/>
          <w:lang w:val="uk-UA"/>
        </w:rPr>
        <w:t>анню прояв</w:t>
      </w:r>
      <w:r>
        <w:rPr>
          <w:rFonts w:ascii="Times New Roman" w:hAnsi="Times New Roman" w:cs="Times New Roman"/>
          <w:sz w:val="28"/>
          <w:szCs w:val="28"/>
          <w:lang w:val="en-US"/>
        </w:rPr>
        <w:t>i</w:t>
      </w:r>
      <w:r>
        <w:rPr>
          <w:rFonts w:ascii="Times New Roman" w:hAnsi="Times New Roman" w:cs="Times New Roman"/>
          <w:sz w:val="28"/>
          <w:szCs w:val="28"/>
          <w:lang w:val="uk-UA"/>
        </w:rPr>
        <w:t>в кард</w:t>
      </w:r>
      <w:r>
        <w:rPr>
          <w:rFonts w:ascii="Times New Roman" w:hAnsi="Times New Roman" w:cs="Times New Roman"/>
          <w:sz w:val="28"/>
          <w:szCs w:val="28"/>
          <w:lang w:val="en-US"/>
        </w:rPr>
        <w:t>i</w:t>
      </w:r>
      <w:r>
        <w:rPr>
          <w:rFonts w:ascii="Times New Roman" w:hAnsi="Times New Roman" w:cs="Times New Roman"/>
          <w:sz w:val="28"/>
          <w:szCs w:val="28"/>
          <w:lang w:val="uk-UA"/>
        </w:rPr>
        <w:t>оренального метабол</w:t>
      </w:r>
      <w:r>
        <w:rPr>
          <w:rFonts w:ascii="Times New Roman" w:hAnsi="Times New Roman" w:cs="Times New Roman"/>
          <w:sz w:val="28"/>
          <w:szCs w:val="28"/>
          <w:lang w:val="en-US"/>
        </w:rPr>
        <w:t>i</w:t>
      </w:r>
      <w:r w:rsidR="00116E66">
        <w:rPr>
          <w:rFonts w:ascii="Times New Roman" w:hAnsi="Times New Roman" w:cs="Times New Roman"/>
          <w:sz w:val="28"/>
          <w:szCs w:val="28"/>
          <w:lang w:val="uk-UA"/>
        </w:rPr>
        <w:t xml:space="preserve">чного синдрому </w:t>
      </w:r>
      <w:r w:rsidR="00116E66" w:rsidRPr="00116E66">
        <w:rPr>
          <w:rFonts w:ascii="Times New Roman" w:hAnsi="Times New Roman" w:cs="Times New Roman"/>
          <w:sz w:val="28"/>
          <w:szCs w:val="28"/>
          <w:lang w:val="uk-UA"/>
        </w:rPr>
        <w:t>[</w:t>
      </w:r>
      <w:r w:rsidR="005C5DB7">
        <w:rPr>
          <w:rFonts w:ascii="Times New Roman" w:hAnsi="Times New Roman" w:cs="Times New Roman"/>
          <w:sz w:val="28"/>
          <w:szCs w:val="28"/>
          <w:lang w:val="uk-UA"/>
        </w:rPr>
        <w:t>154</w:t>
      </w:r>
      <w:r w:rsidR="001B4A22">
        <w:rPr>
          <w:rFonts w:ascii="Times New Roman" w:hAnsi="Times New Roman" w:cs="Times New Roman"/>
          <w:sz w:val="28"/>
          <w:szCs w:val="28"/>
          <w:lang w:val="uk-UA"/>
        </w:rPr>
        <w:t>].</w:t>
      </w:r>
      <w:r w:rsidR="001B4A22" w:rsidRPr="001B4A22">
        <w:rPr>
          <w:rFonts w:ascii="Times New Roman" w:hAnsi="Times New Roman" w:cs="Times New Roman"/>
          <w:sz w:val="28"/>
          <w:szCs w:val="28"/>
          <w:lang w:val="uk-UA"/>
        </w:rPr>
        <w:t xml:space="preserve"> </w:t>
      </w:r>
      <w:r w:rsidR="00166D76">
        <w:rPr>
          <w:rFonts w:ascii="Times New Roman" w:hAnsi="Times New Roman" w:cs="Times New Roman"/>
          <w:sz w:val="28"/>
          <w:szCs w:val="28"/>
          <w:lang w:val="uk-UA"/>
        </w:rPr>
        <w:tab/>
      </w:r>
    </w:p>
    <w:p w:rsidR="007F154B" w:rsidRPr="007F154B" w:rsidRDefault="007F154B" w:rsidP="004B245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сечової кислоти </w:t>
      </w:r>
      <w:r w:rsidR="006C554F">
        <w:rPr>
          <w:rFonts w:ascii="Times New Roman" w:hAnsi="Times New Roman" w:cs="Times New Roman"/>
          <w:sz w:val="28"/>
          <w:szCs w:val="28"/>
          <w:lang w:val="uk-UA"/>
        </w:rPr>
        <w:t xml:space="preserve">у пацієнтів </w:t>
      </w:r>
      <w:r>
        <w:rPr>
          <w:rFonts w:ascii="Times New Roman" w:hAnsi="Times New Roman" w:cs="Times New Roman"/>
          <w:sz w:val="28"/>
          <w:szCs w:val="28"/>
          <w:lang w:val="uk-UA"/>
        </w:rPr>
        <w:t>І групи склав (290,9</w:t>
      </w:r>
      <w:r w:rsidR="006C554F">
        <w:rPr>
          <w:rFonts w:ascii="Times New Roman" w:hAnsi="Times New Roman" w:cs="Times New Roman"/>
          <w:sz w:val="28"/>
          <w:szCs w:val="28"/>
          <w:lang w:val="uk-UA"/>
        </w:rPr>
        <w:t xml:space="preserve">±119,09) мкмоль/л, ІІ </w:t>
      </w:r>
      <w:r w:rsidR="00DE063E">
        <w:rPr>
          <w:rFonts w:ascii="Times New Roman" w:hAnsi="Times New Roman" w:cs="Times New Roman"/>
          <w:sz w:val="28"/>
          <w:szCs w:val="28"/>
          <w:lang w:val="uk-UA"/>
        </w:rPr>
        <w:t>– (207,6</w:t>
      </w:r>
      <w:r w:rsidR="00DE063E" w:rsidRPr="00DE063E">
        <w:rPr>
          <w:rFonts w:ascii="Times New Roman" w:hAnsi="Times New Roman" w:cs="Times New Roman"/>
          <w:sz w:val="28"/>
          <w:szCs w:val="28"/>
          <w:lang w:val="uk-UA"/>
        </w:rPr>
        <w:t>±</w:t>
      </w:r>
      <w:r w:rsidR="00DE063E">
        <w:rPr>
          <w:rFonts w:ascii="Times New Roman" w:hAnsi="Times New Roman" w:cs="Times New Roman"/>
          <w:sz w:val="28"/>
          <w:szCs w:val="28"/>
          <w:lang w:val="uk-UA"/>
        </w:rPr>
        <w:t>32,95) мкмоль/л, р</w:t>
      </w:r>
      <w:r w:rsidR="00DE063E">
        <w:rPr>
          <w:rFonts w:ascii="Times New Roman" w:hAnsi="Times New Roman" w:cs="Times New Roman"/>
          <w:sz w:val="28"/>
          <w:szCs w:val="28"/>
          <w:vertAlign w:val="subscript"/>
          <w:lang w:val="uk-UA"/>
        </w:rPr>
        <w:t xml:space="preserve">1-2 </w:t>
      </w:r>
      <w:r w:rsidR="00DE063E">
        <w:rPr>
          <w:rFonts w:ascii="Times New Roman" w:hAnsi="Times New Roman" w:cs="Times New Roman"/>
          <w:sz w:val="28"/>
          <w:szCs w:val="28"/>
          <w:lang w:val="uk-UA"/>
        </w:rPr>
        <w:t>= 0,7233;</w:t>
      </w:r>
      <w:r w:rsidR="0033633A">
        <w:rPr>
          <w:rFonts w:ascii="Times New Roman" w:hAnsi="Times New Roman" w:cs="Times New Roman"/>
          <w:sz w:val="28"/>
          <w:szCs w:val="28"/>
          <w:lang w:val="uk-UA"/>
        </w:rPr>
        <w:t xml:space="preserve"> групи контролю </w:t>
      </w:r>
      <w:r w:rsidR="00DE063E">
        <w:rPr>
          <w:rFonts w:ascii="Times New Roman" w:hAnsi="Times New Roman" w:cs="Times New Roman"/>
          <w:sz w:val="28"/>
          <w:szCs w:val="28"/>
          <w:lang w:val="uk-UA"/>
        </w:rPr>
        <w:t>– (202,9</w:t>
      </w:r>
      <w:r w:rsidR="00DE063E" w:rsidRPr="00DE063E">
        <w:rPr>
          <w:rFonts w:ascii="Times New Roman" w:hAnsi="Times New Roman" w:cs="Times New Roman"/>
          <w:sz w:val="28"/>
          <w:szCs w:val="28"/>
          <w:lang w:val="uk-UA"/>
        </w:rPr>
        <w:t>±</w:t>
      </w:r>
      <w:r w:rsidR="00DE063E">
        <w:rPr>
          <w:rFonts w:ascii="Times New Roman" w:hAnsi="Times New Roman" w:cs="Times New Roman"/>
          <w:sz w:val="28"/>
          <w:szCs w:val="28"/>
          <w:lang w:val="uk-UA"/>
        </w:rPr>
        <w:t>18,73) мкмоль/л, р</w:t>
      </w:r>
      <w:r w:rsidR="00DE063E">
        <w:rPr>
          <w:rFonts w:ascii="Times New Roman" w:hAnsi="Times New Roman" w:cs="Times New Roman"/>
          <w:sz w:val="28"/>
          <w:szCs w:val="28"/>
          <w:vertAlign w:val="subscript"/>
          <w:lang w:val="uk-UA"/>
        </w:rPr>
        <w:t>1-3</w:t>
      </w:r>
      <w:r w:rsidR="006C554F">
        <w:rPr>
          <w:rFonts w:ascii="Times New Roman" w:hAnsi="Times New Roman" w:cs="Times New Roman"/>
          <w:sz w:val="28"/>
          <w:szCs w:val="28"/>
          <w:lang w:val="uk-UA"/>
        </w:rPr>
        <w:t xml:space="preserve"> </w:t>
      </w:r>
      <w:r w:rsidR="00DE063E">
        <w:rPr>
          <w:rFonts w:ascii="Times New Roman" w:hAnsi="Times New Roman" w:cs="Times New Roman"/>
          <w:sz w:val="28"/>
          <w:szCs w:val="28"/>
          <w:lang w:val="uk-UA"/>
        </w:rPr>
        <w:t xml:space="preserve">= 0,7717. </w:t>
      </w:r>
    </w:p>
    <w:p w:rsidR="004B245B" w:rsidRPr="00890AFD" w:rsidRDefault="000212E6" w:rsidP="004B245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0D6624" w:rsidRPr="00D71A7A">
        <w:rPr>
          <w:rFonts w:ascii="Times New Roman" w:hAnsi="Times New Roman" w:cs="Times New Roman"/>
          <w:sz w:val="28"/>
          <w:szCs w:val="28"/>
          <w:lang w:val="uk-UA"/>
        </w:rPr>
        <w:t xml:space="preserve">и </w:t>
      </w:r>
      <w:r w:rsidR="000D6624">
        <w:rPr>
          <w:rFonts w:ascii="Times New Roman" w:hAnsi="Times New Roman" w:cs="Times New Roman"/>
          <w:sz w:val="28"/>
          <w:szCs w:val="28"/>
          <w:lang w:val="uk-UA"/>
        </w:rPr>
        <w:t>в</w:t>
      </w:r>
      <w:r>
        <w:rPr>
          <w:rFonts w:ascii="Times New Roman" w:hAnsi="Times New Roman" w:cs="Times New Roman"/>
          <w:sz w:val="28"/>
          <w:szCs w:val="28"/>
          <w:lang w:val="uk-UA"/>
        </w:rPr>
        <w:t>иявили</w:t>
      </w:r>
      <w:r w:rsidR="000E59AC">
        <w:rPr>
          <w:rFonts w:ascii="Times New Roman" w:hAnsi="Times New Roman" w:cs="Times New Roman"/>
          <w:sz w:val="28"/>
          <w:szCs w:val="28"/>
          <w:lang w:val="uk-UA"/>
        </w:rPr>
        <w:t xml:space="preserve"> </w:t>
      </w:r>
      <w:r w:rsidR="00FB6AB4">
        <w:rPr>
          <w:rFonts w:ascii="Times New Roman" w:hAnsi="Times New Roman" w:cs="Times New Roman"/>
          <w:sz w:val="28"/>
          <w:szCs w:val="28"/>
          <w:lang w:val="uk-UA"/>
        </w:rPr>
        <w:t>достов</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рн</w:t>
      </w:r>
      <w:r w:rsidR="00FB6AB4">
        <w:rPr>
          <w:rFonts w:ascii="Times New Roman" w:hAnsi="Times New Roman" w:cs="Times New Roman"/>
          <w:sz w:val="28"/>
          <w:szCs w:val="28"/>
          <w:lang w:val="en-US"/>
        </w:rPr>
        <w:t>i</w:t>
      </w:r>
      <w:r w:rsidR="007D111A">
        <w:rPr>
          <w:rFonts w:ascii="Times New Roman" w:hAnsi="Times New Roman" w:cs="Times New Roman"/>
          <w:sz w:val="28"/>
          <w:szCs w:val="28"/>
          <w:lang w:val="uk-UA"/>
        </w:rPr>
        <w:t xml:space="preserve"> </w:t>
      </w:r>
      <w:r w:rsidR="00FB6AB4">
        <w:rPr>
          <w:rFonts w:ascii="Times New Roman" w:hAnsi="Times New Roman" w:cs="Times New Roman"/>
          <w:sz w:val="28"/>
          <w:szCs w:val="28"/>
          <w:lang w:val="uk-UA"/>
        </w:rPr>
        <w:t>позитивн</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 залежност</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 м</w:t>
      </w:r>
      <w:r w:rsidR="00FB6AB4">
        <w:rPr>
          <w:rFonts w:ascii="Times New Roman" w:hAnsi="Times New Roman" w:cs="Times New Roman"/>
          <w:sz w:val="28"/>
          <w:szCs w:val="28"/>
          <w:lang w:val="en-US"/>
        </w:rPr>
        <w:t>i</w:t>
      </w:r>
      <w:r w:rsidR="00421434">
        <w:rPr>
          <w:rFonts w:ascii="Times New Roman" w:hAnsi="Times New Roman" w:cs="Times New Roman"/>
          <w:sz w:val="28"/>
          <w:szCs w:val="28"/>
          <w:lang w:val="uk-UA"/>
        </w:rPr>
        <w:t xml:space="preserve">ж </w:t>
      </w:r>
      <w:r w:rsidR="00081F2B">
        <w:rPr>
          <w:rFonts w:ascii="Times New Roman" w:hAnsi="Times New Roman" w:cs="Times New Roman"/>
          <w:sz w:val="28"/>
          <w:szCs w:val="28"/>
          <w:lang w:val="uk-UA"/>
        </w:rPr>
        <w:t xml:space="preserve">вмістом </w:t>
      </w:r>
      <w:r w:rsidR="00FB6AB4">
        <w:rPr>
          <w:rFonts w:ascii="Times New Roman" w:hAnsi="Times New Roman" w:cs="Times New Roman"/>
          <w:sz w:val="28"/>
          <w:szCs w:val="28"/>
          <w:lang w:val="uk-UA"/>
        </w:rPr>
        <w:t>сечової кислоти в сироватц</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 кров</w:t>
      </w:r>
      <w:r w:rsidR="00FB6AB4">
        <w:rPr>
          <w:rFonts w:ascii="Times New Roman" w:hAnsi="Times New Roman" w:cs="Times New Roman"/>
          <w:sz w:val="28"/>
          <w:szCs w:val="28"/>
          <w:lang w:val="en-US"/>
        </w:rPr>
        <w:t>i</w:t>
      </w:r>
      <w:r w:rsidR="003D635B">
        <w:rPr>
          <w:rFonts w:ascii="Times New Roman" w:hAnsi="Times New Roman" w:cs="Times New Roman"/>
          <w:sz w:val="28"/>
          <w:szCs w:val="28"/>
          <w:lang w:val="uk-UA"/>
        </w:rPr>
        <w:t xml:space="preserve"> та </w:t>
      </w:r>
      <w:r w:rsidR="00FB6AB4">
        <w:rPr>
          <w:rFonts w:ascii="Times New Roman" w:hAnsi="Times New Roman" w:cs="Times New Roman"/>
          <w:sz w:val="28"/>
          <w:szCs w:val="28"/>
          <w:lang w:val="en-US"/>
        </w:rPr>
        <w:t>I</w:t>
      </w:r>
      <w:r w:rsidR="007D111A" w:rsidRPr="007D111A">
        <w:rPr>
          <w:rFonts w:ascii="Times New Roman" w:hAnsi="Times New Roman" w:cs="Times New Roman"/>
          <w:sz w:val="28"/>
          <w:szCs w:val="28"/>
          <w:lang w:val="uk-UA"/>
        </w:rPr>
        <w:t>МТ (</w:t>
      </w:r>
      <w:r w:rsidR="007D111A" w:rsidRPr="007D111A">
        <w:rPr>
          <w:rFonts w:ascii="Times New Roman" w:hAnsi="Times New Roman" w:cs="Times New Roman"/>
          <w:sz w:val="28"/>
          <w:szCs w:val="28"/>
          <w:lang w:val="en-US"/>
        </w:rPr>
        <w:t>r</w:t>
      </w:r>
      <w:r w:rsidR="007D111A" w:rsidRPr="007D111A">
        <w:rPr>
          <w:rFonts w:ascii="Times New Roman" w:hAnsi="Times New Roman" w:cs="Times New Roman"/>
          <w:sz w:val="28"/>
          <w:szCs w:val="28"/>
          <w:lang w:val="uk-UA"/>
        </w:rPr>
        <w:t xml:space="preserve"> = 0,27; р = 0,0075), </w:t>
      </w:r>
      <w:r w:rsidR="00FB6AB4">
        <w:rPr>
          <w:rFonts w:ascii="Times New Roman" w:hAnsi="Times New Roman" w:cs="Times New Roman"/>
          <w:sz w:val="28"/>
          <w:szCs w:val="28"/>
          <w:lang w:val="uk-UA"/>
        </w:rPr>
        <w:t>тривал</w:t>
      </w:r>
      <w:r w:rsidR="00FB6AB4">
        <w:rPr>
          <w:rFonts w:ascii="Times New Roman" w:hAnsi="Times New Roman" w:cs="Times New Roman"/>
          <w:sz w:val="28"/>
          <w:szCs w:val="28"/>
          <w:lang w:val="en-US"/>
        </w:rPr>
        <w:t>i</w:t>
      </w:r>
      <w:r w:rsidR="007D111A">
        <w:rPr>
          <w:rFonts w:ascii="Times New Roman" w:hAnsi="Times New Roman" w:cs="Times New Roman"/>
          <w:sz w:val="28"/>
          <w:szCs w:val="28"/>
          <w:lang w:val="uk-UA"/>
        </w:rPr>
        <w:t xml:space="preserve">стю </w:t>
      </w:r>
      <w:r w:rsidR="007D111A" w:rsidRPr="007D111A">
        <w:rPr>
          <w:rFonts w:ascii="Times New Roman" w:hAnsi="Times New Roman" w:cs="Times New Roman"/>
          <w:sz w:val="28"/>
          <w:szCs w:val="28"/>
          <w:lang w:val="uk-UA"/>
        </w:rPr>
        <w:t xml:space="preserve">АГ </w:t>
      </w:r>
      <w:r w:rsidR="006C554F">
        <w:rPr>
          <w:rFonts w:ascii="Times New Roman" w:hAnsi="Times New Roman" w:cs="Times New Roman"/>
          <w:sz w:val="28"/>
          <w:szCs w:val="28"/>
          <w:lang w:val="uk-UA"/>
        </w:rPr>
        <w:t xml:space="preserve">           (r </w:t>
      </w:r>
      <w:r w:rsidR="007D111A" w:rsidRPr="007D111A">
        <w:rPr>
          <w:rFonts w:ascii="Times New Roman" w:hAnsi="Times New Roman" w:cs="Times New Roman"/>
          <w:sz w:val="28"/>
          <w:szCs w:val="28"/>
          <w:lang w:val="uk-UA"/>
        </w:rPr>
        <w:t>= 0,21; р = 0,0390)</w:t>
      </w:r>
      <w:r w:rsidR="006C554F">
        <w:rPr>
          <w:rFonts w:ascii="Times New Roman" w:hAnsi="Times New Roman" w:cs="Times New Roman"/>
          <w:sz w:val="28"/>
          <w:szCs w:val="28"/>
          <w:lang w:val="uk-UA"/>
        </w:rPr>
        <w:t>. З</w:t>
      </w:r>
      <w:r w:rsidR="00A12FF5">
        <w:rPr>
          <w:rFonts w:ascii="Times New Roman" w:hAnsi="Times New Roman" w:cs="Times New Roman"/>
          <w:sz w:val="28"/>
          <w:szCs w:val="28"/>
          <w:lang w:val="uk-UA"/>
        </w:rPr>
        <w:t>в</w:t>
      </w:r>
      <w:r w:rsidR="00AF0BD2" w:rsidRPr="00AF0BD2">
        <w:rPr>
          <w:rFonts w:ascii="Times New Roman" w:hAnsi="Times New Roman" w:cs="Times New Roman"/>
          <w:sz w:val="28"/>
          <w:szCs w:val="28"/>
          <w:lang w:val="uk-UA"/>
        </w:rPr>
        <w:t>’</w:t>
      </w:r>
      <w:r w:rsidR="00A12FF5">
        <w:rPr>
          <w:rFonts w:ascii="Times New Roman" w:hAnsi="Times New Roman" w:cs="Times New Roman"/>
          <w:sz w:val="28"/>
          <w:szCs w:val="28"/>
          <w:lang w:val="uk-UA"/>
        </w:rPr>
        <w:t xml:space="preserve">язки </w:t>
      </w:r>
      <w:r w:rsidR="00FB6AB4">
        <w:rPr>
          <w:rFonts w:ascii="Times New Roman" w:hAnsi="Times New Roman" w:cs="Times New Roman"/>
          <w:sz w:val="28"/>
          <w:szCs w:val="28"/>
          <w:lang w:val="uk-UA"/>
        </w:rPr>
        <w:t>м</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 xml:space="preserve">ж </w:t>
      </w:r>
      <w:r w:rsidR="00DE063E">
        <w:rPr>
          <w:rFonts w:ascii="Times New Roman" w:hAnsi="Times New Roman" w:cs="Times New Roman"/>
          <w:sz w:val="28"/>
          <w:szCs w:val="28"/>
          <w:lang w:val="uk-UA"/>
        </w:rPr>
        <w:t xml:space="preserve">вираженістю </w:t>
      </w:r>
      <w:r w:rsidR="00FB6AB4">
        <w:rPr>
          <w:rFonts w:ascii="Times New Roman" w:hAnsi="Times New Roman" w:cs="Times New Roman"/>
          <w:sz w:val="28"/>
          <w:szCs w:val="28"/>
          <w:lang w:val="uk-UA"/>
        </w:rPr>
        <w:t>урикем</w:t>
      </w:r>
      <w:r w:rsidR="00FB6AB4">
        <w:rPr>
          <w:rFonts w:ascii="Times New Roman" w:hAnsi="Times New Roman" w:cs="Times New Roman"/>
          <w:sz w:val="28"/>
          <w:szCs w:val="28"/>
          <w:lang w:val="en-US"/>
        </w:rPr>
        <w:t>i</w:t>
      </w:r>
      <w:r w:rsidR="007D111A">
        <w:rPr>
          <w:rFonts w:ascii="Times New Roman" w:hAnsi="Times New Roman" w:cs="Times New Roman"/>
          <w:sz w:val="28"/>
          <w:szCs w:val="28"/>
          <w:lang w:val="uk-UA"/>
        </w:rPr>
        <w:t>ї та</w:t>
      </w:r>
      <w:r w:rsidR="007D111A" w:rsidRPr="007D111A">
        <w:rPr>
          <w:rFonts w:ascii="Times New Roman" w:hAnsi="Times New Roman" w:cs="Times New Roman"/>
          <w:sz w:val="28"/>
          <w:szCs w:val="28"/>
          <w:lang w:val="uk-UA"/>
        </w:rPr>
        <w:t xml:space="preserve"> </w:t>
      </w:r>
      <w:r w:rsidR="003D635B">
        <w:rPr>
          <w:rFonts w:ascii="Times New Roman" w:hAnsi="Times New Roman" w:cs="Times New Roman"/>
          <w:sz w:val="28"/>
          <w:szCs w:val="28"/>
          <w:lang w:val="uk-UA"/>
        </w:rPr>
        <w:t>альбум</w:t>
      </w:r>
      <w:r w:rsidR="00FB6AB4">
        <w:rPr>
          <w:rFonts w:ascii="Times New Roman" w:hAnsi="Times New Roman" w:cs="Times New Roman"/>
          <w:sz w:val="28"/>
          <w:szCs w:val="28"/>
          <w:lang w:val="en-US"/>
        </w:rPr>
        <w:t>i</w:t>
      </w:r>
      <w:r w:rsidR="00FB6AB4">
        <w:rPr>
          <w:rFonts w:ascii="Times New Roman" w:hAnsi="Times New Roman" w:cs="Times New Roman"/>
          <w:sz w:val="28"/>
          <w:szCs w:val="28"/>
          <w:lang w:val="uk-UA"/>
        </w:rPr>
        <w:t>нур</w:t>
      </w:r>
      <w:r w:rsidR="00FB6AB4">
        <w:rPr>
          <w:rFonts w:ascii="Times New Roman" w:hAnsi="Times New Roman" w:cs="Times New Roman"/>
          <w:sz w:val="28"/>
          <w:szCs w:val="28"/>
          <w:lang w:val="en-US"/>
        </w:rPr>
        <w:t>i</w:t>
      </w:r>
      <w:r w:rsidR="003D635B" w:rsidRPr="00EF488D">
        <w:rPr>
          <w:rFonts w:ascii="Times New Roman" w:hAnsi="Times New Roman" w:cs="Times New Roman"/>
          <w:sz w:val="28"/>
          <w:szCs w:val="28"/>
          <w:lang w:val="uk-UA"/>
        </w:rPr>
        <w:t>ї</w:t>
      </w:r>
      <w:r w:rsidR="003D635B">
        <w:rPr>
          <w:rFonts w:ascii="Times New Roman" w:hAnsi="Times New Roman" w:cs="Times New Roman"/>
          <w:sz w:val="28"/>
          <w:szCs w:val="28"/>
          <w:lang w:val="uk-UA"/>
        </w:rPr>
        <w:t xml:space="preserve"> </w:t>
      </w:r>
      <w:r w:rsidR="006C554F">
        <w:rPr>
          <w:rFonts w:ascii="Times New Roman" w:hAnsi="Times New Roman" w:cs="Times New Roman"/>
          <w:sz w:val="28"/>
          <w:szCs w:val="28"/>
          <w:lang w:val="uk-UA"/>
        </w:rPr>
        <w:t xml:space="preserve">         </w:t>
      </w:r>
      <w:r w:rsidR="003D635B">
        <w:rPr>
          <w:rFonts w:ascii="Times New Roman" w:hAnsi="Times New Roman" w:cs="Times New Roman"/>
          <w:sz w:val="28"/>
          <w:szCs w:val="28"/>
          <w:lang w:val="uk-UA"/>
        </w:rPr>
        <w:t>(</w:t>
      </w:r>
      <w:r w:rsidR="003D635B">
        <w:rPr>
          <w:rFonts w:ascii="Times New Roman" w:hAnsi="Times New Roman" w:cs="Times New Roman"/>
          <w:sz w:val="28"/>
          <w:szCs w:val="28"/>
          <w:lang w:val="en-US"/>
        </w:rPr>
        <w:t>r</w:t>
      </w:r>
      <w:r w:rsidR="00E21FB5">
        <w:rPr>
          <w:rFonts w:ascii="Times New Roman" w:hAnsi="Times New Roman" w:cs="Times New Roman"/>
          <w:sz w:val="28"/>
          <w:szCs w:val="28"/>
          <w:lang w:val="uk-UA"/>
        </w:rPr>
        <w:t xml:space="preserve"> = 0,03</w:t>
      </w:r>
      <w:r w:rsidR="000E59AC">
        <w:rPr>
          <w:rFonts w:ascii="Times New Roman" w:hAnsi="Times New Roman" w:cs="Times New Roman"/>
          <w:sz w:val="28"/>
          <w:szCs w:val="28"/>
          <w:lang w:val="uk-UA"/>
        </w:rPr>
        <w:t>; р = 0,</w:t>
      </w:r>
      <w:r w:rsidR="007D111A">
        <w:rPr>
          <w:rFonts w:ascii="Times New Roman" w:hAnsi="Times New Roman" w:cs="Times New Roman"/>
          <w:sz w:val="28"/>
          <w:szCs w:val="28"/>
          <w:lang w:val="uk-UA"/>
        </w:rPr>
        <w:t>7705</w:t>
      </w:r>
      <w:r w:rsidR="003D635B" w:rsidRPr="00D71A7A">
        <w:rPr>
          <w:rFonts w:ascii="Times New Roman" w:hAnsi="Times New Roman" w:cs="Times New Roman"/>
          <w:sz w:val="28"/>
          <w:szCs w:val="28"/>
          <w:lang w:val="uk-UA"/>
        </w:rPr>
        <w:t>),</w:t>
      </w:r>
      <w:r w:rsidR="000E59AC" w:rsidRPr="000E59AC">
        <w:rPr>
          <w:rFonts w:ascii="Times New Roman" w:hAnsi="Times New Roman" w:cs="Times New Roman"/>
          <w:sz w:val="28"/>
          <w:szCs w:val="28"/>
          <w:lang w:val="uk-UA"/>
        </w:rPr>
        <w:t xml:space="preserve"> трив</w:t>
      </w:r>
      <w:r w:rsidR="00FB6AB4">
        <w:rPr>
          <w:rFonts w:ascii="Times New Roman" w:hAnsi="Times New Roman" w:cs="Times New Roman"/>
          <w:sz w:val="28"/>
          <w:szCs w:val="28"/>
          <w:lang w:val="uk-UA"/>
        </w:rPr>
        <w:t>ал</w:t>
      </w:r>
      <w:r w:rsidR="00FB6AB4">
        <w:rPr>
          <w:rFonts w:ascii="Times New Roman" w:hAnsi="Times New Roman" w:cs="Times New Roman"/>
          <w:sz w:val="28"/>
          <w:szCs w:val="28"/>
          <w:lang w:val="en-US"/>
        </w:rPr>
        <w:t>i</w:t>
      </w:r>
      <w:r w:rsidR="000E59AC" w:rsidRPr="000E59AC">
        <w:rPr>
          <w:rFonts w:ascii="Times New Roman" w:hAnsi="Times New Roman" w:cs="Times New Roman"/>
          <w:sz w:val="28"/>
          <w:szCs w:val="28"/>
          <w:lang w:val="uk-UA"/>
        </w:rPr>
        <w:t>стю ЦД 2-го типу (r = 0,</w:t>
      </w:r>
      <w:r w:rsidR="007D111A">
        <w:rPr>
          <w:rFonts w:ascii="Times New Roman" w:hAnsi="Times New Roman" w:cs="Times New Roman"/>
          <w:sz w:val="28"/>
          <w:szCs w:val="28"/>
          <w:lang w:val="uk-UA"/>
        </w:rPr>
        <w:t>05</w:t>
      </w:r>
      <w:r w:rsidR="000E59AC" w:rsidRPr="000E59AC">
        <w:rPr>
          <w:rFonts w:ascii="Times New Roman" w:hAnsi="Times New Roman" w:cs="Times New Roman"/>
          <w:sz w:val="28"/>
          <w:szCs w:val="28"/>
          <w:lang w:val="uk-UA"/>
        </w:rPr>
        <w:t>;</w:t>
      </w:r>
      <w:r w:rsidR="00B305ED">
        <w:rPr>
          <w:rFonts w:ascii="Times New Roman" w:hAnsi="Times New Roman" w:cs="Times New Roman"/>
          <w:sz w:val="28"/>
          <w:szCs w:val="28"/>
          <w:lang w:val="uk-UA"/>
        </w:rPr>
        <w:t xml:space="preserve"> р = 0,</w:t>
      </w:r>
      <w:r w:rsidR="007D111A">
        <w:rPr>
          <w:rFonts w:ascii="Times New Roman" w:hAnsi="Times New Roman" w:cs="Times New Roman"/>
          <w:sz w:val="28"/>
          <w:szCs w:val="28"/>
          <w:lang w:val="uk-UA"/>
        </w:rPr>
        <w:t>6267)</w:t>
      </w:r>
      <w:r w:rsidR="006C554F">
        <w:rPr>
          <w:rFonts w:ascii="Times New Roman" w:hAnsi="Times New Roman" w:cs="Times New Roman"/>
          <w:sz w:val="28"/>
          <w:szCs w:val="28"/>
          <w:lang w:val="uk-UA"/>
        </w:rPr>
        <w:t xml:space="preserve"> виявилися недостовірними</w:t>
      </w:r>
      <w:r w:rsidR="007D111A">
        <w:rPr>
          <w:rFonts w:ascii="Times New Roman" w:hAnsi="Times New Roman" w:cs="Times New Roman"/>
          <w:sz w:val="28"/>
          <w:szCs w:val="28"/>
          <w:lang w:val="uk-UA"/>
        </w:rPr>
        <w:t>.</w:t>
      </w:r>
      <w:r w:rsidR="00D0223D">
        <w:rPr>
          <w:rFonts w:ascii="Times New Roman" w:hAnsi="Times New Roman" w:cs="Times New Roman"/>
          <w:sz w:val="28"/>
          <w:szCs w:val="28"/>
          <w:lang w:val="uk-UA"/>
        </w:rPr>
        <w:t xml:space="preserve"> </w:t>
      </w:r>
    </w:p>
    <w:p w:rsidR="00A12FF5" w:rsidRDefault="00FB6AB4" w:rsidP="004B245B">
      <w:pPr>
        <w:autoSpaceDE w:val="0"/>
        <w:autoSpaceDN w:val="0"/>
        <w:adjustRightInd w:val="0"/>
        <w:spacing w:after="0" w:line="360" w:lineRule="auto"/>
        <w:ind w:firstLine="708"/>
        <w:jc w:val="both"/>
        <w:rPr>
          <w:rFonts w:ascii="Times New Roman" w:hAnsi="Times New Roman" w:cs="Times New Roman"/>
          <w:sz w:val="28"/>
          <w:szCs w:val="28"/>
          <w:lang w:val="uk-UA"/>
        </w:rPr>
      </w:pPr>
      <w:r w:rsidRPr="00FD629A">
        <w:rPr>
          <w:rFonts w:ascii="Times New Roman" w:hAnsi="Times New Roman" w:cs="Times New Roman"/>
          <w:sz w:val="28"/>
          <w:szCs w:val="28"/>
          <w:lang w:val="uk-UA"/>
        </w:rPr>
        <w:t>За даними</w:t>
      </w:r>
      <w:r w:rsidR="00081F2B" w:rsidRPr="00FD629A">
        <w:rPr>
          <w:rFonts w:ascii="Times New Roman" w:hAnsi="Times New Roman" w:cs="Times New Roman"/>
          <w:sz w:val="28"/>
          <w:szCs w:val="28"/>
          <w:lang w:val="uk-UA"/>
        </w:rPr>
        <w:t xml:space="preserve"> дослідників</w:t>
      </w:r>
      <w:r w:rsidR="00A14FCB" w:rsidRPr="00FD629A">
        <w:rPr>
          <w:rFonts w:ascii="Times New Roman" w:hAnsi="Times New Roman" w:cs="Times New Roman"/>
          <w:sz w:val="28"/>
          <w:szCs w:val="28"/>
          <w:lang w:val="uk-UA"/>
        </w:rPr>
        <w:t>,</w:t>
      </w:r>
      <w:r w:rsidR="008B55F8" w:rsidRPr="00FD629A">
        <w:rPr>
          <w:rFonts w:ascii="Times New Roman" w:hAnsi="Times New Roman" w:cs="Times New Roman"/>
          <w:sz w:val="28"/>
          <w:szCs w:val="28"/>
          <w:lang w:val="uk-UA"/>
        </w:rPr>
        <w:t xml:space="preserve"> </w:t>
      </w:r>
      <w:r w:rsidRPr="00FD629A">
        <w:rPr>
          <w:rFonts w:ascii="Times New Roman" w:hAnsi="Times New Roman" w:cs="Times New Roman"/>
          <w:sz w:val="28"/>
          <w:szCs w:val="28"/>
          <w:lang w:val="uk-UA"/>
        </w:rPr>
        <w:t>у пац</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єнт</w:t>
      </w:r>
      <w:r w:rsidRPr="00FD629A">
        <w:rPr>
          <w:rFonts w:ascii="Times New Roman" w:hAnsi="Times New Roman" w:cs="Times New Roman"/>
          <w:sz w:val="28"/>
          <w:szCs w:val="28"/>
          <w:lang w:val="en-US"/>
        </w:rPr>
        <w:t>i</w:t>
      </w:r>
      <w:r w:rsidRPr="00FD629A">
        <w:rPr>
          <w:rFonts w:ascii="Times New Roman" w:hAnsi="Times New Roman" w:cs="Times New Roman"/>
          <w:sz w:val="28"/>
          <w:szCs w:val="28"/>
          <w:lang w:val="uk-UA"/>
        </w:rPr>
        <w:t xml:space="preserve">в </w:t>
      </w:r>
      <w:r w:rsidRPr="00FD629A">
        <w:rPr>
          <w:rFonts w:ascii="Times New Roman" w:hAnsi="Times New Roman" w:cs="Times New Roman"/>
          <w:sz w:val="28"/>
          <w:szCs w:val="28"/>
          <w:lang w:val="en-US"/>
        </w:rPr>
        <w:t>i</w:t>
      </w:r>
      <w:r w:rsidR="00A12FF5" w:rsidRPr="00FD629A">
        <w:rPr>
          <w:rFonts w:ascii="Times New Roman" w:hAnsi="Times New Roman" w:cs="Times New Roman"/>
          <w:sz w:val="28"/>
          <w:szCs w:val="28"/>
          <w:lang w:val="uk-UA"/>
        </w:rPr>
        <w:t>з ЦД 2-го типу</w:t>
      </w:r>
      <w:r w:rsidRPr="00FD629A">
        <w:rPr>
          <w:rFonts w:ascii="Times New Roman" w:hAnsi="Times New Roman" w:cs="Times New Roman"/>
          <w:sz w:val="28"/>
          <w:szCs w:val="28"/>
          <w:lang w:val="uk-UA"/>
        </w:rPr>
        <w:t xml:space="preserve"> без </w:t>
      </w:r>
      <w:r w:rsidR="00A12FF5" w:rsidRPr="00FD629A">
        <w:rPr>
          <w:rFonts w:ascii="Times New Roman" w:hAnsi="Times New Roman" w:cs="Times New Roman"/>
          <w:sz w:val="28"/>
          <w:szCs w:val="28"/>
          <w:lang w:val="uk-UA"/>
        </w:rPr>
        <w:t xml:space="preserve">ДН </w:t>
      </w:r>
      <w:r w:rsidR="006C554F" w:rsidRPr="00FD629A">
        <w:rPr>
          <w:rFonts w:ascii="Times New Roman" w:hAnsi="Times New Roman" w:cs="Times New Roman"/>
          <w:sz w:val="28"/>
          <w:szCs w:val="28"/>
          <w:lang w:val="uk-UA"/>
        </w:rPr>
        <w:t>вміст</w:t>
      </w:r>
      <w:r w:rsidR="000212E6" w:rsidRPr="00FD629A">
        <w:rPr>
          <w:rFonts w:ascii="Times New Roman" w:hAnsi="Times New Roman" w:cs="Times New Roman"/>
          <w:sz w:val="28"/>
          <w:szCs w:val="28"/>
          <w:lang w:val="uk-UA"/>
        </w:rPr>
        <w:t xml:space="preserve"> сечової кислоти </w:t>
      </w:r>
      <w:r w:rsidR="00A12FF5" w:rsidRPr="00FD629A">
        <w:rPr>
          <w:rFonts w:ascii="Times New Roman" w:hAnsi="Times New Roman" w:cs="Times New Roman"/>
          <w:sz w:val="28"/>
          <w:szCs w:val="28"/>
          <w:lang w:val="uk-UA"/>
        </w:rPr>
        <w:t>був меншим</w:t>
      </w:r>
      <w:r w:rsidR="009702C3" w:rsidRPr="00FD629A">
        <w:rPr>
          <w:rFonts w:ascii="Times New Roman" w:hAnsi="Times New Roman" w:cs="Times New Roman"/>
          <w:sz w:val="28"/>
          <w:szCs w:val="28"/>
          <w:lang w:val="uk-UA"/>
        </w:rPr>
        <w:t xml:space="preserve">, ніж за наявності </w:t>
      </w:r>
      <w:r w:rsidR="00081F2B" w:rsidRPr="00FD629A">
        <w:rPr>
          <w:rFonts w:ascii="Times New Roman" w:hAnsi="Times New Roman" w:cs="Times New Roman"/>
          <w:sz w:val="28"/>
          <w:szCs w:val="28"/>
          <w:lang w:val="uk-UA"/>
        </w:rPr>
        <w:t>МАУ. У хворих на</w:t>
      </w:r>
      <w:r w:rsidR="00A12FF5" w:rsidRPr="00FD629A">
        <w:rPr>
          <w:rFonts w:ascii="Times New Roman" w:hAnsi="Times New Roman" w:cs="Times New Roman"/>
          <w:sz w:val="28"/>
          <w:szCs w:val="28"/>
          <w:lang w:val="uk-UA"/>
        </w:rPr>
        <w:t xml:space="preserve"> ЦД 2-го типу та МАУ гіперурикемія була меншою, ніж у пацієнтів із макроальбумінурією.</w:t>
      </w:r>
      <w:r w:rsidR="008B55F8" w:rsidRPr="00FD629A">
        <w:rPr>
          <w:rFonts w:ascii="Times New Roman" w:hAnsi="Times New Roman" w:cs="Times New Roman"/>
          <w:sz w:val="28"/>
          <w:szCs w:val="28"/>
          <w:lang w:val="uk-UA"/>
        </w:rPr>
        <w:t xml:space="preserve"> Таким чином, у наведеному </w:t>
      </w:r>
      <w:r w:rsidR="00567DBF" w:rsidRPr="00FD629A">
        <w:rPr>
          <w:rFonts w:ascii="Times New Roman" w:hAnsi="Times New Roman" w:cs="Times New Roman"/>
          <w:sz w:val="28"/>
          <w:szCs w:val="28"/>
          <w:lang w:val="uk-UA"/>
        </w:rPr>
        <w:t>досл</w:t>
      </w:r>
      <w:r w:rsidR="00567DBF" w:rsidRPr="00FD629A">
        <w:rPr>
          <w:rFonts w:ascii="Times New Roman" w:hAnsi="Times New Roman" w:cs="Times New Roman"/>
          <w:sz w:val="28"/>
          <w:szCs w:val="28"/>
          <w:lang w:val="en-US"/>
        </w:rPr>
        <w:t>i</w:t>
      </w:r>
      <w:r w:rsidR="00567DBF" w:rsidRPr="00FD629A">
        <w:rPr>
          <w:rFonts w:ascii="Times New Roman" w:hAnsi="Times New Roman" w:cs="Times New Roman"/>
          <w:sz w:val="28"/>
          <w:szCs w:val="28"/>
          <w:lang w:val="uk-UA"/>
        </w:rPr>
        <w:t>дженн</w:t>
      </w:r>
      <w:r w:rsidR="00567DBF" w:rsidRPr="00FD629A">
        <w:rPr>
          <w:rFonts w:ascii="Times New Roman" w:hAnsi="Times New Roman" w:cs="Times New Roman"/>
          <w:sz w:val="28"/>
          <w:szCs w:val="28"/>
          <w:lang w:val="en-US"/>
        </w:rPr>
        <w:t>i</w:t>
      </w:r>
      <w:r w:rsidR="00567DBF" w:rsidRPr="00FD629A">
        <w:rPr>
          <w:rFonts w:ascii="Times New Roman" w:hAnsi="Times New Roman" w:cs="Times New Roman"/>
          <w:sz w:val="28"/>
          <w:szCs w:val="28"/>
          <w:lang w:val="uk-UA"/>
        </w:rPr>
        <w:t xml:space="preserve"> б</w:t>
      </w:r>
      <w:r w:rsidR="00567DBF" w:rsidRPr="00FD629A">
        <w:rPr>
          <w:rFonts w:ascii="Times New Roman" w:hAnsi="Times New Roman" w:cs="Times New Roman"/>
          <w:sz w:val="28"/>
          <w:szCs w:val="28"/>
          <w:lang w:val="en-US"/>
        </w:rPr>
        <w:t>i</w:t>
      </w:r>
      <w:r w:rsidR="006C554F" w:rsidRPr="00FD629A">
        <w:rPr>
          <w:rFonts w:ascii="Times New Roman" w:hAnsi="Times New Roman" w:cs="Times New Roman"/>
          <w:sz w:val="28"/>
          <w:szCs w:val="28"/>
          <w:lang w:val="uk-UA"/>
        </w:rPr>
        <w:t xml:space="preserve">льшій концентрації </w:t>
      </w:r>
      <w:r w:rsidR="00567DBF" w:rsidRPr="00FD629A">
        <w:rPr>
          <w:rFonts w:ascii="Times New Roman" w:hAnsi="Times New Roman" w:cs="Times New Roman"/>
          <w:sz w:val="28"/>
          <w:szCs w:val="28"/>
          <w:lang w:val="uk-UA"/>
        </w:rPr>
        <w:t>альбум</w:t>
      </w:r>
      <w:r w:rsidR="00567DBF" w:rsidRPr="00FD629A">
        <w:rPr>
          <w:rFonts w:ascii="Times New Roman" w:hAnsi="Times New Roman" w:cs="Times New Roman"/>
          <w:sz w:val="28"/>
          <w:szCs w:val="28"/>
          <w:lang w:val="en-US"/>
        </w:rPr>
        <w:t>i</w:t>
      </w:r>
      <w:r w:rsidR="00567DBF" w:rsidRPr="00FD629A">
        <w:rPr>
          <w:rFonts w:ascii="Times New Roman" w:hAnsi="Times New Roman" w:cs="Times New Roman"/>
          <w:sz w:val="28"/>
          <w:szCs w:val="28"/>
          <w:lang w:val="uk-UA"/>
        </w:rPr>
        <w:t>нур</w:t>
      </w:r>
      <w:r w:rsidR="00567DBF" w:rsidRPr="00FD629A">
        <w:rPr>
          <w:rFonts w:ascii="Times New Roman" w:hAnsi="Times New Roman" w:cs="Times New Roman"/>
          <w:sz w:val="28"/>
          <w:szCs w:val="28"/>
          <w:lang w:val="en-US"/>
        </w:rPr>
        <w:t>i</w:t>
      </w:r>
      <w:r w:rsidR="00567DBF" w:rsidRPr="00FD629A">
        <w:rPr>
          <w:rFonts w:ascii="Times New Roman" w:hAnsi="Times New Roman" w:cs="Times New Roman"/>
          <w:sz w:val="28"/>
          <w:szCs w:val="28"/>
          <w:lang w:val="uk-UA"/>
        </w:rPr>
        <w:t>ї в</w:t>
      </w:r>
      <w:r w:rsidR="00567DBF" w:rsidRPr="00FD629A">
        <w:rPr>
          <w:rFonts w:ascii="Times New Roman" w:hAnsi="Times New Roman" w:cs="Times New Roman"/>
          <w:sz w:val="28"/>
          <w:szCs w:val="28"/>
          <w:lang w:val="en-US"/>
        </w:rPr>
        <w:t>i</w:t>
      </w:r>
      <w:r w:rsidR="00567DBF" w:rsidRPr="00FD629A">
        <w:rPr>
          <w:rFonts w:ascii="Times New Roman" w:hAnsi="Times New Roman" w:cs="Times New Roman"/>
          <w:sz w:val="28"/>
          <w:szCs w:val="28"/>
          <w:lang w:val="uk-UA"/>
        </w:rPr>
        <w:t>дпов</w:t>
      </w:r>
      <w:r w:rsidR="00567DBF" w:rsidRPr="00FD629A">
        <w:rPr>
          <w:rFonts w:ascii="Times New Roman" w:hAnsi="Times New Roman" w:cs="Times New Roman"/>
          <w:sz w:val="28"/>
          <w:szCs w:val="28"/>
          <w:lang w:val="en-US"/>
        </w:rPr>
        <w:t>i</w:t>
      </w:r>
      <w:r w:rsidR="006C554F" w:rsidRPr="00FD629A">
        <w:rPr>
          <w:rFonts w:ascii="Times New Roman" w:hAnsi="Times New Roman" w:cs="Times New Roman"/>
          <w:sz w:val="28"/>
          <w:szCs w:val="28"/>
          <w:lang w:val="uk-UA"/>
        </w:rPr>
        <w:t xml:space="preserve">дає вищий вміст </w:t>
      </w:r>
      <w:r w:rsidR="008B55F8" w:rsidRPr="00FD629A">
        <w:rPr>
          <w:rFonts w:ascii="Times New Roman" w:hAnsi="Times New Roman" w:cs="Times New Roman"/>
          <w:sz w:val="28"/>
          <w:szCs w:val="28"/>
          <w:lang w:val="uk-UA"/>
        </w:rPr>
        <w:t xml:space="preserve">сечової кислоти </w:t>
      </w:r>
      <w:r w:rsidR="008B55F8" w:rsidRPr="00541249">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74</w:t>
      </w:r>
      <w:r w:rsidR="008B55F8" w:rsidRPr="00541249">
        <w:rPr>
          <w:rFonts w:ascii="Times New Roman" w:hAnsi="Times New Roman" w:cs="Times New Roman"/>
          <w:sz w:val="28"/>
          <w:szCs w:val="28"/>
          <w:lang w:val="uk-UA"/>
        </w:rPr>
        <w:t>].</w:t>
      </w:r>
      <w:r w:rsidR="008B55F8" w:rsidRPr="008B55F8">
        <w:rPr>
          <w:rFonts w:ascii="Times New Roman" w:hAnsi="Times New Roman" w:cs="Times New Roman"/>
          <w:sz w:val="28"/>
          <w:szCs w:val="28"/>
          <w:lang w:val="uk-UA"/>
        </w:rPr>
        <w:t xml:space="preserve"> </w:t>
      </w:r>
    </w:p>
    <w:p w:rsidR="006D5855" w:rsidRPr="006D5855" w:rsidRDefault="00081F2B" w:rsidP="006D585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567DBF">
        <w:rPr>
          <w:rFonts w:ascii="Times New Roman" w:hAnsi="Times New Roman" w:cs="Times New Roman"/>
          <w:sz w:val="28"/>
          <w:szCs w:val="28"/>
          <w:lang w:val="uk-UA"/>
        </w:rPr>
        <w:t>триман</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 xml:space="preserve"> нами результати св</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дчать про недостов</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рну залежн</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 xml:space="preserve">сть </w:t>
      </w:r>
      <w:r w:rsidR="0050393B">
        <w:rPr>
          <w:rFonts w:ascii="Times New Roman" w:hAnsi="Times New Roman" w:cs="Times New Roman"/>
          <w:sz w:val="28"/>
          <w:szCs w:val="28"/>
          <w:lang w:val="uk-UA"/>
        </w:rPr>
        <w:t xml:space="preserve">       </w:t>
      </w:r>
      <w:r w:rsidR="00567DBF">
        <w:rPr>
          <w:rFonts w:ascii="Times New Roman" w:hAnsi="Times New Roman" w:cs="Times New Roman"/>
          <w:sz w:val="28"/>
          <w:szCs w:val="28"/>
          <w:lang w:val="uk-UA"/>
        </w:rPr>
        <w:t>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ж урикем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єю та альбум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нур</w:t>
      </w:r>
      <w:r w:rsidR="00567DBF">
        <w:rPr>
          <w:rFonts w:ascii="Times New Roman" w:hAnsi="Times New Roman" w:cs="Times New Roman"/>
          <w:sz w:val="28"/>
          <w:szCs w:val="28"/>
          <w:lang w:val="en-US"/>
        </w:rPr>
        <w:t>i</w:t>
      </w:r>
      <w:r w:rsidR="00AF3D18" w:rsidRPr="00C51652">
        <w:rPr>
          <w:rFonts w:ascii="Times New Roman" w:hAnsi="Times New Roman" w:cs="Times New Roman"/>
          <w:sz w:val="28"/>
          <w:szCs w:val="28"/>
          <w:lang w:val="uk-UA"/>
        </w:rPr>
        <w:t>єю</w:t>
      </w:r>
      <w:r w:rsidR="00AF3D18">
        <w:rPr>
          <w:rFonts w:ascii="Times New Roman" w:hAnsi="Times New Roman" w:cs="Times New Roman"/>
          <w:sz w:val="28"/>
          <w:szCs w:val="28"/>
          <w:lang w:val="uk-UA"/>
        </w:rPr>
        <w:t xml:space="preserve">. </w:t>
      </w:r>
      <w:r w:rsidR="00567DBF">
        <w:rPr>
          <w:rFonts w:ascii="Times New Roman" w:hAnsi="Times New Roman" w:cs="Times New Roman"/>
          <w:sz w:val="28"/>
          <w:szCs w:val="28"/>
          <w:lang w:val="uk-UA"/>
        </w:rPr>
        <w:t>Оск</w:t>
      </w:r>
      <w:r w:rsidR="00567DBF">
        <w:rPr>
          <w:rFonts w:ascii="Times New Roman" w:hAnsi="Times New Roman" w:cs="Times New Roman"/>
          <w:sz w:val="28"/>
          <w:szCs w:val="28"/>
          <w:lang w:val="en-US"/>
        </w:rPr>
        <w:t>i</w:t>
      </w:r>
      <w:r w:rsidR="00A14FCB">
        <w:rPr>
          <w:rFonts w:ascii="Times New Roman" w:hAnsi="Times New Roman" w:cs="Times New Roman"/>
          <w:sz w:val="28"/>
          <w:szCs w:val="28"/>
          <w:lang w:val="uk-UA"/>
        </w:rPr>
        <w:t>льки</w:t>
      </w:r>
      <w:r w:rsidR="00567DBF">
        <w:rPr>
          <w:rFonts w:ascii="Times New Roman" w:hAnsi="Times New Roman" w:cs="Times New Roman"/>
          <w:sz w:val="28"/>
          <w:szCs w:val="28"/>
          <w:lang w:val="uk-UA"/>
        </w:rPr>
        <w:t xml:space="preserve"> сп</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вв</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дношення альбум</w:t>
      </w:r>
      <w:r w:rsidR="00567DBF">
        <w:rPr>
          <w:rFonts w:ascii="Times New Roman" w:hAnsi="Times New Roman" w:cs="Times New Roman"/>
          <w:sz w:val="28"/>
          <w:szCs w:val="28"/>
          <w:lang w:val="en-US"/>
        </w:rPr>
        <w:t>i</w:t>
      </w:r>
      <w:r w:rsidR="00D0223D">
        <w:rPr>
          <w:rFonts w:ascii="Times New Roman" w:hAnsi="Times New Roman" w:cs="Times New Roman"/>
          <w:sz w:val="28"/>
          <w:szCs w:val="28"/>
          <w:lang w:val="uk-UA"/>
        </w:rPr>
        <w:t>н</w:t>
      </w:r>
      <w:r w:rsidR="0050393B">
        <w:rPr>
          <w:rFonts w:ascii="Times New Roman" w:hAnsi="Times New Roman" w:cs="Times New Roman"/>
          <w:sz w:val="28"/>
          <w:szCs w:val="28"/>
          <w:lang w:val="uk-UA"/>
        </w:rPr>
        <w:t xml:space="preserve">у                  </w:t>
      </w:r>
      <w:r w:rsidR="00567DBF">
        <w:rPr>
          <w:rFonts w:ascii="Times New Roman" w:hAnsi="Times New Roman" w:cs="Times New Roman"/>
          <w:sz w:val="28"/>
          <w:szCs w:val="28"/>
          <w:lang w:val="uk-UA"/>
        </w:rPr>
        <w:t>до креатин</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ну в сеч</w:t>
      </w:r>
      <w:r w:rsidR="00567DBF">
        <w:rPr>
          <w:rFonts w:ascii="Times New Roman" w:hAnsi="Times New Roman" w:cs="Times New Roman"/>
          <w:sz w:val="28"/>
          <w:szCs w:val="28"/>
          <w:lang w:val="en-US"/>
        </w:rPr>
        <w:t>i</w:t>
      </w:r>
      <w:r w:rsidR="000212E6">
        <w:rPr>
          <w:rFonts w:ascii="Times New Roman" w:hAnsi="Times New Roman" w:cs="Times New Roman"/>
          <w:sz w:val="28"/>
          <w:szCs w:val="28"/>
          <w:lang w:val="uk-UA"/>
        </w:rPr>
        <w:t xml:space="preserve"> є</w:t>
      </w:r>
      <w:r w:rsidR="00567DBF">
        <w:rPr>
          <w:rFonts w:ascii="Times New Roman" w:hAnsi="Times New Roman" w:cs="Times New Roman"/>
          <w:sz w:val="28"/>
          <w:szCs w:val="28"/>
          <w:lang w:val="uk-UA"/>
        </w:rPr>
        <w:t xml:space="preserve"> б</w:t>
      </w:r>
      <w:r w:rsidR="00567DBF">
        <w:rPr>
          <w:rFonts w:ascii="Times New Roman" w:hAnsi="Times New Roman" w:cs="Times New Roman"/>
          <w:sz w:val="28"/>
          <w:szCs w:val="28"/>
          <w:lang w:val="en-US"/>
        </w:rPr>
        <w:t>i</w:t>
      </w:r>
      <w:r w:rsidR="00D0223D">
        <w:rPr>
          <w:rFonts w:ascii="Times New Roman" w:hAnsi="Times New Roman" w:cs="Times New Roman"/>
          <w:sz w:val="28"/>
          <w:szCs w:val="28"/>
          <w:lang w:val="uk-UA"/>
        </w:rPr>
        <w:t>льш точним показником,</w:t>
      </w:r>
      <w:r w:rsidR="00567DBF">
        <w:rPr>
          <w:rFonts w:ascii="Times New Roman" w:hAnsi="Times New Roman" w:cs="Times New Roman"/>
          <w:sz w:val="28"/>
          <w:szCs w:val="28"/>
          <w:lang w:val="uk-UA"/>
        </w:rPr>
        <w:t xml:space="preserve"> н</w:t>
      </w:r>
      <w:r w:rsidR="00567DBF">
        <w:rPr>
          <w:rFonts w:ascii="Times New Roman" w:hAnsi="Times New Roman" w:cs="Times New Roman"/>
          <w:sz w:val="28"/>
          <w:szCs w:val="28"/>
          <w:lang w:val="en-US"/>
        </w:rPr>
        <w:t>i</w:t>
      </w:r>
      <w:r w:rsidR="00DA5A2C">
        <w:rPr>
          <w:rFonts w:ascii="Times New Roman" w:hAnsi="Times New Roman" w:cs="Times New Roman"/>
          <w:sz w:val="28"/>
          <w:szCs w:val="28"/>
          <w:lang w:val="uk-UA"/>
        </w:rPr>
        <w:t xml:space="preserve">ж визначення </w:t>
      </w:r>
      <w:r w:rsidR="00567DBF">
        <w:rPr>
          <w:rFonts w:ascii="Times New Roman" w:hAnsi="Times New Roman" w:cs="Times New Roman"/>
          <w:sz w:val="28"/>
          <w:szCs w:val="28"/>
          <w:lang w:val="uk-UA"/>
        </w:rPr>
        <w:t>одн</w:t>
      </w:r>
      <w:r w:rsidR="00567DBF">
        <w:rPr>
          <w:rFonts w:ascii="Times New Roman" w:hAnsi="Times New Roman" w:cs="Times New Roman"/>
          <w:sz w:val="28"/>
          <w:szCs w:val="28"/>
          <w:lang w:val="en-US"/>
        </w:rPr>
        <w:t>i</w:t>
      </w:r>
      <w:r w:rsidR="00572B69">
        <w:rPr>
          <w:rFonts w:ascii="Times New Roman" w:hAnsi="Times New Roman" w:cs="Times New Roman"/>
          <w:sz w:val="28"/>
          <w:szCs w:val="28"/>
          <w:lang w:val="uk-UA"/>
        </w:rPr>
        <w:t>єї лише</w:t>
      </w:r>
      <w:r w:rsidR="00567DBF">
        <w:rPr>
          <w:rFonts w:ascii="Times New Roman" w:hAnsi="Times New Roman" w:cs="Times New Roman"/>
          <w:sz w:val="28"/>
          <w:szCs w:val="28"/>
          <w:lang w:val="uk-UA"/>
        </w:rPr>
        <w:t xml:space="preserve"> альбум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нур</w:t>
      </w:r>
      <w:r w:rsidR="00567DBF">
        <w:rPr>
          <w:rFonts w:ascii="Times New Roman" w:hAnsi="Times New Roman" w:cs="Times New Roman"/>
          <w:sz w:val="28"/>
          <w:szCs w:val="28"/>
          <w:lang w:val="en-US"/>
        </w:rPr>
        <w:t>i</w:t>
      </w:r>
      <w:r w:rsidR="00572B69" w:rsidRPr="00572B69">
        <w:rPr>
          <w:rFonts w:ascii="Times New Roman" w:hAnsi="Times New Roman" w:cs="Times New Roman"/>
          <w:sz w:val="28"/>
          <w:szCs w:val="28"/>
          <w:lang w:val="uk-UA"/>
        </w:rPr>
        <w:t>ї</w:t>
      </w:r>
      <w:r w:rsidR="00567DBF">
        <w:rPr>
          <w:rFonts w:ascii="Times New Roman" w:hAnsi="Times New Roman" w:cs="Times New Roman"/>
          <w:sz w:val="28"/>
          <w:szCs w:val="28"/>
          <w:lang w:val="uk-UA"/>
        </w:rPr>
        <w:t>, ми вир</w:t>
      </w:r>
      <w:r w:rsidR="00567DBF">
        <w:rPr>
          <w:rFonts w:ascii="Times New Roman" w:hAnsi="Times New Roman" w:cs="Times New Roman"/>
          <w:sz w:val="28"/>
          <w:szCs w:val="28"/>
          <w:lang w:val="en-US"/>
        </w:rPr>
        <w:t>i</w:t>
      </w:r>
      <w:r w:rsidR="00AF3D18">
        <w:rPr>
          <w:rFonts w:ascii="Times New Roman" w:hAnsi="Times New Roman" w:cs="Times New Roman"/>
          <w:sz w:val="28"/>
          <w:szCs w:val="28"/>
          <w:lang w:val="uk-UA"/>
        </w:rPr>
        <w:t>шили</w:t>
      </w:r>
      <w:r w:rsidR="00567DBF">
        <w:rPr>
          <w:rFonts w:ascii="Times New Roman" w:hAnsi="Times New Roman" w:cs="Times New Roman"/>
          <w:sz w:val="28"/>
          <w:szCs w:val="28"/>
          <w:lang w:val="uk-UA"/>
        </w:rPr>
        <w:t xml:space="preserve"> проанал</w:t>
      </w:r>
      <w:r w:rsidR="00567DBF">
        <w:rPr>
          <w:rFonts w:ascii="Times New Roman" w:hAnsi="Times New Roman" w:cs="Times New Roman"/>
          <w:sz w:val="28"/>
          <w:szCs w:val="28"/>
          <w:lang w:val="en-US"/>
        </w:rPr>
        <w:t>i</w:t>
      </w:r>
      <w:r>
        <w:rPr>
          <w:rFonts w:ascii="Times New Roman" w:hAnsi="Times New Roman" w:cs="Times New Roman"/>
          <w:sz w:val="28"/>
          <w:szCs w:val="28"/>
          <w:lang w:val="uk-UA"/>
        </w:rPr>
        <w:t xml:space="preserve">зувати </w:t>
      </w:r>
      <w:r w:rsidR="00567DBF">
        <w:rPr>
          <w:rFonts w:ascii="Times New Roman" w:hAnsi="Times New Roman" w:cs="Times New Roman"/>
          <w:sz w:val="28"/>
          <w:szCs w:val="28"/>
          <w:lang w:val="uk-UA"/>
        </w:rPr>
        <w:t>зв’язок 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ж даним сп</w:t>
      </w:r>
      <w:r w:rsidR="00567DBF">
        <w:rPr>
          <w:rFonts w:ascii="Times New Roman" w:hAnsi="Times New Roman" w:cs="Times New Roman"/>
          <w:sz w:val="28"/>
          <w:szCs w:val="28"/>
          <w:lang w:val="en-US"/>
        </w:rPr>
        <w:t>i</w:t>
      </w:r>
      <w:r w:rsidR="00572B69">
        <w:rPr>
          <w:rFonts w:ascii="Times New Roman" w:hAnsi="Times New Roman" w:cs="Times New Roman"/>
          <w:sz w:val="28"/>
          <w:szCs w:val="28"/>
          <w:lang w:val="uk-UA"/>
        </w:rPr>
        <w:t>вв</w:t>
      </w:r>
      <w:r w:rsidR="00567DBF">
        <w:rPr>
          <w:rFonts w:ascii="Times New Roman" w:hAnsi="Times New Roman" w:cs="Times New Roman"/>
          <w:sz w:val="28"/>
          <w:szCs w:val="28"/>
          <w:lang w:val="en-US"/>
        </w:rPr>
        <w:t>i</w:t>
      </w:r>
      <w:r w:rsidR="000212E6">
        <w:rPr>
          <w:rFonts w:ascii="Times New Roman" w:hAnsi="Times New Roman" w:cs="Times New Roman"/>
          <w:sz w:val="28"/>
          <w:szCs w:val="28"/>
          <w:lang w:val="uk-UA"/>
        </w:rPr>
        <w:t xml:space="preserve">дношенням та сечовою кислотою </w:t>
      </w:r>
      <w:r>
        <w:rPr>
          <w:rFonts w:ascii="Times New Roman" w:hAnsi="Times New Roman" w:cs="Times New Roman"/>
          <w:sz w:val="28"/>
          <w:szCs w:val="28"/>
          <w:lang w:val="uk-UA"/>
        </w:rPr>
        <w:t xml:space="preserve">у пацієнтів </w:t>
      </w:r>
      <w:r w:rsidR="00567DBF">
        <w:rPr>
          <w:rFonts w:ascii="Times New Roman" w:hAnsi="Times New Roman" w:cs="Times New Roman"/>
          <w:sz w:val="28"/>
          <w:szCs w:val="28"/>
          <w:lang w:val="en-US"/>
        </w:rPr>
        <w:t>i</w:t>
      </w:r>
      <w:r w:rsidR="00572B69">
        <w:rPr>
          <w:rFonts w:ascii="Times New Roman" w:hAnsi="Times New Roman" w:cs="Times New Roman"/>
          <w:sz w:val="28"/>
          <w:szCs w:val="28"/>
          <w:lang w:val="uk-UA"/>
        </w:rPr>
        <w:t xml:space="preserve">з </w:t>
      </w:r>
      <w:r w:rsidR="00AF3D18">
        <w:rPr>
          <w:rFonts w:ascii="Times New Roman" w:hAnsi="Times New Roman" w:cs="Times New Roman"/>
          <w:sz w:val="28"/>
          <w:szCs w:val="28"/>
          <w:lang w:val="uk-UA"/>
        </w:rPr>
        <w:t xml:space="preserve">АГ та </w:t>
      </w:r>
      <w:r w:rsidR="00572B69">
        <w:rPr>
          <w:rFonts w:ascii="Times New Roman" w:hAnsi="Times New Roman" w:cs="Times New Roman"/>
          <w:sz w:val="28"/>
          <w:szCs w:val="28"/>
          <w:lang w:val="uk-UA"/>
        </w:rPr>
        <w:t xml:space="preserve">ЦД 2-го </w:t>
      </w:r>
      <w:r w:rsidR="00567DBF">
        <w:rPr>
          <w:rFonts w:ascii="Times New Roman" w:hAnsi="Times New Roman" w:cs="Times New Roman"/>
          <w:sz w:val="28"/>
          <w:szCs w:val="28"/>
          <w:lang w:val="uk-UA"/>
        </w:rPr>
        <w:t>типу, п</w:t>
      </w:r>
      <w:r w:rsidR="00567DBF">
        <w:rPr>
          <w:rFonts w:ascii="Times New Roman" w:hAnsi="Times New Roman" w:cs="Times New Roman"/>
          <w:sz w:val="28"/>
          <w:szCs w:val="28"/>
          <w:lang w:val="en-US"/>
        </w:rPr>
        <w:t>i</w:t>
      </w:r>
      <w:r w:rsidR="00AF3D18">
        <w:rPr>
          <w:rFonts w:ascii="Times New Roman" w:hAnsi="Times New Roman" w:cs="Times New Roman"/>
          <w:sz w:val="28"/>
          <w:szCs w:val="28"/>
          <w:lang w:val="uk-UA"/>
        </w:rPr>
        <w:t>сля чого було</w:t>
      </w:r>
      <w:r w:rsidR="003941A5">
        <w:rPr>
          <w:rFonts w:ascii="Times New Roman" w:hAnsi="Times New Roman" w:cs="Times New Roman"/>
          <w:sz w:val="28"/>
          <w:szCs w:val="28"/>
          <w:lang w:val="uk-UA"/>
        </w:rPr>
        <w:t xml:space="preserve"> </w:t>
      </w:r>
      <w:r w:rsidR="00AF3D18">
        <w:rPr>
          <w:rFonts w:ascii="Times New Roman" w:hAnsi="Times New Roman" w:cs="Times New Roman"/>
          <w:sz w:val="28"/>
          <w:szCs w:val="28"/>
          <w:lang w:val="uk-UA"/>
        </w:rPr>
        <w:t>констатовано</w:t>
      </w:r>
      <w:r w:rsidR="00567DBF">
        <w:rPr>
          <w:rFonts w:ascii="Times New Roman" w:hAnsi="Times New Roman" w:cs="Times New Roman"/>
          <w:sz w:val="28"/>
          <w:szCs w:val="28"/>
          <w:lang w:val="uk-UA"/>
        </w:rPr>
        <w:t xml:space="preserve"> слабкої сили достов</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 xml:space="preserve">рну </w:t>
      </w:r>
      <w:r w:rsidR="009A41EC">
        <w:rPr>
          <w:rFonts w:ascii="Times New Roman" w:hAnsi="Times New Roman" w:cs="Times New Roman"/>
          <w:sz w:val="28"/>
          <w:szCs w:val="28"/>
          <w:lang w:val="uk-UA"/>
        </w:rPr>
        <w:t xml:space="preserve">позитивну </w:t>
      </w:r>
      <w:r w:rsidR="00567DBF">
        <w:rPr>
          <w:rFonts w:ascii="Times New Roman" w:hAnsi="Times New Roman" w:cs="Times New Roman"/>
          <w:sz w:val="28"/>
          <w:szCs w:val="28"/>
          <w:lang w:val="uk-UA"/>
        </w:rPr>
        <w:t>залежн</w:t>
      </w:r>
      <w:r w:rsidR="00567DBF">
        <w:rPr>
          <w:rFonts w:ascii="Times New Roman" w:hAnsi="Times New Roman" w:cs="Times New Roman"/>
          <w:sz w:val="28"/>
          <w:szCs w:val="28"/>
          <w:lang w:val="en-US"/>
        </w:rPr>
        <w:t>i</w:t>
      </w:r>
      <w:r w:rsidR="004F3B19" w:rsidRPr="004F3B19">
        <w:rPr>
          <w:rFonts w:ascii="Times New Roman" w:hAnsi="Times New Roman" w:cs="Times New Roman"/>
          <w:sz w:val="28"/>
          <w:szCs w:val="28"/>
          <w:lang w:val="uk-UA"/>
        </w:rPr>
        <w:t>сть 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ж</w:t>
      </w:r>
      <w:r w:rsidR="005F39E8">
        <w:rPr>
          <w:rFonts w:ascii="Times New Roman" w:hAnsi="Times New Roman" w:cs="Times New Roman"/>
          <w:sz w:val="28"/>
          <w:szCs w:val="28"/>
          <w:lang w:val="uk-UA"/>
        </w:rPr>
        <w:t xml:space="preserve"> зазначеними показниками </w:t>
      </w:r>
      <w:r w:rsidR="004F3B19" w:rsidRPr="004F3B19">
        <w:rPr>
          <w:rFonts w:ascii="Times New Roman" w:hAnsi="Times New Roman" w:cs="Times New Roman"/>
          <w:sz w:val="28"/>
          <w:szCs w:val="28"/>
          <w:lang w:val="uk-UA"/>
        </w:rPr>
        <w:t>(</w:t>
      </w:r>
      <w:r w:rsidR="004F3B19" w:rsidRPr="004F3B19">
        <w:rPr>
          <w:rFonts w:ascii="Times New Roman" w:hAnsi="Times New Roman" w:cs="Times New Roman"/>
          <w:sz w:val="28"/>
          <w:szCs w:val="28"/>
          <w:lang w:val="en-US"/>
        </w:rPr>
        <w:t>r</w:t>
      </w:r>
      <w:r w:rsidR="00B305ED">
        <w:rPr>
          <w:rFonts w:ascii="Times New Roman" w:hAnsi="Times New Roman" w:cs="Times New Roman"/>
          <w:sz w:val="28"/>
          <w:szCs w:val="28"/>
          <w:lang w:val="uk-UA"/>
        </w:rPr>
        <w:t xml:space="preserve"> = 0,25</w:t>
      </w:r>
      <w:r w:rsidR="004F3B19" w:rsidRPr="002A696C">
        <w:rPr>
          <w:rFonts w:ascii="Times New Roman" w:hAnsi="Times New Roman" w:cs="Times New Roman"/>
          <w:sz w:val="28"/>
          <w:szCs w:val="28"/>
          <w:lang w:val="uk-UA"/>
        </w:rPr>
        <w:t xml:space="preserve">; </w:t>
      </w:r>
      <w:r w:rsidR="004F3B19" w:rsidRPr="004F3B19">
        <w:rPr>
          <w:rFonts w:ascii="Times New Roman" w:hAnsi="Times New Roman" w:cs="Times New Roman"/>
          <w:sz w:val="28"/>
          <w:szCs w:val="28"/>
          <w:lang w:val="en-US"/>
        </w:rPr>
        <w:t>p</w:t>
      </w:r>
      <w:r w:rsidR="004F3B19" w:rsidRPr="002A696C">
        <w:rPr>
          <w:rFonts w:ascii="Times New Roman" w:hAnsi="Times New Roman" w:cs="Times New Roman"/>
          <w:sz w:val="28"/>
          <w:szCs w:val="28"/>
          <w:lang w:val="uk-UA"/>
        </w:rPr>
        <w:t xml:space="preserve"> = </w:t>
      </w:r>
      <w:r w:rsidR="00B305ED">
        <w:rPr>
          <w:rFonts w:ascii="Times New Roman" w:hAnsi="Times New Roman" w:cs="Times New Roman"/>
          <w:sz w:val="28"/>
          <w:szCs w:val="28"/>
          <w:lang w:val="uk-UA"/>
        </w:rPr>
        <w:t>0,0135)</w:t>
      </w:r>
      <w:r w:rsidR="00572B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A41EC">
        <w:rPr>
          <w:rFonts w:ascii="Times New Roman" w:hAnsi="Times New Roman" w:cs="Times New Roman"/>
          <w:sz w:val="28"/>
          <w:szCs w:val="28"/>
          <w:lang w:val="uk-UA"/>
        </w:rPr>
        <w:t>Із збільшен</w:t>
      </w:r>
      <w:r w:rsidR="002C401B">
        <w:rPr>
          <w:rFonts w:ascii="Times New Roman" w:hAnsi="Times New Roman" w:cs="Times New Roman"/>
          <w:sz w:val="28"/>
          <w:szCs w:val="28"/>
          <w:lang w:val="uk-UA"/>
        </w:rPr>
        <w:t>н</w:t>
      </w:r>
      <w:r w:rsidR="009A41EC">
        <w:rPr>
          <w:rFonts w:ascii="Times New Roman" w:hAnsi="Times New Roman" w:cs="Times New Roman"/>
          <w:sz w:val="28"/>
          <w:szCs w:val="28"/>
          <w:lang w:val="uk-UA"/>
        </w:rPr>
        <w:t xml:space="preserve">ям урикемії зменшувалась </w:t>
      </w:r>
      <w:r w:rsidR="00E56A0E">
        <w:rPr>
          <w:rFonts w:ascii="Times New Roman" w:hAnsi="Times New Roman" w:cs="Times New Roman"/>
          <w:sz w:val="28"/>
          <w:szCs w:val="28"/>
          <w:lang w:val="uk-UA"/>
        </w:rPr>
        <w:t>ШКФ</w:t>
      </w:r>
      <w:r w:rsidR="00E56A0E" w:rsidRPr="009A41EC">
        <w:rPr>
          <w:rFonts w:ascii="Times New Roman" w:hAnsi="Times New Roman" w:cs="Times New Roman"/>
          <w:sz w:val="28"/>
          <w:szCs w:val="28"/>
          <w:lang w:val="uk-UA"/>
        </w:rPr>
        <w:t xml:space="preserve"> (</w:t>
      </w:r>
      <w:r w:rsidR="00E56A0E">
        <w:rPr>
          <w:rFonts w:ascii="Times New Roman" w:hAnsi="Times New Roman" w:cs="Times New Roman"/>
          <w:sz w:val="28"/>
          <w:szCs w:val="28"/>
          <w:lang w:val="en-US"/>
        </w:rPr>
        <w:t>r</w:t>
      </w:r>
      <w:r w:rsidR="006B7FF8">
        <w:rPr>
          <w:rFonts w:ascii="Times New Roman" w:hAnsi="Times New Roman" w:cs="Times New Roman"/>
          <w:sz w:val="28"/>
          <w:szCs w:val="28"/>
          <w:lang w:val="uk-UA"/>
        </w:rPr>
        <w:t xml:space="preserve"> = − </w:t>
      </w:r>
      <w:r w:rsidR="00B305ED" w:rsidRPr="009A41EC">
        <w:rPr>
          <w:rFonts w:ascii="Times New Roman" w:hAnsi="Times New Roman" w:cs="Times New Roman"/>
          <w:sz w:val="28"/>
          <w:szCs w:val="28"/>
          <w:lang w:val="uk-UA"/>
        </w:rPr>
        <w:t>0,</w:t>
      </w:r>
      <w:r w:rsidR="00B305ED">
        <w:rPr>
          <w:rFonts w:ascii="Times New Roman" w:hAnsi="Times New Roman" w:cs="Times New Roman"/>
          <w:sz w:val="28"/>
          <w:szCs w:val="28"/>
          <w:lang w:val="uk-UA"/>
        </w:rPr>
        <w:t>2</w:t>
      </w:r>
      <w:r w:rsidR="00E56A0E" w:rsidRPr="009A41EC">
        <w:rPr>
          <w:rFonts w:ascii="Times New Roman" w:hAnsi="Times New Roman" w:cs="Times New Roman"/>
          <w:sz w:val="28"/>
          <w:szCs w:val="28"/>
          <w:lang w:val="uk-UA"/>
        </w:rPr>
        <w:t>; р</w:t>
      </w:r>
      <w:r w:rsidR="00B305ED" w:rsidRPr="009A41EC">
        <w:rPr>
          <w:rFonts w:ascii="Times New Roman" w:hAnsi="Times New Roman" w:cs="Times New Roman"/>
          <w:sz w:val="28"/>
          <w:szCs w:val="28"/>
          <w:lang w:val="uk-UA"/>
        </w:rPr>
        <w:t xml:space="preserve"> </w:t>
      </w:r>
      <w:r w:rsidR="00B305ED">
        <w:rPr>
          <w:rFonts w:ascii="Times New Roman" w:hAnsi="Times New Roman" w:cs="Times New Roman"/>
          <w:sz w:val="28"/>
          <w:szCs w:val="28"/>
          <w:lang w:val="uk-UA"/>
        </w:rPr>
        <w:t>= 0,0495</w:t>
      </w:r>
      <w:r w:rsidR="00E56A0E" w:rsidRPr="009A41EC">
        <w:rPr>
          <w:rFonts w:ascii="Times New Roman" w:hAnsi="Times New Roman" w:cs="Times New Roman"/>
          <w:sz w:val="28"/>
          <w:szCs w:val="28"/>
          <w:lang w:val="uk-UA"/>
        </w:rPr>
        <w:t>)</w:t>
      </w:r>
      <w:r w:rsidR="00E56A0E">
        <w:rPr>
          <w:rFonts w:ascii="Times New Roman" w:hAnsi="Times New Roman" w:cs="Times New Roman"/>
          <w:sz w:val="28"/>
          <w:szCs w:val="28"/>
          <w:lang w:val="uk-UA"/>
        </w:rPr>
        <w:t>.</w:t>
      </w:r>
      <w:r w:rsidR="00E21FB5">
        <w:rPr>
          <w:rFonts w:ascii="Times New Roman" w:hAnsi="Times New Roman" w:cs="Times New Roman"/>
          <w:sz w:val="28"/>
          <w:szCs w:val="28"/>
          <w:lang w:val="uk-UA"/>
        </w:rPr>
        <w:t xml:space="preserve"> </w:t>
      </w:r>
    </w:p>
    <w:p w:rsidR="00892E75" w:rsidRPr="004E647B" w:rsidRDefault="006D5855" w:rsidP="008D638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sz w:val="28"/>
          <w:szCs w:val="28"/>
          <w:lang w:val="uk-UA"/>
        </w:rPr>
        <w:t xml:space="preserve">Вміст </w:t>
      </w:r>
      <w:r w:rsidR="00166D76" w:rsidRPr="002C7945">
        <w:rPr>
          <w:rFonts w:ascii="Times New Roman" w:hAnsi="Times New Roman"/>
          <w:sz w:val="28"/>
          <w:szCs w:val="28"/>
          <w:lang w:val="uk-UA"/>
        </w:rPr>
        <w:t>сечової кислоти ≥ 7,0</w:t>
      </w:r>
      <w:r w:rsidR="00567DBF">
        <w:rPr>
          <w:rFonts w:ascii="Times New Roman" w:hAnsi="Times New Roman"/>
          <w:sz w:val="28"/>
          <w:szCs w:val="28"/>
          <w:lang w:val="uk-UA"/>
        </w:rPr>
        <w:t xml:space="preserve"> мг/дл (420 мкмоль/л) для чолов</w:t>
      </w:r>
      <w:r w:rsidR="00567DBF">
        <w:rPr>
          <w:rFonts w:ascii="Times New Roman" w:hAnsi="Times New Roman"/>
          <w:sz w:val="28"/>
          <w:szCs w:val="28"/>
          <w:lang w:val="en-US"/>
        </w:rPr>
        <w:t>i</w:t>
      </w:r>
      <w:r w:rsidR="00567DBF">
        <w:rPr>
          <w:rFonts w:ascii="Times New Roman" w:hAnsi="Times New Roman"/>
          <w:sz w:val="28"/>
          <w:szCs w:val="28"/>
          <w:lang w:val="uk-UA"/>
        </w:rPr>
        <w:t>к</w:t>
      </w:r>
      <w:r w:rsidR="00567DBF">
        <w:rPr>
          <w:rFonts w:ascii="Times New Roman" w:hAnsi="Times New Roman"/>
          <w:sz w:val="28"/>
          <w:szCs w:val="28"/>
          <w:lang w:val="en-US"/>
        </w:rPr>
        <w:t>i</w:t>
      </w:r>
      <w:r w:rsidR="00166D76" w:rsidRPr="002C7945">
        <w:rPr>
          <w:rFonts w:ascii="Times New Roman" w:hAnsi="Times New Roman"/>
          <w:sz w:val="28"/>
          <w:szCs w:val="28"/>
          <w:lang w:val="uk-UA"/>
        </w:rPr>
        <w:t xml:space="preserve">в та </w:t>
      </w:r>
      <w:r w:rsidR="00531E9D">
        <w:rPr>
          <w:rFonts w:ascii="Times New Roman" w:hAnsi="Times New Roman"/>
          <w:sz w:val="28"/>
          <w:szCs w:val="28"/>
          <w:lang w:val="uk-UA"/>
        </w:rPr>
        <w:t xml:space="preserve">         </w:t>
      </w:r>
      <w:r>
        <w:rPr>
          <w:rFonts w:ascii="Times New Roman" w:hAnsi="Times New Roman"/>
          <w:sz w:val="28"/>
          <w:szCs w:val="28"/>
          <w:lang w:val="uk-UA"/>
        </w:rPr>
        <w:t xml:space="preserve">≥ 6 мг/дл </w:t>
      </w:r>
      <w:r w:rsidR="00567DBF">
        <w:rPr>
          <w:rFonts w:ascii="Times New Roman" w:hAnsi="Times New Roman"/>
          <w:sz w:val="28"/>
          <w:szCs w:val="28"/>
          <w:lang w:val="uk-UA"/>
        </w:rPr>
        <w:t xml:space="preserve">(360 мкмоль/л) </w:t>
      </w:r>
      <w:r>
        <w:rPr>
          <w:rFonts w:ascii="Times New Roman" w:hAnsi="Times New Roman"/>
          <w:sz w:val="28"/>
          <w:szCs w:val="28"/>
          <w:lang w:val="uk-UA"/>
        </w:rPr>
        <w:t xml:space="preserve">для жінок було трактовано як гіперурикемію </w:t>
      </w:r>
      <w:r w:rsidR="00531E9D">
        <w:rPr>
          <w:rFonts w:ascii="Times New Roman" w:hAnsi="Times New Roman"/>
          <w:sz w:val="28"/>
          <w:szCs w:val="28"/>
          <w:lang w:val="uk-UA"/>
        </w:rPr>
        <w:t xml:space="preserve">      </w:t>
      </w:r>
      <w:r w:rsidRPr="006D5855">
        <w:rPr>
          <w:rFonts w:ascii="Times New Roman" w:hAnsi="Times New Roman"/>
          <w:sz w:val="28"/>
          <w:szCs w:val="28"/>
          <w:lang w:val="uk-UA"/>
        </w:rPr>
        <w:t>[</w:t>
      </w:r>
      <w:r w:rsidR="005C5DB7">
        <w:rPr>
          <w:rFonts w:ascii="Times New Roman" w:hAnsi="Times New Roman"/>
          <w:sz w:val="28"/>
          <w:szCs w:val="28"/>
        </w:rPr>
        <w:t>15</w:t>
      </w:r>
      <w:r w:rsidR="005C5DB7">
        <w:rPr>
          <w:rFonts w:ascii="Times New Roman" w:hAnsi="Times New Roman"/>
          <w:sz w:val="28"/>
          <w:szCs w:val="28"/>
          <w:lang w:val="uk-UA"/>
        </w:rPr>
        <w:t>5</w:t>
      </w:r>
      <w:r w:rsidR="00541249" w:rsidRPr="005C5DB7">
        <w:rPr>
          <w:rFonts w:ascii="Times New Roman" w:hAnsi="Times New Roman"/>
          <w:sz w:val="28"/>
          <w:szCs w:val="28"/>
          <w:lang w:val="uk-UA"/>
        </w:rPr>
        <w:t xml:space="preserve">, </w:t>
      </w:r>
      <w:r w:rsidR="005C5DB7">
        <w:rPr>
          <w:rFonts w:ascii="Times New Roman" w:hAnsi="Times New Roman"/>
          <w:sz w:val="28"/>
          <w:szCs w:val="28"/>
        </w:rPr>
        <w:t>15</w:t>
      </w:r>
      <w:r w:rsidR="005C5DB7">
        <w:rPr>
          <w:rFonts w:ascii="Times New Roman" w:hAnsi="Times New Roman"/>
          <w:sz w:val="28"/>
          <w:szCs w:val="28"/>
          <w:lang w:val="uk-UA"/>
        </w:rPr>
        <w:t>6</w:t>
      </w:r>
      <w:r>
        <w:rPr>
          <w:rFonts w:ascii="Times New Roman" w:hAnsi="Times New Roman"/>
          <w:sz w:val="28"/>
          <w:szCs w:val="28"/>
          <w:lang w:val="uk-UA"/>
        </w:rPr>
        <w:t>]</w:t>
      </w:r>
      <w:r w:rsidR="000D27B8" w:rsidRPr="000D27B8">
        <w:rPr>
          <w:rFonts w:ascii="Times New Roman" w:hAnsi="Times New Roman"/>
          <w:sz w:val="28"/>
          <w:szCs w:val="28"/>
        </w:rPr>
        <w:t xml:space="preserve"> </w:t>
      </w:r>
      <w:r w:rsidR="000D27B8">
        <w:rPr>
          <w:rFonts w:ascii="Times New Roman" w:hAnsi="Times New Roman"/>
          <w:sz w:val="28"/>
          <w:szCs w:val="28"/>
          <w:lang w:val="uk-UA"/>
        </w:rPr>
        <w:t>і</w:t>
      </w:r>
      <w:r>
        <w:rPr>
          <w:rFonts w:ascii="Times New Roman" w:hAnsi="Times New Roman"/>
          <w:sz w:val="28"/>
          <w:szCs w:val="28"/>
          <w:lang w:val="uk-UA"/>
        </w:rPr>
        <w:t xml:space="preserve"> виявлено у</w:t>
      </w:r>
      <w:r w:rsidRPr="006D5855">
        <w:rPr>
          <w:rFonts w:ascii="Times New Roman" w:hAnsi="Times New Roman"/>
          <w:sz w:val="28"/>
          <w:szCs w:val="28"/>
          <w:lang w:val="uk-UA"/>
        </w:rPr>
        <w:t xml:space="preserve"> 25 (26,04 %) </w:t>
      </w:r>
      <w:r>
        <w:rPr>
          <w:rFonts w:ascii="Times New Roman" w:hAnsi="Times New Roman"/>
          <w:sz w:val="28"/>
          <w:szCs w:val="28"/>
          <w:lang w:val="uk-UA"/>
        </w:rPr>
        <w:t xml:space="preserve">обстежених </w:t>
      </w:r>
      <w:r w:rsidRPr="006D5855">
        <w:rPr>
          <w:rFonts w:ascii="Times New Roman" w:hAnsi="Times New Roman"/>
          <w:sz w:val="28"/>
          <w:szCs w:val="28"/>
          <w:lang w:val="uk-UA"/>
        </w:rPr>
        <w:t xml:space="preserve">пацiєнтiв </w:t>
      </w:r>
      <w:r>
        <w:rPr>
          <w:rFonts w:ascii="Times New Roman" w:hAnsi="Times New Roman"/>
          <w:sz w:val="28"/>
          <w:szCs w:val="28"/>
          <w:lang w:val="uk-UA"/>
        </w:rPr>
        <w:t xml:space="preserve">iз АГ та </w:t>
      </w:r>
      <w:r w:rsidR="00531E9D">
        <w:rPr>
          <w:rFonts w:ascii="Times New Roman" w:hAnsi="Times New Roman"/>
          <w:sz w:val="28"/>
          <w:szCs w:val="28"/>
          <w:lang w:val="uk-UA"/>
        </w:rPr>
        <w:t xml:space="preserve">               </w:t>
      </w:r>
      <w:r>
        <w:rPr>
          <w:rFonts w:ascii="Times New Roman" w:hAnsi="Times New Roman"/>
          <w:sz w:val="28"/>
          <w:szCs w:val="28"/>
          <w:lang w:val="uk-UA"/>
        </w:rPr>
        <w:t xml:space="preserve">ЦД 2-го типу. </w:t>
      </w:r>
      <w:r w:rsidR="00567DBF">
        <w:rPr>
          <w:rFonts w:ascii="Times New Roman" w:hAnsi="Times New Roman"/>
          <w:sz w:val="28"/>
          <w:szCs w:val="28"/>
          <w:lang w:val="uk-UA"/>
        </w:rPr>
        <w:t>Подагру не було д</w:t>
      </w:r>
      <w:r w:rsidR="00567DBF">
        <w:rPr>
          <w:rFonts w:ascii="Times New Roman" w:hAnsi="Times New Roman"/>
          <w:sz w:val="28"/>
          <w:szCs w:val="28"/>
          <w:lang w:val="en-US"/>
        </w:rPr>
        <w:t>i</w:t>
      </w:r>
      <w:r w:rsidR="00A7450D" w:rsidRPr="002C7945">
        <w:rPr>
          <w:rFonts w:ascii="Times New Roman" w:hAnsi="Times New Roman"/>
          <w:sz w:val="28"/>
          <w:szCs w:val="28"/>
          <w:lang w:val="uk-UA"/>
        </w:rPr>
        <w:t xml:space="preserve">агностовано у жодного хворого. </w:t>
      </w:r>
      <w:r w:rsidR="000D27B8">
        <w:rPr>
          <w:rFonts w:ascii="Times New Roman" w:hAnsi="Times New Roman"/>
          <w:sz w:val="28"/>
          <w:szCs w:val="28"/>
          <w:lang w:val="uk-UA"/>
        </w:rPr>
        <w:t xml:space="preserve">Таким </w:t>
      </w:r>
      <w:r w:rsidR="000D27B8">
        <w:rPr>
          <w:rFonts w:ascii="Times New Roman" w:hAnsi="Times New Roman"/>
          <w:sz w:val="28"/>
          <w:szCs w:val="28"/>
          <w:lang w:val="uk-UA"/>
        </w:rPr>
        <w:lastRenderedPageBreak/>
        <w:t xml:space="preserve">чином, </w:t>
      </w:r>
      <w:r w:rsidR="002A5D8A" w:rsidRPr="002A5D8A">
        <w:rPr>
          <w:rFonts w:ascii="Times New Roman" w:hAnsi="Times New Roman"/>
          <w:sz w:val="28"/>
          <w:szCs w:val="28"/>
          <w:lang w:val="uk-UA"/>
        </w:rPr>
        <w:t xml:space="preserve">безсимптомна гiперурикемiя трапляється майже у третини пацiєнтів </w:t>
      </w:r>
      <w:r w:rsidR="00531E9D">
        <w:rPr>
          <w:rFonts w:ascii="Times New Roman" w:hAnsi="Times New Roman"/>
          <w:sz w:val="28"/>
          <w:szCs w:val="28"/>
          <w:lang w:val="uk-UA"/>
        </w:rPr>
        <w:t xml:space="preserve">  </w:t>
      </w:r>
      <w:r w:rsidR="00567DBF">
        <w:rPr>
          <w:rFonts w:ascii="Times New Roman" w:hAnsi="Times New Roman"/>
          <w:sz w:val="28"/>
          <w:szCs w:val="28"/>
          <w:lang w:val="en-US"/>
        </w:rPr>
        <w:t>i</w:t>
      </w:r>
      <w:r w:rsidR="00166D76" w:rsidRPr="002C7945">
        <w:rPr>
          <w:rFonts w:ascii="Times New Roman" w:hAnsi="Times New Roman"/>
          <w:sz w:val="28"/>
          <w:szCs w:val="28"/>
          <w:lang w:val="uk-UA"/>
        </w:rPr>
        <w:t>з зазнач</w:t>
      </w:r>
      <w:r w:rsidR="00095628" w:rsidRPr="002C7945">
        <w:rPr>
          <w:rFonts w:ascii="Times New Roman" w:hAnsi="Times New Roman"/>
          <w:sz w:val="28"/>
          <w:szCs w:val="28"/>
          <w:lang w:val="uk-UA"/>
        </w:rPr>
        <w:t>е</w:t>
      </w:r>
      <w:r w:rsidR="00567DBF">
        <w:rPr>
          <w:rFonts w:ascii="Times New Roman" w:hAnsi="Times New Roman"/>
          <w:sz w:val="28"/>
          <w:szCs w:val="28"/>
          <w:lang w:val="uk-UA"/>
        </w:rPr>
        <w:t>ною коморб</w:t>
      </w:r>
      <w:r w:rsidR="00567DBF">
        <w:rPr>
          <w:rFonts w:ascii="Times New Roman" w:hAnsi="Times New Roman"/>
          <w:sz w:val="28"/>
          <w:szCs w:val="28"/>
          <w:lang w:val="en-US"/>
        </w:rPr>
        <w:t>i</w:t>
      </w:r>
      <w:r w:rsidR="00567DBF">
        <w:rPr>
          <w:rFonts w:ascii="Times New Roman" w:hAnsi="Times New Roman"/>
          <w:sz w:val="28"/>
          <w:szCs w:val="28"/>
          <w:lang w:val="uk-UA"/>
        </w:rPr>
        <w:t>дною патолог</w:t>
      </w:r>
      <w:r w:rsidR="00567DBF">
        <w:rPr>
          <w:rFonts w:ascii="Times New Roman" w:hAnsi="Times New Roman"/>
          <w:sz w:val="28"/>
          <w:szCs w:val="28"/>
          <w:lang w:val="en-US"/>
        </w:rPr>
        <w:t>i</w:t>
      </w:r>
      <w:r w:rsidR="00166D76" w:rsidRPr="002C7945">
        <w:rPr>
          <w:rFonts w:ascii="Times New Roman" w:hAnsi="Times New Roman"/>
          <w:sz w:val="28"/>
          <w:szCs w:val="28"/>
          <w:lang w:val="uk-UA"/>
        </w:rPr>
        <w:t>єю</w:t>
      </w:r>
      <w:r w:rsidR="00095628">
        <w:rPr>
          <w:rFonts w:ascii="Times New Roman" w:hAnsi="Times New Roman"/>
          <w:sz w:val="28"/>
          <w:szCs w:val="28"/>
          <w:lang w:val="uk-UA"/>
        </w:rPr>
        <w:t>.</w:t>
      </w:r>
      <w:r w:rsidR="00567DBF">
        <w:rPr>
          <w:rFonts w:ascii="Times New Roman" w:hAnsi="Times New Roman"/>
          <w:sz w:val="28"/>
          <w:szCs w:val="28"/>
          <w:lang w:val="uk-UA"/>
        </w:rPr>
        <w:t xml:space="preserve"> </w:t>
      </w:r>
    </w:p>
    <w:p w:rsidR="00356098" w:rsidRPr="006C6B38" w:rsidRDefault="00356098" w:rsidP="006C6B38">
      <w:pPr>
        <w:autoSpaceDE w:val="0"/>
        <w:autoSpaceDN w:val="0"/>
        <w:adjustRightInd w:val="0"/>
        <w:spacing w:after="0" w:line="360" w:lineRule="auto"/>
        <w:ind w:firstLine="708"/>
        <w:jc w:val="both"/>
        <w:rPr>
          <w:rFonts w:ascii="Times New Roman" w:hAnsi="Times New Roman" w:cs="Times New Roman"/>
          <w:sz w:val="28"/>
          <w:szCs w:val="28"/>
          <w:lang w:val="uk-UA"/>
        </w:rPr>
      </w:pPr>
      <w:r w:rsidRPr="00356098">
        <w:rPr>
          <w:rFonts w:ascii="Times New Roman" w:hAnsi="Times New Roman" w:cs="Times New Roman"/>
          <w:sz w:val="28"/>
          <w:szCs w:val="28"/>
          <w:lang w:val="uk-UA"/>
        </w:rPr>
        <w:t>Вм</w:t>
      </w:r>
      <w:r>
        <w:rPr>
          <w:rFonts w:ascii="Times New Roman" w:hAnsi="Times New Roman" w:cs="Times New Roman"/>
          <w:sz w:val="28"/>
          <w:szCs w:val="28"/>
          <w:lang w:val="uk-UA"/>
        </w:rPr>
        <w:t>іст сечової кислоти склав (274,8 ± 124,6) мкмоль/л та (310,02</w:t>
      </w:r>
      <w:r w:rsidR="006C6B3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110,59) мкмоль</w:t>
      </w:r>
      <w:r w:rsidR="006C6B38">
        <w:rPr>
          <w:rFonts w:ascii="Times New Roman" w:hAnsi="Times New Roman" w:cs="Times New Roman"/>
          <w:sz w:val="28"/>
          <w:szCs w:val="28"/>
          <w:lang w:val="uk-UA"/>
        </w:rPr>
        <w:t>/л, р = 0,8356 для чоловіків і</w:t>
      </w:r>
      <w:r>
        <w:rPr>
          <w:rFonts w:ascii="Times New Roman" w:hAnsi="Times New Roman" w:cs="Times New Roman"/>
          <w:sz w:val="28"/>
          <w:szCs w:val="28"/>
          <w:lang w:val="uk-UA"/>
        </w:rPr>
        <w:t xml:space="preserve"> жінок І групи; (203,89 ± 40,2) </w:t>
      </w:r>
      <w:r w:rsidRPr="00356098">
        <w:rPr>
          <w:rFonts w:ascii="Times New Roman" w:hAnsi="Times New Roman" w:cs="Times New Roman"/>
          <w:sz w:val="28"/>
          <w:szCs w:val="28"/>
          <w:lang w:val="uk-UA"/>
        </w:rPr>
        <w:t>мкмоль/л</w:t>
      </w:r>
      <w:r>
        <w:rPr>
          <w:rFonts w:ascii="Times New Roman" w:hAnsi="Times New Roman" w:cs="Times New Roman"/>
          <w:sz w:val="28"/>
          <w:szCs w:val="28"/>
          <w:lang w:val="uk-UA"/>
        </w:rPr>
        <w:t xml:space="preserve"> та (209,69 </w:t>
      </w:r>
      <w:r w:rsidRPr="00356098">
        <w:rPr>
          <w:rFonts w:ascii="Times New Roman" w:hAnsi="Times New Roman" w:cs="Times New Roman"/>
          <w:sz w:val="28"/>
          <w:szCs w:val="28"/>
          <w:lang w:val="uk-UA"/>
        </w:rPr>
        <w:t>±</w:t>
      </w:r>
      <w:r>
        <w:rPr>
          <w:rFonts w:ascii="Times New Roman" w:hAnsi="Times New Roman" w:cs="Times New Roman"/>
          <w:sz w:val="28"/>
          <w:szCs w:val="28"/>
          <w:lang w:val="uk-UA"/>
        </w:rPr>
        <w:t xml:space="preserve"> 29,4) </w:t>
      </w:r>
      <w:r w:rsidRPr="00356098">
        <w:rPr>
          <w:rFonts w:ascii="Times New Roman" w:hAnsi="Times New Roman" w:cs="Times New Roman"/>
          <w:sz w:val="28"/>
          <w:szCs w:val="28"/>
          <w:lang w:val="uk-UA"/>
        </w:rPr>
        <w:t>мкмоль/л</w:t>
      </w:r>
      <w:r>
        <w:rPr>
          <w:rFonts w:ascii="Times New Roman" w:hAnsi="Times New Roman" w:cs="Times New Roman"/>
          <w:sz w:val="28"/>
          <w:szCs w:val="28"/>
          <w:lang w:val="uk-UA"/>
        </w:rPr>
        <w:t>, р = 0,9076</w:t>
      </w:r>
      <w:r w:rsidR="006C6B38">
        <w:rPr>
          <w:rFonts w:ascii="Times New Roman" w:hAnsi="Times New Roman" w:cs="Times New Roman"/>
          <w:sz w:val="28"/>
          <w:szCs w:val="28"/>
          <w:lang w:val="uk-UA"/>
        </w:rPr>
        <w:t xml:space="preserve"> – ІІ групи відповідно. Відсутність достовірної відмінності між урикемією у</w:t>
      </w:r>
      <w:r w:rsidR="00531E9D">
        <w:rPr>
          <w:rFonts w:ascii="Times New Roman" w:hAnsi="Times New Roman" w:cs="Times New Roman"/>
          <w:sz w:val="28"/>
          <w:szCs w:val="28"/>
          <w:lang w:val="uk-UA"/>
        </w:rPr>
        <w:t xml:space="preserve"> чоловіків та жінок І і ІІ груп</w:t>
      </w:r>
      <w:r w:rsidR="006C6B38">
        <w:rPr>
          <w:rFonts w:ascii="Times New Roman" w:hAnsi="Times New Roman" w:cs="Times New Roman"/>
          <w:sz w:val="28"/>
          <w:szCs w:val="28"/>
          <w:lang w:val="uk-UA"/>
        </w:rPr>
        <w:t xml:space="preserve"> означає, що для пацієнтів обох статей підвищення вмісту сечової кислоти відіграє важливу роль у </w:t>
      </w:r>
      <w:r w:rsidR="00A5699E">
        <w:rPr>
          <w:rFonts w:ascii="Times New Roman" w:hAnsi="Times New Roman" w:cs="Times New Roman"/>
          <w:sz w:val="28"/>
          <w:szCs w:val="28"/>
          <w:lang w:val="uk-UA"/>
        </w:rPr>
        <w:t xml:space="preserve">розвитку </w:t>
      </w:r>
      <w:r w:rsidR="006C6B38">
        <w:rPr>
          <w:rFonts w:ascii="Times New Roman" w:hAnsi="Times New Roman" w:cs="Times New Roman"/>
          <w:sz w:val="28"/>
          <w:szCs w:val="28"/>
          <w:lang w:val="uk-UA"/>
        </w:rPr>
        <w:t xml:space="preserve">метаболічних порушень хворих </w:t>
      </w:r>
      <w:r w:rsidR="00531E9D">
        <w:rPr>
          <w:rFonts w:ascii="Times New Roman" w:hAnsi="Times New Roman" w:cs="Times New Roman"/>
          <w:sz w:val="28"/>
          <w:szCs w:val="28"/>
          <w:lang w:val="uk-UA"/>
        </w:rPr>
        <w:t xml:space="preserve">   </w:t>
      </w:r>
      <w:r w:rsidR="006C6B38">
        <w:rPr>
          <w:rFonts w:ascii="Times New Roman" w:hAnsi="Times New Roman" w:cs="Times New Roman"/>
          <w:sz w:val="28"/>
          <w:szCs w:val="28"/>
          <w:lang w:val="uk-UA"/>
        </w:rPr>
        <w:t>на АГ ІІІ стадії.</w:t>
      </w:r>
    </w:p>
    <w:p w:rsidR="00505B97" w:rsidRPr="00174840" w:rsidRDefault="006D64D8" w:rsidP="0017484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567DBF">
        <w:rPr>
          <w:rFonts w:ascii="Times New Roman" w:hAnsi="Times New Roman" w:cs="Times New Roman"/>
          <w:sz w:val="28"/>
          <w:szCs w:val="28"/>
          <w:lang w:val="uk-UA"/>
        </w:rPr>
        <w:t>становлено достов</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 xml:space="preserve">рну </w:t>
      </w:r>
      <w:r w:rsidR="009A41EC">
        <w:rPr>
          <w:rFonts w:ascii="Times New Roman" w:hAnsi="Times New Roman" w:cs="Times New Roman"/>
          <w:sz w:val="28"/>
          <w:szCs w:val="28"/>
          <w:lang w:val="uk-UA"/>
        </w:rPr>
        <w:t xml:space="preserve">позитивну </w:t>
      </w:r>
      <w:r w:rsidR="00567DBF">
        <w:rPr>
          <w:rFonts w:ascii="Times New Roman" w:hAnsi="Times New Roman" w:cs="Times New Roman"/>
          <w:sz w:val="28"/>
          <w:szCs w:val="28"/>
          <w:lang w:val="uk-UA"/>
        </w:rPr>
        <w:t>залежн</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сть 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 xml:space="preserve">ж </w:t>
      </w:r>
      <w:r w:rsidR="000D27B8">
        <w:rPr>
          <w:rFonts w:ascii="Times New Roman" w:hAnsi="Times New Roman" w:cs="Times New Roman"/>
          <w:sz w:val="28"/>
          <w:szCs w:val="28"/>
          <w:lang w:val="uk-UA"/>
        </w:rPr>
        <w:t xml:space="preserve">вмістом </w:t>
      </w:r>
      <w:r w:rsidR="00505B97">
        <w:rPr>
          <w:rFonts w:ascii="Times New Roman" w:hAnsi="Times New Roman" w:cs="Times New Roman"/>
          <w:sz w:val="28"/>
          <w:szCs w:val="28"/>
          <w:lang w:val="uk-UA"/>
        </w:rPr>
        <w:t xml:space="preserve">сечової кислоти та </w:t>
      </w:r>
      <w:r w:rsidR="000D27B8">
        <w:rPr>
          <w:rFonts w:ascii="Times New Roman" w:hAnsi="Times New Roman" w:cs="Times New Roman"/>
          <w:sz w:val="28"/>
          <w:szCs w:val="28"/>
          <w:lang w:val="uk-UA"/>
        </w:rPr>
        <w:t xml:space="preserve">ХС </w:t>
      </w:r>
      <w:r w:rsidR="00505B97">
        <w:rPr>
          <w:rFonts w:ascii="Times New Roman" w:hAnsi="Times New Roman" w:cs="Times New Roman"/>
          <w:sz w:val="28"/>
          <w:szCs w:val="28"/>
          <w:lang w:val="uk-UA"/>
        </w:rPr>
        <w:t>ЛПДНЩ</w:t>
      </w:r>
      <w:r w:rsidR="000D27B8">
        <w:rPr>
          <w:rFonts w:ascii="Times New Roman" w:hAnsi="Times New Roman" w:cs="Times New Roman"/>
          <w:sz w:val="28"/>
          <w:szCs w:val="28"/>
          <w:lang w:val="uk-UA"/>
        </w:rPr>
        <w:t xml:space="preserve"> у </w:t>
      </w:r>
      <w:r w:rsidR="002A5D8A">
        <w:rPr>
          <w:rFonts w:ascii="Times New Roman" w:hAnsi="Times New Roman" w:cs="Times New Roman"/>
          <w:sz w:val="28"/>
          <w:szCs w:val="28"/>
          <w:lang w:val="uk-UA"/>
        </w:rPr>
        <w:t xml:space="preserve">хворих </w:t>
      </w:r>
      <w:r w:rsidR="00EA073F">
        <w:rPr>
          <w:rFonts w:ascii="Times New Roman" w:hAnsi="Times New Roman" w:cs="Times New Roman"/>
          <w:sz w:val="28"/>
          <w:szCs w:val="28"/>
          <w:lang w:val="uk-UA"/>
        </w:rPr>
        <w:t xml:space="preserve">І </w:t>
      </w:r>
      <w:r w:rsidR="00505B97" w:rsidRPr="00487F20">
        <w:rPr>
          <w:rFonts w:ascii="Times New Roman" w:hAnsi="Times New Roman" w:cs="Times New Roman"/>
          <w:sz w:val="28"/>
          <w:szCs w:val="28"/>
          <w:lang w:val="uk-UA"/>
        </w:rPr>
        <w:t>(</w:t>
      </w:r>
      <w:r w:rsidR="00505B97">
        <w:rPr>
          <w:rFonts w:ascii="Times New Roman" w:hAnsi="Times New Roman" w:cs="Times New Roman"/>
          <w:sz w:val="28"/>
          <w:szCs w:val="28"/>
          <w:lang w:val="en-US"/>
        </w:rPr>
        <w:t>r</w:t>
      </w:r>
      <w:r w:rsidR="00D34EC7" w:rsidRPr="00487F20">
        <w:rPr>
          <w:rFonts w:ascii="Times New Roman" w:hAnsi="Times New Roman" w:cs="Times New Roman"/>
          <w:sz w:val="28"/>
          <w:szCs w:val="28"/>
          <w:lang w:val="uk-UA"/>
        </w:rPr>
        <w:t xml:space="preserve"> = 0,2</w:t>
      </w:r>
      <w:r w:rsidR="00D34EC7">
        <w:rPr>
          <w:rFonts w:ascii="Times New Roman" w:hAnsi="Times New Roman" w:cs="Times New Roman"/>
          <w:sz w:val="28"/>
          <w:szCs w:val="28"/>
          <w:lang w:val="uk-UA"/>
        </w:rPr>
        <w:t>4</w:t>
      </w:r>
      <w:r w:rsidR="00505B97" w:rsidRPr="00487F20">
        <w:rPr>
          <w:rFonts w:ascii="Times New Roman" w:hAnsi="Times New Roman" w:cs="Times New Roman"/>
          <w:sz w:val="28"/>
          <w:szCs w:val="28"/>
          <w:lang w:val="uk-UA"/>
        </w:rPr>
        <w:t>; р =</w:t>
      </w:r>
      <w:r w:rsidR="00D34EC7">
        <w:rPr>
          <w:rFonts w:ascii="Times New Roman" w:hAnsi="Times New Roman" w:cs="Times New Roman"/>
          <w:sz w:val="28"/>
          <w:szCs w:val="28"/>
          <w:lang w:val="uk-UA"/>
        </w:rPr>
        <w:t xml:space="preserve"> 0,0179</w:t>
      </w:r>
      <w:r w:rsidR="00505B97" w:rsidRPr="00487F20">
        <w:rPr>
          <w:rFonts w:ascii="Times New Roman" w:hAnsi="Times New Roman" w:cs="Times New Roman"/>
          <w:sz w:val="28"/>
          <w:szCs w:val="28"/>
          <w:lang w:val="uk-UA"/>
        </w:rPr>
        <w:t>)</w:t>
      </w:r>
      <w:r w:rsidR="007864B5">
        <w:rPr>
          <w:rFonts w:ascii="Times New Roman" w:hAnsi="Times New Roman" w:cs="Times New Roman"/>
          <w:sz w:val="28"/>
          <w:szCs w:val="28"/>
          <w:lang w:val="uk-UA"/>
        </w:rPr>
        <w:t xml:space="preserve"> </w:t>
      </w:r>
      <w:r w:rsidR="006B7FF8">
        <w:rPr>
          <w:rFonts w:ascii="Times New Roman" w:hAnsi="Times New Roman" w:cs="Times New Roman"/>
          <w:sz w:val="28"/>
          <w:szCs w:val="28"/>
          <w:lang w:val="uk-UA"/>
        </w:rPr>
        <w:t xml:space="preserve">та ІІ </w:t>
      </w:r>
      <w:r w:rsidR="00505B97">
        <w:rPr>
          <w:rFonts w:ascii="Times New Roman" w:hAnsi="Times New Roman" w:cs="Times New Roman"/>
          <w:sz w:val="28"/>
          <w:szCs w:val="28"/>
          <w:lang w:val="uk-UA"/>
        </w:rPr>
        <w:t>(</w:t>
      </w:r>
      <w:r w:rsidR="00505B97" w:rsidRPr="00505B97">
        <w:rPr>
          <w:rFonts w:ascii="Times New Roman" w:hAnsi="Times New Roman" w:cs="Times New Roman"/>
          <w:sz w:val="28"/>
          <w:szCs w:val="28"/>
          <w:lang w:val="en-US"/>
        </w:rPr>
        <w:t>r</w:t>
      </w:r>
      <w:r w:rsidR="00505B97" w:rsidRPr="00487F20">
        <w:rPr>
          <w:rFonts w:ascii="Times New Roman" w:hAnsi="Times New Roman" w:cs="Times New Roman"/>
          <w:sz w:val="28"/>
          <w:szCs w:val="28"/>
          <w:lang w:val="uk-UA"/>
        </w:rPr>
        <w:t xml:space="preserve"> = 0,</w:t>
      </w:r>
      <w:r w:rsidR="00505B97">
        <w:rPr>
          <w:rFonts w:ascii="Times New Roman" w:hAnsi="Times New Roman" w:cs="Times New Roman"/>
          <w:sz w:val="28"/>
          <w:szCs w:val="28"/>
          <w:lang w:val="uk-UA"/>
        </w:rPr>
        <w:t>57</w:t>
      </w:r>
      <w:r w:rsidR="00505B97" w:rsidRPr="00487F20">
        <w:rPr>
          <w:rFonts w:ascii="Times New Roman" w:hAnsi="Times New Roman" w:cs="Times New Roman"/>
          <w:sz w:val="28"/>
          <w:szCs w:val="28"/>
          <w:lang w:val="uk-UA"/>
        </w:rPr>
        <w:t xml:space="preserve">; </w:t>
      </w:r>
      <w:r w:rsidR="002A5D8A">
        <w:rPr>
          <w:rFonts w:ascii="Times New Roman" w:hAnsi="Times New Roman" w:cs="Times New Roman"/>
          <w:sz w:val="28"/>
          <w:szCs w:val="28"/>
          <w:lang w:val="uk-UA"/>
        </w:rPr>
        <w:t xml:space="preserve">            </w:t>
      </w:r>
      <w:r w:rsidR="00505B97" w:rsidRPr="00487F20">
        <w:rPr>
          <w:rFonts w:ascii="Times New Roman" w:hAnsi="Times New Roman" w:cs="Times New Roman"/>
          <w:sz w:val="28"/>
          <w:szCs w:val="28"/>
          <w:lang w:val="uk-UA"/>
        </w:rPr>
        <w:t>р =</w:t>
      </w:r>
      <w:r w:rsidR="00D34EC7">
        <w:rPr>
          <w:rFonts w:ascii="Times New Roman" w:hAnsi="Times New Roman" w:cs="Times New Roman"/>
          <w:sz w:val="28"/>
          <w:szCs w:val="28"/>
          <w:lang w:val="uk-UA"/>
        </w:rPr>
        <w:t xml:space="preserve"> 0,0024</w:t>
      </w:r>
      <w:r w:rsidR="00174840">
        <w:rPr>
          <w:rFonts w:ascii="Times New Roman" w:hAnsi="Times New Roman" w:cs="Times New Roman"/>
          <w:sz w:val="28"/>
          <w:szCs w:val="28"/>
          <w:lang w:val="uk-UA"/>
        </w:rPr>
        <w:t>)</w:t>
      </w:r>
      <w:r w:rsidR="006B7FF8">
        <w:rPr>
          <w:rFonts w:ascii="Times New Roman" w:hAnsi="Times New Roman" w:cs="Times New Roman"/>
          <w:sz w:val="28"/>
          <w:szCs w:val="28"/>
          <w:lang w:val="uk-UA"/>
        </w:rPr>
        <w:t xml:space="preserve"> груп</w:t>
      </w:r>
      <w:r w:rsidR="00271796" w:rsidRPr="00271796">
        <w:rPr>
          <w:rFonts w:ascii="Times New Roman" w:hAnsi="Times New Roman" w:cs="Times New Roman"/>
          <w:sz w:val="28"/>
          <w:szCs w:val="28"/>
          <w:lang w:val="uk-UA"/>
        </w:rPr>
        <w:t xml:space="preserve"> (рис. 4.4.1, 4.4.2</w:t>
      </w:r>
      <w:r w:rsidR="00271796">
        <w:rPr>
          <w:rFonts w:ascii="Times New Roman" w:hAnsi="Times New Roman" w:cs="Times New Roman"/>
          <w:sz w:val="28"/>
          <w:szCs w:val="28"/>
          <w:lang w:val="uk-UA"/>
        </w:rPr>
        <w:t>)</w:t>
      </w:r>
      <w:r w:rsidR="00174840">
        <w:rPr>
          <w:rFonts w:ascii="Times New Roman" w:hAnsi="Times New Roman" w:cs="Times New Roman"/>
          <w:sz w:val="28"/>
          <w:szCs w:val="28"/>
          <w:lang w:val="uk-UA"/>
        </w:rPr>
        <w:t>.</w:t>
      </w:r>
      <w:r w:rsidR="009A41EC">
        <w:rPr>
          <w:rFonts w:ascii="Times New Roman" w:hAnsi="Times New Roman" w:cs="Times New Roman"/>
          <w:sz w:val="28"/>
          <w:szCs w:val="28"/>
          <w:lang w:val="uk-UA"/>
        </w:rPr>
        <w:t xml:space="preserve"> </w:t>
      </w:r>
    </w:p>
    <w:p w:rsidR="002A696C" w:rsidRPr="007953A2" w:rsidRDefault="002A696C" w:rsidP="002A696C">
      <w:pPr>
        <w:autoSpaceDE w:val="0"/>
        <w:autoSpaceDN w:val="0"/>
        <w:adjustRightInd w:val="0"/>
        <w:spacing w:after="0" w:line="360" w:lineRule="auto"/>
        <w:jc w:val="both"/>
        <w:rPr>
          <w:rFonts w:ascii="Times New Roman" w:hAnsi="Times New Roman" w:cs="Times New Roman"/>
          <w:lang w:val="uk-UA"/>
        </w:rPr>
      </w:pPr>
      <w:r w:rsidRPr="007953A2">
        <w:rPr>
          <w:rFonts w:ascii="Times New Roman" w:hAnsi="Times New Roman" w:cs="Times New Roman"/>
          <w:noProof/>
          <w:lang w:eastAsia="ru-RU"/>
        </w:rPr>
        <w:drawing>
          <wp:inline distT="0" distB="0" distL="0" distR="0" wp14:anchorId="1C6A0FC9" wp14:editId="2BEC58FB">
            <wp:extent cx="6028267" cy="3533422"/>
            <wp:effectExtent l="0" t="0" r="10795" b="1016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6E66" w:rsidRDefault="00863D6C" w:rsidP="002A696C">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3B6874">
        <w:rPr>
          <w:rFonts w:ascii="Times New Roman" w:hAnsi="Times New Roman" w:cs="Times New Roman"/>
          <w:sz w:val="28"/>
          <w:szCs w:val="28"/>
          <w:lang w:val="uk-UA"/>
        </w:rPr>
        <w:t>.</w:t>
      </w:r>
      <w:r>
        <w:rPr>
          <w:rFonts w:ascii="Times New Roman" w:hAnsi="Times New Roman" w:cs="Times New Roman"/>
          <w:sz w:val="28"/>
          <w:szCs w:val="28"/>
          <w:lang w:val="uk-UA"/>
        </w:rPr>
        <w:t xml:space="preserve"> 4.4.1</w:t>
      </w:r>
      <w:r w:rsidR="006D64D8">
        <w:rPr>
          <w:rFonts w:ascii="Times New Roman" w:hAnsi="Times New Roman" w:cs="Times New Roman"/>
          <w:sz w:val="28"/>
          <w:szCs w:val="28"/>
          <w:lang w:val="uk-UA"/>
        </w:rPr>
        <w:t xml:space="preserve"> −</w:t>
      </w:r>
      <w:r w:rsidR="0018702C" w:rsidRPr="002A696C">
        <w:rPr>
          <w:rFonts w:ascii="Times New Roman" w:hAnsi="Times New Roman" w:cs="Times New Roman"/>
          <w:sz w:val="28"/>
          <w:szCs w:val="28"/>
          <w:lang w:val="uk-UA"/>
        </w:rPr>
        <w:t xml:space="preserve"> </w:t>
      </w:r>
      <w:r w:rsidR="003B6874">
        <w:rPr>
          <w:rFonts w:ascii="Times New Roman" w:hAnsi="Times New Roman" w:cs="Times New Roman"/>
          <w:sz w:val="28"/>
          <w:szCs w:val="28"/>
          <w:lang w:val="uk-UA"/>
        </w:rPr>
        <w:t>З</w:t>
      </w:r>
      <w:r w:rsidR="0018702C" w:rsidRPr="0018702C">
        <w:rPr>
          <w:rFonts w:ascii="Times New Roman" w:hAnsi="Times New Roman" w:cs="Times New Roman"/>
          <w:sz w:val="28"/>
          <w:szCs w:val="28"/>
          <w:lang w:val="uk-UA"/>
        </w:rPr>
        <w:t xml:space="preserve">алежність між </w:t>
      </w:r>
      <w:r w:rsidR="003B6874">
        <w:rPr>
          <w:rFonts w:ascii="Times New Roman" w:hAnsi="Times New Roman" w:cs="Times New Roman"/>
          <w:sz w:val="28"/>
          <w:szCs w:val="28"/>
          <w:lang w:val="uk-UA"/>
        </w:rPr>
        <w:t xml:space="preserve">вмістом </w:t>
      </w:r>
      <w:r w:rsidR="0018702C" w:rsidRPr="0018702C">
        <w:rPr>
          <w:rFonts w:ascii="Times New Roman" w:hAnsi="Times New Roman" w:cs="Times New Roman"/>
          <w:sz w:val="28"/>
          <w:szCs w:val="28"/>
          <w:lang w:val="uk-UA"/>
        </w:rPr>
        <w:t xml:space="preserve">сечової кислоти та </w:t>
      </w:r>
      <w:r w:rsidR="003B6874">
        <w:rPr>
          <w:rFonts w:ascii="Times New Roman" w:hAnsi="Times New Roman" w:cs="Times New Roman"/>
          <w:sz w:val="28"/>
          <w:szCs w:val="28"/>
          <w:lang w:val="uk-UA"/>
        </w:rPr>
        <w:t>холестерину ліпопротеїдів дуже низької щільності у пацієнтів І групи</w:t>
      </w:r>
    </w:p>
    <w:p w:rsidR="007953A2" w:rsidRDefault="007953A2" w:rsidP="00174840">
      <w:pPr>
        <w:autoSpaceDE w:val="0"/>
        <w:autoSpaceDN w:val="0"/>
        <w:adjustRightInd w:val="0"/>
        <w:spacing w:after="0" w:line="360" w:lineRule="auto"/>
        <w:rPr>
          <w:rFonts w:ascii="Times New Roman" w:hAnsi="Times New Roman" w:cs="Times New Roman"/>
          <w:sz w:val="28"/>
          <w:szCs w:val="28"/>
          <w:lang w:val="uk-UA"/>
        </w:rPr>
      </w:pPr>
      <w:r w:rsidRPr="007953A2">
        <w:rPr>
          <w:rFonts w:ascii="Times New Roman" w:hAnsi="Times New Roman" w:cs="Times New Roman"/>
          <w:noProof/>
          <w:lang w:eastAsia="ru-RU"/>
        </w:rPr>
        <w:lastRenderedPageBreak/>
        <w:drawing>
          <wp:inline distT="0" distB="0" distL="0" distR="0" wp14:anchorId="251E54B0" wp14:editId="17A3A850">
            <wp:extent cx="6028660" cy="3274828"/>
            <wp:effectExtent l="0" t="0" r="10795" b="2095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1F4D" w:rsidRDefault="003B6874" w:rsidP="00271796">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174840">
        <w:rPr>
          <w:rFonts w:ascii="Times New Roman" w:hAnsi="Times New Roman" w:cs="Times New Roman"/>
          <w:sz w:val="28"/>
          <w:szCs w:val="28"/>
          <w:lang w:val="uk-UA"/>
        </w:rPr>
        <w:t xml:space="preserve"> 4.4.</w:t>
      </w:r>
      <w:r w:rsidR="00863D6C">
        <w:rPr>
          <w:rFonts w:ascii="Times New Roman" w:hAnsi="Times New Roman" w:cs="Times New Roman"/>
          <w:sz w:val="28"/>
          <w:szCs w:val="28"/>
          <w:lang w:val="uk-UA"/>
        </w:rPr>
        <w:t>2</w:t>
      </w:r>
      <w:r w:rsidR="006D64D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Залежність між вмістом</w:t>
      </w:r>
      <w:r w:rsidR="007953A2" w:rsidRPr="007953A2">
        <w:rPr>
          <w:rFonts w:ascii="Times New Roman" w:hAnsi="Times New Roman" w:cs="Times New Roman"/>
          <w:sz w:val="28"/>
          <w:szCs w:val="28"/>
          <w:lang w:val="uk-UA"/>
        </w:rPr>
        <w:t xml:space="preserve"> сечової кислоти та </w:t>
      </w:r>
      <w:r>
        <w:rPr>
          <w:rFonts w:ascii="Times New Roman" w:hAnsi="Times New Roman" w:cs="Times New Roman"/>
          <w:sz w:val="28"/>
          <w:szCs w:val="28"/>
          <w:lang w:val="uk-UA"/>
        </w:rPr>
        <w:t xml:space="preserve">тригліцеридів </w:t>
      </w:r>
    </w:p>
    <w:p w:rsidR="00C440AC" w:rsidRPr="00271796" w:rsidRDefault="003B6874" w:rsidP="00271796">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у пацієнтів І групи</w:t>
      </w:r>
    </w:p>
    <w:p w:rsidR="00271796" w:rsidRDefault="00271796" w:rsidP="00C440AC">
      <w:pPr>
        <w:autoSpaceDE w:val="0"/>
        <w:autoSpaceDN w:val="0"/>
        <w:adjustRightInd w:val="0"/>
        <w:spacing w:after="0" w:line="360" w:lineRule="auto"/>
        <w:ind w:firstLine="708"/>
        <w:jc w:val="both"/>
        <w:rPr>
          <w:rFonts w:ascii="Times New Roman" w:hAnsi="Times New Roman" w:cs="Times New Roman"/>
          <w:sz w:val="28"/>
          <w:szCs w:val="28"/>
          <w:lang w:val="uk-UA"/>
        </w:rPr>
      </w:pPr>
      <w:r w:rsidRPr="00271796">
        <w:rPr>
          <w:rFonts w:ascii="Times New Roman" w:hAnsi="Times New Roman" w:cs="Times New Roman"/>
          <w:sz w:val="28"/>
          <w:szCs w:val="28"/>
          <w:lang w:val="uk-UA"/>
        </w:rPr>
        <w:t xml:space="preserve">У хворих </w:t>
      </w:r>
      <w:r w:rsidR="002A5D8A">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АГ та ЦД 2-го типу </w:t>
      </w:r>
      <w:r w:rsidRPr="00271796">
        <w:rPr>
          <w:rFonts w:ascii="Times New Roman" w:hAnsi="Times New Roman" w:cs="Times New Roman"/>
          <w:sz w:val="28"/>
          <w:szCs w:val="28"/>
          <w:lang w:val="uk-UA"/>
        </w:rPr>
        <w:t>із збільшенням ур</w:t>
      </w:r>
      <w:r w:rsidR="002A5D8A">
        <w:rPr>
          <w:rFonts w:ascii="Times New Roman" w:hAnsi="Times New Roman" w:cs="Times New Roman"/>
          <w:sz w:val="28"/>
          <w:szCs w:val="28"/>
          <w:lang w:val="uk-UA"/>
        </w:rPr>
        <w:t>икемії достовірно зростав вміст</w:t>
      </w:r>
      <w:r w:rsidRPr="00271796">
        <w:rPr>
          <w:rFonts w:ascii="Times New Roman" w:hAnsi="Times New Roman" w:cs="Times New Roman"/>
          <w:sz w:val="28"/>
          <w:szCs w:val="28"/>
          <w:lang w:val="uk-UA"/>
        </w:rPr>
        <w:t xml:space="preserve"> ТГ (r = 0,46; р &lt; 0,0001)</w:t>
      </w:r>
      <w:r>
        <w:rPr>
          <w:rFonts w:ascii="Times New Roman" w:hAnsi="Times New Roman" w:cs="Times New Roman"/>
          <w:sz w:val="28"/>
          <w:szCs w:val="28"/>
          <w:lang w:val="uk-UA"/>
        </w:rPr>
        <w:t>.</w:t>
      </w:r>
    </w:p>
    <w:p w:rsidR="00C440AC" w:rsidRPr="00C440AC" w:rsidRDefault="00C440AC" w:rsidP="00C440AC">
      <w:pPr>
        <w:autoSpaceDE w:val="0"/>
        <w:autoSpaceDN w:val="0"/>
        <w:adjustRightInd w:val="0"/>
        <w:spacing w:after="0" w:line="360" w:lineRule="auto"/>
        <w:ind w:firstLine="708"/>
        <w:jc w:val="both"/>
        <w:rPr>
          <w:rFonts w:ascii="Times New Roman" w:hAnsi="Times New Roman" w:cs="Times New Roman"/>
          <w:sz w:val="28"/>
          <w:szCs w:val="28"/>
          <w:lang w:val="uk-UA"/>
        </w:rPr>
      </w:pPr>
      <w:r w:rsidRPr="00C440AC">
        <w:rPr>
          <w:rFonts w:ascii="Times New Roman" w:hAnsi="Times New Roman" w:cs="Times New Roman"/>
          <w:sz w:val="28"/>
          <w:szCs w:val="28"/>
          <w:lang w:val="uk-UA"/>
        </w:rPr>
        <w:t xml:space="preserve">У пацієнтів І групи недостовiрними виявилися позитивнi залежностi мiж вмістом урикемiї та </w:t>
      </w:r>
      <w:r w:rsidR="002A5D8A">
        <w:rPr>
          <w:rFonts w:ascii="Times New Roman" w:hAnsi="Times New Roman" w:cs="Times New Roman"/>
          <w:sz w:val="28"/>
          <w:szCs w:val="28"/>
          <w:lang w:val="uk-UA"/>
        </w:rPr>
        <w:t xml:space="preserve">ХС </w:t>
      </w:r>
      <w:r w:rsidRPr="00C440AC">
        <w:rPr>
          <w:rFonts w:ascii="Times New Roman" w:hAnsi="Times New Roman" w:cs="Times New Roman"/>
          <w:sz w:val="28"/>
          <w:szCs w:val="28"/>
          <w:lang w:val="uk-UA"/>
        </w:rPr>
        <w:t xml:space="preserve">ЛПНЩ  (р = 0,4957), КА (р </w:t>
      </w:r>
      <w:r w:rsidR="002A5D8A">
        <w:rPr>
          <w:rFonts w:ascii="Times New Roman" w:hAnsi="Times New Roman" w:cs="Times New Roman"/>
          <w:sz w:val="28"/>
          <w:szCs w:val="28"/>
          <w:lang w:val="uk-UA"/>
        </w:rPr>
        <w:t>= 0,0960), негативнi – ХС</w:t>
      </w:r>
      <w:r w:rsidRPr="00C440AC">
        <w:rPr>
          <w:rFonts w:ascii="Times New Roman" w:hAnsi="Times New Roman" w:cs="Times New Roman"/>
          <w:sz w:val="28"/>
          <w:szCs w:val="28"/>
          <w:lang w:val="uk-UA"/>
        </w:rPr>
        <w:t xml:space="preserve"> ЛПВЩ (р = 0,7705). </w:t>
      </w:r>
    </w:p>
    <w:p w:rsidR="00C440AC" w:rsidRDefault="00C440AC" w:rsidP="00271796">
      <w:pPr>
        <w:autoSpaceDE w:val="0"/>
        <w:autoSpaceDN w:val="0"/>
        <w:adjustRightInd w:val="0"/>
        <w:spacing w:after="0" w:line="360" w:lineRule="auto"/>
        <w:ind w:firstLine="708"/>
        <w:jc w:val="both"/>
        <w:rPr>
          <w:rFonts w:ascii="Times New Roman" w:hAnsi="Times New Roman" w:cs="Times New Roman"/>
          <w:sz w:val="28"/>
          <w:szCs w:val="28"/>
          <w:lang w:val="uk-UA"/>
        </w:rPr>
      </w:pPr>
      <w:r w:rsidRPr="00C440AC">
        <w:rPr>
          <w:rFonts w:ascii="Times New Roman" w:hAnsi="Times New Roman" w:cs="Times New Roman"/>
          <w:sz w:val="28"/>
          <w:szCs w:val="28"/>
          <w:lang w:val="uk-UA"/>
        </w:rPr>
        <w:t xml:space="preserve">У хворих ІІ групи </w:t>
      </w:r>
      <w:r w:rsidR="002A5D8A">
        <w:rPr>
          <w:rFonts w:ascii="Times New Roman" w:hAnsi="Times New Roman" w:cs="Times New Roman"/>
          <w:sz w:val="28"/>
          <w:szCs w:val="28"/>
          <w:lang w:val="uk-UA"/>
        </w:rPr>
        <w:t>констатовано недостовiрні</w:t>
      </w:r>
      <w:r w:rsidRPr="00C440AC">
        <w:rPr>
          <w:rFonts w:ascii="Times New Roman" w:hAnsi="Times New Roman" w:cs="Times New Roman"/>
          <w:sz w:val="28"/>
          <w:szCs w:val="28"/>
          <w:lang w:val="uk-UA"/>
        </w:rPr>
        <w:t xml:space="preserve"> зв’язки мiж вмістом урикемiї та </w:t>
      </w:r>
      <w:r w:rsidR="002A5D8A">
        <w:rPr>
          <w:rFonts w:ascii="Times New Roman" w:hAnsi="Times New Roman" w:cs="Times New Roman"/>
          <w:sz w:val="28"/>
          <w:szCs w:val="28"/>
          <w:lang w:val="uk-UA"/>
        </w:rPr>
        <w:t xml:space="preserve">ХС </w:t>
      </w:r>
      <w:r w:rsidRPr="00C440AC">
        <w:rPr>
          <w:rFonts w:ascii="Times New Roman" w:hAnsi="Times New Roman" w:cs="Times New Roman"/>
          <w:sz w:val="28"/>
          <w:szCs w:val="28"/>
          <w:lang w:val="uk-UA"/>
        </w:rPr>
        <w:t xml:space="preserve">ЛПНЩ  (р = 0,1822), КА (р = 0,5927), </w:t>
      </w:r>
      <w:r w:rsidR="002A5D8A">
        <w:rPr>
          <w:rFonts w:ascii="Times New Roman" w:hAnsi="Times New Roman" w:cs="Times New Roman"/>
          <w:sz w:val="28"/>
          <w:szCs w:val="28"/>
          <w:lang w:val="uk-UA"/>
        </w:rPr>
        <w:t xml:space="preserve">ХС </w:t>
      </w:r>
      <w:r w:rsidRPr="00C440AC">
        <w:rPr>
          <w:rFonts w:ascii="Times New Roman" w:hAnsi="Times New Roman" w:cs="Times New Roman"/>
          <w:sz w:val="28"/>
          <w:szCs w:val="28"/>
          <w:lang w:val="uk-UA"/>
        </w:rPr>
        <w:t>ЛПВЩ (р = 0,7340), ТГ (р = 0,2180).</w:t>
      </w:r>
    </w:p>
    <w:p w:rsidR="00F87ADC" w:rsidRDefault="00925755" w:rsidP="00AD235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271796">
        <w:rPr>
          <w:rFonts w:ascii="Times New Roman" w:hAnsi="Times New Roman" w:cs="Times New Roman"/>
          <w:sz w:val="28"/>
          <w:szCs w:val="28"/>
          <w:lang w:val="uk-UA"/>
        </w:rPr>
        <w:t xml:space="preserve">у пацієнтів </w:t>
      </w:r>
      <w:r w:rsidR="009A41EC">
        <w:rPr>
          <w:rFonts w:ascii="Times New Roman" w:hAnsi="Times New Roman" w:cs="Times New Roman"/>
          <w:sz w:val="28"/>
          <w:szCs w:val="28"/>
          <w:lang w:val="uk-UA"/>
        </w:rPr>
        <w:t xml:space="preserve">із АГ та ЦД 2-го типу зростання </w:t>
      </w:r>
      <w:r w:rsidR="00567DBF">
        <w:rPr>
          <w:rFonts w:ascii="Times New Roman" w:hAnsi="Times New Roman" w:cs="Times New Roman"/>
          <w:sz w:val="28"/>
          <w:szCs w:val="28"/>
          <w:lang w:val="uk-UA"/>
        </w:rPr>
        <w:t>альбум</w:t>
      </w:r>
      <w:r w:rsidR="00567DBF">
        <w:rPr>
          <w:rFonts w:ascii="Times New Roman" w:hAnsi="Times New Roman" w:cs="Times New Roman"/>
          <w:sz w:val="28"/>
          <w:szCs w:val="28"/>
          <w:lang w:val="en-US"/>
        </w:rPr>
        <w:t>i</w:t>
      </w:r>
      <w:r w:rsidR="00567DBF">
        <w:rPr>
          <w:rFonts w:ascii="Times New Roman" w:hAnsi="Times New Roman" w:cs="Times New Roman"/>
          <w:sz w:val="28"/>
          <w:szCs w:val="28"/>
          <w:lang w:val="uk-UA"/>
        </w:rPr>
        <w:t xml:space="preserve">нурії </w:t>
      </w:r>
      <w:r w:rsidR="009A41EC">
        <w:rPr>
          <w:rFonts w:ascii="Times New Roman" w:hAnsi="Times New Roman" w:cs="Times New Roman"/>
          <w:sz w:val="28"/>
          <w:szCs w:val="28"/>
          <w:lang w:val="uk-UA"/>
        </w:rPr>
        <w:t>пропорційно до збільшення</w:t>
      </w:r>
      <w:r w:rsidR="008351A3" w:rsidRPr="008351A3">
        <w:rPr>
          <w:rFonts w:ascii="Times New Roman" w:hAnsi="Times New Roman" w:cs="Times New Roman"/>
          <w:sz w:val="28"/>
          <w:szCs w:val="28"/>
          <w:lang w:val="uk-UA"/>
        </w:rPr>
        <w:t xml:space="preserve"> </w:t>
      </w:r>
      <w:r w:rsidR="003B104F" w:rsidRPr="003B104F">
        <w:rPr>
          <w:rFonts w:ascii="Times New Roman" w:hAnsi="Times New Roman" w:cs="Times New Roman"/>
          <w:sz w:val="28"/>
          <w:szCs w:val="28"/>
          <w:lang w:val="uk-UA"/>
        </w:rPr>
        <w:t>HbA1с (r = 0,6</w:t>
      </w:r>
      <w:r w:rsidR="003B104F">
        <w:rPr>
          <w:rFonts w:ascii="Times New Roman" w:hAnsi="Times New Roman" w:cs="Times New Roman"/>
          <w:sz w:val="28"/>
          <w:szCs w:val="28"/>
          <w:lang w:val="uk-UA"/>
        </w:rPr>
        <w:t>, p &lt; 0,0001)</w:t>
      </w:r>
      <w:r w:rsidR="00567DBF">
        <w:rPr>
          <w:rFonts w:ascii="Times New Roman" w:hAnsi="Times New Roman" w:cs="Times New Roman"/>
          <w:sz w:val="28"/>
          <w:szCs w:val="28"/>
          <w:lang w:val="uk-UA"/>
        </w:rPr>
        <w:t xml:space="preserve"> п</w:t>
      </w:r>
      <w:r w:rsidR="00567DBF">
        <w:rPr>
          <w:rFonts w:ascii="Times New Roman" w:hAnsi="Times New Roman" w:cs="Times New Roman"/>
          <w:sz w:val="28"/>
          <w:szCs w:val="28"/>
          <w:lang w:val="en-US"/>
        </w:rPr>
        <w:t>i</w:t>
      </w:r>
      <w:r w:rsidR="008351A3" w:rsidRPr="003B104F">
        <w:rPr>
          <w:rFonts w:ascii="Times New Roman" w:hAnsi="Times New Roman" w:cs="Times New Roman"/>
          <w:sz w:val="28"/>
          <w:szCs w:val="28"/>
          <w:lang w:val="uk-UA"/>
        </w:rPr>
        <w:t>дтверджує, що саме аль</w:t>
      </w:r>
      <w:r>
        <w:rPr>
          <w:rFonts w:ascii="Times New Roman" w:hAnsi="Times New Roman" w:cs="Times New Roman"/>
          <w:sz w:val="28"/>
          <w:szCs w:val="28"/>
          <w:lang w:val="uk-UA"/>
        </w:rPr>
        <w:t>бумінурія є основним маркером ураження нирок при коморбідній патології</w:t>
      </w:r>
      <w:r w:rsidR="009F6F84">
        <w:rPr>
          <w:rFonts w:ascii="Times New Roman" w:hAnsi="Times New Roman" w:cs="Times New Roman"/>
          <w:sz w:val="28"/>
          <w:szCs w:val="28"/>
          <w:lang w:val="uk-UA"/>
        </w:rPr>
        <w:t xml:space="preserve">, а її </w:t>
      </w:r>
      <w:r w:rsidR="002A5D8A">
        <w:rPr>
          <w:rFonts w:ascii="Times New Roman" w:hAnsi="Times New Roman" w:cs="Times New Roman"/>
          <w:sz w:val="28"/>
          <w:szCs w:val="28"/>
          <w:lang w:val="uk-UA"/>
        </w:rPr>
        <w:t>підвищення</w:t>
      </w:r>
      <w:r w:rsidR="009F6F84">
        <w:rPr>
          <w:rFonts w:ascii="Times New Roman" w:hAnsi="Times New Roman" w:cs="Times New Roman"/>
          <w:sz w:val="28"/>
          <w:szCs w:val="28"/>
          <w:lang w:val="uk-UA"/>
        </w:rPr>
        <w:t xml:space="preserve"> сприяє </w:t>
      </w:r>
      <w:r w:rsidR="00271796">
        <w:rPr>
          <w:rFonts w:ascii="Times New Roman" w:hAnsi="Times New Roman" w:cs="Times New Roman"/>
          <w:sz w:val="28"/>
          <w:szCs w:val="28"/>
          <w:lang w:val="uk-UA"/>
        </w:rPr>
        <w:t xml:space="preserve">декомпенсації </w:t>
      </w:r>
      <w:r>
        <w:rPr>
          <w:rFonts w:ascii="Times New Roman" w:hAnsi="Times New Roman" w:cs="Times New Roman"/>
          <w:sz w:val="28"/>
          <w:szCs w:val="28"/>
          <w:lang w:val="uk-UA"/>
        </w:rPr>
        <w:t>ЦД 2-го типу</w:t>
      </w:r>
      <w:r w:rsidR="008351A3" w:rsidRPr="003B104F">
        <w:rPr>
          <w:rFonts w:ascii="Times New Roman" w:hAnsi="Times New Roman" w:cs="Times New Roman"/>
          <w:sz w:val="28"/>
          <w:szCs w:val="28"/>
          <w:lang w:val="uk-UA"/>
        </w:rPr>
        <w:t xml:space="preserve">. </w:t>
      </w:r>
      <w:r w:rsidR="00AD2355" w:rsidRPr="003B104F">
        <w:rPr>
          <w:rFonts w:ascii="Times New Roman" w:hAnsi="Times New Roman" w:cs="Times New Roman"/>
          <w:sz w:val="28"/>
          <w:szCs w:val="28"/>
          <w:lang w:val="uk-UA"/>
        </w:rPr>
        <w:t>П</w:t>
      </w:r>
      <w:r w:rsidR="008351A3" w:rsidRPr="003B104F">
        <w:rPr>
          <w:rFonts w:ascii="Times New Roman" w:hAnsi="Times New Roman" w:cs="Times New Roman"/>
          <w:sz w:val="28"/>
          <w:szCs w:val="28"/>
          <w:lang w:val="uk-UA"/>
        </w:rPr>
        <w:t>озитивні зв’язки між співвідношення</w:t>
      </w:r>
      <w:r w:rsidR="002A5D8A">
        <w:rPr>
          <w:rFonts w:ascii="Times New Roman" w:hAnsi="Times New Roman" w:cs="Times New Roman"/>
          <w:sz w:val="28"/>
          <w:szCs w:val="28"/>
          <w:lang w:val="uk-UA"/>
        </w:rPr>
        <w:t>м</w:t>
      </w:r>
      <w:r w:rsidR="008351A3" w:rsidRPr="003B104F">
        <w:rPr>
          <w:rFonts w:ascii="Times New Roman" w:hAnsi="Times New Roman" w:cs="Times New Roman"/>
          <w:sz w:val="28"/>
          <w:szCs w:val="28"/>
          <w:lang w:val="uk-UA"/>
        </w:rPr>
        <w:t xml:space="preserve"> аль</w:t>
      </w:r>
      <w:r w:rsidR="003B104F" w:rsidRPr="003B104F">
        <w:rPr>
          <w:rFonts w:ascii="Times New Roman" w:hAnsi="Times New Roman" w:cs="Times New Roman"/>
          <w:sz w:val="28"/>
          <w:szCs w:val="28"/>
          <w:lang w:val="uk-UA"/>
        </w:rPr>
        <w:t>буміну до креа</w:t>
      </w:r>
      <w:r w:rsidR="000A39A1">
        <w:rPr>
          <w:rFonts w:ascii="Times New Roman" w:hAnsi="Times New Roman" w:cs="Times New Roman"/>
          <w:sz w:val="28"/>
          <w:szCs w:val="28"/>
          <w:lang w:val="uk-UA"/>
        </w:rPr>
        <w:t xml:space="preserve">тиніну в сечі та </w:t>
      </w:r>
      <w:r w:rsidR="004E518E">
        <w:rPr>
          <w:rFonts w:ascii="Times New Roman" w:hAnsi="Times New Roman" w:cs="Times New Roman"/>
          <w:sz w:val="28"/>
          <w:szCs w:val="28"/>
          <w:lang w:val="uk-UA"/>
        </w:rPr>
        <w:t xml:space="preserve">ХС </w:t>
      </w:r>
      <w:r w:rsidR="000A39A1">
        <w:rPr>
          <w:rFonts w:ascii="Times New Roman" w:hAnsi="Times New Roman" w:cs="Times New Roman"/>
          <w:sz w:val="28"/>
          <w:szCs w:val="28"/>
          <w:lang w:val="uk-UA"/>
        </w:rPr>
        <w:t xml:space="preserve">ЛПНЩ </w:t>
      </w:r>
      <w:r w:rsidR="002A5D8A">
        <w:rPr>
          <w:rFonts w:ascii="Times New Roman" w:hAnsi="Times New Roman" w:cs="Times New Roman"/>
          <w:sz w:val="28"/>
          <w:szCs w:val="28"/>
          <w:lang w:val="uk-UA"/>
        </w:rPr>
        <w:t xml:space="preserve">  </w:t>
      </w:r>
      <w:r w:rsidR="000A39A1">
        <w:rPr>
          <w:rFonts w:ascii="Times New Roman" w:hAnsi="Times New Roman" w:cs="Times New Roman"/>
          <w:sz w:val="28"/>
          <w:szCs w:val="28"/>
          <w:lang w:val="uk-UA"/>
        </w:rPr>
        <w:t xml:space="preserve">(r = 0,2; </w:t>
      </w:r>
      <w:r w:rsidR="003B104F" w:rsidRPr="003B104F">
        <w:rPr>
          <w:rFonts w:ascii="Times New Roman" w:hAnsi="Times New Roman" w:cs="Times New Roman"/>
          <w:sz w:val="28"/>
          <w:szCs w:val="28"/>
          <w:lang w:val="uk-UA"/>
        </w:rPr>
        <w:t>p = 0,0495) підкреслюють</w:t>
      </w:r>
      <w:r w:rsidR="008351A3" w:rsidRPr="003B104F">
        <w:rPr>
          <w:rFonts w:ascii="Times New Roman" w:hAnsi="Times New Roman" w:cs="Times New Roman"/>
          <w:sz w:val="28"/>
          <w:szCs w:val="28"/>
          <w:lang w:val="uk-UA"/>
        </w:rPr>
        <w:t xml:space="preserve"> ро</w:t>
      </w:r>
      <w:r w:rsidR="00AD2355" w:rsidRPr="003B104F">
        <w:rPr>
          <w:rFonts w:ascii="Times New Roman" w:hAnsi="Times New Roman" w:cs="Times New Roman"/>
          <w:sz w:val="28"/>
          <w:szCs w:val="28"/>
          <w:lang w:val="uk-UA"/>
        </w:rPr>
        <w:t xml:space="preserve">ль </w:t>
      </w:r>
      <w:r w:rsidR="004E518E">
        <w:rPr>
          <w:rFonts w:ascii="Times New Roman" w:hAnsi="Times New Roman" w:cs="Times New Roman"/>
          <w:sz w:val="28"/>
          <w:szCs w:val="28"/>
          <w:lang w:val="uk-UA"/>
        </w:rPr>
        <w:t xml:space="preserve">цієї фракції ліпопротеїдів </w:t>
      </w:r>
      <w:r w:rsidR="002D6251" w:rsidRPr="002D6251">
        <w:rPr>
          <w:rFonts w:ascii="Times New Roman" w:hAnsi="Times New Roman" w:cs="Times New Roman"/>
          <w:sz w:val="28"/>
          <w:szCs w:val="28"/>
          <w:lang w:val="uk-UA"/>
        </w:rPr>
        <w:t xml:space="preserve">                     </w:t>
      </w:r>
      <w:r w:rsidR="00A5699E">
        <w:rPr>
          <w:rFonts w:ascii="Times New Roman" w:hAnsi="Times New Roman" w:cs="Times New Roman"/>
          <w:sz w:val="28"/>
          <w:szCs w:val="28"/>
          <w:lang w:val="uk-UA"/>
        </w:rPr>
        <w:t>у погіршенні функції нирок</w:t>
      </w:r>
      <w:r w:rsidR="00AD2355" w:rsidRPr="003B104F">
        <w:rPr>
          <w:rFonts w:ascii="Times New Roman" w:hAnsi="Times New Roman" w:cs="Times New Roman"/>
          <w:sz w:val="28"/>
          <w:szCs w:val="28"/>
          <w:lang w:val="uk-UA"/>
        </w:rPr>
        <w:t>;</w:t>
      </w:r>
      <w:r w:rsidR="008351A3" w:rsidRPr="003B104F">
        <w:rPr>
          <w:rFonts w:ascii="Times New Roman" w:hAnsi="Times New Roman" w:cs="Times New Roman"/>
          <w:sz w:val="28"/>
          <w:szCs w:val="28"/>
          <w:lang w:val="uk-UA"/>
        </w:rPr>
        <w:t xml:space="preserve"> середньої сили </w:t>
      </w:r>
      <w:r w:rsidR="009F6F84">
        <w:rPr>
          <w:rFonts w:ascii="Times New Roman" w:hAnsi="Times New Roman" w:cs="Times New Roman"/>
          <w:sz w:val="28"/>
          <w:szCs w:val="28"/>
          <w:lang w:val="uk-UA"/>
        </w:rPr>
        <w:t xml:space="preserve">залежність </w:t>
      </w:r>
      <w:r w:rsidR="008351A3" w:rsidRPr="003B104F">
        <w:rPr>
          <w:rFonts w:ascii="Times New Roman" w:hAnsi="Times New Roman" w:cs="Times New Roman"/>
          <w:sz w:val="28"/>
          <w:szCs w:val="28"/>
          <w:lang w:val="uk-UA"/>
        </w:rPr>
        <w:t xml:space="preserve">(r = 0,57; p &lt; 0,0001) між </w:t>
      </w:r>
      <w:r w:rsidR="004E518E">
        <w:rPr>
          <w:rFonts w:ascii="Times New Roman" w:hAnsi="Times New Roman" w:cs="Times New Roman"/>
          <w:sz w:val="28"/>
          <w:szCs w:val="28"/>
          <w:lang w:val="uk-UA"/>
        </w:rPr>
        <w:t xml:space="preserve">вмістом </w:t>
      </w:r>
      <w:r w:rsidR="004E518E" w:rsidRPr="004E518E">
        <w:rPr>
          <w:rFonts w:ascii="Times New Roman" w:hAnsi="Times New Roman" w:cs="Times New Roman"/>
          <w:sz w:val="28"/>
          <w:szCs w:val="28"/>
          <w:lang w:val="uk-UA"/>
        </w:rPr>
        <w:t xml:space="preserve">ЕТ-1 </w:t>
      </w:r>
      <w:r w:rsidR="004E518E">
        <w:rPr>
          <w:rFonts w:ascii="Times New Roman" w:hAnsi="Times New Roman" w:cs="Times New Roman"/>
          <w:sz w:val="28"/>
          <w:szCs w:val="28"/>
          <w:lang w:val="uk-UA"/>
        </w:rPr>
        <w:t xml:space="preserve">та </w:t>
      </w:r>
      <w:r w:rsidR="008351A3" w:rsidRPr="003B104F">
        <w:rPr>
          <w:rFonts w:ascii="Times New Roman" w:hAnsi="Times New Roman" w:cs="Times New Roman"/>
          <w:sz w:val="28"/>
          <w:szCs w:val="28"/>
          <w:lang w:val="uk-UA"/>
        </w:rPr>
        <w:t xml:space="preserve">ступенем альбумінурії </w:t>
      </w:r>
      <w:r w:rsidR="009F6F84">
        <w:rPr>
          <w:rFonts w:ascii="Times New Roman" w:hAnsi="Times New Roman" w:cs="Times New Roman"/>
          <w:sz w:val="28"/>
          <w:szCs w:val="28"/>
          <w:lang w:val="uk-UA"/>
        </w:rPr>
        <w:t xml:space="preserve">є доказом вагомого значення </w:t>
      </w:r>
      <w:r>
        <w:rPr>
          <w:rFonts w:ascii="Times New Roman" w:hAnsi="Times New Roman" w:cs="Times New Roman"/>
          <w:sz w:val="28"/>
          <w:szCs w:val="28"/>
          <w:lang w:val="uk-UA"/>
        </w:rPr>
        <w:t xml:space="preserve">ЕД </w:t>
      </w:r>
      <w:r w:rsidR="00A5699E">
        <w:rPr>
          <w:rFonts w:ascii="Times New Roman" w:hAnsi="Times New Roman" w:cs="Times New Roman"/>
          <w:sz w:val="28"/>
          <w:szCs w:val="28"/>
          <w:lang w:val="uk-UA"/>
        </w:rPr>
        <w:t xml:space="preserve">в </w:t>
      </w:r>
      <w:r>
        <w:rPr>
          <w:rFonts w:ascii="Times New Roman" w:hAnsi="Times New Roman" w:cs="Times New Roman"/>
          <w:sz w:val="28"/>
          <w:szCs w:val="28"/>
          <w:lang w:val="uk-UA"/>
        </w:rPr>
        <w:t>ураження нирок</w:t>
      </w:r>
      <w:r w:rsidR="008351A3" w:rsidRPr="003B104F">
        <w:rPr>
          <w:rFonts w:ascii="Times New Roman" w:hAnsi="Times New Roman" w:cs="Times New Roman"/>
          <w:sz w:val="28"/>
          <w:szCs w:val="28"/>
          <w:lang w:val="uk-UA"/>
        </w:rPr>
        <w:t xml:space="preserve"> </w:t>
      </w:r>
      <w:r w:rsidR="004E518E">
        <w:rPr>
          <w:rFonts w:ascii="Times New Roman" w:hAnsi="Times New Roman" w:cs="Times New Roman"/>
          <w:sz w:val="28"/>
          <w:szCs w:val="28"/>
          <w:lang w:val="uk-UA"/>
        </w:rPr>
        <w:t>та доцільності</w:t>
      </w:r>
      <w:r w:rsidR="008351A3" w:rsidRPr="003B104F">
        <w:rPr>
          <w:rFonts w:ascii="Times New Roman" w:hAnsi="Times New Roman" w:cs="Times New Roman"/>
          <w:sz w:val="28"/>
          <w:szCs w:val="28"/>
          <w:lang w:val="uk-UA"/>
        </w:rPr>
        <w:t xml:space="preserve"> призначення більшої дози </w:t>
      </w:r>
      <w:r w:rsidR="002A5D8A">
        <w:rPr>
          <w:rFonts w:ascii="Times New Roman" w:hAnsi="Times New Roman" w:cs="Times New Roman"/>
          <w:sz w:val="28"/>
          <w:szCs w:val="28"/>
          <w:lang w:val="uk-UA"/>
        </w:rPr>
        <w:lastRenderedPageBreak/>
        <w:t xml:space="preserve">антигіпертензивних </w:t>
      </w:r>
      <w:r w:rsidR="008351A3" w:rsidRPr="003B104F">
        <w:rPr>
          <w:rFonts w:ascii="Times New Roman" w:hAnsi="Times New Roman" w:cs="Times New Roman"/>
          <w:sz w:val="28"/>
          <w:szCs w:val="28"/>
          <w:lang w:val="uk-UA"/>
        </w:rPr>
        <w:t xml:space="preserve">органопротекторних засобів у </w:t>
      </w:r>
      <w:r>
        <w:rPr>
          <w:rFonts w:ascii="Times New Roman" w:hAnsi="Times New Roman" w:cs="Times New Roman"/>
          <w:sz w:val="28"/>
          <w:szCs w:val="28"/>
          <w:lang w:val="uk-UA"/>
        </w:rPr>
        <w:t xml:space="preserve">коморбідних </w:t>
      </w:r>
      <w:r w:rsidR="00D45361">
        <w:rPr>
          <w:rFonts w:ascii="Times New Roman" w:hAnsi="Times New Roman" w:cs="Times New Roman"/>
          <w:sz w:val="28"/>
          <w:szCs w:val="28"/>
          <w:lang w:val="uk-UA"/>
        </w:rPr>
        <w:t>па</w:t>
      </w:r>
      <w:r w:rsidR="00A135C8">
        <w:rPr>
          <w:rFonts w:ascii="Times New Roman" w:hAnsi="Times New Roman" w:cs="Times New Roman"/>
          <w:sz w:val="28"/>
          <w:szCs w:val="28"/>
          <w:lang w:val="uk-UA"/>
        </w:rPr>
        <w:t>цієнтів      із більшим вмістом</w:t>
      </w:r>
      <w:r w:rsidR="00D45361">
        <w:rPr>
          <w:rFonts w:ascii="Times New Roman" w:hAnsi="Times New Roman" w:cs="Times New Roman"/>
          <w:sz w:val="28"/>
          <w:szCs w:val="28"/>
          <w:lang w:val="uk-UA"/>
        </w:rPr>
        <w:t xml:space="preserve"> </w:t>
      </w:r>
      <w:r w:rsidR="008351A3" w:rsidRPr="003B104F">
        <w:rPr>
          <w:rFonts w:ascii="Times New Roman" w:hAnsi="Times New Roman" w:cs="Times New Roman"/>
          <w:sz w:val="28"/>
          <w:szCs w:val="28"/>
          <w:lang w:val="uk-UA"/>
        </w:rPr>
        <w:t>ЕТ-1</w:t>
      </w:r>
      <w:r w:rsidR="008351A3" w:rsidRPr="000F6E2B">
        <w:rPr>
          <w:rFonts w:ascii="Times New Roman" w:hAnsi="Times New Roman" w:cs="Times New Roman"/>
          <w:sz w:val="28"/>
          <w:szCs w:val="28"/>
          <w:lang w:val="uk-UA"/>
        </w:rPr>
        <w:t>.</w:t>
      </w:r>
      <w:r w:rsidR="00AD2355" w:rsidRPr="000F6E2B">
        <w:rPr>
          <w:lang w:val="uk-UA"/>
        </w:rPr>
        <w:t xml:space="preserve"> </w:t>
      </w:r>
      <w:r>
        <w:rPr>
          <w:rFonts w:ascii="Times New Roman" w:hAnsi="Times New Roman" w:cs="Times New Roman"/>
          <w:sz w:val="28"/>
          <w:szCs w:val="28"/>
          <w:lang w:val="uk-UA"/>
        </w:rPr>
        <w:t>П</w:t>
      </w:r>
      <w:r w:rsidR="000A39A1">
        <w:rPr>
          <w:rFonts w:ascii="Times New Roman" w:hAnsi="Times New Roman" w:cs="Times New Roman"/>
          <w:sz w:val="28"/>
          <w:szCs w:val="28"/>
          <w:lang w:val="uk-UA"/>
        </w:rPr>
        <w:t xml:space="preserve">озитивна </w:t>
      </w:r>
      <w:r w:rsidR="00AD2355" w:rsidRPr="000F6E2B">
        <w:rPr>
          <w:rFonts w:ascii="Times New Roman" w:hAnsi="Times New Roman" w:cs="Times New Roman"/>
          <w:sz w:val="28"/>
          <w:szCs w:val="28"/>
          <w:lang w:val="uk-UA"/>
        </w:rPr>
        <w:t xml:space="preserve">залежність між </w:t>
      </w:r>
      <w:r w:rsidR="004E518E">
        <w:rPr>
          <w:rFonts w:ascii="Times New Roman" w:hAnsi="Times New Roman" w:cs="Times New Roman"/>
          <w:sz w:val="28"/>
          <w:szCs w:val="28"/>
          <w:lang w:val="uk-UA"/>
        </w:rPr>
        <w:t xml:space="preserve">вмістом </w:t>
      </w:r>
      <w:r w:rsidR="00AD2355" w:rsidRPr="000F6E2B">
        <w:rPr>
          <w:rFonts w:ascii="Times New Roman" w:hAnsi="Times New Roman" w:cs="Times New Roman"/>
          <w:sz w:val="28"/>
          <w:szCs w:val="28"/>
          <w:lang w:val="uk-UA"/>
        </w:rPr>
        <w:t xml:space="preserve">сечової кислоти </w:t>
      </w:r>
      <w:r w:rsidR="004E518E">
        <w:rPr>
          <w:rFonts w:ascii="Times New Roman" w:hAnsi="Times New Roman" w:cs="Times New Roman"/>
          <w:sz w:val="28"/>
          <w:szCs w:val="28"/>
          <w:lang w:val="uk-UA"/>
        </w:rPr>
        <w:t xml:space="preserve">в крові </w:t>
      </w:r>
      <w:r w:rsidR="00AD2355" w:rsidRPr="000F6E2B">
        <w:rPr>
          <w:rFonts w:ascii="Times New Roman" w:hAnsi="Times New Roman" w:cs="Times New Roman"/>
          <w:sz w:val="28"/>
          <w:szCs w:val="28"/>
          <w:lang w:val="uk-UA"/>
        </w:rPr>
        <w:t>та співвідношенням альбуміну до креа</w:t>
      </w:r>
      <w:r w:rsidR="000A39A1">
        <w:rPr>
          <w:rFonts w:ascii="Times New Roman" w:hAnsi="Times New Roman" w:cs="Times New Roman"/>
          <w:sz w:val="28"/>
          <w:szCs w:val="28"/>
          <w:lang w:val="uk-UA"/>
        </w:rPr>
        <w:t xml:space="preserve">тиніну </w:t>
      </w:r>
      <w:r w:rsidR="000F6E2B" w:rsidRPr="000F6E2B">
        <w:rPr>
          <w:rFonts w:ascii="Times New Roman" w:hAnsi="Times New Roman" w:cs="Times New Roman"/>
          <w:sz w:val="28"/>
          <w:szCs w:val="28"/>
          <w:lang w:val="uk-UA"/>
        </w:rPr>
        <w:t>(r = 0,25; p = 0,0135</w:t>
      </w:r>
      <w:r w:rsidR="006D64D8">
        <w:rPr>
          <w:rFonts w:ascii="Times New Roman" w:hAnsi="Times New Roman" w:cs="Times New Roman"/>
          <w:sz w:val="28"/>
          <w:szCs w:val="28"/>
          <w:lang w:val="uk-UA"/>
        </w:rPr>
        <w:t xml:space="preserve">) </w:t>
      </w:r>
      <w:r w:rsidR="00A135C8">
        <w:rPr>
          <w:rFonts w:ascii="Times New Roman" w:hAnsi="Times New Roman" w:cs="Times New Roman"/>
          <w:sz w:val="28"/>
          <w:szCs w:val="28"/>
          <w:lang w:val="uk-UA"/>
        </w:rPr>
        <w:t xml:space="preserve">      </w:t>
      </w:r>
      <w:r w:rsidR="006D64D8">
        <w:rPr>
          <w:rFonts w:ascii="Times New Roman" w:hAnsi="Times New Roman" w:cs="Times New Roman"/>
          <w:sz w:val="28"/>
          <w:szCs w:val="28"/>
          <w:lang w:val="uk-UA"/>
        </w:rPr>
        <w:t>і</w:t>
      </w:r>
      <w:r w:rsidR="000A39A1">
        <w:rPr>
          <w:rFonts w:ascii="Times New Roman" w:hAnsi="Times New Roman" w:cs="Times New Roman"/>
          <w:sz w:val="28"/>
          <w:szCs w:val="28"/>
          <w:lang w:val="uk-UA"/>
        </w:rPr>
        <w:t xml:space="preserve"> негативна –</w:t>
      </w:r>
      <w:r w:rsidR="00AD2355" w:rsidRPr="003B104F">
        <w:rPr>
          <w:rFonts w:ascii="Times New Roman" w:hAnsi="Times New Roman" w:cs="Times New Roman"/>
          <w:sz w:val="28"/>
          <w:szCs w:val="28"/>
          <w:lang w:val="uk-UA"/>
        </w:rPr>
        <w:t xml:space="preserve"> між </w:t>
      </w:r>
      <w:r w:rsidR="00D45361">
        <w:rPr>
          <w:rFonts w:ascii="Times New Roman" w:hAnsi="Times New Roman" w:cs="Times New Roman"/>
          <w:sz w:val="28"/>
          <w:szCs w:val="28"/>
          <w:lang w:val="uk-UA"/>
        </w:rPr>
        <w:t xml:space="preserve">вмістом </w:t>
      </w:r>
      <w:r w:rsidR="00AD2355" w:rsidRPr="003B104F">
        <w:rPr>
          <w:rFonts w:ascii="Times New Roman" w:hAnsi="Times New Roman" w:cs="Times New Roman"/>
          <w:sz w:val="28"/>
          <w:szCs w:val="28"/>
          <w:lang w:val="uk-UA"/>
        </w:rPr>
        <w:t>с</w:t>
      </w:r>
      <w:r w:rsidR="003B104F" w:rsidRPr="003B104F">
        <w:rPr>
          <w:rFonts w:ascii="Times New Roman" w:hAnsi="Times New Roman" w:cs="Times New Roman"/>
          <w:sz w:val="28"/>
          <w:szCs w:val="28"/>
          <w:lang w:val="uk-UA"/>
        </w:rPr>
        <w:t>ечової кислоти т</w:t>
      </w:r>
      <w:r w:rsidR="006D64D8">
        <w:rPr>
          <w:rFonts w:ascii="Times New Roman" w:hAnsi="Times New Roman" w:cs="Times New Roman"/>
          <w:sz w:val="28"/>
          <w:szCs w:val="28"/>
          <w:lang w:val="uk-UA"/>
        </w:rPr>
        <w:t xml:space="preserve">а ШКФ (r = − </w:t>
      </w:r>
      <w:r w:rsidR="003B104F" w:rsidRPr="003B104F">
        <w:rPr>
          <w:rFonts w:ascii="Times New Roman" w:hAnsi="Times New Roman" w:cs="Times New Roman"/>
          <w:sz w:val="28"/>
          <w:szCs w:val="28"/>
          <w:lang w:val="uk-UA"/>
        </w:rPr>
        <w:t>0,2; р =</w:t>
      </w:r>
      <w:r w:rsidR="00AD2355" w:rsidRPr="003B104F">
        <w:rPr>
          <w:rFonts w:ascii="Times New Roman" w:hAnsi="Times New Roman" w:cs="Times New Roman"/>
          <w:sz w:val="28"/>
          <w:szCs w:val="28"/>
          <w:lang w:val="uk-UA"/>
        </w:rPr>
        <w:t xml:space="preserve"> 0,</w:t>
      </w:r>
      <w:r w:rsidR="003B104F" w:rsidRPr="003B104F">
        <w:rPr>
          <w:rFonts w:ascii="Times New Roman" w:hAnsi="Times New Roman" w:cs="Times New Roman"/>
          <w:sz w:val="28"/>
          <w:szCs w:val="28"/>
          <w:lang w:val="uk-UA"/>
        </w:rPr>
        <w:t>0495</w:t>
      </w:r>
      <w:r w:rsidR="00AD2355" w:rsidRPr="000F6E2B">
        <w:rPr>
          <w:rFonts w:ascii="Times New Roman" w:hAnsi="Times New Roman" w:cs="Times New Roman"/>
          <w:sz w:val="28"/>
          <w:szCs w:val="28"/>
          <w:lang w:val="uk-UA"/>
        </w:rPr>
        <w:t>)</w:t>
      </w:r>
      <w:r w:rsidR="000F6E2B" w:rsidRPr="000F6E2B">
        <w:rPr>
          <w:rFonts w:ascii="Times New Roman" w:hAnsi="Times New Roman" w:cs="Times New Roman"/>
          <w:sz w:val="28"/>
          <w:szCs w:val="28"/>
          <w:lang w:val="uk-UA"/>
        </w:rPr>
        <w:t>, наявність гіперурикемії у 26</w:t>
      </w:r>
      <w:r w:rsidR="00BC56FF" w:rsidRPr="000F6E2B">
        <w:rPr>
          <w:rFonts w:ascii="Times New Roman" w:hAnsi="Times New Roman" w:cs="Times New Roman"/>
          <w:sz w:val="28"/>
          <w:szCs w:val="28"/>
          <w:lang w:val="uk-UA"/>
        </w:rPr>
        <w:t xml:space="preserve"> </w:t>
      </w:r>
      <w:r w:rsidR="00AD2355" w:rsidRPr="000F6E2B">
        <w:rPr>
          <w:rFonts w:ascii="Times New Roman" w:hAnsi="Times New Roman" w:cs="Times New Roman"/>
          <w:sz w:val="28"/>
          <w:szCs w:val="28"/>
          <w:lang w:val="uk-UA"/>
        </w:rPr>
        <w:t>% пацієнтів із коморбідною патологією свідчать</w:t>
      </w:r>
      <w:r w:rsidR="00A5699E">
        <w:rPr>
          <w:rFonts w:ascii="Times New Roman" w:hAnsi="Times New Roman" w:cs="Times New Roman"/>
          <w:sz w:val="28"/>
          <w:szCs w:val="28"/>
          <w:lang w:val="uk-UA"/>
        </w:rPr>
        <w:t xml:space="preserve"> про її роль у погіршенні функціонального стану нирок</w:t>
      </w:r>
      <w:r w:rsidR="006D696B" w:rsidRPr="000F6E2B">
        <w:rPr>
          <w:rFonts w:ascii="Times New Roman" w:hAnsi="Times New Roman" w:cs="Times New Roman"/>
          <w:sz w:val="28"/>
          <w:szCs w:val="28"/>
          <w:lang w:val="uk-UA"/>
        </w:rPr>
        <w:t>, а т</w:t>
      </w:r>
      <w:r w:rsidR="003B104F" w:rsidRPr="000F6E2B">
        <w:rPr>
          <w:rFonts w:ascii="Times New Roman" w:hAnsi="Times New Roman" w:cs="Times New Roman"/>
          <w:sz w:val="28"/>
          <w:szCs w:val="28"/>
          <w:lang w:val="uk-UA"/>
        </w:rPr>
        <w:t>акож доцільність призначення ант</w:t>
      </w:r>
      <w:r w:rsidR="006D696B" w:rsidRPr="000F6E2B">
        <w:rPr>
          <w:rFonts w:ascii="Times New Roman" w:hAnsi="Times New Roman" w:cs="Times New Roman"/>
          <w:sz w:val="28"/>
          <w:szCs w:val="28"/>
          <w:lang w:val="uk-UA"/>
        </w:rPr>
        <w:t xml:space="preserve">игіпертензивних препаратів із органопротекторною дією, додатковим ефектом яких була б здатність зменшувати </w:t>
      </w:r>
      <w:r w:rsidR="00A135C8">
        <w:rPr>
          <w:rFonts w:ascii="Times New Roman" w:hAnsi="Times New Roman" w:cs="Times New Roman"/>
          <w:sz w:val="28"/>
          <w:szCs w:val="28"/>
          <w:lang w:val="uk-UA"/>
        </w:rPr>
        <w:t xml:space="preserve">вміст </w:t>
      </w:r>
      <w:r w:rsidR="006D696B" w:rsidRPr="000F6E2B">
        <w:rPr>
          <w:rFonts w:ascii="Times New Roman" w:hAnsi="Times New Roman" w:cs="Times New Roman"/>
          <w:sz w:val="28"/>
          <w:szCs w:val="28"/>
          <w:lang w:val="uk-UA"/>
        </w:rPr>
        <w:t>сечової кислоти в крові.</w:t>
      </w:r>
    </w:p>
    <w:p w:rsidR="00892E75" w:rsidRDefault="00174840" w:rsidP="003D61F0">
      <w:pPr>
        <w:tabs>
          <w:tab w:val="left" w:pos="711"/>
          <w:tab w:val="left" w:pos="7236"/>
        </w:tabs>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135C8">
        <w:rPr>
          <w:rFonts w:ascii="Times New Roman" w:hAnsi="Times New Roman" w:cs="Times New Roman"/>
          <w:sz w:val="28"/>
          <w:szCs w:val="28"/>
          <w:lang w:val="uk-UA"/>
        </w:rPr>
        <w:t xml:space="preserve">Таким чином, </w:t>
      </w:r>
      <w:r w:rsidR="003D61F0">
        <w:rPr>
          <w:rFonts w:ascii="Times New Roman" w:hAnsi="Times New Roman" w:cs="Times New Roman"/>
          <w:sz w:val="28"/>
          <w:szCs w:val="28"/>
          <w:lang w:val="uk-UA"/>
        </w:rPr>
        <w:t xml:space="preserve">АГ, </w:t>
      </w:r>
      <w:r w:rsidR="00251E8A">
        <w:rPr>
          <w:rFonts w:ascii="Times New Roman" w:hAnsi="Times New Roman" w:cs="Times New Roman"/>
          <w:sz w:val="28"/>
          <w:szCs w:val="28"/>
          <w:lang w:val="uk-UA"/>
        </w:rPr>
        <w:t xml:space="preserve">стан </w:t>
      </w:r>
      <w:r w:rsidR="00847FBB">
        <w:rPr>
          <w:rFonts w:ascii="Times New Roman" w:hAnsi="Times New Roman" w:cs="Times New Roman"/>
          <w:sz w:val="28"/>
          <w:szCs w:val="28"/>
          <w:lang w:val="uk-UA"/>
        </w:rPr>
        <w:t>компенсації вуглеводного обміну</w:t>
      </w:r>
      <w:r w:rsidR="003D61F0" w:rsidRPr="003D61F0">
        <w:rPr>
          <w:rFonts w:ascii="Times New Roman" w:hAnsi="Times New Roman" w:cs="Times New Roman"/>
          <w:sz w:val="28"/>
          <w:szCs w:val="28"/>
          <w:lang w:val="uk-UA"/>
        </w:rPr>
        <w:t xml:space="preserve">, </w:t>
      </w:r>
      <w:r w:rsidR="003D61F0">
        <w:rPr>
          <w:rFonts w:ascii="Times New Roman" w:hAnsi="Times New Roman" w:cs="Times New Roman"/>
          <w:sz w:val="28"/>
          <w:szCs w:val="28"/>
          <w:lang w:val="uk-UA"/>
        </w:rPr>
        <w:t>дис</w:t>
      </w:r>
      <w:r w:rsidR="006C4FEF">
        <w:rPr>
          <w:rFonts w:ascii="Times New Roman" w:hAnsi="Times New Roman" w:cs="Times New Roman"/>
          <w:sz w:val="28"/>
          <w:szCs w:val="28"/>
          <w:lang w:val="uk-UA"/>
        </w:rPr>
        <w:t>ліпідемія, гіперурикемії,</w:t>
      </w:r>
      <w:r w:rsidR="006C4FEF" w:rsidRPr="006C4FEF">
        <w:rPr>
          <w:rFonts w:ascii="Times New Roman" w:hAnsi="Times New Roman" w:cs="Times New Roman"/>
          <w:sz w:val="28"/>
          <w:szCs w:val="28"/>
          <w:lang w:val="uk-UA"/>
        </w:rPr>
        <w:t xml:space="preserve"> </w:t>
      </w:r>
      <w:r w:rsidR="006C4FEF">
        <w:rPr>
          <w:rFonts w:ascii="Times New Roman" w:hAnsi="Times New Roman" w:cs="Times New Roman"/>
          <w:sz w:val="28"/>
          <w:szCs w:val="28"/>
          <w:lang w:val="uk-UA"/>
        </w:rPr>
        <w:t xml:space="preserve">маркери імунного запалення та стану </w:t>
      </w:r>
      <w:r w:rsidR="007E7C1F">
        <w:rPr>
          <w:rFonts w:ascii="Times New Roman" w:hAnsi="Times New Roman" w:cs="Times New Roman"/>
          <w:sz w:val="28"/>
          <w:szCs w:val="28"/>
          <w:lang w:val="uk-UA"/>
        </w:rPr>
        <w:t>енд</w:t>
      </w:r>
      <w:r w:rsidR="00B27F2D">
        <w:rPr>
          <w:rFonts w:ascii="Times New Roman" w:hAnsi="Times New Roman" w:cs="Times New Roman"/>
          <w:sz w:val="28"/>
          <w:szCs w:val="28"/>
          <w:lang w:val="uk-UA"/>
        </w:rPr>
        <w:t>о</w:t>
      </w:r>
      <w:r w:rsidR="007E7C1F">
        <w:rPr>
          <w:rFonts w:ascii="Times New Roman" w:hAnsi="Times New Roman" w:cs="Times New Roman"/>
          <w:sz w:val="28"/>
          <w:szCs w:val="28"/>
          <w:lang w:val="uk-UA"/>
        </w:rPr>
        <w:t>телію</w:t>
      </w:r>
      <w:r w:rsidR="006C4FEF">
        <w:rPr>
          <w:rFonts w:ascii="Times New Roman" w:hAnsi="Times New Roman" w:cs="Times New Roman"/>
          <w:sz w:val="28"/>
          <w:szCs w:val="28"/>
          <w:lang w:val="uk-UA"/>
        </w:rPr>
        <w:t xml:space="preserve"> </w:t>
      </w:r>
      <w:r w:rsidR="00A135C8">
        <w:rPr>
          <w:rFonts w:ascii="Times New Roman" w:hAnsi="Times New Roman" w:cs="Times New Roman"/>
          <w:sz w:val="28"/>
          <w:szCs w:val="28"/>
          <w:lang w:val="uk-UA"/>
        </w:rPr>
        <w:t xml:space="preserve">відіграють </w:t>
      </w:r>
      <w:r w:rsidR="00A135C8" w:rsidRPr="00A135C8">
        <w:rPr>
          <w:rFonts w:ascii="Times New Roman" w:hAnsi="Times New Roman" w:cs="Times New Roman"/>
          <w:sz w:val="28"/>
          <w:szCs w:val="28"/>
          <w:lang w:val="uk-UA"/>
        </w:rPr>
        <w:t>значну роль</w:t>
      </w:r>
      <w:r w:rsidR="00A135C8">
        <w:rPr>
          <w:rFonts w:ascii="Times New Roman" w:hAnsi="Times New Roman" w:cs="Times New Roman"/>
          <w:sz w:val="28"/>
          <w:szCs w:val="28"/>
          <w:lang w:val="uk-UA"/>
        </w:rPr>
        <w:t xml:space="preserve"> </w:t>
      </w:r>
      <w:r w:rsidR="00251E8A">
        <w:rPr>
          <w:rFonts w:ascii="Times New Roman" w:hAnsi="Times New Roman" w:cs="Times New Roman"/>
          <w:sz w:val="28"/>
          <w:szCs w:val="28"/>
          <w:lang w:val="uk-UA"/>
        </w:rPr>
        <w:t>у п</w:t>
      </w:r>
      <w:r w:rsidR="006C4FEF">
        <w:rPr>
          <w:rFonts w:ascii="Times New Roman" w:hAnsi="Times New Roman" w:cs="Times New Roman"/>
          <w:sz w:val="28"/>
          <w:szCs w:val="28"/>
          <w:lang w:val="uk-UA"/>
        </w:rPr>
        <w:t xml:space="preserve">огіршенні функції </w:t>
      </w:r>
      <w:r w:rsidR="00251E8A">
        <w:rPr>
          <w:rFonts w:ascii="Times New Roman" w:hAnsi="Times New Roman" w:cs="Times New Roman"/>
          <w:sz w:val="28"/>
          <w:szCs w:val="28"/>
          <w:lang w:val="uk-UA"/>
        </w:rPr>
        <w:t>нирок</w:t>
      </w:r>
      <w:r w:rsidR="00A135C8">
        <w:rPr>
          <w:rFonts w:ascii="Times New Roman" w:hAnsi="Times New Roman" w:cs="Times New Roman"/>
          <w:sz w:val="28"/>
          <w:szCs w:val="28"/>
          <w:lang w:val="uk-UA"/>
        </w:rPr>
        <w:t>, і доцільним у лікуванні</w:t>
      </w:r>
      <w:r w:rsidR="007E7C1F">
        <w:rPr>
          <w:rFonts w:ascii="Times New Roman" w:hAnsi="Times New Roman" w:cs="Times New Roman"/>
          <w:sz w:val="28"/>
          <w:szCs w:val="28"/>
          <w:lang w:val="uk-UA"/>
        </w:rPr>
        <w:t xml:space="preserve"> коморбідних пацієнтів є не лише</w:t>
      </w:r>
      <w:r w:rsidR="007E7C1F" w:rsidRPr="007E7C1F">
        <w:rPr>
          <w:rFonts w:ascii="Times New Roman" w:hAnsi="Times New Roman" w:cs="Times New Roman"/>
          <w:sz w:val="28"/>
          <w:szCs w:val="28"/>
          <w:lang w:val="uk-UA"/>
        </w:rPr>
        <w:t xml:space="preserve"> </w:t>
      </w:r>
      <w:r w:rsidR="007E7C1F">
        <w:rPr>
          <w:rFonts w:ascii="Times New Roman" w:hAnsi="Times New Roman" w:cs="Times New Roman"/>
          <w:sz w:val="28"/>
          <w:szCs w:val="28"/>
          <w:lang w:val="uk-UA"/>
        </w:rPr>
        <w:t xml:space="preserve">зниження АТ та глікемії, а й органопротекція. </w:t>
      </w:r>
      <w:r w:rsidR="003D61F0">
        <w:rPr>
          <w:rFonts w:ascii="Times New Roman" w:hAnsi="Times New Roman" w:cs="Times New Roman"/>
          <w:sz w:val="28"/>
          <w:szCs w:val="28"/>
          <w:lang w:val="uk-UA"/>
        </w:rPr>
        <w:tab/>
      </w:r>
    </w:p>
    <w:p w:rsidR="007E7C1F" w:rsidRDefault="007E7C1F" w:rsidP="00A0016C">
      <w:pPr>
        <w:autoSpaceDE w:val="0"/>
        <w:autoSpaceDN w:val="0"/>
        <w:adjustRightInd w:val="0"/>
        <w:spacing w:after="0" w:line="360" w:lineRule="auto"/>
        <w:ind w:firstLine="708"/>
        <w:jc w:val="both"/>
        <w:rPr>
          <w:rFonts w:ascii="Times New Roman" w:hAnsi="Times New Roman" w:cs="Times New Roman"/>
          <w:sz w:val="28"/>
          <w:szCs w:val="28"/>
          <w:lang w:val="uk-UA"/>
        </w:rPr>
      </w:pPr>
    </w:p>
    <w:p w:rsidR="00606637" w:rsidRDefault="004E518E" w:rsidP="00A0016C">
      <w:pPr>
        <w:autoSpaceDE w:val="0"/>
        <w:autoSpaceDN w:val="0"/>
        <w:adjustRightInd w:val="0"/>
        <w:spacing w:after="0" w:line="360" w:lineRule="auto"/>
        <w:ind w:firstLine="708"/>
        <w:jc w:val="both"/>
        <w:rPr>
          <w:rFonts w:ascii="Times New Roman" w:hAnsi="Times New Roman" w:cs="Times New Roman"/>
          <w:sz w:val="28"/>
          <w:szCs w:val="28"/>
          <w:lang w:val="uk-UA"/>
        </w:rPr>
      </w:pPr>
      <w:r w:rsidRPr="004E518E">
        <w:rPr>
          <w:rFonts w:ascii="Times New Roman" w:hAnsi="Times New Roman" w:cs="Times New Roman"/>
          <w:sz w:val="28"/>
          <w:szCs w:val="28"/>
          <w:lang w:val="uk-UA"/>
        </w:rPr>
        <w:t>Основні положен</w:t>
      </w:r>
      <w:r>
        <w:rPr>
          <w:rFonts w:ascii="Times New Roman" w:hAnsi="Times New Roman" w:cs="Times New Roman"/>
          <w:sz w:val="28"/>
          <w:szCs w:val="28"/>
          <w:lang w:val="uk-UA"/>
        </w:rPr>
        <w:t>ня розділу висвітлено у статті</w:t>
      </w:r>
      <w:r w:rsidR="00215267">
        <w:rPr>
          <w:rFonts w:ascii="Times New Roman" w:hAnsi="Times New Roman" w:cs="Times New Roman"/>
          <w:sz w:val="28"/>
          <w:szCs w:val="28"/>
          <w:lang w:val="uk-UA"/>
        </w:rPr>
        <w:t>:</w:t>
      </w:r>
      <w:r w:rsidR="00847FBB">
        <w:rPr>
          <w:rFonts w:ascii="Times New Roman" w:hAnsi="Times New Roman" w:cs="Times New Roman"/>
          <w:sz w:val="28"/>
          <w:szCs w:val="28"/>
          <w:lang w:val="uk-UA"/>
        </w:rPr>
        <w:t xml:space="preserve"> </w:t>
      </w:r>
    </w:p>
    <w:p w:rsidR="001969DC" w:rsidRPr="005670C3" w:rsidRDefault="00847FBB" w:rsidP="00C440AC">
      <w:pPr>
        <w:autoSpaceDE w:val="0"/>
        <w:autoSpaceDN w:val="0"/>
        <w:adjustRightInd w:val="0"/>
        <w:spacing w:after="0" w:line="360" w:lineRule="auto"/>
        <w:ind w:firstLine="708"/>
        <w:jc w:val="both"/>
        <w:rPr>
          <w:rFonts w:ascii="Times New Roman" w:hAnsi="Times New Roman" w:cs="Times New Roman"/>
          <w:sz w:val="28"/>
          <w:szCs w:val="28"/>
          <w:lang w:val="uk-UA"/>
        </w:rPr>
      </w:pPr>
      <w:r w:rsidRPr="00847FBB">
        <w:rPr>
          <w:rFonts w:ascii="Times New Roman" w:hAnsi="Times New Roman" w:cs="Times New Roman"/>
          <w:sz w:val="28"/>
          <w:szCs w:val="28"/>
          <w:lang w:val="uk-UA"/>
        </w:rPr>
        <w:t>Чернацька О. М. Структурно-функціональні та ендотеліальні особливості діабетичної нефропатії у пацієнтів з артеріальною гіпертензією / О. М. Чернацька, Н. В. Деміхова // Український журнал нефрології та діалізу. 2018 – №</w:t>
      </w:r>
      <w:r w:rsidR="00C63024">
        <w:rPr>
          <w:rFonts w:ascii="Times New Roman" w:hAnsi="Times New Roman" w:cs="Times New Roman"/>
          <w:sz w:val="28"/>
          <w:szCs w:val="28"/>
          <w:lang w:val="uk-UA"/>
        </w:rPr>
        <w:t xml:space="preserve"> </w:t>
      </w:r>
      <w:r w:rsidRPr="00847FBB">
        <w:rPr>
          <w:rFonts w:ascii="Times New Roman" w:hAnsi="Times New Roman" w:cs="Times New Roman"/>
          <w:sz w:val="28"/>
          <w:szCs w:val="28"/>
          <w:lang w:val="uk-UA"/>
        </w:rPr>
        <w:t>2 (58). – С.</w:t>
      </w:r>
      <w:r w:rsidR="001969DC">
        <w:rPr>
          <w:rFonts w:ascii="Times New Roman" w:hAnsi="Times New Roman" w:cs="Times New Roman"/>
          <w:sz w:val="28"/>
          <w:szCs w:val="28"/>
          <w:lang w:val="uk-UA"/>
        </w:rPr>
        <w:t xml:space="preserve"> 13</w:t>
      </w:r>
      <w:r w:rsidR="001969DC" w:rsidRPr="001969DC">
        <w:rPr>
          <w:rFonts w:ascii="Times New Roman" w:hAnsi="Times New Roman" w:cs="Times New Roman"/>
          <w:sz w:val="28"/>
          <w:szCs w:val="28"/>
          <w:lang w:val="uk-UA"/>
        </w:rPr>
        <w:t>–</w:t>
      </w:r>
      <w:r w:rsidR="001969DC">
        <w:rPr>
          <w:rFonts w:ascii="Times New Roman" w:hAnsi="Times New Roman" w:cs="Times New Roman"/>
          <w:sz w:val="28"/>
          <w:szCs w:val="28"/>
          <w:lang w:val="uk-UA"/>
        </w:rPr>
        <w:t>17.</w:t>
      </w: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E20224">
      <w:pPr>
        <w:autoSpaceDE w:val="0"/>
        <w:autoSpaceDN w:val="0"/>
        <w:adjustRightInd w:val="0"/>
        <w:spacing w:after="0" w:line="360" w:lineRule="auto"/>
        <w:jc w:val="center"/>
        <w:rPr>
          <w:rFonts w:ascii="Times New Roman" w:hAnsi="Times New Roman" w:cs="Times New Roman"/>
          <w:b/>
          <w:sz w:val="28"/>
          <w:szCs w:val="28"/>
          <w:lang w:val="uk-UA"/>
        </w:rPr>
      </w:pPr>
    </w:p>
    <w:p w:rsidR="004E518E" w:rsidRDefault="004E518E" w:rsidP="009F7F95">
      <w:pPr>
        <w:autoSpaceDE w:val="0"/>
        <w:autoSpaceDN w:val="0"/>
        <w:adjustRightInd w:val="0"/>
        <w:spacing w:after="0" w:line="360" w:lineRule="auto"/>
        <w:rPr>
          <w:rFonts w:ascii="Times New Roman" w:hAnsi="Times New Roman" w:cs="Times New Roman"/>
          <w:b/>
          <w:sz w:val="28"/>
          <w:szCs w:val="28"/>
          <w:lang w:val="uk-UA"/>
        </w:rPr>
      </w:pPr>
    </w:p>
    <w:p w:rsidR="00AA385C" w:rsidRDefault="005A6D49" w:rsidP="00E20224">
      <w:pPr>
        <w:autoSpaceDE w:val="0"/>
        <w:autoSpaceDN w:val="0"/>
        <w:adjustRightInd w:val="0"/>
        <w:spacing w:after="0" w:line="360" w:lineRule="auto"/>
        <w:jc w:val="center"/>
        <w:rPr>
          <w:rFonts w:ascii="Times New Roman" w:hAnsi="Times New Roman" w:cs="Times New Roman"/>
          <w:b/>
          <w:sz w:val="28"/>
          <w:szCs w:val="28"/>
          <w:lang w:val="uk-UA"/>
        </w:rPr>
      </w:pPr>
      <w:r w:rsidRPr="00FF4AD2">
        <w:rPr>
          <w:rFonts w:ascii="Times New Roman" w:hAnsi="Times New Roman" w:cs="Times New Roman"/>
          <w:b/>
          <w:sz w:val="28"/>
          <w:szCs w:val="28"/>
          <w:lang w:val="uk-UA"/>
        </w:rPr>
        <w:lastRenderedPageBreak/>
        <w:t xml:space="preserve">РОЗДІЛ </w:t>
      </w:r>
      <w:r w:rsidR="00612BFC">
        <w:rPr>
          <w:rFonts w:ascii="Times New Roman" w:hAnsi="Times New Roman" w:cs="Times New Roman"/>
          <w:b/>
          <w:sz w:val="28"/>
          <w:szCs w:val="28"/>
          <w:lang w:val="uk-UA"/>
        </w:rPr>
        <w:t>5</w:t>
      </w:r>
    </w:p>
    <w:p w:rsidR="00FF4AD2" w:rsidRPr="00C973CC" w:rsidRDefault="00C973CC" w:rsidP="00C973CC">
      <w:pPr>
        <w:autoSpaceDE w:val="0"/>
        <w:autoSpaceDN w:val="0"/>
        <w:adjustRightInd w:val="0"/>
        <w:spacing w:after="0" w:line="360" w:lineRule="auto"/>
        <w:jc w:val="center"/>
        <w:rPr>
          <w:rFonts w:ascii="Times New Roman" w:hAnsi="Times New Roman" w:cs="Times New Roman"/>
          <w:b/>
          <w:sz w:val="28"/>
          <w:szCs w:val="28"/>
          <w:lang w:val="uk-UA"/>
        </w:rPr>
      </w:pPr>
      <w:r w:rsidRPr="00C973CC">
        <w:rPr>
          <w:rFonts w:ascii="Times New Roman" w:hAnsi="Times New Roman" w:cs="Times New Roman"/>
          <w:b/>
          <w:sz w:val="28"/>
          <w:szCs w:val="28"/>
          <w:lang w:val="uk-UA"/>
        </w:rPr>
        <w:t>ПОКАЗНИКИ МІОКАРДА ЛІВОГО ШЛУНОЧКА У П</w:t>
      </w:r>
      <w:r w:rsidR="000A39A1">
        <w:rPr>
          <w:rFonts w:ascii="Times New Roman" w:hAnsi="Times New Roman" w:cs="Times New Roman"/>
          <w:b/>
          <w:sz w:val="28"/>
          <w:szCs w:val="28"/>
          <w:lang w:val="uk-UA"/>
        </w:rPr>
        <w:t xml:space="preserve">АЦІЄНТІВ                 </w:t>
      </w:r>
      <w:r w:rsidR="00341926">
        <w:rPr>
          <w:rFonts w:ascii="Times New Roman" w:hAnsi="Times New Roman" w:cs="Times New Roman"/>
          <w:b/>
          <w:sz w:val="28"/>
          <w:szCs w:val="28"/>
          <w:lang w:val="uk-UA"/>
        </w:rPr>
        <w:t>І</w:t>
      </w:r>
      <w:r w:rsidRPr="00C973CC">
        <w:rPr>
          <w:rFonts w:ascii="Times New Roman" w:hAnsi="Times New Roman" w:cs="Times New Roman"/>
          <w:b/>
          <w:sz w:val="28"/>
          <w:szCs w:val="28"/>
          <w:lang w:val="uk-UA"/>
        </w:rPr>
        <w:t xml:space="preserve">З АРТЕРІАЛЬНОЮ ГІПЕРТЕНЗІЄЮ ТА </w:t>
      </w:r>
      <w:r w:rsidR="002D6251" w:rsidRPr="002D6251">
        <w:rPr>
          <w:rFonts w:ascii="Times New Roman" w:hAnsi="Times New Roman" w:cs="Times New Roman"/>
          <w:b/>
          <w:sz w:val="28"/>
          <w:szCs w:val="28"/>
          <w:lang w:val="uk-UA"/>
        </w:rPr>
        <w:t xml:space="preserve">                               </w:t>
      </w:r>
      <w:r w:rsidR="002D6251">
        <w:rPr>
          <w:rFonts w:ascii="Times New Roman" w:hAnsi="Times New Roman" w:cs="Times New Roman"/>
          <w:b/>
          <w:sz w:val="28"/>
          <w:szCs w:val="28"/>
          <w:lang w:val="uk-UA"/>
        </w:rPr>
        <w:t xml:space="preserve">ЦУКРОВИМ ДІАБЕТОМ </w:t>
      </w:r>
      <w:r w:rsidRPr="00C973CC">
        <w:rPr>
          <w:rFonts w:ascii="Times New Roman" w:hAnsi="Times New Roman" w:cs="Times New Roman"/>
          <w:b/>
          <w:sz w:val="28"/>
          <w:szCs w:val="28"/>
          <w:lang w:val="uk-UA"/>
        </w:rPr>
        <w:t>2-ГО ТИПУ</w:t>
      </w:r>
    </w:p>
    <w:p w:rsidR="00C973CC" w:rsidRPr="00462FDB" w:rsidRDefault="00C973CC" w:rsidP="00023195">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033FDC" w:rsidRDefault="00704EF6" w:rsidP="00023195">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334C32" w:rsidRPr="00FF4AD2">
        <w:rPr>
          <w:rFonts w:ascii="Times New Roman" w:hAnsi="Times New Roman" w:cs="Times New Roman"/>
          <w:b/>
          <w:sz w:val="28"/>
          <w:szCs w:val="28"/>
          <w:lang w:val="uk-UA"/>
        </w:rPr>
        <w:t>.1</w:t>
      </w:r>
      <w:r w:rsidR="00B03E6F">
        <w:rPr>
          <w:rFonts w:ascii="Times New Roman" w:hAnsi="Times New Roman" w:cs="Times New Roman"/>
          <w:b/>
          <w:sz w:val="28"/>
          <w:szCs w:val="28"/>
          <w:lang w:val="uk-UA"/>
        </w:rPr>
        <w:t>.</w:t>
      </w:r>
      <w:r w:rsidR="00334C32" w:rsidRPr="00FF4AD2">
        <w:rPr>
          <w:rFonts w:ascii="Times New Roman" w:hAnsi="Times New Roman" w:cs="Times New Roman"/>
          <w:b/>
          <w:sz w:val="28"/>
          <w:szCs w:val="28"/>
          <w:lang w:val="uk-UA"/>
        </w:rPr>
        <w:t xml:space="preserve"> </w:t>
      </w:r>
      <w:r w:rsidR="0007684A">
        <w:rPr>
          <w:rFonts w:ascii="Times New Roman" w:hAnsi="Times New Roman" w:cs="Times New Roman"/>
          <w:b/>
          <w:sz w:val="28"/>
          <w:szCs w:val="28"/>
          <w:lang w:val="uk-UA"/>
        </w:rPr>
        <w:t xml:space="preserve">Структурно-функціональні особливості міокарда </w:t>
      </w:r>
      <w:r w:rsidR="00E16C9C">
        <w:rPr>
          <w:rFonts w:ascii="Times New Roman" w:hAnsi="Times New Roman" w:cs="Times New Roman"/>
          <w:b/>
          <w:sz w:val="28"/>
          <w:szCs w:val="28"/>
          <w:lang w:val="uk-UA"/>
        </w:rPr>
        <w:t xml:space="preserve">у пацієнтів     </w:t>
      </w:r>
      <w:r w:rsidR="00341926">
        <w:rPr>
          <w:rFonts w:ascii="Times New Roman" w:hAnsi="Times New Roman" w:cs="Times New Roman"/>
          <w:b/>
          <w:sz w:val="28"/>
          <w:szCs w:val="28"/>
          <w:lang w:val="uk-UA"/>
        </w:rPr>
        <w:t>і</w:t>
      </w:r>
      <w:r w:rsidR="00FF4AD2">
        <w:rPr>
          <w:rFonts w:ascii="Times New Roman" w:hAnsi="Times New Roman" w:cs="Times New Roman"/>
          <w:b/>
          <w:sz w:val="28"/>
          <w:szCs w:val="28"/>
          <w:lang w:val="uk-UA"/>
        </w:rPr>
        <w:t>з артеріальною гіпертензією та цукровим діабетом 2</w:t>
      </w:r>
      <w:r w:rsidR="00B03E6F">
        <w:rPr>
          <w:rFonts w:ascii="Times New Roman" w:hAnsi="Times New Roman" w:cs="Times New Roman"/>
          <w:b/>
          <w:sz w:val="28"/>
          <w:szCs w:val="28"/>
          <w:lang w:val="uk-UA"/>
        </w:rPr>
        <w:t>-го</w:t>
      </w:r>
      <w:r w:rsidR="00FF4AD2">
        <w:rPr>
          <w:rFonts w:ascii="Times New Roman" w:hAnsi="Times New Roman" w:cs="Times New Roman"/>
          <w:b/>
          <w:sz w:val="28"/>
          <w:szCs w:val="28"/>
          <w:lang w:val="uk-UA"/>
        </w:rPr>
        <w:t xml:space="preserve"> типу</w:t>
      </w:r>
    </w:p>
    <w:p w:rsidR="00AF3D18" w:rsidRDefault="00AF3D18" w:rsidP="00D525C1">
      <w:pPr>
        <w:autoSpaceDE w:val="0"/>
        <w:autoSpaceDN w:val="0"/>
        <w:adjustRightInd w:val="0"/>
        <w:spacing w:after="0" w:line="360" w:lineRule="auto"/>
        <w:ind w:firstLine="708"/>
        <w:jc w:val="both"/>
        <w:rPr>
          <w:rFonts w:ascii="Times New Roman" w:hAnsi="Times New Roman" w:cs="Times New Roman"/>
          <w:sz w:val="28"/>
          <w:szCs w:val="28"/>
          <w:lang w:val="uk-UA"/>
        </w:rPr>
      </w:pPr>
    </w:p>
    <w:p w:rsidR="001C601D" w:rsidRPr="00A5137B" w:rsidRDefault="00AF3D18" w:rsidP="00D525C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C268B">
        <w:rPr>
          <w:rFonts w:ascii="Times New Roman" w:hAnsi="Times New Roman" w:cs="Times New Roman"/>
          <w:sz w:val="28"/>
          <w:szCs w:val="28"/>
          <w:lang w:val="uk-UA"/>
        </w:rPr>
        <w:t xml:space="preserve">ля  хворих </w:t>
      </w:r>
      <w:r w:rsidR="004E518E">
        <w:rPr>
          <w:rFonts w:ascii="Times New Roman" w:hAnsi="Times New Roman" w:cs="Times New Roman"/>
          <w:sz w:val="28"/>
          <w:szCs w:val="28"/>
          <w:lang w:val="uk-UA"/>
        </w:rPr>
        <w:t xml:space="preserve">на </w:t>
      </w:r>
      <w:r w:rsidR="00D525C1" w:rsidRPr="00D525C1">
        <w:rPr>
          <w:rFonts w:ascii="Times New Roman" w:hAnsi="Times New Roman" w:cs="Times New Roman"/>
          <w:sz w:val="28"/>
          <w:szCs w:val="28"/>
          <w:lang w:val="uk-UA"/>
        </w:rPr>
        <w:t>ЦД 2-го типу хар</w:t>
      </w:r>
      <w:r w:rsidR="001C268B">
        <w:rPr>
          <w:rFonts w:ascii="Times New Roman" w:hAnsi="Times New Roman" w:cs="Times New Roman"/>
          <w:sz w:val="28"/>
          <w:szCs w:val="28"/>
          <w:lang w:val="uk-UA"/>
        </w:rPr>
        <w:t>актерною є г</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пертроф</w:t>
      </w:r>
      <w:r w:rsidR="001C268B">
        <w:rPr>
          <w:rFonts w:ascii="Times New Roman" w:hAnsi="Times New Roman" w:cs="Times New Roman"/>
          <w:sz w:val="28"/>
          <w:szCs w:val="28"/>
          <w:lang w:val="en-US"/>
        </w:rPr>
        <w:t>i</w:t>
      </w:r>
      <w:r w:rsidR="00F6247A">
        <w:rPr>
          <w:rFonts w:ascii="Times New Roman" w:hAnsi="Times New Roman" w:cs="Times New Roman"/>
          <w:sz w:val="28"/>
          <w:szCs w:val="28"/>
          <w:lang w:val="uk-UA"/>
        </w:rPr>
        <w:t>я ЛШ, яка</w:t>
      </w:r>
      <w:r w:rsidR="001C268B">
        <w:rPr>
          <w:rFonts w:ascii="Times New Roman" w:hAnsi="Times New Roman" w:cs="Times New Roman"/>
          <w:sz w:val="28"/>
          <w:szCs w:val="28"/>
          <w:lang w:val="uk-UA"/>
        </w:rPr>
        <w:t xml:space="preserve"> призводить до д</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астол</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чної дисфункц</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ї, а систол</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чна функц</w:t>
      </w:r>
      <w:r w:rsidR="001C268B">
        <w:rPr>
          <w:rFonts w:ascii="Times New Roman" w:hAnsi="Times New Roman" w:cs="Times New Roman"/>
          <w:sz w:val="28"/>
          <w:szCs w:val="28"/>
          <w:lang w:val="en-US"/>
        </w:rPr>
        <w:t>i</w:t>
      </w:r>
      <w:r w:rsidR="00D525C1" w:rsidRPr="00D525C1">
        <w:rPr>
          <w:rFonts w:ascii="Times New Roman" w:hAnsi="Times New Roman" w:cs="Times New Roman"/>
          <w:sz w:val="28"/>
          <w:szCs w:val="28"/>
          <w:lang w:val="uk-UA"/>
        </w:rPr>
        <w:t>я мож</w:t>
      </w:r>
      <w:r w:rsidR="001C268B">
        <w:rPr>
          <w:rFonts w:ascii="Times New Roman" w:hAnsi="Times New Roman" w:cs="Times New Roman"/>
          <w:sz w:val="28"/>
          <w:szCs w:val="28"/>
          <w:lang w:val="uk-UA"/>
        </w:rPr>
        <w:t xml:space="preserve">е бути </w:t>
      </w:r>
      <w:r w:rsidR="001C268B">
        <w:rPr>
          <w:rFonts w:ascii="Times New Roman" w:hAnsi="Times New Roman" w:cs="Times New Roman"/>
          <w:sz w:val="28"/>
          <w:szCs w:val="28"/>
          <w:lang w:val="en-US"/>
        </w:rPr>
        <w:t>i</w:t>
      </w:r>
      <w:r w:rsidR="00D525C1" w:rsidRPr="00D525C1">
        <w:rPr>
          <w:rFonts w:ascii="Times New Roman" w:hAnsi="Times New Roman" w:cs="Times New Roman"/>
          <w:sz w:val="28"/>
          <w:szCs w:val="28"/>
          <w:lang w:val="uk-UA"/>
        </w:rPr>
        <w:t xml:space="preserve"> не</w:t>
      </w:r>
      <w:r w:rsidR="00D525C1">
        <w:rPr>
          <w:rFonts w:ascii="Times New Roman" w:hAnsi="Times New Roman" w:cs="Times New Roman"/>
          <w:sz w:val="28"/>
          <w:szCs w:val="28"/>
          <w:lang w:val="uk-UA"/>
        </w:rPr>
        <w:t xml:space="preserve"> порушеною [</w:t>
      </w:r>
      <w:r w:rsidR="00541249" w:rsidRPr="005C5DB7">
        <w:rPr>
          <w:rFonts w:ascii="Times New Roman" w:hAnsi="Times New Roman" w:cs="Times New Roman"/>
          <w:sz w:val="28"/>
          <w:szCs w:val="28"/>
          <w:lang w:val="uk-UA"/>
        </w:rPr>
        <w:t>78</w:t>
      </w:r>
      <w:r w:rsidR="002A696C">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Поєднання </w:t>
      </w:r>
      <w:r w:rsidR="00593DE2">
        <w:rPr>
          <w:rFonts w:ascii="Times New Roman" w:hAnsi="Times New Roman" w:cs="Times New Roman"/>
          <w:sz w:val="28"/>
          <w:szCs w:val="28"/>
          <w:lang w:val="uk-UA"/>
        </w:rPr>
        <w:t>АГ та</w:t>
      </w:r>
      <w:r w:rsidR="00AA5B67">
        <w:rPr>
          <w:rFonts w:ascii="Times New Roman" w:hAnsi="Times New Roman" w:cs="Times New Roman"/>
          <w:sz w:val="28"/>
          <w:szCs w:val="28"/>
          <w:lang w:val="uk-UA"/>
        </w:rPr>
        <w:t xml:space="preserve"> ЦД 2-го типу</w:t>
      </w:r>
      <w:r w:rsidR="001C268B">
        <w:rPr>
          <w:rFonts w:ascii="Times New Roman" w:hAnsi="Times New Roman" w:cs="Times New Roman"/>
          <w:sz w:val="28"/>
          <w:szCs w:val="28"/>
          <w:lang w:val="uk-UA"/>
        </w:rPr>
        <w:t xml:space="preserve"> сприяє </w:t>
      </w:r>
      <w:r w:rsidR="001218BB" w:rsidRPr="001218BB">
        <w:rPr>
          <w:rFonts w:ascii="Times New Roman" w:hAnsi="Times New Roman" w:cs="Times New Roman"/>
          <w:sz w:val="28"/>
          <w:szCs w:val="28"/>
          <w:lang w:val="uk-UA"/>
        </w:rPr>
        <w:t xml:space="preserve">порушенню </w:t>
      </w:r>
      <w:r w:rsidR="001C268B">
        <w:rPr>
          <w:rFonts w:ascii="Times New Roman" w:hAnsi="Times New Roman" w:cs="Times New Roman"/>
          <w:sz w:val="28"/>
          <w:szCs w:val="28"/>
          <w:lang w:val="uk-UA"/>
        </w:rPr>
        <w:t>д</w:t>
      </w:r>
      <w:r w:rsidR="001C268B">
        <w:rPr>
          <w:rFonts w:ascii="Times New Roman" w:hAnsi="Times New Roman" w:cs="Times New Roman"/>
          <w:sz w:val="28"/>
          <w:szCs w:val="28"/>
          <w:lang w:val="en-US"/>
        </w:rPr>
        <w:t>i</w:t>
      </w:r>
      <w:r w:rsidR="00F50D75">
        <w:rPr>
          <w:rFonts w:ascii="Times New Roman" w:hAnsi="Times New Roman" w:cs="Times New Roman"/>
          <w:sz w:val="28"/>
          <w:szCs w:val="28"/>
          <w:lang w:val="uk-UA"/>
        </w:rPr>
        <w:t>асто</w:t>
      </w:r>
      <w:r w:rsidR="001C268B">
        <w:rPr>
          <w:rFonts w:ascii="Times New Roman" w:hAnsi="Times New Roman" w:cs="Times New Roman"/>
          <w:sz w:val="28"/>
          <w:szCs w:val="28"/>
          <w:lang w:val="uk-UA"/>
        </w:rPr>
        <w:t>л</w:t>
      </w:r>
      <w:r w:rsidR="001218BB" w:rsidRPr="001218BB">
        <w:rPr>
          <w:rFonts w:ascii="Times New Roman" w:hAnsi="Times New Roman" w:cs="Times New Roman"/>
          <w:sz w:val="28"/>
          <w:szCs w:val="28"/>
          <w:lang w:val="uk-UA"/>
        </w:rPr>
        <w:t>и</w:t>
      </w:r>
      <w:r w:rsidR="001C268B">
        <w:rPr>
          <w:rFonts w:ascii="Times New Roman" w:hAnsi="Times New Roman" w:cs="Times New Roman"/>
          <w:sz w:val="28"/>
          <w:szCs w:val="28"/>
          <w:lang w:val="uk-UA"/>
        </w:rPr>
        <w:t xml:space="preserve"> </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 xml:space="preserve"> процес</w:t>
      </w:r>
      <w:r w:rsidR="001C268B">
        <w:rPr>
          <w:rFonts w:ascii="Times New Roman" w:hAnsi="Times New Roman" w:cs="Times New Roman"/>
          <w:sz w:val="28"/>
          <w:szCs w:val="28"/>
          <w:lang w:val="en-US"/>
        </w:rPr>
        <w:t>i</w:t>
      </w:r>
      <w:r w:rsidR="00F9479D">
        <w:rPr>
          <w:rFonts w:ascii="Times New Roman" w:hAnsi="Times New Roman" w:cs="Times New Roman"/>
          <w:sz w:val="28"/>
          <w:szCs w:val="28"/>
          <w:lang w:val="uk-UA"/>
        </w:rPr>
        <w:t>в ре</w:t>
      </w:r>
      <w:r w:rsidR="00F50D75">
        <w:rPr>
          <w:rFonts w:ascii="Times New Roman" w:hAnsi="Times New Roman" w:cs="Times New Roman"/>
          <w:sz w:val="28"/>
          <w:szCs w:val="28"/>
          <w:lang w:val="uk-UA"/>
        </w:rPr>
        <w:t>моделювання ЛШ</w:t>
      </w:r>
      <w:r w:rsidR="00F50D75" w:rsidRPr="00F50D75">
        <w:rPr>
          <w:rFonts w:ascii="Times New Roman" w:hAnsi="Times New Roman" w:cs="Times New Roman"/>
          <w:sz w:val="28"/>
          <w:szCs w:val="28"/>
          <w:lang w:val="uk-UA"/>
        </w:rPr>
        <w:t xml:space="preserve"> [</w:t>
      </w:r>
      <w:r w:rsidR="005C5DB7">
        <w:rPr>
          <w:rFonts w:ascii="Times New Roman" w:hAnsi="Times New Roman" w:cs="Times New Roman"/>
          <w:sz w:val="28"/>
          <w:szCs w:val="28"/>
          <w:lang w:val="uk-UA"/>
        </w:rPr>
        <w:t>157</w:t>
      </w:r>
      <w:r w:rsidR="00F50D75" w:rsidRPr="00E37446">
        <w:rPr>
          <w:rFonts w:ascii="Times New Roman" w:hAnsi="Times New Roman" w:cs="Times New Roman"/>
          <w:sz w:val="28"/>
          <w:szCs w:val="28"/>
          <w:lang w:val="uk-UA"/>
        </w:rPr>
        <w:t>].</w:t>
      </w:r>
      <w:r w:rsidR="00F50D75" w:rsidRPr="00F50D75">
        <w:rPr>
          <w:rFonts w:ascii="Times New Roman" w:hAnsi="Times New Roman" w:cs="Times New Roman"/>
          <w:sz w:val="28"/>
          <w:szCs w:val="28"/>
          <w:lang w:val="uk-UA"/>
        </w:rPr>
        <w:t xml:space="preserve"> </w:t>
      </w:r>
    </w:p>
    <w:p w:rsidR="00890AFD" w:rsidRDefault="001C601D" w:rsidP="00890AF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Основними передумовами </w:t>
      </w:r>
      <w:r w:rsidR="00AA5B67">
        <w:rPr>
          <w:rFonts w:ascii="Times New Roman" w:hAnsi="Times New Roman" w:cs="Times New Roman"/>
          <w:sz w:val="28"/>
          <w:szCs w:val="28"/>
          <w:lang w:val="uk-UA"/>
        </w:rPr>
        <w:t xml:space="preserve">для </w:t>
      </w:r>
      <w:r w:rsidR="008906C8">
        <w:rPr>
          <w:rFonts w:ascii="Times New Roman" w:hAnsi="Times New Roman" w:cs="Times New Roman"/>
          <w:sz w:val="28"/>
          <w:szCs w:val="28"/>
          <w:lang w:val="uk-UA"/>
        </w:rPr>
        <w:t>виникнення</w:t>
      </w:r>
      <w:r w:rsidR="00AA5B67">
        <w:rPr>
          <w:rFonts w:ascii="Times New Roman" w:hAnsi="Times New Roman" w:cs="Times New Roman"/>
          <w:sz w:val="28"/>
          <w:szCs w:val="28"/>
          <w:lang w:val="uk-UA"/>
        </w:rPr>
        <w:t xml:space="preserve"> ураження серця при </w:t>
      </w:r>
      <w:r w:rsidR="002D6251" w:rsidRPr="002D6251">
        <w:rPr>
          <w:rFonts w:ascii="Times New Roman" w:hAnsi="Times New Roman" w:cs="Times New Roman"/>
          <w:sz w:val="28"/>
          <w:szCs w:val="28"/>
        </w:rPr>
        <w:t xml:space="preserve">         </w:t>
      </w:r>
      <w:r w:rsidR="00AA5B67">
        <w:rPr>
          <w:rFonts w:ascii="Times New Roman" w:hAnsi="Times New Roman" w:cs="Times New Roman"/>
          <w:sz w:val="28"/>
          <w:szCs w:val="28"/>
          <w:lang w:val="uk-UA"/>
        </w:rPr>
        <w:t>ЦД 2-го типу</w:t>
      </w:r>
      <w:r w:rsidR="00F82E02">
        <w:rPr>
          <w:rFonts w:ascii="Times New Roman" w:hAnsi="Times New Roman" w:cs="Times New Roman"/>
          <w:sz w:val="28"/>
          <w:szCs w:val="28"/>
          <w:lang w:val="uk-UA"/>
        </w:rPr>
        <w:t xml:space="preserve"> є зниж</w:t>
      </w:r>
      <w:r w:rsidR="001C268B">
        <w:rPr>
          <w:rFonts w:ascii="Times New Roman" w:hAnsi="Times New Roman" w:cs="Times New Roman"/>
          <w:sz w:val="28"/>
          <w:szCs w:val="28"/>
          <w:lang w:val="uk-UA"/>
        </w:rPr>
        <w:t>ення чутливост</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 xml:space="preserve"> серцевої тканини до </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нсул</w:t>
      </w:r>
      <w:r w:rsidR="001C268B">
        <w:rPr>
          <w:rFonts w:ascii="Times New Roman" w:hAnsi="Times New Roman" w:cs="Times New Roman"/>
          <w:sz w:val="28"/>
          <w:szCs w:val="28"/>
          <w:lang w:val="en-US"/>
        </w:rPr>
        <w:t>i</w:t>
      </w:r>
      <w:r w:rsidR="008906C8">
        <w:rPr>
          <w:rFonts w:ascii="Times New Roman" w:hAnsi="Times New Roman" w:cs="Times New Roman"/>
          <w:sz w:val="28"/>
          <w:szCs w:val="28"/>
          <w:lang w:val="uk-UA"/>
        </w:rPr>
        <w:t>ну</w:t>
      </w:r>
      <w:r w:rsidR="001C268B">
        <w:rPr>
          <w:rFonts w:ascii="Times New Roman" w:hAnsi="Times New Roman" w:cs="Times New Roman"/>
          <w:sz w:val="28"/>
          <w:szCs w:val="28"/>
          <w:lang w:val="uk-UA"/>
        </w:rPr>
        <w:t xml:space="preserve">. </w:t>
      </w:r>
      <w:r w:rsidR="00B97CB5">
        <w:rPr>
          <w:rFonts w:ascii="Times New Roman" w:hAnsi="Times New Roman" w:cs="Times New Roman"/>
          <w:sz w:val="28"/>
          <w:szCs w:val="28"/>
          <w:lang w:val="uk-UA"/>
        </w:rPr>
        <w:t>А</w:t>
      </w:r>
      <w:r w:rsidR="001C268B">
        <w:rPr>
          <w:rFonts w:ascii="Times New Roman" w:hAnsi="Times New Roman" w:cs="Times New Roman"/>
          <w:sz w:val="28"/>
          <w:szCs w:val="28"/>
          <w:lang w:val="uk-UA"/>
        </w:rPr>
        <w:t>ктивац</w:t>
      </w:r>
      <w:r w:rsidR="001C268B">
        <w:rPr>
          <w:rFonts w:ascii="Times New Roman" w:hAnsi="Times New Roman" w:cs="Times New Roman"/>
          <w:sz w:val="28"/>
          <w:szCs w:val="28"/>
          <w:lang w:val="en-US"/>
        </w:rPr>
        <w:t>i</w:t>
      </w:r>
      <w:r w:rsidR="008906C8">
        <w:rPr>
          <w:rFonts w:ascii="Times New Roman" w:hAnsi="Times New Roman" w:cs="Times New Roman"/>
          <w:sz w:val="28"/>
          <w:szCs w:val="28"/>
          <w:lang w:val="uk-UA"/>
        </w:rPr>
        <w:t>я РААС</w:t>
      </w:r>
      <w:r w:rsidR="00B97CB5">
        <w:rPr>
          <w:rFonts w:ascii="Times New Roman" w:hAnsi="Times New Roman" w:cs="Times New Roman"/>
          <w:sz w:val="28"/>
          <w:szCs w:val="28"/>
          <w:lang w:val="uk-UA"/>
        </w:rPr>
        <w:t>, характерна для хворих на АГ,</w:t>
      </w:r>
      <w:r w:rsidR="008906C8" w:rsidRPr="008906C8">
        <w:rPr>
          <w:rFonts w:ascii="Times New Roman" w:hAnsi="Times New Roman" w:cs="Times New Roman"/>
          <w:sz w:val="28"/>
          <w:szCs w:val="28"/>
          <w:lang w:val="uk-UA"/>
        </w:rPr>
        <w:t xml:space="preserve"> </w:t>
      </w:r>
      <w:r w:rsidR="001C268B">
        <w:rPr>
          <w:rFonts w:ascii="Times New Roman" w:hAnsi="Times New Roman" w:cs="Times New Roman"/>
          <w:sz w:val="28"/>
          <w:szCs w:val="28"/>
          <w:lang w:val="uk-UA"/>
        </w:rPr>
        <w:t>сприяє порушенню регуляц</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 xml:space="preserve">ї </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нсул</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ну, що призводить до розвитку д</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астол</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чної дисфункц</w:t>
      </w:r>
      <w:r w:rsidR="001C268B">
        <w:rPr>
          <w:rFonts w:ascii="Times New Roman" w:hAnsi="Times New Roman" w:cs="Times New Roman"/>
          <w:sz w:val="28"/>
          <w:szCs w:val="28"/>
          <w:lang w:val="en-US"/>
        </w:rPr>
        <w:t>i</w:t>
      </w:r>
      <w:r w:rsidR="008906C8">
        <w:rPr>
          <w:rFonts w:ascii="Times New Roman" w:hAnsi="Times New Roman" w:cs="Times New Roman"/>
          <w:sz w:val="28"/>
          <w:szCs w:val="28"/>
          <w:lang w:val="uk-UA"/>
        </w:rPr>
        <w:t xml:space="preserve">ї ЛШ </w:t>
      </w:r>
      <w:r w:rsidR="008906C8" w:rsidRPr="008906C8">
        <w:rPr>
          <w:rFonts w:ascii="Times New Roman" w:hAnsi="Times New Roman" w:cs="Times New Roman"/>
          <w:sz w:val="28"/>
          <w:szCs w:val="28"/>
          <w:lang w:val="uk-UA"/>
        </w:rPr>
        <w:t>[</w:t>
      </w:r>
      <w:r w:rsidR="005C5DB7">
        <w:rPr>
          <w:rFonts w:ascii="Times New Roman" w:hAnsi="Times New Roman" w:cs="Times New Roman"/>
          <w:sz w:val="28"/>
          <w:szCs w:val="28"/>
        </w:rPr>
        <w:t>15</w:t>
      </w:r>
      <w:r w:rsidR="005C5DB7">
        <w:rPr>
          <w:rFonts w:ascii="Times New Roman" w:hAnsi="Times New Roman" w:cs="Times New Roman"/>
          <w:sz w:val="28"/>
          <w:szCs w:val="28"/>
          <w:lang w:val="uk-UA"/>
        </w:rPr>
        <w:t>8</w:t>
      </w:r>
      <w:r w:rsidR="008906C8" w:rsidRPr="00E37446">
        <w:rPr>
          <w:rFonts w:ascii="Times New Roman" w:hAnsi="Times New Roman" w:cs="Times New Roman"/>
          <w:sz w:val="28"/>
          <w:szCs w:val="28"/>
          <w:lang w:val="uk-UA"/>
        </w:rPr>
        <w:t>].</w:t>
      </w:r>
      <w:r w:rsidR="008906C8" w:rsidRPr="008906C8">
        <w:rPr>
          <w:rFonts w:ascii="Times New Roman" w:hAnsi="Times New Roman" w:cs="Times New Roman"/>
          <w:sz w:val="28"/>
          <w:szCs w:val="28"/>
          <w:lang w:val="uk-UA"/>
        </w:rPr>
        <w:t xml:space="preserve"> </w:t>
      </w:r>
      <w:r w:rsidR="00890AFD">
        <w:rPr>
          <w:rFonts w:ascii="Times New Roman" w:hAnsi="Times New Roman" w:cs="Times New Roman"/>
          <w:sz w:val="28"/>
          <w:szCs w:val="28"/>
          <w:lang w:val="uk-UA"/>
        </w:rPr>
        <w:t xml:space="preserve">  </w:t>
      </w:r>
    </w:p>
    <w:p w:rsidR="000654AE" w:rsidRDefault="00593DE2" w:rsidP="002A696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ехокардіографії у</w:t>
      </w:r>
      <w:r w:rsidR="001C268B">
        <w:rPr>
          <w:rFonts w:ascii="Times New Roman" w:hAnsi="Times New Roman" w:cs="Times New Roman"/>
          <w:sz w:val="28"/>
          <w:szCs w:val="28"/>
          <w:lang w:val="uk-UA"/>
        </w:rPr>
        <w:t xml:space="preserve"> пац</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єнт</w:t>
      </w:r>
      <w:r w:rsidR="001C268B">
        <w:rPr>
          <w:rFonts w:ascii="Times New Roman" w:hAnsi="Times New Roman" w:cs="Times New Roman"/>
          <w:sz w:val="28"/>
          <w:szCs w:val="28"/>
          <w:lang w:val="en-US"/>
        </w:rPr>
        <w:t>i</w:t>
      </w:r>
      <w:r w:rsidR="00BC56FF">
        <w:rPr>
          <w:rFonts w:ascii="Times New Roman" w:hAnsi="Times New Roman" w:cs="Times New Roman"/>
          <w:sz w:val="28"/>
          <w:szCs w:val="28"/>
          <w:lang w:val="uk-UA"/>
        </w:rPr>
        <w:t>в І, ІІ груп</w:t>
      </w:r>
      <w:r w:rsidR="001C268B">
        <w:rPr>
          <w:rFonts w:ascii="Times New Roman" w:hAnsi="Times New Roman" w:cs="Times New Roman"/>
          <w:sz w:val="28"/>
          <w:szCs w:val="28"/>
          <w:lang w:val="uk-UA"/>
        </w:rPr>
        <w:t xml:space="preserve"> </w:t>
      </w:r>
      <w:r w:rsidR="00E552BB">
        <w:rPr>
          <w:rFonts w:ascii="Times New Roman" w:hAnsi="Times New Roman" w:cs="Times New Roman"/>
          <w:sz w:val="28"/>
          <w:szCs w:val="28"/>
          <w:lang w:val="uk-UA"/>
        </w:rPr>
        <w:t xml:space="preserve">та осіб групи контролю </w:t>
      </w:r>
      <w:r w:rsidR="001C268B">
        <w:rPr>
          <w:rFonts w:ascii="Times New Roman" w:hAnsi="Times New Roman" w:cs="Times New Roman"/>
          <w:sz w:val="28"/>
          <w:szCs w:val="28"/>
          <w:lang w:val="uk-UA"/>
        </w:rPr>
        <w:t>в</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дпов</w:t>
      </w:r>
      <w:r w:rsidR="001C268B">
        <w:rPr>
          <w:rFonts w:ascii="Times New Roman" w:hAnsi="Times New Roman" w:cs="Times New Roman"/>
          <w:sz w:val="28"/>
          <w:szCs w:val="28"/>
          <w:lang w:val="en-US"/>
        </w:rPr>
        <w:t>i</w:t>
      </w:r>
      <w:r w:rsidR="00334C32" w:rsidRPr="008707FF">
        <w:rPr>
          <w:rFonts w:ascii="Times New Roman" w:hAnsi="Times New Roman" w:cs="Times New Roman"/>
          <w:sz w:val="28"/>
          <w:szCs w:val="28"/>
          <w:lang w:val="uk-UA"/>
        </w:rPr>
        <w:t>дно ФВ</w:t>
      </w:r>
      <w:r w:rsidR="00F6247A">
        <w:rPr>
          <w:rFonts w:ascii="Times New Roman" w:hAnsi="Times New Roman" w:cs="Times New Roman"/>
          <w:sz w:val="28"/>
          <w:szCs w:val="28"/>
          <w:lang w:val="uk-UA"/>
        </w:rPr>
        <w:t xml:space="preserve"> становила</w:t>
      </w:r>
      <w:r w:rsidR="00334C32" w:rsidRPr="008707FF">
        <w:rPr>
          <w:rFonts w:ascii="Times New Roman" w:hAnsi="Times New Roman" w:cs="Times New Roman"/>
          <w:sz w:val="28"/>
          <w:szCs w:val="28"/>
          <w:lang w:val="uk-UA"/>
        </w:rPr>
        <w:t xml:space="preserve"> </w:t>
      </w:r>
      <w:r w:rsidR="000B064D">
        <w:rPr>
          <w:rFonts w:ascii="Times New Roman" w:hAnsi="Times New Roman" w:cs="Times New Roman"/>
          <w:sz w:val="28"/>
          <w:szCs w:val="28"/>
          <w:lang w:val="uk-UA"/>
        </w:rPr>
        <w:t>(55,</w:t>
      </w:r>
      <w:r w:rsidR="000B064D" w:rsidRPr="000B064D">
        <w:rPr>
          <w:rFonts w:ascii="Times New Roman" w:hAnsi="Times New Roman" w:cs="Times New Roman"/>
          <w:sz w:val="28"/>
          <w:szCs w:val="28"/>
          <w:lang w:val="uk-UA"/>
        </w:rPr>
        <w:t>34</w:t>
      </w:r>
      <w:r w:rsidR="00F6247A">
        <w:rPr>
          <w:rFonts w:ascii="Times New Roman" w:hAnsi="Times New Roman" w:cs="Times New Roman"/>
          <w:sz w:val="28"/>
          <w:szCs w:val="28"/>
          <w:lang w:val="uk-UA"/>
        </w:rPr>
        <w:t xml:space="preserve"> </w:t>
      </w:r>
      <w:r w:rsidR="00334C32" w:rsidRPr="0036553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365531">
        <w:rPr>
          <w:rFonts w:ascii="Times New Roman" w:hAnsi="Times New Roman" w:cs="Times New Roman"/>
          <w:sz w:val="28"/>
          <w:szCs w:val="28"/>
          <w:lang w:val="uk-UA"/>
        </w:rPr>
        <w:t>1</w:t>
      </w:r>
      <w:r w:rsidR="000B064D" w:rsidRPr="000B064D">
        <w:rPr>
          <w:rFonts w:ascii="Times New Roman" w:hAnsi="Times New Roman" w:cs="Times New Roman"/>
          <w:sz w:val="28"/>
          <w:szCs w:val="28"/>
          <w:lang w:val="uk-UA"/>
        </w:rPr>
        <w:t>0</w:t>
      </w:r>
      <w:r w:rsidR="00E17CDA" w:rsidRPr="00365531">
        <w:rPr>
          <w:rFonts w:ascii="Times New Roman" w:hAnsi="Times New Roman" w:cs="Times New Roman"/>
          <w:sz w:val="28"/>
          <w:szCs w:val="28"/>
          <w:lang w:val="uk-UA"/>
        </w:rPr>
        <w:t>,</w:t>
      </w:r>
      <w:r w:rsidR="000B064D" w:rsidRPr="000B064D">
        <w:rPr>
          <w:rFonts w:ascii="Times New Roman" w:hAnsi="Times New Roman" w:cs="Times New Roman"/>
          <w:sz w:val="28"/>
          <w:szCs w:val="28"/>
          <w:lang w:val="uk-UA"/>
        </w:rPr>
        <w:t>8</w:t>
      </w:r>
      <w:r w:rsidR="008354C1" w:rsidRPr="00365531">
        <w:rPr>
          <w:rFonts w:ascii="Times New Roman" w:hAnsi="Times New Roman" w:cs="Times New Roman"/>
          <w:sz w:val="28"/>
          <w:szCs w:val="28"/>
          <w:lang w:val="uk-UA"/>
        </w:rPr>
        <w:t>9</w:t>
      </w:r>
      <w:r w:rsidR="00622FD6" w:rsidRPr="00365531">
        <w:rPr>
          <w:rFonts w:ascii="Times New Roman" w:hAnsi="Times New Roman" w:cs="Times New Roman"/>
          <w:sz w:val="28"/>
          <w:szCs w:val="28"/>
          <w:lang w:val="uk-UA"/>
        </w:rPr>
        <w:t>)</w:t>
      </w:r>
      <w:r w:rsidR="000B064D">
        <w:rPr>
          <w:rFonts w:ascii="Times New Roman" w:hAnsi="Times New Roman" w:cs="Times New Roman"/>
          <w:sz w:val="28"/>
          <w:szCs w:val="28"/>
          <w:lang w:val="uk-UA"/>
        </w:rPr>
        <w:t>, (5</w:t>
      </w:r>
      <w:r w:rsidR="000B064D" w:rsidRPr="000B064D">
        <w:rPr>
          <w:rFonts w:ascii="Times New Roman" w:hAnsi="Times New Roman" w:cs="Times New Roman"/>
          <w:sz w:val="28"/>
          <w:szCs w:val="28"/>
          <w:lang w:val="uk-UA"/>
        </w:rPr>
        <w:t>1</w:t>
      </w:r>
      <w:r w:rsidR="000B064D">
        <w:rPr>
          <w:rFonts w:ascii="Times New Roman" w:hAnsi="Times New Roman" w:cs="Times New Roman"/>
          <w:sz w:val="28"/>
          <w:szCs w:val="28"/>
          <w:lang w:val="uk-UA"/>
        </w:rPr>
        <w:t>,</w:t>
      </w:r>
      <w:r w:rsidR="000B064D" w:rsidRPr="000B064D">
        <w:rPr>
          <w:rFonts w:ascii="Times New Roman" w:hAnsi="Times New Roman" w:cs="Times New Roman"/>
          <w:sz w:val="28"/>
          <w:szCs w:val="28"/>
          <w:lang w:val="uk-UA"/>
        </w:rPr>
        <w:t>56</w:t>
      </w:r>
      <w:r w:rsidR="00F6247A">
        <w:rPr>
          <w:rFonts w:ascii="Times New Roman" w:hAnsi="Times New Roman" w:cs="Times New Roman"/>
          <w:sz w:val="28"/>
          <w:szCs w:val="28"/>
          <w:lang w:val="uk-UA"/>
        </w:rPr>
        <w:t xml:space="preserve"> </w:t>
      </w:r>
      <w:r w:rsidR="000B064D">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0B064D" w:rsidRPr="000B064D">
        <w:rPr>
          <w:rFonts w:ascii="Times New Roman" w:hAnsi="Times New Roman" w:cs="Times New Roman"/>
          <w:sz w:val="28"/>
          <w:szCs w:val="28"/>
          <w:lang w:val="uk-UA"/>
        </w:rPr>
        <w:t>9</w:t>
      </w:r>
      <w:r w:rsidR="008354C1" w:rsidRPr="00365531">
        <w:rPr>
          <w:rFonts w:ascii="Times New Roman" w:hAnsi="Times New Roman" w:cs="Times New Roman"/>
          <w:sz w:val="28"/>
          <w:szCs w:val="28"/>
          <w:lang w:val="uk-UA"/>
        </w:rPr>
        <w:t>,9</w:t>
      </w:r>
      <w:r w:rsidR="000B064D" w:rsidRPr="000B064D">
        <w:rPr>
          <w:rFonts w:ascii="Times New Roman" w:hAnsi="Times New Roman" w:cs="Times New Roman"/>
          <w:sz w:val="28"/>
          <w:szCs w:val="28"/>
          <w:lang w:val="uk-UA"/>
        </w:rPr>
        <w:t>5</w:t>
      </w:r>
      <w:r w:rsidR="00E17CDA" w:rsidRPr="00365531">
        <w:rPr>
          <w:rFonts w:ascii="Times New Roman" w:hAnsi="Times New Roman" w:cs="Times New Roman"/>
          <w:sz w:val="28"/>
          <w:szCs w:val="28"/>
          <w:lang w:val="uk-UA"/>
        </w:rPr>
        <w:t xml:space="preserve">) %, </w:t>
      </w:r>
      <w:r w:rsidR="000B064D">
        <w:rPr>
          <w:rFonts w:ascii="Times New Roman" w:hAnsi="Times New Roman" w:cs="Times New Roman"/>
          <w:sz w:val="28"/>
          <w:szCs w:val="28"/>
          <w:lang w:val="uk-UA"/>
        </w:rPr>
        <w:t>p = 0,</w:t>
      </w:r>
      <w:r w:rsidR="000B064D" w:rsidRPr="000B064D">
        <w:rPr>
          <w:rFonts w:ascii="Times New Roman" w:hAnsi="Times New Roman" w:cs="Times New Roman"/>
          <w:sz w:val="28"/>
          <w:szCs w:val="28"/>
          <w:lang w:val="uk-UA"/>
        </w:rPr>
        <w:t>8638</w:t>
      </w:r>
      <w:r w:rsidR="000B064D">
        <w:rPr>
          <w:rFonts w:ascii="Times New Roman" w:hAnsi="Times New Roman" w:cs="Times New Roman"/>
          <w:sz w:val="28"/>
          <w:szCs w:val="28"/>
          <w:lang w:val="uk-UA"/>
        </w:rPr>
        <w:t>; (6</w:t>
      </w:r>
      <w:r w:rsidR="000B064D" w:rsidRPr="000B064D">
        <w:rPr>
          <w:rFonts w:ascii="Times New Roman" w:hAnsi="Times New Roman" w:cs="Times New Roman"/>
          <w:sz w:val="28"/>
          <w:szCs w:val="28"/>
          <w:lang w:val="uk-UA"/>
        </w:rPr>
        <w:t>4</w:t>
      </w:r>
      <w:r w:rsidR="000B064D">
        <w:rPr>
          <w:rFonts w:ascii="Times New Roman" w:hAnsi="Times New Roman" w:cs="Times New Roman"/>
          <w:sz w:val="28"/>
          <w:szCs w:val="28"/>
          <w:lang w:val="uk-UA"/>
        </w:rPr>
        <w:t>,</w:t>
      </w:r>
      <w:r w:rsidR="000B064D" w:rsidRPr="000B064D">
        <w:rPr>
          <w:rFonts w:ascii="Times New Roman" w:hAnsi="Times New Roman" w:cs="Times New Roman"/>
          <w:sz w:val="28"/>
          <w:szCs w:val="28"/>
          <w:lang w:val="uk-UA"/>
        </w:rPr>
        <w:t>13</w:t>
      </w:r>
      <w:r w:rsidR="00102C5B">
        <w:rPr>
          <w:rFonts w:ascii="Times New Roman" w:hAnsi="Times New Roman" w:cs="Times New Roman"/>
          <w:sz w:val="28"/>
          <w:szCs w:val="28"/>
          <w:lang w:val="uk-UA"/>
        </w:rPr>
        <w:t xml:space="preserve"> </w:t>
      </w:r>
      <w:r w:rsidR="00E552BB">
        <w:rPr>
          <w:rFonts w:ascii="Times New Roman" w:hAnsi="Times New Roman" w:cs="Times New Roman"/>
          <w:sz w:val="28"/>
          <w:szCs w:val="28"/>
          <w:lang w:val="uk-UA"/>
        </w:rPr>
        <w:t xml:space="preserve">  </w:t>
      </w:r>
      <w:r w:rsidR="000B064D">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0B064D" w:rsidRPr="000B064D">
        <w:rPr>
          <w:rFonts w:ascii="Times New Roman" w:hAnsi="Times New Roman" w:cs="Times New Roman"/>
          <w:sz w:val="28"/>
          <w:szCs w:val="28"/>
          <w:lang w:val="uk-UA"/>
        </w:rPr>
        <w:t>5</w:t>
      </w:r>
      <w:r w:rsidR="000B064D">
        <w:rPr>
          <w:rFonts w:ascii="Times New Roman" w:hAnsi="Times New Roman" w:cs="Times New Roman"/>
          <w:sz w:val="28"/>
          <w:szCs w:val="28"/>
          <w:lang w:val="uk-UA"/>
        </w:rPr>
        <w:t>,</w:t>
      </w:r>
      <w:r w:rsidR="000B064D" w:rsidRPr="000B064D">
        <w:rPr>
          <w:rFonts w:ascii="Times New Roman" w:hAnsi="Times New Roman" w:cs="Times New Roman"/>
          <w:sz w:val="28"/>
          <w:szCs w:val="28"/>
          <w:lang w:val="uk-UA"/>
        </w:rPr>
        <w:t>7</w:t>
      </w:r>
      <w:r w:rsidR="00E17CDA" w:rsidRPr="0036553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E552BB">
        <w:rPr>
          <w:rFonts w:ascii="Times New Roman" w:hAnsi="Times New Roman" w:cs="Times New Roman"/>
          <w:sz w:val="28"/>
          <w:szCs w:val="28"/>
          <w:lang w:val="uk-UA"/>
        </w:rPr>
        <w:t xml:space="preserve">%, </w:t>
      </w:r>
      <w:r w:rsidR="00911BB3" w:rsidRPr="00365531">
        <w:rPr>
          <w:rFonts w:ascii="Times New Roman" w:hAnsi="Times New Roman" w:cs="Times New Roman"/>
          <w:sz w:val="28"/>
          <w:szCs w:val="28"/>
          <w:lang w:val="uk-UA"/>
        </w:rPr>
        <w:t>p =</w:t>
      </w:r>
      <w:r w:rsidR="008354C1" w:rsidRPr="00365531">
        <w:rPr>
          <w:rFonts w:ascii="Times New Roman" w:hAnsi="Times New Roman" w:cs="Times New Roman"/>
          <w:sz w:val="28"/>
          <w:szCs w:val="28"/>
          <w:lang w:val="uk-UA"/>
        </w:rPr>
        <w:t xml:space="preserve"> 0,0</w:t>
      </w:r>
      <w:r w:rsidR="000B064D" w:rsidRPr="000B064D">
        <w:rPr>
          <w:rFonts w:ascii="Times New Roman" w:hAnsi="Times New Roman" w:cs="Times New Roman"/>
          <w:sz w:val="28"/>
          <w:szCs w:val="28"/>
          <w:lang w:val="uk-UA"/>
        </w:rPr>
        <w:t>7520</w:t>
      </w:r>
      <w:r w:rsidR="00E17CDA" w:rsidRPr="00365531">
        <w:rPr>
          <w:rFonts w:ascii="Times New Roman" w:hAnsi="Times New Roman" w:cs="Times New Roman"/>
          <w:sz w:val="28"/>
          <w:szCs w:val="28"/>
          <w:lang w:val="uk-UA"/>
        </w:rPr>
        <w:t>; ТМШП – (1,</w:t>
      </w:r>
      <w:r w:rsidR="00E17CDA" w:rsidRPr="007A07E1">
        <w:rPr>
          <w:rFonts w:ascii="Times New Roman" w:hAnsi="Times New Roman" w:cs="Times New Roman"/>
          <w:sz w:val="28"/>
          <w:szCs w:val="28"/>
          <w:lang w:val="uk-UA"/>
        </w:rPr>
        <w:t>32</w:t>
      </w:r>
      <w:r w:rsidR="00F6247A">
        <w:rPr>
          <w:rFonts w:ascii="Times New Roman" w:hAnsi="Times New Roman" w:cs="Times New Roman"/>
          <w:sz w:val="28"/>
          <w:szCs w:val="28"/>
          <w:lang w:val="uk-UA"/>
        </w:rPr>
        <w:t xml:space="preserve"> </w:t>
      </w:r>
      <w:r w:rsidR="00E17CDA" w:rsidRPr="007A07E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0,01)</w:t>
      </w:r>
      <w:r w:rsidR="00E17CDA" w:rsidRPr="007A07E1">
        <w:rPr>
          <w:rFonts w:ascii="Times New Roman" w:hAnsi="Times New Roman" w:cs="Times New Roman"/>
          <w:sz w:val="28"/>
          <w:szCs w:val="28"/>
          <w:lang w:val="uk-UA"/>
        </w:rPr>
        <w:t>, (1,28</w:t>
      </w:r>
      <w:r w:rsidR="00F6247A">
        <w:rPr>
          <w:rFonts w:ascii="Times New Roman" w:hAnsi="Times New Roman" w:cs="Times New Roman"/>
          <w:sz w:val="28"/>
          <w:szCs w:val="28"/>
          <w:lang w:val="uk-UA"/>
        </w:rPr>
        <w:t xml:space="preserve"> </w:t>
      </w:r>
      <w:r w:rsidR="00E17CDA" w:rsidRPr="007A07E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E17CDA" w:rsidRPr="007A07E1">
        <w:rPr>
          <w:rFonts w:ascii="Times New Roman" w:hAnsi="Times New Roman" w:cs="Times New Roman"/>
          <w:sz w:val="28"/>
          <w:szCs w:val="28"/>
          <w:lang w:val="uk-UA"/>
        </w:rPr>
        <w:t xml:space="preserve">0,01) см,  </w:t>
      </w:r>
      <w:r w:rsidR="007A07E1" w:rsidRPr="007A07E1">
        <w:rPr>
          <w:rFonts w:ascii="Times New Roman" w:hAnsi="Times New Roman" w:cs="Times New Roman"/>
          <w:sz w:val="28"/>
          <w:szCs w:val="28"/>
          <w:lang w:val="uk-UA"/>
        </w:rPr>
        <w:t>p = 0,05; (1,09</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A07E1" w:rsidRPr="007A07E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7A07E1" w:rsidRPr="007A07E1">
        <w:rPr>
          <w:rFonts w:ascii="Times New Roman" w:hAnsi="Times New Roman" w:cs="Times New Roman"/>
          <w:sz w:val="28"/>
          <w:szCs w:val="28"/>
          <w:lang w:val="uk-UA"/>
        </w:rPr>
        <w:t>0,02</w:t>
      </w:r>
      <w:r w:rsidR="00911BB3" w:rsidRPr="007A07E1">
        <w:rPr>
          <w:rFonts w:ascii="Times New Roman" w:hAnsi="Times New Roman" w:cs="Times New Roman"/>
          <w:sz w:val="28"/>
          <w:szCs w:val="28"/>
          <w:lang w:val="uk-UA"/>
        </w:rPr>
        <w:t>) см</w:t>
      </w:r>
      <w:r w:rsidR="007A07E1" w:rsidRPr="007A07E1">
        <w:rPr>
          <w:rFonts w:ascii="Times New Roman" w:hAnsi="Times New Roman" w:cs="Times New Roman"/>
          <w:sz w:val="28"/>
          <w:szCs w:val="28"/>
          <w:lang w:val="uk-UA"/>
        </w:rPr>
        <w:t>, p = 0,0055</w:t>
      </w:r>
      <w:r w:rsidR="00E17CDA" w:rsidRPr="007A07E1">
        <w:rPr>
          <w:rFonts w:ascii="Times New Roman" w:hAnsi="Times New Roman" w:cs="Times New Roman"/>
          <w:sz w:val="28"/>
          <w:szCs w:val="28"/>
          <w:lang w:val="uk-UA"/>
        </w:rPr>
        <w:t>;</w:t>
      </w:r>
      <w:r w:rsidR="00E17CDA" w:rsidRPr="00593DE2">
        <w:rPr>
          <w:rFonts w:ascii="Times New Roman" w:hAnsi="Times New Roman" w:cs="Times New Roman"/>
          <w:sz w:val="28"/>
          <w:szCs w:val="28"/>
          <w:lang w:val="uk-UA"/>
        </w:rPr>
        <w:t xml:space="preserve"> </w:t>
      </w:r>
      <w:r w:rsidR="00B97CB5">
        <w:rPr>
          <w:rFonts w:ascii="Times New Roman" w:hAnsi="Times New Roman" w:cs="Times New Roman"/>
          <w:sz w:val="28"/>
          <w:szCs w:val="28"/>
          <w:lang w:val="uk-UA"/>
        </w:rPr>
        <w:t>ТЗСЛШ</w:t>
      </w:r>
      <w:r w:rsidR="00E17CDA" w:rsidRPr="007A07E1">
        <w:rPr>
          <w:rFonts w:ascii="Times New Roman" w:hAnsi="Times New Roman" w:cs="Times New Roman"/>
          <w:sz w:val="28"/>
          <w:szCs w:val="28"/>
          <w:lang w:val="uk-UA"/>
        </w:rPr>
        <w:t xml:space="preserve"> –</w:t>
      </w:r>
      <w:r w:rsidR="00911BB3" w:rsidRPr="007A07E1">
        <w:rPr>
          <w:rFonts w:ascii="Times New Roman" w:hAnsi="Times New Roman" w:cs="Times New Roman"/>
          <w:sz w:val="28"/>
          <w:szCs w:val="28"/>
          <w:lang w:val="uk-UA"/>
        </w:rPr>
        <w:t xml:space="preserve"> (1,7</w:t>
      </w:r>
      <w:r w:rsidR="00F6247A">
        <w:rPr>
          <w:rFonts w:ascii="Times New Roman" w:hAnsi="Times New Roman" w:cs="Times New Roman"/>
          <w:sz w:val="28"/>
          <w:szCs w:val="28"/>
          <w:lang w:val="uk-UA"/>
        </w:rPr>
        <w:t xml:space="preserve"> </w:t>
      </w:r>
      <w:r w:rsidR="00911BB3" w:rsidRPr="007A07E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911BB3" w:rsidRPr="007A07E1">
        <w:rPr>
          <w:rFonts w:ascii="Times New Roman" w:hAnsi="Times New Roman" w:cs="Times New Roman"/>
          <w:sz w:val="28"/>
          <w:szCs w:val="28"/>
          <w:lang w:val="uk-UA"/>
        </w:rPr>
        <w:t>0,02</w:t>
      </w:r>
      <w:r w:rsidR="00F6247A">
        <w:rPr>
          <w:rFonts w:ascii="Times New Roman" w:hAnsi="Times New Roman" w:cs="Times New Roman"/>
          <w:sz w:val="28"/>
          <w:szCs w:val="28"/>
          <w:lang w:val="uk-UA"/>
        </w:rPr>
        <w:t>)</w:t>
      </w:r>
      <w:r w:rsidR="007A07E1" w:rsidRPr="007A07E1">
        <w:rPr>
          <w:rFonts w:ascii="Times New Roman" w:hAnsi="Times New Roman" w:cs="Times New Roman"/>
          <w:sz w:val="28"/>
          <w:szCs w:val="28"/>
          <w:lang w:val="uk-UA"/>
        </w:rPr>
        <w:t>, (1,59</w:t>
      </w:r>
      <w:r w:rsidR="00F6247A">
        <w:rPr>
          <w:rFonts w:ascii="Times New Roman" w:hAnsi="Times New Roman" w:cs="Times New Roman"/>
          <w:sz w:val="28"/>
          <w:szCs w:val="28"/>
          <w:lang w:val="uk-UA"/>
        </w:rPr>
        <w:t xml:space="preserve"> </w:t>
      </w:r>
      <w:r w:rsidR="007A07E1" w:rsidRPr="007A07E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7A07E1" w:rsidRPr="007A07E1">
        <w:rPr>
          <w:rFonts w:ascii="Times New Roman" w:hAnsi="Times New Roman" w:cs="Times New Roman"/>
          <w:sz w:val="28"/>
          <w:szCs w:val="28"/>
          <w:lang w:val="uk-UA"/>
        </w:rPr>
        <w:t>0,05) см, p = 0,0201; (1,07</w:t>
      </w:r>
      <w:r w:rsidR="00F6247A">
        <w:rPr>
          <w:rFonts w:ascii="Times New Roman" w:hAnsi="Times New Roman" w:cs="Times New Roman"/>
          <w:sz w:val="28"/>
          <w:szCs w:val="28"/>
          <w:lang w:val="uk-UA"/>
        </w:rPr>
        <w:t xml:space="preserve"> </w:t>
      </w:r>
      <w:r w:rsidR="007A07E1" w:rsidRPr="007A07E1">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7A07E1" w:rsidRPr="007A07E1">
        <w:rPr>
          <w:rFonts w:ascii="Times New Roman" w:hAnsi="Times New Roman" w:cs="Times New Roman"/>
          <w:sz w:val="28"/>
          <w:szCs w:val="28"/>
          <w:lang w:val="uk-UA"/>
        </w:rPr>
        <w:t>0,3</w:t>
      </w:r>
      <w:r w:rsidR="00E552BB">
        <w:rPr>
          <w:rFonts w:ascii="Times New Roman" w:hAnsi="Times New Roman" w:cs="Times New Roman"/>
          <w:sz w:val="28"/>
          <w:szCs w:val="28"/>
          <w:lang w:val="uk-UA"/>
        </w:rPr>
        <w:t xml:space="preserve">) см, </w:t>
      </w:r>
      <w:r w:rsidR="00365531" w:rsidRPr="007A07E1">
        <w:rPr>
          <w:rFonts w:ascii="Times New Roman" w:hAnsi="Times New Roman" w:cs="Times New Roman"/>
          <w:sz w:val="28"/>
          <w:szCs w:val="28"/>
          <w:lang w:val="uk-UA"/>
        </w:rPr>
        <w:t>p &lt; 0,00</w:t>
      </w:r>
      <w:r w:rsidR="007A07E1" w:rsidRPr="007A07E1">
        <w:rPr>
          <w:rFonts w:ascii="Times New Roman" w:hAnsi="Times New Roman" w:cs="Times New Roman"/>
          <w:sz w:val="28"/>
          <w:szCs w:val="28"/>
          <w:lang w:val="uk-UA"/>
        </w:rPr>
        <w:t>0</w:t>
      </w:r>
      <w:r w:rsidR="00365531" w:rsidRPr="007A07E1">
        <w:rPr>
          <w:rFonts w:ascii="Times New Roman" w:hAnsi="Times New Roman" w:cs="Times New Roman"/>
          <w:sz w:val="28"/>
          <w:szCs w:val="28"/>
          <w:lang w:val="uk-UA"/>
        </w:rPr>
        <w:t>1</w:t>
      </w:r>
      <w:r w:rsidR="00293BE1" w:rsidRPr="007A07E1">
        <w:rPr>
          <w:rFonts w:ascii="Times New Roman" w:hAnsi="Times New Roman" w:cs="Times New Roman"/>
          <w:sz w:val="28"/>
          <w:szCs w:val="28"/>
          <w:lang w:val="uk-UA"/>
        </w:rPr>
        <w:t xml:space="preserve">; </w:t>
      </w:r>
      <w:r w:rsidR="00293BE1" w:rsidRPr="00170D5A">
        <w:rPr>
          <w:rFonts w:ascii="Times New Roman" w:hAnsi="Times New Roman" w:cs="Times New Roman"/>
          <w:sz w:val="28"/>
          <w:szCs w:val="28"/>
          <w:lang w:val="uk-UA"/>
        </w:rPr>
        <w:t>КДР – (5,21</w:t>
      </w:r>
      <w:r w:rsidR="00F6247A">
        <w:rPr>
          <w:rFonts w:ascii="Times New Roman" w:hAnsi="Times New Roman" w:cs="Times New Roman"/>
          <w:sz w:val="28"/>
          <w:szCs w:val="28"/>
          <w:lang w:val="uk-UA"/>
        </w:rPr>
        <w:t xml:space="preserve"> </w:t>
      </w:r>
      <w:r w:rsidR="00293BE1" w:rsidRPr="00170D5A">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0,01)</w:t>
      </w:r>
      <w:r w:rsidR="00293BE1" w:rsidRPr="00170D5A">
        <w:rPr>
          <w:rFonts w:ascii="Times New Roman" w:hAnsi="Times New Roman" w:cs="Times New Roman"/>
          <w:sz w:val="28"/>
          <w:szCs w:val="28"/>
          <w:lang w:val="uk-UA"/>
        </w:rPr>
        <w:t>, (5,18</w:t>
      </w:r>
      <w:r w:rsidR="00F6247A">
        <w:rPr>
          <w:rFonts w:ascii="Times New Roman" w:hAnsi="Times New Roman" w:cs="Times New Roman"/>
          <w:sz w:val="28"/>
          <w:szCs w:val="28"/>
          <w:lang w:val="uk-UA"/>
        </w:rPr>
        <w:t xml:space="preserve"> </w:t>
      </w:r>
      <w:r w:rsidR="00293BE1" w:rsidRPr="00170D5A">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293BE1" w:rsidRPr="00170D5A">
        <w:rPr>
          <w:rFonts w:ascii="Times New Roman" w:hAnsi="Times New Roman" w:cs="Times New Roman"/>
          <w:sz w:val="28"/>
          <w:szCs w:val="28"/>
          <w:lang w:val="uk-UA"/>
        </w:rPr>
        <w:t>0,01) см</w:t>
      </w:r>
      <w:r w:rsidR="00170D5A" w:rsidRPr="00170D5A">
        <w:rPr>
          <w:rFonts w:ascii="Times New Roman" w:hAnsi="Times New Roman" w:cs="Times New Roman"/>
          <w:sz w:val="28"/>
          <w:szCs w:val="28"/>
          <w:lang w:val="uk-UA"/>
        </w:rPr>
        <w:t>, p = 0,1420</w:t>
      </w:r>
      <w:r w:rsidR="00F6247A">
        <w:rPr>
          <w:rFonts w:ascii="Times New Roman" w:hAnsi="Times New Roman" w:cs="Times New Roman"/>
          <w:sz w:val="28"/>
          <w:szCs w:val="28"/>
          <w:lang w:val="uk-UA"/>
        </w:rPr>
        <w:t>;</w:t>
      </w:r>
      <w:r w:rsidR="008354C1" w:rsidRPr="00170D5A">
        <w:rPr>
          <w:rFonts w:ascii="Times New Roman" w:hAnsi="Times New Roman" w:cs="Times New Roman"/>
          <w:sz w:val="28"/>
          <w:szCs w:val="28"/>
          <w:lang w:val="uk-UA"/>
        </w:rPr>
        <w:t xml:space="preserve"> (4,6</w:t>
      </w:r>
      <w:r w:rsidR="00F6247A">
        <w:rPr>
          <w:rFonts w:ascii="Times New Roman" w:hAnsi="Times New Roman" w:cs="Times New Roman"/>
          <w:sz w:val="28"/>
          <w:szCs w:val="28"/>
          <w:lang w:val="uk-UA"/>
        </w:rPr>
        <w:t xml:space="preserve"> </w:t>
      </w:r>
      <w:r w:rsidR="00E552BB">
        <w:rPr>
          <w:rFonts w:ascii="Times New Roman" w:hAnsi="Times New Roman" w:cs="Times New Roman"/>
          <w:sz w:val="28"/>
          <w:szCs w:val="28"/>
          <w:lang w:val="uk-UA"/>
        </w:rPr>
        <w:t xml:space="preserve">       </w:t>
      </w:r>
      <w:r w:rsidR="008354C1" w:rsidRPr="00170D5A">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170D5A">
        <w:rPr>
          <w:rFonts w:ascii="Times New Roman" w:hAnsi="Times New Roman" w:cs="Times New Roman"/>
          <w:sz w:val="28"/>
          <w:szCs w:val="28"/>
          <w:lang w:val="uk-UA"/>
        </w:rPr>
        <w:t>0,18</w:t>
      </w:r>
      <w:r w:rsidR="00365531" w:rsidRPr="00170D5A">
        <w:rPr>
          <w:rFonts w:ascii="Times New Roman" w:hAnsi="Times New Roman" w:cs="Times New Roman"/>
          <w:sz w:val="28"/>
          <w:szCs w:val="28"/>
          <w:lang w:val="uk-UA"/>
        </w:rPr>
        <w:t>) см,</w:t>
      </w:r>
      <w:r w:rsidR="00E552BB">
        <w:rPr>
          <w:rFonts w:ascii="Times New Roman" w:hAnsi="Times New Roman" w:cs="Times New Roman"/>
          <w:sz w:val="28"/>
          <w:szCs w:val="28"/>
          <w:lang w:val="uk-UA"/>
        </w:rPr>
        <w:t xml:space="preserve"> </w:t>
      </w:r>
      <w:r w:rsidR="008354C1" w:rsidRPr="00170D5A">
        <w:rPr>
          <w:rFonts w:ascii="Times New Roman" w:hAnsi="Times New Roman" w:cs="Times New Roman"/>
          <w:sz w:val="28"/>
          <w:szCs w:val="28"/>
          <w:lang w:val="uk-UA"/>
        </w:rPr>
        <w:t>p &lt; 0,0</w:t>
      </w:r>
      <w:r w:rsidR="00365531" w:rsidRPr="00170D5A">
        <w:rPr>
          <w:rFonts w:ascii="Times New Roman" w:hAnsi="Times New Roman" w:cs="Times New Roman"/>
          <w:sz w:val="28"/>
          <w:szCs w:val="28"/>
          <w:lang w:val="uk-UA"/>
        </w:rPr>
        <w:t>0</w:t>
      </w:r>
      <w:r w:rsidR="008354C1" w:rsidRPr="00170D5A">
        <w:rPr>
          <w:rFonts w:ascii="Times New Roman" w:hAnsi="Times New Roman" w:cs="Times New Roman"/>
          <w:sz w:val="28"/>
          <w:szCs w:val="28"/>
          <w:lang w:val="uk-UA"/>
        </w:rPr>
        <w:t>1</w:t>
      </w:r>
      <w:r w:rsidR="00102C5B">
        <w:rPr>
          <w:rFonts w:ascii="Times New Roman" w:hAnsi="Times New Roman" w:cs="Times New Roman"/>
          <w:sz w:val="28"/>
          <w:szCs w:val="28"/>
          <w:lang w:val="uk-UA"/>
        </w:rPr>
        <w:t xml:space="preserve">; </w:t>
      </w:r>
      <w:r w:rsidR="0043194B" w:rsidRPr="00170D5A">
        <w:rPr>
          <w:rFonts w:ascii="Times New Roman" w:hAnsi="Times New Roman" w:cs="Times New Roman"/>
          <w:sz w:val="28"/>
          <w:szCs w:val="28"/>
          <w:lang w:val="uk-UA"/>
        </w:rPr>
        <w:t>КС</w:t>
      </w:r>
      <w:r w:rsidR="00102C5B">
        <w:rPr>
          <w:rFonts w:ascii="Times New Roman" w:hAnsi="Times New Roman" w:cs="Times New Roman"/>
          <w:sz w:val="28"/>
          <w:szCs w:val="28"/>
          <w:lang w:val="uk-UA"/>
        </w:rPr>
        <w:t>Р</w:t>
      </w:r>
      <w:r w:rsidR="00293BE1" w:rsidRPr="00170D5A">
        <w:rPr>
          <w:rFonts w:ascii="Times New Roman" w:hAnsi="Times New Roman" w:cs="Times New Roman"/>
          <w:sz w:val="28"/>
          <w:szCs w:val="28"/>
          <w:lang w:val="uk-UA"/>
        </w:rPr>
        <w:t xml:space="preserve"> – (</w:t>
      </w:r>
      <w:r w:rsidR="00170D5A" w:rsidRPr="00170D5A">
        <w:rPr>
          <w:rFonts w:ascii="Times New Roman" w:hAnsi="Times New Roman" w:cs="Times New Roman"/>
          <w:sz w:val="28"/>
          <w:szCs w:val="28"/>
          <w:lang w:val="uk-UA"/>
        </w:rPr>
        <w:t>3,72</w:t>
      </w:r>
      <w:r w:rsidR="00F6247A">
        <w:rPr>
          <w:rFonts w:ascii="Times New Roman" w:hAnsi="Times New Roman" w:cs="Times New Roman"/>
          <w:sz w:val="28"/>
          <w:szCs w:val="28"/>
          <w:lang w:val="uk-UA"/>
        </w:rPr>
        <w:t xml:space="preserve"> </w:t>
      </w:r>
      <w:r w:rsidR="00170D5A" w:rsidRPr="00170D5A">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0,02)</w:t>
      </w:r>
      <w:r w:rsidR="00170D5A" w:rsidRPr="00170D5A">
        <w:rPr>
          <w:rFonts w:ascii="Times New Roman" w:hAnsi="Times New Roman" w:cs="Times New Roman"/>
          <w:sz w:val="28"/>
          <w:szCs w:val="28"/>
          <w:lang w:val="uk-UA"/>
        </w:rPr>
        <w:t>, (3,62</w:t>
      </w:r>
      <w:r w:rsidR="00F6247A">
        <w:rPr>
          <w:rFonts w:ascii="Times New Roman" w:hAnsi="Times New Roman" w:cs="Times New Roman"/>
          <w:sz w:val="28"/>
          <w:szCs w:val="28"/>
          <w:lang w:val="uk-UA"/>
        </w:rPr>
        <w:t xml:space="preserve"> </w:t>
      </w:r>
      <w:r w:rsidR="00170D5A" w:rsidRPr="00170D5A">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170D5A" w:rsidRPr="00170D5A">
        <w:rPr>
          <w:rFonts w:ascii="Times New Roman" w:hAnsi="Times New Roman" w:cs="Times New Roman"/>
          <w:sz w:val="28"/>
          <w:szCs w:val="28"/>
          <w:lang w:val="uk-UA"/>
        </w:rPr>
        <w:t>0,03</w:t>
      </w:r>
      <w:r>
        <w:rPr>
          <w:rFonts w:ascii="Times New Roman" w:hAnsi="Times New Roman" w:cs="Times New Roman"/>
          <w:sz w:val="28"/>
          <w:szCs w:val="28"/>
          <w:lang w:val="uk-UA"/>
        </w:rPr>
        <w:t xml:space="preserve">) см, </w:t>
      </w:r>
      <w:r w:rsidR="00365531" w:rsidRPr="00170D5A">
        <w:rPr>
          <w:rFonts w:ascii="Times New Roman" w:hAnsi="Times New Roman" w:cs="Times New Roman"/>
          <w:sz w:val="28"/>
          <w:szCs w:val="28"/>
          <w:lang w:val="uk-UA"/>
        </w:rPr>
        <w:t>p =</w:t>
      </w:r>
      <w:r w:rsidR="008354C1" w:rsidRPr="00170D5A">
        <w:rPr>
          <w:rFonts w:ascii="Times New Roman" w:hAnsi="Times New Roman" w:cs="Times New Roman"/>
          <w:sz w:val="28"/>
          <w:szCs w:val="28"/>
          <w:lang w:val="uk-UA"/>
        </w:rPr>
        <w:t xml:space="preserve"> 0,0</w:t>
      </w:r>
      <w:r w:rsidR="00170D5A" w:rsidRPr="00170D5A">
        <w:rPr>
          <w:rFonts w:ascii="Times New Roman" w:hAnsi="Times New Roman" w:cs="Times New Roman"/>
          <w:sz w:val="28"/>
          <w:szCs w:val="28"/>
          <w:lang w:val="uk-UA"/>
        </w:rPr>
        <w:t>192</w:t>
      </w:r>
      <w:r w:rsidR="00F6247A">
        <w:rPr>
          <w:rFonts w:ascii="Times New Roman" w:hAnsi="Times New Roman" w:cs="Times New Roman"/>
          <w:sz w:val="28"/>
          <w:szCs w:val="28"/>
          <w:lang w:val="uk-UA"/>
        </w:rPr>
        <w:t>;</w:t>
      </w:r>
      <w:r w:rsidR="00726A76" w:rsidRPr="00170D5A">
        <w:rPr>
          <w:rFonts w:ascii="Times New Roman" w:hAnsi="Times New Roman" w:cs="Times New Roman"/>
          <w:sz w:val="28"/>
          <w:szCs w:val="28"/>
          <w:lang w:val="uk-UA"/>
        </w:rPr>
        <w:t xml:space="preserve"> (3,3</w:t>
      </w:r>
      <w:r w:rsidR="00F6247A">
        <w:rPr>
          <w:rFonts w:ascii="Times New Roman" w:hAnsi="Times New Roman" w:cs="Times New Roman"/>
          <w:sz w:val="28"/>
          <w:szCs w:val="28"/>
          <w:lang w:val="uk-UA"/>
        </w:rPr>
        <w:t xml:space="preserve"> </w:t>
      </w:r>
      <w:r w:rsidR="00E552BB">
        <w:rPr>
          <w:rFonts w:ascii="Times New Roman" w:hAnsi="Times New Roman" w:cs="Times New Roman"/>
          <w:sz w:val="28"/>
          <w:szCs w:val="28"/>
          <w:lang w:val="uk-UA"/>
        </w:rPr>
        <w:t xml:space="preserve">      </w:t>
      </w:r>
      <w:r w:rsidR="00726A76" w:rsidRPr="00170D5A">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726A76" w:rsidRPr="00170D5A">
        <w:rPr>
          <w:rFonts w:ascii="Times New Roman" w:hAnsi="Times New Roman" w:cs="Times New Roman"/>
          <w:sz w:val="28"/>
          <w:szCs w:val="28"/>
          <w:lang w:val="uk-UA"/>
        </w:rPr>
        <w:t>0,</w:t>
      </w:r>
      <w:r w:rsidR="00BF40E8" w:rsidRPr="00170D5A">
        <w:rPr>
          <w:rFonts w:ascii="Times New Roman" w:hAnsi="Times New Roman" w:cs="Times New Roman"/>
          <w:sz w:val="28"/>
          <w:szCs w:val="28"/>
          <w:lang w:val="uk-UA"/>
        </w:rPr>
        <w:t>1</w:t>
      </w:r>
      <w:r w:rsidR="008354C1" w:rsidRPr="00170D5A">
        <w:rPr>
          <w:rFonts w:ascii="Times New Roman" w:hAnsi="Times New Roman" w:cs="Times New Roman"/>
          <w:sz w:val="28"/>
          <w:szCs w:val="28"/>
          <w:lang w:val="uk-UA"/>
        </w:rPr>
        <w:t>3</w:t>
      </w:r>
      <w:r w:rsidR="00E552BB">
        <w:rPr>
          <w:rFonts w:ascii="Times New Roman" w:hAnsi="Times New Roman" w:cs="Times New Roman"/>
          <w:sz w:val="28"/>
          <w:szCs w:val="28"/>
          <w:lang w:val="uk-UA"/>
        </w:rPr>
        <w:t xml:space="preserve">) см, </w:t>
      </w:r>
      <w:r w:rsidR="00365531" w:rsidRPr="00170D5A">
        <w:rPr>
          <w:rFonts w:ascii="Times New Roman" w:hAnsi="Times New Roman" w:cs="Times New Roman"/>
          <w:sz w:val="28"/>
          <w:szCs w:val="28"/>
          <w:lang w:val="uk-UA"/>
        </w:rPr>
        <w:t>p &lt; 0,00</w:t>
      </w:r>
      <w:r w:rsidR="00170D5A" w:rsidRPr="00170D5A">
        <w:rPr>
          <w:rFonts w:ascii="Times New Roman" w:hAnsi="Times New Roman" w:cs="Times New Roman"/>
          <w:sz w:val="28"/>
          <w:szCs w:val="28"/>
          <w:lang w:val="uk-UA"/>
        </w:rPr>
        <w:t>0</w:t>
      </w:r>
      <w:r w:rsidR="00365531" w:rsidRPr="00170D5A">
        <w:rPr>
          <w:rFonts w:ascii="Times New Roman" w:hAnsi="Times New Roman" w:cs="Times New Roman"/>
          <w:sz w:val="28"/>
          <w:szCs w:val="28"/>
          <w:lang w:val="uk-UA"/>
        </w:rPr>
        <w:t>1</w:t>
      </w:r>
      <w:r w:rsidR="008354C1" w:rsidRPr="00170D5A">
        <w:rPr>
          <w:rFonts w:ascii="Times New Roman" w:hAnsi="Times New Roman" w:cs="Times New Roman"/>
          <w:sz w:val="28"/>
          <w:szCs w:val="28"/>
          <w:lang w:val="uk-UA"/>
        </w:rPr>
        <w:t>;</w:t>
      </w:r>
      <w:r w:rsidR="008354C1" w:rsidRPr="008F238E">
        <w:rPr>
          <w:rFonts w:ascii="Times New Roman" w:hAnsi="Times New Roman" w:cs="Times New Roman"/>
          <w:sz w:val="28"/>
          <w:szCs w:val="28"/>
          <w:lang w:val="uk-UA"/>
        </w:rPr>
        <w:t xml:space="preserve"> </w:t>
      </w:r>
      <w:r w:rsidR="001C268B">
        <w:rPr>
          <w:rFonts w:ascii="Times New Roman" w:hAnsi="Times New Roman" w:cs="Times New Roman"/>
          <w:sz w:val="28"/>
          <w:szCs w:val="28"/>
          <w:lang w:val="uk-UA"/>
        </w:rPr>
        <w:t>розм</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 xml:space="preserve">р </w:t>
      </w:r>
      <w:r w:rsidR="00102C5B">
        <w:rPr>
          <w:rFonts w:ascii="Times New Roman" w:hAnsi="Times New Roman" w:cs="Times New Roman"/>
          <w:sz w:val="28"/>
          <w:szCs w:val="28"/>
          <w:lang w:val="uk-UA"/>
        </w:rPr>
        <w:t>лівого передсердя (</w:t>
      </w:r>
      <w:r w:rsidR="008354C1" w:rsidRPr="008F238E">
        <w:rPr>
          <w:rFonts w:ascii="Times New Roman" w:hAnsi="Times New Roman" w:cs="Times New Roman"/>
          <w:sz w:val="28"/>
          <w:szCs w:val="28"/>
          <w:lang w:val="uk-UA"/>
        </w:rPr>
        <w:t>ЛП</w:t>
      </w:r>
      <w:r w:rsidR="00102C5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 (4,21</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0,07)</w:t>
      </w:r>
      <w:r w:rsidR="008354C1" w:rsidRPr="008F238E">
        <w:rPr>
          <w:rFonts w:ascii="Times New Roman" w:hAnsi="Times New Roman" w:cs="Times New Roman"/>
          <w:sz w:val="28"/>
          <w:szCs w:val="28"/>
          <w:lang w:val="uk-UA"/>
        </w:rPr>
        <w:t>, (3,9</w:t>
      </w:r>
      <w:r w:rsidR="00F6247A">
        <w:rPr>
          <w:rFonts w:ascii="Times New Roman" w:hAnsi="Times New Roman" w:cs="Times New Roman"/>
          <w:sz w:val="28"/>
          <w:szCs w:val="28"/>
          <w:lang w:val="uk-UA"/>
        </w:rPr>
        <w:t xml:space="preserve"> </w:t>
      </w:r>
      <w:r w:rsidR="00E552BB">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0,09</w:t>
      </w:r>
      <w:r w:rsidR="00E552BB">
        <w:rPr>
          <w:rFonts w:ascii="Times New Roman" w:hAnsi="Times New Roman" w:cs="Times New Roman"/>
          <w:sz w:val="28"/>
          <w:szCs w:val="28"/>
          <w:lang w:val="uk-UA"/>
        </w:rPr>
        <w:t xml:space="preserve">) см, </w:t>
      </w:r>
      <w:r w:rsidR="00365531" w:rsidRPr="008F238E">
        <w:rPr>
          <w:rFonts w:ascii="Times New Roman" w:hAnsi="Times New Roman" w:cs="Times New Roman"/>
          <w:sz w:val="28"/>
          <w:szCs w:val="28"/>
          <w:lang w:val="uk-UA"/>
        </w:rPr>
        <w:t>p =</w:t>
      </w:r>
      <w:r w:rsidR="008354C1" w:rsidRPr="008F238E">
        <w:rPr>
          <w:rFonts w:ascii="Times New Roman" w:hAnsi="Times New Roman" w:cs="Times New Roman"/>
          <w:sz w:val="28"/>
          <w:szCs w:val="28"/>
          <w:lang w:val="uk-UA"/>
        </w:rPr>
        <w:t xml:space="preserve"> 0,0</w:t>
      </w:r>
      <w:r w:rsidR="008F238E" w:rsidRPr="008F238E">
        <w:rPr>
          <w:rFonts w:ascii="Times New Roman" w:hAnsi="Times New Roman" w:cs="Times New Roman"/>
          <w:sz w:val="28"/>
          <w:szCs w:val="28"/>
          <w:lang w:val="uk-UA"/>
        </w:rPr>
        <w:t>344</w:t>
      </w:r>
      <w:r w:rsidR="008354C1" w:rsidRPr="008F238E">
        <w:rPr>
          <w:rFonts w:ascii="Times New Roman" w:hAnsi="Times New Roman" w:cs="Times New Roman"/>
          <w:sz w:val="28"/>
          <w:szCs w:val="28"/>
          <w:lang w:val="uk-UA"/>
        </w:rPr>
        <w:t>, (3,7</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0,03</w:t>
      </w:r>
      <w:r w:rsidR="00BF40E8" w:rsidRPr="008F238E">
        <w:rPr>
          <w:rFonts w:ascii="Times New Roman" w:hAnsi="Times New Roman" w:cs="Times New Roman"/>
          <w:sz w:val="28"/>
          <w:szCs w:val="28"/>
          <w:lang w:val="uk-UA"/>
        </w:rPr>
        <w:t>) см,</w:t>
      </w:r>
      <w:r w:rsidR="001B6DEB" w:rsidRPr="008F238E">
        <w:rPr>
          <w:rFonts w:ascii="Times New Roman" w:hAnsi="Times New Roman" w:cs="Times New Roman"/>
          <w:sz w:val="28"/>
          <w:szCs w:val="28"/>
          <w:lang w:val="uk-UA"/>
        </w:rPr>
        <w:t xml:space="preserve"> </w:t>
      </w:r>
      <w:r w:rsidR="008F238E" w:rsidRPr="008F238E">
        <w:rPr>
          <w:rFonts w:ascii="Times New Roman" w:hAnsi="Times New Roman" w:cs="Times New Roman"/>
          <w:sz w:val="28"/>
          <w:szCs w:val="28"/>
          <w:lang w:val="uk-UA"/>
        </w:rPr>
        <w:t>p = 0,0050</w:t>
      </w:r>
      <w:r w:rsidR="001B6DEB" w:rsidRPr="008F238E">
        <w:rPr>
          <w:rFonts w:ascii="Times New Roman" w:hAnsi="Times New Roman" w:cs="Times New Roman"/>
          <w:sz w:val="28"/>
          <w:szCs w:val="28"/>
          <w:lang w:val="uk-UA"/>
        </w:rPr>
        <w:t xml:space="preserve">; </w:t>
      </w:r>
      <w:r w:rsidR="001C268B">
        <w:rPr>
          <w:rFonts w:ascii="Times New Roman" w:hAnsi="Times New Roman" w:cs="Times New Roman"/>
          <w:sz w:val="28"/>
          <w:szCs w:val="28"/>
          <w:lang w:val="uk-UA"/>
        </w:rPr>
        <w:t>розм</w:t>
      </w:r>
      <w:r w:rsidR="001C268B">
        <w:rPr>
          <w:rFonts w:ascii="Times New Roman" w:hAnsi="Times New Roman" w:cs="Times New Roman"/>
          <w:sz w:val="28"/>
          <w:szCs w:val="28"/>
          <w:lang w:val="en-US"/>
        </w:rPr>
        <w:t>i</w:t>
      </w:r>
      <w:r w:rsidR="0043194B" w:rsidRPr="008F238E">
        <w:rPr>
          <w:rFonts w:ascii="Times New Roman" w:hAnsi="Times New Roman" w:cs="Times New Roman"/>
          <w:sz w:val="28"/>
          <w:szCs w:val="28"/>
          <w:lang w:val="uk-UA"/>
        </w:rPr>
        <w:t>р правого передсердя (</w:t>
      </w:r>
      <w:r w:rsidR="001B6DEB" w:rsidRPr="008F238E">
        <w:rPr>
          <w:rFonts w:ascii="Times New Roman" w:hAnsi="Times New Roman" w:cs="Times New Roman"/>
          <w:sz w:val="28"/>
          <w:szCs w:val="28"/>
          <w:lang w:val="uk-UA"/>
        </w:rPr>
        <w:t>ПП</w:t>
      </w:r>
      <w:r w:rsidR="0043194B" w:rsidRPr="008F238E">
        <w:rPr>
          <w:rFonts w:ascii="Times New Roman" w:hAnsi="Times New Roman" w:cs="Times New Roman"/>
          <w:sz w:val="28"/>
          <w:szCs w:val="28"/>
          <w:lang w:val="uk-UA"/>
        </w:rPr>
        <w:t>)</w:t>
      </w:r>
      <w:r w:rsidR="008354C1" w:rsidRPr="008F238E">
        <w:rPr>
          <w:rFonts w:ascii="Times New Roman" w:hAnsi="Times New Roman" w:cs="Times New Roman"/>
          <w:sz w:val="28"/>
          <w:szCs w:val="28"/>
          <w:lang w:val="uk-UA"/>
        </w:rPr>
        <w:t xml:space="preserve"> – (3,3</w:t>
      </w:r>
      <w:r w:rsidR="00F6247A">
        <w:rPr>
          <w:rFonts w:ascii="Times New Roman" w:hAnsi="Times New Roman" w:cs="Times New Roman"/>
          <w:sz w:val="28"/>
          <w:szCs w:val="28"/>
          <w:lang w:val="uk-UA"/>
        </w:rPr>
        <w:t xml:space="preserve"> </w:t>
      </w:r>
      <w:r w:rsidR="00102C5B">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0,02)</w:t>
      </w:r>
      <w:r w:rsidR="008F238E" w:rsidRPr="008F238E">
        <w:rPr>
          <w:rFonts w:ascii="Times New Roman" w:hAnsi="Times New Roman" w:cs="Times New Roman"/>
          <w:sz w:val="28"/>
          <w:szCs w:val="28"/>
          <w:lang w:val="uk-UA"/>
        </w:rPr>
        <w:t>, (3,2</w:t>
      </w:r>
      <w:r w:rsidR="00F6247A">
        <w:rPr>
          <w:rFonts w:ascii="Times New Roman" w:hAnsi="Times New Roman" w:cs="Times New Roman"/>
          <w:sz w:val="28"/>
          <w:szCs w:val="28"/>
          <w:lang w:val="uk-UA"/>
        </w:rPr>
        <w:t xml:space="preserve"> </w:t>
      </w:r>
      <w:r w:rsidR="008F238E"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F238E" w:rsidRPr="008F238E">
        <w:rPr>
          <w:rFonts w:ascii="Times New Roman" w:hAnsi="Times New Roman" w:cs="Times New Roman"/>
          <w:sz w:val="28"/>
          <w:szCs w:val="28"/>
          <w:lang w:val="uk-UA"/>
        </w:rPr>
        <w:t>0,04</w:t>
      </w:r>
      <w:r w:rsidR="001B6DEB" w:rsidRPr="008F238E">
        <w:rPr>
          <w:rFonts w:ascii="Times New Roman" w:hAnsi="Times New Roman" w:cs="Times New Roman"/>
          <w:sz w:val="28"/>
          <w:szCs w:val="28"/>
          <w:lang w:val="uk-UA"/>
        </w:rPr>
        <w:t xml:space="preserve">) см, </w:t>
      </w:r>
      <w:r w:rsidR="008F238E" w:rsidRPr="008F238E">
        <w:rPr>
          <w:rFonts w:ascii="Times New Roman" w:hAnsi="Times New Roman" w:cs="Times New Roman"/>
          <w:sz w:val="28"/>
          <w:szCs w:val="28"/>
          <w:lang w:val="uk-UA"/>
        </w:rPr>
        <w:t>p =</w:t>
      </w:r>
      <w:r w:rsidR="008354C1" w:rsidRPr="008F238E">
        <w:rPr>
          <w:rFonts w:ascii="Times New Roman" w:hAnsi="Times New Roman" w:cs="Times New Roman"/>
          <w:sz w:val="28"/>
          <w:szCs w:val="28"/>
          <w:lang w:val="uk-UA"/>
        </w:rPr>
        <w:t xml:space="preserve"> 0,0</w:t>
      </w:r>
      <w:r w:rsidR="008F238E" w:rsidRPr="008F238E">
        <w:rPr>
          <w:rFonts w:ascii="Times New Roman" w:hAnsi="Times New Roman" w:cs="Times New Roman"/>
          <w:sz w:val="28"/>
          <w:szCs w:val="28"/>
          <w:lang w:val="uk-UA"/>
        </w:rPr>
        <w:t>254</w:t>
      </w:r>
      <w:r w:rsidR="00102C5B">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(3,07</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0,05)</w:t>
      </w:r>
      <w:r w:rsidR="001B6DEB" w:rsidRPr="008F238E">
        <w:rPr>
          <w:rFonts w:ascii="Times New Roman" w:hAnsi="Times New Roman" w:cs="Times New Roman"/>
          <w:sz w:val="28"/>
          <w:szCs w:val="28"/>
          <w:lang w:val="uk-UA"/>
        </w:rPr>
        <w:t xml:space="preserve"> см, </w:t>
      </w:r>
      <w:r w:rsidR="008354C1" w:rsidRPr="008F238E">
        <w:rPr>
          <w:rFonts w:ascii="Times New Roman" w:hAnsi="Times New Roman" w:cs="Times New Roman"/>
          <w:sz w:val="28"/>
          <w:szCs w:val="28"/>
          <w:lang w:val="uk-UA"/>
        </w:rPr>
        <w:t>p &lt; 0,0</w:t>
      </w:r>
      <w:r w:rsidR="00365531" w:rsidRPr="008F238E">
        <w:rPr>
          <w:rFonts w:ascii="Times New Roman" w:hAnsi="Times New Roman" w:cs="Times New Roman"/>
          <w:sz w:val="28"/>
          <w:szCs w:val="28"/>
          <w:lang w:val="uk-UA"/>
        </w:rPr>
        <w:t>0</w:t>
      </w:r>
      <w:r w:rsidR="008354C1" w:rsidRPr="008F238E">
        <w:rPr>
          <w:rFonts w:ascii="Times New Roman" w:hAnsi="Times New Roman" w:cs="Times New Roman"/>
          <w:sz w:val="28"/>
          <w:szCs w:val="28"/>
          <w:lang w:val="uk-UA"/>
        </w:rPr>
        <w:t>01</w:t>
      </w:r>
      <w:r w:rsidR="001C268B">
        <w:rPr>
          <w:rFonts w:ascii="Times New Roman" w:hAnsi="Times New Roman" w:cs="Times New Roman"/>
          <w:sz w:val="28"/>
          <w:szCs w:val="28"/>
          <w:lang w:val="uk-UA"/>
        </w:rPr>
        <w:t>, сп</w:t>
      </w:r>
      <w:r w:rsidR="001C268B">
        <w:rPr>
          <w:rFonts w:ascii="Times New Roman" w:hAnsi="Times New Roman" w:cs="Times New Roman"/>
          <w:sz w:val="28"/>
          <w:szCs w:val="28"/>
          <w:lang w:val="en-US"/>
        </w:rPr>
        <w:t>i</w:t>
      </w:r>
      <w:r w:rsidR="001C268B">
        <w:rPr>
          <w:rFonts w:ascii="Times New Roman" w:hAnsi="Times New Roman" w:cs="Times New Roman"/>
          <w:sz w:val="28"/>
          <w:szCs w:val="28"/>
          <w:lang w:val="uk-UA"/>
        </w:rPr>
        <w:t>вв</w:t>
      </w:r>
      <w:r w:rsidR="001C268B">
        <w:rPr>
          <w:rFonts w:ascii="Times New Roman" w:hAnsi="Times New Roman" w:cs="Times New Roman"/>
          <w:sz w:val="28"/>
          <w:szCs w:val="28"/>
          <w:lang w:val="en-US"/>
        </w:rPr>
        <w:t>i</w:t>
      </w:r>
      <w:r w:rsidR="001B6DEB" w:rsidRPr="008F238E">
        <w:rPr>
          <w:rFonts w:ascii="Times New Roman" w:hAnsi="Times New Roman" w:cs="Times New Roman"/>
          <w:sz w:val="28"/>
          <w:szCs w:val="28"/>
          <w:lang w:val="uk-UA"/>
        </w:rPr>
        <w:t>дноше</w:t>
      </w:r>
      <w:r w:rsidR="008354C1" w:rsidRPr="008F238E">
        <w:rPr>
          <w:rFonts w:ascii="Times New Roman" w:hAnsi="Times New Roman" w:cs="Times New Roman"/>
          <w:sz w:val="28"/>
          <w:szCs w:val="28"/>
          <w:lang w:val="uk-UA"/>
        </w:rPr>
        <w:t>ння Е/А – (0,97</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0,05), (1,21</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0,03</w:t>
      </w:r>
      <w:r w:rsidR="00102C5B">
        <w:rPr>
          <w:rFonts w:ascii="Times New Roman" w:hAnsi="Times New Roman" w:cs="Times New Roman"/>
          <w:sz w:val="28"/>
          <w:szCs w:val="28"/>
          <w:lang w:val="uk-UA"/>
        </w:rPr>
        <w:t xml:space="preserve">), </w:t>
      </w:r>
      <w:r w:rsidR="00365531" w:rsidRPr="008F238E">
        <w:rPr>
          <w:rFonts w:ascii="Times New Roman" w:hAnsi="Times New Roman" w:cs="Times New Roman"/>
          <w:sz w:val="28"/>
          <w:szCs w:val="28"/>
          <w:lang w:val="uk-UA"/>
        </w:rPr>
        <w:t>p =</w:t>
      </w:r>
      <w:r w:rsidR="008354C1" w:rsidRPr="008F238E">
        <w:rPr>
          <w:rFonts w:ascii="Times New Roman" w:hAnsi="Times New Roman" w:cs="Times New Roman"/>
          <w:sz w:val="28"/>
          <w:szCs w:val="28"/>
          <w:lang w:val="uk-UA"/>
        </w:rPr>
        <w:t xml:space="preserve"> 0,0</w:t>
      </w:r>
      <w:r w:rsidR="008F238E" w:rsidRPr="008F238E">
        <w:rPr>
          <w:rFonts w:ascii="Times New Roman" w:hAnsi="Times New Roman" w:cs="Times New Roman"/>
          <w:sz w:val="28"/>
          <w:szCs w:val="28"/>
          <w:lang w:val="uk-UA"/>
        </w:rPr>
        <w:t>173</w:t>
      </w:r>
      <w:r w:rsidR="00365531" w:rsidRPr="008F238E">
        <w:rPr>
          <w:rFonts w:ascii="Times New Roman" w:hAnsi="Times New Roman" w:cs="Times New Roman"/>
          <w:sz w:val="28"/>
          <w:szCs w:val="28"/>
          <w:lang w:val="uk-UA"/>
        </w:rPr>
        <w:t>;</w:t>
      </w:r>
      <w:r w:rsidR="00102C5B">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(1,3</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8354C1" w:rsidRPr="008F238E">
        <w:rPr>
          <w:rFonts w:ascii="Times New Roman" w:hAnsi="Times New Roman" w:cs="Times New Roman"/>
          <w:sz w:val="28"/>
          <w:szCs w:val="28"/>
          <w:lang w:val="uk-UA"/>
        </w:rPr>
        <w:t>0,02</w:t>
      </w:r>
      <w:r w:rsidR="001B6DEB" w:rsidRPr="008F238E">
        <w:rPr>
          <w:rFonts w:ascii="Times New Roman" w:hAnsi="Times New Roman" w:cs="Times New Roman"/>
          <w:sz w:val="28"/>
          <w:szCs w:val="28"/>
          <w:lang w:val="uk-UA"/>
        </w:rPr>
        <w:t xml:space="preserve">), </w:t>
      </w:r>
      <w:r w:rsidR="00835B2C" w:rsidRPr="00835B2C">
        <w:rPr>
          <w:rFonts w:ascii="Times New Roman" w:hAnsi="Times New Roman" w:cs="Times New Roman"/>
          <w:sz w:val="28"/>
          <w:szCs w:val="28"/>
          <w:lang w:val="uk-UA"/>
        </w:rPr>
        <w:t xml:space="preserve">         </w:t>
      </w:r>
      <w:r w:rsidR="00365531" w:rsidRPr="008F238E">
        <w:rPr>
          <w:rFonts w:ascii="Times New Roman" w:hAnsi="Times New Roman" w:cs="Times New Roman"/>
          <w:sz w:val="28"/>
          <w:szCs w:val="28"/>
          <w:lang w:val="uk-UA"/>
        </w:rPr>
        <w:t>p = 0,0</w:t>
      </w:r>
      <w:r w:rsidR="008F238E" w:rsidRPr="008F238E">
        <w:rPr>
          <w:rFonts w:ascii="Times New Roman" w:hAnsi="Times New Roman" w:cs="Times New Roman"/>
          <w:sz w:val="28"/>
          <w:szCs w:val="28"/>
          <w:lang w:val="uk-UA"/>
        </w:rPr>
        <w:t>108</w:t>
      </w:r>
      <w:r w:rsidR="00102C5B">
        <w:rPr>
          <w:rFonts w:ascii="Times New Roman" w:hAnsi="Times New Roman" w:cs="Times New Roman"/>
          <w:sz w:val="28"/>
          <w:szCs w:val="28"/>
          <w:lang w:val="uk-UA"/>
        </w:rPr>
        <w:t xml:space="preserve"> </w:t>
      </w:r>
      <w:r w:rsidR="005A6D49" w:rsidRPr="008F238E">
        <w:rPr>
          <w:rFonts w:ascii="Times New Roman" w:hAnsi="Times New Roman" w:cs="Times New Roman"/>
          <w:sz w:val="28"/>
          <w:szCs w:val="28"/>
          <w:lang w:val="uk-UA"/>
        </w:rPr>
        <w:t xml:space="preserve">(табл. </w:t>
      </w:r>
      <w:r w:rsidR="002B4682" w:rsidRPr="008F238E">
        <w:rPr>
          <w:rFonts w:ascii="Times New Roman" w:hAnsi="Times New Roman" w:cs="Times New Roman"/>
          <w:sz w:val="28"/>
          <w:szCs w:val="28"/>
          <w:lang w:val="uk-UA"/>
        </w:rPr>
        <w:t>5</w:t>
      </w:r>
      <w:r w:rsidR="009419FE" w:rsidRPr="008F238E">
        <w:rPr>
          <w:rFonts w:ascii="Times New Roman" w:hAnsi="Times New Roman" w:cs="Times New Roman"/>
          <w:sz w:val="28"/>
          <w:szCs w:val="28"/>
          <w:lang w:val="uk-UA"/>
        </w:rPr>
        <w:t>.1.1)</w:t>
      </w:r>
      <w:r w:rsidR="00960DE0" w:rsidRPr="008F238E">
        <w:rPr>
          <w:rFonts w:ascii="Times New Roman" w:hAnsi="Times New Roman" w:cs="Times New Roman"/>
          <w:sz w:val="28"/>
          <w:szCs w:val="28"/>
          <w:lang w:val="uk-UA"/>
        </w:rPr>
        <w:t>.</w:t>
      </w:r>
      <w:r w:rsidR="009419FE" w:rsidRPr="008707FF">
        <w:rPr>
          <w:rFonts w:ascii="Times New Roman" w:hAnsi="Times New Roman" w:cs="Times New Roman"/>
          <w:sz w:val="28"/>
          <w:szCs w:val="28"/>
          <w:lang w:val="uk-UA"/>
        </w:rPr>
        <w:t xml:space="preserve"> </w:t>
      </w:r>
    </w:p>
    <w:p w:rsidR="00593DE2" w:rsidRDefault="00593DE2" w:rsidP="00B97CB5">
      <w:pPr>
        <w:autoSpaceDE w:val="0"/>
        <w:autoSpaceDN w:val="0"/>
        <w:adjustRightInd w:val="0"/>
        <w:spacing w:after="0" w:line="360" w:lineRule="auto"/>
        <w:jc w:val="right"/>
        <w:rPr>
          <w:rFonts w:ascii="Times New Roman" w:hAnsi="Times New Roman" w:cs="Times New Roman"/>
          <w:i/>
          <w:sz w:val="28"/>
          <w:szCs w:val="28"/>
          <w:lang w:val="uk-UA"/>
        </w:rPr>
      </w:pPr>
    </w:p>
    <w:p w:rsidR="00593DE2" w:rsidRDefault="00593DE2" w:rsidP="00B97CB5">
      <w:pPr>
        <w:autoSpaceDE w:val="0"/>
        <w:autoSpaceDN w:val="0"/>
        <w:adjustRightInd w:val="0"/>
        <w:spacing w:after="0" w:line="360" w:lineRule="auto"/>
        <w:jc w:val="right"/>
        <w:rPr>
          <w:rFonts w:ascii="Times New Roman" w:hAnsi="Times New Roman" w:cs="Times New Roman"/>
          <w:i/>
          <w:sz w:val="28"/>
          <w:szCs w:val="28"/>
          <w:lang w:val="uk-UA"/>
        </w:rPr>
      </w:pPr>
    </w:p>
    <w:p w:rsidR="00C35659" w:rsidRDefault="00C35659" w:rsidP="00B97CB5">
      <w:pPr>
        <w:autoSpaceDE w:val="0"/>
        <w:autoSpaceDN w:val="0"/>
        <w:adjustRightInd w:val="0"/>
        <w:spacing w:after="0" w:line="360" w:lineRule="auto"/>
        <w:jc w:val="right"/>
        <w:rPr>
          <w:rFonts w:ascii="Times New Roman" w:hAnsi="Times New Roman" w:cs="Times New Roman"/>
          <w:i/>
          <w:sz w:val="28"/>
          <w:szCs w:val="28"/>
          <w:lang w:val="uk-UA"/>
        </w:rPr>
      </w:pPr>
    </w:p>
    <w:p w:rsidR="00B97CB5" w:rsidRPr="00B97CB5" w:rsidRDefault="00F6247A" w:rsidP="00B97CB5">
      <w:pPr>
        <w:autoSpaceDE w:val="0"/>
        <w:autoSpaceDN w:val="0"/>
        <w:adjustRightInd w:val="0"/>
        <w:spacing w:after="0" w:line="360" w:lineRule="auto"/>
        <w:jc w:val="right"/>
        <w:rPr>
          <w:rFonts w:ascii="Times New Roman" w:hAnsi="Times New Roman" w:cs="Times New Roman"/>
          <w:i/>
          <w:sz w:val="28"/>
          <w:szCs w:val="28"/>
          <w:lang w:val="uk-UA"/>
        </w:rPr>
      </w:pPr>
      <w:r w:rsidRPr="00B97CB5">
        <w:rPr>
          <w:rFonts w:ascii="Times New Roman" w:hAnsi="Times New Roman" w:cs="Times New Roman"/>
          <w:i/>
          <w:sz w:val="28"/>
          <w:szCs w:val="28"/>
          <w:lang w:val="uk-UA"/>
        </w:rPr>
        <w:lastRenderedPageBreak/>
        <w:t>Таблиця</w:t>
      </w:r>
      <w:r w:rsidR="005A6D49" w:rsidRPr="00B97CB5">
        <w:rPr>
          <w:rFonts w:ascii="Times New Roman" w:hAnsi="Times New Roman" w:cs="Times New Roman"/>
          <w:i/>
          <w:sz w:val="28"/>
          <w:szCs w:val="28"/>
          <w:lang w:val="uk-UA"/>
        </w:rPr>
        <w:t xml:space="preserve"> </w:t>
      </w:r>
      <w:r w:rsidR="008D6381" w:rsidRPr="00B97CB5">
        <w:rPr>
          <w:rFonts w:ascii="Times New Roman" w:hAnsi="Times New Roman" w:cs="Times New Roman"/>
          <w:i/>
          <w:sz w:val="28"/>
          <w:szCs w:val="28"/>
          <w:lang w:val="uk-UA"/>
        </w:rPr>
        <w:t>5</w:t>
      </w:r>
      <w:r w:rsidR="009419FE" w:rsidRPr="00B97CB5">
        <w:rPr>
          <w:rFonts w:ascii="Times New Roman" w:hAnsi="Times New Roman" w:cs="Times New Roman"/>
          <w:i/>
          <w:sz w:val="28"/>
          <w:szCs w:val="28"/>
          <w:lang w:val="uk-UA"/>
        </w:rPr>
        <w:t>.1.1</w:t>
      </w:r>
      <w:r w:rsidR="00B97CB5" w:rsidRPr="00B97CB5">
        <w:rPr>
          <w:rFonts w:ascii="Times New Roman" w:hAnsi="Times New Roman" w:cs="Times New Roman"/>
          <w:i/>
          <w:sz w:val="28"/>
          <w:szCs w:val="28"/>
          <w:lang w:val="uk-UA"/>
        </w:rPr>
        <w:t xml:space="preserve"> </w:t>
      </w:r>
    </w:p>
    <w:p w:rsidR="009A74CB" w:rsidRPr="00B97CB5" w:rsidRDefault="005756DD" w:rsidP="0027500A">
      <w:pPr>
        <w:autoSpaceDE w:val="0"/>
        <w:autoSpaceDN w:val="0"/>
        <w:adjustRightInd w:val="0"/>
        <w:spacing w:after="0" w:line="360" w:lineRule="auto"/>
        <w:jc w:val="center"/>
        <w:rPr>
          <w:rFonts w:ascii="Times New Roman" w:hAnsi="Times New Roman" w:cs="Times New Roman"/>
          <w:b/>
          <w:sz w:val="28"/>
          <w:szCs w:val="28"/>
          <w:lang w:val="uk-UA"/>
        </w:rPr>
      </w:pPr>
      <w:r w:rsidRPr="00B97CB5">
        <w:rPr>
          <w:rFonts w:ascii="Times New Roman" w:hAnsi="Times New Roman" w:cs="Times New Roman"/>
          <w:b/>
          <w:sz w:val="28"/>
          <w:szCs w:val="28"/>
          <w:lang w:val="uk-UA"/>
        </w:rPr>
        <w:t>Показники ехокард</w:t>
      </w:r>
      <w:r w:rsidRPr="00B97CB5">
        <w:rPr>
          <w:rFonts w:ascii="Times New Roman" w:hAnsi="Times New Roman" w:cs="Times New Roman"/>
          <w:b/>
          <w:sz w:val="28"/>
          <w:szCs w:val="28"/>
          <w:lang w:val="en-US"/>
        </w:rPr>
        <w:t>i</w:t>
      </w:r>
      <w:r w:rsidRPr="00B97CB5">
        <w:rPr>
          <w:rFonts w:ascii="Times New Roman" w:hAnsi="Times New Roman" w:cs="Times New Roman"/>
          <w:b/>
          <w:sz w:val="28"/>
          <w:szCs w:val="28"/>
          <w:lang w:val="uk-UA"/>
        </w:rPr>
        <w:t>о</w:t>
      </w:r>
      <w:r w:rsidR="00102C5B">
        <w:rPr>
          <w:rFonts w:ascii="Times New Roman" w:hAnsi="Times New Roman" w:cs="Times New Roman"/>
          <w:b/>
          <w:sz w:val="28"/>
          <w:szCs w:val="28"/>
          <w:lang w:val="uk-UA"/>
        </w:rPr>
        <w:t>граф</w:t>
      </w:r>
      <w:r w:rsidRPr="00B97CB5">
        <w:rPr>
          <w:rFonts w:ascii="Times New Roman" w:hAnsi="Times New Roman" w:cs="Times New Roman"/>
          <w:b/>
          <w:sz w:val="28"/>
          <w:szCs w:val="28"/>
          <w:lang w:val="en-US"/>
        </w:rPr>
        <w:t>i</w:t>
      </w:r>
      <w:r w:rsidR="00DD4EDA" w:rsidRPr="00B97CB5">
        <w:rPr>
          <w:rFonts w:ascii="Times New Roman" w:hAnsi="Times New Roman" w:cs="Times New Roman"/>
          <w:b/>
          <w:sz w:val="28"/>
          <w:szCs w:val="28"/>
          <w:lang w:val="uk-UA"/>
        </w:rPr>
        <w:t>ї</w:t>
      </w:r>
      <w:r w:rsidR="00F6247A" w:rsidRPr="00B97CB5">
        <w:rPr>
          <w:rFonts w:ascii="Times New Roman" w:hAnsi="Times New Roman" w:cs="Times New Roman"/>
          <w:b/>
          <w:sz w:val="28"/>
          <w:szCs w:val="28"/>
          <w:lang w:val="uk-UA"/>
        </w:rPr>
        <w:t xml:space="preserve"> в</w:t>
      </w:r>
      <w:r w:rsidRPr="00B97CB5">
        <w:rPr>
          <w:rFonts w:ascii="Times New Roman" w:hAnsi="Times New Roman" w:cs="Times New Roman"/>
          <w:b/>
          <w:sz w:val="28"/>
          <w:szCs w:val="28"/>
          <w:lang w:val="uk-UA"/>
        </w:rPr>
        <w:t xml:space="preserve"> обстежених ос</w:t>
      </w:r>
      <w:r w:rsidRPr="00B97CB5">
        <w:rPr>
          <w:rFonts w:ascii="Times New Roman" w:hAnsi="Times New Roman" w:cs="Times New Roman"/>
          <w:b/>
          <w:sz w:val="28"/>
          <w:szCs w:val="28"/>
          <w:lang w:val="en-US"/>
        </w:rPr>
        <w:t>i</w:t>
      </w:r>
      <w:r w:rsidR="002A696C" w:rsidRPr="00B97CB5">
        <w:rPr>
          <w:rFonts w:ascii="Times New Roman" w:hAnsi="Times New Roman" w:cs="Times New Roman"/>
          <w:b/>
          <w:sz w:val="28"/>
          <w:szCs w:val="28"/>
          <w:lang w:val="uk-UA"/>
        </w:rPr>
        <w:t>б</w:t>
      </w:r>
    </w:p>
    <w:tbl>
      <w:tblPr>
        <w:tblStyle w:val="a5"/>
        <w:tblW w:w="9356" w:type="dxa"/>
        <w:tblInd w:w="108" w:type="dxa"/>
        <w:tblLook w:val="04A0" w:firstRow="1" w:lastRow="0" w:firstColumn="1" w:lastColumn="0" w:noHBand="0" w:noVBand="1"/>
      </w:tblPr>
      <w:tblGrid>
        <w:gridCol w:w="1701"/>
        <w:gridCol w:w="2268"/>
        <w:gridCol w:w="1843"/>
        <w:gridCol w:w="1985"/>
        <w:gridCol w:w="1559"/>
      </w:tblGrid>
      <w:tr w:rsidR="000919E0" w:rsidRPr="005A6D49" w:rsidTr="00C6493F">
        <w:tc>
          <w:tcPr>
            <w:tcW w:w="1701" w:type="dxa"/>
          </w:tcPr>
          <w:p w:rsidR="000919E0" w:rsidRPr="00FC571D" w:rsidRDefault="00FC571D" w:rsidP="00FC571D">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2268" w:type="dxa"/>
          </w:tcPr>
          <w:p w:rsidR="000919E0" w:rsidRDefault="000919E0" w:rsidP="00FC571D">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І група</w:t>
            </w:r>
          </w:p>
          <w:p w:rsidR="000919E0" w:rsidRPr="001D6E61" w:rsidRDefault="0000738E" w:rsidP="00FC571D">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 = 96</w:t>
            </w:r>
            <w:r w:rsidR="000919E0">
              <w:rPr>
                <w:rFonts w:ascii="Times New Roman" w:hAnsi="Times New Roman" w:cs="Times New Roman"/>
                <w:sz w:val="28"/>
                <w:szCs w:val="28"/>
                <w:lang w:val="en-US"/>
              </w:rPr>
              <w:t>)</w:t>
            </w:r>
          </w:p>
        </w:tc>
        <w:tc>
          <w:tcPr>
            <w:tcW w:w="1843" w:type="dxa"/>
          </w:tcPr>
          <w:p w:rsidR="000919E0" w:rsidRDefault="000919E0" w:rsidP="00FC571D">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ІІ група</w:t>
            </w:r>
          </w:p>
          <w:p w:rsidR="000919E0" w:rsidRPr="001D6E61" w:rsidRDefault="000919E0" w:rsidP="00FC571D">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(n = </w:t>
            </w:r>
            <w:r w:rsidR="0000738E">
              <w:rPr>
                <w:rFonts w:ascii="Times New Roman" w:hAnsi="Times New Roman" w:cs="Times New Roman"/>
                <w:sz w:val="28"/>
                <w:szCs w:val="28"/>
                <w:lang w:val="en-US"/>
              </w:rPr>
              <w:t>25</w:t>
            </w:r>
            <w:r>
              <w:rPr>
                <w:rFonts w:ascii="Times New Roman" w:hAnsi="Times New Roman" w:cs="Times New Roman"/>
                <w:sz w:val="28"/>
                <w:szCs w:val="28"/>
                <w:lang w:val="en-US"/>
              </w:rPr>
              <w:t>)</w:t>
            </w:r>
          </w:p>
        </w:tc>
        <w:tc>
          <w:tcPr>
            <w:tcW w:w="1985" w:type="dxa"/>
          </w:tcPr>
          <w:p w:rsidR="000919E0" w:rsidRDefault="00297F80" w:rsidP="00FC571D">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контроль</w:t>
            </w:r>
          </w:p>
          <w:p w:rsidR="000919E0" w:rsidRPr="001D6E61" w:rsidRDefault="0000738E" w:rsidP="00FC571D">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 = 15</w:t>
            </w:r>
            <w:r w:rsidR="000919E0">
              <w:rPr>
                <w:rFonts w:ascii="Times New Roman" w:hAnsi="Times New Roman" w:cs="Times New Roman"/>
                <w:sz w:val="28"/>
                <w:szCs w:val="28"/>
                <w:lang w:val="en-US"/>
              </w:rPr>
              <w:t>)</w:t>
            </w:r>
          </w:p>
        </w:tc>
        <w:tc>
          <w:tcPr>
            <w:tcW w:w="1559" w:type="dxa"/>
          </w:tcPr>
          <w:p w:rsidR="000919E0" w:rsidRPr="00B74F2C" w:rsidRDefault="0001201D" w:rsidP="0001201D">
            <w:pPr>
              <w:tabs>
                <w:tab w:val="left" w:pos="391"/>
                <w:tab w:val="center" w:pos="813"/>
              </w:tabs>
              <w:autoSpaceDE w:val="0"/>
              <w:autoSpaceDN w:val="0"/>
              <w:adjustRightInd w:val="0"/>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sidR="000919E0">
              <w:rPr>
                <w:rFonts w:ascii="Times New Roman" w:hAnsi="Times New Roman" w:cs="Times New Roman"/>
                <w:sz w:val="28"/>
                <w:szCs w:val="28"/>
                <w:lang w:val="en-US"/>
              </w:rPr>
              <w:t>p</w:t>
            </w:r>
          </w:p>
        </w:tc>
      </w:tr>
      <w:tr w:rsidR="00C51652" w:rsidRPr="005A6D49" w:rsidTr="00C6493F">
        <w:tc>
          <w:tcPr>
            <w:tcW w:w="1701" w:type="dxa"/>
          </w:tcPr>
          <w:p w:rsidR="00C51652" w:rsidRPr="00C51652" w:rsidRDefault="00C51652" w:rsidP="00C51652">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8" w:type="dxa"/>
          </w:tcPr>
          <w:p w:rsidR="00C51652" w:rsidRPr="00C51652" w:rsidRDefault="00C51652" w:rsidP="00C51652">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43" w:type="dxa"/>
          </w:tcPr>
          <w:p w:rsidR="00C51652" w:rsidRPr="00C51652" w:rsidRDefault="00C51652" w:rsidP="00C51652">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985" w:type="dxa"/>
          </w:tcPr>
          <w:p w:rsidR="00C51652" w:rsidRPr="00C51652" w:rsidRDefault="00C51652" w:rsidP="00C51652">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59" w:type="dxa"/>
          </w:tcPr>
          <w:p w:rsidR="00C51652" w:rsidRDefault="00C51652" w:rsidP="00C51652">
            <w:pPr>
              <w:tabs>
                <w:tab w:val="left" w:pos="391"/>
                <w:tab w:val="center" w:pos="813"/>
              </w:tabs>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0919E0" w:rsidRPr="005A6D49" w:rsidTr="00C6493F">
        <w:tc>
          <w:tcPr>
            <w:tcW w:w="1701" w:type="dxa"/>
          </w:tcPr>
          <w:p w:rsidR="000919E0" w:rsidRPr="008707FF" w:rsidRDefault="000919E0" w:rsidP="00E552BB">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ФВ (%)</w:t>
            </w:r>
          </w:p>
        </w:tc>
        <w:tc>
          <w:tcPr>
            <w:tcW w:w="2268" w:type="dxa"/>
          </w:tcPr>
          <w:p w:rsidR="000919E0" w:rsidRPr="008707FF" w:rsidRDefault="0000738E" w:rsidP="002E542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55,</w:t>
            </w:r>
            <w:r>
              <w:rPr>
                <w:rFonts w:ascii="Times New Roman" w:hAnsi="Times New Roman" w:cs="Times New Roman"/>
                <w:sz w:val="28"/>
                <w:szCs w:val="28"/>
                <w:lang w:val="en-US"/>
              </w:rPr>
              <w:t>34</w:t>
            </w:r>
            <w:r w:rsidR="00F6247A">
              <w:rPr>
                <w:rFonts w:ascii="Times New Roman" w:hAnsi="Times New Roman" w:cs="Times New Roman"/>
                <w:sz w:val="28"/>
                <w:szCs w:val="28"/>
                <w:lang w:val="uk-UA"/>
              </w:rPr>
              <w:t xml:space="preserve"> </w:t>
            </w:r>
            <w:r w:rsidR="000919E0"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000919E0" w:rsidRPr="008707FF">
              <w:rPr>
                <w:rFonts w:ascii="Times New Roman" w:hAnsi="Times New Roman" w:cs="Times New Roman"/>
                <w:sz w:val="28"/>
                <w:szCs w:val="28"/>
                <w:lang w:val="uk-UA"/>
              </w:rPr>
              <w:t>1</w:t>
            </w:r>
            <w:r w:rsidR="000B064D">
              <w:rPr>
                <w:rFonts w:ascii="Times New Roman" w:hAnsi="Times New Roman" w:cs="Times New Roman"/>
                <w:sz w:val="28"/>
                <w:szCs w:val="28"/>
                <w:lang w:val="en-US"/>
              </w:rPr>
              <w:t>0</w:t>
            </w:r>
            <w:r w:rsidR="000B064D">
              <w:rPr>
                <w:rFonts w:ascii="Times New Roman" w:hAnsi="Times New Roman" w:cs="Times New Roman"/>
                <w:sz w:val="28"/>
                <w:szCs w:val="28"/>
                <w:lang w:val="uk-UA"/>
              </w:rPr>
              <w:t>,</w:t>
            </w:r>
            <w:r w:rsidR="000B064D">
              <w:rPr>
                <w:rFonts w:ascii="Times New Roman" w:hAnsi="Times New Roman" w:cs="Times New Roman"/>
                <w:sz w:val="28"/>
                <w:szCs w:val="28"/>
                <w:lang w:val="en-US"/>
              </w:rPr>
              <w:t>8</w:t>
            </w:r>
            <w:r w:rsidR="000919E0" w:rsidRPr="008707FF">
              <w:rPr>
                <w:rFonts w:ascii="Times New Roman" w:hAnsi="Times New Roman" w:cs="Times New Roman"/>
                <w:sz w:val="28"/>
                <w:szCs w:val="28"/>
                <w:lang w:val="uk-UA"/>
              </w:rPr>
              <w:t>9</w:t>
            </w:r>
          </w:p>
        </w:tc>
        <w:tc>
          <w:tcPr>
            <w:tcW w:w="1843" w:type="dxa"/>
          </w:tcPr>
          <w:p w:rsidR="000919E0" w:rsidRPr="00A833B2" w:rsidRDefault="000B064D" w:rsidP="00A0016C">
            <w:pPr>
              <w:autoSpaceDE w:val="0"/>
              <w:autoSpaceDN w:val="0"/>
              <w:adjustRightInd w:val="0"/>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uk-UA"/>
              </w:rPr>
              <w:t>5</w:t>
            </w:r>
            <w:r>
              <w:rPr>
                <w:rFonts w:ascii="Times New Roman" w:hAnsi="Times New Roman" w:cs="Times New Roman"/>
                <w:sz w:val="28"/>
                <w:szCs w:val="28"/>
                <w:lang w:val="en-US"/>
              </w:rPr>
              <w:t>1</w:t>
            </w:r>
            <w:r>
              <w:rPr>
                <w:rFonts w:ascii="Times New Roman" w:hAnsi="Times New Roman" w:cs="Times New Roman"/>
                <w:sz w:val="28"/>
                <w:szCs w:val="28"/>
                <w:lang w:val="uk-UA"/>
              </w:rPr>
              <w:t>,</w:t>
            </w:r>
            <w:r>
              <w:rPr>
                <w:rFonts w:ascii="Times New Roman" w:hAnsi="Times New Roman" w:cs="Times New Roman"/>
                <w:sz w:val="28"/>
                <w:szCs w:val="28"/>
                <w:lang w:val="en-US"/>
              </w:rPr>
              <w:t>56</w:t>
            </w:r>
            <w:r w:rsidR="00F6247A">
              <w:rPr>
                <w:rFonts w:ascii="Times New Roman" w:hAnsi="Times New Roman" w:cs="Times New Roman"/>
                <w:sz w:val="28"/>
                <w:szCs w:val="28"/>
                <w:lang w:val="uk-UA"/>
              </w:rPr>
              <w:t xml:space="preserve"> </w:t>
            </w:r>
            <w:r w:rsidR="000919E0"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en-US"/>
              </w:rPr>
              <w:t>9</w:t>
            </w:r>
            <w:r w:rsidR="000919E0">
              <w:rPr>
                <w:rFonts w:ascii="Times New Roman" w:hAnsi="Times New Roman" w:cs="Times New Roman"/>
                <w:sz w:val="28"/>
                <w:szCs w:val="28"/>
                <w:lang w:val="uk-UA"/>
              </w:rPr>
              <w:t>,</w:t>
            </w:r>
            <w:r w:rsidR="000919E0">
              <w:rPr>
                <w:rFonts w:ascii="Times New Roman" w:hAnsi="Times New Roman" w:cs="Times New Roman"/>
                <w:sz w:val="28"/>
                <w:szCs w:val="28"/>
                <w:lang w:val="en-US"/>
              </w:rPr>
              <w:t>9</w:t>
            </w:r>
            <w:r>
              <w:rPr>
                <w:rFonts w:ascii="Times New Roman" w:hAnsi="Times New Roman" w:cs="Times New Roman"/>
                <w:sz w:val="28"/>
                <w:szCs w:val="28"/>
                <w:lang w:val="en-US"/>
              </w:rPr>
              <w:t>5</w:t>
            </w:r>
          </w:p>
        </w:tc>
        <w:tc>
          <w:tcPr>
            <w:tcW w:w="1985" w:type="dxa"/>
          </w:tcPr>
          <w:p w:rsidR="000919E0" w:rsidRPr="00A833B2" w:rsidRDefault="000B064D" w:rsidP="002E542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4</w:t>
            </w:r>
            <w:r>
              <w:rPr>
                <w:rFonts w:ascii="Times New Roman" w:hAnsi="Times New Roman" w:cs="Times New Roman"/>
                <w:sz w:val="28"/>
                <w:szCs w:val="28"/>
                <w:lang w:val="uk-UA"/>
              </w:rPr>
              <w:t>,</w:t>
            </w:r>
            <w:r>
              <w:rPr>
                <w:rFonts w:ascii="Times New Roman" w:hAnsi="Times New Roman" w:cs="Times New Roman"/>
                <w:sz w:val="28"/>
                <w:szCs w:val="28"/>
                <w:lang w:val="en-US"/>
              </w:rPr>
              <w:t>13</w:t>
            </w:r>
            <w:r w:rsidR="00F6247A">
              <w:rPr>
                <w:rFonts w:ascii="Times New Roman" w:hAnsi="Times New Roman" w:cs="Times New Roman"/>
                <w:sz w:val="28"/>
                <w:szCs w:val="28"/>
                <w:lang w:val="uk-UA"/>
              </w:rPr>
              <w:t xml:space="preserve"> </w:t>
            </w:r>
            <w:r w:rsidR="000919E0"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en-US"/>
              </w:rPr>
              <w:t>5</w:t>
            </w:r>
            <w:r w:rsidR="000919E0">
              <w:rPr>
                <w:rFonts w:ascii="Times New Roman" w:hAnsi="Times New Roman" w:cs="Times New Roman"/>
                <w:sz w:val="28"/>
                <w:szCs w:val="28"/>
                <w:lang w:val="uk-UA"/>
              </w:rPr>
              <w:t>,</w:t>
            </w:r>
            <w:r>
              <w:rPr>
                <w:rFonts w:ascii="Times New Roman" w:hAnsi="Times New Roman" w:cs="Times New Roman"/>
                <w:sz w:val="28"/>
                <w:szCs w:val="28"/>
                <w:lang w:val="en-US"/>
              </w:rPr>
              <w:t>7</w:t>
            </w:r>
          </w:p>
        </w:tc>
        <w:tc>
          <w:tcPr>
            <w:tcW w:w="1559" w:type="dxa"/>
          </w:tcPr>
          <w:p w:rsidR="000919E0" w:rsidRPr="000B064D" w:rsidRDefault="000919E0" w:rsidP="00A0016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1 </w:t>
            </w:r>
            <w:r w:rsidRPr="008D6381">
              <w:rPr>
                <w:rFonts w:ascii="Times New Roman" w:hAnsi="Times New Roman" w:cs="Times New Roman"/>
                <w:sz w:val="28"/>
                <w:szCs w:val="28"/>
                <w:lang w:val="uk-UA"/>
              </w:rPr>
              <w:t>=</w:t>
            </w:r>
            <w:r w:rsidR="000B064D">
              <w:rPr>
                <w:rFonts w:ascii="Times New Roman" w:hAnsi="Times New Roman" w:cs="Times New Roman"/>
                <w:sz w:val="28"/>
                <w:szCs w:val="28"/>
                <w:lang w:val="en-US"/>
              </w:rPr>
              <w:t xml:space="preserve"> 0,8638</w:t>
            </w:r>
          </w:p>
          <w:p w:rsidR="000919E0" w:rsidRPr="000B064D" w:rsidRDefault="000919E0" w:rsidP="00A0016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2</w:t>
            </w:r>
            <w:r w:rsidRPr="008D6381">
              <w:rPr>
                <w:rFonts w:ascii="Times New Roman" w:hAnsi="Times New Roman" w:cs="Times New Roman"/>
                <w:sz w:val="28"/>
                <w:szCs w:val="28"/>
                <w:vertAlign w:val="subscript"/>
                <w:lang w:val="uk-UA"/>
              </w:rPr>
              <w:t xml:space="preserve"> </w:t>
            </w:r>
            <w:r w:rsidRPr="008D6381">
              <w:rPr>
                <w:rFonts w:ascii="Times New Roman" w:hAnsi="Times New Roman" w:cs="Times New Roman"/>
                <w:sz w:val="28"/>
                <w:szCs w:val="28"/>
                <w:vertAlign w:val="subscript"/>
                <w:lang w:val="en-US"/>
              </w:rPr>
              <w:t xml:space="preserve"> </w:t>
            </w:r>
            <w:r w:rsidRPr="008D6381">
              <w:rPr>
                <w:rFonts w:ascii="Times New Roman" w:hAnsi="Times New Roman" w:cs="Times New Roman"/>
                <w:sz w:val="28"/>
                <w:szCs w:val="28"/>
                <w:lang w:val="uk-UA"/>
              </w:rPr>
              <w:t>=</w:t>
            </w:r>
            <w:r w:rsidR="000B064D">
              <w:rPr>
                <w:rFonts w:ascii="Times New Roman" w:hAnsi="Times New Roman" w:cs="Times New Roman"/>
                <w:sz w:val="28"/>
                <w:szCs w:val="28"/>
                <w:lang w:val="en-US"/>
              </w:rPr>
              <w:t xml:space="preserve"> 0,7520</w:t>
            </w:r>
          </w:p>
          <w:p w:rsidR="000919E0" w:rsidRPr="000B064D" w:rsidRDefault="000919E0" w:rsidP="00A0016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3 </w:t>
            </w:r>
            <w:r w:rsidRPr="008D6381">
              <w:rPr>
                <w:rFonts w:ascii="Times New Roman" w:hAnsi="Times New Roman" w:cs="Times New Roman"/>
                <w:sz w:val="28"/>
                <w:szCs w:val="28"/>
                <w:lang w:val="uk-UA"/>
              </w:rPr>
              <w:t>=</w:t>
            </w:r>
            <w:r w:rsidR="000B064D">
              <w:rPr>
                <w:rFonts w:ascii="Times New Roman" w:hAnsi="Times New Roman" w:cs="Times New Roman"/>
                <w:sz w:val="28"/>
                <w:szCs w:val="28"/>
                <w:lang w:val="en-US"/>
              </w:rPr>
              <w:t xml:space="preserve"> 0,3624</w:t>
            </w:r>
          </w:p>
        </w:tc>
      </w:tr>
      <w:tr w:rsidR="000919E0" w:rsidRPr="005A6D49" w:rsidTr="00C6493F">
        <w:tc>
          <w:tcPr>
            <w:tcW w:w="1701" w:type="dxa"/>
          </w:tcPr>
          <w:p w:rsidR="000919E0" w:rsidRPr="008707FF" w:rsidRDefault="000919E0" w:rsidP="00E552BB">
            <w:pPr>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ТМШП</w:t>
            </w:r>
            <w:r>
              <w:rPr>
                <w:rFonts w:ascii="Times New Roman" w:hAnsi="Times New Roman" w:cs="Times New Roman"/>
                <w:sz w:val="28"/>
                <w:szCs w:val="28"/>
                <w:lang w:val="en-US"/>
              </w:rPr>
              <w:t xml:space="preserve"> </w:t>
            </w:r>
            <w:r w:rsidRPr="008707FF">
              <w:rPr>
                <w:rFonts w:ascii="Times New Roman" w:hAnsi="Times New Roman" w:cs="Times New Roman"/>
                <w:sz w:val="28"/>
                <w:szCs w:val="28"/>
                <w:lang w:val="uk-UA"/>
              </w:rPr>
              <w:t>(см)</w:t>
            </w:r>
          </w:p>
        </w:tc>
        <w:tc>
          <w:tcPr>
            <w:tcW w:w="2268" w:type="dxa"/>
          </w:tcPr>
          <w:p w:rsidR="000919E0" w:rsidRPr="008707FF" w:rsidRDefault="000919E0" w:rsidP="002E5426">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1,32</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0,01</w:t>
            </w:r>
          </w:p>
        </w:tc>
        <w:tc>
          <w:tcPr>
            <w:tcW w:w="1843" w:type="dxa"/>
          </w:tcPr>
          <w:p w:rsidR="000919E0" w:rsidRPr="0012063F"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1,28</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0,01</w:t>
            </w:r>
          </w:p>
        </w:tc>
        <w:tc>
          <w:tcPr>
            <w:tcW w:w="1985" w:type="dxa"/>
          </w:tcPr>
          <w:p w:rsidR="000919E0" w:rsidRPr="0012063F"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1,09</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sidR="007A07E1">
              <w:rPr>
                <w:rFonts w:ascii="Times New Roman" w:hAnsi="Times New Roman" w:cs="Times New Roman"/>
                <w:sz w:val="28"/>
                <w:szCs w:val="28"/>
                <w:lang w:val="en-US"/>
              </w:rPr>
              <w:t>2</w:t>
            </w:r>
          </w:p>
        </w:tc>
        <w:tc>
          <w:tcPr>
            <w:tcW w:w="1559" w:type="dxa"/>
          </w:tcPr>
          <w:p w:rsidR="000919E0" w:rsidRPr="00DD7203" w:rsidRDefault="000919E0" w:rsidP="007A07E1">
            <w:pPr>
              <w:autoSpaceDE w:val="0"/>
              <w:autoSpaceDN w:val="0"/>
              <w:adjustRightInd w:val="0"/>
              <w:spacing w:line="360" w:lineRule="auto"/>
              <w:jc w:val="center"/>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1 </w:t>
            </w:r>
            <w:r w:rsidRPr="008D6381">
              <w:rPr>
                <w:rFonts w:ascii="Times New Roman" w:hAnsi="Times New Roman" w:cs="Times New Roman"/>
                <w:sz w:val="28"/>
                <w:szCs w:val="28"/>
                <w:lang w:val="uk-UA"/>
              </w:rPr>
              <w:t>=</w:t>
            </w:r>
            <w:r w:rsidRPr="008D6381">
              <w:rPr>
                <w:rFonts w:ascii="Times New Roman" w:hAnsi="Times New Roman" w:cs="Times New Roman"/>
                <w:sz w:val="28"/>
                <w:szCs w:val="28"/>
                <w:lang w:val="en-US"/>
              </w:rPr>
              <w:t xml:space="preserve"> 0,0</w:t>
            </w:r>
            <w:r w:rsidR="00DD7203">
              <w:rPr>
                <w:rFonts w:ascii="Times New Roman" w:hAnsi="Times New Roman" w:cs="Times New Roman"/>
                <w:sz w:val="28"/>
                <w:szCs w:val="28"/>
                <w:lang w:val="en-US"/>
              </w:rPr>
              <w:t>5</w:t>
            </w:r>
          </w:p>
          <w:p w:rsidR="000919E0" w:rsidRPr="008D638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2 </w:t>
            </w:r>
            <w:r w:rsidR="007A07E1">
              <w:rPr>
                <w:rFonts w:ascii="Times New Roman" w:hAnsi="Times New Roman" w:cs="Times New Roman"/>
                <w:sz w:val="28"/>
                <w:szCs w:val="28"/>
                <w:vertAlign w:val="subscript"/>
                <w:lang w:val="en-US"/>
              </w:rPr>
              <w:t xml:space="preserve"> </w:t>
            </w:r>
            <w:r w:rsidR="007A07E1">
              <w:rPr>
                <w:rFonts w:ascii="Times New Roman" w:hAnsi="Times New Roman" w:cs="Times New Roman"/>
                <w:sz w:val="28"/>
                <w:szCs w:val="28"/>
                <w:lang w:val="en-US"/>
              </w:rPr>
              <w:t>=</w:t>
            </w:r>
            <w:r w:rsidRPr="008D6381">
              <w:rPr>
                <w:rFonts w:ascii="Times New Roman" w:hAnsi="Times New Roman" w:cs="Times New Roman"/>
                <w:sz w:val="28"/>
                <w:szCs w:val="28"/>
                <w:lang w:val="en-US"/>
              </w:rPr>
              <w:t xml:space="preserve"> 0,00</w:t>
            </w:r>
            <w:r w:rsidR="007A07E1">
              <w:rPr>
                <w:rFonts w:ascii="Times New Roman" w:hAnsi="Times New Roman" w:cs="Times New Roman"/>
                <w:sz w:val="28"/>
                <w:szCs w:val="28"/>
                <w:lang w:val="en-US"/>
              </w:rPr>
              <w:t>55</w:t>
            </w:r>
          </w:p>
          <w:p w:rsidR="000919E0" w:rsidRPr="008D6381" w:rsidRDefault="000919E0" w:rsidP="00B74F2C">
            <w:pPr>
              <w:autoSpaceDE w:val="0"/>
              <w:autoSpaceDN w:val="0"/>
              <w:adjustRightInd w:val="0"/>
              <w:spacing w:line="360" w:lineRule="auto"/>
              <w:jc w:val="right"/>
              <w:rPr>
                <w:rFonts w:ascii="Times New Roman" w:hAnsi="Times New Roman" w:cs="Times New Roman"/>
                <w:sz w:val="28"/>
                <w:szCs w:val="28"/>
                <w:lang w:val="uk-UA"/>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3 </w:t>
            </w:r>
            <w:r w:rsidR="007A07E1">
              <w:rPr>
                <w:rFonts w:ascii="Times New Roman" w:hAnsi="Times New Roman" w:cs="Times New Roman"/>
                <w:sz w:val="28"/>
                <w:szCs w:val="28"/>
                <w:vertAlign w:val="subscript"/>
                <w:lang w:val="en-US"/>
              </w:rPr>
              <w:t xml:space="preserve"> </w:t>
            </w:r>
            <w:r w:rsidR="007A07E1">
              <w:rPr>
                <w:rFonts w:ascii="Times New Roman" w:hAnsi="Times New Roman" w:cs="Times New Roman"/>
                <w:sz w:val="28"/>
                <w:szCs w:val="28"/>
                <w:lang w:val="en-US"/>
              </w:rPr>
              <w:t>= 0,2252</w:t>
            </w:r>
          </w:p>
        </w:tc>
      </w:tr>
      <w:tr w:rsidR="000919E0" w:rsidRPr="008707FF" w:rsidTr="00C6493F">
        <w:tc>
          <w:tcPr>
            <w:tcW w:w="1701" w:type="dxa"/>
          </w:tcPr>
          <w:p w:rsidR="000919E0" w:rsidRPr="008707FF" w:rsidRDefault="00B97CB5" w:rsidP="00E552BB">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ТЗСЛШ </w:t>
            </w:r>
            <w:r w:rsidR="000919E0" w:rsidRPr="008707FF">
              <w:rPr>
                <w:rFonts w:ascii="Times New Roman" w:hAnsi="Times New Roman" w:cs="Times New Roman"/>
                <w:sz w:val="28"/>
                <w:szCs w:val="28"/>
                <w:lang w:val="uk-UA"/>
              </w:rPr>
              <w:t>(см)</w:t>
            </w:r>
          </w:p>
        </w:tc>
        <w:tc>
          <w:tcPr>
            <w:tcW w:w="2268" w:type="dxa"/>
          </w:tcPr>
          <w:p w:rsidR="000919E0" w:rsidRPr="008707FF" w:rsidRDefault="000919E0" w:rsidP="002E5426">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1,7</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0,02</w:t>
            </w:r>
          </w:p>
        </w:tc>
        <w:tc>
          <w:tcPr>
            <w:tcW w:w="1843" w:type="dxa"/>
          </w:tcPr>
          <w:p w:rsidR="000919E0" w:rsidRPr="00C61F3B"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1,59</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0,05</w:t>
            </w:r>
          </w:p>
        </w:tc>
        <w:tc>
          <w:tcPr>
            <w:tcW w:w="1985" w:type="dxa"/>
          </w:tcPr>
          <w:p w:rsidR="000919E0" w:rsidRPr="00C61F3B"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1,07</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0017603B">
              <w:rPr>
                <w:rFonts w:ascii="Times New Roman" w:hAnsi="Times New Roman" w:cs="Times New Roman"/>
                <w:sz w:val="28"/>
                <w:szCs w:val="28"/>
                <w:lang w:val="en-US"/>
              </w:rPr>
              <w:t>0</w:t>
            </w:r>
            <w:r w:rsidR="007A07E1">
              <w:rPr>
                <w:rFonts w:ascii="Times New Roman" w:hAnsi="Times New Roman" w:cs="Times New Roman"/>
                <w:sz w:val="28"/>
                <w:szCs w:val="28"/>
                <w:lang w:val="en-US"/>
              </w:rPr>
              <w:t>3</w:t>
            </w:r>
          </w:p>
        </w:tc>
        <w:tc>
          <w:tcPr>
            <w:tcW w:w="1559" w:type="dxa"/>
          </w:tcPr>
          <w:p w:rsidR="000919E0" w:rsidRPr="007A07E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1 </w:t>
            </w:r>
            <w:r w:rsidRPr="008D6381">
              <w:rPr>
                <w:rFonts w:ascii="Times New Roman" w:hAnsi="Times New Roman" w:cs="Times New Roman"/>
                <w:sz w:val="28"/>
                <w:szCs w:val="28"/>
                <w:lang w:val="uk-UA"/>
              </w:rPr>
              <w:t>=</w:t>
            </w:r>
            <w:r w:rsidRPr="008D6381">
              <w:rPr>
                <w:rFonts w:ascii="Times New Roman" w:hAnsi="Times New Roman" w:cs="Times New Roman"/>
                <w:sz w:val="28"/>
                <w:szCs w:val="28"/>
                <w:lang w:val="en-US"/>
              </w:rPr>
              <w:t xml:space="preserve"> 0,0</w:t>
            </w:r>
            <w:r w:rsidR="007A07E1">
              <w:rPr>
                <w:rFonts w:ascii="Times New Roman" w:hAnsi="Times New Roman" w:cs="Times New Roman"/>
                <w:sz w:val="28"/>
                <w:szCs w:val="28"/>
                <w:lang w:val="uk-UA"/>
              </w:rPr>
              <w:t>2</w:t>
            </w:r>
            <w:r w:rsidR="007A07E1">
              <w:rPr>
                <w:rFonts w:ascii="Times New Roman" w:hAnsi="Times New Roman" w:cs="Times New Roman"/>
                <w:sz w:val="28"/>
                <w:szCs w:val="28"/>
                <w:lang w:val="en-US"/>
              </w:rPr>
              <w:t>01</w:t>
            </w:r>
          </w:p>
          <w:p w:rsidR="000919E0" w:rsidRPr="008D638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2 </w:t>
            </w:r>
            <w:r w:rsidRPr="008D6381">
              <w:rPr>
                <w:rFonts w:ascii="Times New Roman" w:hAnsi="Times New Roman" w:cs="Times New Roman"/>
                <w:sz w:val="28"/>
                <w:szCs w:val="28"/>
                <w:lang w:val="en-US"/>
              </w:rPr>
              <w:t>&lt; 0,0</w:t>
            </w:r>
            <w:r w:rsidR="00634818" w:rsidRPr="008D6381">
              <w:rPr>
                <w:rFonts w:ascii="Times New Roman" w:hAnsi="Times New Roman" w:cs="Times New Roman"/>
                <w:sz w:val="28"/>
                <w:szCs w:val="28"/>
                <w:lang w:val="uk-UA"/>
              </w:rPr>
              <w:t>0</w:t>
            </w:r>
            <w:r w:rsidR="00A41126" w:rsidRPr="008D6381">
              <w:rPr>
                <w:rFonts w:ascii="Times New Roman" w:hAnsi="Times New Roman" w:cs="Times New Roman"/>
                <w:sz w:val="28"/>
                <w:szCs w:val="28"/>
                <w:lang w:val="en-US"/>
              </w:rPr>
              <w:t>0</w:t>
            </w:r>
            <w:r w:rsidRPr="008D6381">
              <w:rPr>
                <w:rFonts w:ascii="Times New Roman" w:hAnsi="Times New Roman" w:cs="Times New Roman"/>
                <w:sz w:val="28"/>
                <w:szCs w:val="28"/>
                <w:lang w:val="en-US"/>
              </w:rPr>
              <w:t>1</w:t>
            </w:r>
          </w:p>
          <w:p w:rsidR="000919E0" w:rsidRPr="007A07E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3 </w:t>
            </w:r>
            <w:r w:rsidR="00634818" w:rsidRPr="008D6381">
              <w:rPr>
                <w:rFonts w:ascii="Times New Roman" w:hAnsi="Times New Roman" w:cs="Times New Roman"/>
                <w:sz w:val="28"/>
                <w:szCs w:val="28"/>
                <w:lang w:val="uk-UA"/>
              </w:rPr>
              <w:t>=</w:t>
            </w:r>
            <w:r w:rsidR="007A07E1">
              <w:rPr>
                <w:rFonts w:ascii="Times New Roman" w:hAnsi="Times New Roman" w:cs="Times New Roman"/>
                <w:sz w:val="28"/>
                <w:szCs w:val="28"/>
                <w:lang w:val="en-US"/>
              </w:rPr>
              <w:t xml:space="preserve"> 0,0361</w:t>
            </w:r>
          </w:p>
        </w:tc>
      </w:tr>
      <w:tr w:rsidR="000919E0" w:rsidRPr="008707FF" w:rsidTr="00C6493F">
        <w:tc>
          <w:tcPr>
            <w:tcW w:w="1701" w:type="dxa"/>
          </w:tcPr>
          <w:p w:rsidR="000919E0" w:rsidRPr="008707FF" w:rsidRDefault="000919E0" w:rsidP="00E552BB">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КДР (см)</w:t>
            </w:r>
          </w:p>
        </w:tc>
        <w:tc>
          <w:tcPr>
            <w:tcW w:w="2268" w:type="dxa"/>
          </w:tcPr>
          <w:p w:rsidR="000919E0" w:rsidRPr="008707FF" w:rsidRDefault="000919E0" w:rsidP="002E5426">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5,21</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0,01</w:t>
            </w:r>
          </w:p>
        </w:tc>
        <w:tc>
          <w:tcPr>
            <w:tcW w:w="1843" w:type="dxa"/>
          </w:tcPr>
          <w:p w:rsidR="000919E0" w:rsidRPr="00C921AB"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5,18</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0,01</w:t>
            </w:r>
          </w:p>
        </w:tc>
        <w:tc>
          <w:tcPr>
            <w:tcW w:w="1985" w:type="dxa"/>
          </w:tcPr>
          <w:p w:rsidR="000919E0" w:rsidRPr="00C921AB"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4,6</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Pr>
                <w:rFonts w:ascii="Times New Roman" w:hAnsi="Times New Roman" w:cs="Times New Roman"/>
                <w:sz w:val="28"/>
                <w:szCs w:val="28"/>
                <w:lang w:val="en-US"/>
              </w:rPr>
              <w:t>18</w:t>
            </w:r>
          </w:p>
        </w:tc>
        <w:tc>
          <w:tcPr>
            <w:tcW w:w="1559" w:type="dxa"/>
          </w:tcPr>
          <w:p w:rsidR="000919E0" w:rsidRPr="00170D5A"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1 </w:t>
            </w:r>
            <w:r w:rsidR="00634818" w:rsidRPr="008D6381">
              <w:rPr>
                <w:rFonts w:ascii="Times New Roman" w:hAnsi="Times New Roman" w:cs="Times New Roman"/>
                <w:sz w:val="28"/>
                <w:szCs w:val="28"/>
                <w:lang w:val="uk-UA"/>
              </w:rPr>
              <w:t>=</w:t>
            </w:r>
            <w:r w:rsidR="00170D5A">
              <w:rPr>
                <w:rFonts w:ascii="Times New Roman" w:hAnsi="Times New Roman" w:cs="Times New Roman"/>
                <w:sz w:val="28"/>
                <w:szCs w:val="28"/>
                <w:lang w:val="en-US"/>
              </w:rPr>
              <w:t xml:space="preserve"> 0,1420</w:t>
            </w:r>
          </w:p>
          <w:p w:rsidR="000919E0" w:rsidRPr="008D638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2 </w:t>
            </w:r>
            <w:r w:rsidRPr="008D6381">
              <w:rPr>
                <w:rFonts w:ascii="Times New Roman" w:hAnsi="Times New Roman" w:cs="Times New Roman"/>
                <w:sz w:val="28"/>
                <w:szCs w:val="28"/>
                <w:lang w:val="en-US"/>
              </w:rPr>
              <w:t>&lt; 0,00</w:t>
            </w:r>
            <w:r w:rsidR="00A41126" w:rsidRPr="008D6381">
              <w:rPr>
                <w:rFonts w:ascii="Times New Roman" w:hAnsi="Times New Roman" w:cs="Times New Roman"/>
                <w:sz w:val="28"/>
                <w:szCs w:val="28"/>
                <w:lang w:val="en-US"/>
              </w:rPr>
              <w:t>0</w:t>
            </w:r>
            <w:r w:rsidRPr="008D6381">
              <w:rPr>
                <w:rFonts w:ascii="Times New Roman" w:hAnsi="Times New Roman" w:cs="Times New Roman"/>
                <w:sz w:val="28"/>
                <w:szCs w:val="28"/>
                <w:lang w:val="en-US"/>
              </w:rPr>
              <w:t>1</w:t>
            </w:r>
          </w:p>
          <w:p w:rsidR="000919E0" w:rsidRPr="007A07E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3 </w:t>
            </w:r>
            <w:r w:rsidR="00170D5A">
              <w:rPr>
                <w:rFonts w:ascii="Times New Roman" w:hAnsi="Times New Roman" w:cs="Times New Roman"/>
                <w:sz w:val="28"/>
                <w:szCs w:val="28"/>
                <w:lang w:val="en-US"/>
              </w:rPr>
              <w:t>=</w:t>
            </w:r>
            <w:r w:rsidRPr="008D6381">
              <w:rPr>
                <w:rFonts w:ascii="Times New Roman" w:hAnsi="Times New Roman" w:cs="Times New Roman"/>
                <w:sz w:val="28"/>
                <w:szCs w:val="28"/>
                <w:lang w:val="en-US"/>
              </w:rPr>
              <w:t xml:space="preserve"> 0,0</w:t>
            </w:r>
            <w:r w:rsidR="00634818" w:rsidRPr="008D6381">
              <w:rPr>
                <w:rFonts w:ascii="Times New Roman" w:hAnsi="Times New Roman" w:cs="Times New Roman"/>
                <w:sz w:val="28"/>
                <w:szCs w:val="28"/>
                <w:lang w:val="uk-UA"/>
              </w:rPr>
              <w:t>0</w:t>
            </w:r>
            <w:r w:rsidR="00A41126" w:rsidRPr="008D6381">
              <w:rPr>
                <w:rFonts w:ascii="Times New Roman" w:hAnsi="Times New Roman" w:cs="Times New Roman"/>
                <w:sz w:val="28"/>
                <w:szCs w:val="28"/>
                <w:lang w:val="en-US"/>
              </w:rPr>
              <w:t>0</w:t>
            </w:r>
            <w:r w:rsidR="00170D5A">
              <w:rPr>
                <w:rFonts w:ascii="Times New Roman" w:hAnsi="Times New Roman" w:cs="Times New Roman"/>
                <w:sz w:val="28"/>
                <w:szCs w:val="28"/>
                <w:lang w:val="en-US"/>
              </w:rPr>
              <w:t>2</w:t>
            </w:r>
          </w:p>
        </w:tc>
      </w:tr>
      <w:tr w:rsidR="000919E0" w:rsidRPr="008707FF" w:rsidTr="00C6493F">
        <w:tc>
          <w:tcPr>
            <w:tcW w:w="1701" w:type="dxa"/>
          </w:tcPr>
          <w:p w:rsidR="000919E0" w:rsidRPr="008707FF" w:rsidRDefault="000919E0" w:rsidP="00E552BB">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КСР (см)</w:t>
            </w:r>
          </w:p>
        </w:tc>
        <w:tc>
          <w:tcPr>
            <w:tcW w:w="2268" w:type="dxa"/>
          </w:tcPr>
          <w:p w:rsidR="000919E0" w:rsidRPr="00D435F2"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3,72</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sidR="00170D5A">
              <w:rPr>
                <w:rFonts w:ascii="Times New Roman" w:hAnsi="Times New Roman" w:cs="Times New Roman"/>
                <w:sz w:val="28"/>
                <w:szCs w:val="28"/>
                <w:lang w:val="en-US"/>
              </w:rPr>
              <w:t>2</w:t>
            </w:r>
          </w:p>
        </w:tc>
        <w:tc>
          <w:tcPr>
            <w:tcW w:w="1843" w:type="dxa"/>
          </w:tcPr>
          <w:p w:rsidR="000919E0" w:rsidRPr="00D435F2"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3,62</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sidR="00170D5A">
              <w:rPr>
                <w:rFonts w:ascii="Times New Roman" w:hAnsi="Times New Roman" w:cs="Times New Roman"/>
                <w:sz w:val="28"/>
                <w:szCs w:val="28"/>
                <w:lang w:val="en-US"/>
              </w:rPr>
              <w:t>3</w:t>
            </w:r>
          </w:p>
        </w:tc>
        <w:tc>
          <w:tcPr>
            <w:tcW w:w="1985" w:type="dxa"/>
          </w:tcPr>
          <w:p w:rsidR="000919E0" w:rsidRPr="00D435F2"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3,3</w:t>
            </w:r>
            <w:r w:rsidR="00F6247A">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F6247A">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Pr="008707FF">
              <w:rPr>
                <w:rFonts w:ascii="Times New Roman" w:hAnsi="Times New Roman" w:cs="Times New Roman"/>
                <w:sz w:val="28"/>
                <w:szCs w:val="28"/>
                <w:lang w:val="uk-UA"/>
              </w:rPr>
              <w:t>1</w:t>
            </w:r>
            <w:r>
              <w:rPr>
                <w:rFonts w:ascii="Times New Roman" w:hAnsi="Times New Roman" w:cs="Times New Roman"/>
                <w:sz w:val="28"/>
                <w:szCs w:val="28"/>
                <w:lang w:val="en-US"/>
              </w:rPr>
              <w:t>3</w:t>
            </w:r>
          </w:p>
        </w:tc>
        <w:tc>
          <w:tcPr>
            <w:tcW w:w="1559" w:type="dxa"/>
          </w:tcPr>
          <w:p w:rsidR="000919E0" w:rsidRPr="00170D5A"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1 </w:t>
            </w:r>
            <w:r w:rsidR="00634818" w:rsidRPr="008D6381">
              <w:rPr>
                <w:rFonts w:ascii="Times New Roman" w:hAnsi="Times New Roman" w:cs="Times New Roman"/>
                <w:sz w:val="28"/>
                <w:szCs w:val="28"/>
                <w:lang w:val="uk-UA"/>
              </w:rPr>
              <w:t>=</w:t>
            </w:r>
            <w:r w:rsidR="00634818" w:rsidRPr="008D6381">
              <w:rPr>
                <w:rFonts w:ascii="Times New Roman" w:hAnsi="Times New Roman" w:cs="Times New Roman"/>
                <w:sz w:val="28"/>
                <w:szCs w:val="28"/>
                <w:lang w:val="en-US"/>
              </w:rPr>
              <w:t xml:space="preserve"> 0,0</w:t>
            </w:r>
            <w:r w:rsidR="00170D5A">
              <w:rPr>
                <w:rFonts w:ascii="Times New Roman" w:hAnsi="Times New Roman" w:cs="Times New Roman"/>
                <w:sz w:val="28"/>
                <w:szCs w:val="28"/>
                <w:lang w:val="en-US"/>
              </w:rPr>
              <w:t>1</w:t>
            </w:r>
            <w:r w:rsidR="00170D5A">
              <w:rPr>
                <w:rFonts w:ascii="Times New Roman" w:hAnsi="Times New Roman" w:cs="Times New Roman"/>
                <w:sz w:val="28"/>
                <w:szCs w:val="28"/>
                <w:lang w:val="uk-UA"/>
              </w:rPr>
              <w:t>9</w:t>
            </w:r>
            <w:r w:rsidR="00170D5A">
              <w:rPr>
                <w:rFonts w:ascii="Times New Roman" w:hAnsi="Times New Roman" w:cs="Times New Roman"/>
                <w:sz w:val="28"/>
                <w:szCs w:val="28"/>
                <w:lang w:val="en-US"/>
              </w:rPr>
              <w:t>2</w:t>
            </w:r>
          </w:p>
          <w:p w:rsidR="000919E0" w:rsidRPr="008D6381"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2 </w:t>
            </w:r>
            <w:r w:rsidRPr="008D6381">
              <w:rPr>
                <w:rFonts w:ascii="Times New Roman" w:hAnsi="Times New Roman" w:cs="Times New Roman"/>
                <w:sz w:val="28"/>
                <w:szCs w:val="28"/>
                <w:lang w:val="en-US"/>
              </w:rPr>
              <w:t>&lt; 0,0</w:t>
            </w:r>
            <w:r w:rsidR="00634818" w:rsidRPr="008D6381">
              <w:rPr>
                <w:rFonts w:ascii="Times New Roman" w:hAnsi="Times New Roman" w:cs="Times New Roman"/>
                <w:sz w:val="28"/>
                <w:szCs w:val="28"/>
                <w:lang w:val="uk-UA"/>
              </w:rPr>
              <w:t>0</w:t>
            </w:r>
            <w:r w:rsidR="00A41126" w:rsidRPr="008D6381">
              <w:rPr>
                <w:rFonts w:ascii="Times New Roman" w:hAnsi="Times New Roman" w:cs="Times New Roman"/>
                <w:sz w:val="28"/>
                <w:szCs w:val="28"/>
                <w:lang w:val="en-US"/>
              </w:rPr>
              <w:t>0</w:t>
            </w:r>
            <w:r w:rsidRPr="008D6381">
              <w:rPr>
                <w:rFonts w:ascii="Times New Roman" w:hAnsi="Times New Roman" w:cs="Times New Roman"/>
                <w:sz w:val="28"/>
                <w:szCs w:val="28"/>
                <w:lang w:val="en-US"/>
              </w:rPr>
              <w:t>1</w:t>
            </w:r>
          </w:p>
          <w:p w:rsidR="000919E0" w:rsidRPr="00170D5A"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3 </w:t>
            </w:r>
            <w:r w:rsidR="00170D5A">
              <w:rPr>
                <w:rFonts w:ascii="Times New Roman" w:hAnsi="Times New Roman" w:cs="Times New Roman"/>
                <w:sz w:val="28"/>
                <w:szCs w:val="28"/>
                <w:lang w:val="en-US"/>
              </w:rPr>
              <w:t>=</w:t>
            </w:r>
            <w:r w:rsidRPr="008D6381">
              <w:rPr>
                <w:rFonts w:ascii="Times New Roman" w:hAnsi="Times New Roman" w:cs="Times New Roman"/>
                <w:sz w:val="28"/>
                <w:szCs w:val="28"/>
                <w:lang w:val="en-US"/>
              </w:rPr>
              <w:t xml:space="preserve"> 0,0</w:t>
            </w:r>
            <w:r w:rsidR="00170D5A">
              <w:rPr>
                <w:rFonts w:ascii="Times New Roman" w:hAnsi="Times New Roman" w:cs="Times New Roman"/>
                <w:sz w:val="28"/>
                <w:szCs w:val="28"/>
                <w:lang w:val="en-US"/>
              </w:rPr>
              <w:t>049</w:t>
            </w:r>
          </w:p>
        </w:tc>
      </w:tr>
      <w:tr w:rsidR="000919E0" w:rsidRPr="008707FF" w:rsidTr="00C6493F">
        <w:tc>
          <w:tcPr>
            <w:tcW w:w="1701" w:type="dxa"/>
          </w:tcPr>
          <w:p w:rsidR="000919E0" w:rsidRPr="008707FF" w:rsidRDefault="000919E0" w:rsidP="00E552BB">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ЛП (см)</w:t>
            </w:r>
          </w:p>
        </w:tc>
        <w:tc>
          <w:tcPr>
            <w:tcW w:w="2268" w:type="dxa"/>
          </w:tcPr>
          <w:p w:rsidR="000919E0" w:rsidRPr="009B19F7"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sidRPr="008707FF">
              <w:rPr>
                <w:rFonts w:ascii="Times New Roman" w:hAnsi="Times New Roman" w:cs="Times New Roman"/>
                <w:sz w:val="28"/>
                <w:szCs w:val="28"/>
                <w:lang w:val="uk-UA"/>
              </w:rPr>
              <w:t>4,21</w:t>
            </w:r>
            <w:r w:rsidR="00852E4F">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Pr>
                <w:rFonts w:ascii="Times New Roman" w:hAnsi="Times New Roman" w:cs="Times New Roman"/>
                <w:sz w:val="28"/>
                <w:szCs w:val="28"/>
                <w:lang w:val="en-US"/>
              </w:rPr>
              <w:t>7</w:t>
            </w:r>
          </w:p>
        </w:tc>
        <w:tc>
          <w:tcPr>
            <w:tcW w:w="1843" w:type="dxa"/>
          </w:tcPr>
          <w:p w:rsidR="000919E0" w:rsidRPr="009B19F7"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sidRPr="008707FF">
              <w:rPr>
                <w:rFonts w:ascii="Times New Roman" w:hAnsi="Times New Roman" w:cs="Times New Roman"/>
                <w:sz w:val="28"/>
                <w:szCs w:val="28"/>
                <w:lang w:val="uk-UA"/>
              </w:rPr>
              <w:t>,</w:t>
            </w:r>
            <w:r>
              <w:rPr>
                <w:rFonts w:ascii="Times New Roman" w:hAnsi="Times New Roman" w:cs="Times New Roman"/>
                <w:sz w:val="28"/>
                <w:szCs w:val="28"/>
                <w:lang w:val="uk-UA"/>
              </w:rPr>
              <w:t>9</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Pr>
                <w:rFonts w:ascii="Times New Roman" w:hAnsi="Times New Roman" w:cs="Times New Roman"/>
                <w:sz w:val="28"/>
                <w:szCs w:val="28"/>
                <w:lang w:val="en-US"/>
              </w:rPr>
              <w:t>9</w:t>
            </w:r>
          </w:p>
        </w:tc>
        <w:tc>
          <w:tcPr>
            <w:tcW w:w="1985" w:type="dxa"/>
          </w:tcPr>
          <w:p w:rsidR="000919E0" w:rsidRPr="009B19F7" w:rsidRDefault="000919E0" w:rsidP="002E542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7</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0,0</w:t>
            </w:r>
            <w:r>
              <w:rPr>
                <w:rFonts w:ascii="Times New Roman" w:hAnsi="Times New Roman" w:cs="Times New Roman"/>
                <w:sz w:val="28"/>
                <w:szCs w:val="28"/>
                <w:lang w:val="en-US"/>
              </w:rPr>
              <w:t>3</w:t>
            </w:r>
          </w:p>
        </w:tc>
        <w:tc>
          <w:tcPr>
            <w:tcW w:w="1559" w:type="dxa"/>
          </w:tcPr>
          <w:p w:rsidR="000919E0" w:rsidRPr="008F238E"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1 </w:t>
            </w:r>
            <w:r w:rsidR="00634818" w:rsidRPr="008D6381">
              <w:rPr>
                <w:rFonts w:ascii="Times New Roman" w:hAnsi="Times New Roman" w:cs="Times New Roman"/>
                <w:sz w:val="28"/>
                <w:szCs w:val="28"/>
                <w:lang w:val="uk-UA"/>
              </w:rPr>
              <w:t>=</w:t>
            </w:r>
            <w:r w:rsidR="00634818" w:rsidRPr="008D6381">
              <w:rPr>
                <w:rFonts w:ascii="Times New Roman" w:hAnsi="Times New Roman" w:cs="Times New Roman"/>
                <w:sz w:val="28"/>
                <w:szCs w:val="28"/>
                <w:lang w:val="en-US"/>
              </w:rPr>
              <w:t xml:space="preserve"> 0,0</w:t>
            </w:r>
            <w:r w:rsidR="008F238E">
              <w:rPr>
                <w:rFonts w:ascii="Times New Roman" w:hAnsi="Times New Roman" w:cs="Times New Roman"/>
                <w:sz w:val="28"/>
                <w:szCs w:val="28"/>
                <w:lang w:val="en-US"/>
              </w:rPr>
              <w:t>344</w:t>
            </w:r>
          </w:p>
          <w:p w:rsidR="000919E0" w:rsidRPr="008F238E"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2 </w:t>
            </w:r>
            <w:r w:rsidR="00634818" w:rsidRPr="008D6381">
              <w:rPr>
                <w:rFonts w:ascii="Times New Roman" w:hAnsi="Times New Roman" w:cs="Times New Roman"/>
                <w:sz w:val="28"/>
                <w:szCs w:val="28"/>
                <w:lang w:val="en-US"/>
              </w:rPr>
              <w:t xml:space="preserve">= </w:t>
            </w:r>
            <w:r w:rsidRPr="008D6381">
              <w:rPr>
                <w:rFonts w:ascii="Times New Roman" w:hAnsi="Times New Roman" w:cs="Times New Roman"/>
                <w:sz w:val="28"/>
                <w:szCs w:val="28"/>
                <w:lang w:val="en-US"/>
              </w:rPr>
              <w:t>0,00</w:t>
            </w:r>
            <w:r w:rsidR="008F238E">
              <w:rPr>
                <w:rFonts w:ascii="Times New Roman" w:hAnsi="Times New Roman" w:cs="Times New Roman"/>
                <w:sz w:val="28"/>
                <w:szCs w:val="28"/>
                <w:lang w:val="en-US"/>
              </w:rPr>
              <w:t>50</w:t>
            </w:r>
          </w:p>
          <w:p w:rsidR="000919E0" w:rsidRPr="008F238E" w:rsidRDefault="000919E0" w:rsidP="00B74F2C">
            <w:pPr>
              <w:autoSpaceDE w:val="0"/>
              <w:autoSpaceDN w:val="0"/>
              <w:adjustRightInd w:val="0"/>
              <w:spacing w:line="360" w:lineRule="auto"/>
              <w:jc w:val="right"/>
              <w:rPr>
                <w:rFonts w:ascii="Times New Roman" w:hAnsi="Times New Roman" w:cs="Times New Roman"/>
                <w:sz w:val="28"/>
                <w:szCs w:val="28"/>
                <w:lang w:val="en-US"/>
              </w:rPr>
            </w:pPr>
            <w:r w:rsidRPr="008D6381">
              <w:rPr>
                <w:rFonts w:ascii="Times New Roman" w:hAnsi="Times New Roman" w:cs="Times New Roman"/>
                <w:sz w:val="28"/>
                <w:szCs w:val="28"/>
                <w:lang w:val="en-US"/>
              </w:rPr>
              <w:t>p</w:t>
            </w:r>
            <w:r w:rsidRPr="008D6381">
              <w:rPr>
                <w:rFonts w:ascii="Times New Roman" w:hAnsi="Times New Roman" w:cs="Times New Roman"/>
                <w:sz w:val="28"/>
                <w:szCs w:val="28"/>
                <w:vertAlign w:val="subscript"/>
                <w:lang w:val="en-US"/>
              </w:rPr>
              <w:t xml:space="preserve">3 </w:t>
            </w:r>
            <w:r w:rsidR="00634818" w:rsidRPr="008D6381">
              <w:rPr>
                <w:rFonts w:ascii="Times New Roman" w:hAnsi="Times New Roman" w:cs="Times New Roman"/>
                <w:sz w:val="28"/>
                <w:szCs w:val="28"/>
                <w:lang w:val="uk-UA"/>
              </w:rPr>
              <w:t>=</w:t>
            </w:r>
            <w:r w:rsidR="00634818" w:rsidRPr="008D6381">
              <w:rPr>
                <w:rFonts w:ascii="Times New Roman" w:hAnsi="Times New Roman" w:cs="Times New Roman"/>
                <w:sz w:val="28"/>
                <w:szCs w:val="28"/>
                <w:lang w:val="en-US"/>
              </w:rPr>
              <w:t xml:space="preserve"> 0,</w:t>
            </w:r>
            <w:r w:rsidR="008F238E">
              <w:rPr>
                <w:rFonts w:ascii="Times New Roman" w:hAnsi="Times New Roman" w:cs="Times New Roman"/>
                <w:sz w:val="28"/>
                <w:szCs w:val="28"/>
                <w:lang w:val="en-US"/>
              </w:rPr>
              <w:t>1012</w:t>
            </w:r>
          </w:p>
        </w:tc>
      </w:tr>
      <w:tr w:rsidR="002E5426" w:rsidRPr="008707FF" w:rsidTr="00C6493F">
        <w:tc>
          <w:tcPr>
            <w:tcW w:w="1701" w:type="dxa"/>
          </w:tcPr>
          <w:p w:rsidR="002E5426" w:rsidRPr="008707FF" w:rsidRDefault="002E5426" w:rsidP="00E552BB">
            <w:pPr>
              <w:autoSpaceDE w:val="0"/>
              <w:autoSpaceDN w:val="0"/>
              <w:adjustRightInd w:val="0"/>
              <w:spacing w:line="360" w:lineRule="auto"/>
              <w:jc w:val="center"/>
              <w:rPr>
                <w:rFonts w:ascii="Times New Roman" w:hAnsi="Times New Roman" w:cs="Times New Roman"/>
                <w:sz w:val="28"/>
                <w:szCs w:val="28"/>
                <w:lang w:val="uk-UA"/>
              </w:rPr>
            </w:pPr>
            <w:r w:rsidRPr="002E5426">
              <w:rPr>
                <w:rFonts w:ascii="Times New Roman" w:hAnsi="Times New Roman" w:cs="Times New Roman"/>
                <w:sz w:val="28"/>
                <w:szCs w:val="28"/>
                <w:lang w:val="uk-UA"/>
              </w:rPr>
              <w:t>ПП (см)</w:t>
            </w:r>
          </w:p>
        </w:tc>
        <w:tc>
          <w:tcPr>
            <w:tcW w:w="2268" w:type="dxa"/>
          </w:tcPr>
          <w:p w:rsidR="002E5426" w:rsidRPr="008707FF" w:rsidRDefault="002E5426" w:rsidP="002E5426">
            <w:pPr>
              <w:autoSpaceDE w:val="0"/>
              <w:autoSpaceDN w:val="0"/>
              <w:adjustRightInd w:val="0"/>
              <w:spacing w:line="360" w:lineRule="auto"/>
              <w:jc w:val="center"/>
              <w:rPr>
                <w:rFonts w:ascii="Times New Roman" w:hAnsi="Times New Roman" w:cs="Times New Roman"/>
                <w:sz w:val="28"/>
                <w:szCs w:val="28"/>
                <w:lang w:val="uk-UA"/>
              </w:rPr>
            </w:pPr>
            <w:r w:rsidRPr="002E5426">
              <w:rPr>
                <w:rFonts w:ascii="Times New Roman" w:hAnsi="Times New Roman" w:cs="Times New Roman"/>
                <w:sz w:val="28"/>
                <w:szCs w:val="28"/>
                <w:lang w:val="uk-UA"/>
              </w:rPr>
              <w:t>3,3 ± 0,02</w:t>
            </w:r>
          </w:p>
        </w:tc>
        <w:tc>
          <w:tcPr>
            <w:tcW w:w="1843" w:type="dxa"/>
          </w:tcPr>
          <w:p w:rsidR="002E5426" w:rsidRDefault="002E5426" w:rsidP="002E5426">
            <w:pPr>
              <w:autoSpaceDE w:val="0"/>
              <w:autoSpaceDN w:val="0"/>
              <w:adjustRightInd w:val="0"/>
              <w:spacing w:line="360" w:lineRule="auto"/>
              <w:jc w:val="center"/>
              <w:rPr>
                <w:rFonts w:ascii="Times New Roman" w:hAnsi="Times New Roman" w:cs="Times New Roman"/>
                <w:sz w:val="28"/>
                <w:szCs w:val="28"/>
                <w:lang w:val="en-US"/>
              </w:rPr>
            </w:pPr>
            <w:r w:rsidRPr="002E5426">
              <w:rPr>
                <w:rFonts w:ascii="Times New Roman" w:hAnsi="Times New Roman" w:cs="Times New Roman"/>
                <w:sz w:val="28"/>
                <w:szCs w:val="28"/>
                <w:lang w:val="en-US"/>
              </w:rPr>
              <w:t>3,2 ± 0,04</w:t>
            </w:r>
          </w:p>
        </w:tc>
        <w:tc>
          <w:tcPr>
            <w:tcW w:w="1985" w:type="dxa"/>
          </w:tcPr>
          <w:p w:rsidR="002E5426" w:rsidRDefault="002E5426" w:rsidP="002E5426">
            <w:pPr>
              <w:autoSpaceDE w:val="0"/>
              <w:autoSpaceDN w:val="0"/>
              <w:adjustRightInd w:val="0"/>
              <w:spacing w:line="360" w:lineRule="auto"/>
              <w:jc w:val="center"/>
              <w:rPr>
                <w:rFonts w:ascii="Times New Roman" w:hAnsi="Times New Roman" w:cs="Times New Roman"/>
                <w:sz w:val="28"/>
                <w:szCs w:val="28"/>
                <w:lang w:val="en-US"/>
              </w:rPr>
            </w:pPr>
            <w:r w:rsidRPr="002E5426">
              <w:rPr>
                <w:rFonts w:ascii="Times New Roman" w:hAnsi="Times New Roman" w:cs="Times New Roman"/>
                <w:sz w:val="28"/>
                <w:szCs w:val="28"/>
                <w:lang w:val="en-US"/>
              </w:rPr>
              <w:t>3,07 ± 0,05</w:t>
            </w:r>
          </w:p>
        </w:tc>
        <w:tc>
          <w:tcPr>
            <w:tcW w:w="1559" w:type="dxa"/>
          </w:tcPr>
          <w:p w:rsidR="002E5426" w:rsidRPr="002E5426" w:rsidRDefault="002E5426" w:rsidP="002E5426">
            <w:pPr>
              <w:autoSpaceDE w:val="0"/>
              <w:autoSpaceDN w:val="0"/>
              <w:adjustRightInd w:val="0"/>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1</w:t>
            </w:r>
            <w:r w:rsidRPr="002E5426">
              <w:rPr>
                <w:rFonts w:ascii="Times New Roman" w:hAnsi="Times New Roman" w:cs="Times New Roman"/>
                <w:sz w:val="28"/>
                <w:szCs w:val="28"/>
                <w:lang w:val="en-US"/>
              </w:rPr>
              <w:t xml:space="preserve"> = 0,0254</w:t>
            </w:r>
          </w:p>
          <w:p w:rsidR="002E5426" w:rsidRPr="002E5426" w:rsidRDefault="002E5426" w:rsidP="002E5426">
            <w:pPr>
              <w:autoSpaceDE w:val="0"/>
              <w:autoSpaceDN w:val="0"/>
              <w:adjustRightInd w:val="0"/>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2</w:t>
            </w:r>
            <w:r w:rsidRPr="002E5426">
              <w:rPr>
                <w:rFonts w:ascii="Times New Roman" w:hAnsi="Times New Roman" w:cs="Times New Roman"/>
                <w:sz w:val="28"/>
                <w:szCs w:val="28"/>
                <w:lang w:val="en-US"/>
              </w:rPr>
              <w:t xml:space="preserve"> &lt; 0,0001</w:t>
            </w:r>
          </w:p>
          <w:p w:rsidR="002E5426" w:rsidRPr="008D6381" w:rsidRDefault="002E5426" w:rsidP="002E5426">
            <w:pPr>
              <w:autoSpaceDE w:val="0"/>
              <w:autoSpaceDN w:val="0"/>
              <w:adjustRightInd w:val="0"/>
              <w:spacing w:line="36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3</w:t>
            </w:r>
            <w:r w:rsidRPr="002E5426">
              <w:rPr>
                <w:rFonts w:ascii="Times New Roman" w:hAnsi="Times New Roman" w:cs="Times New Roman"/>
                <w:sz w:val="28"/>
                <w:szCs w:val="28"/>
                <w:lang w:val="en-US"/>
              </w:rPr>
              <w:t xml:space="preserve"> = 0,0512</w:t>
            </w:r>
          </w:p>
        </w:tc>
      </w:tr>
    </w:tbl>
    <w:p w:rsidR="0027500A" w:rsidRDefault="0027500A">
      <w:pPr>
        <w:rPr>
          <w:lang w:val="uk-UA"/>
        </w:rPr>
      </w:pPr>
      <w:r>
        <w:br w:type="page"/>
      </w:r>
    </w:p>
    <w:p w:rsidR="0027500A" w:rsidRPr="0027500A" w:rsidRDefault="0027500A" w:rsidP="00AB5ED3">
      <w:pPr>
        <w:rPr>
          <w:rFonts w:ascii="Times New Roman" w:hAnsi="Times New Roman" w:cs="Times New Roman"/>
          <w:i/>
          <w:sz w:val="28"/>
          <w:szCs w:val="28"/>
          <w:lang w:val="uk-UA"/>
        </w:rPr>
      </w:pPr>
      <w:r w:rsidRPr="0027500A">
        <w:rPr>
          <w:rFonts w:ascii="Times New Roman" w:hAnsi="Times New Roman" w:cs="Times New Roman"/>
          <w:i/>
          <w:sz w:val="28"/>
          <w:szCs w:val="28"/>
          <w:lang w:val="uk-UA"/>
        </w:rPr>
        <w:lastRenderedPageBreak/>
        <w:t>Продовж. табл. 5.1.1</w:t>
      </w:r>
    </w:p>
    <w:tbl>
      <w:tblPr>
        <w:tblStyle w:val="a5"/>
        <w:tblW w:w="9356" w:type="dxa"/>
        <w:tblInd w:w="108" w:type="dxa"/>
        <w:tblLook w:val="04A0" w:firstRow="1" w:lastRow="0" w:firstColumn="1" w:lastColumn="0" w:noHBand="0" w:noVBand="1"/>
      </w:tblPr>
      <w:tblGrid>
        <w:gridCol w:w="1701"/>
        <w:gridCol w:w="2268"/>
        <w:gridCol w:w="1843"/>
        <w:gridCol w:w="1701"/>
        <w:gridCol w:w="1843"/>
      </w:tblGrid>
      <w:tr w:rsidR="0027500A" w:rsidRPr="008707FF" w:rsidTr="00E37446">
        <w:tc>
          <w:tcPr>
            <w:tcW w:w="1701" w:type="dxa"/>
          </w:tcPr>
          <w:p w:rsidR="0027500A" w:rsidRPr="008707FF" w:rsidRDefault="0027500A" w:rsidP="0027500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268" w:type="dxa"/>
          </w:tcPr>
          <w:p w:rsidR="0027500A" w:rsidRPr="008707FF" w:rsidRDefault="0027500A" w:rsidP="0027500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tcPr>
          <w:p w:rsidR="0027500A" w:rsidRDefault="0027500A" w:rsidP="0027500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01" w:type="dxa"/>
          </w:tcPr>
          <w:p w:rsidR="0027500A" w:rsidRDefault="0027500A" w:rsidP="0027500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tcPr>
          <w:p w:rsidR="0027500A" w:rsidRPr="0027500A" w:rsidRDefault="0027500A" w:rsidP="0027500A">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919E0" w:rsidRPr="008707FF" w:rsidTr="00E37446">
        <w:tc>
          <w:tcPr>
            <w:tcW w:w="1701" w:type="dxa"/>
          </w:tcPr>
          <w:p w:rsidR="000919E0" w:rsidRPr="008707FF" w:rsidRDefault="000919E0" w:rsidP="00852E4F">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Е/А</w:t>
            </w:r>
          </w:p>
        </w:tc>
        <w:tc>
          <w:tcPr>
            <w:tcW w:w="2268" w:type="dxa"/>
          </w:tcPr>
          <w:p w:rsidR="000919E0" w:rsidRPr="008707FF" w:rsidRDefault="000919E0" w:rsidP="002E5426">
            <w:pPr>
              <w:autoSpaceDE w:val="0"/>
              <w:autoSpaceDN w:val="0"/>
              <w:adjustRightInd w:val="0"/>
              <w:spacing w:line="360" w:lineRule="auto"/>
              <w:jc w:val="center"/>
              <w:rPr>
                <w:rFonts w:ascii="Times New Roman" w:hAnsi="Times New Roman" w:cs="Times New Roman"/>
                <w:sz w:val="28"/>
                <w:szCs w:val="28"/>
                <w:lang w:val="uk-UA"/>
              </w:rPr>
            </w:pPr>
            <w:r w:rsidRPr="008707FF">
              <w:rPr>
                <w:rFonts w:ascii="Times New Roman" w:hAnsi="Times New Roman" w:cs="Times New Roman"/>
                <w:sz w:val="28"/>
                <w:szCs w:val="28"/>
                <w:lang w:val="uk-UA"/>
              </w:rPr>
              <w:t>0,97</w:t>
            </w:r>
            <w:r w:rsidR="00852E4F">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sidRPr="008707FF">
              <w:rPr>
                <w:rFonts w:ascii="Times New Roman" w:hAnsi="Times New Roman" w:cs="Times New Roman"/>
                <w:sz w:val="28"/>
                <w:szCs w:val="28"/>
                <w:lang w:val="uk-UA"/>
              </w:rPr>
              <w:t>0,05</w:t>
            </w:r>
          </w:p>
        </w:tc>
        <w:tc>
          <w:tcPr>
            <w:tcW w:w="1843" w:type="dxa"/>
          </w:tcPr>
          <w:p w:rsidR="000919E0" w:rsidRPr="00B97CB5" w:rsidRDefault="000919E0" w:rsidP="002E542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1,21</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Pr="00B97CB5">
              <w:rPr>
                <w:rFonts w:ascii="Times New Roman" w:hAnsi="Times New Roman" w:cs="Times New Roman"/>
                <w:sz w:val="28"/>
                <w:szCs w:val="28"/>
              </w:rPr>
              <w:t>03</w:t>
            </w:r>
          </w:p>
        </w:tc>
        <w:tc>
          <w:tcPr>
            <w:tcW w:w="1701" w:type="dxa"/>
          </w:tcPr>
          <w:p w:rsidR="000919E0" w:rsidRPr="00B97CB5" w:rsidRDefault="000919E0" w:rsidP="002E542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1,3</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Pr>
                <w:rFonts w:ascii="Times New Roman" w:hAnsi="Times New Roman" w:cs="Times New Roman"/>
                <w:sz w:val="28"/>
                <w:szCs w:val="28"/>
                <w:lang w:val="uk-UA"/>
              </w:rPr>
              <w:t>0,</w:t>
            </w:r>
            <w:r w:rsidRPr="00B97CB5">
              <w:rPr>
                <w:rFonts w:ascii="Times New Roman" w:hAnsi="Times New Roman" w:cs="Times New Roman"/>
                <w:sz w:val="28"/>
                <w:szCs w:val="28"/>
              </w:rPr>
              <w:t>02</w:t>
            </w:r>
          </w:p>
        </w:tc>
        <w:tc>
          <w:tcPr>
            <w:tcW w:w="1843" w:type="dxa"/>
          </w:tcPr>
          <w:p w:rsidR="000919E0" w:rsidRPr="00B97CB5" w:rsidRDefault="000919E0" w:rsidP="00162C06">
            <w:pPr>
              <w:autoSpaceDE w:val="0"/>
              <w:autoSpaceDN w:val="0"/>
              <w:adjustRightInd w:val="0"/>
              <w:spacing w:line="360" w:lineRule="auto"/>
              <w:jc w:val="right"/>
              <w:rPr>
                <w:rFonts w:ascii="Times New Roman" w:hAnsi="Times New Roman" w:cs="Times New Roman"/>
                <w:sz w:val="28"/>
                <w:szCs w:val="28"/>
              </w:rPr>
            </w:pPr>
            <w:r w:rsidRPr="008D6381">
              <w:rPr>
                <w:rFonts w:ascii="Times New Roman" w:hAnsi="Times New Roman" w:cs="Times New Roman"/>
                <w:sz w:val="28"/>
                <w:szCs w:val="28"/>
                <w:lang w:val="en-US"/>
              </w:rPr>
              <w:t>p</w:t>
            </w:r>
            <w:r w:rsidRPr="00B97CB5">
              <w:rPr>
                <w:rFonts w:ascii="Times New Roman" w:hAnsi="Times New Roman" w:cs="Times New Roman"/>
                <w:sz w:val="28"/>
                <w:szCs w:val="28"/>
                <w:vertAlign w:val="subscript"/>
              </w:rPr>
              <w:t xml:space="preserve">1 </w:t>
            </w:r>
            <w:r w:rsidR="00911BB3" w:rsidRPr="00B97CB5">
              <w:rPr>
                <w:rFonts w:ascii="Times New Roman" w:hAnsi="Times New Roman" w:cs="Times New Roman"/>
                <w:sz w:val="28"/>
                <w:szCs w:val="28"/>
              </w:rPr>
              <w:t>=</w:t>
            </w:r>
            <w:r w:rsidR="008F238E" w:rsidRPr="00B97CB5">
              <w:rPr>
                <w:rFonts w:ascii="Times New Roman" w:hAnsi="Times New Roman" w:cs="Times New Roman"/>
                <w:sz w:val="28"/>
                <w:szCs w:val="28"/>
              </w:rPr>
              <w:t xml:space="preserve"> 0,0173</w:t>
            </w:r>
          </w:p>
          <w:p w:rsidR="000919E0" w:rsidRPr="00B97CB5" w:rsidRDefault="000919E0" w:rsidP="00162C06">
            <w:pPr>
              <w:autoSpaceDE w:val="0"/>
              <w:autoSpaceDN w:val="0"/>
              <w:adjustRightInd w:val="0"/>
              <w:spacing w:line="360" w:lineRule="auto"/>
              <w:jc w:val="right"/>
              <w:rPr>
                <w:rFonts w:ascii="Times New Roman" w:hAnsi="Times New Roman" w:cs="Times New Roman"/>
                <w:sz w:val="28"/>
                <w:szCs w:val="28"/>
              </w:rPr>
            </w:pPr>
            <w:r w:rsidRPr="008D6381">
              <w:rPr>
                <w:rFonts w:ascii="Times New Roman" w:hAnsi="Times New Roman" w:cs="Times New Roman"/>
                <w:sz w:val="28"/>
                <w:szCs w:val="28"/>
                <w:lang w:val="en-US"/>
              </w:rPr>
              <w:t>p</w:t>
            </w:r>
            <w:r w:rsidRPr="00B97CB5">
              <w:rPr>
                <w:rFonts w:ascii="Times New Roman" w:hAnsi="Times New Roman" w:cs="Times New Roman"/>
                <w:sz w:val="28"/>
                <w:szCs w:val="28"/>
                <w:vertAlign w:val="subscript"/>
              </w:rPr>
              <w:t xml:space="preserve">2 </w:t>
            </w:r>
            <w:r w:rsidR="00911BB3" w:rsidRPr="00B97CB5">
              <w:rPr>
                <w:rFonts w:ascii="Times New Roman" w:hAnsi="Times New Roman" w:cs="Times New Roman"/>
                <w:sz w:val="28"/>
                <w:szCs w:val="28"/>
              </w:rPr>
              <w:t>=</w:t>
            </w:r>
            <w:r w:rsidR="008F238E" w:rsidRPr="00B97CB5">
              <w:rPr>
                <w:rFonts w:ascii="Times New Roman" w:hAnsi="Times New Roman" w:cs="Times New Roman"/>
                <w:sz w:val="28"/>
                <w:szCs w:val="28"/>
              </w:rPr>
              <w:t xml:space="preserve"> 0,0108</w:t>
            </w:r>
          </w:p>
          <w:p w:rsidR="000919E0" w:rsidRPr="008D6381" w:rsidRDefault="000919E0" w:rsidP="00162C06">
            <w:pPr>
              <w:autoSpaceDE w:val="0"/>
              <w:autoSpaceDN w:val="0"/>
              <w:adjustRightInd w:val="0"/>
              <w:spacing w:line="360" w:lineRule="auto"/>
              <w:jc w:val="right"/>
              <w:rPr>
                <w:rFonts w:ascii="Times New Roman" w:hAnsi="Times New Roman" w:cs="Times New Roman"/>
                <w:sz w:val="28"/>
                <w:szCs w:val="28"/>
                <w:lang w:val="uk-UA"/>
              </w:rPr>
            </w:pPr>
            <w:r w:rsidRPr="008D6381">
              <w:rPr>
                <w:rFonts w:ascii="Times New Roman" w:hAnsi="Times New Roman" w:cs="Times New Roman"/>
                <w:sz w:val="28"/>
                <w:szCs w:val="28"/>
                <w:lang w:val="en-US"/>
              </w:rPr>
              <w:t>p</w:t>
            </w:r>
            <w:r w:rsidRPr="00B97CB5">
              <w:rPr>
                <w:rFonts w:ascii="Times New Roman" w:hAnsi="Times New Roman" w:cs="Times New Roman"/>
                <w:sz w:val="28"/>
                <w:szCs w:val="28"/>
                <w:vertAlign w:val="subscript"/>
              </w:rPr>
              <w:t xml:space="preserve">3 </w:t>
            </w:r>
            <w:r w:rsidR="008F238E" w:rsidRPr="00B97CB5">
              <w:rPr>
                <w:rFonts w:ascii="Times New Roman" w:hAnsi="Times New Roman" w:cs="Times New Roman"/>
                <w:sz w:val="28"/>
                <w:szCs w:val="28"/>
              </w:rPr>
              <w:t>= 0,03</w:t>
            </w:r>
            <w:r w:rsidR="00911BB3" w:rsidRPr="00B97CB5">
              <w:rPr>
                <w:rFonts w:ascii="Times New Roman" w:hAnsi="Times New Roman" w:cs="Times New Roman"/>
                <w:sz w:val="28"/>
                <w:szCs w:val="28"/>
              </w:rPr>
              <w:t>79</w:t>
            </w:r>
          </w:p>
        </w:tc>
      </w:tr>
    </w:tbl>
    <w:p w:rsidR="0027500A" w:rsidRDefault="00FC571D" w:rsidP="0027500A">
      <w:pPr>
        <w:autoSpaceDE w:val="0"/>
        <w:autoSpaceDN w:val="0"/>
        <w:adjustRightInd w:val="0"/>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27500A">
        <w:rPr>
          <w:rFonts w:ascii="Times New Roman" w:hAnsi="Times New Roman" w:cs="Times New Roman"/>
          <w:bCs/>
          <w:sz w:val="28"/>
          <w:szCs w:val="28"/>
          <w:lang w:val="uk-UA"/>
        </w:rPr>
        <w:t>Примітки</w:t>
      </w:r>
      <w:r w:rsidR="00FF3A74" w:rsidRPr="00852E4F">
        <w:rPr>
          <w:rFonts w:ascii="Times New Roman" w:hAnsi="Times New Roman" w:cs="Times New Roman"/>
          <w:bCs/>
          <w:sz w:val="28"/>
          <w:szCs w:val="28"/>
          <w:lang w:val="uk-UA"/>
        </w:rPr>
        <w:t>:</w:t>
      </w:r>
      <w:r w:rsidR="00852E4F">
        <w:rPr>
          <w:rFonts w:ascii="Times New Roman" w:hAnsi="Times New Roman" w:cs="Times New Roman"/>
          <w:b/>
          <w:bCs/>
          <w:sz w:val="28"/>
          <w:szCs w:val="28"/>
          <w:lang w:val="uk-UA"/>
        </w:rPr>
        <w:t xml:space="preserve"> </w:t>
      </w:r>
    </w:p>
    <w:p w:rsidR="000919E0" w:rsidRPr="0027500A" w:rsidRDefault="000919E0" w:rsidP="0027500A">
      <w:pPr>
        <w:pStyle w:val="a8"/>
        <w:numPr>
          <w:ilvl w:val="0"/>
          <w:numId w:val="24"/>
        </w:numPr>
        <w:autoSpaceDE w:val="0"/>
        <w:autoSpaceDN w:val="0"/>
        <w:adjustRightInd w:val="0"/>
        <w:spacing w:after="0" w:line="360" w:lineRule="auto"/>
        <w:rPr>
          <w:rFonts w:ascii="Times New Roman" w:hAnsi="Times New Roman" w:cs="Times New Roman"/>
          <w:b/>
          <w:bCs/>
          <w:sz w:val="28"/>
          <w:szCs w:val="28"/>
        </w:rPr>
      </w:pPr>
      <w:r w:rsidRPr="0027500A">
        <w:rPr>
          <w:rFonts w:ascii="Times New Roman" w:eastAsia="Times New Roman" w:hAnsi="Times New Roman" w:cs="Times New Roman"/>
          <w:color w:val="000000"/>
          <w:sz w:val="28"/>
          <w:szCs w:val="28"/>
          <w:lang w:val="en-US" w:eastAsia="ru-RU"/>
        </w:rPr>
        <w:t>n</w:t>
      </w:r>
      <w:r w:rsidRPr="0027500A">
        <w:rPr>
          <w:rFonts w:ascii="Times New Roman" w:eastAsia="Times New Roman" w:hAnsi="Times New Roman" w:cs="Times New Roman"/>
          <w:color w:val="000000"/>
          <w:sz w:val="28"/>
          <w:szCs w:val="28"/>
          <w:lang w:val="ru-RU" w:eastAsia="ru-RU"/>
        </w:rPr>
        <w:t xml:space="preserve"> – </w:t>
      </w:r>
      <w:r w:rsidR="005756DD" w:rsidRPr="0027500A">
        <w:rPr>
          <w:rFonts w:ascii="Times New Roman" w:eastAsia="Times New Roman" w:hAnsi="Times New Roman" w:cs="Times New Roman"/>
          <w:color w:val="000000"/>
          <w:sz w:val="28"/>
          <w:szCs w:val="28"/>
          <w:lang w:eastAsia="ru-RU"/>
        </w:rPr>
        <w:t>к</w:t>
      </w:r>
      <w:r w:rsidR="005756DD" w:rsidRPr="0027500A">
        <w:rPr>
          <w:rFonts w:ascii="Times New Roman" w:eastAsia="Times New Roman" w:hAnsi="Times New Roman" w:cs="Times New Roman"/>
          <w:color w:val="000000"/>
          <w:sz w:val="28"/>
          <w:szCs w:val="28"/>
          <w:lang w:val="en-US" w:eastAsia="ru-RU"/>
        </w:rPr>
        <w:t>i</w:t>
      </w:r>
      <w:r w:rsidR="005756DD" w:rsidRPr="0027500A">
        <w:rPr>
          <w:rFonts w:ascii="Times New Roman" w:eastAsia="Times New Roman" w:hAnsi="Times New Roman" w:cs="Times New Roman"/>
          <w:color w:val="000000"/>
          <w:sz w:val="28"/>
          <w:szCs w:val="28"/>
          <w:lang w:eastAsia="ru-RU"/>
        </w:rPr>
        <w:t>льк</w:t>
      </w:r>
      <w:r w:rsidR="005756DD" w:rsidRPr="0027500A">
        <w:rPr>
          <w:rFonts w:ascii="Times New Roman" w:eastAsia="Times New Roman" w:hAnsi="Times New Roman" w:cs="Times New Roman"/>
          <w:color w:val="000000"/>
          <w:sz w:val="28"/>
          <w:szCs w:val="28"/>
          <w:lang w:val="en-US" w:eastAsia="ru-RU"/>
        </w:rPr>
        <w:t>i</w:t>
      </w:r>
      <w:r w:rsidRPr="0027500A">
        <w:rPr>
          <w:rFonts w:ascii="Times New Roman" w:eastAsia="Times New Roman" w:hAnsi="Times New Roman" w:cs="Times New Roman"/>
          <w:color w:val="000000"/>
          <w:sz w:val="28"/>
          <w:szCs w:val="28"/>
          <w:lang w:eastAsia="ru-RU"/>
        </w:rPr>
        <w:t>сть осіб;</w:t>
      </w:r>
    </w:p>
    <w:p w:rsidR="00A87F6A" w:rsidRPr="0027500A" w:rsidRDefault="00160EAA" w:rsidP="0027500A">
      <w:pPr>
        <w:pStyle w:val="a8"/>
        <w:numPr>
          <w:ilvl w:val="0"/>
          <w:numId w:val="24"/>
        </w:numPr>
        <w:spacing w:after="0" w:line="360" w:lineRule="auto"/>
        <w:jc w:val="both"/>
        <w:rPr>
          <w:rFonts w:ascii="Times New Roman" w:eastAsia="Times New Roman" w:hAnsi="Times New Roman" w:cs="Times New Roman"/>
          <w:bCs/>
          <w:color w:val="000000"/>
          <w:sz w:val="28"/>
          <w:szCs w:val="28"/>
          <w:lang w:eastAsia="ru-RU"/>
        </w:rPr>
      </w:pPr>
      <w:r w:rsidRPr="0027500A">
        <w:rPr>
          <w:rFonts w:ascii="Times New Roman" w:eastAsia="Times New Roman" w:hAnsi="Times New Roman" w:cs="Times New Roman"/>
          <w:bCs/>
          <w:color w:val="000000"/>
          <w:sz w:val="28"/>
          <w:szCs w:val="28"/>
          <w:lang w:eastAsia="ru-RU"/>
        </w:rPr>
        <w:t>р</w:t>
      </w:r>
      <w:r w:rsidRPr="0027500A">
        <w:rPr>
          <w:rFonts w:ascii="Times New Roman" w:eastAsia="Times New Roman" w:hAnsi="Times New Roman" w:cs="Times New Roman"/>
          <w:bCs/>
          <w:color w:val="000000"/>
          <w:sz w:val="28"/>
          <w:szCs w:val="28"/>
          <w:vertAlign w:val="subscript"/>
          <w:lang w:eastAsia="ru-RU"/>
        </w:rPr>
        <w:t>1</w:t>
      </w:r>
      <w:r w:rsidR="00A87F6A" w:rsidRPr="0027500A">
        <w:rPr>
          <w:rFonts w:ascii="Times New Roman" w:eastAsia="Times New Roman" w:hAnsi="Times New Roman" w:cs="Times New Roman"/>
          <w:bCs/>
          <w:color w:val="000000"/>
          <w:sz w:val="28"/>
          <w:szCs w:val="28"/>
          <w:lang w:eastAsia="ru-RU"/>
        </w:rPr>
        <w:t xml:space="preserve"> – </w:t>
      </w:r>
      <w:r w:rsidR="005756DD" w:rsidRPr="0027500A">
        <w:rPr>
          <w:rFonts w:ascii="Times New Roman" w:eastAsia="Times New Roman" w:hAnsi="Times New Roman" w:cs="Times New Roman"/>
          <w:bCs/>
          <w:color w:val="000000"/>
          <w:sz w:val="28"/>
          <w:szCs w:val="28"/>
          <w:lang w:eastAsia="ru-RU"/>
        </w:rPr>
        <w:t>достов</w:t>
      </w:r>
      <w:r w:rsidR="005756DD" w:rsidRPr="0027500A">
        <w:rPr>
          <w:rFonts w:ascii="Times New Roman" w:eastAsia="Times New Roman" w:hAnsi="Times New Roman" w:cs="Times New Roman"/>
          <w:bCs/>
          <w:color w:val="000000"/>
          <w:sz w:val="28"/>
          <w:szCs w:val="28"/>
          <w:lang w:val="en-US" w:eastAsia="ru-RU"/>
        </w:rPr>
        <w:t>i</w:t>
      </w:r>
      <w:r w:rsidR="005756DD" w:rsidRPr="0027500A">
        <w:rPr>
          <w:rFonts w:ascii="Times New Roman" w:eastAsia="Times New Roman" w:hAnsi="Times New Roman" w:cs="Times New Roman"/>
          <w:bCs/>
          <w:color w:val="000000"/>
          <w:sz w:val="28"/>
          <w:szCs w:val="28"/>
          <w:lang w:eastAsia="ru-RU"/>
        </w:rPr>
        <w:t>рн</w:t>
      </w:r>
      <w:r w:rsidR="005756DD" w:rsidRPr="0027500A">
        <w:rPr>
          <w:rFonts w:ascii="Times New Roman" w:eastAsia="Times New Roman" w:hAnsi="Times New Roman" w:cs="Times New Roman"/>
          <w:bCs/>
          <w:color w:val="000000"/>
          <w:sz w:val="28"/>
          <w:szCs w:val="28"/>
          <w:lang w:val="en-US" w:eastAsia="ru-RU"/>
        </w:rPr>
        <w:t>i</w:t>
      </w:r>
      <w:r w:rsidR="00A87F6A" w:rsidRPr="0027500A">
        <w:rPr>
          <w:rFonts w:ascii="Times New Roman" w:eastAsia="Times New Roman" w:hAnsi="Times New Roman" w:cs="Times New Roman"/>
          <w:bCs/>
          <w:color w:val="000000"/>
          <w:sz w:val="28"/>
          <w:szCs w:val="28"/>
          <w:lang w:eastAsia="ru-RU"/>
        </w:rPr>
        <w:t xml:space="preserve">сть розходження </w:t>
      </w:r>
      <w:r w:rsidR="005756DD" w:rsidRPr="0027500A">
        <w:rPr>
          <w:rFonts w:ascii="Times New Roman" w:eastAsia="Times New Roman" w:hAnsi="Times New Roman" w:cs="Times New Roman"/>
          <w:bCs/>
          <w:color w:val="000000"/>
          <w:sz w:val="28"/>
          <w:szCs w:val="28"/>
          <w:lang w:eastAsia="ru-RU"/>
        </w:rPr>
        <w:t>м</w:t>
      </w:r>
      <w:r w:rsidR="005756DD" w:rsidRPr="0027500A">
        <w:rPr>
          <w:rFonts w:ascii="Times New Roman" w:eastAsia="Times New Roman" w:hAnsi="Times New Roman" w:cs="Times New Roman"/>
          <w:bCs/>
          <w:color w:val="000000"/>
          <w:sz w:val="28"/>
          <w:szCs w:val="28"/>
          <w:lang w:val="en-US" w:eastAsia="ru-RU"/>
        </w:rPr>
        <w:t>i</w:t>
      </w:r>
      <w:r w:rsidR="00A87F6A" w:rsidRPr="0027500A">
        <w:rPr>
          <w:rFonts w:ascii="Times New Roman" w:eastAsia="Times New Roman" w:hAnsi="Times New Roman" w:cs="Times New Roman"/>
          <w:bCs/>
          <w:color w:val="000000"/>
          <w:sz w:val="28"/>
          <w:szCs w:val="28"/>
          <w:lang w:eastAsia="ru-RU"/>
        </w:rPr>
        <w:t xml:space="preserve">ж показниками І та ІІ </w:t>
      </w:r>
      <w:r w:rsidR="00BC56FF" w:rsidRPr="0027500A">
        <w:rPr>
          <w:rFonts w:ascii="Times New Roman" w:eastAsia="Times New Roman" w:hAnsi="Times New Roman" w:cs="Times New Roman"/>
          <w:bCs/>
          <w:color w:val="000000"/>
          <w:sz w:val="28"/>
          <w:szCs w:val="28"/>
          <w:lang w:eastAsia="ru-RU"/>
        </w:rPr>
        <w:t>груп</w:t>
      </w:r>
      <w:r w:rsidR="000919E0" w:rsidRPr="0027500A">
        <w:rPr>
          <w:rFonts w:ascii="Times New Roman" w:eastAsia="Times New Roman" w:hAnsi="Times New Roman" w:cs="Times New Roman"/>
          <w:bCs/>
          <w:color w:val="000000"/>
          <w:sz w:val="28"/>
          <w:szCs w:val="28"/>
          <w:lang w:eastAsia="ru-RU"/>
        </w:rPr>
        <w:t>;</w:t>
      </w:r>
    </w:p>
    <w:p w:rsidR="00A87F6A" w:rsidRPr="0027500A" w:rsidRDefault="00160EAA" w:rsidP="0027500A">
      <w:pPr>
        <w:pStyle w:val="a8"/>
        <w:numPr>
          <w:ilvl w:val="0"/>
          <w:numId w:val="24"/>
        </w:numPr>
        <w:spacing w:after="0" w:line="360" w:lineRule="auto"/>
        <w:jc w:val="both"/>
        <w:rPr>
          <w:rFonts w:ascii="Times New Roman" w:eastAsia="Times New Roman" w:hAnsi="Times New Roman" w:cs="Times New Roman"/>
          <w:bCs/>
          <w:color w:val="000000"/>
          <w:sz w:val="28"/>
          <w:szCs w:val="28"/>
          <w:lang w:eastAsia="ru-RU"/>
        </w:rPr>
      </w:pPr>
      <w:r w:rsidRPr="0027500A">
        <w:rPr>
          <w:rFonts w:ascii="Times New Roman" w:eastAsia="Times New Roman" w:hAnsi="Times New Roman" w:cs="Times New Roman"/>
          <w:bCs/>
          <w:color w:val="000000"/>
          <w:sz w:val="28"/>
          <w:szCs w:val="28"/>
          <w:lang w:eastAsia="ru-RU"/>
        </w:rPr>
        <w:t>р</w:t>
      </w:r>
      <w:r w:rsidRPr="0027500A">
        <w:rPr>
          <w:rFonts w:ascii="Times New Roman" w:eastAsia="Times New Roman" w:hAnsi="Times New Roman" w:cs="Times New Roman"/>
          <w:bCs/>
          <w:color w:val="000000"/>
          <w:sz w:val="28"/>
          <w:szCs w:val="28"/>
          <w:vertAlign w:val="subscript"/>
          <w:lang w:eastAsia="ru-RU"/>
        </w:rPr>
        <w:t>2</w:t>
      </w:r>
      <w:r w:rsidR="005756DD" w:rsidRPr="0027500A">
        <w:rPr>
          <w:rFonts w:ascii="Times New Roman" w:eastAsia="Times New Roman" w:hAnsi="Times New Roman" w:cs="Times New Roman"/>
          <w:bCs/>
          <w:color w:val="000000"/>
          <w:sz w:val="28"/>
          <w:szCs w:val="28"/>
          <w:lang w:eastAsia="ru-RU"/>
        </w:rPr>
        <w:t xml:space="preserve"> – достов</w:t>
      </w:r>
      <w:r w:rsidR="005756DD" w:rsidRPr="0027500A">
        <w:rPr>
          <w:rFonts w:ascii="Times New Roman" w:eastAsia="Times New Roman" w:hAnsi="Times New Roman" w:cs="Times New Roman"/>
          <w:bCs/>
          <w:color w:val="000000"/>
          <w:sz w:val="28"/>
          <w:szCs w:val="28"/>
          <w:lang w:val="en-US" w:eastAsia="ru-RU"/>
        </w:rPr>
        <w:t>i</w:t>
      </w:r>
      <w:r w:rsidR="005756DD" w:rsidRPr="0027500A">
        <w:rPr>
          <w:rFonts w:ascii="Times New Roman" w:eastAsia="Times New Roman" w:hAnsi="Times New Roman" w:cs="Times New Roman"/>
          <w:bCs/>
          <w:color w:val="000000"/>
          <w:sz w:val="28"/>
          <w:szCs w:val="28"/>
          <w:lang w:eastAsia="ru-RU"/>
        </w:rPr>
        <w:t>рн</w:t>
      </w:r>
      <w:r w:rsidR="005756DD" w:rsidRPr="0027500A">
        <w:rPr>
          <w:rFonts w:ascii="Times New Roman" w:eastAsia="Times New Roman" w:hAnsi="Times New Roman" w:cs="Times New Roman"/>
          <w:bCs/>
          <w:color w:val="000000"/>
          <w:sz w:val="28"/>
          <w:szCs w:val="28"/>
          <w:lang w:val="en-US" w:eastAsia="ru-RU"/>
        </w:rPr>
        <w:t>i</w:t>
      </w:r>
      <w:r w:rsidR="005756DD" w:rsidRPr="0027500A">
        <w:rPr>
          <w:rFonts w:ascii="Times New Roman" w:eastAsia="Times New Roman" w:hAnsi="Times New Roman" w:cs="Times New Roman"/>
          <w:bCs/>
          <w:color w:val="000000"/>
          <w:sz w:val="28"/>
          <w:szCs w:val="28"/>
          <w:lang w:eastAsia="ru-RU"/>
        </w:rPr>
        <w:t>сть розходження м</w:t>
      </w:r>
      <w:r w:rsidR="005756DD" w:rsidRPr="0027500A">
        <w:rPr>
          <w:rFonts w:ascii="Times New Roman" w:eastAsia="Times New Roman" w:hAnsi="Times New Roman" w:cs="Times New Roman"/>
          <w:bCs/>
          <w:color w:val="000000"/>
          <w:sz w:val="28"/>
          <w:szCs w:val="28"/>
          <w:lang w:val="en-US" w:eastAsia="ru-RU"/>
        </w:rPr>
        <w:t>i</w:t>
      </w:r>
      <w:r w:rsidR="00835B2C">
        <w:rPr>
          <w:rFonts w:ascii="Times New Roman" w:eastAsia="Times New Roman" w:hAnsi="Times New Roman" w:cs="Times New Roman"/>
          <w:bCs/>
          <w:color w:val="000000"/>
          <w:sz w:val="28"/>
          <w:szCs w:val="28"/>
          <w:lang w:eastAsia="ru-RU"/>
        </w:rPr>
        <w:t xml:space="preserve">ж показниками І </w:t>
      </w:r>
      <w:r w:rsidR="00835B2C">
        <w:rPr>
          <w:rFonts w:ascii="Times New Roman" w:eastAsia="Times New Roman" w:hAnsi="Times New Roman" w:cs="Times New Roman"/>
          <w:bCs/>
          <w:color w:val="000000"/>
          <w:sz w:val="28"/>
          <w:szCs w:val="28"/>
          <w:lang w:val="ru-RU" w:eastAsia="ru-RU"/>
        </w:rPr>
        <w:t>групи та контролем</w:t>
      </w:r>
      <w:r w:rsidR="000919E0" w:rsidRPr="0027500A">
        <w:rPr>
          <w:rFonts w:ascii="Times New Roman" w:eastAsia="Times New Roman" w:hAnsi="Times New Roman" w:cs="Times New Roman"/>
          <w:bCs/>
          <w:color w:val="000000"/>
          <w:sz w:val="28"/>
          <w:szCs w:val="28"/>
          <w:lang w:eastAsia="ru-RU"/>
        </w:rPr>
        <w:t>;</w:t>
      </w:r>
      <w:r w:rsidR="00A87F6A" w:rsidRPr="0027500A">
        <w:rPr>
          <w:rFonts w:ascii="Times New Roman" w:eastAsia="Times New Roman" w:hAnsi="Times New Roman" w:cs="Times New Roman"/>
          <w:bCs/>
          <w:color w:val="000000"/>
          <w:sz w:val="28"/>
          <w:szCs w:val="28"/>
          <w:lang w:eastAsia="ru-RU"/>
        </w:rPr>
        <w:t xml:space="preserve"> </w:t>
      </w:r>
    </w:p>
    <w:p w:rsidR="00912C74" w:rsidRPr="0027500A" w:rsidRDefault="00160EAA" w:rsidP="0027500A">
      <w:pPr>
        <w:pStyle w:val="a8"/>
        <w:numPr>
          <w:ilvl w:val="0"/>
          <w:numId w:val="24"/>
        </w:numPr>
        <w:spacing w:after="0" w:line="360" w:lineRule="auto"/>
        <w:rPr>
          <w:rFonts w:ascii="Times New Roman" w:hAnsi="Times New Roman" w:cs="Times New Roman"/>
          <w:sz w:val="28"/>
          <w:szCs w:val="28"/>
        </w:rPr>
      </w:pPr>
      <w:r w:rsidRPr="0027500A">
        <w:rPr>
          <w:rFonts w:ascii="Times New Roman" w:eastAsia="Times New Roman" w:hAnsi="Times New Roman" w:cs="Times New Roman"/>
          <w:bCs/>
          <w:color w:val="000000"/>
          <w:sz w:val="28"/>
          <w:szCs w:val="28"/>
          <w:lang w:eastAsia="ru-RU"/>
        </w:rPr>
        <w:t>р</w:t>
      </w:r>
      <w:r w:rsidRPr="0027500A">
        <w:rPr>
          <w:rFonts w:ascii="Times New Roman" w:eastAsia="Times New Roman" w:hAnsi="Times New Roman" w:cs="Times New Roman"/>
          <w:bCs/>
          <w:color w:val="000000"/>
          <w:sz w:val="28"/>
          <w:szCs w:val="28"/>
          <w:vertAlign w:val="subscript"/>
          <w:lang w:eastAsia="ru-RU"/>
        </w:rPr>
        <w:t>3</w:t>
      </w:r>
      <w:r w:rsidR="005756DD" w:rsidRPr="0027500A">
        <w:rPr>
          <w:rFonts w:ascii="Times New Roman" w:eastAsia="Times New Roman" w:hAnsi="Times New Roman" w:cs="Times New Roman"/>
          <w:bCs/>
          <w:color w:val="000000"/>
          <w:sz w:val="28"/>
          <w:szCs w:val="28"/>
          <w:lang w:eastAsia="ru-RU"/>
        </w:rPr>
        <w:t xml:space="preserve"> – достов</w:t>
      </w:r>
      <w:r w:rsidR="005756DD" w:rsidRPr="0027500A">
        <w:rPr>
          <w:rFonts w:ascii="Times New Roman" w:eastAsia="Times New Roman" w:hAnsi="Times New Roman" w:cs="Times New Roman"/>
          <w:bCs/>
          <w:color w:val="000000"/>
          <w:sz w:val="28"/>
          <w:szCs w:val="28"/>
          <w:lang w:val="en-US" w:eastAsia="ru-RU"/>
        </w:rPr>
        <w:t>i</w:t>
      </w:r>
      <w:r w:rsidR="005756DD" w:rsidRPr="0027500A">
        <w:rPr>
          <w:rFonts w:ascii="Times New Roman" w:eastAsia="Times New Roman" w:hAnsi="Times New Roman" w:cs="Times New Roman"/>
          <w:bCs/>
          <w:color w:val="000000"/>
          <w:sz w:val="28"/>
          <w:szCs w:val="28"/>
          <w:lang w:eastAsia="ru-RU"/>
        </w:rPr>
        <w:t>рн</w:t>
      </w:r>
      <w:r w:rsidR="005756DD" w:rsidRPr="0027500A">
        <w:rPr>
          <w:rFonts w:ascii="Times New Roman" w:eastAsia="Times New Roman" w:hAnsi="Times New Roman" w:cs="Times New Roman"/>
          <w:bCs/>
          <w:color w:val="000000"/>
          <w:sz w:val="28"/>
          <w:szCs w:val="28"/>
          <w:lang w:val="en-US" w:eastAsia="ru-RU"/>
        </w:rPr>
        <w:t>i</w:t>
      </w:r>
      <w:r w:rsidR="005756DD" w:rsidRPr="0027500A">
        <w:rPr>
          <w:rFonts w:ascii="Times New Roman" w:eastAsia="Times New Roman" w:hAnsi="Times New Roman" w:cs="Times New Roman"/>
          <w:bCs/>
          <w:color w:val="000000"/>
          <w:sz w:val="28"/>
          <w:szCs w:val="28"/>
          <w:lang w:eastAsia="ru-RU"/>
        </w:rPr>
        <w:t>сть розходження м</w:t>
      </w:r>
      <w:r w:rsidR="005756DD" w:rsidRPr="0027500A">
        <w:rPr>
          <w:rFonts w:ascii="Times New Roman" w:eastAsia="Times New Roman" w:hAnsi="Times New Roman" w:cs="Times New Roman"/>
          <w:bCs/>
          <w:color w:val="000000"/>
          <w:sz w:val="28"/>
          <w:szCs w:val="28"/>
          <w:lang w:val="en-US" w:eastAsia="ru-RU"/>
        </w:rPr>
        <w:t>i</w:t>
      </w:r>
      <w:r w:rsidR="00835B2C">
        <w:rPr>
          <w:rFonts w:ascii="Times New Roman" w:eastAsia="Times New Roman" w:hAnsi="Times New Roman" w:cs="Times New Roman"/>
          <w:bCs/>
          <w:color w:val="000000"/>
          <w:sz w:val="28"/>
          <w:szCs w:val="28"/>
          <w:lang w:eastAsia="ru-RU"/>
        </w:rPr>
        <w:t xml:space="preserve">ж показниками ІІ </w:t>
      </w:r>
      <w:r w:rsidR="00BC56FF" w:rsidRPr="0027500A">
        <w:rPr>
          <w:rFonts w:ascii="Times New Roman" w:eastAsia="Times New Roman" w:hAnsi="Times New Roman" w:cs="Times New Roman"/>
          <w:bCs/>
          <w:color w:val="000000"/>
          <w:sz w:val="28"/>
          <w:szCs w:val="28"/>
          <w:lang w:eastAsia="ru-RU"/>
        </w:rPr>
        <w:t>груп</w:t>
      </w:r>
      <w:r w:rsidR="00835B2C">
        <w:rPr>
          <w:rFonts w:ascii="Times New Roman" w:eastAsia="Times New Roman" w:hAnsi="Times New Roman" w:cs="Times New Roman"/>
          <w:bCs/>
          <w:color w:val="000000"/>
          <w:sz w:val="28"/>
          <w:szCs w:val="28"/>
          <w:lang w:val="ru-RU" w:eastAsia="ru-RU"/>
        </w:rPr>
        <w:t>и та котролем</w:t>
      </w:r>
      <w:r w:rsidR="00852E4F" w:rsidRPr="0027500A">
        <w:rPr>
          <w:rFonts w:ascii="Times New Roman" w:hAnsi="Times New Roman" w:cs="Times New Roman"/>
          <w:sz w:val="28"/>
          <w:szCs w:val="28"/>
        </w:rPr>
        <w:t xml:space="preserve"> </w:t>
      </w:r>
    </w:p>
    <w:p w:rsidR="00852E4F" w:rsidRDefault="00852E4F" w:rsidP="00852E4F">
      <w:pPr>
        <w:autoSpaceDE w:val="0"/>
        <w:autoSpaceDN w:val="0"/>
        <w:adjustRightInd w:val="0"/>
        <w:spacing w:after="0" w:line="360" w:lineRule="auto"/>
        <w:ind w:firstLine="709"/>
        <w:jc w:val="both"/>
        <w:rPr>
          <w:rFonts w:ascii="Times New Roman" w:hAnsi="Times New Roman" w:cs="Times New Roman"/>
          <w:sz w:val="28"/>
          <w:szCs w:val="28"/>
          <w:lang w:val="uk-UA"/>
        </w:rPr>
      </w:pPr>
    </w:p>
    <w:p w:rsidR="00215B5E" w:rsidRPr="00B0526B" w:rsidRDefault="005756DD" w:rsidP="00852E4F">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оц</w:t>
      </w:r>
      <w:r>
        <w:rPr>
          <w:rFonts w:ascii="Times New Roman" w:hAnsi="Times New Roman" w:cs="Times New Roman"/>
          <w:sz w:val="28"/>
          <w:szCs w:val="28"/>
          <w:lang w:val="en-US"/>
        </w:rPr>
        <w:t>i</w:t>
      </w:r>
      <w:r w:rsidR="00852E4F">
        <w:rPr>
          <w:rFonts w:ascii="Times New Roman" w:hAnsi="Times New Roman" w:cs="Times New Roman"/>
          <w:sz w:val="28"/>
          <w:szCs w:val="28"/>
          <w:lang w:val="uk-UA"/>
        </w:rPr>
        <w:t>нювання</w:t>
      </w:r>
      <w:r w:rsidR="003D0FFC">
        <w:rPr>
          <w:rFonts w:ascii="Times New Roman" w:hAnsi="Times New Roman" w:cs="Times New Roman"/>
          <w:sz w:val="28"/>
          <w:szCs w:val="28"/>
          <w:lang w:val="uk-UA"/>
        </w:rPr>
        <w:t xml:space="preserve"> </w:t>
      </w:r>
      <w:r>
        <w:rPr>
          <w:rFonts w:ascii="Times New Roman" w:hAnsi="Times New Roman" w:cs="Times New Roman"/>
          <w:sz w:val="28"/>
          <w:szCs w:val="28"/>
          <w:lang w:val="uk-UA"/>
        </w:rPr>
        <w:t>вар</w:t>
      </w:r>
      <w:r>
        <w:rPr>
          <w:rFonts w:ascii="Times New Roman" w:hAnsi="Times New Roman" w:cs="Times New Roman"/>
          <w:sz w:val="28"/>
          <w:szCs w:val="28"/>
          <w:lang w:val="en-US"/>
        </w:rPr>
        <w:t>i</w:t>
      </w:r>
      <w:r w:rsidR="003D0FFC" w:rsidRPr="00FC571D">
        <w:rPr>
          <w:rFonts w:ascii="Times New Roman" w:hAnsi="Times New Roman" w:cs="Times New Roman"/>
          <w:sz w:val="28"/>
          <w:szCs w:val="28"/>
          <w:lang w:val="uk-UA"/>
        </w:rPr>
        <w:t>анту</w:t>
      </w:r>
      <w:r w:rsidR="009A74CB" w:rsidRPr="00FC571D">
        <w:rPr>
          <w:rFonts w:ascii="Times New Roman" w:hAnsi="Times New Roman" w:cs="Times New Roman"/>
          <w:sz w:val="28"/>
          <w:szCs w:val="28"/>
          <w:lang w:val="uk-UA"/>
        </w:rPr>
        <w:t xml:space="preserve"> СН</w:t>
      </w:r>
      <w:r w:rsidR="009A74CB" w:rsidRPr="008707FF">
        <w:rPr>
          <w:rFonts w:ascii="Times New Roman" w:hAnsi="Times New Roman" w:cs="Times New Roman"/>
          <w:sz w:val="28"/>
          <w:szCs w:val="28"/>
          <w:lang w:val="uk-UA"/>
        </w:rPr>
        <w:t xml:space="preserve"> </w:t>
      </w:r>
      <w:r w:rsidR="0027500A">
        <w:rPr>
          <w:rFonts w:ascii="Times New Roman" w:hAnsi="Times New Roman" w:cs="Times New Roman"/>
          <w:sz w:val="28"/>
          <w:szCs w:val="28"/>
          <w:lang w:val="uk-UA"/>
        </w:rPr>
        <w:t>було використано</w:t>
      </w:r>
      <w:r w:rsidR="009A74CB" w:rsidRPr="008707FF">
        <w:rPr>
          <w:rFonts w:ascii="Times New Roman" w:hAnsi="Times New Roman" w:cs="Times New Roman"/>
          <w:sz w:val="28"/>
          <w:szCs w:val="28"/>
          <w:lang w:val="uk-UA"/>
        </w:rPr>
        <w:t xml:space="preserve"> ФВ ЛШ</w:t>
      </w:r>
      <w:r w:rsidR="00215B5E" w:rsidRPr="008707FF">
        <w:rPr>
          <w:rFonts w:ascii="Times New Roman" w:hAnsi="Times New Roman" w:cs="Times New Roman"/>
          <w:sz w:val="28"/>
          <w:szCs w:val="28"/>
          <w:lang w:val="uk-UA"/>
        </w:rPr>
        <w:t xml:space="preserve">. </w:t>
      </w:r>
      <w:r w:rsidR="00852E4F">
        <w:rPr>
          <w:rFonts w:ascii="Times New Roman" w:hAnsi="Times New Roman" w:cs="Times New Roman"/>
          <w:sz w:val="28"/>
          <w:szCs w:val="28"/>
          <w:lang w:val="uk-UA"/>
        </w:rPr>
        <w:t xml:space="preserve">Середнє значення ФВ ЛШ </w:t>
      </w:r>
      <w:r w:rsidR="0027500A">
        <w:rPr>
          <w:rFonts w:ascii="Times New Roman" w:hAnsi="Times New Roman" w:cs="Times New Roman"/>
          <w:sz w:val="28"/>
          <w:szCs w:val="28"/>
          <w:lang w:val="uk-UA"/>
        </w:rPr>
        <w:t xml:space="preserve">у пацієнтів </w:t>
      </w:r>
      <w:r w:rsidR="00262C7D">
        <w:rPr>
          <w:rFonts w:ascii="Times New Roman" w:hAnsi="Times New Roman" w:cs="Times New Roman"/>
          <w:sz w:val="28"/>
          <w:szCs w:val="28"/>
          <w:lang w:val="uk-UA"/>
        </w:rPr>
        <w:t>і</w:t>
      </w:r>
      <w:r w:rsidR="00F9468A">
        <w:rPr>
          <w:rFonts w:ascii="Times New Roman" w:hAnsi="Times New Roman" w:cs="Times New Roman"/>
          <w:sz w:val="28"/>
          <w:szCs w:val="28"/>
          <w:lang w:val="uk-UA"/>
        </w:rPr>
        <w:t>з АГ</w:t>
      </w:r>
      <w:r w:rsidR="003D0FFC">
        <w:rPr>
          <w:rFonts w:ascii="Times New Roman" w:hAnsi="Times New Roman" w:cs="Times New Roman"/>
          <w:sz w:val="28"/>
          <w:szCs w:val="28"/>
          <w:lang w:val="uk-UA"/>
        </w:rPr>
        <w:t xml:space="preserve"> та </w:t>
      </w:r>
      <w:r>
        <w:rPr>
          <w:rFonts w:ascii="Times New Roman" w:hAnsi="Times New Roman" w:cs="Times New Roman"/>
          <w:sz w:val="28"/>
          <w:szCs w:val="28"/>
          <w:lang w:val="uk-UA"/>
        </w:rPr>
        <w:t>ЦД 2-го типу є б</w:t>
      </w:r>
      <w:r>
        <w:rPr>
          <w:rFonts w:ascii="Times New Roman" w:hAnsi="Times New Roman" w:cs="Times New Roman"/>
          <w:sz w:val="28"/>
          <w:szCs w:val="28"/>
          <w:lang w:val="en-US"/>
        </w:rPr>
        <w:t>i</w:t>
      </w:r>
      <w:r w:rsidR="003D0FFC">
        <w:rPr>
          <w:rFonts w:ascii="Times New Roman" w:hAnsi="Times New Roman" w:cs="Times New Roman"/>
          <w:sz w:val="28"/>
          <w:szCs w:val="28"/>
          <w:lang w:val="uk-UA"/>
        </w:rPr>
        <w:t xml:space="preserve">льшим за </w:t>
      </w:r>
      <w:r w:rsidR="003D0FFC" w:rsidRPr="00FC571D">
        <w:rPr>
          <w:rFonts w:ascii="Times New Roman" w:hAnsi="Times New Roman" w:cs="Times New Roman"/>
          <w:sz w:val="28"/>
          <w:szCs w:val="28"/>
          <w:lang w:val="uk-UA"/>
        </w:rPr>
        <w:t>40</w:t>
      </w:r>
      <w:r w:rsidR="00852E4F" w:rsidRPr="00FC571D">
        <w:rPr>
          <w:rFonts w:ascii="Times New Roman" w:hAnsi="Times New Roman" w:cs="Times New Roman"/>
          <w:sz w:val="28"/>
          <w:szCs w:val="28"/>
          <w:lang w:val="uk-UA"/>
        </w:rPr>
        <w:t xml:space="preserve"> %</w:t>
      </w:r>
      <w:r w:rsidR="00852E4F">
        <w:rPr>
          <w:rFonts w:ascii="Times New Roman" w:hAnsi="Times New Roman" w:cs="Times New Roman"/>
          <w:sz w:val="28"/>
          <w:szCs w:val="28"/>
          <w:lang w:val="uk-UA"/>
        </w:rPr>
        <w:t xml:space="preserve"> −</w:t>
      </w:r>
      <w:r w:rsidR="00F9468A">
        <w:rPr>
          <w:rFonts w:ascii="Times New Roman" w:hAnsi="Times New Roman" w:cs="Times New Roman"/>
          <w:sz w:val="28"/>
          <w:szCs w:val="28"/>
          <w:lang w:val="uk-UA"/>
        </w:rPr>
        <w:t xml:space="preserve"> (</w:t>
      </w:r>
      <w:r w:rsidR="00487F20">
        <w:rPr>
          <w:rFonts w:ascii="Times New Roman" w:hAnsi="Times New Roman" w:cs="Times New Roman"/>
          <w:sz w:val="28"/>
          <w:szCs w:val="28"/>
          <w:lang w:val="uk-UA"/>
        </w:rPr>
        <w:t>55,</w:t>
      </w:r>
      <w:r w:rsidR="00487F20" w:rsidRPr="00487F20">
        <w:rPr>
          <w:rFonts w:ascii="Times New Roman" w:hAnsi="Times New Roman" w:cs="Times New Roman"/>
          <w:sz w:val="28"/>
          <w:szCs w:val="28"/>
          <w:lang w:val="uk-UA"/>
        </w:rPr>
        <w:t>34</w:t>
      </w:r>
      <w:r w:rsidR="00262C7D">
        <w:rPr>
          <w:rFonts w:ascii="Times New Roman" w:hAnsi="Times New Roman" w:cs="Times New Roman"/>
          <w:sz w:val="28"/>
          <w:szCs w:val="28"/>
          <w:lang w:val="uk-UA"/>
        </w:rPr>
        <w:t xml:space="preserve"> </w:t>
      </w:r>
      <w:r w:rsidR="00F9468A" w:rsidRPr="00F9468A">
        <w:rPr>
          <w:rFonts w:ascii="Times New Roman" w:hAnsi="Times New Roman" w:cs="Times New Roman"/>
          <w:sz w:val="28"/>
          <w:szCs w:val="28"/>
          <w:lang w:val="uk-UA"/>
        </w:rPr>
        <w:t>±</w:t>
      </w:r>
      <w:r w:rsidR="00852E4F">
        <w:rPr>
          <w:rFonts w:ascii="Times New Roman" w:hAnsi="Times New Roman" w:cs="Times New Roman"/>
          <w:sz w:val="28"/>
          <w:szCs w:val="28"/>
          <w:lang w:val="uk-UA"/>
        </w:rPr>
        <w:t xml:space="preserve"> </w:t>
      </w:r>
      <w:r w:rsidR="00F9468A" w:rsidRPr="00F9468A">
        <w:rPr>
          <w:rFonts w:ascii="Times New Roman" w:hAnsi="Times New Roman" w:cs="Times New Roman"/>
          <w:sz w:val="28"/>
          <w:szCs w:val="28"/>
          <w:lang w:val="uk-UA"/>
        </w:rPr>
        <w:t>1</w:t>
      </w:r>
      <w:r w:rsidR="00487F20" w:rsidRPr="00487F20">
        <w:rPr>
          <w:rFonts w:ascii="Times New Roman" w:hAnsi="Times New Roman" w:cs="Times New Roman"/>
          <w:sz w:val="28"/>
          <w:szCs w:val="28"/>
          <w:lang w:val="uk-UA"/>
        </w:rPr>
        <w:t>0</w:t>
      </w:r>
      <w:r w:rsidR="00487F20">
        <w:rPr>
          <w:rFonts w:ascii="Times New Roman" w:hAnsi="Times New Roman" w:cs="Times New Roman"/>
          <w:sz w:val="28"/>
          <w:szCs w:val="28"/>
          <w:lang w:val="uk-UA"/>
        </w:rPr>
        <w:t>,</w:t>
      </w:r>
      <w:r w:rsidR="00487F20" w:rsidRPr="00487F20">
        <w:rPr>
          <w:rFonts w:ascii="Times New Roman" w:hAnsi="Times New Roman" w:cs="Times New Roman"/>
          <w:sz w:val="28"/>
          <w:szCs w:val="28"/>
          <w:lang w:val="uk-UA"/>
        </w:rPr>
        <w:t>8</w:t>
      </w:r>
      <w:r w:rsidR="00F9468A" w:rsidRPr="00F9468A">
        <w:rPr>
          <w:rFonts w:ascii="Times New Roman" w:hAnsi="Times New Roman" w:cs="Times New Roman"/>
          <w:sz w:val="28"/>
          <w:szCs w:val="28"/>
          <w:lang w:val="uk-UA"/>
        </w:rPr>
        <w:t>9</w:t>
      </w:r>
      <w:r w:rsidR="00F9468A">
        <w:rPr>
          <w:rFonts w:ascii="Times New Roman" w:hAnsi="Times New Roman" w:cs="Times New Roman"/>
          <w:sz w:val="28"/>
          <w:szCs w:val="28"/>
          <w:lang w:val="uk-UA"/>
        </w:rPr>
        <w:t>)</w:t>
      </w:r>
      <w:r>
        <w:rPr>
          <w:rFonts w:ascii="Times New Roman" w:hAnsi="Times New Roman" w:cs="Times New Roman"/>
          <w:sz w:val="28"/>
          <w:szCs w:val="28"/>
          <w:lang w:val="uk-UA"/>
        </w:rPr>
        <w:t xml:space="preserve"> %, що в</w:t>
      </w:r>
      <w:r>
        <w:rPr>
          <w:rFonts w:ascii="Times New Roman" w:hAnsi="Times New Roman" w:cs="Times New Roman"/>
          <w:sz w:val="28"/>
          <w:szCs w:val="28"/>
          <w:lang w:val="en-US"/>
        </w:rPr>
        <w:t>i</w:t>
      </w:r>
      <w:r>
        <w:rPr>
          <w:rFonts w:ascii="Times New Roman" w:hAnsi="Times New Roman" w:cs="Times New Roman"/>
          <w:sz w:val="28"/>
          <w:szCs w:val="28"/>
          <w:lang w:val="uk-UA"/>
        </w:rPr>
        <w:t>дпов</w:t>
      </w:r>
      <w:r>
        <w:rPr>
          <w:rFonts w:ascii="Times New Roman" w:hAnsi="Times New Roman" w:cs="Times New Roman"/>
          <w:sz w:val="28"/>
          <w:szCs w:val="28"/>
          <w:lang w:val="en-US"/>
        </w:rPr>
        <w:t>i</w:t>
      </w:r>
      <w:r w:rsidR="003D0FFC">
        <w:rPr>
          <w:rFonts w:ascii="Times New Roman" w:hAnsi="Times New Roman" w:cs="Times New Roman"/>
          <w:sz w:val="28"/>
          <w:szCs w:val="28"/>
          <w:lang w:val="uk-UA"/>
        </w:rPr>
        <w:t xml:space="preserve">дає </w:t>
      </w:r>
      <w:r>
        <w:rPr>
          <w:rFonts w:ascii="Times New Roman" w:hAnsi="Times New Roman" w:cs="Times New Roman"/>
          <w:sz w:val="28"/>
          <w:szCs w:val="28"/>
          <w:lang w:val="uk-UA"/>
        </w:rPr>
        <w:t>СН з</w:t>
      </w:r>
      <w:r>
        <w:rPr>
          <w:rFonts w:ascii="Times New Roman" w:hAnsi="Times New Roman" w:cs="Times New Roman"/>
          <w:sz w:val="28"/>
          <w:szCs w:val="28"/>
          <w:lang w:val="en-US"/>
        </w:rPr>
        <w:t>i</w:t>
      </w:r>
      <w:r w:rsidR="003D0FFC" w:rsidRPr="00FC571D">
        <w:rPr>
          <w:rFonts w:ascii="Times New Roman" w:hAnsi="Times New Roman" w:cs="Times New Roman"/>
          <w:sz w:val="28"/>
          <w:szCs w:val="28"/>
          <w:lang w:val="uk-UA"/>
        </w:rPr>
        <w:t xml:space="preserve"> збереженою ФВ ЛШ</w:t>
      </w:r>
      <w:r w:rsidR="00F9468A">
        <w:rPr>
          <w:rFonts w:ascii="Times New Roman" w:hAnsi="Times New Roman" w:cs="Times New Roman"/>
          <w:sz w:val="28"/>
          <w:szCs w:val="28"/>
          <w:lang w:val="uk-UA"/>
        </w:rPr>
        <w:t xml:space="preserve">. </w:t>
      </w:r>
      <w:r w:rsidR="00487F20">
        <w:rPr>
          <w:rFonts w:ascii="Times New Roman" w:hAnsi="Times New Roman" w:cs="Times New Roman"/>
          <w:sz w:val="28"/>
          <w:szCs w:val="28"/>
          <w:lang w:val="uk-UA"/>
        </w:rPr>
        <w:t>Дос</w:t>
      </w:r>
      <w:r>
        <w:rPr>
          <w:rFonts w:ascii="Times New Roman" w:hAnsi="Times New Roman" w:cs="Times New Roman"/>
          <w:sz w:val="28"/>
          <w:szCs w:val="28"/>
          <w:lang w:val="uk-UA"/>
        </w:rPr>
        <w:t>тов</w:t>
      </w:r>
      <w:r>
        <w:rPr>
          <w:rFonts w:ascii="Times New Roman" w:hAnsi="Times New Roman" w:cs="Times New Roman"/>
          <w:sz w:val="28"/>
          <w:szCs w:val="28"/>
          <w:lang w:val="en-US"/>
        </w:rPr>
        <w:t>i</w:t>
      </w:r>
      <w:r>
        <w:rPr>
          <w:rFonts w:ascii="Times New Roman" w:hAnsi="Times New Roman" w:cs="Times New Roman"/>
          <w:sz w:val="28"/>
          <w:szCs w:val="28"/>
          <w:lang w:val="uk-UA"/>
        </w:rPr>
        <w:t>рної р</w:t>
      </w:r>
      <w:r>
        <w:rPr>
          <w:rFonts w:ascii="Times New Roman" w:hAnsi="Times New Roman" w:cs="Times New Roman"/>
          <w:sz w:val="28"/>
          <w:szCs w:val="28"/>
          <w:lang w:val="en-US"/>
        </w:rPr>
        <w:t>i</w:t>
      </w:r>
      <w:r>
        <w:rPr>
          <w:rFonts w:ascii="Times New Roman" w:hAnsi="Times New Roman" w:cs="Times New Roman"/>
          <w:sz w:val="28"/>
          <w:szCs w:val="28"/>
          <w:lang w:val="uk-UA"/>
        </w:rPr>
        <w:t>зниц</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м</w:t>
      </w:r>
      <w:r>
        <w:rPr>
          <w:rFonts w:ascii="Times New Roman" w:hAnsi="Times New Roman" w:cs="Times New Roman"/>
          <w:sz w:val="28"/>
          <w:szCs w:val="28"/>
          <w:lang w:val="en-US"/>
        </w:rPr>
        <w:t>i</w:t>
      </w:r>
      <w:r>
        <w:rPr>
          <w:rFonts w:ascii="Times New Roman" w:hAnsi="Times New Roman" w:cs="Times New Roman"/>
          <w:sz w:val="28"/>
          <w:szCs w:val="28"/>
          <w:lang w:val="uk-UA"/>
        </w:rPr>
        <w:t>ж р</w:t>
      </w:r>
      <w:r>
        <w:rPr>
          <w:rFonts w:ascii="Times New Roman" w:hAnsi="Times New Roman" w:cs="Times New Roman"/>
          <w:sz w:val="28"/>
          <w:szCs w:val="28"/>
          <w:lang w:val="en-US"/>
        </w:rPr>
        <w:t>i</w:t>
      </w:r>
      <w:r w:rsidR="0027500A">
        <w:rPr>
          <w:rFonts w:ascii="Times New Roman" w:hAnsi="Times New Roman" w:cs="Times New Roman"/>
          <w:sz w:val="28"/>
          <w:szCs w:val="28"/>
          <w:lang w:val="uk-UA"/>
        </w:rPr>
        <w:t>внем ФВ у хворих</w:t>
      </w:r>
      <w:r w:rsidR="00852E4F">
        <w:rPr>
          <w:rFonts w:ascii="Times New Roman" w:hAnsi="Times New Roman" w:cs="Times New Roman"/>
          <w:sz w:val="28"/>
          <w:szCs w:val="28"/>
          <w:lang w:val="uk-UA"/>
        </w:rPr>
        <w:t xml:space="preserve"> І та ІІ груп</w:t>
      </w:r>
      <w:r w:rsidR="00487F20">
        <w:rPr>
          <w:rFonts w:ascii="Times New Roman" w:hAnsi="Times New Roman" w:cs="Times New Roman"/>
          <w:sz w:val="28"/>
          <w:szCs w:val="28"/>
          <w:lang w:val="uk-UA"/>
        </w:rPr>
        <w:t xml:space="preserve"> не констатова</w:t>
      </w:r>
      <w:r w:rsidR="00262C7D">
        <w:rPr>
          <w:rFonts w:ascii="Times New Roman" w:hAnsi="Times New Roman" w:cs="Times New Roman"/>
          <w:sz w:val="28"/>
          <w:szCs w:val="28"/>
          <w:lang w:val="uk-UA"/>
        </w:rPr>
        <w:t>но. На нашу думку, це пов’язане</w:t>
      </w:r>
      <w:r w:rsidR="002E6FA3">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487F20">
        <w:rPr>
          <w:rFonts w:ascii="Times New Roman" w:hAnsi="Times New Roman" w:cs="Times New Roman"/>
          <w:sz w:val="28"/>
          <w:szCs w:val="28"/>
          <w:lang w:val="uk-UA"/>
        </w:rPr>
        <w:t xml:space="preserve">з тим, </w:t>
      </w:r>
      <w:r w:rsidR="00B0526B" w:rsidRPr="00B0526B">
        <w:rPr>
          <w:rFonts w:ascii="Times New Roman" w:hAnsi="Times New Roman" w:cs="Times New Roman"/>
          <w:sz w:val="28"/>
          <w:szCs w:val="28"/>
          <w:lang w:val="uk-UA"/>
        </w:rPr>
        <w:t xml:space="preserve">що саме СН зі збереженою ФВ ЛШ є характерною ознакою порушення функціонального стану серця для хворих на АГ як </w:t>
      </w:r>
      <w:r w:rsidR="00B247BC">
        <w:rPr>
          <w:rFonts w:ascii="Times New Roman" w:hAnsi="Times New Roman" w:cs="Times New Roman"/>
          <w:sz w:val="28"/>
          <w:szCs w:val="28"/>
          <w:lang w:val="uk-UA"/>
        </w:rPr>
        <w:t xml:space="preserve">         </w:t>
      </w:r>
      <w:r w:rsidR="00B0526B" w:rsidRPr="00B0526B">
        <w:rPr>
          <w:rFonts w:ascii="Times New Roman" w:hAnsi="Times New Roman" w:cs="Times New Roman"/>
          <w:sz w:val="28"/>
          <w:szCs w:val="28"/>
          <w:lang w:val="uk-UA"/>
        </w:rPr>
        <w:t xml:space="preserve">за наявності, так і за відсутності супутнього ЦД 2-го типу. </w:t>
      </w:r>
    </w:p>
    <w:p w:rsidR="00606637" w:rsidRPr="008707FF" w:rsidRDefault="00733DB3" w:rsidP="00B03E6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Було проаналізовано</w:t>
      </w:r>
      <w:r w:rsidR="00215B5E" w:rsidRPr="008707FF">
        <w:rPr>
          <w:rFonts w:ascii="Times New Roman" w:hAnsi="Times New Roman" w:cs="Times New Roman"/>
          <w:sz w:val="28"/>
          <w:szCs w:val="28"/>
          <w:lang w:val="uk-UA"/>
        </w:rPr>
        <w:t xml:space="preserve"> </w:t>
      </w:r>
      <w:r w:rsidR="00262C7D">
        <w:rPr>
          <w:rFonts w:ascii="Times New Roman" w:hAnsi="Times New Roman" w:cs="Times New Roman"/>
          <w:sz w:val="28"/>
          <w:szCs w:val="28"/>
          <w:lang w:val="uk-UA"/>
        </w:rPr>
        <w:t xml:space="preserve">співвідношення </w:t>
      </w:r>
      <w:r w:rsidR="00215B5E" w:rsidRPr="008707FF">
        <w:rPr>
          <w:rFonts w:ascii="Times New Roman" w:hAnsi="Times New Roman" w:cs="Times New Roman"/>
          <w:sz w:val="28"/>
          <w:szCs w:val="28"/>
          <w:lang w:val="uk-UA"/>
        </w:rPr>
        <w:t>Е/А</w:t>
      </w:r>
      <w:r>
        <w:rPr>
          <w:rFonts w:ascii="Times New Roman" w:hAnsi="Times New Roman" w:cs="Times New Roman"/>
          <w:sz w:val="28"/>
          <w:szCs w:val="28"/>
          <w:lang w:val="uk-UA"/>
        </w:rPr>
        <w:t xml:space="preserve"> в якості одного з показників </w:t>
      </w:r>
      <w:r w:rsidRPr="00733DB3">
        <w:rPr>
          <w:rFonts w:ascii="Times New Roman" w:hAnsi="Times New Roman" w:cs="Times New Roman"/>
          <w:sz w:val="28"/>
          <w:szCs w:val="28"/>
          <w:lang w:val="uk-UA"/>
        </w:rPr>
        <w:t>дiастолiчної функцiї</w:t>
      </w:r>
      <w:r w:rsidR="00262C7D">
        <w:rPr>
          <w:rFonts w:ascii="Times New Roman" w:hAnsi="Times New Roman" w:cs="Times New Roman"/>
          <w:sz w:val="28"/>
          <w:szCs w:val="28"/>
          <w:lang w:val="uk-UA"/>
        </w:rPr>
        <w:t xml:space="preserve">. </w:t>
      </w:r>
      <w:r w:rsidR="005756DD">
        <w:rPr>
          <w:rFonts w:ascii="Times New Roman" w:hAnsi="Times New Roman" w:cs="Times New Roman"/>
          <w:sz w:val="28"/>
          <w:szCs w:val="28"/>
          <w:lang w:val="uk-UA"/>
        </w:rPr>
        <w:t>У пац</w:t>
      </w:r>
      <w:r w:rsidR="005756DD">
        <w:rPr>
          <w:rFonts w:ascii="Times New Roman" w:hAnsi="Times New Roman" w:cs="Times New Roman"/>
          <w:sz w:val="28"/>
          <w:szCs w:val="28"/>
          <w:lang w:val="en-US"/>
        </w:rPr>
        <w:t>i</w:t>
      </w:r>
      <w:r w:rsidR="005756DD">
        <w:rPr>
          <w:rFonts w:ascii="Times New Roman" w:hAnsi="Times New Roman" w:cs="Times New Roman"/>
          <w:sz w:val="28"/>
          <w:szCs w:val="28"/>
          <w:lang w:val="uk-UA"/>
        </w:rPr>
        <w:t>єнт</w:t>
      </w:r>
      <w:r w:rsidR="005756DD">
        <w:rPr>
          <w:rFonts w:ascii="Times New Roman" w:hAnsi="Times New Roman" w:cs="Times New Roman"/>
          <w:sz w:val="28"/>
          <w:szCs w:val="28"/>
          <w:lang w:val="en-US"/>
        </w:rPr>
        <w:t>i</w:t>
      </w:r>
      <w:r w:rsidR="00203F10" w:rsidRPr="008707FF">
        <w:rPr>
          <w:rFonts w:ascii="Times New Roman" w:hAnsi="Times New Roman" w:cs="Times New Roman"/>
          <w:sz w:val="28"/>
          <w:szCs w:val="28"/>
          <w:lang w:val="uk-UA"/>
        </w:rPr>
        <w:t xml:space="preserve">в І групи воно виявилося </w:t>
      </w:r>
      <w:r w:rsidR="005756DD">
        <w:rPr>
          <w:rFonts w:ascii="Times New Roman" w:hAnsi="Times New Roman" w:cs="Times New Roman"/>
          <w:sz w:val="28"/>
          <w:szCs w:val="28"/>
          <w:lang w:val="uk-UA"/>
        </w:rPr>
        <w:t>достов</w:t>
      </w:r>
      <w:r w:rsidR="005756DD">
        <w:rPr>
          <w:rFonts w:ascii="Times New Roman" w:hAnsi="Times New Roman" w:cs="Times New Roman"/>
          <w:sz w:val="28"/>
          <w:szCs w:val="28"/>
          <w:lang w:val="en-US"/>
        </w:rPr>
        <w:t>i</w:t>
      </w:r>
      <w:r w:rsidR="00440F88">
        <w:rPr>
          <w:rFonts w:ascii="Times New Roman" w:hAnsi="Times New Roman" w:cs="Times New Roman"/>
          <w:sz w:val="28"/>
          <w:szCs w:val="28"/>
          <w:lang w:val="uk-UA"/>
        </w:rPr>
        <w:t>рно меншим</w:t>
      </w:r>
      <w:r w:rsidR="005756DD">
        <w:rPr>
          <w:rFonts w:ascii="Times New Roman" w:hAnsi="Times New Roman" w:cs="Times New Roman"/>
          <w:sz w:val="28"/>
          <w:szCs w:val="28"/>
          <w:lang w:val="uk-UA"/>
        </w:rPr>
        <w:t xml:space="preserve"> н</w:t>
      </w:r>
      <w:r w:rsidR="005756DD">
        <w:rPr>
          <w:rFonts w:ascii="Times New Roman" w:hAnsi="Times New Roman" w:cs="Times New Roman"/>
          <w:sz w:val="28"/>
          <w:szCs w:val="28"/>
          <w:lang w:val="en-US"/>
        </w:rPr>
        <w:t>i</w:t>
      </w:r>
      <w:r w:rsidR="00262C7D">
        <w:rPr>
          <w:rFonts w:ascii="Times New Roman" w:hAnsi="Times New Roman" w:cs="Times New Roman"/>
          <w:sz w:val="28"/>
          <w:szCs w:val="28"/>
          <w:lang w:val="uk-UA"/>
        </w:rPr>
        <w:t xml:space="preserve">ж у хворих ІІ групи </w:t>
      </w:r>
      <w:r w:rsidR="00F9468A">
        <w:rPr>
          <w:rFonts w:ascii="Times New Roman" w:hAnsi="Times New Roman" w:cs="Times New Roman"/>
          <w:sz w:val="28"/>
          <w:szCs w:val="28"/>
          <w:lang w:val="uk-UA"/>
        </w:rPr>
        <w:t>(</w:t>
      </w:r>
      <w:r w:rsidR="00365531">
        <w:rPr>
          <w:rFonts w:ascii="Times New Roman" w:hAnsi="Times New Roman" w:cs="Times New Roman"/>
          <w:sz w:val="28"/>
          <w:szCs w:val="28"/>
          <w:lang w:val="uk-UA"/>
        </w:rPr>
        <w:t xml:space="preserve">p </w:t>
      </w:r>
      <w:r w:rsidR="00365531" w:rsidRPr="00365531">
        <w:rPr>
          <w:rFonts w:ascii="Times New Roman" w:hAnsi="Times New Roman" w:cs="Times New Roman"/>
          <w:sz w:val="28"/>
          <w:szCs w:val="28"/>
          <w:lang w:val="uk-UA"/>
        </w:rPr>
        <w:t>=</w:t>
      </w:r>
      <w:r w:rsidR="00487F20">
        <w:rPr>
          <w:rFonts w:ascii="Times New Roman" w:hAnsi="Times New Roman" w:cs="Times New Roman"/>
          <w:sz w:val="28"/>
          <w:szCs w:val="28"/>
          <w:lang w:val="uk-UA"/>
        </w:rPr>
        <w:t xml:space="preserve"> 0,0173</w:t>
      </w:r>
      <w:r w:rsidR="00F9468A">
        <w:rPr>
          <w:rFonts w:ascii="Times New Roman" w:hAnsi="Times New Roman" w:cs="Times New Roman"/>
          <w:sz w:val="28"/>
          <w:szCs w:val="28"/>
          <w:lang w:val="uk-UA"/>
        </w:rPr>
        <w:t>)</w:t>
      </w:r>
      <w:r w:rsidR="005756DD">
        <w:rPr>
          <w:rFonts w:ascii="Times New Roman" w:hAnsi="Times New Roman" w:cs="Times New Roman"/>
          <w:sz w:val="28"/>
          <w:szCs w:val="28"/>
          <w:lang w:val="uk-UA"/>
        </w:rPr>
        <w:t>, що св</w:t>
      </w:r>
      <w:r w:rsidR="005756DD">
        <w:rPr>
          <w:rFonts w:ascii="Times New Roman" w:hAnsi="Times New Roman" w:cs="Times New Roman"/>
          <w:sz w:val="28"/>
          <w:szCs w:val="28"/>
          <w:lang w:val="en-US"/>
        </w:rPr>
        <w:t>i</w:t>
      </w:r>
      <w:r w:rsidR="00203F10" w:rsidRPr="008707FF">
        <w:rPr>
          <w:rFonts w:ascii="Times New Roman" w:hAnsi="Times New Roman" w:cs="Times New Roman"/>
          <w:sz w:val="28"/>
          <w:szCs w:val="28"/>
          <w:lang w:val="uk-UA"/>
        </w:rPr>
        <w:t xml:space="preserve">дчить про </w:t>
      </w:r>
      <w:r w:rsidR="005756DD">
        <w:rPr>
          <w:rFonts w:ascii="Times New Roman" w:hAnsi="Times New Roman" w:cs="Times New Roman"/>
          <w:sz w:val="28"/>
          <w:szCs w:val="28"/>
          <w:lang w:val="uk-UA"/>
        </w:rPr>
        <w:t>б</w:t>
      </w:r>
      <w:r w:rsidR="005756DD">
        <w:rPr>
          <w:rFonts w:ascii="Times New Roman" w:hAnsi="Times New Roman" w:cs="Times New Roman"/>
          <w:sz w:val="28"/>
          <w:szCs w:val="28"/>
          <w:lang w:val="en-US"/>
        </w:rPr>
        <w:t>i</w:t>
      </w:r>
      <w:r w:rsidR="005756DD">
        <w:rPr>
          <w:rFonts w:ascii="Times New Roman" w:hAnsi="Times New Roman" w:cs="Times New Roman"/>
          <w:sz w:val="28"/>
          <w:szCs w:val="28"/>
          <w:lang w:val="uk-UA"/>
        </w:rPr>
        <w:t>льш виражену д</w:t>
      </w:r>
      <w:r w:rsidR="005756DD">
        <w:rPr>
          <w:rFonts w:ascii="Times New Roman" w:hAnsi="Times New Roman" w:cs="Times New Roman"/>
          <w:sz w:val="28"/>
          <w:szCs w:val="28"/>
          <w:lang w:val="en-US"/>
        </w:rPr>
        <w:t>i</w:t>
      </w:r>
      <w:r w:rsidR="005756DD">
        <w:rPr>
          <w:rFonts w:ascii="Times New Roman" w:hAnsi="Times New Roman" w:cs="Times New Roman"/>
          <w:sz w:val="28"/>
          <w:szCs w:val="28"/>
          <w:lang w:val="uk-UA"/>
        </w:rPr>
        <w:t>астол</w:t>
      </w:r>
      <w:r w:rsidR="005756DD">
        <w:rPr>
          <w:rFonts w:ascii="Times New Roman" w:hAnsi="Times New Roman" w:cs="Times New Roman"/>
          <w:sz w:val="28"/>
          <w:szCs w:val="28"/>
          <w:lang w:val="en-US"/>
        </w:rPr>
        <w:t>i</w:t>
      </w:r>
      <w:r w:rsidR="00F9468A">
        <w:rPr>
          <w:rFonts w:ascii="Times New Roman" w:hAnsi="Times New Roman" w:cs="Times New Roman"/>
          <w:sz w:val="28"/>
          <w:szCs w:val="28"/>
          <w:lang w:val="uk-UA"/>
        </w:rPr>
        <w:t>чну СН, характерну для ЦД 2-го типу.</w:t>
      </w:r>
      <w:r w:rsidR="00A0016C">
        <w:rPr>
          <w:rFonts w:ascii="Times New Roman" w:hAnsi="Times New Roman" w:cs="Times New Roman"/>
          <w:sz w:val="28"/>
          <w:szCs w:val="28"/>
          <w:lang w:val="uk-UA"/>
        </w:rPr>
        <w:t xml:space="preserve"> </w:t>
      </w:r>
    </w:p>
    <w:p w:rsidR="0027500A" w:rsidRDefault="005756DD" w:rsidP="00D1139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подальшого оц</w:t>
      </w:r>
      <w:r>
        <w:rPr>
          <w:rFonts w:ascii="Times New Roman" w:hAnsi="Times New Roman" w:cs="Times New Roman"/>
          <w:sz w:val="28"/>
          <w:szCs w:val="28"/>
          <w:lang w:val="en-US"/>
        </w:rPr>
        <w:t>i</w:t>
      </w:r>
      <w:r w:rsidR="00852E4F">
        <w:rPr>
          <w:rFonts w:ascii="Times New Roman" w:hAnsi="Times New Roman" w:cs="Times New Roman"/>
          <w:sz w:val="28"/>
          <w:szCs w:val="28"/>
          <w:lang w:val="uk-UA"/>
        </w:rPr>
        <w:t>нювання</w:t>
      </w:r>
      <w:r>
        <w:rPr>
          <w:rFonts w:ascii="Times New Roman" w:hAnsi="Times New Roman" w:cs="Times New Roman"/>
          <w:sz w:val="28"/>
          <w:szCs w:val="28"/>
          <w:lang w:val="uk-UA"/>
        </w:rPr>
        <w:t xml:space="preserve"> типу геометр</w:t>
      </w:r>
      <w:r>
        <w:rPr>
          <w:rFonts w:ascii="Times New Roman" w:hAnsi="Times New Roman" w:cs="Times New Roman"/>
          <w:sz w:val="28"/>
          <w:szCs w:val="28"/>
          <w:lang w:val="en-US"/>
        </w:rPr>
        <w:t>i</w:t>
      </w:r>
      <w:r w:rsidR="006C5076">
        <w:rPr>
          <w:rFonts w:ascii="Times New Roman" w:hAnsi="Times New Roman" w:cs="Times New Roman"/>
          <w:sz w:val="28"/>
          <w:szCs w:val="28"/>
          <w:lang w:val="uk-UA"/>
        </w:rPr>
        <w:t xml:space="preserve">ї ЛШ </w:t>
      </w:r>
      <w:r w:rsidR="000F0066">
        <w:rPr>
          <w:rFonts w:ascii="Times New Roman" w:hAnsi="Times New Roman" w:cs="Times New Roman"/>
          <w:sz w:val="28"/>
          <w:szCs w:val="28"/>
          <w:lang w:val="uk-UA"/>
        </w:rPr>
        <w:t xml:space="preserve">за формулами </w:t>
      </w:r>
      <w:r w:rsidR="006C5076">
        <w:rPr>
          <w:rFonts w:ascii="Times New Roman" w:hAnsi="Times New Roman" w:cs="Times New Roman"/>
          <w:sz w:val="28"/>
          <w:szCs w:val="28"/>
          <w:lang w:val="uk-UA"/>
        </w:rPr>
        <w:t>було обчислено ММЛШ,</w:t>
      </w:r>
      <w:r w:rsidR="006C5076" w:rsidRPr="006C5076">
        <w:rPr>
          <w:rFonts w:ascii="Times New Roman" w:hAnsi="Times New Roman" w:cs="Times New Roman"/>
          <w:sz w:val="28"/>
          <w:szCs w:val="28"/>
          <w:lang w:val="uk-UA"/>
        </w:rPr>
        <w:t xml:space="preserve"> </w:t>
      </w:r>
      <w:r w:rsidR="006801EC">
        <w:rPr>
          <w:rFonts w:ascii="Times New Roman" w:hAnsi="Times New Roman" w:cs="Times New Roman"/>
          <w:sz w:val="28"/>
          <w:szCs w:val="28"/>
          <w:lang w:val="uk-UA"/>
        </w:rPr>
        <w:t>ВТС ЛШ, ІМ</w:t>
      </w:r>
      <w:r w:rsidR="00852E4F">
        <w:rPr>
          <w:rFonts w:ascii="Times New Roman" w:hAnsi="Times New Roman" w:cs="Times New Roman"/>
          <w:sz w:val="28"/>
          <w:szCs w:val="28"/>
          <w:lang w:val="uk-UA"/>
        </w:rPr>
        <w:t xml:space="preserve">МЛШ </w:t>
      </w:r>
      <w:r w:rsidR="00155473">
        <w:rPr>
          <w:rFonts w:ascii="Times New Roman" w:hAnsi="Times New Roman" w:cs="Times New Roman"/>
          <w:sz w:val="28"/>
          <w:szCs w:val="28"/>
          <w:lang w:val="uk-UA"/>
        </w:rPr>
        <w:t xml:space="preserve">у пацієнтів </w:t>
      </w:r>
      <w:r w:rsidR="00262C7D">
        <w:rPr>
          <w:rFonts w:ascii="Times New Roman" w:hAnsi="Times New Roman" w:cs="Times New Roman"/>
          <w:sz w:val="28"/>
          <w:szCs w:val="28"/>
          <w:lang w:val="uk-UA"/>
        </w:rPr>
        <w:t>і</w:t>
      </w:r>
      <w:r w:rsidR="006C5076">
        <w:rPr>
          <w:rFonts w:ascii="Times New Roman" w:hAnsi="Times New Roman" w:cs="Times New Roman"/>
          <w:sz w:val="28"/>
          <w:szCs w:val="28"/>
          <w:lang w:val="uk-UA"/>
        </w:rPr>
        <w:t xml:space="preserve">з </w:t>
      </w:r>
      <w:r w:rsidR="00F21EB3">
        <w:rPr>
          <w:rFonts w:ascii="Times New Roman" w:hAnsi="Times New Roman" w:cs="Times New Roman"/>
          <w:sz w:val="28"/>
          <w:szCs w:val="28"/>
          <w:lang w:val="uk-UA"/>
        </w:rPr>
        <w:t>АГ та ЦД 2-го типу</w:t>
      </w:r>
      <w:r w:rsidR="006C5076">
        <w:rPr>
          <w:rFonts w:ascii="Times New Roman" w:hAnsi="Times New Roman" w:cs="Times New Roman"/>
          <w:sz w:val="28"/>
          <w:szCs w:val="28"/>
          <w:lang w:val="uk-UA"/>
        </w:rPr>
        <w:t xml:space="preserve">, </w:t>
      </w:r>
      <w:r w:rsidR="00B247BC">
        <w:rPr>
          <w:rFonts w:ascii="Times New Roman" w:hAnsi="Times New Roman" w:cs="Times New Roman"/>
          <w:sz w:val="28"/>
          <w:szCs w:val="28"/>
          <w:lang w:val="uk-UA"/>
        </w:rPr>
        <w:t xml:space="preserve">      </w:t>
      </w:r>
      <w:r w:rsidR="006C5076">
        <w:rPr>
          <w:rFonts w:ascii="Times New Roman" w:hAnsi="Times New Roman" w:cs="Times New Roman"/>
          <w:sz w:val="28"/>
          <w:szCs w:val="28"/>
          <w:lang w:val="uk-UA"/>
        </w:rPr>
        <w:t>у хворих на АГ без супутнь</w:t>
      </w:r>
      <w:r w:rsidR="00863D6C">
        <w:rPr>
          <w:rFonts w:ascii="Times New Roman" w:hAnsi="Times New Roman" w:cs="Times New Roman"/>
          <w:sz w:val="28"/>
          <w:szCs w:val="28"/>
          <w:lang w:val="uk-UA"/>
        </w:rPr>
        <w:t>ого ЦД 2-го типу (табл. 5.1.2</w:t>
      </w:r>
      <w:r w:rsidR="002A696C">
        <w:rPr>
          <w:rFonts w:ascii="Times New Roman" w:hAnsi="Times New Roman" w:cs="Times New Roman"/>
          <w:sz w:val="28"/>
          <w:szCs w:val="28"/>
          <w:lang w:val="uk-UA"/>
        </w:rPr>
        <w:t>).</w:t>
      </w:r>
    </w:p>
    <w:p w:rsidR="00D11398" w:rsidRDefault="00D11398" w:rsidP="000458D5">
      <w:pPr>
        <w:autoSpaceDE w:val="0"/>
        <w:autoSpaceDN w:val="0"/>
        <w:adjustRightInd w:val="0"/>
        <w:spacing w:after="0" w:line="360" w:lineRule="auto"/>
        <w:jc w:val="right"/>
        <w:rPr>
          <w:rFonts w:ascii="Times New Roman" w:hAnsi="Times New Roman" w:cs="Times New Roman"/>
          <w:i/>
          <w:sz w:val="28"/>
          <w:szCs w:val="28"/>
          <w:lang w:val="uk-UA"/>
        </w:rPr>
      </w:pPr>
    </w:p>
    <w:p w:rsidR="00D11398" w:rsidRDefault="00D11398" w:rsidP="000458D5">
      <w:pPr>
        <w:autoSpaceDE w:val="0"/>
        <w:autoSpaceDN w:val="0"/>
        <w:adjustRightInd w:val="0"/>
        <w:spacing w:after="0" w:line="360" w:lineRule="auto"/>
        <w:jc w:val="right"/>
        <w:rPr>
          <w:rFonts w:ascii="Times New Roman" w:hAnsi="Times New Roman" w:cs="Times New Roman"/>
          <w:i/>
          <w:sz w:val="28"/>
          <w:szCs w:val="28"/>
          <w:lang w:val="uk-UA"/>
        </w:rPr>
      </w:pPr>
    </w:p>
    <w:p w:rsidR="00D11398" w:rsidRDefault="00D11398" w:rsidP="000458D5">
      <w:pPr>
        <w:autoSpaceDE w:val="0"/>
        <w:autoSpaceDN w:val="0"/>
        <w:adjustRightInd w:val="0"/>
        <w:spacing w:after="0" w:line="360" w:lineRule="auto"/>
        <w:jc w:val="right"/>
        <w:rPr>
          <w:rFonts w:ascii="Times New Roman" w:hAnsi="Times New Roman" w:cs="Times New Roman"/>
          <w:i/>
          <w:sz w:val="28"/>
          <w:szCs w:val="28"/>
          <w:lang w:val="uk-UA"/>
        </w:rPr>
      </w:pPr>
    </w:p>
    <w:p w:rsidR="00D11398" w:rsidRDefault="00D11398" w:rsidP="000D3FC1">
      <w:pPr>
        <w:autoSpaceDE w:val="0"/>
        <w:autoSpaceDN w:val="0"/>
        <w:adjustRightInd w:val="0"/>
        <w:spacing w:after="0" w:line="360" w:lineRule="auto"/>
        <w:rPr>
          <w:rFonts w:ascii="Times New Roman" w:hAnsi="Times New Roman" w:cs="Times New Roman"/>
          <w:i/>
          <w:sz w:val="28"/>
          <w:szCs w:val="28"/>
          <w:lang w:val="uk-UA"/>
        </w:rPr>
      </w:pPr>
    </w:p>
    <w:p w:rsidR="0027500A" w:rsidRPr="000458D5" w:rsidRDefault="00863D6C" w:rsidP="000458D5">
      <w:pPr>
        <w:autoSpaceDE w:val="0"/>
        <w:autoSpaceDN w:val="0"/>
        <w:adjustRightInd w:val="0"/>
        <w:spacing w:after="0" w:line="360" w:lineRule="auto"/>
        <w:jc w:val="right"/>
        <w:rPr>
          <w:rFonts w:ascii="Times New Roman" w:hAnsi="Times New Roman" w:cs="Times New Roman"/>
          <w:i/>
          <w:sz w:val="28"/>
          <w:szCs w:val="28"/>
          <w:lang w:val="uk-UA"/>
        </w:rPr>
      </w:pPr>
      <w:r w:rsidRPr="000458D5">
        <w:rPr>
          <w:rFonts w:ascii="Times New Roman" w:hAnsi="Times New Roman" w:cs="Times New Roman"/>
          <w:i/>
          <w:sz w:val="28"/>
          <w:szCs w:val="28"/>
          <w:lang w:val="uk-UA"/>
        </w:rPr>
        <w:lastRenderedPageBreak/>
        <w:t>Табл</w:t>
      </w:r>
      <w:r w:rsidR="00852E4F" w:rsidRPr="000458D5">
        <w:rPr>
          <w:rFonts w:ascii="Times New Roman" w:hAnsi="Times New Roman" w:cs="Times New Roman"/>
          <w:i/>
          <w:sz w:val="28"/>
          <w:szCs w:val="28"/>
          <w:lang w:val="uk-UA"/>
        </w:rPr>
        <w:t>иця</w:t>
      </w:r>
      <w:r w:rsidRPr="000458D5">
        <w:rPr>
          <w:rFonts w:ascii="Times New Roman" w:hAnsi="Times New Roman" w:cs="Times New Roman"/>
          <w:i/>
          <w:sz w:val="28"/>
          <w:szCs w:val="28"/>
          <w:lang w:val="uk-UA"/>
        </w:rPr>
        <w:t xml:space="preserve"> 5.1.2</w:t>
      </w:r>
      <w:r w:rsidR="0027500A" w:rsidRPr="000458D5">
        <w:rPr>
          <w:rFonts w:ascii="Times New Roman" w:hAnsi="Times New Roman" w:cs="Times New Roman"/>
          <w:i/>
          <w:sz w:val="28"/>
          <w:szCs w:val="28"/>
          <w:lang w:val="uk-UA"/>
        </w:rPr>
        <w:t xml:space="preserve"> </w:t>
      </w:r>
    </w:p>
    <w:p w:rsidR="006C5076" w:rsidRPr="000458D5" w:rsidRDefault="004A2B35" w:rsidP="000458D5">
      <w:pPr>
        <w:autoSpaceDE w:val="0"/>
        <w:autoSpaceDN w:val="0"/>
        <w:adjustRightInd w:val="0"/>
        <w:spacing w:after="0" w:line="360" w:lineRule="auto"/>
        <w:jc w:val="center"/>
        <w:rPr>
          <w:rFonts w:ascii="Times New Roman" w:hAnsi="Times New Roman" w:cs="Times New Roman"/>
          <w:b/>
          <w:sz w:val="28"/>
          <w:szCs w:val="28"/>
          <w:lang w:val="uk-UA"/>
        </w:rPr>
      </w:pPr>
      <w:r w:rsidRPr="000458D5">
        <w:rPr>
          <w:rFonts w:ascii="Times New Roman" w:hAnsi="Times New Roman" w:cs="Times New Roman"/>
          <w:b/>
          <w:sz w:val="28"/>
          <w:szCs w:val="28"/>
          <w:lang w:val="uk-UA"/>
        </w:rPr>
        <w:t>П</w:t>
      </w:r>
      <w:r w:rsidR="000458D5" w:rsidRPr="000458D5">
        <w:rPr>
          <w:rFonts w:ascii="Times New Roman" w:hAnsi="Times New Roman" w:cs="Times New Roman"/>
          <w:b/>
          <w:sz w:val="28"/>
          <w:szCs w:val="28"/>
          <w:lang w:val="uk-UA"/>
        </w:rPr>
        <w:t xml:space="preserve">оказники </w:t>
      </w:r>
      <w:r w:rsidR="005756DD" w:rsidRPr="000458D5">
        <w:rPr>
          <w:rFonts w:ascii="Times New Roman" w:hAnsi="Times New Roman" w:cs="Times New Roman"/>
          <w:b/>
          <w:sz w:val="28"/>
          <w:szCs w:val="28"/>
          <w:lang w:val="uk-UA"/>
        </w:rPr>
        <w:t>оц</w:t>
      </w:r>
      <w:r w:rsidR="005756DD" w:rsidRPr="000458D5">
        <w:rPr>
          <w:rFonts w:ascii="Times New Roman" w:hAnsi="Times New Roman" w:cs="Times New Roman"/>
          <w:b/>
          <w:sz w:val="28"/>
          <w:szCs w:val="28"/>
          <w:lang w:val="en-US"/>
        </w:rPr>
        <w:t>i</w:t>
      </w:r>
      <w:r w:rsidR="005756DD" w:rsidRPr="000458D5">
        <w:rPr>
          <w:rFonts w:ascii="Times New Roman" w:hAnsi="Times New Roman" w:cs="Times New Roman"/>
          <w:b/>
          <w:sz w:val="28"/>
          <w:szCs w:val="28"/>
          <w:lang w:val="uk-UA"/>
        </w:rPr>
        <w:t>нювання геометр</w:t>
      </w:r>
      <w:r w:rsidR="005756DD" w:rsidRPr="000458D5">
        <w:rPr>
          <w:rFonts w:ascii="Times New Roman" w:hAnsi="Times New Roman" w:cs="Times New Roman"/>
          <w:b/>
          <w:sz w:val="28"/>
          <w:szCs w:val="28"/>
          <w:lang w:val="en-US"/>
        </w:rPr>
        <w:t>i</w:t>
      </w:r>
      <w:r w:rsidR="005756DD" w:rsidRPr="000458D5">
        <w:rPr>
          <w:rFonts w:ascii="Times New Roman" w:hAnsi="Times New Roman" w:cs="Times New Roman"/>
          <w:b/>
          <w:sz w:val="28"/>
          <w:szCs w:val="28"/>
          <w:lang w:val="uk-UA"/>
        </w:rPr>
        <w:t>ї л</w:t>
      </w:r>
      <w:r w:rsidR="005756DD" w:rsidRPr="000458D5">
        <w:rPr>
          <w:rFonts w:ascii="Times New Roman" w:hAnsi="Times New Roman" w:cs="Times New Roman"/>
          <w:b/>
          <w:sz w:val="28"/>
          <w:szCs w:val="28"/>
          <w:lang w:val="en-US"/>
        </w:rPr>
        <w:t>i</w:t>
      </w:r>
      <w:r w:rsidR="00852E4F" w:rsidRPr="000458D5">
        <w:rPr>
          <w:rFonts w:ascii="Times New Roman" w:hAnsi="Times New Roman" w:cs="Times New Roman"/>
          <w:b/>
          <w:sz w:val="28"/>
          <w:szCs w:val="28"/>
          <w:lang w:val="uk-UA"/>
        </w:rPr>
        <w:t>вого шлуночка в</w:t>
      </w:r>
      <w:r w:rsidR="005756DD" w:rsidRPr="000458D5">
        <w:rPr>
          <w:rFonts w:ascii="Times New Roman" w:hAnsi="Times New Roman" w:cs="Times New Roman"/>
          <w:b/>
          <w:sz w:val="28"/>
          <w:szCs w:val="28"/>
          <w:lang w:val="uk-UA"/>
        </w:rPr>
        <w:t xml:space="preserve"> обстежених ос</w:t>
      </w:r>
      <w:r w:rsidR="005756DD" w:rsidRPr="000458D5">
        <w:rPr>
          <w:rFonts w:ascii="Times New Roman" w:hAnsi="Times New Roman" w:cs="Times New Roman"/>
          <w:b/>
          <w:sz w:val="28"/>
          <w:szCs w:val="28"/>
          <w:lang w:val="en-US"/>
        </w:rPr>
        <w:t>i</w:t>
      </w:r>
      <w:r w:rsidR="003F679B" w:rsidRPr="000458D5">
        <w:rPr>
          <w:rFonts w:ascii="Times New Roman" w:hAnsi="Times New Roman" w:cs="Times New Roman"/>
          <w:b/>
          <w:sz w:val="28"/>
          <w:szCs w:val="28"/>
          <w:lang w:val="uk-UA"/>
        </w:rPr>
        <w:t>б</w:t>
      </w:r>
    </w:p>
    <w:tbl>
      <w:tblPr>
        <w:tblStyle w:val="a5"/>
        <w:tblW w:w="0" w:type="auto"/>
        <w:tblInd w:w="108" w:type="dxa"/>
        <w:tblLook w:val="04A0" w:firstRow="1" w:lastRow="0" w:firstColumn="1" w:lastColumn="0" w:noHBand="0" w:noVBand="1"/>
      </w:tblPr>
      <w:tblGrid>
        <w:gridCol w:w="2021"/>
        <w:gridCol w:w="2213"/>
        <w:gridCol w:w="1862"/>
        <w:gridCol w:w="1750"/>
        <w:gridCol w:w="1617"/>
      </w:tblGrid>
      <w:tr w:rsidR="0040455F" w:rsidRPr="00863D6C" w:rsidTr="0027500A">
        <w:tc>
          <w:tcPr>
            <w:tcW w:w="2021" w:type="dxa"/>
          </w:tcPr>
          <w:p w:rsidR="0040455F" w:rsidRDefault="00F23E3F"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40455F">
              <w:rPr>
                <w:rFonts w:ascii="Times New Roman" w:hAnsi="Times New Roman" w:cs="Times New Roman"/>
                <w:sz w:val="28"/>
                <w:szCs w:val="28"/>
                <w:lang w:val="uk-UA"/>
              </w:rPr>
              <w:t>оказник</w:t>
            </w:r>
          </w:p>
        </w:tc>
        <w:tc>
          <w:tcPr>
            <w:tcW w:w="2213" w:type="dxa"/>
          </w:tcPr>
          <w:p w:rsidR="0040455F" w:rsidRDefault="0040455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І група</w:t>
            </w:r>
          </w:p>
          <w:p w:rsidR="0040455F" w:rsidRPr="000F0066" w:rsidRDefault="0040455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n = 96)</w:t>
            </w:r>
          </w:p>
        </w:tc>
        <w:tc>
          <w:tcPr>
            <w:tcW w:w="1862" w:type="dxa"/>
          </w:tcPr>
          <w:p w:rsidR="0040455F" w:rsidRDefault="0040455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ІІ група</w:t>
            </w:r>
          </w:p>
          <w:p w:rsidR="0040455F" w:rsidRPr="000F0066" w:rsidRDefault="0040455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(n = 25)</w:t>
            </w:r>
          </w:p>
        </w:tc>
        <w:tc>
          <w:tcPr>
            <w:tcW w:w="1750" w:type="dxa"/>
          </w:tcPr>
          <w:p w:rsidR="00297F80" w:rsidRDefault="00297F80"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w:t>
            </w:r>
          </w:p>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w:t>
            </w:r>
            <w:r>
              <w:rPr>
                <w:rFonts w:ascii="Times New Roman" w:hAnsi="Times New Roman" w:cs="Times New Roman"/>
                <w:sz w:val="28"/>
                <w:szCs w:val="28"/>
                <w:lang w:val="en-US"/>
              </w:rPr>
              <w:t>n = 15)</w:t>
            </w:r>
          </w:p>
        </w:tc>
        <w:tc>
          <w:tcPr>
            <w:tcW w:w="1617" w:type="dxa"/>
          </w:tcPr>
          <w:p w:rsidR="0040455F" w:rsidRDefault="0040455F"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40455F" w:rsidTr="00893154">
        <w:tc>
          <w:tcPr>
            <w:tcW w:w="2021" w:type="dxa"/>
          </w:tcPr>
          <w:p w:rsidR="0040455F" w:rsidRDefault="00F23E3F"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40455F">
              <w:rPr>
                <w:rFonts w:ascii="Times New Roman" w:hAnsi="Times New Roman" w:cs="Times New Roman"/>
                <w:sz w:val="28"/>
                <w:szCs w:val="28"/>
                <w:lang w:val="uk-UA"/>
              </w:rPr>
              <w:t>ріст, м</w:t>
            </w:r>
          </w:p>
        </w:tc>
        <w:tc>
          <w:tcPr>
            <w:tcW w:w="2213" w:type="dxa"/>
          </w:tcPr>
          <w:p w:rsidR="0040455F" w:rsidRPr="009553FF" w:rsidRDefault="00CE665A"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1,6</w:t>
            </w:r>
            <w:r>
              <w:rPr>
                <w:rFonts w:ascii="Times New Roman" w:hAnsi="Times New Roman" w:cs="Times New Roman"/>
                <w:sz w:val="28"/>
                <w:szCs w:val="28"/>
                <w:lang w:val="en-US"/>
              </w:rPr>
              <w:t>8</w:t>
            </w:r>
            <w:r w:rsidR="00F23E3F">
              <w:rPr>
                <w:rFonts w:ascii="Times New Roman" w:hAnsi="Times New Roman" w:cs="Times New Roman"/>
                <w:sz w:val="28"/>
                <w:szCs w:val="28"/>
                <w:lang w:val="uk-UA"/>
              </w:rPr>
              <w:t xml:space="preserve"> </w:t>
            </w:r>
            <w:r w:rsidR="009553FF">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sidR="009553FF">
              <w:rPr>
                <w:rFonts w:ascii="Times New Roman" w:hAnsi="Times New Roman" w:cs="Times New Roman"/>
                <w:sz w:val="28"/>
                <w:szCs w:val="28"/>
                <w:lang w:val="uk-UA"/>
              </w:rPr>
              <w:t>0,00</w:t>
            </w:r>
            <w:r w:rsidR="009553FF">
              <w:rPr>
                <w:rFonts w:ascii="Times New Roman" w:hAnsi="Times New Roman" w:cs="Times New Roman"/>
                <w:sz w:val="28"/>
                <w:szCs w:val="28"/>
                <w:lang w:val="en-US"/>
              </w:rPr>
              <w:t>2</w:t>
            </w:r>
          </w:p>
        </w:tc>
        <w:tc>
          <w:tcPr>
            <w:tcW w:w="1862" w:type="dxa"/>
          </w:tcPr>
          <w:p w:rsidR="0040455F" w:rsidRPr="009553FF" w:rsidRDefault="009553F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1,69</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uk-UA"/>
              </w:rPr>
              <w:t>0,00</w:t>
            </w:r>
            <w:r>
              <w:rPr>
                <w:rFonts w:ascii="Times New Roman" w:hAnsi="Times New Roman" w:cs="Times New Roman"/>
                <w:sz w:val="28"/>
                <w:szCs w:val="28"/>
                <w:lang w:val="en-US"/>
              </w:rPr>
              <w:t>5</w:t>
            </w:r>
          </w:p>
        </w:tc>
        <w:tc>
          <w:tcPr>
            <w:tcW w:w="1750" w:type="dxa"/>
          </w:tcPr>
          <w:p w:rsidR="0040455F" w:rsidRPr="009553FF" w:rsidRDefault="009553F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1,63</w:t>
            </w:r>
            <w:r w:rsidR="00F23E3F">
              <w:rPr>
                <w:rFonts w:ascii="Times New Roman" w:hAnsi="Times New Roman" w:cs="Times New Roman"/>
                <w:sz w:val="28"/>
                <w:szCs w:val="28"/>
                <w:lang w:val="uk-UA"/>
              </w:rPr>
              <w:t xml:space="preserve"> </w:t>
            </w:r>
            <w:r w:rsidRPr="009553FF">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en-US"/>
              </w:rPr>
              <w:t>0,02</w:t>
            </w:r>
          </w:p>
        </w:tc>
        <w:tc>
          <w:tcPr>
            <w:tcW w:w="1617" w:type="dxa"/>
          </w:tcPr>
          <w:p w:rsidR="0040455F" w:rsidRPr="009553FF" w:rsidRDefault="009553FF"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1</w:t>
            </w:r>
            <w:r>
              <w:rPr>
                <w:rFonts w:ascii="Times New Roman" w:hAnsi="Times New Roman" w:cs="Times New Roman"/>
                <w:sz w:val="28"/>
                <w:szCs w:val="28"/>
                <w:lang w:val="uk-UA"/>
              </w:rPr>
              <w:t xml:space="preserve">  = 0,03</w:t>
            </w:r>
            <w:r>
              <w:rPr>
                <w:rFonts w:ascii="Times New Roman" w:hAnsi="Times New Roman" w:cs="Times New Roman"/>
                <w:sz w:val="28"/>
                <w:szCs w:val="28"/>
                <w:lang w:val="en-US"/>
              </w:rPr>
              <w:t>43</w:t>
            </w:r>
          </w:p>
          <w:p w:rsidR="009553FF" w:rsidRPr="009553FF" w:rsidRDefault="009553FF" w:rsidP="009553FF">
            <w:pPr>
              <w:autoSpaceDE w:val="0"/>
              <w:autoSpaceDN w:val="0"/>
              <w:adjustRightInd w:val="0"/>
              <w:spacing w:line="360" w:lineRule="auto"/>
              <w:jc w:val="center"/>
              <w:rPr>
                <w:rFonts w:ascii="Times New Roman" w:hAnsi="Times New Roman" w:cs="Times New Roman"/>
                <w:sz w:val="28"/>
                <w:szCs w:val="28"/>
              </w:rPr>
            </w:pPr>
            <w:r w:rsidRPr="009553FF">
              <w:rPr>
                <w:rFonts w:ascii="Times New Roman" w:hAnsi="Times New Roman" w:cs="Times New Roman"/>
                <w:sz w:val="28"/>
                <w:szCs w:val="28"/>
                <w:lang w:val="en-US"/>
              </w:rPr>
              <w:t>p</w:t>
            </w:r>
            <w:r w:rsidRPr="009553FF">
              <w:rPr>
                <w:rFonts w:ascii="Times New Roman" w:hAnsi="Times New Roman" w:cs="Times New Roman"/>
                <w:sz w:val="28"/>
                <w:szCs w:val="28"/>
                <w:vertAlign w:val="subscript"/>
              </w:rPr>
              <w:t xml:space="preserve">2 </w:t>
            </w:r>
            <w:r w:rsidRPr="009553FF">
              <w:rPr>
                <w:rFonts w:ascii="Times New Roman" w:hAnsi="Times New Roman" w:cs="Times New Roman"/>
                <w:sz w:val="28"/>
                <w:szCs w:val="28"/>
              </w:rPr>
              <w:t>&lt; 0,0001</w:t>
            </w:r>
          </w:p>
          <w:p w:rsidR="009553FF" w:rsidRPr="009553FF" w:rsidRDefault="009553FF" w:rsidP="009553FF">
            <w:pPr>
              <w:autoSpaceDE w:val="0"/>
              <w:autoSpaceDN w:val="0"/>
              <w:adjustRightInd w:val="0"/>
              <w:spacing w:line="360" w:lineRule="auto"/>
              <w:jc w:val="center"/>
              <w:rPr>
                <w:rFonts w:ascii="Times New Roman" w:hAnsi="Times New Roman" w:cs="Times New Roman"/>
                <w:sz w:val="28"/>
                <w:szCs w:val="28"/>
                <w:lang w:val="en-US"/>
              </w:rPr>
            </w:pPr>
            <w:r w:rsidRPr="009553FF">
              <w:rPr>
                <w:rFonts w:ascii="Times New Roman" w:hAnsi="Times New Roman" w:cs="Times New Roman"/>
                <w:sz w:val="28"/>
                <w:szCs w:val="28"/>
                <w:lang w:val="en-US"/>
              </w:rPr>
              <w:t>p</w:t>
            </w:r>
            <w:r w:rsidRPr="009553FF">
              <w:rPr>
                <w:rFonts w:ascii="Times New Roman" w:hAnsi="Times New Roman" w:cs="Times New Roman"/>
                <w:sz w:val="28"/>
                <w:szCs w:val="28"/>
                <w:vertAlign w:val="subscript"/>
              </w:rPr>
              <w:t xml:space="preserve">3 </w:t>
            </w:r>
            <w:r>
              <w:rPr>
                <w:rFonts w:ascii="Times New Roman" w:hAnsi="Times New Roman" w:cs="Times New Roman"/>
                <w:sz w:val="28"/>
                <w:szCs w:val="28"/>
                <w:lang w:val="en-US"/>
              </w:rPr>
              <w:t>=</w:t>
            </w:r>
            <w:r>
              <w:rPr>
                <w:rFonts w:ascii="Times New Roman" w:hAnsi="Times New Roman" w:cs="Times New Roman"/>
                <w:sz w:val="28"/>
                <w:szCs w:val="28"/>
              </w:rPr>
              <w:t xml:space="preserve"> 0,000</w:t>
            </w:r>
            <w:r>
              <w:rPr>
                <w:rFonts w:ascii="Times New Roman" w:hAnsi="Times New Roman" w:cs="Times New Roman"/>
                <w:sz w:val="28"/>
                <w:szCs w:val="28"/>
                <w:lang w:val="en-US"/>
              </w:rPr>
              <w:t>9</w:t>
            </w:r>
          </w:p>
        </w:tc>
      </w:tr>
      <w:tr w:rsidR="0040455F" w:rsidTr="00893154">
        <w:tc>
          <w:tcPr>
            <w:tcW w:w="2021" w:type="dxa"/>
          </w:tcPr>
          <w:p w:rsidR="0040455F" w:rsidRDefault="00F23E3F"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r w:rsidR="0040455F">
              <w:rPr>
                <w:rFonts w:ascii="Times New Roman" w:hAnsi="Times New Roman" w:cs="Times New Roman"/>
                <w:sz w:val="28"/>
                <w:szCs w:val="28"/>
                <w:lang w:val="uk-UA"/>
              </w:rPr>
              <w:t>ага, кг</w:t>
            </w:r>
          </w:p>
        </w:tc>
        <w:tc>
          <w:tcPr>
            <w:tcW w:w="2213" w:type="dxa"/>
          </w:tcPr>
          <w:p w:rsidR="0040455F" w:rsidRPr="00356B51" w:rsidRDefault="00356B51" w:rsidP="00EA7099">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8</w:t>
            </w:r>
            <w:r>
              <w:rPr>
                <w:rFonts w:ascii="Times New Roman" w:hAnsi="Times New Roman" w:cs="Times New Roman"/>
                <w:sz w:val="28"/>
                <w:szCs w:val="28"/>
                <w:lang w:val="en-US"/>
              </w:rPr>
              <w:t>8</w:t>
            </w:r>
            <w:r>
              <w:rPr>
                <w:rFonts w:ascii="Times New Roman" w:hAnsi="Times New Roman" w:cs="Times New Roman"/>
                <w:sz w:val="28"/>
                <w:szCs w:val="28"/>
                <w:lang w:val="uk-UA"/>
              </w:rPr>
              <w:t>,</w:t>
            </w:r>
            <w:r>
              <w:rPr>
                <w:rFonts w:ascii="Times New Roman" w:hAnsi="Times New Roman" w:cs="Times New Roman"/>
                <w:sz w:val="28"/>
                <w:szCs w:val="28"/>
                <w:lang w:val="en-US"/>
              </w:rPr>
              <w:t>58</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uk-UA"/>
              </w:rPr>
              <w:t>1,</w:t>
            </w:r>
            <w:r>
              <w:rPr>
                <w:rFonts w:ascii="Times New Roman" w:hAnsi="Times New Roman" w:cs="Times New Roman"/>
                <w:sz w:val="28"/>
                <w:szCs w:val="28"/>
                <w:lang w:val="en-US"/>
              </w:rPr>
              <w:t>3</w:t>
            </w:r>
          </w:p>
        </w:tc>
        <w:tc>
          <w:tcPr>
            <w:tcW w:w="1862" w:type="dxa"/>
          </w:tcPr>
          <w:p w:rsidR="0040455F" w:rsidRPr="00356B51" w:rsidRDefault="00356B51"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82,</w:t>
            </w:r>
            <w:r>
              <w:rPr>
                <w:rFonts w:ascii="Times New Roman" w:hAnsi="Times New Roman" w:cs="Times New Roman"/>
                <w:sz w:val="28"/>
                <w:szCs w:val="28"/>
                <w:lang w:val="en-US"/>
              </w:rPr>
              <w:t>36</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en-US"/>
              </w:rPr>
              <w:t>2,1</w:t>
            </w:r>
          </w:p>
        </w:tc>
        <w:tc>
          <w:tcPr>
            <w:tcW w:w="1750" w:type="dxa"/>
          </w:tcPr>
          <w:p w:rsidR="0040455F" w:rsidRPr="00356B51" w:rsidRDefault="00356B51"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60,2</w:t>
            </w:r>
            <w:r w:rsidR="00F23E3F">
              <w:rPr>
                <w:rFonts w:ascii="Times New Roman" w:hAnsi="Times New Roman" w:cs="Times New Roman"/>
                <w:sz w:val="28"/>
                <w:szCs w:val="28"/>
                <w:lang w:val="uk-UA"/>
              </w:rPr>
              <w:t xml:space="preserve"> </w:t>
            </w:r>
            <w:r w:rsidRPr="00356B51">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en-US"/>
              </w:rPr>
              <w:t>1,43</w:t>
            </w:r>
          </w:p>
        </w:tc>
        <w:tc>
          <w:tcPr>
            <w:tcW w:w="1617" w:type="dxa"/>
          </w:tcPr>
          <w:p w:rsidR="0040455F" w:rsidRPr="00356B51" w:rsidRDefault="00356B51"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р = 0,0</w:t>
            </w:r>
            <w:r>
              <w:rPr>
                <w:rFonts w:ascii="Times New Roman" w:hAnsi="Times New Roman" w:cs="Times New Roman"/>
                <w:sz w:val="28"/>
                <w:szCs w:val="28"/>
                <w:lang w:val="en-US"/>
              </w:rPr>
              <w:t>264</w:t>
            </w:r>
          </w:p>
          <w:p w:rsidR="00356B51" w:rsidRPr="00356B51" w:rsidRDefault="00356B51" w:rsidP="00356B51">
            <w:pPr>
              <w:autoSpaceDE w:val="0"/>
              <w:autoSpaceDN w:val="0"/>
              <w:adjustRightInd w:val="0"/>
              <w:spacing w:line="360" w:lineRule="auto"/>
              <w:jc w:val="center"/>
              <w:rPr>
                <w:rFonts w:ascii="Times New Roman" w:hAnsi="Times New Roman" w:cs="Times New Roman"/>
                <w:sz w:val="28"/>
                <w:szCs w:val="28"/>
              </w:rPr>
            </w:pPr>
            <w:r w:rsidRPr="00356B51">
              <w:rPr>
                <w:rFonts w:ascii="Times New Roman" w:hAnsi="Times New Roman" w:cs="Times New Roman"/>
                <w:sz w:val="28"/>
                <w:szCs w:val="28"/>
                <w:lang w:val="en-US"/>
              </w:rPr>
              <w:t>p</w:t>
            </w:r>
            <w:r w:rsidRPr="00356B51">
              <w:rPr>
                <w:rFonts w:ascii="Times New Roman" w:hAnsi="Times New Roman" w:cs="Times New Roman"/>
                <w:sz w:val="28"/>
                <w:szCs w:val="28"/>
                <w:vertAlign w:val="subscript"/>
              </w:rPr>
              <w:t xml:space="preserve">2 </w:t>
            </w:r>
            <w:r w:rsidRPr="00356B51">
              <w:rPr>
                <w:rFonts w:ascii="Times New Roman" w:hAnsi="Times New Roman" w:cs="Times New Roman"/>
                <w:sz w:val="28"/>
                <w:szCs w:val="28"/>
              </w:rPr>
              <w:t>&lt; 0,0001</w:t>
            </w:r>
          </w:p>
          <w:p w:rsidR="00356B51" w:rsidRPr="00356B51" w:rsidRDefault="00356B51" w:rsidP="00356B51">
            <w:pPr>
              <w:autoSpaceDE w:val="0"/>
              <w:autoSpaceDN w:val="0"/>
              <w:adjustRightInd w:val="0"/>
              <w:spacing w:line="360" w:lineRule="auto"/>
              <w:jc w:val="center"/>
              <w:rPr>
                <w:rFonts w:ascii="Times New Roman" w:hAnsi="Times New Roman" w:cs="Times New Roman"/>
                <w:sz w:val="28"/>
                <w:szCs w:val="28"/>
                <w:lang w:val="en-US"/>
              </w:rPr>
            </w:pPr>
            <w:r w:rsidRPr="00356B51">
              <w:rPr>
                <w:rFonts w:ascii="Times New Roman" w:hAnsi="Times New Roman" w:cs="Times New Roman"/>
                <w:sz w:val="28"/>
                <w:szCs w:val="28"/>
                <w:lang w:val="en-US"/>
              </w:rPr>
              <w:t>p</w:t>
            </w:r>
            <w:r w:rsidRPr="00356B51">
              <w:rPr>
                <w:rFonts w:ascii="Times New Roman" w:hAnsi="Times New Roman" w:cs="Times New Roman"/>
                <w:sz w:val="28"/>
                <w:szCs w:val="28"/>
                <w:vertAlign w:val="subscript"/>
              </w:rPr>
              <w:t xml:space="preserve">3 </w:t>
            </w:r>
            <w:r w:rsidRPr="00356B51">
              <w:rPr>
                <w:rFonts w:ascii="Times New Roman" w:hAnsi="Times New Roman" w:cs="Times New Roman"/>
                <w:sz w:val="28"/>
                <w:szCs w:val="28"/>
              </w:rPr>
              <w:t>&lt; 0,0001</w:t>
            </w:r>
          </w:p>
        </w:tc>
      </w:tr>
      <w:tr w:rsidR="0040455F" w:rsidTr="00893154">
        <w:tc>
          <w:tcPr>
            <w:tcW w:w="2021" w:type="dxa"/>
          </w:tcPr>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rPr>
              <w:t>ППТ,</w:t>
            </w:r>
            <w:r>
              <w:rPr>
                <w:rFonts w:ascii="Times New Roman" w:hAnsi="Times New Roman" w:cs="Times New Roman"/>
                <w:sz w:val="28"/>
                <w:szCs w:val="28"/>
                <w:lang w:val="en-US"/>
              </w:rPr>
              <w:t xml:space="preserve"> </w:t>
            </w:r>
            <w:r>
              <w:rPr>
                <w:rFonts w:ascii="Times New Roman" w:hAnsi="Times New Roman" w:cs="Times New Roman"/>
                <w:sz w:val="28"/>
                <w:szCs w:val="28"/>
              </w:rPr>
              <w:t>м</w:t>
            </w:r>
            <w:r>
              <w:rPr>
                <w:rFonts w:ascii="Times New Roman" w:hAnsi="Times New Roman" w:cs="Times New Roman"/>
                <w:sz w:val="28"/>
                <w:szCs w:val="28"/>
                <w:vertAlign w:val="superscript"/>
              </w:rPr>
              <w:t>2</w:t>
            </w:r>
          </w:p>
        </w:tc>
        <w:tc>
          <w:tcPr>
            <w:tcW w:w="2213" w:type="dxa"/>
          </w:tcPr>
          <w:p w:rsidR="0040455F" w:rsidRPr="002814B6" w:rsidRDefault="002814B6" w:rsidP="00EA7099">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2,02</w:t>
            </w:r>
            <w:r w:rsidR="00F23E3F">
              <w:rPr>
                <w:rFonts w:ascii="Times New Roman" w:hAnsi="Times New Roman" w:cs="Times New Roman"/>
                <w:sz w:val="28"/>
                <w:szCs w:val="28"/>
                <w:lang w:val="uk-UA"/>
              </w:rPr>
              <w:t xml:space="preserve"> </w:t>
            </w:r>
            <w:r w:rsidRPr="002814B6">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en-US"/>
              </w:rPr>
              <w:t>0,01</w:t>
            </w:r>
          </w:p>
        </w:tc>
        <w:tc>
          <w:tcPr>
            <w:tcW w:w="1862" w:type="dxa"/>
          </w:tcPr>
          <w:p w:rsidR="0040455F" w:rsidRPr="002814B6" w:rsidRDefault="002814B6"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1,96</w:t>
            </w:r>
            <w:r w:rsidR="00F23E3F">
              <w:rPr>
                <w:rFonts w:ascii="Times New Roman" w:hAnsi="Times New Roman" w:cs="Times New Roman"/>
                <w:sz w:val="28"/>
                <w:szCs w:val="28"/>
                <w:lang w:val="uk-UA"/>
              </w:rPr>
              <w:t xml:space="preserve"> </w:t>
            </w:r>
            <w:r w:rsidRPr="002814B6">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en-US"/>
              </w:rPr>
              <w:t>0,02</w:t>
            </w:r>
          </w:p>
        </w:tc>
        <w:tc>
          <w:tcPr>
            <w:tcW w:w="1750" w:type="dxa"/>
          </w:tcPr>
          <w:p w:rsidR="0040455F" w:rsidRPr="002814B6" w:rsidRDefault="002814B6"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1,66</w:t>
            </w:r>
            <w:r w:rsidR="00F23E3F">
              <w:rPr>
                <w:rFonts w:ascii="Times New Roman" w:hAnsi="Times New Roman" w:cs="Times New Roman"/>
                <w:sz w:val="28"/>
                <w:szCs w:val="28"/>
                <w:lang w:val="uk-UA"/>
              </w:rPr>
              <w:t xml:space="preserve"> </w:t>
            </w:r>
            <w:r w:rsidRPr="002814B6">
              <w:rPr>
                <w:rFonts w:ascii="Times New Roman" w:hAnsi="Times New Roman" w:cs="Times New Roman"/>
                <w:sz w:val="28"/>
                <w:szCs w:val="28"/>
                <w:lang w:val="uk-UA"/>
              </w:rPr>
              <w:t>±</w:t>
            </w:r>
            <w:r w:rsidR="00F23E3F">
              <w:rPr>
                <w:rFonts w:ascii="Times New Roman" w:hAnsi="Times New Roman" w:cs="Times New Roman"/>
                <w:sz w:val="28"/>
                <w:szCs w:val="28"/>
                <w:lang w:val="uk-UA"/>
              </w:rPr>
              <w:t xml:space="preserve"> </w:t>
            </w:r>
            <w:r>
              <w:rPr>
                <w:rFonts w:ascii="Times New Roman" w:hAnsi="Times New Roman" w:cs="Times New Roman"/>
                <w:sz w:val="28"/>
                <w:szCs w:val="28"/>
                <w:lang w:val="en-US"/>
              </w:rPr>
              <w:t>0,03</w:t>
            </w:r>
          </w:p>
        </w:tc>
        <w:tc>
          <w:tcPr>
            <w:tcW w:w="1617" w:type="dxa"/>
          </w:tcPr>
          <w:p w:rsidR="002814B6" w:rsidRPr="002814B6" w:rsidRDefault="002814B6" w:rsidP="002814B6">
            <w:pPr>
              <w:autoSpaceDE w:val="0"/>
              <w:autoSpaceDN w:val="0"/>
              <w:adjustRightInd w:val="0"/>
              <w:spacing w:line="360" w:lineRule="auto"/>
              <w:jc w:val="center"/>
              <w:rPr>
                <w:rFonts w:ascii="Times New Roman" w:hAnsi="Times New Roman" w:cs="Times New Roman"/>
                <w:sz w:val="28"/>
                <w:szCs w:val="28"/>
                <w:lang w:val="en-US"/>
              </w:rPr>
            </w:pPr>
            <w:r w:rsidRPr="002814B6">
              <w:rPr>
                <w:rFonts w:ascii="Times New Roman" w:hAnsi="Times New Roman" w:cs="Times New Roman"/>
                <w:sz w:val="28"/>
                <w:szCs w:val="28"/>
                <w:lang w:val="en-US"/>
              </w:rPr>
              <w:t>p</w:t>
            </w:r>
            <w:r w:rsidRPr="002814B6">
              <w:rPr>
                <w:rFonts w:ascii="Times New Roman" w:hAnsi="Times New Roman" w:cs="Times New Roman"/>
                <w:sz w:val="28"/>
                <w:szCs w:val="28"/>
                <w:vertAlign w:val="subscript"/>
              </w:rPr>
              <w:t>1</w:t>
            </w:r>
            <w:r w:rsidRPr="002814B6">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rPr>
              <w:t xml:space="preserve"> 0,00</w:t>
            </w:r>
            <w:r>
              <w:rPr>
                <w:rFonts w:ascii="Times New Roman" w:hAnsi="Times New Roman" w:cs="Times New Roman"/>
                <w:sz w:val="28"/>
                <w:szCs w:val="28"/>
                <w:lang w:val="en-US"/>
              </w:rPr>
              <w:t>76</w:t>
            </w:r>
          </w:p>
          <w:p w:rsidR="002814B6" w:rsidRPr="002814B6" w:rsidRDefault="002814B6" w:rsidP="002814B6">
            <w:pPr>
              <w:autoSpaceDE w:val="0"/>
              <w:autoSpaceDN w:val="0"/>
              <w:adjustRightInd w:val="0"/>
              <w:spacing w:line="360" w:lineRule="auto"/>
              <w:jc w:val="center"/>
              <w:rPr>
                <w:rFonts w:ascii="Times New Roman" w:hAnsi="Times New Roman" w:cs="Times New Roman"/>
                <w:sz w:val="28"/>
                <w:szCs w:val="28"/>
              </w:rPr>
            </w:pPr>
            <w:r w:rsidRPr="002814B6">
              <w:rPr>
                <w:rFonts w:ascii="Times New Roman" w:hAnsi="Times New Roman" w:cs="Times New Roman"/>
                <w:sz w:val="28"/>
                <w:szCs w:val="28"/>
                <w:lang w:val="en-US"/>
              </w:rPr>
              <w:t>p</w:t>
            </w:r>
            <w:r w:rsidRPr="002814B6">
              <w:rPr>
                <w:rFonts w:ascii="Times New Roman" w:hAnsi="Times New Roman" w:cs="Times New Roman"/>
                <w:sz w:val="28"/>
                <w:szCs w:val="28"/>
                <w:vertAlign w:val="subscript"/>
              </w:rPr>
              <w:t xml:space="preserve">2 </w:t>
            </w:r>
            <w:r w:rsidRPr="002814B6">
              <w:rPr>
                <w:rFonts w:ascii="Times New Roman" w:hAnsi="Times New Roman" w:cs="Times New Roman"/>
                <w:sz w:val="28"/>
                <w:szCs w:val="28"/>
              </w:rPr>
              <w:t>&lt; 0,0001</w:t>
            </w:r>
          </w:p>
          <w:p w:rsidR="0040455F" w:rsidRDefault="002814B6" w:rsidP="002814B6">
            <w:pPr>
              <w:autoSpaceDE w:val="0"/>
              <w:autoSpaceDN w:val="0"/>
              <w:adjustRightInd w:val="0"/>
              <w:spacing w:line="360" w:lineRule="auto"/>
              <w:jc w:val="center"/>
              <w:rPr>
                <w:rFonts w:ascii="Times New Roman" w:hAnsi="Times New Roman" w:cs="Times New Roman"/>
                <w:sz w:val="28"/>
                <w:szCs w:val="28"/>
                <w:lang w:val="uk-UA"/>
              </w:rPr>
            </w:pPr>
            <w:r w:rsidRPr="002814B6">
              <w:rPr>
                <w:rFonts w:ascii="Times New Roman" w:hAnsi="Times New Roman" w:cs="Times New Roman"/>
                <w:sz w:val="28"/>
                <w:szCs w:val="28"/>
                <w:lang w:val="en-US"/>
              </w:rPr>
              <w:t>p</w:t>
            </w:r>
            <w:r w:rsidRPr="002814B6">
              <w:rPr>
                <w:rFonts w:ascii="Times New Roman" w:hAnsi="Times New Roman" w:cs="Times New Roman"/>
                <w:sz w:val="28"/>
                <w:szCs w:val="28"/>
                <w:vertAlign w:val="subscript"/>
              </w:rPr>
              <w:t xml:space="preserve">3 </w:t>
            </w:r>
            <w:r w:rsidRPr="002814B6">
              <w:rPr>
                <w:rFonts w:ascii="Times New Roman" w:hAnsi="Times New Roman" w:cs="Times New Roman"/>
                <w:sz w:val="28"/>
                <w:szCs w:val="28"/>
              </w:rPr>
              <w:t>&lt; 0,0001</w:t>
            </w:r>
          </w:p>
        </w:tc>
      </w:tr>
      <w:tr w:rsidR="0040455F" w:rsidTr="00893154">
        <w:tc>
          <w:tcPr>
            <w:tcW w:w="2021" w:type="dxa"/>
          </w:tcPr>
          <w:p w:rsidR="0040455F" w:rsidRPr="003F679B" w:rsidRDefault="0040455F"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ММЛШ</w:t>
            </w:r>
            <w:r>
              <w:rPr>
                <w:rFonts w:ascii="Times New Roman" w:hAnsi="Times New Roman" w:cs="Times New Roman"/>
                <w:sz w:val="28"/>
                <w:szCs w:val="28"/>
              </w:rPr>
              <w:t>, г</w:t>
            </w:r>
          </w:p>
        </w:tc>
        <w:tc>
          <w:tcPr>
            <w:tcW w:w="2213" w:type="dxa"/>
          </w:tcPr>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uk-UA"/>
              </w:rPr>
              <w:t>28</w:t>
            </w:r>
            <w:r w:rsidRPr="0040455F">
              <w:rPr>
                <w:rFonts w:ascii="Times New Roman" w:hAnsi="Times New Roman" w:cs="Times New Roman"/>
                <w:sz w:val="28"/>
                <w:szCs w:val="28"/>
              </w:rPr>
              <w:t>1</w:t>
            </w:r>
            <w:r>
              <w:rPr>
                <w:rFonts w:ascii="Times New Roman" w:hAnsi="Times New Roman" w:cs="Times New Roman"/>
                <w:sz w:val="28"/>
                <w:szCs w:val="28"/>
                <w:lang w:val="uk-UA"/>
              </w:rPr>
              <w:t>,8</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893154">
              <w:rPr>
                <w:rFonts w:ascii="Times New Roman" w:hAnsi="Times New Roman" w:cs="Times New Roman"/>
                <w:sz w:val="28"/>
                <w:szCs w:val="28"/>
                <w:lang w:val="en-US"/>
              </w:rPr>
              <w:t xml:space="preserve"> </w:t>
            </w:r>
            <w:r w:rsidRPr="0040455F">
              <w:rPr>
                <w:rFonts w:ascii="Times New Roman" w:hAnsi="Times New Roman" w:cs="Times New Roman"/>
                <w:sz w:val="28"/>
                <w:szCs w:val="28"/>
              </w:rPr>
              <w:t>8</w:t>
            </w:r>
            <w:r>
              <w:rPr>
                <w:rFonts w:ascii="Times New Roman" w:hAnsi="Times New Roman" w:cs="Times New Roman"/>
                <w:sz w:val="28"/>
                <w:szCs w:val="28"/>
                <w:lang w:val="uk-UA"/>
              </w:rPr>
              <w:t>,</w:t>
            </w:r>
            <w:r w:rsidRPr="0040455F">
              <w:rPr>
                <w:rFonts w:ascii="Times New Roman" w:hAnsi="Times New Roman" w:cs="Times New Roman"/>
                <w:sz w:val="28"/>
                <w:szCs w:val="28"/>
              </w:rPr>
              <w:t>08</w:t>
            </w:r>
          </w:p>
        </w:tc>
        <w:tc>
          <w:tcPr>
            <w:tcW w:w="1862" w:type="dxa"/>
          </w:tcPr>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rPr>
            </w:pPr>
            <w:r w:rsidRPr="0040455F">
              <w:rPr>
                <w:rFonts w:ascii="Times New Roman" w:hAnsi="Times New Roman" w:cs="Times New Roman"/>
                <w:sz w:val="28"/>
                <w:szCs w:val="28"/>
              </w:rPr>
              <w:t>210</w:t>
            </w:r>
            <w:r>
              <w:rPr>
                <w:rFonts w:ascii="Times New Roman" w:hAnsi="Times New Roman" w:cs="Times New Roman"/>
                <w:sz w:val="28"/>
                <w:szCs w:val="28"/>
                <w:lang w:val="uk-UA"/>
              </w:rPr>
              <w:t>,</w:t>
            </w:r>
            <w:r w:rsidRPr="0040455F">
              <w:rPr>
                <w:rFonts w:ascii="Times New Roman" w:hAnsi="Times New Roman" w:cs="Times New Roman"/>
                <w:sz w:val="28"/>
                <w:szCs w:val="28"/>
              </w:rPr>
              <w:t>75</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893154">
              <w:rPr>
                <w:rFonts w:ascii="Times New Roman" w:hAnsi="Times New Roman" w:cs="Times New Roman"/>
                <w:sz w:val="28"/>
                <w:szCs w:val="28"/>
                <w:lang w:val="en-US"/>
              </w:rPr>
              <w:t xml:space="preserve"> </w:t>
            </w:r>
            <w:r w:rsidRPr="0040455F">
              <w:rPr>
                <w:rFonts w:ascii="Times New Roman" w:hAnsi="Times New Roman" w:cs="Times New Roman"/>
                <w:sz w:val="28"/>
                <w:szCs w:val="28"/>
              </w:rPr>
              <w:t>14</w:t>
            </w:r>
            <w:r>
              <w:rPr>
                <w:rFonts w:ascii="Times New Roman" w:hAnsi="Times New Roman" w:cs="Times New Roman"/>
                <w:sz w:val="28"/>
                <w:szCs w:val="28"/>
                <w:lang w:val="uk-UA"/>
              </w:rPr>
              <w:t>,</w:t>
            </w:r>
            <w:r w:rsidRPr="0040455F">
              <w:rPr>
                <w:rFonts w:ascii="Times New Roman" w:hAnsi="Times New Roman" w:cs="Times New Roman"/>
                <w:sz w:val="28"/>
                <w:szCs w:val="28"/>
              </w:rPr>
              <w:t>3</w:t>
            </w:r>
          </w:p>
        </w:tc>
        <w:tc>
          <w:tcPr>
            <w:tcW w:w="1750" w:type="dxa"/>
          </w:tcPr>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rPr>
            </w:pPr>
            <w:r w:rsidRPr="0040455F">
              <w:rPr>
                <w:rFonts w:ascii="Times New Roman" w:hAnsi="Times New Roman" w:cs="Times New Roman"/>
                <w:sz w:val="28"/>
                <w:szCs w:val="28"/>
              </w:rPr>
              <w:t>123,39</w:t>
            </w:r>
            <w:r w:rsidR="00893154">
              <w:rPr>
                <w:rFonts w:ascii="Times New Roman" w:hAnsi="Times New Roman" w:cs="Times New Roman"/>
                <w:sz w:val="28"/>
                <w:szCs w:val="28"/>
                <w:lang w:val="en-US"/>
              </w:rPr>
              <w:t xml:space="preserve"> </w:t>
            </w:r>
            <w:r w:rsidRPr="0040455F">
              <w:rPr>
                <w:rFonts w:ascii="Times New Roman" w:hAnsi="Times New Roman" w:cs="Times New Roman"/>
                <w:sz w:val="28"/>
                <w:szCs w:val="28"/>
              </w:rPr>
              <w:t>±</w:t>
            </w:r>
            <w:r w:rsidR="00893154">
              <w:rPr>
                <w:rFonts w:ascii="Times New Roman" w:hAnsi="Times New Roman" w:cs="Times New Roman"/>
                <w:sz w:val="28"/>
                <w:szCs w:val="28"/>
                <w:lang w:val="en-US"/>
              </w:rPr>
              <w:t xml:space="preserve"> </w:t>
            </w:r>
            <w:r w:rsidRPr="0040455F">
              <w:rPr>
                <w:rFonts w:ascii="Times New Roman" w:hAnsi="Times New Roman" w:cs="Times New Roman"/>
                <w:sz w:val="28"/>
                <w:szCs w:val="28"/>
              </w:rPr>
              <w:t>3,4</w:t>
            </w:r>
          </w:p>
        </w:tc>
        <w:tc>
          <w:tcPr>
            <w:tcW w:w="1617" w:type="dxa"/>
          </w:tcPr>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p</w:t>
            </w:r>
            <w:r w:rsidRPr="0040455F">
              <w:rPr>
                <w:rFonts w:ascii="Times New Roman" w:hAnsi="Times New Roman" w:cs="Times New Roman"/>
                <w:sz w:val="28"/>
                <w:szCs w:val="28"/>
                <w:vertAlign w:val="subscript"/>
              </w:rPr>
              <w:t>1</w:t>
            </w:r>
            <w:r>
              <w:rPr>
                <w:rFonts w:ascii="Times New Roman" w:hAnsi="Times New Roman" w:cs="Times New Roman"/>
                <w:sz w:val="28"/>
                <w:szCs w:val="28"/>
                <w:lang w:val="uk-UA"/>
              </w:rPr>
              <w:t xml:space="preserve"> </w:t>
            </w:r>
            <w:r w:rsidRPr="0040455F">
              <w:rPr>
                <w:rFonts w:ascii="Times New Roman" w:hAnsi="Times New Roman" w:cs="Times New Roman"/>
                <w:sz w:val="28"/>
                <w:szCs w:val="28"/>
              </w:rPr>
              <w:t>&lt; 0,0001</w:t>
            </w:r>
          </w:p>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p</w:t>
            </w:r>
            <w:r w:rsidRPr="0040455F">
              <w:rPr>
                <w:rFonts w:ascii="Times New Roman" w:hAnsi="Times New Roman" w:cs="Times New Roman"/>
                <w:sz w:val="28"/>
                <w:szCs w:val="28"/>
                <w:vertAlign w:val="subscript"/>
              </w:rPr>
              <w:t xml:space="preserve">2 </w:t>
            </w:r>
            <w:r w:rsidRPr="0040455F">
              <w:rPr>
                <w:rFonts w:ascii="Times New Roman" w:hAnsi="Times New Roman" w:cs="Times New Roman"/>
                <w:sz w:val="28"/>
                <w:szCs w:val="28"/>
              </w:rPr>
              <w:t>&lt; 0,0001</w:t>
            </w:r>
          </w:p>
          <w:p w:rsidR="0040455F" w:rsidRPr="0040455F" w:rsidRDefault="0040455F"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p</w:t>
            </w:r>
            <w:r w:rsidRPr="0040455F">
              <w:rPr>
                <w:rFonts w:ascii="Times New Roman" w:hAnsi="Times New Roman" w:cs="Times New Roman"/>
                <w:sz w:val="28"/>
                <w:szCs w:val="28"/>
                <w:vertAlign w:val="subscript"/>
              </w:rPr>
              <w:t xml:space="preserve">3 </w:t>
            </w:r>
            <w:r w:rsidRPr="0040455F">
              <w:rPr>
                <w:rFonts w:ascii="Times New Roman" w:hAnsi="Times New Roman" w:cs="Times New Roman"/>
                <w:sz w:val="28"/>
                <w:szCs w:val="28"/>
              </w:rPr>
              <w:t>&lt; 0,0001</w:t>
            </w:r>
          </w:p>
        </w:tc>
      </w:tr>
      <w:tr w:rsidR="0040455F" w:rsidTr="00893154">
        <w:tc>
          <w:tcPr>
            <w:tcW w:w="2021" w:type="dxa"/>
          </w:tcPr>
          <w:p w:rsidR="0040455F" w:rsidRPr="006C5076" w:rsidRDefault="0040455F"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ВТСЛШ, см</w:t>
            </w:r>
          </w:p>
        </w:tc>
        <w:tc>
          <w:tcPr>
            <w:tcW w:w="2213" w:type="dxa"/>
          </w:tcPr>
          <w:p w:rsidR="0040455F" w:rsidRPr="00C775A0" w:rsidRDefault="00C775A0"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0,4</w:t>
            </w:r>
            <w:r>
              <w:rPr>
                <w:rFonts w:ascii="Times New Roman" w:hAnsi="Times New Roman" w:cs="Times New Roman"/>
                <w:sz w:val="28"/>
                <w:szCs w:val="28"/>
                <w:lang w:val="en-US"/>
              </w:rPr>
              <w:t>7</w:t>
            </w:r>
            <w:r w:rsidR="00893154">
              <w:rPr>
                <w:rFonts w:ascii="Times New Roman" w:hAnsi="Times New Roman" w:cs="Times New Roman"/>
                <w:sz w:val="28"/>
                <w:szCs w:val="28"/>
                <w:lang w:val="en-US"/>
              </w:rPr>
              <w:t xml:space="preserve"> </w:t>
            </w:r>
            <w:r w:rsidR="0040455F" w:rsidRPr="0040455F">
              <w:rPr>
                <w:rFonts w:ascii="Times New Roman" w:hAnsi="Times New Roman" w:cs="Times New Roman"/>
                <w:sz w:val="28"/>
                <w:szCs w:val="28"/>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rPr>
              <w:t>0,00</w:t>
            </w:r>
            <w:r>
              <w:rPr>
                <w:rFonts w:ascii="Times New Roman" w:hAnsi="Times New Roman" w:cs="Times New Roman"/>
                <w:sz w:val="28"/>
                <w:szCs w:val="28"/>
                <w:lang w:val="en-US"/>
              </w:rPr>
              <w:t>4</w:t>
            </w:r>
          </w:p>
        </w:tc>
        <w:tc>
          <w:tcPr>
            <w:tcW w:w="1862" w:type="dxa"/>
          </w:tcPr>
          <w:p w:rsidR="0040455F" w:rsidRPr="00C775A0" w:rsidRDefault="00C775A0"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0,45</w:t>
            </w:r>
            <w:r w:rsidR="00893154">
              <w:rPr>
                <w:rFonts w:ascii="Times New Roman" w:hAnsi="Times New Roman" w:cs="Times New Roman"/>
                <w:sz w:val="28"/>
                <w:szCs w:val="28"/>
                <w:lang w:val="en-US"/>
              </w:rPr>
              <w:t xml:space="preserve"> </w:t>
            </w:r>
            <w:r>
              <w:rPr>
                <w:rFonts w:ascii="Times New Roman" w:hAnsi="Times New Roman" w:cs="Times New Roman"/>
                <w:sz w:val="28"/>
                <w:szCs w:val="28"/>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rPr>
              <w:t>0,00</w:t>
            </w:r>
            <w:r>
              <w:rPr>
                <w:rFonts w:ascii="Times New Roman" w:hAnsi="Times New Roman" w:cs="Times New Roman"/>
                <w:sz w:val="28"/>
                <w:szCs w:val="28"/>
                <w:lang w:val="en-US"/>
              </w:rPr>
              <w:t>6</w:t>
            </w:r>
          </w:p>
        </w:tc>
        <w:tc>
          <w:tcPr>
            <w:tcW w:w="1750" w:type="dxa"/>
          </w:tcPr>
          <w:p w:rsidR="0040455F" w:rsidRPr="00C775A0" w:rsidRDefault="00C775A0"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0,34</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en-US"/>
              </w:rPr>
              <w:t>0,011</w:t>
            </w:r>
          </w:p>
        </w:tc>
        <w:tc>
          <w:tcPr>
            <w:tcW w:w="1617" w:type="dxa"/>
          </w:tcPr>
          <w:p w:rsidR="0040455F" w:rsidRDefault="00C775A0" w:rsidP="006C5076">
            <w:pPr>
              <w:autoSpaceDE w:val="0"/>
              <w:autoSpaceDN w:val="0"/>
              <w:adjustRightInd w:val="0"/>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en-US"/>
              </w:rPr>
              <w:t>1</w:t>
            </w:r>
            <w:r w:rsidR="0040455F">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0040455F" w:rsidRPr="0040455F">
              <w:rPr>
                <w:rFonts w:ascii="Times New Roman" w:hAnsi="Times New Roman" w:cs="Times New Roman"/>
                <w:sz w:val="28"/>
                <w:szCs w:val="28"/>
              </w:rPr>
              <w:t xml:space="preserve"> 0</w:t>
            </w:r>
            <w:r>
              <w:rPr>
                <w:rFonts w:ascii="Times New Roman" w:hAnsi="Times New Roman" w:cs="Times New Roman"/>
                <w:sz w:val="28"/>
                <w:szCs w:val="28"/>
                <w:lang w:val="en-US"/>
              </w:rPr>
              <w:t>,0192</w:t>
            </w:r>
          </w:p>
          <w:p w:rsidR="00C775A0" w:rsidRPr="00C775A0" w:rsidRDefault="00C775A0" w:rsidP="00C775A0">
            <w:pPr>
              <w:autoSpaceDE w:val="0"/>
              <w:autoSpaceDN w:val="0"/>
              <w:adjustRightInd w:val="0"/>
              <w:spacing w:line="360" w:lineRule="auto"/>
              <w:jc w:val="center"/>
              <w:rPr>
                <w:rFonts w:ascii="Times New Roman" w:hAnsi="Times New Roman" w:cs="Times New Roman"/>
                <w:sz w:val="28"/>
                <w:szCs w:val="28"/>
              </w:rPr>
            </w:pPr>
            <w:r w:rsidRPr="00C775A0">
              <w:rPr>
                <w:rFonts w:ascii="Times New Roman" w:hAnsi="Times New Roman" w:cs="Times New Roman"/>
                <w:sz w:val="28"/>
                <w:szCs w:val="28"/>
                <w:lang w:val="en-US"/>
              </w:rPr>
              <w:t>p</w:t>
            </w:r>
            <w:r w:rsidRPr="00C775A0">
              <w:rPr>
                <w:rFonts w:ascii="Times New Roman" w:hAnsi="Times New Roman" w:cs="Times New Roman"/>
                <w:sz w:val="28"/>
                <w:szCs w:val="28"/>
                <w:vertAlign w:val="subscript"/>
              </w:rPr>
              <w:t xml:space="preserve">2 </w:t>
            </w:r>
            <w:r w:rsidRPr="00C775A0">
              <w:rPr>
                <w:rFonts w:ascii="Times New Roman" w:hAnsi="Times New Roman" w:cs="Times New Roman"/>
                <w:sz w:val="28"/>
                <w:szCs w:val="28"/>
              </w:rPr>
              <w:t>&lt; 0,0001</w:t>
            </w:r>
          </w:p>
          <w:p w:rsidR="00C775A0" w:rsidRPr="00C775A0" w:rsidRDefault="00C775A0" w:rsidP="00C775A0">
            <w:pPr>
              <w:autoSpaceDE w:val="0"/>
              <w:autoSpaceDN w:val="0"/>
              <w:adjustRightInd w:val="0"/>
              <w:spacing w:line="360" w:lineRule="auto"/>
              <w:jc w:val="center"/>
              <w:rPr>
                <w:rFonts w:ascii="Times New Roman" w:hAnsi="Times New Roman" w:cs="Times New Roman"/>
                <w:sz w:val="28"/>
                <w:szCs w:val="28"/>
                <w:lang w:val="en-US"/>
              </w:rPr>
            </w:pPr>
            <w:r w:rsidRPr="00C775A0">
              <w:rPr>
                <w:rFonts w:ascii="Times New Roman" w:hAnsi="Times New Roman" w:cs="Times New Roman"/>
                <w:sz w:val="28"/>
                <w:szCs w:val="28"/>
                <w:lang w:val="en-US"/>
              </w:rPr>
              <w:t>p</w:t>
            </w:r>
            <w:r w:rsidRPr="00C775A0">
              <w:rPr>
                <w:rFonts w:ascii="Times New Roman" w:hAnsi="Times New Roman" w:cs="Times New Roman"/>
                <w:sz w:val="28"/>
                <w:szCs w:val="28"/>
                <w:vertAlign w:val="subscript"/>
              </w:rPr>
              <w:t xml:space="preserve">3 </w:t>
            </w:r>
            <w:r>
              <w:rPr>
                <w:rFonts w:ascii="Times New Roman" w:hAnsi="Times New Roman" w:cs="Times New Roman"/>
                <w:sz w:val="28"/>
                <w:szCs w:val="28"/>
                <w:lang w:val="en-US"/>
              </w:rPr>
              <w:t>&lt;</w:t>
            </w:r>
            <w:r w:rsidRPr="00C775A0">
              <w:rPr>
                <w:rFonts w:ascii="Times New Roman" w:hAnsi="Times New Roman" w:cs="Times New Roman"/>
                <w:sz w:val="28"/>
                <w:szCs w:val="28"/>
              </w:rPr>
              <w:t xml:space="preserve"> 0,000</w:t>
            </w:r>
            <w:r>
              <w:rPr>
                <w:rFonts w:ascii="Times New Roman" w:hAnsi="Times New Roman" w:cs="Times New Roman"/>
                <w:sz w:val="28"/>
                <w:szCs w:val="28"/>
                <w:lang w:val="en-US"/>
              </w:rPr>
              <w:t>1</w:t>
            </w:r>
          </w:p>
        </w:tc>
      </w:tr>
      <w:tr w:rsidR="0040455F" w:rsidTr="00893154">
        <w:tc>
          <w:tcPr>
            <w:tcW w:w="2021" w:type="dxa"/>
          </w:tcPr>
          <w:p w:rsidR="0040455F" w:rsidRPr="000F0066" w:rsidRDefault="0040455F" w:rsidP="006C5076">
            <w:pPr>
              <w:autoSpaceDE w:val="0"/>
              <w:autoSpaceDN w:val="0"/>
              <w:adjustRightInd w:val="0"/>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lang w:val="uk-UA"/>
              </w:rPr>
              <w:t>ІММЛШ</w:t>
            </w:r>
            <w:r>
              <w:rPr>
                <w:rFonts w:ascii="Times New Roman" w:hAnsi="Times New Roman" w:cs="Times New Roman"/>
                <w:sz w:val="28"/>
                <w:szCs w:val="28"/>
                <w:lang w:val="en-US"/>
              </w:rPr>
              <w:t xml:space="preserve">, </w:t>
            </w:r>
            <w:r>
              <w:rPr>
                <w:rFonts w:ascii="Times New Roman" w:hAnsi="Times New Roman" w:cs="Times New Roman"/>
                <w:sz w:val="28"/>
                <w:szCs w:val="28"/>
              </w:rPr>
              <w:t>г/м</w:t>
            </w:r>
            <w:r>
              <w:rPr>
                <w:rFonts w:ascii="Times New Roman" w:hAnsi="Times New Roman" w:cs="Times New Roman"/>
                <w:sz w:val="28"/>
                <w:szCs w:val="28"/>
                <w:vertAlign w:val="superscript"/>
              </w:rPr>
              <w:t>2,7</w:t>
            </w:r>
          </w:p>
        </w:tc>
        <w:tc>
          <w:tcPr>
            <w:tcW w:w="2213" w:type="dxa"/>
          </w:tcPr>
          <w:p w:rsidR="0040455F" w:rsidRPr="000F0066" w:rsidRDefault="00C9538E"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3</w:t>
            </w:r>
            <w:r>
              <w:rPr>
                <w:rFonts w:ascii="Times New Roman" w:hAnsi="Times New Roman" w:cs="Times New Roman"/>
                <w:sz w:val="28"/>
                <w:szCs w:val="28"/>
                <w:lang w:val="en-US"/>
              </w:rPr>
              <w:t>,</w:t>
            </w:r>
            <w:r>
              <w:rPr>
                <w:rFonts w:ascii="Times New Roman" w:hAnsi="Times New Roman" w:cs="Times New Roman"/>
                <w:sz w:val="28"/>
                <w:szCs w:val="28"/>
              </w:rPr>
              <w:t>2</w:t>
            </w:r>
            <w:r w:rsidR="00893154">
              <w:rPr>
                <w:rFonts w:ascii="Times New Roman" w:hAnsi="Times New Roman" w:cs="Times New Roman"/>
                <w:sz w:val="28"/>
                <w:szCs w:val="28"/>
                <w:lang w:val="en-US"/>
              </w:rPr>
              <w:t xml:space="preserve"> </w:t>
            </w:r>
            <w:r w:rsidR="0040455F">
              <w:rPr>
                <w:rFonts w:ascii="Times New Roman" w:hAnsi="Times New Roman" w:cs="Times New Roman"/>
                <w:sz w:val="28"/>
                <w:szCs w:val="28"/>
                <w:lang w:val="en-US"/>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rPr>
              <w:t>3</w:t>
            </w:r>
            <w:r w:rsidR="0040455F">
              <w:rPr>
                <w:rFonts w:ascii="Times New Roman" w:hAnsi="Times New Roman" w:cs="Times New Roman"/>
                <w:sz w:val="28"/>
                <w:szCs w:val="28"/>
              </w:rPr>
              <w:t>,3</w:t>
            </w:r>
            <w:r>
              <w:rPr>
                <w:rFonts w:ascii="Times New Roman" w:hAnsi="Times New Roman" w:cs="Times New Roman"/>
                <w:sz w:val="28"/>
                <w:szCs w:val="28"/>
              </w:rPr>
              <w:t>8</w:t>
            </w:r>
          </w:p>
        </w:tc>
        <w:tc>
          <w:tcPr>
            <w:tcW w:w="1862" w:type="dxa"/>
          </w:tcPr>
          <w:p w:rsidR="0040455F" w:rsidRPr="00C9538E" w:rsidRDefault="00C9538E" w:rsidP="006C5076">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lang w:val="en-US"/>
              </w:rPr>
              <w:t>,</w:t>
            </w:r>
            <w:r>
              <w:rPr>
                <w:rFonts w:ascii="Times New Roman" w:hAnsi="Times New Roman" w:cs="Times New Roman"/>
                <w:sz w:val="28"/>
                <w:szCs w:val="28"/>
              </w:rPr>
              <w:t>12</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rPr>
              <w:t>3</w:t>
            </w:r>
            <w:r>
              <w:rPr>
                <w:rFonts w:ascii="Times New Roman" w:hAnsi="Times New Roman" w:cs="Times New Roman"/>
                <w:sz w:val="28"/>
                <w:szCs w:val="28"/>
                <w:lang w:val="en-US"/>
              </w:rPr>
              <w:t>,</w:t>
            </w:r>
            <w:r>
              <w:rPr>
                <w:rFonts w:ascii="Times New Roman" w:hAnsi="Times New Roman" w:cs="Times New Roman"/>
                <w:sz w:val="28"/>
                <w:szCs w:val="28"/>
              </w:rPr>
              <w:t>48</w:t>
            </w:r>
          </w:p>
        </w:tc>
        <w:tc>
          <w:tcPr>
            <w:tcW w:w="1750" w:type="dxa"/>
          </w:tcPr>
          <w:p w:rsidR="0040455F" w:rsidRDefault="00C9538E"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32,95</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0,99</w:t>
            </w:r>
          </w:p>
        </w:tc>
        <w:tc>
          <w:tcPr>
            <w:tcW w:w="1617" w:type="dxa"/>
          </w:tcPr>
          <w:p w:rsidR="0040455F" w:rsidRPr="00C9538E" w:rsidRDefault="00C9538E"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1</w:t>
            </w:r>
            <w:r w:rsidR="0040455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0,00</w:t>
            </w:r>
            <w:r>
              <w:rPr>
                <w:rFonts w:ascii="Times New Roman" w:hAnsi="Times New Roman" w:cs="Times New Roman"/>
                <w:sz w:val="28"/>
                <w:szCs w:val="28"/>
                <w:lang w:val="uk-UA"/>
              </w:rPr>
              <w:t>17</w:t>
            </w:r>
          </w:p>
          <w:p w:rsidR="00C9538E" w:rsidRPr="00C9538E" w:rsidRDefault="00C9538E" w:rsidP="00C9538E">
            <w:pPr>
              <w:autoSpaceDE w:val="0"/>
              <w:autoSpaceDN w:val="0"/>
              <w:adjustRightInd w:val="0"/>
              <w:spacing w:line="360" w:lineRule="auto"/>
              <w:jc w:val="center"/>
              <w:rPr>
                <w:rFonts w:ascii="Times New Roman" w:hAnsi="Times New Roman" w:cs="Times New Roman"/>
                <w:sz w:val="28"/>
                <w:szCs w:val="28"/>
              </w:rPr>
            </w:pPr>
            <w:r w:rsidRPr="00C9538E">
              <w:rPr>
                <w:rFonts w:ascii="Times New Roman" w:hAnsi="Times New Roman" w:cs="Times New Roman"/>
                <w:sz w:val="28"/>
                <w:szCs w:val="28"/>
                <w:lang w:val="en-US"/>
              </w:rPr>
              <w:t>p</w:t>
            </w:r>
            <w:r w:rsidRPr="00C9538E">
              <w:rPr>
                <w:rFonts w:ascii="Times New Roman" w:hAnsi="Times New Roman" w:cs="Times New Roman"/>
                <w:sz w:val="28"/>
                <w:szCs w:val="28"/>
                <w:vertAlign w:val="subscript"/>
              </w:rPr>
              <w:t xml:space="preserve">2 </w:t>
            </w:r>
            <w:r w:rsidRPr="00C9538E">
              <w:rPr>
                <w:rFonts w:ascii="Times New Roman" w:hAnsi="Times New Roman" w:cs="Times New Roman"/>
                <w:sz w:val="28"/>
                <w:szCs w:val="28"/>
              </w:rPr>
              <w:t>&lt; 0,0001</w:t>
            </w:r>
          </w:p>
          <w:p w:rsidR="00C9538E" w:rsidRPr="00C9538E" w:rsidRDefault="00C9538E" w:rsidP="00C9538E">
            <w:pPr>
              <w:autoSpaceDE w:val="0"/>
              <w:autoSpaceDN w:val="0"/>
              <w:adjustRightInd w:val="0"/>
              <w:spacing w:line="360" w:lineRule="auto"/>
              <w:jc w:val="center"/>
              <w:rPr>
                <w:rFonts w:ascii="Times New Roman" w:hAnsi="Times New Roman" w:cs="Times New Roman"/>
                <w:sz w:val="28"/>
                <w:szCs w:val="28"/>
                <w:lang w:val="uk-UA"/>
              </w:rPr>
            </w:pPr>
            <w:r w:rsidRPr="00C9538E">
              <w:rPr>
                <w:rFonts w:ascii="Times New Roman" w:hAnsi="Times New Roman" w:cs="Times New Roman"/>
                <w:sz w:val="28"/>
                <w:szCs w:val="28"/>
                <w:lang w:val="en-US"/>
              </w:rPr>
              <w:t>p</w:t>
            </w:r>
            <w:r w:rsidRPr="00C9538E">
              <w:rPr>
                <w:rFonts w:ascii="Times New Roman" w:hAnsi="Times New Roman" w:cs="Times New Roman"/>
                <w:sz w:val="28"/>
                <w:szCs w:val="28"/>
                <w:vertAlign w:val="subscript"/>
              </w:rPr>
              <w:t xml:space="preserve">3 </w:t>
            </w:r>
            <w:r>
              <w:rPr>
                <w:rFonts w:ascii="Times New Roman" w:hAnsi="Times New Roman" w:cs="Times New Roman"/>
                <w:sz w:val="28"/>
                <w:szCs w:val="28"/>
                <w:lang w:val="uk-UA"/>
              </w:rPr>
              <w:t>=</w:t>
            </w:r>
            <w:r>
              <w:rPr>
                <w:rFonts w:ascii="Times New Roman" w:hAnsi="Times New Roman" w:cs="Times New Roman"/>
                <w:sz w:val="28"/>
                <w:szCs w:val="28"/>
              </w:rPr>
              <w:t xml:space="preserve"> 0,000</w:t>
            </w:r>
            <w:r>
              <w:rPr>
                <w:rFonts w:ascii="Times New Roman" w:hAnsi="Times New Roman" w:cs="Times New Roman"/>
                <w:sz w:val="28"/>
                <w:szCs w:val="28"/>
                <w:lang w:val="uk-UA"/>
              </w:rPr>
              <w:t>3</w:t>
            </w:r>
          </w:p>
        </w:tc>
      </w:tr>
      <w:tr w:rsidR="0040455F" w:rsidTr="00893154">
        <w:tc>
          <w:tcPr>
            <w:tcW w:w="2021" w:type="dxa"/>
          </w:tcPr>
          <w:p w:rsidR="0040455F" w:rsidRPr="00243B20" w:rsidRDefault="0040455F" w:rsidP="006C5076">
            <w:pPr>
              <w:autoSpaceDE w:val="0"/>
              <w:autoSpaceDN w:val="0"/>
              <w:adjustRightInd w:val="0"/>
              <w:spacing w:line="360" w:lineRule="auto"/>
              <w:jc w:val="center"/>
              <w:rPr>
                <w:rFonts w:ascii="Times New Roman" w:hAnsi="Times New Roman" w:cs="Times New Roman"/>
                <w:sz w:val="28"/>
                <w:szCs w:val="28"/>
                <w:vertAlign w:val="superscript"/>
                <w:lang w:val="uk-UA"/>
              </w:rPr>
            </w:pPr>
            <w:r>
              <w:rPr>
                <w:rFonts w:ascii="Times New Roman" w:hAnsi="Times New Roman" w:cs="Times New Roman"/>
                <w:sz w:val="28"/>
                <w:szCs w:val="28"/>
                <w:lang w:val="uk-UA"/>
              </w:rPr>
              <w:t>ІММЛШ, г/м</w:t>
            </w:r>
            <w:r>
              <w:rPr>
                <w:rFonts w:ascii="Times New Roman" w:hAnsi="Times New Roman" w:cs="Times New Roman"/>
                <w:sz w:val="28"/>
                <w:szCs w:val="28"/>
                <w:vertAlign w:val="superscript"/>
                <w:lang w:val="uk-UA"/>
              </w:rPr>
              <w:t>2</w:t>
            </w:r>
          </w:p>
        </w:tc>
        <w:tc>
          <w:tcPr>
            <w:tcW w:w="2213" w:type="dxa"/>
          </w:tcPr>
          <w:p w:rsidR="0040455F" w:rsidRPr="00EA7099" w:rsidRDefault="004D6904"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142,38</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4,53</w:t>
            </w:r>
          </w:p>
        </w:tc>
        <w:tc>
          <w:tcPr>
            <w:tcW w:w="1862" w:type="dxa"/>
          </w:tcPr>
          <w:p w:rsidR="0040455F" w:rsidRPr="00F1564B" w:rsidRDefault="004D6904"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107,84</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7,1</w:t>
            </w:r>
            <w:r w:rsidR="0040455F">
              <w:rPr>
                <w:rFonts w:ascii="Times New Roman" w:hAnsi="Times New Roman" w:cs="Times New Roman"/>
                <w:sz w:val="28"/>
                <w:szCs w:val="28"/>
                <w:lang w:val="uk-UA"/>
              </w:rPr>
              <w:t>9</w:t>
            </w:r>
          </w:p>
        </w:tc>
        <w:tc>
          <w:tcPr>
            <w:tcW w:w="1750" w:type="dxa"/>
          </w:tcPr>
          <w:p w:rsidR="0040455F" w:rsidRDefault="004D6904"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74,75</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893154">
              <w:rPr>
                <w:rFonts w:ascii="Times New Roman" w:hAnsi="Times New Roman" w:cs="Times New Roman"/>
                <w:sz w:val="28"/>
                <w:szCs w:val="28"/>
                <w:lang w:val="en-US"/>
              </w:rPr>
              <w:t xml:space="preserve"> </w:t>
            </w:r>
            <w:r>
              <w:rPr>
                <w:rFonts w:ascii="Times New Roman" w:hAnsi="Times New Roman" w:cs="Times New Roman"/>
                <w:sz w:val="28"/>
                <w:szCs w:val="28"/>
                <w:lang w:val="uk-UA"/>
              </w:rPr>
              <w:t>2,0</w:t>
            </w:r>
          </w:p>
        </w:tc>
        <w:tc>
          <w:tcPr>
            <w:tcW w:w="1617" w:type="dxa"/>
          </w:tcPr>
          <w:p w:rsidR="0040455F" w:rsidRPr="004D6904" w:rsidRDefault="004D6904" w:rsidP="006C5076">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1</w:t>
            </w:r>
            <w:r w:rsidR="0040455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0,000</w:t>
            </w:r>
            <w:r>
              <w:rPr>
                <w:rFonts w:ascii="Times New Roman" w:hAnsi="Times New Roman" w:cs="Times New Roman"/>
                <w:sz w:val="28"/>
                <w:szCs w:val="28"/>
                <w:lang w:val="uk-UA"/>
              </w:rPr>
              <w:t>5</w:t>
            </w:r>
          </w:p>
          <w:p w:rsidR="004D6904" w:rsidRPr="004D6904" w:rsidRDefault="004D6904" w:rsidP="004D6904">
            <w:pPr>
              <w:autoSpaceDE w:val="0"/>
              <w:autoSpaceDN w:val="0"/>
              <w:adjustRightInd w:val="0"/>
              <w:spacing w:line="360" w:lineRule="auto"/>
              <w:jc w:val="center"/>
              <w:rPr>
                <w:rFonts w:ascii="Times New Roman" w:hAnsi="Times New Roman" w:cs="Times New Roman"/>
                <w:sz w:val="28"/>
                <w:szCs w:val="28"/>
                <w:lang w:val="uk-UA"/>
              </w:rPr>
            </w:pPr>
            <w:r w:rsidRPr="004D6904">
              <w:rPr>
                <w:rFonts w:ascii="Times New Roman" w:hAnsi="Times New Roman" w:cs="Times New Roman"/>
                <w:sz w:val="28"/>
                <w:szCs w:val="28"/>
                <w:lang w:val="en-US"/>
              </w:rPr>
              <w:t>p</w:t>
            </w:r>
            <w:r w:rsidRPr="004D6904">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&lt; </w:t>
            </w:r>
            <w:r>
              <w:rPr>
                <w:rFonts w:ascii="Times New Roman" w:hAnsi="Times New Roman" w:cs="Times New Roman"/>
                <w:sz w:val="28"/>
                <w:szCs w:val="28"/>
                <w:lang w:val="uk-UA"/>
              </w:rPr>
              <w:t>0,0001</w:t>
            </w:r>
          </w:p>
          <w:p w:rsidR="004D6904" w:rsidRPr="004D6904" w:rsidRDefault="004D6904" w:rsidP="004D6904">
            <w:pPr>
              <w:autoSpaceDE w:val="0"/>
              <w:autoSpaceDN w:val="0"/>
              <w:adjustRightInd w:val="0"/>
              <w:spacing w:line="360" w:lineRule="auto"/>
              <w:jc w:val="center"/>
              <w:rPr>
                <w:rFonts w:ascii="Times New Roman" w:hAnsi="Times New Roman" w:cs="Times New Roman"/>
                <w:sz w:val="28"/>
                <w:szCs w:val="28"/>
                <w:lang w:val="uk-UA"/>
              </w:rPr>
            </w:pPr>
            <w:r w:rsidRPr="004D6904">
              <w:rPr>
                <w:rFonts w:ascii="Times New Roman" w:hAnsi="Times New Roman" w:cs="Times New Roman"/>
                <w:sz w:val="28"/>
                <w:szCs w:val="28"/>
                <w:lang w:val="en-US"/>
              </w:rPr>
              <w:t>p</w:t>
            </w:r>
            <w:r w:rsidRPr="004D6904">
              <w:rPr>
                <w:rFonts w:ascii="Times New Roman" w:hAnsi="Times New Roman" w:cs="Times New Roman"/>
                <w:sz w:val="28"/>
                <w:szCs w:val="28"/>
                <w:vertAlign w:val="subscript"/>
              </w:rPr>
              <w:t xml:space="preserve">3 </w:t>
            </w:r>
            <w:r w:rsidRPr="004D6904">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0,0012</w:t>
            </w:r>
          </w:p>
        </w:tc>
      </w:tr>
    </w:tbl>
    <w:p w:rsidR="000458D5" w:rsidRDefault="004A2DCD" w:rsidP="000458D5">
      <w:pPr>
        <w:autoSpaceDE w:val="0"/>
        <w:autoSpaceDN w:val="0"/>
        <w:adjustRightInd w:val="0"/>
        <w:spacing w:after="0" w:line="360" w:lineRule="auto"/>
        <w:ind w:firstLine="708"/>
        <w:rPr>
          <w:rFonts w:ascii="Times New Roman" w:hAnsi="Times New Roman" w:cs="Times New Roman"/>
          <w:sz w:val="28"/>
          <w:szCs w:val="28"/>
          <w:lang w:val="uk-UA"/>
        </w:rPr>
      </w:pPr>
      <w:r>
        <w:rPr>
          <w:rFonts w:ascii="Times New Roman" w:hAnsi="Times New Roman" w:cs="Times New Roman"/>
          <w:sz w:val="28"/>
          <w:szCs w:val="28"/>
        </w:rPr>
        <w:t>Прим</w:t>
      </w:r>
      <w:r w:rsidR="000458D5">
        <w:rPr>
          <w:rFonts w:ascii="Times New Roman" w:hAnsi="Times New Roman" w:cs="Times New Roman"/>
          <w:sz w:val="28"/>
          <w:szCs w:val="28"/>
          <w:lang w:val="uk-UA"/>
        </w:rPr>
        <w:t>ітки</w:t>
      </w:r>
      <w:r>
        <w:rPr>
          <w:rFonts w:ascii="Times New Roman" w:hAnsi="Times New Roman" w:cs="Times New Roman"/>
          <w:sz w:val="28"/>
          <w:szCs w:val="28"/>
          <w:lang w:val="uk-UA"/>
        </w:rPr>
        <w:t xml:space="preserve">: </w:t>
      </w:r>
    </w:p>
    <w:p w:rsidR="006C5076" w:rsidRPr="00134AD3" w:rsidRDefault="00134AD3" w:rsidP="00134A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4A2DCD" w:rsidRPr="00134AD3">
        <w:rPr>
          <w:rFonts w:ascii="Times New Roman" w:hAnsi="Times New Roman" w:cs="Times New Roman"/>
          <w:sz w:val="28"/>
          <w:szCs w:val="28"/>
        </w:rPr>
        <w:t>р</w:t>
      </w:r>
      <w:r w:rsidR="008224B0" w:rsidRPr="00134AD3">
        <w:rPr>
          <w:rFonts w:ascii="Times New Roman" w:hAnsi="Times New Roman" w:cs="Times New Roman"/>
          <w:sz w:val="28"/>
          <w:szCs w:val="28"/>
          <w:vertAlign w:val="subscript"/>
        </w:rPr>
        <w:t>1</w:t>
      </w:r>
      <w:r w:rsidR="005756DD" w:rsidRPr="00134AD3">
        <w:rPr>
          <w:rFonts w:ascii="Times New Roman" w:hAnsi="Times New Roman" w:cs="Times New Roman"/>
          <w:sz w:val="28"/>
          <w:szCs w:val="28"/>
        </w:rPr>
        <w:t xml:space="preserve"> – достов</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рн</w:t>
      </w:r>
      <w:r w:rsidR="005756DD" w:rsidRPr="00134AD3">
        <w:rPr>
          <w:rFonts w:ascii="Times New Roman" w:hAnsi="Times New Roman" w:cs="Times New Roman"/>
          <w:sz w:val="28"/>
          <w:szCs w:val="28"/>
          <w:lang w:val="en-US"/>
        </w:rPr>
        <w:t>i</w:t>
      </w:r>
      <w:r w:rsidR="004A2DCD" w:rsidRPr="00134AD3">
        <w:rPr>
          <w:rFonts w:ascii="Times New Roman" w:hAnsi="Times New Roman" w:cs="Times New Roman"/>
          <w:sz w:val="28"/>
          <w:szCs w:val="28"/>
        </w:rPr>
        <w:t>сть розходже</w:t>
      </w:r>
      <w:r w:rsidR="005756DD" w:rsidRPr="00134AD3">
        <w:rPr>
          <w:rFonts w:ascii="Times New Roman" w:hAnsi="Times New Roman" w:cs="Times New Roman"/>
          <w:sz w:val="28"/>
          <w:szCs w:val="28"/>
        </w:rPr>
        <w:t>нь м</w:t>
      </w:r>
      <w:r w:rsidR="005756DD" w:rsidRPr="00134AD3">
        <w:rPr>
          <w:rFonts w:ascii="Times New Roman" w:hAnsi="Times New Roman" w:cs="Times New Roman"/>
          <w:sz w:val="28"/>
          <w:szCs w:val="28"/>
          <w:lang w:val="en-US"/>
        </w:rPr>
        <w:t>i</w:t>
      </w:r>
      <w:r w:rsidR="00BC56FF" w:rsidRPr="00134AD3">
        <w:rPr>
          <w:rFonts w:ascii="Times New Roman" w:hAnsi="Times New Roman" w:cs="Times New Roman"/>
          <w:sz w:val="28"/>
          <w:szCs w:val="28"/>
        </w:rPr>
        <w:t>ж показниками І та ІІ груп</w:t>
      </w:r>
      <w:r w:rsidR="004A2DCD" w:rsidRPr="00134AD3">
        <w:rPr>
          <w:rFonts w:ascii="Times New Roman" w:hAnsi="Times New Roman" w:cs="Times New Roman"/>
          <w:sz w:val="28"/>
          <w:szCs w:val="28"/>
        </w:rPr>
        <w:t>;</w:t>
      </w:r>
    </w:p>
    <w:p w:rsidR="008224B0" w:rsidRPr="00134AD3" w:rsidRDefault="00134AD3" w:rsidP="00134A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224B0" w:rsidRPr="00134AD3">
        <w:rPr>
          <w:rFonts w:ascii="Times New Roman" w:hAnsi="Times New Roman" w:cs="Times New Roman"/>
          <w:sz w:val="28"/>
          <w:szCs w:val="28"/>
        </w:rPr>
        <w:t>р</w:t>
      </w:r>
      <w:r w:rsidR="008224B0" w:rsidRPr="00134AD3">
        <w:rPr>
          <w:rFonts w:ascii="Times New Roman" w:hAnsi="Times New Roman" w:cs="Times New Roman"/>
          <w:sz w:val="28"/>
          <w:szCs w:val="28"/>
          <w:vertAlign w:val="subscript"/>
        </w:rPr>
        <w:t>2</w:t>
      </w:r>
      <w:r w:rsidR="005756DD" w:rsidRPr="00134AD3">
        <w:rPr>
          <w:rFonts w:ascii="Times New Roman" w:hAnsi="Times New Roman" w:cs="Times New Roman"/>
          <w:sz w:val="28"/>
          <w:szCs w:val="28"/>
        </w:rPr>
        <w:t xml:space="preserve"> – достов</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рн</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сть розходжень м</w:t>
      </w:r>
      <w:r w:rsidR="005756DD" w:rsidRPr="00134AD3">
        <w:rPr>
          <w:rFonts w:ascii="Times New Roman" w:hAnsi="Times New Roman" w:cs="Times New Roman"/>
          <w:sz w:val="28"/>
          <w:szCs w:val="28"/>
          <w:lang w:val="en-US"/>
        </w:rPr>
        <w:t>i</w:t>
      </w:r>
      <w:r w:rsidR="00911D52" w:rsidRPr="00134AD3">
        <w:rPr>
          <w:rFonts w:ascii="Times New Roman" w:hAnsi="Times New Roman" w:cs="Times New Roman"/>
          <w:sz w:val="28"/>
          <w:szCs w:val="28"/>
        </w:rPr>
        <w:t xml:space="preserve">ж показниками І </w:t>
      </w:r>
      <w:r w:rsidR="008224B0" w:rsidRPr="00134AD3">
        <w:rPr>
          <w:rFonts w:ascii="Times New Roman" w:hAnsi="Times New Roman" w:cs="Times New Roman"/>
          <w:sz w:val="28"/>
          <w:szCs w:val="28"/>
        </w:rPr>
        <w:t>груп</w:t>
      </w:r>
      <w:r w:rsidR="00911D52" w:rsidRPr="00134AD3">
        <w:rPr>
          <w:rFonts w:ascii="Times New Roman" w:hAnsi="Times New Roman" w:cs="Times New Roman"/>
          <w:sz w:val="28"/>
          <w:szCs w:val="28"/>
        </w:rPr>
        <w:t>и та контролем</w:t>
      </w:r>
      <w:r w:rsidR="00893154" w:rsidRPr="00134AD3">
        <w:rPr>
          <w:rFonts w:ascii="Times New Roman" w:hAnsi="Times New Roman" w:cs="Times New Roman"/>
          <w:sz w:val="28"/>
          <w:szCs w:val="28"/>
        </w:rPr>
        <w:t>;</w:t>
      </w:r>
    </w:p>
    <w:p w:rsidR="008224B0" w:rsidRPr="00134AD3" w:rsidRDefault="00134AD3" w:rsidP="00134A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224B0" w:rsidRPr="00134AD3">
        <w:rPr>
          <w:rFonts w:ascii="Times New Roman" w:hAnsi="Times New Roman" w:cs="Times New Roman"/>
          <w:sz w:val="28"/>
          <w:szCs w:val="28"/>
        </w:rPr>
        <w:t>р</w:t>
      </w:r>
      <w:r w:rsidR="008224B0" w:rsidRPr="00134AD3">
        <w:rPr>
          <w:rFonts w:ascii="Times New Roman" w:hAnsi="Times New Roman" w:cs="Times New Roman"/>
          <w:sz w:val="28"/>
          <w:szCs w:val="28"/>
          <w:vertAlign w:val="subscript"/>
        </w:rPr>
        <w:t>3</w:t>
      </w:r>
      <w:r w:rsidR="008224B0" w:rsidRPr="00134AD3">
        <w:rPr>
          <w:rFonts w:ascii="Times New Roman" w:hAnsi="Times New Roman" w:cs="Times New Roman"/>
          <w:sz w:val="28"/>
          <w:szCs w:val="28"/>
        </w:rPr>
        <w:t xml:space="preserve"> – дост</w:t>
      </w:r>
      <w:r w:rsidR="005756DD" w:rsidRPr="00134AD3">
        <w:rPr>
          <w:rFonts w:ascii="Times New Roman" w:hAnsi="Times New Roman" w:cs="Times New Roman"/>
          <w:sz w:val="28"/>
          <w:szCs w:val="28"/>
        </w:rPr>
        <w:t>ов</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рн</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сть розходжень м</w:t>
      </w:r>
      <w:r w:rsidR="005756DD" w:rsidRPr="00134AD3">
        <w:rPr>
          <w:rFonts w:ascii="Times New Roman" w:hAnsi="Times New Roman" w:cs="Times New Roman"/>
          <w:sz w:val="28"/>
          <w:szCs w:val="28"/>
          <w:lang w:val="en-US"/>
        </w:rPr>
        <w:t>i</w:t>
      </w:r>
      <w:r w:rsidR="00911D52" w:rsidRPr="00134AD3">
        <w:rPr>
          <w:rFonts w:ascii="Times New Roman" w:hAnsi="Times New Roman" w:cs="Times New Roman"/>
          <w:sz w:val="28"/>
          <w:szCs w:val="28"/>
        </w:rPr>
        <w:t xml:space="preserve">ж показниками ІІ </w:t>
      </w:r>
      <w:r w:rsidR="008224B0" w:rsidRPr="00134AD3">
        <w:rPr>
          <w:rFonts w:ascii="Times New Roman" w:hAnsi="Times New Roman" w:cs="Times New Roman"/>
          <w:sz w:val="28"/>
          <w:szCs w:val="28"/>
        </w:rPr>
        <w:t>груп</w:t>
      </w:r>
      <w:r w:rsidR="00911D52" w:rsidRPr="00134AD3">
        <w:rPr>
          <w:rFonts w:ascii="Times New Roman" w:hAnsi="Times New Roman" w:cs="Times New Roman"/>
          <w:sz w:val="28"/>
          <w:szCs w:val="28"/>
        </w:rPr>
        <w:t>и та контролем</w:t>
      </w:r>
      <w:r w:rsidR="00893154" w:rsidRPr="00134AD3">
        <w:rPr>
          <w:rFonts w:ascii="Times New Roman" w:hAnsi="Times New Roman" w:cs="Times New Roman"/>
          <w:sz w:val="28"/>
          <w:szCs w:val="28"/>
        </w:rPr>
        <w:t>;</w:t>
      </w:r>
    </w:p>
    <w:p w:rsidR="003B306E" w:rsidRPr="00134AD3" w:rsidRDefault="00134AD3" w:rsidP="00134A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4A2DCD" w:rsidRPr="00134AD3">
        <w:rPr>
          <w:rFonts w:ascii="Times New Roman" w:hAnsi="Times New Roman" w:cs="Times New Roman"/>
          <w:sz w:val="28"/>
          <w:szCs w:val="28"/>
          <w:lang w:val="en-US"/>
        </w:rPr>
        <w:t>n</w:t>
      </w:r>
      <w:r w:rsidR="004A2DCD" w:rsidRPr="00134AD3">
        <w:rPr>
          <w:rFonts w:ascii="Times New Roman" w:hAnsi="Times New Roman" w:cs="Times New Roman"/>
          <w:sz w:val="28"/>
          <w:szCs w:val="28"/>
        </w:rPr>
        <w:t xml:space="preserve"> – </w:t>
      </w:r>
      <w:r w:rsidR="005756DD" w:rsidRPr="00134AD3">
        <w:rPr>
          <w:rFonts w:ascii="Times New Roman" w:hAnsi="Times New Roman" w:cs="Times New Roman"/>
          <w:sz w:val="28"/>
          <w:szCs w:val="28"/>
        </w:rPr>
        <w:t>к</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льк</w:t>
      </w:r>
      <w:r w:rsidR="005756DD" w:rsidRPr="00134AD3">
        <w:rPr>
          <w:rFonts w:ascii="Times New Roman" w:hAnsi="Times New Roman" w:cs="Times New Roman"/>
          <w:sz w:val="28"/>
          <w:szCs w:val="28"/>
          <w:lang w:val="en-US"/>
        </w:rPr>
        <w:t>i</w:t>
      </w:r>
      <w:r w:rsidR="005756DD" w:rsidRPr="00134AD3">
        <w:rPr>
          <w:rFonts w:ascii="Times New Roman" w:hAnsi="Times New Roman" w:cs="Times New Roman"/>
          <w:sz w:val="28"/>
          <w:szCs w:val="28"/>
        </w:rPr>
        <w:t>сть ос</w:t>
      </w:r>
      <w:r w:rsidR="005756DD" w:rsidRPr="00134AD3">
        <w:rPr>
          <w:rFonts w:ascii="Times New Roman" w:hAnsi="Times New Roman" w:cs="Times New Roman"/>
          <w:sz w:val="28"/>
          <w:szCs w:val="28"/>
          <w:lang w:val="en-US"/>
        </w:rPr>
        <w:t>i</w:t>
      </w:r>
      <w:r w:rsidR="00893154" w:rsidRPr="00134AD3">
        <w:rPr>
          <w:rFonts w:ascii="Times New Roman" w:hAnsi="Times New Roman" w:cs="Times New Roman"/>
          <w:sz w:val="28"/>
          <w:szCs w:val="28"/>
        </w:rPr>
        <w:t>б</w:t>
      </w:r>
    </w:p>
    <w:p w:rsidR="00134AD3" w:rsidRDefault="00134AD3" w:rsidP="003A5BA5">
      <w:pPr>
        <w:autoSpaceDE w:val="0"/>
        <w:autoSpaceDN w:val="0"/>
        <w:adjustRightInd w:val="0"/>
        <w:spacing w:after="0" w:line="360" w:lineRule="auto"/>
        <w:ind w:firstLine="708"/>
        <w:jc w:val="both"/>
        <w:rPr>
          <w:rFonts w:ascii="Times New Roman" w:hAnsi="Times New Roman" w:cs="Times New Roman"/>
          <w:sz w:val="28"/>
          <w:szCs w:val="28"/>
          <w:lang w:val="uk-UA"/>
        </w:rPr>
      </w:pPr>
    </w:p>
    <w:p w:rsidR="006C5076" w:rsidRPr="00B429EC" w:rsidRDefault="00256DB8" w:rsidP="003A5BA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Цукровий діабет</w:t>
      </w:r>
      <w:r w:rsidR="005756DD">
        <w:rPr>
          <w:rFonts w:ascii="Times New Roman" w:hAnsi="Times New Roman" w:cs="Times New Roman"/>
          <w:sz w:val="28"/>
          <w:szCs w:val="28"/>
          <w:lang w:val="uk-UA"/>
        </w:rPr>
        <w:t xml:space="preserve"> 2-го типу є одним </w:t>
      </w:r>
      <w:r w:rsidR="005756DD">
        <w:rPr>
          <w:rFonts w:ascii="Times New Roman" w:hAnsi="Times New Roman" w:cs="Times New Roman"/>
          <w:sz w:val="28"/>
          <w:szCs w:val="28"/>
          <w:lang w:val="en-US"/>
        </w:rPr>
        <w:t>i</w:t>
      </w:r>
      <w:r w:rsidR="005756DD">
        <w:rPr>
          <w:rFonts w:ascii="Times New Roman" w:hAnsi="Times New Roman" w:cs="Times New Roman"/>
          <w:sz w:val="28"/>
          <w:szCs w:val="28"/>
          <w:lang w:val="uk-UA"/>
        </w:rPr>
        <w:t>з вагомих чинник</w:t>
      </w:r>
      <w:r w:rsidR="005756DD">
        <w:rPr>
          <w:rFonts w:ascii="Times New Roman" w:hAnsi="Times New Roman" w:cs="Times New Roman"/>
          <w:sz w:val="28"/>
          <w:szCs w:val="28"/>
          <w:lang w:val="en-US"/>
        </w:rPr>
        <w:t>i</w:t>
      </w:r>
      <w:r w:rsidR="002A696C" w:rsidRPr="002A696C">
        <w:rPr>
          <w:rFonts w:ascii="Times New Roman" w:hAnsi="Times New Roman" w:cs="Times New Roman"/>
          <w:sz w:val="28"/>
          <w:szCs w:val="28"/>
          <w:lang w:val="uk-UA"/>
        </w:rPr>
        <w:t xml:space="preserve">в, що </w:t>
      </w:r>
      <w:r w:rsidR="005756DD">
        <w:rPr>
          <w:rFonts w:ascii="Times New Roman" w:hAnsi="Times New Roman" w:cs="Times New Roman"/>
          <w:sz w:val="28"/>
          <w:szCs w:val="28"/>
          <w:lang w:val="en-US"/>
        </w:rPr>
        <w:t>i</w:t>
      </w:r>
      <w:r w:rsidR="00893154">
        <w:rPr>
          <w:rFonts w:ascii="Times New Roman" w:hAnsi="Times New Roman" w:cs="Times New Roman"/>
          <w:sz w:val="28"/>
          <w:szCs w:val="28"/>
          <w:lang w:val="uk-UA"/>
        </w:rPr>
        <w:t>стотно</w:t>
      </w:r>
      <w:r w:rsidR="005756DD">
        <w:rPr>
          <w:rFonts w:ascii="Times New Roman" w:hAnsi="Times New Roman" w:cs="Times New Roman"/>
          <w:sz w:val="28"/>
          <w:szCs w:val="28"/>
          <w:lang w:val="uk-UA"/>
        </w:rPr>
        <w:t xml:space="preserve"> модиф</w:t>
      </w:r>
      <w:r w:rsidR="005756DD">
        <w:rPr>
          <w:rFonts w:ascii="Times New Roman" w:hAnsi="Times New Roman" w:cs="Times New Roman"/>
          <w:sz w:val="28"/>
          <w:szCs w:val="28"/>
          <w:lang w:val="en-US"/>
        </w:rPr>
        <w:t>i</w:t>
      </w:r>
      <w:r w:rsidR="002A696C" w:rsidRPr="002A696C">
        <w:rPr>
          <w:rFonts w:ascii="Times New Roman" w:hAnsi="Times New Roman" w:cs="Times New Roman"/>
          <w:sz w:val="28"/>
          <w:szCs w:val="28"/>
          <w:lang w:val="uk-UA"/>
        </w:rPr>
        <w:t>кує процеси ремоделювання Л</w:t>
      </w:r>
      <w:r w:rsidR="005756DD">
        <w:rPr>
          <w:rFonts w:ascii="Times New Roman" w:hAnsi="Times New Roman" w:cs="Times New Roman"/>
          <w:sz w:val="28"/>
          <w:szCs w:val="28"/>
          <w:lang w:val="uk-UA"/>
        </w:rPr>
        <w:t>Ш, прискорює формуван</w:t>
      </w:r>
      <w:r w:rsidR="005756DD">
        <w:rPr>
          <w:rFonts w:ascii="Times New Roman" w:hAnsi="Times New Roman" w:cs="Times New Roman"/>
          <w:sz w:val="28"/>
          <w:szCs w:val="28"/>
          <w:lang w:val="uk-UA"/>
        </w:rPr>
        <w:softHyphen/>
        <w:t>ня систол</w:t>
      </w:r>
      <w:r w:rsidR="005756DD">
        <w:rPr>
          <w:rFonts w:ascii="Times New Roman" w:hAnsi="Times New Roman" w:cs="Times New Roman"/>
          <w:sz w:val="28"/>
          <w:szCs w:val="28"/>
          <w:lang w:val="en-US"/>
        </w:rPr>
        <w:t>i</w:t>
      </w:r>
      <w:r w:rsidR="002A696C" w:rsidRPr="002A696C">
        <w:rPr>
          <w:rFonts w:ascii="Times New Roman" w:hAnsi="Times New Roman" w:cs="Times New Roman"/>
          <w:sz w:val="28"/>
          <w:szCs w:val="28"/>
          <w:lang w:val="uk-UA"/>
        </w:rPr>
        <w:t xml:space="preserve">чної та </w:t>
      </w:r>
      <w:r w:rsidR="00327FAD">
        <w:rPr>
          <w:rFonts w:ascii="Times New Roman" w:hAnsi="Times New Roman" w:cs="Times New Roman"/>
          <w:sz w:val="28"/>
          <w:szCs w:val="28"/>
          <w:lang w:val="uk-UA"/>
        </w:rPr>
        <w:t>д</w:t>
      </w:r>
      <w:r w:rsidR="00327FAD">
        <w:rPr>
          <w:rFonts w:ascii="Times New Roman" w:hAnsi="Times New Roman" w:cs="Times New Roman"/>
          <w:sz w:val="28"/>
          <w:szCs w:val="28"/>
          <w:lang w:val="en-US"/>
        </w:rPr>
        <w:t>i</w:t>
      </w:r>
      <w:r w:rsidR="00327FAD">
        <w:rPr>
          <w:rFonts w:ascii="Times New Roman" w:hAnsi="Times New Roman" w:cs="Times New Roman"/>
          <w:sz w:val="28"/>
          <w:szCs w:val="28"/>
          <w:lang w:val="uk-UA"/>
        </w:rPr>
        <w:t>астол</w:t>
      </w:r>
      <w:r w:rsidR="00327FAD">
        <w:rPr>
          <w:rFonts w:ascii="Times New Roman" w:hAnsi="Times New Roman" w:cs="Times New Roman"/>
          <w:sz w:val="28"/>
          <w:szCs w:val="28"/>
          <w:lang w:val="en-US"/>
        </w:rPr>
        <w:t>i</w:t>
      </w:r>
      <w:r w:rsidR="00327FAD">
        <w:rPr>
          <w:rFonts w:ascii="Times New Roman" w:hAnsi="Times New Roman" w:cs="Times New Roman"/>
          <w:sz w:val="28"/>
          <w:szCs w:val="28"/>
          <w:lang w:val="uk-UA"/>
        </w:rPr>
        <w:t>чної дисфункц</w:t>
      </w:r>
      <w:r w:rsidR="00327FAD">
        <w:rPr>
          <w:rFonts w:ascii="Times New Roman" w:hAnsi="Times New Roman" w:cs="Times New Roman"/>
          <w:sz w:val="28"/>
          <w:szCs w:val="28"/>
          <w:lang w:val="en-US"/>
        </w:rPr>
        <w:t>i</w:t>
      </w:r>
      <w:r w:rsidR="00327FAD">
        <w:rPr>
          <w:rFonts w:ascii="Times New Roman" w:hAnsi="Times New Roman" w:cs="Times New Roman"/>
          <w:sz w:val="28"/>
          <w:szCs w:val="28"/>
          <w:lang w:val="uk-UA"/>
        </w:rPr>
        <w:t>ї м</w:t>
      </w:r>
      <w:r w:rsidR="00327FAD">
        <w:rPr>
          <w:rFonts w:ascii="Times New Roman" w:hAnsi="Times New Roman" w:cs="Times New Roman"/>
          <w:sz w:val="28"/>
          <w:szCs w:val="28"/>
          <w:lang w:val="en-US"/>
        </w:rPr>
        <w:t>i</w:t>
      </w:r>
      <w:r w:rsidR="002A696C" w:rsidRPr="002A696C">
        <w:rPr>
          <w:rFonts w:ascii="Times New Roman" w:hAnsi="Times New Roman" w:cs="Times New Roman"/>
          <w:sz w:val="28"/>
          <w:szCs w:val="28"/>
          <w:lang w:val="uk-UA"/>
        </w:rPr>
        <w:t>окарда [</w:t>
      </w:r>
      <w:r w:rsidR="005C5DB7">
        <w:rPr>
          <w:rFonts w:ascii="Times New Roman" w:hAnsi="Times New Roman" w:cs="Times New Roman"/>
          <w:sz w:val="28"/>
          <w:szCs w:val="28"/>
          <w:lang w:val="uk-UA"/>
        </w:rPr>
        <w:t>159</w:t>
      </w:r>
      <w:r w:rsidR="002A696C" w:rsidRPr="002A696C">
        <w:rPr>
          <w:rFonts w:ascii="Times New Roman" w:hAnsi="Times New Roman" w:cs="Times New Roman"/>
          <w:sz w:val="28"/>
          <w:szCs w:val="28"/>
          <w:lang w:val="uk-UA"/>
        </w:rPr>
        <w:t xml:space="preserve">]. </w:t>
      </w:r>
      <w:r w:rsidR="00A33CC1">
        <w:rPr>
          <w:rFonts w:ascii="Times New Roman" w:hAnsi="Times New Roman" w:cs="Times New Roman"/>
          <w:sz w:val="28"/>
          <w:szCs w:val="28"/>
          <w:lang w:val="uk-UA"/>
        </w:rPr>
        <w:t>У нашому</w:t>
      </w:r>
      <w:r w:rsidR="00327FAD">
        <w:rPr>
          <w:rFonts w:ascii="Times New Roman" w:hAnsi="Times New Roman" w:cs="Times New Roman"/>
          <w:sz w:val="28"/>
          <w:szCs w:val="28"/>
          <w:lang w:val="uk-UA"/>
        </w:rPr>
        <w:t xml:space="preserve"> досл</w:t>
      </w:r>
      <w:r w:rsidR="00327FAD">
        <w:rPr>
          <w:rFonts w:ascii="Times New Roman" w:hAnsi="Times New Roman" w:cs="Times New Roman"/>
          <w:sz w:val="28"/>
          <w:szCs w:val="28"/>
          <w:lang w:val="en-US"/>
        </w:rPr>
        <w:t>i</w:t>
      </w:r>
      <w:r w:rsidR="00327FAD">
        <w:rPr>
          <w:rFonts w:ascii="Times New Roman" w:hAnsi="Times New Roman" w:cs="Times New Roman"/>
          <w:sz w:val="28"/>
          <w:szCs w:val="28"/>
          <w:lang w:val="uk-UA"/>
        </w:rPr>
        <w:t>дженн</w:t>
      </w:r>
      <w:r w:rsidR="00327FAD">
        <w:rPr>
          <w:rFonts w:ascii="Times New Roman" w:hAnsi="Times New Roman" w:cs="Times New Roman"/>
          <w:sz w:val="28"/>
          <w:szCs w:val="28"/>
          <w:lang w:val="en-US"/>
        </w:rPr>
        <w:t>i</w:t>
      </w:r>
      <w:r w:rsidR="00893154">
        <w:rPr>
          <w:rFonts w:ascii="Times New Roman" w:hAnsi="Times New Roman" w:cs="Times New Roman"/>
          <w:sz w:val="28"/>
          <w:szCs w:val="28"/>
          <w:lang w:val="uk-UA"/>
        </w:rPr>
        <w:t xml:space="preserve"> </w:t>
      </w:r>
      <w:r w:rsidR="00F64DF8">
        <w:rPr>
          <w:rFonts w:ascii="Times New Roman" w:hAnsi="Times New Roman" w:cs="Times New Roman"/>
          <w:sz w:val="28"/>
          <w:szCs w:val="28"/>
          <w:lang w:val="uk-UA"/>
        </w:rPr>
        <w:t xml:space="preserve">у пацієнтів </w:t>
      </w:r>
      <w:r w:rsidR="00327FAD">
        <w:rPr>
          <w:rFonts w:ascii="Times New Roman" w:hAnsi="Times New Roman" w:cs="Times New Roman"/>
          <w:sz w:val="28"/>
          <w:szCs w:val="28"/>
          <w:lang w:val="uk-UA"/>
        </w:rPr>
        <w:t>І групи ММЛШ була б</w:t>
      </w:r>
      <w:r w:rsidR="00327FAD">
        <w:rPr>
          <w:rFonts w:ascii="Times New Roman" w:hAnsi="Times New Roman" w:cs="Times New Roman"/>
          <w:sz w:val="28"/>
          <w:szCs w:val="28"/>
          <w:lang w:val="en-US"/>
        </w:rPr>
        <w:t>i</w:t>
      </w:r>
      <w:r w:rsidR="003A5BA5">
        <w:rPr>
          <w:rFonts w:ascii="Times New Roman" w:hAnsi="Times New Roman" w:cs="Times New Roman"/>
          <w:sz w:val="28"/>
          <w:szCs w:val="28"/>
          <w:lang w:val="uk-UA"/>
        </w:rPr>
        <w:t xml:space="preserve">льшою (р </w:t>
      </w:r>
      <w:r w:rsidR="003A5BA5" w:rsidRPr="00B429EC">
        <w:rPr>
          <w:rFonts w:ascii="Times New Roman" w:hAnsi="Times New Roman" w:cs="Times New Roman"/>
          <w:sz w:val="28"/>
          <w:szCs w:val="28"/>
          <w:lang w:val="uk-UA"/>
        </w:rPr>
        <w:t>&lt; 0,0001)</w:t>
      </w:r>
      <w:r w:rsidR="00327FAD">
        <w:rPr>
          <w:rFonts w:ascii="Times New Roman" w:hAnsi="Times New Roman" w:cs="Times New Roman"/>
          <w:sz w:val="28"/>
          <w:szCs w:val="28"/>
          <w:lang w:val="uk-UA"/>
        </w:rPr>
        <w:t xml:space="preserve"> пор</w:t>
      </w:r>
      <w:r w:rsidR="00327FAD">
        <w:rPr>
          <w:rFonts w:ascii="Times New Roman" w:hAnsi="Times New Roman" w:cs="Times New Roman"/>
          <w:sz w:val="28"/>
          <w:szCs w:val="28"/>
          <w:lang w:val="en-US"/>
        </w:rPr>
        <w:t>i</w:t>
      </w:r>
      <w:r w:rsidR="00893154">
        <w:rPr>
          <w:rFonts w:ascii="Times New Roman" w:hAnsi="Times New Roman" w:cs="Times New Roman"/>
          <w:sz w:val="28"/>
          <w:szCs w:val="28"/>
          <w:lang w:val="uk-UA"/>
        </w:rPr>
        <w:t>вняно</w:t>
      </w:r>
      <w:r w:rsidR="003A5BA5">
        <w:rPr>
          <w:rFonts w:ascii="Times New Roman" w:hAnsi="Times New Roman" w:cs="Times New Roman"/>
          <w:sz w:val="28"/>
          <w:szCs w:val="28"/>
          <w:lang w:val="uk-UA"/>
        </w:rPr>
        <w:t xml:space="preserve"> з хворими ІІ групи.</w:t>
      </w:r>
    </w:p>
    <w:p w:rsidR="00BE646F" w:rsidRDefault="00327FAD" w:rsidP="006D6B3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sidR="00F21EB3">
        <w:rPr>
          <w:rFonts w:ascii="Times New Roman" w:hAnsi="Times New Roman" w:cs="Times New Roman"/>
          <w:sz w:val="28"/>
          <w:szCs w:val="28"/>
          <w:lang w:val="uk-UA"/>
        </w:rPr>
        <w:t xml:space="preserve">в </w:t>
      </w:r>
      <w:r w:rsidR="00F64DF8">
        <w:rPr>
          <w:rFonts w:ascii="Times New Roman" w:hAnsi="Times New Roman" w:cs="Times New Roman"/>
          <w:sz w:val="28"/>
          <w:szCs w:val="28"/>
          <w:lang w:val="uk-UA"/>
        </w:rPr>
        <w:t>і</w:t>
      </w:r>
      <w:r w:rsidR="001B6DEB" w:rsidRPr="008707FF">
        <w:rPr>
          <w:rFonts w:ascii="Times New Roman" w:hAnsi="Times New Roman" w:cs="Times New Roman"/>
          <w:sz w:val="28"/>
          <w:szCs w:val="28"/>
          <w:lang w:val="uk-UA"/>
        </w:rPr>
        <w:t xml:space="preserve">з </w:t>
      </w:r>
      <w:r w:rsidR="00F21EB3">
        <w:rPr>
          <w:rFonts w:ascii="Times New Roman" w:hAnsi="Times New Roman" w:cs="Times New Roman"/>
          <w:sz w:val="28"/>
          <w:szCs w:val="28"/>
          <w:lang w:val="uk-UA"/>
        </w:rPr>
        <w:t xml:space="preserve">АГ та </w:t>
      </w:r>
      <w:r w:rsidR="001B6DEB" w:rsidRPr="008707FF">
        <w:rPr>
          <w:rFonts w:ascii="Times New Roman" w:hAnsi="Times New Roman" w:cs="Times New Roman"/>
          <w:sz w:val="28"/>
          <w:szCs w:val="28"/>
          <w:lang w:val="uk-UA"/>
        </w:rPr>
        <w:t>ЦД 2</w:t>
      </w:r>
      <w:r w:rsidR="00F9468A">
        <w:rPr>
          <w:rFonts w:ascii="Times New Roman" w:hAnsi="Times New Roman" w:cs="Times New Roman"/>
          <w:sz w:val="28"/>
          <w:szCs w:val="28"/>
          <w:lang w:val="uk-UA"/>
        </w:rPr>
        <w:t>-го</w:t>
      </w:r>
      <w:r w:rsidR="001B6DEB" w:rsidRPr="008707FF">
        <w:rPr>
          <w:rFonts w:ascii="Times New Roman" w:hAnsi="Times New Roman" w:cs="Times New Roman"/>
          <w:sz w:val="28"/>
          <w:szCs w:val="28"/>
          <w:lang w:val="uk-UA"/>
        </w:rPr>
        <w:t xml:space="preserve"> типу</w:t>
      </w:r>
      <w:r w:rsidR="00F21EB3">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8269E7" w:rsidRPr="008269E7">
        <w:rPr>
          <w:rFonts w:ascii="Times New Roman" w:hAnsi="Times New Roman" w:cs="Times New Roman"/>
          <w:sz w:val="28"/>
          <w:szCs w:val="28"/>
          <w:lang w:val="uk-UA"/>
        </w:rPr>
        <w:t>ММ</w:t>
      </w:r>
      <w:r w:rsidR="004A2DCD" w:rsidRPr="008269E7">
        <w:rPr>
          <w:rFonts w:ascii="Times New Roman" w:hAnsi="Times New Roman" w:cs="Times New Roman"/>
          <w:sz w:val="28"/>
          <w:szCs w:val="28"/>
          <w:lang w:val="uk-UA"/>
        </w:rPr>
        <w:t>ЛШ</w:t>
      </w:r>
      <w:r w:rsidR="007A40FC" w:rsidRPr="008269E7">
        <w:rPr>
          <w:rFonts w:ascii="Times New Roman" w:hAnsi="Times New Roman" w:cs="Times New Roman"/>
          <w:sz w:val="28"/>
          <w:szCs w:val="28"/>
          <w:lang w:val="uk-UA"/>
        </w:rPr>
        <w:t>,</w:t>
      </w:r>
      <w:r w:rsidR="007A40FC" w:rsidRPr="007A40FC">
        <w:rPr>
          <w:rFonts w:ascii="Times New Roman" w:hAnsi="Times New Roman" w:cs="Times New Roman"/>
          <w:sz w:val="28"/>
          <w:szCs w:val="28"/>
          <w:lang w:val="uk-UA"/>
        </w:rPr>
        <w:t xml:space="preserve"> </w:t>
      </w:r>
      <w:r>
        <w:rPr>
          <w:rFonts w:ascii="Times New Roman" w:hAnsi="Times New Roman" w:cs="Times New Roman"/>
          <w:sz w:val="28"/>
          <w:szCs w:val="28"/>
          <w:lang w:val="uk-UA"/>
        </w:rPr>
        <w:t>обчислений як в</w:t>
      </w:r>
      <w:r>
        <w:rPr>
          <w:rFonts w:ascii="Times New Roman" w:hAnsi="Times New Roman" w:cs="Times New Roman"/>
          <w:sz w:val="28"/>
          <w:szCs w:val="28"/>
          <w:lang w:val="en-US"/>
        </w:rPr>
        <w:t>i</w:t>
      </w:r>
      <w:r w:rsidR="007A40FC">
        <w:rPr>
          <w:rFonts w:ascii="Times New Roman" w:hAnsi="Times New Roman" w:cs="Times New Roman"/>
          <w:sz w:val="28"/>
          <w:szCs w:val="28"/>
          <w:lang w:val="uk-UA"/>
        </w:rPr>
        <w:t>д</w:t>
      </w:r>
      <w:r>
        <w:rPr>
          <w:rFonts w:ascii="Times New Roman" w:hAnsi="Times New Roman" w:cs="Times New Roman"/>
          <w:sz w:val="28"/>
          <w:szCs w:val="28"/>
          <w:lang w:val="uk-UA"/>
        </w:rPr>
        <w:t>ношення ММЛШ до зросту в степен</w:t>
      </w:r>
      <w:r>
        <w:rPr>
          <w:rFonts w:ascii="Times New Roman" w:hAnsi="Times New Roman" w:cs="Times New Roman"/>
          <w:sz w:val="28"/>
          <w:szCs w:val="28"/>
          <w:lang w:val="en-US"/>
        </w:rPr>
        <w:t>i</w:t>
      </w:r>
      <w:r w:rsidR="007A40FC">
        <w:rPr>
          <w:rFonts w:ascii="Times New Roman" w:hAnsi="Times New Roman" w:cs="Times New Roman"/>
          <w:sz w:val="28"/>
          <w:szCs w:val="28"/>
          <w:lang w:val="uk-UA"/>
        </w:rPr>
        <w:t xml:space="preserve"> 2,7,</w:t>
      </w:r>
      <w:r w:rsidR="004A2DCD">
        <w:rPr>
          <w:rFonts w:ascii="Times New Roman" w:hAnsi="Times New Roman" w:cs="Times New Roman"/>
          <w:sz w:val="28"/>
          <w:szCs w:val="28"/>
          <w:lang w:val="uk-UA"/>
        </w:rPr>
        <w:t xml:space="preserve"> </w:t>
      </w:r>
      <w:r w:rsidR="00893154">
        <w:rPr>
          <w:rFonts w:ascii="Times New Roman" w:hAnsi="Times New Roman" w:cs="Times New Roman"/>
          <w:sz w:val="28"/>
          <w:szCs w:val="28"/>
          <w:lang w:val="uk-UA"/>
        </w:rPr>
        <w:t>становив</w:t>
      </w:r>
      <w:r w:rsidR="001B6DEB" w:rsidRPr="008707FF">
        <w:rPr>
          <w:rFonts w:ascii="Times New Roman" w:hAnsi="Times New Roman" w:cs="Times New Roman"/>
          <w:sz w:val="28"/>
          <w:szCs w:val="28"/>
          <w:lang w:val="uk-UA"/>
        </w:rPr>
        <w:t xml:space="preserve"> </w:t>
      </w:r>
      <w:r w:rsidR="00442ADB" w:rsidRPr="00E37446">
        <w:rPr>
          <w:rFonts w:ascii="Times New Roman" w:hAnsi="Times New Roman" w:cs="Times New Roman"/>
          <w:sz w:val="28"/>
          <w:szCs w:val="28"/>
          <w:lang w:val="uk-UA"/>
        </w:rPr>
        <w:t>(7</w:t>
      </w:r>
      <w:r w:rsidR="00356B51" w:rsidRPr="00356B51">
        <w:rPr>
          <w:rFonts w:ascii="Times New Roman" w:hAnsi="Times New Roman" w:cs="Times New Roman"/>
          <w:sz w:val="28"/>
          <w:szCs w:val="28"/>
          <w:lang w:val="uk-UA"/>
        </w:rPr>
        <w:t>3</w:t>
      </w:r>
      <w:r w:rsidR="00356B51">
        <w:rPr>
          <w:rFonts w:ascii="Times New Roman" w:hAnsi="Times New Roman" w:cs="Times New Roman"/>
          <w:sz w:val="28"/>
          <w:szCs w:val="28"/>
          <w:lang w:val="uk-UA"/>
        </w:rPr>
        <w:t>,</w:t>
      </w:r>
      <w:r w:rsidR="00356B51" w:rsidRPr="009E5778">
        <w:rPr>
          <w:rFonts w:ascii="Times New Roman" w:hAnsi="Times New Roman" w:cs="Times New Roman"/>
          <w:sz w:val="28"/>
          <w:szCs w:val="28"/>
          <w:lang w:val="uk-UA"/>
        </w:rPr>
        <w:t>2</w:t>
      </w:r>
      <w:r w:rsidR="00893154">
        <w:rPr>
          <w:rFonts w:ascii="Times New Roman" w:hAnsi="Times New Roman" w:cs="Times New Roman"/>
          <w:sz w:val="28"/>
          <w:szCs w:val="28"/>
          <w:lang w:val="uk-UA"/>
        </w:rPr>
        <w:t xml:space="preserve"> </w:t>
      </w:r>
      <w:r w:rsidR="009419FE" w:rsidRPr="00E37446">
        <w:rPr>
          <w:rFonts w:ascii="Times New Roman" w:hAnsi="Times New Roman" w:cs="Times New Roman"/>
          <w:sz w:val="28"/>
          <w:szCs w:val="28"/>
          <w:lang w:val="uk-UA"/>
        </w:rPr>
        <w:t>±</w:t>
      </w:r>
      <w:r w:rsidR="00893154">
        <w:rPr>
          <w:rFonts w:ascii="Times New Roman" w:hAnsi="Times New Roman" w:cs="Times New Roman"/>
          <w:sz w:val="28"/>
          <w:szCs w:val="28"/>
          <w:lang w:val="uk-UA"/>
        </w:rPr>
        <w:t xml:space="preserve"> </w:t>
      </w:r>
      <w:r w:rsidR="00356B51" w:rsidRPr="009E5778">
        <w:rPr>
          <w:rFonts w:ascii="Times New Roman" w:hAnsi="Times New Roman" w:cs="Times New Roman"/>
          <w:sz w:val="28"/>
          <w:szCs w:val="28"/>
          <w:lang w:val="uk-UA"/>
        </w:rPr>
        <w:t>3</w:t>
      </w:r>
      <w:r w:rsidR="003F679B" w:rsidRPr="00E37446">
        <w:rPr>
          <w:rFonts w:ascii="Times New Roman" w:hAnsi="Times New Roman" w:cs="Times New Roman"/>
          <w:sz w:val="28"/>
          <w:szCs w:val="28"/>
          <w:lang w:val="uk-UA"/>
        </w:rPr>
        <w:t>,3</w:t>
      </w:r>
      <w:r w:rsidR="00356B51" w:rsidRPr="009E5778">
        <w:rPr>
          <w:rFonts w:ascii="Times New Roman" w:hAnsi="Times New Roman" w:cs="Times New Roman"/>
          <w:sz w:val="28"/>
          <w:szCs w:val="28"/>
          <w:lang w:val="uk-UA"/>
        </w:rPr>
        <w:t>8</w:t>
      </w:r>
      <w:r w:rsidR="009419FE" w:rsidRPr="00E37446">
        <w:rPr>
          <w:rFonts w:ascii="Times New Roman" w:hAnsi="Times New Roman" w:cs="Times New Roman"/>
          <w:sz w:val="28"/>
          <w:szCs w:val="28"/>
          <w:lang w:val="uk-UA"/>
        </w:rPr>
        <w:t>)</w:t>
      </w:r>
      <w:r w:rsidR="00FC46D6">
        <w:rPr>
          <w:rFonts w:ascii="Times New Roman" w:hAnsi="Times New Roman" w:cs="Times New Roman"/>
          <w:sz w:val="28"/>
          <w:szCs w:val="28"/>
          <w:lang w:val="uk-UA"/>
        </w:rPr>
        <w:t xml:space="preserve"> г/м</w:t>
      </w:r>
      <w:r w:rsidR="00FC46D6" w:rsidRPr="003F679B">
        <w:rPr>
          <w:rFonts w:ascii="Times New Roman" w:hAnsi="Times New Roman" w:cs="Times New Roman"/>
          <w:sz w:val="28"/>
          <w:szCs w:val="28"/>
          <w:vertAlign w:val="superscript"/>
          <w:lang w:val="uk-UA"/>
        </w:rPr>
        <w:t>2,7</w:t>
      </w:r>
      <w:r w:rsidR="00F21EB3">
        <w:rPr>
          <w:rFonts w:ascii="Times New Roman" w:hAnsi="Times New Roman" w:cs="Times New Roman"/>
          <w:sz w:val="28"/>
          <w:szCs w:val="28"/>
          <w:lang w:val="uk-UA"/>
        </w:rPr>
        <w:t xml:space="preserve">, </w:t>
      </w:r>
      <w:r w:rsidR="00F64DF8">
        <w:rPr>
          <w:rFonts w:ascii="Times New Roman" w:hAnsi="Times New Roman" w:cs="Times New Roman"/>
          <w:sz w:val="28"/>
          <w:szCs w:val="28"/>
          <w:lang w:val="uk-UA"/>
        </w:rPr>
        <w:t xml:space="preserve">з </w:t>
      </w:r>
      <w:r w:rsidR="00356B51">
        <w:rPr>
          <w:rFonts w:ascii="Times New Roman" w:hAnsi="Times New Roman" w:cs="Times New Roman"/>
          <w:sz w:val="28"/>
          <w:szCs w:val="28"/>
          <w:lang w:val="uk-UA"/>
        </w:rPr>
        <w:t>АГ – (</w:t>
      </w:r>
      <w:r w:rsidR="00356B51" w:rsidRPr="009E5778">
        <w:rPr>
          <w:rFonts w:ascii="Times New Roman" w:hAnsi="Times New Roman" w:cs="Times New Roman"/>
          <w:sz w:val="28"/>
          <w:szCs w:val="28"/>
        </w:rPr>
        <w:t>51</w:t>
      </w:r>
      <w:r w:rsidR="006C5076" w:rsidRPr="003F679B">
        <w:rPr>
          <w:rFonts w:ascii="Times New Roman" w:hAnsi="Times New Roman" w:cs="Times New Roman"/>
          <w:sz w:val="28"/>
          <w:szCs w:val="28"/>
          <w:lang w:val="uk-UA"/>
        </w:rPr>
        <w:t>,</w:t>
      </w:r>
      <w:r w:rsidR="00356B51" w:rsidRPr="009E5778">
        <w:rPr>
          <w:rFonts w:ascii="Times New Roman" w:hAnsi="Times New Roman" w:cs="Times New Roman"/>
          <w:sz w:val="28"/>
          <w:szCs w:val="28"/>
        </w:rPr>
        <w:t>12</w:t>
      </w:r>
      <w:r w:rsidR="00893154">
        <w:rPr>
          <w:rFonts w:ascii="Times New Roman" w:hAnsi="Times New Roman" w:cs="Times New Roman"/>
          <w:sz w:val="28"/>
          <w:szCs w:val="28"/>
          <w:lang w:val="uk-UA"/>
        </w:rPr>
        <w:t xml:space="preserve"> </w:t>
      </w:r>
      <w:r w:rsidR="00F64DF8">
        <w:rPr>
          <w:rFonts w:ascii="Times New Roman" w:hAnsi="Times New Roman" w:cs="Times New Roman"/>
          <w:sz w:val="28"/>
          <w:szCs w:val="28"/>
          <w:lang w:val="uk-UA"/>
        </w:rPr>
        <w:t xml:space="preserve">      </w:t>
      </w:r>
      <w:r w:rsidR="00356B51">
        <w:rPr>
          <w:rFonts w:ascii="Times New Roman" w:hAnsi="Times New Roman" w:cs="Times New Roman"/>
          <w:sz w:val="28"/>
          <w:szCs w:val="28"/>
          <w:lang w:val="uk-UA"/>
        </w:rPr>
        <w:t>±</w:t>
      </w:r>
      <w:r w:rsidR="00893154">
        <w:rPr>
          <w:rFonts w:ascii="Times New Roman" w:hAnsi="Times New Roman" w:cs="Times New Roman"/>
          <w:sz w:val="28"/>
          <w:szCs w:val="28"/>
          <w:lang w:val="uk-UA"/>
        </w:rPr>
        <w:t xml:space="preserve"> </w:t>
      </w:r>
      <w:r w:rsidR="00356B51" w:rsidRPr="009E5778">
        <w:rPr>
          <w:rFonts w:ascii="Times New Roman" w:hAnsi="Times New Roman" w:cs="Times New Roman"/>
          <w:sz w:val="28"/>
          <w:szCs w:val="28"/>
        </w:rPr>
        <w:t>3</w:t>
      </w:r>
      <w:r w:rsidR="00356B51">
        <w:rPr>
          <w:rFonts w:ascii="Times New Roman" w:hAnsi="Times New Roman" w:cs="Times New Roman"/>
          <w:sz w:val="28"/>
          <w:szCs w:val="28"/>
          <w:lang w:val="uk-UA"/>
        </w:rPr>
        <w:t>,</w:t>
      </w:r>
      <w:r w:rsidR="00356B51" w:rsidRPr="009E5778">
        <w:rPr>
          <w:rFonts w:ascii="Times New Roman" w:hAnsi="Times New Roman" w:cs="Times New Roman"/>
          <w:sz w:val="28"/>
          <w:szCs w:val="28"/>
        </w:rPr>
        <w:t>4</w:t>
      </w:r>
      <w:r w:rsidR="00356B51">
        <w:rPr>
          <w:rFonts w:ascii="Times New Roman" w:hAnsi="Times New Roman" w:cs="Times New Roman"/>
          <w:sz w:val="28"/>
          <w:szCs w:val="28"/>
          <w:lang w:val="uk-UA"/>
        </w:rPr>
        <w:t>8</w:t>
      </w:r>
      <w:r w:rsidR="00FC46D6">
        <w:rPr>
          <w:rFonts w:ascii="Times New Roman" w:hAnsi="Times New Roman" w:cs="Times New Roman"/>
          <w:sz w:val="28"/>
          <w:szCs w:val="28"/>
          <w:lang w:val="uk-UA"/>
        </w:rPr>
        <w:t>) г/м</w:t>
      </w:r>
      <w:r w:rsidR="00FC46D6" w:rsidRPr="003F679B">
        <w:rPr>
          <w:rFonts w:ascii="Times New Roman" w:hAnsi="Times New Roman" w:cs="Times New Roman"/>
          <w:sz w:val="28"/>
          <w:szCs w:val="28"/>
          <w:vertAlign w:val="superscript"/>
          <w:lang w:val="uk-UA"/>
        </w:rPr>
        <w:t>2,7</w:t>
      </w:r>
      <w:r w:rsidR="009419FE" w:rsidRPr="008707FF">
        <w:rPr>
          <w:rFonts w:ascii="Times New Roman" w:hAnsi="Times New Roman" w:cs="Times New Roman"/>
          <w:sz w:val="28"/>
          <w:szCs w:val="28"/>
          <w:lang w:val="uk-UA"/>
        </w:rPr>
        <w:t xml:space="preserve">, </w:t>
      </w:r>
      <w:r w:rsidR="00365531">
        <w:rPr>
          <w:rFonts w:ascii="Times New Roman" w:hAnsi="Times New Roman" w:cs="Times New Roman"/>
          <w:sz w:val="28"/>
          <w:szCs w:val="28"/>
          <w:lang w:val="uk-UA"/>
        </w:rPr>
        <w:t xml:space="preserve">p </w:t>
      </w:r>
      <w:r w:rsidR="00C72F19" w:rsidRPr="009E5778">
        <w:rPr>
          <w:rFonts w:ascii="Times New Roman" w:hAnsi="Times New Roman" w:cs="Times New Roman"/>
          <w:sz w:val="28"/>
          <w:szCs w:val="28"/>
        </w:rPr>
        <w:t>=</w:t>
      </w:r>
      <w:r w:rsidR="00365531">
        <w:rPr>
          <w:rFonts w:ascii="Times New Roman" w:hAnsi="Times New Roman" w:cs="Times New Roman"/>
          <w:sz w:val="28"/>
          <w:szCs w:val="28"/>
          <w:lang w:val="uk-UA"/>
        </w:rPr>
        <w:t xml:space="preserve"> 0,0</w:t>
      </w:r>
      <w:r w:rsidR="00C72F19">
        <w:rPr>
          <w:rFonts w:ascii="Times New Roman" w:hAnsi="Times New Roman" w:cs="Times New Roman"/>
          <w:sz w:val="28"/>
          <w:szCs w:val="28"/>
          <w:lang w:val="uk-UA"/>
        </w:rPr>
        <w:t>0</w:t>
      </w:r>
      <w:r w:rsidR="00C72F19" w:rsidRPr="009E5778">
        <w:rPr>
          <w:rFonts w:ascii="Times New Roman" w:hAnsi="Times New Roman" w:cs="Times New Roman"/>
          <w:sz w:val="28"/>
          <w:szCs w:val="28"/>
        </w:rPr>
        <w:t>17</w:t>
      </w:r>
      <w:r w:rsidR="003F679B" w:rsidRPr="007A40FC">
        <w:rPr>
          <w:rFonts w:ascii="Times New Roman" w:hAnsi="Times New Roman" w:cs="Times New Roman"/>
          <w:sz w:val="28"/>
          <w:szCs w:val="28"/>
          <w:lang w:val="uk-UA"/>
        </w:rPr>
        <w:t>.</w:t>
      </w:r>
      <w:r>
        <w:rPr>
          <w:rFonts w:ascii="Times New Roman" w:hAnsi="Times New Roman" w:cs="Times New Roman"/>
          <w:sz w:val="28"/>
          <w:szCs w:val="28"/>
          <w:lang w:val="uk-UA"/>
        </w:rPr>
        <w:t xml:space="preserve"> В</w:t>
      </w:r>
      <w:r>
        <w:rPr>
          <w:rFonts w:ascii="Times New Roman" w:hAnsi="Times New Roman" w:cs="Times New Roman"/>
          <w:sz w:val="28"/>
          <w:szCs w:val="28"/>
          <w:lang w:val="en-US"/>
        </w:rPr>
        <w:t>i</w:t>
      </w:r>
      <w:r w:rsidR="009F2D2A">
        <w:rPr>
          <w:rFonts w:ascii="Times New Roman" w:hAnsi="Times New Roman" w:cs="Times New Roman"/>
          <w:sz w:val="28"/>
          <w:szCs w:val="28"/>
          <w:lang w:val="uk-UA"/>
        </w:rPr>
        <w:t>домо, що</w:t>
      </w:r>
      <w:r w:rsidR="009F2D2A" w:rsidRPr="009F2D2A">
        <w:rPr>
          <w:rFonts w:ascii="Times New Roman" w:hAnsi="Times New Roman" w:cs="Times New Roman"/>
          <w:sz w:val="28"/>
          <w:szCs w:val="28"/>
          <w:lang w:val="uk-UA"/>
        </w:rPr>
        <w:t xml:space="preserve"> </w:t>
      </w:r>
      <w:r w:rsidR="009F2D2A">
        <w:rPr>
          <w:rFonts w:ascii="Times New Roman" w:hAnsi="Times New Roman" w:cs="Times New Roman"/>
          <w:sz w:val="28"/>
          <w:szCs w:val="28"/>
          <w:lang w:val="uk-UA"/>
        </w:rPr>
        <w:t>п</w:t>
      </w:r>
      <w:r>
        <w:rPr>
          <w:rFonts w:ascii="Times New Roman" w:hAnsi="Times New Roman" w:cs="Times New Roman"/>
          <w:sz w:val="28"/>
          <w:szCs w:val="28"/>
          <w:lang w:val="uk-UA"/>
        </w:rPr>
        <w:t>ри ожир</w:t>
      </w:r>
      <w:r>
        <w:rPr>
          <w:rFonts w:ascii="Times New Roman" w:hAnsi="Times New Roman" w:cs="Times New Roman"/>
          <w:sz w:val="28"/>
          <w:szCs w:val="28"/>
          <w:lang w:val="en-US"/>
        </w:rPr>
        <w:t>i</w:t>
      </w:r>
      <w:r>
        <w:rPr>
          <w:rFonts w:ascii="Times New Roman" w:hAnsi="Times New Roman" w:cs="Times New Roman"/>
          <w:sz w:val="28"/>
          <w:szCs w:val="28"/>
          <w:lang w:val="uk-UA"/>
        </w:rPr>
        <w:t>нн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маса т</w:t>
      </w:r>
      <w:r>
        <w:rPr>
          <w:rFonts w:ascii="Times New Roman" w:hAnsi="Times New Roman" w:cs="Times New Roman"/>
          <w:sz w:val="28"/>
          <w:szCs w:val="28"/>
          <w:lang w:val="en-US"/>
        </w:rPr>
        <w:t>i</w:t>
      </w:r>
      <w:r w:rsidR="009F2D2A" w:rsidRPr="007A40FC">
        <w:rPr>
          <w:rFonts w:ascii="Times New Roman" w:hAnsi="Times New Roman" w:cs="Times New Roman"/>
          <w:sz w:val="28"/>
          <w:szCs w:val="28"/>
          <w:lang w:val="uk-UA"/>
        </w:rPr>
        <w:t>ла та ППТ у хворих зростає</w:t>
      </w:r>
      <w:r>
        <w:rPr>
          <w:rFonts w:ascii="Times New Roman" w:hAnsi="Times New Roman" w:cs="Times New Roman"/>
          <w:sz w:val="28"/>
          <w:szCs w:val="28"/>
          <w:lang w:val="uk-UA"/>
        </w:rPr>
        <w:t xml:space="preserve"> за рахунок жирової тканини. Зб</w:t>
      </w:r>
      <w:r>
        <w:rPr>
          <w:rFonts w:ascii="Times New Roman" w:hAnsi="Times New Roman" w:cs="Times New Roman"/>
          <w:sz w:val="28"/>
          <w:szCs w:val="28"/>
          <w:lang w:val="en-US"/>
        </w:rPr>
        <w:t>i</w:t>
      </w:r>
      <w:r w:rsidR="009F2D2A" w:rsidRPr="009F2D2A">
        <w:rPr>
          <w:rFonts w:ascii="Times New Roman" w:hAnsi="Times New Roman" w:cs="Times New Roman"/>
          <w:sz w:val="28"/>
          <w:szCs w:val="28"/>
        </w:rPr>
        <w:t>льшення значення ППТ</w:t>
      </w:r>
      <w:r w:rsidR="009F2D2A" w:rsidRPr="009F2D2A">
        <w:rPr>
          <w:rFonts w:ascii="Times New Roman" w:hAnsi="Times New Roman" w:cs="Times New Roman"/>
          <w:sz w:val="28"/>
          <w:szCs w:val="28"/>
          <w:lang w:val="uk-UA"/>
        </w:rPr>
        <w:t xml:space="preserve"> може </w:t>
      </w:r>
      <w:r>
        <w:rPr>
          <w:rFonts w:ascii="Times New Roman" w:hAnsi="Times New Roman" w:cs="Times New Roman"/>
          <w:sz w:val="28"/>
          <w:szCs w:val="28"/>
        </w:rPr>
        <w:t>н</w:t>
      </w:r>
      <w:r>
        <w:rPr>
          <w:rFonts w:ascii="Times New Roman" w:hAnsi="Times New Roman" w:cs="Times New Roman"/>
          <w:sz w:val="28"/>
          <w:szCs w:val="28"/>
          <w:lang w:val="en-US"/>
        </w:rPr>
        <w:t>i</w:t>
      </w:r>
      <w:r w:rsidR="009F2D2A" w:rsidRPr="009F2D2A">
        <w:rPr>
          <w:rFonts w:ascii="Times New Roman" w:hAnsi="Times New Roman" w:cs="Times New Roman"/>
          <w:sz w:val="28"/>
          <w:szCs w:val="28"/>
        </w:rPr>
        <w:t>велю</w:t>
      </w:r>
      <w:r w:rsidR="009F2D2A" w:rsidRPr="009F2D2A">
        <w:rPr>
          <w:rFonts w:ascii="Times New Roman" w:hAnsi="Times New Roman" w:cs="Times New Roman"/>
          <w:sz w:val="28"/>
          <w:szCs w:val="28"/>
          <w:lang w:val="uk-UA"/>
        </w:rPr>
        <w:t>вати</w:t>
      </w:r>
      <w:r w:rsidR="009F2D2A" w:rsidRPr="009F2D2A">
        <w:rPr>
          <w:rFonts w:ascii="Times New Roman" w:hAnsi="Times New Roman" w:cs="Times New Roman"/>
          <w:sz w:val="28"/>
          <w:szCs w:val="28"/>
        </w:rPr>
        <w:t xml:space="preserve"> виявлення можлив</w:t>
      </w:r>
      <w:r>
        <w:rPr>
          <w:rFonts w:ascii="Times New Roman" w:hAnsi="Times New Roman" w:cs="Times New Roman"/>
          <w:sz w:val="28"/>
          <w:szCs w:val="28"/>
        </w:rPr>
        <w:t>ого патолог</w:t>
      </w:r>
      <w:r>
        <w:rPr>
          <w:rFonts w:ascii="Times New Roman" w:hAnsi="Times New Roman" w:cs="Times New Roman"/>
          <w:sz w:val="28"/>
          <w:szCs w:val="28"/>
          <w:lang w:val="en-US"/>
        </w:rPr>
        <w:t>i</w:t>
      </w:r>
      <w:r>
        <w:rPr>
          <w:rFonts w:ascii="Times New Roman" w:hAnsi="Times New Roman" w:cs="Times New Roman"/>
          <w:sz w:val="28"/>
          <w:szCs w:val="28"/>
        </w:rPr>
        <w:t>чного зб</w:t>
      </w:r>
      <w:r>
        <w:rPr>
          <w:rFonts w:ascii="Times New Roman" w:hAnsi="Times New Roman" w:cs="Times New Roman"/>
          <w:sz w:val="28"/>
          <w:szCs w:val="28"/>
          <w:lang w:val="en-US"/>
        </w:rPr>
        <w:t>i</w:t>
      </w:r>
      <w:r w:rsidR="008269E7">
        <w:rPr>
          <w:rFonts w:ascii="Times New Roman" w:hAnsi="Times New Roman" w:cs="Times New Roman"/>
          <w:sz w:val="28"/>
          <w:szCs w:val="28"/>
        </w:rPr>
        <w:t>льшення ММ</w:t>
      </w:r>
      <w:r>
        <w:rPr>
          <w:rFonts w:ascii="Times New Roman" w:hAnsi="Times New Roman" w:cs="Times New Roman"/>
          <w:sz w:val="28"/>
          <w:szCs w:val="28"/>
        </w:rPr>
        <w:t xml:space="preserve">ЛШ </w:t>
      </w:r>
      <w:r w:rsidR="003016ED">
        <w:rPr>
          <w:rFonts w:ascii="Times New Roman" w:hAnsi="Times New Roman" w:cs="Times New Roman"/>
          <w:sz w:val="28"/>
          <w:szCs w:val="28"/>
        </w:rPr>
        <w:t xml:space="preserve">         </w:t>
      </w:r>
      <w:r>
        <w:rPr>
          <w:rFonts w:ascii="Times New Roman" w:hAnsi="Times New Roman" w:cs="Times New Roman"/>
          <w:sz w:val="28"/>
          <w:szCs w:val="28"/>
        </w:rPr>
        <w:t>при ожир</w:t>
      </w:r>
      <w:r>
        <w:rPr>
          <w:rFonts w:ascii="Times New Roman" w:hAnsi="Times New Roman" w:cs="Times New Roman"/>
          <w:sz w:val="28"/>
          <w:szCs w:val="28"/>
          <w:lang w:val="en-US"/>
        </w:rPr>
        <w:t>i</w:t>
      </w:r>
      <w:r>
        <w:rPr>
          <w:rFonts w:ascii="Times New Roman" w:hAnsi="Times New Roman" w:cs="Times New Roman"/>
          <w:sz w:val="28"/>
          <w:szCs w:val="28"/>
        </w:rPr>
        <w:t>нн</w:t>
      </w:r>
      <w:r>
        <w:rPr>
          <w:rFonts w:ascii="Times New Roman" w:hAnsi="Times New Roman" w:cs="Times New Roman"/>
          <w:sz w:val="28"/>
          <w:szCs w:val="28"/>
          <w:lang w:val="en-US"/>
        </w:rPr>
        <w:t>i</w:t>
      </w:r>
      <w:r w:rsidR="009F2D2A" w:rsidRPr="009F2D2A">
        <w:rPr>
          <w:rFonts w:ascii="Times New Roman" w:hAnsi="Times New Roman" w:cs="Times New Roman"/>
          <w:sz w:val="28"/>
          <w:szCs w:val="28"/>
        </w:rPr>
        <w:t>.</w:t>
      </w:r>
      <w:r w:rsidR="009F2D2A">
        <w:rPr>
          <w:rFonts w:ascii="Times New Roman" w:hAnsi="Times New Roman" w:cs="Times New Roman"/>
          <w:sz w:val="28"/>
          <w:szCs w:val="28"/>
          <w:lang w:val="uk-UA"/>
        </w:rPr>
        <w:t xml:space="preserve"> </w:t>
      </w:r>
      <w:r w:rsidR="002A6EF1">
        <w:rPr>
          <w:rFonts w:ascii="Times New Roman" w:hAnsi="Times New Roman" w:cs="Times New Roman"/>
          <w:sz w:val="28"/>
          <w:szCs w:val="28"/>
        </w:rPr>
        <w:t xml:space="preserve">Серед </w:t>
      </w:r>
      <w:r w:rsidR="002A6EF1">
        <w:rPr>
          <w:rFonts w:ascii="Times New Roman" w:hAnsi="Times New Roman" w:cs="Times New Roman"/>
          <w:sz w:val="28"/>
          <w:szCs w:val="28"/>
          <w:lang w:val="uk-UA"/>
        </w:rPr>
        <w:t xml:space="preserve">пацієнтів із </w:t>
      </w:r>
      <w:r w:rsidR="00F21EB3">
        <w:rPr>
          <w:rFonts w:ascii="Times New Roman" w:hAnsi="Times New Roman" w:cs="Times New Roman"/>
          <w:sz w:val="28"/>
          <w:szCs w:val="28"/>
          <w:lang w:val="uk-UA"/>
        </w:rPr>
        <w:t xml:space="preserve">АГ та </w:t>
      </w:r>
      <w:r w:rsidR="009F2D2A" w:rsidRPr="00C72F19">
        <w:rPr>
          <w:rFonts w:ascii="Times New Roman" w:hAnsi="Times New Roman" w:cs="Times New Roman"/>
          <w:sz w:val="28"/>
          <w:szCs w:val="28"/>
          <w:lang w:val="uk-UA"/>
        </w:rPr>
        <w:t>ЦД 2-го тип</w:t>
      </w:r>
      <w:r w:rsidR="00F21EB3">
        <w:rPr>
          <w:rFonts w:ascii="Times New Roman" w:hAnsi="Times New Roman" w:cs="Times New Roman"/>
          <w:sz w:val="28"/>
          <w:szCs w:val="28"/>
          <w:lang w:val="uk-UA"/>
        </w:rPr>
        <w:t xml:space="preserve">у </w:t>
      </w:r>
      <w:r w:rsidR="002A6EF1">
        <w:rPr>
          <w:rFonts w:ascii="Times New Roman" w:hAnsi="Times New Roman" w:cs="Times New Roman"/>
          <w:sz w:val="28"/>
          <w:szCs w:val="28"/>
          <w:lang w:val="uk-UA"/>
        </w:rPr>
        <w:t>нормальну вагу констатовано у</w:t>
      </w:r>
      <w:r w:rsidR="00C72F19" w:rsidRPr="00C72F19">
        <w:rPr>
          <w:rFonts w:ascii="Times New Roman" w:hAnsi="Times New Roman" w:cs="Times New Roman"/>
          <w:sz w:val="28"/>
          <w:szCs w:val="28"/>
          <w:lang w:val="uk-UA"/>
        </w:rPr>
        <w:t xml:space="preserve"> </w:t>
      </w:r>
      <w:r w:rsidR="00C72F19" w:rsidRPr="00C72F19">
        <w:rPr>
          <w:rFonts w:ascii="Times New Roman" w:hAnsi="Times New Roman" w:cs="Times New Roman"/>
          <w:sz w:val="28"/>
          <w:szCs w:val="28"/>
        </w:rPr>
        <w:t>8</w:t>
      </w:r>
      <w:r w:rsidR="001E4EC9" w:rsidRPr="00C72F19">
        <w:rPr>
          <w:rFonts w:ascii="Times New Roman" w:hAnsi="Times New Roman" w:cs="Times New Roman"/>
          <w:sz w:val="28"/>
          <w:szCs w:val="28"/>
          <w:lang w:val="uk-UA"/>
        </w:rPr>
        <w:t xml:space="preserve"> </w:t>
      </w:r>
      <w:r w:rsidR="00C72F19" w:rsidRPr="005C596F">
        <w:rPr>
          <w:rFonts w:ascii="Times New Roman" w:hAnsi="Times New Roman" w:cs="Times New Roman"/>
          <w:sz w:val="28"/>
          <w:szCs w:val="28"/>
          <w:lang w:val="uk-UA"/>
        </w:rPr>
        <w:t>(8</w:t>
      </w:r>
      <w:r w:rsidR="005C596F" w:rsidRPr="005C596F">
        <w:rPr>
          <w:rFonts w:ascii="Times New Roman" w:hAnsi="Times New Roman" w:cs="Times New Roman"/>
          <w:sz w:val="28"/>
          <w:szCs w:val="28"/>
        </w:rPr>
        <w:t>,33</w:t>
      </w:r>
      <w:r w:rsidR="00893154">
        <w:rPr>
          <w:rFonts w:ascii="Times New Roman" w:hAnsi="Times New Roman" w:cs="Times New Roman"/>
          <w:sz w:val="28"/>
          <w:szCs w:val="28"/>
          <w:lang w:val="uk-UA"/>
        </w:rPr>
        <w:t xml:space="preserve"> </w:t>
      </w:r>
      <w:r w:rsidR="00C72F19" w:rsidRPr="005C596F">
        <w:rPr>
          <w:rFonts w:ascii="Times New Roman" w:hAnsi="Times New Roman" w:cs="Times New Roman"/>
          <w:sz w:val="28"/>
          <w:szCs w:val="28"/>
          <w:lang w:val="uk-UA"/>
        </w:rPr>
        <w:t>%)</w:t>
      </w:r>
      <w:r w:rsidR="0049537D">
        <w:rPr>
          <w:rFonts w:ascii="Times New Roman" w:hAnsi="Times New Roman" w:cs="Times New Roman"/>
          <w:sz w:val="28"/>
          <w:szCs w:val="28"/>
          <w:lang w:val="uk-UA"/>
        </w:rPr>
        <w:t xml:space="preserve"> </w:t>
      </w:r>
      <w:r w:rsidR="00C72F19" w:rsidRPr="005C596F">
        <w:rPr>
          <w:rFonts w:ascii="Times New Roman" w:hAnsi="Times New Roman" w:cs="Times New Roman"/>
          <w:sz w:val="28"/>
          <w:szCs w:val="28"/>
          <w:lang w:val="uk-UA"/>
        </w:rPr>
        <w:t xml:space="preserve">, </w:t>
      </w:r>
      <w:r>
        <w:rPr>
          <w:rFonts w:ascii="Times New Roman" w:hAnsi="Times New Roman" w:cs="Times New Roman"/>
          <w:sz w:val="28"/>
          <w:szCs w:val="28"/>
          <w:lang w:val="uk-UA"/>
        </w:rPr>
        <w:t>надм</w:t>
      </w:r>
      <w:r>
        <w:rPr>
          <w:rFonts w:ascii="Times New Roman" w:hAnsi="Times New Roman" w:cs="Times New Roman"/>
          <w:sz w:val="28"/>
          <w:szCs w:val="28"/>
          <w:lang w:val="en-US"/>
        </w:rPr>
        <w:t>i</w:t>
      </w:r>
      <w:r w:rsidR="00C72F19" w:rsidRPr="00C72F19">
        <w:rPr>
          <w:rFonts w:ascii="Times New Roman" w:hAnsi="Times New Roman" w:cs="Times New Roman"/>
          <w:sz w:val="28"/>
          <w:szCs w:val="28"/>
          <w:lang w:val="uk-UA"/>
        </w:rPr>
        <w:t xml:space="preserve">рну – </w:t>
      </w:r>
      <w:r w:rsidR="00C72F19" w:rsidRPr="00C72F19">
        <w:rPr>
          <w:rFonts w:ascii="Times New Roman" w:hAnsi="Times New Roman" w:cs="Times New Roman"/>
          <w:sz w:val="28"/>
          <w:szCs w:val="28"/>
        </w:rPr>
        <w:t>35</w:t>
      </w:r>
      <w:r w:rsidR="001E4EC9" w:rsidRPr="00C72F19">
        <w:rPr>
          <w:rFonts w:ascii="Times New Roman" w:hAnsi="Times New Roman" w:cs="Times New Roman"/>
          <w:sz w:val="28"/>
          <w:szCs w:val="28"/>
          <w:lang w:val="uk-UA"/>
        </w:rPr>
        <w:t xml:space="preserve"> </w:t>
      </w:r>
      <w:r w:rsidR="001E4EC9" w:rsidRPr="005C596F">
        <w:rPr>
          <w:rFonts w:ascii="Times New Roman" w:hAnsi="Times New Roman" w:cs="Times New Roman"/>
          <w:sz w:val="28"/>
          <w:szCs w:val="28"/>
          <w:lang w:val="uk-UA"/>
        </w:rPr>
        <w:t>(36</w:t>
      </w:r>
      <w:r w:rsidR="005C596F" w:rsidRPr="005C596F">
        <w:rPr>
          <w:rFonts w:ascii="Times New Roman" w:hAnsi="Times New Roman" w:cs="Times New Roman"/>
          <w:sz w:val="28"/>
          <w:szCs w:val="28"/>
        </w:rPr>
        <w:t>,46</w:t>
      </w:r>
      <w:r w:rsidR="00893154">
        <w:rPr>
          <w:rFonts w:ascii="Times New Roman" w:hAnsi="Times New Roman" w:cs="Times New Roman"/>
          <w:sz w:val="28"/>
          <w:szCs w:val="28"/>
          <w:lang w:val="uk-UA"/>
        </w:rPr>
        <w:t xml:space="preserve"> </w:t>
      </w:r>
      <w:r>
        <w:rPr>
          <w:rFonts w:ascii="Times New Roman" w:hAnsi="Times New Roman" w:cs="Times New Roman"/>
          <w:sz w:val="28"/>
          <w:szCs w:val="28"/>
          <w:lang w:val="uk-UA"/>
        </w:rPr>
        <w:t>%), ожир</w:t>
      </w:r>
      <w:r>
        <w:rPr>
          <w:rFonts w:ascii="Times New Roman" w:hAnsi="Times New Roman" w:cs="Times New Roman"/>
          <w:sz w:val="28"/>
          <w:szCs w:val="28"/>
          <w:lang w:val="en-US"/>
        </w:rPr>
        <w:t>i</w:t>
      </w:r>
      <w:r w:rsidR="00C72F19" w:rsidRPr="005C596F">
        <w:rPr>
          <w:rFonts w:ascii="Times New Roman" w:hAnsi="Times New Roman" w:cs="Times New Roman"/>
          <w:sz w:val="28"/>
          <w:szCs w:val="28"/>
          <w:lang w:val="uk-UA"/>
        </w:rPr>
        <w:t xml:space="preserve">ння першого ступеня – </w:t>
      </w:r>
      <w:r w:rsidR="00C72F19" w:rsidRPr="005C596F">
        <w:rPr>
          <w:rFonts w:ascii="Times New Roman" w:hAnsi="Times New Roman" w:cs="Times New Roman"/>
          <w:sz w:val="28"/>
          <w:szCs w:val="28"/>
        </w:rPr>
        <w:t>35</w:t>
      </w:r>
      <w:r w:rsidR="001E4EC9" w:rsidRPr="005C596F">
        <w:rPr>
          <w:rFonts w:ascii="Times New Roman" w:hAnsi="Times New Roman" w:cs="Times New Roman"/>
          <w:sz w:val="28"/>
          <w:szCs w:val="28"/>
          <w:lang w:val="uk-UA"/>
        </w:rPr>
        <w:t xml:space="preserve"> (3</w:t>
      </w:r>
      <w:r w:rsidR="005C596F" w:rsidRPr="005C596F">
        <w:rPr>
          <w:rFonts w:ascii="Times New Roman" w:hAnsi="Times New Roman" w:cs="Times New Roman"/>
          <w:sz w:val="28"/>
          <w:szCs w:val="28"/>
        </w:rPr>
        <w:t>6,46</w:t>
      </w:r>
      <w:r w:rsidR="00893154">
        <w:rPr>
          <w:rFonts w:ascii="Times New Roman" w:hAnsi="Times New Roman" w:cs="Times New Roman"/>
          <w:sz w:val="28"/>
          <w:szCs w:val="28"/>
          <w:lang w:val="uk-UA"/>
        </w:rPr>
        <w:t xml:space="preserve"> </w:t>
      </w:r>
      <w:r w:rsidR="00C72F19" w:rsidRPr="005C596F">
        <w:rPr>
          <w:rFonts w:ascii="Times New Roman" w:hAnsi="Times New Roman" w:cs="Times New Roman"/>
          <w:sz w:val="28"/>
          <w:szCs w:val="28"/>
          <w:lang w:val="uk-UA"/>
        </w:rPr>
        <w:t>%), другого –</w:t>
      </w:r>
      <w:r w:rsidR="005C596F" w:rsidRPr="005C596F">
        <w:rPr>
          <w:rFonts w:ascii="Times New Roman" w:hAnsi="Times New Roman" w:cs="Times New Roman"/>
          <w:sz w:val="28"/>
          <w:szCs w:val="28"/>
        </w:rPr>
        <w:t xml:space="preserve"> 13</w:t>
      </w:r>
      <w:r w:rsidR="00C72F19" w:rsidRPr="005C596F">
        <w:rPr>
          <w:rFonts w:ascii="Times New Roman" w:hAnsi="Times New Roman" w:cs="Times New Roman"/>
          <w:sz w:val="28"/>
          <w:szCs w:val="28"/>
          <w:lang w:val="uk-UA"/>
        </w:rPr>
        <w:t xml:space="preserve"> </w:t>
      </w:r>
      <w:r w:rsidR="005C596F">
        <w:rPr>
          <w:rFonts w:ascii="Times New Roman" w:hAnsi="Times New Roman" w:cs="Times New Roman"/>
          <w:sz w:val="28"/>
          <w:szCs w:val="28"/>
          <w:lang w:val="uk-UA"/>
        </w:rPr>
        <w:t>(1</w:t>
      </w:r>
      <w:r w:rsidR="005C596F" w:rsidRPr="005C596F">
        <w:rPr>
          <w:rFonts w:ascii="Times New Roman" w:hAnsi="Times New Roman" w:cs="Times New Roman"/>
          <w:sz w:val="28"/>
          <w:szCs w:val="28"/>
        </w:rPr>
        <w:t>3,54</w:t>
      </w:r>
      <w:r w:rsidR="00893154">
        <w:rPr>
          <w:rFonts w:ascii="Times New Roman" w:hAnsi="Times New Roman" w:cs="Times New Roman"/>
          <w:sz w:val="28"/>
          <w:szCs w:val="28"/>
          <w:lang w:val="uk-UA"/>
        </w:rPr>
        <w:t xml:space="preserve"> </w:t>
      </w:r>
      <w:r w:rsidR="00C72F19" w:rsidRPr="005C596F">
        <w:rPr>
          <w:rFonts w:ascii="Times New Roman" w:hAnsi="Times New Roman" w:cs="Times New Roman"/>
          <w:sz w:val="28"/>
          <w:szCs w:val="28"/>
          <w:lang w:val="uk-UA"/>
        </w:rPr>
        <w:t xml:space="preserve">%), третього – </w:t>
      </w:r>
      <w:r w:rsidR="005C596F" w:rsidRPr="005C596F">
        <w:rPr>
          <w:rFonts w:ascii="Times New Roman" w:hAnsi="Times New Roman" w:cs="Times New Roman"/>
          <w:sz w:val="28"/>
          <w:szCs w:val="28"/>
        </w:rPr>
        <w:t>5</w:t>
      </w:r>
      <w:r w:rsidR="005C596F">
        <w:rPr>
          <w:rFonts w:ascii="Times New Roman" w:hAnsi="Times New Roman" w:cs="Times New Roman"/>
          <w:sz w:val="28"/>
          <w:szCs w:val="28"/>
          <w:lang w:val="uk-UA"/>
        </w:rPr>
        <w:t xml:space="preserve"> (</w:t>
      </w:r>
      <w:r w:rsidR="005C596F" w:rsidRPr="005C596F">
        <w:rPr>
          <w:rFonts w:ascii="Times New Roman" w:hAnsi="Times New Roman" w:cs="Times New Roman"/>
          <w:sz w:val="28"/>
          <w:szCs w:val="28"/>
        </w:rPr>
        <w:t>5,21</w:t>
      </w:r>
      <w:r w:rsidR="00893154">
        <w:rPr>
          <w:rFonts w:ascii="Times New Roman" w:hAnsi="Times New Roman" w:cs="Times New Roman"/>
          <w:sz w:val="28"/>
          <w:szCs w:val="28"/>
          <w:lang w:val="uk-UA"/>
        </w:rPr>
        <w:t xml:space="preserve"> </w:t>
      </w:r>
      <w:r w:rsidR="001E4EC9" w:rsidRPr="005C596F">
        <w:rPr>
          <w:rFonts w:ascii="Times New Roman" w:hAnsi="Times New Roman" w:cs="Times New Roman"/>
          <w:sz w:val="28"/>
          <w:szCs w:val="28"/>
          <w:lang w:val="uk-UA"/>
        </w:rPr>
        <w:t>%)</w:t>
      </w:r>
      <w:r w:rsidR="0049537D">
        <w:rPr>
          <w:rFonts w:ascii="Times New Roman" w:hAnsi="Times New Roman" w:cs="Times New Roman"/>
          <w:sz w:val="28"/>
          <w:szCs w:val="28"/>
          <w:lang w:val="uk-UA"/>
        </w:rPr>
        <w:t xml:space="preserve"> хворих</w:t>
      </w:r>
      <w:r w:rsidR="001E4EC9" w:rsidRPr="005C596F">
        <w:rPr>
          <w:rFonts w:ascii="Times New Roman" w:hAnsi="Times New Roman" w:cs="Times New Roman"/>
          <w:sz w:val="28"/>
          <w:szCs w:val="28"/>
          <w:lang w:val="uk-UA"/>
        </w:rPr>
        <w:t xml:space="preserve">. </w:t>
      </w:r>
    </w:p>
    <w:p w:rsidR="0069490A" w:rsidRPr="00F25F75" w:rsidRDefault="00327FAD" w:rsidP="002A6EF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обчислили </w:t>
      </w:r>
      <w:r>
        <w:rPr>
          <w:rFonts w:ascii="Times New Roman" w:hAnsi="Times New Roman" w:cs="Times New Roman"/>
          <w:sz w:val="28"/>
          <w:szCs w:val="28"/>
          <w:lang w:val="en-US"/>
        </w:rPr>
        <w:t>I</w:t>
      </w:r>
      <w:r w:rsidR="001E4EC9" w:rsidRPr="00BE646F">
        <w:rPr>
          <w:rFonts w:ascii="Times New Roman" w:hAnsi="Times New Roman" w:cs="Times New Roman"/>
          <w:sz w:val="28"/>
          <w:szCs w:val="28"/>
          <w:lang w:val="uk-UA"/>
        </w:rPr>
        <w:t>ММ</w:t>
      </w:r>
      <w:r>
        <w:rPr>
          <w:rFonts w:ascii="Times New Roman" w:hAnsi="Times New Roman" w:cs="Times New Roman"/>
          <w:sz w:val="28"/>
          <w:szCs w:val="28"/>
          <w:lang w:val="uk-UA"/>
        </w:rPr>
        <w:t xml:space="preserve">ЛШ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як в</w:t>
      </w:r>
      <w:r>
        <w:rPr>
          <w:rFonts w:ascii="Times New Roman" w:hAnsi="Times New Roman" w:cs="Times New Roman"/>
          <w:sz w:val="28"/>
          <w:szCs w:val="28"/>
          <w:lang w:val="en-US"/>
        </w:rPr>
        <w:t>i</w:t>
      </w:r>
      <w:r w:rsidR="0092409A" w:rsidRPr="00BE646F">
        <w:rPr>
          <w:rFonts w:ascii="Times New Roman" w:hAnsi="Times New Roman" w:cs="Times New Roman"/>
          <w:sz w:val="28"/>
          <w:szCs w:val="28"/>
          <w:lang w:val="uk-UA"/>
        </w:rPr>
        <w:t>дношення ММЛШ до ППТ</w:t>
      </w:r>
      <w:r w:rsidR="001E4EC9" w:rsidRPr="00BE646F">
        <w:rPr>
          <w:rFonts w:ascii="Times New Roman" w:hAnsi="Times New Roman" w:cs="Times New Roman"/>
          <w:sz w:val="28"/>
          <w:szCs w:val="28"/>
          <w:lang w:val="uk-UA"/>
        </w:rPr>
        <w:t>. Вияв</w:t>
      </w:r>
      <w:r w:rsidR="00BE646F" w:rsidRPr="00BE646F">
        <w:rPr>
          <w:rFonts w:ascii="Times New Roman" w:hAnsi="Times New Roman" w:cs="Times New Roman"/>
          <w:sz w:val="28"/>
          <w:szCs w:val="28"/>
          <w:lang w:val="uk-UA"/>
        </w:rPr>
        <w:t>илося, що у 9</w:t>
      </w:r>
      <w:r>
        <w:rPr>
          <w:rFonts w:ascii="Times New Roman" w:hAnsi="Times New Roman" w:cs="Times New Roman"/>
          <w:sz w:val="28"/>
          <w:szCs w:val="28"/>
          <w:lang w:val="uk-UA"/>
        </w:rPr>
        <w:t xml:space="preserve"> </w:t>
      </w:r>
      <w:r w:rsidR="008C2C1A">
        <w:rPr>
          <w:rFonts w:ascii="Times New Roman" w:hAnsi="Times New Roman" w:cs="Times New Roman"/>
          <w:sz w:val="28"/>
          <w:szCs w:val="28"/>
          <w:lang w:val="uk-UA"/>
        </w:rPr>
        <w:t xml:space="preserve">пацієнтів </w:t>
      </w:r>
      <w:r w:rsidR="00BE646F" w:rsidRPr="00BE646F">
        <w:rPr>
          <w:rFonts w:ascii="Times New Roman" w:hAnsi="Times New Roman" w:cs="Times New Roman"/>
          <w:sz w:val="28"/>
          <w:szCs w:val="28"/>
          <w:lang w:val="uk-UA"/>
        </w:rPr>
        <w:t>(9,38</w:t>
      </w:r>
      <w:r w:rsidR="00893154">
        <w:rPr>
          <w:rFonts w:ascii="Times New Roman" w:hAnsi="Times New Roman" w:cs="Times New Roman"/>
          <w:sz w:val="28"/>
          <w:szCs w:val="28"/>
          <w:lang w:val="uk-UA"/>
        </w:rPr>
        <w:t xml:space="preserve"> </w:t>
      </w:r>
      <w:r w:rsidR="00BE646F" w:rsidRPr="00BE646F">
        <w:rPr>
          <w:rFonts w:ascii="Times New Roman" w:hAnsi="Times New Roman" w:cs="Times New Roman"/>
          <w:sz w:val="28"/>
          <w:szCs w:val="28"/>
          <w:lang w:val="uk-UA"/>
        </w:rPr>
        <w:t>%)</w:t>
      </w:r>
      <w:r>
        <w:rPr>
          <w:rFonts w:ascii="Times New Roman" w:hAnsi="Times New Roman" w:cs="Times New Roman"/>
          <w:sz w:val="28"/>
          <w:szCs w:val="28"/>
          <w:lang w:val="uk-UA"/>
        </w:rPr>
        <w:t xml:space="preserve"> І групи </w:t>
      </w:r>
      <w:r>
        <w:rPr>
          <w:rFonts w:ascii="Times New Roman" w:hAnsi="Times New Roman" w:cs="Times New Roman"/>
          <w:sz w:val="28"/>
          <w:szCs w:val="28"/>
          <w:lang w:val="en-US"/>
        </w:rPr>
        <w:t>I</w:t>
      </w:r>
      <w:r w:rsidR="008269E7" w:rsidRPr="00BE646F">
        <w:rPr>
          <w:rFonts w:ascii="Times New Roman" w:hAnsi="Times New Roman" w:cs="Times New Roman"/>
          <w:sz w:val="28"/>
          <w:szCs w:val="28"/>
          <w:lang w:val="uk-UA"/>
        </w:rPr>
        <w:t>ММ</w:t>
      </w:r>
      <w:r>
        <w:rPr>
          <w:rFonts w:ascii="Times New Roman" w:hAnsi="Times New Roman" w:cs="Times New Roman"/>
          <w:sz w:val="28"/>
          <w:szCs w:val="28"/>
          <w:lang w:val="uk-UA"/>
        </w:rPr>
        <w:t>ЛШ був п</w:t>
      </w:r>
      <w:r>
        <w:rPr>
          <w:rFonts w:ascii="Times New Roman" w:hAnsi="Times New Roman" w:cs="Times New Roman"/>
          <w:sz w:val="28"/>
          <w:szCs w:val="28"/>
          <w:lang w:val="en-US"/>
        </w:rPr>
        <w:t>i</w:t>
      </w:r>
      <w:r w:rsidR="008C2C1A">
        <w:rPr>
          <w:rFonts w:ascii="Times New Roman" w:hAnsi="Times New Roman" w:cs="Times New Roman"/>
          <w:sz w:val="28"/>
          <w:szCs w:val="28"/>
          <w:lang w:val="uk-UA"/>
        </w:rPr>
        <w:t xml:space="preserve">двищений при його розрахунку </w:t>
      </w:r>
      <w:r w:rsidR="00243B20" w:rsidRPr="00BE646F">
        <w:rPr>
          <w:rFonts w:ascii="Times New Roman" w:hAnsi="Times New Roman" w:cs="Times New Roman"/>
          <w:sz w:val="28"/>
          <w:szCs w:val="28"/>
          <w:lang w:val="uk-UA"/>
        </w:rPr>
        <w:t>як с</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243B20" w:rsidRPr="00BE646F">
        <w:rPr>
          <w:rFonts w:ascii="Times New Roman" w:hAnsi="Times New Roman" w:cs="Times New Roman"/>
          <w:sz w:val="28"/>
          <w:szCs w:val="28"/>
          <w:lang w:val="uk-UA"/>
        </w:rPr>
        <w:t>дношенн</w:t>
      </w:r>
      <w:r>
        <w:rPr>
          <w:rFonts w:ascii="Times New Roman" w:hAnsi="Times New Roman" w:cs="Times New Roman"/>
          <w:sz w:val="28"/>
          <w:szCs w:val="28"/>
          <w:lang w:val="uk-UA"/>
        </w:rPr>
        <w:t>я ММЛШ до зросту в степен</w:t>
      </w:r>
      <w:r>
        <w:rPr>
          <w:rFonts w:ascii="Times New Roman" w:hAnsi="Times New Roman" w:cs="Times New Roman"/>
          <w:sz w:val="28"/>
          <w:szCs w:val="28"/>
          <w:lang w:val="en-US"/>
        </w:rPr>
        <w:t>i</w:t>
      </w:r>
      <w:r w:rsidR="00893154">
        <w:rPr>
          <w:rFonts w:ascii="Times New Roman" w:hAnsi="Times New Roman" w:cs="Times New Roman"/>
          <w:sz w:val="28"/>
          <w:szCs w:val="28"/>
          <w:lang w:val="uk-UA"/>
        </w:rPr>
        <w:t xml:space="preserve"> 2,7;</w:t>
      </w:r>
      <w:r w:rsidR="00BE646F">
        <w:rPr>
          <w:rFonts w:ascii="Times New Roman" w:hAnsi="Times New Roman" w:cs="Times New Roman"/>
          <w:sz w:val="28"/>
          <w:szCs w:val="28"/>
          <w:lang w:val="uk-UA"/>
        </w:rPr>
        <w:t xml:space="preserve"> проте</w:t>
      </w:r>
      <w:r>
        <w:rPr>
          <w:rFonts w:ascii="Times New Roman" w:hAnsi="Times New Roman" w:cs="Times New Roman"/>
          <w:sz w:val="28"/>
          <w:szCs w:val="28"/>
          <w:lang w:val="uk-UA"/>
        </w:rPr>
        <w:t xml:space="preserve"> мав нормальн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значення при обчисленн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як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243B20" w:rsidRPr="00BE646F">
        <w:rPr>
          <w:rFonts w:ascii="Times New Roman" w:hAnsi="Times New Roman" w:cs="Times New Roman"/>
          <w:sz w:val="28"/>
          <w:szCs w:val="28"/>
          <w:lang w:val="uk-UA"/>
        </w:rPr>
        <w:t>дно</w:t>
      </w:r>
      <w:r w:rsidR="00BE646F" w:rsidRPr="00BE646F">
        <w:rPr>
          <w:rFonts w:ascii="Times New Roman" w:hAnsi="Times New Roman" w:cs="Times New Roman"/>
          <w:sz w:val="28"/>
          <w:szCs w:val="28"/>
          <w:lang w:val="uk-UA"/>
        </w:rPr>
        <w:t>шення ММЛШ до ППТ.  Серед цих 9</w:t>
      </w:r>
      <w:r>
        <w:rPr>
          <w:rFonts w:ascii="Times New Roman" w:hAnsi="Times New Roman" w:cs="Times New Roman"/>
          <w:sz w:val="28"/>
          <w:szCs w:val="28"/>
          <w:lang w:val="uk-UA"/>
        </w:rPr>
        <w:t xml:space="preserve"> </w:t>
      </w:r>
      <w:r w:rsidR="008C2C1A">
        <w:rPr>
          <w:rFonts w:ascii="Times New Roman" w:hAnsi="Times New Roman" w:cs="Times New Roman"/>
          <w:sz w:val="28"/>
          <w:szCs w:val="28"/>
          <w:lang w:val="uk-UA"/>
        </w:rPr>
        <w:t>хворих один мав</w:t>
      </w:r>
      <w:r w:rsidR="00BE646F" w:rsidRPr="00BE646F">
        <w:rPr>
          <w:rFonts w:ascii="Times New Roman" w:hAnsi="Times New Roman" w:cs="Times New Roman"/>
          <w:sz w:val="28"/>
          <w:szCs w:val="28"/>
          <w:lang w:val="uk-UA"/>
        </w:rPr>
        <w:t xml:space="preserve"> І</w:t>
      </w:r>
      <w:r>
        <w:rPr>
          <w:rFonts w:ascii="Times New Roman" w:hAnsi="Times New Roman" w:cs="Times New Roman"/>
          <w:sz w:val="28"/>
          <w:szCs w:val="28"/>
          <w:lang w:val="uk-UA"/>
        </w:rPr>
        <w:t>І ступ</w:t>
      </w:r>
      <w:r>
        <w:rPr>
          <w:rFonts w:ascii="Times New Roman" w:hAnsi="Times New Roman" w:cs="Times New Roman"/>
          <w:sz w:val="28"/>
          <w:szCs w:val="28"/>
          <w:lang w:val="en-US"/>
        </w:rPr>
        <w:t>i</w:t>
      </w:r>
      <w:r>
        <w:rPr>
          <w:rFonts w:ascii="Times New Roman" w:hAnsi="Times New Roman" w:cs="Times New Roman"/>
          <w:sz w:val="28"/>
          <w:szCs w:val="28"/>
          <w:lang w:val="uk-UA"/>
        </w:rPr>
        <w:t>нь ожир</w:t>
      </w:r>
      <w:r>
        <w:rPr>
          <w:rFonts w:ascii="Times New Roman" w:hAnsi="Times New Roman" w:cs="Times New Roman"/>
          <w:sz w:val="28"/>
          <w:szCs w:val="28"/>
          <w:lang w:val="en-US"/>
        </w:rPr>
        <w:t>i</w:t>
      </w:r>
      <w:r w:rsidR="008C2C1A">
        <w:rPr>
          <w:rFonts w:ascii="Times New Roman" w:hAnsi="Times New Roman" w:cs="Times New Roman"/>
          <w:sz w:val="28"/>
          <w:szCs w:val="28"/>
          <w:lang w:val="uk-UA"/>
        </w:rPr>
        <w:t>ння, троє</w:t>
      </w:r>
      <w:r w:rsidR="00893154">
        <w:rPr>
          <w:rFonts w:ascii="Times New Roman" w:hAnsi="Times New Roman" w:cs="Times New Roman"/>
          <w:sz w:val="28"/>
          <w:szCs w:val="28"/>
          <w:lang w:val="uk-UA"/>
        </w:rPr>
        <w:t xml:space="preserve"> −</w:t>
      </w:r>
      <w:r w:rsidR="00BE646F">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ступ</w:t>
      </w:r>
      <w:r>
        <w:rPr>
          <w:rFonts w:ascii="Times New Roman" w:hAnsi="Times New Roman" w:cs="Times New Roman"/>
          <w:sz w:val="28"/>
          <w:szCs w:val="28"/>
          <w:lang w:val="en-US"/>
        </w:rPr>
        <w:t>i</w:t>
      </w:r>
      <w:r>
        <w:rPr>
          <w:rFonts w:ascii="Times New Roman" w:hAnsi="Times New Roman" w:cs="Times New Roman"/>
          <w:sz w:val="28"/>
          <w:szCs w:val="28"/>
          <w:lang w:val="uk-UA"/>
        </w:rPr>
        <w:t>нь ожир</w:t>
      </w:r>
      <w:r>
        <w:rPr>
          <w:rFonts w:ascii="Times New Roman" w:hAnsi="Times New Roman" w:cs="Times New Roman"/>
          <w:sz w:val="28"/>
          <w:szCs w:val="28"/>
          <w:lang w:val="en-US"/>
        </w:rPr>
        <w:t>i</w:t>
      </w:r>
      <w:r w:rsidR="00BE646F" w:rsidRPr="00BE646F">
        <w:rPr>
          <w:rFonts w:ascii="Times New Roman" w:hAnsi="Times New Roman" w:cs="Times New Roman"/>
          <w:sz w:val="28"/>
          <w:szCs w:val="28"/>
          <w:lang w:val="uk-UA"/>
        </w:rPr>
        <w:t>ння, пʼять</w:t>
      </w:r>
      <w:r>
        <w:rPr>
          <w:rFonts w:ascii="Times New Roman" w:hAnsi="Times New Roman" w:cs="Times New Roman"/>
          <w:sz w:val="28"/>
          <w:szCs w:val="28"/>
          <w:lang w:val="uk-UA"/>
        </w:rPr>
        <w:t xml:space="preserve"> – надм</w:t>
      </w:r>
      <w:r>
        <w:rPr>
          <w:rFonts w:ascii="Times New Roman" w:hAnsi="Times New Roman" w:cs="Times New Roman"/>
          <w:sz w:val="28"/>
          <w:szCs w:val="28"/>
          <w:lang w:val="en-US"/>
        </w:rPr>
        <w:t>i</w:t>
      </w:r>
      <w:r w:rsidR="00243B20" w:rsidRPr="00BE646F">
        <w:rPr>
          <w:rFonts w:ascii="Times New Roman" w:hAnsi="Times New Roman" w:cs="Times New Roman"/>
          <w:sz w:val="28"/>
          <w:szCs w:val="28"/>
          <w:lang w:val="uk-UA"/>
        </w:rPr>
        <w:t>рну вагу</w:t>
      </w:r>
      <w:r w:rsidR="00243B20">
        <w:rPr>
          <w:rFonts w:ascii="Times New Roman" w:hAnsi="Times New Roman" w:cs="Times New Roman"/>
          <w:sz w:val="28"/>
          <w:szCs w:val="28"/>
          <w:lang w:val="uk-UA"/>
        </w:rPr>
        <w:t xml:space="preserve">. </w:t>
      </w:r>
      <w:r w:rsidR="008C2C1A">
        <w:rPr>
          <w:rFonts w:ascii="Times New Roman" w:hAnsi="Times New Roman" w:cs="Times New Roman"/>
          <w:sz w:val="28"/>
          <w:szCs w:val="28"/>
          <w:lang w:val="uk-UA"/>
        </w:rPr>
        <w:t>Серед пацієнтів</w:t>
      </w:r>
      <w:r w:rsidR="00BE646F">
        <w:rPr>
          <w:rFonts w:ascii="Times New Roman" w:hAnsi="Times New Roman" w:cs="Times New Roman"/>
          <w:sz w:val="28"/>
          <w:szCs w:val="28"/>
          <w:lang w:val="uk-UA"/>
        </w:rPr>
        <w:t xml:space="preserve"> ІІ групи од</w:t>
      </w:r>
      <w:r>
        <w:rPr>
          <w:rFonts w:ascii="Times New Roman" w:hAnsi="Times New Roman" w:cs="Times New Roman"/>
          <w:sz w:val="28"/>
          <w:szCs w:val="28"/>
          <w:lang w:val="uk-UA"/>
        </w:rPr>
        <w:t>ин чолов</w:t>
      </w:r>
      <w:r>
        <w:rPr>
          <w:rFonts w:ascii="Times New Roman" w:hAnsi="Times New Roman" w:cs="Times New Roman"/>
          <w:sz w:val="28"/>
          <w:szCs w:val="28"/>
          <w:lang w:val="en-US"/>
        </w:rPr>
        <w:t>i</w:t>
      </w:r>
      <w:r w:rsidR="00BE646F">
        <w:rPr>
          <w:rFonts w:ascii="Times New Roman" w:hAnsi="Times New Roman" w:cs="Times New Roman"/>
          <w:sz w:val="28"/>
          <w:szCs w:val="28"/>
          <w:lang w:val="uk-UA"/>
        </w:rPr>
        <w:t>к (4</w:t>
      </w:r>
      <w:r w:rsidR="00893154">
        <w:rPr>
          <w:rFonts w:ascii="Times New Roman" w:hAnsi="Times New Roman" w:cs="Times New Roman"/>
          <w:sz w:val="28"/>
          <w:szCs w:val="28"/>
          <w:lang w:val="uk-UA"/>
        </w:rPr>
        <w:t xml:space="preserve"> </w:t>
      </w:r>
      <w:r w:rsidR="00BE646F">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Pr>
          <w:rFonts w:ascii="Times New Roman" w:hAnsi="Times New Roman" w:cs="Times New Roman"/>
          <w:sz w:val="28"/>
          <w:szCs w:val="28"/>
          <w:lang w:val="uk-UA"/>
        </w:rPr>
        <w:t>з трет</w:t>
      </w:r>
      <w:r>
        <w:rPr>
          <w:rFonts w:ascii="Times New Roman" w:hAnsi="Times New Roman" w:cs="Times New Roman"/>
          <w:sz w:val="28"/>
          <w:szCs w:val="28"/>
          <w:lang w:val="en-US"/>
        </w:rPr>
        <w:t>i</w:t>
      </w:r>
      <w:r>
        <w:rPr>
          <w:rFonts w:ascii="Times New Roman" w:hAnsi="Times New Roman" w:cs="Times New Roman"/>
          <w:sz w:val="28"/>
          <w:szCs w:val="28"/>
          <w:lang w:val="uk-UA"/>
        </w:rPr>
        <w:t>м ступенем ожир</w:t>
      </w:r>
      <w:r>
        <w:rPr>
          <w:rFonts w:ascii="Times New Roman" w:hAnsi="Times New Roman" w:cs="Times New Roman"/>
          <w:sz w:val="28"/>
          <w:szCs w:val="28"/>
          <w:lang w:val="en-US"/>
        </w:rPr>
        <w:t>i</w:t>
      </w:r>
      <w:r w:rsidR="00BE646F">
        <w:rPr>
          <w:rFonts w:ascii="Times New Roman" w:hAnsi="Times New Roman" w:cs="Times New Roman"/>
          <w:sz w:val="28"/>
          <w:szCs w:val="28"/>
          <w:lang w:val="uk-UA"/>
        </w:rPr>
        <w:t xml:space="preserve">ння мав </w:t>
      </w:r>
      <w:r>
        <w:rPr>
          <w:rFonts w:ascii="Times New Roman" w:hAnsi="Times New Roman" w:cs="Times New Roman"/>
          <w:sz w:val="28"/>
          <w:szCs w:val="28"/>
          <w:lang w:val="en-US"/>
        </w:rPr>
        <w:t>I</w:t>
      </w:r>
      <w:r w:rsidR="00BE646F" w:rsidRPr="00BE646F">
        <w:rPr>
          <w:rFonts w:ascii="Times New Roman" w:hAnsi="Times New Roman" w:cs="Times New Roman"/>
          <w:sz w:val="28"/>
          <w:szCs w:val="28"/>
          <w:lang w:val="uk-UA"/>
        </w:rPr>
        <w:t>ММ</w:t>
      </w:r>
      <w:r>
        <w:rPr>
          <w:rFonts w:ascii="Times New Roman" w:hAnsi="Times New Roman" w:cs="Times New Roman"/>
          <w:sz w:val="28"/>
          <w:szCs w:val="28"/>
          <w:lang w:val="uk-UA"/>
        </w:rPr>
        <w:t>ЛШ, що виявився п</w:t>
      </w:r>
      <w:r>
        <w:rPr>
          <w:rFonts w:ascii="Times New Roman" w:hAnsi="Times New Roman" w:cs="Times New Roman"/>
          <w:sz w:val="28"/>
          <w:szCs w:val="28"/>
          <w:lang w:val="en-US"/>
        </w:rPr>
        <w:t>i</w:t>
      </w:r>
      <w:r w:rsidR="00BE646F">
        <w:rPr>
          <w:rFonts w:ascii="Times New Roman" w:hAnsi="Times New Roman" w:cs="Times New Roman"/>
          <w:sz w:val="28"/>
          <w:szCs w:val="28"/>
          <w:lang w:val="uk-UA"/>
        </w:rPr>
        <w:t>двищеним</w:t>
      </w:r>
      <w:r>
        <w:rPr>
          <w:rFonts w:ascii="Times New Roman" w:hAnsi="Times New Roman" w:cs="Times New Roman"/>
          <w:sz w:val="28"/>
          <w:szCs w:val="28"/>
          <w:lang w:val="uk-UA"/>
        </w:rPr>
        <w:t xml:space="preserve"> при його розрахунку як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BE646F" w:rsidRPr="00BE646F">
        <w:rPr>
          <w:rFonts w:ascii="Times New Roman" w:hAnsi="Times New Roman" w:cs="Times New Roman"/>
          <w:sz w:val="28"/>
          <w:szCs w:val="28"/>
          <w:lang w:val="uk-UA"/>
        </w:rPr>
        <w:t>дношенн</w:t>
      </w:r>
      <w:r w:rsidR="00893154">
        <w:rPr>
          <w:rFonts w:ascii="Times New Roman" w:hAnsi="Times New Roman" w:cs="Times New Roman"/>
          <w:sz w:val="28"/>
          <w:szCs w:val="28"/>
          <w:lang w:val="uk-UA"/>
        </w:rPr>
        <w:t>я ММЛШ до зросту в</w:t>
      </w:r>
      <w:r>
        <w:rPr>
          <w:rFonts w:ascii="Times New Roman" w:hAnsi="Times New Roman" w:cs="Times New Roman"/>
          <w:sz w:val="28"/>
          <w:szCs w:val="28"/>
          <w:lang w:val="uk-UA"/>
        </w:rPr>
        <w:t xml:space="preserve"> степені</w:t>
      </w:r>
      <w:r w:rsidRPr="00327FAD">
        <w:rPr>
          <w:rFonts w:ascii="Times New Roman" w:hAnsi="Times New Roman" w:cs="Times New Roman"/>
          <w:sz w:val="28"/>
          <w:szCs w:val="28"/>
          <w:lang w:val="uk-UA"/>
        </w:rPr>
        <w:t xml:space="preserve"> </w:t>
      </w:r>
      <w:r w:rsidR="00BE646F">
        <w:rPr>
          <w:rFonts w:ascii="Times New Roman" w:hAnsi="Times New Roman" w:cs="Times New Roman"/>
          <w:sz w:val="28"/>
          <w:szCs w:val="28"/>
          <w:lang w:val="uk-UA"/>
        </w:rPr>
        <w:t>2,7</w:t>
      </w:r>
      <w:r w:rsidR="00893154">
        <w:rPr>
          <w:rFonts w:ascii="Times New Roman" w:hAnsi="Times New Roman" w:cs="Times New Roman"/>
          <w:sz w:val="28"/>
          <w:szCs w:val="28"/>
          <w:lang w:val="uk-UA"/>
        </w:rPr>
        <w:t>; а також</w:t>
      </w:r>
      <w:r>
        <w:rPr>
          <w:rFonts w:ascii="Times New Roman" w:hAnsi="Times New Roman" w:cs="Times New Roman"/>
          <w:sz w:val="28"/>
          <w:szCs w:val="28"/>
          <w:lang w:val="uk-UA"/>
        </w:rPr>
        <w:t xml:space="preserve"> нормальн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значення при обчисленн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як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BE646F" w:rsidRPr="00BE646F">
        <w:rPr>
          <w:rFonts w:ascii="Times New Roman" w:hAnsi="Times New Roman" w:cs="Times New Roman"/>
          <w:sz w:val="28"/>
          <w:szCs w:val="28"/>
          <w:lang w:val="uk-UA"/>
        </w:rPr>
        <w:t xml:space="preserve">дношення ММЛШ до ППТ.  </w:t>
      </w:r>
      <w:r w:rsidR="00243B20">
        <w:rPr>
          <w:rFonts w:ascii="Times New Roman" w:hAnsi="Times New Roman" w:cs="Times New Roman"/>
          <w:sz w:val="28"/>
          <w:szCs w:val="28"/>
          <w:lang w:val="uk-UA"/>
        </w:rPr>
        <w:t>О</w:t>
      </w:r>
      <w:r w:rsidR="00453DA6">
        <w:rPr>
          <w:rFonts w:ascii="Times New Roman" w:hAnsi="Times New Roman" w:cs="Times New Roman"/>
          <w:sz w:val="28"/>
          <w:szCs w:val="28"/>
          <w:lang w:val="uk-UA"/>
        </w:rPr>
        <w:t>тже, у цих пац</w:t>
      </w:r>
      <w:r w:rsidR="00453DA6">
        <w:rPr>
          <w:rFonts w:ascii="Times New Roman" w:hAnsi="Times New Roman" w:cs="Times New Roman"/>
          <w:sz w:val="28"/>
          <w:szCs w:val="28"/>
          <w:lang w:val="en-US"/>
        </w:rPr>
        <w:t>i</w:t>
      </w:r>
      <w:r w:rsidR="00453DA6">
        <w:rPr>
          <w:rFonts w:ascii="Times New Roman" w:hAnsi="Times New Roman" w:cs="Times New Roman"/>
          <w:sz w:val="28"/>
          <w:szCs w:val="28"/>
          <w:lang w:val="uk-UA"/>
        </w:rPr>
        <w:t>єнт</w:t>
      </w:r>
      <w:r w:rsidR="00453DA6">
        <w:rPr>
          <w:rFonts w:ascii="Times New Roman" w:hAnsi="Times New Roman" w:cs="Times New Roman"/>
          <w:sz w:val="28"/>
          <w:szCs w:val="28"/>
          <w:lang w:val="en-US"/>
        </w:rPr>
        <w:t>i</w:t>
      </w:r>
      <w:r w:rsidR="007A40FC">
        <w:rPr>
          <w:rFonts w:ascii="Times New Roman" w:hAnsi="Times New Roman" w:cs="Times New Roman"/>
          <w:sz w:val="28"/>
          <w:szCs w:val="28"/>
          <w:lang w:val="uk-UA"/>
        </w:rPr>
        <w:t>в</w:t>
      </w:r>
      <w:r w:rsidR="00F21EB3">
        <w:rPr>
          <w:rFonts w:ascii="Times New Roman" w:hAnsi="Times New Roman" w:cs="Times New Roman"/>
          <w:sz w:val="28"/>
          <w:szCs w:val="28"/>
          <w:lang w:val="uk-UA"/>
        </w:rPr>
        <w:t xml:space="preserve"> </w:t>
      </w:r>
      <w:r w:rsidR="00243B20">
        <w:rPr>
          <w:rFonts w:ascii="Times New Roman" w:hAnsi="Times New Roman" w:cs="Times New Roman"/>
          <w:sz w:val="28"/>
          <w:szCs w:val="28"/>
          <w:lang w:val="uk-UA"/>
        </w:rPr>
        <w:t>з</w:t>
      </w:r>
      <w:r w:rsidR="00453DA6">
        <w:rPr>
          <w:rFonts w:ascii="Times New Roman" w:hAnsi="Times New Roman" w:cs="Times New Roman"/>
          <w:sz w:val="28"/>
          <w:szCs w:val="28"/>
          <w:lang w:val="en-US"/>
        </w:rPr>
        <w:t>i</w:t>
      </w:r>
      <w:r w:rsidR="00453DA6">
        <w:rPr>
          <w:rFonts w:ascii="Times New Roman" w:hAnsi="Times New Roman" w:cs="Times New Roman"/>
          <w:sz w:val="28"/>
          <w:szCs w:val="28"/>
          <w:lang w:val="uk-UA"/>
        </w:rPr>
        <w:t xml:space="preserve"> зб</w:t>
      </w:r>
      <w:r w:rsidR="00453DA6">
        <w:rPr>
          <w:rFonts w:ascii="Times New Roman" w:hAnsi="Times New Roman" w:cs="Times New Roman"/>
          <w:sz w:val="28"/>
          <w:szCs w:val="28"/>
          <w:lang w:val="en-US"/>
        </w:rPr>
        <w:t>i</w:t>
      </w:r>
      <w:r w:rsidR="00453DA6">
        <w:rPr>
          <w:rFonts w:ascii="Times New Roman" w:hAnsi="Times New Roman" w:cs="Times New Roman"/>
          <w:sz w:val="28"/>
          <w:szCs w:val="28"/>
          <w:lang w:val="uk-UA"/>
        </w:rPr>
        <w:t>льшенням ваги п</w:t>
      </w:r>
      <w:r w:rsidR="00453DA6">
        <w:rPr>
          <w:rFonts w:ascii="Times New Roman" w:hAnsi="Times New Roman" w:cs="Times New Roman"/>
          <w:sz w:val="28"/>
          <w:szCs w:val="28"/>
          <w:lang w:val="en-US"/>
        </w:rPr>
        <w:t>i</w:t>
      </w:r>
      <w:r w:rsidR="00F21EB3">
        <w:rPr>
          <w:rFonts w:ascii="Times New Roman" w:hAnsi="Times New Roman" w:cs="Times New Roman"/>
          <w:sz w:val="28"/>
          <w:szCs w:val="28"/>
          <w:lang w:val="uk-UA"/>
        </w:rPr>
        <w:t>двищилися й</w:t>
      </w:r>
      <w:r w:rsidR="00243B20">
        <w:rPr>
          <w:rFonts w:ascii="Times New Roman" w:hAnsi="Times New Roman" w:cs="Times New Roman"/>
          <w:sz w:val="28"/>
          <w:szCs w:val="28"/>
          <w:lang w:val="uk-UA"/>
        </w:rPr>
        <w:t xml:space="preserve"> значення ППТ, </w:t>
      </w:r>
      <w:r w:rsidR="00893154">
        <w:rPr>
          <w:rFonts w:ascii="Times New Roman" w:hAnsi="Times New Roman" w:cs="Times New Roman"/>
          <w:sz w:val="28"/>
          <w:szCs w:val="28"/>
          <w:lang w:val="uk-UA"/>
        </w:rPr>
        <w:t xml:space="preserve">    </w:t>
      </w:r>
      <w:r w:rsidR="00243B20">
        <w:rPr>
          <w:rFonts w:ascii="Times New Roman" w:hAnsi="Times New Roman" w:cs="Times New Roman"/>
          <w:sz w:val="28"/>
          <w:szCs w:val="28"/>
          <w:lang w:val="uk-UA"/>
        </w:rPr>
        <w:t>яка стоїть у знаме</w:t>
      </w:r>
      <w:r w:rsidR="00453DA6">
        <w:rPr>
          <w:rFonts w:ascii="Times New Roman" w:hAnsi="Times New Roman" w:cs="Times New Roman"/>
          <w:sz w:val="28"/>
          <w:szCs w:val="28"/>
          <w:lang w:val="uk-UA"/>
        </w:rPr>
        <w:t xml:space="preserve">ннику формули, а значення </w:t>
      </w:r>
      <w:r w:rsidR="00453DA6">
        <w:rPr>
          <w:rFonts w:ascii="Times New Roman" w:hAnsi="Times New Roman" w:cs="Times New Roman"/>
          <w:sz w:val="28"/>
          <w:szCs w:val="28"/>
          <w:lang w:val="en-US"/>
        </w:rPr>
        <w:t>I</w:t>
      </w:r>
      <w:r w:rsidR="00453DA6">
        <w:rPr>
          <w:rFonts w:ascii="Times New Roman" w:hAnsi="Times New Roman" w:cs="Times New Roman"/>
          <w:sz w:val="28"/>
          <w:szCs w:val="28"/>
          <w:lang w:val="uk-UA"/>
        </w:rPr>
        <w:t>ММЛШ в</w:t>
      </w:r>
      <w:r w:rsidR="00453DA6">
        <w:rPr>
          <w:rFonts w:ascii="Times New Roman" w:hAnsi="Times New Roman" w:cs="Times New Roman"/>
          <w:sz w:val="28"/>
          <w:szCs w:val="28"/>
          <w:lang w:val="en-US"/>
        </w:rPr>
        <w:t>i</w:t>
      </w:r>
      <w:r w:rsidR="00453DA6">
        <w:rPr>
          <w:rFonts w:ascii="Times New Roman" w:hAnsi="Times New Roman" w:cs="Times New Roman"/>
          <w:sz w:val="28"/>
          <w:szCs w:val="28"/>
          <w:lang w:val="uk-UA"/>
        </w:rPr>
        <w:t>дпов</w:t>
      </w:r>
      <w:r w:rsidR="00453DA6">
        <w:rPr>
          <w:rFonts w:ascii="Times New Roman" w:hAnsi="Times New Roman" w:cs="Times New Roman"/>
          <w:sz w:val="28"/>
          <w:szCs w:val="28"/>
          <w:lang w:val="en-US"/>
        </w:rPr>
        <w:t>i</w:t>
      </w:r>
      <w:r w:rsidR="00893154">
        <w:rPr>
          <w:rFonts w:ascii="Times New Roman" w:hAnsi="Times New Roman" w:cs="Times New Roman"/>
          <w:sz w:val="28"/>
          <w:szCs w:val="28"/>
          <w:lang w:val="uk-UA"/>
        </w:rPr>
        <w:t>дно</w:t>
      </w:r>
      <w:r w:rsidR="002A6EF1">
        <w:rPr>
          <w:rFonts w:ascii="Times New Roman" w:hAnsi="Times New Roman" w:cs="Times New Roman"/>
          <w:sz w:val="28"/>
          <w:szCs w:val="28"/>
          <w:lang w:val="uk-UA"/>
        </w:rPr>
        <w:t xml:space="preserve"> зменшилися</w:t>
      </w:r>
      <w:r w:rsidR="007501CD">
        <w:rPr>
          <w:rFonts w:ascii="Times New Roman" w:hAnsi="Times New Roman" w:cs="Times New Roman"/>
          <w:sz w:val="28"/>
          <w:szCs w:val="28"/>
          <w:lang w:val="uk-UA"/>
        </w:rPr>
        <w:t xml:space="preserve"> </w:t>
      </w:r>
      <w:r w:rsidR="007501CD" w:rsidRPr="007501CD">
        <w:rPr>
          <w:rFonts w:ascii="Times New Roman" w:hAnsi="Times New Roman" w:cs="Times New Roman"/>
          <w:sz w:val="28"/>
          <w:szCs w:val="28"/>
          <w:lang w:val="uk-UA"/>
        </w:rPr>
        <w:t>[</w:t>
      </w:r>
      <w:r w:rsidR="005C5DB7">
        <w:rPr>
          <w:rFonts w:ascii="Times New Roman" w:hAnsi="Times New Roman" w:cs="Times New Roman"/>
          <w:sz w:val="28"/>
          <w:szCs w:val="28"/>
          <w:lang w:val="uk-UA"/>
        </w:rPr>
        <w:t>160</w:t>
      </w:r>
      <w:r w:rsidR="007501CD" w:rsidRPr="007501CD">
        <w:rPr>
          <w:rFonts w:ascii="Times New Roman" w:hAnsi="Times New Roman" w:cs="Times New Roman"/>
          <w:sz w:val="28"/>
          <w:szCs w:val="28"/>
          <w:lang w:val="uk-UA"/>
        </w:rPr>
        <w:t>]</w:t>
      </w:r>
      <w:r w:rsidR="00F25F75">
        <w:rPr>
          <w:rFonts w:ascii="Times New Roman" w:hAnsi="Times New Roman" w:cs="Times New Roman"/>
          <w:sz w:val="28"/>
          <w:szCs w:val="28"/>
          <w:lang w:val="uk-UA"/>
        </w:rPr>
        <w:t>.</w:t>
      </w:r>
    </w:p>
    <w:p w:rsidR="00342944" w:rsidRDefault="002A6EF1" w:rsidP="00FC69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пацієнтів </w:t>
      </w:r>
      <w:r w:rsidR="006558E7">
        <w:rPr>
          <w:rFonts w:ascii="Times New Roman" w:hAnsi="Times New Roman" w:cs="Times New Roman"/>
          <w:sz w:val="28"/>
          <w:szCs w:val="28"/>
          <w:lang w:val="uk-UA"/>
        </w:rPr>
        <w:t>і</w:t>
      </w:r>
      <w:r w:rsidR="00004532">
        <w:rPr>
          <w:rFonts w:ascii="Times New Roman" w:hAnsi="Times New Roman" w:cs="Times New Roman"/>
          <w:sz w:val="28"/>
          <w:szCs w:val="28"/>
          <w:lang w:val="uk-UA"/>
        </w:rPr>
        <w:t xml:space="preserve">з </w:t>
      </w:r>
      <w:r w:rsidR="00F21EB3">
        <w:rPr>
          <w:rFonts w:ascii="Times New Roman" w:hAnsi="Times New Roman" w:cs="Times New Roman"/>
          <w:sz w:val="28"/>
          <w:szCs w:val="28"/>
          <w:lang w:val="uk-UA"/>
        </w:rPr>
        <w:t>АГ та ЦД 2-го типу</w:t>
      </w:r>
      <w:r w:rsidR="00004532">
        <w:rPr>
          <w:rFonts w:ascii="Times New Roman" w:hAnsi="Times New Roman" w:cs="Times New Roman"/>
          <w:sz w:val="28"/>
          <w:szCs w:val="28"/>
          <w:lang w:val="uk-UA"/>
        </w:rPr>
        <w:t xml:space="preserve"> </w:t>
      </w:r>
      <w:r w:rsidR="008E6DCB">
        <w:rPr>
          <w:rFonts w:ascii="Times New Roman" w:hAnsi="Times New Roman" w:cs="Times New Roman"/>
          <w:sz w:val="28"/>
          <w:szCs w:val="28"/>
          <w:lang w:val="uk-UA"/>
        </w:rPr>
        <w:t xml:space="preserve">із збільшенням тривалості </w:t>
      </w:r>
      <w:r w:rsidR="00AD0702">
        <w:rPr>
          <w:rFonts w:ascii="Times New Roman" w:hAnsi="Times New Roman" w:cs="Times New Roman"/>
          <w:sz w:val="28"/>
          <w:szCs w:val="28"/>
          <w:lang w:val="uk-UA"/>
        </w:rPr>
        <w:t xml:space="preserve">              </w:t>
      </w:r>
      <w:r w:rsidR="008E6DCB">
        <w:rPr>
          <w:rFonts w:ascii="Times New Roman" w:hAnsi="Times New Roman" w:cs="Times New Roman"/>
          <w:sz w:val="28"/>
          <w:szCs w:val="28"/>
          <w:lang w:val="uk-UA"/>
        </w:rPr>
        <w:t xml:space="preserve">ЦД 2-го типу </w:t>
      </w:r>
      <w:r w:rsidR="00F04193">
        <w:rPr>
          <w:rFonts w:ascii="Times New Roman" w:hAnsi="Times New Roman" w:cs="Times New Roman"/>
          <w:sz w:val="28"/>
          <w:szCs w:val="28"/>
          <w:lang w:val="uk-UA"/>
        </w:rPr>
        <w:t xml:space="preserve">зростав і </w:t>
      </w:r>
      <w:r w:rsidR="00F21EB3">
        <w:rPr>
          <w:rFonts w:ascii="Times New Roman" w:hAnsi="Times New Roman" w:cs="Times New Roman"/>
          <w:sz w:val="28"/>
          <w:szCs w:val="28"/>
          <w:lang w:val="uk-UA"/>
        </w:rPr>
        <w:t>ІММ</w:t>
      </w:r>
      <w:r w:rsidR="00F04193">
        <w:rPr>
          <w:rFonts w:ascii="Times New Roman" w:hAnsi="Times New Roman" w:cs="Times New Roman"/>
          <w:sz w:val="28"/>
          <w:szCs w:val="28"/>
          <w:lang w:val="uk-UA"/>
        </w:rPr>
        <w:t>ЛШ</w:t>
      </w:r>
      <w:r w:rsidR="00A15350">
        <w:rPr>
          <w:rFonts w:ascii="Times New Roman" w:hAnsi="Times New Roman" w:cs="Times New Roman"/>
          <w:sz w:val="28"/>
          <w:szCs w:val="28"/>
          <w:lang w:val="uk-UA"/>
        </w:rPr>
        <w:t xml:space="preserve"> (</w:t>
      </w:r>
      <w:r w:rsidR="00A15350">
        <w:rPr>
          <w:rFonts w:ascii="Times New Roman" w:hAnsi="Times New Roman" w:cs="Times New Roman"/>
          <w:sz w:val="28"/>
          <w:szCs w:val="28"/>
          <w:lang w:val="en-US"/>
        </w:rPr>
        <w:t>r</w:t>
      </w:r>
      <w:r w:rsidR="00B40648" w:rsidRPr="00F04193">
        <w:rPr>
          <w:rFonts w:ascii="Times New Roman" w:hAnsi="Times New Roman" w:cs="Times New Roman"/>
          <w:sz w:val="28"/>
          <w:szCs w:val="28"/>
          <w:lang w:val="uk-UA"/>
        </w:rPr>
        <w:t xml:space="preserve"> = 0,3</w:t>
      </w:r>
      <w:r w:rsidR="00B40648">
        <w:rPr>
          <w:rFonts w:ascii="Times New Roman" w:hAnsi="Times New Roman" w:cs="Times New Roman"/>
          <w:sz w:val="28"/>
          <w:szCs w:val="28"/>
          <w:lang w:val="uk-UA"/>
        </w:rPr>
        <w:t>1</w:t>
      </w:r>
      <w:r w:rsidR="00F21EB3" w:rsidRPr="00F04193">
        <w:rPr>
          <w:rFonts w:ascii="Times New Roman" w:hAnsi="Times New Roman" w:cs="Times New Roman"/>
          <w:sz w:val="28"/>
          <w:szCs w:val="28"/>
          <w:lang w:val="uk-UA"/>
        </w:rPr>
        <w:t>;</w:t>
      </w:r>
      <w:r w:rsidR="00F21EB3">
        <w:rPr>
          <w:rFonts w:ascii="Times New Roman" w:hAnsi="Times New Roman" w:cs="Times New Roman"/>
          <w:sz w:val="28"/>
          <w:szCs w:val="28"/>
          <w:lang w:val="uk-UA"/>
        </w:rPr>
        <w:t xml:space="preserve"> </w:t>
      </w:r>
      <w:r w:rsidR="00A15350" w:rsidRPr="00F04193">
        <w:rPr>
          <w:rFonts w:ascii="Times New Roman" w:hAnsi="Times New Roman" w:cs="Times New Roman"/>
          <w:sz w:val="28"/>
          <w:szCs w:val="28"/>
          <w:lang w:val="uk-UA"/>
        </w:rPr>
        <w:t>р</w:t>
      </w:r>
      <w:r w:rsidR="00B40648" w:rsidRPr="00F04193">
        <w:rPr>
          <w:rFonts w:ascii="Times New Roman" w:hAnsi="Times New Roman" w:cs="Times New Roman"/>
          <w:sz w:val="28"/>
          <w:szCs w:val="28"/>
          <w:lang w:val="uk-UA"/>
        </w:rPr>
        <w:t xml:space="preserve"> </w:t>
      </w:r>
      <w:r w:rsidR="00B40648">
        <w:rPr>
          <w:rFonts w:ascii="Times New Roman" w:hAnsi="Times New Roman" w:cs="Times New Roman"/>
          <w:sz w:val="28"/>
          <w:szCs w:val="28"/>
          <w:lang w:val="uk-UA"/>
        </w:rPr>
        <w:t>=</w:t>
      </w:r>
      <w:r w:rsidR="00B40648" w:rsidRPr="00F04193">
        <w:rPr>
          <w:rFonts w:ascii="Times New Roman" w:hAnsi="Times New Roman" w:cs="Times New Roman"/>
          <w:sz w:val="28"/>
          <w:szCs w:val="28"/>
          <w:lang w:val="uk-UA"/>
        </w:rPr>
        <w:t xml:space="preserve"> 0,000</w:t>
      </w:r>
      <w:r w:rsidR="00B40648">
        <w:rPr>
          <w:rFonts w:ascii="Times New Roman" w:hAnsi="Times New Roman" w:cs="Times New Roman"/>
          <w:sz w:val="28"/>
          <w:szCs w:val="28"/>
          <w:lang w:val="uk-UA"/>
        </w:rPr>
        <w:t>2</w:t>
      </w:r>
      <w:r w:rsidR="00A15350" w:rsidRPr="00F04193">
        <w:rPr>
          <w:rFonts w:ascii="Times New Roman" w:hAnsi="Times New Roman" w:cs="Times New Roman"/>
          <w:sz w:val="28"/>
          <w:szCs w:val="28"/>
          <w:lang w:val="uk-UA"/>
        </w:rPr>
        <w:t>)</w:t>
      </w:r>
      <w:r w:rsidR="00A15350">
        <w:rPr>
          <w:rFonts w:ascii="Times New Roman" w:hAnsi="Times New Roman" w:cs="Times New Roman"/>
          <w:sz w:val="28"/>
          <w:szCs w:val="28"/>
          <w:lang w:val="uk-UA"/>
        </w:rPr>
        <w:t xml:space="preserve"> (рис. 5.1.1).</w:t>
      </w:r>
    </w:p>
    <w:p w:rsidR="00A15350" w:rsidRPr="00A15350" w:rsidRDefault="00A15350" w:rsidP="00260595">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inline distT="0" distB="0" distL="0" distR="0" wp14:anchorId="06C0A65C" wp14:editId="27BAD803">
            <wp:extent cx="5915025" cy="32004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944" w:rsidRDefault="005670C3" w:rsidP="00893154">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 5.1.1 – З</w:t>
      </w:r>
      <w:r w:rsidR="005C7B67">
        <w:rPr>
          <w:rFonts w:ascii="Times New Roman" w:hAnsi="Times New Roman" w:cs="Times New Roman"/>
          <w:sz w:val="28"/>
          <w:szCs w:val="28"/>
          <w:lang w:val="uk-UA"/>
        </w:rPr>
        <w:t xml:space="preserve">алежність </w:t>
      </w:r>
      <w:r w:rsidR="00336248" w:rsidRPr="00336248">
        <w:rPr>
          <w:rFonts w:ascii="Times New Roman" w:hAnsi="Times New Roman" w:cs="Times New Roman"/>
          <w:sz w:val="28"/>
          <w:szCs w:val="28"/>
          <w:lang w:val="uk-UA"/>
        </w:rPr>
        <w:t>м</w:t>
      </w:r>
      <w:r w:rsidR="00336248">
        <w:rPr>
          <w:rFonts w:ascii="Times New Roman" w:hAnsi="Times New Roman" w:cs="Times New Roman"/>
          <w:sz w:val="28"/>
          <w:szCs w:val="28"/>
          <w:lang w:val="uk-UA"/>
        </w:rPr>
        <w:t xml:space="preserve">іж тривалістю </w:t>
      </w:r>
      <w:r>
        <w:rPr>
          <w:rFonts w:ascii="Times New Roman" w:hAnsi="Times New Roman" w:cs="Times New Roman"/>
          <w:sz w:val="28"/>
          <w:szCs w:val="28"/>
          <w:lang w:val="uk-UA"/>
        </w:rPr>
        <w:t xml:space="preserve">цукрового діабету </w:t>
      </w:r>
      <w:r w:rsidR="00336248">
        <w:rPr>
          <w:rFonts w:ascii="Times New Roman" w:hAnsi="Times New Roman" w:cs="Times New Roman"/>
          <w:sz w:val="28"/>
          <w:szCs w:val="28"/>
          <w:lang w:val="uk-UA"/>
        </w:rPr>
        <w:t>2-го типу та індексом</w:t>
      </w:r>
      <w:r>
        <w:rPr>
          <w:rFonts w:ascii="Times New Roman" w:hAnsi="Times New Roman" w:cs="Times New Roman"/>
          <w:sz w:val="28"/>
          <w:szCs w:val="28"/>
          <w:lang w:val="uk-UA"/>
        </w:rPr>
        <w:t xml:space="preserve"> маси міокарда лівого шлуночка у </w:t>
      </w:r>
      <w:r w:rsidR="002A6EF1">
        <w:rPr>
          <w:rFonts w:ascii="Times New Roman" w:hAnsi="Times New Roman" w:cs="Times New Roman"/>
          <w:sz w:val="28"/>
          <w:szCs w:val="28"/>
          <w:lang w:val="uk-UA"/>
        </w:rPr>
        <w:t xml:space="preserve">хворих </w:t>
      </w:r>
      <w:r>
        <w:rPr>
          <w:rFonts w:ascii="Times New Roman" w:hAnsi="Times New Roman" w:cs="Times New Roman"/>
          <w:sz w:val="28"/>
          <w:szCs w:val="28"/>
          <w:lang w:val="uk-UA"/>
        </w:rPr>
        <w:t>І групи</w:t>
      </w:r>
    </w:p>
    <w:p w:rsidR="006801EC" w:rsidRPr="00DE0A32" w:rsidRDefault="006801EC" w:rsidP="00023195">
      <w:pPr>
        <w:autoSpaceDE w:val="0"/>
        <w:autoSpaceDN w:val="0"/>
        <w:adjustRightInd w:val="0"/>
        <w:spacing w:after="0" w:line="360" w:lineRule="auto"/>
        <w:ind w:firstLine="708"/>
        <w:jc w:val="both"/>
        <w:rPr>
          <w:rFonts w:ascii="Times New Roman" w:hAnsi="Times New Roman" w:cs="Times New Roman"/>
          <w:sz w:val="28"/>
          <w:szCs w:val="28"/>
          <w:lang w:val="uk-UA"/>
        </w:rPr>
      </w:pPr>
    </w:p>
    <w:p w:rsidR="00336248" w:rsidRDefault="00336248"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міру </w:t>
      </w:r>
      <w:r w:rsidR="00C67ED3">
        <w:rPr>
          <w:rFonts w:ascii="Times New Roman" w:hAnsi="Times New Roman" w:cs="Times New Roman"/>
          <w:sz w:val="28"/>
          <w:szCs w:val="28"/>
          <w:lang w:val="uk-UA"/>
        </w:rPr>
        <w:t>збільшення тривалості ЦД 2-го типу поглиблюються</w:t>
      </w:r>
      <w:r>
        <w:rPr>
          <w:rFonts w:ascii="Times New Roman" w:hAnsi="Times New Roman" w:cs="Times New Roman"/>
          <w:sz w:val="28"/>
          <w:szCs w:val="28"/>
          <w:lang w:val="uk-UA"/>
        </w:rPr>
        <w:t xml:space="preserve"> процеси ремоделювання серця, про що свідчить зростання ІММЛШ.</w:t>
      </w:r>
    </w:p>
    <w:p w:rsidR="00496C4F" w:rsidRPr="00893154" w:rsidRDefault="002A6EF1"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sidRPr="00FD629A">
        <w:rPr>
          <w:rFonts w:ascii="Times New Roman" w:hAnsi="Times New Roman" w:cs="Times New Roman"/>
          <w:sz w:val="28"/>
          <w:szCs w:val="28"/>
          <w:lang w:val="uk-UA"/>
        </w:rPr>
        <w:t>Д</w:t>
      </w:r>
      <w:r w:rsidR="008D1977" w:rsidRPr="00FD629A">
        <w:rPr>
          <w:rFonts w:ascii="Times New Roman" w:hAnsi="Times New Roman" w:cs="Times New Roman"/>
          <w:sz w:val="28"/>
          <w:szCs w:val="28"/>
          <w:lang w:val="uk-UA"/>
        </w:rPr>
        <w:t xml:space="preserve">ослідниками </w:t>
      </w:r>
      <w:r w:rsidR="00F21EB3" w:rsidRPr="00FD629A">
        <w:rPr>
          <w:rFonts w:ascii="Times New Roman" w:hAnsi="Times New Roman" w:cs="Times New Roman"/>
          <w:sz w:val="28"/>
          <w:szCs w:val="28"/>
          <w:lang w:val="uk-UA"/>
        </w:rPr>
        <w:t>констатовано</w:t>
      </w:r>
      <w:r w:rsidR="00870387" w:rsidRPr="00FD629A">
        <w:rPr>
          <w:rFonts w:ascii="Times New Roman" w:hAnsi="Times New Roman" w:cs="Times New Roman"/>
          <w:sz w:val="28"/>
          <w:szCs w:val="28"/>
          <w:lang w:val="uk-UA"/>
        </w:rPr>
        <w:t xml:space="preserve"> зростання ІММЛШ пропорційно до віку </w:t>
      </w:r>
      <w:r w:rsidR="00C25368" w:rsidRPr="00FD629A">
        <w:rPr>
          <w:rFonts w:ascii="Times New Roman" w:hAnsi="Times New Roman" w:cs="Times New Roman"/>
          <w:sz w:val="28"/>
          <w:szCs w:val="28"/>
          <w:lang w:val="uk-UA"/>
        </w:rPr>
        <w:t xml:space="preserve">пацієнтів </w:t>
      </w:r>
      <w:r w:rsidR="00F04193" w:rsidRPr="00FD629A">
        <w:rPr>
          <w:rFonts w:ascii="Times New Roman" w:hAnsi="Times New Roman" w:cs="Times New Roman"/>
          <w:sz w:val="28"/>
          <w:szCs w:val="28"/>
          <w:lang w:val="uk-UA"/>
        </w:rPr>
        <w:t>із АГ</w:t>
      </w:r>
      <w:r w:rsidR="00870387" w:rsidRPr="00FD629A">
        <w:rPr>
          <w:rFonts w:ascii="Times New Roman" w:hAnsi="Times New Roman" w:cs="Times New Roman"/>
          <w:sz w:val="28"/>
          <w:szCs w:val="28"/>
          <w:lang w:val="uk-UA"/>
        </w:rPr>
        <w:t xml:space="preserve"> </w:t>
      </w:r>
      <w:r w:rsidR="008D1977" w:rsidRPr="00541249">
        <w:rPr>
          <w:rFonts w:ascii="Times New Roman" w:hAnsi="Times New Roman" w:cs="Times New Roman"/>
          <w:sz w:val="28"/>
          <w:szCs w:val="28"/>
          <w:lang w:val="uk-UA"/>
        </w:rPr>
        <w:t>[</w:t>
      </w:r>
      <w:r w:rsidR="005C5DB7">
        <w:rPr>
          <w:rFonts w:ascii="Times New Roman" w:hAnsi="Times New Roman" w:cs="Times New Roman"/>
          <w:sz w:val="28"/>
          <w:szCs w:val="28"/>
        </w:rPr>
        <w:t>16</w:t>
      </w:r>
      <w:r w:rsidR="005C5DB7">
        <w:rPr>
          <w:rFonts w:ascii="Times New Roman" w:hAnsi="Times New Roman" w:cs="Times New Roman"/>
          <w:sz w:val="28"/>
          <w:szCs w:val="28"/>
          <w:lang w:val="uk-UA"/>
        </w:rPr>
        <w:t>1</w:t>
      </w:r>
      <w:r w:rsidR="008D1977" w:rsidRPr="00541249">
        <w:rPr>
          <w:rFonts w:ascii="Times New Roman" w:hAnsi="Times New Roman" w:cs="Times New Roman"/>
          <w:sz w:val="28"/>
          <w:szCs w:val="28"/>
          <w:lang w:val="uk-UA"/>
        </w:rPr>
        <w:t>].</w:t>
      </w:r>
      <w:r w:rsidR="008D1977" w:rsidRPr="00B04B1C">
        <w:rPr>
          <w:rFonts w:ascii="Times New Roman" w:hAnsi="Times New Roman" w:cs="Times New Roman"/>
          <w:sz w:val="28"/>
          <w:szCs w:val="28"/>
          <w:lang w:val="uk-UA"/>
        </w:rPr>
        <w:t xml:space="preserve"> </w:t>
      </w:r>
      <w:r w:rsidR="00893154">
        <w:rPr>
          <w:rFonts w:ascii="Times New Roman" w:hAnsi="Times New Roman" w:cs="Times New Roman"/>
          <w:sz w:val="28"/>
          <w:szCs w:val="28"/>
          <w:lang w:val="uk-UA"/>
        </w:rPr>
        <w:t>М</w:t>
      </w:r>
      <w:r w:rsidR="00B04B1C">
        <w:rPr>
          <w:rFonts w:ascii="Times New Roman" w:hAnsi="Times New Roman" w:cs="Times New Roman"/>
          <w:sz w:val="28"/>
          <w:szCs w:val="28"/>
          <w:lang w:val="uk-UA"/>
        </w:rPr>
        <w:t>и</w:t>
      </w:r>
      <w:r w:rsidR="00893154">
        <w:rPr>
          <w:rFonts w:ascii="Times New Roman" w:hAnsi="Times New Roman" w:cs="Times New Roman"/>
          <w:sz w:val="28"/>
          <w:szCs w:val="28"/>
          <w:lang w:val="uk-UA"/>
        </w:rPr>
        <w:t xml:space="preserve"> виявили</w:t>
      </w:r>
      <w:r w:rsidR="008D1977">
        <w:rPr>
          <w:rFonts w:ascii="Times New Roman" w:hAnsi="Times New Roman" w:cs="Times New Roman"/>
          <w:sz w:val="28"/>
          <w:szCs w:val="28"/>
          <w:lang w:val="uk-UA"/>
        </w:rPr>
        <w:t xml:space="preserve"> </w:t>
      </w:r>
      <w:r w:rsidR="00797BE6">
        <w:rPr>
          <w:rFonts w:ascii="Times New Roman" w:hAnsi="Times New Roman" w:cs="Times New Roman"/>
          <w:sz w:val="28"/>
          <w:szCs w:val="28"/>
          <w:lang w:val="uk-UA"/>
        </w:rPr>
        <w:t xml:space="preserve">збільшення </w:t>
      </w:r>
      <w:r w:rsidR="00F21EB3">
        <w:rPr>
          <w:rFonts w:ascii="Times New Roman" w:hAnsi="Times New Roman" w:cs="Times New Roman"/>
          <w:sz w:val="28"/>
          <w:szCs w:val="28"/>
          <w:lang w:val="uk-UA"/>
        </w:rPr>
        <w:t xml:space="preserve">ІММЛШ </w:t>
      </w:r>
      <w:r w:rsidR="00797BE6">
        <w:rPr>
          <w:rFonts w:ascii="Times New Roman" w:hAnsi="Times New Roman" w:cs="Times New Roman"/>
          <w:sz w:val="28"/>
          <w:szCs w:val="28"/>
          <w:lang w:val="uk-UA"/>
        </w:rPr>
        <w:t xml:space="preserve">відповідно </w:t>
      </w:r>
      <w:r w:rsidR="00AF698B">
        <w:rPr>
          <w:rFonts w:ascii="Times New Roman" w:hAnsi="Times New Roman" w:cs="Times New Roman"/>
          <w:sz w:val="28"/>
          <w:szCs w:val="28"/>
          <w:lang w:val="uk-UA"/>
        </w:rPr>
        <w:t xml:space="preserve">                </w:t>
      </w:r>
      <w:r w:rsidR="00797BE6">
        <w:rPr>
          <w:rFonts w:ascii="Times New Roman" w:hAnsi="Times New Roman" w:cs="Times New Roman"/>
          <w:sz w:val="28"/>
          <w:szCs w:val="28"/>
          <w:lang w:val="uk-UA"/>
        </w:rPr>
        <w:t xml:space="preserve">до зростання </w:t>
      </w:r>
      <w:r w:rsidR="00F21EB3">
        <w:rPr>
          <w:rFonts w:ascii="Times New Roman" w:hAnsi="Times New Roman" w:cs="Times New Roman"/>
          <w:sz w:val="28"/>
          <w:szCs w:val="28"/>
          <w:lang w:val="uk-UA"/>
        </w:rPr>
        <w:t xml:space="preserve">віку </w:t>
      </w:r>
      <w:r w:rsidR="00870387">
        <w:rPr>
          <w:rFonts w:ascii="Times New Roman" w:hAnsi="Times New Roman" w:cs="Times New Roman"/>
          <w:sz w:val="28"/>
          <w:szCs w:val="28"/>
          <w:lang w:val="uk-UA"/>
        </w:rPr>
        <w:t xml:space="preserve">саме при коморбідній патології – АГ і супутньому </w:t>
      </w:r>
      <w:r w:rsidR="00AF698B">
        <w:rPr>
          <w:rFonts w:ascii="Times New Roman" w:hAnsi="Times New Roman" w:cs="Times New Roman"/>
          <w:sz w:val="28"/>
          <w:szCs w:val="28"/>
          <w:lang w:val="uk-UA"/>
        </w:rPr>
        <w:t xml:space="preserve">           </w:t>
      </w:r>
      <w:r w:rsidR="00870387">
        <w:rPr>
          <w:rFonts w:ascii="Times New Roman" w:hAnsi="Times New Roman" w:cs="Times New Roman"/>
          <w:sz w:val="28"/>
          <w:szCs w:val="28"/>
          <w:lang w:val="uk-UA"/>
        </w:rPr>
        <w:t>ЦД 2-го типу</w:t>
      </w:r>
      <w:r w:rsidR="006801EC">
        <w:rPr>
          <w:rFonts w:ascii="Times New Roman" w:hAnsi="Times New Roman" w:cs="Times New Roman"/>
          <w:sz w:val="28"/>
          <w:szCs w:val="28"/>
          <w:lang w:val="uk-UA"/>
        </w:rPr>
        <w:t xml:space="preserve"> (</w:t>
      </w:r>
      <w:r w:rsidR="006801EC">
        <w:rPr>
          <w:rFonts w:ascii="Times New Roman" w:hAnsi="Times New Roman" w:cs="Times New Roman"/>
          <w:sz w:val="28"/>
          <w:szCs w:val="28"/>
          <w:lang w:val="en-US"/>
        </w:rPr>
        <w:t>r</w:t>
      </w:r>
      <w:r w:rsidR="00B40648" w:rsidRPr="00893154">
        <w:rPr>
          <w:rFonts w:ascii="Times New Roman" w:hAnsi="Times New Roman" w:cs="Times New Roman"/>
          <w:sz w:val="28"/>
          <w:szCs w:val="28"/>
          <w:lang w:val="uk-UA"/>
        </w:rPr>
        <w:t xml:space="preserve"> = 0,28; р </w:t>
      </w:r>
      <w:r w:rsidR="00B40648">
        <w:rPr>
          <w:rFonts w:ascii="Times New Roman" w:hAnsi="Times New Roman" w:cs="Times New Roman"/>
          <w:sz w:val="28"/>
          <w:szCs w:val="28"/>
          <w:lang w:val="uk-UA"/>
        </w:rPr>
        <w:t>=</w:t>
      </w:r>
      <w:r w:rsidR="006801EC" w:rsidRPr="00893154">
        <w:rPr>
          <w:rFonts w:ascii="Times New Roman" w:hAnsi="Times New Roman" w:cs="Times New Roman"/>
          <w:sz w:val="28"/>
          <w:szCs w:val="28"/>
          <w:lang w:val="uk-UA"/>
        </w:rPr>
        <w:t xml:space="preserve"> 0</w:t>
      </w:r>
      <w:r w:rsidR="00B40648" w:rsidRPr="00893154">
        <w:rPr>
          <w:rFonts w:ascii="Times New Roman" w:hAnsi="Times New Roman" w:cs="Times New Roman"/>
          <w:sz w:val="28"/>
          <w:szCs w:val="28"/>
          <w:lang w:val="uk-UA"/>
        </w:rPr>
        <w:t>,00</w:t>
      </w:r>
      <w:r w:rsidR="00B40648">
        <w:rPr>
          <w:rFonts w:ascii="Times New Roman" w:hAnsi="Times New Roman" w:cs="Times New Roman"/>
          <w:sz w:val="28"/>
          <w:szCs w:val="28"/>
          <w:lang w:val="uk-UA"/>
        </w:rPr>
        <w:t>55</w:t>
      </w:r>
      <w:r w:rsidR="006801EC" w:rsidRPr="00893154">
        <w:rPr>
          <w:rFonts w:ascii="Times New Roman" w:hAnsi="Times New Roman" w:cs="Times New Roman"/>
          <w:sz w:val="28"/>
          <w:szCs w:val="28"/>
          <w:lang w:val="uk-UA"/>
        </w:rPr>
        <w:t>).</w:t>
      </w:r>
      <w:r w:rsidR="0068681E" w:rsidRPr="00893154">
        <w:rPr>
          <w:rFonts w:ascii="Times New Roman" w:hAnsi="Times New Roman" w:cs="Times New Roman"/>
          <w:sz w:val="28"/>
          <w:szCs w:val="28"/>
          <w:lang w:val="uk-UA"/>
        </w:rPr>
        <w:t xml:space="preserve"> </w:t>
      </w:r>
    </w:p>
    <w:p w:rsidR="008D1977" w:rsidRPr="00F04FD1" w:rsidRDefault="00870387" w:rsidP="00A33CC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нашому дослідженні установлено </w:t>
      </w:r>
      <w:r w:rsidR="00C25368">
        <w:rPr>
          <w:rFonts w:ascii="Times New Roman" w:hAnsi="Times New Roman" w:cs="Times New Roman"/>
          <w:sz w:val="28"/>
          <w:szCs w:val="28"/>
          <w:lang w:val="uk-UA"/>
        </w:rPr>
        <w:t xml:space="preserve">недостовірну </w:t>
      </w:r>
      <w:r w:rsidR="00A33CC1" w:rsidRPr="00806AA6">
        <w:rPr>
          <w:rFonts w:ascii="Times New Roman" w:hAnsi="Times New Roman" w:cs="Times New Roman"/>
          <w:sz w:val="28"/>
          <w:szCs w:val="28"/>
          <w:lang w:val="uk-UA"/>
        </w:rPr>
        <w:t xml:space="preserve">позитивну </w:t>
      </w:r>
      <w:r>
        <w:rPr>
          <w:rFonts w:ascii="Times New Roman" w:hAnsi="Times New Roman" w:cs="Times New Roman"/>
          <w:sz w:val="28"/>
          <w:szCs w:val="28"/>
          <w:lang w:val="uk-UA"/>
        </w:rPr>
        <w:t xml:space="preserve">залежність </w:t>
      </w:r>
      <w:r w:rsidR="00C25368">
        <w:rPr>
          <w:rFonts w:ascii="Times New Roman" w:hAnsi="Times New Roman" w:cs="Times New Roman"/>
          <w:sz w:val="28"/>
          <w:szCs w:val="28"/>
          <w:lang w:val="uk-UA"/>
        </w:rPr>
        <w:t>між віком та ММЛШ у хворих на коморбідну патологію</w:t>
      </w:r>
      <w:r w:rsidR="00A33CC1">
        <w:rPr>
          <w:rFonts w:ascii="Times New Roman" w:hAnsi="Times New Roman" w:cs="Times New Roman"/>
          <w:sz w:val="28"/>
          <w:szCs w:val="28"/>
          <w:lang w:val="uk-UA"/>
        </w:rPr>
        <w:t xml:space="preserve"> </w:t>
      </w:r>
      <w:r w:rsidR="00A33CC1" w:rsidRPr="00F04FD1">
        <w:rPr>
          <w:rFonts w:ascii="Times New Roman" w:hAnsi="Times New Roman" w:cs="Times New Roman"/>
          <w:sz w:val="28"/>
          <w:szCs w:val="28"/>
          <w:lang w:val="uk-UA"/>
        </w:rPr>
        <w:t>(</w:t>
      </w:r>
      <w:r w:rsidR="00A33CC1">
        <w:rPr>
          <w:rFonts w:ascii="Times New Roman" w:hAnsi="Times New Roman" w:cs="Times New Roman"/>
          <w:sz w:val="28"/>
          <w:szCs w:val="28"/>
          <w:lang w:val="en-US"/>
        </w:rPr>
        <w:t>r</w:t>
      </w:r>
      <w:r w:rsidR="00A33CC1">
        <w:rPr>
          <w:rFonts w:ascii="Times New Roman" w:hAnsi="Times New Roman" w:cs="Times New Roman"/>
          <w:sz w:val="28"/>
          <w:szCs w:val="28"/>
          <w:lang w:val="uk-UA"/>
        </w:rPr>
        <w:t xml:space="preserve"> = 0,19; </w:t>
      </w:r>
      <w:r w:rsidR="00A33CC1">
        <w:rPr>
          <w:rFonts w:ascii="Times New Roman" w:hAnsi="Times New Roman" w:cs="Times New Roman"/>
          <w:sz w:val="28"/>
          <w:szCs w:val="28"/>
          <w:lang w:val="en-US"/>
        </w:rPr>
        <w:t>p</w:t>
      </w:r>
      <w:r w:rsidR="00A33CC1">
        <w:rPr>
          <w:rFonts w:ascii="Times New Roman" w:hAnsi="Times New Roman" w:cs="Times New Roman"/>
          <w:sz w:val="28"/>
          <w:szCs w:val="28"/>
          <w:lang w:val="uk-UA"/>
        </w:rPr>
        <w:t xml:space="preserve"> = 0,0623</w:t>
      </w:r>
      <w:r w:rsidR="00A33CC1" w:rsidRPr="00F04FD1">
        <w:rPr>
          <w:rFonts w:ascii="Times New Roman" w:hAnsi="Times New Roman" w:cs="Times New Roman"/>
          <w:sz w:val="28"/>
          <w:szCs w:val="28"/>
          <w:lang w:val="uk-UA"/>
        </w:rPr>
        <w:t>)</w:t>
      </w:r>
      <w:r w:rsidR="00A33CC1">
        <w:rPr>
          <w:rFonts w:ascii="Times New Roman" w:hAnsi="Times New Roman" w:cs="Times New Roman"/>
          <w:sz w:val="28"/>
          <w:szCs w:val="28"/>
          <w:lang w:val="uk-UA"/>
        </w:rPr>
        <w:t xml:space="preserve">, </w:t>
      </w:r>
      <w:r w:rsidR="00A33CC1" w:rsidRPr="00F04FD1">
        <w:rPr>
          <w:rFonts w:ascii="Times New Roman" w:hAnsi="Times New Roman" w:cs="Times New Roman"/>
          <w:sz w:val="28"/>
          <w:szCs w:val="28"/>
          <w:lang w:val="uk-UA"/>
        </w:rPr>
        <w:t>У пацієнтів із АГ позитивний зв</w:t>
      </w:r>
      <w:r w:rsidR="00C25368">
        <w:rPr>
          <w:rFonts w:ascii="Times New Roman" w:hAnsi="Times New Roman" w:cs="Times New Roman"/>
          <w:sz w:val="28"/>
          <w:szCs w:val="28"/>
          <w:lang w:val="uk-UA"/>
        </w:rPr>
        <w:t>ʼ</w:t>
      </w:r>
      <w:r w:rsidR="00A33CC1" w:rsidRPr="00F04FD1">
        <w:rPr>
          <w:rFonts w:ascii="Times New Roman" w:hAnsi="Times New Roman" w:cs="Times New Roman"/>
          <w:sz w:val="28"/>
          <w:szCs w:val="28"/>
          <w:lang w:val="uk-UA"/>
        </w:rPr>
        <w:t>язок був відсутнім.</w:t>
      </w:r>
      <w:r w:rsidR="00A33CC1">
        <w:rPr>
          <w:rFonts w:ascii="Times New Roman" w:hAnsi="Times New Roman" w:cs="Times New Roman"/>
          <w:sz w:val="28"/>
          <w:szCs w:val="28"/>
          <w:lang w:val="uk-UA"/>
        </w:rPr>
        <w:t xml:space="preserve"> Отримані дані </w:t>
      </w:r>
      <w:r w:rsidR="00AF698B">
        <w:rPr>
          <w:rFonts w:ascii="Times New Roman" w:hAnsi="Times New Roman" w:cs="Times New Roman"/>
          <w:sz w:val="28"/>
          <w:szCs w:val="28"/>
          <w:lang w:val="uk-UA"/>
        </w:rPr>
        <w:t xml:space="preserve">                </w:t>
      </w:r>
      <w:r w:rsidR="00A33CC1">
        <w:rPr>
          <w:rFonts w:ascii="Times New Roman" w:hAnsi="Times New Roman" w:cs="Times New Roman"/>
          <w:sz w:val="28"/>
          <w:szCs w:val="28"/>
          <w:lang w:val="uk-UA"/>
        </w:rPr>
        <w:t xml:space="preserve">не співпадають із </w:t>
      </w:r>
      <w:r w:rsidR="00A33CC1" w:rsidRPr="00FD629A">
        <w:rPr>
          <w:rFonts w:ascii="Times New Roman" w:hAnsi="Times New Roman" w:cs="Times New Roman"/>
          <w:sz w:val="28"/>
          <w:szCs w:val="28"/>
          <w:lang w:val="uk-UA"/>
        </w:rPr>
        <w:t>результатами</w:t>
      </w:r>
      <w:r w:rsidR="00C25368" w:rsidRPr="00FD629A">
        <w:rPr>
          <w:rFonts w:ascii="Times New Roman" w:hAnsi="Times New Roman" w:cs="Times New Roman"/>
          <w:sz w:val="28"/>
          <w:szCs w:val="28"/>
          <w:lang w:val="uk-UA"/>
        </w:rPr>
        <w:t xml:space="preserve"> інших науковців</w:t>
      </w:r>
      <w:r w:rsidR="00A33CC1" w:rsidRPr="00FD629A">
        <w:rPr>
          <w:rFonts w:ascii="Times New Roman" w:hAnsi="Times New Roman" w:cs="Times New Roman"/>
          <w:sz w:val="28"/>
          <w:szCs w:val="28"/>
          <w:lang w:val="uk-UA"/>
        </w:rPr>
        <w:t xml:space="preserve">, </w:t>
      </w:r>
      <w:r w:rsidRPr="00FD629A">
        <w:rPr>
          <w:rFonts w:ascii="Times New Roman" w:hAnsi="Times New Roman" w:cs="Times New Roman"/>
          <w:sz w:val="28"/>
          <w:szCs w:val="28"/>
          <w:lang w:val="uk-UA"/>
        </w:rPr>
        <w:t>згідно з якими залежність</w:t>
      </w:r>
      <w:r w:rsidR="00B04B1C" w:rsidRPr="00FD629A">
        <w:rPr>
          <w:rFonts w:ascii="Times New Roman" w:hAnsi="Times New Roman" w:cs="Times New Roman"/>
          <w:sz w:val="28"/>
          <w:szCs w:val="28"/>
          <w:lang w:val="uk-UA"/>
        </w:rPr>
        <w:t xml:space="preserve"> між вік</w:t>
      </w:r>
      <w:r w:rsidR="00A33CC1" w:rsidRPr="00FD629A">
        <w:rPr>
          <w:rFonts w:ascii="Times New Roman" w:hAnsi="Times New Roman" w:cs="Times New Roman"/>
          <w:sz w:val="28"/>
          <w:szCs w:val="28"/>
          <w:lang w:val="uk-UA"/>
        </w:rPr>
        <w:t>ом пацієнтів та ММЛШ</w:t>
      </w:r>
      <w:r w:rsidR="00B04B1C" w:rsidRPr="00FD629A">
        <w:rPr>
          <w:rFonts w:ascii="Times New Roman" w:hAnsi="Times New Roman" w:cs="Times New Roman"/>
          <w:sz w:val="28"/>
          <w:szCs w:val="28"/>
          <w:lang w:val="uk-UA"/>
        </w:rPr>
        <w:t xml:space="preserve"> у хворих на </w:t>
      </w:r>
      <w:r w:rsidR="00A33CC1" w:rsidRPr="00FD629A">
        <w:rPr>
          <w:rFonts w:ascii="Times New Roman" w:hAnsi="Times New Roman" w:cs="Times New Roman"/>
          <w:sz w:val="28"/>
          <w:szCs w:val="28"/>
          <w:lang w:val="uk-UA"/>
        </w:rPr>
        <w:t>АГ та ЦД 2-го типу</w:t>
      </w:r>
      <w:r w:rsidR="00B04B1C" w:rsidRPr="00FD629A">
        <w:rPr>
          <w:rFonts w:ascii="Times New Roman" w:hAnsi="Times New Roman" w:cs="Times New Roman"/>
          <w:sz w:val="28"/>
          <w:szCs w:val="28"/>
          <w:lang w:val="uk-UA"/>
        </w:rPr>
        <w:t xml:space="preserve"> </w:t>
      </w:r>
      <w:r w:rsidRPr="00FD629A">
        <w:rPr>
          <w:rFonts w:ascii="Times New Roman" w:hAnsi="Times New Roman" w:cs="Times New Roman"/>
          <w:sz w:val="28"/>
          <w:szCs w:val="28"/>
          <w:lang w:val="uk-UA"/>
        </w:rPr>
        <w:t xml:space="preserve">була достовірною </w:t>
      </w:r>
      <w:r w:rsidR="00B04B1C" w:rsidRPr="00FD629A">
        <w:rPr>
          <w:rFonts w:ascii="Times New Roman" w:hAnsi="Times New Roman" w:cs="Times New Roman"/>
          <w:sz w:val="28"/>
          <w:szCs w:val="28"/>
          <w:lang w:val="uk-UA"/>
        </w:rPr>
        <w:t>(р = 0,039)</w:t>
      </w:r>
      <w:r w:rsidR="00496C4F" w:rsidRPr="00FD629A">
        <w:rPr>
          <w:rFonts w:ascii="Times New Roman" w:hAnsi="Times New Roman" w:cs="Times New Roman"/>
          <w:sz w:val="28"/>
          <w:szCs w:val="28"/>
          <w:lang w:val="uk-UA"/>
        </w:rPr>
        <w:t xml:space="preserve"> </w:t>
      </w:r>
      <w:r w:rsidR="00496C4F" w:rsidRPr="00541249">
        <w:rPr>
          <w:rFonts w:ascii="Times New Roman" w:hAnsi="Times New Roman" w:cs="Times New Roman"/>
          <w:sz w:val="28"/>
          <w:szCs w:val="28"/>
          <w:lang w:val="uk-UA"/>
        </w:rPr>
        <w:t>[</w:t>
      </w:r>
      <w:r w:rsidR="005C5DB7">
        <w:rPr>
          <w:rFonts w:ascii="Times New Roman" w:hAnsi="Times New Roman" w:cs="Times New Roman"/>
          <w:sz w:val="28"/>
          <w:szCs w:val="28"/>
          <w:lang w:val="uk-UA"/>
        </w:rPr>
        <w:t>162</w:t>
      </w:r>
      <w:r w:rsidR="00496C4F" w:rsidRPr="00541249">
        <w:rPr>
          <w:rFonts w:ascii="Times New Roman" w:hAnsi="Times New Roman" w:cs="Times New Roman"/>
          <w:sz w:val="28"/>
          <w:szCs w:val="28"/>
          <w:lang w:val="uk-UA"/>
        </w:rPr>
        <w:t>].</w:t>
      </w:r>
      <w:r w:rsidR="00496C4F" w:rsidRPr="00806AA6">
        <w:rPr>
          <w:rFonts w:ascii="Times New Roman" w:hAnsi="Times New Roman" w:cs="Times New Roman"/>
          <w:sz w:val="28"/>
          <w:szCs w:val="28"/>
          <w:lang w:val="uk-UA"/>
        </w:rPr>
        <w:t xml:space="preserve"> </w:t>
      </w:r>
    </w:p>
    <w:p w:rsidR="00336248" w:rsidRPr="002174BB" w:rsidRDefault="00AB6557"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коморбідних хворих виявлено</w:t>
      </w:r>
      <w:r w:rsidR="005A2E85" w:rsidRPr="007714FF">
        <w:rPr>
          <w:rFonts w:ascii="Times New Roman" w:hAnsi="Times New Roman" w:cs="Times New Roman"/>
          <w:sz w:val="28"/>
          <w:szCs w:val="28"/>
          <w:lang w:val="uk-UA"/>
        </w:rPr>
        <w:t xml:space="preserve"> </w:t>
      </w:r>
      <w:r w:rsidR="00C25368">
        <w:rPr>
          <w:rFonts w:ascii="Times New Roman" w:hAnsi="Times New Roman" w:cs="Times New Roman"/>
          <w:sz w:val="28"/>
          <w:szCs w:val="28"/>
          <w:lang w:val="uk-UA"/>
        </w:rPr>
        <w:t xml:space="preserve">недостовірну </w:t>
      </w:r>
      <w:r w:rsidR="005A2E85" w:rsidRPr="007714FF">
        <w:rPr>
          <w:rFonts w:ascii="Times New Roman" w:hAnsi="Times New Roman" w:cs="Times New Roman"/>
          <w:sz w:val="28"/>
          <w:szCs w:val="28"/>
          <w:lang w:val="uk-UA"/>
        </w:rPr>
        <w:t xml:space="preserve">позитивну </w:t>
      </w:r>
      <w:r w:rsidR="007714FF" w:rsidRPr="007714FF">
        <w:rPr>
          <w:rFonts w:ascii="Times New Roman" w:hAnsi="Times New Roman" w:cs="Times New Roman"/>
          <w:sz w:val="28"/>
          <w:szCs w:val="28"/>
          <w:lang w:val="uk-UA"/>
        </w:rPr>
        <w:t>залежн</w:t>
      </w:r>
      <w:r w:rsidR="007714FF">
        <w:rPr>
          <w:rFonts w:ascii="Times New Roman" w:hAnsi="Times New Roman" w:cs="Times New Roman"/>
          <w:sz w:val="28"/>
          <w:szCs w:val="28"/>
          <w:lang w:val="uk-UA"/>
        </w:rPr>
        <w:t>і</w:t>
      </w:r>
      <w:r w:rsidR="005A2E85" w:rsidRPr="007714FF">
        <w:rPr>
          <w:rFonts w:ascii="Times New Roman" w:hAnsi="Times New Roman" w:cs="Times New Roman"/>
          <w:sz w:val="28"/>
          <w:szCs w:val="28"/>
          <w:lang w:val="uk-UA"/>
        </w:rPr>
        <w:t xml:space="preserve">сть </w:t>
      </w:r>
      <w:r w:rsidR="0056228B">
        <w:rPr>
          <w:rFonts w:ascii="Times New Roman" w:hAnsi="Times New Roman" w:cs="Times New Roman"/>
          <w:sz w:val="28"/>
          <w:szCs w:val="28"/>
          <w:lang w:val="uk-UA"/>
        </w:rPr>
        <w:t>між ІММ</w:t>
      </w:r>
      <w:r w:rsidR="007714FF">
        <w:rPr>
          <w:rFonts w:ascii="Times New Roman" w:hAnsi="Times New Roman" w:cs="Times New Roman"/>
          <w:sz w:val="28"/>
          <w:szCs w:val="28"/>
          <w:lang w:val="uk-UA"/>
        </w:rPr>
        <w:t xml:space="preserve">ЛШ та </w:t>
      </w:r>
      <w:r w:rsidR="00C25368">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ЗХС (r = 0,17; р = 0,0960</w:t>
      </w:r>
      <w:r w:rsidR="007714FF" w:rsidRPr="007714FF">
        <w:rPr>
          <w:rFonts w:ascii="Times New Roman" w:hAnsi="Times New Roman" w:cs="Times New Roman"/>
          <w:sz w:val="28"/>
          <w:szCs w:val="28"/>
          <w:lang w:val="uk-UA"/>
        </w:rPr>
        <w:t>)</w:t>
      </w:r>
      <w:r w:rsidR="007714FF">
        <w:rPr>
          <w:rFonts w:ascii="Times New Roman" w:hAnsi="Times New Roman" w:cs="Times New Roman"/>
          <w:sz w:val="28"/>
          <w:szCs w:val="28"/>
          <w:lang w:val="uk-UA"/>
        </w:rPr>
        <w:t xml:space="preserve">, </w:t>
      </w:r>
      <w:r w:rsidR="00C25368">
        <w:rPr>
          <w:rFonts w:ascii="Times New Roman" w:hAnsi="Times New Roman" w:cs="Times New Roman"/>
          <w:sz w:val="28"/>
          <w:szCs w:val="28"/>
          <w:lang w:val="uk-UA"/>
        </w:rPr>
        <w:t xml:space="preserve">ХС </w:t>
      </w:r>
      <w:r w:rsidR="007714FF">
        <w:rPr>
          <w:rFonts w:ascii="Times New Roman" w:hAnsi="Times New Roman" w:cs="Times New Roman"/>
          <w:sz w:val="28"/>
          <w:szCs w:val="28"/>
          <w:lang w:val="uk-UA"/>
        </w:rPr>
        <w:t xml:space="preserve">ЛПНЩ </w:t>
      </w:r>
      <w:r w:rsidR="007714FF" w:rsidRPr="007714FF">
        <w:rPr>
          <w:rFonts w:ascii="Times New Roman" w:hAnsi="Times New Roman" w:cs="Times New Roman"/>
          <w:sz w:val="28"/>
          <w:szCs w:val="28"/>
          <w:lang w:val="uk-UA"/>
        </w:rPr>
        <w:t>(r = 0,</w:t>
      </w:r>
      <w:r>
        <w:rPr>
          <w:rFonts w:ascii="Times New Roman" w:hAnsi="Times New Roman" w:cs="Times New Roman"/>
          <w:sz w:val="28"/>
          <w:szCs w:val="28"/>
          <w:lang w:val="uk-UA"/>
        </w:rPr>
        <w:t xml:space="preserve">16; </w:t>
      </w:r>
      <w:r w:rsidR="00E52C23">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р = 0,1175</w:t>
      </w:r>
      <w:r w:rsidR="00C25368">
        <w:rPr>
          <w:rFonts w:ascii="Times New Roman" w:hAnsi="Times New Roman" w:cs="Times New Roman"/>
          <w:sz w:val="28"/>
          <w:szCs w:val="28"/>
          <w:lang w:val="uk-UA"/>
        </w:rPr>
        <w:t>)</w:t>
      </w:r>
      <w:r>
        <w:rPr>
          <w:rFonts w:ascii="Times New Roman" w:hAnsi="Times New Roman" w:cs="Times New Roman"/>
          <w:sz w:val="28"/>
          <w:szCs w:val="28"/>
          <w:lang w:val="uk-UA"/>
        </w:rPr>
        <w:t>.</w:t>
      </w:r>
      <w:r w:rsidR="00C25368">
        <w:rPr>
          <w:rFonts w:ascii="Times New Roman" w:hAnsi="Times New Roman" w:cs="Times New Roman"/>
          <w:sz w:val="28"/>
          <w:szCs w:val="28"/>
          <w:lang w:val="uk-UA"/>
        </w:rPr>
        <w:t xml:space="preserve"> У пацієнтів</w:t>
      </w:r>
      <w:r w:rsidR="009B0C5F">
        <w:rPr>
          <w:rFonts w:ascii="Times New Roman" w:hAnsi="Times New Roman" w:cs="Times New Roman"/>
          <w:sz w:val="28"/>
          <w:szCs w:val="28"/>
          <w:lang w:val="uk-UA"/>
        </w:rPr>
        <w:t xml:space="preserve"> ІІ групи </w:t>
      </w:r>
      <w:r w:rsidR="00C25368">
        <w:rPr>
          <w:rFonts w:ascii="Times New Roman" w:hAnsi="Times New Roman" w:cs="Times New Roman"/>
          <w:sz w:val="28"/>
          <w:szCs w:val="28"/>
          <w:lang w:val="uk-UA"/>
        </w:rPr>
        <w:t xml:space="preserve">установлено недостовірні позитивні зв’язки між </w:t>
      </w:r>
      <w:r w:rsidR="009B0C5F">
        <w:rPr>
          <w:rFonts w:ascii="Times New Roman" w:hAnsi="Times New Roman" w:cs="Times New Roman"/>
          <w:sz w:val="28"/>
          <w:szCs w:val="28"/>
          <w:lang w:val="uk-UA"/>
        </w:rPr>
        <w:t xml:space="preserve"> ІММЛШ та </w:t>
      </w:r>
      <w:r w:rsidR="00C25368">
        <w:rPr>
          <w:rFonts w:ascii="Times New Roman" w:hAnsi="Times New Roman" w:cs="Times New Roman"/>
          <w:sz w:val="28"/>
          <w:szCs w:val="28"/>
          <w:lang w:val="uk-UA"/>
        </w:rPr>
        <w:t xml:space="preserve">вмістом </w:t>
      </w:r>
      <w:r w:rsidR="009B0C5F">
        <w:rPr>
          <w:rFonts w:ascii="Times New Roman" w:hAnsi="Times New Roman" w:cs="Times New Roman"/>
          <w:sz w:val="28"/>
          <w:szCs w:val="28"/>
          <w:lang w:val="uk-UA"/>
        </w:rPr>
        <w:t>атерогенних ліпопротеїдів.</w:t>
      </w:r>
    </w:p>
    <w:p w:rsidR="00FC571D" w:rsidRDefault="00670E44" w:rsidP="005670C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w:t>
      </w:r>
      <w:r w:rsidRPr="00FD2501">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оцінили</w:t>
      </w:r>
      <w:r w:rsidR="00E9545C" w:rsidRPr="00FD2501">
        <w:rPr>
          <w:rFonts w:ascii="Times New Roman" w:hAnsi="Times New Roman" w:cs="Times New Roman"/>
          <w:sz w:val="28"/>
          <w:szCs w:val="28"/>
          <w:lang w:val="uk-UA"/>
        </w:rPr>
        <w:t xml:space="preserve"> 4</w:t>
      </w:r>
      <w:r w:rsidR="00E9545C">
        <w:rPr>
          <w:rFonts w:ascii="Times New Roman" w:hAnsi="Times New Roman" w:cs="Times New Roman"/>
          <w:sz w:val="28"/>
          <w:szCs w:val="28"/>
          <w:lang w:val="uk-UA"/>
        </w:rPr>
        <w:t xml:space="preserve"> типи геометрії </w:t>
      </w:r>
      <w:r w:rsidR="006C5076" w:rsidRPr="00FD2501">
        <w:rPr>
          <w:rFonts w:ascii="Times New Roman" w:hAnsi="Times New Roman" w:cs="Times New Roman"/>
          <w:sz w:val="28"/>
          <w:szCs w:val="28"/>
          <w:lang w:val="uk-UA"/>
        </w:rPr>
        <w:t xml:space="preserve">ЛШ </w:t>
      </w:r>
      <w:r w:rsidR="00FD2501">
        <w:rPr>
          <w:rFonts w:ascii="Times New Roman" w:hAnsi="Times New Roman" w:cs="Times New Roman"/>
          <w:sz w:val="28"/>
          <w:szCs w:val="28"/>
          <w:lang w:val="uk-UA"/>
        </w:rPr>
        <w:t xml:space="preserve">у пацієнтів І та ІІ груп </w:t>
      </w:r>
      <w:r w:rsidR="006C5076" w:rsidRPr="00FD2501">
        <w:rPr>
          <w:rFonts w:ascii="Times New Roman" w:hAnsi="Times New Roman" w:cs="Times New Roman"/>
          <w:sz w:val="28"/>
          <w:szCs w:val="28"/>
          <w:lang w:val="uk-UA"/>
        </w:rPr>
        <w:t xml:space="preserve">(табл. </w:t>
      </w:r>
      <w:r w:rsidR="006C5076" w:rsidRPr="00825F59">
        <w:rPr>
          <w:rFonts w:ascii="Times New Roman" w:hAnsi="Times New Roman" w:cs="Times New Roman"/>
          <w:sz w:val="28"/>
          <w:szCs w:val="28"/>
          <w:lang w:val="uk-UA"/>
        </w:rPr>
        <w:t>5.1.</w:t>
      </w:r>
      <w:r w:rsidR="006C5076">
        <w:rPr>
          <w:rFonts w:ascii="Times New Roman" w:hAnsi="Times New Roman" w:cs="Times New Roman"/>
          <w:sz w:val="28"/>
          <w:szCs w:val="28"/>
          <w:lang w:val="uk-UA"/>
        </w:rPr>
        <w:t>3</w:t>
      </w:r>
      <w:r w:rsidR="00E9545C" w:rsidRPr="00825F59">
        <w:rPr>
          <w:rFonts w:ascii="Times New Roman" w:hAnsi="Times New Roman" w:cs="Times New Roman"/>
          <w:sz w:val="28"/>
          <w:szCs w:val="28"/>
          <w:lang w:val="uk-UA"/>
        </w:rPr>
        <w:t>).</w:t>
      </w:r>
    </w:p>
    <w:p w:rsidR="005670C3" w:rsidRPr="005670C3" w:rsidRDefault="00670E44" w:rsidP="005670C3">
      <w:pPr>
        <w:autoSpaceDE w:val="0"/>
        <w:autoSpaceDN w:val="0"/>
        <w:adjustRightInd w:val="0"/>
        <w:spacing w:after="0" w:line="360" w:lineRule="auto"/>
        <w:jc w:val="right"/>
        <w:rPr>
          <w:rFonts w:ascii="Times New Roman" w:hAnsi="Times New Roman" w:cs="Times New Roman"/>
          <w:i/>
          <w:sz w:val="28"/>
          <w:szCs w:val="28"/>
          <w:lang w:val="uk-UA"/>
        </w:rPr>
      </w:pPr>
      <w:r w:rsidRPr="00825F59">
        <w:rPr>
          <w:rFonts w:ascii="Times New Roman" w:hAnsi="Times New Roman" w:cs="Times New Roman"/>
          <w:i/>
          <w:sz w:val="28"/>
          <w:szCs w:val="28"/>
          <w:lang w:val="uk-UA"/>
        </w:rPr>
        <w:t>Табл</w:t>
      </w:r>
      <w:r w:rsidRPr="005670C3">
        <w:rPr>
          <w:rFonts w:ascii="Times New Roman" w:hAnsi="Times New Roman" w:cs="Times New Roman"/>
          <w:i/>
          <w:sz w:val="28"/>
          <w:szCs w:val="28"/>
          <w:lang w:val="uk-UA"/>
        </w:rPr>
        <w:t>иця</w:t>
      </w:r>
      <w:r w:rsidR="006C5076" w:rsidRPr="00825F59">
        <w:rPr>
          <w:rFonts w:ascii="Times New Roman" w:hAnsi="Times New Roman" w:cs="Times New Roman"/>
          <w:i/>
          <w:sz w:val="28"/>
          <w:szCs w:val="28"/>
          <w:lang w:val="uk-UA"/>
        </w:rPr>
        <w:t xml:space="preserve"> 5.1.</w:t>
      </w:r>
      <w:r w:rsidR="006C5076" w:rsidRPr="005670C3">
        <w:rPr>
          <w:rFonts w:ascii="Times New Roman" w:hAnsi="Times New Roman" w:cs="Times New Roman"/>
          <w:i/>
          <w:sz w:val="28"/>
          <w:szCs w:val="28"/>
          <w:lang w:val="uk-UA"/>
        </w:rPr>
        <w:t>3</w:t>
      </w:r>
      <w:r w:rsidR="00E9545C" w:rsidRPr="00825F59">
        <w:rPr>
          <w:rFonts w:ascii="Times New Roman" w:hAnsi="Times New Roman" w:cs="Times New Roman"/>
          <w:i/>
          <w:sz w:val="28"/>
          <w:szCs w:val="28"/>
          <w:lang w:val="uk-UA"/>
        </w:rPr>
        <w:t xml:space="preserve"> </w:t>
      </w:r>
    </w:p>
    <w:p w:rsidR="00E9545C" w:rsidRPr="005670C3" w:rsidRDefault="00E9545C" w:rsidP="005670C3">
      <w:pPr>
        <w:autoSpaceDE w:val="0"/>
        <w:autoSpaceDN w:val="0"/>
        <w:adjustRightInd w:val="0"/>
        <w:spacing w:after="0" w:line="360" w:lineRule="auto"/>
        <w:jc w:val="center"/>
        <w:rPr>
          <w:rFonts w:ascii="Times New Roman" w:hAnsi="Times New Roman" w:cs="Times New Roman"/>
          <w:b/>
          <w:sz w:val="28"/>
          <w:szCs w:val="28"/>
          <w:lang w:val="uk-UA"/>
        </w:rPr>
      </w:pPr>
      <w:r w:rsidRPr="005670C3">
        <w:rPr>
          <w:rFonts w:ascii="Times New Roman" w:hAnsi="Times New Roman" w:cs="Times New Roman"/>
          <w:b/>
          <w:sz w:val="28"/>
          <w:szCs w:val="28"/>
          <w:lang w:val="uk-UA"/>
        </w:rPr>
        <w:t>Типи геометрії лівого шлуночка</w:t>
      </w:r>
      <w:r w:rsidR="00670E44" w:rsidRPr="005670C3">
        <w:rPr>
          <w:rFonts w:ascii="Times New Roman" w:hAnsi="Times New Roman" w:cs="Times New Roman"/>
          <w:b/>
          <w:sz w:val="28"/>
          <w:szCs w:val="28"/>
          <w:lang w:val="uk-UA"/>
        </w:rPr>
        <w:t xml:space="preserve"> </w:t>
      </w:r>
      <w:r w:rsidR="005670C3" w:rsidRPr="005670C3">
        <w:rPr>
          <w:rFonts w:ascii="Times New Roman" w:hAnsi="Times New Roman" w:cs="Times New Roman"/>
          <w:b/>
          <w:sz w:val="28"/>
          <w:szCs w:val="28"/>
          <w:lang w:val="uk-UA"/>
        </w:rPr>
        <w:t xml:space="preserve">у пацієнтів </w:t>
      </w:r>
      <w:r w:rsidR="00BC56FF" w:rsidRPr="005670C3">
        <w:rPr>
          <w:rFonts w:ascii="Times New Roman" w:hAnsi="Times New Roman" w:cs="Times New Roman"/>
          <w:b/>
          <w:sz w:val="28"/>
          <w:szCs w:val="28"/>
          <w:lang w:val="uk-UA"/>
        </w:rPr>
        <w:t>І та ІІ груп</w:t>
      </w:r>
    </w:p>
    <w:tbl>
      <w:tblPr>
        <w:tblStyle w:val="a5"/>
        <w:tblW w:w="0" w:type="auto"/>
        <w:tblInd w:w="108" w:type="dxa"/>
        <w:tblLook w:val="04A0" w:firstRow="1" w:lastRow="0" w:firstColumn="1" w:lastColumn="0" w:noHBand="0" w:noVBand="1"/>
      </w:tblPr>
      <w:tblGrid>
        <w:gridCol w:w="3057"/>
        <w:gridCol w:w="1582"/>
        <w:gridCol w:w="1583"/>
        <w:gridCol w:w="1582"/>
        <w:gridCol w:w="1584"/>
      </w:tblGrid>
      <w:tr w:rsidR="000F0066" w:rsidTr="00260595">
        <w:trPr>
          <w:trHeight w:val="477"/>
        </w:trPr>
        <w:tc>
          <w:tcPr>
            <w:tcW w:w="3057" w:type="dxa"/>
            <w:vMerge w:val="restart"/>
          </w:tcPr>
          <w:p w:rsidR="000F0066" w:rsidRDefault="000F0066"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Тип геометрії</w:t>
            </w:r>
            <w:r w:rsidR="009B278C">
              <w:rPr>
                <w:rFonts w:ascii="Times New Roman" w:hAnsi="Times New Roman" w:cs="Times New Roman"/>
                <w:sz w:val="28"/>
                <w:szCs w:val="28"/>
                <w:lang w:val="uk-UA"/>
              </w:rPr>
              <w:t xml:space="preserve"> ЛШ</w:t>
            </w:r>
          </w:p>
        </w:tc>
        <w:tc>
          <w:tcPr>
            <w:tcW w:w="3165" w:type="dxa"/>
            <w:gridSpan w:val="2"/>
          </w:tcPr>
          <w:p w:rsidR="000F0066" w:rsidRDefault="000F0066"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група (</w:t>
            </w:r>
            <w:r w:rsidR="009B0C5F">
              <w:rPr>
                <w:rFonts w:ascii="Times New Roman" w:hAnsi="Times New Roman" w:cs="Times New Roman"/>
                <w:sz w:val="28"/>
                <w:szCs w:val="28"/>
                <w:lang w:val="en-US"/>
              </w:rPr>
              <w:t xml:space="preserve">n = </w:t>
            </w:r>
            <w:r w:rsidR="009B0C5F">
              <w:rPr>
                <w:rFonts w:ascii="Times New Roman" w:hAnsi="Times New Roman" w:cs="Times New Roman"/>
                <w:sz w:val="28"/>
                <w:szCs w:val="28"/>
                <w:lang w:val="uk-UA"/>
              </w:rPr>
              <w:t>96</w:t>
            </w:r>
            <w:r>
              <w:rPr>
                <w:rFonts w:ascii="Times New Roman" w:hAnsi="Times New Roman" w:cs="Times New Roman"/>
                <w:sz w:val="28"/>
                <w:szCs w:val="28"/>
                <w:lang w:val="en-US"/>
              </w:rPr>
              <w:t>)</w:t>
            </w:r>
          </w:p>
        </w:tc>
        <w:tc>
          <w:tcPr>
            <w:tcW w:w="3166" w:type="dxa"/>
            <w:gridSpan w:val="2"/>
          </w:tcPr>
          <w:p w:rsidR="000F0066" w:rsidRPr="002174BB" w:rsidRDefault="000F006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ІІ група (</w:t>
            </w:r>
            <w:r w:rsidR="009B0C5F">
              <w:rPr>
                <w:rFonts w:ascii="Times New Roman" w:hAnsi="Times New Roman" w:cs="Times New Roman"/>
                <w:sz w:val="28"/>
                <w:szCs w:val="28"/>
                <w:lang w:val="en-US"/>
              </w:rPr>
              <w:t xml:space="preserve">n = </w:t>
            </w:r>
            <w:r w:rsidR="009B0C5F">
              <w:rPr>
                <w:rFonts w:ascii="Times New Roman" w:hAnsi="Times New Roman" w:cs="Times New Roman"/>
                <w:sz w:val="28"/>
                <w:szCs w:val="28"/>
                <w:lang w:val="uk-UA"/>
              </w:rPr>
              <w:t>25</w:t>
            </w:r>
            <w:r>
              <w:rPr>
                <w:rFonts w:ascii="Times New Roman" w:hAnsi="Times New Roman" w:cs="Times New Roman"/>
                <w:sz w:val="28"/>
                <w:szCs w:val="28"/>
                <w:lang w:val="en-US"/>
              </w:rPr>
              <w:t>)</w:t>
            </w:r>
          </w:p>
        </w:tc>
      </w:tr>
      <w:tr w:rsidR="000F0066" w:rsidTr="00260595">
        <w:trPr>
          <w:trHeight w:val="143"/>
        </w:trPr>
        <w:tc>
          <w:tcPr>
            <w:tcW w:w="3057" w:type="dxa"/>
            <w:vMerge/>
          </w:tcPr>
          <w:p w:rsidR="000F0066" w:rsidRDefault="000F0066" w:rsidP="00023195">
            <w:pPr>
              <w:autoSpaceDE w:val="0"/>
              <w:autoSpaceDN w:val="0"/>
              <w:adjustRightInd w:val="0"/>
              <w:spacing w:line="360" w:lineRule="auto"/>
              <w:jc w:val="both"/>
              <w:rPr>
                <w:rFonts w:ascii="Times New Roman" w:hAnsi="Times New Roman" w:cs="Times New Roman"/>
                <w:sz w:val="28"/>
                <w:szCs w:val="28"/>
                <w:lang w:val="uk-UA"/>
              </w:rPr>
            </w:pPr>
          </w:p>
        </w:tc>
        <w:tc>
          <w:tcPr>
            <w:tcW w:w="1582" w:type="dxa"/>
          </w:tcPr>
          <w:p w:rsidR="000F0066" w:rsidRPr="002174BB" w:rsidRDefault="000F006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583" w:type="dxa"/>
          </w:tcPr>
          <w:p w:rsidR="000F0066" w:rsidRPr="002174BB" w:rsidRDefault="000F006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582" w:type="dxa"/>
          </w:tcPr>
          <w:p w:rsidR="000F0066" w:rsidRPr="002174BB" w:rsidRDefault="000F006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w:t>
            </w:r>
          </w:p>
        </w:tc>
        <w:tc>
          <w:tcPr>
            <w:tcW w:w="1584" w:type="dxa"/>
          </w:tcPr>
          <w:p w:rsidR="000F0066" w:rsidRPr="002174BB" w:rsidRDefault="000F006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2174BB" w:rsidTr="00260595">
        <w:trPr>
          <w:trHeight w:val="477"/>
        </w:trPr>
        <w:tc>
          <w:tcPr>
            <w:tcW w:w="3057" w:type="dxa"/>
          </w:tcPr>
          <w:p w:rsidR="002174BB" w:rsidRDefault="002174BB"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Нормальна геометрія</w:t>
            </w:r>
          </w:p>
        </w:tc>
        <w:tc>
          <w:tcPr>
            <w:tcW w:w="1582"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83"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6,</w:t>
            </w:r>
            <w:r>
              <w:rPr>
                <w:rFonts w:ascii="Times New Roman" w:hAnsi="Times New Roman" w:cs="Times New Roman"/>
                <w:sz w:val="28"/>
                <w:szCs w:val="28"/>
                <w:lang w:val="uk-UA"/>
              </w:rPr>
              <w:t>25</w:t>
            </w:r>
          </w:p>
        </w:tc>
        <w:tc>
          <w:tcPr>
            <w:tcW w:w="1582"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584" w:type="dxa"/>
          </w:tcPr>
          <w:p w:rsidR="002174BB" w:rsidRPr="0067771C" w:rsidRDefault="009E5778"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24</w:t>
            </w:r>
          </w:p>
        </w:tc>
      </w:tr>
      <w:tr w:rsidR="002174BB" w:rsidTr="00260595">
        <w:trPr>
          <w:trHeight w:val="953"/>
        </w:trPr>
        <w:tc>
          <w:tcPr>
            <w:tcW w:w="3057" w:type="dxa"/>
          </w:tcPr>
          <w:p w:rsidR="002174BB" w:rsidRDefault="002174BB"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Концентричне ремоделювання</w:t>
            </w:r>
          </w:p>
        </w:tc>
        <w:tc>
          <w:tcPr>
            <w:tcW w:w="1582"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83" w:type="dxa"/>
          </w:tcPr>
          <w:p w:rsidR="002174BB" w:rsidRPr="0095692C" w:rsidRDefault="0095692C"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7,29</w:t>
            </w:r>
          </w:p>
        </w:tc>
        <w:tc>
          <w:tcPr>
            <w:tcW w:w="1582"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584" w:type="dxa"/>
          </w:tcPr>
          <w:p w:rsidR="002174BB" w:rsidRPr="0067771C" w:rsidRDefault="009E5778"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28</w:t>
            </w:r>
          </w:p>
        </w:tc>
      </w:tr>
      <w:tr w:rsidR="002174BB" w:rsidTr="00260595">
        <w:trPr>
          <w:trHeight w:val="953"/>
        </w:trPr>
        <w:tc>
          <w:tcPr>
            <w:tcW w:w="3057" w:type="dxa"/>
          </w:tcPr>
          <w:p w:rsidR="002174BB" w:rsidRDefault="002174BB"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Концентрична гіпертрофія</w:t>
            </w:r>
          </w:p>
        </w:tc>
        <w:tc>
          <w:tcPr>
            <w:tcW w:w="1582"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63</w:t>
            </w:r>
          </w:p>
        </w:tc>
        <w:tc>
          <w:tcPr>
            <w:tcW w:w="1583" w:type="dxa"/>
          </w:tcPr>
          <w:p w:rsidR="002174BB" w:rsidRPr="0095692C" w:rsidRDefault="0095692C"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65,</w:t>
            </w:r>
            <w:r>
              <w:rPr>
                <w:rFonts w:ascii="Times New Roman" w:hAnsi="Times New Roman" w:cs="Times New Roman"/>
                <w:sz w:val="28"/>
                <w:szCs w:val="28"/>
                <w:lang w:val="uk-UA"/>
              </w:rPr>
              <w:t>63</w:t>
            </w:r>
          </w:p>
        </w:tc>
        <w:tc>
          <w:tcPr>
            <w:tcW w:w="1582" w:type="dxa"/>
          </w:tcPr>
          <w:p w:rsidR="002174BB" w:rsidRPr="009B0C5F" w:rsidRDefault="009B0C5F"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584" w:type="dxa"/>
          </w:tcPr>
          <w:p w:rsidR="002174BB" w:rsidRPr="0067771C" w:rsidRDefault="009E5778"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40</w:t>
            </w:r>
          </w:p>
        </w:tc>
      </w:tr>
      <w:tr w:rsidR="002174BB" w:rsidRPr="009E5778" w:rsidTr="00260595">
        <w:trPr>
          <w:trHeight w:val="953"/>
        </w:trPr>
        <w:tc>
          <w:tcPr>
            <w:tcW w:w="3057" w:type="dxa"/>
          </w:tcPr>
          <w:p w:rsidR="002174BB" w:rsidRPr="009E5778" w:rsidRDefault="002174BB" w:rsidP="00023195">
            <w:pPr>
              <w:autoSpaceDE w:val="0"/>
              <w:autoSpaceDN w:val="0"/>
              <w:adjustRightInd w:val="0"/>
              <w:spacing w:line="360" w:lineRule="auto"/>
              <w:jc w:val="both"/>
              <w:rPr>
                <w:rFonts w:ascii="Times New Roman" w:hAnsi="Times New Roman" w:cs="Times New Roman"/>
                <w:sz w:val="28"/>
                <w:szCs w:val="28"/>
                <w:lang w:val="uk-UA"/>
              </w:rPr>
            </w:pPr>
            <w:r w:rsidRPr="009E5778">
              <w:rPr>
                <w:rFonts w:ascii="Times New Roman" w:hAnsi="Times New Roman" w:cs="Times New Roman"/>
                <w:sz w:val="28"/>
                <w:szCs w:val="28"/>
                <w:lang w:val="uk-UA"/>
              </w:rPr>
              <w:t>Ексцентрична гіпертрофія</w:t>
            </w:r>
          </w:p>
        </w:tc>
        <w:tc>
          <w:tcPr>
            <w:tcW w:w="1582" w:type="dxa"/>
          </w:tcPr>
          <w:p w:rsidR="002174BB" w:rsidRPr="009E5778" w:rsidRDefault="009B0C5F" w:rsidP="00023195">
            <w:pPr>
              <w:autoSpaceDE w:val="0"/>
              <w:autoSpaceDN w:val="0"/>
              <w:adjustRightInd w:val="0"/>
              <w:spacing w:line="360" w:lineRule="auto"/>
              <w:jc w:val="both"/>
              <w:rPr>
                <w:rFonts w:ascii="Times New Roman" w:hAnsi="Times New Roman" w:cs="Times New Roman"/>
                <w:sz w:val="28"/>
                <w:szCs w:val="28"/>
                <w:lang w:val="uk-UA"/>
              </w:rPr>
            </w:pPr>
            <w:r w:rsidRPr="009E5778">
              <w:rPr>
                <w:rFonts w:ascii="Times New Roman" w:hAnsi="Times New Roman" w:cs="Times New Roman"/>
                <w:sz w:val="28"/>
                <w:szCs w:val="28"/>
                <w:lang w:val="uk-UA"/>
              </w:rPr>
              <w:t>20</w:t>
            </w:r>
          </w:p>
        </w:tc>
        <w:tc>
          <w:tcPr>
            <w:tcW w:w="1583" w:type="dxa"/>
          </w:tcPr>
          <w:p w:rsidR="002174BB" w:rsidRPr="009E5778" w:rsidRDefault="009E5778" w:rsidP="00023195">
            <w:pPr>
              <w:autoSpaceDE w:val="0"/>
              <w:autoSpaceDN w:val="0"/>
              <w:adjustRightInd w:val="0"/>
              <w:spacing w:line="360" w:lineRule="auto"/>
              <w:jc w:val="both"/>
              <w:rPr>
                <w:rFonts w:ascii="Times New Roman" w:hAnsi="Times New Roman" w:cs="Times New Roman"/>
                <w:sz w:val="28"/>
                <w:szCs w:val="28"/>
                <w:lang w:val="en-US"/>
              </w:rPr>
            </w:pPr>
            <w:r w:rsidRPr="009E5778">
              <w:rPr>
                <w:rFonts w:ascii="Times New Roman" w:hAnsi="Times New Roman" w:cs="Times New Roman"/>
                <w:sz w:val="28"/>
                <w:szCs w:val="28"/>
                <w:lang w:val="uk-UA"/>
              </w:rPr>
              <w:t>20,</w:t>
            </w:r>
            <w:r w:rsidR="0095692C" w:rsidRPr="009E5778">
              <w:rPr>
                <w:rFonts w:ascii="Times New Roman" w:hAnsi="Times New Roman" w:cs="Times New Roman"/>
                <w:sz w:val="28"/>
                <w:szCs w:val="28"/>
                <w:lang w:val="uk-UA"/>
              </w:rPr>
              <w:t>8</w:t>
            </w:r>
            <w:r w:rsidRPr="009E5778">
              <w:rPr>
                <w:rFonts w:ascii="Times New Roman" w:hAnsi="Times New Roman" w:cs="Times New Roman"/>
                <w:sz w:val="28"/>
                <w:szCs w:val="28"/>
                <w:lang w:val="en-US"/>
              </w:rPr>
              <w:t>3</w:t>
            </w:r>
          </w:p>
        </w:tc>
        <w:tc>
          <w:tcPr>
            <w:tcW w:w="1582" w:type="dxa"/>
          </w:tcPr>
          <w:p w:rsidR="002174BB" w:rsidRPr="009E5778" w:rsidRDefault="009B0C5F" w:rsidP="00023195">
            <w:pPr>
              <w:autoSpaceDE w:val="0"/>
              <w:autoSpaceDN w:val="0"/>
              <w:adjustRightInd w:val="0"/>
              <w:spacing w:line="360" w:lineRule="auto"/>
              <w:jc w:val="both"/>
              <w:rPr>
                <w:rFonts w:ascii="Times New Roman" w:hAnsi="Times New Roman" w:cs="Times New Roman"/>
                <w:sz w:val="28"/>
                <w:szCs w:val="28"/>
                <w:lang w:val="uk-UA"/>
              </w:rPr>
            </w:pPr>
            <w:r w:rsidRPr="009E5778">
              <w:rPr>
                <w:rFonts w:ascii="Times New Roman" w:hAnsi="Times New Roman" w:cs="Times New Roman"/>
                <w:sz w:val="28"/>
                <w:szCs w:val="28"/>
                <w:lang w:val="uk-UA"/>
              </w:rPr>
              <w:t>2</w:t>
            </w:r>
          </w:p>
        </w:tc>
        <w:tc>
          <w:tcPr>
            <w:tcW w:w="1584" w:type="dxa"/>
          </w:tcPr>
          <w:p w:rsidR="002174BB" w:rsidRPr="009E5778" w:rsidRDefault="009E5778" w:rsidP="00023195">
            <w:pPr>
              <w:autoSpaceDE w:val="0"/>
              <w:autoSpaceDN w:val="0"/>
              <w:adjustRightInd w:val="0"/>
              <w:spacing w:line="360" w:lineRule="auto"/>
              <w:jc w:val="both"/>
              <w:rPr>
                <w:rFonts w:ascii="Times New Roman" w:hAnsi="Times New Roman" w:cs="Times New Roman"/>
                <w:sz w:val="28"/>
                <w:szCs w:val="28"/>
                <w:lang w:val="en-US"/>
              </w:rPr>
            </w:pPr>
            <w:r w:rsidRPr="009E5778">
              <w:rPr>
                <w:rFonts w:ascii="Times New Roman" w:hAnsi="Times New Roman" w:cs="Times New Roman"/>
                <w:sz w:val="28"/>
                <w:szCs w:val="28"/>
                <w:lang w:val="en-US"/>
              </w:rPr>
              <w:t>8</w:t>
            </w:r>
          </w:p>
        </w:tc>
      </w:tr>
    </w:tbl>
    <w:p w:rsidR="00E9545C" w:rsidRPr="009E5778" w:rsidRDefault="006C5076"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sidRPr="009E5778">
        <w:rPr>
          <w:rFonts w:ascii="Times New Roman" w:hAnsi="Times New Roman" w:cs="Times New Roman"/>
          <w:sz w:val="28"/>
          <w:szCs w:val="28"/>
          <w:lang w:val="uk-UA"/>
        </w:rPr>
        <w:t xml:space="preserve">Примітка: </w:t>
      </w:r>
      <w:r w:rsidRPr="009E5778">
        <w:rPr>
          <w:rFonts w:ascii="Times New Roman" w:hAnsi="Times New Roman" w:cs="Times New Roman"/>
          <w:sz w:val="28"/>
          <w:szCs w:val="28"/>
          <w:lang w:val="en-US"/>
        </w:rPr>
        <w:t>n</w:t>
      </w:r>
      <w:r w:rsidRPr="009E5778">
        <w:rPr>
          <w:rFonts w:ascii="Times New Roman" w:hAnsi="Times New Roman" w:cs="Times New Roman"/>
          <w:sz w:val="28"/>
          <w:szCs w:val="28"/>
        </w:rPr>
        <w:t xml:space="preserve"> – к</w:t>
      </w:r>
      <w:r w:rsidR="00670E44">
        <w:rPr>
          <w:rFonts w:ascii="Times New Roman" w:hAnsi="Times New Roman" w:cs="Times New Roman"/>
          <w:sz w:val="28"/>
          <w:szCs w:val="28"/>
          <w:lang w:val="uk-UA"/>
        </w:rPr>
        <w:t>ількість осіб</w:t>
      </w:r>
    </w:p>
    <w:p w:rsidR="003B306E" w:rsidRDefault="003B306E" w:rsidP="00023195">
      <w:pPr>
        <w:autoSpaceDE w:val="0"/>
        <w:autoSpaceDN w:val="0"/>
        <w:adjustRightInd w:val="0"/>
        <w:spacing w:after="0" w:line="360" w:lineRule="auto"/>
        <w:ind w:firstLine="708"/>
        <w:jc w:val="both"/>
        <w:rPr>
          <w:rFonts w:ascii="Times New Roman" w:hAnsi="Times New Roman" w:cs="Times New Roman"/>
          <w:sz w:val="28"/>
          <w:szCs w:val="28"/>
          <w:lang w:val="uk-UA"/>
        </w:rPr>
      </w:pPr>
    </w:p>
    <w:p w:rsidR="00E9545C" w:rsidRPr="004A2DCD" w:rsidRDefault="002B0043"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пацієнтів </w:t>
      </w:r>
      <w:r w:rsidR="00FD2501">
        <w:rPr>
          <w:rFonts w:ascii="Times New Roman" w:hAnsi="Times New Roman" w:cs="Times New Roman"/>
          <w:sz w:val="28"/>
          <w:szCs w:val="28"/>
          <w:lang w:val="uk-UA"/>
        </w:rPr>
        <w:t>і</w:t>
      </w:r>
      <w:r w:rsidR="004A2DCD" w:rsidRPr="004C4C32">
        <w:rPr>
          <w:rFonts w:ascii="Times New Roman" w:hAnsi="Times New Roman" w:cs="Times New Roman"/>
          <w:sz w:val="28"/>
          <w:szCs w:val="28"/>
          <w:lang w:val="uk-UA"/>
        </w:rPr>
        <w:t xml:space="preserve">з </w:t>
      </w:r>
      <w:r w:rsidR="00A35BD0">
        <w:rPr>
          <w:rFonts w:ascii="Times New Roman" w:hAnsi="Times New Roman" w:cs="Times New Roman"/>
          <w:sz w:val="28"/>
          <w:szCs w:val="28"/>
          <w:lang w:val="uk-UA"/>
        </w:rPr>
        <w:t xml:space="preserve">АГ та ЦД 2-го типу </w:t>
      </w:r>
      <w:r w:rsidR="004A2DCD" w:rsidRPr="004C4C32">
        <w:rPr>
          <w:rFonts w:ascii="Times New Roman" w:hAnsi="Times New Roman" w:cs="Times New Roman"/>
          <w:sz w:val="28"/>
          <w:szCs w:val="28"/>
          <w:lang w:val="uk-UA"/>
        </w:rPr>
        <w:t xml:space="preserve">концентрична </w:t>
      </w:r>
      <w:r w:rsidR="00670E44">
        <w:rPr>
          <w:rFonts w:ascii="Times New Roman" w:hAnsi="Times New Roman" w:cs="Times New Roman"/>
          <w:sz w:val="28"/>
          <w:szCs w:val="28"/>
          <w:lang w:val="uk-UA"/>
        </w:rPr>
        <w:t>гіпертрофія трапля</w:t>
      </w:r>
      <w:r w:rsidR="009E5778" w:rsidRPr="004C4C32">
        <w:rPr>
          <w:rFonts w:ascii="Times New Roman" w:hAnsi="Times New Roman" w:cs="Times New Roman"/>
          <w:sz w:val="28"/>
          <w:szCs w:val="28"/>
          <w:lang w:val="uk-UA"/>
        </w:rPr>
        <w:t>ється у 1,6</w:t>
      </w:r>
      <w:r w:rsidR="00670E44">
        <w:rPr>
          <w:rFonts w:ascii="Times New Roman" w:hAnsi="Times New Roman" w:cs="Times New Roman"/>
          <w:sz w:val="28"/>
          <w:szCs w:val="28"/>
          <w:lang w:val="uk-UA"/>
        </w:rPr>
        <w:t xml:space="preserve"> раза</w:t>
      </w:r>
      <w:r w:rsidR="004A2DCD" w:rsidRPr="004C4C32">
        <w:rPr>
          <w:rFonts w:ascii="Times New Roman" w:hAnsi="Times New Roman" w:cs="Times New Roman"/>
          <w:sz w:val="28"/>
          <w:szCs w:val="28"/>
          <w:lang w:val="uk-UA"/>
        </w:rPr>
        <w:t xml:space="preserve"> частіше, </w:t>
      </w:r>
      <w:r w:rsidR="009E5778" w:rsidRPr="004C4C32">
        <w:rPr>
          <w:rFonts w:ascii="Times New Roman" w:hAnsi="Times New Roman" w:cs="Times New Roman"/>
          <w:sz w:val="28"/>
          <w:szCs w:val="28"/>
          <w:lang w:val="uk-UA"/>
        </w:rPr>
        <w:t>а ексцентрична гіпертрофія – у 2,6</w:t>
      </w:r>
      <w:r>
        <w:rPr>
          <w:rFonts w:ascii="Times New Roman" w:hAnsi="Times New Roman" w:cs="Times New Roman"/>
          <w:sz w:val="28"/>
          <w:szCs w:val="28"/>
          <w:lang w:val="uk-UA"/>
        </w:rPr>
        <w:t xml:space="preserve"> раза частіше, ніж у хворих</w:t>
      </w:r>
      <w:r w:rsidR="00670E44">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4A2DCD" w:rsidRPr="004C4C32">
        <w:rPr>
          <w:rFonts w:ascii="Times New Roman" w:hAnsi="Times New Roman" w:cs="Times New Roman"/>
          <w:sz w:val="28"/>
          <w:szCs w:val="28"/>
          <w:lang w:val="uk-UA"/>
        </w:rPr>
        <w:t xml:space="preserve"> АГ</w:t>
      </w:r>
      <w:r>
        <w:rPr>
          <w:rFonts w:ascii="Times New Roman" w:hAnsi="Times New Roman" w:cs="Times New Roman"/>
          <w:sz w:val="28"/>
          <w:szCs w:val="28"/>
          <w:lang w:val="uk-UA"/>
        </w:rPr>
        <w:t xml:space="preserve"> без супутнього </w:t>
      </w:r>
      <w:r w:rsidRPr="002B0043">
        <w:rPr>
          <w:rFonts w:ascii="Times New Roman" w:hAnsi="Times New Roman" w:cs="Times New Roman"/>
          <w:sz w:val="28"/>
          <w:szCs w:val="28"/>
          <w:lang w:val="uk-UA"/>
        </w:rPr>
        <w:t>ЦД 2-го типу</w:t>
      </w:r>
      <w:r w:rsidR="004A2DCD" w:rsidRPr="004C4C32">
        <w:rPr>
          <w:rFonts w:ascii="Times New Roman" w:hAnsi="Times New Roman" w:cs="Times New Roman"/>
          <w:sz w:val="28"/>
          <w:szCs w:val="28"/>
          <w:lang w:val="uk-UA"/>
        </w:rPr>
        <w:t>.</w:t>
      </w:r>
      <w:r w:rsidR="00A35BD0">
        <w:rPr>
          <w:rFonts w:ascii="Times New Roman" w:hAnsi="Times New Roman" w:cs="Times New Roman"/>
          <w:sz w:val="28"/>
          <w:szCs w:val="28"/>
          <w:lang w:val="uk-UA"/>
        </w:rPr>
        <w:t xml:space="preserve"> У пацієнтів </w:t>
      </w:r>
      <w:r w:rsidR="0079716F">
        <w:rPr>
          <w:rFonts w:ascii="Times New Roman" w:hAnsi="Times New Roman" w:cs="Times New Roman"/>
          <w:sz w:val="28"/>
          <w:szCs w:val="28"/>
          <w:lang w:val="uk-UA"/>
        </w:rPr>
        <w:t>і</w:t>
      </w:r>
      <w:r w:rsidR="004A2B35" w:rsidRPr="004C4C32">
        <w:rPr>
          <w:rFonts w:ascii="Times New Roman" w:hAnsi="Times New Roman" w:cs="Times New Roman"/>
          <w:sz w:val="28"/>
          <w:szCs w:val="28"/>
          <w:lang w:val="uk-UA"/>
        </w:rPr>
        <w:t>з АГ нормальну</w:t>
      </w:r>
      <w:r w:rsidR="0079716F">
        <w:rPr>
          <w:rFonts w:ascii="Times New Roman" w:hAnsi="Times New Roman" w:cs="Times New Roman"/>
          <w:sz w:val="28"/>
          <w:szCs w:val="28"/>
          <w:lang w:val="uk-UA"/>
        </w:rPr>
        <w:t xml:space="preserve"> геометрію ЛШ та </w:t>
      </w:r>
      <w:r w:rsidR="0079716F" w:rsidRPr="0079716F">
        <w:rPr>
          <w:rFonts w:ascii="Times New Roman" w:hAnsi="Times New Roman" w:cs="Times New Roman"/>
          <w:sz w:val="28"/>
          <w:szCs w:val="28"/>
          <w:lang w:val="uk-UA"/>
        </w:rPr>
        <w:t xml:space="preserve">концентричне ремоделювання </w:t>
      </w:r>
      <w:r w:rsidR="009E5778" w:rsidRPr="004C4C32">
        <w:rPr>
          <w:rFonts w:ascii="Times New Roman" w:hAnsi="Times New Roman" w:cs="Times New Roman"/>
          <w:sz w:val="28"/>
          <w:szCs w:val="28"/>
          <w:lang w:val="uk-UA"/>
        </w:rPr>
        <w:t xml:space="preserve">констатовано </w:t>
      </w:r>
      <w:r w:rsidR="00622901">
        <w:rPr>
          <w:rFonts w:ascii="Times New Roman" w:hAnsi="Times New Roman" w:cs="Times New Roman"/>
          <w:sz w:val="28"/>
          <w:szCs w:val="28"/>
          <w:lang w:val="uk-UA"/>
        </w:rPr>
        <w:t xml:space="preserve">       </w:t>
      </w:r>
      <w:r w:rsidR="009E5778" w:rsidRPr="004C4C32">
        <w:rPr>
          <w:rFonts w:ascii="Times New Roman" w:hAnsi="Times New Roman" w:cs="Times New Roman"/>
          <w:sz w:val="28"/>
          <w:szCs w:val="28"/>
          <w:lang w:val="uk-UA"/>
        </w:rPr>
        <w:t>у 3,</w:t>
      </w:r>
      <w:r w:rsidR="009E5778" w:rsidRPr="00670E44">
        <w:rPr>
          <w:rFonts w:ascii="Times New Roman" w:hAnsi="Times New Roman" w:cs="Times New Roman"/>
          <w:sz w:val="28"/>
          <w:szCs w:val="28"/>
          <w:lang w:val="uk-UA"/>
        </w:rPr>
        <w:t>8</w:t>
      </w:r>
      <w:r w:rsidR="00670E44">
        <w:rPr>
          <w:rFonts w:ascii="Times New Roman" w:hAnsi="Times New Roman" w:cs="Times New Roman"/>
          <w:sz w:val="28"/>
          <w:szCs w:val="28"/>
          <w:lang w:val="uk-UA"/>
        </w:rPr>
        <w:t xml:space="preserve"> раза частіше, ніж за коморбідної</w:t>
      </w:r>
      <w:r w:rsidR="004A2B35" w:rsidRPr="004C4C32">
        <w:rPr>
          <w:rFonts w:ascii="Times New Roman" w:hAnsi="Times New Roman" w:cs="Times New Roman"/>
          <w:sz w:val="28"/>
          <w:szCs w:val="28"/>
          <w:lang w:val="uk-UA"/>
        </w:rPr>
        <w:t xml:space="preserve"> патології.</w:t>
      </w:r>
    </w:p>
    <w:p w:rsidR="00FF4AD2" w:rsidRPr="00137B5B" w:rsidRDefault="00670E44" w:rsidP="00137B5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2B0043">
        <w:rPr>
          <w:rFonts w:ascii="Times New Roman" w:hAnsi="Times New Roman" w:cs="Times New Roman"/>
          <w:sz w:val="28"/>
          <w:szCs w:val="28"/>
          <w:lang w:val="uk-UA"/>
        </w:rPr>
        <w:t xml:space="preserve">у хворих на </w:t>
      </w:r>
      <w:r w:rsidR="00A35BD0">
        <w:rPr>
          <w:rFonts w:ascii="Times New Roman" w:hAnsi="Times New Roman" w:cs="Times New Roman"/>
          <w:sz w:val="28"/>
          <w:szCs w:val="28"/>
          <w:lang w:val="uk-UA"/>
        </w:rPr>
        <w:t>АГ та ЦД 2-го типу</w:t>
      </w:r>
      <w:r>
        <w:rPr>
          <w:rFonts w:ascii="Times New Roman" w:hAnsi="Times New Roman" w:cs="Times New Roman"/>
          <w:sz w:val="28"/>
          <w:szCs w:val="28"/>
          <w:lang w:val="uk-UA"/>
        </w:rPr>
        <w:t xml:space="preserve"> порівняно</w:t>
      </w:r>
      <w:r w:rsidR="0079716F">
        <w:rPr>
          <w:rFonts w:ascii="Times New Roman" w:hAnsi="Times New Roman" w:cs="Times New Roman"/>
          <w:sz w:val="28"/>
          <w:szCs w:val="28"/>
          <w:lang w:val="uk-UA"/>
        </w:rPr>
        <w:t xml:space="preserve"> з пацієнтами</w:t>
      </w:r>
      <w:r w:rsidR="00A35BD0">
        <w:rPr>
          <w:rFonts w:ascii="Times New Roman" w:hAnsi="Times New Roman" w:cs="Times New Roman"/>
          <w:sz w:val="28"/>
          <w:szCs w:val="28"/>
          <w:lang w:val="uk-UA"/>
        </w:rPr>
        <w:t xml:space="preserve"> </w:t>
      </w:r>
      <w:r w:rsidR="0079716F">
        <w:rPr>
          <w:rFonts w:ascii="Times New Roman" w:hAnsi="Times New Roman" w:cs="Times New Roman"/>
          <w:sz w:val="28"/>
          <w:szCs w:val="28"/>
          <w:lang w:val="uk-UA"/>
        </w:rPr>
        <w:t>і</w:t>
      </w:r>
      <w:r w:rsidR="00B35673">
        <w:rPr>
          <w:rFonts w:ascii="Times New Roman" w:hAnsi="Times New Roman" w:cs="Times New Roman"/>
          <w:sz w:val="28"/>
          <w:szCs w:val="28"/>
          <w:lang w:val="uk-UA"/>
        </w:rPr>
        <w:t>з АГ</w:t>
      </w:r>
      <w:r w:rsidR="004C4C32">
        <w:rPr>
          <w:rFonts w:ascii="Times New Roman" w:hAnsi="Times New Roman" w:cs="Times New Roman"/>
          <w:sz w:val="28"/>
          <w:szCs w:val="28"/>
          <w:lang w:val="uk-UA"/>
        </w:rPr>
        <w:t xml:space="preserve"> у 2,</w:t>
      </w:r>
      <w:r w:rsidR="004C4C32" w:rsidRPr="004C4C32">
        <w:rPr>
          <w:rFonts w:ascii="Times New Roman" w:hAnsi="Times New Roman" w:cs="Times New Roman"/>
          <w:sz w:val="28"/>
          <w:szCs w:val="28"/>
          <w:lang w:val="uk-UA"/>
        </w:rPr>
        <w:t>6</w:t>
      </w:r>
      <w:r>
        <w:rPr>
          <w:rFonts w:ascii="Times New Roman" w:hAnsi="Times New Roman" w:cs="Times New Roman"/>
          <w:sz w:val="28"/>
          <w:szCs w:val="28"/>
          <w:lang w:val="uk-UA"/>
        </w:rPr>
        <w:t xml:space="preserve"> раза</w:t>
      </w:r>
      <w:r w:rsidR="00B35673">
        <w:rPr>
          <w:rFonts w:ascii="Times New Roman" w:hAnsi="Times New Roman" w:cs="Times New Roman"/>
          <w:sz w:val="28"/>
          <w:szCs w:val="28"/>
          <w:lang w:val="uk-UA"/>
        </w:rPr>
        <w:t xml:space="preserve"> з</w:t>
      </w:r>
      <w:r w:rsidR="0079716F">
        <w:rPr>
          <w:rFonts w:ascii="Times New Roman" w:hAnsi="Times New Roman" w:cs="Times New Roman"/>
          <w:sz w:val="28"/>
          <w:szCs w:val="28"/>
          <w:lang w:val="uk-UA"/>
        </w:rPr>
        <w:t>більшується відсоток ексцентричної гіпертрофії, яка</w:t>
      </w:r>
      <w:r w:rsidR="00B35673">
        <w:rPr>
          <w:rFonts w:ascii="Times New Roman" w:hAnsi="Times New Roman" w:cs="Times New Roman"/>
          <w:sz w:val="28"/>
          <w:szCs w:val="28"/>
          <w:lang w:val="uk-UA"/>
        </w:rPr>
        <w:t xml:space="preserve"> є несприятлив</w:t>
      </w:r>
      <w:r w:rsidR="0079716F">
        <w:rPr>
          <w:rFonts w:ascii="Times New Roman" w:hAnsi="Times New Roman" w:cs="Times New Roman"/>
          <w:sz w:val="28"/>
          <w:szCs w:val="28"/>
          <w:lang w:val="uk-UA"/>
        </w:rPr>
        <w:t xml:space="preserve">им типом ремоделювання. </w:t>
      </w:r>
      <w:r>
        <w:rPr>
          <w:rFonts w:ascii="Times New Roman" w:hAnsi="Times New Roman" w:cs="Times New Roman"/>
          <w:sz w:val="28"/>
          <w:szCs w:val="28"/>
          <w:lang w:val="uk-UA"/>
        </w:rPr>
        <w:t>Одержані дані збігаються</w:t>
      </w:r>
      <w:r w:rsidR="0079716F">
        <w:rPr>
          <w:rFonts w:ascii="Times New Roman" w:hAnsi="Times New Roman" w:cs="Times New Roman"/>
          <w:sz w:val="28"/>
          <w:szCs w:val="28"/>
          <w:lang w:val="uk-UA"/>
        </w:rPr>
        <w:t xml:space="preserve">                     з результатами</w:t>
      </w:r>
      <w:r w:rsidR="002B0043">
        <w:rPr>
          <w:rFonts w:ascii="Times New Roman" w:hAnsi="Times New Roman" w:cs="Times New Roman"/>
          <w:sz w:val="28"/>
          <w:szCs w:val="28"/>
          <w:lang w:val="uk-UA"/>
        </w:rPr>
        <w:t xml:space="preserve"> науковців [</w:t>
      </w:r>
      <w:r w:rsidR="00541249" w:rsidRPr="005C5DB7">
        <w:rPr>
          <w:rFonts w:ascii="Times New Roman" w:hAnsi="Times New Roman" w:cs="Times New Roman"/>
          <w:sz w:val="28"/>
          <w:szCs w:val="28"/>
          <w:lang w:val="uk-UA"/>
        </w:rPr>
        <w:t>97</w:t>
      </w:r>
      <w:r w:rsidR="002B0043">
        <w:rPr>
          <w:rFonts w:ascii="Times New Roman" w:hAnsi="Times New Roman" w:cs="Times New Roman"/>
          <w:sz w:val="28"/>
          <w:szCs w:val="28"/>
          <w:lang w:val="uk-UA"/>
        </w:rPr>
        <w:t>]</w:t>
      </w:r>
      <w:r w:rsidR="00B35673" w:rsidRPr="00B3567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79716F">
        <w:rPr>
          <w:rFonts w:ascii="Times New Roman" w:hAnsi="Times New Roman" w:cs="Times New Roman"/>
          <w:sz w:val="28"/>
          <w:szCs w:val="28"/>
          <w:lang w:val="uk-UA"/>
        </w:rPr>
        <w:t>За їх дослідженнями</w:t>
      </w:r>
      <w:r w:rsidR="0056228B" w:rsidRPr="0079716F">
        <w:rPr>
          <w:rFonts w:ascii="Times New Roman" w:hAnsi="Times New Roman" w:cs="Times New Roman"/>
          <w:sz w:val="28"/>
          <w:szCs w:val="28"/>
          <w:lang w:val="uk-UA"/>
        </w:rPr>
        <w:t>,</w:t>
      </w:r>
      <w:r w:rsidR="00A35BD0" w:rsidRPr="0079716F">
        <w:rPr>
          <w:rFonts w:ascii="Times New Roman" w:hAnsi="Times New Roman" w:cs="Times New Roman"/>
          <w:sz w:val="28"/>
          <w:szCs w:val="28"/>
          <w:lang w:val="uk-UA"/>
        </w:rPr>
        <w:t xml:space="preserve"> </w:t>
      </w:r>
      <w:r w:rsidR="0079716F" w:rsidRPr="0079716F">
        <w:rPr>
          <w:rFonts w:ascii="Times New Roman" w:hAnsi="Times New Roman" w:cs="Times New Roman"/>
          <w:sz w:val="28"/>
          <w:szCs w:val="28"/>
          <w:lang w:val="uk-UA"/>
        </w:rPr>
        <w:t xml:space="preserve">у </w:t>
      </w:r>
      <w:r w:rsidR="00A35BD0" w:rsidRPr="0079716F">
        <w:rPr>
          <w:rFonts w:ascii="Times New Roman" w:hAnsi="Times New Roman" w:cs="Times New Roman"/>
          <w:sz w:val="28"/>
          <w:szCs w:val="28"/>
          <w:lang w:val="uk-UA"/>
        </w:rPr>
        <w:t xml:space="preserve">хворих </w:t>
      </w:r>
      <w:r w:rsidR="002B0043" w:rsidRPr="0079716F">
        <w:rPr>
          <w:rFonts w:ascii="Times New Roman" w:hAnsi="Times New Roman" w:cs="Times New Roman"/>
          <w:sz w:val="28"/>
          <w:szCs w:val="28"/>
          <w:lang w:val="uk-UA"/>
        </w:rPr>
        <w:t>на</w:t>
      </w:r>
      <w:r w:rsidR="00B429EC" w:rsidRPr="0079716F">
        <w:rPr>
          <w:rFonts w:ascii="Times New Roman" w:hAnsi="Times New Roman" w:cs="Times New Roman"/>
          <w:sz w:val="28"/>
          <w:szCs w:val="28"/>
          <w:lang w:val="uk-UA"/>
        </w:rPr>
        <w:t xml:space="preserve"> </w:t>
      </w:r>
      <w:r w:rsidR="00797BE6" w:rsidRPr="0079716F">
        <w:rPr>
          <w:rFonts w:ascii="Times New Roman" w:hAnsi="Times New Roman" w:cs="Times New Roman"/>
          <w:sz w:val="28"/>
          <w:szCs w:val="28"/>
          <w:lang w:val="uk-UA"/>
        </w:rPr>
        <w:t xml:space="preserve">АГ та </w:t>
      </w:r>
      <w:r w:rsidR="00622901">
        <w:rPr>
          <w:rFonts w:ascii="Times New Roman" w:hAnsi="Times New Roman" w:cs="Times New Roman"/>
          <w:sz w:val="28"/>
          <w:szCs w:val="28"/>
          <w:lang w:val="uk-UA"/>
        </w:rPr>
        <w:t xml:space="preserve">        </w:t>
      </w:r>
      <w:r w:rsidR="00A35BD0" w:rsidRPr="0079716F">
        <w:rPr>
          <w:rFonts w:ascii="Times New Roman" w:hAnsi="Times New Roman" w:cs="Times New Roman"/>
          <w:sz w:val="28"/>
          <w:szCs w:val="28"/>
          <w:lang w:val="uk-UA"/>
        </w:rPr>
        <w:t xml:space="preserve">ЦД 2-го типу </w:t>
      </w:r>
      <w:r w:rsidR="002B0043" w:rsidRPr="0079716F">
        <w:rPr>
          <w:rFonts w:ascii="Times New Roman" w:hAnsi="Times New Roman" w:cs="Times New Roman"/>
          <w:sz w:val="28"/>
          <w:szCs w:val="28"/>
          <w:lang w:val="uk-UA"/>
        </w:rPr>
        <w:t>порівняно з пацієнтами</w:t>
      </w:r>
      <w:r w:rsidRPr="0079716F">
        <w:rPr>
          <w:rFonts w:ascii="Times New Roman" w:hAnsi="Times New Roman" w:cs="Times New Roman"/>
          <w:sz w:val="28"/>
          <w:szCs w:val="28"/>
          <w:lang w:val="uk-UA"/>
        </w:rPr>
        <w:t xml:space="preserve"> </w:t>
      </w:r>
      <w:r w:rsidR="0079716F" w:rsidRPr="0079716F">
        <w:rPr>
          <w:rFonts w:ascii="Times New Roman" w:hAnsi="Times New Roman" w:cs="Times New Roman"/>
          <w:sz w:val="28"/>
          <w:szCs w:val="28"/>
          <w:lang w:val="uk-UA"/>
        </w:rPr>
        <w:t xml:space="preserve">з </w:t>
      </w:r>
      <w:r w:rsidR="00A35BD0" w:rsidRPr="0079716F">
        <w:rPr>
          <w:rFonts w:ascii="Times New Roman" w:hAnsi="Times New Roman" w:cs="Times New Roman"/>
          <w:sz w:val="28"/>
          <w:szCs w:val="28"/>
          <w:lang w:val="uk-UA"/>
        </w:rPr>
        <w:t xml:space="preserve">АГ </w:t>
      </w:r>
      <w:r w:rsidR="0079716F" w:rsidRPr="0079716F">
        <w:rPr>
          <w:rFonts w:ascii="Times New Roman" w:hAnsi="Times New Roman" w:cs="Times New Roman"/>
          <w:sz w:val="28"/>
          <w:szCs w:val="28"/>
          <w:lang w:val="uk-UA"/>
        </w:rPr>
        <w:t>гіпертрофічні типи ремоделю</w:t>
      </w:r>
      <w:r w:rsidR="0079716F">
        <w:rPr>
          <w:rFonts w:ascii="Times New Roman" w:hAnsi="Times New Roman" w:cs="Times New Roman"/>
          <w:sz w:val="28"/>
          <w:szCs w:val="28"/>
          <w:lang w:val="uk-UA"/>
        </w:rPr>
        <w:t xml:space="preserve">вання ЛШ у цілому, особливо </w:t>
      </w:r>
      <w:r w:rsidR="0079716F" w:rsidRPr="0079716F">
        <w:rPr>
          <w:rFonts w:ascii="Times New Roman" w:hAnsi="Times New Roman" w:cs="Times New Roman"/>
          <w:sz w:val="28"/>
          <w:szCs w:val="28"/>
          <w:lang w:val="uk-UA"/>
        </w:rPr>
        <w:t>ексцентрична гіпертрофія ЛШ</w:t>
      </w:r>
      <w:r w:rsidR="00007F58">
        <w:rPr>
          <w:rFonts w:ascii="Times New Roman" w:hAnsi="Times New Roman" w:cs="Times New Roman"/>
          <w:sz w:val="28"/>
          <w:szCs w:val="28"/>
          <w:lang w:val="uk-UA"/>
        </w:rPr>
        <w:t>,</w:t>
      </w:r>
      <w:r w:rsidR="0079716F" w:rsidRPr="00825F59">
        <w:rPr>
          <w:rFonts w:ascii="Times New Roman" w:hAnsi="Times New Roman" w:cs="Times New Roman"/>
          <w:sz w:val="28"/>
          <w:szCs w:val="28"/>
          <w:lang w:val="uk-UA"/>
        </w:rPr>
        <w:t xml:space="preserve"> </w:t>
      </w:r>
      <w:r w:rsidR="0079716F" w:rsidRPr="0079716F">
        <w:rPr>
          <w:rFonts w:ascii="Times New Roman" w:hAnsi="Times New Roman" w:cs="Times New Roman"/>
          <w:sz w:val="28"/>
          <w:szCs w:val="28"/>
          <w:lang w:val="uk-UA"/>
        </w:rPr>
        <w:t xml:space="preserve">розвиваються </w:t>
      </w:r>
      <w:r w:rsidR="00A35BD0" w:rsidRPr="0079716F">
        <w:rPr>
          <w:rFonts w:ascii="Times New Roman" w:hAnsi="Times New Roman" w:cs="Times New Roman"/>
          <w:sz w:val="28"/>
          <w:szCs w:val="28"/>
          <w:lang w:val="uk-UA"/>
        </w:rPr>
        <w:t>із більшою частотою</w:t>
      </w:r>
      <w:r w:rsidR="0079716F" w:rsidRPr="0079716F">
        <w:rPr>
          <w:rFonts w:ascii="Times New Roman" w:hAnsi="Times New Roman" w:cs="Times New Roman"/>
          <w:sz w:val="28"/>
          <w:szCs w:val="28"/>
          <w:lang w:val="uk-UA"/>
        </w:rPr>
        <w:t>. Більше того, у</w:t>
      </w:r>
      <w:r w:rsidR="002B0043" w:rsidRPr="0079716F">
        <w:rPr>
          <w:rFonts w:ascii="Times New Roman" w:hAnsi="Times New Roman" w:cs="Times New Roman"/>
          <w:sz w:val="28"/>
          <w:szCs w:val="28"/>
          <w:lang w:val="uk-UA"/>
        </w:rPr>
        <w:t xml:space="preserve">становлено </w:t>
      </w:r>
      <w:r w:rsidR="00B429EC" w:rsidRPr="0079716F">
        <w:rPr>
          <w:rFonts w:ascii="Times New Roman" w:hAnsi="Times New Roman" w:cs="Times New Roman"/>
          <w:sz w:val="28"/>
          <w:szCs w:val="28"/>
          <w:lang w:val="uk-UA"/>
        </w:rPr>
        <w:t>зв</w:t>
      </w:r>
      <w:r w:rsidRPr="0079716F">
        <w:rPr>
          <w:rFonts w:ascii="Times New Roman" w:hAnsi="Times New Roman" w:cs="Times New Roman"/>
          <w:sz w:val="28"/>
          <w:szCs w:val="28"/>
          <w:lang w:val="uk-UA"/>
        </w:rPr>
        <w:t>ʼ</w:t>
      </w:r>
      <w:r w:rsidR="00B429EC" w:rsidRPr="0079716F">
        <w:rPr>
          <w:rFonts w:ascii="Times New Roman" w:hAnsi="Times New Roman" w:cs="Times New Roman"/>
          <w:sz w:val="28"/>
          <w:szCs w:val="28"/>
          <w:lang w:val="uk-UA"/>
        </w:rPr>
        <w:t xml:space="preserve">язок між гіпертрофією ЛШ та розвитком його ранньої діастолічної дисфункції </w:t>
      </w:r>
      <w:r w:rsidR="00B429EC" w:rsidRPr="00541249">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97</w:t>
      </w:r>
      <w:r w:rsidR="00B429EC" w:rsidRPr="00541249">
        <w:rPr>
          <w:rFonts w:ascii="Times New Roman" w:hAnsi="Times New Roman" w:cs="Times New Roman"/>
          <w:sz w:val="28"/>
          <w:szCs w:val="28"/>
          <w:lang w:val="uk-UA"/>
        </w:rPr>
        <w:t>].</w:t>
      </w:r>
      <w:r w:rsidR="00B429EC" w:rsidRPr="00825F59">
        <w:rPr>
          <w:rFonts w:ascii="Times New Roman" w:hAnsi="Times New Roman" w:cs="Times New Roman"/>
          <w:sz w:val="28"/>
          <w:szCs w:val="28"/>
          <w:lang w:val="uk-UA"/>
        </w:rPr>
        <w:t xml:space="preserve"> </w:t>
      </w:r>
      <w:r w:rsidR="00994B1C">
        <w:rPr>
          <w:rFonts w:ascii="Times New Roman" w:hAnsi="Times New Roman" w:cs="Times New Roman"/>
          <w:sz w:val="28"/>
          <w:szCs w:val="28"/>
          <w:lang w:val="uk-UA"/>
        </w:rPr>
        <w:lastRenderedPageBreak/>
        <w:t>Зв</w:t>
      </w:r>
      <w:r w:rsidR="00994B1C" w:rsidRPr="00A62B59">
        <w:rPr>
          <w:rFonts w:ascii="Times New Roman" w:hAnsi="Times New Roman" w:cs="Times New Roman"/>
          <w:sz w:val="28"/>
          <w:szCs w:val="28"/>
          <w:lang w:val="uk-UA"/>
        </w:rPr>
        <w:t xml:space="preserve">ажаючи </w:t>
      </w:r>
      <w:r w:rsidR="00994B1C">
        <w:rPr>
          <w:rFonts w:ascii="Times New Roman" w:hAnsi="Times New Roman" w:cs="Times New Roman"/>
          <w:sz w:val="28"/>
          <w:szCs w:val="28"/>
          <w:lang w:val="uk-UA"/>
        </w:rPr>
        <w:t xml:space="preserve">на це, </w:t>
      </w:r>
      <w:r w:rsidR="0079716F" w:rsidRPr="0079716F">
        <w:rPr>
          <w:rFonts w:ascii="Times New Roman" w:hAnsi="Times New Roman" w:cs="Times New Roman"/>
          <w:sz w:val="28"/>
          <w:szCs w:val="28"/>
          <w:lang w:val="uk-UA"/>
        </w:rPr>
        <w:t>ант</w:t>
      </w:r>
      <w:r w:rsidR="0079716F">
        <w:rPr>
          <w:rFonts w:ascii="Times New Roman" w:hAnsi="Times New Roman" w:cs="Times New Roman"/>
          <w:sz w:val="28"/>
          <w:szCs w:val="28"/>
          <w:lang w:val="uk-UA"/>
        </w:rPr>
        <w:t>игіпертензивні препарати, ефективні</w:t>
      </w:r>
      <w:r w:rsidR="0079716F" w:rsidRPr="0079716F">
        <w:rPr>
          <w:rFonts w:ascii="Times New Roman" w:hAnsi="Times New Roman" w:cs="Times New Roman"/>
          <w:sz w:val="28"/>
          <w:szCs w:val="28"/>
          <w:lang w:val="uk-UA"/>
        </w:rPr>
        <w:t xml:space="preserve"> щодо регресу гіпертрофії ЛШ</w:t>
      </w:r>
      <w:r w:rsidR="0079716F">
        <w:rPr>
          <w:rFonts w:ascii="Times New Roman" w:hAnsi="Times New Roman" w:cs="Times New Roman"/>
          <w:sz w:val="28"/>
          <w:szCs w:val="28"/>
          <w:lang w:val="uk-UA"/>
        </w:rPr>
        <w:t xml:space="preserve">, є доцільними </w:t>
      </w:r>
      <w:r w:rsidR="00007F58">
        <w:rPr>
          <w:rFonts w:ascii="Times New Roman" w:hAnsi="Times New Roman" w:cs="Times New Roman"/>
          <w:sz w:val="28"/>
          <w:szCs w:val="28"/>
          <w:lang w:val="uk-UA"/>
        </w:rPr>
        <w:t>для використання</w:t>
      </w:r>
      <w:r w:rsidR="0079716F">
        <w:rPr>
          <w:rFonts w:ascii="Times New Roman" w:hAnsi="Times New Roman" w:cs="Times New Roman"/>
          <w:sz w:val="28"/>
          <w:szCs w:val="28"/>
          <w:lang w:val="uk-UA"/>
        </w:rPr>
        <w:t xml:space="preserve"> </w:t>
      </w:r>
      <w:r w:rsidR="00A62B59">
        <w:rPr>
          <w:rFonts w:ascii="Times New Roman" w:hAnsi="Times New Roman" w:cs="Times New Roman"/>
          <w:sz w:val="28"/>
          <w:szCs w:val="28"/>
          <w:lang w:val="uk-UA"/>
        </w:rPr>
        <w:t>із метою кардіопротекції.</w:t>
      </w:r>
    </w:p>
    <w:p w:rsidR="00993BE4" w:rsidRDefault="00993BE4" w:rsidP="00023195">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606637" w:rsidRPr="00FF4AD2" w:rsidRDefault="00704EF6" w:rsidP="00023195">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FF4AD2">
        <w:rPr>
          <w:rFonts w:ascii="Times New Roman" w:hAnsi="Times New Roman" w:cs="Times New Roman"/>
          <w:b/>
          <w:sz w:val="28"/>
          <w:szCs w:val="28"/>
          <w:lang w:val="uk-UA"/>
        </w:rPr>
        <w:t>.2</w:t>
      </w:r>
      <w:r w:rsidR="00B03E6F">
        <w:rPr>
          <w:rFonts w:ascii="Times New Roman" w:hAnsi="Times New Roman" w:cs="Times New Roman"/>
          <w:b/>
          <w:sz w:val="28"/>
          <w:szCs w:val="28"/>
          <w:lang w:val="uk-UA"/>
        </w:rPr>
        <w:t>.</w:t>
      </w:r>
      <w:r w:rsidR="00916988" w:rsidRPr="00FF4AD2">
        <w:rPr>
          <w:rFonts w:ascii="Times New Roman" w:hAnsi="Times New Roman" w:cs="Times New Roman"/>
          <w:b/>
          <w:sz w:val="28"/>
          <w:szCs w:val="28"/>
          <w:lang w:val="uk-UA"/>
        </w:rPr>
        <w:t xml:space="preserve"> </w:t>
      </w:r>
      <w:r w:rsidR="00FB441C">
        <w:rPr>
          <w:rFonts w:ascii="Times New Roman" w:hAnsi="Times New Roman" w:cs="Times New Roman"/>
          <w:b/>
          <w:sz w:val="28"/>
          <w:szCs w:val="28"/>
          <w:lang w:val="uk-UA"/>
        </w:rPr>
        <w:t>З</w:t>
      </w:r>
      <w:r w:rsidR="00A35BD0">
        <w:rPr>
          <w:rFonts w:ascii="Times New Roman" w:hAnsi="Times New Roman" w:cs="Times New Roman"/>
          <w:b/>
          <w:sz w:val="28"/>
          <w:szCs w:val="28"/>
          <w:lang w:val="uk-UA"/>
        </w:rPr>
        <w:t xml:space="preserve">в’язки </w:t>
      </w:r>
      <w:r w:rsidR="00FB441C">
        <w:rPr>
          <w:rFonts w:ascii="Times New Roman" w:hAnsi="Times New Roman" w:cs="Times New Roman"/>
          <w:b/>
          <w:sz w:val="28"/>
          <w:szCs w:val="28"/>
          <w:lang w:val="uk-UA"/>
        </w:rPr>
        <w:t xml:space="preserve">між показниками функції серця та нирок </w:t>
      </w:r>
      <w:r w:rsidR="002B0043">
        <w:rPr>
          <w:rFonts w:ascii="Times New Roman" w:hAnsi="Times New Roman" w:cs="Times New Roman"/>
          <w:b/>
          <w:sz w:val="28"/>
          <w:szCs w:val="28"/>
          <w:lang w:val="uk-UA"/>
        </w:rPr>
        <w:t xml:space="preserve">у хворих </w:t>
      </w:r>
      <w:r w:rsidR="00622901">
        <w:rPr>
          <w:rFonts w:ascii="Times New Roman" w:hAnsi="Times New Roman" w:cs="Times New Roman"/>
          <w:b/>
          <w:sz w:val="28"/>
          <w:szCs w:val="28"/>
          <w:lang w:val="uk-UA"/>
        </w:rPr>
        <w:t xml:space="preserve">      </w:t>
      </w:r>
      <w:r w:rsidR="002B0043">
        <w:rPr>
          <w:rFonts w:ascii="Times New Roman" w:hAnsi="Times New Roman" w:cs="Times New Roman"/>
          <w:b/>
          <w:sz w:val="28"/>
          <w:szCs w:val="28"/>
          <w:lang w:val="uk-UA"/>
        </w:rPr>
        <w:t>на артеріальну гіпертензію та цукровий діабет</w:t>
      </w:r>
      <w:r w:rsidR="00C973CC" w:rsidRPr="00C973CC">
        <w:rPr>
          <w:rFonts w:ascii="Times New Roman" w:hAnsi="Times New Roman" w:cs="Times New Roman"/>
          <w:b/>
          <w:sz w:val="28"/>
          <w:szCs w:val="28"/>
          <w:lang w:val="uk-UA"/>
        </w:rPr>
        <w:t xml:space="preserve"> 2-го типу</w:t>
      </w:r>
    </w:p>
    <w:p w:rsidR="009F72B9" w:rsidRDefault="009F72B9" w:rsidP="00023195">
      <w:pPr>
        <w:autoSpaceDE w:val="0"/>
        <w:autoSpaceDN w:val="0"/>
        <w:adjustRightInd w:val="0"/>
        <w:spacing w:after="40" w:line="360" w:lineRule="auto"/>
        <w:ind w:firstLine="708"/>
        <w:jc w:val="both"/>
        <w:rPr>
          <w:rFonts w:ascii="Times New Roman" w:hAnsi="Times New Roman" w:cs="Times New Roman"/>
          <w:color w:val="000000"/>
          <w:sz w:val="28"/>
          <w:szCs w:val="28"/>
          <w:lang w:val="uk-UA"/>
        </w:rPr>
      </w:pPr>
    </w:p>
    <w:p w:rsidR="004A3389" w:rsidRDefault="00C5473D" w:rsidP="001E714C">
      <w:pPr>
        <w:autoSpaceDE w:val="0"/>
        <w:autoSpaceDN w:val="0"/>
        <w:adjustRightInd w:val="0"/>
        <w:spacing w:after="4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Тісні</w:t>
      </w:r>
      <w:r w:rsidR="009F72B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зв’язки</w:t>
      </w:r>
      <w:r w:rsidR="0041341A">
        <w:rPr>
          <w:rFonts w:ascii="Times New Roman" w:hAnsi="Times New Roman" w:cs="Times New Roman"/>
          <w:color w:val="000000"/>
          <w:sz w:val="28"/>
          <w:szCs w:val="28"/>
          <w:lang w:val="uk-UA"/>
        </w:rPr>
        <w:t xml:space="preserve"> між </w:t>
      </w:r>
      <w:r w:rsidR="009F72B9">
        <w:rPr>
          <w:rFonts w:ascii="Times New Roman" w:hAnsi="Times New Roman" w:cs="Times New Roman"/>
          <w:color w:val="000000"/>
          <w:sz w:val="28"/>
          <w:szCs w:val="28"/>
          <w:lang w:val="uk-UA"/>
        </w:rPr>
        <w:t>функцією серця та нирок здавна привертають увагу лікарів</w:t>
      </w:r>
      <w:r w:rsidRPr="00C5473D">
        <w:rPr>
          <w:rFonts w:ascii="Times New Roman" w:hAnsi="Times New Roman" w:cs="Times New Roman"/>
          <w:color w:val="000000"/>
          <w:sz w:val="28"/>
          <w:szCs w:val="28"/>
          <w:lang w:val="uk-UA"/>
        </w:rPr>
        <w:t xml:space="preserve">. </w:t>
      </w:r>
      <w:r w:rsidR="009F72B9">
        <w:rPr>
          <w:rFonts w:ascii="Times New Roman" w:hAnsi="Times New Roman" w:cs="Times New Roman"/>
          <w:color w:val="000000"/>
          <w:sz w:val="28"/>
          <w:szCs w:val="28"/>
          <w:lang w:val="uk-UA"/>
        </w:rPr>
        <w:t xml:space="preserve">Наявність </w:t>
      </w:r>
      <w:r w:rsidR="000F0C1A">
        <w:rPr>
          <w:rFonts w:ascii="Times New Roman" w:hAnsi="Times New Roman" w:cs="Times New Roman"/>
          <w:color w:val="000000"/>
          <w:sz w:val="28"/>
          <w:szCs w:val="28"/>
          <w:lang w:val="uk-UA"/>
        </w:rPr>
        <w:t xml:space="preserve">коморбідних захворювань </w:t>
      </w:r>
      <w:r w:rsidR="009F72B9">
        <w:rPr>
          <w:rFonts w:ascii="Times New Roman" w:hAnsi="Times New Roman" w:cs="Times New Roman"/>
          <w:color w:val="000000"/>
          <w:sz w:val="28"/>
          <w:szCs w:val="28"/>
          <w:lang w:val="uk-UA"/>
        </w:rPr>
        <w:t xml:space="preserve">є </w:t>
      </w:r>
      <w:r>
        <w:rPr>
          <w:rFonts w:ascii="Times New Roman" w:hAnsi="Times New Roman" w:cs="Times New Roman"/>
          <w:color w:val="000000"/>
          <w:sz w:val="28"/>
          <w:szCs w:val="28"/>
          <w:lang w:val="uk-UA"/>
        </w:rPr>
        <w:t>характерною для сучасного лі</w:t>
      </w:r>
      <w:r w:rsidR="00E87331">
        <w:rPr>
          <w:rFonts w:ascii="Times New Roman" w:hAnsi="Times New Roman" w:cs="Times New Roman"/>
          <w:color w:val="000000"/>
          <w:sz w:val="28"/>
          <w:szCs w:val="28"/>
          <w:lang w:val="uk-UA"/>
        </w:rPr>
        <w:t xml:space="preserve">кувально-діагностичного процесу </w:t>
      </w:r>
      <w:r w:rsidRPr="00E91966">
        <w:rPr>
          <w:rFonts w:ascii="Times New Roman" w:hAnsi="Times New Roman" w:cs="Times New Roman"/>
          <w:color w:val="000000"/>
          <w:sz w:val="28"/>
          <w:szCs w:val="28"/>
        </w:rPr>
        <w:t>[</w:t>
      </w:r>
      <w:r w:rsidR="005C5DB7">
        <w:rPr>
          <w:rFonts w:ascii="Times New Roman" w:hAnsi="Times New Roman" w:cs="Times New Roman"/>
          <w:color w:val="000000"/>
          <w:sz w:val="28"/>
          <w:szCs w:val="28"/>
        </w:rPr>
        <w:t>16</w:t>
      </w:r>
      <w:r w:rsidR="005C5DB7">
        <w:rPr>
          <w:rFonts w:ascii="Times New Roman" w:hAnsi="Times New Roman" w:cs="Times New Roman"/>
          <w:color w:val="000000"/>
          <w:sz w:val="28"/>
          <w:szCs w:val="28"/>
          <w:lang w:val="uk-UA"/>
        </w:rPr>
        <w:t>3</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w:t>
      </w:r>
      <w:r w:rsidR="00BD0020">
        <w:rPr>
          <w:rFonts w:ascii="Times New Roman" w:hAnsi="Times New Roman" w:cs="Times New Roman"/>
          <w:color w:val="000000"/>
          <w:sz w:val="28"/>
          <w:szCs w:val="28"/>
          <w:lang w:val="uk-UA"/>
        </w:rPr>
        <w:t xml:space="preserve"> Взаємозвʼязок між серцем та нирками здійснюється на багатьох рівнях, включаючи РААС,</w:t>
      </w:r>
      <w:r w:rsidR="00BD0020" w:rsidRPr="00BD0020">
        <w:rPr>
          <w:rFonts w:ascii="Times New Roman" w:hAnsi="Times New Roman" w:cs="Times New Roman"/>
          <w:color w:val="000000"/>
          <w:sz w:val="28"/>
          <w:szCs w:val="28"/>
          <w:lang w:val="uk-UA"/>
        </w:rPr>
        <w:t xml:space="preserve"> </w:t>
      </w:r>
      <w:r w:rsidR="00BD0020">
        <w:rPr>
          <w:rFonts w:ascii="Times New Roman" w:hAnsi="Times New Roman" w:cs="Times New Roman"/>
          <w:color w:val="000000"/>
          <w:sz w:val="28"/>
          <w:szCs w:val="28"/>
          <w:lang w:val="uk-UA"/>
        </w:rPr>
        <w:t>с</w:t>
      </w:r>
      <w:r w:rsidR="008F6C7D">
        <w:rPr>
          <w:rFonts w:ascii="Times New Roman" w:hAnsi="Times New Roman" w:cs="Times New Roman"/>
          <w:color w:val="000000"/>
          <w:sz w:val="28"/>
          <w:szCs w:val="28"/>
          <w:lang w:val="uk-UA"/>
        </w:rPr>
        <w:t>импатичну нервову систему, ендотелій судин</w:t>
      </w:r>
      <w:r w:rsidR="00BD0020" w:rsidRPr="000F5E9A">
        <w:rPr>
          <w:rFonts w:ascii="Times New Roman" w:hAnsi="Times New Roman" w:cs="Times New Roman"/>
          <w:color w:val="000000"/>
          <w:sz w:val="28"/>
          <w:szCs w:val="28"/>
          <w:lang w:val="uk-UA"/>
        </w:rPr>
        <w:t>.</w:t>
      </w:r>
      <w:r w:rsidR="008B7D5C">
        <w:rPr>
          <w:rFonts w:ascii="Times New Roman" w:hAnsi="Times New Roman" w:cs="Times New Roman"/>
          <w:color w:val="000000"/>
          <w:sz w:val="28"/>
          <w:szCs w:val="28"/>
          <w:lang w:val="uk-UA"/>
        </w:rPr>
        <w:t xml:space="preserve"> </w:t>
      </w:r>
      <w:r w:rsidR="006B06C2">
        <w:rPr>
          <w:rFonts w:ascii="Times New Roman" w:hAnsi="Times New Roman" w:cs="Times New Roman"/>
          <w:color w:val="000000"/>
          <w:sz w:val="28"/>
          <w:szCs w:val="28"/>
          <w:lang w:val="uk-UA"/>
        </w:rPr>
        <w:t>Р</w:t>
      </w:r>
      <w:r w:rsidR="008F6C7D">
        <w:rPr>
          <w:rFonts w:ascii="Times New Roman" w:hAnsi="Times New Roman" w:cs="Times New Roman"/>
          <w:color w:val="000000"/>
          <w:sz w:val="28"/>
          <w:szCs w:val="28"/>
          <w:lang w:val="uk-UA"/>
        </w:rPr>
        <w:t xml:space="preserve">озвиток нефросклерозу значно прискорюється </w:t>
      </w:r>
      <w:r w:rsidR="006B06C2">
        <w:rPr>
          <w:rFonts w:ascii="Times New Roman" w:hAnsi="Times New Roman" w:cs="Times New Roman"/>
          <w:color w:val="000000"/>
          <w:sz w:val="28"/>
          <w:szCs w:val="28"/>
          <w:lang w:val="uk-UA"/>
        </w:rPr>
        <w:t xml:space="preserve">у пацієнтів із АГ </w:t>
      </w:r>
      <w:r w:rsidR="008F6C7D">
        <w:rPr>
          <w:rFonts w:ascii="Times New Roman" w:hAnsi="Times New Roman" w:cs="Times New Roman"/>
          <w:color w:val="000000"/>
          <w:sz w:val="28"/>
          <w:szCs w:val="28"/>
          <w:lang w:val="uk-UA"/>
        </w:rPr>
        <w:t xml:space="preserve">за наявності метаболічних порушень – гіперурикемії, гіперглікемії, дисліпідемії. </w:t>
      </w:r>
      <w:r w:rsidR="005508A0">
        <w:rPr>
          <w:rFonts w:ascii="Times New Roman" w:hAnsi="Times New Roman" w:cs="Times New Roman"/>
          <w:color w:val="000000"/>
          <w:sz w:val="28"/>
          <w:szCs w:val="28"/>
          <w:lang w:val="uk-UA"/>
        </w:rPr>
        <w:t>Артеріальна гіпертензія</w:t>
      </w:r>
      <w:r w:rsidR="006B06C2">
        <w:rPr>
          <w:rFonts w:ascii="Times New Roman" w:hAnsi="Times New Roman" w:cs="Times New Roman"/>
          <w:color w:val="000000"/>
          <w:sz w:val="28"/>
          <w:szCs w:val="28"/>
          <w:lang w:val="uk-UA"/>
        </w:rPr>
        <w:t xml:space="preserve"> і </w:t>
      </w:r>
      <w:r w:rsidR="005508A0">
        <w:rPr>
          <w:rFonts w:ascii="Times New Roman" w:hAnsi="Times New Roman" w:cs="Times New Roman"/>
          <w:color w:val="000000"/>
          <w:sz w:val="28"/>
          <w:szCs w:val="28"/>
          <w:lang w:val="uk-UA"/>
        </w:rPr>
        <w:t xml:space="preserve">            </w:t>
      </w:r>
      <w:r w:rsidR="006B06C2">
        <w:rPr>
          <w:rFonts w:ascii="Times New Roman" w:hAnsi="Times New Roman" w:cs="Times New Roman"/>
          <w:color w:val="000000"/>
          <w:sz w:val="28"/>
          <w:szCs w:val="28"/>
          <w:lang w:val="uk-UA"/>
        </w:rPr>
        <w:t>ЦД 2-го типу</w:t>
      </w:r>
      <w:r w:rsidR="008B7D5C">
        <w:rPr>
          <w:rFonts w:ascii="Times New Roman" w:hAnsi="Times New Roman" w:cs="Times New Roman"/>
          <w:color w:val="000000"/>
          <w:sz w:val="28"/>
          <w:szCs w:val="28"/>
          <w:lang w:val="uk-UA"/>
        </w:rPr>
        <w:t xml:space="preserve"> є</w:t>
      </w:r>
      <w:r w:rsidR="00685447">
        <w:rPr>
          <w:rFonts w:ascii="Times New Roman" w:hAnsi="Times New Roman" w:cs="Times New Roman"/>
          <w:color w:val="000000"/>
          <w:sz w:val="28"/>
          <w:szCs w:val="28"/>
          <w:lang w:val="uk-UA"/>
        </w:rPr>
        <w:t xml:space="preserve"> основн</w:t>
      </w:r>
      <w:r w:rsidR="00EF488D">
        <w:rPr>
          <w:rFonts w:ascii="Times New Roman" w:hAnsi="Times New Roman" w:cs="Times New Roman"/>
          <w:color w:val="000000"/>
          <w:sz w:val="28"/>
          <w:szCs w:val="28"/>
          <w:lang w:val="uk-UA"/>
        </w:rPr>
        <w:t>ими</w:t>
      </w:r>
      <w:r w:rsidR="00685447">
        <w:rPr>
          <w:rFonts w:ascii="Times New Roman" w:hAnsi="Times New Roman" w:cs="Times New Roman"/>
          <w:color w:val="000000"/>
          <w:sz w:val="28"/>
          <w:szCs w:val="28"/>
          <w:lang w:val="uk-UA"/>
        </w:rPr>
        <w:t xml:space="preserve"> </w:t>
      </w:r>
      <w:r w:rsidR="00685447" w:rsidRPr="00EF488D">
        <w:rPr>
          <w:rFonts w:ascii="Times New Roman" w:hAnsi="Times New Roman" w:cs="Times New Roman"/>
          <w:color w:val="000000"/>
          <w:sz w:val="28"/>
          <w:szCs w:val="28"/>
          <w:lang w:val="uk-UA"/>
        </w:rPr>
        <w:t>причин</w:t>
      </w:r>
      <w:r w:rsidR="00EF488D" w:rsidRPr="00EF488D">
        <w:rPr>
          <w:rFonts w:ascii="Times New Roman" w:hAnsi="Times New Roman" w:cs="Times New Roman"/>
          <w:color w:val="000000"/>
          <w:sz w:val="28"/>
          <w:szCs w:val="28"/>
          <w:lang w:val="uk-UA"/>
        </w:rPr>
        <w:t>ами</w:t>
      </w:r>
      <w:r w:rsidR="00685447">
        <w:rPr>
          <w:rFonts w:ascii="Times New Roman" w:hAnsi="Times New Roman" w:cs="Times New Roman"/>
          <w:color w:val="000000"/>
          <w:sz w:val="28"/>
          <w:szCs w:val="28"/>
          <w:lang w:val="uk-UA"/>
        </w:rPr>
        <w:t xml:space="preserve"> ураження нирок за останні роки</w:t>
      </w:r>
      <w:r w:rsidR="006B06C2">
        <w:rPr>
          <w:rFonts w:ascii="Times New Roman" w:hAnsi="Times New Roman" w:cs="Times New Roman"/>
          <w:color w:val="000000"/>
          <w:sz w:val="28"/>
          <w:szCs w:val="28"/>
          <w:lang w:val="uk-UA"/>
        </w:rPr>
        <w:t>. А</w:t>
      </w:r>
      <w:r w:rsidR="002B0043">
        <w:rPr>
          <w:rFonts w:ascii="Times New Roman" w:hAnsi="Times New Roman" w:cs="Times New Roman"/>
          <w:color w:val="000000"/>
          <w:sz w:val="28"/>
          <w:szCs w:val="28"/>
          <w:lang w:val="uk-UA"/>
        </w:rPr>
        <w:t>теросклероз, ХСН, ожиріння</w:t>
      </w:r>
      <w:r w:rsidR="006B06C2">
        <w:rPr>
          <w:rFonts w:ascii="Times New Roman" w:hAnsi="Times New Roman" w:cs="Times New Roman"/>
          <w:color w:val="000000"/>
          <w:sz w:val="28"/>
          <w:szCs w:val="28"/>
          <w:lang w:val="uk-UA"/>
        </w:rPr>
        <w:t xml:space="preserve"> відіграють важливе значення у розвитку нефропатії</w:t>
      </w:r>
      <w:r w:rsidR="00685447">
        <w:rPr>
          <w:rFonts w:ascii="Times New Roman" w:hAnsi="Times New Roman" w:cs="Times New Roman"/>
          <w:color w:val="000000"/>
          <w:sz w:val="28"/>
          <w:szCs w:val="28"/>
          <w:lang w:val="uk-UA"/>
        </w:rPr>
        <w:t xml:space="preserve"> </w:t>
      </w:r>
      <w:r w:rsidR="00685447" w:rsidRPr="00685447">
        <w:rPr>
          <w:rFonts w:ascii="Times New Roman" w:hAnsi="Times New Roman" w:cs="Times New Roman"/>
          <w:color w:val="000000"/>
          <w:sz w:val="28"/>
          <w:szCs w:val="28"/>
          <w:lang w:val="uk-UA"/>
        </w:rPr>
        <w:t>[</w:t>
      </w:r>
      <w:r w:rsidR="005C5DB7">
        <w:rPr>
          <w:rFonts w:ascii="Times New Roman" w:hAnsi="Times New Roman" w:cs="Times New Roman"/>
          <w:color w:val="000000"/>
          <w:sz w:val="28"/>
          <w:szCs w:val="28"/>
          <w:lang w:val="uk-UA"/>
        </w:rPr>
        <w:t>164</w:t>
      </w:r>
      <w:r w:rsidR="00685447" w:rsidRPr="00B16D63">
        <w:rPr>
          <w:rFonts w:ascii="Times New Roman" w:hAnsi="Times New Roman" w:cs="Times New Roman"/>
          <w:color w:val="000000"/>
          <w:sz w:val="28"/>
          <w:szCs w:val="28"/>
          <w:lang w:val="uk-UA"/>
        </w:rPr>
        <w:t>].</w:t>
      </w:r>
      <w:r w:rsidR="001E714C">
        <w:rPr>
          <w:rFonts w:ascii="Times New Roman" w:hAnsi="Times New Roman" w:cs="Times New Roman"/>
          <w:color w:val="000000"/>
          <w:sz w:val="28"/>
          <w:szCs w:val="28"/>
          <w:lang w:val="uk-UA"/>
        </w:rPr>
        <w:t xml:space="preserve"> </w:t>
      </w:r>
    </w:p>
    <w:p w:rsidR="005B27DF" w:rsidRPr="00F677E4" w:rsidRDefault="00F52C3B" w:rsidP="004C4C32">
      <w:pPr>
        <w:autoSpaceDE w:val="0"/>
        <w:autoSpaceDN w:val="0"/>
        <w:adjustRightInd w:val="0"/>
        <w:spacing w:after="4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Альбумінурія</w:t>
      </w:r>
      <w:r w:rsidR="009D5BA8">
        <w:rPr>
          <w:rFonts w:ascii="Times New Roman" w:hAnsi="Times New Roman" w:cs="Times New Roman"/>
          <w:color w:val="000000"/>
          <w:sz w:val="28"/>
          <w:szCs w:val="28"/>
          <w:lang w:val="uk-UA"/>
        </w:rPr>
        <w:t xml:space="preserve"> і гіпертрофія ЛШ є незалежними</w:t>
      </w:r>
      <w:r>
        <w:rPr>
          <w:rFonts w:ascii="Times New Roman" w:hAnsi="Times New Roman" w:cs="Times New Roman"/>
          <w:color w:val="000000"/>
          <w:sz w:val="28"/>
          <w:szCs w:val="28"/>
          <w:lang w:val="uk-UA"/>
        </w:rPr>
        <w:t xml:space="preserve"> факторами ризику розвитку ССУ у пацієнтів</w:t>
      </w:r>
      <w:r w:rsidR="009D5BA8">
        <w:rPr>
          <w:rFonts w:ascii="Times New Roman" w:hAnsi="Times New Roman" w:cs="Times New Roman"/>
          <w:color w:val="000000"/>
          <w:sz w:val="28"/>
          <w:szCs w:val="28"/>
          <w:lang w:val="uk-UA"/>
        </w:rPr>
        <w:t xml:space="preserve"> із ЦД 2-го типу</w:t>
      </w:r>
      <w:r w:rsidR="009D5BA8" w:rsidRPr="009D5BA8">
        <w:rPr>
          <w:lang w:val="uk-UA"/>
        </w:rPr>
        <w:t xml:space="preserve"> </w:t>
      </w:r>
      <w:r w:rsidR="009D5BA8" w:rsidRPr="009D5BA8">
        <w:rPr>
          <w:rFonts w:ascii="Times New Roman" w:hAnsi="Times New Roman" w:cs="Times New Roman"/>
          <w:sz w:val="28"/>
          <w:szCs w:val="28"/>
          <w:lang w:val="uk-UA"/>
        </w:rPr>
        <w:t>[</w:t>
      </w:r>
      <w:r w:rsidR="005C5DB7">
        <w:rPr>
          <w:rFonts w:ascii="Times New Roman" w:hAnsi="Times New Roman" w:cs="Times New Roman"/>
          <w:sz w:val="28"/>
          <w:szCs w:val="28"/>
          <w:lang w:val="uk-UA"/>
        </w:rPr>
        <w:t>165</w:t>
      </w:r>
      <w:r w:rsidR="009D5BA8" w:rsidRPr="00B16D63">
        <w:rPr>
          <w:rFonts w:ascii="Times New Roman" w:hAnsi="Times New Roman" w:cs="Times New Roman"/>
          <w:color w:val="000000"/>
          <w:sz w:val="28"/>
          <w:szCs w:val="28"/>
          <w:lang w:val="uk-UA"/>
        </w:rPr>
        <w:t>].</w:t>
      </w:r>
      <w:r w:rsidR="009D5BA8">
        <w:rPr>
          <w:rFonts w:ascii="Times New Roman" w:hAnsi="Times New Roman" w:cs="Times New Roman"/>
          <w:color w:val="000000"/>
          <w:sz w:val="28"/>
          <w:szCs w:val="28"/>
          <w:lang w:val="uk-UA"/>
        </w:rPr>
        <w:t xml:space="preserve"> </w:t>
      </w:r>
    </w:p>
    <w:p w:rsidR="00542400" w:rsidRPr="009751C5" w:rsidRDefault="008B7D5C" w:rsidP="004C4C32">
      <w:pPr>
        <w:autoSpaceDE w:val="0"/>
        <w:autoSpaceDN w:val="0"/>
        <w:adjustRightInd w:val="0"/>
        <w:spacing w:after="4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w:t>
      </w:r>
      <w:r w:rsidR="008A4645">
        <w:rPr>
          <w:rFonts w:ascii="Times New Roman" w:hAnsi="Times New Roman" w:cs="Times New Roman"/>
          <w:color w:val="000000"/>
          <w:sz w:val="28"/>
          <w:szCs w:val="28"/>
          <w:lang w:val="uk-UA"/>
        </w:rPr>
        <w:t xml:space="preserve">становлено </w:t>
      </w:r>
      <w:r w:rsidR="00F52C3B">
        <w:rPr>
          <w:rFonts w:ascii="Times New Roman" w:hAnsi="Times New Roman" w:cs="Times New Roman"/>
          <w:color w:val="000000"/>
          <w:sz w:val="28"/>
          <w:szCs w:val="28"/>
          <w:lang w:val="uk-UA"/>
        </w:rPr>
        <w:t>недостовірну</w:t>
      </w:r>
      <w:r w:rsidR="00F52C3B" w:rsidRPr="00F52C3B">
        <w:rPr>
          <w:rFonts w:ascii="Times New Roman" w:hAnsi="Times New Roman" w:cs="Times New Roman"/>
          <w:color w:val="000000"/>
          <w:sz w:val="28"/>
          <w:szCs w:val="28"/>
          <w:lang w:val="uk-UA"/>
        </w:rPr>
        <w:t xml:space="preserve"> </w:t>
      </w:r>
      <w:r w:rsidR="008A4645">
        <w:rPr>
          <w:rFonts w:ascii="Times New Roman" w:hAnsi="Times New Roman" w:cs="Times New Roman"/>
          <w:color w:val="000000"/>
          <w:sz w:val="28"/>
          <w:szCs w:val="28"/>
          <w:lang w:val="uk-UA"/>
        </w:rPr>
        <w:t>позит</w:t>
      </w:r>
      <w:r w:rsidR="00A35BD0">
        <w:rPr>
          <w:rFonts w:ascii="Times New Roman" w:hAnsi="Times New Roman" w:cs="Times New Roman"/>
          <w:color w:val="000000"/>
          <w:sz w:val="28"/>
          <w:szCs w:val="28"/>
          <w:lang w:val="uk-UA"/>
        </w:rPr>
        <w:t xml:space="preserve">ивну залежність </w:t>
      </w:r>
      <w:r w:rsidR="008A4645">
        <w:rPr>
          <w:rFonts w:ascii="Times New Roman" w:hAnsi="Times New Roman" w:cs="Times New Roman"/>
          <w:color w:val="000000"/>
          <w:sz w:val="28"/>
          <w:szCs w:val="28"/>
          <w:lang w:val="uk-UA"/>
        </w:rPr>
        <w:t xml:space="preserve">між ІММЛШ та співвідношенням альбуміну до креатиніну в сечі </w:t>
      </w:r>
      <w:r w:rsidR="008A4645" w:rsidRPr="009751C5">
        <w:rPr>
          <w:rFonts w:ascii="Times New Roman" w:hAnsi="Times New Roman" w:cs="Times New Roman"/>
          <w:color w:val="000000"/>
          <w:sz w:val="28"/>
          <w:szCs w:val="28"/>
          <w:lang w:val="uk-UA"/>
        </w:rPr>
        <w:t>(</w:t>
      </w:r>
      <w:r w:rsidR="008A4645">
        <w:rPr>
          <w:rFonts w:ascii="Times New Roman" w:hAnsi="Times New Roman" w:cs="Times New Roman"/>
          <w:color w:val="000000"/>
          <w:sz w:val="28"/>
          <w:szCs w:val="28"/>
          <w:lang w:val="en-US"/>
        </w:rPr>
        <w:t>r</w:t>
      </w:r>
      <w:r w:rsidR="004C4C32" w:rsidRPr="009751C5">
        <w:rPr>
          <w:rFonts w:ascii="Times New Roman" w:hAnsi="Times New Roman" w:cs="Times New Roman"/>
          <w:color w:val="000000"/>
          <w:sz w:val="28"/>
          <w:szCs w:val="28"/>
          <w:lang w:val="uk-UA"/>
        </w:rPr>
        <w:t xml:space="preserve"> = 0,15; р = 0,1425</w:t>
      </w:r>
      <w:r w:rsidR="008A4645" w:rsidRPr="009751C5">
        <w:rPr>
          <w:rFonts w:ascii="Times New Roman" w:hAnsi="Times New Roman" w:cs="Times New Roman"/>
          <w:color w:val="000000"/>
          <w:sz w:val="28"/>
          <w:szCs w:val="28"/>
          <w:lang w:val="uk-UA"/>
        </w:rPr>
        <w:t>)</w:t>
      </w:r>
      <w:r w:rsidR="004C4C32" w:rsidRPr="009751C5">
        <w:rPr>
          <w:rFonts w:ascii="Times New Roman" w:hAnsi="Times New Roman" w:cs="Times New Roman"/>
          <w:color w:val="000000"/>
          <w:sz w:val="28"/>
          <w:szCs w:val="28"/>
          <w:lang w:val="uk-UA"/>
        </w:rPr>
        <w:t xml:space="preserve">. </w:t>
      </w:r>
    </w:p>
    <w:p w:rsidR="008A4645" w:rsidRPr="009D5BA8" w:rsidRDefault="003A4625" w:rsidP="003A4625">
      <w:pPr>
        <w:autoSpaceDE w:val="0"/>
        <w:autoSpaceDN w:val="0"/>
        <w:adjustRightInd w:val="0"/>
        <w:spacing w:after="4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Із збільшенням ІММЛШ достовірно зменшувалась ШКФ</w:t>
      </w:r>
      <w:r w:rsidR="00A35BD0">
        <w:rPr>
          <w:rFonts w:ascii="Times New Roman" w:hAnsi="Times New Roman" w:cs="Times New Roman"/>
          <w:color w:val="000000"/>
          <w:sz w:val="28"/>
          <w:szCs w:val="28"/>
          <w:lang w:val="uk-UA"/>
        </w:rPr>
        <w:t xml:space="preserve"> </w:t>
      </w:r>
      <w:r w:rsidR="008A4645" w:rsidRPr="000B3861">
        <w:rPr>
          <w:rFonts w:ascii="Times New Roman" w:hAnsi="Times New Roman" w:cs="Times New Roman"/>
          <w:color w:val="000000"/>
          <w:sz w:val="28"/>
          <w:szCs w:val="28"/>
          <w:lang w:val="uk-UA"/>
        </w:rPr>
        <w:t>(</w:t>
      </w:r>
      <w:r w:rsidR="008A4645">
        <w:rPr>
          <w:rFonts w:ascii="Times New Roman" w:hAnsi="Times New Roman" w:cs="Times New Roman"/>
          <w:color w:val="000000"/>
          <w:sz w:val="28"/>
          <w:szCs w:val="28"/>
          <w:lang w:val="en-US"/>
        </w:rPr>
        <w:t>r</w:t>
      </w:r>
      <w:r w:rsidR="008B7D5C">
        <w:rPr>
          <w:rFonts w:ascii="Times New Roman" w:hAnsi="Times New Roman" w:cs="Times New Roman"/>
          <w:color w:val="000000"/>
          <w:sz w:val="28"/>
          <w:szCs w:val="28"/>
          <w:lang w:val="uk-UA"/>
        </w:rPr>
        <w:t xml:space="preserve"> = −</w:t>
      </w:r>
      <w:r w:rsidR="00B16D63">
        <w:rPr>
          <w:rFonts w:ascii="Times New Roman" w:hAnsi="Times New Roman" w:cs="Times New Roman"/>
          <w:color w:val="000000"/>
          <w:sz w:val="28"/>
          <w:szCs w:val="28"/>
          <w:lang w:val="uk-UA"/>
        </w:rPr>
        <w:t xml:space="preserve"> </w:t>
      </w:r>
      <w:r w:rsidR="00976E54">
        <w:rPr>
          <w:rFonts w:ascii="Times New Roman" w:hAnsi="Times New Roman" w:cs="Times New Roman"/>
          <w:color w:val="000000"/>
          <w:sz w:val="28"/>
          <w:szCs w:val="28"/>
          <w:lang w:val="uk-UA"/>
        </w:rPr>
        <w:t xml:space="preserve">0,39; </w:t>
      </w:r>
      <w:r>
        <w:rPr>
          <w:rFonts w:ascii="Times New Roman" w:hAnsi="Times New Roman" w:cs="Times New Roman"/>
          <w:color w:val="000000"/>
          <w:sz w:val="28"/>
          <w:szCs w:val="28"/>
          <w:lang w:val="uk-UA"/>
        </w:rPr>
        <w:t xml:space="preserve">    </w:t>
      </w:r>
      <w:r w:rsidR="00976E54">
        <w:rPr>
          <w:rFonts w:ascii="Times New Roman" w:hAnsi="Times New Roman" w:cs="Times New Roman"/>
          <w:color w:val="000000"/>
          <w:sz w:val="28"/>
          <w:szCs w:val="28"/>
          <w:lang w:val="uk-UA"/>
        </w:rPr>
        <w:t xml:space="preserve">р &lt; 0,0001) </w:t>
      </w:r>
      <w:r w:rsidR="00F52C3B">
        <w:rPr>
          <w:rFonts w:ascii="Times New Roman" w:hAnsi="Times New Roman" w:cs="Times New Roman"/>
          <w:color w:val="000000"/>
          <w:sz w:val="28"/>
          <w:szCs w:val="28"/>
          <w:lang w:val="uk-UA"/>
        </w:rPr>
        <w:t xml:space="preserve">у пацієнтів із АГ та супутнім ЦД 2-го типу </w:t>
      </w:r>
      <w:r w:rsidR="00976E54">
        <w:rPr>
          <w:rFonts w:ascii="Times New Roman" w:hAnsi="Times New Roman" w:cs="Times New Roman"/>
          <w:color w:val="000000"/>
          <w:sz w:val="28"/>
          <w:szCs w:val="28"/>
          <w:lang w:val="uk-UA"/>
        </w:rPr>
        <w:t>(рис. 5.2.1</w:t>
      </w:r>
      <w:r w:rsidR="008A4645" w:rsidRPr="000B3861">
        <w:rPr>
          <w:rFonts w:ascii="Times New Roman" w:hAnsi="Times New Roman" w:cs="Times New Roman"/>
          <w:color w:val="000000"/>
          <w:sz w:val="28"/>
          <w:szCs w:val="28"/>
          <w:lang w:val="uk-UA"/>
        </w:rPr>
        <w:t>).</w:t>
      </w:r>
    </w:p>
    <w:p w:rsidR="00EE2769" w:rsidRPr="00EE2769" w:rsidRDefault="00EE2769" w:rsidP="00260595">
      <w:pPr>
        <w:autoSpaceDE w:val="0"/>
        <w:autoSpaceDN w:val="0"/>
        <w:adjustRightInd w:val="0"/>
        <w:spacing w:after="40"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lastRenderedPageBreak/>
        <w:drawing>
          <wp:inline distT="0" distB="0" distL="0" distR="0" wp14:anchorId="45FDB498" wp14:editId="31060C54">
            <wp:extent cx="5901070" cy="3232298"/>
            <wp:effectExtent l="0" t="0" r="23495" b="2540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5BA8" w:rsidRPr="0041341A" w:rsidRDefault="005670C3" w:rsidP="0041341A">
      <w:pPr>
        <w:autoSpaceDE w:val="0"/>
        <w:autoSpaceDN w:val="0"/>
        <w:adjustRightInd w:val="0"/>
        <w:spacing w:after="4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976E54">
        <w:rPr>
          <w:rFonts w:ascii="Times New Roman" w:hAnsi="Times New Roman" w:cs="Times New Roman"/>
          <w:sz w:val="28"/>
          <w:szCs w:val="28"/>
          <w:lang w:val="uk-UA"/>
        </w:rPr>
        <w:t xml:space="preserve"> 5.2.1</w:t>
      </w:r>
      <w:r w:rsidR="009B0817">
        <w:rPr>
          <w:rFonts w:ascii="Times New Roman" w:hAnsi="Times New Roman" w:cs="Times New Roman"/>
          <w:sz w:val="28"/>
          <w:szCs w:val="28"/>
          <w:lang w:val="uk-UA"/>
        </w:rPr>
        <w:t xml:space="preserve"> –</w:t>
      </w:r>
      <w:r w:rsidR="00A35BD0">
        <w:rPr>
          <w:rFonts w:ascii="Times New Roman" w:hAnsi="Times New Roman" w:cs="Times New Roman"/>
          <w:sz w:val="28"/>
          <w:szCs w:val="28"/>
          <w:lang w:val="uk-UA"/>
        </w:rPr>
        <w:t xml:space="preserve"> З</w:t>
      </w:r>
      <w:r w:rsidR="009B0817">
        <w:rPr>
          <w:rFonts w:ascii="Times New Roman" w:hAnsi="Times New Roman" w:cs="Times New Roman"/>
          <w:sz w:val="28"/>
          <w:szCs w:val="28"/>
          <w:lang w:val="uk-UA"/>
        </w:rPr>
        <w:t xml:space="preserve">алежність між швидкістю </w:t>
      </w:r>
      <w:r>
        <w:rPr>
          <w:rFonts w:ascii="Times New Roman" w:hAnsi="Times New Roman" w:cs="Times New Roman"/>
          <w:sz w:val="28"/>
          <w:szCs w:val="28"/>
          <w:lang w:val="uk-UA"/>
        </w:rPr>
        <w:t xml:space="preserve">клубочкової фільтрації та </w:t>
      </w:r>
      <w:r w:rsidR="009B0817">
        <w:rPr>
          <w:rFonts w:ascii="Times New Roman" w:hAnsi="Times New Roman" w:cs="Times New Roman"/>
          <w:sz w:val="28"/>
          <w:szCs w:val="28"/>
          <w:lang w:val="uk-UA"/>
        </w:rPr>
        <w:t>індексом</w:t>
      </w:r>
      <w:r w:rsidR="008B7D5C">
        <w:rPr>
          <w:rFonts w:ascii="Times New Roman" w:hAnsi="Times New Roman" w:cs="Times New Roman"/>
          <w:sz w:val="28"/>
          <w:szCs w:val="28"/>
          <w:lang w:val="uk-UA"/>
        </w:rPr>
        <w:t xml:space="preserve"> маси міокарда лівого шлуночка </w:t>
      </w:r>
      <w:r>
        <w:rPr>
          <w:rFonts w:ascii="Times New Roman" w:hAnsi="Times New Roman" w:cs="Times New Roman"/>
          <w:sz w:val="28"/>
          <w:szCs w:val="28"/>
          <w:lang w:val="uk-UA"/>
        </w:rPr>
        <w:t>у пацієнтів І групи.</w:t>
      </w:r>
    </w:p>
    <w:p w:rsidR="005B27DF" w:rsidRPr="00F677E4" w:rsidRDefault="005B27DF" w:rsidP="00023195">
      <w:pPr>
        <w:autoSpaceDE w:val="0"/>
        <w:autoSpaceDN w:val="0"/>
        <w:adjustRightInd w:val="0"/>
        <w:spacing w:after="40" w:line="360" w:lineRule="auto"/>
        <w:ind w:firstLine="708"/>
        <w:jc w:val="both"/>
        <w:rPr>
          <w:rFonts w:ascii="Times New Roman" w:hAnsi="Times New Roman" w:cs="Times New Roman"/>
          <w:color w:val="000000"/>
          <w:sz w:val="28"/>
          <w:szCs w:val="28"/>
        </w:rPr>
      </w:pPr>
    </w:p>
    <w:p w:rsidR="00B21A8C" w:rsidRPr="009D5BA8" w:rsidRDefault="009D5BA8" w:rsidP="00023195">
      <w:pPr>
        <w:autoSpaceDE w:val="0"/>
        <w:autoSpaceDN w:val="0"/>
        <w:adjustRightInd w:val="0"/>
        <w:spacing w:after="40" w:line="360" w:lineRule="auto"/>
        <w:ind w:firstLine="708"/>
        <w:jc w:val="both"/>
        <w:rPr>
          <w:rFonts w:ascii="Times New Roman" w:hAnsi="Times New Roman" w:cs="Times New Roman"/>
          <w:color w:val="000000"/>
          <w:sz w:val="28"/>
          <w:szCs w:val="28"/>
          <w:lang w:val="uk-UA"/>
        </w:rPr>
      </w:pPr>
      <w:r w:rsidRPr="009D5BA8">
        <w:rPr>
          <w:rFonts w:ascii="Times New Roman" w:hAnsi="Times New Roman" w:cs="Times New Roman"/>
          <w:color w:val="000000"/>
          <w:sz w:val="28"/>
          <w:szCs w:val="28"/>
          <w:lang w:val="uk-UA"/>
        </w:rPr>
        <w:t>Наведен</w:t>
      </w:r>
      <w:r>
        <w:rPr>
          <w:rFonts w:ascii="Times New Roman" w:hAnsi="Times New Roman" w:cs="Times New Roman"/>
          <w:color w:val="000000"/>
          <w:sz w:val="28"/>
          <w:szCs w:val="28"/>
          <w:lang w:val="uk-UA"/>
        </w:rPr>
        <w:t>і</w:t>
      </w:r>
      <w:r w:rsidRPr="009D5BA8">
        <w:rPr>
          <w:rFonts w:ascii="Times New Roman" w:hAnsi="Times New Roman" w:cs="Times New Roman"/>
          <w:color w:val="000000"/>
          <w:sz w:val="28"/>
          <w:szCs w:val="28"/>
          <w:lang w:val="uk-UA"/>
        </w:rPr>
        <w:t xml:space="preserve"> дан</w:t>
      </w:r>
      <w:r>
        <w:rPr>
          <w:rFonts w:ascii="Times New Roman" w:hAnsi="Times New Roman" w:cs="Times New Roman"/>
          <w:color w:val="000000"/>
          <w:sz w:val="28"/>
          <w:szCs w:val="28"/>
          <w:lang w:val="uk-UA"/>
        </w:rPr>
        <w:t xml:space="preserve">і свідчать про те, що </w:t>
      </w:r>
      <w:r w:rsidR="00F52C3B" w:rsidRPr="00F52C3B">
        <w:rPr>
          <w:rFonts w:ascii="Times New Roman" w:hAnsi="Times New Roman" w:cs="Times New Roman"/>
          <w:color w:val="000000"/>
          <w:sz w:val="28"/>
          <w:szCs w:val="28"/>
          <w:lang w:val="uk-UA"/>
        </w:rPr>
        <w:t>ІММЛШ, а отже, і гіпертрофія ЛШ</w:t>
      </w:r>
      <w:r w:rsidR="00F52C3B">
        <w:rPr>
          <w:rFonts w:ascii="Times New Roman" w:hAnsi="Times New Roman" w:cs="Times New Roman"/>
          <w:color w:val="000000"/>
          <w:sz w:val="28"/>
          <w:szCs w:val="28"/>
          <w:lang w:val="uk-UA"/>
        </w:rPr>
        <w:t>,</w:t>
      </w:r>
      <w:r w:rsidR="00F52C3B" w:rsidRPr="00F52C3B">
        <w:rPr>
          <w:lang w:val="uk-UA"/>
        </w:rPr>
        <w:t xml:space="preserve"> </w:t>
      </w:r>
      <w:r w:rsidR="00F52C3B" w:rsidRPr="00F52C3B">
        <w:rPr>
          <w:rFonts w:ascii="Times New Roman" w:hAnsi="Times New Roman" w:cs="Times New Roman"/>
          <w:color w:val="000000"/>
          <w:sz w:val="28"/>
          <w:szCs w:val="28"/>
          <w:lang w:val="uk-UA"/>
        </w:rPr>
        <w:t>яка призводить до діастолічної СН</w:t>
      </w:r>
      <w:r w:rsidR="00F52C3B">
        <w:rPr>
          <w:rFonts w:ascii="Times New Roman" w:hAnsi="Times New Roman" w:cs="Times New Roman"/>
          <w:color w:val="000000"/>
          <w:sz w:val="28"/>
          <w:szCs w:val="28"/>
          <w:lang w:val="uk-UA"/>
        </w:rPr>
        <w:t>,</w:t>
      </w:r>
      <w:r w:rsidR="00F52C3B" w:rsidRPr="00F52C3B">
        <w:rPr>
          <w:rFonts w:ascii="Times New Roman" w:hAnsi="Times New Roman" w:cs="Times New Roman"/>
          <w:color w:val="000000"/>
          <w:sz w:val="28"/>
          <w:szCs w:val="28"/>
          <w:lang w:val="uk-UA"/>
        </w:rPr>
        <w:t xml:space="preserve"> </w:t>
      </w:r>
      <w:r w:rsidR="00F52C3B">
        <w:rPr>
          <w:rFonts w:ascii="Times New Roman" w:hAnsi="Times New Roman" w:cs="Times New Roman"/>
          <w:color w:val="000000"/>
          <w:sz w:val="28"/>
          <w:szCs w:val="28"/>
          <w:lang w:val="uk-UA"/>
        </w:rPr>
        <w:t>збільшую</w:t>
      </w:r>
      <w:r w:rsidR="00F52C3B" w:rsidRPr="00F52C3B">
        <w:rPr>
          <w:rFonts w:ascii="Times New Roman" w:hAnsi="Times New Roman" w:cs="Times New Roman"/>
          <w:color w:val="000000"/>
          <w:sz w:val="28"/>
          <w:szCs w:val="28"/>
          <w:lang w:val="uk-UA"/>
        </w:rPr>
        <w:t xml:space="preserve">ться </w:t>
      </w:r>
      <w:r>
        <w:rPr>
          <w:rFonts w:ascii="Times New Roman" w:hAnsi="Times New Roman" w:cs="Times New Roman"/>
          <w:color w:val="000000"/>
          <w:sz w:val="28"/>
          <w:szCs w:val="28"/>
          <w:lang w:val="uk-UA"/>
        </w:rPr>
        <w:t xml:space="preserve">у міру </w:t>
      </w:r>
      <w:r w:rsidR="005B27DF">
        <w:rPr>
          <w:rFonts w:ascii="Times New Roman" w:hAnsi="Times New Roman" w:cs="Times New Roman"/>
          <w:color w:val="000000"/>
          <w:sz w:val="28"/>
          <w:szCs w:val="28"/>
          <w:lang w:val="uk-UA"/>
        </w:rPr>
        <w:t xml:space="preserve">погіршення функції нирок </w:t>
      </w:r>
      <w:r w:rsidR="00F52C3B">
        <w:rPr>
          <w:rFonts w:ascii="Times New Roman" w:hAnsi="Times New Roman" w:cs="Times New Roman"/>
          <w:color w:val="000000"/>
          <w:sz w:val="28"/>
          <w:szCs w:val="28"/>
          <w:lang w:val="uk-UA"/>
        </w:rPr>
        <w:t>хворих на АГ та супутній ЦД 2-го типу</w:t>
      </w:r>
      <w:r>
        <w:rPr>
          <w:rFonts w:ascii="Times New Roman" w:hAnsi="Times New Roman" w:cs="Times New Roman"/>
          <w:color w:val="000000"/>
          <w:sz w:val="28"/>
          <w:szCs w:val="28"/>
          <w:lang w:val="uk-UA"/>
        </w:rPr>
        <w:t>. Важли</w:t>
      </w:r>
      <w:r w:rsidR="00A35BD0">
        <w:rPr>
          <w:rFonts w:ascii="Times New Roman" w:hAnsi="Times New Roman" w:cs="Times New Roman"/>
          <w:color w:val="000000"/>
          <w:sz w:val="28"/>
          <w:szCs w:val="28"/>
          <w:lang w:val="uk-UA"/>
        </w:rPr>
        <w:t xml:space="preserve">вим етапом лікування пацієнтів </w:t>
      </w:r>
      <w:r w:rsidR="00F52C3B">
        <w:rPr>
          <w:rFonts w:ascii="Times New Roman" w:hAnsi="Times New Roman" w:cs="Times New Roman"/>
          <w:color w:val="000000"/>
          <w:sz w:val="28"/>
          <w:szCs w:val="28"/>
          <w:lang w:val="uk-UA"/>
        </w:rPr>
        <w:t>із зазначеною коморбідною патологією</w:t>
      </w:r>
      <w:r w:rsidR="00A35BD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є застосування антигіпертензивних препаратів із нефро- та кардіопротекторною дією.</w:t>
      </w:r>
    </w:p>
    <w:p w:rsidR="007C172C" w:rsidRDefault="00E908A8" w:rsidP="0026229A">
      <w:pPr>
        <w:autoSpaceDE w:val="0"/>
        <w:autoSpaceDN w:val="0"/>
        <w:adjustRightInd w:val="0"/>
        <w:spacing w:after="0" w:line="360" w:lineRule="auto"/>
        <w:ind w:firstLine="708"/>
        <w:jc w:val="both"/>
        <w:rPr>
          <w:rFonts w:ascii="Times New Roman" w:hAnsi="Times New Roman" w:cs="Times New Roman"/>
          <w:sz w:val="28"/>
          <w:szCs w:val="28"/>
          <w:lang w:val="uk-UA"/>
        </w:rPr>
      </w:pPr>
      <w:r w:rsidRPr="00E908A8">
        <w:rPr>
          <w:rFonts w:ascii="Times New Roman" w:hAnsi="Times New Roman" w:cs="Times New Roman"/>
          <w:sz w:val="28"/>
          <w:szCs w:val="28"/>
          <w:lang w:val="uk-UA"/>
        </w:rPr>
        <w:t>Ожир</w:t>
      </w:r>
      <w:r>
        <w:rPr>
          <w:rFonts w:ascii="Times New Roman" w:hAnsi="Times New Roman" w:cs="Times New Roman"/>
          <w:sz w:val="28"/>
          <w:szCs w:val="28"/>
          <w:lang w:val="uk-UA"/>
        </w:rPr>
        <w:t>іння є однією із спільних ланок у патогенез</w:t>
      </w:r>
      <w:r w:rsidR="008B7D5C">
        <w:rPr>
          <w:rFonts w:ascii="Times New Roman" w:hAnsi="Times New Roman" w:cs="Times New Roman"/>
          <w:sz w:val="28"/>
          <w:szCs w:val="28"/>
          <w:lang w:val="uk-UA"/>
        </w:rPr>
        <w:t>і захво</w:t>
      </w:r>
      <w:r w:rsidR="00F52C3B">
        <w:rPr>
          <w:rFonts w:ascii="Times New Roman" w:hAnsi="Times New Roman" w:cs="Times New Roman"/>
          <w:sz w:val="28"/>
          <w:szCs w:val="28"/>
          <w:lang w:val="uk-UA"/>
        </w:rPr>
        <w:t>рювань нирок та серця.  У пацієнтів</w:t>
      </w:r>
      <w:r w:rsidR="00A35BD0">
        <w:rPr>
          <w:rFonts w:ascii="Times New Roman" w:hAnsi="Times New Roman" w:cs="Times New Roman"/>
          <w:sz w:val="28"/>
          <w:szCs w:val="28"/>
          <w:lang w:val="uk-UA"/>
        </w:rPr>
        <w:t xml:space="preserve"> </w:t>
      </w:r>
      <w:r w:rsidR="00D70070">
        <w:rPr>
          <w:rFonts w:ascii="Times New Roman" w:hAnsi="Times New Roman" w:cs="Times New Roman"/>
          <w:sz w:val="28"/>
          <w:szCs w:val="28"/>
          <w:lang w:val="uk-UA"/>
        </w:rPr>
        <w:t>і</w:t>
      </w:r>
      <w:r w:rsidR="008B7D5C">
        <w:rPr>
          <w:rFonts w:ascii="Times New Roman" w:hAnsi="Times New Roman" w:cs="Times New Roman"/>
          <w:sz w:val="28"/>
          <w:szCs w:val="28"/>
          <w:lang w:val="uk-UA"/>
        </w:rPr>
        <w:t xml:space="preserve">з </w:t>
      </w:r>
      <w:r w:rsidR="00A35BD0">
        <w:rPr>
          <w:rFonts w:ascii="Times New Roman" w:hAnsi="Times New Roman" w:cs="Times New Roman"/>
          <w:sz w:val="28"/>
          <w:szCs w:val="28"/>
          <w:lang w:val="uk-UA"/>
        </w:rPr>
        <w:t>АГ та ЦД 2-го типу</w:t>
      </w:r>
      <w:r w:rsidR="008B7D5C">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становлено позитивний </w:t>
      </w:r>
      <w:r w:rsidR="00F52C3B">
        <w:rPr>
          <w:rFonts w:ascii="Times New Roman" w:hAnsi="Times New Roman" w:cs="Times New Roman"/>
          <w:sz w:val="28"/>
          <w:szCs w:val="28"/>
          <w:lang w:val="uk-UA"/>
        </w:rPr>
        <w:t>звʼ</w:t>
      </w:r>
      <w:r w:rsidR="00B20CD1">
        <w:rPr>
          <w:rFonts w:ascii="Times New Roman" w:hAnsi="Times New Roman" w:cs="Times New Roman"/>
          <w:sz w:val="28"/>
          <w:szCs w:val="28"/>
          <w:lang w:val="uk-UA"/>
        </w:rPr>
        <w:t>язок між ІМТ та ІММ</w:t>
      </w:r>
      <w:r>
        <w:rPr>
          <w:rFonts w:ascii="Times New Roman" w:hAnsi="Times New Roman" w:cs="Times New Roman"/>
          <w:sz w:val="28"/>
          <w:szCs w:val="28"/>
          <w:lang w:val="uk-UA"/>
        </w:rPr>
        <w:t>ЛШ (</w:t>
      </w:r>
      <w:r>
        <w:rPr>
          <w:rFonts w:ascii="Times New Roman" w:hAnsi="Times New Roman" w:cs="Times New Roman"/>
          <w:sz w:val="28"/>
          <w:szCs w:val="28"/>
          <w:lang w:val="en-US"/>
        </w:rPr>
        <w:t>r</w:t>
      </w:r>
      <w:r w:rsidR="007C172C">
        <w:rPr>
          <w:rFonts w:ascii="Times New Roman" w:hAnsi="Times New Roman" w:cs="Times New Roman"/>
          <w:sz w:val="28"/>
          <w:szCs w:val="28"/>
          <w:lang w:val="uk-UA"/>
        </w:rPr>
        <w:t xml:space="preserve"> = 0,37</w:t>
      </w:r>
      <w:r w:rsidRPr="00E908A8">
        <w:rPr>
          <w:rFonts w:ascii="Times New Roman" w:hAnsi="Times New Roman" w:cs="Times New Roman"/>
          <w:sz w:val="28"/>
          <w:szCs w:val="28"/>
          <w:lang w:val="uk-UA"/>
        </w:rPr>
        <w:t xml:space="preserve">; </w:t>
      </w:r>
      <w:r>
        <w:rPr>
          <w:rFonts w:ascii="Times New Roman" w:hAnsi="Times New Roman" w:cs="Times New Roman"/>
          <w:sz w:val="28"/>
          <w:szCs w:val="28"/>
          <w:lang w:val="en-US"/>
        </w:rPr>
        <w:t>p</w:t>
      </w:r>
      <w:r w:rsidR="007C172C">
        <w:rPr>
          <w:rFonts w:ascii="Times New Roman" w:hAnsi="Times New Roman" w:cs="Times New Roman"/>
          <w:sz w:val="28"/>
          <w:szCs w:val="28"/>
          <w:lang w:val="uk-UA"/>
        </w:rPr>
        <w:t xml:space="preserve"> = 0,0002</w:t>
      </w:r>
      <w:r w:rsidRPr="00E908A8">
        <w:rPr>
          <w:rFonts w:ascii="Times New Roman" w:hAnsi="Times New Roman" w:cs="Times New Roman"/>
          <w:sz w:val="28"/>
          <w:szCs w:val="28"/>
          <w:lang w:val="uk-UA"/>
        </w:rPr>
        <w:t>)</w:t>
      </w:r>
      <w:r w:rsidR="00333AAE">
        <w:rPr>
          <w:rFonts w:ascii="Times New Roman" w:hAnsi="Times New Roman" w:cs="Times New Roman"/>
          <w:sz w:val="28"/>
          <w:szCs w:val="28"/>
          <w:lang w:val="uk-UA"/>
        </w:rPr>
        <w:t>;</w:t>
      </w:r>
      <w:r w:rsidR="00F52C3B">
        <w:rPr>
          <w:rFonts w:ascii="Times New Roman" w:hAnsi="Times New Roman" w:cs="Times New Roman"/>
          <w:sz w:val="28"/>
          <w:szCs w:val="28"/>
          <w:lang w:val="uk-UA"/>
        </w:rPr>
        <w:t xml:space="preserve"> недостовірну залежність</w:t>
      </w:r>
      <w:r w:rsidR="007C172C">
        <w:rPr>
          <w:rFonts w:ascii="Times New Roman" w:hAnsi="Times New Roman" w:cs="Times New Roman"/>
          <w:sz w:val="28"/>
          <w:szCs w:val="28"/>
          <w:lang w:val="uk-UA"/>
        </w:rPr>
        <w:t xml:space="preserve"> </w:t>
      </w:r>
      <w:r w:rsidR="00333AAE">
        <w:rPr>
          <w:rFonts w:ascii="Times New Roman" w:hAnsi="Times New Roman" w:cs="Times New Roman"/>
          <w:sz w:val="28"/>
          <w:szCs w:val="28"/>
          <w:lang w:val="uk-UA"/>
        </w:rPr>
        <w:t>між ІМТ та співвідношенням альбуміну до креатиніну в сечі</w:t>
      </w:r>
      <w:r>
        <w:rPr>
          <w:rFonts w:ascii="Times New Roman" w:hAnsi="Times New Roman" w:cs="Times New Roman"/>
          <w:sz w:val="28"/>
          <w:szCs w:val="28"/>
          <w:lang w:val="uk-UA"/>
        </w:rPr>
        <w:t xml:space="preserve"> (</w:t>
      </w:r>
      <w:r w:rsidRPr="00E908A8">
        <w:rPr>
          <w:rFonts w:ascii="Times New Roman" w:hAnsi="Times New Roman" w:cs="Times New Roman"/>
          <w:sz w:val="28"/>
          <w:szCs w:val="28"/>
          <w:lang w:val="en-US"/>
        </w:rPr>
        <w:t>r</w:t>
      </w:r>
      <w:r w:rsidR="007C172C">
        <w:rPr>
          <w:rFonts w:ascii="Times New Roman" w:hAnsi="Times New Roman" w:cs="Times New Roman"/>
          <w:sz w:val="28"/>
          <w:szCs w:val="28"/>
          <w:lang w:val="uk-UA"/>
        </w:rPr>
        <w:t xml:space="preserve"> = 0,17</w:t>
      </w:r>
      <w:r w:rsidRPr="00E908A8">
        <w:rPr>
          <w:rFonts w:ascii="Times New Roman" w:hAnsi="Times New Roman" w:cs="Times New Roman"/>
          <w:sz w:val="28"/>
          <w:szCs w:val="28"/>
          <w:lang w:val="uk-UA"/>
        </w:rPr>
        <w:t xml:space="preserve">; </w:t>
      </w:r>
      <w:r w:rsidRPr="00E908A8">
        <w:rPr>
          <w:rFonts w:ascii="Times New Roman" w:hAnsi="Times New Roman" w:cs="Times New Roman"/>
          <w:sz w:val="28"/>
          <w:szCs w:val="28"/>
          <w:lang w:val="en-US"/>
        </w:rPr>
        <w:t>p</w:t>
      </w:r>
      <w:r w:rsidR="007C172C">
        <w:rPr>
          <w:rFonts w:ascii="Times New Roman" w:hAnsi="Times New Roman" w:cs="Times New Roman"/>
          <w:sz w:val="28"/>
          <w:szCs w:val="28"/>
          <w:lang w:val="uk-UA"/>
        </w:rPr>
        <w:t xml:space="preserve"> = 0,0960</w:t>
      </w:r>
      <w:r w:rsidRPr="00E908A8">
        <w:rPr>
          <w:rFonts w:ascii="Times New Roman" w:hAnsi="Times New Roman" w:cs="Times New Roman"/>
          <w:sz w:val="28"/>
          <w:szCs w:val="28"/>
          <w:lang w:val="uk-UA"/>
        </w:rPr>
        <w:t>)</w:t>
      </w:r>
      <w:r w:rsidR="0026229A">
        <w:rPr>
          <w:rFonts w:ascii="Times New Roman" w:hAnsi="Times New Roman" w:cs="Times New Roman"/>
          <w:sz w:val="28"/>
          <w:szCs w:val="28"/>
          <w:lang w:val="uk-UA"/>
        </w:rPr>
        <w:t xml:space="preserve">. </w:t>
      </w:r>
      <w:r w:rsidR="00F23DF0">
        <w:rPr>
          <w:rFonts w:ascii="Times New Roman" w:hAnsi="Times New Roman" w:cs="Times New Roman"/>
          <w:sz w:val="28"/>
          <w:szCs w:val="28"/>
          <w:lang w:val="uk-UA"/>
        </w:rPr>
        <w:t xml:space="preserve">       </w:t>
      </w:r>
      <w:r w:rsidR="0026229A">
        <w:rPr>
          <w:rFonts w:ascii="Times New Roman" w:hAnsi="Times New Roman" w:cs="Times New Roman"/>
          <w:sz w:val="28"/>
          <w:szCs w:val="28"/>
          <w:lang w:val="uk-UA"/>
        </w:rPr>
        <w:t>У хворих ІІ групи виявлено недостовірний звʼ</w:t>
      </w:r>
      <w:r w:rsidR="007C172C">
        <w:rPr>
          <w:rFonts w:ascii="Times New Roman" w:hAnsi="Times New Roman" w:cs="Times New Roman"/>
          <w:sz w:val="28"/>
          <w:szCs w:val="28"/>
          <w:lang w:val="uk-UA"/>
        </w:rPr>
        <w:t>язок між ІММЛШ</w:t>
      </w:r>
      <w:r w:rsidR="0026229A">
        <w:rPr>
          <w:rFonts w:ascii="Times New Roman" w:hAnsi="Times New Roman" w:cs="Times New Roman"/>
          <w:sz w:val="28"/>
          <w:szCs w:val="28"/>
          <w:lang w:val="uk-UA"/>
        </w:rPr>
        <w:t xml:space="preserve"> та ІМТ             </w:t>
      </w:r>
      <w:r w:rsidR="007C172C">
        <w:rPr>
          <w:rFonts w:ascii="Times New Roman" w:hAnsi="Times New Roman" w:cs="Times New Roman"/>
          <w:sz w:val="28"/>
          <w:szCs w:val="28"/>
          <w:lang w:val="uk-UA"/>
        </w:rPr>
        <w:t>(</w:t>
      </w:r>
      <w:r w:rsidR="007C172C" w:rsidRPr="00E908A8">
        <w:rPr>
          <w:rFonts w:ascii="Times New Roman" w:hAnsi="Times New Roman" w:cs="Times New Roman"/>
          <w:sz w:val="28"/>
          <w:szCs w:val="28"/>
          <w:lang w:val="en-US"/>
        </w:rPr>
        <w:t>r</w:t>
      </w:r>
      <w:r w:rsidR="007C172C">
        <w:rPr>
          <w:rFonts w:ascii="Times New Roman" w:hAnsi="Times New Roman" w:cs="Times New Roman"/>
          <w:sz w:val="28"/>
          <w:szCs w:val="28"/>
          <w:lang w:val="uk-UA"/>
        </w:rPr>
        <w:t xml:space="preserve"> = 0,1</w:t>
      </w:r>
      <w:r w:rsidR="00235682">
        <w:rPr>
          <w:rFonts w:ascii="Times New Roman" w:hAnsi="Times New Roman" w:cs="Times New Roman"/>
          <w:sz w:val="28"/>
          <w:szCs w:val="28"/>
          <w:lang w:val="uk-UA"/>
        </w:rPr>
        <w:t>5</w:t>
      </w:r>
      <w:r w:rsidR="007C172C" w:rsidRPr="00E908A8">
        <w:rPr>
          <w:rFonts w:ascii="Times New Roman" w:hAnsi="Times New Roman" w:cs="Times New Roman"/>
          <w:sz w:val="28"/>
          <w:szCs w:val="28"/>
          <w:lang w:val="uk-UA"/>
        </w:rPr>
        <w:t xml:space="preserve">; </w:t>
      </w:r>
      <w:r w:rsidR="007C172C" w:rsidRPr="00E908A8">
        <w:rPr>
          <w:rFonts w:ascii="Times New Roman" w:hAnsi="Times New Roman" w:cs="Times New Roman"/>
          <w:sz w:val="28"/>
          <w:szCs w:val="28"/>
          <w:lang w:val="en-US"/>
        </w:rPr>
        <w:t>p</w:t>
      </w:r>
      <w:r w:rsidR="007C172C">
        <w:rPr>
          <w:rFonts w:ascii="Times New Roman" w:hAnsi="Times New Roman" w:cs="Times New Roman"/>
          <w:sz w:val="28"/>
          <w:szCs w:val="28"/>
          <w:lang w:val="uk-UA"/>
        </w:rPr>
        <w:t xml:space="preserve"> </w:t>
      </w:r>
      <w:r w:rsidR="00235682">
        <w:rPr>
          <w:rFonts w:ascii="Times New Roman" w:hAnsi="Times New Roman" w:cs="Times New Roman"/>
          <w:sz w:val="28"/>
          <w:szCs w:val="28"/>
          <w:lang w:val="uk-UA"/>
        </w:rPr>
        <w:t>= 0,1425</w:t>
      </w:r>
      <w:r w:rsidR="007C172C" w:rsidRPr="00E908A8">
        <w:rPr>
          <w:rFonts w:ascii="Times New Roman" w:hAnsi="Times New Roman" w:cs="Times New Roman"/>
          <w:sz w:val="28"/>
          <w:szCs w:val="28"/>
          <w:lang w:val="uk-UA"/>
        </w:rPr>
        <w:t>)</w:t>
      </w:r>
      <w:r w:rsidR="00A35BD0">
        <w:rPr>
          <w:rFonts w:ascii="Times New Roman" w:hAnsi="Times New Roman" w:cs="Times New Roman"/>
          <w:sz w:val="28"/>
          <w:szCs w:val="28"/>
          <w:lang w:val="uk-UA"/>
        </w:rPr>
        <w:t>.</w:t>
      </w:r>
    </w:p>
    <w:p w:rsidR="00907591" w:rsidRDefault="008B7D5C" w:rsidP="00131F7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ураженні </w:t>
      </w:r>
      <w:r w:rsidR="00637937">
        <w:rPr>
          <w:rFonts w:ascii="Times New Roman" w:hAnsi="Times New Roman" w:cs="Times New Roman"/>
          <w:sz w:val="28"/>
          <w:szCs w:val="28"/>
          <w:lang w:val="uk-UA"/>
        </w:rPr>
        <w:t xml:space="preserve">серця або нирок </w:t>
      </w:r>
      <w:r w:rsidR="00303FDB">
        <w:rPr>
          <w:rFonts w:ascii="Times New Roman" w:hAnsi="Times New Roman" w:cs="Times New Roman"/>
          <w:sz w:val="28"/>
          <w:szCs w:val="28"/>
          <w:lang w:val="uk-UA"/>
        </w:rPr>
        <w:t>відбувається активація РААС і симпатичної нервової системи, розвивається дисфункція ендотелію і хронічне системне</w:t>
      </w:r>
      <w:r>
        <w:rPr>
          <w:rFonts w:ascii="Times New Roman" w:hAnsi="Times New Roman" w:cs="Times New Roman"/>
          <w:sz w:val="28"/>
          <w:szCs w:val="28"/>
          <w:lang w:val="uk-UA"/>
        </w:rPr>
        <w:t xml:space="preserve"> запале</w:t>
      </w:r>
      <w:r w:rsidR="00637937">
        <w:rPr>
          <w:rFonts w:ascii="Times New Roman" w:hAnsi="Times New Roman" w:cs="Times New Roman"/>
          <w:sz w:val="28"/>
          <w:szCs w:val="28"/>
          <w:lang w:val="uk-UA"/>
        </w:rPr>
        <w:t xml:space="preserve">ння, утворюється замкнене коло, </w:t>
      </w:r>
      <w:r>
        <w:rPr>
          <w:rFonts w:ascii="Times New Roman" w:hAnsi="Times New Roman" w:cs="Times New Roman"/>
          <w:sz w:val="28"/>
          <w:szCs w:val="28"/>
          <w:lang w:val="uk-UA"/>
        </w:rPr>
        <w:t>за якого</w:t>
      </w:r>
      <w:r w:rsidR="00303FDB">
        <w:rPr>
          <w:rFonts w:ascii="Times New Roman" w:hAnsi="Times New Roman" w:cs="Times New Roman"/>
          <w:sz w:val="28"/>
          <w:szCs w:val="28"/>
          <w:lang w:val="uk-UA"/>
        </w:rPr>
        <w:t xml:space="preserve"> сполучення кардіальної та ниркової </w:t>
      </w:r>
      <w:r w:rsidR="00913A61" w:rsidRPr="00913A61">
        <w:rPr>
          <w:rFonts w:ascii="Times New Roman" w:hAnsi="Times New Roman" w:cs="Times New Roman"/>
          <w:sz w:val="28"/>
          <w:szCs w:val="28"/>
          <w:lang w:val="uk-UA"/>
        </w:rPr>
        <w:t>патолог</w:t>
      </w:r>
      <w:r w:rsidR="00913A61">
        <w:rPr>
          <w:rFonts w:ascii="Times New Roman" w:hAnsi="Times New Roman" w:cs="Times New Roman"/>
          <w:sz w:val="28"/>
          <w:szCs w:val="28"/>
          <w:lang w:val="uk-UA"/>
        </w:rPr>
        <w:t xml:space="preserve">ії </w:t>
      </w:r>
      <w:r w:rsidR="00637937">
        <w:rPr>
          <w:rFonts w:ascii="Times New Roman" w:hAnsi="Times New Roman" w:cs="Times New Roman"/>
          <w:sz w:val="28"/>
          <w:szCs w:val="28"/>
          <w:lang w:val="uk-UA"/>
        </w:rPr>
        <w:t xml:space="preserve">призводить </w:t>
      </w:r>
      <w:r w:rsidR="00303FDB">
        <w:rPr>
          <w:rFonts w:ascii="Times New Roman" w:hAnsi="Times New Roman" w:cs="Times New Roman"/>
          <w:sz w:val="28"/>
          <w:szCs w:val="28"/>
          <w:lang w:val="uk-UA"/>
        </w:rPr>
        <w:t xml:space="preserve">до швидкого </w:t>
      </w:r>
      <w:r w:rsidR="00303FDB">
        <w:rPr>
          <w:rFonts w:ascii="Times New Roman" w:hAnsi="Times New Roman" w:cs="Times New Roman"/>
          <w:sz w:val="28"/>
          <w:szCs w:val="28"/>
          <w:lang w:val="uk-UA"/>
        </w:rPr>
        <w:lastRenderedPageBreak/>
        <w:t>зниження функції кожного із цих органів, ремоделюва</w:t>
      </w:r>
      <w:r>
        <w:rPr>
          <w:rFonts w:ascii="Times New Roman" w:hAnsi="Times New Roman" w:cs="Times New Roman"/>
          <w:sz w:val="28"/>
          <w:szCs w:val="28"/>
          <w:lang w:val="uk-UA"/>
        </w:rPr>
        <w:t>н</w:t>
      </w:r>
      <w:r w:rsidR="00303FDB">
        <w:rPr>
          <w:rFonts w:ascii="Times New Roman" w:hAnsi="Times New Roman" w:cs="Times New Roman"/>
          <w:sz w:val="28"/>
          <w:szCs w:val="28"/>
          <w:lang w:val="uk-UA"/>
        </w:rPr>
        <w:t xml:space="preserve">ня міокарда, судинної стінки, ниркової тканини, зростання захворюваності і смертності </w:t>
      </w:r>
      <w:r w:rsidR="00303FDB" w:rsidRPr="00303FDB">
        <w:rPr>
          <w:rFonts w:ascii="Times New Roman" w:hAnsi="Times New Roman" w:cs="Times New Roman"/>
          <w:sz w:val="28"/>
          <w:szCs w:val="28"/>
          <w:lang w:val="uk-UA"/>
        </w:rPr>
        <w:t>[</w:t>
      </w:r>
      <w:r w:rsidR="005C5DB7">
        <w:rPr>
          <w:rFonts w:ascii="Times New Roman" w:hAnsi="Times New Roman" w:cs="Times New Roman"/>
          <w:sz w:val="28"/>
          <w:szCs w:val="28"/>
          <w:lang w:val="uk-UA"/>
        </w:rPr>
        <w:t>164</w:t>
      </w:r>
      <w:r w:rsidR="00303FDB" w:rsidRPr="00303FDB">
        <w:rPr>
          <w:rFonts w:ascii="Times New Roman" w:hAnsi="Times New Roman" w:cs="Times New Roman"/>
          <w:sz w:val="28"/>
          <w:szCs w:val="28"/>
          <w:lang w:val="uk-UA"/>
        </w:rPr>
        <w:t>].</w:t>
      </w:r>
      <w:r w:rsidR="00303FDB">
        <w:rPr>
          <w:rFonts w:ascii="Times New Roman" w:hAnsi="Times New Roman" w:cs="Times New Roman"/>
          <w:sz w:val="28"/>
          <w:szCs w:val="28"/>
          <w:lang w:val="uk-UA"/>
        </w:rPr>
        <w:t xml:space="preserve"> </w:t>
      </w:r>
    </w:p>
    <w:p w:rsidR="00B21609" w:rsidRDefault="0026229A" w:rsidP="00131F77">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Таким чином, дисфункція ендотелію відіграє важливу роль у розвитку функціональних порушень </w:t>
      </w:r>
      <w:r w:rsidR="002048F8">
        <w:rPr>
          <w:rFonts w:ascii="Times New Roman" w:hAnsi="Times New Roman" w:cs="Times New Roman"/>
          <w:sz w:val="28"/>
          <w:szCs w:val="28"/>
          <w:lang w:val="uk-UA"/>
        </w:rPr>
        <w:t xml:space="preserve">нирок та </w:t>
      </w:r>
      <w:r>
        <w:rPr>
          <w:rFonts w:ascii="Times New Roman" w:hAnsi="Times New Roman" w:cs="Times New Roman"/>
          <w:sz w:val="28"/>
          <w:szCs w:val="28"/>
          <w:lang w:val="uk-UA"/>
        </w:rPr>
        <w:t>серця і є доцільною для визначення саме за наявності АГ та супутнього ЦД 2-го типу.</w:t>
      </w:r>
    </w:p>
    <w:p w:rsidR="0026229A" w:rsidRDefault="0026229A" w:rsidP="00131F77">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DC2F67" w:rsidRPr="00907591" w:rsidRDefault="00704EF6" w:rsidP="00131F77">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F77D47">
        <w:rPr>
          <w:rFonts w:ascii="Times New Roman" w:hAnsi="Times New Roman" w:cs="Times New Roman"/>
          <w:b/>
          <w:sz w:val="28"/>
          <w:szCs w:val="28"/>
          <w:lang w:val="uk-UA"/>
        </w:rPr>
        <w:t xml:space="preserve">.3. </w:t>
      </w:r>
      <w:r w:rsidR="00C973CC" w:rsidRPr="00C973CC">
        <w:rPr>
          <w:rFonts w:ascii="Times New Roman" w:hAnsi="Times New Roman" w:cs="Times New Roman"/>
          <w:b/>
          <w:sz w:val="28"/>
          <w:szCs w:val="28"/>
          <w:lang w:val="uk-UA"/>
        </w:rPr>
        <w:t>Особливості ен</w:t>
      </w:r>
      <w:r w:rsidR="00A35BD0">
        <w:rPr>
          <w:rFonts w:ascii="Times New Roman" w:hAnsi="Times New Roman" w:cs="Times New Roman"/>
          <w:b/>
          <w:sz w:val="28"/>
          <w:szCs w:val="28"/>
          <w:lang w:val="uk-UA"/>
        </w:rPr>
        <w:t xml:space="preserve">дотеліальної функції </w:t>
      </w:r>
      <w:r w:rsidR="0026229A">
        <w:rPr>
          <w:rFonts w:ascii="Times New Roman" w:hAnsi="Times New Roman" w:cs="Times New Roman"/>
          <w:b/>
          <w:sz w:val="28"/>
          <w:szCs w:val="28"/>
          <w:lang w:val="uk-UA"/>
        </w:rPr>
        <w:t xml:space="preserve">у пацієнтів </w:t>
      </w:r>
      <w:r w:rsidR="00341926">
        <w:rPr>
          <w:rFonts w:ascii="Times New Roman" w:hAnsi="Times New Roman" w:cs="Times New Roman"/>
          <w:b/>
          <w:sz w:val="28"/>
          <w:szCs w:val="28"/>
          <w:lang w:val="uk-UA"/>
        </w:rPr>
        <w:t>і</w:t>
      </w:r>
      <w:r w:rsidR="00C973CC" w:rsidRPr="00C973CC">
        <w:rPr>
          <w:rFonts w:ascii="Times New Roman" w:hAnsi="Times New Roman" w:cs="Times New Roman"/>
          <w:b/>
          <w:sz w:val="28"/>
          <w:szCs w:val="28"/>
          <w:lang w:val="uk-UA"/>
        </w:rPr>
        <w:t>з артеріальною гіпертензією та цукровим діабетом 2-го типу</w:t>
      </w:r>
    </w:p>
    <w:p w:rsidR="00943F56" w:rsidRDefault="00943F56" w:rsidP="00943F56">
      <w:pPr>
        <w:autoSpaceDE w:val="0"/>
        <w:autoSpaceDN w:val="0"/>
        <w:adjustRightInd w:val="0"/>
        <w:spacing w:after="0" w:line="360" w:lineRule="auto"/>
        <w:ind w:firstLine="708"/>
        <w:jc w:val="both"/>
        <w:rPr>
          <w:rFonts w:ascii="Times New Roman" w:hAnsi="Times New Roman" w:cs="Times New Roman"/>
          <w:sz w:val="28"/>
          <w:szCs w:val="28"/>
          <w:lang w:val="uk-UA"/>
        </w:rPr>
      </w:pPr>
    </w:p>
    <w:p w:rsidR="0001262C" w:rsidRPr="0050668F" w:rsidRDefault="002048F8" w:rsidP="00943F5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w:t>
      </w:r>
      <w:r w:rsidR="0001262C" w:rsidRPr="0050668F">
        <w:rPr>
          <w:rFonts w:ascii="Times New Roman" w:hAnsi="Times New Roman" w:cs="Times New Roman"/>
          <w:sz w:val="28"/>
          <w:szCs w:val="28"/>
          <w:lang w:val="uk-UA"/>
        </w:rPr>
        <w:t xml:space="preserve"> </w:t>
      </w:r>
      <w:r w:rsidR="00913A61">
        <w:rPr>
          <w:rFonts w:ascii="Times New Roman" w:hAnsi="Times New Roman" w:cs="Times New Roman"/>
          <w:sz w:val="28"/>
          <w:szCs w:val="28"/>
          <w:lang w:val="uk-UA"/>
        </w:rPr>
        <w:t xml:space="preserve">вмісту </w:t>
      </w:r>
      <w:r w:rsidR="00943F56" w:rsidRPr="0050668F">
        <w:rPr>
          <w:rFonts w:ascii="Times New Roman" w:hAnsi="Times New Roman" w:cs="Times New Roman"/>
          <w:sz w:val="28"/>
          <w:szCs w:val="28"/>
          <w:lang w:val="uk-UA"/>
        </w:rPr>
        <w:t xml:space="preserve">ЕТ-1 </w:t>
      </w:r>
      <w:r w:rsidRPr="002048F8">
        <w:rPr>
          <w:rFonts w:ascii="Times New Roman" w:hAnsi="Times New Roman" w:cs="Times New Roman"/>
          <w:sz w:val="28"/>
          <w:szCs w:val="28"/>
          <w:lang w:val="uk-UA"/>
        </w:rPr>
        <w:t xml:space="preserve">у сироватці крові </w:t>
      </w:r>
      <w:r>
        <w:rPr>
          <w:rFonts w:ascii="Times New Roman" w:hAnsi="Times New Roman" w:cs="Times New Roman"/>
          <w:sz w:val="28"/>
          <w:szCs w:val="28"/>
          <w:lang w:val="uk-UA"/>
        </w:rPr>
        <w:t>є однією з ознак</w:t>
      </w:r>
      <w:r w:rsidR="00A35BD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ЕД </w:t>
      </w:r>
      <w:r w:rsidR="00913A6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048F8">
        <w:rPr>
          <w:rFonts w:ascii="Times New Roman" w:hAnsi="Times New Roman" w:cs="Times New Roman"/>
          <w:sz w:val="28"/>
          <w:szCs w:val="28"/>
          <w:lang w:val="uk-UA"/>
        </w:rPr>
        <w:t xml:space="preserve"> хворих на гіпертонічну хворобу у поєднанні з ЦД 2-го типу</w:t>
      </w:r>
      <w:r>
        <w:rPr>
          <w:rFonts w:ascii="Times New Roman" w:hAnsi="Times New Roman" w:cs="Times New Roman"/>
          <w:sz w:val="28"/>
          <w:szCs w:val="28"/>
          <w:lang w:val="uk-UA"/>
        </w:rPr>
        <w:t xml:space="preserve"> </w:t>
      </w:r>
      <w:r w:rsidR="00943F56" w:rsidRPr="0050668F">
        <w:rPr>
          <w:rFonts w:ascii="Times New Roman" w:hAnsi="Times New Roman" w:cs="Times New Roman"/>
          <w:sz w:val="28"/>
          <w:szCs w:val="28"/>
          <w:lang w:val="uk-UA"/>
        </w:rPr>
        <w:t>[</w:t>
      </w:r>
      <w:r w:rsidR="005C5DB7">
        <w:rPr>
          <w:rFonts w:ascii="Times New Roman" w:hAnsi="Times New Roman" w:cs="Times New Roman"/>
          <w:sz w:val="28"/>
          <w:szCs w:val="28"/>
          <w:lang w:val="uk-UA"/>
        </w:rPr>
        <w:t>166</w:t>
      </w:r>
      <w:r w:rsidR="00943F56" w:rsidRPr="0067184D">
        <w:rPr>
          <w:rFonts w:ascii="Times New Roman" w:hAnsi="Times New Roman" w:cs="Times New Roman"/>
          <w:sz w:val="28"/>
          <w:szCs w:val="28"/>
          <w:lang w:val="uk-UA"/>
        </w:rPr>
        <w:t>]</w:t>
      </w:r>
      <w:r w:rsidR="00913A61">
        <w:rPr>
          <w:rFonts w:ascii="Times New Roman" w:hAnsi="Times New Roman" w:cs="Times New Roman"/>
          <w:sz w:val="28"/>
          <w:szCs w:val="28"/>
          <w:lang w:val="uk-UA"/>
        </w:rPr>
        <w:t xml:space="preserve"> і </w:t>
      </w:r>
      <w:r w:rsidRPr="002048F8">
        <w:rPr>
          <w:rFonts w:ascii="Times New Roman" w:hAnsi="Times New Roman" w:cs="Times New Roman"/>
          <w:sz w:val="28"/>
          <w:szCs w:val="28"/>
          <w:lang w:val="uk-UA"/>
        </w:rPr>
        <w:t>спри</w:t>
      </w:r>
      <w:r w:rsidR="00913A61">
        <w:rPr>
          <w:rFonts w:ascii="Times New Roman" w:hAnsi="Times New Roman" w:cs="Times New Roman"/>
          <w:sz w:val="28"/>
          <w:szCs w:val="28"/>
          <w:lang w:val="uk-UA"/>
        </w:rPr>
        <w:t>яє ремоделюванню серця, прогресуванню гіпертрофії ЛШ, порушенню процесів</w:t>
      </w:r>
      <w:r w:rsidR="0041341A">
        <w:rPr>
          <w:rFonts w:ascii="Times New Roman" w:hAnsi="Times New Roman" w:cs="Times New Roman"/>
          <w:sz w:val="28"/>
          <w:szCs w:val="28"/>
          <w:lang w:val="uk-UA"/>
        </w:rPr>
        <w:t xml:space="preserve"> </w:t>
      </w:r>
      <w:r w:rsidRPr="002048F8">
        <w:rPr>
          <w:rFonts w:ascii="Times New Roman" w:hAnsi="Times New Roman" w:cs="Times New Roman"/>
          <w:sz w:val="28"/>
          <w:szCs w:val="28"/>
          <w:lang w:val="uk-UA"/>
        </w:rPr>
        <w:t>утворення колагену у міокарді</w:t>
      </w:r>
      <w:r w:rsidR="00913A61">
        <w:rPr>
          <w:rFonts w:ascii="Times New Roman" w:hAnsi="Times New Roman" w:cs="Times New Roman"/>
          <w:sz w:val="28"/>
          <w:szCs w:val="28"/>
          <w:lang w:val="uk-UA"/>
        </w:rPr>
        <w:t>, індукції розвит</w:t>
      </w:r>
      <w:r w:rsidRPr="002048F8">
        <w:rPr>
          <w:rFonts w:ascii="Times New Roman" w:hAnsi="Times New Roman" w:cs="Times New Roman"/>
          <w:sz w:val="28"/>
          <w:szCs w:val="28"/>
          <w:lang w:val="uk-UA"/>
        </w:rPr>
        <w:t>к</w:t>
      </w:r>
      <w:r w:rsidR="00913A61">
        <w:rPr>
          <w:rFonts w:ascii="Times New Roman" w:hAnsi="Times New Roman" w:cs="Times New Roman"/>
          <w:sz w:val="28"/>
          <w:szCs w:val="28"/>
          <w:lang w:val="uk-UA"/>
        </w:rPr>
        <w:t>у</w:t>
      </w:r>
      <w:r w:rsidRPr="002048F8">
        <w:rPr>
          <w:rFonts w:ascii="Times New Roman" w:hAnsi="Times New Roman" w:cs="Times New Roman"/>
          <w:sz w:val="28"/>
          <w:szCs w:val="28"/>
          <w:lang w:val="uk-UA"/>
        </w:rPr>
        <w:t xml:space="preserve"> апоптозу кардіоміоцитів [</w:t>
      </w:r>
      <w:r w:rsidR="005C5DB7">
        <w:rPr>
          <w:rFonts w:ascii="Times New Roman" w:hAnsi="Times New Roman" w:cs="Times New Roman"/>
          <w:sz w:val="28"/>
          <w:szCs w:val="28"/>
          <w:lang w:val="uk-UA"/>
        </w:rPr>
        <w:t>167</w:t>
      </w:r>
      <w:r w:rsidR="00913A61">
        <w:rPr>
          <w:rFonts w:ascii="Times New Roman" w:hAnsi="Times New Roman" w:cs="Times New Roman"/>
          <w:sz w:val="28"/>
          <w:szCs w:val="28"/>
          <w:lang w:val="uk-UA"/>
        </w:rPr>
        <w:t>], призводячи до поглиблення</w:t>
      </w:r>
      <w:r w:rsidR="00084F5F">
        <w:rPr>
          <w:rFonts w:ascii="Times New Roman" w:hAnsi="Times New Roman" w:cs="Times New Roman"/>
          <w:sz w:val="28"/>
          <w:szCs w:val="28"/>
          <w:lang w:val="uk-UA"/>
        </w:rPr>
        <w:t xml:space="preserve"> діастолічної СН.</w:t>
      </w:r>
    </w:p>
    <w:p w:rsidR="00913A61" w:rsidRPr="00913A61" w:rsidRDefault="006F4E3A" w:rsidP="00913A61">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Серед 96</w:t>
      </w:r>
      <w:r w:rsidR="00084F5F">
        <w:rPr>
          <w:rFonts w:ascii="Times New Roman" w:hAnsi="Times New Roman" w:cs="Times New Roman"/>
          <w:sz w:val="28"/>
          <w:szCs w:val="28"/>
          <w:lang w:val="uk-UA"/>
        </w:rPr>
        <w:t xml:space="preserve"> пацієнтів</w:t>
      </w:r>
      <w:r w:rsidR="00A35BD0">
        <w:rPr>
          <w:rFonts w:ascii="Times New Roman" w:hAnsi="Times New Roman" w:cs="Times New Roman"/>
          <w:sz w:val="28"/>
          <w:szCs w:val="28"/>
          <w:lang w:val="uk-UA"/>
        </w:rPr>
        <w:t xml:space="preserve"> </w:t>
      </w:r>
      <w:r w:rsidR="00913A61">
        <w:rPr>
          <w:rFonts w:ascii="Times New Roman" w:hAnsi="Times New Roman" w:cs="Times New Roman"/>
          <w:sz w:val="28"/>
          <w:szCs w:val="28"/>
          <w:lang w:val="uk-UA"/>
        </w:rPr>
        <w:t>і</w:t>
      </w:r>
      <w:r w:rsidR="00D207B1">
        <w:rPr>
          <w:rFonts w:ascii="Times New Roman" w:hAnsi="Times New Roman" w:cs="Times New Roman"/>
          <w:sz w:val="28"/>
          <w:szCs w:val="28"/>
          <w:lang w:val="uk-UA"/>
        </w:rPr>
        <w:t xml:space="preserve">з </w:t>
      </w:r>
      <w:r w:rsidR="00A35BD0">
        <w:rPr>
          <w:rFonts w:ascii="Times New Roman" w:hAnsi="Times New Roman" w:cs="Times New Roman"/>
          <w:sz w:val="28"/>
          <w:szCs w:val="28"/>
          <w:lang w:val="uk-UA"/>
        </w:rPr>
        <w:t>АГ та ЦД 2-го типу</w:t>
      </w:r>
      <w:r w:rsidR="00D207B1">
        <w:rPr>
          <w:rFonts w:ascii="Times New Roman" w:hAnsi="Times New Roman" w:cs="Times New Roman"/>
          <w:sz w:val="28"/>
          <w:szCs w:val="28"/>
          <w:lang w:val="uk-UA"/>
        </w:rPr>
        <w:t xml:space="preserve"> у 94</w:t>
      </w:r>
      <w:r>
        <w:rPr>
          <w:rFonts w:ascii="Times New Roman" w:hAnsi="Times New Roman" w:cs="Times New Roman"/>
          <w:sz w:val="28"/>
          <w:szCs w:val="28"/>
          <w:lang w:val="uk-UA"/>
        </w:rPr>
        <w:t xml:space="preserve"> була </w:t>
      </w:r>
      <w:r w:rsidR="00084F5F">
        <w:rPr>
          <w:rFonts w:ascii="Times New Roman" w:hAnsi="Times New Roman" w:cs="Times New Roman"/>
          <w:sz w:val="28"/>
          <w:szCs w:val="28"/>
          <w:lang w:val="uk-UA"/>
        </w:rPr>
        <w:t>констатована ХСН.</w:t>
      </w:r>
      <w:r w:rsidR="00131F77" w:rsidRPr="00131F77">
        <w:rPr>
          <w:rFonts w:ascii="Times New Roman" w:hAnsi="Times New Roman" w:cs="Times New Roman"/>
          <w:sz w:val="28"/>
          <w:szCs w:val="28"/>
          <w:lang w:val="uk-UA"/>
        </w:rPr>
        <w:t xml:space="preserve"> </w:t>
      </w:r>
      <w:r w:rsidR="00084F5F">
        <w:rPr>
          <w:rFonts w:ascii="Times New Roman" w:hAnsi="Times New Roman" w:cs="Times New Roman"/>
          <w:sz w:val="28"/>
          <w:szCs w:val="28"/>
          <w:lang w:val="uk-UA"/>
        </w:rPr>
        <w:t>У</w:t>
      </w:r>
      <w:r w:rsidR="00B63C65" w:rsidRPr="00FC571D">
        <w:rPr>
          <w:rFonts w:ascii="Times New Roman" w:hAnsi="Times New Roman" w:cs="Times New Roman"/>
          <w:sz w:val="28"/>
          <w:szCs w:val="28"/>
          <w:lang w:val="uk-UA"/>
        </w:rPr>
        <w:t xml:space="preserve"> 80</w:t>
      </w:r>
      <w:r w:rsidR="00084F5F">
        <w:rPr>
          <w:rFonts w:ascii="Times New Roman" w:hAnsi="Times New Roman" w:cs="Times New Roman"/>
          <w:sz w:val="28"/>
          <w:szCs w:val="28"/>
          <w:lang w:val="uk-UA"/>
        </w:rPr>
        <w:t xml:space="preserve"> </w:t>
      </w:r>
      <w:r w:rsidR="00B63C65" w:rsidRPr="00FC571D">
        <w:rPr>
          <w:rFonts w:ascii="Times New Roman" w:hAnsi="Times New Roman" w:cs="Times New Roman"/>
          <w:sz w:val="28"/>
          <w:szCs w:val="28"/>
          <w:lang w:val="uk-UA"/>
        </w:rPr>
        <w:t>(85</w:t>
      </w:r>
      <w:r w:rsidR="00D207B1" w:rsidRPr="00FC571D">
        <w:rPr>
          <w:rFonts w:ascii="Times New Roman" w:hAnsi="Times New Roman" w:cs="Times New Roman"/>
          <w:sz w:val="28"/>
          <w:szCs w:val="28"/>
          <w:lang w:val="uk-UA"/>
        </w:rPr>
        <w:t>,</w:t>
      </w:r>
      <w:r w:rsidR="00B63C65" w:rsidRPr="00FC571D">
        <w:rPr>
          <w:rFonts w:ascii="Times New Roman" w:hAnsi="Times New Roman" w:cs="Times New Roman"/>
          <w:sz w:val="28"/>
          <w:szCs w:val="28"/>
          <w:lang w:val="uk-UA"/>
        </w:rPr>
        <w:t>11</w:t>
      </w:r>
      <w:r w:rsidR="003146D1" w:rsidRPr="00FC571D">
        <w:rPr>
          <w:rFonts w:ascii="Times New Roman" w:hAnsi="Times New Roman" w:cs="Times New Roman"/>
          <w:sz w:val="28"/>
          <w:szCs w:val="28"/>
          <w:lang w:val="uk-UA"/>
        </w:rPr>
        <w:t xml:space="preserve"> </w:t>
      </w:r>
      <w:r w:rsidR="00913A61">
        <w:rPr>
          <w:rFonts w:ascii="Times New Roman" w:hAnsi="Times New Roman" w:cs="Times New Roman"/>
          <w:sz w:val="28"/>
          <w:szCs w:val="28"/>
          <w:lang w:val="uk-UA"/>
        </w:rPr>
        <w:t xml:space="preserve">%) та </w:t>
      </w:r>
      <w:r w:rsidRPr="00FC571D">
        <w:rPr>
          <w:rFonts w:ascii="Times New Roman" w:hAnsi="Times New Roman" w:cs="Times New Roman"/>
          <w:sz w:val="28"/>
          <w:szCs w:val="28"/>
          <w:lang w:val="uk-UA"/>
        </w:rPr>
        <w:t>14</w:t>
      </w:r>
      <w:r w:rsidR="00131F77" w:rsidRPr="00FC571D">
        <w:rPr>
          <w:rFonts w:ascii="Times New Roman" w:hAnsi="Times New Roman" w:cs="Times New Roman"/>
          <w:sz w:val="28"/>
          <w:szCs w:val="28"/>
          <w:lang w:val="uk-UA"/>
        </w:rPr>
        <w:t xml:space="preserve"> </w:t>
      </w:r>
      <w:r w:rsidR="00907591" w:rsidRPr="00FC571D">
        <w:rPr>
          <w:rFonts w:ascii="Times New Roman" w:hAnsi="Times New Roman" w:cs="Times New Roman"/>
          <w:sz w:val="28"/>
          <w:szCs w:val="28"/>
          <w:lang w:val="uk-UA"/>
        </w:rPr>
        <w:t>(1</w:t>
      </w:r>
      <w:r w:rsidR="00D207B1" w:rsidRPr="00FC571D">
        <w:rPr>
          <w:rFonts w:ascii="Times New Roman" w:hAnsi="Times New Roman" w:cs="Times New Roman"/>
          <w:sz w:val="28"/>
          <w:szCs w:val="28"/>
          <w:lang w:val="uk-UA"/>
        </w:rPr>
        <w:t>4</w:t>
      </w:r>
      <w:r w:rsidR="00907591" w:rsidRPr="00FC571D">
        <w:rPr>
          <w:rFonts w:ascii="Times New Roman" w:hAnsi="Times New Roman" w:cs="Times New Roman"/>
          <w:sz w:val="28"/>
          <w:szCs w:val="28"/>
          <w:lang w:val="uk-UA"/>
        </w:rPr>
        <w:t>,</w:t>
      </w:r>
      <w:r w:rsidR="00D207B1" w:rsidRPr="00FC571D">
        <w:rPr>
          <w:rFonts w:ascii="Times New Roman" w:hAnsi="Times New Roman" w:cs="Times New Roman"/>
          <w:sz w:val="28"/>
          <w:szCs w:val="28"/>
          <w:lang w:val="uk-UA"/>
        </w:rPr>
        <w:t>89</w:t>
      </w:r>
      <w:r w:rsidR="003146D1" w:rsidRPr="00FC571D">
        <w:rPr>
          <w:rFonts w:ascii="Times New Roman" w:hAnsi="Times New Roman" w:cs="Times New Roman"/>
          <w:sz w:val="28"/>
          <w:szCs w:val="28"/>
          <w:lang w:val="uk-UA"/>
        </w:rPr>
        <w:t xml:space="preserve"> </w:t>
      </w:r>
      <w:r w:rsidR="00131F77" w:rsidRPr="00FC571D">
        <w:rPr>
          <w:rFonts w:ascii="Times New Roman" w:hAnsi="Times New Roman" w:cs="Times New Roman"/>
          <w:sz w:val="28"/>
          <w:szCs w:val="28"/>
          <w:lang w:val="uk-UA"/>
        </w:rPr>
        <w:t>%)</w:t>
      </w:r>
      <w:r w:rsidR="00084F5F">
        <w:rPr>
          <w:rFonts w:ascii="Times New Roman" w:hAnsi="Times New Roman" w:cs="Times New Roman"/>
          <w:sz w:val="28"/>
          <w:szCs w:val="28"/>
          <w:lang w:val="uk-UA"/>
        </w:rPr>
        <w:t xml:space="preserve"> хворих було установлено ІІ та ІІІ </w:t>
      </w:r>
      <w:r w:rsidR="00084F5F" w:rsidRPr="00084F5F">
        <w:rPr>
          <w:rFonts w:ascii="Times New Roman" w:hAnsi="Times New Roman" w:cs="Times New Roman"/>
          <w:sz w:val="28"/>
          <w:szCs w:val="28"/>
          <w:lang w:val="uk-UA"/>
        </w:rPr>
        <w:t>ФК ХСН</w:t>
      </w:r>
      <w:r w:rsidR="00084F5F">
        <w:rPr>
          <w:rFonts w:ascii="Times New Roman" w:hAnsi="Times New Roman" w:cs="Times New Roman"/>
          <w:sz w:val="28"/>
          <w:szCs w:val="28"/>
          <w:lang w:val="uk-UA"/>
        </w:rPr>
        <w:t xml:space="preserve"> відповідно</w:t>
      </w:r>
      <w:r w:rsidR="00FC571D">
        <w:rPr>
          <w:rFonts w:ascii="Times New Roman" w:hAnsi="Times New Roman" w:cs="Times New Roman"/>
          <w:sz w:val="28"/>
          <w:szCs w:val="28"/>
          <w:lang w:val="uk-UA"/>
        </w:rPr>
        <w:t>.</w:t>
      </w:r>
      <w:r w:rsidR="008B6D7F" w:rsidRPr="008B6D7F">
        <w:rPr>
          <w:rFonts w:ascii="Times New Roman" w:hAnsi="Times New Roman" w:cs="Times New Roman"/>
          <w:sz w:val="28"/>
          <w:szCs w:val="28"/>
          <w:lang w:val="uk-UA"/>
        </w:rPr>
        <w:t xml:space="preserve"> </w:t>
      </w:r>
      <w:r w:rsidR="00084F5F">
        <w:rPr>
          <w:rFonts w:ascii="Times New Roman" w:hAnsi="Times New Roman" w:cs="Times New Roman"/>
          <w:sz w:val="28"/>
          <w:szCs w:val="28"/>
          <w:lang w:val="uk-UA"/>
        </w:rPr>
        <w:t xml:space="preserve">Вміст </w:t>
      </w:r>
      <w:r w:rsidR="003146D1">
        <w:rPr>
          <w:rFonts w:ascii="Times New Roman" w:hAnsi="Times New Roman" w:cs="Times New Roman"/>
          <w:sz w:val="28"/>
          <w:szCs w:val="28"/>
          <w:lang w:val="uk-UA"/>
        </w:rPr>
        <w:t>ЕТ-1</w:t>
      </w:r>
      <w:r w:rsidR="00936E70">
        <w:rPr>
          <w:rFonts w:ascii="Times New Roman" w:hAnsi="Times New Roman" w:cs="Times New Roman"/>
          <w:sz w:val="28"/>
          <w:szCs w:val="28"/>
          <w:lang w:val="uk-UA"/>
        </w:rPr>
        <w:t xml:space="preserve"> </w:t>
      </w:r>
      <w:r w:rsidR="00084F5F">
        <w:rPr>
          <w:rFonts w:ascii="Times New Roman" w:hAnsi="Times New Roman" w:cs="Times New Roman"/>
          <w:sz w:val="28"/>
          <w:szCs w:val="28"/>
          <w:lang w:val="uk-UA"/>
        </w:rPr>
        <w:t xml:space="preserve">оцінено </w:t>
      </w:r>
      <w:r w:rsidR="00936E70">
        <w:rPr>
          <w:rFonts w:ascii="Times New Roman" w:hAnsi="Times New Roman" w:cs="Times New Roman"/>
          <w:sz w:val="28"/>
          <w:szCs w:val="28"/>
          <w:lang w:val="uk-UA"/>
        </w:rPr>
        <w:t>з</w:t>
      </w:r>
      <w:r w:rsidR="003146D1">
        <w:rPr>
          <w:rFonts w:ascii="Times New Roman" w:hAnsi="Times New Roman" w:cs="Times New Roman"/>
          <w:sz w:val="28"/>
          <w:szCs w:val="28"/>
          <w:lang w:val="uk-UA"/>
        </w:rPr>
        <w:t>алежно від ФК ХСН (</w:t>
      </w:r>
      <w:r w:rsidR="002B4682">
        <w:rPr>
          <w:rFonts w:ascii="Times New Roman" w:hAnsi="Times New Roman" w:cs="Times New Roman"/>
          <w:sz w:val="28"/>
          <w:szCs w:val="28"/>
          <w:lang w:val="uk-UA"/>
        </w:rPr>
        <w:t>табл. 5.3</w:t>
      </w:r>
      <w:r w:rsidR="00936E70">
        <w:rPr>
          <w:rFonts w:ascii="Times New Roman" w:hAnsi="Times New Roman" w:cs="Times New Roman"/>
          <w:sz w:val="28"/>
          <w:szCs w:val="28"/>
          <w:lang w:val="uk-UA"/>
        </w:rPr>
        <w:t>.1).</w:t>
      </w:r>
    </w:p>
    <w:p w:rsidR="005670C3" w:rsidRPr="005670C3" w:rsidRDefault="003146D1" w:rsidP="005670C3">
      <w:pPr>
        <w:autoSpaceDE w:val="0"/>
        <w:autoSpaceDN w:val="0"/>
        <w:adjustRightInd w:val="0"/>
        <w:spacing w:after="0" w:line="360" w:lineRule="auto"/>
        <w:jc w:val="right"/>
        <w:rPr>
          <w:rFonts w:ascii="Times New Roman" w:hAnsi="Times New Roman" w:cs="Times New Roman"/>
          <w:i/>
          <w:sz w:val="28"/>
          <w:szCs w:val="28"/>
          <w:lang w:val="uk-UA"/>
        </w:rPr>
      </w:pPr>
      <w:r w:rsidRPr="005670C3">
        <w:rPr>
          <w:rFonts w:ascii="Times New Roman" w:hAnsi="Times New Roman" w:cs="Times New Roman"/>
          <w:i/>
          <w:sz w:val="28"/>
          <w:szCs w:val="28"/>
          <w:lang w:val="uk-UA"/>
        </w:rPr>
        <w:t>Таблиця</w:t>
      </w:r>
      <w:r w:rsidR="002B4682" w:rsidRPr="005670C3">
        <w:rPr>
          <w:rFonts w:ascii="Times New Roman" w:hAnsi="Times New Roman" w:cs="Times New Roman"/>
          <w:i/>
          <w:sz w:val="28"/>
          <w:szCs w:val="28"/>
          <w:lang w:val="uk-UA"/>
        </w:rPr>
        <w:t xml:space="preserve"> 5.3</w:t>
      </w:r>
      <w:r w:rsidRPr="005670C3">
        <w:rPr>
          <w:rFonts w:ascii="Times New Roman" w:hAnsi="Times New Roman" w:cs="Times New Roman"/>
          <w:i/>
          <w:sz w:val="28"/>
          <w:szCs w:val="28"/>
          <w:lang w:val="uk-UA"/>
        </w:rPr>
        <w:t xml:space="preserve">.1 </w:t>
      </w:r>
    </w:p>
    <w:p w:rsidR="00AC1EC9" w:rsidRPr="005670C3" w:rsidRDefault="00084F5F" w:rsidP="005670C3">
      <w:pPr>
        <w:autoSpaceDE w:val="0"/>
        <w:autoSpaceDN w:val="0"/>
        <w:adjustRightInd w:val="0"/>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Вміст </w:t>
      </w:r>
      <w:r w:rsidR="003146D1" w:rsidRPr="005670C3">
        <w:rPr>
          <w:rFonts w:ascii="Times New Roman" w:hAnsi="Times New Roman" w:cs="Times New Roman"/>
          <w:b/>
          <w:sz w:val="28"/>
          <w:szCs w:val="28"/>
          <w:lang w:val="uk-UA"/>
        </w:rPr>
        <w:t>ендотеліну-1 залежно</w:t>
      </w:r>
      <w:r w:rsidR="00AC1EC9" w:rsidRPr="005670C3">
        <w:rPr>
          <w:rFonts w:ascii="Times New Roman" w:hAnsi="Times New Roman" w:cs="Times New Roman"/>
          <w:b/>
          <w:sz w:val="28"/>
          <w:szCs w:val="28"/>
          <w:lang w:val="uk-UA"/>
        </w:rPr>
        <w:t xml:space="preserve"> від функціонального класу хр</w:t>
      </w:r>
      <w:r w:rsidR="003146D1" w:rsidRPr="005670C3">
        <w:rPr>
          <w:rFonts w:ascii="Times New Roman" w:hAnsi="Times New Roman" w:cs="Times New Roman"/>
          <w:b/>
          <w:sz w:val="28"/>
          <w:szCs w:val="28"/>
          <w:lang w:val="uk-UA"/>
        </w:rPr>
        <w:t xml:space="preserve">онічної серцевої недостатності </w:t>
      </w:r>
      <w:r w:rsidR="005670C3" w:rsidRPr="005670C3">
        <w:rPr>
          <w:rFonts w:ascii="Times New Roman" w:hAnsi="Times New Roman" w:cs="Times New Roman"/>
          <w:b/>
          <w:sz w:val="28"/>
          <w:szCs w:val="28"/>
          <w:lang w:val="uk-UA"/>
        </w:rPr>
        <w:t xml:space="preserve">у пацієнтів </w:t>
      </w:r>
      <w:r w:rsidR="00913A61">
        <w:rPr>
          <w:rFonts w:ascii="Times New Roman" w:hAnsi="Times New Roman" w:cs="Times New Roman"/>
          <w:b/>
          <w:sz w:val="28"/>
          <w:szCs w:val="28"/>
          <w:lang w:val="uk-UA"/>
        </w:rPr>
        <w:t>і</w:t>
      </w:r>
      <w:r w:rsidR="00AC1EC9" w:rsidRPr="005670C3">
        <w:rPr>
          <w:rFonts w:ascii="Times New Roman" w:hAnsi="Times New Roman" w:cs="Times New Roman"/>
          <w:b/>
          <w:sz w:val="28"/>
          <w:szCs w:val="28"/>
          <w:lang w:val="uk-UA"/>
        </w:rPr>
        <w:t xml:space="preserve">з </w:t>
      </w:r>
      <w:r w:rsidR="00A35BD0" w:rsidRPr="005670C3">
        <w:rPr>
          <w:rFonts w:ascii="Times New Roman" w:hAnsi="Times New Roman" w:cs="Times New Roman"/>
          <w:b/>
          <w:sz w:val="28"/>
          <w:szCs w:val="28"/>
          <w:lang w:val="uk-UA"/>
        </w:rPr>
        <w:t xml:space="preserve">артеріальною гіпертензією та </w:t>
      </w:r>
      <w:r w:rsidR="00AC1EC9" w:rsidRPr="005670C3">
        <w:rPr>
          <w:rFonts w:ascii="Times New Roman" w:hAnsi="Times New Roman" w:cs="Times New Roman"/>
          <w:b/>
          <w:sz w:val="28"/>
          <w:szCs w:val="28"/>
          <w:lang w:val="uk-UA"/>
        </w:rPr>
        <w:t>цукровим діабетом 2</w:t>
      </w:r>
      <w:r w:rsidR="003146D1" w:rsidRPr="005670C3">
        <w:rPr>
          <w:rFonts w:ascii="Times New Roman" w:hAnsi="Times New Roman" w:cs="Times New Roman"/>
          <w:b/>
          <w:sz w:val="28"/>
          <w:szCs w:val="28"/>
          <w:lang w:val="uk-UA"/>
        </w:rPr>
        <w:t>-го</w:t>
      </w:r>
      <w:r w:rsidR="00AC1EC9" w:rsidRPr="005670C3">
        <w:rPr>
          <w:rFonts w:ascii="Times New Roman" w:hAnsi="Times New Roman" w:cs="Times New Roman"/>
          <w:b/>
          <w:sz w:val="28"/>
          <w:szCs w:val="28"/>
          <w:lang w:val="uk-UA"/>
        </w:rPr>
        <w:t xml:space="preserve"> типу</w:t>
      </w:r>
    </w:p>
    <w:tbl>
      <w:tblPr>
        <w:tblStyle w:val="a5"/>
        <w:tblW w:w="0" w:type="auto"/>
        <w:tblInd w:w="108" w:type="dxa"/>
        <w:tblLayout w:type="fixed"/>
        <w:tblLook w:val="04A0" w:firstRow="1" w:lastRow="0" w:firstColumn="1" w:lastColumn="0" w:noHBand="0" w:noVBand="1"/>
      </w:tblPr>
      <w:tblGrid>
        <w:gridCol w:w="1560"/>
        <w:gridCol w:w="2835"/>
        <w:gridCol w:w="2409"/>
        <w:gridCol w:w="2552"/>
      </w:tblGrid>
      <w:tr w:rsidR="0047081A" w:rsidTr="0047081A">
        <w:tc>
          <w:tcPr>
            <w:tcW w:w="1560" w:type="dxa"/>
          </w:tcPr>
          <w:p w:rsidR="0047081A" w:rsidRDefault="00084F5F" w:rsidP="00852BAA">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2835" w:type="dxa"/>
          </w:tcPr>
          <w:p w:rsidR="0047081A" w:rsidRPr="00BD4338" w:rsidRDefault="00084F5F" w:rsidP="00852BAA">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ФК </w:t>
            </w:r>
            <w:r w:rsidR="0047081A">
              <w:rPr>
                <w:rFonts w:ascii="Times New Roman" w:hAnsi="Times New Roman" w:cs="Times New Roman"/>
                <w:sz w:val="28"/>
                <w:szCs w:val="28"/>
                <w:lang w:val="uk-UA"/>
              </w:rPr>
              <w:t>ІІ (</w:t>
            </w:r>
            <w:r w:rsidR="0047081A">
              <w:rPr>
                <w:rFonts w:ascii="Times New Roman" w:hAnsi="Times New Roman" w:cs="Times New Roman"/>
                <w:sz w:val="28"/>
                <w:szCs w:val="28"/>
                <w:lang w:val="en-US"/>
              </w:rPr>
              <w:t xml:space="preserve">n = </w:t>
            </w:r>
            <w:r w:rsidR="0047081A">
              <w:rPr>
                <w:rFonts w:ascii="Times New Roman" w:hAnsi="Times New Roman" w:cs="Times New Roman"/>
                <w:sz w:val="28"/>
                <w:szCs w:val="28"/>
                <w:lang w:val="uk-UA"/>
              </w:rPr>
              <w:t>80</w:t>
            </w:r>
            <w:r w:rsidR="0047081A">
              <w:rPr>
                <w:rFonts w:ascii="Times New Roman" w:hAnsi="Times New Roman" w:cs="Times New Roman"/>
                <w:sz w:val="28"/>
                <w:szCs w:val="28"/>
                <w:lang w:val="en-US"/>
              </w:rPr>
              <w:t>)</w:t>
            </w:r>
          </w:p>
        </w:tc>
        <w:tc>
          <w:tcPr>
            <w:tcW w:w="2409" w:type="dxa"/>
          </w:tcPr>
          <w:p w:rsidR="0047081A" w:rsidRPr="00BD4338" w:rsidRDefault="00084F5F" w:rsidP="00852BAA">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ФК </w:t>
            </w:r>
            <w:r w:rsidR="0047081A">
              <w:rPr>
                <w:rFonts w:ascii="Times New Roman" w:hAnsi="Times New Roman" w:cs="Times New Roman"/>
                <w:sz w:val="28"/>
                <w:szCs w:val="28"/>
                <w:lang w:val="uk-UA"/>
              </w:rPr>
              <w:t>ІІІ (</w:t>
            </w:r>
            <w:r w:rsidR="0047081A">
              <w:rPr>
                <w:rFonts w:ascii="Times New Roman" w:hAnsi="Times New Roman" w:cs="Times New Roman"/>
                <w:sz w:val="28"/>
                <w:szCs w:val="28"/>
                <w:lang w:val="en-US"/>
              </w:rPr>
              <w:t>n = 14)</w:t>
            </w:r>
          </w:p>
        </w:tc>
        <w:tc>
          <w:tcPr>
            <w:tcW w:w="2552" w:type="dxa"/>
          </w:tcPr>
          <w:p w:rsidR="0047081A" w:rsidRPr="00BD4338" w:rsidRDefault="0047081A" w:rsidP="00852BAA">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47081A" w:rsidTr="0047081A">
        <w:tc>
          <w:tcPr>
            <w:tcW w:w="1560" w:type="dxa"/>
          </w:tcPr>
          <w:p w:rsidR="0047081A" w:rsidRPr="00BD4338" w:rsidRDefault="0047081A" w:rsidP="00852BAA">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ET-1,</w:t>
            </w:r>
            <w:r>
              <w:rPr>
                <w:rFonts w:ascii="Times New Roman" w:hAnsi="Times New Roman" w:cs="Times New Roman"/>
                <w:sz w:val="28"/>
                <w:szCs w:val="28"/>
                <w:lang w:val="uk-UA"/>
              </w:rPr>
              <w:t xml:space="preserve"> пг/мл</w:t>
            </w:r>
          </w:p>
        </w:tc>
        <w:tc>
          <w:tcPr>
            <w:tcW w:w="2835" w:type="dxa"/>
          </w:tcPr>
          <w:p w:rsidR="0047081A" w:rsidRDefault="0047081A" w:rsidP="00852BAA">
            <w:pPr>
              <w:autoSpaceDE w:val="0"/>
              <w:autoSpaceDN w:val="0"/>
              <w:adjustRightInd w:val="0"/>
              <w:spacing w:line="360" w:lineRule="auto"/>
              <w:jc w:val="both"/>
              <w:rPr>
                <w:rFonts w:ascii="Times New Roman" w:hAnsi="Times New Roman" w:cs="Times New Roman"/>
                <w:sz w:val="28"/>
                <w:szCs w:val="28"/>
                <w:lang w:val="uk-UA"/>
              </w:rPr>
            </w:pPr>
            <w:r w:rsidRPr="00FC571D">
              <w:rPr>
                <w:rFonts w:ascii="Times New Roman" w:hAnsi="Times New Roman" w:cs="Times New Roman"/>
                <w:sz w:val="28"/>
                <w:szCs w:val="28"/>
                <w:lang w:val="uk-UA"/>
              </w:rPr>
              <w:t>11,23 ± 0,</w:t>
            </w:r>
            <w:r w:rsidR="00CA4F40">
              <w:rPr>
                <w:rFonts w:ascii="Times New Roman" w:hAnsi="Times New Roman" w:cs="Times New Roman"/>
                <w:sz w:val="28"/>
                <w:szCs w:val="28"/>
                <w:lang w:val="uk-UA"/>
              </w:rPr>
              <w:t>07</w:t>
            </w:r>
          </w:p>
        </w:tc>
        <w:tc>
          <w:tcPr>
            <w:tcW w:w="2409" w:type="dxa"/>
          </w:tcPr>
          <w:p w:rsidR="0047081A" w:rsidRPr="006F4E3A" w:rsidRDefault="0047081A" w:rsidP="00852BAA">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11,57 ± 0,0</w:t>
            </w:r>
            <w:r>
              <w:rPr>
                <w:rFonts w:ascii="Times New Roman" w:hAnsi="Times New Roman" w:cs="Times New Roman"/>
                <w:sz w:val="28"/>
                <w:szCs w:val="28"/>
                <w:lang w:val="en-US"/>
              </w:rPr>
              <w:t>5</w:t>
            </w:r>
          </w:p>
        </w:tc>
        <w:tc>
          <w:tcPr>
            <w:tcW w:w="2552" w:type="dxa"/>
          </w:tcPr>
          <w:p w:rsidR="0047081A" w:rsidRPr="00CA4F40" w:rsidRDefault="0047081A" w:rsidP="00852BAA">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CA4F40">
              <w:rPr>
                <w:rFonts w:ascii="Times New Roman" w:hAnsi="Times New Roman" w:cs="Times New Roman"/>
                <w:sz w:val="28"/>
                <w:szCs w:val="28"/>
                <w:vertAlign w:val="subscript"/>
                <w:lang w:val="uk-UA"/>
              </w:rPr>
              <w:t xml:space="preserve"> </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0,</w:t>
            </w:r>
            <w:r w:rsidR="00CA4F40">
              <w:rPr>
                <w:rFonts w:ascii="Times New Roman" w:hAnsi="Times New Roman" w:cs="Times New Roman"/>
                <w:sz w:val="28"/>
                <w:szCs w:val="28"/>
                <w:lang w:val="en-US"/>
              </w:rPr>
              <w:t>0</w:t>
            </w:r>
            <w:r w:rsidR="00CA4F40">
              <w:rPr>
                <w:rFonts w:ascii="Times New Roman" w:hAnsi="Times New Roman" w:cs="Times New Roman"/>
                <w:sz w:val="28"/>
                <w:szCs w:val="28"/>
                <w:lang w:val="uk-UA"/>
              </w:rPr>
              <w:t>476</w:t>
            </w:r>
          </w:p>
          <w:p w:rsidR="0047081A" w:rsidRPr="00D207B1" w:rsidRDefault="0047081A" w:rsidP="00852BAA">
            <w:pPr>
              <w:autoSpaceDE w:val="0"/>
              <w:autoSpaceDN w:val="0"/>
              <w:adjustRightInd w:val="0"/>
              <w:spacing w:line="360" w:lineRule="auto"/>
              <w:jc w:val="both"/>
              <w:rPr>
                <w:rFonts w:ascii="Times New Roman" w:hAnsi="Times New Roman" w:cs="Times New Roman"/>
                <w:sz w:val="28"/>
                <w:szCs w:val="28"/>
                <w:lang w:val="uk-UA"/>
              </w:rPr>
            </w:pPr>
          </w:p>
        </w:tc>
      </w:tr>
    </w:tbl>
    <w:p w:rsidR="005670C3" w:rsidRDefault="005670C3" w:rsidP="00AC1EC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3146D1">
        <w:rPr>
          <w:rFonts w:ascii="Times New Roman" w:hAnsi="Times New Roman" w:cs="Times New Roman"/>
          <w:sz w:val="28"/>
          <w:szCs w:val="28"/>
          <w:lang w:val="uk-UA"/>
        </w:rPr>
        <w:t xml:space="preserve">: </w:t>
      </w:r>
    </w:p>
    <w:p w:rsidR="00AC1EC9" w:rsidRPr="005670C3" w:rsidRDefault="00AC1EC9" w:rsidP="0041341A">
      <w:pPr>
        <w:pStyle w:val="a8"/>
        <w:numPr>
          <w:ilvl w:val="0"/>
          <w:numId w:val="26"/>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n – кількість осіб;</w:t>
      </w:r>
    </w:p>
    <w:p w:rsidR="00AC1EC9" w:rsidRPr="005670C3" w:rsidRDefault="00AC1EC9" w:rsidP="0041341A">
      <w:pPr>
        <w:pStyle w:val="a8"/>
        <w:numPr>
          <w:ilvl w:val="0"/>
          <w:numId w:val="26"/>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р – достовірність розходжен</w:t>
      </w:r>
      <w:r w:rsidR="00CA4F40" w:rsidRPr="005670C3">
        <w:rPr>
          <w:rFonts w:ascii="Times New Roman" w:hAnsi="Times New Roman" w:cs="Times New Roman"/>
          <w:sz w:val="28"/>
          <w:szCs w:val="28"/>
        </w:rPr>
        <w:t>ня</w:t>
      </w:r>
      <w:r w:rsidR="00913A61">
        <w:rPr>
          <w:rFonts w:ascii="Times New Roman" w:hAnsi="Times New Roman" w:cs="Times New Roman"/>
          <w:sz w:val="28"/>
          <w:szCs w:val="28"/>
        </w:rPr>
        <w:t xml:space="preserve"> між показниками</w:t>
      </w:r>
      <w:r w:rsidR="00CA4F40" w:rsidRPr="005670C3">
        <w:rPr>
          <w:rFonts w:ascii="Times New Roman" w:hAnsi="Times New Roman" w:cs="Times New Roman"/>
          <w:sz w:val="28"/>
          <w:szCs w:val="28"/>
        </w:rPr>
        <w:t xml:space="preserve"> </w:t>
      </w:r>
    </w:p>
    <w:p w:rsidR="00936E70" w:rsidRDefault="00936E70" w:rsidP="00AC1EC9">
      <w:pPr>
        <w:autoSpaceDE w:val="0"/>
        <w:autoSpaceDN w:val="0"/>
        <w:adjustRightInd w:val="0"/>
        <w:spacing w:after="0" w:line="360" w:lineRule="auto"/>
        <w:ind w:firstLine="708"/>
        <w:jc w:val="both"/>
        <w:rPr>
          <w:rFonts w:ascii="Times New Roman" w:hAnsi="Times New Roman" w:cs="Times New Roman"/>
          <w:sz w:val="28"/>
          <w:szCs w:val="28"/>
          <w:lang w:val="uk-UA"/>
        </w:rPr>
      </w:pPr>
    </w:p>
    <w:p w:rsidR="00710995" w:rsidRPr="00710995" w:rsidRDefault="003146D1" w:rsidP="00BD480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w:t>
      </w:r>
      <w:r w:rsidR="00936E70">
        <w:rPr>
          <w:rFonts w:ascii="Times New Roman" w:hAnsi="Times New Roman" w:cs="Times New Roman"/>
          <w:sz w:val="28"/>
          <w:szCs w:val="28"/>
          <w:lang w:val="uk-UA"/>
        </w:rPr>
        <w:t>становлено,</w:t>
      </w:r>
      <w:r>
        <w:rPr>
          <w:rFonts w:ascii="Times New Roman" w:hAnsi="Times New Roman" w:cs="Times New Roman"/>
          <w:sz w:val="28"/>
          <w:szCs w:val="28"/>
          <w:lang w:val="uk-UA"/>
        </w:rPr>
        <w:t xml:space="preserve"> що </w:t>
      </w:r>
      <w:r w:rsidR="00C561B0">
        <w:rPr>
          <w:rFonts w:ascii="Times New Roman" w:hAnsi="Times New Roman" w:cs="Times New Roman"/>
          <w:sz w:val="28"/>
          <w:szCs w:val="28"/>
          <w:lang w:val="uk-UA"/>
        </w:rPr>
        <w:t xml:space="preserve">у пацієнтів </w:t>
      </w:r>
      <w:r w:rsidR="00936E70">
        <w:rPr>
          <w:rFonts w:ascii="Times New Roman" w:hAnsi="Times New Roman" w:cs="Times New Roman"/>
          <w:sz w:val="28"/>
          <w:szCs w:val="28"/>
          <w:lang w:val="uk-UA"/>
        </w:rPr>
        <w:t xml:space="preserve">із </w:t>
      </w:r>
      <w:r w:rsidR="00936E70" w:rsidRPr="00FC571D">
        <w:rPr>
          <w:rFonts w:ascii="Times New Roman" w:hAnsi="Times New Roman" w:cs="Times New Roman"/>
          <w:sz w:val="28"/>
          <w:szCs w:val="28"/>
          <w:lang w:val="uk-UA"/>
        </w:rPr>
        <w:t>І</w:t>
      </w:r>
      <w:r w:rsidR="00D36F9B" w:rsidRPr="00FC571D">
        <w:rPr>
          <w:rFonts w:ascii="Times New Roman" w:hAnsi="Times New Roman" w:cs="Times New Roman"/>
          <w:sz w:val="28"/>
          <w:szCs w:val="28"/>
          <w:lang w:val="uk-UA"/>
        </w:rPr>
        <w:t>І</w:t>
      </w:r>
      <w:r w:rsidR="00936E70" w:rsidRPr="00FC571D">
        <w:rPr>
          <w:rFonts w:ascii="Times New Roman" w:hAnsi="Times New Roman" w:cs="Times New Roman"/>
          <w:sz w:val="28"/>
          <w:szCs w:val="28"/>
          <w:lang w:val="uk-UA"/>
        </w:rPr>
        <w:t xml:space="preserve"> ФК ХСН </w:t>
      </w:r>
      <w:r w:rsidR="00C561B0">
        <w:rPr>
          <w:rFonts w:ascii="Times New Roman" w:hAnsi="Times New Roman" w:cs="Times New Roman"/>
          <w:sz w:val="28"/>
          <w:szCs w:val="28"/>
          <w:lang w:val="uk-UA"/>
        </w:rPr>
        <w:t xml:space="preserve">вміст </w:t>
      </w:r>
      <w:r w:rsidR="00936E70" w:rsidRPr="00FC571D">
        <w:rPr>
          <w:rFonts w:ascii="Times New Roman" w:hAnsi="Times New Roman" w:cs="Times New Roman"/>
          <w:sz w:val="28"/>
          <w:szCs w:val="28"/>
          <w:lang w:val="uk-UA"/>
        </w:rPr>
        <w:t xml:space="preserve">ЕТ-1 достовірно менший, </w:t>
      </w:r>
      <w:r w:rsidR="002637BF">
        <w:rPr>
          <w:rFonts w:ascii="Times New Roman" w:hAnsi="Times New Roman" w:cs="Times New Roman"/>
          <w:sz w:val="28"/>
          <w:szCs w:val="28"/>
          <w:lang w:val="uk-UA"/>
        </w:rPr>
        <w:t xml:space="preserve">ніж </w:t>
      </w:r>
      <w:r w:rsidR="00D36F9B" w:rsidRPr="00FC571D">
        <w:rPr>
          <w:rFonts w:ascii="Times New Roman" w:hAnsi="Times New Roman" w:cs="Times New Roman"/>
          <w:sz w:val="28"/>
          <w:szCs w:val="28"/>
          <w:lang w:val="uk-UA"/>
        </w:rPr>
        <w:t>із</w:t>
      </w:r>
      <w:r w:rsidR="00936E70" w:rsidRPr="00FC571D">
        <w:rPr>
          <w:rFonts w:ascii="Times New Roman" w:hAnsi="Times New Roman" w:cs="Times New Roman"/>
          <w:sz w:val="28"/>
          <w:szCs w:val="28"/>
          <w:lang w:val="uk-UA"/>
        </w:rPr>
        <w:t xml:space="preserve"> </w:t>
      </w:r>
      <w:r w:rsidR="00936E70" w:rsidRPr="00FC571D">
        <w:rPr>
          <w:rFonts w:ascii="Times New Roman" w:hAnsi="Times New Roman" w:cs="Times New Roman"/>
          <w:sz w:val="28"/>
          <w:szCs w:val="28"/>
          <w:lang w:val="en-US"/>
        </w:rPr>
        <w:t>III</w:t>
      </w:r>
      <w:r w:rsidR="00936E70" w:rsidRPr="00FC571D">
        <w:rPr>
          <w:rFonts w:ascii="Times New Roman" w:hAnsi="Times New Roman" w:cs="Times New Roman"/>
          <w:sz w:val="28"/>
          <w:szCs w:val="28"/>
          <w:lang w:val="uk-UA"/>
        </w:rPr>
        <w:t xml:space="preserve"> </w:t>
      </w:r>
      <w:r w:rsidR="00CA4F40" w:rsidRPr="00FC571D">
        <w:rPr>
          <w:rFonts w:ascii="Times New Roman" w:hAnsi="Times New Roman" w:cs="Times New Roman"/>
          <w:sz w:val="28"/>
          <w:szCs w:val="28"/>
          <w:lang w:val="uk-UA"/>
        </w:rPr>
        <w:t>ФК ХСН (р = 0,0476</w:t>
      </w:r>
      <w:r w:rsidR="00BD4800" w:rsidRPr="00FC571D">
        <w:rPr>
          <w:rFonts w:ascii="Times New Roman" w:hAnsi="Times New Roman" w:cs="Times New Roman"/>
          <w:sz w:val="28"/>
          <w:szCs w:val="28"/>
          <w:lang w:val="uk-UA"/>
        </w:rPr>
        <w:t>),</w:t>
      </w:r>
      <w:r w:rsidR="00BD4800">
        <w:rPr>
          <w:rFonts w:ascii="Times New Roman" w:hAnsi="Times New Roman" w:cs="Times New Roman"/>
          <w:sz w:val="28"/>
          <w:szCs w:val="28"/>
          <w:lang w:val="uk-UA"/>
        </w:rPr>
        <w:t xml:space="preserve"> що свідчи</w:t>
      </w:r>
      <w:r w:rsidR="00710995" w:rsidRPr="00710995">
        <w:rPr>
          <w:rFonts w:ascii="Times New Roman" w:hAnsi="Times New Roman" w:cs="Times New Roman"/>
          <w:sz w:val="28"/>
          <w:szCs w:val="28"/>
          <w:lang w:val="uk-UA"/>
        </w:rPr>
        <w:t xml:space="preserve">ть про тісний </w:t>
      </w:r>
      <w:r w:rsidR="00C561B0">
        <w:rPr>
          <w:rFonts w:ascii="Times New Roman" w:hAnsi="Times New Roman" w:cs="Times New Roman"/>
          <w:sz w:val="28"/>
          <w:szCs w:val="28"/>
          <w:lang w:val="uk-UA"/>
        </w:rPr>
        <w:t>звʼ</w:t>
      </w:r>
      <w:r w:rsidR="00710995" w:rsidRPr="00710995">
        <w:rPr>
          <w:rFonts w:ascii="Times New Roman" w:hAnsi="Times New Roman" w:cs="Times New Roman"/>
          <w:sz w:val="28"/>
          <w:szCs w:val="28"/>
          <w:lang w:val="uk-UA"/>
        </w:rPr>
        <w:t xml:space="preserve">язок </w:t>
      </w:r>
      <w:r w:rsidR="00DF0C64">
        <w:rPr>
          <w:rFonts w:ascii="Times New Roman" w:hAnsi="Times New Roman" w:cs="Times New Roman"/>
          <w:sz w:val="28"/>
          <w:szCs w:val="28"/>
          <w:lang w:val="uk-UA"/>
        </w:rPr>
        <w:t xml:space="preserve">     </w:t>
      </w:r>
      <w:r w:rsidR="00710995" w:rsidRPr="00710995">
        <w:rPr>
          <w:rFonts w:ascii="Times New Roman" w:hAnsi="Times New Roman" w:cs="Times New Roman"/>
          <w:sz w:val="28"/>
          <w:szCs w:val="28"/>
          <w:lang w:val="uk-UA"/>
        </w:rPr>
        <w:t>між тяжкіс</w:t>
      </w:r>
      <w:r w:rsidR="00C561B0">
        <w:rPr>
          <w:rFonts w:ascii="Times New Roman" w:hAnsi="Times New Roman" w:cs="Times New Roman"/>
          <w:sz w:val="28"/>
          <w:szCs w:val="28"/>
          <w:lang w:val="uk-UA"/>
        </w:rPr>
        <w:t>тю дисфункції ЛШ</w:t>
      </w:r>
      <w:r>
        <w:rPr>
          <w:rFonts w:ascii="Times New Roman" w:hAnsi="Times New Roman" w:cs="Times New Roman"/>
          <w:sz w:val="28"/>
          <w:szCs w:val="28"/>
          <w:lang w:val="uk-UA"/>
        </w:rPr>
        <w:t xml:space="preserve"> з одного боку й</w:t>
      </w:r>
      <w:r w:rsidR="00710995" w:rsidRPr="00710995">
        <w:rPr>
          <w:rFonts w:ascii="Times New Roman" w:hAnsi="Times New Roman" w:cs="Times New Roman"/>
          <w:sz w:val="28"/>
          <w:szCs w:val="28"/>
          <w:lang w:val="uk-UA"/>
        </w:rPr>
        <w:t xml:space="preserve"> активністю плазмової складової ендотелінових системи</w:t>
      </w:r>
      <w:r w:rsidR="006F6FDA">
        <w:rPr>
          <w:rFonts w:ascii="Times New Roman" w:hAnsi="Times New Roman" w:cs="Times New Roman"/>
          <w:sz w:val="28"/>
          <w:szCs w:val="28"/>
          <w:lang w:val="uk-UA"/>
        </w:rPr>
        <w:t xml:space="preserve">, – </w:t>
      </w:r>
      <w:r w:rsidR="00710995" w:rsidRPr="00710995">
        <w:rPr>
          <w:rFonts w:ascii="Times New Roman" w:hAnsi="Times New Roman" w:cs="Times New Roman"/>
          <w:sz w:val="28"/>
          <w:szCs w:val="28"/>
          <w:lang w:val="uk-UA"/>
        </w:rPr>
        <w:t>з іншого.</w:t>
      </w:r>
    </w:p>
    <w:p w:rsidR="00FF45E0" w:rsidRDefault="00C561B0" w:rsidP="005670C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852BAA" w:rsidRPr="00D12761">
        <w:rPr>
          <w:rFonts w:ascii="Times New Roman" w:hAnsi="Times New Roman" w:cs="Times New Roman"/>
          <w:sz w:val="28"/>
          <w:szCs w:val="28"/>
          <w:lang w:val="uk-UA"/>
        </w:rPr>
        <w:t>р</w:t>
      </w:r>
      <w:r>
        <w:rPr>
          <w:rFonts w:ascii="Times New Roman" w:hAnsi="Times New Roman" w:cs="Times New Roman"/>
          <w:sz w:val="28"/>
          <w:szCs w:val="28"/>
          <w:lang w:val="uk-UA"/>
        </w:rPr>
        <w:t>оаналізовано</w:t>
      </w:r>
      <w:r w:rsidR="000119CC">
        <w:rPr>
          <w:rFonts w:ascii="Times New Roman" w:hAnsi="Times New Roman" w:cs="Times New Roman"/>
          <w:sz w:val="28"/>
          <w:szCs w:val="28"/>
          <w:lang w:val="uk-UA"/>
        </w:rPr>
        <w:t xml:space="preserve"> </w:t>
      </w:r>
      <w:r w:rsidR="00852BAA">
        <w:rPr>
          <w:rFonts w:ascii="Times New Roman" w:hAnsi="Times New Roman" w:cs="Times New Roman"/>
          <w:sz w:val="28"/>
          <w:szCs w:val="28"/>
          <w:lang w:val="uk-UA"/>
        </w:rPr>
        <w:t xml:space="preserve">залежність </w:t>
      </w:r>
      <w:r>
        <w:rPr>
          <w:rFonts w:ascii="Times New Roman" w:hAnsi="Times New Roman" w:cs="Times New Roman"/>
          <w:sz w:val="28"/>
          <w:szCs w:val="28"/>
          <w:lang w:val="uk-UA"/>
        </w:rPr>
        <w:t>між вмістом ЕТ-1 та</w:t>
      </w:r>
      <w:r w:rsidR="00852BAA">
        <w:rPr>
          <w:rFonts w:ascii="Times New Roman" w:hAnsi="Times New Roman" w:cs="Times New Roman"/>
          <w:sz w:val="28"/>
          <w:szCs w:val="28"/>
          <w:lang w:val="uk-UA"/>
        </w:rPr>
        <w:t xml:space="preserve"> показниками структурно-ф</w:t>
      </w:r>
      <w:r w:rsidR="002B4682">
        <w:rPr>
          <w:rFonts w:ascii="Times New Roman" w:hAnsi="Times New Roman" w:cs="Times New Roman"/>
          <w:sz w:val="28"/>
          <w:szCs w:val="28"/>
          <w:lang w:val="uk-UA"/>
        </w:rPr>
        <w:t>ункціонального стану ЛШ (табл. 5</w:t>
      </w:r>
      <w:r w:rsidR="00976E54">
        <w:rPr>
          <w:rFonts w:ascii="Times New Roman" w:hAnsi="Times New Roman" w:cs="Times New Roman"/>
          <w:sz w:val="28"/>
          <w:szCs w:val="28"/>
          <w:lang w:val="uk-UA"/>
        </w:rPr>
        <w:t>.3.2</w:t>
      </w:r>
      <w:r w:rsidR="00852BAA">
        <w:rPr>
          <w:rFonts w:ascii="Times New Roman" w:hAnsi="Times New Roman" w:cs="Times New Roman"/>
          <w:sz w:val="28"/>
          <w:szCs w:val="28"/>
          <w:lang w:val="uk-UA"/>
        </w:rPr>
        <w:t>).</w:t>
      </w:r>
    </w:p>
    <w:p w:rsidR="005670C3" w:rsidRPr="005670C3" w:rsidRDefault="003146D1" w:rsidP="005670C3">
      <w:pPr>
        <w:autoSpaceDE w:val="0"/>
        <w:autoSpaceDN w:val="0"/>
        <w:adjustRightInd w:val="0"/>
        <w:spacing w:after="0" w:line="360" w:lineRule="auto"/>
        <w:jc w:val="right"/>
        <w:rPr>
          <w:rFonts w:ascii="Times New Roman" w:hAnsi="Times New Roman" w:cs="Times New Roman"/>
          <w:i/>
          <w:sz w:val="28"/>
          <w:szCs w:val="28"/>
          <w:lang w:val="uk-UA"/>
        </w:rPr>
      </w:pPr>
      <w:r w:rsidRPr="005670C3">
        <w:rPr>
          <w:rFonts w:ascii="Times New Roman" w:hAnsi="Times New Roman" w:cs="Times New Roman"/>
          <w:i/>
          <w:sz w:val="28"/>
          <w:szCs w:val="28"/>
          <w:lang w:val="uk-UA"/>
        </w:rPr>
        <w:t>Таблиця</w:t>
      </w:r>
      <w:r w:rsidR="002B4682" w:rsidRPr="005670C3">
        <w:rPr>
          <w:rFonts w:ascii="Times New Roman" w:hAnsi="Times New Roman" w:cs="Times New Roman"/>
          <w:i/>
          <w:sz w:val="28"/>
          <w:szCs w:val="28"/>
          <w:lang w:val="uk-UA"/>
        </w:rPr>
        <w:t xml:space="preserve"> 5</w:t>
      </w:r>
      <w:r w:rsidR="00976E54" w:rsidRPr="005670C3">
        <w:rPr>
          <w:rFonts w:ascii="Times New Roman" w:hAnsi="Times New Roman" w:cs="Times New Roman"/>
          <w:i/>
          <w:sz w:val="28"/>
          <w:szCs w:val="28"/>
          <w:lang w:val="uk-UA"/>
        </w:rPr>
        <w:t>.3.2</w:t>
      </w:r>
    </w:p>
    <w:p w:rsidR="00852BAA" w:rsidRPr="005670C3" w:rsidRDefault="00C561B0" w:rsidP="005670C3">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w:t>
      </w:r>
      <w:r w:rsidR="00852BAA" w:rsidRPr="005670C3">
        <w:rPr>
          <w:rFonts w:ascii="Times New Roman" w:hAnsi="Times New Roman" w:cs="Times New Roman"/>
          <w:b/>
          <w:sz w:val="28"/>
          <w:szCs w:val="28"/>
          <w:lang w:val="uk-UA"/>
        </w:rPr>
        <w:t xml:space="preserve">алежність між </w:t>
      </w:r>
      <w:r>
        <w:rPr>
          <w:rFonts w:ascii="Times New Roman" w:hAnsi="Times New Roman" w:cs="Times New Roman"/>
          <w:b/>
          <w:sz w:val="28"/>
          <w:szCs w:val="28"/>
          <w:lang w:val="uk-UA"/>
        </w:rPr>
        <w:t xml:space="preserve">вмістом </w:t>
      </w:r>
      <w:r w:rsidR="00852BAA" w:rsidRPr="005670C3">
        <w:rPr>
          <w:rFonts w:ascii="Times New Roman" w:hAnsi="Times New Roman" w:cs="Times New Roman"/>
          <w:b/>
          <w:sz w:val="28"/>
          <w:szCs w:val="28"/>
          <w:lang w:val="uk-UA"/>
        </w:rPr>
        <w:t>ендотеліну-1 і показниками структурно-функціонального стану серцевого м’яза</w:t>
      </w:r>
      <w:r>
        <w:rPr>
          <w:rFonts w:ascii="Times New Roman" w:hAnsi="Times New Roman" w:cs="Times New Roman"/>
          <w:b/>
          <w:sz w:val="28"/>
          <w:szCs w:val="28"/>
          <w:lang w:val="uk-UA"/>
        </w:rPr>
        <w:t xml:space="preserve"> у хворих І групи</w:t>
      </w:r>
    </w:p>
    <w:tbl>
      <w:tblPr>
        <w:tblStyle w:val="a5"/>
        <w:tblW w:w="0" w:type="auto"/>
        <w:tblInd w:w="108" w:type="dxa"/>
        <w:tblLook w:val="04A0" w:firstRow="1" w:lastRow="0" w:firstColumn="1" w:lastColumn="0" w:noHBand="0" w:noVBand="1"/>
      </w:tblPr>
      <w:tblGrid>
        <w:gridCol w:w="4610"/>
        <w:gridCol w:w="2358"/>
        <w:gridCol w:w="2358"/>
      </w:tblGrid>
      <w:tr w:rsidR="007675F3" w:rsidRPr="00976E54" w:rsidTr="00136877">
        <w:trPr>
          <w:trHeight w:val="490"/>
        </w:trPr>
        <w:tc>
          <w:tcPr>
            <w:tcW w:w="4610" w:type="dxa"/>
          </w:tcPr>
          <w:p w:rsidR="007675F3" w:rsidRDefault="007675F3" w:rsidP="00FC571D">
            <w:pPr>
              <w:autoSpaceDE w:val="0"/>
              <w:autoSpaceDN w:val="0"/>
              <w:adjustRightInd w:val="0"/>
              <w:spacing w:line="360" w:lineRule="auto"/>
              <w:jc w:val="both"/>
              <w:rPr>
                <w:rFonts w:ascii="Times New Roman" w:hAnsi="Times New Roman" w:cs="Times New Roman"/>
                <w:sz w:val="28"/>
                <w:szCs w:val="28"/>
                <w:lang w:val="uk-UA"/>
              </w:rPr>
            </w:pPr>
          </w:p>
        </w:tc>
        <w:tc>
          <w:tcPr>
            <w:tcW w:w="2358" w:type="dxa"/>
          </w:tcPr>
          <w:p w:rsidR="007675F3" w:rsidRPr="007675F3" w:rsidRDefault="007675F3" w:rsidP="00FC571D">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p>
        </w:tc>
        <w:tc>
          <w:tcPr>
            <w:tcW w:w="2358" w:type="dxa"/>
          </w:tcPr>
          <w:p w:rsidR="007675F3" w:rsidRPr="007675F3" w:rsidRDefault="007675F3" w:rsidP="00FC571D">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7675F3" w:rsidRPr="00976E54"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ТМШП,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0,24</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0,0179</w:t>
            </w:r>
          </w:p>
        </w:tc>
      </w:tr>
      <w:tr w:rsidR="007675F3" w:rsidRPr="00976E54"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ТЗСЛШ,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0,1714</w:t>
            </w:r>
          </w:p>
        </w:tc>
      </w:tr>
      <w:tr w:rsidR="007675F3" w:rsidRPr="00976E54" w:rsidTr="00136877">
        <w:trPr>
          <w:trHeight w:val="475"/>
        </w:trPr>
        <w:tc>
          <w:tcPr>
            <w:tcW w:w="4610" w:type="dxa"/>
          </w:tcPr>
          <w:p w:rsidR="007675F3" w:rsidRPr="001D6324" w:rsidRDefault="0041341A" w:rsidP="00AC1EC9">
            <w:pPr>
              <w:autoSpaceDE w:val="0"/>
              <w:autoSpaceDN w:val="0"/>
              <w:adjustRightInd w:val="0"/>
              <w:spacing w:line="360" w:lineRule="auto"/>
              <w:jc w:val="both"/>
              <w:rPr>
                <w:rFonts w:ascii="Times New Roman" w:hAnsi="Times New Roman" w:cs="Times New Roman"/>
                <w:sz w:val="28"/>
                <w:szCs w:val="28"/>
                <w:lang w:val="uk-UA"/>
              </w:rPr>
            </w:pPr>
            <w:r>
              <w:br w:type="page"/>
            </w:r>
            <w:r w:rsidR="007675F3">
              <w:rPr>
                <w:rFonts w:ascii="Times New Roman" w:hAnsi="Times New Roman" w:cs="Times New Roman"/>
                <w:sz w:val="28"/>
                <w:szCs w:val="28"/>
                <w:lang w:val="uk-UA"/>
              </w:rPr>
              <w:t>КДР,</w:t>
            </w:r>
            <w:r w:rsidR="007675F3" w:rsidRPr="00976E54">
              <w:rPr>
                <w:rFonts w:ascii="Times New Roman" w:hAnsi="Times New Roman" w:cs="Times New Roman"/>
                <w:sz w:val="28"/>
                <w:szCs w:val="28"/>
                <w:lang w:val="uk-UA"/>
              </w:rPr>
              <w:t xml:space="preserve"> </w:t>
            </w:r>
            <w:r w:rsidR="007675F3">
              <w:rPr>
                <w:rFonts w:ascii="Times New Roman" w:hAnsi="Times New Roman" w:cs="Times New Roman"/>
                <w:sz w:val="28"/>
                <w:szCs w:val="28"/>
                <w:lang w:val="uk-UA"/>
              </w:rPr>
              <w:t>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0,15</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0,1425</w:t>
            </w:r>
          </w:p>
        </w:tc>
      </w:tr>
      <w:tr w:rsidR="007675F3" w:rsidRPr="00976E54"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КСР,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0,19</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0,0623</w:t>
            </w:r>
          </w:p>
        </w:tc>
      </w:tr>
      <w:tr w:rsidR="007675F3" w:rsidRPr="00976E54"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КДО,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0,14</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0,1714</w:t>
            </w:r>
          </w:p>
        </w:tc>
      </w:tr>
      <w:tr w:rsidR="007675F3"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КСО,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0,13</w:t>
            </w:r>
          </w:p>
        </w:tc>
        <w:tc>
          <w:tcPr>
            <w:tcW w:w="2358" w:type="dxa"/>
          </w:tcPr>
          <w:p w:rsidR="007675F3" w:rsidRDefault="006D1190"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0,2044</w:t>
            </w:r>
          </w:p>
        </w:tc>
      </w:tr>
      <w:tr w:rsidR="007675F3"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ЛП,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0,05</w:t>
            </w:r>
          </w:p>
        </w:tc>
        <w:tc>
          <w:tcPr>
            <w:tcW w:w="2358" w:type="dxa"/>
          </w:tcPr>
          <w:p w:rsidR="007675F3" w:rsidRDefault="006D1190"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0,6267</w:t>
            </w:r>
          </w:p>
        </w:tc>
      </w:tr>
      <w:tr w:rsidR="007675F3" w:rsidTr="00136877">
        <w:trPr>
          <w:trHeight w:val="490"/>
        </w:trPr>
        <w:tc>
          <w:tcPr>
            <w:tcW w:w="4610" w:type="dxa"/>
          </w:tcPr>
          <w:p w:rsidR="007675F3" w:rsidRPr="001D6324" w:rsidRDefault="007675F3" w:rsidP="00AC1EC9">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ПП,</w:t>
            </w:r>
            <w:r>
              <w:rPr>
                <w:rFonts w:ascii="Times New Roman" w:hAnsi="Times New Roman" w:cs="Times New Roman"/>
                <w:sz w:val="28"/>
                <w:szCs w:val="28"/>
              </w:rPr>
              <w:t xml:space="preserve"> см</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0,25</w:t>
            </w:r>
          </w:p>
        </w:tc>
        <w:tc>
          <w:tcPr>
            <w:tcW w:w="2358" w:type="dxa"/>
          </w:tcPr>
          <w:p w:rsidR="007675F3" w:rsidRDefault="006D1190"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0,0135</w:t>
            </w:r>
          </w:p>
        </w:tc>
      </w:tr>
      <w:tr w:rsidR="007675F3" w:rsidTr="00136877">
        <w:trPr>
          <w:trHeight w:val="490"/>
        </w:trPr>
        <w:tc>
          <w:tcPr>
            <w:tcW w:w="4610"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ФВ,</w:t>
            </w:r>
            <w:r w:rsidR="000119C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tc>
        <w:tc>
          <w:tcPr>
            <w:tcW w:w="2358" w:type="dxa"/>
          </w:tcPr>
          <w:p w:rsidR="007675F3" w:rsidRDefault="007675F3"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0,004</w:t>
            </w:r>
          </w:p>
        </w:tc>
        <w:tc>
          <w:tcPr>
            <w:tcW w:w="2358" w:type="dxa"/>
          </w:tcPr>
          <w:p w:rsidR="007675F3" w:rsidRDefault="007C259E" w:rsidP="00AC1EC9">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0,9690</w:t>
            </w:r>
          </w:p>
        </w:tc>
      </w:tr>
    </w:tbl>
    <w:p w:rsidR="005670C3" w:rsidRDefault="005670C3" w:rsidP="00FC571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364C47">
        <w:rPr>
          <w:rFonts w:ascii="Times New Roman" w:hAnsi="Times New Roman" w:cs="Times New Roman"/>
          <w:sz w:val="28"/>
          <w:szCs w:val="28"/>
          <w:lang w:val="uk-UA"/>
        </w:rPr>
        <w:t xml:space="preserve">: </w:t>
      </w:r>
    </w:p>
    <w:p w:rsidR="005670C3" w:rsidRDefault="00364C47" w:rsidP="005670C3">
      <w:pPr>
        <w:pStyle w:val="a8"/>
        <w:numPr>
          <w:ilvl w:val="0"/>
          <w:numId w:val="27"/>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lang w:val="en-US"/>
        </w:rPr>
        <w:t>r</w:t>
      </w:r>
      <w:r w:rsidRPr="005670C3">
        <w:rPr>
          <w:rFonts w:ascii="Times New Roman" w:hAnsi="Times New Roman" w:cs="Times New Roman"/>
          <w:sz w:val="28"/>
          <w:szCs w:val="28"/>
        </w:rPr>
        <w:t xml:space="preserve"> – критерій кореляції Пірсона;</w:t>
      </w:r>
      <w:r w:rsidR="00FC571D" w:rsidRPr="005670C3">
        <w:rPr>
          <w:rFonts w:ascii="Times New Roman" w:hAnsi="Times New Roman" w:cs="Times New Roman"/>
          <w:sz w:val="28"/>
          <w:szCs w:val="28"/>
        </w:rPr>
        <w:t xml:space="preserve"> </w:t>
      </w:r>
    </w:p>
    <w:p w:rsidR="00136877" w:rsidRPr="005670C3" w:rsidRDefault="003146D1" w:rsidP="005670C3">
      <w:pPr>
        <w:pStyle w:val="a8"/>
        <w:numPr>
          <w:ilvl w:val="0"/>
          <w:numId w:val="27"/>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 xml:space="preserve">р – достовірність </w:t>
      </w:r>
      <w:r w:rsidR="004A08EE">
        <w:rPr>
          <w:rFonts w:ascii="Times New Roman" w:hAnsi="Times New Roman" w:cs="Times New Roman"/>
          <w:sz w:val="28"/>
          <w:szCs w:val="28"/>
        </w:rPr>
        <w:t>розходження</w:t>
      </w:r>
    </w:p>
    <w:p w:rsidR="00D16372" w:rsidRDefault="00D16372" w:rsidP="00136877">
      <w:pPr>
        <w:autoSpaceDE w:val="0"/>
        <w:autoSpaceDN w:val="0"/>
        <w:adjustRightInd w:val="0"/>
        <w:spacing w:after="0" w:line="360" w:lineRule="auto"/>
        <w:ind w:firstLine="708"/>
        <w:jc w:val="both"/>
        <w:rPr>
          <w:rFonts w:ascii="Times New Roman" w:hAnsi="Times New Roman" w:cs="Times New Roman"/>
          <w:sz w:val="28"/>
          <w:szCs w:val="28"/>
          <w:lang w:val="uk-UA"/>
        </w:rPr>
      </w:pPr>
    </w:p>
    <w:p w:rsidR="00852BAA" w:rsidRDefault="00391FD3" w:rsidP="0013687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виявлено </w:t>
      </w:r>
      <w:r w:rsidR="007C259E">
        <w:rPr>
          <w:rFonts w:ascii="Times New Roman" w:hAnsi="Times New Roman" w:cs="Times New Roman"/>
          <w:sz w:val="28"/>
          <w:szCs w:val="28"/>
          <w:lang w:val="uk-UA"/>
        </w:rPr>
        <w:t xml:space="preserve">достовірні </w:t>
      </w:r>
      <w:r>
        <w:rPr>
          <w:rFonts w:ascii="Times New Roman" w:hAnsi="Times New Roman" w:cs="Times New Roman"/>
          <w:sz w:val="28"/>
          <w:szCs w:val="28"/>
          <w:lang w:val="uk-UA"/>
        </w:rPr>
        <w:t xml:space="preserve">позитивні зв’язки слабкої сили </w:t>
      </w:r>
      <w:r w:rsidR="00DF0C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між </w:t>
      </w:r>
      <w:r w:rsidR="000119CC">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ЕТ-1 та ТМШП (</w:t>
      </w:r>
      <w:r>
        <w:rPr>
          <w:rFonts w:ascii="Times New Roman" w:hAnsi="Times New Roman" w:cs="Times New Roman"/>
          <w:sz w:val="28"/>
          <w:szCs w:val="28"/>
          <w:lang w:val="en-US"/>
        </w:rPr>
        <w:t>r</w:t>
      </w:r>
      <w:r w:rsidRPr="00391FD3">
        <w:rPr>
          <w:rFonts w:ascii="Times New Roman" w:hAnsi="Times New Roman" w:cs="Times New Roman"/>
          <w:sz w:val="28"/>
          <w:szCs w:val="28"/>
          <w:lang w:val="uk-UA"/>
        </w:rPr>
        <w:t xml:space="preserve"> = </w:t>
      </w:r>
      <w:r>
        <w:rPr>
          <w:rFonts w:ascii="Times New Roman" w:hAnsi="Times New Roman" w:cs="Times New Roman"/>
          <w:sz w:val="28"/>
          <w:szCs w:val="28"/>
          <w:lang w:val="uk-UA"/>
        </w:rPr>
        <w:t>0,24</w:t>
      </w:r>
      <w:r w:rsidR="007C259E">
        <w:rPr>
          <w:rFonts w:ascii="Times New Roman" w:hAnsi="Times New Roman" w:cs="Times New Roman"/>
          <w:sz w:val="28"/>
          <w:szCs w:val="28"/>
          <w:lang w:val="uk-UA"/>
        </w:rPr>
        <w:t>; р = 0,0179</w:t>
      </w:r>
      <w:r>
        <w:rPr>
          <w:rFonts w:ascii="Times New Roman" w:hAnsi="Times New Roman" w:cs="Times New Roman"/>
          <w:sz w:val="28"/>
          <w:szCs w:val="28"/>
          <w:lang w:val="uk-UA"/>
        </w:rPr>
        <w:t>),</w:t>
      </w:r>
      <w:r w:rsidRPr="00391FD3">
        <w:rPr>
          <w:rFonts w:ascii="Times New Roman" w:hAnsi="Times New Roman" w:cs="Times New Roman"/>
          <w:sz w:val="28"/>
          <w:szCs w:val="28"/>
          <w:lang w:val="uk-UA"/>
        </w:rPr>
        <w:t xml:space="preserve"> </w:t>
      </w:r>
      <w:r w:rsidR="00895848">
        <w:rPr>
          <w:rFonts w:ascii="Times New Roman" w:hAnsi="Times New Roman" w:cs="Times New Roman"/>
          <w:sz w:val="28"/>
          <w:szCs w:val="28"/>
          <w:lang w:val="uk-UA"/>
        </w:rPr>
        <w:t>ПП (</w:t>
      </w:r>
      <w:r w:rsidR="00895848">
        <w:rPr>
          <w:rFonts w:ascii="Times New Roman" w:hAnsi="Times New Roman" w:cs="Times New Roman"/>
          <w:sz w:val="28"/>
          <w:szCs w:val="28"/>
          <w:lang w:val="en-US"/>
        </w:rPr>
        <w:t>r</w:t>
      </w:r>
      <w:r w:rsidR="00895848" w:rsidRPr="00391FD3">
        <w:rPr>
          <w:rFonts w:ascii="Times New Roman" w:hAnsi="Times New Roman" w:cs="Times New Roman"/>
          <w:sz w:val="28"/>
          <w:szCs w:val="28"/>
          <w:lang w:val="uk-UA"/>
        </w:rPr>
        <w:t xml:space="preserve"> = </w:t>
      </w:r>
      <w:r w:rsidR="00895848">
        <w:rPr>
          <w:rFonts w:ascii="Times New Roman" w:hAnsi="Times New Roman" w:cs="Times New Roman"/>
          <w:sz w:val="28"/>
          <w:szCs w:val="28"/>
          <w:lang w:val="uk-UA"/>
        </w:rPr>
        <w:t>0,25</w:t>
      </w:r>
      <w:r w:rsidR="007C259E">
        <w:rPr>
          <w:rFonts w:ascii="Times New Roman" w:hAnsi="Times New Roman" w:cs="Times New Roman"/>
          <w:sz w:val="28"/>
          <w:szCs w:val="28"/>
          <w:lang w:val="uk-UA"/>
        </w:rPr>
        <w:t>; р = 0,0135</w:t>
      </w:r>
      <w:r w:rsidR="00895848">
        <w:rPr>
          <w:rFonts w:ascii="Times New Roman" w:hAnsi="Times New Roman" w:cs="Times New Roman"/>
          <w:sz w:val="28"/>
          <w:szCs w:val="28"/>
          <w:lang w:val="uk-UA"/>
        </w:rPr>
        <w:t>)</w:t>
      </w:r>
      <w:r w:rsidR="000119CC">
        <w:rPr>
          <w:rFonts w:ascii="Times New Roman" w:hAnsi="Times New Roman" w:cs="Times New Roman"/>
          <w:sz w:val="28"/>
          <w:szCs w:val="28"/>
          <w:lang w:val="uk-UA"/>
        </w:rPr>
        <w:t>. Констатовано недостовірні</w:t>
      </w:r>
      <w:r w:rsidR="00364C47">
        <w:rPr>
          <w:rFonts w:ascii="Times New Roman" w:hAnsi="Times New Roman" w:cs="Times New Roman"/>
          <w:sz w:val="28"/>
          <w:szCs w:val="28"/>
          <w:lang w:val="uk-UA"/>
        </w:rPr>
        <w:t xml:space="preserve"> </w:t>
      </w:r>
      <w:r w:rsidR="000119CC">
        <w:rPr>
          <w:rFonts w:ascii="Times New Roman" w:hAnsi="Times New Roman" w:cs="Times New Roman"/>
          <w:sz w:val="28"/>
          <w:szCs w:val="28"/>
          <w:lang w:val="uk-UA"/>
        </w:rPr>
        <w:t xml:space="preserve">залежності </w:t>
      </w:r>
      <w:r w:rsidR="00895848">
        <w:rPr>
          <w:rFonts w:ascii="Times New Roman" w:hAnsi="Times New Roman" w:cs="Times New Roman"/>
          <w:sz w:val="28"/>
          <w:szCs w:val="28"/>
          <w:lang w:val="uk-UA"/>
        </w:rPr>
        <w:t xml:space="preserve">між </w:t>
      </w:r>
      <w:r w:rsidR="004A08EE">
        <w:rPr>
          <w:rFonts w:ascii="Times New Roman" w:hAnsi="Times New Roman" w:cs="Times New Roman"/>
          <w:sz w:val="28"/>
          <w:szCs w:val="28"/>
          <w:lang w:val="uk-UA"/>
        </w:rPr>
        <w:t xml:space="preserve">вмістом </w:t>
      </w:r>
      <w:r w:rsidR="003146D1">
        <w:rPr>
          <w:rFonts w:ascii="Times New Roman" w:hAnsi="Times New Roman" w:cs="Times New Roman"/>
          <w:sz w:val="28"/>
          <w:szCs w:val="28"/>
          <w:lang w:val="uk-UA"/>
        </w:rPr>
        <w:t>зазначе</w:t>
      </w:r>
      <w:r w:rsidR="00C27406">
        <w:rPr>
          <w:rFonts w:ascii="Times New Roman" w:hAnsi="Times New Roman" w:cs="Times New Roman"/>
          <w:sz w:val="28"/>
          <w:szCs w:val="28"/>
          <w:lang w:val="uk-UA"/>
        </w:rPr>
        <w:t>ного вазоконстриктора</w:t>
      </w:r>
      <w:r w:rsidR="00895848">
        <w:rPr>
          <w:rFonts w:ascii="Times New Roman" w:hAnsi="Times New Roman" w:cs="Times New Roman"/>
          <w:sz w:val="28"/>
          <w:szCs w:val="28"/>
          <w:lang w:val="uk-UA"/>
        </w:rPr>
        <w:t xml:space="preserve"> та </w:t>
      </w:r>
      <w:r>
        <w:rPr>
          <w:rFonts w:ascii="Times New Roman" w:hAnsi="Times New Roman" w:cs="Times New Roman"/>
          <w:sz w:val="28"/>
          <w:szCs w:val="28"/>
          <w:lang w:val="uk-UA"/>
        </w:rPr>
        <w:t>ТЗСЛШ (</w:t>
      </w:r>
      <w:r>
        <w:rPr>
          <w:rFonts w:ascii="Times New Roman" w:hAnsi="Times New Roman" w:cs="Times New Roman"/>
          <w:sz w:val="28"/>
          <w:szCs w:val="28"/>
          <w:lang w:val="en-US"/>
        </w:rPr>
        <w:t>r</w:t>
      </w:r>
      <w:r w:rsidRPr="00391FD3">
        <w:rPr>
          <w:rFonts w:ascii="Times New Roman" w:hAnsi="Times New Roman" w:cs="Times New Roman"/>
          <w:sz w:val="28"/>
          <w:szCs w:val="28"/>
          <w:lang w:val="uk-UA"/>
        </w:rPr>
        <w:t xml:space="preserve"> = </w:t>
      </w:r>
      <w:r>
        <w:rPr>
          <w:rFonts w:ascii="Times New Roman" w:hAnsi="Times New Roman" w:cs="Times New Roman"/>
          <w:sz w:val="28"/>
          <w:szCs w:val="28"/>
          <w:lang w:val="uk-UA"/>
        </w:rPr>
        <w:t>0,14</w:t>
      </w:r>
      <w:r w:rsidR="00364C47">
        <w:rPr>
          <w:rFonts w:ascii="Times New Roman" w:hAnsi="Times New Roman" w:cs="Times New Roman"/>
          <w:sz w:val="28"/>
          <w:szCs w:val="28"/>
          <w:lang w:val="uk-UA"/>
        </w:rPr>
        <w:t xml:space="preserve">; </w:t>
      </w:r>
      <w:r w:rsidR="000119CC">
        <w:rPr>
          <w:rFonts w:ascii="Times New Roman" w:hAnsi="Times New Roman" w:cs="Times New Roman"/>
          <w:sz w:val="28"/>
          <w:szCs w:val="28"/>
          <w:lang w:val="uk-UA"/>
        </w:rPr>
        <w:t xml:space="preserve"> </w:t>
      </w:r>
      <w:r w:rsidR="00364C47">
        <w:rPr>
          <w:rFonts w:ascii="Times New Roman" w:hAnsi="Times New Roman" w:cs="Times New Roman"/>
          <w:sz w:val="28"/>
          <w:szCs w:val="28"/>
          <w:lang w:val="uk-UA"/>
        </w:rPr>
        <w:t>р = 0,1714</w:t>
      </w:r>
      <w:r w:rsidR="000119CC">
        <w:rPr>
          <w:rFonts w:ascii="Times New Roman" w:hAnsi="Times New Roman" w:cs="Times New Roman"/>
          <w:sz w:val="28"/>
          <w:szCs w:val="28"/>
          <w:lang w:val="uk-UA"/>
        </w:rPr>
        <w:t xml:space="preserve">), </w:t>
      </w:r>
      <w:r>
        <w:rPr>
          <w:rFonts w:ascii="Times New Roman" w:hAnsi="Times New Roman" w:cs="Times New Roman"/>
          <w:sz w:val="28"/>
          <w:szCs w:val="28"/>
          <w:lang w:val="uk-UA"/>
        </w:rPr>
        <w:t>КДР</w:t>
      </w:r>
      <w:r w:rsidR="001E60A1">
        <w:rPr>
          <w:rFonts w:ascii="Times New Roman" w:hAnsi="Times New Roman" w:cs="Times New Roman"/>
          <w:sz w:val="28"/>
          <w:szCs w:val="28"/>
          <w:lang w:val="uk-UA"/>
        </w:rPr>
        <w:t xml:space="preserve"> (</w:t>
      </w:r>
      <w:r w:rsidR="001E60A1">
        <w:rPr>
          <w:rFonts w:ascii="Times New Roman" w:hAnsi="Times New Roman" w:cs="Times New Roman"/>
          <w:sz w:val="28"/>
          <w:szCs w:val="28"/>
          <w:lang w:val="en-US"/>
        </w:rPr>
        <w:t>r</w:t>
      </w:r>
      <w:r w:rsidR="001E60A1" w:rsidRPr="00391FD3">
        <w:rPr>
          <w:rFonts w:ascii="Times New Roman" w:hAnsi="Times New Roman" w:cs="Times New Roman"/>
          <w:sz w:val="28"/>
          <w:szCs w:val="28"/>
          <w:lang w:val="uk-UA"/>
        </w:rPr>
        <w:t xml:space="preserve"> = </w:t>
      </w:r>
      <w:r w:rsidR="001E60A1">
        <w:rPr>
          <w:rFonts w:ascii="Times New Roman" w:hAnsi="Times New Roman" w:cs="Times New Roman"/>
          <w:sz w:val="28"/>
          <w:szCs w:val="28"/>
          <w:lang w:val="uk-UA"/>
        </w:rPr>
        <w:t>0,15</w:t>
      </w:r>
      <w:r w:rsidR="00364C47">
        <w:rPr>
          <w:rFonts w:ascii="Times New Roman" w:hAnsi="Times New Roman" w:cs="Times New Roman"/>
          <w:sz w:val="28"/>
          <w:szCs w:val="28"/>
          <w:lang w:val="uk-UA"/>
        </w:rPr>
        <w:t>; р = 0,1425</w:t>
      </w:r>
      <w:r w:rsidR="001E60A1">
        <w:rPr>
          <w:rFonts w:ascii="Times New Roman" w:hAnsi="Times New Roman" w:cs="Times New Roman"/>
          <w:sz w:val="28"/>
          <w:szCs w:val="28"/>
          <w:lang w:val="uk-UA"/>
        </w:rPr>
        <w:t>)</w:t>
      </w:r>
      <w:r>
        <w:rPr>
          <w:rFonts w:ascii="Times New Roman" w:hAnsi="Times New Roman" w:cs="Times New Roman"/>
          <w:sz w:val="28"/>
          <w:szCs w:val="28"/>
          <w:lang w:val="uk-UA"/>
        </w:rPr>
        <w:t>, КСР</w:t>
      </w:r>
      <w:r w:rsidR="001E60A1">
        <w:rPr>
          <w:rFonts w:ascii="Times New Roman" w:hAnsi="Times New Roman" w:cs="Times New Roman"/>
          <w:sz w:val="28"/>
          <w:szCs w:val="28"/>
          <w:lang w:val="uk-UA"/>
        </w:rPr>
        <w:t xml:space="preserve"> (</w:t>
      </w:r>
      <w:r w:rsidR="001E60A1">
        <w:rPr>
          <w:rFonts w:ascii="Times New Roman" w:hAnsi="Times New Roman" w:cs="Times New Roman"/>
          <w:sz w:val="28"/>
          <w:szCs w:val="28"/>
          <w:lang w:val="en-US"/>
        </w:rPr>
        <w:t>r</w:t>
      </w:r>
      <w:r w:rsidR="001E60A1" w:rsidRPr="00391FD3">
        <w:rPr>
          <w:rFonts w:ascii="Times New Roman" w:hAnsi="Times New Roman" w:cs="Times New Roman"/>
          <w:sz w:val="28"/>
          <w:szCs w:val="28"/>
          <w:lang w:val="uk-UA"/>
        </w:rPr>
        <w:t xml:space="preserve"> = </w:t>
      </w:r>
      <w:r w:rsidR="001E60A1">
        <w:rPr>
          <w:rFonts w:ascii="Times New Roman" w:hAnsi="Times New Roman" w:cs="Times New Roman"/>
          <w:sz w:val="28"/>
          <w:szCs w:val="28"/>
          <w:lang w:val="uk-UA"/>
        </w:rPr>
        <w:t>0,</w:t>
      </w:r>
      <w:r w:rsidR="000119CC">
        <w:rPr>
          <w:rFonts w:ascii="Times New Roman" w:hAnsi="Times New Roman" w:cs="Times New Roman"/>
          <w:sz w:val="28"/>
          <w:szCs w:val="28"/>
          <w:lang w:val="uk-UA"/>
        </w:rPr>
        <w:t xml:space="preserve">19; </w:t>
      </w:r>
      <w:r w:rsidR="00C27406">
        <w:rPr>
          <w:rFonts w:ascii="Times New Roman" w:hAnsi="Times New Roman" w:cs="Times New Roman"/>
          <w:sz w:val="28"/>
          <w:szCs w:val="28"/>
          <w:lang w:val="uk-UA"/>
        </w:rPr>
        <w:t>р = 0,0623</w:t>
      </w:r>
      <w:r w:rsidR="001E60A1">
        <w:rPr>
          <w:rFonts w:ascii="Times New Roman" w:hAnsi="Times New Roman" w:cs="Times New Roman"/>
          <w:sz w:val="28"/>
          <w:szCs w:val="28"/>
          <w:lang w:val="uk-UA"/>
        </w:rPr>
        <w:t>)</w:t>
      </w:r>
      <w:r>
        <w:rPr>
          <w:rFonts w:ascii="Times New Roman" w:hAnsi="Times New Roman" w:cs="Times New Roman"/>
          <w:sz w:val="28"/>
          <w:szCs w:val="28"/>
          <w:lang w:val="uk-UA"/>
        </w:rPr>
        <w:t>, КДО</w:t>
      </w:r>
      <w:r w:rsidR="001E60A1">
        <w:rPr>
          <w:rFonts w:ascii="Times New Roman" w:hAnsi="Times New Roman" w:cs="Times New Roman"/>
          <w:sz w:val="28"/>
          <w:szCs w:val="28"/>
          <w:lang w:val="uk-UA"/>
        </w:rPr>
        <w:t xml:space="preserve"> (</w:t>
      </w:r>
      <w:r w:rsidR="001E60A1">
        <w:rPr>
          <w:rFonts w:ascii="Times New Roman" w:hAnsi="Times New Roman" w:cs="Times New Roman"/>
          <w:sz w:val="28"/>
          <w:szCs w:val="28"/>
          <w:lang w:val="en-US"/>
        </w:rPr>
        <w:t>r</w:t>
      </w:r>
      <w:r w:rsidR="001E60A1" w:rsidRPr="00391FD3">
        <w:rPr>
          <w:rFonts w:ascii="Times New Roman" w:hAnsi="Times New Roman" w:cs="Times New Roman"/>
          <w:sz w:val="28"/>
          <w:szCs w:val="28"/>
          <w:lang w:val="uk-UA"/>
        </w:rPr>
        <w:t xml:space="preserve"> = </w:t>
      </w:r>
      <w:r w:rsidR="001E60A1">
        <w:rPr>
          <w:rFonts w:ascii="Times New Roman" w:hAnsi="Times New Roman" w:cs="Times New Roman"/>
          <w:sz w:val="28"/>
          <w:szCs w:val="28"/>
          <w:lang w:val="uk-UA"/>
        </w:rPr>
        <w:t>0,14</w:t>
      </w:r>
      <w:r w:rsidR="00364C47">
        <w:rPr>
          <w:rFonts w:ascii="Times New Roman" w:hAnsi="Times New Roman" w:cs="Times New Roman"/>
          <w:sz w:val="28"/>
          <w:szCs w:val="28"/>
          <w:lang w:val="uk-UA"/>
        </w:rPr>
        <w:t>; р = 0,1714</w:t>
      </w:r>
      <w:r w:rsidR="001E60A1">
        <w:rPr>
          <w:rFonts w:ascii="Times New Roman" w:hAnsi="Times New Roman" w:cs="Times New Roman"/>
          <w:sz w:val="28"/>
          <w:szCs w:val="28"/>
          <w:lang w:val="uk-UA"/>
        </w:rPr>
        <w:t>),</w:t>
      </w:r>
      <w:r>
        <w:rPr>
          <w:rFonts w:ascii="Times New Roman" w:hAnsi="Times New Roman" w:cs="Times New Roman"/>
          <w:sz w:val="28"/>
          <w:szCs w:val="28"/>
          <w:lang w:val="uk-UA"/>
        </w:rPr>
        <w:t xml:space="preserve"> КСО</w:t>
      </w:r>
      <w:r w:rsidR="001E60A1">
        <w:rPr>
          <w:rFonts w:ascii="Times New Roman" w:hAnsi="Times New Roman" w:cs="Times New Roman"/>
          <w:sz w:val="28"/>
          <w:szCs w:val="28"/>
          <w:lang w:val="uk-UA"/>
        </w:rPr>
        <w:t xml:space="preserve"> (</w:t>
      </w:r>
      <w:r w:rsidR="001E60A1">
        <w:rPr>
          <w:rFonts w:ascii="Times New Roman" w:hAnsi="Times New Roman" w:cs="Times New Roman"/>
          <w:sz w:val="28"/>
          <w:szCs w:val="28"/>
          <w:lang w:val="en-US"/>
        </w:rPr>
        <w:t>r</w:t>
      </w:r>
      <w:r w:rsidR="001E60A1" w:rsidRPr="00391FD3">
        <w:rPr>
          <w:rFonts w:ascii="Times New Roman" w:hAnsi="Times New Roman" w:cs="Times New Roman"/>
          <w:sz w:val="28"/>
          <w:szCs w:val="28"/>
          <w:lang w:val="uk-UA"/>
        </w:rPr>
        <w:t xml:space="preserve"> = </w:t>
      </w:r>
      <w:r w:rsidR="001E60A1">
        <w:rPr>
          <w:rFonts w:ascii="Times New Roman" w:hAnsi="Times New Roman" w:cs="Times New Roman"/>
          <w:sz w:val="28"/>
          <w:szCs w:val="28"/>
          <w:lang w:val="uk-UA"/>
        </w:rPr>
        <w:t>0,13</w:t>
      </w:r>
      <w:r w:rsidR="000119CC">
        <w:rPr>
          <w:rFonts w:ascii="Times New Roman" w:hAnsi="Times New Roman" w:cs="Times New Roman"/>
          <w:sz w:val="28"/>
          <w:szCs w:val="28"/>
          <w:lang w:val="uk-UA"/>
        </w:rPr>
        <w:t xml:space="preserve">; </w:t>
      </w:r>
      <w:r w:rsidR="00C626B7">
        <w:rPr>
          <w:rFonts w:ascii="Times New Roman" w:hAnsi="Times New Roman" w:cs="Times New Roman"/>
          <w:sz w:val="28"/>
          <w:szCs w:val="28"/>
          <w:lang w:val="uk-UA"/>
        </w:rPr>
        <w:t xml:space="preserve">                 р</w:t>
      </w:r>
      <w:r w:rsidR="004A08EE">
        <w:rPr>
          <w:rFonts w:ascii="Times New Roman" w:hAnsi="Times New Roman" w:cs="Times New Roman"/>
          <w:sz w:val="28"/>
          <w:szCs w:val="28"/>
          <w:lang w:val="uk-UA"/>
        </w:rPr>
        <w:t xml:space="preserve"> </w:t>
      </w:r>
      <w:r w:rsidR="00364C47">
        <w:rPr>
          <w:rFonts w:ascii="Times New Roman" w:hAnsi="Times New Roman" w:cs="Times New Roman"/>
          <w:sz w:val="28"/>
          <w:szCs w:val="28"/>
          <w:lang w:val="uk-UA"/>
        </w:rPr>
        <w:t>= 0,2044</w:t>
      </w:r>
      <w:r w:rsidR="001E60A1">
        <w:rPr>
          <w:rFonts w:ascii="Times New Roman" w:hAnsi="Times New Roman" w:cs="Times New Roman"/>
          <w:sz w:val="28"/>
          <w:szCs w:val="28"/>
          <w:lang w:val="uk-UA"/>
        </w:rPr>
        <w:t>)</w:t>
      </w:r>
      <w:r w:rsidR="00C626B7">
        <w:rPr>
          <w:rFonts w:ascii="Times New Roman" w:hAnsi="Times New Roman" w:cs="Times New Roman"/>
          <w:sz w:val="28"/>
          <w:szCs w:val="28"/>
          <w:lang w:val="uk-UA"/>
        </w:rPr>
        <w:t xml:space="preserve">, </w:t>
      </w:r>
      <w:r>
        <w:rPr>
          <w:rFonts w:ascii="Times New Roman" w:hAnsi="Times New Roman" w:cs="Times New Roman"/>
          <w:sz w:val="28"/>
          <w:szCs w:val="28"/>
          <w:lang w:val="uk-UA"/>
        </w:rPr>
        <w:t>ЛП</w:t>
      </w:r>
      <w:r w:rsidR="004A08EE">
        <w:rPr>
          <w:rFonts w:ascii="Times New Roman" w:hAnsi="Times New Roman" w:cs="Times New Roman"/>
          <w:sz w:val="28"/>
          <w:szCs w:val="28"/>
          <w:lang w:val="uk-UA"/>
        </w:rPr>
        <w:t xml:space="preserve"> </w:t>
      </w:r>
      <w:r w:rsidR="001E60A1">
        <w:rPr>
          <w:rFonts w:ascii="Times New Roman" w:hAnsi="Times New Roman" w:cs="Times New Roman"/>
          <w:sz w:val="28"/>
          <w:szCs w:val="28"/>
          <w:lang w:val="uk-UA"/>
        </w:rPr>
        <w:t>(</w:t>
      </w:r>
      <w:r w:rsidR="001E60A1">
        <w:rPr>
          <w:rFonts w:ascii="Times New Roman" w:hAnsi="Times New Roman" w:cs="Times New Roman"/>
          <w:sz w:val="28"/>
          <w:szCs w:val="28"/>
          <w:lang w:val="en-US"/>
        </w:rPr>
        <w:t>r</w:t>
      </w:r>
      <w:r w:rsidR="001E60A1" w:rsidRPr="00391FD3">
        <w:rPr>
          <w:rFonts w:ascii="Times New Roman" w:hAnsi="Times New Roman" w:cs="Times New Roman"/>
          <w:sz w:val="28"/>
          <w:szCs w:val="28"/>
          <w:lang w:val="uk-UA"/>
        </w:rPr>
        <w:t xml:space="preserve"> = </w:t>
      </w:r>
      <w:r w:rsidR="001E60A1">
        <w:rPr>
          <w:rFonts w:ascii="Times New Roman" w:hAnsi="Times New Roman" w:cs="Times New Roman"/>
          <w:sz w:val="28"/>
          <w:szCs w:val="28"/>
          <w:lang w:val="uk-UA"/>
        </w:rPr>
        <w:t>0,05</w:t>
      </w:r>
      <w:r w:rsidR="00364C47">
        <w:rPr>
          <w:rFonts w:ascii="Times New Roman" w:hAnsi="Times New Roman" w:cs="Times New Roman"/>
          <w:sz w:val="28"/>
          <w:szCs w:val="28"/>
          <w:lang w:val="uk-UA"/>
        </w:rPr>
        <w:t>; р = 0,6267</w:t>
      </w:r>
      <w:r w:rsidR="001E60A1">
        <w:rPr>
          <w:rFonts w:ascii="Times New Roman" w:hAnsi="Times New Roman" w:cs="Times New Roman"/>
          <w:sz w:val="28"/>
          <w:szCs w:val="28"/>
          <w:lang w:val="uk-UA"/>
        </w:rPr>
        <w:t>)</w:t>
      </w:r>
      <w:r w:rsidR="004A08EE">
        <w:rPr>
          <w:rFonts w:ascii="Times New Roman" w:hAnsi="Times New Roman" w:cs="Times New Roman"/>
          <w:sz w:val="28"/>
          <w:szCs w:val="28"/>
          <w:lang w:val="uk-UA"/>
        </w:rPr>
        <w:t>. Не було у</w:t>
      </w:r>
      <w:r w:rsidR="00A35BD0">
        <w:rPr>
          <w:rFonts w:ascii="Times New Roman" w:hAnsi="Times New Roman" w:cs="Times New Roman"/>
          <w:sz w:val="28"/>
          <w:szCs w:val="28"/>
          <w:lang w:val="uk-UA"/>
        </w:rPr>
        <w:t xml:space="preserve">становлено негативного </w:t>
      </w:r>
      <w:r w:rsidR="00A35BD0">
        <w:rPr>
          <w:rFonts w:ascii="Times New Roman" w:hAnsi="Times New Roman" w:cs="Times New Roman"/>
          <w:sz w:val="28"/>
          <w:szCs w:val="28"/>
          <w:lang w:val="uk-UA"/>
        </w:rPr>
        <w:lastRenderedPageBreak/>
        <w:t>звʼязку</w:t>
      </w:r>
      <w:r>
        <w:rPr>
          <w:rFonts w:ascii="Times New Roman" w:hAnsi="Times New Roman" w:cs="Times New Roman"/>
          <w:sz w:val="28"/>
          <w:szCs w:val="28"/>
          <w:lang w:val="uk-UA"/>
        </w:rPr>
        <w:t xml:space="preserve"> між </w:t>
      </w:r>
      <w:r w:rsidR="00444188">
        <w:rPr>
          <w:rFonts w:ascii="Times New Roman" w:hAnsi="Times New Roman" w:cs="Times New Roman"/>
          <w:sz w:val="28"/>
          <w:szCs w:val="28"/>
          <w:lang w:val="uk-UA"/>
        </w:rPr>
        <w:t xml:space="preserve">вмістом </w:t>
      </w:r>
      <w:r>
        <w:rPr>
          <w:rFonts w:ascii="Times New Roman" w:hAnsi="Times New Roman" w:cs="Times New Roman"/>
          <w:sz w:val="28"/>
          <w:szCs w:val="28"/>
          <w:lang w:val="uk-UA"/>
        </w:rPr>
        <w:t>ЕТ-1 та ФВ ЛШ</w:t>
      </w:r>
      <w:r w:rsidR="001E60A1">
        <w:rPr>
          <w:rFonts w:ascii="Times New Roman" w:hAnsi="Times New Roman" w:cs="Times New Roman"/>
          <w:sz w:val="28"/>
          <w:szCs w:val="28"/>
          <w:lang w:val="uk-UA"/>
        </w:rPr>
        <w:t xml:space="preserve"> (</w:t>
      </w:r>
      <w:r w:rsidR="001E60A1">
        <w:rPr>
          <w:rFonts w:ascii="Times New Roman" w:hAnsi="Times New Roman" w:cs="Times New Roman"/>
          <w:sz w:val="28"/>
          <w:szCs w:val="28"/>
          <w:lang w:val="en-US"/>
        </w:rPr>
        <w:t>r</w:t>
      </w:r>
      <w:r w:rsidR="001E60A1" w:rsidRPr="00391FD3">
        <w:rPr>
          <w:rFonts w:ascii="Times New Roman" w:hAnsi="Times New Roman" w:cs="Times New Roman"/>
          <w:sz w:val="28"/>
          <w:szCs w:val="28"/>
          <w:lang w:val="uk-UA"/>
        </w:rPr>
        <w:t xml:space="preserve"> = </w:t>
      </w:r>
      <w:r w:rsidR="001E60A1">
        <w:rPr>
          <w:rFonts w:ascii="Times New Roman" w:hAnsi="Times New Roman" w:cs="Times New Roman"/>
          <w:sz w:val="28"/>
          <w:szCs w:val="28"/>
          <w:lang w:val="uk-UA"/>
        </w:rPr>
        <w:t>0,</w:t>
      </w:r>
      <w:r w:rsidR="000009AC">
        <w:rPr>
          <w:rFonts w:ascii="Times New Roman" w:hAnsi="Times New Roman" w:cs="Times New Roman"/>
          <w:sz w:val="28"/>
          <w:szCs w:val="28"/>
          <w:lang w:val="uk-UA"/>
        </w:rPr>
        <w:t>004</w:t>
      </w:r>
      <w:r w:rsidR="00364C47">
        <w:rPr>
          <w:rFonts w:ascii="Times New Roman" w:hAnsi="Times New Roman" w:cs="Times New Roman"/>
          <w:sz w:val="28"/>
          <w:szCs w:val="28"/>
          <w:lang w:val="uk-UA"/>
        </w:rPr>
        <w:t>; р = 0,9690</w:t>
      </w:r>
      <w:r w:rsidR="001E60A1">
        <w:rPr>
          <w:rFonts w:ascii="Times New Roman" w:hAnsi="Times New Roman" w:cs="Times New Roman"/>
          <w:sz w:val="28"/>
          <w:szCs w:val="28"/>
          <w:lang w:val="uk-UA"/>
        </w:rPr>
        <w:t>)</w:t>
      </w:r>
      <w:r w:rsidR="004A08EE">
        <w:rPr>
          <w:rFonts w:ascii="Times New Roman" w:hAnsi="Times New Roman" w:cs="Times New Roman"/>
          <w:sz w:val="28"/>
          <w:szCs w:val="28"/>
          <w:lang w:val="uk-UA"/>
        </w:rPr>
        <w:t xml:space="preserve"> у хворих на </w:t>
      </w:r>
      <w:r w:rsidR="004A08EE" w:rsidRPr="004A08EE">
        <w:rPr>
          <w:rFonts w:ascii="Times New Roman" w:hAnsi="Times New Roman" w:cs="Times New Roman"/>
          <w:sz w:val="28"/>
          <w:szCs w:val="28"/>
          <w:lang w:val="uk-UA"/>
        </w:rPr>
        <w:t>АГ та ЦД 2-го типу</w:t>
      </w:r>
      <w:r>
        <w:rPr>
          <w:rFonts w:ascii="Times New Roman" w:hAnsi="Times New Roman" w:cs="Times New Roman"/>
          <w:sz w:val="28"/>
          <w:szCs w:val="28"/>
          <w:lang w:val="uk-UA"/>
        </w:rPr>
        <w:t xml:space="preserve">. </w:t>
      </w:r>
    </w:p>
    <w:p w:rsidR="001E60A1" w:rsidRPr="00B527E5" w:rsidRDefault="004A08EE" w:rsidP="00567B24">
      <w:pPr>
        <w:autoSpaceDE w:val="0"/>
        <w:autoSpaceDN w:val="0"/>
        <w:adjustRightInd w:val="0"/>
        <w:spacing w:after="0" w:line="360" w:lineRule="auto"/>
        <w:ind w:firstLine="708"/>
        <w:jc w:val="both"/>
        <w:rPr>
          <w:rFonts w:ascii="Times New Roman" w:hAnsi="Times New Roman" w:cs="Times New Roman"/>
          <w:sz w:val="28"/>
          <w:szCs w:val="28"/>
          <w:lang w:val="uk-UA"/>
        </w:rPr>
      </w:pPr>
      <w:r w:rsidRPr="00444188">
        <w:rPr>
          <w:rFonts w:ascii="Times New Roman" w:hAnsi="Times New Roman" w:cs="Times New Roman"/>
          <w:sz w:val="28"/>
          <w:szCs w:val="28"/>
          <w:lang w:val="uk-UA"/>
        </w:rPr>
        <w:t>Дослідниками в</w:t>
      </w:r>
      <w:r w:rsidR="00895848" w:rsidRPr="00444188">
        <w:rPr>
          <w:rFonts w:ascii="Times New Roman" w:hAnsi="Times New Roman" w:cs="Times New Roman"/>
          <w:sz w:val="28"/>
          <w:szCs w:val="28"/>
          <w:lang w:val="uk-UA"/>
        </w:rPr>
        <w:t xml:space="preserve">иявлено позитивну </w:t>
      </w:r>
      <w:r w:rsidRPr="00444188">
        <w:rPr>
          <w:rFonts w:ascii="Times New Roman" w:hAnsi="Times New Roman" w:cs="Times New Roman"/>
          <w:sz w:val="28"/>
          <w:szCs w:val="28"/>
          <w:lang w:val="uk-UA"/>
        </w:rPr>
        <w:t xml:space="preserve">залежність </w:t>
      </w:r>
      <w:r w:rsidR="00895848" w:rsidRPr="00444188">
        <w:rPr>
          <w:rFonts w:ascii="Times New Roman" w:hAnsi="Times New Roman" w:cs="Times New Roman"/>
          <w:sz w:val="28"/>
          <w:szCs w:val="28"/>
          <w:lang w:val="uk-UA"/>
        </w:rPr>
        <w:t xml:space="preserve">між </w:t>
      </w:r>
      <w:r w:rsidRPr="00444188">
        <w:rPr>
          <w:rFonts w:ascii="Times New Roman" w:hAnsi="Times New Roman" w:cs="Times New Roman"/>
          <w:sz w:val="28"/>
          <w:szCs w:val="28"/>
          <w:lang w:val="uk-UA"/>
        </w:rPr>
        <w:t xml:space="preserve">вмістом </w:t>
      </w:r>
      <w:r w:rsidR="00895848" w:rsidRPr="00444188">
        <w:rPr>
          <w:rFonts w:ascii="Times New Roman" w:hAnsi="Times New Roman" w:cs="Times New Roman"/>
          <w:sz w:val="28"/>
          <w:szCs w:val="28"/>
          <w:lang w:val="uk-UA"/>
        </w:rPr>
        <w:t xml:space="preserve">ЕТ-1 та ТМШП у </w:t>
      </w:r>
      <w:r w:rsidR="0056356C" w:rsidRPr="00444188">
        <w:rPr>
          <w:rFonts w:ascii="Times New Roman" w:hAnsi="Times New Roman" w:cs="Times New Roman"/>
          <w:sz w:val="28"/>
          <w:szCs w:val="28"/>
          <w:lang w:val="uk-UA"/>
        </w:rPr>
        <w:t xml:space="preserve">60 </w:t>
      </w:r>
      <w:r w:rsidR="00895848" w:rsidRPr="00444188">
        <w:rPr>
          <w:rFonts w:ascii="Times New Roman" w:hAnsi="Times New Roman" w:cs="Times New Roman"/>
          <w:sz w:val="28"/>
          <w:szCs w:val="28"/>
          <w:lang w:val="uk-UA"/>
        </w:rPr>
        <w:t>чоловіків</w:t>
      </w:r>
      <w:r w:rsidR="0056356C" w:rsidRPr="00444188">
        <w:rPr>
          <w:rFonts w:ascii="Times New Roman" w:hAnsi="Times New Roman" w:cs="Times New Roman"/>
          <w:sz w:val="28"/>
          <w:szCs w:val="28"/>
          <w:lang w:val="uk-UA"/>
        </w:rPr>
        <w:t xml:space="preserve"> та</w:t>
      </w:r>
      <w:r w:rsidR="00895848" w:rsidRPr="00444188">
        <w:rPr>
          <w:rFonts w:ascii="Times New Roman" w:hAnsi="Times New Roman" w:cs="Times New Roman"/>
          <w:sz w:val="28"/>
          <w:szCs w:val="28"/>
          <w:lang w:val="uk-UA"/>
        </w:rPr>
        <w:t xml:space="preserve"> у </w:t>
      </w:r>
      <w:r w:rsidR="0056356C" w:rsidRPr="00444188">
        <w:rPr>
          <w:rFonts w:ascii="Times New Roman" w:hAnsi="Times New Roman" w:cs="Times New Roman"/>
          <w:sz w:val="28"/>
          <w:szCs w:val="28"/>
          <w:lang w:val="uk-UA"/>
        </w:rPr>
        <w:t>34</w:t>
      </w:r>
      <w:r w:rsidR="00DF343A" w:rsidRPr="00444188">
        <w:rPr>
          <w:rFonts w:ascii="Times New Roman" w:hAnsi="Times New Roman" w:cs="Times New Roman"/>
          <w:sz w:val="28"/>
          <w:szCs w:val="28"/>
          <w:lang w:val="uk-UA"/>
        </w:rPr>
        <w:t xml:space="preserve"> </w:t>
      </w:r>
      <w:r w:rsidR="00895848" w:rsidRPr="00444188">
        <w:rPr>
          <w:rFonts w:ascii="Times New Roman" w:hAnsi="Times New Roman" w:cs="Times New Roman"/>
          <w:sz w:val="28"/>
          <w:szCs w:val="28"/>
          <w:lang w:val="uk-UA"/>
        </w:rPr>
        <w:t>жінок відповідно (</w:t>
      </w:r>
      <w:r w:rsidR="00895848" w:rsidRPr="00444188">
        <w:rPr>
          <w:rFonts w:ascii="Times New Roman" w:hAnsi="Times New Roman" w:cs="Times New Roman"/>
          <w:sz w:val="28"/>
          <w:szCs w:val="28"/>
          <w:lang w:val="en-US"/>
        </w:rPr>
        <w:t>r</w:t>
      </w:r>
      <w:r w:rsidR="00895848" w:rsidRPr="00444188">
        <w:rPr>
          <w:rFonts w:ascii="Times New Roman" w:hAnsi="Times New Roman" w:cs="Times New Roman"/>
          <w:sz w:val="28"/>
          <w:szCs w:val="28"/>
          <w:lang w:val="uk-UA"/>
        </w:rPr>
        <w:t xml:space="preserve"> = </w:t>
      </w:r>
      <w:r w:rsidR="000009AC" w:rsidRPr="00444188">
        <w:rPr>
          <w:rFonts w:ascii="Times New Roman" w:hAnsi="Times New Roman" w:cs="Times New Roman"/>
          <w:sz w:val="28"/>
          <w:szCs w:val="28"/>
          <w:lang w:val="uk-UA"/>
        </w:rPr>
        <w:t>0,51; р &lt; 0,0001</w:t>
      </w:r>
      <w:r w:rsidR="00895848" w:rsidRPr="00444188">
        <w:rPr>
          <w:rFonts w:ascii="Times New Roman" w:hAnsi="Times New Roman" w:cs="Times New Roman"/>
          <w:sz w:val="28"/>
          <w:szCs w:val="28"/>
          <w:lang w:val="uk-UA"/>
        </w:rPr>
        <w:t>),</w:t>
      </w:r>
      <w:r w:rsidR="000009AC" w:rsidRPr="00444188">
        <w:rPr>
          <w:rFonts w:ascii="Times New Roman" w:hAnsi="Times New Roman" w:cs="Times New Roman"/>
          <w:sz w:val="28"/>
          <w:szCs w:val="28"/>
          <w:lang w:val="uk-UA"/>
        </w:rPr>
        <w:t xml:space="preserve"> (</w:t>
      </w:r>
      <w:r w:rsidR="000009AC" w:rsidRPr="00444188">
        <w:rPr>
          <w:rFonts w:ascii="Times New Roman" w:hAnsi="Times New Roman" w:cs="Times New Roman"/>
          <w:sz w:val="28"/>
          <w:szCs w:val="28"/>
          <w:lang w:val="en-US"/>
        </w:rPr>
        <w:t>r</w:t>
      </w:r>
      <w:r w:rsidR="000009AC" w:rsidRPr="00444188">
        <w:rPr>
          <w:rFonts w:ascii="Times New Roman" w:hAnsi="Times New Roman" w:cs="Times New Roman"/>
          <w:sz w:val="28"/>
          <w:szCs w:val="28"/>
          <w:lang w:val="uk-UA"/>
        </w:rPr>
        <w:t xml:space="preserve"> = 0,56; р = 0,0005); ТЗСЛШ – (</w:t>
      </w:r>
      <w:r w:rsidR="000009AC" w:rsidRPr="00444188">
        <w:rPr>
          <w:rFonts w:ascii="Times New Roman" w:hAnsi="Times New Roman" w:cs="Times New Roman"/>
          <w:sz w:val="28"/>
          <w:szCs w:val="28"/>
          <w:lang w:val="en-US"/>
        </w:rPr>
        <w:t>r</w:t>
      </w:r>
      <w:r w:rsidRPr="00444188">
        <w:rPr>
          <w:rFonts w:ascii="Times New Roman" w:hAnsi="Times New Roman" w:cs="Times New Roman"/>
          <w:sz w:val="28"/>
          <w:szCs w:val="28"/>
          <w:lang w:val="uk-UA"/>
        </w:rPr>
        <w:t xml:space="preserve"> = 0,52; р &lt; 0,0001), </w:t>
      </w:r>
      <w:r w:rsidR="000009AC" w:rsidRPr="00444188">
        <w:rPr>
          <w:rFonts w:ascii="Times New Roman" w:hAnsi="Times New Roman" w:cs="Times New Roman"/>
          <w:sz w:val="28"/>
          <w:szCs w:val="28"/>
          <w:lang w:val="uk-UA"/>
        </w:rPr>
        <w:t>(</w:t>
      </w:r>
      <w:r w:rsidR="000009AC" w:rsidRPr="00444188">
        <w:rPr>
          <w:rFonts w:ascii="Times New Roman" w:hAnsi="Times New Roman" w:cs="Times New Roman"/>
          <w:sz w:val="28"/>
          <w:szCs w:val="28"/>
          <w:lang w:val="en-US"/>
        </w:rPr>
        <w:t>r</w:t>
      </w:r>
      <w:r w:rsidR="000009AC" w:rsidRPr="00444188">
        <w:rPr>
          <w:rFonts w:ascii="Times New Roman" w:hAnsi="Times New Roman" w:cs="Times New Roman"/>
          <w:sz w:val="28"/>
          <w:szCs w:val="28"/>
          <w:lang w:val="uk-UA"/>
        </w:rPr>
        <w:t xml:space="preserve"> = 0,33; р = 0,0557); КДР</w:t>
      </w:r>
      <w:r w:rsidR="00C27406" w:rsidRPr="00444188">
        <w:rPr>
          <w:rFonts w:ascii="Times New Roman" w:hAnsi="Times New Roman" w:cs="Times New Roman"/>
          <w:sz w:val="28"/>
          <w:szCs w:val="28"/>
          <w:lang w:val="uk-UA"/>
        </w:rPr>
        <w:t xml:space="preserve"> −</w:t>
      </w:r>
      <w:r w:rsidR="000009AC" w:rsidRPr="00444188">
        <w:rPr>
          <w:rFonts w:ascii="Times New Roman" w:hAnsi="Times New Roman" w:cs="Times New Roman"/>
          <w:sz w:val="28"/>
          <w:szCs w:val="28"/>
          <w:lang w:val="uk-UA"/>
        </w:rPr>
        <w:t xml:space="preserve"> </w:t>
      </w:r>
      <w:r w:rsidR="001F6FAF">
        <w:rPr>
          <w:rFonts w:ascii="Times New Roman" w:hAnsi="Times New Roman" w:cs="Times New Roman"/>
          <w:sz w:val="28"/>
          <w:szCs w:val="28"/>
          <w:lang w:val="uk-UA"/>
        </w:rPr>
        <w:t xml:space="preserve">        </w:t>
      </w:r>
      <w:r w:rsidR="000009AC" w:rsidRPr="00444188">
        <w:rPr>
          <w:rFonts w:ascii="Times New Roman" w:hAnsi="Times New Roman" w:cs="Times New Roman"/>
          <w:sz w:val="28"/>
          <w:szCs w:val="28"/>
          <w:lang w:val="uk-UA"/>
        </w:rPr>
        <w:t>(</w:t>
      </w:r>
      <w:r w:rsidR="000009AC" w:rsidRPr="00444188">
        <w:rPr>
          <w:rFonts w:ascii="Times New Roman" w:hAnsi="Times New Roman" w:cs="Times New Roman"/>
          <w:sz w:val="28"/>
          <w:szCs w:val="28"/>
          <w:lang w:val="en-US"/>
        </w:rPr>
        <w:t>r</w:t>
      </w:r>
      <w:r w:rsidR="000009AC" w:rsidRPr="00444188">
        <w:rPr>
          <w:rFonts w:ascii="Times New Roman" w:hAnsi="Times New Roman" w:cs="Times New Roman"/>
          <w:sz w:val="28"/>
          <w:szCs w:val="28"/>
          <w:lang w:val="uk-UA"/>
        </w:rPr>
        <w:t xml:space="preserve"> = 0,41; р = 0,0011), (</w:t>
      </w:r>
      <w:r w:rsidR="000009AC" w:rsidRPr="00444188">
        <w:rPr>
          <w:rFonts w:ascii="Times New Roman" w:hAnsi="Times New Roman" w:cs="Times New Roman"/>
          <w:sz w:val="28"/>
          <w:szCs w:val="28"/>
          <w:lang w:val="en-US"/>
        </w:rPr>
        <w:t>r</w:t>
      </w:r>
      <w:r w:rsidR="000009AC" w:rsidRPr="00444188">
        <w:rPr>
          <w:rFonts w:ascii="Times New Roman" w:hAnsi="Times New Roman" w:cs="Times New Roman"/>
          <w:sz w:val="28"/>
          <w:szCs w:val="28"/>
          <w:lang w:val="uk-UA"/>
        </w:rPr>
        <w:t xml:space="preserve"> = 0,41; р = 0,0165); </w:t>
      </w:r>
      <w:r w:rsidR="00C27406" w:rsidRPr="00444188">
        <w:rPr>
          <w:rFonts w:ascii="Times New Roman" w:hAnsi="Times New Roman" w:cs="Times New Roman"/>
          <w:sz w:val="28"/>
          <w:szCs w:val="28"/>
          <w:lang w:val="uk-UA"/>
        </w:rPr>
        <w:t xml:space="preserve">КСР </w:t>
      </w:r>
      <w:r w:rsidR="00567B24" w:rsidRPr="00444188">
        <w:rPr>
          <w:rFonts w:ascii="Times New Roman" w:hAnsi="Times New Roman" w:cs="Times New Roman"/>
          <w:sz w:val="28"/>
          <w:szCs w:val="28"/>
          <w:lang w:val="uk-UA"/>
        </w:rPr>
        <w:t xml:space="preserve"> </w:t>
      </w:r>
      <w:r w:rsidR="00C27406" w:rsidRPr="00444188">
        <w:rPr>
          <w:rFonts w:ascii="Times New Roman" w:hAnsi="Times New Roman" w:cs="Times New Roman"/>
          <w:sz w:val="28"/>
          <w:szCs w:val="28"/>
          <w:lang w:val="uk-UA"/>
        </w:rPr>
        <w:t>−</w:t>
      </w:r>
      <w:r w:rsidR="000009AC" w:rsidRPr="00444188">
        <w:rPr>
          <w:rFonts w:ascii="Times New Roman" w:hAnsi="Times New Roman" w:cs="Times New Roman"/>
          <w:sz w:val="28"/>
          <w:szCs w:val="28"/>
          <w:lang w:val="uk-UA"/>
        </w:rPr>
        <w:t xml:space="preserve"> (</w:t>
      </w:r>
      <w:r w:rsidR="000009AC" w:rsidRPr="00444188">
        <w:rPr>
          <w:rFonts w:ascii="Times New Roman" w:hAnsi="Times New Roman" w:cs="Times New Roman"/>
          <w:sz w:val="28"/>
          <w:szCs w:val="28"/>
          <w:lang w:val="en-US"/>
        </w:rPr>
        <w:t>r</w:t>
      </w:r>
      <w:r w:rsidR="000009AC" w:rsidRPr="00444188">
        <w:rPr>
          <w:rFonts w:ascii="Times New Roman" w:hAnsi="Times New Roman" w:cs="Times New Roman"/>
          <w:sz w:val="28"/>
          <w:szCs w:val="28"/>
          <w:lang w:val="uk-UA"/>
        </w:rPr>
        <w:t xml:space="preserve"> = 0,49; р = 0,00</w:t>
      </w:r>
      <w:r w:rsidR="0056356C" w:rsidRPr="00444188">
        <w:rPr>
          <w:rFonts w:ascii="Times New Roman" w:hAnsi="Times New Roman" w:cs="Times New Roman"/>
          <w:sz w:val="28"/>
          <w:szCs w:val="28"/>
          <w:lang w:val="uk-UA"/>
        </w:rPr>
        <w:t>0</w:t>
      </w:r>
      <w:r w:rsidR="000009AC" w:rsidRPr="00444188">
        <w:rPr>
          <w:rFonts w:ascii="Times New Roman" w:hAnsi="Times New Roman" w:cs="Times New Roman"/>
          <w:sz w:val="28"/>
          <w:szCs w:val="28"/>
          <w:lang w:val="uk-UA"/>
        </w:rPr>
        <w:t xml:space="preserve">1), </w:t>
      </w:r>
      <w:r w:rsidR="001F6FAF">
        <w:rPr>
          <w:rFonts w:ascii="Times New Roman" w:hAnsi="Times New Roman" w:cs="Times New Roman"/>
          <w:sz w:val="28"/>
          <w:szCs w:val="28"/>
          <w:lang w:val="uk-UA"/>
        </w:rPr>
        <w:t xml:space="preserve">         </w:t>
      </w:r>
      <w:r w:rsidR="000009AC" w:rsidRPr="00444188">
        <w:rPr>
          <w:rFonts w:ascii="Times New Roman" w:hAnsi="Times New Roman" w:cs="Times New Roman"/>
          <w:sz w:val="28"/>
          <w:szCs w:val="28"/>
          <w:lang w:val="uk-UA"/>
        </w:rPr>
        <w:t>(</w:t>
      </w:r>
      <w:r w:rsidR="000009AC" w:rsidRPr="00444188">
        <w:rPr>
          <w:rFonts w:ascii="Times New Roman" w:hAnsi="Times New Roman" w:cs="Times New Roman"/>
          <w:sz w:val="28"/>
          <w:szCs w:val="28"/>
          <w:lang w:val="en-US"/>
        </w:rPr>
        <w:t>r</w:t>
      </w:r>
      <w:r w:rsidR="000009AC" w:rsidRPr="00444188">
        <w:rPr>
          <w:rFonts w:ascii="Times New Roman" w:hAnsi="Times New Roman" w:cs="Times New Roman"/>
          <w:sz w:val="28"/>
          <w:szCs w:val="28"/>
          <w:lang w:val="uk-UA"/>
        </w:rPr>
        <w:t xml:space="preserve"> = 0,53; р = 0,0</w:t>
      </w:r>
      <w:r w:rsidR="0056356C" w:rsidRPr="00444188">
        <w:rPr>
          <w:rFonts w:ascii="Times New Roman" w:hAnsi="Times New Roman" w:cs="Times New Roman"/>
          <w:sz w:val="28"/>
          <w:szCs w:val="28"/>
          <w:lang w:val="uk-UA"/>
        </w:rPr>
        <w:t>014</w:t>
      </w:r>
      <w:r w:rsidR="000009AC" w:rsidRPr="00444188">
        <w:rPr>
          <w:rFonts w:ascii="Times New Roman" w:hAnsi="Times New Roman" w:cs="Times New Roman"/>
          <w:sz w:val="28"/>
          <w:szCs w:val="28"/>
          <w:lang w:val="uk-UA"/>
        </w:rPr>
        <w:t>)</w:t>
      </w:r>
      <w:r w:rsidR="00C626B7">
        <w:rPr>
          <w:rFonts w:ascii="Times New Roman" w:hAnsi="Times New Roman" w:cs="Times New Roman"/>
          <w:sz w:val="28"/>
          <w:szCs w:val="28"/>
          <w:lang w:val="uk-UA"/>
        </w:rPr>
        <w:t xml:space="preserve">; </w:t>
      </w:r>
      <w:r w:rsidR="00C27406" w:rsidRPr="00444188">
        <w:rPr>
          <w:rFonts w:ascii="Times New Roman" w:hAnsi="Times New Roman" w:cs="Times New Roman"/>
          <w:sz w:val="28"/>
          <w:szCs w:val="28"/>
          <w:lang w:val="uk-UA"/>
        </w:rPr>
        <w:t>ЛП −</w:t>
      </w:r>
      <w:r w:rsidR="0056356C" w:rsidRPr="00444188">
        <w:rPr>
          <w:rFonts w:ascii="Times New Roman" w:hAnsi="Times New Roman" w:cs="Times New Roman"/>
          <w:sz w:val="28"/>
          <w:szCs w:val="28"/>
          <w:lang w:val="uk-UA"/>
        </w:rPr>
        <w:t xml:space="preserve"> (</w:t>
      </w:r>
      <w:r w:rsidR="0056356C" w:rsidRPr="00444188">
        <w:rPr>
          <w:rFonts w:ascii="Times New Roman" w:hAnsi="Times New Roman" w:cs="Times New Roman"/>
          <w:sz w:val="28"/>
          <w:szCs w:val="28"/>
          <w:lang w:val="en-US"/>
        </w:rPr>
        <w:t>r</w:t>
      </w:r>
      <w:r w:rsidRPr="00444188">
        <w:rPr>
          <w:rFonts w:ascii="Times New Roman" w:hAnsi="Times New Roman" w:cs="Times New Roman"/>
          <w:sz w:val="28"/>
          <w:szCs w:val="28"/>
          <w:lang w:val="uk-UA"/>
        </w:rPr>
        <w:t xml:space="preserve"> = 0,37; р = 0,0035), </w:t>
      </w:r>
      <w:r w:rsidR="0056356C" w:rsidRPr="00444188">
        <w:rPr>
          <w:rFonts w:ascii="Times New Roman" w:hAnsi="Times New Roman" w:cs="Times New Roman"/>
          <w:sz w:val="28"/>
          <w:szCs w:val="28"/>
          <w:lang w:val="uk-UA"/>
        </w:rPr>
        <w:t>(</w:t>
      </w:r>
      <w:r w:rsidR="0056356C" w:rsidRPr="00444188">
        <w:rPr>
          <w:rFonts w:ascii="Times New Roman" w:hAnsi="Times New Roman" w:cs="Times New Roman"/>
          <w:sz w:val="28"/>
          <w:szCs w:val="28"/>
          <w:lang w:val="en-US"/>
        </w:rPr>
        <w:t>r</w:t>
      </w:r>
      <w:r w:rsidR="0056356C" w:rsidRPr="00444188">
        <w:rPr>
          <w:rFonts w:ascii="Times New Roman" w:hAnsi="Times New Roman" w:cs="Times New Roman"/>
          <w:sz w:val="28"/>
          <w:szCs w:val="28"/>
          <w:lang w:val="uk-UA"/>
        </w:rPr>
        <w:t xml:space="preserve"> = 0,16; р = 0,3739); негативну </w:t>
      </w:r>
      <w:r w:rsidR="00DF343A" w:rsidRPr="00444188">
        <w:rPr>
          <w:rFonts w:ascii="Times New Roman" w:hAnsi="Times New Roman" w:cs="Times New Roman"/>
          <w:sz w:val="28"/>
          <w:szCs w:val="28"/>
          <w:lang w:val="uk-UA"/>
        </w:rPr>
        <w:t xml:space="preserve">– </w:t>
      </w:r>
      <w:r w:rsidR="00C27406" w:rsidRPr="00444188">
        <w:rPr>
          <w:rFonts w:ascii="Times New Roman" w:hAnsi="Times New Roman" w:cs="Times New Roman"/>
          <w:sz w:val="28"/>
          <w:szCs w:val="28"/>
          <w:lang w:val="uk-UA"/>
        </w:rPr>
        <w:t>між рівнем ЕТ-1 та ФВ ЛШ −</w:t>
      </w:r>
      <w:r w:rsidR="0056356C" w:rsidRPr="00444188">
        <w:rPr>
          <w:rFonts w:ascii="Times New Roman" w:hAnsi="Times New Roman" w:cs="Times New Roman"/>
          <w:sz w:val="28"/>
          <w:szCs w:val="28"/>
          <w:lang w:val="uk-UA"/>
        </w:rPr>
        <w:t xml:space="preserve"> (</w:t>
      </w:r>
      <w:r w:rsidR="0056356C" w:rsidRPr="00444188">
        <w:rPr>
          <w:rFonts w:ascii="Times New Roman" w:hAnsi="Times New Roman" w:cs="Times New Roman"/>
          <w:sz w:val="28"/>
          <w:szCs w:val="28"/>
          <w:lang w:val="en-US"/>
        </w:rPr>
        <w:t>r</w:t>
      </w:r>
      <w:r w:rsidR="0056356C" w:rsidRPr="00444188">
        <w:rPr>
          <w:rFonts w:ascii="Times New Roman" w:hAnsi="Times New Roman" w:cs="Times New Roman"/>
          <w:sz w:val="28"/>
          <w:szCs w:val="28"/>
          <w:lang w:val="uk-UA"/>
        </w:rPr>
        <w:t xml:space="preserve"> = </w:t>
      </w:r>
      <w:r w:rsidR="00C27406" w:rsidRPr="00444188">
        <w:rPr>
          <w:rFonts w:ascii="Times New Roman" w:hAnsi="Times New Roman" w:cs="Times New Roman"/>
          <w:sz w:val="28"/>
          <w:szCs w:val="28"/>
          <w:lang w:val="uk-UA"/>
        </w:rPr>
        <w:t>−</w:t>
      </w:r>
      <w:r w:rsidRPr="00444188">
        <w:rPr>
          <w:rFonts w:ascii="Times New Roman" w:hAnsi="Times New Roman" w:cs="Times New Roman"/>
          <w:sz w:val="28"/>
          <w:szCs w:val="28"/>
          <w:lang w:val="uk-UA"/>
        </w:rPr>
        <w:t xml:space="preserve"> 0,54; </w:t>
      </w:r>
      <w:r w:rsidR="0056356C" w:rsidRPr="00444188">
        <w:rPr>
          <w:rFonts w:ascii="Times New Roman" w:hAnsi="Times New Roman" w:cs="Times New Roman"/>
          <w:sz w:val="28"/>
          <w:szCs w:val="28"/>
          <w:lang w:val="uk-UA"/>
        </w:rPr>
        <w:t>р &lt; 0,0011), (</w:t>
      </w:r>
      <w:r w:rsidR="0056356C" w:rsidRPr="00444188">
        <w:rPr>
          <w:rFonts w:ascii="Times New Roman" w:hAnsi="Times New Roman" w:cs="Times New Roman"/>
          <w:sz w:val="28"/>
          <w:szCs w:val="28"/>
          <w:lang w:val="en-US"/>
        </w:rPr>
        <w:t>r</w:t>
      </w:r>
      <w:r w:rsidR="0056356C" w:rsidRPr="00444188">
        <w:rPr>
          <w:rFonts w:ascii="Times New Roman" w:hAnsi="Times New Roman" w:cs="Times New Roman"/>
          <w:sz w:val="28"/>
          <w:szCs w:val="28"/>
          <w:lang w:val="uk-UA"/>
        </w:rPr>
        <w:t xml:space="preserve"> = </w:t>
      </w:r>
      <w:r w:rsidR="00C27406" w:rsidRPr="00444188">
        <w:rPr>
          <w:rFonts w:ascii="Times New Roman" w:hAnsi="Times New Roman" w:cs="Times New Roman"/>
          <w:sz w:val="28"/>
          <w:szCs w:val="28"/>
          <w:lang w:val="uk-UA"/>
        </w:rPr>
        <w:t xml:space="preserve">− </w:t>
      </w:r>
      <w:r w:rsidR="0056356C" w:rsidRPr="00444188">
        <w:rPr>
          <w:rFonts w:ascii="Times New Roman" w:hAnsi="Times New Roman" w:cs="Times New Roman"/>
          <w:sz w:val="28"/>
          <w:szCs w:val="28"/>
          <w:lang w:val="uk-UA"/>
        </w:rPr>
        <w:t>0,49; р = 0,0074)</w:t>
      </w:r>
      <w:r w:rsidR="00C626B7" w:rsidRPr="00541249">
        <w:rPr>
          <w:rFonts w:ascii="Times New Roman" w:hAnsi="Times New Roman" w:cs="Times New Roman"/>
          <w:sz w:val="28"/>
          <w:szCs w:val="28"/>
          <w:lang w:val="uk-UA"/>
        </w:rPr>
        <w:t xml:space="preserve"> </w:t>
      </w:r>
      <w:r w:rsidR="00F50E8F" w:rsidRPr="00541249">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84</w:t>
      </w:r>
      <w:r w:rsidR="00710995" w:rsidRPr="00541249">
        <w:rPr>
          <w:rFonts w:ascii="Times New Roman" w:hAnsi="Times New Roman" w:cs="Times New Roman"/>
          <w:sz w:val="28"/>
          <w:szCs w:val="28"/>
          <w:lang w:val="uk-UA"/>
        </w:rPr>
        <w:t>].</w:t>
      </w:r>
      <w:r w:rsidR="00404D2F" w:rsidRPr="00541249">
        <w:rPr>
          <w:rFonts w:ascii="Times New Roman" w:hAnsi="Times New Roman" w:cs="Times New Roman"/>
          <w:sz w:val="28"/>
          <w:szCs w:val="28"/>
          <w:lang w:val="uk-UA"/>
        </w:rPr>
        <w:t xml:space="preserve"> </w:t>
      </w:r>
    </w:p>
    <w:p w:rsidR="00606637" w:rsidRPr="008707FF" w:rsidRDefault="00FD2CA0" w:rsidP="00612BF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B527E5">
        <w:rPr>
          <w:rFonts w:ascii="Times New Roman" w:hAnsi="Times New Roman" w:cs="Times New Roman"/>
          <w:sz w:val="28"/>
          <w:szCs w:val="28"/>
          <w:lang w:val="uk-UA"/>
        </w:rPr>
        <w:t xml:space="preserve"> виявлено достовірну позитивну </w:t>
      </w:r>
      <w:r w:rsidR="009351F4">
        <w:rPr>
          <w:rFonts w:ascii="Times New Roman" w:hAnsi="Times New Roman" w:cs="Times New Roman"/>
          <w:sz w:val="28"/>
          <w:szCs w:val="28"/>
          <w:lang w:val="uk-UA"/>
        </w:rPr>
        <w:t xml:space="preserve">залежність </w:t>
      </w:r>
      <w:r w:rsidR="00C1266E">
        <w:rPr>
          <w:rFonts w:ascii="Times New Roman" w:hAnsi="Times New Roman" w:cs="Times New Roman"/>
          <w:sz w:val="28"/>
          <w:szCs w:val="28"/>
          <w:lang w:val="uk-UA"/>
        </w:rPr>
        <w:t xml:space="preserve">між </w:t>
      </w:r>
      <w:r w:rsidR="000D0D74">
        <w:rPr>
          <w:rFonts w:ascii="Times New Roman" w:hAnsi="Times New Roman" w:cs="Times New Roman"/>
          <w:sz w:val="28"/>
          <w:szCs w:val="28"/>
          <w:lang w:val="uk-UA"/>
        </w:rPr>
        <w:t xml:space="preserve">вмістом </w:t>
      </w:r>
      <w:r w:rsidR="00C1266E">
        <w:rPr>
          <w:rFonts w:ascii="Times New Roman" w:hAnsi="Times New Roman" w:cs="Times New Roman"/>
          <w:sz w:val="28"/>
          <w:szCs w:val="28"/>
          <w:lang w:val="uk-UA"/>
        </w:rPr>
        <w:t>ЕТ-1 та ТМШП</w:t>
      </w:r>
      <w:r w:rsidR="00C1266E" w:rsidRPr="00C1266E">
        <w:rPr>
          <w:rFonts w:ascii="Times New Roman" w:hAnsi="Times New Roman" w:cs="Times New Roman"/>
          <w:sz w:val="28"/>
          <w:szCs w:val="28"/>
          <w:lang w:val="uk-UA"/>
        </w:rPr>
        <w:t xml:space="preserve">, </w:t>
      </w:r>
      <w:r w:rsidR="00C1266E">
        <w:rPr>
          <w:rFonts w:ascii="Times New Roman" w:hAnsi="Times New Roman" w:cs="Times New Roman"/>
          <w:sz w:val="28"/>
          <w:szCs w:val="28"/>
          <w:lang w:val="uk-UA"/>
        </w:rPr>
        <w:t>яка сві</w:t>
      </w:r>
      <w:r w:rsidR="00C1266E" w:rsidRPr="00C1266E">
        <w:rPr>
          <w:rFonts w:ascii="Times New Roman" w:hAnsi="Times New Roman" w:cs="Times New Roman"/>
          <w:sz w:val="28"/>
          <w:szCs w:val="28"/>
          <w:lang w:val="uk-UA"/>
        </w:rPr>
        <w:t>дчить про</w:t>
      </w:r>
      <w:r w:rsidR="00C1266E">
        <w:rPr>
          <w:rFonts w:ascii="Times New Roman" w:hAnsi="Times New Roman" w:cs="Times New Roman"/>
          <w:sz w:val="28"/>
          <w:szCs w:val="28"/>
          <w:lang w:val="uk-UA"/>
        </w:rPr>
        <w:t xml:space="preserve"> вагом</w:t>
      </w:r>
      <w:r w:rsidR="00567B24">
        <w:rPr>
          <w:rFonts w:ascii="Times New Roman" w:hAnsi="Times New Roman" w:cs="Times New Roman"/>
          <w:sz w:val="28"/>
          <w:szCs w:val="28"/>
          <w:lang w:val="uk-UA"/>
        </w:rPr>
        <w:t xml:space="preserve">у роль </w:t>
      </w:r>
      <w:r w:rsidR="000C6FBF">
        <w:rPr>
          <w:rFonts w:ascii="Times New Roman" w:hAnsi="Times New Roman" w:cs="Times New Roman"/>
          <w:sz w:val="28"/>
          <w:szCs w:val="28"/>
          <w:lang w:val="uk-UA"/>
        </w:rPr>
        <w:t xml:space="preserve">зазначеного вазоконстриктора </w:t>
      </w:r>
      <w:r w:rsidR="00C1266E">
        <w:rPr>
          <w:rFonts w:ascii="Times New Roman" w:hAnsi="Times New Roman" w:cs="Times New Roman"/>
          <w:sz w:val="28"/>
          <w:szCs w:val="28"/>
          <w:lang w:val="uk-UA"/>
        </w:rPr>
        <w:t xml:space="preserve">у розвитку </w:t>
      </w:r>
      <w:r w:rsidR="00567B24" w:rsidRPr="00FC571D">
        <w:rPr>
          <w:rFonts w:ascii="Times New Roman" w:hAnsi="Times New Roman" w:cs="Times New Roman"/>
          <w:sz w:val="28"/>
          <w:szCs w:val="28"/>
          <w:lang w:val="uk-UA"/>
        </w:rPr>
        <w:t>ремоделювання ЛШ</w:t>
      </w:r>
      <w:r w:rsidR="00567B24">
        <w:rPr>
          <w:rFonts w:ascii="Times New Roman" w:hAnsi="Times New Roman" w:cs="Times New Roman"/>
          <w:sz w:val="28"/>
          <w:szCs w:val="28"/>
          <w:lang w:val="uk-UA"/>
        </w:rPr>
        <w:t>, адже зі збільшенням ТМШП</w:t>
      </w:r>
      <w:r w:rsidR="00567B24" w:rsidRPr="00567B24">
        <w:rPr>
          <w:rFonts w:ascii="Times New Roman" w:hAnsi="Times New Roman" w:cs="Times New Roman"/>
          <w:sz w:val="28"/>
          <w:szCs w:val="28"/>
          <w:lang w:val="uk-UA"/>
        </w:rPr>
        <w:t xml:space="preserve"> </w:t>
      </w:r>
      <w:r w:rsidR="00567B24">
        <w:rPr>
          <w:rFonts w:ascii="Times New Roman" w:hAnsi="Times New Roman" w:cs="Times New Roman"/>
          <w:sz w:val="28"/>
          <w:szCs w:val="28"/>
          <w:lang w:val="uk-UA"/>
        </w:rPr>
        <w:t xml:space="preserve">зростає і ММЛШ. </w:t>
      </w:r>
      <w:r w:rsidR="00567B24" w:rsidRPr="00444188">
        <w:rPr>
          <w:rFonts w:ascii="Times New Roman" w:hAnsi="Times New Roman" w:cs="Times New Roman"/>
          <w:sz w:val="28"/>
          <w:szCs w:val="28"/>
          <w:lang w:val="uk-UA"/>
        </w:rPr>
        <w:t>Проте, на відміну від</w:t>
      </w:r>
      <w:r w:rsidR="000D0D74" w:rsidRPr="00444188">
        <w:rPr>
          <w:rFonts w:ascii="Times New Roman" w:hAnsi="Times New Roman" w:cs="Times New Roman"/>
          <w:sz w:val="28"/>
          <w:szCs w:val="28"/>
          <w:lang w:val="uk-UA"/>
        </w:rPr>
        <w:t xml:space="preserve"> інших дослідників</w:t>
      </w:r>
      <w:r w:rsidR="00567B24" w:rsidRPr="00444188">
        <w:rPr>
          <w:rFonts w:ascii="Times New Roman" w:hAnsi="Times New Roman" w:cs="Times New Roman"/>
          <w:sz w:val="28"/>
          <w:szCs w:val="28"/>
          <w:lang w:val="uk-UA"/>
        </w:rPr>
        <w:t>, нами не було виявлено негативного зв’язку між ЕТ-1 та ФВ ЛШ. Це може бути пояснене порушенням діа</w:t>
      </w:r>
      <w:r w:rsidR="003254A9">
        <w:rPr>
          <w:rFonts w:ascii="Times New Roman" w:hAnsi="Times New Roman" w:cs="Times New Roman"/>
          <w:sz w:val="28"/>
          <w:szCs w:val="28"/>
          <w:lang w:val="uk-UA"/>
        </w:rPr>
        <w:t>столічної функції серця у пацієнтів і</w:t>
      </w:r>
      <w:r w:rsidR="00567B24" w:rsidRPr="00444188">
        <w:rPr>
          <w:rFonts w:ascii="Times New Roman" w:hAnsi="Times New Roman" w:cs="Times New Roman"/>
          <w:sz w:val="28"/>
          <w:szCs w:val="28"/>
          <w:lang w:val="uk-UA"/>
        </w:rPr>
        <w:t xml:space="preserve">з </w:t>
      </w:r>
      <w:r w:rsidR="00567B24" w:rsidRPr="00444188">
        <w:rPr>
          <w:rFonts w:ascii="Times New Roman" w:hAnsi="Times New Roman"/>
          <w:sz w:val="28"/>
          <w:szCs w:val="28"/>
          <w:lang w:val="uk-UA"/>
        </w:rPr>
        <w:t xml:space="preserve">АГ та супутнім </w:t>
      </w:r>
      <w:r w:rsidR="00FB6B72">
        <w:rPr>
          <w:rFonts w:ascii="Times New Roman" w:hAnsi="Times New Roman"/>
          <w:sz w:val="28"/>
          <w:szCs w:val="28"/>
          <w:lang w:val="uk-UA"/>
        </w:rPr>
        <w:t xml:space="preserve">         </w:t>
      </w:r>
      <w:r w:rsidR="00567B24" w:rsidRPr="00444188">
        <w:rPr>
          <w:rFonts w:ascii="Times New Roman" w:hAnsi="Times New Roman"/>
          <w:sz w:val="28"/>
          <w:szCs w:val="28"/>
          <w:lang w:val="uk-UA"/>
        </w:rPr>
        <w:t>ЦД 2-го типу при збереженні його систолічної функції.</w:t>
      </w:r>
    </w:p>
    <w:p w:rsidR="005D3FB0" w:rsidRDefault="005D3FB0" w:rsidP="00023195">
      <w:pPr>
        <w:autoSpaceDE w:val="0"/>
        <w:autoSpaceDN w:val="0"/>
        <w:adjustRightInd w:val="0"/>
        <w:spacing w:after="0" w:line="360" w:lineRule="auto"/>
        <w:ind w:firstLine="708"/>
        <w:jc w:val="both"/>
        <w:rPr>
          <w:rFonts w:ascii="Times New Roman" w:hAnsi="Times New Roman" w:cs="Times New Roman"/>
          <w:sz w:val="28"/>
          <w:szCs w:val="28"/>
          <w:lang w:val="uk-UA"/>
        </w:rPr>
      </w:pPr>
    </w:p>
    <w:p w:rsidR="005D3FB0" w:rsidRPr="005D3FB0" w:rsidRDefault="00704EF6" w:rsidP="00023195">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5D3FB0" w:rsidRPr="005D3FB0">
        <w:rPr>
          <w:rFonts w:ascii="Times New Roman" w:hAnsi="Times New Roman" w:cs="Times New Roman"/>
          <w:b/>
          <w:sz w:val="28"/>
          <w:szCs w:val="28"/>
          <w:lang w:val="uk-UA"/>
        </w:rPr>
        <w:t xml:space="preserve">.4. </w:t>
      </w:r>
      <w:r w:rsidR="000D0D74">
        <w:rPr>
          <w:rFonts w:ascii="Times New Roman" w:hAnsi="Times New Roman" w:cs="Times New Roman"/>
          <w:b/>
          <w:sz w:val="28"/>
          <w:szCs w:val="28"/>
          <w:lang w:val="uk-UA"/>
        </w:rPr>
        <w:t>Звʼ</w:t>
      </w:r>
      <w:r w:rsidR="00C973CC" w:rsidRPr="00C973CC">
        <w:rPr>
          <w:rFonts w:ascii="Times New Roman" w:hAnsi="Times New Roman" w:cs="Times New Roman"/>
          <w:b/>
          <w:sz w:val="28"/>
          <w:szCs w:val="28"/>
          <w:lang w:val="uk-UA"/>
        </w:rPr>
        <w:t>язок між урикемією та показниками функції серця</w:t>
      </w:r>
      <w:r w:rsidR="000D0D74">
        <w:rPr>
          <w:rFonts w:ascii="Times New Roman" w:hAnsi="Times New Roman" w:cs="Times New Roman"/>
          <w:b/>
          <w:sz w:val="28"/>
          <w:szCs w:val="28"/>
          <w:lang w:val="uk-UA"/>
        </w:rPr>
        <w:t xml:space="preserve"> </w:t>
      </w:r>
      <w:r w:rsidR="009351F4">
        <w:rPr>
          <w:rFonts w:ascii="Times New Roman" w:hAnsi="Times New Roman" w:cs="Times New Roman"/>
          <w:b/>
          <w:sz w:val="28"/>
          <w:szCs w:val="28"/>
          <w:lang w:val="uk-UA"/>
        </w:rPr>
        <w:t xml:space="preserve">                        </w:t>
      </w:r>
      <w:r w:rsidR="000D0D74">
        <w:rPr>
          <w:rFonts w:ascii="Times New Roman" w:hAnsi="Times New Roman" w:cs="Times New Roman"/>
          <w:b/>
          <w:sz w:val="28"/>
          <w:szCs w:val="28"/>
          <w:lang w:val="uk-UA"/>
        </w:rPr>
        <w:t xml:space="preserve">у хворих на </w:t>
      </w:r>
      <w:r w:rsidR="000D0D74" w:rsidRPr="000D0D74">
        <w:rPr>
          <w:rFonts w:ascii="Times New Roman" w:hAnsi="Times New Roman" w:cs="Times New Roman"/>
          <w:b/>
          <w:sz w:val="28"/>
          <w:szCs w:val="28"/>
          <w:lang w:val="uk-UA"/>
        </w:rPr>
        <w:t xml:space="preserve">артерiальну гiпертензiєю та цукровий дiабет 2-го типу </w:t>
      </w:r>
    </w:p>
    <w:p w:rsidR="00576E7E" w:rsidRDefault="00576E7E" w:rsidP="00023195">
      <w:pPr>
        <w:autoSpaceDE w:val="0"/>
        <w:autoSpaceDN w:val="0"/>
        <w:adjustRightInd w:val="0"/>
        <w:spacing w:after="0" w:line="360" w:lineRule="auto"/>
        <w:ind w:firstLine="708"/>
        <w:jc w:val="both"/>
        <w:rPr>
          <w:rFonts w:ascii="Times New Roman" w:hAnsi="Times New Roman" w:cs="Times New Roman"/>
          <w:sz w:val="28"/>
          <w:szCs w:val="28"/>
          <w:lang w:val="uk-UA"/>
        </w:rPr>
      </w:pPr>
    </w:p>
    <w:p w:rsidR="00B928AF" w:rsidRDefault="003254A9" w:rsidP="00B928A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576E7E" w:rsidRPr="00576E7E">
        <w:rPr>
          <w:rFonts w:ascii="Times New Roman" w:hAnsi="Times New Roman" w:cs="Times New Roman"/>
          <w:sz w:val="28"/>
          <w:szCs w:val="28"/>
          <w:lang w:val="uk-UA"/>
        </w:rPr>
        <w:t>іологіч</w:t>
      </w:r>
      <w:r w:rsidR="00C27406">
        <w:rPr>
          <w:rFonts w:ascii="Times New Roman" w:hAnsi="Times New Roman" w:cs="Times New Roman"/>
          <w:sz w:val="28"/>
          <w:szCs w:val="28"/>
          <w:lang w:val="uk-UA"/>
        </w:rPr>
        <w:t>на і патофізіологічна значущість</w:t>
      </w:r>
      <w:r w:rsidR="00A94226">
        <w:rPr>
          <w:rFonts w:ascii="Times New Roman" w:hAnsi="Times New Roman" w:cs="Times New Roman"/>
          <w:sz w:val="28"/>
          <w:szCs w:val="28"/>
          <w:lang w:val="uk-UA"/>
        </w:rPr>
        <w:t xml:space="preserve"> гіперурикемії</w:t>
      </w:r>
      <w:r>
        <w:rPr>
          <w:rFonts w:ascii="Times New Roman" w:hAnsi="Times New Roman" w:cs="Times New Roman"/>
          <w:sz w:val="28"/>
          <w:szCs w:val="28"/>
          <w:lang w:val="uk-UA"/>
        </w:rPr>
        <w:t xml:space="preserve"> відрізняється </w:t>
      </w:r>
      <w:r w:rsidR="00A957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w:t>
      </w:r>
      <w:r w:rsidRPr="003254A9">
        <w:rPr>
          <w:rFonts w:ascii="Times New Roman" w:hAnsi="Times New Roman" w:cs="Times New Roman"/>
          <w:sz w:val="28"/>
          <w:szCs w:val="28"/>
          <w:lang w:val="uk-UA"/>
        </w:rPr>
        <w:t xml:space="preserve">хворих із </w:t>
      </w:r>
      <w:r>
        <w:rPr>
          <w:rFonts w:ascii="Times New Roman" w:hAnsi="Times New Roman" w:cs="Times New Roman"/>
          <w:sz w:val="28"/>
          <w:szCs w:val="28"/>
          <w:lang w:val="uk-UA"/>
        </w:rPr>
        <w:t xml:space="preserve">наявністю та відсутністю </w:t>
      </w:r>
      <w:r w:rsidRPr="003254A9">
        <w:rPr>
          <w:rFonts w:ascii="Times New Roman" w:hAnsi="Times New Roman" w:cs="Times New Roman"/>
          <w:sz w:val="28"/>
          <w:szCs w:val="28"/>
          <w:lang w:val="uk-UA"/>
        </w:rPr>
        <w:t>дисфункції нирок</w:t>
      </w:r>
      <w:r w:rsidR="00576E7E" w:rsidRPr="0004617B">
        <w:rPr>
          <w:rFonts w:ascii="Times New Roman" w:hAnsi="Times New Roman" w:cs="Times New Roman"/>
          <w:sz w:val="28"/>
          <w:szCs w:val="28"/>
          <w:lang w:val="uk-UA"/>
        </w:rPr>
        <w:t>.</w:t>
      </w:r>
      <w:r w:rsidR="00576E7E" w:rsidRPr="00576E7E">
        <w:rPr>
          <w:rFonts w:ascii="Times New Roman" w:hAnsi="Times New Roman" w:cs="Times New Roman"/>
          <w:sz w:val="28"/>
          <w:szCs w:val="28"/>
          <w:lang w:val="uk-UA"/>
        </w:rPr>
        <w:t xml:space="preserve"> Висловлена гіпотеза, що гіперурикемія без ХХН обумовлена гіперпродукцією сечової кислоти </w:t>
      </w:r>
      <w:r w:rsidR="00507F88">
        <w:rPr>
          <w:rFonts w:ascii="Times New Roman" w:hAnsi="Times New Roman" w:cs="Times New Roman"/>
          <w:sz w:val="28"/>
          <w:szCs w:val="28"/>
          <w:lang w:val="uk-UA"/>
        </w:rPr>
        <w:t xml:space="preserve">      </w:t>
      </w:r>
      <w:r w:rsidR="00576E7E" w:rsidRPr="00576E7E">
        <w:rPr>
          <w:rFonts w:ascii="Times New Roman" w:hAnsi="Times New Roman" w:cs="Times New Roman"/>
          <w:sz w:val="28"/>
          <w:szCs w:val="28"/>
          <w:lang w:val="uk-UA"/>
        </w:rPr>
        <w:t xml:space="preserve">в умовах серцевої недостатності, в той час як гіперурикемія у пацієнтів </w:t>
      </w:r>
      <w:r w:rsidR="00507F88">
        <w:rPr>
          <w:rFonts w:ascii="Times New Roman" w:hAnsi="Times New Roman" w:cs="Times New Roman"/>
          <w:sz w:val="28"/>
          <w:szCs w:val="28"/>
          <w:lang w:val="uk-UA"/>
        </w:rPr>
        <w:t xml:space="preserve">         </w:t>
      </w:r>
      <w:r w:rsidR="00C27406">
        <w:rPr>
          <w:rFonts w:ascii="Times New Roman" w:hAnsi="Times New Roman" w:cs="Times New Roman"/>
          <w:sz w:val="28"/>
          <w:szCs w:val="28"/>
          <w:lang w:val="uk-UA"/>
        </w:rPr>
        <w:t>і</w:t>
      </w:r>
      <w:r>
        <w:rPr>
          <w:rFonts w:ascii="Times New Roman" w:hAnsi="Times New Roman" w:cs="Times New Roman"/>
          <w:sz w:val="28"/>
          <w:szCs w:val="28"/>
          <w:lang w:val="uk-UA"/>
        </w:rPr>
        <w:t>з ХХН значною мірою повʼ</w:t>
      </w:r>
      <w:r w:rsidR="00576E7E" w:rsidRPr="00576E7E">
        <w:rPr>
          <w:rFonts w:ascii="Times New Roman" w:hAnsi="Times New Roman" w:cs="Times New Roman"/>
          <w:sz w:val="28"/>
          <w:szCs w:val="28"/>
          <w:lang w:val="uk-UA"/>
        </w:rPr>
        <w:t>язана зі зниженн</w:t>
      </w:r>
      <w:r w:rsidR="00576E7E">
        <w:rPr>
          <w:rFonts w:ascii="Times New Roman" w:hAnsi="Times New Roman" w:cs="Times New Roman"/>
          <w:sz w:val="28"/>
          <w:szCs w:val="28"/>
          <w:lang w:val="uk-UA"/>
        </w:rPr>
        <w:t>ям ниркової екскреції уратів [</w:t>
      </w:r>
      <w:r w:rsidR="00541249" w:rsidRPr="005C5DB7">
        <w:rPr>
          <w:rFonts w:ascii="Times New Roman" w:hAnsi="Times New Roman" w:cs="Times New Roman"/>
          <w:sz w:val="28"/>
          <w:szCs w:val="28"/>
          <w:lang w:val="uk-UA"/>
        </w:rPr>
        <w:t>73</w:t>
      </w:r>
      <w:r w:rsidR="00576E7E" w:rsidRPr="00576E7E">
        <w:rPr>
          <w:rFonts w:ascii="Times New Roman" w:hAnsi="Times New Roman" w:cs="Times New Roman"/>
          <w:sz w:val="28"/>
          <w:szCs w:val="28"/>
          <w:lang w:val="uk-UA"/>
        </w:rPr>
        <w:t>].</w:t>
      </w:r>
      <w:r w:rsidR="00323049" w:rsidRPr="00323049">
        <w:rPr>
          <w:rFonts w:ascii="Times New Roman" w:hAnsi="Times New Roman" w:cs="Times New Roman"/>
          <w:sz w:val="28"/>
          <w:szCs w:val="28"/>
          <w:lang w:val="uk-UA"/>
        </w:rPr>
        <w:t xml:space="preserve"> </w:t>
      </w:r>
    </w:p>
    <w:p w:rsidR="00576E7E" w:rsidRPr="005D3FB0" w:rsidRDefault="00553B9E" w:rsidP="00B928A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підвищення </w:t>
      </w:r>
      <w:r w:rsidR="003254A9">
        <w:rPr>
          <w:rFonts w:ascii="Times New Roman" w:hAnsi="Times New Roman" w:cs="Times New Roman"/>
          <w:sz w:val="28"/>
          <w:szCs w:val="28"/>
          <w:lang w:val="uk-UA"/>
        </w:rPr>
        <w:t xml:space="preserve">вмісту </w:t>
      </w:r>
      <w:r>
        <w:rPr>
          <w:rFonts w:ascii="Times New Roman" w:hAnsi="Times New Roman" w:cs="Times New Roman"/>
          <w:sz w:val="28"/>
          <w:szCs w:val="28"/>
          <w:lang w:val="uk-UA"/>
        </w:rPr>
        <w:t xml:space="preserve">сечової кислоти </w:t>
      </w:r>
      <w:r w:rsidR="00D16372">
        <w:rPr>
          <w:rFonts w:ascii="Times New Roman" w:hAnsi="Times New Roman" w:cs="Times New Roman"/>
          <w:sz w:val="28"/>
          <w:szCs w:val="28"/>
          <w:lang w:val="uk-UA"/>
        </w:rPr>
        <w:t xml:space="preserve">може бути </w:t>
      </w:r>
      <w:r>
        <w:rPr>
          <w:rFonts w:ascii="Times New Roman" w:hAnsi="Times New Roman" w:cs="Times New Roman"/>
          <w:sz w:val="28"/>
          <w:szCs w:val="28"/>
          <w:lang w:val="uk-UA"/>
        </w:rPr>
        <w:t xml:space="preserve">обумовлене </w:t>
      </w:r>
      <w:r w:rsidR="00D16372">
        <w:rPr>
          <w:rFonts w:ascii="Times New Roman" w:hAnsi="Times New Roman" w:cs="Times New Roman"/>
          <w:sz w:val="28"/>
          <w:szCs w:val="28"/>
          <w:lang w:val="uk-UA"/>
        </w:rPr>
        <w:t>знижен</w:t>
      </w:r>
      <w:r w:rsidR="00A957A9">
        <w:rPr>
          <w:rFonts w:ascii="Times New Roman" w:hAnsi="Times New Roman" w:cs="Times New Roman"/>
          <w:sz w:val="28"/>
          <w:szCs w:val="28"/>
          <w:lang w:val="uk-UA"/>
        </w:rPr>
        <w:t>ням її виведення за наявності порушення функції нирок</w:t>
      </w:r>
      <w:r>
        <w:rPr>
          <w:rFonts w:ascii="Times New Roman" w:hAnsi="Times New Roman" w:cs="Times New Roman"/>
          <w:sz w:val="28"/>
          <w:szCs w:val="28"/>
          <w:lang w:val="uk-UA"/>
        </w:rPr>
        <w:t xml:space="preserve"> чи </w:t>
      </w:r>
      <w:r w:rsidR="00D16372">
        <w:rPr>
          <w:rFonts w:ascii="Times New Roman" w:hAnsi="Times New Roman" w:cs="Times New Roman"/>
          <w:sz w:val="28"/>
          <w:szCs w:val="28"/>
          <w:lang w:val="uk-UA"/>
        </w:rPr>
        <w:t xml:space="preserve">підвищенням продукції за умови </w:t>
      </w:r>
      <w:r>
        <w:rPr>
          <w:rFonts w:ascii="Times New Roman" w:hAnsi="Times New Roman" w:cs="Times New Roman"/>
          <w:sz w:val="28"/>
          <w:szCs w:val="28"/>
          <w:lang w:val="uk-UA"/>
        </w:rPr>
        <w:t>СН</w:t>
      </w:r>
      <w:r w:rsidR="000D0D74">
        <w:rPr>
          <w:rFonts w:ascii="Times New Roman" w:hAnsi="Times New Roman" w:cs="Times New Roman"/>
          <w:sz w:val="28"/>
          <w:szCs w:val="28"/>
          <w:lang w:val="uk-UA"/>
        </w:rPr>
        <w:t xml:space="preserve"> у обстежених пацієнтів І групи</w:t>
      </w:r>
      <w:r>
        <w:rPr>
          <w:rFonts w:ascii="Times New Roman" w:hAnsi="Times New Roman" w:cs="Times New Roman"/>
          <w:sz w:val="28"/>
          <w:szCs w:val="28"/>
          <w:lang w:val="uk-UA"/>
        </w:rPr>
        <w:t>.</w:t>
      </w:r>
    </w:p>
    <w:p w:rsidR="00E914E4" w:rsidRPr="001B248E" w:rsidRDefault="00D16372" w:rsidP="001B248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Вміст урикемії оцінено залежно від </w:t>
      </w:r>
      <w:r w:rsidR="00B928AF">
        <w:rPr>
          <w:rFonts w:ascii="Times New Roman" w:hAnsi="Times New Roman" w:cs="Times New Roman"/>
          <w:sz w:val="28"/>
          <w:szCs w:val="28"/>
          <w:lang w:val="uk-UA"/>
        </w:rPr>
        <w:t xml:space="preserve">ФК ХСН </w:t>
      </w:r>
      <w:r>
        <w:rPr>
          <w:rFonts w:ascii="Times New Roman" w:hAnsi="Times New Roman" w:cs="Times New Roman"/>
          <w:sz w:val="28"/>
          <w:szCs w:val="28"/>
          <w:lang w:val="uk-UA"/>
        </w:rPr>
        <w:t>у</w:t>
      </w:r>
      <w:r w:rsidR="00121D63" w:rsidRPr="00121D63">
        <w:rPr>
          <w:rFonts w:ascii="Times New Roman" w:hAnsi="Times New Roman" w:cs="Times New Roman"/>
          <w:sz w:val="28"/>
          <w:szCs w:val="28"/>
          <w:lang w:val="uk-UA"/>
        </w:rPr>
        <w:t xml:space="preserve"> </w:t>
      </w:r>
      <w:r>
        <w:rPr>
          <w:rFonts w:ascii="Times New Roman" w:hAnsi="Times New Roman" w:cs="Times New Roman"/>
          <w:sz w:val="28"/>
          <w:szCs w:val="28"/>
          <w:lang w:val="uk-UA"/>
        </w:rPr>
        <w:t>хворих на</w:t>
      </w:r>
      <w:r w:rsidR="00121D63">
        <w:rPr>
          <w:rFonts w:ascii="Times New Roman" w:hAnsi="Times New Roman" w:cs="Times New Roman"/>
          <w:sz w:val="28"/>
          <w:szCs w:val="28"/>
          <w:lang w:val="uk-UA"/>
        </w:rPr>
        <w:t xml:space="preserve"> </w:t>
      </w:r>
      <w:r w:rsidR="009351F4">
        <w:rPr>
          <w:rFonts w:ascii="Times New Roman" w:hAnsi="Times New Roman" w:cs="Times New Roman"/>
          <w:sz w:val="28"/>
          <w:szCs w:val="28"/>
          <w:lang w:val="uk-UA"/>
        </w:rPr>
        <w:t xml:space="preserve">АГ та </w:t>
      </w:r>
      <w:r w:rsidR="00507F88">
        <w:rPr>
          <w:rFonts w:ascii="Times New Roman" w:hAnsi="Times New Roman" w:cs="Times New Roman"/>
          <w:sz w:val="28"/>
          <w:szCs w:val="28"/>
          <w:lang w:val="uk-UA"/>
        </w:rPr>
        <w:t xml:space="preserve">         </w:t>
      </w:r>
      <w:r w:rsidR="009351F4">
        <w:rPr>
          <w:rFonts w:ascii="Times New Roman" w:hAnsi="Times New Roman" w:cs="Times New Roman"/>
          <w:sz w:val="28"/>
          <w:szCs w:val="28"/>
          <w:lang w:val="uk-UA"/>
        </w:rPr>
        <w:t>ЦД 2-го типу</w:t>
      </w:r>
      <w:r w:rsidR="00C27406">
        <w:rPr>
          <w:rFonts w:ascii="Times New Roman" w:hAnsi="Times New Roman" w:cs="Times New Roman"/>
          <w:sz w:val="28"/>
          <w:szCs w:val="28"/>
          <w:lang w:val="uk-UA"/>
        </w:rPr>
        <w:t xml:space="preserve"> </w:t>
      </w:r>
      <w:r w:rsidR="002B4682">
        <w:rPr>
          <w:rFonts w:ascii="Times New Roman" w:hAnsi="Times New Roman" w:cs="Times New Roman"/>
          <w:sz w:val="28"/>
          <w:szCs w:val="28"/>
          <w:lang w:val="uk-UA"/>
        </w:rPr>
        <w:t>(табл. 5</w:t>
      </w:r>
      <w:r w:rsidR="00121D63">
        <w:rPr>
          <w:rFonts w:ascii="Times New Roman" w:hAnsi="Times New Roman" w:cs="Times New Roman"/>
          <w:sz w:val="28"/>
          <w:szCs w:val="28"/>
          <w:lang w:val="uk-UA"/>
        </w:rPr>
        <w:t>.4.1).</w:t>
      </w:r>
    </w:p>
    <w:p w:rsidR="005670C3" w:rsidRPr="005670C3" w:rsidRDefault="00C27406" w:rsidP="005670C3">
      <w:pPr>
        <w:autoSpaceDE w:val="0"/>
        <w:autoSpaceDN w:val="0"/>
        <w:adjustRightInd w:val="0"/>
        <w:spacing w:after="0" w:line="360" w:lineRule="auto"/>
        <w:jc w:val="right"/>
        <w:rPr>
          <w:rFonts w:ascii="Times New Roman" w:hAnsi="Times New Roman" w:cs="Times New Roman"/>
          <w:i/>
          <w:sz w:val="28"/>
          <w:szCs w:val="28"/>
          <w:lang w:val="uk-UA"/>
        </w:rPr>
      </w:pPr>
      <w:r w:rsidRPr="005670C3">
        <w:rPr>
          <w:rFonts w:ascii="Times New Roman" w:hAnsi="Times New Roman" w:cs="Times New Roman"/>
          <w:i/>
          <w:sz w:val="28"/>
          <w:szCs w:val="28"/>
          <w:lang w:val="uk-UA"/>
        </w:rPr>
        <w:t>Таблиця</w:t>
      </w:r>
      <w:r w:rsidR="002B4682" w:rsidRPr="005670C3">
        <w:rPr>
          <w:rFonts w:ascii="Times New Roman" w:hAnsi="Times New Roman" w:cs="Times New Roman"/>
          <w:i/>
          <w:sz w:val="28"/>
          <w:szCs w:val="28"/>
          <w:lang w:val="uk-UA"/>
        </w:rPr>
        <w:t xml:space="preserve"> 5</w:t>
      </w:r>
      <w:r w:rsidR="00C214D7" w:rsidRPr="005670C3">
        <w:rPr>
          <w:rFonts w:ascii="Times New Roman" w:hAnsi="Times New Roman" w:cs="Times New Roman"/>
          <w:i/>
          <w:sz w:val="28"/>
          <w:szCs w:val="28"/>
          <w:lang w:val="uk-UA"/>
        </w:rPr>
        <w:t>.</w:t>
      </w:r>
      <w:r w:rsidRPr="005670C3">
        <w:rPr>
          <w:rFonts w:ascii="Times New Roman" w:hAnsi="Times New Roman" w:cs="Times New Roman"/>
          <w:i/>
          <w:sz w:val="28"/>
          <w:szCs w:val="28"/>
          <w:lang w:val="uk-UA"/>
        </w:rPr>
        <w:t>4.1</w:t>
      </w:r>
    </w:p>
    <w:p w:rsidR="00C214D7" w:rsidRPr="005670C3" w:rsidRDefault="005670C3" w:rsidP="005670C3">
      <w:pPr>
        <w:autoSpaceDE w:val="0"/>
        <w:autoSpaceDN w:val="0"/>
        <w:adjustRightInd w:val="0"/>
        <w:spacing w:after="0" w:line="360" w:lineRule="auto"/>
        <w:jc w:val="center"/>
        <w:rPr>
          <w:rFonts w:ascii="Times New Roman" w:hAnsi="Times New Roman" w:cs="Times New Roman"/>
          <w:b/>
          <w:sz w:val="28"/>
          <w:szCs w:val="28"/>
          <w:lang w:val="uk-UA"/>
        </w:rPr>
      </w:pPr>
      <w:r w:rsidRPr="005670C3">
        <w:rPr>
          <w:rFonts w:ascii="Times New Roman" w:hAnsi="Times New Roman" w:cs="Times New Roman"/>
          <w:b/>
          <w:sz w:val="28"/>
          <w:szCs w:val="28"/>
          <w:lang w:val="uk-UA"/>
        </w:rPr>
        <w:t xml:space="preserve">Вміст </w:t>
      </w:r>
      <w:r w:rsidR="00C27406" w:rsidRPr="005670C3">
        <w:rPr>
          <w:rFonts w:ascii="Times New Roman" w:hAnsi="Times New Roman" w:cs="Times New Roman"/>
          <w:b/>
          <w:sz w:val="28"/>
          <w:szCs w:val="28"/>
          <w:lang w:val="uk-UA"/>
        </w:rPr>
        <w:t>сечової кислоти залежно</w:t>
      </w:r>
      <w:r w:rsidR="00C214D7" w:rsidRPr="005670C3">
        <w:rPr>
          <w:rFonts w:ascii="Times New Roman" w:hAnsi="Times New Roman" w:cs="Times New Roman"/>
          <w:b/>
          <w:sz w:val="28"/>
          <w:szCs w:val="28"/>
          <w:lang w:val="uk-UA"/>
        </w:rPr>
        <w:t xml:space="preserve"> від функціонального класу хр</w:t>
      </w:r>
      <w:r w:rsidR="00C27406" w:rsidRPr="005670C3">
        <w:rPr>
          <w:rFonts w:ascii="Times New Roman" w:hAnsi="Times New Roman" w:cs="Times New Roman"/>
          <w:b/>
          <w:sz w:val="28"/>
          <w:szCs w:val="28"/>
          <w:lang w:val="uk-UA"/>
        </w:rPr>
        <w:t xml:space="preserve">онічної серцевої недостатності </w:t>
      </w:r>
      <w:r w:rsidRPr="005670C3">
        <w:rPr>
          <w:rFonts w:ascii="Times New Roman" w:hAnsi="Times New Roman" w:cs="Times New Roman"/>
          <w:b/>
          <w:sz w:val="28"/>
          <w:szCs w:val="28"/>
          <w:lang w:val="uk-UA"/>
        </w:rPr>
        <w:t xml:space="preserve">у пацієнтів </w:t>
      </w:r>
      <w:r w:rsidR="00D16372">
        <w:rPr>
          <w:rFonts w:ascii="Times New Roman" w:hAnsi="Times New Roman" w:cs="Times New Roman"/>
          <w:b/>
          <w:sz w:val="28"/>
          <w:szCs w:val="28"/>
          <w:lang w:val="uk-UA"/>
        </w:rPr>
        <w:t>І групи</w:t>
      </w:r>
    </w:p>
    <w:tbl>
      <w:tblPr>
        <w:tblStyle w:val="a5"/>
        <w:tblW w:w="0" w:type="auto"/>
        <w:tblInd w:w="108" w:type="dxa"/>
        <w:tblLayout w:type="fixed"/>
        <w:tblLook w:val="04A0" w:firstRow="1" w:lastRow="0" w:firstColumn="1" w:lastColumn="0" w:noHBand="0" w:noVBand="1"/>
      </w:tblPr>
      <w:tblGrid>
        <w:gridCol w:w="2538"/>
        <w:gridCol w:w="2678"/>
        <w:gridCol w:w="2538"/>
        <w:gridCol w:w="1550"/>
      </w:tblGrid>
      <w:tr w:rsidR="00675CDD" w:rsidTr="00600DBA">
        <w:trPr>
          <w:trHeight w:val="272"/>
        </w:trPr>
        <w:tc>
          <w:tcPr>
            <w:tcW w:w="2538" w:type="dxa"/>
          </w:tcPr>
          <w:p w:rsidR="00675CDD" w:rsidRDefault="000D0D74"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2678" w:type="dxa"/>
          </w:tcPr>
          <w:p w:rsidR="00675CDD" w:rsidRPr="00BD4338" w:rsidRDefault="000D0D74" w:rsidP="00576E7E">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ФК </w:t>
            </w:r>
            <w:r w:rsidR="00675CDD">
              <w:rPr>
                <w:rFonts w:ascii="Times New Roman" w:hAnsi="Times New Roman" w:cs="Times New Roman"/>
                <w:sz w:val="28"/>
                <w:szCs w:val="28"/>
                <w:lang w:val="uk-UA"/>
              </w:rPr>
              <w:t>ІІ (</w:t>
            </w:r>
            <w:r w:rsidR="00675CDD">
              <w:rPr>
                <w:rFonts w:ascii="Times New Roman" w:hAnsi="Times New Roman" w:cs="Times New Roman"/>
                <w:sz w:val="28"/>
                <w:szCs w:val="28"/>
                <w:lang w:val="en-US"/>
              </w:rPr>
              <w:t xml:space="preserve">n = </w:t>
            </w:r>
            <w:r w:rsidR="00675CDD">
              <w:rPr>
                <w:rFonts w:ascii="Times New Roman" w:hAnsi="Times New Roman" w:cs="Times New Roman"/>
                <w:sz w:val="28"/>
                <w:szCs w:val="28"/>
                <w:lang w:val="uk-UA"/>
              </w:rPr>
              <w:t>80</w:t>
            </w:r>
            <w:r w:rsidR="00675CDD">
              <w:rPr>
                <w:rFonts w:ascii="Times New Roman" w:hAnsi="Times New Roman" w:cs="Times New Roman"/>
                <w:sz w:val="28"/>
                <w:szCs w:val="28"/>
                <w:lang w:val="en-US"/>
              </w:rPr>
              <w:t>)</w:t>
            </w:r>
          </w:p>
        </w:tc>
        <w:tc>
          <w:tcPr>
            <w:tcW w:w="2538" w:type="dxa"/>
          </w:tcPr>
          <w:p w:rsidR="00675CDD" w:rsidRPr="00BD4338" w:rsidRDefault="000D0D74" w:rsidP="00576E7E">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ФК </w:t>
            </w:r>
            <w:r w:rsidR="00675CDD">
              <w:rPr>
                <w:rFonts w:ascii="Times New Roman" w:hAnsi="Times New Roman" w:cs="Times New Roman"/>
                <w:sz w:val="28"/>
                <w:szCs w:val="28"/>
                <w:lang w:val="uk-UA"/>
              </w:rPr>
              <w:t>ІІІ (</w:t>
            </w:r>
            <w:r w:rsidR="00675CDD">
              <w:rPr>
                <w:rFonts w:ascii="Times New Roman" w:hAnsi="Times New Roman" w:cs="Times New Roman"/>
                <w:sz w:val="28"/>
                <w:szCs w:val="28"/>
                <w:lang w:val="en-US"/>
              </w:rPr>
              <w:t>n = 14)</w:t>
            </w:r>
          </w:p>
        </w:tc>
        <w:tc>
          <w:tcPr>
            <w:tcW w:w="1550" w:type="dxa"/>
          </w:tcPr>
          <w:p w:rsidR="00675CDD" w:rsidRPr="00BD4338" w:rsidRDefault="00675CD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675CDD" w:rsidRPr="005903C1" w:rsidTr="00600DBA">
        <w:trPr>
          <w:trHeight w:val="615"/>
        </w:trPr>
        <w:tc>
          <w:tcPr>
            <w:tcW w:w="2538" w:type="dxa"/>
          </w:tcPr>
          <w:p w:rsidR="00B928AF" w:rsidRDefault="00675CD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Сечова кислота, </w:t>
            </w:r>
          </w:p>
          <w:p w:rsidR="00B928AF" w:rsidRPr="00C214D7" w:rsidRDefault="00675CD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мкмоль/л</w:t>
            </w:r>
          </w:p>
        </w:tc>
        <w:tc>
          <w:tcPr>
            <w:tcW w:w="2678" w:type="dxa"/>
          </w:tcPr>
          <w:p w:rsidR="00675CDD" w:rsidRDefault="00675CD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310,67 ± 104,74</w:t>
            </w:r>
          </w:p>
          <w:p w:rsidR="00B928AF" w:rsidRDefault="00B928AF" w:rsidP="00576E7E">
            <w:pPr>
              <w:autoSpaceDE w:val="0"/>
              <w:autoSpaceDN w:val="0"/>
              <w:adjustRightInd w:val="0"/>
              <w:spacing w:line="360" w:lineRule="auto"/>
              <w:jc w:val="both"/>
              <w:rPr>
                <w:rFonts w:ascii="Times New Roman" w:hAnsi="Times New Roman" w:cs="Times New Roman"/>
                <w:sz w:val="28"/>
                <w:szCs w:val="28"/>
                <w:lang w:val="uk-UA"/>
              </w:rPr>
            </w:pPr>
          </w:p>
        </w:tc>
        <w:tc>
          <w:tcPr>
            <w:tcW w:w="2538" w:type="dxa"/>
          </w:tcPr>
          <w:p w:rsidR="00675CDD" w:rsidRPr="005903C1" w:rsidRDefault="00675CD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353,5 ± 20,74</w:t>
            </w:r>
          </w:p>
        </w:tc>
        <w:tc>
          <w:tcPr>
            <w:tcW w:w="1550" w:type="dxa"/>
          </w:tcPr>
          <w:p w:rsidR="00675CDD" w:rsidRPr="005903C1" w:rsidRDefault="00675CD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w:t>
            </w:r>
            <w:r w:rsidRPr="005903C1">
              <w:rPr>
                <w:rFonts w:ascii="Times New Roman" w:hAnsi="Times New Roman" w:cs="Times New Roman"/>
                <w:sz w:val="28"/>
                <w:szCs w:val="28"/>
                <w:lang w:val="uk-UA"/>
              </w:rPr>
              <w:t xml:space="preserve"> </w:t>
            </w:r>
            <w:r>
              <w:rPr>
                <w:rFonts w:ascii="Times New Roman" w:hAnsi="Times New Roman" w:cs="Times New Roman"/>
                <w:sz w:val="28"/>
                <w:szCs w:val="28"/>
                <w:lang w:val="uk-UA"/>
              </w:rPr>
              <w:t>0,8652</w:t>
            </w:r>
          </w:p>
          <w:p w:rsidR="00675CDD" w:rsidRPr="00D207B1" w:rsidRDefault="00675CDD" w:rsidP="00576E7E">
            <w:pPr>
              <w:autoSpaceDE w:val="0"/>
              <w:autoSpaceDN w:val="0"/>
              <w:adjustRightInd w:val="0"/>
              <w:spacing w:line="360" w:lineRule="auto"/>
              <w:jc w:val="both"/>
              <w:rPr>
                <w:rFonts w:ascii="Times New Roman" w:hAnsi="Times New Roman" w:cs="Times New Roman"/>
                <w:sz w:val="28"/>
                <w:szCs w:val="28"/>
                <w:lang w:val="uk-UA"/>
              </w:rPr>
            </w:pPr>
          </w:p>
        </w:tc>
      </w:tr>
    </w:tbl>
    <w:p w:rsidR="005670C3" w:rsidRDefault="005670C3" w:rsidP="00C214D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C27406">
        <w:rPr>
          <w:rFonts w:ascii="Times New Roman" w:hAnsi="Times New Roman" w:cs="Times New Roman"/>
          <w:sz w:val="28"/>
          <w:szCs w:val="28"/>
          <w:lang w:val="uk-UA"/>
        </w:rPr>
        <w:t xml:space="preserve">: </w:t>
      </w:r>
    </w:p>
    <w:p w:rsidR="00C214D7" w:rsidRPr="005670C3" w:rsidRDefault="00C214D7" w:rsidP="005670C3">
      <w:pPr>
        <w:pStyle w:val="a8"/>
        <w:numPr>
          <w:ilvl w:val="0"/>
          <w:numId w:val="28"/>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n – кількість осіб;</w:t>
      </w:r>
    </w:p>
    <w:p w:rsidR="005903C1" w:rsidRPr="00AD37AD" w:rsidRDefault="00C214D7" w:rsidP="004A4D51">
      <w:pPr>
        <w:pStyle w:val="a8"/>
        <w:numPr>
          <w:ilvl w:val="0"/>
          <w:numId w:val="28"/>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р – достовірність розходжен</w:t>
      </w:r>
      <w:r w:rsidR="00675CDD" w:rsidRPr="005670C3">
        <w:rPr>
          <w:rFonts w:ascii="Times New Roman" w:hAnsi="Times New Roman" w:cs="Times New Roman"/>
          <w:sz w:val="28"/>
          <w:szCs w:val="28"/>
        </w:rPr>
        <w:t>ня між показниками</w:t>
      </w:r>
    </w:p>
    <w:p w:rsidR="00AD37AD" w:rsidRDefault="00AD37AD" w:rsidP="005670C3">
      <w:pPr>
        <w:autoSpaceDE w:val="0"/>
        <w:autoSpaceDN w:val="0"/>
        <w:adjustRightInd w:val="0"/>
        <w:spacing w:after="0" w:line="360" w:lineRule="auto"/>
        <w:ind w:firstLine="708"/>
        <w:jc w:val="both"/>
        <w:rPr>
          <w:rFonts w:ascii="Times New Roman" w:hAnsi="Times New Roman" w:cs="Times New Roman"/>
          <w:sz w:val="28"/>
          <w:szCs w:val="28"/>
          <w:lang w:val="uk-UA"/>
        </w:rPr>
      </w:pPr>
    </w:p>
    <w:p w:rsidR="00FC571D" w:rsidRDefault="00B928AF" w:rsidP="005670C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хворих </w:t>
      </w:r>
      <w:r w:rsidR="00121D63">
        <w:rPr>
          <w:rFonts w:ascii="Times New Roman" w:hAnsi="Times New Roman" w:cs="Times New Roman"/>
          <w:sz w:val="28"/>
          <w:szCs w:val="28"/>
          <w:lang w:val="uk-UA"/>
        </w:rPr>
        <w:t>І групи</w:t>
      </w:r>
      <w:r w:rsidR="00121D63" w:rsidRPr="00D12761">
        <w:rPr>
          <w:rFonts w:ascii="Times New Roman" w:hAnsi="Times New Roman" w:cs="Times New Roman"/>
          <w:sz w:val="28"/>
          <w:szCs w:val="28"/>
          <w:lang w:val="uk-UA"/>
        </w:rPr>
        <w:t xml:space="preserve"> пр</w:t>
      </w:r>
      <w:r w:rsidR="00121D63">
        <w:rPr>
          <w:rFonts w:ascii="Times New Roman" w:hAnsi="Times New Roman" w:cs="Times New Roman"/>
          <w:sz w:val="28"/>
          <w:szCs w:val="28"/>
          <w:lang w:val="uk-UA"/>
        </w:rPr>
        <w:t xml:space="preserve">оаналізовано залежність між </w:t>
      </w:r>
      <w:r w:rsidR="008D4E7C">
        <w:rPr>
          <w:rFonts w:ascii="Times New Roman" w:hAnsi="Times New Roman" w:cs="Times New Roman"/>
          <w:sz w:val="28"/>
          <w:szCs w:val="28"/>
          <w:lang w:val="uk-UA"/>
        </w:rPr>
        <w:t xml:space="preserve">урикемією </w:t>
      </w:r>
      <w:r w:rsidR="00121D63">
        <w:rPr>
          <w:rFonts w:ascii="Times New Roman" w:hAnsi="Times New Roman" w:cs="Times New Roman"/>
          <w:sz w:val="28"/>
          <w:szCs w:val="28"/>
          <w:lang w:val="uk-UA"/>
        </w:rPr>
        <w:t>та показниками структурно-ф</w:t>
      </w:r>
      <w:r w:rsidR="002B4682">
        <w:rPr>
          <w:rFonts w:ascii="Times New Roman" w:hAnsi="Times New Roman" w:cs="Times New Roman"/>
          <w:sz w:val="28"/>
          <w:szCs w:val="28"/>
          <w:lang w:val="uk-UA"/>
        </w:rPr>
        <w:t>ункціонального стану ЛШ (табл. 5</w:t>
      </w:r>
      <w:r w:rsidR="009B278C">
        <w:rPr>
          <w:rFonts w:ascii="Times New Roman" w:hAnsi="Times New Roman" w:cs="Times New Roman"/>
          <w:sz w:val="28"/>
          <w:szCs w:val="28"/>
          <w:lang w:val="uk-UA"/>
        </w:rPr>
        <w:t>.4.2).</w:t>
      </w:r>
    </w:p>
    <w:p w:rsidR="005670C3" w:rsidRPr="005670C3" w:rsidRDefault="006410DA" w:rsidP="005670C3">
      <w:pPr>
        <w:autoSpaceDE w:val="0"/>
        <w:autoSpaceDN w:val="0"/>
        <w:adjustRightInd w:val="0"/>
        <w:spacing w:after="0" w:line="360" w:lineRule="auto"/>
        <w:jc w:val="right"/>
        <w:rPr>
          <w:rFonts w:ascii="Times New Roman" w:hAnsi="Times New Roman" w:cs="Times New Roman"/>
          <w:i/>
          <w:sz w:val="28"/>
          <w:szCs w:val="28"/>
          <w:lang w:val="uk-UA"/>
        </w:rPr>
      </w:pPr>
      <w:r w:rsidRPr="005670C3">
        <w:rPr>
          <w:rFonts w:ascii="Times New Roman" w:hAnsi="Times New Roman" w:cs="Times New Roman"/>
          <w:i/>
          <w:sz w:val="28"/>
          <w:szCs w:val="28"/>
          <w:lang w:val="uk-UA"/>
        </w:rPr>
        <w:t>Таблиця</w:t>
      </w:r>
      <w:r w:rsidR="002B4682" w:rsidRPr="005670C3">
        <w:rPr>
          <w:rFonts w:ascii="Times New Roman" w:hAnsi="Times New Roman" w:cs="Times New Roman"/>
          <w:i/>
          <w:sz w:val="28"/>
          <w:szCs w:val="28"/>
          <w:lang w:val="uk-UA"/>
        </w:rPr>
        <w:t xml:space="preserve"> 5</w:t>
      </w:r>
      <w:r w:rsidR="00121D63" w:rsidRPr="005670C3">
        <w:rPr>
          <w:rFonts w:ascii="Times New Roman" w:hAnsi="Times New Roman" w:cs="Times New Roman"/>
          <w:i/>
          <w:sz w:val="28"/>
          <w:szCs w:val="28"/>
          <w:lang w:val="uk-UA"/>
        </w:rPr>
        <w:t>.4.2</w:t>
      </w:r>
      <w:r w:rsidR="005670C3" w:rsidRPr="005670C3">
        <w:rPr>
          <w:rFonts w:ascii="Times New Roman" w:hAnsi="Times New Roman" w:cs="Times New Roman"/>
          <w:i/>
          <w:sz w:val="28"/>
          <w:szCs w:val="28"/>
          <w:lang w:val="uk-UA"/>
        </w:rPr>
        <w:t xml:space="preserve"> </w:t>
      </w:r>
    </w:p>
    <w:p w:rsidR="00121D63" w:rsidRPr="005670C3" w:rsidRDefault="007A2B19" w:rsidP="005670C3">
      <w:pPr>
        <w:autoSpaceDE w:val="0"/>
        <w:autoSpaceDN w:val="0"/>
        <w:adjustRightInd w:val="0"/>
        <w:spacing w:after="0" w:line="360" w:lineRule="auto"/>
        <w:jc w:val="center"/>
        <w:rPr>
          <w:rFonts w:ascii="Times New Roman" w:hAnsi="Times New Roman" w:cs="Times New Roman"/>
          <w:b/>
          <w:sz w:val="28"/>
          <w:szCs w:val="28"/>
          <w:lang w:val="uk-UA"/>
        </w:rPr>
      </w:pPr>
      <w:r w:rsidRPr="005670C3">
        <w:rPr>
          <w:rFonts w:ascii="Times New Roman" w:hAnsi="Times New Roman" w:cs="Times New Roman"/>
          <w:b/>
          <w:sz w:val="28"/>
          <w:szCs w:val="28"/>
          <w:lang w:val="uk-UA"/>
        </w:rPr>
        <w:t>З</w:t>
      </w:r>
      <w:r w:rsidR="00121D63" w:rsidRPr="005670C3">
        <w:rPr>
          <w:rFonts w:ascii="Times New Roman" w:hAnsi="Times New Roman" w:cs="Times New Roman"/>
          <w:b/>
          <w:sz w:val="28"/>
          <w:szCs w:val="28"/>
          <w:lang w:val="uk-UA"/>
        </w:rPr>
        <w:t xml:space="preserve">алежність між </w:t>
      </w:r>
      <w:r w:rsidR="00B928AF">
        <w:rPr>
          <w:rFonts w:ascii="Times New Roman" w:hAnsi="Times New Roman" w:cs="Times New Roman"/>
          <w:b/>
          <w:sz w:val="28"/>
          <w:szCs w:val="28"/>
          <w:lang w:val="uk-UA"/>
        </w:rPr>
        <w:t xml:space="preserve">вмістом </w:t>
      </w:r>
      <w:r w:rsidR="00121D63" w:rsidRPr="005670C3">
        <w:rPr>
          <w:rFonts w:ascii="Times New Roman" w:hAnsi="Times New Roman" w:cs="Times New Roman"/>
          <w:b/>
          <w:sz w:val="28"/>
          <w:szCs w:val="28"/>
          <w:lang w:val="uk-UA"/>
        </w:rPr>
        <w:t>сечової кислоти і показниками структурно-функціо</w:t>
      </w:r>
      <w:r w:rsidR="006410DA" w:rsidRPr="005670C3">
        <w:rPr>
          <w:rFonts w:ascii="Times New Roman" w:hAnsi="Times New Roman" w:cs="Times New Roman"/>
          <w:b/>
          <w:sz w:val="28"/>
          <w:szCs w:val="28"/>
          <w:lang w:val="uk-UA"/>
        </w:rPr>
        <w:t xml:space="preserve">нального стану серцевого м’яза </w:t>
      </w:r>
      <w:r w:rsidR="005670C3" w:rsidRPr="005670C3">
        <w:rPr>
          <w:rFonts w:ascii="Times New Roman" w:hAnsi="Times New Roman" w:cs="Times New Roman"/>
          <w:b/>
          <w:sz w:val="28"/>
          <w:szCs w:val="28"/>
          <w:lang w:val="uk-UA"/>
        </w:rPr>
        <w:t xml:space="preserve">у пацієнтів </w:t>
      </w:r>
      <w:r w:rsidR="00121D63" w:rsidRPr="005670C3">
        <w:rPr>
          <w:rFonts w:ascii="Times New Roman" w:hAnsi="Times New Roman" w:cs="Times New Roman"/>
          <w:b/>
          <w:sz w:val="28"/>
          <w:szCs w:val="28"/>
          <w:lang w:val="uk-UA"/>
        </w:rPr>
        <w:t>І групи</w:t>
      </w:r>
    </w:p>
    <w:tbl>
      <w:tblPr>
        <w:tblStyle w:val="a5"/>
        <w:tblW w:w="0" w:type="auto"/>
        <w:tblInd w:w="108" w:type="dxa"/>
        <w:tblLook w:val="04A0" w:firstRow="1" w:lastRow="0" w:firstColumn="1" w:lastColumn="0" w:noHBand="0" w:noVBand="1"/>
      </w:tblPr>
      <w:tblGrid>
        <w:gridCol w:w="4677"/>
        <w:gridCol w:w="2393"/>
        <w:gridCol w:w="2286"/>
      </w:tblGrid>
      <w:tr w:rsidR="00121D63" w:rsidTr="00136877">
        <w:tc>
          <w:tcPr>
            <w:tcW w:w="4677" w:type="dxa"/>
          </w:tcPr>
          <w:p w:rsidR="00121D63" w:rsidRDefault="00FC571D"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2393" w:type="dxa"/>
          </w:tcPr>
          <w:p w:rsidR="00121D63" w:rsidRPr="007675F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en-US"/>
              </w:rPr>
              <w:t>r</w:t>
            </w:r>
          </w:p>
        </w:tc>
        <w:tc>
          <w:tcPr>
            <w:tcW w:w="2286" w:type="dxa"/>
          </w:tcPr>
          <w:p w:rsidR="00121D63" w:rsidRPr="007675F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121D63" w:rsidTr="00136877">
        <w:tc>
          <w:tcPr>
            <w:tcW w:w="4677" w:type="dxa"/>
          </w:tcPr>
          <w:p w:rsidR="00121D6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ТМШП, см</w:t>
            </w:r>
          </w:p>
        </w:tc>
        <w:tc>
          <w:tcPr>
            <w:tcW w:w="2393" w:type="dxa"/>
          </w:tcPr>
          <w:p w:rsidR="00121D63" w:rsidRDefault="006410DA"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A2B19">
              <w:rPr>
                <w:rFonts w:ascii="Times New Roman" w:hAnsi="Times New Roman" w:cs="Times New Roman"/>
                <w:sz w:val="28"/>
                <w:szCs w:val="28"/>
                <w:lang w:val="uk-UA"/>
              </w:rPr>
              <w:t>0,03</w:t>
            </w:r>
          </w:p>
        </w:tc>
        <w:tc>
          <w:tcPr>
            <w:tcW w:w="2286" w:type="dxa"/>
          </w:tcPr>
          <w:p w:rsidR="00121D63" w:rsidRDefault="00F9468F"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0,6740</w:t>
            </w:r>
          </w:p>
        </w:tc>
      </w:tr>
      <w:tr w:rsidR="00121D63" w:rsidTr="00136877">
        <w:tc>
          <w:tcPr>
            <w:tcW w:w="4677" w:type="dxa"/>
          </w:tcPr>
          <w:p w:rsidR="00121D6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ТЗСЛШ, см</w:t>
            </w:r>
          </w:p>
        </w:tc>
        <w:tc>
          <w:tcPr>
            <w:tcW w:w="2393" w:type="dxa"/>
          </w:tcPr>
          <w:p w:rsidR="00121D63" w:rsidRDefault="007A2B19"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w:t>
            </w:r>
          </w:p>
        </w:tc>
        <w:tc>
          <w:tcPr>
            <w:tcW w:w="2286" w:type="dxa"/>
          </w:tcPr>
          <w:p w:rsidR="00121D63" w:rsidRDefault="00F9468F"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0,1599</w:t>
            </w:r>
          </w:p>
        </w:tc>
      </w:tr>
      <w:tr w:rsidR="00121D63" w:rsidTr="00136877">
        <w:tc>
          <w:tcPr>
            <w:tcW w:w="4677" w:type="dxa"/>
          </w:tcPr>
          <w:p w:rsidR="00121D63" w:rsidRPr="001D6324"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КДР,</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см</w:t>
            </w:r>
          </w:p>
        </w:tc>
        <w:tc>
          <w:tcPr>
            <w:tcW w:w="2393" w:type="dxa"/>
          </w:tcPr>
          <w:p w:rsidR="00121D63" w:rsidRDefault="007A2B19"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0,33</w:t>
            </w:r>
          </w:p>
        </w:tc>
        <w:tc>
          <w:tcPr>
            <w:tcW w:w="2286" w:type="dxa"/>
          </w:tcPr>
          <w:p w:rsidR="00121D63" w:rsidRPr="00F9468F" w:rsidRDefault="00F9468F" w:rsidP="00576E7E">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&lt; 0,0001</w:t>
            </w:r>
          </w:p>
        </w:tc>
      </w:tr>
      <w:tr w:rsidR="00121D63" w:rsidRPr="00F9468F" w:rsidTr="00136877">
        <w:tc>
          <w:tcPr>
            <w:tcW w:w="4677" w:type="dxa"/>
          </w:tcPr>
          <w:p w:rsidR="00121D6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КСР, см</w:t>
            </w:r>
          </w:p>
        </w:tc>
        <w:tc>
          <w:tcPr>
            <w:tcW w:w="2393" w:type="dxa"/>
          </w:tcPr>
          <w:p w:rsidR="00121D63" w:rsidRDefault="007A2B19"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0,34</w:t>
            </w:r>
          </w:p>
        </w:tc>
        <w:tc>
          <w:tcPr>
            <w:tcW w:w="2286" w:type="dxa"/>
          </w:tcPr>
          <w:p w:rsidR="00121D63" w:rsidRPr="00F9468F" w:rsidRDefault="00F9468F" w:rsidP="00576E7E">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&lt; 0,0001</w:t>
            </w:r>
          </w:p>
        </w:tc>
      </w:tr>
      <w:tr w:rsidR="00121D63" w:rsidRPr="00F9468F" w:rsidTr="00136877">
        <w:tc>
          <w:tcPr>
            <w:tcW w:w="4677" w:type="dxa"/>
          </w:tcPr>
          <w:p w:rsidR="00121D6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КДО, см</w:t>
            </w:r>
          </w:p>
        </w:tc>
        <w:tc>
          <w:tcPr>
            <w:tcW w:w="2393" w:type="dxa"/>
          </w:tcPr>
          <w:p w:rsidR="00121D63" w:rsidRDefault="007A2B19"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0,33</w:t>
            </w:r>
          </w:p>
        </w:tc>
        <w:tc>
          <w:tcPr>
            <w:tcW w:w="2286" w:type="dxa"/>
          </w:tcPr>
          <w:p w:rsidR="00121D63" w:rsidRPr="00F9468F" w:rsidRDefault="00F9468F" w:rsidP="00576E7E">
            <w:pPr>
              <w:autoSpaceDE w:val="0"/>
              <w:autoSpaceDN w:val="0"/>
              <w:adjustRightInd w:val="0"/>
              <w:spacing w:line="360" w:lineRule="auto"/>
              <w:jc w:val="both"/>
              <w:rPr>
                <w:rFonts w:ascii="Times New Roman" w:hAnsi="Times New Roman" w:cs="Times New Roman"/>
                <w:sz w:val="28"/>
                <w:szCs w:val="28"/>
                <w:lang w:val="uk-UA"/>
              </w:rPr>
            </w:pPr>
            <w:r w:rsidRPr="00F9468F">
              <w:rPr>
                <w:rFonts w:ascii="Times New Roman" w:hAnsi="Times New Roman" w:cs="Times New Roman"/>
                <w:sz w:val="28"/>
                <w:szCs w:val="28"/>
                <w:lang w:val="uk-UA"/>
              </w:rPr>
              <w:t>&lt; 0,0001</w:t>
            </w:r>
          </w:p>
        </w:tc>
      </w:tr>
      <w:tr w:rsidR="00121D63" w:rsidRPr="00F9468F" w:rsidTr="00136877">
        <w:tc>
          <w:tcPr>
            <w:tcW w:w="4677" w:type="dxa"/>
          </w:tcPr>
          <w:p w:rsidR="00121D63" w:rsidRDefault="00121D63"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КСО, см</w:t>
            </w:r>
          </w:p>
        </w:tc>
        <w:tc>
          <w:tcPr>
            <w:tcW w:w="2393" w:type="dxa"/>
          </w:tcPr>
          <w:p w:rsidR="00121D63" w:rsidRDefault="007A2B19" w:rsidP="00576E7E">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0,27</w:t>
            </w:r>
          </w:p>
        </w:tc>
        <w:tc>
          <w:tcPr>
            <w:tcW w:w="2286" w:type="dxa"/>
          </w:tcPr>
          <w:p w:rsidR="00121D63" w:rsidRDefault="00F9468F" w:rsidP="00576E7E">
            <w:pPr>
              <w:autoSpaceDE w:val="0"/>
              <w:autoSpaceDN w:val="0"/>
              <w:adjustRightInd w:val="0"/>
              <w:spacing w:line="360" w:lineRule="auto"/>
              <w:jc w:val="both"/>
              <w:rPr>
                <w:rFonts w:ascii="Times New Roman" w:hAnsi="Times New Roman" w:cs="Times New Roman"/>
                <w:sz w:val="28"/>
                <w:szCs w:val="28"/>
                <w:lang w:val="uk-UA"/>
              </w:rPr>
            </w:pPr>
            <w:r w:rsidRPr="00F9468F">
              <w:rPr>
                <w:rFonts w:ascii="Times New Roman" w:hAnsi="Times New Roman" w:cs="Times New Roman"/>
                <w:sz w:val="28"/>
                <w:szCs w:val="28"/>
                <w:lang w:val="uk-UA"/>
              </w:rPr>
              <w:t>&lt; 0,0001</w:t>
            </w:r>
          </w:p>
        </w:tc>
      </w:tr>
      <w:tr w:rsidR="00E91966" w:rsidRPr="00F9468F" w:rsidTr="00136877">
        <w:tc>
          <w:tcPr>
            <w:tcW w:w="4677" w:type="dxa"/>
          </w:tcPr>
          <w:p w:rsidR="00E91966" w:rsidRDefault="00E91966"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ЛП, см</w:t>
            </w:r>
          </w:p>
        </w:tc>
        <w:tc>
          <w:tcPr>
            <w:tcW w:w="2393" w:type="dxa"/>
          </w:tcPr>
          <w:p w:rsidR="00E91966" w:rsidRDefault="00E91966"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0,18</w:t>
            </w:r>
          </w:p>
        </w:tc>
        <w:tc>
          <w:tcPr>
            <w:tcW w:w="2286" w:type="dxa"/>
          </w:tcPr>
          <w:p w:rsidR="00E91966" w:rsidRPr="00F9468F" w:rsidRDefault="00E91966" w:rsidP="00E91966">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0,011</w:t>
            </w:r>
          </w:p>
        </w:tc>
      </w:tr>
      <w:tr w:rsidR="00E91966" w:rsidRPr="00F9468F" w:rsidTr="00136877">
        <w:tc>
          <w:tcPr>
            <w:tcW w:w="4677" w:type="dxa"/>
          </w:tcPr>
          <w:p w:rsidR="00E91966" w:rsidRPr="00F9468F" w:rsidRDefault="00E91966"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ПП,</w:t>
            </w:r>
            <w:r w:rsidRPr="00F9468F">
              <w:rPr>
                <w:rFonts w:ascii="Times New Roman" w:hAnsi="Times New Roman" w:cs="Times New Roman"/>
                <w:sz w:val="28"/>
                <w:szCs w:val="28"/>
                <w:lang w:val="uk-UA"/>
              </w:rPr>
              <w:t xml:space="preserve"> см</w:t>
            </w:r>
          </w:p>
        </w:tc>
        <w:tc>
          <w:tcPr>
            <w:tcW w:w="2393" w:type="dxa"/>
          </w:tcPr>
          <w:p w:rsidR="00E91966" w:rsidRDefault="00E91966"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0,04</w:t>
            </w:r>
          </w:p>
        </w:tc>
        <w:tc>
          <w:tcPr>
            <w:tcW w:w="2286" w:type="dxa"/>
          </w:tcPr>
          <w:p w:rsidR="00E91966" w:rsidRPr="00F9468F" w:rsidRDefault="00E91966" w:rsidP="00E91966">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0,5748</w:t>
            </w:r>
          </w:p>
        </w:tc>
      </w:tr>
      <w:tr w:rsidR="00E91966" w:rsidRPr="00F9468F" w:rsidTr="00136877">
        <w:tc>
          <w:tcPr>
            <w:tcW w:w="4677" w:type="dxa"/>
          </w:tcPr>
          <w:p w:rsidR="00E91966" w:rsidRDefault="00E91966"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ФВ, %</w:t>
            </w:r>
          </w:p>
        </w:tc>
        <w:tc>
          <w:tcPr>
            <w:tcW w:w="2393" w:type="dxa"/>
          </w:tcPr>
          <w:p w:rsidR="00E91966" w:rsidRDefault="006410DA"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91966">
              <w:rPr>
                <w:rFonts w:ascii="Times New Roman" w:hAnsi="Times New Roman" w:cs="Times New Roman"/>
                <w:sz w:val="28"/>
                <w:szCs w:val="28"/>
                <w:lang w:val="uk-UA"/>
              </w:rPr>
              <w:t>0,17</w:t>
            </w:r>
          </w:p>
        </w:tc>
        <w:tc>
          <w:tcPr>
            <w:tcW w:w="2286" w:type="dxa"/>
          </w:tcPr>
          <w:p w:rsidR="00E91966" w:rsidRDefault="00E91966" w:rsidP="00E91966">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0,0164</w:t>
            </w:r>
          </w:p>
        </w:tc>
      </w:tr>
    </w:tbl>
    <w:p w:rsidR="005670C3" w:rsidRDefault="005670C3" w:rsidP="005670C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Примітки</w:t>
      </w:r>
      <w:r w:rsidR="00121D63">
        <w:rPr>
          <w:rFonts w:ascii="Times New Roman" w:hAnsi="Times New Roman" w:cs="Times New Roman"/>
          <w:sz w:val="28"/>
          <w:szCs w:val="28"/>
          <w:lang w:val="uk-UA"/>
        </w:rPr>
        <w:t xml:space="preserve">: </w:t>
      </w:r>
    </w:p>
    <w:p w:rsidR="00121D63" w:rsidRPr="005670C3" w:rsidRDefault="00121D63" w:rsidP="00567A1E">
      <w:pPr>
        <w:pStyle w:val="a8"/>
        <w:numPr>
          <w:ilvl w:val="0"/>
          <w:numId w:val="29"/>
        </w:numPr>
        <w:spacing w:after="0" w:line="240" w:lineRule="auto"/>
      </w:pPr>
      <w:r w:rsidRPr="005670C3">
        <w:rPr>
          <w:rFonts w:ascii="Times New Roman" w:hAnsi="Times New Roman" w:cs="Times New Roman"/>
          <w:sz w:val="28"/>
          <w:szCs w:val="28"/>
          <w:lang w:val="en-US"/>
        </w:rPr>
        <w:t>r</w:t>
      </w:r>
      <w:r w:rsidRPr="005670C3">
        <w:rPr>
          <w:rFonts w:ascii="Times New Roman" w:hAnsi="Times New Roman" w:cs="Times New Roman"/>
          <w:sz w:val="28"/>
          <w:szCs w:val="28"/>
        </w:rPr>
        <w:t xml:space="preserve"> – критерій кореляції Пірсона;</w:t>
      </w:r>
    </w:p>
    <w:p w:rsidR="00975F03" w:rsidRPr="00567A1E" w:rsidRDefault="006410DA" w:rsidP="00567A1E">
      <w:pPr>
        <w:pStyle w:val="a8"/>
        <w:numPr>
          <w:ilvl w:val="0"/>
          <w:numId w:val="29"/>
        </w:numPr>
        <w:autoSpaceDE w:val="0"/>
        <w:autoSpaceDN w:val="0"/>
        <w:adjustRightInd w:val="0"/>
        <w:spacing w:after="0" w:line="240" w:lineRule="auto"/>
        <w:jc w:val="both"/>
        <w:rPr>
          <w:rFonts w:ascii="Times New Roman" w:hAnsi="Times New Roman" w:cs="Times New Roman"/>
          <w:sz w:val="28"/>
          <w:szCs w:val="28"/>
        </w:rPr>
      </w:pPr>
      <w:r w:rsidRPr="005670C3">
        <w:rPr>
          <w:rFonts w:ascii="Times New Roman" w:hAnsi="Times New Roman" w:cs="Times New Roman"/>
          <w:sz w:val="28"/>
          <w:szCs w:val="28"/>
        </w:rPr>
        <w:t>р – достовірність значень</w:t>
      </w:r>
    </w:p>
    <w:p w:rsidR="00AD37AD" w:rsidRDefault="00AD37AD" w:rsidP="00AB15BF">
      <w:pPr>
        <w:autoSpaceDE w:val="0"/>
        <w:autoSpaceDN w:val="0"/>
        <w:adjustRightInd w:val="0"/>
        <w:spacing w:after="0" w:line="360" w:lineRule="auto"/>
        <w:ind w:firstLine="708"/>
        <w:jc w:val="both"/>
        <w:rPr>
          <w:rFonts w:ascii="Times New Roman" w:hAnsi="Times New Roman" w:cs="Times New Roman"/>
          <w:sz w:val="28"/>
          <w:szCs w:val="28"/>
          <w:lang w:val="uk-UA"/>
        </w:rPr>
      </w:pPr>
      <w:r w:rsidRPr="00AD37AD">
        <w:rPr>
          <w:rFonts w:ascii="Times New Roman" w:hAnsi="Times New Roman" w:cs="Times New Roman"/>
          <w:sz w:val="28"/>
          <w:szCs w:val="28"/>
          <w:lang w:val="uk-UA"/>
        </w:rPr>
        <w:lastRenderedPageBreak/>
        <w:t>Вміст сечової кислоти у пацієнтів І групи із ІІ ФК ХСН (310,67               ± 104,74) мкмоль/л виявився недостовірно меншим порівняно з ІІІ ФК ХСН (353,5 ± 20,74) мкмоль/л (p &gt; 0,05).</w:t>
      </w:r>
    </w:p>
    <w:p w:rsidR="00A94226" w:rsidRDefault="00F9468F" w:rsidP="00AB15BF">
      <w:pPr>
        <w:autoSpaceDE w:val="0"/>
        <w:autoSpaceDN w:val="0"/>
        <w:adjustRightInd w:val="0"/>
        <w:spacing w:after="0" w:line="360" w:lineRule="auto"/>
        <w:ind w:firstLine="708"/>
        <w:jc w:val="both"/>
        <w:rPr>
          <w:lang w:val="uk-UA"/>
        </w:rPr>
      </w:pPr>
      <w:r>
        <w:rPr>
          <w:rFonts w:ascii="Times New Roman" w:hAnsi="Times New Roman" w:cs="Times New Roman"/>
          <w:sz w:val="28"/>
          <w:szCs w:val="28"/>
          <w:lang w:val="uk-UA"/>
        </w:rPr>
        <w:t xml:space="preserve">Таким чином, </w:t>
      </w:r>
      <w:r w:rsidR="00A94226">
        <w:rPr>
          <w:rFonts w:ascii="Times New Roman" w:hAnsi="Times New Roman" w:cs="Times New Roman"/>
          <w:sz w:val="28"/>
          <w:szCs w:val="28"/>
          <w:lang w:val="uk-UA"/>
        </w:rPr>
        <w:t xml:space="preserve">у міру зростання </w:t>
      </w:r>
      <w:r w:rsidR="0047343E">
        <w:rPr>
          <w:rFonts w:ascii="Times New Roman" w:hAnsi="Times New Roman" w:cs="Times New Roman"/>
          <w:sz w:val="28"/>
          <w:szCs w:val="28"/>
          <w:lang w:val="uk-UA"/>
        </w:rPr>
        <w:t xml:space="preserve">урикемії </w:t>
      </w:r>
      <w:r w:rsidR="00A94226">
        <w:rPr>
          <w:rFonts w:ascii="Times New Roman" w:hAnsi="Times New Roman" w:cs="Times New Roman"/>
          <w:sz w:val="28"/>
          <w:szCs w:val="28"/>
          <w:lang w:val="uk-UA"/>
        </w:rPr>
        <w:t>відмічено збільшення</w:t>
      </w:r>
      <w:r>
        <w:rPr>
          <w:rFonts w:ascii="Times New Roman" w:hAnsi="Times New Roman" w:cs="Times New Roman"/>
          <w:sz w:val="28"/>
          <w:szCs w:val="28"/>
          <w:lang w:val="uk-UA"/>
        </w:rPr>
        <w:t xml:space="preserve"> КДР</w:t>
      </w:r>
      <w:r w:rsidRPr="00F9468F">
        <w:rPr>
          <w:rFonts w:ascii="Times New Roman" w:hAnsi="Times New Roman" w:cs="Times New Roman"/>
          <w:sz w:val="28"/>
          <w:szCs w:val="28"/>
          <w:lang w:val="uk-UA"/>
        </w:rPr>
        <w:t xml:space="preserve"> </w:t>
      </w:r>
      <w:r w:rsidR="0047343E">
        <w:rPr>
          <w:rFonts w:ascii="Times New Roman" w:hAnsi="Times New Roman" w:cs="Times New Roman"/>
          <w:sz w:val="28"/>
          <w:szCs w:val="28"/>
          <w:lang w:val="uk-UA"/>
        </w:rPr>
        <w:t xml:space="preserve">     </w:t>
      </w:r>
      <w:r w:rsidRPr="00F9468F">
        <w:rPr>
          <w:rFonts w:ascii="Times New Roman" w:hAnsi="Times New Roman" w:cs="Times New Roman"/>
          <w:sz w:val="28"/>
          <w:szCs w:val="28"/>
          <w:lang w:val="uk-UA"/>
        </w:rPr>
        <w:t>(</w:t>
      </w:r>
      <w:r w:rsidR="00382F2F">
        <w:rPr>
          <w:rFonts w:ascii="Times New Roman" w:hAnsi="Times New Roman" w:cs="Times New Roman"/>
          <w:sz w:val="28"/>
          <w:szCs w:val="28"/>
          <w:lang w:val="en-US"/>
        </w:rPr>
        <w:t>r</w:t>
      </w:r>
      <w:r w:rsidR="00382F2F" w:rsidRPr="00382F2F">
        <w:rPr>
          <w:rFonts w:ascii="Times New Roman" w:hAnsi="Times New Roman" w:cs="Times New Roman"/>
          <w:sz w:val="28"/>
          <w:szCs w:val="28"/>
          <w:lang w:val="uk-UA"/>
        </w:rPr>
        <w:t xml:space="preserve"> = </w:t>
      </w:r>
      <w:r w:rsidR="00382F2F">
        <w:rPr>
          <w:rFonts w:ascii="Times New Roman" w:hAnsi="Times New Roman" w:cs="Times New Roman"/>
          <w:sz w:val="28"/>
          <w:szCs w:val="28"/>
          <w:lang w:val="uk-UA"/>
        </w:rPr>
        <w:t xml:space="preserve">0,33; </w:t>
      </w:r>
      <w:r>
        <w:rPr>
          <w:rFonts w:ascii="Times New Roman" w:hAnsi="Times New Roman" w:cs="Times New Roman"/>
          <w:sz w:val="28"/>
          <w:szCs w:val="28"/>
          <w:lang w:val="en-US"/>
        </w:rPr>
        <w:t>p</w:t>
      </w:r>
      <w:r w:rsidRPr="00F9468F">
        <w:rPr>
          <w:rFonts w:ascii="Times New Roman" w:hAnsi="Times New Roman" w:cs="Times New Roman"/>
          <w:sz w:val="28"/>
          <w:szCs w:val="28"/>
          <w:lang w:val="uk-UA"/>
        </w:rPr>
        <w:t xml:space="preserve"> &lt; 0,0001), </w:t>
      </w:r>
      <w:r>
        <w:rPr>
          <w:rFonts w:ascii="Times New Roman" w:hAnsi="Times New Roman" w:cs="Times New Roman"/>
          <w:sz w:val="28"/>
          <w:szCs w:val="28"/>
          <w:lang w:val="uk-UA"/>
        </w:rPr>
        <w:t xml:space="preserve">КСР </w:t>
      </w:r>
      <w:r w:rsidRPr="00F9468F">
        <w:rPr>
          <w:rFonts w:ascii="Times New Roman" w:hAnsi="Times New Roman" w:cs="Times New Roman"/>
          <w:sz w:val="28"/>
          <w:szCs w:val="28"/>
          <w:lang w:val="uk-UA"/>
        </w:rPr>
        <w:t>(</w:t>
      </w:r>
      <w:r w:rsidR="00382F2F">
        <w:rPr>
          <w:rFonts w:ascii="Times New Roman" w:hAnsi="Times New Roman" w:cs="Times New Roman"/>
          <w:sz w:val="28"/>
          <w:szCs w:val="28"/>
          <w:lang w:val="en-US"/>
        </w:rPr>
        <w:t>r</w:t>
      </w:r>
      <w:r w:rsidR="00382F2F" w:rsidRPr="00382F2F">
        <w:rPr>
          <w:rFonts w:ascii="Times New Roman" w:hAnsi="Times New Roman" w:cs="Times New Roman"/>
          <w:sz w:val="28"/>
          <w:szCs w:val="28"/>
          <w:lang w:val="uk-UA"/>
        </w:rPr>
        <w:t xml:space="preserve"> = 0,34; </w:t>
      </w:r>
      <w:r>
        <w:rPr>
          <w:rFonts w:ascii="Times New Roman" w:hAnsi="Times New Roman" w:cs="Times New Roman"/>
          <w:sz w:val="28"/>
          <w:szCs w:val="28"/>
          <w:lang w:val="en-US"/>
        </w:rPr>
        <w:t>p</w:t>
      </w:r>
      <w:r w:rsidRPr="00F9468F">
        <w:rPr>
          <w:rFonts w:ascii="Times New Roman" w:hAnsi="Times New Roman" w:cs="Times New Roman"/>
          <w:sz w:val="28"/>
          <w:szCs w:val="28"/>
          <w:lang w:val="uk-UA"/>
        </w:rPr>
        <w:t xml:space="preserve"> &lt; 0,0001),</w:t>
      </w:r>
      <w:r>
        <w:rPr>
          <w:rFonts w:ascii="Times New Roman" w:hAnsi="Times New Roman" w:cs="Times New Roman"/>
          <w:sz w:val="28"/>
          <w:szCs w:val="28"/>
          <w:lang w:val="uk-UA"/>
        </w:rPr>
        <w:t xml:space="preserve"> КДО </w:t>
      </w:r>
      <w:r w:rsidRPr="00F9468F">
        <w:rPr>
          <w:rFonts w:ascii="Times New Roman" w:hAnsi="Times New Roman" w:cs="Times New Roman"/>
          <w:sz w:val="28"/>
          <w:szCs w:val="28"/>
          <w:lang w:val="uk-UA"/>
        </w:rPr>
        <w:t>(</w:t>
      </w:r>
      <w:r w:rsidR="00382F2F">
        <w:rPr>
          <w:rFonts w:ascii="Times New Roman" w:hAnsi="Times New Roman" w:cs="Times New Roman"/>
          <w:sz w:val="28"/>
          <w:szCs w:val="28"/>
          <w:lang w:val="en-US"/>
        </w:rPr>
        <w:t>r</w:t>
      </w:r>
      <w:r w:rsidR="00382F2F" w:rsidRPr="00382F2F">
        <w:rPr>
          <w:rFonts w:ascii="Times New Roman" w:hAnsi="Times New Roman" w:cs="Times New Roman"/>
          <w:sz w:val="28"/>
          <w:szCs w:val="28"/>
          <w:lang w:val="uk-UA"/>
        </w:rPr>
        <w:t xml:space="preserve"> = </w:t>
      </w:r>
      <w:r w:rsidR="00382F2F">
        <w:rPr>
          <w:rFonts w:ascii="Times New Roman" w:hAnsi="Times New Roman" w:cs="Times New Roman"/>
          <w:sz w:val="28"/>
          <w:szCs w:val="28"/>
          <w:lang w:val="uk-UA"/>
        </w:rPr>
        <w:t xml:space="preserve">0,33; </w:t>
      </w:r>
      <w:r w:rsidRPr="00F9468F">
        <w:rPr>
          <w:rFonts w:ascii="Times New Roman" w:hAnsi="Times New Roman" w:cs="Times New Roman"/>
          <w:sz w:val="28"/>
          <w:szCs w:val="28"/>
          <w:lang w:val="uk-UA"/>
        </w:rPr>
        <w:t>p &lt; 0,0001),</w:t>
      </w:r>
      <w:r>
        <w:rPr>
          <w:rFonts w:ascii="Times New Roman" w:hAnsi="Times New Roman" w:cs="Times New Roman"/>
          <w:sz w:val="28"/>
          <w:szCs w:val="28"/>
          <w:lang w:val="uk-UA"/>
        </w:rPr>
        <w:t xml:space="preserve"> КСО </w:t>
      </w:r>
      <w:r w:rsidRPr="00F9468F">
        <w:rPr>
          <w:rFonts w:ascii="Times New Roman" w:hAnsi="Times New Roman" w:cs="Times New Roman"/>
          <w:sz w:val="28"/>
          <w:szCs w:val="28"/>
          <w:lang w:val="uk-UA"/>
        </w:rPr>
        <w:t>(</w:t>
      </w:r>
      <w:r w:rsidR="00382F2F">
        <w:rPr>
          <w:rFonts w:ascii="Times New Roman" w:hAnsi="Times New Roman" w:cs="Times New Roman"/>
          <w:sz w:val="28"/>
          <w:szCs w:val="28"/>
          <w:lang w:val="uk-UA"/>
        </w:rPr>
        <w:t xml:space="preserve">r = 0,27; </w:t>
      </w:r>
      <w:r w:rsidRPr="00F9468F">
        <w:rPr>
          <w:rFonts w:ascii="Times New Roman" w:hAnsi="Times New Roman" w:cs="Times New Roman"/>
          <w:sz w:val="28"/>
          <w:szCs w:val="28"/>
          <w:lang w:val="uk-UA"/>
        </w:rPr>
        <w:t>p &lt; 0,0001),</w:t>
      </w:r>
      <w:r w:rsidR="00A94226">
        <w:rPr>
          <w:rFonts w:ascii="Times New Roman" w:hAnsi="Times New Roman" w:cs="Times New Roman"/>
          <w:sz w:val="28"/>
          <w:szCs w:val="28"/>
          <w:lang w:val="uk-UA"/>
        </w:rPr>
        <w:t xml:space="preserve"> ДЛП </w:t>
      </w:r>
      <w:r w:rsidR="0047343E">
        <w:rPr>
          <w:rFonts w:ascii="Times New Roman" w:hAnsi="Times New Roman" w:cs="Times New Roman"/>
          <w:sz w:val="28"/>
          <w:szCs w:val="28"/>
          <w:lang w:val="uk-UA"/>
        </w:rPr>
        <w:t xml:space="preserve">(r = 0,18; </w:t>
      </w:r>
      <w:r w:rsidR="00382F2F">
        <w:rPr>
          <w:rFonts w:ascii="Times New Roman" w:hAnsi="Times New Roman" w:cs="Times New Roman"/>
          <w:sz w:val="28"/>
          <w:szCs w:val="28"/>
          <w:lang w:val="uk-UA"/>
        </w:rPr>
        <w:t>р = 0,0</w:t>
      </w:r>
      <w:r w:rsidR="00A94226">
        <w:rPr>
          <w:rFonts w:ascii="Times New Roman" w:hAnsi="Times New Roman" w:cs="Times New Roman"/>
          <w:sz w:val="28"/>
          <w:szCs w:val="28"/>
          <w:lang w:val="uk-UA"/>
        </w:rPr>
        <w:t>11) та зменшення</w:t>
      </w:r>
      <w:r w:rsidR="006410DA">
        <w:rPr>
          <w:rFonts w:ascii="Times New Roman" w:hAnsi="Times New Roman" w:cs="Times New Roman"/>
          <w:sz w:val="28"/>
          <w:szCs w:val="28"/>
          <w:lang w:val="uk-UA"/>
        </w:rPr>
        <w:t xml:space="preserve"> ФВ ЛШ </w:t>
      </w:r>
      <w:r w:rsidR="00867630">
        <w:rPr>
          <w:rFonts w:ascii="Times New Roman" w:hAnsi="Times New Roman" w:cs="Times New Roman"/>
          <w:sz w:val="28"/>
          <w:szCs w:val="28"/>
          <w:lang w:val="uk-UA"/>
        </w:rPr>
        <w:t xml:space="preserve">     </w:t>
      </w:r>
      <w:r w:rsidR="006410DA">
        <w:rPr>
          <w:rFonts w:ascii="Times New Roman" w:hAnsi="Times New Roman" w:cs="Times New Roman"/>
          <w:sz w:val="28"/>
          <w:szCs w:val="28"/>
          <w:lang w:val="uk-UA"/>
        </w:rPr>
        <w:t>(r = −</w:t>
      </w:r>
      <w:r w:rsidR="00382F2F">
        <w:rPr>
          <w:rFonts w:ascii="Times New Roman" w:hAnsi="Times New Roman" w:cs="Times New Roman"/>
          <w:sz w:val="28"/>
          <w:szCs w:val="28"/>
          <w:lang w:val="uk-UA"/>
        </w:rPr>
        <w:t>0,1</w:t>
      </w:r>
      <w:r w:rsidR="00382F2F" w:rsidRPr="00382F2F">
        <w:rPr>
          <w:rFonts w:ascii="Times New Roman" w:hAnsi="Times New Roman" w:cs="Times New Roman"/>
          <w:sz w:val="28"/>
          <w:szCs w:val="28"/>
          <w:lang w:val="uk-UA"/>
        </w:rPr>
        <w:t>7</w:t>
      </w:r>
      <w:r w:rsidR="00382F2F">
        <w:rPr>
          <w:rFonts w:ascii="Times New Roman" w:hAnsi="Times New Roman" w:cs="Times New Roman"/>
          <w:sz w:val="28"/>
          <w:szCs w:val="28"/>
          <w:lang w:val="uk-UA"/>
        </w:rPr>
        <w:t>; р = 0,0164).</w:t>
      </w:r>
      <w:r w:rsidR="00AB15BF" w:rsidRPr="00AB15BF">
        <w:rPr>
          <w:lang w:val="uk-UA"/>
        </w:rPr>
        <w:t xml:space="preserve"> </w:t>
      </w:r>
    </w:p>
    <w:p w:rsidR="00121D63" w:rsidRPr="00576E7E" w:rsidRDefault="008D4E7C" w:rsidP="00AB15B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Науковці </w:t>
      </w:r>
      <w:r w:rsidR="006410DA">
        <w:rPr>
          <w:rFonts w:ascii="Times New Roman" w:hAnsi="Times New Roman" w:cs="Times New Roman"/>
          <w:sz w:val="28"/>
          <w:szCs w:val="28"/>
          <w:lang w:val="uk-UA"/>
        </w:rPr>
        <w:t>установили</w:t>
      </w:r>
      <w:r w:rsidR="00AB15BF">
        <w:rPr>
          <w:rFonts w:ascii="Times New Roman" w:hAnsi="Times New Roman" w:cs="Times New Roman"/>
          <w:sz w:val="28"/>
          <w:szCs w:val="28"/>
          <w:lang w:val="uk-UA"/>
        </w:rPr>
        <w:t xml:space="preserve"> </w:t>
      </w:r>
      <w:r w:rsidR="00A94226">
        <w:rPr>
          <w:rFonts w:ascii="Times New Roman" w:hAnsi="Times New Roman" w:cs="Times New Roman"/>
          <w:sz w:val="28"/>
          <w:szCs w:val="28"/>
          <w:lang w:val="uk-UA"/>
        </w:rPr>
        <w:t xml:space="preserve">позитивну залежність </w:t>
      </w:r>
      <w:r w:rsidR="004A4D51">
        <w:rPr>
          <w:rFonts w:ascii="Times New Roman" w:hAnsi="Times New Roman" w:cs="Times New Roman"/>
          <w:sz w:val="28"/>
          <w:szCs w:val="28"/>
          <w:lang w:val="uk-UA"/>
        </w:rPr>
        <w:t>між урикемією та</w:t>
      </w:r>
      <w:r w:rsidR="00AB15BF" w:rsidRPr="00AB15BF">
        <w:rPr>
          <w:rFonts w:ascii="Times New Roman" w:hAnsi="Times New Roman" w:cs="Times New Roman"/>
          <w:sz w:val="28"/>
          <w:szCs w:val="28"/>
          <w:lang w:val="uk-UA"/>
        </w:rPr>
        <w:t xml:space="preserve"> КСР </w:t>
      </w:r>
      <w:r w:rsidR="004A4D51">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(r</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w:t>
      </w:r>
      <w:r w:rsidR="00C92B25" w:rsidRPr="00C92B25">
        <w:rPr>
          <w:rFonts w:ascii="Times New Roman" w:hAnsi="Times New Roman" w:cs="Times New Roman"/>
          <w:sz w:val="28"/>
          <w:szCs w:val="28"/>
          <w:lang w:val="uk-UA"/>
        </w:rPr>
        <w:t xml:space="preserve"> </w:t>
      </w:r>
      <w:r w:rsidR="00A94226">
        <w:rPr>
          <w:rFonts w:ascii="Times New Roman" w:hAnsi="Times New Roman" w:cs="Times New Roman"/>
          <w:sz w:val="28"/>
          <w:szCs w:val="28"/>
          <w:lang w:val="uk-UA"/>
        </w:rPr>
        <w:t xml:space="preserve">0,38; </w:t>
      </w:r>
      <w:r w:rsidR="00AB15BF" w:rsidRPr="00AB15BF">
        <w:rPr>
          <w:rFonts w:ascii="Times New Roman" w:hAnsi="Times New Roman" w:cs="Times New Roman"/>
          <w:sz w:val="28"/>
          <w:szCs w:val="28"/>
          <w:lang w:val="uk-UA"/>
        </w:rPr>
        <w:t>p</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&lt;</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0,05), КДР (r</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w:t>
      </w:r>
      <w:r w:rsidR="00C92B25" w:rsidRPr="00C92B25">
        <w:rPr>
          <w:rFonts w:ascii="Times New Roman" w:hAnsi="Times New Roman" w:cs="Times New Roman"/>
          <w:sz w:val="28"/>
          <w:szCs w:val="28"/>
          <w:lang w:val="uk-UA"/>
        </w:rPr>
        <w:t xml:space="preserve"> </w:t>
      </w:r>
      <w:r w:rsidR="006410DA">
        <w:rPr>
          <w:rFonts w:ascii="Times New Roman" w:hAnsi="Times New Roman" w:cs="Times New Roman"/>
          <w:sz w:val="28"/>
          <w:szCs w:val="28"/>
          <w:lang w:val="uk-UA"/>
        </w:rPr>
        <w:t>0,36;</w:t>
      </w:r>
      <w:r w:rsidR="00AB15BF" w:rsidRPr="00AB15BF">
        <w:rPr>
          <w:rFonts w:ascii="Times New Roman" w:hAnsi="Times New Roman" w:cs="Times New Roman"/>
          <w:sz w:val="28"/>
          <w:szCs w:val="28"/>
          <w:lang w:val="uk-UA"/>
        </w:rPr>
        <w:t xml:space="preserve"> p</w:t>
      </w:r>
      <w:r w:rsidR="006410DA">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&lt;</w:t>
      </w:r>
      <w:r w:rsidR="006410DA">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0,05), ТЗС</w:t>
      </w:r>
      <w:r w:rsidR="004A4D51">
        <w:rPr>
          <w:rFonts w:ascii="Times New Roman" w:hAnsi="Times New Roman" w:cs="Times New Roman"/>
          <w:sz w:val="28"/>
          <w:szCs w:val="28"/>
          <w:lang w:val="uk-UA"/>
        </w:rPr>
        <w:t>ЛШ</w:t>
      </w:r>
      <w:r w:rsidR="00AB15BF" w:rsidRPr="00AB15BF">
        <w:rPr>
          <w:rFonts w:ascii="Times New Roman" w:hAnsi="Times New Roman" w:cs="Times New Roman"/>
          <w:sz w:val="28"/>
          <w:szCs w:val="28"/>
          <w:lang w:val="uk-UA"/>
        </w:rPr>
        <w:t xml:space="preserve"> (r</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0</w:t>
      </w:r>
      <w:r w:rsidR="006410DA">
        <w:rPr>
          <w:rFonts w:ascii="Times New Roman" w:hAnsi="Times New Roman" w:cs="Times New Roman"/>
          <w:sz w:val="28"/>
          <w:szCs w:val="28"/>
          <w:lang w:val="uk-UA"/>
        </w:rPr>
        <w:t>,2;</w:t>
      </w:r>
      <w:r w:rsidR="00AB15BF" w:rsidRPr="00AB15BF">
        <w:rPr>
          <w:rFonts w:ascii="Times New Roman" w:hAnsi="Times New Roman" w:cs="Times New Roman"/>
          <w:sz w:val="28"/>
          <w:szCs w:val="28"/>
          <w:lang w:val="uk-UA"/>
        </w:rPr>
        <w:t xml:space="preserve"> p</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&lt;</w:t>
      </w:r>
      <w:r w:rsidR="00C92B25" w:rsidRPr="00C92B25">
        <w:rPr>
          <w:rFonts w:ascii="Times New Roman" w:hAnsi="Times New Roman" w:cs="Times New Roman"/>
          <w:sz w:val="28"/>
          <w:szCs w:val="28"/>
          <w:lang w:val="uk-UA"/>
        </w:rPr>
        <w:t xml:space="preserve"> </w:t>
      </w:r>
      <w:r w:rsidR="00AB15BF" w:rsidRPr="00AB15BF">
        <w:rPr>
          <w:rFonts w:ascii="Times New Roman" w:hAnsi="Times New Roman" w:cs="Times New Roman"/>
          <w:sz w:val="28"/>
          <w:szCs w:val="28"/>
          <w:lang w:val="uk-UA"/>
        </w:rPr>
        <w:t>0,05</w:t>
      </w:r>
      <w:r>
        <w:rPr>
          <w:rFonts w:ascii="Times New Roman" w:hAnsi="Times New Roman" w:cs="Times New Roman"/>
          <w:sz w:val="28"/>
          <w:szCs w:val="28"/>
          <w:lang w:val="uk-UA"/>
        </w:rPr>
        <w:t xml:space="preserve">) у хворих </w:t>
      </w:r>
      <w:r w:rsidR="00B16D63">
        <w:rPr>
          <w:rFonts w:ascii="Times New Roman" w:hAnsi="Times New Roman" w:cs="Times New Roman"/>
          <w:sz w:val="28"/>
          <w:szCs w:val="28"/>
          <w:lang w:val="uk-UA"/>
        </w:rPr>
        <w:t>із</w:t>
      </w:r>
      <w:r w:rsidR="00A94226">
        <w:rPr>
          <w:rFonts w:ascii="Times New Roman" w:hAnsi="Times New Roman" w:cs="Times New Roman"/>
          <w:sz w:val="28"/>
          <w:szCs w:val="28"/>
          <w:lang w:val="uk-UA"/>
        </w:rPr>
        <w:t xml:space="preserve"> порушенням функції серця</w:t>
      </w:r>
      <w:r w:rsidR="00B16D63">
        <w:rPr>
          <w:rFonts w:ascii="Times New Roman" w:hAnsi="Times New Roman" w:cs="Times New Roman"/>
          <w:sz w:val="28"/>
          <w:szCs w:val="28"/>
          <w:lang w:val="uk-UA"/>
        </w:rPr>
        <w:t xml:space="preserve"> та ХХН</w:t>
      </w:r>
      <w:r w:rsidR="00576E7E">
        <w:rPr>
          <w:rFonts w:ascii="Times New Roman" w:hAnsi="Times New Roman" w:cs="Times New Roman"/>
          <w:sz w:val="28"/>
          <w:szCs w:val="28"/>
          <w:lang w:val="uk-UA"/>
        </w:rPr>
        <w:t xml:space="preserve"> </w:t>
      </w:r>
      <w:r w:rsidR="00576E7E" w:rsidRPr="00576E7E">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73</w:t>
      </w:r>
      <w:r w:rsidR="00576E7E" w:rsidRPr="0004617B">
        <w:rPr>
          <w:rFonts w:ascii="Times New Roman" w:hAnsi="Times New Roman" w:cs="Times New Roman"/>
          <w:sz w:val="28"/>
          <w:szCs w:val="28"/>
          <w:lang w:val="uk-UA"/>
        </w:rPr>
        <w:t>]</w:t>
      </w:r>
      <w:r w:rsidR="00576E7E" w:rsidRPr="00576E7E">
        <w:rPr>
          <w:rFonts w:ascii="Times New Roman" w:hAnsi="Times New Roman" w:cs="Times New Roman"/>
          <w:sz w:val="28"/>
          <w:szCs w:val="28"/>
          <w:lang w:val="uk-UA"/>
        </w:rPr>
        <w:t>.</w:t>
      </w:r>
      <w:r w:rsidR="00A9422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проведеному нами дослідженні </w:t>
      </w:r>
      <w:r w:rsidR="00A94226">
        <w:rPr>
          <w:rFonts w:ascii="Times New Roman" w:hAnsi="Times New Roman" w:cs="Times New Roman"/>
          <w:sz w:val="28"/>
          <w:szCs w:val="28"/>
          <w:lang w:val="uk-UA"/>
        </w:rPr>
        <w:t xml:space="preserve">було підтверджено вагому роль урикемії у прогресуванні СН саме </w:t>
      </w:r>
      <w:r w:rsidR="00054A47">
        <w:rPr>
          <w:rFonts w:ascii="Times New Roman" w:hAnsi="Times New Roman" w:cs="Times New Roman"/>
          <w:sz w:val="28"/>
          <w:szCs w:val="28"/>
          <w:lang w:val="uk-UA"/>
        </w:rPr>
        <w:t xml:space="preserve">                 </w:t>
      </w:r>
      <w:r w:rsidR="00A94226">
        <w:rPr>
          <w:rFonts w:ascii="Times New Roman" w:hAnsi="Times New Roman" w:cs="Times New Roman"/>
          <w:sz w:val="28"/>
          <w:szCs w:val="28"/>
          <w:lang w:val="uk-UA"/>
        </w:rPr>
        <w:t>за наявності коморбідної патології – АГ та ЦД 2-го типу.</w:t>
      </w:r>
    </w:p>
    <w:p w:rsidR="00A8489F" w:rsidRDefault="00054A47" w:rsidP="005670C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w:t>
      </w:r>
      <w:r w:rsidR="00E50B06">
        <w:rPr>
          <w:rFonts w:ascii="Times New Roman" w:hAnsi="Times New Roman" w:cs="Times New Roman"/>
          <w:sz w:val="28"/>
          <w:szCs w:val="28"/>
          <w:lang w:val="uk-UA"/>
        </w:rPr>
        <w:t>сечової</w:t>
      </w:r>
      <w:r w:rsidR="006610B7">
        <w:rPr>
          <w:rFonts w:ascii="Times New Roman" w:hAnsi="Times New Roman" w:cs="Times New Roman"/>
          <w:sz w:val="28"/>
          <w:szCs w:val="28"/>
          <w:lang w:val="uk-UA"/>
        </w:rPr>
        <w:t xml:space="preserve"> кислоти сироватки крові</w:t>
      </w:r>
      <w:r w:rsidR="009351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зростав </w:t>
      </w:r>
      <w:r w:rsidR="009351F4">
        <w:rPr>
          <w:rFonts w:ascii="Times New Roman" w:hAnsi="Times New Roman" w:cs="Times New Roman"/>
          <w:sz w:val="28"/>
          <w:szCs w:val="28"/>
          <w:lang w:val="uk-UA"/>
        </w:rPr>
        <w:t>проп</w:t>
      </w:r>
      <w:r>
        <w:rPr>
          <w:rFonts w:ascii="Times New Roman" w:hAnsi="Times New Roman" w:cs="Times New Roman"/>
          <w:sz w:val="28"/>
          <w:szCs w:val="28"/>
          <w:lang w:val="uk-UA"/>
        </w:rPr>
        <w:t xml:space="preserve">орційно                  </w:t>
      </w:r>
      <w:r w:rsidR="009351F4">
        <w:rPr>
          <w:rFonts w:ascii="Times New Roman" w:hAnsi="Times New Roman" w:cs="Times New Roman"/>
          <w:sz w:val="28"/>
          <w:szCs w:val="28"/>
          <w:lang w:val="uk-UA"/>
        </w:rPr>
        <w:t xml:space="preserve">до </w:t>
      </w:r>
      <w:r w:rsidR="006610B7">
        <w:rPr>
          <w:rFonts w:ascii="Times New Roman" w:hAnsi="Times New Roman" w:cs="Times New Roman"/>
          <w:sz w:val="28"/>
          <w:szCs w:val="28"/>
          <w:lang w:val="uk-UA"/>
        </w:rPr>
        <w:t>ІММ</w:t>
      </w:r>
      <w:r w:rsidR="00E50B06">
        <w:rPr>
          <w:rFonts w:ascii="Times New Roman" w:hAnsi="Times New Roman" w:cs="Times New Roman"/>
          <w:sz w:val="28"/>
          <w:szCs w:val="28"/>
          <w:lang w:val="uk-UA"/>
        </w:rPr>
        <w:t>ЛШ (</w:t>
      </w:r>
      <w:r w:rsidR="00AC1E02">
        <w:rPr>
          <w:rFonts w:ascii="Times New Roman" w:hAnsi="Times New Roman" w:cs="Times New Roman"/>
          <w:sz w:val="28"/>
          <w:szCs w:val="28"/>
          <w:lang w:val="en-US"/>
        </w:rPr>
        <w:t>r</w:t>
      </w:r>
      <w:r w:rsidR="00AC1E02" w:rsidRPr="000222E6">
        <w:rPr>
          <w:rFonts w:ascii="Times New Roman" w:hAnsi="Times New Roman" w:cs="Times New Roman"/>
          <w:sz w:val="28"/>
          <w:szCs w:val="28"/>
          <w:lang w:val="uk-UA"/>
        </w:rPr>
        <w:t xml:space="preserve"> = 0,27; </w:t>
      </w:r>
      <w:r w:rsidR="007F77DC">
        <w:rPr>
          <w:rFonts w:ascii="Times New Roman" w:hAnsi="Times New Roman" w:cs="Times New Roman"/>
          <w:sz w:val="28"/>
          <w:szCs w:val="28"/>
          <w:lang w:val="uk-UA"/>
        </w:rPr>
        <w:t>р = 0,0075</w:t>
      </w:r>
      <w:r w:rsidR="00E50B06">
        <w:rPr>
          <w:rFonts w:ascii="Times New Roman" w:hAnsi="Times New Roman" w:cs="Times New Roman"/>
          <w:sz w:val="28"/>
          <w:szCs w:val="28"/>
          <w:lang w:val="uk-UA"/>
        </w:rPr>
        <w:t>)</w:t>
      </w:r>
      <w:r w:rsidR="001D081F">
        <w:rPr>
          <w:rFonts w:ascii="Times New Roman" w:hAnsi="Times New Roman" w:cs="Times New Roman"/>
          <w:sz w:val="28"/>
          <w:szCs w:val="28"/>
          <w:lang w:val="uk-UA"/>
        </w:rPr>
        <w:t xml:space="preserve"> у коморбідних хворих І групи</w:t>
      </w:r>
      <w:r w:rsidR="00E50B06">
        <w:rPr>
          <w:rFonts w:ascii="Times New Roman" w:hAnsi="Times New Roman" w:cs="Times New Roman"/>
          <w:sz w:val="28"/>
          <w:szCs w:val="28"/>
          <w:lang w:val="uk-UA"/>
        </w:rPr>
        <w:t>.</w:t>
      </w:r>
    </w:p>
    <w:p w:rsidR="007F77DC" w:rsidRDefault="00054A47" w:rsidP="005440E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пацієнтів</w:t>
      </w:r>
      <w:r w:rsidR="007F77DC">
        <w:rPr>
          <w:rFonts w:ascii="Times New Roman" w:hAnsi="Times New Roman" w:cs="Times New Roman"/>
          <w:sz w:val="28"/>
          <w:szCs w:val="28"/>
          <w:lang w:val="uk-UA"/>
        </w:rPr>
        <w:t xml:space="preserve"> ІІ групи достов</w:t>
      </w:r>
      <w:r>
        <w:rPr>
          <w:rFonts w:ascii="Times New Roman" w:hAnsi="Times New Roman" w:cs="Times New Roman"/>
          <w:sz w:val="28"/>
          <w:szCs w:val="28"/>
          <w:lang w:val="uk-UA"/>
        </w:rPr>
        <w:t>ірної позитивної кореляції між урикемією</w:t>
      </w:r>
      <w:r w:rsidR="006410DA">
        <w:rPr>
          <w:rFonts w:ascii="Times New Roman" w:hAnsi="Times New Roman" w:cs="Times New Roman"/>
          <w:sz w:val="28"/>
          <w:szCs w:val="28"/>
          <w:lang w:val="uk-UA"/>
        </w:rPr>
        <w:t xml:space="preserve"> та ІММЛШ у</w:t>
      </w:r>
      <w:r w:rsidR="007F77DC">
        <w:rPr>
          <w:rFonts w:ascii="Times New Roman" w:hAnsi="Times New Roman" w:cs="Times New Roman"/>
          <w:sz w:val="28"/>
          <w:szCs w:val="28"/>
          <w:lang w:val="uk-UA"/>
        </w:rPr>
        <w:t xml:space="preserve">становлено не було. </w:t>
      </w:r>
    </w:p>
    <w:p w:rsidR="001E5242" w:rsidRDefault="00AB15BF" w:rsidP="003B6CA7">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Отже</w:t>
      </w:r>
      <w:r w:rsidR="00CE3F90">
        <w:rPr>
          <w:rFonts w:ascii="Times New Roman" w:hAnsi="Times New Roman" w:cs="Times New Roman"/>
          <w:sz w:val="28"/>
          <w:szCs w:val="28"/>
          <w:lang w:val="uk-UA"/>
        </w:rPr>
        <w:t xml:space="preserve">, </w:t>
      </w:r>
      <w:r w:rsidR="008D4E7C">
        <w:rPr>
          <w:rFonts w:ascii="Times New Roman" w:hAnsi="Times New Roman" w:cs="Times New Roman"/>
          <w:sz w:val="28"/>
          <w:szCs w:val="28"/>
          <w:lang w:val="uk-UA"/>
        </w:rPr>
        <w:t xml:space="preserve">у пацієнтів </w:t>
      </w:r>
      <w:r>
        <w:rPr>
          <w:rFonts w:ascii="Times New Roman" w:hAnsi="Times New Roman" w:cs="Times New Roman"/>
          <w:sz w:val="28"/>
          <w:szCs w:val="28"/>
          <w:lang w:val="uk-UA"/>
        </w:rPr>
        <w:t xml:space="preserve">із </w:t>
      </w:r>
      <w:r w:rsidR="007007CA">
        <w:rPr>
          <w:rFonts w:ascii="Times New Roman" w:hAnsi="Times New Roman" w:cs="Times New Roman"/>
          <w:sz w:val="28"/>
          <w:szCs w:val="28"/>
          <w:lang w:val="uk-UA"/>
        </w:rPr>
        <w:t>АГ та ЦД 2-го типу</w:t>
      </w:r>
      <w:r>
        <w:rPr>
          <w:rFonts w:ascii="Times New Roman" w:hAnsi="Times New Roman" w:cs="Times New Roman"/>
          <w:sz w:val="28"/>
          <w:szCs w:val="28"/>
          <w:lang w:val="uk-UA"/>
        </w:rPr>
        <w:t>, які мають ХСН</w:t>
      </w:r>
      <w:r w:rsidR="006410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E3F90">
        <w:rPr>
          <w:rFonts w:ascii="Times New Roman" w:hAnsi="Times New Roman" w:cs="Times New Roman"/>
          <w:sz w:val="28"/>
          <w:szCs w:val="28"/>
          <w:lang w:val="uk-UA"/>
        </w:rPr>
        <w:t xml:space="preserve">підвищення </w:t>
      </w:r>
      <w:r w:rsidR="00054A47">
        <w:rPr>
          <w:rFonts w:ascii="Times New Roman" w:hAnsi="Times New Roman" w:cs="Times New Roman"/>
          <w:sz w:val="28"/>
          <w:szCs w:val="28"/>
          <w:lang w:val="uk-UA"/>
        </w:rPr>
        <w:t xml:space="preserve">вмісту </w:t>
      </w:r>
      <w:r w:rsidR="00CE3F90">
        <w:rPr>
          <w:rFonts w:ascii="Times New Roman" w:hAnsi="Times New Roman" w:cs="Times New Roman"/>
          <w:sz w:val="28"/>
          <w:szCs w:val="28"/>
          <w:lang w:val="uk-UA"/>
        </w:rPr>
        <w:t xml:space="preserve">сечової кислоти </w:t>
      </w:r>
      <w:r>
        <w:rPr>
          <w:rFonts w:ascii="Times New Roman" w:hAnsi="Times New Roman" w:cs="Times New Roman"/>
          <w:sz w:val="28"/>
          <w:szCs w:val="28"/>
          <w:lang w:val="uk-UA"/>
        </w:rPr>
        <w:t xml:space="preserve">асоціюється </w:t>
      </w:r>
      <w:r w:rsidR="008D4E7C">
        <w:rPr>
          <w:rFonts w:ascii="Times New Roman" w:hAnsi="Times New Roman" w:cs="Times New Roman"/>
          <w:sz w:val="28"/>
          <w:szCs w:val="28"/>
          <w:lang w:val="uk-UA"/>
        </w:rPr>
        <w:t xml:space="preserve">з </w:t>
      </w:r>
      <w:r w:rsidR="00CE3F90">
        <w:rPr>
          <w:rFonts w:ascii="Times New Roman" w:hAnsi="Times New Roman" w:cs="Times New Roman"/>
          <w:sz w:val="28"/>
          <w:szCs w:val="28"/>
          <w:lang w:val="uk-UA"/>
        </w:rPr>
        <w:t>прогресуванням функціональної недостатності ЛШ</w:t>
      </w:r>
      <w:r w:rsidR="005440EB">
        <w:rPr>
          <w:rFonts w:ascii="Times New Roman" w:hAnsi="Times New Roman" w:cs="Times New Roman"/>
          <w:sz w:val="28"/>
          <w:szCs w:val="28"/>
          <w:lang w:val="uk-UA"/>
        </w:rPr>
        <w:t xml:space="preserve">, збільшенням ІММЛШ. </w:t>
      </w:r>
      <w:r w:rsidR="00054A47">
        <w:rPr>
          <w:rFonts w:ascii="Times New Roman" w:hAnsi="Times New Roman" w:cs="Times New Roman"/>
          <w:sz w:val="28"/>
          <w:szCs w:val="28"/>
          <w:lang w:val="uk-UA"/>
        </w:rPr>
        <w:t>П</w:t>
      </w:r>
      <w:r w:rsidR="00E40CE8">
        <w:rPr>
          <w:rFonts w:ascii="Times New Roman" w:hAnsi="Times New Roman" w:cs="Times New Roman"/>
          <w:sz w:val="28"/>
          <w:szCs w:val="28"/>
          <w:lang w:val="uk-UA"/>
        </w:rPr>
        <w:t>ризначення антигі</w:t>
      </w:r>
      <w:r w:rsidR="00054A47">
        <w:rPr>
          <w:rFonts w:ascii="Times New Roman" w:hAnsi="Times New Roman" w:cs="Times New Roman"/>
          <w:sz w:val="28"/>
          <w:szCs w:val="28"/>
          <w:lang w:val="uk-UA"/>
        </w:rPr>
        <w:t>пертензивних препаратів, які б знижували урикемію було би доцільним у коморбідних хворих</w:t>
      </w:r>
      <w:r w:rsidR="00E40CE8">
        <w:rPr>
          <w:rFonts w:ascii="Times New Roman" w:hAnsi="Times New Roman" w:cs="Times New Roman"/>
          <w:sz w:val="28"/>
          <w:szCs w:val="28"/>
          <w:lang w:val="uk-UA"/>
        </w:rPr>
        <w:t>.</w:t>
      </w:r>
      <w:r w:rsidR="005440EB">
        <w:rPr>
          <w:rFonts w:ascii="Times New Roman" w:hAnsi="Times New Roman" w:cs="Times New Roman"/>
          <w:sz w:val="28"/>
          <w:szCs w:val="28"/>
          <w:lang w:val="uk-UA"/>
        </w:rPr>
        <w:t xml:space="preserve"> </w:t>
      </w:r>
    </w:p>
    <w:p w:rsidR="00A413F8" w:rsidRDefault="00A413F8" w:rsidP="003B6CA7">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704EF6" w:rsidRPr="003B6CA7" w:rsidRDefault="006410DA" w:rsidP="003B6CA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5.5. </w:t>
      </w:r>
      <w:r w:rsidR="00C1143D">
        <w:rPr>
          <w:rFonts w:ascii="Times New Roman" w:hAnsi="Times New Roman" w:cs="Times New Roman"/>
          <w:b/>
          <w:sz w:val="28"/>
          <w:szCs w:val="28"/>
          <w:lang w:val="uk-UA"/>
        </w:rPr>
        <w:t>Оцінка</w:t>
      </w:r>
      <w:r w:rsidR="007E4D85" w:rsidRPr="007E4D85">
        <w:rPr>
          <w:rFonts w:ascii="Times New Roman" w:hAnsi="Times New Roman" w:cs="Times New Roman"/>
          <w:b/>
          <w:sz w:val="28"/>
          <w:szCs w:val="28"/>
          <w:lang w:val="uk-UA"/>
        </w:rPr>
        <w:t xml:space="preserve"> вміст</w:t>
      </w:r>
      <w:r w:rsidR="00C1143D">
        <w:rPr>
          <w:rFonts w:ascii="Times New Roman" w:hAnsi="Times New Roman" w:cs="Times New Roman"/>
          <w:b/>
          <w:sz w:val="28"/>
          <w:szCs w:val="28"/>
          <w:lang w:val="uk-UA"/>
        </w:rPr>
        <w:t>у</w:t>
      </w:r>
      <w:r w:rsidR="007E4D85" w:rsidRPr="007E4D85">
        <w:rPr>
          <w:rFonts w:ascii="Times New Roman" w:hAnsi="Times New Roman" w:cs="Times New Roman"/>
          <w:b/>
          <w:sz w:val="28"/>
          <w:szCs w:val="28"/>
          <w:lang w:val="uk-UA"/>
        </w:rPr>
        <w:t xml:space="preserve"> фактора некрозу пухлин-α залежно </w:t>
      </w:r>
      <w:r w:rsidR="00F029E9">
        <w:rPr>
          <w:rFonts w:ascii="Times New Roman" w:hAnsi="Times New Roman" w:cs="Times New Roman"/>
          <w:b/>
          <w:sz w:val="28"/>
          <w:szCs w:val="28"/>
          <w:lang w:val="uk-UA"/>
        </w:rPr>
        <w:t xml:space="preserve">                    </w:t>
      </w:r>
      <w:r w:rsidR="007E4D85" w:rsidRPr="007E4D85">
        <w:rPr>
          <w:rFonts w:ascii="Times New Roman" w:hAnsi="Times New Roman" w:cs="Times New Roman"/>
          <w:b/>
          <w:sz w:val="28"/>
          <w:szCs w:val="28"/>
          <w:lang w:val="uk-UA"/>
        </w:rPr>
        <w:t>від функціонального стану серця у пацієнтів із артерiальною гi</w:t>
      </w:r>
      <w:r w:rsidR="007E4D85">
        <w:rPr>
          <w:rFonts w:ascii="Times New Roman" w:hAnsi="Times New Roman" w:cs="Times New Roman"/>
          <w:b/>
          <w:sz w:val="28"/>
          <w:szCs w:val="28"/>
          <w:lang w:val="uk-UA"/>
        </w:rPr>
        <w:t xml:space="preserve">пертензiєю та супутнім </w:t>
      </w:r>
      <w:r w:rsidR="007E4D85" w:rsidRPr="007E4D85">
        <w:rPr>
          <w:rFonts w:ascii="Times New Roman" w:hAnsi="Times New Roman" w:cs="Times New Roman"/>
          <w:b/>
          <w:sz w:val="28"/>
          <w:szCs w:val="28"/>
          <w:lang w:val="uk-UA"/>
        </w:rPr>
        <w:t>цукровим дiабетом 2-го типу</w:t>
      </w:r>
    </w:p>
    <w:p w:rsidR="00A23C35" w:rsidRDefault="00A23C35" w:rsidP="00023195">
      <w:pPr>
        <w:autoSpaceDE w:val="0"/>
        <w:autoSpaceDN w:val="0"/>
        <w:adjustRightInd w:val="0"/>
        <w:spacing w:after="0" w:line="360" w:lineRule="auto"/>
        <w:ind w:firstLine="708"/>
        <w:jc w:val="both"/>
        <w:rPr>
          <w:rFonts w:ascii="Times New Roman" w:hAnsi="Times New Roman" w:cs="Times New Roman"/>
          <w:sz w:val="28"/>
          <w:szCs w:val="28"/>
          <w:lang w:val="uk-UA"/>
        </w:rPr>
      </w:pPr>
    </w:p>
    <w:p w:rsidR="004B0361" w:rsidRPr="00C85DD8" w:rsidRDefault="00C85DD8"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Прозапальні цитокіни, одним із яких є </w:t>
      </w:r>
      <w:r w:rsidRPr="00C85DD8">
        <w:rPr>
          <w:rFonts w:ascii="Times New Roman" w:hAnsi="Times New Roman" w:cs="Times New Roman"/>
          <w:sz w:val="28"/>
          <w:szCs w:val="28"/>
          <w:lang w:val="uk-UA"/>
        </w:rPr>
        <w:t>ФНП-α</w:t>
      </w:r>
      <w:r w:rsidR="00D36C92" w:rsidRPr="00D36C92">
        <w:rPr>
          <w:rFonts w:ascii="Times New Roman" w:hAnsi="Times New Roman" w:cs="Times New Roman"/>
          <w:sz w:val="28"/>
          <w:szCs w:val="28"/>
          <w:lang w:val="uk-UA"/>
        </w:rPr>
        <w:t>,</w:t>
      </w:r>
      <w:r>
        <w:rPr>
          <w:rFonts w:ascii="Times New Roman" w:hAnsi="Times New Roman" w:cs="Times New Roman"/>
          <w:sz w:val="28"/>
          <w:szCs w:val="28"/>
          <w:lang w:val="uk-UA"/>
        </w:rPr>
        <w:t xml:space="preserve"> здатні моделювати кардіоваскуляр</w:t>
      </w:r>
      <w:r w:rsidR="000A22AA">
        <w:rPr>
          <w:rFonts w:ascii="Times New Roman" w:hAnsi="Times New Roman" w:cs="Times New Roman"/>
          <w:sz w:val="28"/>
          <w:szCs w:val="28"/>
          <w:lang w:val="uk-UA"/>
        </w:rPr>
        <w:t>ну функцію через низку меха</w:t>
      </w:r>
      <w:r w:rsidR="00063D48">
        <w:rPr>
          <w:rFonts w:ascii="Times New Roman" w:hAnsi="Times New Roman" w:cs="Times New Roman"/>
          <w:sz w:val="28"/>
          <w:szCs w:val="28"/>
          <w:lang w:val="uk-UA"/>
        </w:rPr>
        <w:t>нізмів, результатом яких є          гі</w:t>
      </w:r>
      <w:r w:rsidRPr="00C85DD8">
        <w:rPr>
          <w:rFonts w:ascii="Times New Roman" w:hAnsi="Times New Roman" w:cs="Times New Roman"/>
          <w:sz w:val="28"/>
          <w:szCs w:val="28"/>
          <w:lang w:val="uk-UA"/>
        </w:rPr>
        <w:t>пертрофі</w:t>
      </w:r>
      <w:r w:rsidR="000A22AA">
        <w:rPr>
          <w:rFonts w:ascii="Times New Roman" w:hAnsi="Times New Roman" w:cs="Times New Roman"/>
          <w:sz w:val="28"/>
          <w:szCs w:val="28"/>
          <w:lang w:val="uk-UA"/>
        </w:rPr>
        <w:t>я, дилатація ЛШ</w:t>
      </w:r>
      <w:r w:rsidRPr="00C85DD8">
        <w:rPr>
          <w:rFonts w:ascii="Times New Roman" w:hAnsi="Times New Roman" w:cs="Times New Roman"/>
          <w:sz w:val="28"/>
          <w:szCs w:val="28"/>
          <w:lang w:val="uk-UA"/>
        </w:rPr>
        <w:t>, дисфункц</w:t>
      </w:r>
      <w:r w:rsidR="000A22AA">
        <w:rPr>
          <w:rFonts w:ascii="Times New Roman" w:hAnsi="Times New Roman" w:cs="Times New Roman"/>
          <w:sz w:val="28"/>
          <w:szCs w:val="28"/>
          <w:lang w:val="uk-UA"/>
        </w:rPr>
        <w:t>ія мі</w:t>
      </w:r>
      <w:r w:rsidR="006A7D27">
        <w:rPr>
          <w:rFonts w:ascii="Times New Roman" w:hAnsi="Times New Roman" w:cs="Times New Roman"/>
          <w:sz w:val="28"/>
          <w:szCs w:val="28"/>
          <w:lang w:val="uk-UA"/>
        </w:rPr>
        <w:t xml:space="preserve">окарда, </w:t>
      </w:r>
      <w:r w:rsidR="006A7D27" w:rsidRPr="006A7D27">
        <w:rPr>
          <w:rFonts w:ascii="Times New Roman" w:hAnsi="Times New Roman" w:cs="Times New Roman"/>
          <w:sz w:val="28"/>
          <w:szCs w:val="28"/>
          <w:lang w:val="uk-UA"/>
        </w:rPr>
        <w:t>Е</w:t>
      </w:r>
      <w:r w:rsidR="006A7D27">
        <w:rPr>
          <w:rFonts w:ascii="Times New Roman" w:hAnsi="Times New Roman" w:cs="Times New Roman"/>
          <w:sz w:val="28"/>
          <w:szCs w:val="28"/>
          <w:lang w:val="uk-UA"/>
        </w:rPr>
        <w:t>Д</w:t>
      </w:r>
      <w:r w:rsidR="000A22AA">
        <w:rPr>
          <w:rFonts w:ascii="Times New Roman" w:hAnsi="Times New Roman" w:cs="Times New Roman"/>
          <w:sz w:val="28"/>
          <w:szCs w:val="28"/>
          <w:lang w:val="uk-UA"/>
        </w:rPr>
        <w:t>, кардіоміопатія та фіброз</w:t>
      </w:r>
      <w:r w:rsidR="00E668DE">
        <w:rPr>
          <w:rFonts w:ascii="Times New Roman" w:hAnsi="Times New Roman" w:cs="Times New Roman"/>
          <w:sz w:val="28"/>
          <w:szCs w:val="28"/>
          <w:lang w:val="uk-UA"/>
        </w:rPr>
        <w:t>. О</w:t>
      </w:r>
      <w:r w:rsidRPr="00C85DD8">
        <w:rPr>
          <w:rFonts w:ascii="Times New Roman" w:hAnsi="Times New Roman" w:cs="Times New Roman"/>
          <w:sz w:val="28"/>
          <w:szCs w:val="28"/>
          <w:lang w:val="uk-UA"/>
        </w:rPr>
        <w:t>станні</w:t>
      </w:r>
      <w:r w:rsidR="00D36C92">
        <w:rPr>
          <w:rFonts w:ascii="Times New Roman" w:hAnsi="Times New Roman" w:cs="Times New Roman"/>
          <w:sz w:val="28"/>
          <w:szCs w:val="28"/>
          <w:lang w:val="uk-UA"/>
        </w:rPr>
        <w:t>ми</w:t>
      </w:r>
      <w:r w:rsidRPr="00C85DD8">
        <w:rPr>
          <w:rFonts w:ascii="Times New Roman" w:hAnsi="Times New Roman" w:cs="Times New Roman"/>
          <w:sz w:val="28"/>
          <w:szCs w:val="28"/>
          <w:lang w:val="uk-UA"/>
        </w:rPr>
        <w:t xml:space="preserve"> рок</w:t>
      </w:r>
      <w:r w:rsidR="00D36C92">
        <w:rPr>
          <w:rFonts w:ascii="Times New Roman" w:hAnsi="Times New Roman" w:cs="Times New Roman"/>
          <w:sz w:val="28"/>
          <w:szCs w:val="28"/>
          <w:lang w:val="uk-UA"/>
        </w:rPr>
        <w:t>ами</w:t>
      </w:r>
      <w:r w:rsidR="000A22AA">
        <w:rPr>
          <w:rFonts w:ascii="Times New Roman" w:hAnsi="Times New Roman" w:cs="Times New Roman"/>
          <w:sz w:val="28"/>
          <w:szCs w:val="28"/>
          <w:lang w:val="uk-UA"/>
        </w:rPr>
        <w:t xml:space="preserve"> значна увага дослідників прикута до з’ясування </w:t>
      </w:r>
      <w:r w:rsidR="000A22AA">
        <w:rPr>
          <w:rFonts w:ascii="Times New Roman" w:hAnsi="Times New Roman" w:cs="Times New Roman"/>
          <w:sz w:val="28"/>
          <w:szCs w:val="28"/>
          <w:lang w:val="uk-UA"/>
        </w:rPr>
        <w:lastRenderedPageBreak/>
        <w:t>патофізіологічної ролі цитокінів у пато</w:t>
      </w:r>
      <w:r w:rsidRPr="00C85DD8">
        <w:rPr>
          <w:rFonts w:ascii="Times New Roman" w:hAnsi="Times New Roman" w:cs="Times New Roman"/>
          <w:sz w:val="28"/>
          <w:szCs w:val="28"/>
          <w:lang w:val="uk-UA"/>
        </w:rPr>
        <w:t>генезі ни</w:t>
      </w:r>
      <w:r w:rsidR="000A22AA">
        <w:rPr>
          <w:rFonts w:ascii="Times New Roman" w:hAnsi="Times New Roman" w:cs="Times New Roman"/>
          <w:sz w:val="28"/>
          <w:szCs w:val="28"/>
          <w:lang w:val="uk-UA"/>
        </w:rPr>
        <w:t>зки ССЗ</w:t>
      </w:r>
      <w:r w:rsidRPr="00C85DD8">
        <w:rPr>
          <w:rFonts w:ascii="Times New Roman" w:hAnsi="Times New Roman" w:cs="Times New Roman"/>
          <w:sz w:val="28"/>
          <w:szCs w:val="28"/>
          <w:lang w:val="uk-UA"/>
        </w:rPr>
        <w:t xml:space="preserve">, які традиційно </w:t>
      </w:r>
      <w:r w:rsidR="00645A40">
        <w:rPr>
          <w:rFonts w:ascii="Times New Roman" w:hAnsi="Times New Roman" w:cs="Times New Roman"/>
          <w:sz w:val="28"/>
          <w:szCs w:val="28"/>
          <w:lang w:val="uk-UA"/>
        </w:rPr>
        <w:t xml:space="preserve">       </w:t>
      </w:r>
      <w:r w:rsidRPr="00C85DD8">
        <w:rPr>
          <w:rFonts w:ascii="Times New Roman" w:hAnsi="Times New Roman" w:cs="Times New Roman"/>
          <w:sz w:val="28"/>
          <w:szCs w:val="28"/>
          <w:lang w:val="uk-UA"/>
        </w:rPr>
        <w:t>не</w:t>
      </w:r>
      <w:r w:rsidR="000A22AA">
        <w:rPr>
          <w:rFonts w:ascii="Times New Roman" w:hAnsi="Times New Roman" w:cs="Times New Roman"/>
          <w:sz w:val="28"/>
          <w:szCs w:val="28"/>
          <w:lang w:val="uk-UA"/>
        </w:rPr>
        <w:t xml:space="preserve"> пов’язані </w:t>
      </w:r>
      <w:r w:rsidR="00D36C92">
        <w:rPr>
          <w:rFonts w:ascii="Times New Roman" w:hAnsi="Times New Roman" w:cs="Times New Roman"/>
          <w:sz w:val="28"/>
          <w:szCs w:val="28"/>
          <w:lang w:val="uk-UA"/>
        </w:rPr>
        <w:t>і</w:t>
      </w:r>
      <w:r w:rsidR="000A22AA">
        <w:rPr>
          <w:rFonts w:ascii="Times New Roman" w:hAnsi="Times New Roman" w:cs="Times New Roman"/>
          <w:sz w:val="28"/>
          <w:szCs w:val="28"/>
          <w:lang w:val="uk-UA"/>
        </w:rPr>
        <w:t>з запаленням, зокрема СН різної етіології [</w:t>
      </w:r>
      <w:r w:rsidR="00541249" w:rsidRPr="005C5DB7">
        <w:rPr>
          <w:rFonts w:ascii="Times New Roman" w:hAnsi="Times New Roman" w:cs="Times New Roman"/>
          <w:sz w:val="28"/>
          <w:szCs w:val="28"/>
          <w:lang w:val="uk-UA"/>
        </w:rPr>
        <w:t>94</w:t>
      </w:r>
      <w:r w:rsidRPr="0004617B">
        <w:rPr>
          <w:rFonts w:ascii="Times New Roman" w:hAnsi="Times New Roman" w:cs="Times New Roman"/>
          <w:sz w:val="28"/>
          <w:szCs w:val="28"/>
          <w:lang w:val="uk-UA"/>
        </w:rPr>
        <w:t>]</w:t>
      </w:r>
      <w:r w:rsidR="000A22AA">
        <w:rPr>
          <w:rFonts w:ascii="Times New Roman" w:hAnsi="Times New Roman" w:cs="Times New Roman"/>
          <w:sz w:val="28"/>
          <w:szCs w:val="28"/>
          <w:lang w:val="uk-UA"/>
        </w:rPr>
        <w:t>.</w:t>
      </w:r>
    </w:p>
    <w:p w:rsidR="00A23C35" w:rsidRPr="009C16C0" w:rsidRDefault="00E668DE" w:rsidP="009C16C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B0361" w:rsidRPr="009E07C4">
        <w:rPr>
          <w:rFonts w:ascii="Times New Roman" w:hAnsi="Times New Roman" w:cs="Times New Roman"/>
          <w:sz w:val="28"/>
          <w:szCs w:val="28"/>
          <w:lang w:val="uk-UA"/>
        </w:rPr>
        <w:t xml:space="preserve">міст </w:t>
      </w:r>
      <w:r w:rsidR="004B0361" w:rsidRPr="009B39B7">
        <w:rPr>
          <w:rFonts w:ascii="Times New Roman" w:hAnsi="Times New Roman" w:cs="Times New Roman"/>
          <w:sz w:val="28"/>
          <w:szCs w:val="28"/>
          <w:lang w:val="uk-UA"/>
        </w:rPr>
        <w:t>ФНП</w:t>
      </w:r>
      <w:r w:rsidR="004B0361" w:rsidRPr="009E07C4">
        <w:rPr>
          <w:rFonts w:ascii="Times New Roman" w:hAnsi="Times New Roman" w:cs="Times New Roman"/>
          <w:sz w:val="28"/>
          <w:szCs w:val="28"/>
          <w:lang w:val="uk-UA"/>
        </w:rPr>
        <w:t>-</w:t>
      </w:r>
      <w:r w:rsidR="004B0361" w:rsidRPr="009B39B7">
        <w:rPr>
          <w:rFonts w:ascii="Times New Roman" w:hAnsi="Times New Roman" w:cs="Times New Roman"/>
          <w:sz w:val="28"/>
          <w:szCs w:val="28"/>
        </w:rPr>
        <w:t>α</w:t>
      </w:r>
      <w:r w:rsidR="004B0361" w:rsidRPr="009E07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визначено </w:t>
      </w:r>
      <w:r w:rsidR="009E07C4" w:rsidRPr="009E07C4">
        <w:rPr>
          <w:rFonts w:ascii="Times New Roman" w:hAnsi="Times New Roman" w:cs="Times New Roman"/>
          <w:sz w:val="28"/>
          <w:szCs w:val="28"/>
          <w:lang w:val="uk-UA"/>
        </w:rPr>
        <w:t>у пац</w:t>
      </w:r>
      <w:r w:rsidR="009E07C4">
        <w:rPr>
          <w:rFonts w:ascii="Times New Roman" w:hAnsi="Times New Roman" w:cs="Times New Roman"/>
          <w:sz w:val="28"/>
          <w:szCs w:val="28"/>
          <w:lang w:val="uk-UA"/>
        </w:rPr>
        <w:t xml:space="preserve">ієнтів </w:t>
      </w:r>
      <w:r w:rsidR="0030194A">
        <w:rPr>
          <w:rFonts w:ascii="Times New Roman" w:hAnsi="Times New Roman" w:cs="Times New Roman"/>
          <w:sz w:val="28"/>
          <w:szCs w:val="28"/>
          <w:lang w:val="uk-UA"/>
        </w:rPr>
        <w:t>І, ІІ груп та осіб групи контролю</w:t>
      </w:r>
      <w:r w:rsidRPr="00E668DE">
        <w:rPr>
          <w:rFonts w:ascii="Times New Roman" w:hAnsi="Times New Roman" w:cs="Times New Roman"/>
          <w:sz w:val="28"/>
          <w:szCs w:val="28"/>
          <w:lang w:val="uk-UA"/>
        </w:rPr>
        <w:t xml:space="preserve"> </w:t>
      </w:r>
      <w:r w:rsidR="004B0361" w:rsidRPr="009E07C4">
        <w:rPr>
          <w:rFonts w:ascii="Times New Roman" w:hAnsi="Times New Roman" w:cs="Times New Roman"/>
          <w:sz w:val="28"/>
          <w:szCs w:val="28"/>
          <w:lang w:val="uk-UA"/>
        </w:rPr>
        <w:t xml:space="preserve">(табл. </w:t>
      </w:r>
      <w:r w:rsidR="004B0361" w:rsidRPr="009B39B7">
        <w:rPr>
          <w:rFonts w:ascii="Times New Roman" w:hAnsi="Times New Roman" w:cs="Times New Roman"/>
          <w:sz w:val="28"/>
          <w:szCs w:val="28"/>
        </w:rPr>
        <w:t>5.5</w:t>
      </w:r>
      <w:r w:rsidR="002B4682" w:rsidRPr="009B39B7">
        <w:rPr>
          <w:rFonts w:ascii="Times New Roman" w:hAnsi="Times New Roman" w:cs="Times New Roman"/>
          <w:sz w:val="28"/>
          <w:szCs w:val="28"/>
          <w:lang w:val="uk-UA"/>
        </w:rPr>
        <w:t>.1</w:t>
      </w:r>
      <w:r w:rsidR="004B0361" w:rsidRPr="009B39B7">
        <w:rPr>
          <w:rFonts w:ascii="Times New Roman" w:hAnsi="Times New Roman" w:cs="Times New Roman"/>
          <w:sz w:val="28"/>
          <w:szCs w:val="28"/>
        </w:rPr>
        <w:t>)</w:t>
      </w:r>
      <w:r>
        <w:rPr>
          <w:rFonts w:ascii="Times New Roman" w:hAnsi="Times New Roman" w:cs="Times New Roman"/>
          <w:sz w:val="28"/>
          <w:szCs w:val="28"/>
          <w:lang w:val="uk-UA"/>
        </w:rPr>
        <w:t>.</w:t>
      </w:r>
      <w:r w:rsidR="004B0361" w:rsidRPr="009B39B7">
        <w:rPr>
          <w:rFonts w:ascii="Times New Roman" w:hAnsi="Times New Roman" w:cs="Times New Roman"/>
          <w:sz w:val="28"/>
          <w:szCs w:val="28"/>
        </w:rPr>
        <w:t xml:space="preserve"> </w:t>
      </w:r>
    </w:p>
    <w:p w:rsidR="005670C3" w:rsidRPr="005670C3" w:rsidRDefault="00D36C92" w:rsidP="005670C3">
      <w:pPr>
        <w:autoSpaceDE w:val="0"/>
        <w:autoSpaceDN w:val="0"/>
        <w:adjustRightInd w:val="0"/>
        <w:spacing w:after="0" w:line="360" w:lineRule="auto"/>
        <w:jc w:val="right"/>
        <w:rPr>
          <w:rFonts w:ascii="Times New Roman" w:hAnsi="Times New Roman" w:cs="Times New Roman"/>
          <w:i/>
          <w:sz w:val="28"/>
          <w:szCs w:val="28"/>
          <w:lang w:val="uk-UA"/>
        </w:rPr>
      </w:pPr>
      <w:r w:rsidRPr="005670C3">
        <w:rPr>
          <w:rFonts w:ascii="Times New Roman" w:hAnsi="Times New Roman" w:cs="Times New Roman"/>
          <w:i/>
          <w:sz w:val="28"/>
          <w:szCs w:val="28"/>
        </w:rPr>
        <w:t>Табл</w:t>
      </w:r>
      <w:r w:rsidRPr="005670C3">
        <w:rPr>
          <w:rFonts w:ascii="Times New Roman" w:hAnsi="Times New Roman" w:cs="Times New Roman"/>
          <w:i/>
          <w:sz w:val="28"/>
          <w:szCs w:val="28"/>
          <w:lang w:val="uk-UA"/>
        </w:rPr>
        <w:t xml:space="preserve">иця </w:t>
      </w:r>
      <w:r w:rsidR="004B0361" w:rsidRPr="005670C3">
        <w:rPr>
          <w:rFonts w:ascii="Times New Roman" w:hAnsi="Times New Roman" w:cs="Times New Roman"/>
          <w:i/>
          <w:sz w:val="28"/>
          <w:szCs w:val="28"/>
        </w:rPr>
        <w:t>5.5.</w:t>
      </w:r>
      <w:r w:rsidR="00EC4A04" w:rsidRPr="005670C3">
        <w:rPr>
          <w:rFonts w:ascii="Times New Roman" w:hAnsi="Times New Roman" w:cs="Times New Roman"/>
          <w:i/>
          <w:sz w:val="28"/>
          <w:szCs w:val="28"/>
          <w:lang w:val="uk-UA"/>
        </w:rPr>
        <w:t>1</w:t>
      </w:r>
    </w:p>
    <w:p w:rsidR="004B0361" w:rsidRPr="005670C3" w:rsidRDefault="00D36C92" w:rsidP="005670C3">
      <w:pPr>
        <w:autoSpaceDE w:val="0"/>
        <w:autoSpaceDN w:val="0"/>
        <w:adjustRightInd w:val="0"/>
        <w:spacing w:after="0" w:line="360" w:lineRule="auto"/>
        <w:jc w:val="center"/>
        <w:rPr>
          <w:rFonts w:ascii="Times New Roman" w:hAnsi="Times New Roman" w:cs="Times New Roman"/>
          <w:b/>
          <w:sz w:val="28"/>
          <w:szCs w:val="28"/>
        </w:rPr>
      </w:pPr>
      <w:r w:rsidRPr="005670C3">
        <w:rPr>
          <w:rFonts w:ascii="Times New Roman" w:hAnsi="Times New Roman" w:cs="Times New Roman"/>
          <w:b/>
          <w:sz w:val="28"/>
          <w:szCs w:val="28"/>
        </w:rPr>
        <w:t>Вміст фактор</w:t>
      </w:r>
      <w:r w:rsidRPr="005670C3">
        <w:rPr>
          <w:rFonts w:ascii="Times New Roman" w:hAnsi="Times New Roman" w:cs="Times New Roman"/>
          <w:b/>
          <w:sz w:val="28"/>
          <w:szCs w:val="28"/>
          <w:lang w:val="uk-UA"/>
        </w:rPr>
        <w:t>а</w:t>
      </w:r>
      <w:r w:rsidRPr="005670C3">
        <w:rPr>
          <w:rFonts w:ascii="Times New Roman" w:hAnsi="Times New Roman" w:cs="Times New Roman"/>
          <w:b/>
          <w:sz w:val="28"/>
          <w:szCs w:val="28"/>
        </w:rPr>
        <w:t xml:space="preserve"> некрозу пухлин-α </w:t>
      </w:r>
      <w:r w:rsidRPr="005670C3">
        <w:rPr>
          <w:rFonts w:ascii="Times New Roman" w:hAnsi="Times New Roman" w:cs="Times New Roman"/>
          <w:b/>
          <w:sz w:val="28"/>
          <w:szCs w:val="28"/>
          <w:lang w:val="uk-UA"/>
        </w:rPr>
        <w:t>в</w:t>
      </w:r>
      <w:r w:rsidR="004B0361" w:rsidRPr="005670C3">
        <w:rPr>
          <w:rFonts w:ascii="Times New Roman" w:hAnsi="Times New Roman" w:cs="Times New Roman"/>
          <w:b/>
          <w:sz w:val="28"/>
          <w:szCs w:val="28"/>
        </w:rPr>
        <w:t xml:space="preserve"> обстежених осіб</w:t>
      </w:r>
    </w:p>
    <w:tbl>
      <w:tblPr>
        <w:tblStyle w:val="a5"/>
        <w:tblW w:w="0" w:type="auto"/>
        <w:tblInd w:w="108" w:type="dxa"/>
        <w:tblLook w:val="04A0" w:firstRow="1" w:lastRow="0" w:firstColumn="1" w:lastColumn="0" w:noHBand="0" w:noVBand="1"/>
      </w:tblPr>
      <w:tblGrid>
        <w:gridCol w:w="1276"/>
        <w:gridCol w:w="2126"/>
        <w:gridCol w:w="2127"/>
        <w:gridCol w:w="2268"/>
        <w:gridCol w:w="1559"/>
      </w:tblGrid>
      <w:tr w:rsidR="009B39B7" w:rsidRPr="009B39B7" w:rsidTr="00A23C35">
        <w:trPr>
          <w:trHeight w:val="465"/>
        </w:trPr>
        <w:tc>
          <w:tcPr>
            <w:tcW w:w="1276" w:type="dxa"/>
          </w:tcPr>
          <w:p w:rsidR="009B39B7" w:rsidRPr="009B39B7" w:rsidRDefault="009B39B7" w:rsidP="00023195">
            <w:pPr>
              <w:autoSpaceDE w:val="0"/>
              <w:autoSpaceDN w:val="0"/>
              <w:adjustRightInd w:val="0"/>
              <w:spacing w:line="360" w:lineRule="auto"/>
              <w:jc w:val="both"/>
              <w:rPr>
                <w:rFonts w:ascii="Times New Roman" w:hAnsi="Times New Roman" w:cs="Times New Roman"/>
                <w:sz w:val="28"/>
                <w:szCs w:val="28"/>
              </w:rPr>
            </w:pPr>
          </w:p>
        </w:tc>
        <w:tc>
          <w:tcPr>
            <w:tcW w:w="2126" w:type="dxa"/>
          </w:tcPr>
          <w:p w:rsidR="009B39B7" w:rsidRPr="00A23C35" w:rsidRDefault="009B39B7" w:rsidP="004B0361">
            <w:pPr>
              <w:autoSpaceDE w:val="0"/>
              <w:autoSpaceDN w:val="0"/>
              <w:adjustRightInd w:val="0"/>
              <w:spacing w:line="360" w:lineRule="auto"/>
              <w:jc w:val="both"/>
              <w:rPr>
                <w:rFonts w:ascii="Times New Roman" w:hAnsi="Times New Roman" w:cs="Times New Roman"/>
                <w:sz w:val="28"/>
                <w:szCs w:val="28"/>
                <w:lang w:val="uk-UA"/>
              </w:rPr>
            </w:pPr>
            <w:r w:rsidRPr="009B39B7">
              <w:rPr>
                <w:rFonts w:ascii="Times New Roman" w:hAnsi="Times New Roman" w:cs="Times New Roman"/>
                <w:sz w:val="28"/>
                <w:szCs w:val="28"/>
                <w:lang w:val="uk-UA"/>
              </w:rPr>
              <w:t>І</w:t>
            </w:r>
            <w:r w:rsidR="00D36C92">
              <w:rPr>
                <w:rFonts w:ascii="Times New Roman" w:hAnsi="Times New Roman" w:cs="Times New Roman"/>
                <w:sz w:val="28"/>
                <w:szCs w:val="28"/>
                <w:lang w:val="uk-UA"/>
              </w:rPr>
              <w:t xml:space="preserve"> </w:t>
            </w:r>
            <w:r w:rsidR="00A23C35">
              <w:rPr>
                <w:rFonts w:ascii="Times New Roman" w:hAnsi="Times New Roman" w:cs="Times New Roman"/>
                <w:sz w:val="28"/>
                <w:szCs w:val="28"/>
                <w:lang w:val="uk-UA"/>
              </w:rPr>
              <w:t xml:space="preserve">група </w:t>
            </w:r>
            <w:r w:rsidRPr="009B39B7">
              <w:rPr>
                <w:rFonts w:ascii="Times New Roman" w:hAnsi="Times New Roman" w:cs="Times New Roman"/>
                <w:sz w:val="28"/>
                <w:szCs w:val="28"/>
                <w:lang w:val="en-US"/>
              </w:rPr>
              <w:t>(n = 96)</w:t>
            </w:r>
          </w:p>
        </w:tc>
        <w:tc>
          <w:tcPr>
            <w:tcW w:w="2127" w:type="dxa"/>
          </w:tcPr>
          <w:p w:rsidR="009B39B7" w:rsidRPr="00A23C35" w:rsidRDefault="00A23C35" w:rsidP="004B0361">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група </w:t>
            </w:r>
            <w:r w:rsidR="009B39B7" w:rsidRPr="009B39B7">
              <w:rPr>
                <w:rFonts w:ascii="Times New Roman" w:hAnsi="Times New Roman" w:cs="Times New Roman"/>
                <w:sz w:val="28"/>
                <w:szCs w:val="28"/>
                <w:lang w:val="en-US"/>
              </w:rPr>
              <w:t xml:space="preserve">(n = </w:t>
            </w:r>
            <w:r w:rsidR="009B39B7" w:rsidRPr="009B39B7">
              <w:rPr>
                <w:rFonts w:ascii="Times New Roman" w:hAnsi="Times New Roman" w:cs="Times New Roman"/>
                <w:sz w:val="28"/>
                <w:szCs w:val="28"/>
                <w:lang w:val="uk-UA"/>
              </w:rPr>
              <w:t>25</w:t>
            </w:r>
            <w:r w:rsidR="009B39B7" w:rsidRPr="009B39B7">
              <w:rPr>
                <w:rFonts w:ascii="Times New Roman" w:hAnsi="Times New Roman" w:cs="Times New Roman"/>
                <w:sz w:val="28"/>
                <w:szCs w:val="28"/>
                <w:lang w:val="en-US"/>
              </w:rPr>
              <w:t>)</w:t>
            </w:r>
          </w:p>
        </w:tc>
        <w:tc>
          <w:tcPr>
            <w:tcW w:w="2268" w:type="dxa"/>
          </w:tcPr>
          <w:p w:rsidR="009B39B7" w:rsidRPr="00A23C35" w:rsidRDefault="00297F80" w:rsidP="00A23C35">
            <w:pPr>
              <w:autoSpaceDE w:val="0"/>
              <w:autoSpaceDN w:val="0"/>
              <w:adjustRightInd w:val="0"/>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00A23C35">
              <w:rPr>
                <w:rFonts w:ascii="Times New Roman" w:hAnsi="Times New Roman" w:cs="Times New Roman"/>
                <w:sz w:val="28"/>
                <w:szCs w:val="28"/>
                <w:lang w:val="uk-UA"/>
              </w:rPr>
              <w:t xml:space="preserve"> </w:t>
            </w:r>
            <w:r w:rsidR="009B39B7" w:rsidRPr="009B39B7">
              <w:rPr>
                <w:rFonts w:ascii="Times New Roman" w:hAnsi="Times New Roman" w:cs="Times New Roman"/>
                <w:sz w:val="28"/>
                <w:szCs w:val="28"/>
                <w:lang w:val="uk-UA"/>
              </w:rPr>
              <w:t>(</w:t>
            </w:r>
            <w:r w:rsidR="00A23C35">
              <w:rPr>
                <w:rFonts w:ascii="Times New Roman" w:hAnsi="Times New Roman" w:cs="Times New Roman"/>
                <w:sz w:val="28"/>
                <w:szCs w:val="28"/>
                <w:lang w:val="en-US"/>
              </w:rPr>
              <w:t>n =</w:t>
            </w:r>
            <w:r w:rsidR="009B39B7" w:rsidRPr="009B39B7">
              <w:rPr>
                <w:rFonts w:ascii="Times New Roman" w:hAnsi="Times New Roman" w:cs="Times New Roman"/>
                <w:sz w:val="28"/>
                <w:szCs w:val="28"/>
                <w:lang w:val="en-US"/>
              </w:rPr>
              <w:t>15)</w:t>
            </w:r>
          </w:p>
        </w:tc>
        <w:tc>
          <w:tcPr>
            <w:tcW w:w="1559" w:type="dxa"/>
          </w:tcPr>
          <w:p w:rsidR="009B39B7" w:rsidRPr="009B39B7" w:rsidRDefault="009B39B7" w:rsidP="00023195">
            <w:pPr>
              <w:autoSpaceDE w:val="0"/>
              <w:autoSpaceDN w:val="0"/>
              <w:adjustRightInd w:val="0"/>
              <w:spacing w:line="360" w:lineRule="auto"/>
              <w:jc w:val="both"/>
              <w:rPr>
                <w:rFonts w:ascii="Times New Roman" w:hAnsi="Times New Roman" w:cs="Times New Roman"/>
                <w:sz w:val="28"/>
                <w:szCs w:val="28"/>
                <w:lang w:val="en-US"/>
              </w:rPr>
            </w:pPr>
            <w:r w:rsidRPr="009B39B7">
              <w:rPr>
                <w:rFonts w:ascii="Times New Roman" w:hAnsi="Times New Roman" w:cs="Times New Roman"/>
                <w:sz w:val="28"/>
                <w:szCs w:val="28"/>
                <w:lang w:val="en-US"/>
              </w:rPr>
              <w:t>p</w:t>
            </w:r>
          </w:p>
        </w:tc>
      </w:tr>
      <w:tr w:rsidR="009B39B7" w:rsidRPr="009B39B7" w:rsidTr="00A23C35">
        <w:trPr>
          <w:trHeight w:val="1652"/>
        </w:trPr>
        <w:tc>
          <w:tcPr>
            <w:tcW w:w="1276" w:type="dxa"/>
          </w:tcPr>
          <w:p w:rsidR="009B39B7" w:rsidRPr="009B39B7" w:rsidRDefault="009B39B7" w:rsidP="00023195">
            <w:pPr>
              <w:autoSpaceDE w:val="0"/>
              <w:autoSpaceDN w:val="0"/>
              <w:adjustRightInd w:val="0"/>
              <w:spacing w:line="360" w:lineRule="auto"/>
              <w:jc w:val="both"/>
              <w:rPr>
                <w:rFonts w:ascii="Times New Roman" w:hAnsi="Times New Roman" w:cs="Times New Roman"/>
                <w:sz w:val="28"/>
                <w:szCs w:val="28"/>
                <w:lang w:val="en-US"/>
              </w:rPr>
            </w:pPr>
            <w:r w:rsidRPr="009B39B7">
              <w:rPr>
                <w:rFonts w:ascii="Times New Roman" w:hAnsi="Times New Roman" w:cs="Times New Roman"/>
                <w:sz w:val="28"/>
                <w:szCs w:val="28"/>
                <w:lang w:val="en-US"/>
              </w:rPr>
              <w:t>ФНП-α, пг/мл</w:t>
            </w:r>
          </w:p>
        </w:tc>
        <w:tc>
          <w:tcPr>
            <w:tcW w:w="2126" w:type="dxa"/>
          </w:tcPr>
          <w:p w:rsidR="009B39B7" w:rsidRPr="009B39B7" w:rsidRDefault="009B39B7" w:rsidP="00023195">
            <w:pPr>
              <w:autoSpaceDE w:val="0"/>
              <w:autoSpaceDN w:val="0"/>
              <w:adjustRightInd w:val="0"/>
              <w:spacing w:line="360" w:lineRule="auto"/>
              <w:jc w:val="both"/>
              <w:rPr>
                <w:rFonts w:ascii="Times New Roman" w:hAnsi="Times New Roman" w:cs="Times New Roman"/>
                <w:sz w:val="28"/>
                <w:szCs w:val="28"/>
                <w:lang w:val="en-US"/>
              </w:rPr>
            </w:pPr>
            <w:r w:rsidRPr="009B39B7">
              <w:rPr>
                <w:rFonts w:ascii="Times New Roman" w:hAnsi="Times New Roman" w:cs="Times New Roman"/>
                <w:sz w:val="28"/>
                <w:szCs w:val="28"/>
                <w:lang w:val="en-US"/>
              </w:rPr>
              <w:t>161,03</w:t>
            </w:r>
            <w:r w:rsidR="00D36C92">
              <w:rPr>
                <w:rFonts w:ascii="Times New Roman" w:hAnsi="Times New Roman" w:cs="Times New Roman"/>
                <w:sz w:val="28"/>
                <w:szCs w:val="28"/>
                <w:lang w:val="uk-UA"/>
              </w:rPr>
              <w:t xml:space="preserve"> </w:t>
            </w:r>
            <w:r w:rsidRPr="009B39B7">
              <w:rPr>
                <w:rFonts w:ascii="Times New Roman" w:hAnsi="Times New Roman" w:cs="Times New Roman"/>
                <w:sz w:val="28"/>
                <w:szCs w:val="28"/>
                <w:lang w:val="en-US"/>
              </w:rPr>
              <w:t>±</w:t>
            </w:r>
            <w:r w:rsidR="00D36C92">
              <w:rPr>
                <w:rFonts w:ascii="Times New Roman" w:hAnsi="Times New Roman" w:cs="Times New Roman"/>
                <w:sz w:val="28"/>
                <w:szCs w:val="28"/>
                <w:lang w:val="uk-UA"/>
              </w:rPr>
              <w:t xml:space="preserve"> </w:t>
            </w:r>
            <w:r w:rsidRPr="009B39B7">
              <w:rPr>
                <w:rFonts w:ascii="Times New Roman" w:hAnsi="Times New Roman" w:cs="Times New Roman"/>
                <w:sz w:val="28"/>
                <w:szCs w:val="28"/>
                <w:lang w:val="en-US"/>
              </w:rPr>
              <w:t>3,03</w:t>
            </w:r>
          </w:p>
        </w:tc>
        <w:tc>
          <w:tcPr>
            <w:tcW w:w="2127" w:type="dxa"/>
          </w:tcPr>
          <w:p w:rsidR="009B39B7" w:rsidRPr="009B39B7" w:rsidRDefault="009B39B7" w:rsidP="00023195">
            <w:pPr>
              <w:autoSpaceDE w:val="0"/>
              <w:autoSpaceDN w:val="0"/>
              <w:adjustRightInd w:val="0"/>
              <w:spacing w:line="360" w:lineRule="auto"/>
              <w:jc w:val="both"/>
              <w:rPr>
                <w:rFonts w:ascii="Times New Roman" w:hAnsi="Times New Roman" w:cs="Times New Roman"/>
                <w:sz w:val="28"/>
                <w:szCs w:val="28"/>
                <w:lang w:val="en-US"/>
              </w:rPr>
            </w:pPr>
            <w:r w:rsidRPr="009B39B7">
              <w:rPr>
                <w:rFonts w:ascii="Times New Roman" w:hAnsi="Times New Roman" w:cs="Times New Roman"/>
                <w:sz w:val="28"/>
                <w:szCs w:val="28"/>
                <w:lang w:val="en-US"/>
              </w:rPr>
              <w:t>141,05</w:t>
            </w:r>
            <w:r w:rsidR="00D36C92">
              <w:rPr>
                <w:rFonts w:ascii="Times New Roman" w:hAnsi="Times New Roman" w:cs="Times New Roman"/>
                <w:sz w:val="28"/>
                <w:szCs w:val="28"/>
                <w:lang w:val="uk-UA"/>
              </w:rPr>
              <w:t xml:space="preserve"> </w:t>
            </w:r>
            <w:r w:rsidRPr="009B39B7">
              <w:rPr>
                <w:rFonts w:ascii="Times New Roman" w:hAnsi="Times New Roman" w:cs="Times New Roman"/>
                <w:sz w:val="28"/>
                <w:szCs w:val="28"/>
                <w:lang w:val="en-US"/>
              </w:rPr>
              <w:t>±</w:t>
            </w:r>
            <w:r w:rsidR="00D36C92">
              <w:rPr>
                <w:rFonts w:ascii="Times New Roman" w:hAnsi="Times New Roman" w:cs="Times New Roman"/>
                <w:sz w:val="28"/>
                <w:szCs w:val="28"/>
                <w:lang w:val="uk-UA"/>
              </w:rPr>
              <w:t xml:space="preserve"> </w:t>
            </w:r>
            <w:r w:rsidRPr="009B39B7">
              <w:rPr>
                <w:rFonts w:ascii="Times New Roman" w:hAnsi="Times New Roman" w:cs="Times New Roman"/>
                <w:sz w:val="28"/>
                <w:szCs w:val="28"/>
                <w:lang w:val="en-US"/>
              </w:rPr>
              <w:t>5,92</w:t>
            </w:r>
          </w:p>
        </w:tc>
        <w:tc>
          <w:tcPr>
            <w:tcW w:w="2268" w:type="dxa"/>
          </w:tcPr>
          <w:p w:rsidR="009B39B7" w:rsidRPr="009B39B7" w:rsidRDefault="009B39B7" w:rsidP="00023195">
            <w:pPr>
              <w:autoSpaceDE w:val="0"/>
              <w:autoSpaceDN w:val="0"/>
              <w:adjustRightInd w:val="0"/>
              <w:spacing w:line="360" w:lineRule="auto"/>
              <w:jc w:val="both"/>
              <w:rPr>
                <w:rFonts w:ascii="Times New Roman" w:hAnsi="Times New Roman" w:cs="Times New Roman"/>
                <w:sz w:val="28"/>
                <w:szCs w:val="28"/>
                <w:lang w:val="en-US"/>
              </w:rPr>
            </w:pPr>
            <w:r w:rsidRPr="009B39B7">
              <w:rPr>
                <w:rFonts w:ascii="Times New Roman" w:hAnsi="Times New Roman" w:cs="Times New Roman"/>
                <w:sz w:val="28"/>
                <w:szCs w:val="28"/>
                <w:lang w:val="en-US"/>
              </w:rPr>
              <w:t>26,39</w:t>
            </w:r>
            <w:r w:rsidR="00D36C92">
              <w:rPr>
                <w:rFonts w:ascii="Times New Roman" w:hAnsi="Times New Roman" w:cs="Times New Roman"/>
                <w:sz w:val="28"/>
                <w:szCs w:val="28"/>
                <w:lang w:val="uk-UA"/>
              </w:rPr>
              <w:t xml:space="preserve"> </w:t>
            </w:r>
            <w:r w:rsidRPr="009B39B7">
              <w:rPr>
                <w:rFonts w:ascii="Times New Roman" w:hAnsi="Times New Roman" w:cs="Times New Roman"/>
                <w:sz w:val="28"/>
                <w:szCs w:val="28"/>
                <w:lang w:val="en-US"/>
              </w:rPr>
              <w:t>±</w:t>
            </w:r>
            <w:r w:rsidR="00D36C92">
              <w:rPr>
                <w:rFonts w:ascii="Times New Roman" w:hAnsi="Times New Roman" w:cs="Times New Roman"/>
                <w:sz w:val="28"/>
                <w:szCs w:val="28"/>
                <w:lang w:val="uk-UA"/>
              </w:rPr>
              <w:t xml:space="preserve"> </w:t>
            </w:r>
            <w:r w:rsidRPr="009B39B7">
              <w:rPr>
                <w:rFonts w:ascii="Times New Roman" w:hAnsi="Times New Roman" w:cs="Times New Roman"/>
                <w:sz w:val="28"/>
                <w:szCs w:val="28"/>
                <w:lang w:val="en-US"/>
              </w:rPr>
              <w:t>0,75</w:t>
            </w:r>
          </w:p>
        </w:tc>
        <w:tc>
          <w:tcPr>
            <w:tcW w:w="1559" w:type="dxa"/>
          </w:tcPr>
          <w:p w:rsidR="009B39B7" w:rsidRPr="0076289C" w:rsidRDefault="0076289C" w:rsidP="0002319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1</w:t>
            </w:r>
            <w:r>
              <w:rPr>
                <w:rFonts w:ascii="Times New Roman" w:hAnsi="Times New Roman" w:cs="Times New Roman"/>
                <w:sz w:val="28"/>
                <w:szCs w:val="28"/>
              </w:rPr>
              <w:t xml:space="preserve"> = 0,0033</w:t>
            </w:r>
          </w:p>
          <w:p w:rsidR="0076289C" w:rsidRPr="0076289C" w:rsidRDefault="0076289C" w:rsidP="00023195">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 xml:space="preserve">2 </w:t>
            </w:r>
            <w:r>
              <w:rPr>
                <w:rFonts w:ascii="Times New Roman" w:hAnsi="Times New Roman" w:cs="Times New Roman"/>
                <w:sz w:val="28"/>
                <w:szCs w:val="28"/>
                <w:lang w:val="en-US"/>
              </w:rPr>
              <w:t>&lt; 0,0001</w:t>
            </w:r>
            <w:r>
              <w:rPr>
                <w:rFonts w:ascii="Times New Roman" w:hAnsi="Times New Roman" w:cs="Times New Roman"/>
                <w:sz w:val="28"/>
                <w:szCs w:val="28"/>
              </w:rPr>
              <w:t xml:space="preserve"> </w:t>
            </w:r>
          </w:p>
          <w:p w:rsidR="0076289C" w:rsidRPr="0076289C" w:rsidRDefault="0076289C"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rPr>
              <w:t>р</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Pr>
                <w:rFonts w:ascii="Times New Roman" w:hAnsi="Times New Roman" w:cs="Times New Roman"/>
                <w:sz w:val="28"/>
                <w:szCs w:val="28"/>
                <w:lang w:val="en-US"/>
              </w:rPr>
              <w:t>&lt; 0,0001</w:t>
            </w:r>
          </w:p>
        </w:tc>
      </w:tr>
    </w:tbl>
    <w:p w:rsidR="005670C3" w:rsidRDefault="004B0361" w:rsidP="005670C3">
      <w:pPr>
        <w:autoSpaceDE w:val="0"/>
        <w:autoSpaceDN w:val="0"/>
        <w:adjustRightInd w:val="0"/>
        <w:spacing w:after="0" w:line="360" w:lineRule="auto"/>
        <w:ind w:firstLine="708"/>
        <w:jc w:val="both"/>
        <w:rPr>
          <w:rFonts w:ascii="Times New Roman" w:hAnsi="Times New Roman" w:cs="Times New Roman"/>
          <w:sz w:val="28"/>
          <w:szCs w:val="28"/>
          <w:lang w:val="uk-UA"/>
        </w:rPr>
      </w:pPr>
      <w:r w:rsidRPr="009B39B7">
        <w:rPr>
          <w:rFonts w:ascii="Times New Roman" w:hAnsi="Times New Roman" w:cs="Times New Roman"/>
          <w:sz w:val="28"/>
          <w:szCs w:val="28"/>
        </w:rPr>
        <w:t>Прим</w:t>
      </w:r>
      <w:r w:rsidR="005670C3">
        <w:rPr>
          <w:rFonts w:ascii="Times New Roman" w:hAnsi="Times New Roman" w:cs="Times New Roman"/>
          <w:sz w:val="28"/>
          <w:szCs w:val="28"/>
          <w:lang w:val="uk-UA"/>
        </w:rPr>
        <w:t>ітки</w:t>
      </w:r>
      <w:r w:rsidRPr="009B39B7">
        <w:rPr>
          <w:rFonts w:ascii="Times New Roman" w:hAnsi="Times New Roman" w:cs="Times New Roman"/>
          <w:sz w:val="28"/>
          <w:szCs w:val="28"/>
          <w:lang w:val="uk-UA"/>
        </w:rPr>
        <w:t xml:space="preserve">: </w:t>
      </w:r>
    </w:p>
    <w:p w:rsidR="004B0361" w:rsidRPr="005670C3" w:rsidRDefault="004B0361" w:rsidP="005670C3">
      <w:pPr>
        <w:pStyle w:val="a8"/>
        <w:numPr>
          <w:ilvl w:val="0"/>
          <w:numId w:val="30"/>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lang w:val="en-US"/>
        </w:rPr>
        <w:t>n –</w:t>
      </w:r>
      <w:r w:rsidRPr="005670C3">
        <w:rPr>
          <w:rFonts w:ascii="Times New Roman" w:hAnsi="Times New Roman" w:cs="Times New Roman"/>
          <w:sz w:val="28"/>
          <w:szCs w:val="28"/>
        </w:rPr>
        <w:t xml:space="preserve"> кількість осіб;</w:t>
      </w:r>
    </w:p>
    <w:p w:rsidR="0076289C" w:rsidRPr="005670C3" w:rsidRDefault="0076289C" w:rsidP="005670C3">
      <w:pPr>
        <w:pStyle w:val="a8"/>
        <w:numPr>
          <w:ilvl w:val="0"/>
          <w:numId w:val="30"/>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р</w:t>
      </w:r>
      <w:r w:rsidRPr="005670C3">
        <w:rPr>
          <w:rFonts w:ascii="Times New Roman" w:hAnsi="Times New Roman" w:cs="Times New Roman"/>
          <w:sz w:val="28"/>
          <w:szCs w:val="28"/>
          <w:vertAlign w:val="subscript"/>
        </w:rPr>
        <w:t>1</w:t>
      </w:r>
      <w:r w:rsidRPr="005670C3">
        <w:rPr>
          <w:rFonts w:ascii="Times New Roman" w:hAnsi="Times New Roman" w:cs="Times New Roman"/>
          <w:sz w:val="28"/>
          <w:szCs w:val="28"/>
        </w:rPr>
        <w:t xml:space="preserve"> – достовірність розходження між показниками І та ІІ груп;</w:t>
      </w:r>
    </w:p>
    <w:p w:rsidR="0076289C" w:rsidRPr="005670C3" w:rsidRDefault="0076289C" w:rsidP="005670C3">
      <w:pPr>
        <w:pStyle w:val="a8"/>
        <w:numPr>
          <w:ilvl w:val="0"/>
          <w:numId w:val="30"/>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р</w:t>
      </w:r>
      <w:r w:rsidRPr="005670C3">
        <w:rPr>
          <w:rFonts w:ascii="Times New Roman" w:hAnsi="Times New Roman" w:cs="Times New Roman"/>
          <w:sz w:val="28"/>
          <w:szCs w:val="28"/>
          <w:vertAlign w:val="subscript"/>
        </w:rPr>
        <w:t>2</w:t>
      </w:r>
      <w:r w:rsidRPr="005670C3">
        <w:rPr>
          <w:rFonts w:ascii="Times New Roman" w:hAnsi="Times New Roman" w:cs="Times New Roman"/>
          <w:sz w:val="28"/>
          <w:szCs w:val="28"/>
        </w:rPr>
        <w:t xml:space="preserve"> – достовірність розхо</w:t>
      </w:r>
      <w:r w:rsidR="00645A40">
        <w:rPr>
          <w:rFonts w:ascii="Times New Roman" w:hAnsi="Times New Roman" w:cs="Times New Roman"/>
          <w:sz w:val="28"/>
          <w:szCs w:val="28"/>
        </w:rPr>
        <w:t xml:space="preserve">дження між показниками І </w:t>
      </w:r>
      <w:r w:rsidRPr="005670C3">
        <w:rPr>
          <w:rFonts w:ascii="Times New Roman" w:hAnsi="Times New Roman" w:cs="Times New Roman"/>
          <w:sz w:val="28"/>
          <w:szCs w:val="28"/>
        </w:rPr>
        <w:t>груп</w:t>
      </w:r>
      <w:r w:rsidR="00645A40">
        <w:rPr>
          <w:rFonts w:ascii="Times New Roman" w:hAnsi="Times New Roman" w:cs="Times New Roman"/>
          <w:sz w:val="28"/>
          <w:szCs w:val="28"/>
        </w:rPr>
        <w:t>и та контролем</w:t>
      </w:r>
      <w:r w:rsidRPr="005670C3">
        <w:rPr>
          <w:rFonts w:ascii="Times New Roman" w:hAnsi="Times New Roman" w:cs="Times New Roman"/>
          <w:sz w:val="28"/>
          <w:szCs w:val="28"/>
        </w:rPr>
        <w:t xml:space="preserve">; </w:t>
      </w:r>
    </w:p>
    <w:p w:rsidR="0076289C" w:rsidRPr="005670C3" w:rsidRDefault="0076289C" w:rsidP="005670C3">
      <w:pPr>
        <w:pStyle w:val="a8"/>
        <w:numPr>
          <w:ilvl w:val="0"/>
          <w:numId w:val="30"/>
        </w:numPr>
        <w:autoSpaceDE w:val="0"/>
        <w:autoSpaceDN w:val="0"/>
        <w:adjustRightInd w:val="0"/>
        <w:spacing w:after="0" w:line="360" w:lineRule="auto"/>
        <w:jc w:val="both"/>
        <w:rPr>
          <w:rFonts w:ascii="Times New Roman" w:hAnsi="Times New Roman" w:cs="Times New Roman"/>
          <w:sz w:val="28"/>
          <w:szCs w:val="28"/>
        </w:rPr>
      </w:pPr>
      <w:r w:rsidRPr="005670C3">
        <w:rPr>
          <w:rFonts w:ascii="Times New Roman" w:hAnsi="Times New Roman" w:cs="Times New Roman"/>
          <w:sz w:val="28"/>
          <w:szCs w:val="28"/>
        </w:rPr>
        <w:t>р</w:t>
      </w:r>
      <w:r w:rsidRPr="005670C3">
        <w:rPr>
          <w:rFonts w:ascii="Times New Roman" w:hAnsi="Times New Roman" w:cs="Times New Roman"/>
          <w:sz w:val="28"/>
          <w:szCs w:val="28"/>
          <w:vertAlign w:val="subscript"/>
        </w:rPr>
        <w:t>3</w:t>
      </w:r>
      <w:r w:rsidRPr="005670C3">
        <w:rPr>
          <w:rFonts w:ascii="Times New Roman" w:hAnsi="Times New Roman" w:cs="Times New Roman"/>
          <w:sz w:val="28"/>
          <w:szCs w:val="28"/>
        </w:rPr>
        <w:t xml:space="preserve"> – достовірність розход</w:t>
      </w:r>
      <w:r w:rsidR="00645A40">
        <w:rPr>
          <w:rFonts w:ascii="Times New Roman" w:hAnsi="Times New Roman" w:cs="Times New Roman"/>
          <w:sz w:val="28"/>
          <w:szCs w:val="28"/>
        </w:rPr>
        <w:t xml:space="preserve">ження між показниками ІІ </w:t>
      </w:r>
      <w:r w:rsidRPr="005670C3">
        <w:rPr>
          <w:rFonts w:ascii="Times New Roman" w:hAnsi="Times New Roman" w:cs="Times New Roman"/>
          <w:sz w:val="28"/>
          <w:szCs w:val="28"/>
        </w:rPr>
        <w:t>груп</w:t>
      </w:r>
      <w:r w:rsidR="00645A40">
        <w:rPr>
          <w:rFonts w:ascii="Times New Roman" w:hAnsi="Times New Roman" w:cs="Times New Roman"/>
          <w:sz w:val="28"/>
          <w:szCs w:val="28"/>
        </w:rPr>
        <w:t>и та контролем</w:t>
      </w:r>
    </w:p>
    <w:p w:rsidR="00136877" w:rsidRPr="007F77DC" w:rsidRDefault="00136877" w:rsidP="00023195">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p>
    <w:p w:rsidR="00652DBA" w:rsidRPr="00F93CF4" w:rsidRDefault="00E668DE" w:rsidP="000F37D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пацієнтів </w:t>
      </w:r>
      <w:r w:rsidR="004B0361" w:rsidRPr="00A54D86">
        <w:rPr>
          <w:rFonts w:ascii="Times New Roman" w:hAnsi="Times New Roman" w:cs="Times New Roman"/>
          <w:sz w:val="28"/>
          <w:szCs w:val="28"/>
        </w:rPr>
        <w:t>І групи вм</w:t>
      </w:r>
      <w:r w:rsidR="00A54D86" w:rsidRPr="00A54D86">
        <w:rPr>
          <w:rFonts w:ascii="Times New Roman" w:hAnsi="Times New Roman" w:cs="Times New Roman"/>
          <w:sz w:val="28"/>
          <w:szCs w:val="28"/>
        </w:rPr>
        <w:t>іст ФНП-α був у 6</w:t>
      </w:r>
      <w:r w:rsidR="004B0361" w:rsidRPr="00A54D86">
        <w:rPr>
          <w:rFonts w:ascii="Times New Roman" w:hAnsi="Times New Roman" w:cs="Times New Roman"/>
          <w:sz w:val="28"/>
          <w:szCs w:val="28"/>
        </w:rPr>
        <w:t xml:space="preserve"> разів більшим (р &lt; 0,00</w:t>
      </w:r>
      <w:r w:rsidR="004B0361" w:rsidRPr="00A54D86">
        <w:rPr>
          <w:rFonts w:ascii="Times New Roman" w:hAnsi="Times New Roman" w:cs="Times New Roman"/>
          <w:sz w:val="28"/>
          <w:szCs w:val="28"/>
          <w:lang w:val="uk-UA"/>
        </w:rPr>
        <w:t>0</w:t>
      </w:r>
      <w:r w:rsidR="004B0361" w:rsidRPr="00A54D86">
        <w:rPr>
          <w:rFonts w:ascii="Times New Roman" w:hAnsi="Times New Roman" w:cs="Times New Roman"/>
          <w:sz w:val="28"/>
          <w:szCs w:val="28"/>
        </w:rPr>
        <w:t>1)</w:t>
      </w:r>
      <w:r w:rsidR="006610B7" w:rsidRPr="00A54D86">
        <w:rPr>
          <w:rFonts w:ascii="Times New Roman" w:hAnsi="Times New Roman" w:cs="Times New Roman"/>
          <w:sz w:val="28"/>
          <w:szCs w:val="28"/>
          <w:lang w:val="uk-UA"/>
        </w:rPr>
        <w:t>,</w:t>
      </w:r>
      <w:r w:rsidR="00A54D86" w:rsidRPr="00A54D86">
        <w:rPr>
          <w:rFonts w:ascii="Times New Roman" w:hAnsi="Times New Roman" w:cs="Times New Roman"/>
          <w:sz w:val="28"/>
          <w:szCs w:val="28"/>
        </w:rPr>
        <w:t xml:space="preserve"> </w:t>
      </w:r>
      <w:r w:rsidR="007E4D85">
        <w:rPr>
          <w:rFonts w:ascii="Times New Roman" w:hAnsi="Times New Roman" w:cs="Times New Roman"/>
          <w:sz w:val="28"/>
          <w:szCs w:val="28"/>
          <w:lang w:val="uk-UA"/>
        </w:rPr>
        <w:t xml:space="preserve">      </w:t>
      </w:r>
      <w:r w:rsidR="00A54D86" w:rsidRPr="00A54D86">
        <w:rPr>
          <w:rFonts w:ascii="Times New Roman" w:hAnsi="Times New Roman" w:cs="Times New Roman"/>
          <w:sz w:val="28"/>
          <w:szCs w:val="28"/>
          <w:lang w:val="uk-UA"/>
        </w:rPr>
        <w:t>ІІ</w:t>
      </w:r>
      <w:r w:rsidR="009351F4">
        <w:rPr>
          <w:rFonts w:ascii="Times New Roman" w:hAnsi="Times New Roman" w:cs="Times New Roman"/>
          <w:sz w:val="28"/>
          <w:szCs w:val="28"/>
          <w:lang w:val="uk-UA"/>
        </w:rPr>
        <w:t xml:space="preserve"> групи</w:t>
      </w:r>
      <w:r w:rsidR="00A54D86" w:rsidRPr="00A54D86">
        <w:rPr>
          <w:rFonts w:ascii="Times New Roman" w:hAnsi="Times New Roman" w:cs="Times New Roman"/>
          <w:sz w:val="28"/>
          <w:szCs w:val="28"/>
          <w:lang w:val="uk-UA"/>
        </w:rPr>
        <w:t xml:space="preserve"> – у 5 разів більшим </w:t>
      </w:r>
      <w:r w:rsidR="00A54D86" w:rsidRPr="00A54D86">
        <w:rPr>
          <w:rFonts w:ascii="Times New Roman" w:hAnsi="Times New Roman" w:cs="Times New Roman"/>
          <w:sz w:val="28"/>
          <w:szCs w:val="28"/>
        </w:rPr>
        <w:t>(р &lt; 0,00</w:t>
      </w:r>
      <w:r w:rsidR="00A54D86" w:rsidRPr="00A54D86">
        <w:rPr>
          <w:rFonts w:ascii="Times New Roman" w:hAnsi="Times New Roman" w:cs="Times New Roman"/>
          <w:sz w:val="28"/>
          <w:szCs w:val="28"/>
          <w:lang w:val="uk-UA"/>
        </w:rPr>
        <w:t>0</w:t>
      </w:r>
      <w:r w:rsidR="00A54D86" w:rsidRPr="00A54D86">
        <w:rPr>
          <w:rFonts w:ascii="Times New Roman" w:hAnsi="Times New Roman" w:cs="Times New Roman"/>
          <w:sz w:val="28"/>
          <w:szCs w:val="28"/>
        </w:rPr>
        <w:t>1)</w:t>
      </w:r>
      <w:r w:rsidR="00A54D86" w:rsidRPr="00A54D86">
        <w:rPr>
          <w:rFonts w:ascii="Times New Roman" w:hAnsi="Times New Roman" w:cs="Times New Roman"/>
          <w:sz w:val="28"/>
          <w:szCs w:val="28"/>
          <w:lang w:val="uk-UA"/>
        </w:rPr>
        <w:t>,</w:t>
      </w:r>
      <w:r w:rsidR="009E07C4">
        <w:rPr>
          <w:rFonts w:ascii="Times New Roman" w:hAnsi="Times New Roman" w:cs="Times New Roman"/>
          <w:sz w:val="28"/>
          <w:szCs w:val="28"/>
          <w:lang w:val="uk-UA"/>
        </w:rPr>
        <w:t xml:space="preserve"> </w:t>
      </w:r>
      <w:r w:rsidR="00D36C92">
        <w:rPr>
          <w:rFonts w:ascii="Times New Roman" w:hAnsi="Times New Roman" w:cs="Times New Roman"/>
          <w:sz w:val="28"/>
          <w:szCs w:val="28"/>
        </w:rPr>
        <w:t xml:space="preserve">ніж </w:t>
      </w:r>
      <w:r w:rsidR="00D36C92">
        <w:rPr>
          <w:rFonts w:ascii="Times New Roman" w:hAnsi="Times New Roman" w:cs="Times New Roman"/>
          <w:sz w:val="28"/>
          <w:szCs w:val="28"/>
          <w:lang w:val="uk-UA"/>
        </w:rPr>
        <w:t>в</w:t>
      </w:r>
      <w:r w:rsidR="004B0361" w:rsidRPr="00A54D86">
        <w:rPr>
          <w:rFonts w:ascii="Times New Roman" w:hAnsi="Times New Roman" w:cs="Times New Roman"/>
          <w:sz w:val="28"/>
          <w:szCs w:val="28"/>
        </w:rPr>
        <w:t xml:space="preserve"> умовно здорових осіб. </w:t>
      </w:r>
      <w:r w:rsidR="00F93CF4">
        <w:rPr>
          <w:rFonts w:ascii="Times New Roman" w:hAnsi="Times New Roman" w:cs="Times New Roman"/>
          <w:sz w:val="28"/>
          <w:szCs w:val="28"/>
          <w:lang w:val="uk-UA"/>
        </w:rPr>
        <w:t xml:space="preserve">           </w:t>
      </w:r>
      <w:r w:rsidR="004B0361" w:rsidRPr="00F93CF4">
        <w:rPr>
          <w:rFonts w:ascii="Times New Roman" w:hAnsi="Times New Roman" w:cs="Times New Roman"/>
          <w:sz w:val="28"/>
          <w:szCs w:val="28"/>
          <w:lang w:val="uk-UA"/>
        </w:rPr>
        <w:t xml:space="preserve">Це підвищення вмісту прозапального цитокіну свідчить про активацію процесів запалення, у механізмі індукування якого, можливо, має </w:t>
      </w:r>
      <w:r w:rsidR="006610B7" w:rsidRPr="00F93CF4">
        <w:rPr>
          <w:rFonts w:ascii="Times New Roman" w:hAnsi="Times New Roman" w:cs="Times New Roman"/>
          <w:sz w:val="28"/>
          <w:szCs w:val="28"/>
          <w:lang w:val="uk-UA"/>
        </w:rPr>
        <w:t xml:space="preserve">значення </w:t>
      </w:r>
      <w:r w:rsidR="00F14B8A">
        <w:rPr>
          <w:rFonts w:ascii="Times New Roman" w:hAnsi="Times New Roman" w:cs="Times New Roman"/>
          <w:sz w:val="28"/>
          <w:szCs w:val="28"/>
          <w:lang w:val="uk-UA"/>
        </w:rPr>
        <w:t xml:space="preserve">порушення функціонального стану </w:t>
      </w:r>
      <w:r w:rsidR="006610B7" w:rsidRPr="00F93CF4">
        <w:rPr>
          <w:rFonts w:ascii="Times New Roman" w:hAnsi="Times New Roman" w:cs="Times New Roman"/>
          <w:sz w:val="28"/>
          <w:szCs w:val="28"/>
          <w:lang w:val="uk-UA"/>
        </w:rPr>
        <w:t xml:space="preserve">ендотелію. </w:t>
      </w:r>
    </w:p>
    <w:p w:rsidR="00652DBA" w:rsidRDefault="006610B7" w:rsidP="000F37D3">
      <w:pPr>
        <w:autoSpaceDE w:val="0"/>
        <w:autoSpaceDN w:val="0"/>
        <w:adjustRightInd w:val="0"/>
        <w:spacing w:after="0" w:line="360" w:lineRule="auto"/>
        <w:ind w:firstLine="708"/>
        <w:jc w:val="both"/>
        <w:rPr>
          <w:rFonts w:ascii="Times New Roman" w:hAnsi="Times New Roman" w:cs="Times New Roman"/>
          <w:sz w:val="28"/>
          <w:szCs w:val="28"/>
          <w:lang w:val="uk-UA"/>
        </w:rPr>
      </w:pPr>
      <w:r w:rsidRPr="009E07C4">
        <w:rPr>
          <w:rFonts w:ascii="Times New Roman" w:hAnsi="Times New Roman" w:cs="Times New Roman"/>
          <w:sz w:val="28"/>
          <w:szCs w:val="28"/>
          <w:lang w:val="uk-UA"/>
        </w:rPr>
        <w:t>За</w:t>
      </w:r>
      <w:r w:rsidR="00404D2F" w:rsidRPr="009E07C4">
        <w:rPr>
          <w:rFonts w:ascii="Times New Roman" w:hAnsi="Times New Roman" w:cs="Times New Roman"/>
          <w:sz w:val="28"/>
          <w:szCs w:val="28"/>
        </w:rPr>
        <w:t xml:space="preserve"> </w:t>
      </w:r>
      <w:r w:rsidR="00404D2F" w:rsidRPr="009E07C4">
        <w:rPr>
          <w:rFonts w:ascii="Times New Roman" w:hAnsi="Times New Roman" w:cs="Times New Roman"/>
          <w:sz w:val="28"/>
          <w:szCs w:val="28"/>
          <w:lang w:val="uk-UA"/>
        </w:rPr>
        <w:t>результатами науковців</w:t>
      </w:r>
      <w:r w:rsidRPr="009E07C4">
        <w:rPr>
          <w:rFonts w:ascii="Times New Roman" w:hAnsi="Times New Roman" w:cs="Times New Roman"/>
          <w:sz w:val="28"/>
          <w:szCs w:val="28"/>
          <w:lang w:val="uk-UA"/>
        </w:rPr>
        <w:t>,</w:t>
      </w:r>
      <w:r w:rsidR="004B0361" w:rsidRPr="009E07C4">
        <w:rPr>
          <w:rFonts w:ascii="Times New Roman" w:hAnsi="Times New Roman" w:cs="Times New Roman"/>
          <w:sz w:val="28"/>
          <w:szCs w:val="28"/>
        </w:rPr>
        <w:t xml:space="preserve"> концентрація </w:t>
      </w:r>
      <w:r w:rsidR="00596FFA" w:rsidRPr="009E07C4">
        <w:rPr>
          <w:rFonts w:ascii="Times New Roman" w:hAnsi="Times New Roman" w:cs="Times New Roman"/>
          <w:sz w:val="28"/>
          <w:szCs w:val="28"/>
          <w:lang w:val="uk-UA"/>
        </w:rPr>
        <w:t xml:space="preserve">зазначеного </w:t>
      </w:r>
      <w:r w:rsidR="00D36C92" w:rsidRPr="009E07C4">
        <w:rPr>
          <w:rFonts w:ascii="Times New Roman" w:hAnsi="Times New Roman" w:cs="Times New Roman"/>
          <w:sz w:val="28"/>
          <w:szCs w:val="28"/>
        </w:rPr>
        <w:t xml:space="preserve">цитокіну </w:t>
      </w:r>
      <w:r w:rsidR="00596FFA" w:rsidRPr="009E07C4">
        <w:rPr>
          <w:rFonts w:ascii="Times New Roman" w:hAnsi="Times New Roman" w:cs="Times New Roman"/>
          <w:sz w:val="28"/>
          <w:szCs w:val="28"/>
          <w:lang w:val="uk-UA"/>
        </w:rPr>
        <w:t>у</w:t>
      </w:r>
      <w:r w:rsidR="00596FFA" w:rsidRPr="009E07C4">
        <w:rPr>
          <w:rFonts w:ascii="Times New Roman" w:hAnsi="Times New Roman" w:cs="Times New Roman"/>
          <w:sz w:val="28"/>
          <w:szCs w:val="28"/>
        </w:rPr>
        <w:t xml:space="preserve"> крові </w:t>
      </w:r>
      <w:r w:rsidR="00596FFA" w:rsidRPr="009E07C4">
        <w:rPr>
          <w:rFonts w:ascii="Times New Roman" w:hAnsi="Times New Roman" w:cs="Times New Roman"/>
          <w:sz w:val="28"/>
          <w:szCs w:val="28"/>
          <w:lang w:val="uk-UA"/>
        </w:rPr>
        <w:t>хворих</w:t>
      </w:r>
      <w:r w:rsidR="00596FFA" w:rsidRPr="009E07C4">
        <w:rPr>
          <w:rFonts w:ascii="Times New Roman" w:hAnsi="Times New Roman" w:cs="Times New Roman"/>
          <w:sz w:val="28"/>
          <w:szCs w:val="28"/>
        </w:rPr>
        <w:t xml:space="preserve"> </w:t>
      </w:r>
      <w:r w:rsidR="00596FFA" w:rsidRPr="009E07C4">
        <w:rPr>
          <w:rFonts w:ascii="Times New Roman" w:hAnsi="Times New Roman" w:cs="Times New Roman"/>
          <w:sz w:val="28"/>
          <w:szCs w:val="28"/>
          <w:lang w:val="uk-UA"/>
        </w:rPr>
        <w:t>на</w:t>
      </w:r>
      <w:r w:rsidR="004B0361" w:rsidRPr="009E07C4">
        <w:rPr>
          <w:rFonts w:ascii="Times New Roman" w:hAnsi="Times New Roman" w:cs="Times New Roman"/>
          <w:sz w:val="28"/>
          <w:szCs w:val="28"/>
        </w:rPr>
        <w:t xml:space="preserve"> ЦД віком (40,2</w:t>
      </w:r>
      <w:r w:rsidR="00D36C92" w:rsidRPr="009E07C4">
        <w:rPr>
          <w:rFonts w:ascii="Times New Roman" w:hAnsi="Times New Roman" w:cs="Times New Roman"/>
          <w:sz w:val="28"/>
          <w:szCs w:val="28"/>
          <w:lang w:val="uk-UA"/>
        </w:rPr>
        <w:t xml:space="preserve"> </w:t>
      </w:r>
      <w:r w:rsidR="004B0361" w:rsidRPr="009E07C4">
        <w:rPr>
          <w:rFonts w:ascii="Times New Roman" w:hAnsi="Times New Roman" w:cs="Times New Roman"/>
          <w:sz w:val="28"/>
          <w:szCs w:val="28"/>
        </w:rPr>
        <w:t>±</w:t>
      </w:r>
      <w:r w:rsidR="00D36C92" w:rsidRPr="009E07C4">
        <w:rPr>
          <w:rFonts w:ascii="Times New Roman" w:hAnsi="Times New Roman" w:cs="Times New Roman"/>
          <w:sz w:val="28"/>
          <w:szCs w:val="28"/>
          <w:lang w:val="uk-UA"/>
        </w:rPr>
        <w:t xml:space="preserve"> </w:t>
      </w:r>
      <w:r w:rsidR="00D36C92" w:rsidRPr="009E07C4">
        <w:rPr>
          <w:rFonts w:ascii="Times New Roman" w:hAnsi="Times New Roman" w:cs="Times New Roman"/>
          <w:sz w:val="28"/>
          <w:szCs w:val="28"/>
        </w:rPr>
        <w:t>1,23) рок</w:t>
      </w:r>
      <w:r w:rsidR="00D36C92" w:rsidRPr="009E07C4">
        <w:rPr>
          <w:rFonts w:ascii="Times New Roman" w:hAnsi="Times New Roman" w:cs="Times New Roman"/>
          <w:sz w:val="28"/>
          <w:szCs w:val="28"/>
          <w:lang w:val="uk-UA"/>
        </w:rPr>
        <w:t>у</w:t>
      </w:r>
      <w:r w:rsidR="00FC64C4" w:rsidRPr="009E07C4">
        <w:rPr>
          <w:rFonts w:ascii="Times New Roman" w:hAnsi="Times New Roman" w:cs="Times New Roman"/>
          <w:sz w:val="28"/>
          <w:szCs w:val="28"/>
        </w:rPr>
        <w:t xml:space="preserve"> була у 3,8 раз</w:t>
      </w:r>
      <w:r w:rsidR="00FC64C4" w:rsidRPr="009E07C4">
        <w:rPr>
          <w:rFonts w:ascii="Times New Roman" w:hAnsi="Times New Roman" w:cs="Times New Roman"/>
          <w:sz w:val="28"/>
          <w:szCs w:val="28"/>
          <w:lang w:val="uk-UA"/>
        </w:rPr>
        <w:t>а</w:t>
      </w:r>
      <w:r w:rsidR="004B0361" w:rsidRPr="009E07C4">
        <w:rPr>
          <w:rFonts w:ascii="Times New Roman" w:hAnsi="Times New Roman" w:cs="Times New Roman"/>
          <w:sz w:val="28"/>
          <w:szCs w:val="28"/>
        </w:rPr>
        <w:t xml:space="preserve"> більшою, ніж </w:t>
      </w:r>
      <w:r w:rsidR="00F93CF4">
        <w:rPr>
          <w:rFonts w:ascii="Times New Roman" w:hAnsi="Times New Roman" w:cs="Times New Roman"/>
          <w:sz w:val="28"/>
          <w:szCs w:val="28"/>
          <w:lang w:val="uk-UA"/>
        </w:rPr>
        <w:t xml:space="preserve">                </w:t>
      </w:r>
      <w:r w:rsidR="004B0361" w:rsidRPr="009E07C4">
        <w:rPr>
          <w:rFonts w:ascii="Times New Roman" w:hAnsi="Times New Roman" w:cs="Times New Roman"/>
          <w:sz w:val="28"/>
          <w:szCs w:val="28"/>
        </w:rPr>
        <w:t xml:space="preserve">у здорових осіб </w:t>
      </w:r>
      <w:r w:rsidR="004B0361" w:rsidRPr="00541249">
        <w:rPr>
          <w:rFonts w:ascii="Times New Roman" w:hAnsi="Times New Roman" w:cs="Times New Roman"/>
          <w:sz w:val="28"/>
          <w:szCs w:val="28"/>
        </w:rPr>
        <w:t>[</w:t>
      </w:r>
      <w:r w:rsidR="00541249" w:rsidRPr="005C5DB7">
        <w:rPr>
          <w:rFonts w:ascii="Times New Roman" w:hAnsi="Times New Roman" w:cs="Times New Roman"/>
          <w:sz w:val="28"/>
          <w:szCs w:val="28"/>
        </w:rPr>
        <w:t>168</w:t>
      </w:r>
      <w:r w:rsidR="004B0361" w:rsidRPr="005C5DB7">
        <w:rPr>
          <w:rFonts w:ascii="Times New Roman" w:hAnsi="Times New Roman" w:cs="Times New Roman"/>
          <w:sz w:val="28"/>
          <w:szCs w:val="28"/>
        </w:rPr>
        <w:t>]</w:t>
      </w:r>
      <w:r w:rsidR="004B0361" w:rsidRPr="00541249">
        <w:rPr>
          <w:rFonts w:ascii="Times New Roman" w:hAnsi="Times New Roman" w:cs="Times New Roman"/>
          <w:sz w:val="28"/>
          <w:szCs w:val="28"/>
        </w:rPr>
        <w:t>.</w:t>
      </w:r>
      <w:r w:rsidR="004B0361" w:rsidRPr="00A54D86">
        <w:rPr>
          <w:rFonts w:ascii="Times New Roman" w:hAnsi="Times New Roman" w:cs="Times New Roman"/>
          <w:sz w:val="28"/>
          <w:szCs w:val="28"/>
        </w:rPr>
        <w:t xml:space="preserve"> </w:t>
      </w:r>
      <w:r w:rsidR="004B0361" w:rsidRPr="009E07C4">
        <w:rPr>
          <w:rFonts w:ascii="Times New Roman" w:hAnsi="Times New Roman" w:cs="Times New Roman"/>
          <w:sz w:val="28"/>
          <w:szCs w:val="28"/>
        </w:rPr>
        <w:t>У наш</w:t>
      </w:r>
      <w:r w:rsidR="00FC64C4" w:rsidRPr="009E07C4">
        <w:rPr>
          <w:rFonts w:ascii="Times New Roman" w:hAnsi="Times New Roman" w:cs="Times New Roman"/>
          <w:sz w:val="28"/>
          <w:szCs w:val="28"/>
        </w:rPr>
        <w:t xml:space="preserve">ому дослідженні </w:t>
      </w:r>
      <w:r w:rsidR="00596FFA" w:rsidRPr="00596FFA">
        <w:rPr>
          <w:rFonts w:ascii="Times New Roman" w:hAnsi="Times New Roman" w:cs="Times New Roman"/>
          <w:sz w:val="28"/>
          <w:szCs w:val="28"/>
        </w:rPr>
        <w:t xml:space="preserve">вміст ФНП-α </w:t>
      </w:r>
      <w:r w:rsidR="00596FFA">
        <w:rPr>
          <w:rFonts w:ascii="Times New Roman" w:hAnsi="Times New Roman" w:cs="Times New Roman"/>
          <w:sz w:val="28"/>
          <w:szCs w:val="28"/>
          <w:lang w:val="uk-UA"/>
        </w:rPr>
        <w:t xml:space="preserve">у пацієнтів </w:t>
      </w:r>
      <w:r w:rsidR="00BD62C6">
        <w:rPr>
          <w:rFonts w:ascii="Times New Roman" w:hAnsi="Times New Roman" w:cs="Times New Roman"/>
          <w:sz w:val="28"/>
          <w:szCs w:val="28"/>
          <w:lang w:val="uk-UA"/>
        </w:rPr>
        <w:t xml:space="preserve">            </w:t>
      </w:r>
      <w:r w:rsidR="00596FFA">
        <w:rPr>
          <w:rFonts w:ascii="Times New Roman" w:hAnsi="Times New Roman" w:cs="Times New Roman"/>
          <w:sz w:val="28"/>
          <w:szCs w:val="28"/>
          <w:lang w:val="uk-UA"/>
        </w:rPr>
        <w:t xml:space="preserve">І групи був у 6 </w:t>
      </w:r>
      <w:r w:rsidR="00596FFA" w:rsidRPr="00596FFA">
        <w:rPr>
          <w:rFonts w:ascii="Times New Roman" w:hAnsi="Times New Roman" w:cs="Times New Roman"/>
          <w:sz w:val="28"/>
          <w:szCs w:val="28"/>
          <w:lang w:val="uk-UA"/>
        </w:rPr>
        <w:t xml:space="preserve">разів більшим </w:t>
      </w:r>
      <w:r w:rsidR="007605CE">
        <w:rPr>
          <w:rFonts w:ascii="Times New Roman" w:hAnsi="Times New Roman" w:cs="Times New Roman"/>
          <w:sz w:val="28"/>
          <w:szCs w:val="28"/>
          <w:lang w:val="uk-UA"/>
        </w:rPr>
        <w:t xml:space="preserve">порівняно з особами </w:t>
      </w:r>
      <w:r w:rsidR="00596FFA">
        <w:rPr>
          <w:rFonts w:ascii="Times New Roman" w:hAnsi="Times New Roman" w:cs="Times New Roman"/>
          <w:sz w:val="28"/>
          <w:szCs w:val="28"/>
          <w:lang w:val="uk-UA"/>
        </w:rPr>
        <w:t>групи</w:t>
      </w:r>
      <w:r w:rsidR="007605CE">
        <w:rPr>
          <w:rFonts w:ascii="Times New Roman" w:hAnsi="Times New Roman" w:cs="Times New Roman"/>
          <w:sz w:val="28"/>
          <w:szCs w:val="28"/>
          <w:lang w:val="uk-UA"/>
        </w:rPr>
        <w:t xml:space="preserve"> контролю</w:t>
      </w:r>
      <w:r w:rsidR="00596FFA" w:rsidRPr="009E07C4">
        <w:rPr>
          <w:rFonts w:ascii="Times New Roman" w:hAnsi="Times New Roman" w:cs="Times New Roman"/>
          <w:sz w:val="28"/>
          <w:szCs w:val="28"/>
          <w:lang w:val="uk-UA"/>
        </w:rPr>
        <w:t>.</w:t>
      </w:r>
      <w:r w:rsidR="004B0361" w:rsidRPr="009E07C4">
        <w:rPr>
          <w:rFonts w:ascii="Times New Roman" w:hAnsi="Times New Roman" w:cs="Times New Roman"/>
          <w:sz w:val="28"/>
          <w:szCs w:val="28"/>
        </w:rPr>
        <w:t xml:space="preserve"> Можливо, це повʼ</w:t>
      </w:r>
      <w:r w:rsidR="00FC64C4" w:rsidRPr="009E07C4">
        <w:rPr>
          <w:rFonts w:ascii="Times New Roman" w:hAnsi="Times New Roman" w:cs="Times New Roman"/>
          <w:sz w:val="28"/>
          <w:szCs w:val="28"/>
        </w:rPr>
        <w:t>язане із тим, що</w:t>
      </w:r>
      <w:r w:rsidR="00596FFA" w:rsidRPr="009E07C4">
        <w:rPr>
          <w:rFonts w:ascii="Times New Roman" w:hAnsi="Times New Roman" w:cs="Times New Roman"/>
          <w:sz w:val="28"/>
          <w:szCs w:val="28"/>
          <w:lang w:val="uk-UA"/>
        </w:rPr>
        <w:t xml:space="preserve"> хворі</w:t>
      </w:r>
      <w:r w:rsidR="00FC64C4" w:rsidRPr="009E07C4">
        <w:rPr>
          <w:rFonts w:ascii="Times New Roman" w:hAnsi="Times New Roman" w:cs="Times New Roman"/>
          <w:sz w:val="28"/>
          <w:szCs w:val="28"/>
          <w:lang w:val="uk-UA"/>
        </w:rPr>
        <w:t>, яких ми обстежили,</w:t>
      </w:r>
      <w:r w:rsidR="00EE07AB" w:rsidRPr="009E07C4">
        <w:rPr>
          <w:rFonts w:ascii="Times New Roman" w:hAnsi="Times New Roman" w:cs="Times New Roman"/>
          <w:sz w:val="28"/>
          <w:szCs w:val="28"/>
        </w:rPr>
        <w:t xml:space="preserve"> </w:t>
      </w:r>
      <w:r w:rsidR="00EE07AB" w:rsidRPr="009E07C4">
        <w:rPr>
          <w:rFonts w:ascii="Times New Roman" w:hAnsi="Times New Roman" w:cs="Times New Roman"/>
          <w:sz w:val="28"/>
          <w:szCs w:val="28"/>
          <w:lang w:val="uk-UA"/>
        </w:rPr>
        <w:t xml:space="preserve">були старші </w:t>
      </w:r>
      <w:r w:rsidR="00BD62C6">
        <w:rPr>
          <w:rFonts w:ascii="Times New Roman" w:hAnsi="Times New Roman" w:cs="Times New Roman"/>
          <w:sz w:val="28"/>
          <w:szCs w:val="28"/>
          <w:lang w:val="uk-UA"/>
        </w:rPr>
        <w:t xml:space="preserve">     </w:t>
      </w:r>
      <w:r w:rsidR="00EE07AB" w:rsidRPr="009E07C4">
        <w:rPr>
          <w:rFonts w:ascii="Times New Roman" w:hAnsi="Times New Roman" w:cs="Times New Roman"/>
          <w:sz w:val="28"/>
          <w:szCs w:val="28"/>
          <w:lang w:val="uk-UA"/>
        </w:rPr>
        <w:t>за віком і</w:t>
      </w:r>
      <w:r w:rsidRPr="009E07C4">
        <w:rPr>
          <w:rFonts w:ascii="Times New Roman" w:hAnsi="Times New Roman" w:cs="Times New Roman"/>
          <w:sz w:val="28"/>
          <w:szCs w:val="28"/>
        </w:rPr>
        <w:t xml:space="preserve"> мали в анамнезі </w:t>
      </w:r>
      <w:r w:rsidRPr="009E07C4">
        <w:rPr>
          <w:rFonts w:ascii="Times New Roman" w:hAnsi="Times New Roman" w:cs="Times New Roman"/>
          <w:sz w:val="28"/>
          <w:szCs w:val="28"/>
          <w:lang w:val="uk-UA"/>
        </w:rPr>
        <w:t>ССУ</w:t>
      </w:r>
      <w:r w:rsidR="004B0361" w:rsidRPr="009E07C4">
        <w:rPr>
          <w:rFonts w:ascii="Times New Roman" w:hAnsi="Times New Roman" w:cs="Times New Roman"/>
          <w:sz w:val="28"/>
          <w:szCs w:val="28"/>
        </w:rPr>
        <w:t>, супутню АГ</w:t>
      </w:r>
      <w:r w:rsidRPr="009E07C4">
        <w:rPr>
          <w:rFonts w:ascii="Times New Roman" w:hAnsi="Times New Roman" w:cs="Times New Roman"/>
          <w:sz w:val="28"/>
          <w:szCs w:val="28"/>
        </w:rPr>
        <w:t xml:space="preserve">, </w:t>
      </w:r>
      <w:r w:rsidRPr="009E07C4">
        <w:rPr>
          <w:rFonts w:ascii="Times New Roman" w:hAnsi="Times New Roman" w:cs="Times New Roman"/>
          <w:sz w:val="28"/>
          <w:szCs w:val="28"/>
          <w:lang w:val="uk-UA"/>
        </w:rPr>
        <w:t>ХСН</w:t>
      </w:r>
      <w:r w:rsidR="004B0361" w:rsidRPr="009E07C4">
        <w:rPr>
          <w:rFonts w:ascii="Times New Roman" w:hAnsi="Times New Roman" w:cs="Times New Roman"/>
          <w:sz w:val="28"/>
          <w:szCs w:val="28"/>
        </w:rPr>
        <w:t>, ожиріння</w:t>
      </w:r>
      <w:r w:rsidR="004B0361" w:rsidRPr="004B0361">
        <w:rPr>
          <w:rFonts w:ascii="Times New Roman" w:hAnsi="Times New Roman" w:cs="Times New Roman"/>
          <w:sz w:val="28"/>
          <w:szCs w:val="28"/>
        </w:rPr>
        <w:t xml:space="preserve">. </w:t>
      </w:r>
    </w:p>
    <w:p w:rsidR="007E7AA0" w:rsidRPr="00BD62C6" w:rsidRDefault="009E07C4" w:rsidP="00BD62C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596FFA">
        <w:rPr>
          <w:rFonts w:ascii="Times New Roman" w:hAnsi="Times New Roman" w:cs="Times New Roman"/>
          <w:sz w:val="28"/>
          <w:szCs w:val="28"/>
          <w:lang w:val="uk-UA"/>
        </w:rPr>
        <w:t xml:space="preserve">міст </w:t>
      </w:r>
      <w:r w:rsidR="000A22AA">
        <w:rPr>
          <w:rFonts w:ascii="Times New Roman" w:hAnsi="Times New Roman" w:cs="Times New Roman"/>
          <w:sz w:val="28"/>
          <w:szCs w:val="28"/>
          <w:lang w:val="uk-UA"/>
        </w:rPr>
        <w:t>ФНП</w:t>
      </w:r>
      <w:r w:rsidR="000A22AA" w:rsidRPr="000A22AA">
        <w:rPr>
          <w:rFonts w:ascii="Times New Roman" w:hAnsi="Times New Roman" w:cs="Times New Roman"/>
          <w:sz w:val="28"/>
          <w:szCs w:val="28"/>
          <w:lang w:val="uk-UA"/>
        </w:rPr>
        <w:t>-α</w:t>
      </w:r>
      <w:r w:rsidR="000A22A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було </w:t>
      </w:r>
      <w:r w:rsidRPr="009E07C4">
        <w:rPr>
          <w:rFonts w:ascii="Times New Roman" w:hAnsi="Times New Roman" w:cs="Times New Roman"/>
          <w:sz w:val="28"/>
          <w:szCs w:val="28"/>
          <w:lang w:val="uk-UA"/>
        </w:rPr>
        <w:t xml:space="preserve">досліджено </w:t>
      </w:r>
      <w:r w:rsidR="000A22AA">
        <w:rPr>
          <w:rFonts w:ascii="Times New Roman" w:hAnsi="Times New Roman" w:cs="Times New Roman"/>
          <w:sz w:val="28"/>
          <w:szCs w:val="28"/>
          <w:lang w:val="uk-UA"/>
        </w:rPr>
        <w:t>за</w:t>
      </w:r>
      <w:r w:rsidR="00FC64C4">
        <w:rPr>
          <w:rFonts w:ascii="Times New Roman" w:hAnsi="Times New Roman" w:cs="Times New Roman"/>
          <w:sz w:val="28"/>
          <w:szCs w:val="28"/>
          <w:lang w:val="uk-UA"/>
        </w:rPr>
        <w:t>лежно</w:t>
      </w:r>
      <w:r w:rsidR="000A22AA">
        <w:rPr>
          <w:rFonts w:ascii="Times New Roman" w:hAnsi="Times New Roman" w:cs="Times New Roman"/>
          <w:sz w:val="28"/>
          <w:szCs w:val="28"/>
          <w:lang w:val="uk-UA"/>
        </w:rPr>
        <w:t xml:space="preserve"> від ФК ХСН (табл. 5.5.2).</w:t>
      </w:r>
    </w:p>
    <w:p w:rsidR="00C65B1D" w:rsidRPr="00C65B1D" w:rsidRDefault="00FC64C4" w:rsidP="00C65B1D">
      <w:pPr>
        <w:autoSpaceDE w:val="0"/>
        <w:autoSpaceDN w:val="0"/>
        <w:adjustRightInd w:val="0"/>
        <w:spacing w:after="0" w:line="360" w:lineRule="auto"/>
        <w:jc w:val="right"/>
        <w:rPr>
          <w:rFonts w:ascii="Times New Roman" w:hAnsi="Times New Roman" w:cs="Times New Roman"/>
          <w:i/>
          <w:sz w:val="28"/>
          <w:szCs w:val="28"/>
          <w:lang w:val="uk-UA"/>
        </w:rPr>
      </w:pPr>
      <w:r w:rsidRPr="00C65B1D">
        <w:rPr>
          <w:rFonts w:ascii="Times New Roman" w:hAnsi="Times New Roman" w:cs="Times New Roman"/>
          <w:i/>
          <w:sz w:val="28"/>
          <w:szCs w:val="28"/>
          <w:lang w:val="uk-UA"/>
        </w:rPr>
        <w:t>Таблиця 5.5.2</w:t>
      </w:r>
    </w:p>
    <w:p w:rsidR="00EC4A04" w:rsidRPr="00C65B1D" w:rsidRDefault="00FC64C4" w:rsidP="00C65B1D">
      <w:pPr>
        <w:autoSpaceDE w:val="0"/>
        <w:autoSpaceDN w:val="0"/>
        <w:adjustRightInd w:val="0"/>
        <w:spacing w:after="0" w:line="360" w:lineRule="auto"/>
        <w:jc w:val="center"/>
        <w:rPr>
          <w:rFonts w:ascii="Times New Roman" w:hAnsi="Times New Roman" w:cs="Times New Roman"/>
          <w:b/>
          <w:sz w:val="28"/>
          <w:szCs w:val="28"/>
          <w:lang w:val="uk-UA"/>
        </w:rPr>
      </w:pPr>
      <w:r w:rsidRPr="00C65B1D">
        <w:rPr>
          <w:rFonts w:ascii="Times New Roman" w:hAnsi="Times New Roman" w:cs="Times New Roman"/>
          <w:b/>
          <w:sz w:val="28"/>
          <w:szCs w:val="28"/>
          <w:lang w:val="uk-UA"/>
        </w:rPr>
        <w:t>Вміст фактора некрозу пухлин-α залежно</w:t>
      </w:r>
      <w:r w:rsidR="00EC4A04" w:rsidRPr="00C65B1D">
        <w:rPr>
          <w:rFonts w:ascii="Times New Roman" w:hAnsi="Times New Roman" w:cs="Times New Roman"/>
          <w:b/>
          <w:sz w:val="28"/>
          <w:szCs w:val="28"/>
          <w:lang w:val="uk-UA"/>
        </w:rPr>
        <w:t xml:space="preserve"> від функціонального класу хронічної серцевої недостатності</w:t>
      </w:r>
      <w:r w:rsidR="00C65B1D">
        <w:rPr>
          <w:rFonts w:ascii="Times New Roman" w:hAnsi="Times New Roman" w:cs="Times New Roman"/>
          <w:b/>
          <w:sz w:val="28"/>
          <w:szCs w:val="28"/>
          <w:lang w:val="uk-UA"/>
        </w:rPr>
        <w:t xml:space="preserve"> у хворих І групи</w:t>
      </w:r>
    </w:p>
    <w:tbl>
      <w:tblPr>
        <w:tblStyle w:val="a5"/>
        <w:tblW w:w="0" w:type="auto"/>
        <w:tblInd w:w="108" w:type="dxa"/>
        <w:tblLook w:val="04A0" w:firstRow="1" w:lastRow="0" w:firstColumn="1" w:lastColumn="0" w:noHBand="0" w:noVBand="1"/>
      </w:tblPr>
      <w:tblGrid>
        <w:gridCol w:w="1871"/>
        <w:gridCol w:w="2807"/>
        <w:gridCol w:w="2927"/>
        <w:gridCol w:w="1858"/>
      </w:tblGrid>
      <w:tr w:rsidR="00246BC7" w:rsidRPr="004A22E8" w:rsidTr="00246BC7">
        <w:tc>
          <w:tcPr>
            <w:tcW w:w="1871" w:type="dxa"/>
          </w:tcPr>
          <w:p w:rsidR="00246BC7" w:rsidRDefault="00246BC7" w:rsidP="00023195">
            <w:pPr>
              <w:autoSpaceDE w:val="0"/>
              <w:autoSpaceDN w:val="0"/>
              <w:adjustRightInd w:val="0"/>
              <w:spacing w:line="360" w:lineRule="auto"/>
              <w:jc w:val="both"/>
              <w:rPr>
                <w:rFonts w:ascii="Times New Roman" w:hAnsi="Times New Roman" w:cs="Times New Roman"/>
                <w:sz w:val="28"/>
                <w:szCs w:val="28"/>
                <w:lang w:val="uk-UA"/>
              </w:rPr>
            </w:pPr>
          </w:p>
        </w:tc>
        <w:tc>
          <w:tcPr>
            <w:tcW w:w="2807" w:type="dxa"/>
          </w:tcPr>
          <w:p w:rsidR="00246BC7" w:rsidRPr="004A22E8" w:rsidRDefault="00246BC7" w:rsidP="00023195">
            <w:pPr>
              <w:autoSpaceDE w:val="0"/>
              <w:autoSpaceDN w:val="0"/>
              <w:adjustRightInd w:val="0"/>
              <w:spacing w:line="360" w:lineRule="auto"/>
              <w:jc w:val="both"/>
              <w:rPr>
                <w:rFonts w:ascii="Times New Roman" w:hAnsi="Times New Roman" w:cs="Times New Roman"/>
                <w:sz w:val="28"/>
                <w:szCs w:val="28"/>
                <w:lang w:val="en-US"/>
              </w:rPr>
            </w:pPr>
            <w:r w:rsidRPr="004A22E8">
              <w:rPr>
                <w:rFonts w:ascii="Times New Roman" w:hAnsi="Times New Roman" w:cs="Times New Roman"/>
                <w:sz w:val="28"/>
                <w:szCs w:val="28"/>
                <w:lang w:val="en-US"/>
              </w:rPr>
              <w:t xml:space="preserve">ІІ ФК ХСН </w:t>
            </w:r>
          </w:p>
          <w:p w:rsidR="00246BC7" w:rsidRPr="004A22E8" w:rsidRDefault="00246BC7" w:rsidP="00023195">
            <w:pPr>
              <w:autoSpaceDE w:val="0"/>
              <w:autoSpaceDN w:val="0"/>
              <w:adjustRightInd w:val="0"/>
              <w:spacing w:line="360" w:lineRule="auto"/>
              <w:jc w:val="both"/>
              <w:rPr>
                <w:rFonts w:ascii="Times New Roman" w:hAnsi="Times New Roman" w:cs="Times New Roman"/>
                <w:sz w:val="28"/>
                <w:szCs w:val="28"/>
                <w:lang w:val="en-US"/>
              </w:rPr>
            </w:pPr>
            <w:r w:rsidRPr="004A22E8">
              <w:rPr>
                <w:rFonts w:ascii="Times New Roman" w:hAnsi="Times New Roman" w:cs="Times New Roman"/>
                <w:sz w:val="28"/>
                <w:szCs w:val="28"/>
                <w:lang w:val="en-US"/>
              </w:rPr>
              <w:t xml:space="preserve">(n = </w:t>
            </w:r>
            <w:r>
              <w:rPr>
                <w:rFonts w:ascii="Times New Roman" w:hAnsi="Times New Roman" w:cs="Times New Roman"/>
                <w:sz w:val="28"/>
                <w:szCs w:val="28"/>
              </w:rPr>
              <w:t>80</w:t>
            </w:r>
            <w:r w:rsidRPr="004A22E8">
              <w:rPr>
                <w:rFonts w:ascii="Times New Roman" w:hAnsi="Times New Roman" w:cs="Times New Roman"/>
                <w:sz w:val="28"/>
                <w:szCs w:val="28"/>
                <w:lang w:val="en-US"/>
              </w:rPr>
              <w:t>)</w:t>
            </w:r>
          </w:p>
        </w:tc>
        <w:tc>
          <w:tcPr>
            <w:tcW w:w="2927" w:type="dxa"/>
          </w:tcPr>
          <w:p w:rsidR="00246BC7" w:rsidRPr="004A22E8" w:rsidRDefault="00246BC7" w:rsidP="00023195">
            <w:pPr>
              <w:autoSpaceDE w:val="0"/>
              <w:autoSpaceDN w:val="0"/>
              <w:adjustRightInd w:val="0"/>
              <w:spacing w:line="360" w:lineRule="auto"/>
              <w:jc w:val="both"/>
              <w:rPr>
                <w:rFonts w:ascii="Times New Roman" w:hAnsi="Times New Roman" w:cs="Times New Roman"/>
                <w:sz w:val="28"/>
                <w:szCs w:val="28"/>
                <w:lang w:val="en-US"/>
              </w:rPr>
            </w:pPr>
            <w:r w:rsidRPr="004A22E8">
              <w:rPr>
                <w:rFonts w:ascii="Times New Roman" w:hAnsi="Times New Roman" w:cs="Times New Roman"/>
                <w:sz w:val="28"/>
                <w:szCs w:val="28"/>
                <w:lang w:val="en-US"/>
              </w:rPr>
              <w:t xml:space="preserve">ІІІ ФК ХСН </w:t>
            </w:r>
          </w:p>
          <w:p w:rsidR="00246BC7" w:rsidRPr="004A22E8" w:rsidRDefault="00246BC7" w:rsidP="00023195">
            <w:pPr>
              <w:autoSpaceDE w:val="0"/>
              <w:autoSpaceDN w:val="0"/>
              <w:adjustRightInd w:val="0"/>
              <w:spacing w:line="360" w:lineRule="auto"/>
              <w:jc w:val="both"/>
              <w:rPr>
                <w:rFonts w:ascii="Times New Roman" w:hAnsi="Times New Roman" w:cs="Times New Roman"/>
                <w:sz w:val="28"/>
                <w:szCs w:val="28"/>
                <w:lang w:val="en-US"/>
              </w:rPr>
            </w:pPr>
            <w:r w:rsidRPr="004A22E8">
              <w:rPr>
                <w:rFonts w:ascii="Times New Roman" w:hAnsi="Times New Roman" w:cs="Times New Roman"/>
                <w:sz w:val="28"/>
                <w:szCs w:val="28"/>
                <w:lang w:val="en-US"/>
              </w:rPr>
              <w:t>(n = 1</w:t>
            </w:r>
            <w:r w:rsidRPr="004A22E8">
              <w:rPr>
                <w:rFonts w:ascii="Times New Roman" w:hAnsi="Times New Roman" w:cs="Times New Roman"/>
                <w:sz w:val="28"/>
                <w:szCs w:val="28"/>
              </w:rPr>
              <w:t>4</w:t>
            </w:r>
            <w:r w:rsidRPr="004A22E8">
              <w:rPr>
                <w:rFonts w:ascii="Times New Roman" w:hAnsi="Times New Roman" w:cs="Times New Roman"/>
                <w:sz w:val="28"/>
                <w:szCs w:val="28"/>
                <w:lang w:val="en-US"/>
              </w:rPr>
              <w:t>)</w:t>
            </w:r>
          </w:p>
        </w:tc>
        <w:tc>
          <w:tcPr>
            <w:tcW w:w="1858" w:type="dxa"/>
          </w:tcPr>
          <w:p w:rsidR="00246BC7" w:rsidRPr="004A22E8" w:rsidRDefault="00246BC7" w:rsidP="00023195">
            <w:pPr>
              <w:autoSpaceDE w:val="0"/>
              <w:autoSpaceDN w:val="0"/>
              <w:adjustRightInd w:val="0"/>
              <w:spacing w:line="360" w:lineRule="auto"/>
              <w:jc w:val="both"/>
              <w:rPr>
                <w:rFonts w:ascii="Times New Roman" w:hAnsi="Times New Roman" w:cs="Times New Roman"/>
                <w:sz w:val="28"/>
                <w:szCs w:val="28"/>
                <w:lang w:val="uk-UA"/>
              </w:rPr>
            </w:pPr>
            <w:r w:rsidRPr="004A22E8">
              <w:rPr>
                <w:rFonts w:ascii="Times New Roman" w:hAnsi="Times New Roman" w:cs="Times New Roman"/>
                <w:sz w:val="28"/>
                <w:szCs w:val="28"/>
                <w:lang w:val="uk-UA"/>
              </w:rPr>
              <w:t>р</w:t>
            </w:r>
          </w:p>
        </w:tc>
      </w:tr>
      <w:tr w:rsidR="00246BC7" w:rsidRPr="004A22E8" w:rsidTr="00246BC7">
        <w:tc>
          <w:tcPr>
            <w:tcW w:w="1871" w:type="dxa"/>
          </w:tcPr>
          <w:p w:rsidR="00246BC7" w:rsidRPr="004A22E8" w:rsidRDefault="00246BC7" w:rsidP="00023195">
            <w:pPr>
              <w:autoSpaceDE w:val="0"/>
              <w:autoSpaceDN w:val="0"/>
              <w:adjustRightInd w:val="0"/>
              <w:spacing w:line="360" w:lineRule="auto"/>
              <w:jc w:val="both"/>
              <w:rPr>
                <w:rFonts w:ascii="Times New Roman" w:hAnsi="Times New Roman" w:cs="Times New Roman"/>
                <w:sz w:val="28"/>
                <w:szCs w:val="28"/>
                <w:highlight w:val="yellow"/>
                <w:lang w:val="en-US"/>
              </w:rPr>
            </w:pPr>
            <w:r w:rsidRPr="004A22E8">
              <w:rPr>
                <w:rFonts w:ascii="Times New Roman" w:hAnsi="Times New Roman" w:cs="Times New Roman"/>
                <w:sz w:val="28"/>
                <w:szCs w:val="28"/>
                <w:lang w:val="en-US"/>
              </w:rPr>
              <w:t>ФНП-α, пг/мл</w:t>
            </w:r>
          </w:p>
        </w:tc>
        <w:tc>
          <w:tcPr>
            <w:tcW w:w="2807" w:type="dxa"/>
          </w:tcPr>
          <w:p w:rsidR="00246BC7" w:rsidRPr="00675A0F" w:rsidRDefault="00246BC7" w:rsidP="00023195">
            <w:pPr>
              <w:autoSpaceDE w:val="0"/>
              <w:autoSpaceDN w:val="0"/>
              <w:adjustRightInd w:val="0"/>
              <w:spacing w:line="360" w:lineRule="auto"/>
              <w:jc w:val="both"/>
              <w:rPr>
                <w:rFonts w:ascii="Times New Roman" w:hAnsi="Times New Roman" w:cs="Times New Roman"/>
                <w:sz w:val="28"/>
                <w:szCs w:val="28"/>
                <w:highlight w:val="yellow"/>
              </w:rPr>
            </w:pPr>
            <w:r w:rsidRPr="00FC571D">
              <w:rPr>
                <w:rFonts w:ascii="Times New Roman" w:hAnsi="Times New Roman" w:cs="Times New Roman"/>
                <w:sz w:val="28"/>
                <w:szCs w:val="28"/>
                <w:lang w:val="en-US"/>
              </w:rPr>
              <w:t>1</w:t>
            </w:r>
            <w:r w:rsidRPr="00FC571D">
              <w:rPr>
                <w:rFonts w:ascii="Times New Roman" w:hAnsi="Times New Roman" w:cs="Times New Roman"/>
                <w:sz w:val="28"/>
                <w:szCs w:val="28"/>
              </w:rPr>
              <w:t>55</w:t>
            </w:r>
            <w:r w:rsidRPr="00FC571D">
              <w:rPr>
                <w:rFonts w:ascii="Times New Roman" w:hAnsi="Times New Roman" w:cs="Times New Roman"/>
                <w:sz w:val="28"/>
                <w:szCs w:val="28"/>
                <w:lang w:val="en-US"/>
              </w:rPr>
              <w:t>,</w:t>
            </w:r>
            <w:r w:rsidRPr="00FC571D">
              <w:rPr>
                <w:rFonts w:ascii="Times New Roman" w:hAnsi="Times New Roman" w:cs="Times New Roman"/>
                <w:sz w:val="28"/>
                <w:szCs w:val="28"/>
              </w:rPr>
              <w:t>56</w:t>
            </w:r>
            <w:r w:rsidRPr="00FC571D">
              <w:rPr>
                <w:rFonts w:ascii="Times New Roman" w:hAnsi="Times New Roman" w:cs="Times New Roman"/>
                <w:sz w:val="28"/>
                <w:szCs w:val="28"/>
                <w:lang w:val="en-US"/>
              </w:rPr>
              <w:t xml:space="preserve"> ± </w:t>
            </w:r>
            <w:r w:rsidRPr="00FC571D">
              <w:rPr>
                <w:rFonts w:ascii="Times New Roman" w:hAnsi="Times New Roman" w:cs="Times New Roman"/>
                <w:sz w:val="28"/>
                <w:szCs w:val="28"/>
              </w:rPr>
              <w:t>11</w:t>
            </w:r>
            <w:r w:rsidRPr="00FC571D">
              <w:rPr>
                <w:rFonts w:ascii="Times New Roman" w:hAnsi="Times New Roman" w:cs="Times New Roman"/>
                <w:sz w:val="28"/>
                <w:szCs w:val="28"/>
                <w:lang w:val="en-US"/>
              </w:rPr>
              <w:t>,</w:t>
            </w:r>
            <w:r w:rsidRPr="00FC571D">
              <w:rPr>
                <w:rFonts w:ascii="Times New Roman" w:hAnsi="Times New Roman" w:cs="Times New Roman"/>
                <w:sz w:val="28"/>
                <w:szCs w:val="28"/>
              </w:rPr>
              <w:t>1</w:t>
            </w:r>
          </w:p>
        </w:tc>
        <w:tc>
          <w:tcPr>
            <w:tcW w:w="2927" w:type="dxa"/>
          </w:tcPr>
          <w:p w:rsidR="00246BC7" w:rsidRPr="00675A0F" w:rsidRDefault="00246BC7" w:rsidP="00023195">
            <w:pPr>
              <w:autoSpaceDE w:val="0"/>
              <w:autoSpaceDN w:val="0"/>
              <w:adjustRightInd w:val="0"/>
              <w:spacing w:line="360" w:lineRule="auto"/>
              <w:jc w:val="both"/>
              <w:rPr>
                <w:rFonts w:ascii="Times New Roman" w:hAnsi="Times New Roman" w:cs="Times New Roman"/>
                <w:sz w:val="28"/>
                <w:szCs w:val="28"/>
                <w:highlight w:val="yellow"/>
                <w:lang w:val="en-US"/>
              </w:rPr>
            </w:pPr>
            <w:r w:rsidRPr="00FC571D">
              <w:rPr>
                <w:rFonts w:ascii="Times New Roman" w:hAnsi="Times New Roman" w:cs="Times New Roman"/>
                <w:sz w:val="28"/>
                <w:szCs w:val="28"/>
                <w:lang w:val="en-US"/>
              </w:rPr>
              <w:t>209,5 ± 10,3</w:t>
            </w:r>
          </w:p>
        </w:tc>
        <w:tc>
          <w:tcPr>
            <w:tcW w:w="1858" w:type="dxa"/>
          </w:tcPr>
          <w:p w:rsidR="00246BC7" w:rsidRPr="00FC571D" w:rsidRDefault="00246BC7" w:rsidP="00023195">
            <w:pPr>
              <w:autoSpaceDE w:val="0"/>
              <w:autoSpaceDN w:val="0"/>
              <w:adjustRightInd w:val="0"/>
              <w:spacing w:line="360" w:lineRule="auto"/>
              <w:jc w:val="both"/>
              <w:rPr>
                <w:rFonts w:ascii="Times New Roman" w:hAnsi="Times New Roman" w:cs="Times New Roman"/>
                <w:sz w:val="28"/>
                <w:szCs w:val="28"/>
                <w:lang w:val="uk-UA"/>
              </w:rPr>
            </w:pPr>
            <w:r w:rsidRPr="00FC571D">
              <w:rPr>
                <w:rFonts w:ascii="Times New Roman" w:hAnsi="Times New Roman" w:cs="Times New Roman"/>
                <w:sz w:val="28"/>
                <w:szCs w:val="28"/>
                <w:lang w:val="uk-UA"/>
              </w:rPr>
              <w:t>р</w:t>
            </w:r>
            <w:r w:rsidRPr="00FC571D">
              <w:rPr>
                <w:rFonts w:ascii="Times New Roman" w:hAnsi="Times New Roman" w:cs="Times New Roman"/>
                <w:sz w:val="28"/>
                <w:szCs w:val="28"/>
                <w:vertAlign w:val="subscript"/>
                <w:lang w:val="uk-UA"/>
              </w:rPr>
              <w:t xml:space="preserve"> </w:t>
            </w:r>
            <w:r w:rsidR="00675A0F" w:rsidRPr="00FC571D">
              <w:rPr>
                <w:rFonts w:ascii="Times New Roman" w:hAnsi="Times New Roman" w:cs="Times New Roman"/>
                <w:sz w:val="28"/>
                <w:szCs w:val="28"/>
                <w:lang w:val="uk-UA"/>
              </w:rPr>
              <w:t>= 0,0485</w:t>
            </w:r>
          </w:p>
          <w:p w:rsidR="00246BC7" w:rsidRPr="00675A0F" w:rsidRDefault="00246BC7" w:rsidP="00023195">
            <w:pPr>
              <w:autoSpaceDE w:val="0"/>
              <w:autoSpaceDN w:val="0"/>
              <w:adjustRightInd w:val="0"/>
              <w:spacing w:line="360" w:lineRule="auto"/>
              <w:jc w:val="both"/>
              <w:rPr>
                <w:rFonts w:ascii="Times New Roman" w:hAnsi="Times New Roman" w:cs="Times New Roman"/>
                <w:sz w:val="28"/>
                <w:szCs w:val="28"/>
                <w:highlight w:val="yellow"/>
              </w:rPr>
            </w:pPr>
          </w:p>
        </w:tc>
      </w:tr>
    </w:tbl>
    <w:p w:rsidR="004A22E8" w:rsidRPr="00FC64C4" w:rsidRDefault="0006447F" w:rsidP="00FC64C4">
      <w:pPr>
        <w:autoSpaceDE w:val="0"/>
        <w:autoSpaceDN w:val="0"/>
        <w:adjustRightInd w:val="0"/>
        <w:spacing w:after="0" w:line="360" w:lineRule="auto"/>
        <w:ind w:firstLine="708"/>
        <w:jc w:val="both"/>
        <w:rPr>
          <w:rFonts w:ascii="Times New Roman" w:hAnsi="Times New Roman" w:cs="Times New Roman"/>
          <w:sz w:val="28"/>
          <w:szCs w:val="28"/>
        </w:rPr>
      </w:pPr>
      <w:r w:rsidRPr="004A22E8">
        <w:rPr>
          <w:rFonts w:ascii="Times New Roman" w:hAnsi="Times New Roman" w:cs="Times New Roman"/>
          <w:sz w:val="28"/>
          <w:szCs w:val="28"/>
          <w:lang w:val="uk-UA"/>
        </w:rPr>
        <w:t>Примітка:</w:t>
      </w:r>
      <w:r w:rsidR="00FC64C4">
        <w:rPr>
          <w:rFonts w:ascii="Times New Roman" w:hAnsi="Times New Roman" w:cs="Times New Roman"/>
          <w:sz w:val="28"/>
          <w:szCs w:val="28"/>
          <w:lang w:val="uk-UA"/>
        </w:rPr>
        <w:t xml:space="preserve"> </w:t>
      </w:r>
      <w:r w:rsidR="004A22E8">
        <w:rPr>
          <w:rFonts w:ascii="Times New Roman" w:hAnsi="Times New Roman" w:cs="Times New Roman"/>
          <w:sz w:val="28"/>
          <w:szCs w:val="28"/>
          <w:lang w:val="uk-UA"/>
        </w:rPr>
        <w:t>р</w:t>
      </w:r>
      <w:r w:rsidR="004A22E8" w:rsidRPr="003373F3">
        <w:rPr>
          <w:rFonts w:ascii="Times New Roman" w:hAnsi="Times New Roman" w:cs="Times New Roman"/>
          <w:sz w:val="28"/>
          <w:szCs w:val="28"/>
          <w:lang w:val="uk-UA"/>
        </w:rPr>
        <w:t xml:space="preserve"> – достовірність розходжен</w:t>
      </w:r>
      <w:r w:rsidR="004A22E8">
        <w:rPr>
          <w:rFonts w:ascii="Times New Roman" w:hAnsi="Times New Roman" w:cs="Times New Roman"/>
          <w:sz w:val="28"/>
          <w:szCs w:val="28"/>
          <w:lang w:val="uk-UA"/>
        </w:rPr>
        <w:t xml:space="preserve">ня між показниками </w:t>
      </w:r>
    </w:p>
    <w:p w:rsidR="00136877" w:rsidRPr="00675A0F" w:rsidRDefault="00136877" w:rsidP="00675A0F">
      <w:pPr>
        <w:autoSpaceDE w:val="0"/>
        <w:autoSpaceDN w:val="0"/>
        <w:adjustRightInd w:val="0"/>
        <w:spacing w:after="0" w:line="360" w:lineRule="auto"/>
        <w:ind w:firstLine="708"/>
        <w:jc w:val="both"/>
        <w:rPr>
          <w:rFonts w:ascii="Times New Roman" w:hAnsi="Times New Roman" w:cs="Times New Roman"/>
          <w:sz w:val="28"/>
          <w:szCs w:val="28"/>
          <w:lang w:val="uk-UA"/>
        </w:rPr>
      </w:pPr>
    </w:p>
    <w:p w:rsidR="003F06CF" w:rsidRDefault="00596FFA" w:rsidP="0017757B">
      <w:pPr>
        <w:autoSpaceDE w:val="0"/>
        <w:autoSpaceDN w:val="0"/>
        <w:adjustRightInd w:val="0"/>
        <w:spacing w:after="0" w:line="360" w:lineRule="auto"/>
        <w:ind w:firstLine="708"/>
        <w:jc w:val="both"/>
        <w:rPr>
          <w:lang w:val="uk-UA"/>
        </w:rPr>
      </w:pPr>
      <w:r>
        <w:rPr>
          <w:rFonts w:ascii="Times New Roman" w:hAnsi="Times New Roman" w:cs="Times New Roman"/>
          <w:sz w:val="28"/>
          <w:szCs w:val="28"/>
          <w:lang w:val="uk-UA"/>
        </w:rPr>
        <w:t xml:space="preserve">Вміст </w:t>
      </w:r>
      <w:r w:rsidR="0006447F" w:rsidRPr="00FC571D">
        <w:rPr>
          <w:rFonts w:ascii="Times New Roman" w:hAnsi="Times New Roman" w:cs="Times New Roman"/>
          <w:sz w:val="28"/>
          <w:szCs w:val="28"/>
          <w:lang w:val="uk-UA"/>
        </w:rPr>
        <w:t>ФНП-</w:t>
      </w:r>
      <w:r w:rsidR="0006447F" w:rsidRPr="00FC571D">
        <w:rPr>
          <w:rFonts w:ascii="Times New Roman" w:hAnsi="Times New Roman" w:cs="Times New Roman"/>
          <w:sz w:val="28"/>
          <w:szCs w:val="28"/>
        </w:rPr>
        <w:t>α</w:t>
      </w:r>
      <w:r w:rsidR="0006447F" w:rsidRPr="00FC571D">
        <w:rPr>
          <w:rFonts w:ascii="Times New Roman" w:hAnsi="Times New Roman" w:cs="Times New Roman"/>
          <w:sz w:val="28"/>
          <w:szCs w:val="28"/>
          <w:lang w:val="uk-UA"/>
        </w:rPr>
        <w:t xml:space="preserve"> був </w:t>
      </w:r>
      <w:r w:rsidR="00FC64C4" w:rsidRPr="00FC571D">
        <w:rPr>
          <w:rFonts w:ascii="Times New Roman" w:hAnsi="Times New Roman" w:cs="Times New Roman"/>
          <w:sz w:val="28"/>
          <w:szCs w:val="28"/>
          <w:lang w:val="uk-UA"/>
        </w:rPr>
        <w:t>меншим</w:t>
      </w:r>
      <w:r>
        <w:rPr>
          <w:rFonts w:ascii="Times New Roman" w:hAnsi="Times New Roman" w:cs="Times New Roman"/>
          <w:sz w:val="28"/>
          <w:szCs w:val="28"/>
          <w:lang w:val="uk-UA"/>
        </w:rPr>
        <w:t xml:space="preserve"> у пацієнтів І групи із </w:t>
      </w:r>
      <w:r w:rsidRPr="00596FFA">
        <w:rPr>
          <w:rFonts w:ascii="Times New Roman" w:hAnsi="Times New Roman" w:cs="Times New Roman"/>
          <w:sz w:val="28"/>
          <w:szCs w:val="28"/>
          <w:lang w:val="uk-UA"/>
        </w:rPr>
        <w:t>ІІ ФК ХСН</w:t>
      </w:r>
      <w:r>
        <w:rPr>
          <w:rFonts w:ascii="Times New Roman" w:hAnsi="Times New Roman" w:cs="Times New Roman"/>
          <w:sz w:val="28"/>
          <w:szCs w:val="28"/>
          <w:lang w:val="uk-UA"/>
        </w:rPr>
        <w:t xml:space="preserve"> порівняно </w:t>
      </w:r>
      <w:r w:rsidR="00BD62C6">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06447F" w:rsidRPr="00FC57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хворими із </w:t>
      </w:r>
      <w:r w:rsidR="0006447F" w:rsidRPr="00FC571D">
        <w:rPr>
          <w:rFonts w:ascii="Times New Roman" w:hAnsi="Times New Roman" w:cs="Times New Roman"/>
          <w:sz w:val="28"/>
          <w:szCs w:val="28"/>
          <w:lang w:val="uk-UA"/>
        </w:rPr>
        <w:t>ІІІ ФК ХСН</w:t>
      </w:r>
      <w:r w:rsidR="00B4110F" w:rsidRPr="00FC571D">
        <w:rPr>
          <w:rFonts w:ascii="Times New Roman" w:hAnsi="Times New Roman" w:cs="Times New Roman"/>
          <w:sz w:val="28"/>
          <w:szCs w:val="28"/>
          <w:lang w:val="uk-UA"/>
        </w:rPr>
        <w:t xml:space="preserve"> (р </w:t>
      </w:r>
      <w:r w:rsidR="00675A0F" w:rsidRPr="00FC571D">
        <w:rPr>
          <w:rFonts w:ascii="Times New Roman" w:hAnsi="Times New Roman" w:cs="Times New Roman"/>
          <w:sz w:val="28"/>
          <w:szCs w:val="28"/>
          <w:lang w:val="uk-UA"/>
        </w:rPr>
        <w:t>= 0,0485</w:t>
      </w:r>
      <w:r w:rsidR="00675A0F">
        <w:rPr>
          <w:rFonts w:ascii="Times New Roman" w:hAnsi="Times New Roman" w:cs="Times New Roman"/>
          <w:sz w:val="28"/>
          <w:szCs w:val="28"/>
          <w:lang w:val="uk-UA"/>
        </w:rPr>
        <w:t>)</w:t>
      </w:r>
      <w:r w:rsidR="0006447F">
        <w:rPr>
          <w:rFonts w:ascii="Times New Roman" w:hAnsi="Times New Roman" w:cs="Times New Roman"/>
          <w:sz w:val="28"/>
          <w:szCs w:val="28"/>
          <w:lang w:val="uk-UA"/>
        </w:rPr>
        <w:t xml:space="preserve">. Таким чином, </w:t>
      </w:r>
      <w:r w:rsidRPr="00596FFA">
        <w:rPr>
          <w:rFonts w:ascii="Times New Roman" w:hAnsi="Times New Roman" w:cs="Times New Roman"/>
          <w:sz w:val="28"/>
          <w:szCs w:val="28"/>
          <w:lang w:val="uk-UA"/>
        </w:rPr>
        <w:t xml:space="preserve">вміст ФНП-α зростає </w:t>
      </w:r>
      <w:r w:rsidR="00BD62C6">
        <w:rPr>
          <w:rFonts w:ascii="Times New Roman" w:hAnsi="Times New Roman" w:cs="Times New Roman"/>
          <w:sz w:val="28"/>
          <w:szCs w:val="28"/>
          <w:lang w:val="uk-UA"/>
        </w:rPr>
        <w:t xml:space="preserve">      </w:t>
      </w:r>
      <w:r w:rsidR="0006447F">
        <w:rPr>
          <w:rFonts w:ascii="Times New Roman" w:hAnsi="Times New Roman" w:cs="Times New Roman"/>
          <w:sz w:val="28"/>
          <w:szCs w:val="28"/>
          <w:lang w:val="uk-UA"/>
        </w:rPr>
        <w:t>із прогресуванням ХСН</w:t>
      </w:r>
      <w:r w:rsidR="0017757B">
        <w:rPr>
          <w:rFonts w:ascii="Times New Roman" w:hAnsi="Times New Roman" w:cs="Times New Roman"/>
          <w:sz w:val="28"/>
          <w:szCs w:val="28"/>
          <w:lang w:val="uk-UA"/>
        </w:rPr>
        <w:t>, що свідчить про активацію процесів запален</w:t>
      </w:r>
      <w:r w:rsidR="00FC64C4">
        <w:rPr>
          <w:rFonts w:ascii="Times New Roman" w:hAnsi="Times New Roman" w:cs="Times New Roman"/>
          <w:sz w:val="28"/>
          <w:szCs w:val="28"/>
          <w:lang w:val="uk-UA"/>
        </w:rPr>
        <w:t xml:space="preserve">ня пропорційно до тяжкості ХСН </w:t>
      </w:r>
      <w:r w:rsidR="00D62D2A">
        <w:rPr>
          <w:rFonts w:ascii="Times New Roman" w:hAnsi="Times New Roman" w:cs="Times New Roman"/>
          <w:sz w:val="28"/>
          <w:szCs w:val="28"/>
          <w:lang w:val="uk-UA"/>
        </w:rPr>
        <w:t xml:space="preserve">у пацієнтів </w:t>
      </w:r>
      <w:r w:rsidR="009E07C4">
        <w:rPr>
          <w:rFonts w:ascii="Times New Roman" w:hAnsi="Times New Roman" w:cs="Times New Roman"/>
          <w:sz w:val="28"/>
          <w:szCs w:val="28"/>
          <w:lang w:val="uk-UA"/>
        </w:rPr>
        <w:t>і</w:t>
      </w:r>
      <w:r w:rsidR="00D62D2A">
        <w:rPr>
          <w:rFonts w:ascii="Times New Roman" w:hAnsi="Times New Roman" w:cs="Times New Roman"/>
          <w:sz w:val="28"/>
          <w:szCs w:val="28"/>
          <w:lang w:val="uk-UA"/>
        </w:rPr>
        <w:t xml:space="preserve">з </w:t>
      </w:r>
      <w:r w:rsidR="0017757B">
        <w:rPr>
          <w:rFonts w:ascii="Times New Roman" w:hAnsi="Times New Roman" w:cs="Times New Roman"/>
          <w:sz w:val="28"/>
          <w:szCs w:val="28"/>
          <w:lang w:val="uk-UA"/>
        </w:rPr>
        <w:t>АГ та ЦД 2-го типу.</w:t>
      </w:r>
      <w:r w:rsidR="00FC64C4">
        <w:rPr>
          <w:rFonts w:ascii="Times New Roman" w:hAnsi="Times New Roman" w:cs="Times New Roman"/>
          <w:sz w:val="28"/>
          <w:szCs w:val="28"/>
          <w:lang w:val="uk-UA"/>
        </w:rPr>
        <w:t xml:space="preserve"> Для</w:t>
      </w:r>
      <w:r w:rsidR="001B01C5">
        <w:rPr>
          <w:rFonts w:ascii="Times New Roman" w:hAnsi="Times New Roman" w:cs="Times New Roman"/>
          <w:sz w:val="28"/>
          <w:szCs w:val="28"/>
          <w:lang w:val="uk-UA"/>
        </w:rPr>
        <w:t xml:space="preserve"> корекції дисліпідемії</w:t>
      </w:r>
      <w:r w:rsidR="00FC64C4">
        <w:rPr>
          <w:rFonts w:ascii="Times New Roman" w:hAnsi="Times New Roman" w:cs="Times New Roman"/>
          <w:sz w:val="28"/>
          <w:szCs w:val="28"/>
          <w:lang w:val="uk-UA"/>
        </w:rPr>
        <w:t xml:space="preserve"> </w:t>
      </w:r>
      <w:r w:rsidR="00D62D2A">
        <w:rPr>
          <w:rFonts w:ascii="Times New Roman" w:hAnsi="Times New Roman" w:cs="Times New Roman"/>
          <w:sz w:val="28"/>
          <w:szCs w:val="28"/>
          <w:lang w:val="uk-UA"/>
        </w:rPr>
        <w:t>у коморбідних хворих</w:t>
      </w:r>
      <w:r w:rsidR="001B01C5">
        <w:rPr>
          <w:rFonts w:ascii="Times New Roman" w:hAnsi="Times New Roman" w:cs="Times New Roman"/>
          <w:sz w:val="28"/>
          <w:szCs w:val="28"/>
          <w:lang w:val="uk-UA"/>
        </w:rPr>
        <w:t xml:space="preserve"> рекомендовано використовувати препарати, додатковим ефектом яких була б здатність зменшувати </w:t>
      </w:r>
      <w:r w:rsidR="00D62D2A">
        <w:rPr>
          <w:rFonts w:ascii="Times New Roman" w:hAnsi="Times New Roman" w:cs="Times New Roman"/>
          <w:sz w:val="28"/>
          <w:szCs w:val="28"/>
          <w:lang w:val="uk-UA"/>
        </w:rPr>
        <w:t xml:space="preserve">вміст </w:t>
      </w:r>
      <w:r w:rsidR="001B01C5" w:rsidRPr="001B01C5">
        <w:rPr>
          <w:rFonts w:ascii="Times New Roman" w:hAnsi="Times New Roman" w:cs="Times New Roman"/>
          <w:sz w:val="28"/>
          <w:szCs w:val="28"/>
          <w:lang w:val="uk-UA"/>
        </w:rPr>
        <w:t>ФНП-α</w:t>
      </w:r>
      <w:r w:rsidR="00FC64C4">
        <w:rPr>
          <w:rFonts w:ascii="Times New Roman" w:hAnsi="Times New Roman" w:cs="Times New Roman"/>
          <w:sz w:val="28"/>
          <w:szCs w:val="28"/>
          <w:lang w:val="uk-UA"/>
        </w:rPr>
        <w:t xml:space="preserve">. </w:t>
      </w:r>
      <w:r w:rsidR="00E93425">
        <w:rPr>
          <w:rFonts w:ascii="Times New Roman" w:hAnsi="Times New Roman" w:cs="Times New Roman"/>
          <w:sz w:val="28"/>
          <w:szCs w:val="28"/>
          <w:lang w:val="uk-UA"/>
        </w:rPr>
        <w:t>Доведено</w:t>
      </w:r>
      <w:r w:rsidR="001B01C5">
        <w:rPr>
          <w:rFonts w:ascii="Times New Roman" w:hAnsi="Times New Roman" w:cs="Times New Roman"/>
          <w:sz w:val="28"/>
          <w:szCs w:val="28"/>
          <w:lang w:val="uk-UA"/>
        </w:rPr>
        <w:t>, що такий плейотропний ефект властивий аторвастатину.</w:t>
      </w:r>
    </w:p>
    <w:p w:rsidR="0017757B" w:rsidRPr="00685447" w:rsidRDefault="001B01C5" w:rsidP="00D62D2A">
      <w:pPr>
        <w:autoSpaceDE w:val="0"/>
        <w:autoSpaceDN w:val="0"/>
        <w:adjustRightInd w:val="0"/>
        <w:spacing w:after="0" w:line="360" w:lineRule="auto"/>
        <w:jc w:val="both"/>
        <w:rPr>
          <w:rFonts w:ascii="Times New Roman" w:hAnsi="Times New Roman" w:cs="Times New Roman"/>
          <w:sz w:val="28"/>
          <w:szCs w:val="28"/>
          <w:lang w:val="uk-UA"/>
        </w:rPr>
      </w:pPr>
      <w:r w:rsidRPr="00685447">
        <w:rPr>
          <w:rFonts w:ascii="Times New Roman" w:hAnsi="Times New Roman" w:cs="Times New Roman"/>
          <w:sz w:val="28"/>
          <w:szCs w:val="28"/>
          <w:lang w:val="uk-UA"/>
        </w:rPr>
        <w:t>Окрім ліпідознижувального ефекту, аторвастатин пригнічує процес хронічного системного запалення за рахунок зниження виділення активованими макрофагами</w:t>
      </w:r>
      <w:r w:rsidR="00C5542D" w:rsidRPr="00685447">
        <w:rPr>
          <w:rFonts w:ascii="Times New Roman" w:hAnsi="Times New Roman" w:cs="Times New Roman"/>
          <w:sz w:val="28"/>
          <w:szCs w:val="28"/>
          <w:lang w:val="uk-UA"/>
        </w:rPr>
        <w:t xml:space="preserve"> прозапальних цитокінів</w:t>
      </w:r>
      <w:r w:rsidR="00C5542D">
        <w:rPr>
          <w:rFonts w:ascii="Times New Roman" w:hAnsi="Times New Roman" w:cs="Times New Roman"/>
          <w:sz w:val="28"/>
          <w:szCs w:val="28"/>
          <w:lang w:val="uk-UA"/>
        </w:rPr>
        <w:t xml:space="preserve"> </w:t>
      </w:r>
      <w:r w:rsidR="00C5542D" w:rsidRPr="00685447">
        <w:rPr>
          <w:rFonts w:ascii="Times New Roman" w:hAnsi="Times New Roman" w:cs="Times New Roman"/>
          <w:sz w:val="28"/>
          <w:szCs w:val="28"/>
          <w:lang w:val="uk-UA"/>
        </w:rPr>
        <w:t>[</w:t>
      </w:r>
      <w:r w:rsidR="00541249" w:rsidRPr="005C5DB7">
        <w:rPr>
          <w:rFonts w:ascii="Times New Roman" w:hAnsi="Times New Roman" w:cs="Times New Roman"/>
          <w:sz w:val="28"/>
          <w:szCs w:val="28"/>
        </w:rPr>
        <w:t>169</w:t>
      </w:r>
      <w:r w:rsidR="00C5542D" w:rsidRPr="005C5DB7">
        <w:rPr>
          <w:rFonts w:ascii="Times New Roman" w:hAnsi="Times New Roman" w:cs="Times New Roman"/>
          <w:sz w:val="28"/>
          <w:szCs w:val="28"/>
          <w:lang w:val="uk-UA"/>
        </w:rPr>
        <w:t>]</w:t>
      </w:r>
      <w:r w:rsidR="00C5542D" w:rsidRPr="00685447">
        <w:rPr>
          <w:rFonts w:ascii="Times New Roman" w:hAnsi="Times New Roman" w:cs="Times New Roman"/>
          <w:sz w:val="28"/>
          <w:szCs w:val="28"/>
          <w:lang w:val="uk-UA"/>
        </w:rPr>
        <w:t>.</w:t>
      </w:r>
    </w:p>
    <w:p w:rsidR="00704EF6" w:rsidRPr="0068656E" w:rsidRDefault="00A75E1D"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Фактор некрозу пухлин</w:t>
      </w:r>
      <w:r w:rsidR="00C91ED2" w:rsidRPr="00C91ED2">
        <w:rPr>
          <w:rFonts w:ascii="Times New Roman" w:hAnsi="Times New Roman" w:cs="Times New Roman"/>
          <w:sz w:val="28"/>
          <w:szCs w:val="28"/>
          <w:lang w:val="uk-UA"/>
        </w:rPr>
        <w:t xml:space="preserve">-α </w:t>
      </w:r>
      <w:r w:rsidR="00C91ED2">
        <w:rPr>
          <w:rFonts w:ascii="Times New Roman" w:hAnsi="Times New Roman" w:cs="Times New Roman"/>
          <w:sz w:val="28"/>
          <w:szCs w:val="28"/>
          <w:lang w:val="uk-UA"/>
        </w:rPr>
        <w:t>стимулює</w:t>
      </w:r>
      <w:r w:rsidR="00052489">
        <w:rPr>
          <w:rFonts w:ascii="Times New Roman" w:hAnsi="Times New Roman" w:cs="Times New Roman"/>
          <w:sz w:val="28"/>
          <w:szCs w:val="28"/>
          <w:lang w:val="uk-UA"/>
        </w:rPr>
        <w:t xml:space="preserve"> гіпертрофію, пошкодження </w:t>
      </w:r>
      <w:r w:rsidR="00C91ED2" w:rsidRPr="00C91ED2">
        <w:rPr>
          <w:rFonts w:ascii="Times New Roman" w:hAnsi="Times New Roman" w:cs="Times New Roman"/>
          <w:sz w:val="28"/>
          <w:szCs w:val="28"/>
          <w:lang w:val="uk-UA"/>
        </w:rPr>
        <w:t>ме</w:t>
      </w:r>
      <w:r w:rsidR="00052489">
        <w:rPr>
          <w:rFonts w:ascii="Times New Roman" w:hAnsi="Times New Roman" w:cs="Times New Roman"/>
          <w:sz w:val="28"/>
          <w:szCs w:val="28"/>
          <w:lang w:val="uk-UA"/>
        </w:rPr>
        <w:t>мбран, апоптоз</w:t>
      </w:r>
      <w:r w:rsidR="00C91ED2" w:rsidRPr="00C91ED2">
        <w:rPr>
          <w:rFonts w:ascii="Times New Roman" w:hAnsi="Times New Roman" w:cs="Times New Roman"/>
          <w:sz w:val="28"/>
          <w:szCs w:val="28"/>
          <w:lang w:val="uk-UA"/>
        </w:rPr>
        <w:t xml:space="preserve"> кардіоміоцитів, що проявляється ремоделюванням міокарда</w:t>
      </w:r>
      <w:r w:rsidR="00C91ED2">
        <w:rPr>
          <w:rFonts w:ascii="Times New Roman" w:hAnsi="Times New Roman" w:cs="Times New Roman"/>
          <w:sz w:val="28"/>
          <w:szCs w:val="28"/>
          <w:lang w:val="uk-UA"/>
        </w:rPr>
        <w:t xml:space="preserve"> </w:t>
      </w:r>
      <w:r w:rsidR="00C91ED2" w:rsidRPr="00C91ED2">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170</w:t>
      </w:r>
      <w:r w:rsidR="00C91ED2" w:rsidRPr="005C5DB7">
        <w:rPr>
          <w:rFonts w:ascii="Times New Roman" w:hAnsi="Times New Roman" w:cs="Times New Roman"/>
          <w:sz w:val="28"/>
          <w:szCs w:val="28"/>
          <w:lang w:val="uk-UA"/>
        </w:rPr>
        <w:t>]</w:t>
      </w:r>
      <w:r w:rsidR="00C91ED2" w:rsidRPr="00C91ED2">
        <w:rPr>
          <w:rFonts w:ascii="Times New Roman" w:hAnsi="Times New Roman" w:cs="Times New Roman"/>
          <w:sz w:val="28"/>
          <w:szCs w:val="28"/>
          <w:lang w:val="uk-UA"/>
        </w:rPr>
        <w:t>.</w:t>
      </w:r>
      <w:r w:rsidR="00FC64C4">
        <w:rPr>
          <w:rFonts w:ascii="Times New Roman" w:hAnsi="Times New Roman" w:cs="Times New Roman"/>
          <w:sz w:val="28"/>
          <w:szCs w:val="28"/>
          <w:lang w:val="uk-UA"/>
        </w:rPr>
        <w:t xml:space="preserve"> Крім того, </w:t>
      </w:r>
      <w:r w:rsidR="001A5EF1">
        <w:rPr>
          <w:rFonts w:ascii="Times New Roman" w:hAnsi="Times New Roman" w:cs="Times New Roman"/>
          <w:sz w:val="28"/>
          <w:szCs w:val="28"/>
          <w:lang w:val="uk-UA"/>
        </w:rPr>
        <w:t xml:space="preserve">саме активація </w:t>
      </w:r>
      <w:r w:rsidR="001A5EF1" w:rsidRPr="00C91ED2">
        <w:rPr>
          <w:rFonts w:ascii="Times New Roman" w:hAnsi="Times New Roman" w:cs="Times New Roman"/>
          <w:sz w:val="28"/>
          <w:szCs w:val="28"/>
          <w:lang w:val="uk-UA"/>
        </w:rPr>
        <w:t>ФНП-α</w:t>
      </w:r>
      <w:r w:rsidR="00E365FA">
        <w:rPr>
          <w:rFonts w:ascii="Times New Roman" w:hAnsi="Times New Roman" w:cs="Times New Roman"/>
          <w:sz w:val="28"/>
          <w:szCs w:val="28"/>
          <w:lang w:val="uk-UA"/>
        </w:rPr>
        <w:t xml:space="preserve"> може бути відповідальною </w:t>
      </w:r>
      <w:r w:rsidR="0068656E">
        <w:rPr>
          <w:rFonts w:ascii="Times New Roman" w:hAnsi="Times New Roman" w:cs="Times New Roman"/>
          <w:sz w:val="28"/>
          <w:szCs w:val="28"/>
          <w:lang w:val="uk-UA"/>
        </w:rPr>
        <w:t>за ранній розвиток діастолічної дисфункції у</w:t>
      </w:r>
      <w:r w:rsidR="00F50085">
        <w:rPr>
          <w:rFonts w:ascii="Times New Roman" w:hAnsi="Times New Roman" w:cs="Times New Roman"/>
          <w:sz w:val="28"/>
          <w:szCs w:val="28"/>
          <w:lang w:val="uk-UA"/>
        </w:rPr>
        <w:t xml:space="preserve"> </w:t>
      </w:r>
      <w:r w:rsidR="00F50085" w:rsidRPr="00F50085">
        <w:rPr>
          <w:rFonts w:ascii="Times New Roman" w:hAnsi="Times New Roman" w:cs="Times New Roman"/>
          <w:sz w:val="28"/>
          <w:szCs w:val="28"/>
          <w:lang w:val="uk-UA"/>
        </w:rPr>
        <w:t>пацієнтів із АГ та ЦД 2-го типу</w:t>
      </w:r>
      <w:r w:rsidR="0068656E">
        <w:rPr>
          <w:rFonts w:ascii="Times New Roman" w:hAnsi="Times New Roman" w:cs="Times New Roman"/>
          <w:sz w:val="28"/>
          <w:szCs w:val="28"/>
          <w:lang w:val="uk-UA"/>
        </w:rPr>
        <w:t xml:space="preserve"> </w:t>
      </w:r>
      <w:r w:rsidR="0068656E" w:rsidRPr="0068656E">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97</w:t>
      </w:r>
      <w:r w:rsidR="0068656E" w:rsidRPr="002942F7">
        <w:rPr>
          <w:rFonts w:ascii="Times New Roman" w:hAnsi="Times New Roman" w:cs="Times New Roman"/>
          <w:sz w:val="28"/>
          <w:szCs w:val="28"/>
          <w:lang w:val="uk-UA"/>
        </w:rPr>
        <w:t>].</w:t>
      </w:r>
    </w:p>
    <w:p w:rsidR="006C1618" w:rsidRDefault="00DF2543" w:rsidP="00AF0C8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F530EC" w:rsidRPr="00F530EC">
        <w:rPr>
          <w:rFonts w:ascii="Times New Roman" w:hAnsi="Times New Roman" w:cs="Times New Roman"/>
          <w:sz w:val="28"/>
          <w:szCs w:val="28"/>
          <w:lang w:val="uk-UA"/>
        </w:rPr>
        <w:t xml:space="preserve"> </w:t>
      </w:r>
      <w:r w:rsidR="00F530EC">
        <w:rPr>
          <w:rFonts w:ascii="Times New Roman" w:hAnsi="Times New Roman" w:cs="Times New Roman"/>
          <w:sz w:val="28"/>
          <w:szCs w:val="28"/>
          <w:lang w:val="uk-UA"/>
        </w:rPr>
        <w:t>збільшення ФНП-α (р = 0,0485), ЕТ</w:t>
      </w:r>
      <w:r w:rsidR="00F530EC" w:rsidRPr="00F530EC">
        <w:rPr>
          <w:rFonts w:ascii="Times New Roman" w:hAnsi="Times New Roman" w:cs="Times New Roman"/>
          <w:sz w:val="28"/>
          <w:szCs w:val="28"/>
          <w:lang w:val="uk-UA"/>
        </w:rPr>
        <w:t xml:space="preserve">-1 </w:t>
      </w:r>
      <w:r w:rsidR="00F530EC">
        <w:rPr>
          <w:rFonts w:ascii="Times New Roman" w:hAnsi="Times New Roman" w:cs="Times New Roman"/>
          <w:sz w:val="28"/>
          <w:szCs w:val="28"/>
          <w:lang w:val="uk-UA"/>
        </w:rPr>
        <w:t xml:space="preserve">(р = 0,0476) </w:t>
      </w:r>
      <w:r w:rsidR="00F530EC" w:rsidRPr="00F530EC">
        <w:rPr>
          <w:rFonts w:ascii="Times New Roman" w:hAnsi="Times New Roman" w:cs="Times New Roman"/>
          <w:sz w:val="28"/>
          <w:szCs w:val="28"/>
          <w:lang w:val="uk-UA"/>
        </w:rPr>
        <w:t xml:space="preserve">у мiру прогресування </w:t>
      </w:r>
      <w:r w:rsidR="00F530EC">
        <w:rPr>
          <w:rFonts w:ascii="Times New Roman" w:hAnsi="Times New Roman" w:cs="Times New Roman"/>
          <w:sz w:val="28"/>
          <w:szCs w:val="28"/>
          <w:lang w:val="uk-UA"/>
        </w:rPr>
        <w:t xml:space="preserve">ХСН </w:t>
      </w:r>
      <w:r w:rsidR="00F530EC" w:rsidRPr="00F530EC">
        <w:rPr>
          <w:rFonts w:ascii="Times New Roman" w:hAnsi="Times New Roman" w:cs="Times New Roman"/>
          <w:sz w:val="28"/>
          <w:szCs w:val="28"/>
          <w:lang w:val="uk-UA"/>
        </w:rPr>
        <w:t>є доказом ролi ендотелiальних, iмунозапальних механiзмiв у</w:t>
      </w:r>
      <w:r w:rsidR="00F530EC">
        <w:rPr>
          <w:rFonts w:ascii="Times New Roman" w:hAnsi="Times New Roman" w:cs="Times New Roman"/>
          <w:sz w:val="28"/>
          <w:szCs w:val="28"/>
          <w:lang w:val="uk-UA"/>
        </w:rPr>
        <w:t xml:space="preserve"> </w:t>
      </w:r>
      <w:r w:rsidR="00BD62C6">
        <w:rPr>
          <w:rFonts w:ascii="Times New Roman" w:hAnsi="Times New Roman" w:cs="Times New Roman"/>
          <w:sz w:val="28"/>
          <w:szCs w:val="28"/>
          <w:lang w:val="uk-UA"/>
        </w:rPr>
        <w:t xml:space="preserve">погіршенні функції </w:t>
      </w:r>
      <w:r w:rsidR="00F530EC" w:rsidRPr="00F530EC">
        <w:rPr>
          <w:rFonts w:ascii="Times New Roman" w:hAnsi="Times New Roman" w:cs="Times New Roman"/>
          <w:sz w:val="28"/>
          <w:szCs w:val="28"/>
          <w:lang w:val="uk-UA"/>
        </w:rPr>
        <w:t xml:space="preserve">ЛШ </w:t>
      </w:r>
      <w:r w:rsidR="00F530EC">
        <w:rPr>
          <w:rFonts w:ascii="Times New Roman" w:hAnsi="Times New Roman" w:cs="Times New Roman"/>
          <w:sz w:val="28"/>
          <w:szCs w:val="28"/>
          <w:lang w:val="uk-UA"/>
        </w:rPr>
        <w:t xml:space="preserve">у хворих на АГ </w:t>
      </w:r>
      <w:r w:rsidR="00F530EC" w:rsidRPr="00F530EC">
        <w:rPr>
          <w:rFonts w:ascii="Times New Roman" w:hAnsi="Times New Roman" w:cs="Times New Roman"/>
          <w:sz w:val="28"/>
          <w:szCs w:val="28"/>
          <w:lang w:val="uk-UA"/>
        </w:rPr>
        <w:t xml:space="preserve">та </w:t>
      </w:r>
      <w:r w:rsidR="00F530EC">
        <w:rPr>
          <w:rFonts w:ascii="Times New Roman" w:hAnsi="Times New Roman" w:cs="Times New Roman"/>
          <w:sz w:val="28"/>
          <w:szCs w:val="28"/>
          <w:lang w:val="uk-UA"/>
        </w:rPr>
        <w:t>ЦД</w:t>
      </w:r>
      <w:r w:rsidR="00F530EC" w:rsidRPr="00F530EC">
        <w:rPr>
          <w:rFonts w:ascii="Times New Roman" w:hAnsi="Times New Roman" w:cs="Times New Roman"/>
          <w:sz w:val="28"/>
          <w:szCs w:val="28"/>
          <w:lang w:val="uk-UA"/>
        </w:rPr>
        <w:t xml:space="preserve"> 2-го типу.</w:t>
      </w:r>
    </w:p>
    <w:p w:rsidR="006C1618" w:rsidRDefault="00323C36" w:rsidP="00323C36">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009D5BA8" w:rsidRPr="00A54D86">
        <w:rPr>
          <w:rFonts w:ascii="Times New Roman" w:hAnsi="Times New Roman" w:cs="Times New Roman"/>
          <w:sz w:val="28"/>
          <w:szCs w:val="28"/>
          <w:lang w:val="uk-UA"/>
        </w:rPr>
        <w:t xml:space="preserve">астосування антигіпертензивних препаратів із </w:t>
      </w:r>
      <w:r w:rsidR="00F530EC">
        <w:rPr>
          <w:rFonts w:ascii="Times New Roman" w:hAnsi="Times New Roman" w:cs="Times New Roman"/>
          <w:sz w:val="28"/>
          <w:szCs w:val="28"/>
          <w:lang w:val="uk-UA"/>
        </w:rPr>
        <w:t xml:space="preserve">додатковою </w:t>
      </w:r>
      <w:r w:rsidR="009D5BA8" w:rsidRPr="00A54D86">
        <w:rPr>
          <w:rFonts w:ascii="Times New Roman" w:hAnsi="Times New Roman" w:cs="Times New Roman"/>
          <w:sz w:val="28"/>
          <w:szCs w:val="28"/>
          <w:lang w:val="uk-UA"/>
        </w:rPr>
        <w:t>нефро- та кардіопротекторною дією</w:t>
      </w:r>
      <w:r>
        <w:rPr>
          <w:rFonts w:ascii="Times New Roman" w:hAnsi="Times New Roman" w:cs="Times New Roman"/>
          <w:sz w:val="28"/>
          <w:szCs w:val="28"/>
          <w:lang w:val="uk-UA"/>
        </w:rPr>
        <w:t xml:space="preserve"> є в</w:t>
      </w:r>
      <w:r w:rsidRPr="00323C36">
        <w:rPr>
          <w:rFonts w:ascii="Times New Roman" w:hAnsi="Times New Roman" w:cs="Times New Roman"/>
          <w:sz w:val="28"/>
          <w:szCs w:val="28"/>
          <w:lang w:val="uk-UA"/>
        </w:rPr>
        <w:t>ажливим етапом лікування коморбідних пацієнтів</w:t>
      </w:r>
      <w:r w:rsidR="009D5BA8" w:rsidRPr="00A54D86">
        <w:rPr>
          <w:rFonts w:ascii="Times New Roman" w:hAnsi="Times New Roman" w:cs="Times New Roman"/>
          <w:sz w:val="28"/>
          <w:szCs w:val="28"/>
          <w:lang w:val="uk-UA"/>
        </w:rPr>
        <w:t>.</w:t>
      </w:r>
      <w:r w:rsidR="00FC64C4">
        <w:rPr>
          <w:rFonts w:ascii="Times New Roman" w:hAnsi="Times New Roman" w:cs="Times New Roman"/>
          <w:sz w:val="28"/>
          <w:szCs w:val="28"/>
          <w:lang w:val="uk-UA"/>
        </w:rPr>
        <w:t xml:space="preserve"> </w:t>
      </w:r>
    </w:p>
    <w:p w:rsidR="00E365FA" w:rsidRDefault="00E365FA" w:rsidP="00B4110F">
      <w:pPr>
        <w:autoSpaceDE w:val="0"/>
        <w:autoSpaceDN w:val="0"/>
        <w:adjustRightInd w:val="0"/>
        <w:spacing w:after="0" w:line="360" w:lineRule="auto"/>
        <w:ind w:firstLine="708"/>
        <w:jc w:val="both"/>
        <w:rPr>
          <w:rFonts w:ascii="Times New Roman" w:hAnsi="Times New Roman" w:cs="Times New Roman"/>
          <w:sz w:val="28"/>
          <w:szCs w:val="28"/>
          <w:lang w:val="uk-UA"/>
        </w:rPr>
      </w:pPr>
    </w:p>
    <w:p w:rsidR="00606637" w:rsidRDefault="006C1618" w:rsidP="00B4110F">
      <w:pPr>
        <w:autoSpaceDE w:val="0"/>
        <w:autoSpaceDN w:val="0"/>
        <w:adjustRightInd w:val="0"/>
        <w:spacing w:after="0" w:line="360" w:lineRule="auto"/>
        <w:ind w:firstLine="708"/>
        <w:jc w:val="both"/>
        <w:rPr>
          <w:rFonts w:ascii="Times New Roman" w:hAnsi="Times New Roman" w:cs="Times New Roman"/>
          <w:sz w:val="28"/>
          <w:szCs w:val="28"/>
          <w:lang w:val="uk-UA"/>
        </w:rPr>
      </w:pPr>
      <w:r w:rsidRPr="006C1618">
        <w:rPr>
          <w:rFonts w:ascii="Times New Roman" w:hAnsi="Times New Roman" w:cs="Times New Roman"/>
          <w:sz w:val="28"/>
          <w:szCs w:val="28"/>
          <w:lang w:val="uk-UA"/>
        </w:rPr>
        <w:t>Основні положення розділу висвітлено у статтях</w:t>
      </w:r>
      <w:r w:rsidR="00215267">
        <w:rPr>
          <w:rFonts w:ascii="Times New Roman" w:hAnsi="Times New Roman" w:cs="Times New Roman"/>
          <w:sz w:val="28"/>
          <w:szCs w:val="28"/>
          <w:lang w:val="uk-UA"/>
        </w:rPr>
        <w:t>:</w:t>
      </w:r>
    </w:p>
    <w:p w:rsidR="002342E8" w:rsidRPr="003268E3" w:rsidRDefault="007501CD" w:rsidP="00F456DD">
      <w:pPr>
        <w:spacing w:after="0" w:line="360" w:lineRule="auto"/>
        <w:ind w:firstLine="708"/>
        <w:jc w:val="both"/>
        <w:rPr>
          <w:rFonts w:ascii="Times New Roman" w:hAnsi="Times New Roman" w:cs="Times New Roman"/>
          <w:sz w:val="28"/>
          <w:szCs w:val="28"/>
          <w:lang w:val="uk-UA"/>
        </w:rPr>
      </w:pPr>
      <w:r w:rsidRPr="007501CD">
        <w:rPr>
          <w:rFonts w:ascii="Times New Roman" w:hAnsi="Times New Roman" w:cs="Times New Roman"/>
          <w:sz w:val="28"/>
          <w:szCs w:val="28"/>
          <w:lang w:val="uk-UA"/>
        </w:rPr>
        <w:t xml:space="preserve">Чернацька О. М. Структурно-функціональні особливості міокарда </w:t>
      </w:r>
      <w:r w:rsidR="00323C36">
        <w:rPr>
          <w:rFonts w:ascii="Times New Roman" w:hAnsi="Times New Roman" w:cs="Times New Roman"/>
          <w:sz w:val="28"/>
          <w:szCs w:val="28"/>
          <w:lang w:val="uk-UA"/>
        </w:rPr>
        <w:t xml:space="preserve">         </w:t>
      </w:r>
      <w:r w:rsidRPr="007501CD">
        <w:rPr>
          <w:rFonts w:ascii="Times New Roman" w:hAnsi="Times New Roman" w:cs="Times New Roman"/>
          <w:sz w:val="28"/>
          <w:szCs w:val="28"/>
          <w:lang w:val="uk-UA"/>
        </w:rPr>
        <w:t>в осіб з артеріальною гіпертензією</w:t>
      </w:r>
      <w:r w:rsidR="00CA6671">
        <w:rPr>
          <w:rFonts w:ascii="Times New Roman" w:hAnsi="Times New Roman" w:cs="Times New Roman"/>
          <w:sz w:val="28"/>
          <w:szCs w:val="28"/>
          <w:lang w:val="uk-UA"/>
        </w:rPr>
        <w:t xml:space="preserve"> та цукровим діабетом 2-го типу / </w:t>
      </w:r>
      <w:r w:rsidR="00055341">
        <w:rPr>
          <w:rFonts w:ascii="Times New Roman" w:hAnsi="Times New Roman" w:cs="Times New Roman"/>
          <w:sz w:val="28"/>
          <w:szCs w:val="28"/>
          <w:lang w:val="uk-UA"/>
        </w:rPr>
        <w:t xml:space="preserve">                </w:t>
      </w:r>
      <w:r w:rsidR="00CA6671">
        <w:rPr>
          <w:rFonts w:ascii="Times New Roman" w:hAnsi="Times New Roman" w:cs="Times New Roman"/>
          <w:sz w:val="28"/>
          <w:szCs w:val="28"/>
          <w:lang w:val="uk-UA"/>
        </w:rPr>
        <w:t>О. М. Чернацька //</w:t>
      </w:r>
      <w:r w:rsidRPr="007501CD">
        <w:rPr>
          <w:rFonts w:ascii="Times New Roman" w:hAnsi="Times New Roman" w:cs="Times New Roman"/>
          <w:sz w:val="28"/>
          <w:szCs w:val="28"/>
          <w:lang w:val="uk-UA"/>
        </w:rPr>
        <w:t xml:space="preserve"> Ме</w:t>
      </w:r>
      <w:r w:rsidR="00F63614">
        <w:rPr>
          <w:rFonts w:ascii="Times New Roman" w:hAnsi="Times New Roman" w:cs="Times New Roman"/>
          <w:sz w:val="28"/>
          <w:szCs w:val="28"/>
          <w:lang w:val="uk-UA"/>
        </w:rPr>
        <w:t>дицина сьогодні і завтра. – 2017. – №</w:t>
      </w:r>
      <w:r w:rsidR="00FE14AB">
        <w:rPr>
          <w:rFonts w:ascii="Times New Roman" w:hAnsi="Times New Roman" w:cs="Times New Roman"/>
          <w:sz w:val="28"/>
          <w:szCs w:val="28"/>
          <w:lang w:val="uk-UA"/>
        </w:rPr>
        <w:t xml:space="preserve"> </w:t>
      </w:r>
      <w:r w:rsidR="00F63614">
        <w:rPr>
          <w:rFonts w:ascii="Times New Roman" w:hAnsi="Times New Roman" w:cs="Times New Roman"/>
          <w:sz w:val="28"/>
          <w:szCs w:val="28"/>
          <w:lang w:val="uk-UA"/>
        </w:rPr>
        <w:t>3</w:t>
      </w:r>
      <w:r w:rsidR="00323C36" w:rsidRPr="00323C36">
        <w:rPr>
          <w:rFonts w:ascii="Times New Roman" w:hAnsi="Times New Roman" w:cs="Times New Roman"/>
          <w:sz w:val="28"/>
          <w:szCs w:val="28"/>
          <w:lang w:val="uk-UA"/>
        </w:rPr>
        <w:t>–</w:t>
      </w:r>
      <w:r w:rsidR="00323C36">
        <w:rPr>
          <w:rFonts w:ascii="Times New Roman" w:hAnsi="Times New Roman" w:cs="Times New Roman"/>
          <w:sz w:val="28"/>
          <w:szCs w:val="28"/>
          <w:lang w:val="uk-UA"/>
        </w:rPr>
        <w:t>4</w:t>
      </w:r>
      <w:r w:rsidR="00055341">
        <w:rPr>
          <w:rFonts w:ascii="Times New Roman" w:hAnsi="Times New Roman" w:cs="Times New Roman"/>
          <w:sz w:val="28"/>
          <w:szCs w:val="28"/>
          <w:lang w:val="uk-UA"/>
        </w:rPr>
        <w:t xml:space="preserve"> (76</w:t>
      </w:r>
      <w:r w:rsidR="00323C36" w:rsidRPr="00323C36">
        <w:rPr>
          <w:rFonts w:ascii="Times New Roman" w:hAnsi="Times New Roman" w:cs="Times New Roman"/>
          <w:sz w:val="28"/>
          <w:szCs w:val="28"/>
          <w:lang w:val="uk-UA"/>
        </w:rPr>
        <w:t>–</w:t>
      </w:r>
      <w:r w:rsidR="00323C36">
        <w:rPr>
          <w:rFonts w:ascii="Times New Roman" w:hAnsi="Times New Roman" w:cs="Times New Roman"/>
          <w:sz w:val="28"/>
          <w:szCs w:val="28"/>
          <w:lang w:val="uk-UA"/>
        </w:rPr>
        <w:t>77</w:t>
      </w:r>
      <w:r w:rsidR="00055341">
        <w:rPr>
          <w:rFonts w:ascii="Times New Roman" w:hAnsi="Times New Roman" w:cs="Times New Roman"/>
          <w:sz w:val="28"/>
          <w:szCs w:val="28"/>
          <w:lang w:val="uk-UA"/>
        </w:rPr>
        <w:t>)</w:t>
      </w:r>
      <w:r w:rsidRPr="007501CD">
        <w:rPr>
          <w:rFonts w:ascii="Times New Roman" w:hAnsi="Times New Roman" w:cs="Times New Roman"/>
          <w:sz w:val="28"/>
          <w:szCs w:val="28"/>
          <w:lang w:val="uk-UA"/>
        </w:rPr>
        <w:t xml:space="preserve">. </w:t>
      </w:r>
      <w:r w:rsidR="00323C36">
        <w:rPr>
          <w:rFonts w:ascii="Times New Roman" w:hAnsi="Times New Roman" w:cs="Times New Roman"/>
          <w:sz w:val="28"/>
          <w:szCs w:val="28"/>
          <w:lang w:val="uk-UA"/>
        </w:rPr>
        <w:t xml:space="preserve">         </w:t>
      </w:r>
      <w:r w:rsidRPr="007501CD">
        <w:rPr>
          <w:rFonts w:ascii="Times New Roman" w:hAnsi="Times New Roman" w:cs="Times New Roman"/>
          <w:sz w:val="28"/>
          <w:szCs w:val="28"/>
          <w:lang w:val="uk-UA"/>
        </w:rPr>
        <w:t>– С.</w:t>
      </w:r>
      <w:r w:rsidR="00323C36">
        <w:rPr>
          <w:rFonts w:ascii="Times New Roman" w:hAnsi="Times New Roman" w:cs="Times New Roman"/>
          <w:sz w:val="28"/>
          <w:szCs w:val="28"/>
          <w:lang w:val="uk-UA"/>
        </w:rPr>
        <w:t xml:space="preserve"> </w:t>
      </w:r>
      <w:r w:rsidR="00055341">
        <w:rPr>
          <w:rFonts w:ascii="Times New Roman" w:hAnsi="Times New Roman" w:cs="Times New Roman"/>
          <w:sz w:val="28"/>
          <w:szCs w:val="28"/>
          <w:lang w:val="uk-UA"/>
        </w:rPr>
        <w:t>55</w:t>
      </w:r>
      <w:r w:rsidR="00055341" w:rsidRPr="00055341">
        <w:rPr>
          <w:rFonts w:ascii="Times New Roman" w:hAnsi="Times New Roman" w:cs="Times New Roman"/>
          <w:sz w:val="28"/>
          <w:szCs w:val="28"/>
          <w:lang w:val="uk-UA"/>
        </w:rPr>
        <w:t>–</w:t>
      </w:r>
      <w:r w:rsidR="00055341">
        <w:rPr>
          <w:rFonts w:ascii="Times New Roman" w:hAnsi="Times New Roman" w:cs="Times New Roman"/>
          <w:sz w:val="28"/>
          <w:szCs w:val="28"/>
          <w:lang w:val="uk-UA"/>
        </w:rPr>
        <w:t>62.</w:t>
      </w:r>
    </w:p>
    <w:p w:rsidR="00A84D61" w:rsidRPr="00AF0C84" w:rsidRDefault="00AF0C84" w:rsidP="00AF0C84">
      <w:pPr>
        <w:spacing w:after="0" w:line="360" w:lineRule="auto"/>
        <w:ind w:firstLine="708"/>
        <w:jc w:val="both"/>
        <w:rPr>
          <w:rFonts w:ascii="Times New Roman" w:hAnsi="Times New Roman" w:cs="Times New Roman"/>
          <w:sz w:val="28"/>
          <w:szCs w:val="28"/>
          <w:lang w:val="uk-UA"/>
        </w:rPr>
      </w:pPr>
      <w:r w:rsidRPr="00D7447C">
        <w:rPr>
          <w:rFonts w:ascii="Times New Roman" w:hAnsi="Times New Roman" w:cs="Times New Roman"/>
          <w:sz w:val="28"/>
          <w:szCs w:val="28"/>
          <w:lang w:val="uk-UA"/>
        </w:rPr>
        <w:t>Чернацька О. М. В</w:t>
      </w:r>
      <w:r>
        <w:rPr>
          <w:rFonts w:ascii="Times New Roman" w:hAnsi="Times New Roman" w:cs="Times New Roman"/>
          <w:sz w:val="28"/>
          <w:szCs w:val="28"/>
          <w:lang w:val="uk-UA"/>
        </w:rPr>
        <w:t>заємозв</w:t>
      </w:r>
      <w:r w:rsidRPr="00D7447C">
        <w:rPr>
          <w:rFonts w:ascii="Times New Roman" w:hAnsi="Times New Roman" w:cs="Times New Roman"/>
          <w:sz w:val="28"/>
          <w:szCs w:val="28"/>
          <w:lang w:val="uk-UA"/>
        </w:rPr>
        <w:t>’</w:t>
      </w:r>
      <w:r>
        <w:rPr>
          <w:rFonts w:ascii="Times New Roman" w:hAnsi="Times New Roman" w:cs="Times New Roman"/>
          <w:sz w:val="28"/>
          <w:szCs w:val="28"/>
          <w:lang w:val="uk-UA"/>
        </w:rPr>
        <w:t xml:space="preserve">язок між урикемією та показниками функції серця в осіб з </w:t>
      </w:r>
      <w:r w:rsidRPr="00D7447C">
        <w:rPr>
          <w:rFonts w:ascii="Times New Roman" w:hAnsi="Times New Roman" w:cs="Times New Roman"/>
          <w:sz w:val="28"/>
          <w:szCs w:val="28"/>
          <w:lang w:val="uk-UA"/>
        </w:rPr>
        <w:t xml:space="preserve"> </w:t>
      </w:r>
      <w:r>
        <w:rPr>
          <w:rFonts w:ascii="Times New Roman" w:hAnsi="Times New Roman" w:cs="Times New Roman"/>
          <w:sz w:val="28"/>
          <w:szCs w:val="28"/>
          <w:lang w:val="uk-UA"/>
        </w:rPr>
        <w:t>артеріальною гіпертензією і цукровим діабетом 2-го типу</w:t>
      </w:r>
      <w:r w:rsidRPr="00D7447C">
        <w:rPr>
          <w:rFonts w:ascii="Times New Roman" w:hAnsi="Times New Roman" w:cs="Times New Roman"/>
          <w:sz w:val="28"/>
          <w:szCs w:val="28"/>
          <w:lang w:val="uk-UA"/>
        </w:rPr>
        <w:t xml:space="preserve"> / </w:t>
      </w:r>
      <w:r w:rsidR="00FE14AB">
        <w:rPr>
          <w:rFonts w:ascii="Times New Roman" w:hAnsi="Times New Roman" w:cs="Times New Roman"/>
          <w:sz w:val="28"/>
          <w:szCs w:val="28"/>
          <w:lang w:val="uk-UA"/>
        </w:rPr>
        <w:t xml:space="preserve">     </w:t>
      </w:r>
      <w:r w:rsidRPr="00D7447C">
        <w:rPr>
          <w:rFonts w:ascii="Times New Roman" w:hAnsi="Times New Roman" w:cs="Times New Roman"/>
          <w:sz w:val="28"/>
          <w:szCs w:val="28"/>
          <w:lang w:val="uk-UA"/>
        </w:rPr>
        <w:t>О. М. Чернацька // Журнал клінічних та експериментальних медичних досліджень. – 2</w:t>
      </w:r>
      <w:r>
        <w:rPr>
          <w:rFonts w:ascii="Times New Roman" w:hAnsi="Times New Roman" w:cs="Times New Roman"/>
          <w:sz w:val="28"/>
          <w:szCs w:val="28"/>
          <w:lang w:val="uk-UA"/>
        </w:rPr>
        <w:t xml:space="preserve">018. –  Том 6, № </w:t>
      </w:r>
      <w:r w:rsidRPr="00D7447C">
        <w:rPr>
          <w:rFonts w:ascii="Times New Roman" w:hAnsi="Times New Roman" w:cs="Times New Roman"/>
          <w:sz w:val="28"/>
          <w:szCs w:val="28"/>
          <w:lang w:val="uk-UA"/>
        </w:rPr>
        <w:t>3</w:t>
      </w:r>
      <w:r>
        <w:rPr>
          <w:rFonts w:ascii="Times New Roman" w:hAnsi="Times New Roman" w:cs="Times New Roman"/>
          <w:sz w:val="28"/>
          <w:szCs w:val="28"/>
          <w:lang w:val="uk-UA"/>
        </w:rPr>
        <w:t xml:space="preserve">. – </w:t>
      </w:r>
      <w:r w:rsidRPr="007C377C">
        <w:rPr>
          <w:rFonts w:ascii="Times New Roman" w:hAnsi="Times New Roman" w:cs="Times New Roman"/>
          <w:sz w:val="28"/>
          <w:szCs w:val="28"/>
          <w:lang w:val="uk-UA"/>
        </w:rPr>
        <w:t>С.</w:t>
      </w:r>
      <w:r w:rsidR="007C377C" w:rsidRPr="007C377C">
        <w:rPr>
          <w:rFonts w:ascii="Times New Roman" w:hAnsi="Times New Roman" w:cs="Times New Roman"/>
          <w:sz w:val="28"/>
          <w:szCs w:val="28"/>
          <w:lang w:val="uk-UA"/>
        </w:rPr>
        <w:t xml:space="preserve"> 341–345</w:t>
      </w:r>
      <w:r w:rsidRPr="007C377C">
        <w:rPr>
          <w:rFonts w:ascii="Times New Roman" w:hAnsi="Times New Roman" w:cs="Times New Roman"/>
          <w:sz w:val="28"/>
          <w:szCs w:val="28"/>
          <w:lang w:val="uk-UA"/>
        </w:rPr>
        <w:t>.</w:t>
      </w:r>
    </w:p>
    <w:p w:rsidR="00A23C35" w:rsidRDefault="00A23C35" w:rsidP="00A75E1D">
      <w:pPr>
        <w:spacing w:after="0" w:line="360" w:lineRule="auto"/>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FF4AD2">
      <w:pPr>
        <w:spacing w:after="0" w:line="360" w:lineRule="auto"/>
        <w:jc w:val="center"/>
        <w:rPr>
          <w:rFonts w:ascii="Times New Roman" w:hAnsi="Times New Roman" w:cs="Times New Roman"/>
          <w:b/>
          <w:sz w:val="28"/>
          <w:szCs w:val="28"/>
          <w:lang w:val="uk-UA"/>
        </w:rPr>
      </w:pPr>
    </w:p>
    <w:p w:rsidR="003D6E92" w:rsidRDefault="003D6E92" w:rsidP="00BD62C6">
      <w:pPr>
        <w:spacing w:after="0" w:line="360" w:lineRule="auto"/>
        <w:rPr>
          <w:rFonts w:ascii="Times New Roman" w:hAnsi="Times New Roman" w:cs="Times New Roman"/>
          <w:b/>
          <w:sz w:val="28"/>
          <w:szCs w:val="28"/>
          <w:lang w:val="uk-UA"/>
        </w:rPr>
      </w:pPr>
    </w:p>
    <w:p w:rsidR="00567A1E" w:rsidRDefault="00567A1E" w:rsidP="00FF4AD2">
      <w:pPr>
        <w:spacing w:after="0" w:line="360" w:lineRule="auto"/>
        <w:jc w:val="center"/>
        <w:rPr>
          <w:rFonts w:ascii="Times New Roman" w:hAnsi="Times New Roman" w:cs="Times New Roman"/>
          <w:b/>
          <w:sz w:val="28"/>
          <w:szCs w:val="28"/>
          <w:lang w:val="uk-UA"/>
        </w:rPr>
      </w:pPr>
    </w:p>
    <w:p w:rsidR="00567A1E" w:rsidRDefault="00567A1E" w:rsidP="00FF4AD2">
      <w:pPr>
        <w:spacing w:after="0" w:line="360" w:lineRule="auto"/>
        <w:jc w:val="center"/>
        <w:rPr>
          <w:rFonts w:ascii="Times New Roman" w:hAnsi="Times New Roman" w:cs="Times New Roman"/>
          <w:b/>
          <w:sz w:val="28"/>
          <w:szCs w:val="28"/>
          <w:lang w:val="uk-UA"/>
        </w:rPr>
      </w:pPr>
    </w:p>
    <w:p w:rsidR="00567A1E" w:rsidRDefault="00567A1E" w:rsidP="00FF4AD2">
      <w:pPr>
        <w:spacing w:after="0" w:line="360" w:lineRule="auto"/>
        <w:jc w:val="center"/>
        <w:rPr>
          <w:rFonts w:ascii="Times New Roman" w:hAnsi="Times New Roman" w:cs="Times New Roman"/>
          <w:b/>
          <w:sz w:val="28"/>
          <w:szCs w:val="28"/>
          <w:lang w:val="uk-UA"/>
        </w:rPr>
      </w:pPr>
    </w:p>
    <w:p w:rsidR="00FF4AD2" w:rsidRPr="00FF4AD2" w:rsidRDefault="00612BFC" w:rsidP="00FF4AD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6</w:t>
      </w:r>
    </w:p>
    <w:p w:rsidR="00FF4AD2" w:rsidRDefault="00C973CC" w:rsidP="00C973CC">
      <w:pPr>
        <w:autoSpaceDE w:val="0"/>
        <w:autoSpaceDN w:val="0"/>
        <w:adjustRightInd w:val="0"/>
        <w:spacing w:after="0" w:line="360" w:lineRule="auto"/>
        <w:ind w:firstLine="708"/>
        <w:jc w:val="center"/>
        <w:rPr>
          <w:rFonts w:ascii="Times New Roman" w:hAnsi="Times New Roman" w:cs="Times New Roman"/>
          <w:b/>
          <w:sz w:val="28"/>
          <w:szCs w:val="28"/>
          <w:lang w:val="uk-UA"/>
        </w:rPr>
      </w:pPr>
      <w:r w:rsidRPr="00C973CC">
        <w:rPr>
          <w:rFonts w:ascii="Times New Roman" w:hAnsi="Times New Roman" w:cs="Times New Roman"/>
          <w:b/>
          <w:sz w:val="28"/>
          <w:szCs w:val="28"/>
          <w:lang w:val="uk-UA"/>
        </w:rPr>
        <w:t>КОРЕКЦІЯ МЕТАБОЛІЧНИ</w:t>
      </w:r>
      <w:r w:rsidR="009351F4">
        <w:rPr>
          <w:rFonts w:ascii="Times New Roman" w:hAnsi="Times New Roman" w:cs="Times New Roman"/>
          <w:b/>
          <w:sz w:val="28"/>
          <w:szCs w:val="28"/>
          <w:lang w:val="uk-UA"/>
        </w:rPr>
        <w:t xml:space="preserve">Х ПОРУШЕНЬ У ПАЦІЄНТІВ </w:t>
      </w:r>
      <w:r w:rsidR="0044655D">
        <w:rPr>
          <w:rFonts w:ascii="Times New Roman" w:hAnsi="Times New Roman" w:cs="Times New Roman"/>
          <w:b/>
          <w:sz w:val="28"/>
          <w:szCs w:val="28"/>
          <w:lang w:val="uk-UA"/>
        </w:rPr>
        <w:t xml:space="preserve">          </w:t>
      </w:r>
      <w:r w:rsidR="00817002">
        <w:rPr>
          <w:rFonts w:ascii="Times New Roman" w:hAnsi="Times New Roman" w:cs="Times New Roman"/>
          <w:b/>
          <w:sz w:val="28"/>
          <w:szCs w:val="28"/>
          <w:lang w:val="uk-UA"/>
        </w:rPr>
        <w:t>І</w:t>
      </w:r>
      <w:r w:rsidRPr="00C973CC">
        <w:rPr>
          <w:rFonts w:ascii="Times New Roman" w:hAnsi="Times New Roman" w:cs="Times New Roman"/>
          <w:b/>
          <w:sz w:val="28"/>
          <w:szCs w:val="28"/>
          <w:lang w:val="uk-UA"/>
        </w:rPr>
        <w:t xml:space="preserve">З АРТЕРІАЛЬНОЮ ГІПЕРТЕНЗІЄЮ ТА </w:t>
      </w:r>
      <w:r w:rsidR="0044655D">
        <w:rPr>
          <w:rFonts w:ascii="Times New Roman" w:hAnsi="Times New Roman" w:cs="Times New Roman"/>
          <w:b/>
          <w:sz w:val="28"/>
          <w:szCs w:val="28"/>
          <w:lang w:val="uk-UA"/>
        </w:rPr>
        <w:t xml:space="preserve">                               ЦУКРОВИМ ДІАБЕТОМ </w:t>
      </w:r>
      <w:r w:rsidRPr="00C973CC">
        <w:rPr>
          <w:rFonts w:ascii="Times New Roman" w:hAnsi="Times New Roman" w:cs="Times New Roman"/>
          <w:b/>
          <w:sz w:val="28"/>
          <w:szCs w:val="28"/>
          <w:lang w:val="uk-UA"/>
        </w:rPr>
        <w:t>2-ГО ТИПУ</w:t>
      </w:r>
    </w:p>
    <w:p w:rsidR="00C973CC" w:rsidRPr="00C973CC" w:rsidRDefault="00C973CC" w:rsidP="00C973CC">
      <w:pPr>
        <w:autoSpaceDE w:val="0"/>
        <w:autoSpaceDN w:val="0"/>
        <w:adjustRightInd w:val="0"/>
        <w:spacing w:after="0" w:line="360" w:lineRule="auto"/>
        <w:ind w:firstLine="708"/>
        <w:jc w:val="center"/>
        <w:rPr>
          <w:rFonts w:ascii="Times New Roman" w:hAnsi="Times New Roman" w:cs="Times New Roman"/>
          <w:b/>
          <w:sz w:val="28"/>
          <w:szCs w:val="28"/>
          <w:lang w:val="uk-UA"/>
        </w:rPr>
      </w:pPr>
    </w:p>
    <w:p w:rsidR="00DF2543" w:rsidRPr="00950C25" w:rsidRDefault="002B4682" w:rsidP="00950C25">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FF4AD2">
        <w:rPr>
          <w:rFonts w:ascii="Times New Roman" w:hAnsi="Times New Roman" w:cs="Times New Roman"/>
          <w:b/>
          <w:sz w:val="28"/>
          <w:szCs w:val="28"/>
          <w:lang w:val="uk-UA"/>
        </w:rPr>
        <w:t>.1</w:t>
      </w:r>
      <w:r w:rsidR="008E3D76">
        <w:rPr>
          <w:rFonts w:ascii="Times New Roman" w:hAnsi="Times New Roman" w:cs="Times New Roman"/>
          <w:b/>
          <w:sz w:val="28"/>
          <w:szCs w:val="28"/>
          <w:lang w:val="uk-UA"/>
        </w:rPr>
        <w:t>.</w:t>
      </w:r>
      <w:r w:rsidR="00FF4AD2">
        <w:rPr>
          <w:rFonts w:ascii="Times New Roman" w:hAnsi="Times New Roman" w:cs="Times New Roman"/>
          <w:b/>
          <w:sz w:val="28"/>
          <w:szCs w:val="28"/>
          <w:lang w:val="uk-UA"/>
        </w:rPr>
        <w:t xml:space="preserve"> </w:t>
      </w:r>
      <w:r w:rsidR="00B41173">
        <w:rPr>
          <w:rFonts w:ascii="Times New Roman" w:hAnsi="Times New Roman" w:cs="Times New Roman"/>
          <w:b/>
          <w:sz w:val="28"/>
          <w:szCs w:val="28"/>
          <w:lang w:val="uk-UA"/>
        </w:rPr>
        <w:t>Корекц</w:t>
      </w:r>
      <w:r w:rsidR="00B41173">
        <w:rPr>
          <w:rFonts w:ascii="Times New Roman" w:hAnsi="Times New Roman" w:cs="Times New Roman"/>
          <w:b/>
          <w:sz w:val="28"/>
          <w:szCs w:val="28"/>
          <w:lang w:val="en-US"/>
        </w:rPr>
        <w:t>i</w:t>
      </w:r>
      <w:r w:rsidR="00B41173">
        <w:rPr>
          <w:rFonts w:ascii="Times New Roman" w:hAnsi="Times New Roman" w:cs="Times New Roman"/>
          <w:b/>
          <w:sz w:val="28"/>
          <w:szCs w:val="28"/>
          <w:lang w:val="uk-UA"/>
        </w:rPr>
        <w:t>я показник</w:t>
      </w:r>
      <w:r w:rsidR="00B41173">
        <w:rPr>
          <w:rFonts w:ascii="Times New Roman" w:hAnsi="Times New Roman" w:cs="Times New Roman"/>
          <w:b/>
          <w:sz w:val="28"/>
          <w:szCs w:val="28"/>
          <w:lang w:val="en-US"/>
        </w:rPr>
        <w:t>i</w:t>
      </w:r>
      <w:r w:rsidR="00B41173">
        <w:rPr>
          <w:rFonts w:ascii="Times New Roman" w:hAnsi="Times New Roman" w:cs="Times New Roman"/>
          <w:b/>
          <w:sz w:val="28"/>
          <w:szCs w:val="28"/>
          <w:lang w:val="uk-UA"/>
        </w:rPr>
        <w:t>в л</w:t>
      </w:r>
      <w:r w:rsidR="00B41173">
        <w:rPr>
          <w:rFonts w:ascii="Times New Roman" w:hAnsi="Times New Roman" w:cs="Times New Roman"/>
          <w:b/>
          <w:sz w:val="28"/>
          <w:szCs w:val="28"/>
          <w:lang w:val="en-US"/>
        </w:rPr>
        <w:t>i</w:t>
      </w:r>
      <w:r w:rsidR="00B41173">
        <w:rPr>
          <w:rFonts w:ascii="Times New Roman" w:hAnsi="Times New Roman" w:cs="Times New Roman"/>
          <w:b/>
          <w:sz w:val="28"/>
          <w:szCs w:val="28"/>
          <w:lang w:val="uk-UA"/>
        </w:rPr>
        <w:t>п</w:t>
      </w:r>
      <w:r w:rsidR="00B41173">
        <w:rPr>
          <w:rFonts w:ascii="Times New Roman" w:hAnsi="Times New Roman" w:cs="Times New Roman"/>
          <w:b/>
          <w:sz w:val="28"/>
          <w:szCs w:val="28"/>
          <w:lang w:val="en-US"/>
        </w:rPr>
        <w:t>i</w:t>
      </w:r>
      <w:r w:rsidR="00EC7691" w:rsidRPr="00FF4AD2">
        <w:rPr>
          <w:rFonts w:ascii="Times New Roman" w:hAnsi="Times New Roman" w:cs="Times New Roman"/>
          <w:b/>
          <w:sz w:val="28"/>
          <w:szCs w:val="28"/>
          <w:lang w:val="uk-UA"/>
        </w:rPr>
        <w:t>дного спектр</w:t>
      </w:r>
      <w:r w:rsidR="0099327D">
        <w:rPr>
          <w:rFonts w:ascii="Times New Roman" w:hAnsi="Times New Roman" w:cs="Times New Roman"/>
          <w:b/>
          <w:sz w:val="28"/>
          <w:szCs w:val="28"/>
          <w:lang w:val="uk-UA"/>
        </w:rPr>
        <w:t>а</w:t>
      </w:r>
      <w:r w:rsidR="00B41173">
        <w:rPr>
          <w:rFonts w:ascii="Times New Roman" w:hAnsi="Times New Roman" w:cs="Times New Roman"/>
          <w:b/>
          <w:sz w:val="28"/>
          <w:szCs w:val="28"/>
          <w:lang w:val="uk-UA"/>
        </w:rPr>
        <w:t xml:space="preserve"> кров</w:t>
      </w:r>
      <w:r w:rsidR="00B41173">
        <w:rPr>
          <w:rFonts w:ascii="Times New Roman" w:hAnsi="Times New Roman" w:cs="Times New Roman"/>
          <w:b/>
          <w:sz w:val="28"/>
          <w:szCs w:val="28"/>
          <w:lang w:val="en-US"/>
        </w:rPr>
        <w:t>i</w:t>
      </w:r>
      <w:r w:rsidR="00EC7691" w:rsidRPr="00FF4AD2">
        <w:rPr>
          <w:rFonts w:ascii="Times New Roman" w:hAnsi="Times New Roman" w:cs="Times New Roman"/>
          <w:b/>
          <w:sz w:val="28"/>
          <w:szCs w:val="28"/>
          <w:lang w:val="uk-UA"/>
        </w:rPr>
        <w:t xml:space="preserve"> за допомогою аторвастатину</w:t>
      </w:r>
      <w:r w:rsidR="00626E57" w:rsidRPr="00626E57">
        <w:rPr>
          <w:rFonts w:ascii="Times New Roman" w:hAnsi="Times New Roman" w:cs="Times New Roman"/>
          <w:b/>
          <w:sz w:val="28"/>
          <w:szCs w:val="28"/>
        </w:rPr>
        <w:t xml:space="preserve"> </w:t>
      </w:r>
    </w:p>
    <w:p w:rsidR="00FC6739" w:rsidRPr="00FC6739" w:rsidRDefault="00FC6739" w:rsidP="00A03291">
      <w:pPr>
        <w:autoSpaceDE w:val="0"/>
        <w:autoSpaceDN w:val="0"/>
        <w:adjustRightInd w:val="0"/>
        <w:spacing w:after="0" w:line="360" w:lineRule="auto"/>
        <w:ind w:firstLine="708"/>
        <w:jc w:val="both"/>
        <w:rPr>
          <w:rFonts w:ascii="Times New Roman" w:hAnsi="Times New Roman" w:cs="Times New Roman"/>
          <w:sz w:val="28"/>
          <w:szCs w:val="28"/>
          <w:lang w:val="uk-UA"/>
        </w:rPr>
      </w:pPr>
      <w:r w:rsidRPr="00FC6739">
        <w:rPr>
          <w:rFonts w:ascii="Times New Roman" w:hAnsi="Times New Roman" w:cs="Times New Roman"/>
          <w:sz w:val="28"/>
          <w:szCs w:val="28"/>
          <w:lang w:val="uk-UA"/>
        </w:rPr>
        <w:t>Важливи</w:t>
      </w:r>
      <w:r w:rsidR="0099327D">
        <w:rPr>
          <w:rFonts w:ascii="Times New Roman" w:hAnsi="Times New Roman" w:cs="Times New Roman"/>
          <w:sz w:val="28"/>
          <w:szCs w:val="28"/>
          <w:lang w:val="uk-UA"/>
        </w:rPr>
        <w:t>м завданням залишається розроблення</w:t>
      </w:r>
      <w:r w:rsidR="00B41173">
        <w:rPr>
          <w:rFonts w:ascii="Times New Roman" w:hAnsi="Times New Roman" w:cs="Times New Roman"/>
          <w:sz w:val="28"/>
          <w:szCs w:val="28"/>
          <w:lang w:val="uk-UA"/>
        </w:rPr>
        <w:t xml:space="preserve"> нових способ</w:t>
      </w:r>
      <w:r w:rsidR="00B41173">
        <w:rPr>
          <w:rFonts w:ascii="Times New Roman" w:hAnsi="Times New Roman" w:cs="Times New Roman"/>
          <w:sz w:val="28"/>
          <w:szCs w:val="28"/>
          <w:lang w:val="en-US"/>
        </w:rPr>
        <w:t>i</w:t>
      </w:r>
      <w:r w:rsidR="00B41173">
        <w:rPr>
          <w:rFonts w:ascii="Times New Roman" w:hAnsi="Times New Roman" w:cs="Times New Roman"/>
          <w:sz w:val="28"/>
          <w:szCs w:val="28"/>
          <w:lang w:val="uk-UA"/>
        </w:rPr>
        <w:t>в л</w:t>
      </w:r>
      <w:r w:rsidR="00B41173">
        <w:rPr>
          <w:rFonts w:ascii="Times New Roman" w:hAnsi="Times New Roman" w:cs="Times New Roman"/>
          <w:sz w:val="28"/>
          <w:szCs w:val="28"/>
          <w:lang w:val="en-US"/>
        </w:rPr>
        <w:t>i</w:t>
      </w:r>
      <w:r w:rsidRPr="00FC6739">
        <w:rPr>
          <w:rFonts w:ascii="Times New Roman" w:hAnsi="Times New Roman" w:cs="Times New Roman"/>
          <w:sz w:val="28"/>
          <w:szCs w:val="28"/>
          <w:lang w:val="uk-UA"/>
        </w:rPr>
        <w:t>кування ЦД, спрямован</w:t>
      </w:r>
      <w:r w:rsidR="00B41173">
        <w:rPr>
          <w:rFonts w:ascii="Times New Roman" w:hAnsi="Times New Roman" w:cs="Times New Roman"/>
          <w:sz w:val="28"/>
          <w:szCs w:val="28"/>
          <w:lang w:val="uk-UA"/>
        </w:rPr>
        <w:t>их на зниження ризику розвитку м</w:t>
      </w:r>
      <w:r w:rsidR="00B41173">
        <w:rPr>
          <w:rFonts w:ascii="Times New Roman" w:hAnsi="Times New Roman" w:cs="Times New Roman"/>
          <w:sz w:val="28"/>
          <w:szCs w:val="28"/>
          <w:lang w:val="en-US"/>
        </w:rPr>
        <w:t>i</w:t>
      </w:r>
      <w:r w:rsidR="00B41173">
        <w:rPr>
          <w:rFonts w:ascii="Times New Roman" w:hAnsi="Times New Roman" w:cs="Times New Roman"/>
          <w:sz w:val="28"/>
          <w:szCs w:val="28"/>
          <w:lang w:val="uk-UA"/>
        </w:rPr>
        <w:t xml:space="preserve">кро- </w:t>
      </w:r>
      <w:r w:rsidR="00B41173">
        <w:rPr>
          <w:rFonts w:ascii="Times New Roman" w:hAnsi="Times New Roman" w:cs="Times New Roman"/>
          <w:sz w:val="28"/>
          <w:szCs w:val="28"/>
          <w:lang w:val="en-US"/>
        </w:rPr>
        <w:t>i</w:t>
      </w:r>
      <w:r w:rsidR="003B4D1D">
        <w:rPr>
          <w:rFonts w:ascii="Times New Roman" w:hAnsi="Times New Roman" w:cs="Times New Roman"/>
          <w:sz w:val="28"/>
          <w:szCs w:val="28"/>
          <w:lang w:val="uk-UA"/>
        </w:rPr>
        <w:t xml:space="preserve"> макросудинних ускладнень </w:t>
      </w:r>
      <w:r w:rsidRPr="00EA7274">
        <w:rPr>
          <w:rFonts w:ascii="Times New Roman" w:hAnsi="Times New Roman" w:cs="Times New Roman"/>
          <w:sz w:val="28"/>
          <w:szCs w:val="28"/>
          <w:lang w:val="uk-UA"/>
        </w:rPr>
        <w:t>[</w:t>
      </w:r>
      <w:r w:rsidR="00541249" w:rsidRPr="005C5DB7">
        <w:rPr>
          <w:rFonts w:ascii="Times New Roman" w:hAnsi="Times New Roman" w:cs="Times New Roman"/>
          <w:sz w:val="28"/>
          <w:szCs w:val="28"/>
        </w:rPr>
        <w:t>171</w:t>
      </w:r>
      <w:r w:rsidRPr="005C5DB7">
        <w:rPr>
          <w:rFonts w:ascii="Times New Roman" w:hAnsi="Times New Roman" w:cs="Times New Roman"/>
          <w:sz w:val="28"/>
          <w:szCs w:val="28"/>
          <w:lang w:val="uk-UA"/>
        </w:rPr>
        <w:t>]</w:t>
      </w:r>
      <w:r w:rsidRPr="00FC6739">
        <w:rPr>
          <w:rFonts w:ascii="Times New Roman" w:hAnsi="Times New Roman" w:cs="Times New Roman"/>
          <w:sz w:val="28"/>
          <w:szCs w:val="28"/>
          <w:lang w:val="uk-UA"/>
        </w:rPr>
        <w:t>.</w:t>
      </w:r>
    </w:p>
    <w:p w:rsidR="00781D2D" w:rsidRPr="00781D2D" w:rsidRDefault="00781D2D" w:rsidP="00781D2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Pr>
          <w:rFonts w:ascii="Times New Roman" w:hAnsi="Times New Roman" w:cs="Times New Roman"/>
          <w:sz w:val="28"/>
          <w:szCs w:val="28"/>
        </w:rPr>
        <w:t>астосування</w:t>
      </w:r>
      <w:r>
        <w:rPr>
          <w:rFonts w:ascii="Times New Roman" w:hAnsi="Times New Roman" w:cs="Times New Roman"/>
          <w:sz w:val="28"/>
          <w:szCs w:val="28"/>
          <w:lang w:val="uk-UA"/>
        </w:rPr>
        <w:t xml:space="preserve"> </w:t>
      </w:r>
      <w:r w:rsidRPr="00781D2D">
        <w:rPr>
          <w:rFonts w:ascii="Times New Roman" w:hAnsi="Times New Roman" w:cs="Times New Roman"/>
          <w:sz w:val="28"/>
          <w:szCs w:val="28"/>
        </w:rPr>
        <w:t>статинів як для</w:t>
      </w:r>
      <w:r>
        <w:rPr>
          <w:rFonts w:ascii="Times New Roman" w:hAnsi="Times New Roman" w:cs="Times New Roman"/>
          <w:sz w:val="28"/>
          <w:szCs w:val="28"/>
        </w:rPr>
        <w:t xml:space="preserve"> первинної, так і для вторинної</w:t>
      </w:r>
      <w:r>
        <w:rPr>
          <w:rFonts w:ascii="Times New Roman" w:hAnsi="Times New Roman" w:cs="Times New Roman"/>
          <w:sz w:val="28"/>
          <w:szCs w:val="28"/>
          <w:lang w:val="uk-UA"/>
        </w:rPr>
        <w:t xml:space="preserve"> </w:t>
      </w:r>
      <w:r w:rsidRPr="00781D2D">
        <w:rPr>
          <w:rFonts w:ascii="Times New Roman" w:hAnsi="Times New Roman" w:cs="Times New Roman"/>
          <w:sz w:val="28"/>
          <w:szCs w:val="28"/>
        </w:rPr>
        <w:t xml:space="preserve">профілактики </w:t>
      </w:r>
      <w:r w:rsidR="004465B7">
        <w:rPr>
          <w:rFonts w:ascii="Times New Roman" w:hAnsi="Times New Roman" w:cs="Times New Roman"/>
          <w:sz w:val="28"/>
          <w:szCs w:val="28"/>
          <w:lang w:val="uk-UA"/>
        </w:rPr>
        <w:t>ССЗ</w:t>
      </w:r>
      <w:r>
        <w:rPr>
          <w:rFonts w:ascii="Times New Roman" w:hAnsi="Times New Roman" w:cs="Times New Roman"/>
          <w:sz w:val="28"/>
          <w:szCs w:val="28"/>
        </w:rPr>
        <w:t xml:space="preserve"> та</w:t>
      </w:r>
      <w:r>
        <w:rPr>
          <w:rFonts w:ascii="Times New Roman" w:hAnsi="Times New Roman" w:cs="Times New Roman"/>
          <w:sz w:val="28"/>
          <w:szCs w:val="28"/>
          <w:lang w:val="uk-UA"/>
        </w:rPr>
        <w:t xml:space="preserve"> </w:t>
      </w:r>
      <w:r w:rsidR="004465B7">
        <w:rPr>
          <w:rFonts w:ascii="Times New Roman" w:hAnsi="Times New Roman" w:cs="Times New Roman"/>
          <w:sz w:val="28"/>
          <w:szCs w:val="28"/>
          <w:lang w:val="uk-UA"/>
        </w:rPr>
        <w:t>ССУ</w:t>
      </w:r>
      <w:r w:rsidRPr="00781D2D">
        <w:rPr>
          <w:rFonts w:ascii="Times New Roman" w:hAnsi="Times New Roman" w:cs="Times New Roman"/>
          <w:sz w:val="28"/>
          <w:szCs w:val="28"/>
        </w:rPr>
        <w:t xml:space="preserve"> у пацієнті</w:t>
      </w:r>
      <w:r>
        <w:rPr>
          <w:rFonts w:ascii="Times New Roman" w:hAnsi="Times New Roman" w:cs="Times New Roman"/>
          <w:sz w:val="28"/>
          <w:szCs w:val="28"/>
        </w:rPr>
        <w:t xml:space="preserve">в </w:t>
      </w:r>
      <w:r w:rsidR="00DC0E3E">
        <w:rPr>
          <w:rFonts w:ascii="Times New Roman" w:hAnsi="Times New Roman" w:cs="Times New Roman"/>
          <w:sz w:val="28"/>
          <w:szCs w:val="28"/>
          <w:lang w:val="uk-UA"/>
        </w:rPr>
        <w:t>і</w:t>
      </w:r>
      <w:r>
        <w:rPr>
          <w:rFonts w:ascii="Times New Roman" w:hAnsi="Times New Roman" w:cs="Times New Roman"/>
          <w:sz w:val="28"/>
          <w:szCs w:val="28"/>
        </w:rPr>
        <w:t>з АГ є необхідним компонентом</w:t>
      </w:r>
      <w:r>
        <w:rPr>
          <w:rFonts w:ascii="Times New Roman" w:hAnsi="Times New Roman" w:cs="Times New Roman"/>
          <w:sz w:val="28"/>
          <w:szCs w:val="28"/>
          <w:lang w:val="uk-UA"/>
        </w:rPr>
        <w:t xml:space="preserve"> </w:t>
      </w:r>
      <w:r w:rsidRPr="00781D2D">
        <w:rPr>
          <w:rFonts w:ascii="Times New Roman" w:hAnsi="Times New Roman" w:cs="Times New Roman"/>
          <w:sz w:val="28"/>
          <w:szCs w:val="28"/>
        </w:rPr>
        <w:t>та доведеним фактом</w:t>
      </w:r>
      <w:r>
        <w:rPr>
          <w:rFonts w:ascii="Times New Roman" w:hAnsi="Times New Roman" w:cs="Times New Roman"/>
          <w:sz w:val="28"/>
          <w:szCs w:val="28"/>
          <w:lang w:val="uk-UA"/>
        </w:rPr>
        <w:t xml:space="preserve"> [</w:t>
      </w:r>
      <w:r w:rsidR="00541249" w:rsidRPr="005C5DB7">
        <w:rPr>
          <w:rFonts w:ascii="Times New Roman" w:hAnsi="Times New Roman" w:cs="Times New Roman"/>
          <w:sz w:val="28"/>
          <w:szCs w:val="28"/>
        </w:rPr>
        <w:t>106</w:t>
      </w:r>
      <w:r w:rsidRPr="00781D2D">
        <w:rPr>
          <w:rFonts w:ascii="Times New Roman" w:hAnsi="Times New Roman" w:cs="Times New Roman"/>
          <w:sz w:val="28"/>
          <w:szCs w:val="28"/>
          <w:lang w:val="uk-UA"/>
        </w:rPr>
        <w:t>].</w:t>
      </w:r>
    </w:p>
    <w:p w:rsidR="00FF4AD2" w:rsidRPr="00ED4A27" w:rsidRDefault="00B41173" w:rsidP="007D7A0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Дисл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дем</w:t>
      </w:r>
      <w:r>
        <w:rPr>
          <w:rFonts w:ascii="Times New Roman" w:hAnsi="Times New Roman" w:cs="Times New Roman"/>
          <w:sz w:val="28"/>
          <w:szCs w:val="28"/>
          <w:lang w:val="en-US"/>
        </w:rPr>
        <w:t>i</w:t>
      </w:r>
      <w:r w:rsidR="00513991" w:rsidRPr="00B77A4F">
        <w:rPr>
          <w:rFonts w:ascii="Times New Roman" w:hAnsi="Times New Roman" w:cs="Times New Roman"/>
          <w:sz w:val="28"/>
          <w:szCs w:val="28"/>
          <w:lang w:val="uk-UA"/>
        </w:rPr>
        <w:t xml:space="preserve">я є </w:t>
      </w:r>
      <w:r>
        <w:rPr>
          <w:rFonts w:ascii="Times New Roman" w:hAnsi="Times New Roman" w:cs="Times New Roman"/>
          <w:sz w:val="28"/>
          <w:szCs w:val="28"/>
          <w:lang w:val="uk-UA"/>
        </w:rPr>
        <w:t xml:space="preserve">одним </w:t>
      </w:r>
      <w:r>
        <w:rPr>
          <w:rFonts w:ascii="Times New Roman" w:hAnsi="Times New Roman" w:cs="Times New Roman"/>
          <w:sz w:val="28"/>
          <w:szCs w:val="28"/>
          <w:lang w:val="en-US"/>
        </w:rPr>
        <w:t>i</w:t>
      </w:r>
      <w:r>
        <w:rPr>
          <w:rFonts w:ascii="Times New Roman" w:hAnsi="Times New Roman" w:cs="Times New Roman"/>
          <w:sz w:val="28"/>
          <w:szCs w:val="28"/>
          <w:lang w:val="uk-UA"/>
        </w:rPr>
        <w:t>з метабол</w:t>
      </w:r>
      <w:r>
        <w:rPr>
          <w:rFonts w:ascii="Times New Roman" w:hAnsi="Times New Roman" w:cs="Times New Roman"/>
          <w:sz w:val="28"/>
          <w:szCs w:val="28"/>
          <w:lang w:val="en-US"/>
        </w:rPr>
        <w:t>i</w:t>
      </w:r>
      <w:r w:rsidR="0099327D">
        <w:rPr>
          <w:rFonts w:ascii="Times New Roman" w:hAnsi="Times New Roman" w:cs="Times New Roman"/>
          <w:sz w:val="28"/>
          <w:szCs w:val="28"/>
          <w:lang w:val="uk-UA"/>
        </w:rPr>
        <w:t xml:space="preserve">чних порушень </w:t>
      </w:r>
      <w:r w:rsidR="00B2184A">
        <w:rPr>
          <w:rFonts w:ascii="Times New Roman" w:hAnsi="Times New Roman" w:cs="Times New Roman"/>
          <w:sz w:val="28"/>
          <w:szCs w:val="28"/>
          <w:lang w:val="uk-UA"/>
        </w:rPr>
        <w:t>у хворих на поєднану</w:t>
      </w:r>
      <w:r>
        <w:rPr>
          <w:rFonts w:ascii="Times New Roman" w:hAnsi="Times New Roman" w:cs="Times New Roman"/>
          <w:sz w:val="28"/>
          <w:szCs w:val="28"/>
          <w:lang w:val="uk-UA"/>
        </w:rPr>
        <w:t xml:space="preserve"> патолог</w:t>
      </w:r>
      <w:r>
        <w:rPr>
          <w:rFonts w:ascii="Times New Roman" w:hAnsi="Times New Roman" w:cs="Times New Roman"/>
          <w:sz w:val="28"/>
          <w:szCs w:val="28"/>
          <w:lang w:val="en-US"/>
        </w:rPr>
        <w:t>i</w:t>
      </w:r>
      <w:r w:rsidR="00513991" w:rsidRPr="00B77A4F">
        <w:rPr>
          <w:rFonts w:ascii="Times New Roman" w:hAnsi="Times New Roman" w:cs="Times New Roman"/>
          <w:sz w:val="28"/>
          <w:szCs w:val="28"/>
          <w:lang w:val="uk-UA"/>
        </w:rPr>
        <w:t xml:space="preserve">ю – </w:t>
      </w:r>
      <w:r w:rsidR="009351F4">
        <w:rPr>
          <w:rFonts w:ascii="Times New Roman" w:hAnsi="Times New Roman" w:cs="Times New Roman"/>
          <w:sz w:val="28"/>
          <w:szCs w:val="28"/>
          <w:lang w:val="uk-UA"/>
        </w:rPr>
        <w:t>АГ та ЦД 2-го типу</w:t>
      </w:r>
      <w:r w:rsidR="00513991" w:rsidRPr="00B77A4F">
        <w:rPr>
          <w:rFonts w:ascii="Times New Roman" w:hAnsi="Times New Roman" w:cs="Times New Roman"/>
          <w:sz w:val="28"/>
          <w:szCs w:val="28"/>
          <w:lang w:val="uk-UA"/>
        </w:rPr>
        <w:t>.</w:t>
      </w:r>
      <w:r w:rsidR="004D6F1B">
        <w:rPr>
          <w:rFonts w:ascii="Times New Roman" w:hAnsi="Times New Roman" w:cs="Times New Roman"/>
          <w:sz w:val="28"/>
          <w:szCs w:val="28"/>
          <w:lang w:val="uk-UA"/>
        </w:rPr>
        <w:t xml:space="preserve"> А</w:t>
      </w:r>
      <w:r>
        <w:rPr>
          <w:rFonts w:ascii="Times New Roman" w:hAnsi="Times New Roman" w:cs="Times New Roman"/>
          <w:sz w:val="28"/>
          <w:szCs w:val="28"/>
          <w:lang w:val="uk-UA"/>
        </w:rPr>
        <w:t>нг</w:t>
      </w:r>
      <w:r>
        <w:rPr>
          <w:rFonts w:ascii="Times New Roman" w:hAnsi="Times New Roman" w:cs="Times New Roman"/>
          <w:sz w:val="28"/>
          <w:szCs w:val="28"/>
          <w:lang w:val="en-US"/>
        </w:rPr>
        <w:t>i</w:t>
      </w:r>
      <w:r>
        <w:rPr>
          <w:rFonts w:ascii="Times New Roman" w:hAnsi="Times New Roman" w:cs="Times New Roman"/>
          <w:sz w:val="28"/>
          <w:szCs w:val="28"/>
          <w:lang w:val="uk-UA"/>
        </w:rPr>
        <w:t>опат</w:t>
      </w:r>
      <w:r>
        <w:rPr>
          <w:rFonts w:ascii="Times New Roman" w:hAnsi="Times New Roman" w:cs="Times New Roman"/>
          <w:sz w:val="28"/>
          <w:szCs w:val="28"/>
          <w:lang w:val="en-US"/>
        </w:rPr>
        <w:t>i</w:t>
      </w:r>
      <w:r>
        <w:rPr>
          <w:rFonts w:ascii="Times New Roman" w:hAnsi="Times New Roman" w:cs="Times New Roman"/>
          <w:sz w:val="28"/>
          <w:szCs w:val="28"/>
          <w:lang w:val="uk-UA"/>
        </w:rPr>
        <w:t>я внасл</w:t>
      </w:r>
      <w:r>
        <w:rPr>
          <w:rFonts w:ascii="Times New Roman" w:hAnsi="Times New Roman" w:cs="Times New Roman"/>
          <w:sz w:val="28"/>
          <w:szCs w:val="28"/>
          <w:lang w:val="en-US"/>
        </w:rPr>
        <w:t>i</w:t>
      </w:r>
      <w:r>
        <w:rPr>
          <w:rFonts w:ascii="Times New Roman" w:hAnsi="Times New Roman" w:cs="Times New Roman"/>
          <w:sz w:val="28"/>
          <w:szCs w:val="28"/>
          <w:lang w:val="uk-UA"/>
        </w:rPr>
        <w:t>док дисл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дем</w:t>
      </w:r>
      <w:r>
        <w:rPr>
          <w:rFonts w:ascii="Times New Roman" w:hAnsi="Times New Roman" w:cs="Times New Roman"/>
          <w:sz w:val="28"/>
          <w:szCs w:val="28"/>
          <w:lang w:val="en-US"/>
        </w:rPr>
        <w:t>i</w:t>
      </w:r>
      <w:r w:rsidR="00574A3D" w:rsidRPr="00B77A4F">
        <w:rPr>
          <w:rFonts w:ascii="Times New Roman" w:hAnsi="Times New Roman" w:cs="Times New Roman"/>
          <w:sz w:val="28"/>
          <w:szCs w:val="28"/>
          <w:lang w:val="uk-UA"/>
        </w:rPr>
        <w:t xml:space="preserve">ї </w:t>
      </w:r>
      <w:r w:rsidR="00DC0E3E">
        <w:rPr>
          <w:rFonts w:ascii="Times New Roman" w:hAnsi="Times New Roman" w:cs="Times New Roman"/>
          <w:sz w:val="28"/>
          <w:szCs w:val="28"/>
          <w:lang w:val="uk-UA"/>
        </w:rPr>
        <w:t xml:space="preserve">– це </w:t>
      </w:r>
      <w:r w:rsidR="00574A3D" w:rsidRPr="00B77A4F">
        <w:rPr>
          <w:rFonts w:ascii="Times New Roman" w:hAnsi="Times New Roman" w:cs="Times New Roman"/>
          <w:sz w:val="28"/>
          <w:szCs w:val="28"/>
          <w:lang w:val="uk-UA"/>
        </w:rPr>
        <w:t>зв</w:t>
      </w:r>
      <w:r w:rsidR="0099327D">
        <w:rPr>
          <w:rFonts w:ascii="Times New Roman" w:hAnsi="Times New Roman" w:cs="Times New Roman"/>
          <w:sz w:val="28"/>
          <w:szCs w:val="28"/>
          <w:lang w:val="uk-UA"/>
        </w:rPr>
        <w:t>ʼ</w:t>
      </w:r>
      <w:r w:rsidR="00DC0E3E">
        <w:rPr>
          <w:rFonts w:ascii="Times New Roman" w:hAnsi="Times New Roman" w:cs="Times New Roman"/>
          <w:sz w:val="28"/>
          <w:szCs w:val="28"/>
          <w:lang w:val="uk-UA"/>
        </w:rPr>
        <w:t>язувальна ланка</w:t>
      </w:r>
      <w:r>
        <w:rPr>
          <w:rFonts w:ascii="Times New Roman" w:hAnsi="Times New Roman" w:cs="Times New Roman"/>
          <w:sz w:val="28"/>
          <w:szCs w:val="28"/>
          <w:lang w:val="uk-UA"/>
        </w:rPr>
        <w:t xml:space="preserve"> м</w:t>
      </w:r>
      <w:r>
        <w:rPr>
          <w:rFonts w:ascii="Times New Roman" w:hAnsi="Times New Roman" w:cs="Times New Roman"/>
          <w:sz w:val="28"/>
          <w:szCs w:val="28"/>
          <w:lang w:val="en-US"/>
        </w:rPr>
        <w:t>i</w:t>
      </w:r>
      <w:r>
        <w:rPr>
          <w:rFonts w:ascii="Times New Roman" w:hAnsi="Times New Roman" w:cs="Times New Roman"/>
          <w:sz w:val="28"/>
          <w:szCs w:val="28"/>
          <w:lang w:val="uk-UA"/>
        </w:rPr>
        <w:t>ж ЦД 2-го типу та кард</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оваскулярними захорюваннями </w:t>
      </w:r>
      <w:r>
        <w:rPr>
          <w:rFonts w:ascii="Times New Roman" w:hAnsi="Times New Roman" w:cs="Times New Roman"/>
          <w:sz w:val="28"/>
          <w:szCs w:val="28"/>
          <w:lang w:val="en-US"/>
        </w:rPr>
        <w:t>i</w:t>
      </w:r>
      <w:r w:rsidR="00574A3D" w:rsidRPr="00B77A4F">
        <w:rPr>
          <w:rFonts w:ascii="Times New Roman" w:hAnsi="Times New Roman" w:cs="Times New Roman"/>
          <w:sz w:val="28"/>
          <w:szCs w:val="28"/>
          <w:lang w:val="uk-UA"/>
        </w:rPr>
        <w:t xml:space="preserve"> фактор ризику розвитку ССУ</w:t>
      </w:r>
      <w:r w:rsidR="00A4755B" w:rsidRPr="00A4755B">
        <w:rPr>
          <w:rFonts w:ascii="Times New Roman" w:hAnsi="Times New Roman" w:cs="Times New Roman"/>
          <w:sz w:val="28"/>
          <w:szCs w:val="28"/>
          <w:lang w:val="uk-UA"/>
        </w:rPr>
        <w:t xml:space="preserve"> [</w:t>
      </w:r>
      <w:r w:rsidR="00541249" w:rsidRPr="005C5DB7">
        <w:rPr>
          <w:rFonts w:ascii="Times New Roman" w:hAnsi="Times New Roman" w:cs="Times New Roman"/>
          <w:sz w:val="28"/>
          <w:szCs w:val="28"/>
          <w:lang w:val="uk-UA"/>
        </w:rPr>
        <w:t>172</w:t>
      </w:r>
      <w:r w:rsidR="00A4755B" w:rsidRPr="005C5DB7">
        <w:rPr>
          <w:rFonts w:ascii="Times New Roman" w:hAnsi="Times New Roman" w:cs="Times New Roman"/>
          <w:sz w:val="28"/>
          <w:szCs w:val="28"/>
          <w:lang w:val="uk-UA"/>
        </w:rPr>
        <w:t>]</w:t>
      </w:r>
      <w:r w:rsidR="00DC0E3E">
        <w:rPr>
          <w:rFonts w:ascii="Times New Roman" w:hAnsi="Times New Roman" w:cs="Times New Roman"/>
          <w:sz w:val="28"/>
          <w:szCs w:val="28"/>
          <w:lang w:val="uk-UA"/>
        </w:rPr>
        <w:t>. Зважаючи на це,</w:t>
      </w:r>
      <w:r w:rsidR="00574A3D" w:rsidRPr="00B77A4F">
        <w:rPr>
          <w:rFonts w:ascii="Times New Roman" w:hAnsi="Times New Roman" w:cs="Times New Roman"/>
          <w:sz w:val="28"/>
          <w:szCs w:val="28"/>
          <w:lang w:val="uk-UA"/>
        </w:rPr>
        <w:t xml:space="preserve"> питання кор</w:t>
      </w:r>
      <w:r>
        <w:rPr>
          <w:rFonts w:ascii="Times New Roman" w:hAnsi="Times New Roman" w:cs="Times New Roman"/>
          <w:sz w:val="28"/>
          <w:szCs w:val="28"/>
          <w:lang w:val="uk-UA"/>
        </w:rPr>
        <w:t>екц</w:t>
      </w:r>
      <w:r>
        <w:rPr>
          <w:rFonts w:ascii="Times New Roman" w:hAnsi="Times New Roman" w:cs="Times New Roman"/>
          <w:sz w:val="28"/>
          <w:szCs w:val="28"/>
          <w:lang w:val="en-US"/>
        </w:rPr>
        <w:t>i</w:t>
      </w:r>
      <w:r>
        <w:rPr>
          <w:rFonts w:ascii="Times New Roman" w:hAnsi="Times New Roman" w:cs="Times New Roman"/>
          <w:sz w:val="28"/>
          <w:szCs w:val="28"/>
          <w:lang w:val="uk-UA"/>
        </w:rPr>
        <w:t>ї порушень 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sidR="00DD55DF">
        <w:rPr>
          <w:rFonts w:ascii="Times New Roman" w:hAnsi="Times New Roman" w:cs="Times New Roman"/>
          <w:sz w:val="28"/>
          <w:szCs w:val="28"/>
          <w:lang w:val="uk-UA"/>
        </w:rPr>
        <w:t>дного спектр</w:t>
      </w:r>
      <w:r w:rsidR="0099327D">
        <w:rPr>
          <w:rFonts w:ascii="Times New Roman" w:hAnsi="Times New Roman" w:cs="Times New Roman"/>
          <w:sz w:val="28"/>
          <w:szCs w:val="28"/>
          <w:lang w:val="uk-UA"/>
        </w:rPr>
        <w:t>а</w:t>
      </w:r>
      <w:r>
        <w:rPr>
          <w:rFonts w:ascii="Times New Roman" w:hAnsi="Times New Roman" w:cs="Times New Roman"/>
          <w:sz w:val="28"/>
          <w:szCs w:val="28"/>
          <w:lang w:val="uk-UA"/>
        </w:rPr>
        <w:t xml:space="preserve"> кров</w:t>
      </w:r>
      <w:r>
        <w:rPr>
          <w:rFonts w:ascii="Times New Roman" w:hAnsi="Times New Roman" w:cs="Times New Roman"/>
          <w:sz w:val="28"/>
          <w:szCs w:val="28"/>
          <w:lang w:val="en-US"/>
        </w:rPr>
        <w:t>i</w:t>
      </w:r>
      <w:r w:rsidR="00574A3D" w:rsidRPr="00B77A4F">
        <w:rPr>
          <w:rFonts w:ascii="Times New Roman" w:hAnsi="Times New Roman" w:cs="Times New Roman"/>
          <w:sz w:val="28"/>
          <w:szCs w:val="28"/>
          <w:lang w:val="uk-UA"/>
        </w:rPr>
        <w:t xml:space="preserve"> є важливим та актуальним.</w:t>
      </w:r>
      <w:r>
        <w:rPr>
          <w:rFonts w:ascii="Times New Roman" w:hAnsi="Times New Roman" w:cs="Times New Roman"/>
          <w:sz w:val="28"/>
          <w:szCs w:val="28"/>
          <w:lang w:val="uk-UA"/>
        </w:rPr>
        <w:t xml:space="preserve"> Зг</w:t>
      </w:r>
      <w:r>
        <w:rPr>
          <w:rFonts w:ascii="Times New Roman" w:hAnsi="Times New Roman" w:cs="Times New Roman"/>
          <w:sz w:val="28"/>
          <w:szCs w:val="28"/>
          <w:lang w:val="en-US"/>
        </w:rPr>
        <w:t>i</w:t>
      </w:r>
      <w:r w:rsidR="009658F4" w:rsidRPr="00B77A4F">
        <w:rPr>
          <w:rFonts w:ascii="Times New Roman" w:hAnsi="Times New Roman" w:cs="Times New Roman"/>
          <w:sz w:val="28"/>
          <w:szCs w:val="28"/>
          <w:lang w:val="uk-UA"/>
        </w:rPr>
        <w:t>дно</w:t>
      </w:r>
      <w:r w:rsidR="00A675A2">
        <w:rPr>
          <w:rFonts w:ascii="Times New Roman" w:hAnsi="Times New Roman" w:cs="Times New Roman"/>
          <w:sz w:val="28"/>
          <w:szCs w:val="28"/>
          <w:lang w:val="uk-UA"/>
        </w:rPr>
        <w:t xml:space="preserve"> </w:t>
      </w:r>
      <w:r w:rsidR="009658F4" w:rsidRPr="00B77A4F">
        <w:rPr>
          <w:rFonts w:ascii="Times New Roman" w:hAnsi="Times New Roman" w:cs="Times New Roman"/>
          <w:sz w:val="28"/>
          <w:szCs w:val="28"/>
          <w:lang w:val="uk-UA"/>
        </w:rPr>
        <w:t xml:space="preserve"> рекоме</w:t>
      </w:r>
      <w:r>
        <w:rPr>
          <w:rFonts w:ascii="Times New Roman" w:hAnsi="Times New Roman" w:cs="Times New Roman"/>
          <w:sz w:val="28"/>
          <w:szCs w:val="28"/>
          <w:lang w:val="uk-UA"/>
        </w:rPr>
        <w:t>ндац</w:t>
      </w:r>
      <w:r>
        <w:rPr>
          <w:rFonts w:ascii="Times New Roman" w:hAnsi="Times New Roman" w:cs="Times New Roman"/>
          <w:sz w:val="28"/>
          <w:szCs w:val="28"/>
          <w:lang w:val="en-US"/>
        </w:rPr>
        <w:t>i</w:t>
      </w:r>
      <w:r w:rsidR="00A675A2">
        <w:rPr>
          <w:rFonts w:ascii="Times New Roman" w:hAnsi="Times New Roman" w:cs="Times New Roman"/>
          <w:sz w:val="28"/>
          <w:szCs w:val="28"/>
          <w:lang w:val="uk-UA"/>
        </w:rPr>
        <w:t>й</w:t>
      </w:r>
      <w:r>
        <w:rPr>
          <w:rFonts w:ascii="Times New Roman" w:hAnsi="Times New Roman" w:cs="Times New Roman"/>
          <w:sz w:val="28"/>
          <w:szCs w:val="28"/>
          <w:lang w:val="uk-UA"/>
        </w:rPr>
        <w:t xml:space="preserve"> Американської асоц</w:t>
      </w:r>
      <w:r>
        <w:rPr>
          <w:rFonts w:ascii="Times New Roman" w:hAnsi="Times New Roman" w:cs="Times New Roman"/>
          <w:sz w:val="28"/>
          <w:szCs w:val="28"/>
          <w:lang w:val="en-US"/>
        </w:rPr>
        <w:t>i</w:t>
      </w:r>
      <w:r>
        <w:rPr>
          <w:rFonts w:ascii="Times New Roman" w:hAnsi="Times New Roman" w:cs="Times New Roman"/>
          <w:sz w:val="28"/>
          <w:szCs w:val="28"/>
          <w:lang w:val="uk-UA"/>
        </w:rPr>
        <w:t>ац</w:t>
      </w:r>
      <w:r>
        <w:rPr>
          <w:rFonts w:ascii="Times New Roman" w:hAnsi="Times New Roman" w:cs="Times New Roman"/>
          <w:sz w:val="28"/>
          <w:szCs w:val="28"/>
          <w:lang w:val="en-US"/>
        </w:rPr>
        <w:t>i</w:t>
      </w:r>
      <w:r w:rsidR="0099327D">
        <w:rPr>
          <w:rFonts w:ascii="Times New Roman" w:hAnsi="Times New Roman" w:cs="Times New Roman"/>
          <w:sz w:val="28"/>
          <w:szCs w:val="28"/>
          <w:lang w:val="uk-UA"/>
        </w:rPr>
        <w:t>ї д</w:t>
      </w:r>
      <w:r>
        <w:rPr>
          <w:rFonts w:ascii="Times New Roman" w:hAnsi="Times New Roman" w:cs="Times New Roman"/>
          <w:sz w:val="28"/>
          <w:szCs w:val="28"/>
          <w:lang w:val="en-US"/>
        </w:rPr>
        <w:t>i</w:t>
      </w:r>
      <w:r w:rsidR="009658F4" w:rsidRPr="00B77A4F">
        <w:rPr>
          <w:rFonts w:ascii="Times New Roman" w:hAnsi="Times New Roman" w:cs="Times New Roman"/>
          <w:sz w:val="28"/>
          <w:szCs w:val="28"/>
          <w:lang w:val="uk-UA"/>
        </w:rPr>
        <w:t>абету</w:t>
      </w:r>
      <w:r w:rsidR="007D7A07" w:rsidRPr="007D7A07">
        <w:rPr>
          <w:rFonts w:ascii="Times New Roman" w:hAnsi="Times New Roman" w:cs="Times New Roman"/>
          <w:sz w:val="28"/>
          <w:szCs w:val="28"/>
          <w:lang w:val="uk-UA"/>
        </w:rPr>
        <w:t xml:space="preserve"> (ADA</w:t>
      </w:r>
      <w:r w:rsidR="007D7A07">
        <w:rPr>
          <w:rFonts w:ascii="Times New Roman" w:hAnsi="Times New Roman" w:cs="Times New Roman"/>
          <w:sz w:val="28"/>
          <w:szCs w:val="28"/>
          <w:lang w:val="uk-UA"/>
        </w:rPr>
        <w:t>, 2014)</w:t>
      </w:r>
      <w:r w:rsidR="009658F4" w:rsidRPr="00B77A4F">
        <w:rPr>
          <w:rFonts w:ascii="Times New Roman" w:hAnsi="Times New Roman" w:cs="Times New Roman"/>
          <w:sz w:val="28"/>
          <w:szCs w:val="28"/>
          <w:lang w:val="uk-UA"/>
        </w:rPr>
        <w:t xml:space="preserve"> статини є препаратами вибору для досягнення </w:t>
      </w:r>
      <w:r w:rsidR="00E0541B" w:rsidRPr="00B77A4F">
        <w:rPr>
          <w:rFonts w:ascii="Times New Roman" w:hAnsi="Times New Roman" w:cs="Times New Roman"/>
          <w:sz w:val="28"/>
          <w:szCs w:val="28"/>
          <w:lang w:val="uk-UA"/>
        </w:rPr>
        <w:t>ц</w:t>
      </w:r>
      <w:r>
        <w:rPr>
          <w:rFonts w:ascii="Times New Roman" w:hAnsi="Times New Roman" w:cs="Times New Roman"/>
          <w:sz w:val="28"/>
          <w:szCs w:val="28"/>
          <w:lang w:val="en-US"/>
        </w:rPr>
        <w:t>i</w:t>
      </w:r>
      <w:r>
        <w:rPr>
          <w:rFonts w:ascii="Times New Roman" w:hAnsi="Times New Roman" w:cs="Times New Roman"/>
          <w:sz w:val="28"/>
          <w:szCs w:val="28"/>
          <w:lang w:val="uk-UA"/>
        </w:rPr>
        <w:t>льових показник</w:t>
      </w:r>
      <w:r>
        <w:rPr>
          <w:rFonts w:ascii="Times New Roman" w:hAnsi="Times New Roman" w:cs="Times New Roman"/>
          <w:sz w:val="28"/>
          <w:szCs w:val="28"/>
          <w:lang w:val="en-US"/>
        </w:rPr>
        <w:t>i</w:t>
      </w:r>
      <w:r>
        <w:rPr>
          <w:rFonts w:ascii="Times New Roman" w:hAnsi="Times New Roman" w:cs="Times New Roman"/>
          <w:sz w:val="28"/>
          <w:szCs w:val="28"/>
          <w:lang w:val="uk-UA"/>
        </w:rPr>
        <w:t>в 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sidR="009658F4" w:rsidRPr="00B77A4F">
        <w:rPr>
          <w:rFonts w:ascii="Times New Roman" w:hAnsi="Times New Roman" w:cs="Times New Roman"/>
          <w:sz w:val="28"/>
          <w:szCs w:val="28"/>
          <w:lang w:val="uk-UA"/>
        </w:rPr>
        <w:t>дного спектр</w:t>
      </w:r>
      <w:r>
        <w:rPr>
          <w:rFonts w:ascii="Times New Roman" w:hAnsi="Times New Roman" w:cs="Times New Roman"/>
          <w:sz w:val="28"/>
          <w:szCs w:val="28"/>
          <w:lang w:val="uk-UA"/>
        </w:rPr>
        <w:t>а кров</w:t>
      </w:r>
      <w:r>
        <w:rPr>
          <w:rFonts w:ascii="Times New Roman" w:hAnsi="Times New Roman" w:cs="Times New Roman"/>
          <w:sz w:val="28"/>
          <w:szCs w:val="28"/>
          <w:lang w:val="en-US"/>
        </w:rPr>
        <w:t>i</w:t>
      </w:r>
      <w:r w:rsidR="0099327D">
        <w:rPr>
          <w:rFonts w:ascii="Times New Roman" w:hAnsi="Times New Roman" w:cs="Times New Roman"/>
          <w:sz w:val="28"/>
          <w:szCs w:val="28"/>
          <w:lang w:val="uk-UA"/>
        </w:rPr>
        <w:t xml:space="preserve"> </w:t>
      </w:r>
      <w:r w:rsidR="00B2184A">
        <w:rPr>
          <w:rFonts w:ascii="Times New Roman" w:hAnsi="Times New Roman" w:cs="Times New Roman"/>
          <w:sz w:val="28"/>
          <w:szCs w:val="28"/>
          <w:lang w:val="uk-UA"/>
        </w:rPr>
        <w:t xml:space="preserve">у пацієнтів </w:t>
      </w:r>
      <w:r>
        <w:rPr>
          <w:rFonts w:ascii="Times New Roman" w:hAnsi="Times New Roman" w:cs="Times New Roman"/>
          <w:sz w:val="28"/>
          <w:szCs w:val="28"/>
          <w:lang w:val="en-US"/>
        </w:rPr>
        <w:t>i</w:t>
      </w:r>
      <w:r w:rsidR="009658F4" w:rsidRPr="00B77A4F">
        <w:rPr>
          <w:rFonts w:ascii="Times New Roman" w:hAnsi="Times New Roman" w:cs="Times New Roman"/>
          <w:sz w:val="28"/>
          <w:szCs w:val="28"/>
          <w:lang w:val="uk-UA"/>
        </w:rPr>
        <w:t>з ЦД 2-го тип</w:t>
      </w:r>
      <w:r w:rsidR="00D55565" w:rsidRPr="00B77A4F">
        <w:rPr>
          <w:rFonts w:ascii="Times New Roman" w:hAnsi="Times New Roman" w:cs="Times New Roman"/>
          <w:sz w:val="28"/>
          <w:szCs w:val="28"/>
          <w:lang w:val="uk-UA"/>
        </w:rPr>
        <w:t>у</w:t>
      </w:r>
      <w:r w:rsidR="00AF0245">
        <w:rPr>
          <w:rFonts w:ascii="Times New Roman" w:hAnsi="Times New Roman" w:cs="Times New Roman"/>
          <w:sz w:val="28"/>
          <w:szCs w:val="28"/>
          <w:lang w:val="uk-UA"/>
        </w:rPr>
        <w:t xml:space="preserve">. </w:t>
      </w:r>
      <w:r w:rsidR="003B4D1D">
        <w:rPr>
          <w:rFonts w:ascii="Times New Roman" w:hAnsi="Times New Roman" w:cs="Times New Roman"/>
          <w:sz w:val="28"/>
          <w:szCs w:val="28"/>
          <w:lang w:val="uk-UA"/>
        </w:rPr>
        <w:t xml:space="preserve">Їх </w:t>
      </w:r>
      <w:r>
        <w:rPr>
          <w:rFonts w:ascii="Times New Roman" w:hAnsi="Times New Roman" w:cs="Times New Roman"/>
          <w:sz w:val="28"/>
          <w:szCs w:val="28"/>
          <w:lang w:val="uk-UA"/>
        </w:rPr>
        <w:t>необх</w:t>
      </w:r>
      <w:r>
        <w:rPr>
          <w:rFonts w:ascii="Times New Roman" w:hAnsi="Times New Roman" w:cs="Times New Roman"/>
          <w:sz w:val="28"/>
          <w:szCs w:val="28"/>
          <w:lang w:val="en-US"/>
        </w:rPr>
        <w:t>i</w:t>
      </w:r>
      <w:r w:rsidR="0099327D">
        <w:rPr>
          <w:rFonts w:ascii="Times New Roman" w:hAnsi="Times New Roman" w:cs="Times New Roman"/>
          <w:sz w:val="28"/>
          <w:szCs w:val="28"/>
          <w:lang w:val="uk-UA"/>
        </w:rPr>
        <w:t>дно</w:t>
      </w:r>
      <w:r w:rsidR="007D7A07" w:rsidRPr="007D7A07">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призначати вс</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м </w:t>
      </w:r>
      <w:r w:rsidR="00B2184A">
        <w:rPr>
          <w:rFonts w:ascii="Times New Roman" w:hAnsi="Times New Roman" w:cs="Times New Roman"/>
          <w:sz w:val="28"/>
          <w:szCs w:val="28"/>
          <w:lang w:val="uk-UA"/>
        </w:rPr>
        <w:t xml:space="preserve">хворим </w:t>
      </w:r>
      <w:r w:rsidR="007D7A07">
        <w:rPr>
          <w:rFonts w:ascii="Times New Roman" w:hAnsi="Times New Roman" w:cs="Times New Roman"/>
          <w:sz w:val="28"/>
          <w:szCs w:val="28"/>
          <w:lang w:val="uk-UA"/>
        </w:rPr>
        <w:t>неза</w:t>
      </w:r>
      <w:r>
        <w:rPr>
          <w:rFonts w:ascii="Times New Roman" w:hAnsi="Times New Roman" w:cs="Times New Roman"/>
          <w:sz w:val="28"/>
          <w:szCs w:val="28"/>
          <w:lang w:val="uk-UA"/>
        </w:rPr>
        <w:t>лежно 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 початкового </w:t>
      </w:r>
      <w:r w:rsidR="00C626B7">
        <w:rPr>
          <w:rFonts w:ascii="Times New Roman" w:hAnsi="Times New Roman" w:cs="Times New Roman"/>
          <w:sz w:val="28"/>
          <w:szCs w:val="28"/>
          <w:lang w:val="uk-UA"/>
        </w:rPr>
        <w:t xml:space="preserve">вмісту </w:t>
      </w:r>
      <w:r>
        <w:rPr>
          <w:rFonts w:ascii="Times New Roman" w:hAnsi="Times New Roman" w:cs="Times New Roman"/>
          <w:sz w:val="28"/>
          <w:szCs w:val="28"/>
          <w:lang w:val="uk-UA"/>
        </w:rPr>
        <w:t>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w:t>
      </w:r>
      <w:r>
        <w:rPr>
          <w:rFonts w:ascii="Times New Roman" w:hAnsi="Times New Roman" w:cs="Times New Roman"/>
          <w:sz w:val="28"/>
          <w:szCs w:val="28"/>
          <w:lang w:val="en-US"/>
        </w:rPr>
        <w:t>i</w:t>
      </w:r>
      <w:r w:rsidR="007D7A07">
        <w:rPr>
          <w:rFonts w:ascii="Times New Roman" w:hAnsi="Times New Roman" w:cs="Times New Roman"/>
          <w:sz w:val="28"/>
          <w:szCs w:val="28"/>
          <w:lang w:val="uk-UA"/>
        </w:rPr>
        <w:t>в крові, якщо</w:t>
      </w:r>
      <w:r>
        <w:rPr>
          <w:rFonts w:ascii="Times New Roman" w:hAnsi="Times New Roman" w:cs="Times New Roman"/>
          <w:sz w:val="28"/>
          <w:szCs w:val="28"/>
          <w:lang w:val="uk-UA"/>
        </w:rPr>
        <w:t xml:space="preserve"> є кл</w:t>
      </w:r>
      <w:r>
        <w:rPr>
          <w:rFonts w:ascii="Times New Roman" w:hAnsi="Times New Roman" w:cs="Times New Roman"/>
          <w:sz w:val="28"/>
          <w:szCs w:val="28"/>
          <w:lang w:val="en-US"/>
        </w:rPr>
        <w:t>i</w:t>
      </w:r>
      <w:r>
        <w:rPr>
          <w:rFonts w:ascii="Times New Roman" w:hAnsi="Times New Roman" w:cs="Times New Roman"/>
          <w:sz w:val="28"/>
          <w:szCs w:val="28"/>
          <w:lang w:val="uk-UA"/>
        </w:rPr>
        <w:t>н</w:t>
      </w:r>
      <w:r>
        <w:rPr>
          <w:rFonts w:ascii="Times New Roman" w:hAnsi="Times New Roman" w:cs="Times New Roman"/>
          <w:sz w:val="28"/>
          <w:szCs w:val="28"/>
          <w:lang w:val="en-US"/>
        </w:rPr>
        <w:t>i</w:t>
      </w:r>
      <w:r w:rsidR="0099327D">
        <w:rPr>
          <w:rFonts w:ascii="Times New Roman" w:hAnsi="Times New Roman" w:cs="Times New Roman"/>
          <w:sz w:val="28"/>
          <w:szCs w:val="28"/>
          <w:lang w:val="uk-UA"/>
        </w:rPr>
        <w:t>чно значущ</w:t>
      </w:r>
      <w:r w:rsidR="007D7A07">
        <w:rPr>
          <w:rFonts w:ascii="Times New Roman" w:hAnsi="Times New Roman" w:cs="Times New Roman"/>
          <w:sz w:val="28"/>
          <w:szCs w:val="28"/>
          <w:lang w:val="uk-UA"/>
        </w:rPr>
        <w:t>е ССЗ;</w:t>
      </w:r>
      <w:r>
        <w:rPr>
          <w:rFonts w:ascii="Times New Roman" w:hAnsi="Times New Roman" w:cs="Times New Roman"/>
          <w:sz w:val="28"/>
          <w:szCs w:val="28"/>
          <w:lang w:val="uk-UA"/>
        </w:rPr>
        <w:t xml:space="preserve"> у пац</w:t>
      </w:r>
      <w:r>
        <w:rPr>
          <w:rFonts w:ascii="Times New Roman" w:hAnsi="Times New Roman" w:cs="Times New Roman"/>
          <w:sz w:val="28"/>
          <w:szCs w:val="28"/>
          <w:lang w:val="en-US"/>
        </w:rPr>
        <w:t>i</w:t>
      </w:r>
      <w:r w:rsidR="007D7A07" w:rsidRPr="007D7A07">
        <w:rPr>
          <w:rFonts w:ascii="Times New Roman" w:hAnsi="Times New Roman" w:cs="Times New Roman"/>
          <w:sz w:val="28"/>
          <w:szCs w:val="28"/>
          <w:lang w:val="uk-UA"/>
        </w:rPr>
        <w:t>єнтів без к</w:t>
      </w:r>
      <w:r>
        <w:rPr>
          <w:rFonts w:ascii="Times New Roman" w:hAnsi="Times New Roman" w:cs="Times New Roman"/>
          <w:sz w:val="28"/>
          <w:szCs w:val="28"/>
          <w:lang w:val="uk-UA"/>
        </w:rPr>
        <w:t>л</w:t>
      </w:r>
      <w:r>
        <w:rPr>
          <w:rFonts w:ascii="Times New Roman" w:hAnsi="Times New Roman" w:cs="Times New Roman"/>
          <w:sz w:val="28"/>
          <w:szCs w:val="28"/>
          <w:lang w:val="en-US"/>
        </w:rPr>
        <w:t>i</w:t>
      </w:r>
      <w:r>
        <w:rPr>
          <w:rFonts w:ascii="Times New Roman" w:hAnsi="Times New Roman" w:cs="Times New Roman"/>
          <w:sz w:val="28"/>
          <w:szCs w:val="28"/>
          <w:lang w:val="uk-UA"/>
        </w:rPr>
        <w:t>н</w:t>
      </w:r>
      <w:r>
        <w:rPr>
          <w:rFonts w:ascii="Times New Roman" w:hAnsi="Times New Roman" w:cs="Times New Roman"/>
          <w:sz w:val="28"/>
          <w:szCs w:val="28"/>
          <w:lang w:val="en-US"/>
        </w:rPr>
        <w:t>i</w:t>
      </w:r>
      <w:r w:rsidR="0099327D">
        <w:rPr>
          <w:rFonts w:ascii="Times New Roman" w:hAnsi="Times New Roman" w:cs="Times New Roman"/>
          <w:sz w:val="28"/>
          <w:szCs w:val="28"/>
          <w:lang w:val="uk-UA"/>
        </w:rPr>
        <w:t>чно значущого</w:t>
      </w:r>
      <w:r>
        <w:rPr>
          <w:rFonts w:ascii="Times New Roman" w:hAnsi="Times New Roman" w:cs="Times New Roman"/>
          <w:sz w:val="28"/>
          <w:szCs w:val="28"/>
          <w:lang w:val="uk-UA"/>
        </w:rPr>
        <w:t xml:space="preserve"> ССЗ в</w:t>
      </w:r>
      <w:r>
        <w:rPr>
          <w:rFonts w:ascii="Times New Roman" w:hAnsi="Times New Roman" w:cs="Times New Roman"/>
          <w:sz w:val="28"/>
          <w:szCs w:val="28"/>
          <w:lang w:val="en-US"/>
        </w:rPr>
        <w:t>i</w:t>
      </w:r>
      <w:r w:rsidR="007D7A07">
        <w:rPr>
          <w:rFonts w:ascii="Times New Roman" w:hAnsi="Times New Roman" w:cs="Times New Roman"/>
          <w:sz w:val="28"/>
          <w:szCs w:val="28"/>
          <w:lang w:val="uk-UA"/>
        </w:rPr>
        <w:t>ком по</w:t>
      </w:r>
      <w:r w:rsidR="007D7A07" w:rsidRPr="007D7A07">
        <w:rPr>
          <w:rFonts w:ascii="Times New Roman" w:hAnsi="Times New Roman" w:cs="Times New Roman"/>
          <w:sz w:val="28"/>
          <w:szCs w:val="28"/>
          <w:lang w:val="uk-UA"/>
        </w:rPr>
        <w:t>над 40 років</w:t>
      </w:r>
      <w:r w:rsidR="0099327D">
        <w:rPr>
          <w:rFonts w:ascii="Times New Roman" w:hAnsi="Times New Roman" w:cs="Times New Roman"/>
          <w:sz w:val="28"/>
          <w:szCs w:val="28"/>
          <w:lang w:val="uk-UA"/>
        </w:rPr>
        <w:t xml:space="preserve"> −</w:t>
      </w:r>
      <w:r w:rsidR="007D7A07" w:rsidRPr="007D7A07">
        <w:rPr>
          <w:rFonts w:ascii="Times New Roman" w:hAnsi="Times New Roman" w:cs="Times New Roman"/>
          <w:sz w:val="28"/>
          <w:szCs w:val="28"/>
          <w:lang w:val="uk-UA"/>
        </w:rPr>
        <w:t xml:space="preserve"> </w:t>
      </w:r>
      <w:r w:rsidR="00CA578B">
        <w:rPr>
          <w:rFonts w:ascii="Times New Roman" w:hAnsi="Times New Roman" w:cs="Times New Roman"/>
          <w:sz w:val="28"/>
          <w:szCs w:val="28"/>
          <w:lang w:val="uk-UA"/>
        </w:rPr>
        <w:t xml:space="preserve">             </w:t>
      </w:r>
      <w:r w:rsidR="007D7A07" w:rsidRPr="007D7A07">
        <w:rPr>
          <w:rFonts w:ascii="Times New Roman" w:hAnsi="Times New Roman" w:cs="Times New Roman"/>
          <w:sz w:val="28"/>
          <w:szCs w:val="28"/>
          <w:lang w:val="uk-UA"/>
        </w:rPr>
        <w:t>за наявнос</w:t>
      </w:r>
      <w:r>
        <w:rPr>
          <w:rFonts w:ascii="Times New Roman" w:hAnsi="Times New Roman" w:cs="Times New Roman"/>
          <w:sz w:val="28"/>
          <w:szCs w:val="28"/>
          <w:lang w:val="uk-UA"/>
        </w:rPr>
        <w:t>т</w:t>
      </w:r>
      <w:r>
        <w:rPr>
          <w:rFonts w:ascii="Times New Roman" w:hAnsi="Times New Roman" w:cs="Times New Roman"/>
          <w:sz w:val="28"/>
          <w:szCs w:val="28"/>
          <w:lang w:val="en-US"/>
        </w:rPr>
        <w:t>i</w:t>
      </w:r>
      <w:r w:rsidR="007D7A07">
        <w:rPr>
          <w:rFonts w:ascii="Times New Roman" w:hAnsi="Times New Roman" w:cs="Times New Roman"/>
          <w:sz w:val="28"/>
          <w:szCs w:val="28"/>
          <w:lang w:val="uk-UA"/>
        </w:rPr>
        <w:t xml:space="preserve"> хоча б одного фактора ризику</w:t>
      </w:r>
      <w:r>
        <w:rPr>
          <w:rFonts w:ascii="Times New Roman" w:hAnsi="Times New Roman" w:cs="Times New Roman"/>
          <w:sz w:val="28"/>
          <w:szCs w:val="28"/>
          <w:lang w:val="uk-UA"/>
        </w:rPr>
        <w:t xml:space="preserve"> (АГ, дисл</w:t>
      </w:r>
      <w:r>
        <w:rPr>
          <w:rFonts w:ascii="Times New Roman" w:hAnsi="Times New Roman" w:cs="Times New Roman"/>
          <w:sz w:val="28"/>
          <w:szCs w:val="28"/>
          <w:lang w:val="en-US"/>
        </w:rPr>
        <w:t>i</w:t>
      </w: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дем</w:t>
      </w:r>
      <w:r>
        <w:rPr>
          <w:rFonts w:ascii="Times New Roman" w:hAnsi="Times New Roman" w:cs="Times New Roman"/>
          <w:sz w:val="28"/>
          <w:szCs w:val="28"/>
          <w:lang w:val="en-US"/>
        </w:rPr>
        <w:t>i</w:t>
      </w:r>
      <w:r w:rsidR="00B2184A">
        <w:rPr>
          <w:rFonts w:ascii="Times New Roman" w:hAnsi="Times New Roman" w:cs="Times New Roman"/>
          <w:sz w:val="28"/>
          <w:szCs w:val="28"/>
          <w:lang w:val="uk-UA"/>
        </w:rPr>
        <w:t>ї</w:t>
      </w:r>
      <w:r w:rsidR="007D7A07" w:rsidRPr="007D7A07">
        <w:rPr>
          <w:rFonts w:ascii="Times New Roman" w:hAnsi="Times New Roman" w:cs="Times New Roman"/>
          <w:sz w:val="28"/>
          <w:szCs w:val="28"/>
          <w:lang w:val="uk-UA"/>
        </w:rPr>
        <w:t xml:space="preserve">, </w:t>
      </w:r>
      <w:r>
        <w:rPr>
          <w:rFonts w:ascii="Times New Roman" w:hAnsi="Times New Roman" w:cs="Times New Roman"/>
          <w:sz w:val="28"/>
          <w:szCs w:val="28"/>
          <w:lang w:val="uk-UA"/>
        </w:rPr>
        <w:t>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7D7A07" w:rsidRPr="007D7A07">
        <w:rPr>
          <w:rFonts w:ascii="Times New Roman" w:hAnsi="Times New Roman" w:cs="Times New Roman"/>
          <w:sz w:val="28"/>
          <w:szCs w:val="28"/>
          <w:lang w:val="uk-UA"/>
        </w:rPr>
        <w:t>ї)</w:t>
      </w:r>
      <w:r w:rsidR="007D7A07">
        <w:rPr>
          <w:rFonts w:ascii="Times New Roman" w:hAnsi="Times New Roman" w:cs="Times New Roman"/>
          <w:sz w:val="28"/>
          <w:szCs w:val="28"/>
          <w:lang w:val="uk-UA"/>
        </w:rPr>
        <w:t xml:space="preserve"> </w:t>
      </w:r>
      <w:r w:rsidR="007D7A07" w:rsidRPr="007D7A07">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104</w:t>
      </w:r>
      <w:r w:rsidR="007D7A07" w:rsidRPr="002942F7">
        <w:rPr>
          <w:rFonts w:ascii="Times New Roman" w:hAnsi="Times New Roman" w:cs="Times New Roman"/>
          <w:sz w:val="28"/>
          <w:szCs w:val="28"/>
          <w:lang w:val="uk-UA"/>
        </w:rPr>
        <w:t>].</w:t>
      </w:r>
      <w:r w:rsidR="00DD2FFC" w:rsidRPr="00DD2FFC">
        <w:rPr>
          <w:rFonts w:ascii="Times New Roman" w:hAnsi="Times New Roman" w:cs="Times New Roman"/>
          <w:sz w:val="28"/>
          <w:szCs w:val="28"/>
          <w:lang w:val="uk-UA"/>
        </w:rPr>
        <w:t xml:space="preserve"> </w:t>
      </w:r>
    </w:p>
    <w:p w:rsidR="00980EDD" w:rsidRDefault="00B2184A" w:rsidP="00517E3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динаміки показників ліпідного профілю показало, </w:t>
      </w:r>
      <w:r w:rsidR="003D6E92">
        <w:rPr>
          <w:rFonts w:ascii="Times New Roman" w:hAnsi="Times New Roman" w:cs="Times New Roman"/>
          <w:sz w:val="28"/>
          <w:szCs w:val="28"/>
          <w:lang w:val="uk-UA"/>
        </w:rPr>
        <w:t xml:space="preserve">          </w:t>
      </w:r>
      <w:r>
        <w:rPr>
          <w:rFonts w:ascii="Times New Roman" w:hAnsi="Times New Roman" w:cs="Times New Roman"/>
          <w:sz w:val="28"/>
          <w:szCs w:val="28"/>
          <w:lang w:val="uk-UA"/>
        </w:rPr>
        <w:t>що у</w:t>
      </w:r>
      <w:r w:rsidR="00307130">
        <w:rPr>
          <w:rFonts w:ascii="Times New Roman" w:hAnsi="Times New Roman" w:cs="Times New Roman"/>
          <w:sz w:val="28"/>
          <w:szCs w:val="28"/>
          <w:lang w:val="uk-UA"/>
        </w:rPr>
        <w:t xml:space="preserve"> пац</w:t>
      </w:r>
      <w:r w:rsidR="00307130">
        <w:rPr>
          <w:rFonts w:ascii="Times New Roman" w:hAnsi="Times New Roman" w:cs="Times New Roman"/>
          <w:sz w:val="28"/>
          <w:szCs w:val="28"/>
          <w:lang w:val="en-US"/>
        </w:rPr>
        <w:t>i</w:t>
      </w:r>
      <w:r w:rsidR="00307130">
        <w:rPr>
          <w:rFonts w:ascii="Times New Roman" w:hAnsi="Times New Roman" w:cs="Times New Roman"/>
          <w:sz w:val="28"/>
          <w:szCs w:val="28"/>
          <w:lang w:val="uk-UA"/>
        </w:rPr>
        <w:t>єнт</w:t>
      </w:r>
      <w:r w:rsidR="00307130">
        <w:rPr>
          <w:rFonts w:ascii="Times New Roman" w:hAnsi="Times New Roman" w:cs="Times New Roman"/>
          <w:sz w:val="28"/>
          <w:szCs w:val="28"/>
          <w:lang w:val="en-US"/>
        </w:rPr>
        <w:t>i</w:t>
      </w:r>
      <w:r w:rsidR="00942EFF">
        <w:rPr>
          <w:rFonts w:ascii="Times New Roman" w:hAnsi="Times New Roman" w:cs="Times New Roman"/>
          <w:sz w:val="28"/>
          <w:szCs w:val="28"/>
          <w:lang w:val="uk-UA"/>
        </w:rPr>
        <w:t xml:space="preserve">в </w:t>
      </w:r>
      <w:r w:rsidR="00AF0245">
        <w:rPr>
          <w:rFonts w:ascii="Times New Roman" w:hAnsi="Times New Roman" w:cs="Times New Roman"/>
          <w:sz w:val="28"/>
          <w:szCs w:val="28"/>
          <w:lang w:val="uk-UA"/>
        </w:rPr>
        <w:t>і</w:t>
      </w:r>
      <w:r w:rsidR="00A208E5" w:rsidRPr="00067487">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АГ та </w:t>
      </w:r>
      <w:r w:rsidR="00A208E5" w:rsidRPr="00067487">
        <w:rPr>
          <w:rFonts w:ascii="Times New Roman" w:hAnsi="Times New Roman" w:cs="Times New Roman"/>
          <w:sz w:val="28"/>
          <w:szCs w:val="28"/>
          <w:lang w:val="uk-UA"/>
        </w:rPr>
        <w:t>ЦД 2</w:t>
      </w:r>
      <w:r w:rsidR="008E3D76" w:rsidRPr="00067487">
        <w:rPr>
          <w:rFonts w:ascii="Times New Roman" w:hAnsi="Times New Roman" w:cs="Times New Roman"/>
          <w:sz w:val="28"/>
          <w:szCs w:val="28"/>
          <w:lang w:val="uk-UA"/>
        </w:rPr>
        <w:t>-го</w:t>
      </w:r>
      <w:r w:rsidR="00942EFF">
        <w:rPr>
          <w:rFonts w:ascii="Times New Roman" w:hAnsi="Times New Roman" w:cs="Times New Roman"/>
          <w:sz w:val="28"/>
          <w:szCs w:val="28"/>
          <w:lang w:val="uk-UA"/>
        </w:rPr>
        <w:t xml:space="preserve"> типу</w:t>
      </w:r>
      <w:r w:rsidR="00307130">
        <w:rPr>
          <w:rFonts w:ascii="Times New Roman" w:hAnsi="Times New Roman" w:cs="Times New Roman"/>
          <w:sz w:val="28"/>
          <w:szCs w:val="28"/>
          <w:lang w:val="uk-UA"/>
        </w:rPr>
        <w:t xml:space="preserve"> до та п</w:t>
      </w:r>
      <w:r w:rsidR="00307130">
        <w:rPr>
          <w:rFonts w:ascii="Times New Roman" w:hAnsi="Times New Roman" w:cs="Times New Roman"/>
          <w:sz w:val="28"/>
          <w:szCs w:val="28"/>
          <w:lang w:val="en-US"/>
        </w:rPr>
        <w:t>i</w:t>
      </w:r>
      <w:r w:rsidR="00307130">
        <w:rPr>
          <w:rFonts w:ascii="Times New Roman" w:hAnsi="Times New Roman" w:cs="Times New Roman"/>
          <w:sz w:val="28"/>
          <w:szCs w:val="28"/>
          <w:lang w:val="uk-UA"/>
        </w:rPr>
        <w:t>сля л</w:t>
      </w:r>
      <w:r w:rsidR="00307130">
        <w:rPr>
          <w:rFonts w:ascii="Times New Roman" w:hAnsi="Times New Roman" w:cs="Times New Roman"/>
          <w:sz w:val="28"/>
          <w:szCs w:val="28"/>
          <w:lang w:val="en-US"/>
        </w:rPr>
        <w:t>i</w:t>
      </w:r>
      <w:r w:rsidR="00CF2943" w:rsidRPr="00067487">
        <w:rPr>
          <w:rFonts w:ascii="Times New Roman" w:hAnsi="Times New Roman" w:cs="Times New Roman"/>
          <w:sz w:val="28"/>
          <w:szCs w:val="28"/>
          <w:lang w:val="uk-UA"/>
        </w:rPr>
        <w:t>кув</w:t>
      </w:r>
      <w:r w:rsidR="00307130">
        <w:rPr>
          <w:rFonts w:ascii="Times New Roman" w:hAnsi="Times New Roman" w:cs="Times New Roman"/>
          <w:sz w:val="28"/>
          <w:szCs w:val="28"/>
          <w:lang w:val="uk-UA"/>
        </w:rPr>
        <w:t xml:space="preserve">ання </w:t>
      </w:r>
      <w:r>
        <w:rPr>
          <w:rFonts w:ascii="Times New Roman" w:hAnsi="Times New Roman" w:cs="Times New Roman"/>
          <w:sz w:val="28"/>
          <w:szCs w:val="28"/>
          <w:lang w:val="uk-UA"/>
        </w:rPr>
        <w:t xml:space="preserve">аторвастатином вміст </w:t>
      </w:r>
      <w:r w:rsidR="00ED4A27">
        <w:rPr>
          <w:rFonts w:ascii="Times New Roman" w:hAnsi="Times New Roman" w:cs="Times New Roman"/>
          <w:sz w:val="28"/>
          <w:szCs w:val="28"/>
          <w:lang w:val="uk-UA"/>
        </w:rPr>
        <w:t>ЗХС становив</w:t>
      </w:r>
      <w:r w:rsidR="00CF2943" w:rsidRPr="00067487">
        <w:rPr>
          <w:rFonts w:ascii="Times New Roman" w:hAnsi="Times New Roman" w:cs="Times New Roman"/>
          <w:sz w:val="28"/>
          <w:szCs w:val="28"/>
          <w:lang w:val="uk-UA"/>
        </w:rPr>
        <w:t xml:space="preserve"> (</w:t>
      </w:r>
      <w:r w:rsidR="00DA715F">
        <w:rPr>
          <w:rFonts w:ascii="Times New Roman" w:hAnsi="Times New Roman" w:cs="Times New Roman"/>
          <w:sz w:val="28"/>
          <w:szCs w:val="28"/>
          <w:lang w:val="uk-UA"/>
        </w:rPr>
        <w:t>5,22</w:t>
      </w:r>
      <w:r w:rsidR="00ED4A27">
        <w:rPr>
          <w:rFonts w:ascii="Times New Roman" w:hAnsi="Times New Roman" w:cs="Times New Roman"/>
          <w:sz w:val="28"/>
          <w:szCs w:val="28"/>
          <w:lang w:val="uk-UA"/>
        </w:rPr>
        <w:t xml:space="preserve"> </w:t>
      </w:r>
      <w:r w:rsidR="00DA715F">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DA715F" w:rsidRPr="00DA715F">
        <w:rPr>
          <w:rFonts w:ascii="Times New Roman" w:hAnsi="Times New Roman" w:cs="Times New Roman"/>
          <w:sz w:val="28"/>
          <w:szCs w:val="28"/>
          <w:lang w:val="uk-UA"/>
        </w:rPr>
        <w:t>0</w:t>
      </w:r>
      <w:r w:rsidR="00CF2943" w:rsidRPr="00067487">
        <w:rPr>
          <w:rFonts w:ascii="Times New Roman" w:hAnsi="Times New Roman" w:cs="Times New Roman"/>
          <w:sz w:val="28"/>
          <w:szCs w:val="28"/>
          <w:lang w:val="uk-UA"/>
        </w:rPr>
        <w:t>,</w:t>
      </w:r>
      <w:r w:rsidR="00C73BD4" w:rsidRPr="00C73BD4">
        <w:rPr>
          <w:rFonts w:ascii="Times New Roman" w:hAnsi="Times New Roman" w:cs="Times New Roman"/>
          <w:sz w:val="28"/>
          <w:szCs w:val="28"/>
          <w:lang w:val="uk-UA"/>
        </w:rPr>
        <w:t>1</w:t>
      </w:r>
      <w:r w:rsidR="00ED4A27">
        <w:rPr>
          <w:rFonts w:ascii="Times New Roman" w:hAnsi="Times New Roman" w:cs="Times New Roman"/>
          <w:sz w:val="28"/>
          <w:szCs w:val="28"/>
          <w:lang w:val="uk-UA"/>
        </w:rPr>
        <w:t>)</w:t>
      </w:r>
      <w:r w:rsidR="00DA715F">
        <w:rPr>
          <w:rFonts w:ascii="Times New Roman" w:hAnsi="Times New Roman" w:cs="Times New Roman"/>
          <w:sz w:val="28"/>
          <w:szCs w:val="28"/>
          <w:lang w:val="uk-UA"/>
        </w:rPr>
        <w:t>, (4,</w:t>
      </w:r>
      <w:r w:rsidR="00DA715F" w:rsidRPr="00DA715F">
        <w:rPr>
          <w:rFonts w:ascii="Times New Roman" w:hAnsi="Times New Roman" w:cs="Times New Roman"/>
          <w:sz w:val="28"/>
          <w:szCs w:val="28"/>
          <w:lang w:val="uk-UA"/>
        </w:rPr>
        <w:t>6</w:t>
      </w:r>
      <w:r w:rsidR="00ED4A27">
        <w:rPr>
          <w:rFonts w:ascii="Times New Roman" w:hAnsi="Times New Roman" w:cs="Times New Roman"/>
          <w:sz w:val="28"/>
          <w:szCs w:val="28"/>
          <w:lang w:val="uk-UA"/>
        </w:rPr>
        <w:t xml:space="preserve"> </w:t>
      </w:r>
      <w:r w:rsidR="00DA715F">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DA715F">
        <w:rPr>
          <w:rFonts w:ascii="Times New Roman" w:hAnsi="Times New Roman" w:cs="Times New Roman"/>
          <w:sz w:val="28"/>
          <w:szCs w:val="28"/>
          <w:lang w:val="uk-UA"/>
        </w:rPr>
        <w:t>0,</w:t>
      </w:r>
      <w:r w:rsidR="00C73BD4" w:rsidRPr="00C73BD4">
        <w:rPr>
          <w:rFonts w:ascii="Times New Roman" w:hAnsi="Times New Roman" w:cs="Times New Roman"/>
          <w:sz w:val="28"/>
          <w:szCs w:val="28"/>
          <w:lang w:val="uk-UA"/>
        </w:rPr>
        <w:t>21</w:t>
      </w:r>
      <w:r w:rsidR="00665437" w:rsidRPr="00DE3FD2">
        <w:rPr>
          <w:rFonts w:ascii="Times New Roman" w:hAnsi="Times New Roman" w:cs="Times New Roman"/>
          <w:sz w:val="28"/>
          <w:szCs w:val="28"/>
          <w:lang w:val="uk-UA"/>
        </w:rPr>
        <w:t>) ммоль/л,</w:t>
      </w:r>
      <w:r w:rsidR="00CF2943" w:rsidRPr="00DE3FD2">
        <w:rPr>
          <w:rFonts w:ascii="Times New Roman" w:hAnsi="Times New Roman" w:cs="Times New Roman"/>
          <w:sz w:val="28"/>
          <w:szCs w:val="28"/>
          <w:lang w:val="uk-UA"/>
        </w:rPr>
        <w:t xml:space="preserve"> </w:t>
      </w:r>
      <w:r w:rsidR="00CF2943" w:rsidRPr="00DA715F">
        <w:rPr>
          <w:rFonts w:ascii="Times New Roman" w:hAnsi="Times New Roman" w:cs="Times New Roman"/>
          <w:sz w:val="28"/>
          <w:szCs w:val="28"/>
          <w:lang w:val="en-US"/>
        </w:rPr>
        <w:t>p</w:t>
      </w:r>
      <w:r w:rsidR="00C73BD4">
        <w:rPr>
          <w:rFonts w:ascii="Times New Roman" w:hAnsi="Times New Roman" w:cs="Times New Roman"/>
          <w:sz w:val="28"/>
          <w:szCs w:val="28"/>
          <w:lang w:val="uk-UA"/>
        </w:rPr>
        <w:t xml:space="preserve"> = 0,0</w:t>
      </w:r>
      <w:r w:rsidR="00C73BD4" w:rsidRPr="00C73BD4">
        <w:rPr>
          <w:rFonts w:ascii="Times New Roman" w:hAnsi="Times New Roman" w:cs="Times New Roman"/>
          <w:sz w:val="28"/>
          <w:szCs w:val="28"/>
          <w:lang w:val="uk-UA"/>
        </w:rPr>
        <w:t>084</w:t>
      </w:r>
      <w:r w:rsidR="00A208E5" w:rsidRPr="00DA715F">
        <w:rPr>
          <w:rFonts w:ascii="Times New Roman" w:hAnsi="Times New Roman" w:cs="Times New Roman"/>
          <w:sz w:val="28"/>
          <w:szCs w:val="28"/>
          <w:lang w:val="uk-UA"/>
        </w:rPr>
        <w:t xml:space="preserve">; </w:t>
      </w:r>
      <w:r w:rsidR="003751BD">
        <w:rPr>
          <w:rFonts w:ascii="Times New Roman" w:hAnsi="Times New Roman" w:cs="Times New Roman"/>
          <w:sz w:val="28"/>
          <w:szCs w:val="28"/>
          <w:lang w:val="uk-UA"/>
        </w:rPr>
        <w:t xml:space="preserve">ХС </w:t>
      </w:r>
      <w:r w:rsidR="00067487" w:rsidRPr="00067487">
        <w:rPr>
          <w:rFonts w:ascii="Times New Roman" w:hAnsi="Times New Roman" w:cs="Times New Roman"/>
          <w:sz w:val="28"/>
          <w:szCs w:val="28"/>
          <w:lang w:val="uk-UA"/>
        </w:rPr>
        <w:t xml:space="preserve">ЛПВЩ </w:t>
      </w:r>
      <w:r w:rsidR="003D6E92">
        <w:rPr>
          <w:rFonts w:ascii="Times New Roman" w:hAnsi="Times New Roman" w:cs="Times New Roman"/>
          <w:sz w:val="28"/>
          <w:szCs w:val="28"/>
          <w:lang w:val="uk-UA"/>
        </w:rPr>
        <w:t xml:space="preserve">   </w:t>
      </w:r>
      <w:r w:rsidR="00067487" w:rsidRPr="00067487">
        <w:rPr>
          <w:rFonts w:ascii="Times New Roman" w:hAnsi="Times New Roman" w:cs="Times New Roman"/>
          <w:sz w:val="28"/>
          <w:szCs w:val="28"/>
          <w:lang w:val="uk-UA"/>
        </w:rPr>
        <w:t>– (1,1</w:t>
      </w:r>
      <w:r w:rsidR="00A94D2C" w:rsidRPr="00A94D2C">
        <w:rPr>
          <w:rFonts w:ascii="Times New Roman" w:hAnsi="Times New Roman" w:cs="Times New Roman"/>
          <w:sz w:val="28"/>
          <w:szCs w:val="28"/>
          <w:lang w:val="uk-UA"/>
        </w:rPr>
        <w:t>6</w:t>
      </w:r>
      <w:r w:rsidR="00ED4A27">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0,</w:t>
      </w:r>
      <w:r w:rsidR="00A94D2C">
        <w:rPr>
          <w:rFonts w:ascii="Times New Roman" w:hAnsi="Times New Roman" w:cs="Times New Roman"/>
          <w:sz w:val="28"/>
          <w:szCs w:val="28"/>
          <w:lang w:val="uk-UA"/>
        </w:rPr>
        <w:t>0</w:t>
      </w:r>
      <w:r w:rsidR="00A94D2C" w:rsidRPr="00A94D2C">
        <w:rPr>
          <w:rFonts w:ascii="Times New Roman" w:hAnsi="Times New Roman" w:cs="Times New Roman"/>
          <w:sz w:val="28"/>
          <w:szCs w:val="28"/>
          <w:lang w:val="uk-UA"/>
        </w:rPr>
        <w:t>1</w:t>
      </w:r>
      <w:r w:rsidR="00ED4A2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E193A" w:rsidRPr="00CE193A">
        <w:rPr>
          <w:rFonts w:ascii="Times New Roman" w:hAnsi="Times New Roman" w:cs="Times New Roman"/>
          <w:sz w:val="28"/>
          <w:szCs w:val="28"/>
          <w:lang w:val="uk-UA"/>
        </w:rPr>
        <w:t>(1,23</w:t>
      </w:r>
      <w:r w:rsidR="00ED4A27">
        <w:rPr>
          <w:rFonts w:ascii="Times New Roman" w:hAnsi="Times New Roman" w:cs="Times New Roman"/>
          <w:sz w:val="28"/>
          <w:szCs w:val="28"/>
          <w:lang w:val="uk-UA"/>
        </w:rPr>
        <w:t xml:space="preserve"> </w:t>
      </w:r>
      <w:r w:rsidR="00DA715F">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DA715F">
        <w:rPr>
          <w:rFonts w:ascii="Times New Roman" w:hAnsi="Times New Roman" w:cs="Times New Roman"/>
          <w:sz w:val="28"/>
          <w:szCs w:val="28"/>
          <w:lang w:val="uk-UA"/>
        </w:rPr>
        <w:t>0,0</w:t>
      </w:r>
      <w:r w:rsidR="00DA715F" w:rsidRPr="00DA715F">
        <w:rPr>
          <w:rFonts w:ascii="Times New Roman" w:hAnsi="Times New Roman" w:cs="Times New Roman"/>
          <w:sz w:val="28"/>
          <w:szCs w:val="28"/>
          <w:lang w:val="uk-UA"/>
        </w:rPr>
        <w:t>2</w:t>
      </w:r>
      <w:r w:rsidR="00665437" w:rsidRPr="00CE193A">
        <w:rPr>
          <w:rFonts w:ascii="Times New Roman" w:hAnsi="Times New Roman" w:cs="Times New Roman"/>
          <w:sz w:val="28"/>
          <w:szCs w:val="28"/>
          <w:lang w:val="uk-UA"/>
        </w:rPr>
        <w:t>) ммоль/л,</w:t>
      </w:r>
      <w:r w:rsidR="00CF2943" w:rsidRPr="00CE193A">
        <w:rPr>
          <w:rFonts w:ascii="Times New Roman" w:hAnsi="Times New Roman" w:cs="Times New Roman"/>
          <w:sz w:val="28"/>
          <w:szCs w:val="28"/>
          <w:lang w:val="uk-UA"/>
        </w:rPr>
        <w:t xml:space="preserve"> </w:t>
      </w:r>
      <w:r w:rsidR="00CF2943" w:rsidRPr="00DA715F">
        <w:rPr>
          <w:rFonts w:ascii="Times New Roman" w:hAnsi="Times New Roman" w:cs="Times New Roman"/>
          <w:sz w:val="28"/>
          <w:szCs w:val="28"/>
          <w:lang w:val="en-US"/>
        </w:rPr>
        <w:t>p</w:t>
      </w:r>
      <w:r w:rsidR="00A94D2C">
        <w:rPr>
          <w:rFonts w:ascii="Times New Roman" w:hAnsi="Times New Roman" w:cs="Times New Roman"/>
          <w:sz w:val="28"/>
          <w:szCs w:val="28"/>
          <w:lang w:val="uk-UA"/>
        </w:rPr>
        <w:t xml:space="preserve"> = 0,0</w:t>
      </w:r>
      <w:r w:rsidR="00A94D2C" w:rsidRPr="00A94D2C">
        <w:rPr>
          <w:rFonts w:ascii="Times New Roman" w:hAnsi="Times New Roman" w:cs="Times New Roman"/>
          <w:sz w:val="28"/>
          <w:szCs w:val="28"/>
          <w:lang w:val="uk-UA"/>
        </w:rPr>
        <w:t>020</w:t>
      </w:r>
      <w:r w:rsidR="00665437" w:rsidRPr="00DA715F">
        <w:rPr>
          <w:rFonts w:ascii="Times New Roman" w:hAnsi="Times New Roman" w:cs="Times New Roman"/>
          <w:sz w:val="28"/>
          <w:szCs w:val="28"/>
          <w:lang w:val="uk-UA"/>
        </w:rPr>
        <w:t xml:space="preserve">; </w:t>
      </w:r>
      <w:r w:rsidR="003751BD">
        <w:rPr>
          <w:rFonts w:ascii="Times New Roman" w:hAnsi="Times New Roman" w:cs="Times New Roman"/>
          <w:sz w:val="28"/>
          <w:szCs w:val="28"/>
          <w:lang w:val="uk-UA"/>
        </w:rPr>
        <w:t xml:space="preserve">ХС </w:t>
      </w:r>
      <w:r w:rsidR="00067487">
        <w:rPr>
          <w:rFonts w:ascii="Times New Roman" w:hAnsi="Times New Roman" w:cs="Times New Roman"/>
          <w:sz w:val="28"/>
          <w:szCs w:val="28"/>
          <w:lang w:val="uk-UA"/>
        </w:rPr>
        <w:t>ЛПНЩ – (2,8</w:t>
      </w:r>
      <w:r w:rsidR="00A94D2C" w:rsidRPr="00A94D2C">
        <w:rPr>
          <w:rFonts w:ascii="Times New Roman" w:hAnsi="Times New Roman" w:cs="Times New Roman"/>
          <w:sz w:val="28"/>
          <w:szCs w:val="28"/>
          <w:lang w:val="uk-UA"/>
        </w:rPr>
        <w:t>4</w:t>
      </w:r>
      <w:r w:rsidR="00067487">
        <w:rPr>
          <w:rFonts w:ascii="Times New Roman" w:hAnsi="Times New Roman" w:cs="Times New Roman"/>
          <w:sz w:val="28"/>
          <w:szCs w:val="28"/>
          <w:lang w:val="uk-UA"/>
        </w:rPr>
        <w:t>±0,0</w:t>
      </w:r>
      <w:r w:rsidR="00A94D2C" w:rsidRPr="00A94D2C">
        <w:rPr>
          <w:rFonts w:ascii="Times New Roman" w:hAnsi="Times New Roman" w:cs="Times New Roman"/>
          <w:sz w:val="28"/>
          <w:szCs w:val="28"/>
          <w:lang w:val="uk-UA"/>
        </w:rPr>
        <w:t>2</w:t>
      </w:r>
      <w:r w:rsidR="00ED4A27">
        <w:rPr>
          <w:rFonts w:ascii="Times New Roman" w:hAnsi="Times New Roman" w:cs="Times New Roman"/>
          <w:sz w:val="28"/>
          <w:szCs w:val="28"/>
          <w:lang w:val="uk-UA"/>
        </w:rPr>
        <w:t>)</w:t>
      </w:r>
      <w:r w:rsidR="00A208E5" w:rsidRPr="00DA715F">
        <w:rPr>
          <w:rFonts w:ascii="Times New Roman" w:hAnsi="Times New Roman" w:cs="Times New Roman"/>
          <w:sz w:val="28"/>
          <w:szCs w:val="28"/>
          <w:lang w:val="uk-UA"/>
        </w:rPr>
        <w:t>, (2,56</w:t>
      </w:r>
      <w:r w:rsidR="00ED4A27">
        <w:rPr>
          <w:rFonts w:ascii="Times New Roman" w:hAnsi="Times New Roman" w:cs="Times New Roman"/>
          <w:sz w:val="28"/>
          <w:szCs w:val="28"/>
          <w:lang w:val="uk-UA"/>
        </w:rPr>
        <w:t xml:space="preserve"> </w:t>
      </w:r>
      <w:r w:rsidR="00A208E5" w:rsidRPr="00DA715F">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A208E5" w:rsidRPr="00DA715F">
        <w:rPr>
          <w:rFonts w:ascii="Times New Roman" w:hAnsi="Times New Roman" w:cs="Times New Roman"/>
          <w:sz w:val="28"/>
          <w:szCs w:val="28"/>
          <w:lang w:val="uk-UA"/>
        </w:rPr>
        <w:t xml:space="preserve">0,1) ммоль/л, </w:t>
      </w:r>
      <w:r w:rsidR="00A208E5" w:rsidRPr="00DA715F">
        <w:rPr>
          <w:rFonts w:ascii="Times New Roman" w:hAnsi="Times New Roman" w:cs="Times New Roman"/>
          <w:sz w:val="28"/>
          <w:szCs w:val="28"/>
          <w:lang w:val="en-US"/>
        </w:rPr>
        <w:t>p</w:t>
      </w:r>
      <w:r w:rsidR="00A94D2C">
        <w:rPr>
          <w:rFonts w:ascii="Times New Roman" w:hAnsi="Times New Roman" w:cs="Times New Roman"/>
          <w:sz w:val="28"/>
          <w:szCs w:val="28"/>
          <w:lang w:val="uk-UA"/>
        </w:rPr>
        <w:t xml:space="preserve"> = 0,0</w:t>
      </w:r>
      <w:r w:rsidR="00A94D2C" w:rsidRPr="00A94D2C">
        <w:rPr>
          <w:rFonts w:ascii="Times New Roman" w:hAnsi="Times New Roman" w:cs="Times New Roman"/>
          <w:sz w:val="28"/>
          <w:szCs w:val="28"/>
          <w:lang w:val="uk-UA"/>
        </w:rPr>
        <w:t>066</w:t>
      </w:r>
      <w:r w:rsidR="00A208E5" w:rsidRPr="00DA715F">
        <w:rPr>
          <w:rFonts w:ascii="Times New Roman" w:hAnsi="Times New Roman" w:cs="Times New Roman"/>
          <w:sz w:val="28"/>
          <w:szCs w:val="28"/>
          <w:lang w:val="uk-UA"/>
        </w:rPr>
        <w:t xml:space="preserve">;  </w:t>
      </w:r>
      <w:r w:rsidR="003751BD">
        <w:rPr>
          <w:rFonts w:ascii="Times New Roman" w:hAnsi="Times New Roman" w:cs="Times New Roman"/>
          <w:sz w:val="28"/>
          <w:szCs w:val="28"/>
          <w:lang w:val="uk-UA"/>
        </w:rPr>
        <w:t xml:space="preserve">ХС </w:t>
      </w:r>
      <w:r w:rsidR="00067487">
        <w:rPr>
          <w:rFonts w:ascii="Times New Roman" w:hAnsi="Times New Roman" w:cs="Times New Roman"/>
          <w:sz w:val="28"/>
          <w:szCs w:val="28"/>
          <w:lang w:val="uk-UA"/>
        </w:rPr>
        <w:t>ЛПДНЩ – (1,</w:t>
      </w:r>
      <w:r w:rsidR="00067487" w:rsidRPr="00067487">
        <w:rPr>
          <w:rFonts w:ascii="Times New Roman" w:hAnsi="Times New Roman" w:cs="Times New Roman"/>
          <w:sz w:val="28"/>
          <w:szCs w:val="28"/>
          <w:lang w:val="uk-UA"/>
        </w:rPr>
        <w:t>23</w:t>
      </w:r>
      <w:r w:rsidR="00ED4A27">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DA715F" w:rsidRPr="00DA715F">
        <w:rPr>
          <w:rFonts w:ascii="Times New Roman" w:hAnsi="Times New Roman" w:cs="Times New Roman"/>
          <w:sz w:val="28"/>
          <w:szCs w:val="28"/>
          <w:lang w:val="uk-UA"/>
        </w:rPr>
        <w:t>0</w:t>
      </w:r>
      <w:r w:rsidR="00DA715F">
        <w:rPr>
          <w:rFonts w:ascii="Times New Roman" w:hAnsi="Times New Roman" w:cs="Times New Roman"/>
          <w:sz w:val="28"/>
          <w:szCs w:val="28"/>
          <w:lang w:val="uk-UA"/>
        </w:rPr>
        <w:t>,</w:t>
      </w:r>
      <w:r w:rsidR="00DA715F" w:rsidRPr="00DA715F">
        <w:rPr>
          <w:rFonts w:ascii="Times New Roman" w:hAnsi="Times New Roman" w:cs="Times New Roman"/>
          <w:sz w:val="28"/>
          <w:szCs w:val="28"/>
          <w:lang w:val="uk-UA"/>
        </w:rPr>
        <w:t>1</w:t>
      </w:r>
      <w:r w:rsidR="00ED4A27">
        <w:rPr>
          <w:rFonts w:ascii="Times New Roman" w:hAnsi="Times New Roman" w:cs="Times New Roman"/>
          <w:sz w:val="28"/>
          <w:szCs w:val="28"/>
          <w:lang w:val="uk-UA"/>
        </w:rPr>
        <w:t>)</w:t>
      </w:r>
      <w:r w:rsidR="00A208E5" w:rsidRPr="0006748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(0,93</w:t>
      </w:r>
      <w:r w:rsidR="00ED4A2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0,09</w:t>
      </w:r>
      <w:r w:rsidR="003B4D1D">
        <w:rPr>
          <w:rFonts w:ascii="Times New Roman" w:hAnsi="Times New Roman" w:cs="Times New Roman"/>
          <w:sz w:val="28"/>
          <w:szCs w:val="28"/>
          <w:lang w:val="uk-UA"/>
        </w:rPr>
        <w:t xml:space="preserve">) </w:t>
      </w:r>
      <w:r w:rsidR="003B4D1D">
        <w:rPr>
          <w:rFonts w:ascii="Times New Roman" w:hAnsi="Times New Roman" w:cs="Times New Roman"/>
          <w:sz w:val="28"/>
          <w:szCs w:val="28"/>
          <w:lang w:val="uk-UA"/>
        </w:rPr>
        <w:lastRenderedPageBreak/>
        <w:t xml:space="preserve">ммоль/л, </w:t>
      </w:r>
      <w:r w:rsidR="00A208E5" w:rsidRPr="00405D46">
        <w:rPr>
          <w:rFonts w:ascii="Times New Roman" w:hAnsi="Times New Roman" w:cs="Times New Roman"/>
          <w:sz w:val="28"/>
          <w:szCs w:val="28"/>
          <w:lang w:val="en-US"/>
        </w:rPr>
        <w:t>p</w:t>
      </w:r>
      <w:r w:rsidR="00405D46" w:rsidRPr="00405D46">
        <w:rPr>
          <w:rFonts w:ascii="Times New Roman" w:hAnsi="Times New Roman" w:cs="Times New Roman"/>
          <w:sz w:val="28"/>
          <w:szCs w:val="28"/>
          <w:lang w:val="uk-UA"/>
        </w:rPr>
        <w:t xml:space="preserve"> = 0,0270</w:t>
      </w:r>
      <w:r w:rsidR="003751BD">
        <w:rPr>
          <w:rFonts w:ascii="Times New Roman" w:hAnsi="Times New Roman" w:cs="Times New Roman"/>
          <w:sz w:val="28"/>
          <w:szCs w:val="28"/>
          <w:lang w:val="uk-UA"/>
        </w:rPr>
        <w:t>;</w:t>
      </w:r>
      <w:r w:rsidR="00942EFF">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ТГ – (2,</w:t>
      </w:r>
      <w:r w:rsidR="00067487" w:rsidRPr="00067487">
        <w:rPr>
          <w:rFonts w:ascii="Times New Roman" w:hAnsi="Times New Roman" w:cs="Times New Roman"/>
          <w:sz w:val="28"/>
          <w:szCs w:val="28"/>
          <w:lang w:val="uk-UA"/>
        </w:rPr>
        <w:t>33</w:t>
      </w:r>
      <w:r w:rsidR="00ED4A27">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0</w:t>
      </w:r>
      <w:r w:rsidR="00067487">
        <w:rPr>
          <w:rFonts w:ascii="Times New Roman" w:hAnsi="Times New Roman" w:cs="Times New Roman"/>
          <w:sz w:val="28"/>
          <w:szCs w:val="28"/>
          <w:lang w:val="uk-UA"/>
        </w:rPr>
        <w:t>,</w:t>
      </w:r>
      <w:r w:rsidR="00405D46" w:rsidRPr="00405D46">
        <w:rPr>
          <w:rFonts w:ascii="Times New Roman" w:hAnsi="Times New Roman" w:cs="Times New Roman"/>
          <w:sz w:val="28"/>
          <w:szCs w:val="28"/>
          <w:lang w:val="uk-UA"/>
        </w:rPr>
        <w:t>09</w:t>
      </w:r>
      <w:r w:rsidR="00ED4A27">
        <w:rPr>
          <w:rFonts w:ascii="Times New Roman" w:hAnsi="Times New Roman" w:cs="Times New Roman"/>
          <w:sz w:val="28"/>
          <w:szCs w:val="28"/>
          <w:lang w:val="uk-UA"/>
        </w:rPr>
        <w:t>)</w:t>
      </w:r>
      <w:r w:rsidR="00A208E5" w:rsidRPr="0006748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(2,1</w:t>
      </w:r>
      <w:r w:rsidR="00ED4A2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405D46" w:rsidRPr="00405D46">
        <w:rPr>
          <w:rFonts w:ascii="Times New Roman" w:hAnsi="Times New Roman" w:cs="Times New Roman"/>
          <w:sz w:val="28"/>
          <w:szCs w:val="28"/>
          <w:lang w:val="uk-UA"/>
        </w:rPr>
        <w:t>0,06</w:t>
      </w:r>
      <w:r w:rsidR="00A208E5" w:rsidRPr="00405D46">
        <w:rPr>
          <w:rFonts w:ascii="Times New Roman" w:hAnsi="Times New Roman" w:cs="Times New Roman"/>
          <w:sz w:val="28"/>
          <w:szCs w:val="28"/>
          <w:lang w:val="uk-UA"/>
        </w:rPr>
        <w:t xml:space="preserve">) ммоль/л, </w:t>
      </w:r>
      <w:r w:rsidR="00A208E5" w:rsidRPr="00405D46">
        <w:rPr>
          <w:rFonts w:ascii="Times New Roman" w:hAnsi="Times New Roman" w:cs="Times New Roman"/>
          <w:sz w:val="28"/>
          <w:szCs w:val="28"/>
          <w:lang w:val="en-US"/>
        </w:rPr>
        <w:t>p</w:t>
      </w:r>
      <w:r w:rsidR="00405D46" w:rsidRPr="00405D46">
        <w:rPr>
          <w:rFonts w:ascii="Times New Roman" w:hAnsi="Times New Roman" w:cs="Times New Roman"/>
          <w:sz w:val="28"/>
          <w:szCs w:val="28"/>
          <w:lang w:val="uk-UA"/>
        </w:rPr>
        <w:t xml:space="preserve"> = 0,0348</w:t>
      </w:r>
      <w:r w:rsidR="00AF0245">
        <w:rPr>
          <w:rFonts w:ascii="Times New Roman" w:hAnsi="Times New Roman" w:cs="Times New Roman"/>
          <w:sz w:val="28"/>
          <w:szCs w:val="28"/>
          <w:lang w:val="uk-UA"/>
        </w:rPr>
        <w:t xml:space="preserve"> </w:t>
      </w:r>
      <w:r w:rsidR="00AF0245" w:rsidRPr="00AF0245">
        <w:rPr>
          <w:rFonts w:ascii="Times New Roman" w:hAnsi="Times New Roman" w:cs="Times New Roman"/>
          <w:sz w:val="28"/>
          <w:szCs w:val="28"/>
          <w:lang w:val="uk-UA"/>
        </w:rPr>
        <w:t>вiдповiдно</w:t>
      </w:r>
      <w:r w:rsidR="00960DE0" w:rsidRPr="00405D46">
        <w:rPr>
          <w:rFonts w:ascii="Times New Roman" w:hAnsi="Times New Roman" w:cs="Times New Roman"/>
          <w:sz w:val="28"/>
          <w:szCs w:val="28"/>
          <w:lang w:val="uk-UA"/>
        </w:rPr>
        <w:t>.</w:t>
      </w:r>
    </w:p>
    <w:p w:rsidR="00E36F09" w:rsidRDefault="005651B0" w:rsidP="00DF2543">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sidR="00942EFF">
        <w:rPr>
          <w:rFonts w:ascii="Times New Roman" w:hAnsi="Times New Roman" w:cs="Times New Roman"/>
          <w:sz w:val="28"/>
          <w:szCs w:val="28"/>
          <w:lang w:val="uk-UA"/>
        </w:rPr>
        <w:t xml:space="preserve">в </w:t>
      </w:r>
      <w:r w:rsidR="00AF0245">
        <w:rPr>
          <w:rFonts w:ascii="Times New Roman" w:hAnsi="Times New Roman" w:cs="Times New Roman"/>
          <w:sz w:val="28"/>
          <w:szCs w:val="28"/>
          <w:lang w:val="uk-UA"/>
        </w:rPr>
        <w:t>і</w:t>
      </w:r>
      <w:r w:rsidR="00A208E5" w:rsidRPr="008707FF">
        <w:rPr>
          <w:rFonts w:ascii="Times New Roman" w:hAnsi="Times New Roman" w:cs="Times New Roman"/>
          <w:sz w:val="28"/>
          <w:szCs w:val="28"/>
          <w:lang w:val="uk-UA"/>
        </w:rPr>
        <w:t xml:space="preserve">з АГ </w:t>
      </w:r>
      <w:r>
        <w:rPr>
          <w:rFonts w:ascii="Times New Roman" w:hAnsi="Times New Roman" w:cs="Times New Roman"/>
          <w:sz w:val="28"/>
          <w:szCs w:val="28"/>
          <w:lang w:val="uk-UA"/>
        </w:rPr>
        <w:t>до та п</w:t>
      </w:r>
      <w:r>
        <w:rPr>
          <w:rFonts w:ascii="Times New Roman" w:hAnsi="Times New Roman" w:cs="Times New Roman"/>
          <w:sz w:val="28"/>
          <w:szCs w:val="28"/>
          <w:lang w:val="en-US"/>
        </w:rPr>
        <w:t>i</w:t>
      </w:r>
      <w:r>
        <w:rPr>
          <w:rFonts w:ascii="Times New Roman" w:hAnsi="Times New Roman" w:cs="Times New Roman"/>
          <w:sz w:val="28"/>
          <w:szCs w:val="28"/>
          <w:lang w:val="uk-UA"/>
        </w:rPr>
        <w:t>сля л</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кування </w:t>
      </w:r>
      <w:r w:rsidR="00B2184A">
        <w:rPr>
          <w:rFonts w:ascii="Times New Roman" w:hAnsi="Times New Roman" w:cs="Times New Roman"/>
          <w:sz w:val="28"/>
          <w:szCs w:val="28"/>
          <w:lang w:val="uk-UA"/>
        </w:rPr>
        <w:t xml:space="preserve">аторвастатином вміст </w:t>
      </w:r>
      <w:r>
        <w:rPr>
          <w:rFonts w:ascii="Times New Roman" w:hAnsi="Times New Roman" w:cs="Times New Roman"/>
          <w:sz w:val="28"/>
          <w:szCs w:val="28"/>
          <w:lang w:val="uk-UA"/>
        </w:rPr>
        <w:t xml:space="preserve">ЗХС </w:t>
      </w:r>
      <w:r w:rsidR="00ED4A27">
        <w:rPr>
          <w:rFonts w:ascii="Times New Roman" w:hAnsi="Times New Roman" w:cs="Times New Roman"/>
          <w:sz w:val="28"/>
          <w:szCs w:val="28"/>
          <w:lang w:val="uk-UA"/>
        </w:rPr>
        <w:t>станови</w:t>
      </w:r>
      <w:r w:rsidR="00067487">
        <w:rPr>
          <w:rFonts w:ascii="Times New Roman" w:hAnsi="Times New Roman" w:cs="Times New Roman"/>
          <w:sz w:val="28"/>
          <w:szCs w:val="28"/>
          <w:lang w:val="uk-UA"/>
        </w:rPr>
        <w:t>в (</w:t>
      </w:r>
      <w:r w:rsidR="00067487" w:rsidRPr="00067487">
        <w:rPr>
          <w:rFonts w:ascii="Times New Roman" w:hAnsi="Times New Roman" w:cs="Times New Roman"/>
          <w:sz w:val="28"/>
          <w:szCs w:val="28"/>
          <w:lang w:val="uk-UA"/>
        </w:rPr>
        <w:t>4</w:t>
      </w:r>
      <w:r w:rsidR="00067487">
        <w:rPr>
          <w:rFonts w:ascii="Times New Roman" w:hAnsi="Times New Roman" w:cs="Times New Roman"/>
          <w:sz w:val="28"/>
          <w:szCs w:val="28"/>
          <w:lang w:val="uk-UA"/>
        </w:rPr>
        <w:t>,</w:t>
      </w:r>
      <w:r w:rsidR="00067487" w:rsidRPr="00067487">
        <w:rPr>
          <w:rFonts w:ascii="Times New Roman" w:hAnsi="Times New Roman" w:cs="Times New Roman"/>
          <w:sz w:val="28"/>
          <w:szCs w:val="28"/>
          <w:lang w:val="uk-UA"/>
        </w:rPr>
        <w:t>69</w:t>
      </w:r>
      <w:r w:rsidR="00ED4A27">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067487">
        <w:rPr>
          <w:rFonts w:ascii="Times New Roman" w:hAnsi="Times New Roman" w:cs="Times New Roman"/>
          <w:sz w:val="28"/>
          <w:szCs w:val="28"/>
          <w:lang w:val="uk-UA"/>
        </w:rPr>
        <w:t>0,</w:t>
      </w:r>
      <w:r w:rsidR="007E6DAA" w:rsidRPr="007E6DAA">
        <w:rPr>
          <w:rFonts w:ascii="Times New Roman" w:hAnsi="Times New Roman" w:cs="Times New Roman"/>
          <w:sz w:val="28"/>
          <w:szCs w:val="28"/>
          <w:lang w:val="uk-UA"/>
        </w:rPr>
        <w:t>3</w:t>
      </w:r>
      <w:r w:rsidR="00067487" w:rsidRPr="00067487">
        <w:rPr>
          <w:rFonts w:ascii="Times New Roman" w:hAnsi="Times New Roman" w:cs="Times New Roman"/>
          <w:sz w:val="28"/>
          <w:szCs w:val="28"/>
          <w:lang w:val="uk-UA"/>
        </w:rPr>
        <w:t>2</w:t>
      </w:r>
      <w:r w:rsidR="00ED4A27">
        <w:rPr>
          <w:rFonts w:ascii="Times New Roman" w:hAnsi="Times New Roman" w:cs="Times New Roman"/>
          <w:sz w:val="28"/>
          <w:szCs w:val="28"/>
          <w:lang w:val="uk-UA"/>
        </w:rPr>
        <w:t>)</w:t>
      </w:r>
      <w:r w:rsidR="00545C44" w:rsidRPr="008707FF">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uk-UA"/>
        </w:rPr>
        <w:t>(4,65</w:t>
      </w:r>
      <w:r w:rsidR="00ED4A27">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uk-UA"/>
        </w:rPr>
        <w:t xml:space="preserve">0,2) ммоль/л, </w:t>
      </w:r>
      <w:r w:rsidR="00545C44" w:rsidRPr="003F345C">
        <w:rPr>
          <w:rFonts w:ascii="Times New Roman" w:hAnsi="Times New Roman" w:cs="Times New Roman"/>
          <w:sz w:val="28"/>
          <w:szCs w:val="28"/>
          <w:lang w:val="en-US"/>
        </w:rPr>
        <w:t>p</w:t>
      </w:r>
      <w:r w:rsidR="007E6DAA">
        <w:rPr>
          <w:rFonts w:ascii="Times New Roman" w:hAnsi="Times New Roman" w:cs="Times New Roman"/>
          <w:sz w:val="28"/>
          <w:szCs w:val="28"/>
          <w:lang w:val="uk-UA"/>
        </w:rPr>
        <w:t xml:space="preserve"> = 0,9</w:t>
      </w:r>
      <w:r w:rsidR="007E6DAA" w:rsidRPr="007E6DAA">
        <w:rPr>
          <w:rFonts w:ascii="Times New Roman" w:hAnsi="Times New Roman" w:cs="Times New Roman"/>
          <w:sz w:val="28"/>
          <w:szCs w:val="28"/>
          <w:lang w:val="uk-UA"/>
        </w:rPr>
        <w:t>160</w:t>
      </w:r>
      <w:r w:rsidR="007029E8" w:rsidRPr="003F345C">
        <w:rPr>
          <w:rFonts w:ascii="Times New Roman" w:hAnsi="Times New Roman" w:cs="Times New Roman"/>
          <w:sz w:val="28"/>
          <w:szCs w:val="28"/>
          <w:lang w:val="uk-UA"/>
        </w:rPr>
        <w:t xml:space="preserve">; </w:t>
      </w:r>
      <w:r w:rsidR="003751BD">
        <w:rPr>
          <w:rFonts w:ascii="Times New Roman" w:hAnsi="Times New Roman" w:cs="Times New Roman"/>
          <w:sz w:val="28"/>
          <w:szCs w:val="28"/>
          <w:lang w:val="uk-UA"/>
        </w:rPr>
        <w:t xml:space="preserve">ХС </w:t>
      </w:r>
      <w:r w:rsidR="007029E8" w:rsidRPr="007029E8">
        <w:rPr>
          <w:rFonts w:ascii="Times New Roman" w:hAnsi="Times New Roman" w:cs="Times New Roman"/>
          <w:sz w:val="28"/>
          <w:szCs w:val="28"/>
          <w:lang w:val="uk-UA"/>
        </w:rPr>
        <w:t>ЛПВЩ – (1,22</w:t>
      </w:r>
      <w:r w:rsidR="00ED4A27">
        <w:rPr>
          <w:rFonts w:ascii="Times New Roman" w:hAnsi="Times New Roman" w:cs="Times New Roman"/>
          <w:sz w:val="28"/>
          <w:szCs w:val="28"/>
          <w:lang w:val="uk-UA"/>
        </w:rPr>
        <w:t xml:space="preserve"> </w:t>
      </w:r>
      <w:r w:rsidR="00AF0245">
        <w:rPr>
          <w:rFonts w:ascii="Times New Roman" w:hAnsi="Times New Roman" w:cs="Times New Roman"/>
          <w:sz w:val="28"/>
          <w:szCs w:val="28"/>
          <w:lang w:val="uk-UA"/>
        </w:rPr>
        <w:t xml:space="preserve">      </w:t>
      </w:r>
      <w:r w:rsidR="00545C44" w:rsidRPr="007029E8">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7E6DAA">
        <w:rPr>
          <w:rFonts w:ascii="Times New Roman" w:hAnsi="Times New Roman" w:cs="Times New Roman"/>
          <w:sz w:val="28"/>
          <w:szCs w:val="28"/>
          <w:lang w:val="uk-UA"/>
        </w:rPr>
        <w:t>0,</w:t>
      </w:r>
      <w:r w:rsidR="007E6DAA" w:rsidRPr="007E6DAA">
        <w:rPr>
          <w:rFonts w:ascii="Times New Roman" w:hAnsi="Times New Roman" w:cs="Times New Roman"/>
          <w:sz w:val="28"/>
          <w:szCs w:val="28"/>
          <w:lang w:val="uk-UA"/>
        </w:rPr>
        <w:t>04</w:t>
      </w:r>
      <w:r w:rsidR="00545C44" w:rsidRPr="007029E8">
        <w:rPr>
          <w:rFonts w:ascii="Times New Roman" w:hAnsi="Times New Roman" w:cs="Times New Roman"/>
          <w:sz w:val="28"/>
          <w:szCs w:val="28"/>
          <w:lang w:val="uk-UA"/>
        </w:rPr>
        <w:t>)</w:t>
      </w:r>
      <w:r w:rsidR="00B2184A">
        <w:rPr>
          <w:rFonts w:ascii="Times New Roman" w:hAnsi="Times New Roman" w:cs="Times New Roman"/>
          <w:sz w:val="28"/>
          <w:szCs w:val="28"/>
          <w:lang w:val="uk-UA"/>
        </w:rPr>
        <w:t xml:space="preserve">, </w:t>
      </w:r>
      <w:r w:rsidR="003F345C" w:rsidRPr="003F345C">
        <w:rPr>
          <w:rFonts w:ascii="Times New Roman" w:hAnsi="Times New Roman" w:cs="Times New Roman"/>
          <w:sz w:val="28"/>
          <w:szCs w:val="28"/>
          <w:lang w:val="uk-UA"/>
        </w:rPr>
        <w:t>(1,51</w:t>
      </w:r>
      <w:r w:rsidR="00942EFF">
        <w:rPr>
          <w:rFonts w:ascii="Times New Roman" w:hAnsi="Times New Roman" w:cs="Times New Roman"/>
          <w:sz w:val="28"/>
          <w:szCs w:val="28"/>
          <w:lang w:val="uk-UA"/>
        </w:rPr>
        <w:t xml:space="preserve"> </w:t>
      </w:r>
      <w:r w:rsidR="003F345C" w:rsidRPr="003F345C">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3F345C" w:rsidRPr="003F345C">
        <w:rPr>
          <w:rFonts w:ascii="Times New Roman" w:hAnsi="Times New Roman" w:cs="Times New Roman"/>
          <w:sz w:val="28"/>
          <w:szCs w:val="28"/>
          <w:lang w:val="uk-UA"/>
        </w:rPr>
        <w:t>0,09</w:t>
      </w:r>
      <w:r w:rsidR="0054656F" w:rsidRPr="003F345C">
        <w:rPr>
          <w:rFonts w:ascii="Times New Roman" w:hAnsi="Times New Roman" w:cs="Times New Roman"/>
          <w:sz w:val="28"/>
          <w:szCs w:val="28"/>
          <w:lang w:val="uk-UA"/>
        </w:rPr>
        <w:t xml:space="preserve">) ммоль/л, </w:t>
      </w:r>
      <w:r w:rsidR="00545C44" w:rsidRPr="003F345C">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en-US"/>
        </w:rPr>
        <w:t>p</w:t>
      </w:r>
      <w:r w:rsidR="007E6DAA">
        <w:rPr>
          <w:rFonts w:ascii="Times New Roman" w:hAnsi="Times New Roman" w:cs="Times New Roman"/>
          <w:sz w:val="28"/>
          <w:szCs w:val="28"/>
          <w:lang w:val="uk-UA"/>
        </w:rPr>
        <w:t xml:space="preserve"> = 0,0</w:t>
      </w:r>
      <w:r w:rsidR="007E6DAA" w:rsidRPr="007E6DAA">
        <w:rPr>
          <w:rFonts w:ascii="Times New Roman" w:hAnsi="Times New Roman" w:cs="Times New Roman"/>
          <w:sz w:val="28"/>
          <w:szCs w:val="28"/>
          <w:lang w:val="uk-UA"/>
        </w:rPr>
        <w:t>051</w:t>
      </w:r>
      <w:r w:rsidR="00545C44" w:rsidRPr="003F345C">
        <w:rPr>
          <w:rFonts w:ascii="Times New Roman" w:hAnsi="Times New Roman" w:cs="Times New Roman"/>
          <w:sz w:val="28"/>
          <w:szCs w:val="28"/>
          <w:lang w:val="uk-UA"/>
        </w:rPr>
        <w:t xml:space="preserve">; </w:t>
      </w:r>
      <w:r w:rsidR="003751BD">
        <w:rPr>
          <w:rFonts w:ascii="Times New Roman" w:hAnsi="Times New Roman" w:cs="Times New Roman"/>
          <w:sz w:val="28"/>
          <w:szCs w:val="28"/>
          <w:lang w:val="uk-UA"/>
        </w:rPr>
        <w:t xml:space="preserve">ХС </w:t>
      </w:r>
      <w:r w:rsidR="007E6DAA">
        <w:rPr>
          <w:rFonts w:ascii="Times New Roman" w:hAnsi="Times New Roman" w:cs="Times New Roman"/>
          <w:sz w:val="28"/>
          <w:szCs w:val="28"/>
          <w:lang w:val="uk-UA"/>
        </w:rPr>
        <w:t>ЛПНЩ – (2,7</w:t>
      </w:r>
      <w:r w:rsidR="007E6DAA" w:rsidRPr="007E6DAA">
        <w:rPr>
          <w:rFonts w:ascii="Times New Roman" w:hAnsi="Times New Roman" w:cs="Times New Roman"/>
          <w:sz w:val="28"/>
          <w:szCs w:val="28"/>
          <w:lang w:val="uk-UA"/>
        </w:rPr>
        <w:t>8</w:t>
      </w:r>
      <w:r w:rsidR="00ED4A27">
        <w:rPr>
          <w:rFonts w:ascii="Times New Roman" w:hAnsi="Times New Roman" w:cs="Times New Roman"/>
          <w:sz w:val="28"/>
          <w:szCs w:val="28"/>
          <w:lang w:val="uk-UA"/>
        </w:rPr>
        <w:t xml:space="preserve"> </w:t>
      </w:r>
      <w:r w:rsidR="003F345C">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3F345C">
        <w:rPr>
          <w:rFonts w:ascii="Times New Roman" w:hAnsi="Times New Roman" w:cs="Times New Roman"/>
          <w:sz w:val="28"/>
          <w:szCs w:val="28"/>
          <w:lang w:val="uk-UA"/>
        </w:rPr>
        <w:t>0,0</w:t>
      </w:r>
      <w:r w:rsidR="007E6DAA" w:rsidRPr="007E6DAA">
        <w:rPr>
          <w:rFonts w:ascii="Times New Roman" w:hAnsi="Times New Roman" w:cs="Times New Roman"/>
          <w:sz w:val="28"/>
          <w:szCs w:val="28"/>
          <w:lang w:val="uk-UA"/>
        </w:rPr>
        <w:t>2</w:t>
      </w:r>
      <w:r w:rsidR="00ED4A27">
        <w:rPr>
          <w:rFonts w:ascii="Times New Roman" w:hAnsi="Times New Roman" w:cs="Times New Roman"/>
          <w:sz w:val="28"/>
          <w:szCs w:val="28"/>
          <w:lang w:val="uk-UA"/>
        </w:rPr>
        <w:t>)</w:t>
      </w:r>
      <w:r w:rsidR="003F345C" w:rsidRPr="003F345C">
        <w:rPr>
          <w:rFonts w:ascii="Times New Roman" w:hAnsi="Times New Roman" w:cs="Times New Roman"/>
          <w:sz w:val="28"/>
          <w:szCs w:val="28"/>
          <w:lang w:val="uk-UA"/>
        </w:rPr>
        <w:t>, (2,54</w:t>
      </w:r>
      <w:r w:rsidR="00ED4A27">
        <w:rPr>
          <w:rFonts w:ascii="Times New Roman" w:hAnsi="Times New Roman" w:cs="Times New Roman"/>
          <w:sz w:val="28"/>
          <w:szCs w:val="28"/>
          <w:lang w:val="uk-UA"/>
        </w:rPr>
        <w:t xml:space="preserve"> </w:t>
      </w:r>
      <w:r w:rsidR="00AF0245">
        <w:rPr>
          <w:rFonts w:ascii="Times New Roman" w:hAnsi="Times New Roman" w:cs="Times New Roman"/>
          <w:sz w:val="28"/>
          <w:szCs w:val="28"/>
          <w:lang w:val="uk-UA"/>
        </w:rPr>
        <w:t xml:space="preserve">      </w:t>
      </w:r>
      <w:r w:rsidR="003F345C" w:rsidRPr="003F345C">
        <w:rPr>
          <w:rFonts w:ascii="Times New Roman" w:hAnsi="Times New Roman" w:cs="Times New Roman"/>
          <w:sz w:val="28"/>
          <w:szCs w:val="28"/>
          <w:lang w:val="uk-UA"/>
        </w:rPr>
        <w:t>±</w:t>
      </w:r>
      <w:r w:rsidR="00ED4A27">
        <w:rPr>
          <w:rFonts w:ascii="Times New Roman" w:hAnsi="Times New Roman" w:cs="Times New Roman"/>
          <w:sz w:val="28"/>
          <w:szCs w:val="28"/>
          <w:lang w:val="uk-UA"/>
        </w:rPr>
        <w:t xml:space="preserve"> </w:t>
      </w:r>
      <w:r w:rsidR="003F345C" w:rsidRPr="003F345C">
        <w:rPr>
          <w:rFonts w:ascii="Times New Roman" w:hAnsi="Times New Roman" w:cs="Times New Roman"/>
          <w:sz w:val="28"/>
          <w:szCs w:val="28"/>
          <w:lang w:val="uk-UA"/>
        </w:rPr>
        <w:t>0,08</w:t>
      </w:r>
      <w:r w:rsidR="0054656F" w:rsidRPr="003F345C">
        <w:rPr>
          <w:rFonts w:ascii="Times New Roman" w:hAnsi="Times New Roman" w:cs="Times New Roman"/>
          <w:sz w:val="28"/>
          <w:szCs w:val="28"/>
          <w:lang w:val="uk-UA"/>
        </w:rPr>
        <w:t>) ммоль/л,</w:t>
      </w:r>
      <w:r w:rsidR="00545C44" w:rsidRPr="003F345C">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en-US"/>
        </w:rPr>
        <w:t>p</w:t>
      </w:r>
      <w:r w:rsidR="0054656F" w:rsidRPr="003F345C">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uk-UA"/>
        </w:rPr>
        <w:t xml:space="preserve"> 0,0</w:t>
      </w:r>
      <w:r w:rsidR="007E6DAA" w:rsidRPr="007E6DAA">
        <w:rPr>
          <w:rFonts w:ascii="Times New Roman" w:hAnsi="Times New Roman" w:cs="Times New Roman"/>
          <w:sz w:val="28"/>
          <w:szCs w:val="28"/>
          <w:lang w:val="uk-UA"/>
        </w:rPr>
        <w:t>05</w:t>
      </w:r>
      <w:r w:rsidR="003F345C" w:rsidRPr="003F345C">
        <w:rPr>
          <w:rFonts w:ascii="Times New Roman" w:hAnsi="Times New Roman" w:cs="Times New Roman"/>
          <w:sz w:val="28"/>
          <w:szCs w:val="28"/>
          <w:lang w:val="uk-UA"/>
        </w:rPr>
        <w:t>5</w:t>
      </w:r>
      <w:r w:rsidR="00545C44" w:rsidRPr="003F345C">
        <w:rPr>
          <w:rFonts w:ascii="Times New Roman" w:hAnsi="Times New Roman" w:cs="Times New Roman"/>
          <w:sz w:val="28"/>
          <w:szCs w:val="28"/>
          <w:lang w:val="uk-UA"/>
        </w:rPr>
        <w:t xml:space="preserve">; </w:t>
      </w:r>
      <w:r w:rsidR="003751BD">
        <w:rPr>
          <w:rFonts w:ascii="Times New Roman" w:hAnsi="Times New Roman" w:cs="Times New Roman"/>
          <w:sz w:val="28"/>
          <w:szCs w:val="28"/>
          <w:lang w:val="uk-UA"/>
        </w:rPr>
        <w:t xml:space="preserve">ХС </w:t>
      </w:r>
      <w:r w:rsidR="00545C44" w:rsidRPr="00A33D48">
        <w:rPr>
          <w:rFonts w:ascii="Times New Roman" w:hAnsi="Times New Roman" w:cs="Times New Roman"/>
          <w:sz w:val="28"/>
          <w:szCs w:val="28"/>
          <w:lang w:val="uk-UA"/>
        </w:rPr>
        <w:t>ЛПДНЩ –</w:t>
      </w:r>
      <w:r w:rsidR="00EA50B9">
        <w:rPr>
          <w:rFonts w:ascii="Times New Roman" w:hAnsi="Times New Roman" w:cs="Times New Roman"/>
          <w:sz w:val="28"/>
          <w:szCs w:val="28"/>
          <w:lang w:val="uk-UA"/>
        </w:rPr>
        <w:t xml:space="preserve"> </w:t>
      </w:r>
      <w:r w:rsidR="007E6DAA">
        <w:rPr>
          <w:rFonts w:ascii="Times New Roman" w:hAnsi="Times New Roman" w:cs="Times New Roman"/>
          <w:sz w:val="28"/>
          <w:szCs w:val="28"/>
          <w:lang w:val="uk-UA"/>
        </w:rPr>
        <w:t>(0,6</w:t>
      </w:r>
      <w:r w:rsidR="007E6DAA" w:rsidRPr="007E6DAA">
        <w:rPr>
          <w:rFonts w:ascii="Times New Roman" w:hAnsi="Times New Roman" w:cs="Times New Roman"/>
          <w:sz w:val="28"/>
          <w:szCs w:val="28"/>
          <w:lang w:val="uk-UA"/>
        </w:rPr>
        <w:t>7</w:t>
      </w:r>
      <w:r w:rsidR="00EA50B9">
        <w:rPr>
          <w:rFonts w:ascii="Times New Roman" w:hAnsi="Times New Roman" w:cs="Times New Roman"/>
          <w:sz w:val="28"/>
          <w:szCs w:val="28"/>
          <w:lang w:val="uk-UA"/>
        </w:rPr>
        <w:t xml:space="preserve"> </w:t>
      </w:r>
      <w:r w:rsidR="00545C44" w:rsidRPr="007029E8">
        <w:rPr>
          <w:rFonts w:ascii="Times New Roman" w:hAnsi="Times New Roman" w:cs="Times New Roman"/>
          <w:sz w:val="28"/>
          <w:szCs w:val="28"/>
          <w:lang w:val="uk-UA"/>
        </w:rPr>
        <w:t>±</w:t>
      </w:r>
      <w:r w:rsidR="007E6DAA">
        <w:rPr>
          <w:rFonts w:ascii="Times New Roman" w:hAnsi="Times New Roman" w:cs="Times New Roman"/>
          <w:sz w:val="28"/>
          <w:szCs w:val="28"/>
          <w:lang w:val="uk-UA"/>
        </w:rPr>
        <w:t xml:space="preserve"> 0,</w:t>
      </w:r>
      <w:r w:rsidR="00EA50B9">
        <w:rPr>
          <w:rFonts w:ascii="Times New Roman" w:hAnsi="Times New Roman" w:cs="Times New Roman"/>
          <w:sz w:val="28"/>
          <w:szCs w:val="28"/>
          <w:lang w:val="uk-UA"/>
        </w:rPr>
        <w:t>3</w:t>
      </w:r>
      <w:r w:rsidR="007E6DAA" w:rsidRPr="007E6DAA">
        <w:rPr>
          <w:rFonts w:ascii="Times New Roman" w:hAnsi="Times New Roman" w:cs="Times New Roman"/>
          <w:sz w:val="28"/>
          <w:szCs w:val="28"/>
          <w:lang w:val="uk-UA"/>
        </w:rPr>
        <w:t>4</w:t>
      </w:r>
      <w:r w:rsidR="00EA50B9">
        <w:rPr>
          <w:rFonts w:ascii="Times New Roman" w:hAnsi="Times New Roman" w:cs="Times New Roman"/>
          <w:sz w:val="28"/>
          <w:szCs w:val="28"/>
          <w:lang w:val="uk-UA"/>
        </w:rPr>
        <w:t>)</w:t>
      </w:r>
      <w:r w:rsidR="00545C44" w:rsidRPr="007029E8">
        <w:rPr>
          <w:rFonts w:ascii="Times New Roman" w:hAnsi="Times New Roman" w:cs="Times New Roman"/>
          <w:sz w:val="28"/>
          <w:szCs w:val="28"/>
          <w:lang w:val="uk-UA"/>
        </w:rPr>
        <w:t xml:space="preserve">, </w:t>
      </w:r>
      <w:r w:rsidR="00A33D48">
        <w:rPr>
          <w:rFonts w:ascii="Times New Roman" w:hAnsi="Times New Roman" w:cs="Times New Roman"/>
          <w:sz w:val="28"/>
          <w:szCs w:val="28"/>
          <w:lang w:val="uk-UA"/>
        </w:rPr>
        <w:t>(0,</w:t>
      </w:r>
      <w:r w:rsidR="00A33D48" w:rsidRPr="00A33D48">
        <w:rPr>
          <w:rFonts w:ascii="Times New Roman" w:hAnsi="Times New Roman" w:cs="Times New Roman"/>
          <w:sz w:val="28"/>
          <w:szCs w:val="28"/>
          <w:lang w:val="uk-UA"/>
        </w:rPr>
        <w:t>6</w:t>
      </w:r>
      <w:r w:rsidR="007E6DAA" w:rsidRPr="007E6DAA">
        <w:rPr>
          <w:rFonts w:ascii="Times New Roman" w:hAnsi="Times New Roman" w:cs="Times New Roman"/>
          <w:sz w:val="28"/>
          <w:szCs w:val="28"/>
          <w:lang w:val="uk-UA"/>
        </w:rPr>
        <w:t>6</w:t>
      </w:r>
      <w:r w:rsidR="00EA50B9">
        <w:rPr>
          <w:rFonts w:ascii="Times New Roman" w:hAnsi="Times New Roman" w:cs="Times New Roman"/>
          <w:sz w:val="28"/>
          <w:szCs w:val="28"/>
          <w:lang w:val="uk-UA"/>
        </w:rPr>
        <w:t xml:space="preserve"> </w:t>
      </w:r>
      <w:r w:rsidR="00545C44" w:rsidRPr="003F345C">
        <w:rPr>
          <w:rFonts w:ascii="Times New Roman" w:hAnsi="Times New Roman" w:cs="Times New Roman"/>
          <w:sz w:val="28"/>
          <w:szCs w:val="28"/>
          <w:lang w:val="uk-UA"/>
        </w:rPr>
        <w:t>±</w:t>
      </w:r>
      <w:r w:rsidR="00EA50B9">
        <w:rPr>
          <w:rFonts w:ascii="Times New Roman" w:hAnsi="Times New Roman" w:cs="Times New Roman"/>
          <w:sz w:val="28"/>
          <w:szCs w:val="28"/>
          <w:lang w:val="uk-UA"/>
        </w:rPr>
        <w:t xml:space="preserve"> </w:t>
      </w:r>
      <w:r w:rsidR="00B2184A">
        <w:rPr>
          <w:rFonts w:ascii="Times New Roman" w:hAnsi="Times New Roman" w:cs="Times New Roman"/>
          <w:sz w:val="28"/>
          <w:szCs w:val="28"/>
          <w:lang w:val="uk-UA"/>
        </w:rPr>
        <w:t xml:space="preserve">0,04) ммоль/л, </w:t>
      </w:r>
      <w:r w:rsidR="00545C44" w:rsidRPr="003F345C">
        <w:rPr>
          <w:rFonts w:ascii="Times New Roman" w:hAnsi="Times New Roman" w:cs="Times New Roman"/>
          <w:sz w:val="28"/>
          <w:szCs w:val="28"/>
          <w:lang w:val="en-US"/>
        </w:rPr>
        <w:t>p</w:t>
      </w:r>
      <w:r w:rsidR="009A074E">
        <w:rPr>
          <w:rFonts w:ascii="Times New Roman" w:hAnsi="Times New Roman" w:cs="Times New Roman"/>
          <w:sz w:val="28"/>
          <w:szCs w:val="28"/>
          <w:lang w:val="uk-UA"/>
        </w:rPr>
        <w:t xml:space="preserve"> = 0,</w:t>
      </w:r>
      <w:r w:rsidR="007E6DAA" w:rsidRPr="007E6DAA">
        <w:rPr>
          <w:rFonts w:ascii="Times New Roman" w:hAnsi="Times New Roman" w:cs="Times New Roman"/>
          <w:sz w:val="28"/>
          <w:szCs w:val="28"/>
          <w:lang w:val="uk-UA"/>
        </w:rPr>
        <w:t>9768</w:t>
      </w:r>
      <w:r w:rsidR="007029E8" w:rsidRPr="003F345C">
        <w:rPr>
          <w:rFonts w:ascii="Times New Roman" w:hAnsi="Times New Roman" w:cs="Times New Roman"/>
          <w:sz w:val="28"/>
          <w:szCs w:val="28"/>
          <w:lang w:val="uk-UA"/>
        </w:rPr>
        <w:t xml:space="preserve">;  </w:t>
      </w:r>
      <w:r w:rsidR="007029E8" w:rsidRPr="007029E8">
        <w:rPr>
          <w:rFonts w:ascii="Times New Roman" w:hAnsi="Times New Roman" w:cs="Times New Roman"/>
          <w:sz w:val="28"/>
          <w:szCs w:val="28"/>
          <w:lang w:val="uk-UA"/>
        </w:rPr>
        <w:t>ТГ – (1,6</w:t>
      </w:r>
      <w:r w:rsidR="007E6DAA" w:rsidRPr="007E6DAA">
        <w:rPr>
          <w:rFonts w:ascii="Times New Roman" w:hAnsi="Times New Roman" w:cs="Times New Roman"/>
          <w:sz w:val="28"/>
          <w:szCs w:val="28"/>
          <w:lang w:val="uk-UA"/>
        </w:rPr>
        <w:t>3</w:t>
      </w:r>
      <w:r w:rsidR="00EA50B9">
        <w:rPr>
          <w:rFonts w:ascii="Times New Roman" w:hAnsi="Times New Roman" w:cs="Times New Roman"/>
          <w:sz w:val="28"/>
          <w:szCs w:val="28"/>
          <w:lang w:val="uk-UA"/>
        </w:rPr>
        <w:t xml:space="preserve"> </w:t>
      </w:r>
      <w:r w:rsidR="00A33D48">
        <w:rPr>
          <w:rFonts w:ascii="Times New Roman" w:hAnsi="Times New Roman" w:cs="Times New Roman"/>
          <w:sz w:val="28"/>
          <w:szCs w:val="28"/>
          <w:lang w:val="uk-UA"/>
        </w:rPr>
        <w:t>±</w:t>
      </w:r>
      <w:r w:rsidR="00EA50B9">
        <w:rPr>
          <w:rFonts w:ascii="Times New Roman" w:hAnsi="Times New Roman" w:cs="Times New Roman"/>
          <w:sz w:val="28"/>
          <w:szCs w:val="28"/>
          <w:lang w:val="uk-UA"/>
        </w:rPr>
        <w:t xml:space="preserve"> </w:t>
      </w:r>
      <w:r w:rsidR="00A33D48">
        <w:rPr>
          <w:rFonts w:ascii="Times New Roman" w:hAnsi="Times New Roman" w:cs="Times New Roman"/>
          <w:sz w:val="28"/>
          <w:szCs w:val="28"/>
          <w:lang w:val="uk-UA"/>
        </w:rPr>
        <w:t>0,</w:t>
      </w:r>
      <w:r w:rsidR="007E6DAA" w:rsidRPr="007E6DAA">
        <w:rPr>
          <w:rFonts w:ascii="Times New Roman" w:hAnsi="Times New Roman" w:cs="Times New Roman"/>
          <w:sz w:val="28"/>
          <w:szCs w:val="28"/>
          <w:lang w:val="uk-UA"/>
        </w:rPr>
        <w:t>5</w:t>
      </w:r>
      <w:r w:rsidR="00EA50B9">
        <w:rPr>
          <w:rFonts w:ascii="Times New Roman" w:hAnsi="Times New Roman" w:cs="Times New Roman"/>
          <w:sz w:val="28"/>
          <w:szCs w:val="28"/>
          <w:lang w:val="uk-UA"/>
        </w:rPr>
        <w:t>)</w:t>
      </w:r>
      <w:r w:rsidR="00A33D48">
        <w:rPr>
          <w:rFonts w:ascii="Times New Roman" w:hAnsi="Times New Roman" w:cs="Times New Roman"/>
          <w:sz w:val="28"/>
          <w:szCs w:val="28"/>
          <w:lang w:val="uk-UA"/>
        </w:rPr>
        <w:t>, (1,</w:t>
      </w:r>
      <w:r w:rsidR="00A33D48" w:rsidRPr="00A33D48">
        <w:rPr>
          <w:rFonts w:ascii="Times New Roman" w:hAnsi="Times New Roman" w:cs="Times New Roman"/>
          <w:sz w:val="28"/>
          <w:szCs w:val="28"/>
          <w:lang w:val="uk-UA"/>
        </w:rPr>
        <w:t>5</w:t>
      </w:r>
      <w:r w:rsidR="00EA50B9">
        <w:rPr>
          <w:rFonts w:ascii="Times New Roman" w:hAnsi="Times New Roman" w:cs="Times New Roman"/>
          <w:sz w:val="28"/>
          <w:szCs w:val="28"/>
          <w:lang w:val="uk-UA"/>
        </w:rPr>
        <w:t xml:space="preserve"> </w:t>
      </w:r>
      <w:r w:rsidR="0054656F" w:rsidRPr="00A33D48">
        <w:rPr>
          <w:rFonts w:ascii="Times New Roman" w:hAnsi="Times New Roman" w:cs="Times New Roman"/>
          <w:sz w:val="28"/>
          <w:szCs w:val="28"/>
          <w:lang w:val="uk-UA"/>
        </w:rPr>
        <w:t>±</w:t>
      </w:r>
      <w:r w:rsidR="00EA50B9">
        <w:rPr>
          <w:rFonts w:ascii="Times New Roman" w:hAnsi="Times New Roman" w:cs="Times New Roman"/>
          <w:sz w:val="28"/>
          <w:szCs w:val="28"/>
          <w:lang w:val="uk-UA"/>
        </w:rPr>
        <w:t xml:space="preserve"> </w:t>
      </w:r>
      <w:r w:rsidR="00A33D48" w:rsidRPr="00A33D48">
        <w:rPr>
          <w:rFonts w:ascii="Times New Roman" w:hAnsi="Times New Roman" w:cs="Times New Roman"/>
          <w:sz w:val="28"/>
          <w:szCs w:val="28"/>
          <w:lang w:val="uk-UA"/>
        </w:rPr>
        <w:t>0,07</w:t>
      </w:r>
      <w:r w:rsidR="0054656F" w:rsidRPr="00A33D48">
        <w:rPr>
          <w:rFonts w:ascii="Times New Roman" w:hAnsi="Times New Roman" w:cs="Times New Roman"/>
          <w:sz w:val="28"/>
          <w:szCs w:val="28"/>
          <w:lang w:val="uk-UA"/>
        </w:rPr>
        <w:t>) ммоль/л,</w:t>
      </w:r>
      <w:r w:rsidR="00FD43E6" w:rsidRPr="00A33D48">
        <w:rPr>
          <w:rFonts w:ascii="Times New Roman" w:hAnsi="Times New Roman" w:cs="Times New Roman"/>
          <w:sz w:val="28"/>
          <w:szCs w:val="28"/>
          <w:lang w:val="uk-UA"/>
        </w:rPr>
        <w:t xml:space="preserve"> </w:t>
      </w:r>
      <w:r w:rsidR="00FD43E6" w:rsidRPr="00A33D48">
        <w:rPr>
          <w:rFonts w:ascii="Times New Roman" w:hAnsi="Times New Roman" w:cs="Times New Roman"/>
          <w:sz w:val="28"/>
          <w:szCs w:val="28"/>
          <w:lang w:val="en-US"/>
        </w:rPr>
        <w:t>p</w:t>
      </w:r>
      <w:r w:rsidR="007E6DAA">
        <w:rPr>
          <w:rFonts w:ascii="Times New Roman" w:hAnsi="Times New Roman" w:cs="Times New Roman"/>
          <w:sz w:val="28"/>
          <w:szCs w:val="28"/>
          <w:lang w:val="uk-UA"/>
        </w:rPr>
        <w:t xml:space="preserve"> = 0,</w:t>
      </w:r>
      <w:r w:rsidR="007E6DAA" w:rsidRPr="007E6DAA">
        <w:rPr>
          <w:rFonts w:ascii="Times New Roman" w:hAnsi="Times New Roman" w:cs="Times New Roman"/>
          <w:sz w:val="28"/>
          <w:szCs w:val="28"/>
          <w:lang w:val="uk-UA"/>
        </w:rPr>
        <w:t>797</w:t>
      </w:r>
      <w:r w:rsidR="00A33D48" w:rsidRPr="00A33D48">
        <w:rPr>
          <w:rFonts w:ascii="Times New Roman" w:hAnsi="Times New Roman" w:cs="Times New Roman"/>
          <w:sz w:val="28"/>
          <w:szCs w:val="28"/>
          <w:lang w:val="uk-UA"/>
        </w:rPr>
        <w:t>9</w:t>
      </w:r>
      <w:r w:rsidR="00C551A7">
        <w:rPr>
          <w:rFonts w:ascii="Times New Roman" w:hAnsi="Times New Roman" w:cs="Times New Roman"/>
          <w:sz w:val="28"/>
          <w:szCs w:val="28"/>
          <w:lang w:val="uk-UA"/>
        </w:rPr>
        <w:t xml:space="preserve"> </w:t>
      </w:r>
      <w:r w:rsidR="00AF0245" w:rsidRPr="00AF0245">
        <w:rPr>
          <w:rFonts w:ascii="Times New Roman" w:hAnsi="Times New Roman" w:cs="Times New Roman"/>
          <w:sz w:val="28"/>
          <w:szCs w:val="28"/>
          <w:lang w:val="uk-UA"/>
        </w:rPr>
        <w:t xml:space="preserve">вiдповiдно </w:t>
      </w:r>
      <w:r w:rsidR="005F3E81" w:rsidRPr="005F3E81">
        <w:rPr>
          <w:rFonts w:ascii="Times New Roman" w:hAnsi="Times New Roman" w:cs="Times New Roman"/>
          <w:sz w:val="28"/>
          <w:szCs w:val="28"/>
          <w:lang w:val="uk-UA"/>
        </w:rPr>
        <w:t xml:space="preserve">  </w:t>
      </w:r>
      <w:r w:rsidR="00C551A7">
        <w:rPr>
          <w:rFonts w:ascii="Times New Roman" w:hAnsi="Times New Roman" w:cs="Times New Roman"/>
          <w:sz w:val="28"/>
          <w:szCs w:val="28"/>
          <w:lang w:val="uk-UA"/>
        </w:rPr>
        <w:t>(табл. 6.1</w:t>
      </w:r>
      <w:r w:rsidR="008B77A1" w:rsidRPr="007B6771">
        <w:rPr>
          <w:rFonts w:ascii="Times New Roman" w:hAnsi="Times New Roman" w:cs="Times New Roman"/>
          <w:sz w:val="28"/>
          <w:szCs w:val="28"/>
          <w:lang w:val="uk-UA"/>
        </w:rPr>
        <w:t>.1</w:t>
      </w:r>
      <w:r w:rsidR="00DF2543" w:rsidRPr="00A33D48">
        <w:rPr>
          <w:rFonts w:ascii="Times New Roman" w:hAnsi="Times New Roman" w:cs="Times New Roman"/>
          <w:sz w:val="28"/>
          <w:szCs w:val="28"/>
          <w:lang w:val="uk-UA"/>
        </w:rPr>
        <w:t>).</w:t>
      </w:r>
    </w:p>
    <w:p w:rsidR="00E36F09" w:rsidRPr="007B6771" w:rsidRDefault="00C551A7" w:rsidP="00C551A7">
      <w:pPr>
        <w:autoSpaceDE w:val="0"/>
        <w:autoSpaceDN w:val="0"/>
        <w:adjustRightInd w:val="0"/>
        <w:spacing w:after="0" w:line="360" w:lineRule="auto"/>
        <w:jc w:val="right"/>
        <w:rPr>
          <w:rFonts w:ascii="Times New Roman" w:hAnsi="Times New Roman" w:cs="Times New Roman"/>
          <w:i/>
          <w:sz w:val="28"/>
          <w:szCs w:val="28"/>
          <w:lang w:val="uk-UA"/>
        </w:rPr>
      </w:pPr>
      <w:r w:rsidRPr="00C551A7">
        <w:rPr>
          <w:rFonts w:ascii="Times New Roman" w:hAnsi="Times New Roman" w:cs="Times New Roman"/>
          <w:i/>
          <w:sz w:val="28"/>
          <w:szCs w:val="28"/>
          <w:lang w:val="uk-UA"/>
        </w:rPr>
        <w:t>Таблиця 6.1</w:t>
      </w:r>
      <w:r w:rsidR="008B77A1" w:rsidRPr="007B6771">
        <w:rPr>
          <w:rFonts w:ascii="Times New Roman" w:hAnsi="Times New Roman" w:cs="Times New Roman"/>
          <w:i/>
          <w:sz w:val="28"/>
          <w:szCs w:val="28"/>
          <w:lang w:val="uk-UA"/>
        </w:rPr>
        <w:t>.1</w:t>
      </w:r>
    </w:p>
    <w:p w:rsidR="00C551A7" w:rsidRPr="00C551A7" w:rsidRDefault="00C551A7" w:rsidP="00AC6AF7">
      <w:pPr>
        <w:autoSpaceDE w:val="0"/>
        <w:autoSpaceDN w:val="0"/>
        <w:adjustRightInd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Динаміка показників ліпідного спектра крові під впливом лікування </w:t>
      </w:r>
      <w:r w:rsidR="00A6572D">
        <w:rPr>
          <w:rFonts w:ascii="Times New Roman" w:hAnsi="Times New Roman" w:cs="Times New Roman"/>
          <w:b/>
          <w:sz w:val="28"/>
          <w:szCs w:val="28"/>
          <w:lang w:val="uk-UA"/>
        </w:rPr>
        <w:t xml:space="preserve">      </w:t>
      </w:r>
      <w:r w:rsidR="00AF0245">
        <w:rPr>
          <w:rFonts w:ascii="Times New Roman" w:hAnsi="Times New Roman" w:cs="Times New Roman"/>
          <w:b/>
          <w:sz w:val="28"/>
          <w:szCs w:val="28"/>
          <w:lang w:val="uk-UA"/>
        </w:rPr>
        <w:t>у пацієнтів І та ІІ груп</w:t>
      </w:r>
    </w:p>
    <w:tbl>
      <w:tblPr>
        <w:tblStyle w:val="a5"/>
        <w:tblW w:w="0" w:type="auto"/>
        <w:tblLook w:val="04A0" w:firstRow="1" w:lastRow="0" w:firstColumn="1" w:lastColumn="0" w:noHBand="0" w:noVBand="1"/>
      </w:tblPr>
      <w:tblGrid>
        <w:gridCol w:w="1520"/>
        <w:gridCol w:w="1565"/>
        <w:gridCol w:w="1503"/>
        <w:gridCol w:w="986"/>
        <w:gridCol w:w="1505"/>
        <w:gridCol w:w="1506"/>
        <w:gridCol w:w="986"/>
      </w:tblGrid>
      <w:tr w:rsidR="00517E3E" w:rsidTr="00C551A7">
        <w:tc>
          <w:tcPr>
            <w:tcW w:w="1520" w:type="dxa"/>
            <w:vMerge w:val="restart"/>
          </w:tcPr>
          <w:p w:rsidR="00517E3E" w:rsidRDefault="00517E3E"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w:t>
            </w:r>
          </w:p>
        </w:tc>
        <w:tc>
          <w:tcPr>
            <w:tcW w:w="4054" w:type="dxa"/>
            <w:gridSpan w:val="3"/>
          </w:tcPr>
          <w:p w:rsidR="00517E3E" w:rsidRDefault="00517E3E" w:rsidP="00C551A7">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 група</w:t>
            </w:r>
          </w:p>
        </w:tc>
        <w:tc>
          <w:tcPr>
            <w:tcW w:w="3997" w:type="dxa"/>
            <w:gridSpan w:val="3"/>
          </w:tcPr>
          <w:p w:rsidR="00517E3E" w:rsidRDefault="00517E3E" w:rsidP="00C551A7">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ІІ група</w:t>
            </w:r>
          </w:p>
        </w:tc>
      </w:tr>
      <w:tr w:rsidR="00C551A7" w:rsidTr="00C551A7">
        <w:tc>
          <w:tcPr>
            <w:tcW w:w="1520" w:type="dxa"/>
            <w:vMerge/>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p>
        </w:tc>
        <w:tc>
          <w:tcPr>
            <w:tcW w:w="1565" w:type="dxa"/>
          </w:tcPr>
          <w:p w:rsidR="00C551A7" w:rsidRDefault="00AF0245"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лікуван</w:t>
            </w:r>
            <w:r w:rsidR="00C551A7">
              <w:rPr>
                <w:rFonts w:ascii="Times New Roman" w:hAnsi="Times New Roman" w:cs="Times New Roman"/>
                <w:sz w:val="28"/>
                <w:szCs w:val="28"/>
                <w:lang w:val="uk-UA"/>
              </w:rPr>
              <w:t>ня</w:t>
            </w:r>
          </w:p>
        </w:tc>
        <w:tc>
          <w:tcPr>
            <w:tcW w:w="1503"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w:t>
            </w:r>
          </w:p>
          <w:p w:rsidR="00C551A7" w:rsidRDefault="00AF0245"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лікуван</w:t>
            </w:r>
            <w:r w:rsidR="00C551A7">
              <w:rPr>
                <w:rFonts w:ascii="Times New Roman" w:hAnsi="Times New Roman" w:cs="Times New Roman"/>
                <w:sz w:val="28"/>
                <w:szCs w:val="28"/>
                <w:lang w:val="uk-UA"/>
              </w:rPr>
              <w:t>ня</w:t>
            </w:r>
          </w:p>
        </w:tc>
        <w:tc>
          <w:tcPr>
            <w:tcW w:w="986"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p>
        </w:tc>
        <w:tc>
          <w:tcPr>
            <w:tcW w:w="1505" w:type="dxa"/>
          </w:tcPr>
          <w:p w:rsidR="00C551A7" w:rsidRDefault="00AF0245"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 лікуван</w:t>
            </w:r>
            <w:r w:rsidR="00C551A7" w:rsidRPr="00C551A7">
              <w:rPr>
                <w:rFonts w:ascii="Times New Roman" w:hAnsi="Times New Roman" w:cs="Times New Roman"/>
                <w:sz w:val="28"/>
                <w:szCs w:val="28"/>
                <w:lang w:val="uk-UA"/>
              </w:rPr>
              <w:t>ня</w:t>
            </w:r>
          </w:p>
        </w:tc>
        <w:tc>
          <w:tcPr>
            <w:tcW w:w="1506" w:type="dxa"/>
          </w:tcPr>
          <w:p w:rsidR="00C551A7" w:rsidRPr="00C551A7" w:rsidRDefault="00C551A7" w:rsidP="00C551A7">
            <w:pPr>
              <w:autoSpaceDE w:val="0"/>
              <w:autoSpaceDN w:val="0"/>
              <w:adjustRightInd w:val="0"/>
              <w:spacing w:line="360" w:lineRule="auto"/>
              <w:jc w:val="both"/>
              <w:rPr>
                <w:rFonts w:ascii="Times New Roman" w:hAnsi="Times New Roman" w:cs="Times New Roman"/>
                <w:sz w:val="28"/>
                <w:szCs w:val="28"/>
                <w:lang w:val="uk-UA"/>
              </w:rPr>
            </w:pPr>
            <w:r w:rsidRPr="00C551A7">
              <w:rPr>
                <w:rFonts w:ascii="Times New Roman" w:hAnsi="Times New Roman" w:cs="Times New Roman"/>
                <w:sz w:val="28"/>
                <w:szCs w:val="28"/>
                <w:lang w:val="uk-UA"/>
              </w:rPr>
              <w:t xml:space="preserve">після </w:t>
            </w:r>
          </w:p>
          <w:p w:rsidR="00C551A7" w:rsidRDefault="00AF0245" w:rsidP="00C551A7">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лікуван</w:t>
            </w:r>
            <w:r w:rsidR="00C551A7" w:rsidRPr="00C551A7">
              <w:rPr>
                <w:rFonts w:ascii="Times New Roman" w:hAnsi="Times New Roman" w:cs="Times New Roman"/>
                <w:sz w:val="28"/>
                <w:szCs w:val="28"/>
                <w:lang w:val="uk-UA"/>
              </w:rPr>
              <w:t>ня</w:t>
            </w:r>
          </w:p>
        </w:tc>
        <w:tc>
          <w:tcPr>
            <w:tcW w:w="986"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p>
        </w:tc>
      </w:tr>
      <w:tr w:rsidR="00C551A7" w:rsidTr="00C551A7">
        <w:tc>
          <w:tcPr>
            <w:tcW w:w="1520"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ЗХС (ммоль/л)</w:t>
            </w:r>
          </w:p>
        </w:tc>
        <w:tc>
          <w:tcPr>
            <w:tcW w:w="1565" w:type="dxa"/>
          </w:tcPr>
          <w:p w:rsidR="00C551A7" w:rsidRPr="00C551A7" w:rsidRDefault="008B0C5C"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5,22 ± 0,1</w:t>
            </w:r>
          </w:p>
        </w:tc>
        <w:tc>
          <w:tcPr>
            <w:tcW w:w="1503" w:type="dxa"/>
          </w:tcPr>
          <w:p w:rsidR="00C551A7" w:rsidRPr="00887661" w:rsidRDefault="00887661"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4,6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0,</w:t>
            </w:r>
            <w:r>
              <w:rPr>
                <w:rFonts w:ascii="Times New Roman" w:hAnsi="Times New Roman" w:cs="Times New Roman"/>
                <w:sz w:val="28"/>
                <w:szCs w:val="28"/>
                <w:lang w:val="en-US"/>
              </w:rPr>
              <w:t>21</w:t>
            </w:r>
          </w:p>
        </w:tc>
        <w:tc>
          <w:tcPr>
            <w:tcW w:w="986" w:type="dxa"/>
          </w:tcPr>
          <w:p w:rsidR="00C551A7" w:rsidRPr="00887661" w:rsidRDefault="00887661"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0,00</w:t>
            </w:r>
            <w:r>
              <w:rPr>
                <w:rFonts w:ascii="Times New Roman" w:hAnsi="Times New Roman" w:cs="Times New Roman"/>
                <w:sz w:val="28"/>
                <w:szCs w:val="28"/>
                <w:lang w:val="en-US"/>
              </w:rPr>
              <w:t>84</w:t>
            </w:r>
          </w:p>
        </w:tc>
        <w:tc>
          <w:tcPr>
            <w:tcW w:w="1505" w:type="dxa"/>
          </w:tcPr>
          <w:p w:rsidR="00C551A7" w:rsidRPr="00887661" w:rsidRDefault="008B0C5C"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4,69 ± 0,3</w:t>
            </w:r>
            <w:r w:rsidR="00887661">
              <w:rPr>
                <w:rFonts w:ascii="Times New Roman" w:hAnsi="Times New Roman" w:cs="Times New Roman"/>
                <w:sz w:val="28"/>
                <w:szCs w:val="28"/>
                <w:lang w:val="en-US"/>
              </w:rPr>
              <w:t>2</w:t>
            </w:r>
          </w:p>
        </w:tc>
        <w:tc>
          <w:tcPr>
            <w:tcW w:w="1506" w:type="dxa"/>
          </w:tcPr>
          <w:p w:rsidR="00C551A7" w:rsidRPr="00575E3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575E34">
              <w:rPr>
                <w:rFonts w:ascii="Times New Roman" w:hAnsi="Times New Roman" w:cs="Times New Roman"/>
                <w:sz w:val="28"/>
                <w:szCs w:val="28"/>
                <w:lang w:val="uk-UA"/>
              </w:rPr>
              <w:t>4,65 ± 0,2</w:t>
            </w:r>
          </w:p>
        </w:tc>
        <w:tc>
          <w:tcPr>
            <w:tcW w:w="986" w:type="dxa"/>
          </w:tcPr>
          <w:p w:rsidR="00C551A7" w:rsidRPr="00887661" w:rsidRDefault="00887661"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0,9</w:t>
            </w:r>
            <w:r>
              <w:rPr>
                <w:rFonts w:ascii="Times New Roman" w:hAnsi="Times New Roman" w:cs="Times New Roman"/>
                <w:sz w:val="28"/>
                <w:szCs w:val="28"/>
                <w:lang w:val="en-US"/>
              </w:rPr>
              <w:t>160</w:t>
            </w:r>
          </w:p>
        </w:tc>
      </w:tr>
      <w:tr w:rsidR="00C551A7" w:rsidTr="00C551A7">
        <w:tc>
          <w:tcPr>
            <w:tcW w:w="1520" w:type="dxa"/>
          </w:tcPr>
          <w:p w:rsidR="00C551A7" w:rsidRPr="00517E3E" w:rsidRDefault="00C551A7"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ХС</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ЛПВЩ</w:t>
            </w:r>
            <w:r>
              <w:rPr>
                <w:rFonts w:ascii="Times New Roman" w:hAnsi="Times New Roman" w:cs="Times New Roman"/>
                <w:sz w:val="28"/>
                <w:szCs w:val="28"/>
                <w:lang w:val="en-US"/>
              </w:rPr>
              <w:t xml:space="preserve"> </w:t>
            </w:r>
            <w:r w:rsidRPr="00517E3E">
              <w:rPr>
                <w:rFonts w:ascii="Times New Roman" w:hAnsi="Times New Roman" w:cs="Times New Roman"/>
                <w:sz w:val="28"/>
                <w:szCs w:val="28"/>
                <w:lang w:val="en-US"/>
              </w:rPr>
              <w:t>(ммоль/л)</w:t>
            </w:r>
          </w:p>
        </w:tc>
        <w:tc>
          <w:tcPr>
            <w:tcW w:w="1565" w:type="dxa"/>
          </w:tcPr>
          <w:p w:rsidR="00C551A7" w:rsidRPr="00B36F16" w:rsidRDefault="00493555"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1,1</w:t>
            </w:r>
            <w:r>
              <w:rPr>
                <w:rFonts w:ascii="Times New Roman" w:hAnsi="Times New Roman" w:cs="Times New Roman"/>
                <w:sz w:val="28"/>
                <w:szCs w:val="28"/>
                <w:lang w:val="en-US"/>
              </w:rPr>
              <w:t>6</w:t>
            </w:r>
            <w:r w:rsidR="00B36F16">
              <w:rPr>
                <w:rFonts w:ascii="Times New Roman" w:hAnsi="Times New Roman" w:cs="Times New Roman"/>
                <w:sz w:val="28"/>
                <w:szCs w:val="28"/>
                <w:lang w:val="uk-UA"/>
              </w:rPr>
              <w:t xml:space="preserve"> ± 0,0</w:t>
            </w:r>
            <w:r w:rsidR="00B36F16">
              <w:rPr>
                <w:rFonts w:ascii="Times New Roman" w:hAnsi="Times New Roman" w:cs="Times New Roman"/>
                <w:sz w:val="28"/>
                <w:szCs w:val="28"/>
                <w:lang w:val="en-US"/>
              </w:rPr>
              <w:t>1</w:t>
            </w:r>
          </w:p>
        </w:tc>
        <w:tc>
          <w:tcPr>
            <w:tcW w:w="1503" w:type="dxa"/>
          </w:tcPr>
          <w:p w:rsidR="00C551A7" w:rsidRPr="00575E3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575E34">
              <w:rPr>
                <w:rFonts w:ascii="Times New Roman" w:hAnsi="Times New Roman" w:cs="Times New Roman"/>
                <w:sz w:val="28"/>
                <w:szCs w:val="28"/>
                <w:lang w:val="uk-UA"/>
              </w:rPr>
              <w:t>1,23</w:t>
            </w:r>
            <w:r w:rsidR="00887661">
              <w:rPr>
                <w:rFonts w:ascii="Times New Roman" w:hAnsi="Times New Roman" w:cs="Times New Roman"/>
                <w:sz w:val="28"/>
                <w:szCs w:val="28"/>
                <w:lang w:val="en-US"/>
              </w:rPr>
              <w:t xml:space="preserve"> </w:t>
            </w:r>
            <w:r w:rsidRPr="00575E34">
              <w:rPr>
                <w:rFonts w:ascii="Times New Roman" w:hAnsi="Times New Roman" w:cs="Times New Roman"/>
                <w:sz w:val="28"/>
                <w:szCs w:val="28"/>
                <w:lang w:val="uk-UA"/>
              </w:rPr>
              <w:t>±</w:t>
            </w:r>
            <w:r w:rsidR="00887661">
              <w:rPr>
                <w:rFonts w:ascii="Times New Roman" w:hAnsi="Times New Roman" w:cs="Times New Roman"/>
                <w:sz w:val="28"/>
                <w:szCs w:val="28"/>
                <w:lang w:val="en-US"/>
              </w:rPr>
              <w:t xml:space="preserve"> </w:t>
            </w:r>
            <w:r w:rsidRPr="00575E34">
              <w:rPr>
                <w:rFonts w:ascii="Times New Roman" w:hAnsi="Times New Roman" w:cs="Times New Roman"/>
                <w:sz w:val="28"/>
                <w:szCs w:val="28"/>
                <w:lang w:val="uk-UA"/>
              </w:rPr>
              <w:t>0,02</w:t>
            </w:r>
          </w:p>
        </w:tc>
        <w:tc>
          <w:tcPr>
            <w:tcW w:w="986" w:type="dxa"/>
          </w:tcPr>
          <w:p w:rsidR="00C551A7" w:rsidRPr="001104BF" w:rsidRDefault="001104BF"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0,0</w:t>
            </w:r>
            <w:r>
              <w:rPr>
                <w:rFonts w:ascii="Times New Roman" w:hAnsi="Times New Roman" w:cs="Times New Roman"/>
                <w:sz w:val="28"/>
                <w:szCs w:val="28"/>
                <w:lang w:val="en-US"/>
              </w:rPr>
              <w:t>0</w:t>
            </w:r>
            <w:r w:rsidR="00C551A7">
              <w:rPr>
                <w:rFonts w:ascii="Times New Roman" w:hAnsi="Times New Roman" w:cs="Times New Roman"/>
                <w:sz w:val="28"/>
                <w:szCs w:val="28"/>
                <w:lang w:val="uk-UA"/>
              </w:rPr>
              <w:t>2</w:t>
            </w:r>
            <w:r>
              <w:rPr>
                <w:rFonts w:ascii="Times New Roman" w:hAnsi="Times New Roman" w:cs="Times New Roman"/>
                <w:sz w:val="28"/>
                <w:szCs w:val="28"/>
                <w:lang w:val="en-US"/>
              </w:rPr>
              <w:t>0</w:t>
            </w:r>
          </w:p>
        </w:tc>
        <w:tc>
          <w:tcPr>
            <w:tcW w:w="1505" w:type="dxa"/>
          </w:tcPr>
          <w:p w:rsidR="00C551A7" w:rsidRPr="00493555" w:rsidRDefault="00493555"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1,22 ± 0,</w:t>
            </w:r>
            <w:r>
              <w:rPr>
                <w:rFonts w:ascii="Times New Roman" w:hAnsi="Times New Roman" w:cs="Times New Roman"/>
                <w:sz w:val="28"/>
                <w:szCs w:val="28"/>
                <w:lang w:val="en-US"/>
              </w:rPr>
              <w:t>04</w:t>
            </w:r>
          </w:p>
        </w:tc>
        <w:tc>
          <w:tcPr>
            <w:tcW w:w="1506" w:type="dxa"/>
          </w:tcPr>
          <w:p w:rsidR="00C551A7" w:rsidRPr="00C658F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C658F4">
              <w:rPr>
                <w:rFonts w:ascii="Times New Roman" w:hAnsi="Times New Roman" w:cs="Times New Roman"/>
                <w:sz w:val="28"/>
                <w:szCs w:val="28"/>
                <w:lang w:val="uk-UA"/>
              </w:rPr>
              <w:t>1,51±0,09</w:t>
            </w:r>
          </w:p>
        </w:tc>
        <w:tc>
          <w:tcPr>
            <w:tcW w:w="986" w:type="dxa"/>
          </w:tcPr>
          <w:p w:rsidR="00C551A7" w:rsidRPr="00416071" w:rsidRDefault="00416071"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0,0</w:t>
            </w:r>
            <w:r>
              <w:rPr>
                <w:rFonts w:ascii="Times New Roman" w:hAnsi="Times New Roman" w:cs="Times New Roman"/>
                <w:sz w:val="28"/>
                <w:szCs w:val="28"/>
                <w:lang w:val="en-US"/>
              </w:rPr>
              <w:t>051</w:t>
            </w:r>
          </w:p>
        </w:tc>
      </w:tr>
      <w:tr w:rsidR="00C551A7" w:rsidTr="00C551A7">
        <w:tc>
          <w:tcPr>
            <w:tcW w:w="1520"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ХС ЛП</w:t>
            </w:r>
            <w:r>
              <w:rPr>
                <w:rFonts w:ascii="Times New Roman" w:hAnsi="Times New Roman" w:cs="Times New Roman"/>
                <w:sz w:val="28"/>
                <w:szCs w:val="28"/>
              </w:rPr>
              <w:t>Н</w:t>
            </w:r>
            <w:r w:rsidRPr="00517E3E">
              <w:rPr>
                <w:rFonts w:ascii="Times New Roman" w:hAnsi="Times New Roman" w:cs="Times New Roman"/>
                <w:sz w:val="28"/>
                <w:szCs w:val="28"/>
                <w:lang w:val="uk-UA"/>
              </w:rPr>
              <w:t>Щ (ммоль/л)</w:t>
            </w:r>
          </w:p>
        </w:tc>
        <w:tc>
          <w:tcPr>
            <w:tcW w:w="1565" w:type="dxa"/>
          </w:tcPr>
          <w:p w:rsidR="00C551A7" w:rsidRPr="00B36F16" w:rsidRDefault="00B36F1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2,8</w:t>
            </w:r>
            <w:r>
              <w:rPr>
                <w:rFonts w:ascii="Times New Roman" w:hAnsi="Times New Roman" w:cs="Times New Roman"/>
                <w:sz w:val="28"/>
                <w:szCs w:val="28"/>
                <w:lang w:val="en-US"/>
              </w:rPr>
              <w:t>4</w:t>
            </w:r>
            <w:r>
              <w:rPr>
                <w:rFonts w:ascii="Times New Roman" w:hAnsi="Times New Roman" w:cs="Times New Roman"/>
                <w:sz w:val="28"/>
                <w:szCs w:val="28"/>
                <w:lang w:val="uk-UA"/>
              </w:rPr>
              <w:t xml:space="preserve"> ± 0,0</w:t>
            </w:r>
            <w:r>
              <w:rPr>
                <w:rFonts w:ascii="Times New Roman" w:hAnsi="Times New Roman" w:cs="Times New Roman"/>
                <w:sz w:val="28"/>
                <w:szCs w:val="28"/>
                <w:lang w:val="en-US"/>
              </w:rPr>
              <w:t>2</w:t>
            </w:r>
          </w:p>
        </w:tc>
        <w:tc>
          <w:tcPr>
            <w:tcW w:w="1503" w:type="dxa"/>
          </w:tcPr>
          <w:p w:rsidR="00C551A7" w:rsidRPr="00575E3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575E34">
              <w:rPr>
                <w:rFonts w:ascii="Times New Roman" w:hAnsi="Times New Roman" w:cs="Times New Roman"/>
                <w:sz w:val="28"/>
                <w:szCs w:val="28"/>
                <w:lang w:val="uk-UA"/>
              </w:rPr>
              <w:t>2,56 ± 0,1</w:t>
            </w:r>
          </w:p>
        </w:tc>
        <w:tc>
          <w:tcPr>
            <w:tcW w:w="986" w:type="dxa"/>
          </w:tcPr>
          <w:p w:rsidR="00C551A7" w:rsidRPr="00155353" w:rsidRDefault="00155353"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0,0</w:t>
            </w:r>
            <w:r>
              <w:rPr>
                <w:rFonts w:ascii="Times New Roman" w:hAnsi="Times New Roman" w:cs="Times New Roman"/>
                <w:sz w:val="28"/>
                <w:szCs w:val="28"/>
                <w:lang w:val="en-US"/>
              </w:rPr>
              <w:t>066</w:t>
            </w:r>
          </w:p>
        </w:tc>
        <w:tc>
          <w:tcPr>
            <w:tcW w:w="1505" w:type="dxa"/>
          </w:tcPr>
          <w:p w:rsidR="00C551A7" w:rsidRPr="00B36F16" w:rsidRDefault="00B36F1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2,7</w:t>
            </w:r>
            <w:r>
              <w:rPr>
                <w:rFonts w:ascii="Times New Roman" w:hAnsi="Times New Roman" w:cs="Times New Roman"/>
                <w:sz w:val="28"/>
                <w:szCs w:val="28"/>
                <w:lang w:val="en-US"/>
              </w:rPr>
              <w:t>8</w:t>
            </w:r>
            <w:r>
              <w:rPr>
                <w:rFonts w:ascii="Times New Roman" w:hAnsi="Times New Roman" w:cs="Times New Roman"/>
                <w:sz w:val="28"/>
                <w:szCs w:val="28"/>
                <w:lang w:val="uk-UA"/>
              </w:rPr>
              <w:t xml:space="preserve"> ± 0,0</w:t>
            </w:r>
            <w:r>
              <w:rPr>
                <w:rFonts w:ascii="Times New Roman" w:hAnsi="Times New Roman" w:cs="Times New Roman"/>
                <w:sz w:val="28"/>
                <w:szCs w:val="28"/>
                <w:lang w:val="en-US"/>
              </w:rPr>
              <w:t>2</w:t>
            </w:r>
          </w:p>
        </w:tc>
        <w:tc>
          <w:tcPr>
            <w:tcW w:w="1506" w:type="dxa"/>
          </w:tcPr>
          <w:p w:rsidR="00C551A7" w:rsidRPr="00C658F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C658F4">
              <w:rPr>
                <w:rFonts w:ascii="Times New Roman" w:hAnsi="Times New Roman" w:cs="Times New Roman"/>
                <w:sz w:val="28"/>
                <w:szCs w:val="28"/>
                <w:lang w:val="uk-UA"/>
              </w:rPr>
              <w:t>2,54 ± 0,08</w:t>
            </w:r>
          </w:p>
        </w:tc>
        <w:tc>
          <w:tcPr>
            <w:tcW w:w="986" w:type="dxa"/>
          </w:tcPr>
          <w:p w:rsidR="00C551A7" w:rsidRPr="005B6D98" w:rsidRDefault="005B6D98"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0,0</w:t>
            </w:r>
            <w:r>
              <w:rPr>
                <w:rFonts w:ascii="Times New Roman" w:hAnsi="Times New Roman" w:cs="Times New Roman"/>
                <w:sz w:val="28"/>
                <w:szCs w:val="28"/>
                <w:lang w:val="en-US"/>
              </w:rPr>
              <w:t>055</w:t>
            </w:r>
          </w:p>
        </w:tc>
      </w:tr>
      <w:tr w:rsidR="00C551A7" w:rsidTr="00C551A7">
        <w:tc>
          <w:tcPr>
            <w:tcW w:w="1520" w:type="dxa"/>
          </w:tcPr>
          <w:p w:rsidR="00C551A7" w:rsidRP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C551A7">
              <w:rPr>
                <w:rFonts w:ascii="Times New Roman" w:hAnsi="Times New Roman" w:cs="Times New Roman"/>
                <w:sz w:val="28"/>
                <w:szCs w:val="28"/>
                <w:lang w:val="uk-UA"/>
              </w:rPr>
              <w:t>ХС ЛПДНЩ (ммоль/л)</w:t>
            </w:r>
          </w:p>
        </w:tc>
        <w:tc>
          <w:tcPr>
            <w:tcW w:w="1565" w:type="dxa"/>
          </w:tcPr>
          <w:p w:rsidR="00C551A7" w:rsidRP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C551A7">
              <w:rPr>
                <w:rFonts w:ascii="Times New Roman" w:hAnsi="Times New Roman" w:cs="Times New Roman"/>
                <w:sz w:val="28"/>
                <w:szCs w:val="28"/>
                <w:lang w:val="uk-UA"/>
              </w:rPr>
              <w:t>1,23 ± 0,1</w:t>
            </w:r>
          </w:p>
        </w:tc>
        <w:tc>
          <w:tcPr>
            <w:tcW w:w="1503" w:type="dxa"/>
          </w:tcPr>
          <w:p w:rsidR="00C551A7" w:rsidRPr="00575E34"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0,93 </w:t>
            </w:r>
            <w:r w:rsidRPr="00575E34">
              <w:rPr>
                <w:rFonts w:ascii="Times New Roman" w:hAnsi="Times New Roman" w:cs="Times New Roman"/>
                <w:sz w:val="28"/>
                <w:szCs w:val="28"/>
                <w:lang w:val="uk-UA"/>
              </w:rPr>
              <w:t>± 0,09</w:t>
            </w:r>
          </w:p>
        </w:tc>
        <w:tc>
          <w:tcPr>
            <w:tcW w:w="986"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0,0270</w:t>
            </w:r>
          </w:p>
        </w:tc>
        <w:tc>
          <w:tcPr>
            <w:tcW w:w="1505" w:type="dxa"/>
          </w:tcPr>
          <w:p w:rsidR="00C551A7" w:rsidRPr="00B36F16" w:rsidRDefault="00B36F16"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0,6</w:t>
            </w:r>
            <w:r>
              <w:rPr>
                <w:rFonts w:ascii="Times New Roman" w:hAnsi="Times New Roman" w:cs="Times New Roman"/>
                <w:sz w:val="28"/>
                <w:szCs w:val="28"/>
                <w:lang w:val="en-US"/>
              </w:rPr>
              <w:t>7</w:t>
            </w:r>
            <w:r>
              <w:rPr>
                <w:rFonts w:ascii="Times New Roman" w:hAnsi="Times New Roman" w:cs="Times New Roman"/>
                <w:sz w:val="28"/>
                <w:szCs w:val="28"/>
                <w:lang w:val="uk-UA"/>
              </w:rPr>
              <w:t xml:space="preserve"> ± 0,</w:t>
            </w:r>
            <w:r w:rsidR="00C551A7" w:rsidRPr="00C551A7">
              <w:rPr>
                <w:rFonts w:ascii="Times New Roman" w:hAnsi="Times New Roman" w:cs="Times New Roman"/>
                <w:sz w:val="28"/>
                <w:szCs w:val="28"/>
                <w:lang w:val="uk-UA"/>
              </w:rPr>
              <w:t>3</w:t>
            </w:r>
            <w:r>
              <w:rPr>
                <w:rFonts w:ascii="Times New Roman" w:hAnsi="Times New Roman" w:cs="Times New Roman"/>
                <w:sz w:val="28"/>
                <w:szCs w:val="28"/>
                <w:lang w:val="en-US"/>
              </w:rPr>
              <w:t>4</w:t>
            </w:r>
          </w:p>
        </w:tc>
        <w:tc>
          <w:tcPr>
            <w:tcW w:w="1506" w:type="dxa"/>
          </w:tcPr>
          <w:p w:rsidR="00C551A7" w:rsidRPr="00C658F4" w:rsidRDefault="00B36F16"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0,6</w:t>
            </w:r>
            <w:r>
              <w:rPr>
                <w:rFonts w:ascii="Times New Roman" w:hAnsi="Times New Roman" w:cs="Times New Roman"/>
                <w:sz w:val="28"/>
                <w:szCs w:val="28"/>
                <w:lang w:val="en-US"/>
              </w:rPr>
              <w:t>6</w:t>
            </w:r>
            <w:r w:rsidR="00C551A7" w:rsidRPr="00C658F4">
              <w:rPr>
                <w:rFonts w:ascii="Times New Roman" w:hAnsi="Times New Roman" w:cs="Times New Roman"/>
                <w:sz w:val="28"/>
                <w:szCs w:val="28"/>
                <w:lang w:val="uk-UA"/>
              </w:rPr>
              <w:t xml:space="preserve"> ±0,04</w:t>
            </w:r>
          </w:p>
        </w:tc>
        <w:tc>
          <w:tcPr>
            <w:tcW w:w="986" w:type="dxa"/>
          </w:tcPr>
          <w:p w:rsidR="00C551A7" w:rsidRPr="00886731" w:rsidRDefault="00886731" w:rsidP="00023195">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0,</w:t>
            </w:r>
            <w:r>
              <w:rPr>
                <w:rFonts w:ascii="Times New Roman" w:hAnsi="Times New Roman" w:cs="Times New Roman"/>
                <w:sz w:val="28"/>
                <w:szCs w:val="28"/>
                <w:lang w:val="en-US"/>
              </w:rPr>
              <w:t>9768</w:t>
            </w:r>
          </w:p>
        </w:tc>
      </w:tr>
      <w:tr w:rsidR="00C551A7" w:rsidTr="00C551A7">
        <w:tc>
          <w:tcPr>
            <w:tcW w:w="1520" w:type="dxa"/>
          </w:tcPr>
          <w:p w:rsidR="00C551A7" w:rsidRPr="00517E3E"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ТГ </w:t>
            </w:r>
            <w:r w:rsidRPr="00517E3E">
              <w:rPr>
                <w:rFonts w:ascii="Times New Roman" w:hAnsi="Times New Roman" w:cs="Times New Roman"/>
                <w:sz w:val="28"/>
                <w:szCs w:val="28"/>
                <w:lang w:val="uk-UA"/>
              </w:rPr>
              <w:t>(ммоль/л)</w:t>
            </w:r>
          </w:p>
        </w:tc>
        <w:tc>
          <w:tcPr>
            <w:tcW w:w="1565" w:type="dxa"/>
          </w:tcPr>
          <w:p w:rsidR="00C551A7" w:rsidRP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C551A7">
              <w:rPr>
                <w:rFonts w:ascii="Times New Roman" w:hAnsi="Times New Roman" w:cs="Times New Roman"/>
                <w:sz w:val="28"/>
                <w:szCs w:val="28"/>
                <w:lang w:val="uk-UA"/>
              </w:rPr>
              <w:t>2,33 ± 0,09</w:t>
            </w:r>
          </w:p>
        </w:tc>
        <w:tc>
          <w:tcPr>
            <w:tcW w:w="1503" w:type="dxa"/>
          </w:tcPr>
          <w:p w:rsidR="00C551A7" w:rsidRPr="00575E3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575E34">
              <w:rPr>
                <w:rFonts w:ascii="Times New Roman" w:hAnsi="Times New Roman" w:cs="Times New Roman"/>
                <w:sz w:val="28"/>
                <w:szCs w:val="28"/>
                <w:lang w:val="uk-UA"/>
              </w:rPr>
              <w:t>2,1 ± 0,06</w:t>
            </w:r>
          </w:p>
        </w:tc>
        <w:tc>
          <w:tcPr>
            <w:tcW w:w="986" w:type="dxa"/>
          </w:tcPr>
          <w:p w:rsidR="00C551A7" w:rsidRDefault="00C551A7"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0,0348</w:t>
            </w:r>
          </w:p>
        </w:tc>
        <w:tc>
          <w:tcPr>
            <w:tcW w:w="1505" w:type="dxa"/>
          </w:tcPr>
          <w:p w:rsidR="00C551A7" w:rsidRPr="00B36F16" w:rsidRDefault="00C551A7" w:rsidP="00023195">
            <w:pPr>
              <w:autoSpaceDE w:val="0"/>
              <w:autoSpaceDN w:val="0"/>
              <w:adjustRightInd w:val="0"/>
              <w:spacing w:line="360" w:lineRule="auto"/>
              <w:jc w:val="both"/>
              <w:rPr>
                <w:rFonts w:ascii="Times New Roman" w:hAnsi="Times New Roman" w:cs="Times New Roman"/>
                <w:sz w:val="28"/>
                <w:szCs w:val="28"/>
                <w:lang w:val="en-US"/>
              </w:rPr>
            </w:pPr>
            <w:r w:rsidRPr="00C551A7">
              <w:rPr>
                <w:rFonts w:ascii="Times New Roman" w:hAnsi="Times New Roman" w:cs="Times New Roman"/>
                <w:sz w:val="28"/>
                <w:szCs w:val="28"/>
                <w:lang w:val="uk-UA"/>
              </w:rPr>
              <w:t>1,6</w:t>
            </w:r>
            <w:r w:rsidR="00B36F16">
              <w:rPr>
                <w:rFonts w:ascii="Times New Roman" w:hAnsi="Times New Roman" w:cs="Times New Roman"/>
                <w:sz w:val="28"/>
                <w:szCs w:val="28"/>
                <w:lang w:val="en-US"/>
              </w:rPr>
              <w:t>3</w:t>
            </w:r>
            <w:r w:rsidR="00B36F16">
              <w:rPr>
                <w:rFonts w:ascii="Times New Roman" w:hAnsi="Times New Roman" w:cs="Times New Roman"/>
                <w:sz w:val="28"/>
                <w:szCs w:val="28"/>
                <w:lang w:val="uk-UA"/>
              </w:rPr>
              <w:t xml:space="preserve"> ± 0,</w:t>
            </w:r>
            <w:r w:rsidR="00B36F16">
              <w:rPr>
                <w:rFonts w:ascii="Times New Roman" w:hAnsi="Times New Roman" w:cs="Times New Roman"/>
                <w:sz w:val="28"/>
                <w:szCs w:val="28"/>
                <w:lang w:val="en-US"/>
              </w:rPr>
              <w:t>5</w:t>
            </w:r>
          </w:p>
        </w:tc>
        <w:tc>
          <w:tcPr>
            <w:tcW w:w="1506" w:type="dxa"/>
          </w:tcPr>
          <w:p w:rsidR="00C551A7" w:rsidRPr="00C658F4" w:rsidRDefault="00C551A7" w:rsidP="00023195">
            <w:pPr>
              <w:autoSpaceDE w:val="0"/>
              <w:autoSpaceDN w:val="0"/>
              <w:adjustRightInd w:val="0"/>
              <w:spacing w:line="360" w:lineRule="auto"/>
              <w:jc w:val="both"/>
              <w:rPr>
                <w:rFonts w:ascii="Times New Roman" w:hAnsi="Times New Roman" w:cs="Times New Roman"/>
                <w:sz w:val="28"/>
                <w:szCs w:val="28"/>
                <w:lang w:val="uk-UA"/>
              </w:rPr>
            </w:pPr>
            <w:r w:rsidRPr="00C658F4">
              <w:rPr>
                <w:rFonts w:ascii="Times New Roman" w:hAnsi="Times New Roman" w:cs="Times New Roman"/>
                <w:sz w:val="28"/>
                <w:szCs w:val="28"/>
                <w:lang w:val="uk-UA"/>
              </w:rPr>
              <w:t>1,5 ± 0,07</w:t>
            </w:r>
          </w:p>
        </w:tc>
        <w:tc>
          <w:tcPr>
            <w:tcW w:w="986" w:type="dxa"/>
          </w:tcPr>
          <w:p w:rsidR="00C551A7" w:rsidRDefault="001E3B02" w:rsidP="00023195">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w:t>
            </w:r>
            <w:r>
              <w:rPr>
                <w:rFonts w:ascii="Times New Roman" w:hAnsi="Times New Roman" w:cs="Times New Roman"/>
                <w:sz w:val="28"/>
                <w:szCs w:val="28"/>
                <w:lang w:val="en-US"/>
              </w:rPr>
              <w:t>797</w:t>
            </w:r>
            <w:r w:rsidR="00C551A7">
              <w:rPr>
                <w:rFonts w:ascii="Times New Roman" w:hAnsi="Times New Roman" w:cs="Times New Roman"/>
                <w:sz w:val="28"/>
                <w:szCs w:val="28"/>
                <w:lang w:val="uk-UA"/>
              </w:rPr>
              <w:t>9</w:t>
            </w:r>
          </w:p>
        </w:tc>
      </w:tr>
    </w:tbl>
    <w:p w:rsidR="00B064E6" w:rsidRPr="00964DA7" w:rsidRDefault="00B2184A"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Примітка: р – достовірність розходження між показниками</w:t>
      </w:r>
      <w:r w:rsidR="00AF0245">
        <w:rPr>
          <w:rFonts w:ascii="Times New Roman" w:hAnsi="Times New Roman" w:cs="Times New Roman"/>
          <w:sz w:val="28"/>
          <w:szCs w:val="28"/>
          <w:lang w:val="uk-UA"/>
        </w:rPr>
        <w:t xml:space="preserve"> до та після лікування</w:t>
      </w:r>
    </w:p>
    <w:p w:rsidR="009A074E" w:rsidRPr="009A074E" w:rsidRDefault="00EA50B9"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sidRPr="00942EFF">
        <w:rPr>
          <w:rFonts w:ascii="Times New Roman" w:hAnsi="Times New Roman" w:cs="Times New Roman"/>
          <w:sz w:val="28"/>
          <w:szCs w:val="28"/>
          <w:lang w:val="uk-UA"/>
        </w:rPr>
        <w:lastRenderedPageBreak/>
        <w:t xml:space="preserve">Отже, </w:t>
      </w:r>
      <w:r w:rsidR="003751BD">
        <w:rPr>
          <w:rFonts w:ascii="Times New Roman" w:hAnsi="Times New Roman" w:cs="Times New Roman"/>
          <w:sz w:val="28"/>
          <w:szCs w:val="28"/>
          <w:lang w:val="uk-UA"/>
        </w:rPr>
        <w:t xml:space="preserve">у хворих на </w:t>
      </w:r>
      <w:r w:rsidR="00942EFF">
        <w:rPr>
          <w:rFonts w:ascii="Times New Roman" w:hAnsi="Times New Roman" w:cs="Times New Roman"/>
          <w:sz w:val="28"/>
          <w:szCs w:val="28"/>
          <w:lang w:val="uk-UA"/>
        </w:rPr>
        <w:t xml:space="preserve">АГ та </w:t>
      </w:r>
      <w:r w:rsidR="009A074E">
        <w:rPr>
          <w:rFonts w:ascii="Times New Roman" w:hAnsi="Times New Roman" w:cs="Times New Roman"/>
          <w:sz w:val="28"/>
          <w:szCs w:val="28"/>
          <w:lang w:val="uk-UA"/>
        </w:rPr>
        <w:t>ЦД</w:t>
      </w:r>
      <w:r w:rsidR="005651B0">
        <w:rPr>
          <w:rFonts w:ascii="Times New Roman" w:hAnsi="Times New Roman" w:cs="Times New Roman"/>
          <w:sz w:val="28"/>
          <w:szCs w:val="28"/>
          <w:lang w:val="uk-UA"/>
        </w:rPr>
        <w:t xml:space="preserve"> 2-го типу </w:t>
      </w:r>
      <w:r w:rsidR="00B5725F">
        <w:rPr>
          <w:rFonts w:ascii="Times New Roman" w:hAnsi="Times New Roman" w:cs="Times New Roman"/>
          <w:sz w:val="28"/>
          <w:szCs w:val="28"/>
          <w:lang w:val="uk-UA"/>
        </w:rPr>
        <w:t xml:space="preserve">під впливом лікування </w:t>
      </w:r>
      <w:r w:rsidR="005651B0">
        <w:rPr>
          <w:rFonts w:ascii="Times New Roman" w:hAnsi="Times New Roman" w:cs="Times New Roman"/>
          <w:sz w:val="28"/>
          <w:szCs w:val="28"/>
          <w:lang w:val="uk-UA"/>
        </w:rPr>
        <w:t>в</w:t>
      </w:r>
      <w:r w:rsidR="005651B0">
        <w:rPr>
          <w:rFonts w:ascii="Times New Roman" w:hAnsi="Times New Roman" w:cs="Times New Roman"/>
          <w:sz w:val="28"/>
          <w:szCs w:val="28"/>
          <w:lang w:val="en-US"/>
        </w:rPr>
        <w:t>i</w:t>
      </w:r>
      <w:r>
        <w:rPr>
          <w:rFonts w:ascii="Times New Roman" w:hAnsi="Times New Roman" w:cs="Times New Roman"/>
          <w:sz w:val="28"/>
          <w:szCs w:val="28"/>
          <w:lang w:val="uk-UA"/>
        </w:rPr>
        <w:t>дзна</w:t>
      </w:r>
      <w:r w:rsidR="005651B0">
        <w:rPr>
          <w:rFonts w:ascii="Times New Roman" w:hAnsi="Times New Roman" w:cs="Times New Roman"/>
          <w:sz w:val="28"/>
          <w:szCs w:val="28"/>
          <w:lang w:val="uk-UA"/>
        </w:rPr>
        <w:t>чалося достов</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рне зниження атерогенних л</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попротеїдів та п</w:t>
      </w:r>
      <w:r w:rsidR="005651B0">
        <w:rPr>
          <w:rFonts w:ascii="Times New Roman" w:hAnsi="Times New Roman" w:cs="Times New Roman"/>
          <w:sz w:val="28"/>
          <w:szCs w:val="28"/>
          <w:lang w:val="en-US"/>
        </w:rPr>
        <w:t>i</w:t>
      </w:r>
      <w:r w:rsidR="009A074E">
        <w:rPr>
          <w:rFonts w:ascii="Times New Roman" w:hAnsi="Times New Roman" w:cs="Times New Roman"/>
          <w:sz w:val="28"/>
          <w:szCs w:val="28"/>
          <w:lang w:val="uk-UA"/>
        </w:rPr>
        <w:t xml:space="preserve">двищення – антиатерогенних. </w:t>
      </w:r>
      <w:r w:rsidR="003751BD">
        <w:rPr>
          <w:rFonts w:ascii="Times New Roman" w:hAnsi="Times New Roman" w:cs="Times New Roman"/>
          <w:sz w:val="28"/>
          <w:szCs w:val="28"/>
          <w:lang w:val="uk-UA"/>
        </w:rPr>
        <w:t>У пацієнтів</w:t>
      </w:r>
      <w:r w:rsidR="00942EFF">
        <w:rPr>
          <w:rFonts w:ascii="Times New Roman" w:hAnsi="Times New Roman" w:cs="Times New Roman"/>
          <w:sz w:val="28"/>
          <w:szCs w:val="28"/>
          <w:lang w:val="uk-UA"/>
        </w:rPr>
        <w:t xml:space="preserve"> </w:t>
      </w:r>
      <w:r w:rsidR="00AF0245">
        <w:rPr>
          <w:rFonts w:ascii="Times New Roman" w:hAnsi="Times New Roman" w:cs="Times New Roman"/>
          <w:sz w:val="28"/>
          <w:szCs w:val="28"/>
          <w:lang w:val="uk-UA"/>
        </w:rPr>
        <w:t xml:space="preserve">із </w:t>
      </w:r>
      <w:r w:rsidR="005651B0">
        <w:rPr>
          <w:rFonts w:ascii="Times New Roman" w:hAnsi="Times New Roman" w:cs="Times New Roman"/>
          <w:sz w:val="28"/>
          <w:szCs w:val="28"/>
          <w:lang w:val="uk-UA"/>
        </w:rPr>
        <w:t xml:space="preserve">АГ констатоване </w:t>
      </w:r>
      <w:r w:rsidR="009A074E">
        <w:rPr>
          <w:rFonts w:ascii="Times New Roman" w:hAnsi="Times New Roman" w:cs="Times New Roman"/>
          <w:sz w:val="28"/>
          <w:szCs w:val="28"/>
          <w:lang w:val="uk-UA"/>
        </w:rPr>
        <w:t xml:space="preserve">зниження </w:t>
      </w:r>
      <w:r w:rsidR="003751BD">
        <w:rPr>
          <w:rFonts w:ascii="Times New Roman" w:hAnsi="Times New Roman" w:cs="Times New Roman"/>
          <w:sz w:val="28"/>
          <w:szCs w:val="28"/>
          <w:lang w:val="uk-UA"/>
        </w:rPr>
        <w:t xml:space="preserve">ХС </w:t>
      </w:r>
      <w:r w:rsidR="009A074E">
        <w:rPr>
          <w:rFonts w:ascii="Times New Roman" w:hAnsi="Times New Roman" w:cs="Times New Roman"/>
          <w:sz w:val="28"/>
          <w:szCs w:val="28"/>
          <w:lang w:val="uk-UA"/>
        </w:rPr>
        <w:t xml:space="preserve">ЛПНЩ та </w:t>
      </w:r>
      <w:r w:rsidR="005651B0">
        <w:rPr>
          <w:rFonts w:ascii="Times New Roman" w:hAnsi="Times New Roman" w:cs="Times New Roman"/>
          <w:sz w:val="28"/>
          <w:szCs w:val="28"/>
          <w:lang w:val="uk-UA"/>
        </w:rPr>
        <w:t>п</w:t>
      </w:r>
      <w:r w:rsidR="005651B0">
        <w:rPr>
          <w:rFonts w:ascii="Times New Roman" w:hAnsi="Times New Roman" w:cs="Times New Roman"/>
          <w:sz w:val="28"/>
          <w:szCs w:val="28"/>
          <w:lang w:val="en-US"/>
        </w:rPr>
        <w:t>i</w:t>
      </w:r>
      <w:r w:rsidR="009A074E">
        <w:rPr>
          <w:rFonts w:ascii="Times New Roman" w:hAnsi="Times New Roman" w:cs="Times New Roman"/>
          <w:sz w:val="28"/>
          <w:szCs w:val="28"/>
          <w:lang w:val="uk-UA"/>
        </w:rPr>
        <w:t xml:space="preserve">двищення </w:t>
      </w:r>
      <w:r w:rsidR="003751BD">
        <w:rPr>
          <w:rFonts w:ascii="Times New Roman" w:hAnsi="Times New Roman" w:cs="Times New Roman"/>
          <w:sz w:val="28"/>
          <w:szCs w:val="28"/>
          <w:lang w:val="uk-UA"/>
        </w:rPr>
        <w:t xml:space="preserve">ХС </w:t>
      </w:r>
      <w:r w:rsidR="009A074E">
        <w:rPr>
          <w:rFonts w:ascii="Times New Roman" w:hAnsi="Times New Roman" w:cs="Times New Roman"/>
          <w:sz w:val="28"/>
          <w:szCs w:val="28"/>
          <w:lang w:val="uk-UA"/>
        </w:rPr>
        <w:t>ЛПВЩ.</w:t>
      </w:r>
    </w:p>
    <w:p w:rsidR="00A739F4" w:rsidRDefault="009A074E"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651B0">
        <w:rPr>
          <w:rFonts w:ascii="Times New Roman" w:hAnsi="Times New Roman" w:cs="Times New Roman"/>
          <w:sz w:val="28"/>
          <w:szCs w:val="28"/>
          <w:lang w:val="uk-UA"/>
        </w:rPr>
        <w:t>а фоні терап</w:t>
      </w:r>
      <w:r w:rsidR="005651B0">
        <w:rPr>
          <w:rFonts w:ascii="Times New Roman" w:hAnsi="Times New Roman" w:cs="Times New Roman"/>
          <w:sz w:val="28"/>
          <w:szCs w:val="28"/>
          <w:lang w:val="en-US"/>
        </w:rPr>
        <w:t>i</w:t>
      </w:r>
      <w:r w:rsidR="00A739F4">
        <w:rPr>
          <w:rFonts w:ascii="Times New Roman" w:hAnsi="Times New Roman" w:cs="Times New Roman"/>
          <w:sz w:val="28"/>
          <w:szCs w:val="28"/>
          <w:lang w:val="uk-UA"/>
        </w:rPr>
        <w:t>ї стат</w:t>
      </w:r>
      <w:r w:rsidR="005651B0">
        <w:rPr>
          <w:rFonts w:ascii="Times New Roman" w:hAnsi="Times New Roman" w:cs="Times New Roman"/>
          <w:sz w:val="28"/>
          <w:szCs w:val="28"/>
          <w:lang w:val="uk-UA"/>
        </w:rPr>
        <w:t>инами ще до початку нашого досл</w:t>
      </w:r>
      <w:r w:rsidR="005651B0">
        <w:rPr>
          <w:rFonts w:ascii="Times New Roman" w:hAnsi="Times New Roman" w:cs="Times New Roman"/>
          <w:sz w:val="28"/>
          <w:szCs w:val="28"/>
          <w:lang w:val="en-US"/>
        </w:rPr>
        <w:t>i</w:t>
      </w:r>
      <w:r w:rsidR="00B5725F">
        <w:rPr>
          <w:rFonts w:ascii="Times New Roman" w:hAnsi="Times New Roman" w:cs="Times New Roman"/>
          <w:sz w:val="28"/>
          <w:szCs w:val="28"/>
          <w:lang w:val="uk-UA"/>
        </w:rPr>
        <w:t>дження серед</w:t>
      </w:r>
      <w:r w:rsidR="00A739F4">
        <w:rPr>
          <w:rFonts w:ascii="Times New Roman" w:hAnsi="Times New Roman" w:cs="Times New Roman"/>
          <w:sz w:val="28"/>
          <w:szCs w:val="28"/>
          <w:lang w:val="uk-UA"/>
        </w:rPr>
        <w:t xml:space="preserve"> </w:t>
      </w:r>
      <w:r w:rsidR="004D02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94 </w:t>
      </w:r>
      <w:r w:rsidR="00B5725F">
        <w:rPr>
          <w:rFonts w:ascii="Times New Roman" w:hAnsi="Times New Roman" w:cs="Times New Roman"/>
          <w:sz w:val="28"/>
          <w:szCs w:val="28"/>
          <w:lang w:val="uk-UA"/>
        </w:rPr>
        <w:t xml:space="preserve">хворих </w:t>
      </w:r>
      <w:r w:rsidR="008B2B2F">
        <w:rPr>
          <w:rFonts w:ascii="Times New Roman" w:hAnsi="Times New Roman" w:cs="Times New Roman"/>
          <w:sz w:val="28"/>
          <w:szCs w:val="28"/>
          <w:lang w:val="uk-UA"/>
        </w:rPr>
        <w:t xml:space="preserve">І групи </w:t>
      </w:r>
      <w:r w:rsidR="005651B0">
        <w:rPr>
          <w:rFonts w:ascii="Times New Roman" w:hAnsi="Times New Roman" w:cs="Times New Roman"/>
          <w:sz w:val="28"/>
          <w:szCs w:val="28"/>
          <w:lang w:val="uk-UA"/>
        </w:rPr>
        <w:t>ц</w:t>
      </w:r>
      <w:r w:rsidR="005651B0">
        <w:rPr>
          <w:rFonts w:ascii="Times New Roman" w:hAnsi="Times New Roman" w:cs="Times New Roman"/>
          <w:sz w:val="28"/>
          <w:szCs w:val="28"/>
          <w:lang w:val="en-US"/>
        </w:rPr>
        <w:t>i</w:t>
      </w:r>
      <w:r w:rsidR="00D73417" w:rsidRPr="00D73417">
        <w:rPr>
          <w:rFonts w:ascii="Times New Roman" w:hAnsi="Times New Roman" w:cs="Times New Roman"/>
          <w:sz w:val="28"/>
          <w:szCs w:val="28"/>
          <w:lang w:val="uk-UA"/>
        </w:rPr>
        <w:t>л</w:t>
      </w:r>
      <w:r w:rsidR="005651B0">
        <w:rPr>
          <w:rFonts w:ascii="Times New Roman" w:hAnsi="Times New Roman" w:cs="Times New Roman"/>
          <w:sz w:val="28"/>
          <w:szCs w:val="28"/>
          <w:lang w:val="uk-UA"/>
        </w:rPr>
        <w:t>ьовий р</w:t>
      </w:r>
      <w:r w:rsidR="005651B0">
        <w:rPr>
          <w:rFonts w:ascii="Times New Roman" w:hAnsi="Times New Roman" w:cs="Times New Roman"/>
          <w:sz w:val="28"/>
          <w:szCs w:val="28"/>
          <w:lang w:val="en-US"/>
        </w:rPr>
        <w:t>i</w:t>
      </w:r>
      <w:r w:rsidR="00D73417">
        <w:rPr>
          <w:rFonts w:ascii="Times New Roman" w:hAnsi="Times New Roman" w:cs="Times New Roman"/>
          <w:sz w:val="28"/>
          <w:szCs w:val="28"/>
          <w:lang w:val="uk-UA"/>
        </w:rPr>
        <w:t>вень ЗХС</w:t>
      </w:r>
      <w:r>
        <w:rPr>
          <w:rFonts w:ascii="Times New Roman" w:hAnsi="Times New Roman" w:cs="Times New Roman"/>
          <w:sz w:val="28"/>
          <w:szCs w:val="28"/>
          <w:lang w:val="uk-UA"/>
        </w:rPr>
        <w:t xml:space="preserve"> було досягнено у 32 (34,0</w:t>
      </w:r>
      <w:r w:rsidR="00D73417">
        <w:rPr>
          <w:rFonts w:ascii="Times New Roman" w:hAnsi="Times New Roman" w:cs="Times New Roman"/>
          <w:sz w:val="28"/>
          <w:szCs w:val="28"/>
          <w:lang w:val="uk-UA"/>
        </w:rPr>
        <w:t>4</w:t>
      </w:r>
      <w:r w:rsidR="00EA50B9">
        <w:rPr>
          <w:rFonts w:ascii="Times New Roman" w:hAnsi="Times New Roman" w:cs="Times New Roman"/>
          <w:sz w:val="28"/>
          <w:szCs w:val="28"/>
          <w:lang w:val="uk-UA"/>
        </w:rPr>
        <w:t xml:space="preserve"> </w:t>
      </w:r>
      <w:r w:rsidR="00D73417">
        <w:rPr>
          <w:rFonts w:ascii="Times New Roman" w:hAnsi="Times New Roman" w:cs="Times New Roman"/>
          <w:sz w:val="28"/>
          <w:szCs w:val="28"/>
          <w:lang w:val="uk-UA"/>
        </w:rPr>
        <w:t xml:space="preserve">%), </w:t>
      </w:r>
      <w:r w:rsidR="004D0291">
        <w:rPr>
          <w:rFonts w:ascii="Times New Roman" w:hAnsi="Times New Roman" w:cs="Times New Roman"/>
          <w:sz w:val="28"/>
          <w:szCs w:val="28"/>
          <w:lang w:val="uk-UA"/>
        </w:rPr>
        <w:t xml:space="preserve">        </w:t>
      </w:r>
      <w:r w:rsidR="00B5725F">
        <w:rPr>
          <w:rFonts w:ascii="Times New Roman" w:hAnsi="Times New Roman" w:cs="Times New Roman"/>
          <w:sz w:val="28"/>
          <w:szCs w:val="28"/>
          <w:lang w:val="uk-UA"/>
        </w:rPr>
        <w:t xml:space="preserve">ХС </w:t>
      </w:r>
      <w:r w:rsidR="00D73417">
        <w:rPr>
          <w:rFonts w:ascii="Times New Roman" w:hAnsi="Times New Roman" w:cs="Times New Roman"/>
          <w:sz w:val="28"/>
          <w:szCs w:val="28"/>
          <w:lang w:val="uk-UA"/>
        </w:rPr>
        <w:t xml:space="preserve">ЛПНЩ </w:t>
      </w:r>
      <w:r w:rsidR="00AF0245">
        <w:rPr>
          <w:rFonts w:ascii="Times New Roman" w:hAnsi="Times New Roman" w:cs="Times New Roman"/>
          <w:sz w:val="28"/>
          <w:szCs w:val="28"/>
          <w:lang w:val="uk-UA"/>
        </w:rPr>
        <w:t xml:space="preserve">– </w:t>
      </w:r>
      <w:r>
        <w:rPr>
          <w:rFonts w:ascii="Times New Roman" w:hAnsi="Times New Roman" w:cs="Times New Roman"/>
          <w:sz w:val="28"/>
          <w:szCs w:val="28"/>
          <w:lang w:val="uk-UA"/>
        </w:rPr>
        <w:t>18</w:t>
      </w:r>
      <w:r w:rsidR="00AF0245">
        <w:rPr>
          <w:rFonts w:ascii="Times New Roman" w:hAnsi="Times New Roman" w:cs="Times New Roman"/>
          <w:sz w:val="28"/>
          <w:szCs w:val="28"/>
          <w:lang w:val="uk-UA"/>
        </w:rPr>
        <w:t xml:space="preserve"> </w:t>
      </w:r>
      <w:r w:rsidR="00D73417" w:rsidRPr="00D73417">
        <w:rPr>
          <w:rFonts w:ascii="Times New Roman" w:hAnsi="Times New Roman" w:cs="Times New Roman"/>
          <w:sz w:val="28"/>
          <w:szCs w:val="28"/>
          <w:lang w:val="uk-UA"/>
        </w:rPr>
        <w:t>(19,1</w:t>
      </w:r>
      <w:r>
        <w:rPr>
          <w:rFonts w:ascii="Times New Roman" w:hAnsi="Times New Roman" w:cs="Times New Roman"/>
          <w:sz w:val="28"/>
          <w:szCs w:val="28"/>
          <w:lang w:val="uk-UA"/>
        </w:rPr>
        <w:t>5</w:t>
      </w:r>
      <w:r w:rsidR="00EA50B9">
        <w:rPr>
          <w:rFonts w:ascii="Times New Roman" w:hAnsi="Times New Roman" w:cs="Times New Roman"/>
          <w:sz w:val="28"/>
          <w:szCs w:val="28"/>
          <w:lang w:val="uk-UA"/>
        </w:rPr>
        <w:t xml:space="preserve"> </w:t>
      </w:r>
      <w:r w:rsidR="00D73417">
        <w:rPr>
          <w:rFonts w:ascii="Times New Roman" w:hAnsi="Times New Roman" w:cs="Times New Roman"/>
          <w:sz w:val="28"/>
          <w:szCs w:val="28"/>
          <w:lang w:val="uk-UA"/>
        </w:rPr>
        <w:t xml:space="preserve">%), </w:t>
      </w:r>
      <w:r w:rsidR="00B5725F">
        <w:rPr>
          <w:rFonts w:ascii="Times New Roman" w:hAnsi="Times New Roman" w:cs="Times New Roman"/>
          <w:sz w:val="28"/>
          <w:szCs w:val="28"/>
          <w:lang w:val="uk-UA"/>
        </w:rPr>
        <w:t xml:space="preserve">ХС </w:t>
      </w:r>
      <w:r w:rsidR="00D73417">
        <w:rPr>
          <w:rFonts w:ascii="Times New Roman" w:hAnsi="Times New Roman" w:cs="Times New Roman"/>
          <w:sz w:val="28"/>
          <w:szCs w:val="28"/>
          <w:lang w:val="uk-UA"/>
        </w:rPr>
        <w:t>ЛПВЩ</w:t>
      </w:r>
      <w:r w:rsidR="00AF0245">
        <w:rPr>
          <w:rFonts w:ascii="Times New Roman" w:hAnsi="Times New Roman" w:cs="Times New Roman"/>
          <w:sz w:val="28"/>
          <w:szCs w:val="28"/>
          <w:lang w:val="uk-UA"/>
        </w:rPr>
        <w:t xml:space="preserve"> – </w:t>
      </w:r>
      <w:r>
        <w:rPr>
          <w:rFonts w:ascii="Times New Roman" w:hAnsi="Times New Roman" w:cs="Times New Roman"/>
          <w:sz w:val="28"/>
          <w:szCs w:val="28"/>
          <w:lang w:val="uk-UA"/>
        </w:rPr>
        <w:t>47</w:t>
      </w:r>
      <w:r w:rsidR="00AF0245">
        <w:rPr>
          <w:rFonts w:ascii="Times New Roman" w:hAnsi="Times New Roman" w:cs="Times New Roman"/>
          <w:sz w:val="28"/>
          <w:szCs w:val="28"/>
          <w:lang w:val="uk-UA"/>
        </w:rPr>
        <w:t xml:space="preserve"> </w:t>
      </w:r>
      <w:r>
        <w:rPr>
          <w:rFonts w:ascii="Times New Roman" w:hAnsi="Times New Roman" w:cs="Times New Roman"/>
          <w:sz w:val="28"/>
          <w:szCs w:val="28"/>
          <w:lang w:val="uk-UA"/>
        </w:rPr>
        <w:t>(50</w:t>
      </w:r>
      <w:r w:rsidR="00EA50B9">
        <w:rPr>
          <w:rFonts w:ascii="Times New Roman" w:hAnsi="Times New Roman" w:cs="Times New Roman"/>
          <w:sz w:val="28"/>
          <w:szCs w:val="28"/>
          <w:lang w:val="uk-UA"/>
        </w:rPr>
        <w:t xml:space="preserve"> </w:t>
      </w:r>
      <w:r w:rsidR="00D73417">
        <w:rPr>
          <w:rFonts w:ascii="Times New Roman" w:hAnsi="Times New Roman" w:cs="Times New Roman"/>
          <w:sz w:val="28"/>
          <w:szCs w:val="28"/>
          <w:lang w:val="uk-UA"/>
        </w:rPr>
        <w:t>%), ТГ</w:t>
      </w:r>
      <w:r w:rsidR="00AA2CEE">
        <w:rPr>
          <w:rFonts w:ascii="Times New Roman" w:hAnsi="Times New Roman" w:cs="Times New Roman"/>
          <w:sz w:val="28"/>
          <w:szCs w:val="28"/>
          <w:lang w:val="uk-UA"/>
        </w:rPr>
        <w:t xml:space="preserve"> </w:t>
      </w:r>
      <w:r w:rsidR="00AF0245">
        <w:rPr>
          <w:rFonts w:ascii="Times New Roman" w:hAnsi="Times New Roman" w:cs="Times New Roman"/>
          <w:sz w:val="28"/>
          <w:szCs w:val="28"/>
          <w:lang w:val="uk-UA"/>
        </w:rPr>
        <w:t xml:space="preserve">– </w:t>
      </w:r>
      <w:r w:rsidR="005651B0">
        <w:rPr>
          <w:rFonts w:ascii="Times New Roman" w:hAnsi="Times New Roman" w:cs="Times New Roman"/>
          <w:sz w:val="28"/>
          <w:szCs w:val="28"/>
          <w:lang w:val="uk-UA"/>
        </w:rPr>
        <w:t>40 ос</w:t>
      </w:r>
      <w:r w:rsidR="005651B0">
        <w:rPr>
          <w:rFonts w:ascii="Times New Roman" w:hAnsi="Times New Roman" w:cs="Times New Roman"/>
          <w:sz w:val="28"/>
          <w:szCs w:val="28"/>
          <w:lang w:val="en-US"/>
        </w:rPr>
        <w:t>i</w:t>
      </w:r>
      <w:r w:rsidR="002F757A">
        <w:rPr>
          <w:rFonts w:ascii="Times New Roman" w:hAnsi="Times New Roman" w:cs="Times New Roman"/>
          <w:sz w:val="28"/>
          <w:szCs w:val="28"/>
          <w:lang w:val="uk-UA"/>
        </w:rPr>
        <w:t xml:space="preserve">б </w:t>
      </w:r>
      <w:r>
        <w:rPr>
          <w:rFonts w:ascii="Times New Roman" w:hAnsi="Times New Roman" w:cs="Times New Roman"/>
          <w:sz w:val="28"/>
          <w:szCs w:val="28"/>
          <w:lang w:val="uk-UA"/>
        </w:rPr>
        <w:t>(42,55</w:t>
      </w:r>
      <w:r w:rsidR="00EA50B9">
        <w:rPr>
          <w:rFonts w:ascii="Times New Roman" w:hAnsi="Times New Roman" w:cs="Times New Roman"/>
          <w:sz w:val="28"/>
          <w:szCs w:val="28"/>
          <w:lang w:val="uk-UA"/>
        </w:rPr>
        <w:t xml:space="preserve"> </w:t>
      </w:r>
      <w:r w:rsidR="00D73417" w:rsidRPr="00D73417">
        <w:rPr>
          <w:rFonts w:ascii="Times New Roman" w:hAnsi="Times New Roman" w:cs="Times New Roman"/>
          <w:sz w:val="28"/>
          <w:szCs w:val="28"/>
          <w:lang w:val="uk-UA"/>
        </w:rPr>
        <w:t>%).</w:t>
      </w:r>
      <w:r w:rsidR="005651B0">
        <w:rPr>
          <w:rFonts w:ascii="Times New Roman" w:hAnsi="Times New Roman" w:cs="Times New Roman"/>
          <w:sz w:val="28"/>
          <w:szCs w:val="28"/>
          <w:lang w:val="uk-UA"/>
        </w:rPr>
        <w:t xml:space="preserve"> Через 6 м</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сяц</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в л</w:t>
      </w:r>
      <w:r w:rsidR="005651B0">
        <w:rPr>
          <w:rFonts w:ascii="Times New Roman" w:hAnsi="Times New Roman" w:cs="Times New Roman"/>
          <w:sz w:val="28"/>
          <w:szCs w:val="28"/>
          <w:lang w:val="en-US"/>
        </w:rPr>
        <w:t>i</w:t>
      </w:r>
      <w:r w:rsidR="00EA50B9">
        <w:rPr>
          <w:rFonts w:ascii="Times New Roman" w:hAnsi="Times New Roman" w:cs="Times New Roman"/>
          <w:sz w:val="28"/>
          <w:szCs w:val="28"/>
          <w:lang w:val="uk-UA"/>
        </w:rPr>
        <w:t xml:space="preserve">кування </w:t>
      </w:r>
      <w:r w:rsidR="005651B0">
        <w:rPr>
          <w:rFonts w:ascii="Times New Roman" w:hAnsi="Times New Roman" w:cs="Times New Roman"/>
          <w:sz w:val="28"/>
          <w:szCs w:val="28"/>
          <w:lang w:val="uk-UA"/>
        </w:rPr>
        <w:t>ц</w:t>
      </w:r>
      <w:r w:rsidR="005651B0">
        <w:rPr>
          <w:rFonts w:ascii="Times New Roman" w:hAnsi="Times New Roman" w:cs="Times New Roman"/>
          <w:sz w:val="28"/>
          <w:szCs w:val="28"/>
          <w:lang w:val="en-US"/>
        </w:rPr>
        <w:t>i</w:t>
      </w:r>
      <w:r w:rsidR="00D73417">
        <w:rPr>
          <w:rFonts w:ascii="Times New Roman" w:hAnsi="Times New Roman" w:cs="Times New Roman"/>
          <w:sz w:val="28"/>
          <w:szCs w:val="28"/>
          <w:lang w:val="uk-UA"/>
        </w:rPr>
        <w:t>льового р</w:t>
      </w:r>
      <w:r w:rsidR="005651B0">
        <w:rPr>
          <w:rFonts w:ascii="Times New Roman" w:hAnsi="Times New Roman" w:cs="Times New Roman"/>
          <w:sz w:val="28"/>
          <w:szCs w:val="28"/>
          <w:lang w:val="en-US"/>
        </w:rPr>
        <w:t>i</w:t>
      </w:r>
      <w:r w:rsidR="00D90233">
        <w:rPr>
          <w:rFonts w:ascii="Times New Roman" w:hAnsi="Times New Roman" w:cs="Times New Roman"/>
          <w:sz w:val="28"/>
          <w:szCs w:val="28"/>
          <w:lang w:val="uk-UA"/>
        </w:rPr>
        <w:t xml:space="preserve">вня ЗХС вдалося досягти ще </w:t>
      </w:r>
      <w:r w:rsidR="004D0291">
        <w:rPr>
          <w:rFonts w:ascii="Times New Roman" w:hAnsi="Times New Roman" w:cs="Times New Roman"/>
          <w:sz w:val="28"/>
          <w:szCs w:val="28"/>
          <w:lang w:val="uk-UA"/>
        </w:rPr>
        <w:t xml:space="preserve">                 </w:t>
      </w:r>
      <w:r w:rsidR="00D90233">
        <w:rPr>
          <w:rFonts w:ascii="Times New Roman" w:hAnsi="Times New Roman" w:cs="Times New Roman"/>
          <w:sz w:val="28"/>
          <w:szCs w:val="28"/>
          <w:lang w:val="uk-UA"/>
        </w:rPr>
        <w:t xml:space="preserve">у </w:t>
      </w:r>
      <w:r w:rsidR="008F2CD3">
        <w:rPr>
          <w:rFonts w:ascii="Times New Roman" w:hAnsi="Times New Roman" w:cs="Times New Roman"/>
          <w:sz w:val="28"/>
          <w:szCs w:val="28"/>
          <w:lang w:val="uk-UA"/>
        </w:rPr>
        <w:t>30</w:t>
      </w:r>
      <w:r w:rsidR="008F2CD3" w:rsidRPr="008F2CD3">
        <w:rPr>
          <w:rFonts w:ascii="Times New Roman" w:hAnsi="Times New Roman" w:cs="Times New Roman"/>
          <w:sz w:val="28"/>
          <w:szCs w:val="28"/>
          <w:lang w:val="uk-UA"/>
        </w:rPr>
        <w:t xml:space="preserve"> (31,9</w:t>
      </w:r>
      <w:r w:rsidR="00D73417" w:rsidRPr="008F2CD3">
        <w:rPr>
          <w:rFonts w:ascii="Times New Roman" w:hAnsi="Times New Roman" w:cs="Times New Roman"/>
          <w:sz w:val="28"/>
          <w:szCs w:val="28"/>
          <w:lang w:val="uk-UA"/>
        </w:rPr>
        <w:t>1</w:t>
      </w:r>
      <w:r w:rsidR="00EA50B9">
        <w:rPr>
          <w:rFonts w:ascii="Times New Roman" w:hAnsi="Times New Roman" w:cs="Times New Roman"/>
          <w:sz w:val="28"/>
          <w:szCs w:val="28"/>
          <w:lang w:val="uk-UA"/>
        </w:rPr>
        <w:t xml:space="preserve"> </w:t>
      </w:r>
      <w:r w:rsidR="00D73417" w:rsidRPr="008F2CD3">
        <w:rPr>
          <w:rFonts w:ascii="Times New Roman" w:hAnsi="Times New Roman" w:cs="Times New Roman"/>
          <w:sz w:val="28"/>
          <w:szCs w:val="28"/>
          <w:lang w:val="uk-UA"/>
        </w:rPr>
        <w:t xml:space="preserve">%), </w:t>
      </w:r>
      <w:r w:rsidR="008B2B2F">
        <w:rPr>
          <w:rFonts w:ascii="Times New Roman" w:hAnsi="Times New Roman" w:cs="Times New Roman"/>
          <w:sz w:val="28"/>
          <w:szCs w:val="28"/>
          <w:lang w:val="uk-UA"/>
        </w:rPr>
        <w:t xml:space="preserve">ХС </w:t>
      </w:r>
      <w:r w:rsidR="00AF0245">
        <w:rPr>
          <w:rFonts w:ascii="Times New Roman" w:hAnsi="Times New Roman" w:cs="Times New Roman"/>
          <w:sz w:val="28"/>
          <w:szCs w:val="28"/>
          <w:lang w:val="uk-UA"/>
        </w:rPr>
        <w:t xml:space="preserve">ЛПНЩ – </w:t>
      </w:r>
      <w:r w:rsidR="008F2CD3" w:rsidRPr="008F2CD3">
        <w:rPr>
          <w:rFonts w:ascii="Times New Roman" w:hAnsi="Times New Roman" w:cs="Times New Roman"/>
          <w:sz w:val="28"/>
          <w:szCs w:val="28"/>
          <w:lang w:val="uk-UA"/>
        </w:rPr>
        <w:t>1</w:t>
      </w:r>
      <w:r w:rsidR="00AF0245">
        <w:rPr>
          <w:rFonts w:ascii="Times New Roman" w:hAnsi="Times New Roman" w:cs="Times New Roman"/>
          <w:sz w:val="28"/>
          <w:szCs w:val="28"/>
          <w:lang w:val="uk-UA"/>
        </w:rPr>
        <w:t>0</w:t>
      </w:r>
      <w:r w:rsidR="00BE2942" w:rsidRPr="008F2CD3">
        <w:rPr>
          <w:rFonts w:ascii="Times New Roman" w:hAnsi="Times New Roman" w:cs="Times New Roman"/>
          <w:sz w:val="28"/>
          <w:szCs w:val="28"/>
          <w:lang w:val="uk-UA"/>
        </w:rPr>
        <w:t xml:space="preserve"> </w:t>
      </w:r>
      <w:r w:rsidR="008F2CD3" w:rsidRPr="008F2CD3">
        <w:rPr>
          <w:rFonts w:ascii="Times New Roman" w:hAnsi="Times New Roman" w:cs="Times New Roman"/>
          <w:sz w:val="28"/>
          <w:szCs w:val="28"/>
          <w:lang w:val="uk-UA"/>
        </w:rPr>
        <w:t>(10,64</w:t>
      </w:r>
      <w:r w:rsidR="00EA50B9">
        <w:rPr>
          <w:rFonts w:ascii="Times New Roman" w:hAnsi="Times New Roman" w:cs="Times New Roman"/>
          <w:sz w:val="28"/>
          <w:szCs w:val="28"/>
          <w:lang w:val="uk-UA"/>
        </w:rPr>
        <w:t xml:space="preserve"> </w:t>
      </w:r>
      <w:r w:rsidR="00BE2942" w:rsidRPr="008F2CD3">
        <w:rPr>
          <w:rFonts w:ascii="Times New Roman" w:hAnsi="Times New Roman" w:cs="Times New Roman"/>
          <w:sz w:val="28"/>
          <w:szCs w:val="28"/>
          <w:lang w:val="uk-UA"/>
        </w:rPr>
        <w:t xml:space="preserve">%), </w:t>
      </w:r>
      <w:r w:rsidR="008B2B2F">
        <w:rPr>
          <w:rFonts w:ascii="Times New Roman" w:hAnsi="Times New Roman" w:cs="Times New Roman"/>
          <w:sz w:val="28"/>
          <w:szCs w:val="28"/>
          <w:lang w:val="uk-UA"/>
        </w:rPr>
        <w:t xml:space="preserve">ХС </w:t>
      </w:r>
      <w:r w:rsidR="00BE2942" w:rsidRPr="008F2CD3">
        <w:rPr>
          <w:rFonts w:ascii="Times New Roman" w:hAnsi="Times New Roman" w:cs="Times New Roman"/>
          <w:sz w:val="28"/>
          <w:szCs w:val="28"/>
          <w:lang w:val="uk-UA"/>
        </w:rPr>
        <w:t>ЛПВЩ</w:t>
      </w:r>
      <w:r w:rsidR="00AF0245">
        <w:rPr>
          <w:rFonts w:ascii="Times New Roman" w:hAnsi="Times New Roman" w:cs="Times New Roman"/>
          <w:sz w:val="28"/>
          <w:szCs w:val="28"/>
          <w:lang w:val="uk-UA"/>
        </w:rPr>
        <w:t xml:space="preserve"> – </w:t>
      </w:r>
      <w:r w:rsidR="008F2CD3" w:rsidRPr="008F2CD3">
        <w:rPr>
          <w:rFonts w:ascii="Times New Roman" w:hAnsi="Times New Roman" w:cs="Times New Roman"/>
          <w:sz w:val="28"/>
          <w:szCs w:val="28"/>
          <w:lang w:val="uk-UA"/>
        </w:rPr>
        <w:t>26</w:t>
      </w:r>
      <w:r w:rsidR="00AF0245">
        <w:rPr>
          <w:rFonts w:ascii="Times New Roman" w:hAnsi="Times New Roman" w:cs="Times New Roman"/>
          <w:sz w:val="28"/>
          <w:szCs w:val="28"/>
          <w:lang w:val="uk-UA"/>
        </w:rPr>
        <w:t xml:space="preserve"> </w:t>
      </w:r>
      <w:r w:rsidR="008F2CD3" w:rsidRPr="008F2CD3">
        <w:rPr>
          <w:rFonts w:ascii="Times New Roman" w:hAnsi="Times New Roman" w:cs="Times New Roman"/>
          <w:sz w:val="28"/>
          <w:szCs w:val="28"/>
          <w:lang w:val="uk-UA"/>
        </w:rPr>
        <w:t>(27,66</w:t>
      </w:r>
      <w:r w:rsidR="00EA50B9">
        <w:rPr>
          <w:rFonts w:ascii="Times New Roman" w:hAnsi="Times New Roman" w:cs="Times New Roman"/>
          <w:sz w:val="28"/>
          <w:szCs w:val="28"/>
          <w:lang w:val="uk-UA"/>
        </w:rPr>
        <w:t xml:space="preserve"> </w:t>
      </w:r>
      <w:r w:rsidR="00BE2942" w:rsidRPr="008F2CD3">
        <w:rPr>
          <w:rFonts w:ascii="Times New Roman" w:hAnsi="Times New Roman" w:cs="Times New Roman"/>
          <w:sz w:val="28"/>
          <w:szCs w:val="28"/>
          <w:lang w:val="uk-UA"/>
        </w:rPr>
        <w:t xml:space="preserve">%), </w:t>
      </w:r>
      <w:r w:rsidR="004D0291">
        <w:rPr>
          <w:rFonts w:ascii="Times New Roman" w:hAnsi="Times New Roman" w:cs="Times New Roman"/>
          <w:sz w:val="28"/>
          <w:szCs w:val="28"/>
          <w:lang w:val="uk-UA"/>
        </w:rPr>
        <w:t xml:space="preserve">            </w:t>
      </w:r>
      <w:r w:rsidR="00BE2942" w:rsidRPr="008F2CD3">
        <w:rPr>
          <w:rFonts w:ascii="Times New Roman" w:hAnsi="Times New Roman" w:cs="Times New Roman"/>
          <w:sz w:val="28"/>
          <w:szCs w:val="28"/>
          <w:lang w:val="uk-UA"/>
        </w:rPr>
        <w:t xml:space="preserve">ТГ – </w:t>
      </w:r>
      <w:r w:rsidR="008F2CD3" w:rsidRPr="008F2CD3">
        <w:rPr>
          <w:rFonts w:ascii="Times New Roman" w:hAnsi="Times New Roman" w:cs="Times New Roman"/>
          <w:sz w:val="28"/>
          <w:szCs w:val="28"/>
          <w:lang w:val="uk-UA"/>
        </w:rPr>
        <w:t>34</w:t>
      </w:r>
      <w:r w:rsidR="005651B0">
        <w:rPr>
          <w:rFonts w:ascii="Times New Roman" w:hAnsi="Times New Roman" w:cs="Times New Roman"/>
          <w:sz w:val="28"/>
          <w:szCs w:val="28"/>
          <w:lang w:val="uk-UA"/>
        </w:rPr>
        <w:t xml:space="preserve"> ос</w:t>
      </w:r>
      <w:r w:rsidR="005651B0">
        <w:rPr>
          <w:rFonts w:ascii="Times New Roman" w:hAnsi="Times New Roman" w:cs="Times New Roman"/>
          <w:sz w:val="28"/>
          <w:szCs w:val="28"/>
          <w:lang w:val="en-US"/>
        </w:rPr>
        <w:t>i</w:t>
      </w:r>
      <w:r w:rsidR="00BE2942" w:rsidRPr="008F2CD3">
        <w:rPr>
          <w:rFonts w:ascii="Times New Roman" w:hAnsi="Times New Roman" w:cs="Times New Roman"/>
          <w:sz w:val="28"/>
          <w:szCs w:val="28"/>
          <w:lang w:val="uk-UA"/>
        </w:rPr>
        <w:t>б (</w:t>
      </w:r>
      <w:r w:rsidR="008F2CD3" w:rsidRPr="008F2CD3">
        <w:rPr>
          <w:rFonts w:ascii="Times New Roman" w:hAnsi="Times New Roman" w:cs="Times New Roman"/>
          <w:sz w:val="28"/>
          <w:szCs w:val="28"/>
          <w:lang w:val="uk-UA"/>
        </w:rPr>
        <w:t>36</w:t>
      </w:r>
      <w:r w:rsidR="002B4682" w:rsidRPr="008F2CD3">
        <w:rPr>
          <w:rFonts w:ascii="Times New Roman" w:hAnsi="Times New Roman" w:cs="Times New Roman"/>
          <w:sz w:val="28"/>
          <w:szCs w:val="28"/>
          <w:lang w:val="uk-UA"/>
        </w:rPr>
        <w:t>,</w:t>
      </w:r>
      <w:r w:rsidR="008F2CD3">
        <w:rPr>
          <w:rFonts w:ascii="Times New Roman" w:hAnsi="Times New Roman" w:cs="Times New Roman"/>
          <w:sz w:val="28"/>
          <w:szCs w:val="28"/>
          <w:lang w:val="uk-UA"/>
        </w:rPr>
        <w:t>17</w:t>
      </w:r>
      <w:r w:rsidR="00EA50B9">
        <w:rPr>
          <w:rFonts w:ascii="Times New Roman" w:hAnsi="Times New Roman" w:cs="Times New Roman"/>
          <w:sz w:val="28"/>
          <w:szCs w:val="28"/>
          <w:lang w:val="uk-UA"/>
        </w:rPr>
        <w:t xml:space="preserve"> </w:t>
      </w:r>
      <w:r w:rsidR="005651B0">
        <w:rPr>
          <w:rFonts w:ascii="Times New Roman" w:hAnsi="Times New Roman" w:cs="Times New Roman"/>
          <w:sz w:val="28"/>
          <w:szCs w:val="28"/>
          <w:lang w:val="uk-UA"/>
        </w:rPr>
        <w:t>%). Дан</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 xml:space="preserve"> наведен</w:t>
      </w:r>
      <w:r w:rsidR="005651B0">
        <w:rPr>
          <w:rFonts w:ascii="Times New Roman" w:hAnsi="Times New Roman" w:cs="Times New Roman"/>
          <w:sz w:val="28"/>
          <w:szCs w:val="28"/>
          <w:lang w:val="en-US"/>
        </w:rPr>
        <w:t>i</w:t>
      </w:r>
      <w:r w:rsidR="002B4682">
        <w:rPr>
          <w:rFonts w:ascii="Times New Roman" w:hAnsi="Times New Roman" w:cs="Times New Roman"/>
          <w:sz w:val="28"/>
          <w:szCs w:val="28"/>
          <w:lang w:val="uk-UA"/>
        </w:rPr>
        <w:t xml:space="preserve"> на рис. 6</w:t>
      </w:r>
      <w:r w:rsidR="00A46F4C">
        <w:rPr>
          <w:rFonts w:ascii="Times New Roman" w:hAnsi="Times New Roman" w:cs="Times New Roman"/>
          <w:sz w:val="28"/>
          <w:szCs w:val="28"/>
          <w:lang w:val="uk-UA"/>
        </w:rPr>
        <w:t>.1.1</w:t>
      </w:r>
      <w:r w:rsidR="00BE2942">
        <w:rPr>
          <w:rFonts w:ascii="Times New Roman" w:hAnsi="Times New Roman" w:cs="Times New Roman"/>
          <w:sz w:val="28"/>
          <w:szCs w:val="28"/>
          <w:lang w:val="uk-UA"/>
        </w:rPr>
        <w:t>.</w:t>
      </w:r>
    </w:p>
    <w:p w:rsidR="00BE2942" w:rsidRPr="00BE2942" w:rsidRDefault="00BE2942" w:rsidP="00136877">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8C17422" wp14:editId="5090F4EC">
            <wp:extent cx="5943600" cy="5337544"/>
            <wp:effectExtent l="0" t="0" r="19050" b="1587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E507C" w:rsidRDefault="002661AD" w:rsidP="00126552">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C65B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4682">
        <w:rPr>
          <w:rFonts w:ascii="Times New Roman" w:hAnsi="Times New Roman" w:cs="Times New Roman"/>
          <w:sz w:val="28"/>
          <w:szCs w:val="28"/>
          <w:lang w:val="uk-UA"/>
        </w:rPr>
        <w:t>6</w:t>
      </w:r>
      <w:r w:rsidR="00A46F4C">
        <w:rPr>
          <w:rFonts w:ascii="Times New Roman" w:hAnsi="Times New Roman" w:cs="Times New Roman"/>
          <w:sz w:val="28"/>
          <w:szCs w:val="28"/>
          <w:lang w:val="uk-UA"/>
        </w:rPr>
        <w:t>.1.1</w:t>
      </w:r>
      <w:r w:rsidR="00AF7C51">
        <w:rPr>
          <w:rFonts w:ascii="Times New Roman" w:hAnsi="Times New Roman" w:cs="Times New Roman"/>
          <w:sz w:val="28"/>
          <w:szCs w:val="28"/>
          <w:lang w:val="uk-UA"/>
        </w:rPr>
        <w:t xml:space="preserve"> – Динам</w:t>
      </w:r>
      <w:r w:rsidR="00AF7C51">
        <w:rPr>
          <w:rFonts w:ascii="Times New Roman" w:hAnsi="Times New Roman" w:cs="Times New Roman"/>
          <w:sz w:val="28"/>
          <w:szCs w:val="28"/>
          <w:lang w:val="en-US"/>
        </w:rPr>
        <w:t>i</w:t>
      </w:r>
      <w:r w:rsidR="00AF7C51">
        <w:rPr>
          <w:rFonts w:ascii="Times New Roman" w:hAnsi="Times New Roman" w:cs="Times New Roman"/>
          <w:sz w:val="28"/>
          <w:szCs w:val="28"/>
          <w:lang w:val="uk-UA"/>
        </w:rPr>
        <w:t>ка показник</w:t>
      </w:r>
      <w:r w:rsidR="00AF7C51">
        <w:rPr>
          <w:rFonts w:ascii="Times New Roman" w:hAnsi="Times New Roman" w:cs="Times New Roman"/>
          <w:sz w:val="28"/>
          <w:szCs w:val="28"/>
          <w:lang w:val="en-US"/>
        </w:rPr>
        <w:t>i</w:t>
      </w:r>
      <w:r w:rsidR="00AF7C51">
        <w:rPr>
          <w:rFonts w:ascii="Times New Roman" w:hAnsi="Times New Roman" w:cs="Times New Roman"/>
          <w:sz w:val="28"/>
          <w:szCs w:val="28"/>
          <w:lang w:val="uk-UA"/>
        </w:rPr>
        <w:t>в л</w:t>
      </w:r>
      <w:r w:rsidR="00AF7C51">
        <w:rPr>
          <w:rFonts w:ascii="Times New Roman" w:hAnsi="Times New Roman" w:cs="Times New Roman"/>
          <w:sz w:val="28"/>
          <w:szCs w:val="28"/>
          <w:lang w:val="en-US"/>
        </w:rPr>
        <w:t>i</w:t>
      </w:r>
      <w:r w:rsidR="00AF7C51">
        <w:rPr>
          <w:rFonts w:ascii="Times New Roman" w:hAnsi="Times New Roman" w:cs="Times New Roman"/>
          <w:sz w:val="28"/>
          <w:szCs w:val="28"/>
          <w:lang w:val="uk-UA"/>
        </w:rPr>
        <w:t>п</w:t>
      </w:r>
      <w:r w:rsidR="00AF7C51">
        <w:rPr>
          <w:rFonts w:ascii="Times New Roman" w:hAnsi="Times New Roman" w:cs="Times New Roman"/>
          <w:sz w:val="28"/>
          <w:szCs w:val="28"/>
          <w:lang w:val="en-US"/>
        </w:rPr>
        <w:t>i</w:t>
      </w:r>
      <w:r w:rsidR="00126552">
        <w:rPr>
          <w:rFonts w:ascii="Times New Roman" w:hAnsi="Times New Roman" w:cs="Times New Roman"/>
          <w:sz w:val="28"/>
          <w:szCs w:val="28"/>
          <w:lang w:val="uk-UA"/>
        </w:rPr>
        <w:t>дного спектр</w:t>
      </w:r>
      <w:r w:rsidR="00D06CCE">
        <w:rPr>
          <w:rFonts w:ascii="Times New Roman" w:hAnsi="Times New Roman" w:cs="Times New Roman"/>
          <w:sz w:val="28"/>
          <w:szCs w:val="28"/>
          <w:lang w:val="uk-UA"/>
        </w:rPr>
        <w:t>а</w:t>
      </w:r>
      <w:r w:rsidR="00AF7C51">
        <w:rPr>
          <w:rFonts w:ascii="Times New Roman" w:hAnsi="Times New Roman" w:cs="Times New Roman"/>
          <w:sz w:val="28"/>
          <w:szCs w:val="28"/>
          <w:lang w:val="uk-UA"/>
        </w:rPr>
        <w:t xml:space="preserve"> кров</w:t>
      </w:r>
      <w:r w:rsidR="00AF7C51">
        <w:rPr>
          <w:rFonts w:ascii="Times New Roman" w:hAnsi="Times New Roman" w:cs="Times New Roman"/>
          <w:sz w:val="28"/>
          <w:szCs w:val="28"/>
          <w:lang w:val="en-US"/>
        </w:rPr>
        <w:t>i</w:t>
      </w:r>
      <w:r w:rsidR="00126552">
        <w:rPr>
          <w:rFonts w:ascii="Times New Roman" w:hAnsi="Times New Roman" w:cs="Times New Roman"/>
          <w:sz w:val="28"/>
          <w:szCs w:val="28"/>
          <w:lang w:val="uk-UA"/>
        </w:rPr>
        <w:t xml:space="preserve"> </w:t>
      </w:r>
    </w:p>
    <w:p w:rsidR="00136877" w:rsidRPr="00BD3B8D" w:rsidRDefault="00AF7C51" w:rsidP="005F3E81">
      <w:pPr>
        <w:autoSpaceDE w:val="0"/>
        <w:autoSpaceDN w:val="0"/>
        <w:adjustRightInd w:val="0"/>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д впливом л</w:t>
      </w:r>
      <w:r>
        <w:rPr>
          <w:rFonts w:ascii="Times New Roman" w:hAnsi="Times New Roman" w:cs="Times New Roman"/>
          <w:sz w:val="28"/>
          <w:szCs w:val="28"/>
          <w:lang w:val="en-US"/>
        </w:rPr>
        <w:t>i</w:t>
      </w:r>
      <w:r w:rsidR="00126552">
        <w:rPr>
          <w:rFonts w:ascii="Times New Roman" w:hAnsi="Times New Roman" w:cs="Times New Roman"/>
          <w:sz w:val="28"/>
          <w:szCs w:val="28"/>
          <w:lang w:val="uk-UA"/>
        </w:rPr>
        <w:t>куван</w:t>
      </w:r>
      <w:r w:rsidR="004960F6">
        <w:rPr>
          <w:rFonts w:ascii="Times New Roman" w:hAnsi="Times New Roman" w:cs="Times New Roman"/>
          <w:sz w:val="28"/>
          <w:szCs w:val="28"/>
          <w:lang w:val="uk-UA"/>
        </w:rPr>
        <w:t xml:space="preserve">ня аторвастатином у хворих </w:t>
      </w:r>
      <w:r w:rsidR="00126552">
        <w:rPr>
          <w:rFonts w:ascii="Times New Roman" w:hAnsi="Times New Roman" w:cs="Times New Roman"/>
          <w:sz w:val="28"/>
          <w:szCs w:val="28"/>
          <w:lang w:val="uk-UA"/>
        </w:rPr>
        <w:t>І групи</w:t>
      </w:r>
    </w:p>
    <w:p w:rsidR="00126552" w:rsidRDefault="00126552"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005651B0">
        <w:rPr>
          <w:rFonts w:ascii="Times New Roman" w:hAnsi="Times New Roman" w:cs="Times New Roman"/>
          <w:sz w:val="28"/>
          <w:szCs w:val="28"/>
          <w:lang w:val="uk-UA"/>
        </w:rPr>
        <w:t>а фон</w:t>
      </w:r>
      <w:r w:rsidR="00A75DE4">
        <w:rPr>
          <w:rFonts w:ascii="Times New Roman" w:hAnsi="Times New Roman" w:cs="Times New Roman"/>
          <w:sz w:val="28"/>
          <w:szCs w:val="28"/>
          <w:lang w:val="en-US"/>
        </w:rPr>
        <w:t>i</w:t>
      </w:r>
      <w:r w:rsidR="005651B0">
        <w:rPr>
          <w:rFonts w:ascii="Times New Roman" w:hAnsi="Times New Roman" w:cs="Times New Roman"/>
          <w:sz w:val="28"/>
          <w:szCs w:val="28"/>
          <w:lang w:val="uk-UA"/>
        </w:rPr>
        <w:t xml:space="preserve"> терап</w:t>
      </w:r>
      <w:r w:rsidR="005651B0">
        <w:rPr>
          <w:rFonts w:ascii="Times New Roman" w:hAnsi="Times New Roman" w:cs="Times New Roman"/>
          <w:sz w:val="28"/>
          <w:szCs w:val="28"/>
          <w:lang w:val="en-US"/>
        </w:rPr>
        <w:t>i</w:t>
      </w:r>
      <w:r w:rsidRPr="00126552">
        <w:rPr>
          <w:rFonts w:ascii="Times New Roman" w:hAnsi="Times New Roman" w:cs="Times New Roman"/>
          <w:sz w:val="28"/>
          <w:szCs w:val="28"/>
          <w:lang w:val="uk-UA"/>
        </w:rPr>
        <w:t xml:space="preserve">ї статинами ще до початку нашого </w:t>
      </w:r>
      <w:r w:rsidR="00E20542">
        <w:rPr>
          <w:rFonts w:ascii="Times New Roman" w:hAnsi="Times New Roman" w:cs="Times New Roman"/>
          <w:sz w:val="28"/>
          <w:szCs w:val="28"/>
          <w:lang w:val="uk-UA"/>
        </w:rPr>
        <w:t>досл</w:t>
      </w:r>
      <w:r w:rsidR="00E20542">
        <w:rPr>
          <w:rFonts w:ascii="Times New Roman" w:hAnsi="Times New Roman" w:cs="Times New Roman"/>
          <w:sz w:val="28"/>
          <w:szCs w:val="28"/>
          <w:lang w:val="en-US"/>
        </w:rPr>
        <w:t>i</w:t>
      </w:r>
      <w:r w:rsidR="005651B0">
        <w:rPr>
          <w:rFonts w:ascii="Times New Roman" w:hAnsi="Times New Roman" w:cs="Times New Roman"/>
          <w:sz w:val="28"/>
          <w:szCs w:val="28"/>
          <w:lang w:val="uk-UA"/>
        </w:rPr>
        <w:t xml:space="preserve">дження </w:t>
      </w:r>
      <w:r w:rsidR="006423C9">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у пацієнтів </w:t>
      </w:r>
      <w:r w:rsidR="005420B0">
        <w:rPr>
          <w:rFonts w:ascii="Times New Roman" w:hAnsi="Times New Roman" w:cs="Times New Roman"/>
          <w:sz w:val="28"/>
          <w:szCs w:val="28"/>
          <w:lang w:val="uk-UA"/>
        </w:rPr>
        <w:t>і</w:t>
      </w:r>
      <w:r>
        <w:rPr>
          <w:rFonts w:ascii="Times New Roman" w:hAnsi="Times New Roman" w:cs="Times New Roman"/>
          <w:sz w:val="28"/>
          <w:szCs w:val="28"/>
          <w:lang w:val="uk-UA"/>
        </w:rPr>
        <w:t xml:space="preserve">з </w:t>
      </w:r>
      <w:r w:rsidRPr="00524935">
        <w:rPr>
          <w:rFonts w:ascii="Times New Roman" w:hAnsi="Times New Roman" w:cs="Times New Roman"/>
          <w:sz w:val="28"/>
          <w:szCs w:val="28"/>
          <w:lang w:val="uk-UA"/>
        </w:rPr>
        <w:t>А</w:t>
      </w:r>
      <w:r w:rsidR="00E20542">
        <w:rPr>
          <w:rFonts w:ascii="Times New Roman" w:hAnsi="Times New Roman" w:cs="Times New Roman"/>
          <w:sz w:val="28"/>
          <w:szCs w:val="28"/>
          <w:lang w:val="uk-UA"/>
        </w:rPr>
        <w:t>Г без супутнього ЦД 2-го типу ц</w:t>
      </w:r>
      <w:r w:rsidR="00E20542">
        <w:rPr>
          <w:rFonts w:ascii="Times New Roman" w:hAnsi="Times New Roman" w:cs="Times New Roman"/>
          <w:sz w:val="28"/>
          <w:szCs w:val="28"/>
          <w:lang w:val="en-US"/>
        </w:rPr>
        <w:t>i</w:t>
      </w:r>
      <w:r w:rsidRPr="00524935">
        <w:rPr>
          <w:rFonts w:ascii="Times New Roman" w:hAnsi="Times New Roman" w:cs="Times New Roman"/>
          <w:sz w:val="28"/>
          <w:szCs w:val="28"/>
          <w:lang w:val="uk-UA"/>
        </w:rPr>
        <w:t>льови</w:t>
      </w:r>
      <w:r w:rsidR="00E20542">
        <w:rPr>
          <w:rFonts w:ascii="Times New Roman" w:hAnsi="Times New Roman" w:cs="Times New Roman"/>
          <w:sz w:val="28"/>
          <w:szCs w:val="28"/>
          <w:lang w:val="uk-UA"/>
        </w:rPr>
        <w:t>й р</w:t>
      </w:r>
      <w:r w:rsidR="00E20542">
        <w:rPr>
          <w:rFonts w:ascii="Times New Roman" w:hAnsi="Times New Roman" w:cs="Times New Roman"/>
          <w:sz w:val="28"/>
          <w:szCs w:val="28"/>
          <w:lang w:val="en-US"/>
        </w:rPr>
        <w:t>i</w:t>
      </w:r>
      <w:r w:rsidRPr="00524935">
        <w:rPr>
          <w:rFonts w:ascii="Times New Roman" w:hAnsi="Times New Roman" w:cs="Times New Roman"/>
          <w:sz w:val="28"/>
          <w:szCs w:val="28"/>
          <w:lang w:val="uk-UA"/>
        </w:rPr>
        <w:t>вень</w:t>
      </w:r>
      <w:r w:rsidR="009E3A10" w:rsidRPr="00524935">
        <w:rPr>
          <w:lang w:val="uk-UA"/>
        </w:rPr>
        <w:t xml:space="preserve"> </w:t>
      </w:r>
      <w:r w:rsidR="002661AD">
        <w:rPr>
          <w:rFonts w:ascii="Times New Roman" w:hAnsi="Times New Roman" w:cs="Times New Roman"/>
          <w:sz w:val="28"/>
          <w:szCs w:val="28"/>
          <w:lang w:val="uk-UA"/>
        </w:rPr>
        <w:t>ЗХС було досягнуто в</w:t>
      </w:r>
      <w:r w:rsidR="00524935" w:rsidRPr="00524935">
        <w:rPr>
          <w:rFonts w:ascii="Times New Roman" w:hAnsi="Times New Roman" w:cs="Times New Roman"/>
          <w:sz w:val="28"/>
          <w:szCs w:val="28"/>
          <w:lang w:val="uk-UA"/>
        </w:rPr>
        <w:t xml:space="preserve"> 11</w:t>
      </w:r>
      <w:r w:rsidR="009E3A10" w:rsidRPr="00524935">
        <w:rPr>
          <w:rFonts w:ascii="Times New Roman" w:hAnsi="Times New Roman" w:cs="Times New Roman"/>
          <w:sz w:val="28"/>
          <w:szCs w:val="28"/>
          <w:lang w:val="uk-UA"/>
        </w:rPr>
        <w:t xml:space="preserve"> </w:t>
      </w:r>
      <w:r w:rsidR="00F27E76" w:rsidRPr="00F27E76">
        <w:rPr>
          <w:rFonts w:ascii="Times New Roman" w:hAnsi="Times New Roman" w:cs="Times New Roman"/>
          <w:sz w:val="28"/>
          <w:szCs w:val="28"/>
          <w:lang w:val="uk-UA"/>
        </w:rPr>
        <w:t>(45,8</w:t>
      </w:r>
      <w:r w:rsidR="002661AD">
        <w:rPr>
          <w:rFonts w:ascii="Times New Roman" w:hAnsi="Times New Roman" w:cs="Times New Roman"/>
          <w:sz w:val="28"/>
          <w:szCs w:val="28"/>
          <w:lang w:val="uk-UA"/>
        </w:rPr>
        <w:t xml:space="preserve"> </w:t>
      </w:r>
      <w:r w:rsidR="009E3A10" w:rsidRPr="00F27E76">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ХС </w:t>
      </w:r>
      <w:r w:rsidR="009E3A10" w:rsidRPr="009D2B3F">
        <w:rPr>
          <w:rFonts w:ascii="Times New Roman" w:hAnsi="Times New Roman" w:cs="Times New Roman"/>
          <w:sz w:val="28"/>
          <w:szCs w:val="28"/>
          <w:lang w:val="uk-UA"/>
        </w:rPr>
        <w:t>ЛПНЩ</w:t>
      </w:r>
      <w:r w:rsidR="00AA2CEE" w:rsidRPr="009D2B3F">
        <w:rPr>
          <w:rFonts w:ascii="Times New Roman" w:hAnsi="Times New Roman" w:cs="Times New Roman"/>
          <w:sz w:val="28"/>
          <w:szCs w:val="28"/>
          <w:lang w:val="uk-UA"/>
        </w:rPr>
        <w:t xml:space="preserve"> </w:t>
      </w:r>
      <w:r w:rsidR="005420B0">
        <w:rPr>
          <w:rFonts w:ascii="Times New Roman" w:hAnsi="Times New Roman" w:cs="Times New Roman"/>
          <w:sz w:val="28"/>
          <w:szCs w:val="28"/>
          <w:lang w:val="uk-UA"/>
        </w:rPr>
        <w:t xml:space="preserve">– 1 </w:t>
      </w:r>
      <w:r w:rsidR="009E3A10" w:rsidRPr="00F27E76">
        <w:rPr>
          <w:rFonts w:ascii="Times New Roman" w:hAnsi="Times New Roman" w:cs="Times New Roman"/>
          <w:sz w:val="28"/>
          <w:szCs w:val="28"/>
          <w:lang w:val="uk-UA"/>
        </w:rPr>
        <w:t>(1</w:t>
      </w:r>
      <w:r w:rsidR="00F27E76" w:rsidRPr="00F27E76">
        <w:rPr>
          <w:rFonts w:ascii="Times New Roman" w:hAnsi="Times New Roman" w:cs="Times New Roman"/>
          <w:sz w:val="28"/>
          <w:szCs w:val="28"/>
          <w:lang w:val="uk-UA"/>
        </w:rPr>
        <w:t>0,63</w:t>
      </w:r>
      <w:r w:rsidR="002661AD">
        <w:rPr>
          <w:rFonts w:ascii="Times New Roman" w:hAnsi="Times New Roman" w:cs="Times New Roman"/>
          <w:sz w:val="28"/>
          <w:szCs w:val="28"/>
          <w:lang w:val="uk-UA"/>
        </w:rPr>
        <w:t xml:space="preserve"> </w:t>
      </w:r>
      <w:r w:rsidR="009E3A10" w:rsidRPr="00F27E76">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ХС </w:t>
      </w:r>
      <w:r w:rsidR="009E3A10" w:rsidRPr="009D2B3F">
        <w:rPr>
          <w:rFonts w:ascii="Times New Roman" w:hAnsi="Times New Roman" w:cs="Times New Roman"/>
          <w:sz w:val="28"/>
          <w:szCs w:val="28"/>
          <w:lang w:val="uk-UA"/>
        </w:rPr>
        <w:t>ЛПВЩ</w:t>
      </w:r>
      <w:r w:rsidR="00AA2CEE" w:rsidRPr="009D2B3F">
        <w:rPr>
          <w:rFonts w:ascii="Times New Roman" w:hAnsi="Times New Roman" w:cs="Times New Roman"/>
          <w:sz w:val="28"/>
          <w:szCs w:val="28"/>
          <w:lang w:val="uk-UA"/>
        </w:rPr>
        <w:t xml:space="preserve"> </w:t>
      </w:r>
      <w:r w:rsidR="005420B0">
        <w:rPr>
          <w:rFonts w:ascii="Times New Roman" w:hAnsi="Times New Roman" w:cs="Times New Roman"/>
          <w:sz w:val="28"/>
          <w:szCs w:val="28"/>
          <w:lang w:val="uk-UA"/>
        </w:rPr>
        <w:t xml:space="preserve">– </w:t>
      </w:r>
      <w:r w:rsidR="009D2B3F" w:rsidRPr="009D2B3F">
        <w:rPr>
          <w:rFonts w:ascii="Times New Roman" w:hAnsi="Times New Roman" w:cs="Times New Roman"/>
          <w:sz w:val="28"/>
          <w:szCs w:val="28"/>
          <w:lang w:val="uk-UA"/>
        </w:rPr>
        <w:t>18</w:t>
      </w:r>
      <w:r w:rsidR="009E3A10" w:rsidRPr="009D2B3F">
        <w:rPr>
          <w:rFonts w:ascii="Times New Roman" w:hAnsi="Times New Roman" w:cs="Times New Roman"/>
          <w:sz w:val="28"/>
          <w:szCs w:val="28"/>
          <w:lang w:val="uk-UA"/>
        </w:rPr>
        <w:t xml:space="preserve"> </w:t>
      </w:r>
      <w:r w:rsidR="00F27E76" w:rsidRPr="00F27E76">
        <w:rPr>
          <w:rFonts w:ascii="Times New Roman" w:hAnsi="Times New Roman" w:cs="Times New Roman"/>
          <w:sz w:val="28"/>
          <w:szCs w:val="28"/>
          <w:lang w:val="uk-UA"/>
        </w:rPr>
        <w:t>(75</w:t>
      </w:r>
      <w:r w:rsidR="002661AD">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 </w:t>
      </w:r>
      <w:r w:rsidR="004D0291">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ТГ </w:t>
      </w:r>
      <w:r w:rsidR="009D2B3F" w:rsidRPr="00F27E76">
        <w:rPr>
          <w:rFonts w:ascii="Times New Roman" w:hAnsi="Times New Roman" w:cs="Times New Roman"/>
          <w:sz w:val="28"/>
          <w:szCs w:val="28"/>
          <w:lang w:val="uk-UA"/>
        </w:rPr>
        <w:t xml:space="preserve">– </w:t>
      </w:r>
      <w:r w:rsidR="009D2B3F" w:rsidRPr="009D2B3F">
        <w:rPr>
          <w:rFonts w:ascii="Times New Roman" w:hAnsi="Times New Roman" w:cs="Times New Roman"/>
          <w:sz w:val="28"/>
          <w:szCs w:val="28"/>
          <w:lang w:val="uk-UA"/>
        </w:rPr>
        <w:t>6</w:t>
      </w:r>
      <w:r w:rsidR="00E20542">
        <w:rPr>
          <w:rFonts w:ascii="Times New Roman" w:hAnsi="Times New Roman" w:cs="Times New Roman"/>
          <w:sz w:val="28"/>
          <w:szCs w:val="28"/>
          <w:lang w:val="uk-UA"/>
        </w:rPr>
        <w:t xml:space="preserve"> ос</w:t>
      </w:r>
      <w:r w:rsidR="00E20542">
        <w:rPr>
          <w:rFonts w:ascii="Times New Roman" w:hAnsi="Times New Roman" w:cs="Times New Roman"/>
          <w:sz w:val="28"/>
          <w:szCs w:val="28"/>
          <w:lang w:val="en-US"/>
        </w:rPr>
        <w:t>i</w:t>
      </w:r>
      <w:r w:rsidR="009E3A10" w:rsidRPr="009D2B3F">
        <w:rPr>
          <w:rFonts w:ascii="Times New Roman" w:hAnsi="Times New Roman" w:cs="Times New Roman"/>
          <w:sz w:val="28"/>
          <w:szCs w:val="28"/>
          <w:lang w:val="uk-UA"/>
        </w:rPr>
        <w:t xml:space="preserve">б </w:t>
      </w:r>
      <w:r w:rsidR="00F27E76" w:rsidRPr="00F27E76">
        <w:rPr>
          <w:rFonts w:ascii="Times New Roman" w:hAnsi="Times New Roman" w:cs="Times New Roman"/>
          <w:sz w:val="28"/>
          <w:szCs w:val="28"/>
          <w:lang w:val="uk-UA"/>
        </w:rPr>
        <w:t>(25</w:t>
      </w:r>
      <w:r w:rsidR="002661AD">
        <w:rPr>
          <w:rFonts w:ascii="Times New Roman" w:hAnsi="Times New Roman" w:cs="Times New Roman"/>
          <w:sz w:val="28"/>
          <w:szCs w:val="28"/>
          <w:lang w:val="uk-UA"/>
        </w:rPr>
        <w:t xml:space="preserve"> </w:t>
      </w:r>
      <w:r w:rsidR="009E3A10" w:rsidRPr="00F27E76">
        <w:rPr>
          <w:rFonts w:ascii="Times New Roman" w:hAnsi="Times New Roman" w:cs="Times New Roman"/>
          <w:sz w:val="28"/>
          <w:szCs w:val="28"/>
          <w:lang w:val="uk-UA"/>
        </w:rPr>
        <w:t>%).</w:t>
      </w:r>
      <w:r w:rsidR="009E3A10" w:rsidRPr="00F27E76">
        <w:rPr>
          <w:lang w:val="uk-UA"/>
        </w:rPr>
        <w:t xml:space="preserve"> </w:t>
      </w:r>
      <w:r w:rsidR="005651B0">
        <w:rPr>
          <w:rFonts w:ascii="Times New Roman" w:hAnsi="Times New Roman" w:cs="Times New Roman"/>
          <w:sz w:val="28"/>
          <w:szCs w:val="28"/>
          <w:lang w:val="uk-UA"/>
        </w:rPr>
        <w:t>Через 6 м</w:t>
      </w:r>
      <w:r w:rsidR="005651B0">
        <w:rPr>
          <w:rFonts w:ascii="Times New Roman" w:hAnsi="Times New Roman" w:cs="Times New Roman"/>
          <w:sz w:val="28"/>
          <w:szCs w:val="28"/>
          <w:lang w:val="en-US"/>
        </w:rPr>
        <w:t>i</w:t>
      </w:r>
      <w:r w:rsidR="009E3A10" w:rsidRPr="00F27E76">
        <w:rPr>
          <w:rFonts w:ascii="Times New Roman" w:hAnsi="Times New Roman" w:cs="Times New Roman"/>
          <w:sz w:val="28"/>
          <w:szCs w:val="28"/>
          <w:lang w:val="uk-UA"/>
        </w:rPr>
        <w:t>сяц</w:t>
      </w:r>
      <w:r w:rsidR="002661AD">
        <w:rPr>
          <w:rFonts w:ascii="Times New Roman" w:hAnsi="Times New Roman" w:cs="Times New Roman"/>
          <w:sz w:val="28"/>
          <w:szCs w:val="28"/>
          <w:lang w:val="uk-UA"/>
        </w:rPr>
        <w:t xml:space="preserve">ів лікування аторвастатином </w:t>
      </w:r>
      <w:r w:rsidR="004D0291">
        <w:rPr>
          <w:rFonts w:ascii="Times New Roman" w:hAnsi="Times New Roman" w:cs="Times New Roman"/>
          <w:sz w:val="28"/>
          <w:szCs w:val="28"/>
          <w:lang w:val="uk-UA"/>
        </w:rPr>
        <w:t xml:space="preserve">             </w:t>
      </w:r>
      <w:r w:rsidR="002661AD">
        <w:rPr>
          <w:rFonts w:ascii="Times New Roman" w:hAnsi="Times New Roman" w:cs="Times New Roman"/>
          <w:sz w:val="28"/>
          <w:szCs w:val="28"/>
          <w:lang w:val="uk-UA"/>
        </w:rPr>
        <w:t>10−</w:t>
      </w:r>
      <w:r w:rsidR="009D51BD">
        <w:rPr>
          <w:rFonts w:ascii="Times New Roman" w:hAnsi="Times New Roman" w:cs="Times New Roman"/>
          <w:sz w:val="28"/>
          <w:szCs w:val="28"/>
          <w:lang w:val="uk-UA"/>
        </w:rPr>
        <w:t>20</w:t>
      </w:r>
      <w:r w:rsidR="009D51BD" w:rsidRPr="009D51BD">
        <w:rPr>
          <w:rFonts w:ascii="Times New Roman" w:hAnsi="Times New Roman" w:cs="Times New Roman"/>
          <w:sz w:val="28"/>
          <w:szCs w:val="28"/>
          <w:lang w:val="uk-UA"/>
        </w:rPr>
        <w:t>−</w:t>
      </w:r>
      <w:r w:rsidR="00F27E76" w:rsidRPr="00F27E76">
        <w:rPr>
          <w:rFonts w:ascii="Times New Roman" w:hAnsi="Times New Roman" w:cs="Times New Roman"/>
          <w:sz w:val="28"/>
          <w:szCs w:val="28"/>
          <w:lang w:val="uk-UA"/>
        </w:rPr>
        <w:t>4</w:t>
      </w:r>
      <w:r w:rsidR="005651B0">
        <w:rPr>
          <w:rFonts w:ascii="Times New Roman" w:hAnsi="Times New Roman" w:cs="Times New Roman"/>
          <w:sz w:val="28"/>
          <w:szCs w:val="28"/>
          <w:lang w:val="uk-UA"/>
        </w:rPr>
        <w:t>0 мг/добу ц</w:t>
      </w:r>
      <w:r w:rsidR="005651B0">
        <w:rPr>
          <w:rFonts w:ascii="Times New Roman" w:hAnsi="Times New Roman" w:cs="Times New Roman"/>
          <w:sz w:val="28"/>
          <w:szCs w:val="28"/>
          <w:lang w:val="en-US"/>
        </w:rPr>
        <w:t>i</w:t>
      </w:r>
      <w:r w:rsidR="002661AD">
        <w:rPr>
          <w:rFonts w:ascii="Times New Roman" w:hAnsi="Times New Roman" w:cs="Times New Roman"/>
          <w:sz w:val="28"/>
          <w:szCs w:val="28"/>
          <w:lang w:val="uk-UA"/>
        </w:rPr>
        <w:t>льового рівня ЗХС у</w:t>
      </w:r>
      <w:r w:rsidR="009E3A10" w:rsidRPr="00F27E76">
        <w:rPr>
          <w:rFonts w:ascii="Times New Roman" w:hAnsi="Times New Roman" w:cs="Times New Roman"/>
          <w:sz w:val="28"/>
          <w:szCs w:val="28"/>
          <w:lang w:val="uk-UA"/>
        </w:rPr>
        <w:t xml:space="preserve">далося досягти ще у </w:t>
      </w:r>
      <w:r w:rsidR="00F27E76" w:rsidRPr="00F27E76">
        <w:rPr>
          <w:rFonts w:ascii="Times New Roman" w:hAnsi="Times New Roman" w:cs="Times New Roman"/>
          <w:sz w:val="28"/>
          <w:szCs w:val="28"/>
          <w:lang w:val="uk-UA"/>
        </w:rPr>
        <w:t>8 (33,33</w:t>
      </w:r>
      <w:r w:rsidR="002661AD">
        <w:rPr>
          <w:rFonts w:ascii="Times New Roman" w:hAnsi="Times New Roman" w:cs="Times New Roman"/>
          <w:sz w:val="28"/>
          <w:szCs w:val="28"/>
          <w:lang w:val="uk-UA"/>
        </w:rPr>
        <w:t xml:space="preserve"> </w:t>
      </w:r>
      <w:r w:rsidR="00F27E76" w:rsidRPr="00F27E76">
        <w:rPr>
          <w:rFonts w:ascii="Times New Roman" w:hAnsi="Times New Roman" w:cs="Times New Roman"/>
          <w:sz w:val="28"/>
          <w:szCs w:val="28"/>
          <w:lang w:val="uk-UA"/>
        </w:rPr>
        <w:t xml:space="preserve">%), </w:t>
      </w:r>
      <w:r w:rsidR="004D0291">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ХС </w:t>
      </w:r>
      <w:r w:rsidR="000879ED">
        <w:rPr>
          <w:rFonts w:ascii="Times New Roman" w:hAnsi="Times New Roman" w:cs="Times New Roman"/>
          <w:sz w:val="28"/>
          <w:szCs w:val="28"/>
          <w:lang w:val="uk-UA"/>
        </w:rPr>
        <w:t>ЛПНЩ</w:t>
      </w:r>
      <w:r w:rsidR="004D0291">
        <w:rPr>
          <w:rFonts w:ascii="Times New Roman" w:hAnsi="Times New Roman" w:cs="Times New Roman"/>
          <w:sz w:val="28"/>
          <w:szCs w:val="28"/>
          <w:lang w:val="uk-UA"/>
        </w:rPr>
        <w:t xml:space="preserve"> </w:t>
      </w:r>
      <w:r w:rsidR="000879ED">
        <w:rPr>
          <w:rFonts w:ascii="Times New Roman" w:hAnsi="Times New Roman" w:cs="Times New Roman"/>
          <w:sz w:val="28"/>
          <w:szCs w:val="28"/>
          <w:lang w:val="uk-UA"/>
        </w:rPr>
        <w:t xml:space="preserve">– </w:t>
      </w:r>
      <w:r w:rsidR="00F27E76">
        <w:rPr>
          <w:rFonts w:ascii="Times New Roman" w:hAnsi="Times New Roman" w:cs="Times New Roman"/>
          <w:sz w:val="28"/>
          <w:szCs w:val="28"/>
          <w:lang w:val="uk-UA"/>
        </w:rPr>
        <w:t>3</w:t>
      </w:r>
      <w:r w:rsidR="005F5638" w:rsidRPr="00F27E76">
        <w:rPr>
          <w:rFonts w:ascii="Times New Roman" w:hAnsi="Times New Roman" w:cs="Times New Roman"/>
          <w:sz w:val="28"/>
          <w:szCs w:val="28"/>
          <w:lang w:val="uk-UA"/>
        </w:rPr>
        <w:t xml:space="preserve"> </w:t>
      </w:r>
      <w:r w:rsidR="00F27E76" w:rsidRPr="00F27E76">
        <w:rPr>
          <w:rFonts w:ascii="Times New Roman" w:hAnsi="Times New Roman" w:cs="Times New Roman"/>
          <w:sz w:val="28"/>
          <w:szCs w:val="28"/>
          <w:lang w:val="uk-UA"/>
        </w:rPr>
        <w:t>(12,5</w:t>
      </w:r>
      <w:r w:rsidR="002661AD">
        <w:rPr>
          <w:rFonts w:ascii="Times New Roman" w:hAnsi="Times New Roman" w:cs="Times New Roman"/>
          <w:sz w:val="28"/>
          <w:szCs w:val="28"/>
          <w:lang w:val="uk-UA"/>
        </w:rPr>
        <w:t xml:space="preserve"> </w:t>
      </w:r>
      <w:r w:rsidR="005F5638" w:rsidRPr="00F27E76">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ХС </w:t>
      </w:r>
      <w:r w:rsidR="005F5638" w:rsidRPr="00F27E76">
        <w:rPr>
          <w:rFonts w:ascii="Times New Roman" w:hAnsi="Times New Roman" w:cs="Times New Roman"/>
          <w:sz w:val="28"/>
          <w:szCs w:val="28"/>
          <w:lang w:val="uk-UA"/>
        </w:rPr>
        <w:t xml:space="preserve">ЛПВЩ – </w:t>
      </w:r>
      <w:r w:rsidR="00F27E76">
        <w:rPr>
          <w:rFonts w:ascii="Times New Roman" w:hAnsi="Times New Roman" w:cs="Times New Roman"/>
          <w:sz w:val="28"/>
          <w:szCs w:val="28"/>
          <w:lang w:val="uk-UA"/>
        </w:rPr>
        <w:t>6</w:t>
      </w:r>
      <w:r w:rsidR="000879ED">
        <w:rPr>
          <w:rFonts w:ascii="Times New Roman" w:hAnsi="Times New Roman" w:cs="Times New Roman"/>
          <w:sz w:val="28"/>
          <w:szCs w:val="28"/>
          <w:lang w:val="uk-UA"/>
        </w:rPr>
        <w:t xml:space="preserve"> </w:t>
      </w:r>
      <w:r w:rsidR="00F27E76" w:rsidRPr="00F27E76">
        <w:rPr>
          <w:rFonts w:ascii="Times New Roman" w:hAnsi="Times New Roman" w:cs="Times New Roman"/>
          <w:sz w:val="28"/>
          <w:szCs w:val="28"/>
          <w:lang w:val="uk-UA"/>
        </w:rPr>
        <w:t>(25</w:t>
      </w:r>
      <w:r w:rsidR="002661AD">
        <w:rPr>
          <w:rFonts w:ascii="Times New Roman" w:hAnsi="Times New Roman" w:cs="Times New Roman"/>
          <w:sz w:val="28"/>
          <w:szCs w:val="28"/>
          <w:lang w:val="uk-UA"/>
        </w:rPr>
        <w:t xml:space="preserve"> </w:t>
      </w:r>
      <w:r w:rsidR="000879ED">
        <w:rPr>
          <w:rFonts w:ascii="Times New Roman" w:hAnsi="Times New Roman" w:cs="Times New Roman"/>
          <w:sz w:val="28"/>
          <w:szCs w:val="28"/>
          <w:lang w:val="uk-UA"/>
        </w:rPr>
        <w:t xml:space="preserve">%), ТГ – </w:t>
      </w:r>
      <w:r w:rsidR="00F27E76">
        <w:rPr>
          <w:rFonts w:ascii="Times New Roman" w:hAnsi="Times New Roman" w:cs="Times New Roman"/>
          <w:sz w:val="28"/>
          <w:szCs w:val="28"/>
          <w:lang w:val="uk-UA"/>
        </w:rPr>
        <w:t>9</w:t>
      </w:r>
      <w:r w:rsidR="000879ED">
        <w:rPr>
          <w:rFonts w:ascii="Times New Roman" w:hAnsi="Times New Roman" w:cs="Times New Roman"/>
          <w:sz w:val="28"/>
          <w:szCs w:val="28"/>
          <w:lang w:val="uk-UA"/>
        </w:rPr>
        <w:t xml:space="preserve"> осіб </w:t>
      </w:r>
      <w:r w:rsidR="00F27E76" w:rsidRPr="00F27E76">
        <w:rPr>
          <w:rFonts w:ascii="Times New Roman" w:hAnsi="Times New Roman" w:cs="Times New Roman"/>
          <w:sz w:val="28"/>
          <w:szCs w:val="28"/>
          <w:lang w:val="uk-UA"/>
        </w:rPr>
        <w:t>(37,5</w:t>
      </w:r>
      <w:r w:rsidR="002661AD">
        <w:rPr>
          <w:rFonts w:ascii="Times New Roman" w:hAnsi="Times New Roman" w:cs="Times New Roman"/>
          <w:sz w:val="28"/>
          <w:szCs w:val="28"/>
          <w:lang w:val="uk-UA"/>
        </w:rPr>
        <w:t xml:space="preserve"> </w:t>
      </w:r>
      <w:r w:rsidR="005F5638" w:rsidRPr="00F27E76">
        <w:rPr>
          <w:rFonts w:ascii="Times New Roman" w:hAnsi="Times New Roman" w:cs="Times New Roman"/>
          <w:sz w:val="28"/>
          <w:szCs w:val="28"/>
          <w:lang w:val="uk-UA"/>
        </w:rPr>
        <w:t>%).</w:t>
      </w:r>
      <w:r w:rsidR="005F5638" w:rsidRPr="00F27E76">
        <w:rPr>
          <w:lang w:val="uk-UA"/>
        </w:rPr>
        <w:t xml:space="preserve"> </w:t>
      </w:r>
      <w:r w:rsidR="002B4682" w:rsidRPr="00F27E76">
        <w:rPr>
          <w:rFonts w:ascii="Times New Roman" w:hAnsi="Times New Roman" w:cs="Times New Roman"/>
          <w:sz w:val="28"/>
          <w:szCs w:val="28"/>
          <w:lang w:val="uk-UA"/>
        </w:rPr>
        <w:t>Дані наведені на рис. 6</w:t>
      </w:r>
      <w:r w:rsidR="00A46F4C">
        <w:rPr>
          <w:rFonts w:ascii="Times New Roman" w:hAnsi="Times New Roman" w:cs="Times New Roman"/>
          <w:sz w:val="28"/>
          <w:szCs w:val="28"/>
          <w:lang w:val="uk-UA"/>
        </w:rPr>
        <w:t>.1.2</w:t>
      </w:r>
      <w:r w:rsidR="005F5638" w:rsidRPr="00F27E76">
        <w:rPr>
          <w:rFonts w:ascii="Times New Roman" w:hAnsi="Times New Roman" w:cs="Times New Roman"/>
          <w:sz w:val="28"/>
          <w:szCs w:val="28"/>
          <w:lang w:val="uk-UA"/>
        </w:rPr>
        <w:t>.</w:t>
      </w:r>
    </w:p>
    <w:p w:rsidR="005F5638" w:rsidRPr="005F5638" w:rsidRDefault="005F5638" w:rsidP="00136877">
      <w:pPr>
        <w:autoSpaceDE w:val="0"/>
        <w:autoSpaceDN w:val="0"/>
        <w:adjustRightInd w:val="0"/>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4816457" wp14:editId="32F3265D">
            <wp:extent cx="6039293" cy="4901609"/>
            <wp:effectExtent l="0" t="0" r="19050" b="133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45E69" w:rsidRDefault="00364708" w:rsidP="002942F7">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C65B1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46F4C">
        <w:rPr>
          <w:rFonts w:ascii="Times New Roman" w:hAnsi="Times New Roman" w:cs="Times New Roman"/>
          <w:sz w:val="28"/>
          <w:szCs w:val="28"/>
          <w:lang w:val="uk-UA"/>
        </w:rPr>
        <w:t>6.1.2</w:t>
      </w:r>
      <w:r w:rsidR="00E20542">
        <w:rPr>
          <w:rFonts w:ascii="Times New Roman" w:hAnsi="Times New Roman" w:cs="Times New Roman"/>
          <w:sz w:val="28"/>
          <w:szCs w:val="28"/>
          <w:lang w:val="uk-UA"/>
        </w:rPr>
        <w:t xml:space="preserve"> – Динам</w:t>
      </w:r>
      <w:r w:rsidR="00E20542">
        <w:rPr>
          <w:rFonts w:ascii="Times New Roman" w:hAnsi="Times New Roman" w:cs="Times New Roman"/>
          <w:sz w:val="28"/>
          <w:szCs w:val="28"/>
          <w:lang w:val="en-US"/>
        </w:rPr>
        <w:t>i</w:t>
      </w:r>
      <w:r w:rsidR="00E20542">
        <w:rPr>
          <w:rFonts w:ascii="Times New Roman" w:hAnsi="Times New Roman" w:cs="Times New Roman"/>
          <w:sz w:val="28"/>
          <w:szCs w:val="28"/>
          <w:lang w:val="uk-UA"/>
        </w:rPr>
        <w:t>ка показник</w:t>
      </w:r>
      <w:r w:rsidR="00E20542">
        <w:rPr>
          <w:rFonts w:ascii="Times New Roman" w:hAnsi="Times New Roman" w:cs="Times New Roman"/>
          <w:sz w:val="28"/>
          <w:szCs w:val="28"/>
          <w:lang w:val="en-US"/>
        </w:rPr>
        <w:t>i</w:t>
      </w:r>
      <w:r w:rsidR="00E20542">
        <w:rPr>
          <w:rFonts w:ascii="Times New Roman" w:hAnsi="Times New Roman" w:cs="Times New Roman"/>
          <w:sz w:val="28"/>
          <w:szCs w:val="28"/>
          <w:lang w:val="uk-UA"/>
        </w:rPr>
        <w:t>в л</w:t>
      </w:r>
      <w:r w:rsidR="00E20542">
        <w:rPr>
          <w:rFonts w:ascii="Times New Roman" w:hAnsi="Times New Roman" w:cs="Times New Roman"/>
          <w:sz w:val="28"/>
          <w:szCs w:val="28"/>
          <w:lang w:val="en-US"/>
        </w:rPr>
        <w:t>i</w:t>
      </w:r>
      <w:r w:rsidR="00E20542">
        <w:rPr>
          <w:rFonts w:ascii="Times New Roman" w:hAnsi="Times New Roman" w:cs="Times New Roman"/>
          <w:sz w:val="28"/>
          <w:szCs w:val="28"/>
          <w:lang w:val="uk-UA"/>
        </w:rPr>
        <w:t>п</w:t>
      </w:r>
      <w:r w:rsidR="00E20542">
        <w:rPr>
          <w:rFonts w:ascii="Times New Roman" w:hAnsi="Times New Roman" w:cs="Times New Roman"/>
          <w:sz w:val="28"/>
          <w:szCs w:val="28"/>
          <w:lang w:val="en-US"/>
        </w:rPr>
        <w:t>i</w:t>
      </w:r>
      <w:r w:rsidR="005F5638" w:rsidRPr="005F5638">
        <w:rPr>
          <w:rFonts w:ascii="Times New Roman" w:hAnsi="Times New Roman" w:cs="Times New Roman"/>
          <w:sz w:val="28"/>
          <w:szCs w:val="28"/>
          <w:lang w:val="uk-UA"/>
        </w:rPr>
        <w:t xml:space="preserve">дного </w:t>
      </w:r>
      <w:r>
        <w:rPr>
          <w:rFonts w:ascii="Times New Roman" w:hAnsi="Times New Roman" w:cs="Times New Roman"/>
          <w:sz w:val="28"/>
          <w:szCs w:val="28"/>
          <w:lang w:val="uk-UA"/>
        </w:rPr>
        <w:t>спектра</w:t>
      </w:r>
      <w:r w:rsidR="00E20542">
        <w:rPr>
          <w:rFonts w:ascii="Times New Roman" w:hAnsi="Times New Roman" w:cs="Times New Roman"/>
          <w:sz w:val="28"/>
          <w:szCs w:val="28"/>
          <w:lang w:val="uk-UA"/>
        </w:rPr>
        <w:t xml:space="preserve"> кров</w:t>
      </w:r>
      <w:r w:rsidR="00E20542">
        <w:rPr>
          <w:rFonts w:ascii="Times New Roman" w:hAnsi="Times New Roman" w:cs="Times New Roman"/>
          <w:sz w:val="28"/>
          <w:szCs w:val="28"/>
          <w:lang w:val="en-US"/>
        </w:rPr>
        <w:t>i</w:t>
      </w:r>
      <w:r w:rsidR="005F5638" w:rsidRPr="005F5638">
        <w:rPr>
          <w:rFonts w:ascii="Times New Roman" w:hAnsi="Times New Roman" w:cs="Times New Roman"/>
          <w:sz w:val="28"/>
          <w:szCs w:val="28"/>
          <w:lang w:val="uk-UA"/>
        </w:rPr>
        <w:t xml:space="preserve"> </w:t>
      </w:r>
    </w:p>
    <w:p w:rsidR="005F5638" w:rsidRDefault="00E20542" w:rsidP="002942F7">
      <w:pPr>
        <w:autoSpaceDE w:val="0"/>
        <w:autoSpaceDN w:val="0"/>
        <w:adjustRightInd w:val="0"/>
        <w:spacing w:after="0" w:line="36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en-US"/>
        </w:rPr>
        <w:t>i</w:t>
      </w:r>
      <w:r w:rsidR="005F5638" w:rsidRPr="005F5638">
        <w:rPr>
          <w:rFonts w:ascii="Times New Roman" w:hAnsi="Times New Roman" w:cs="Times New Roman"/>
          <w:sz w:val="28"/>
          <w:szCs w:val="28"/>
          <w:lang w:val="uk-UA"/>
        </w:rPr>
        <w:t>д впливом л</w:t>
      </w:r>
      <w:r>
        <w:rPr>
          <w:rFonts w:ascii="Times New Roman" w:hAnsi="Times New Roman" w:cs="Times New Roman"/>
          <w:sz w:val="28"/>
          <w:szCs w:val="28"/>
          <w:lang w:val="en-US"/>
        </w:rPr>
        <w:t>i</w:t>
      </w:r>
      <w:r w:rsidR="00364708">
        <w:rPr>
          <w:rFonts w:ascii="Times New Roman" w:hAnsi="Times New Roman" w:cs="Times New Roman"/>
          <w:sz w:val="28"/>
          <w:szCs w:val="28"/>
          <w:lang w:val="uk-UA"/>
        </w:rPr>
        <w:t xml:space="preserve">кування аторвастатином </w:t>
      </w:r>
      <w:r w:rsidR="004960F6">
        <w:rPr>
          <w:rFonts w:ascii="Times New Roman" w:hAnsi="Times New Roman" w:cs="Times New Roman"/>
          <w:sz w:val="28"/>
          <w:szCs w:val="28"/>
          <w:lang w:val="uk-UA"/>
        </w:rPr>
        <w:t xml:space="preserve">у хворих </w:t>
      </w:r>
      <w:r w:rsidR="005F5638">
        <w:rPr>
          <w:rFonts w:ascii="Times New Roman" w:hAnsi="Times New Roman" w:cs="Times New Roman"/>
          <w:sz w:val="28"/>
          <w:szCs w:val="28"/>
          <w:lang w:val="uk-UA"/>
        </w:rPr>
        <w:t>ІІ</w:t>
      </w:r>
      <w:r w:rsidR="005F5638" w:rsidRPr="005F5638">
        <w:rPr>
          <w:rFonts w:ascii="Times New Roman" w:hAnsi="Times New Roman" w:cs="Times New Roman"/>
          <w:sz w:val="28"/>
          <w:szCs w:val="28"/>
          <w:lang w:val="uk-UA"/>
        </w:rPr>
        <w:t xml:space="preserve"> групи</w:t>
      </w:r>
    </w:p>
    <w:p w:rsidR="005F5638" w:rsidRPr="003277CB" w:rsidRDefault="005F5638" w:rsidP="00023195">
      <w:pPr>
        <w:autoSpaceDE w:val="0"/>
        <w:autoSpaceDN w:val="0"/>
        <w:adjustRightInd w:val="0"/>
        <w:spacing w:after="0" w:line="360" w:lineRule="auto"/>
        <w:ind w:firstLine="708"/>
        <w:jc w:val="both"/>
        <w:rPr>
          <w:rFonts w:ascii="Times New Roman" w:hAnsi="Times New Roman" w:cs="Times New Roman"/>
          <w:sz w:val="28"/>
          <w:szCs w:val="28"/>
        </w:rPr>
      </w:pPr>
    </w:p>
    <w:p w:rsidR="00782F1C" w:rsidRPr="00782F1C" w:rsidRDefault="000879ED" w:rsidP="0002319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те, що </w:t>
      </w:r>
      <w:r w:rsidR="00656188">
        <w:rPr>
          <w:rFonts w:ascii="Times New Roman" w:hAnsi="Times New Roman" w:cs="Times New Roman"/>
          <w:sz w:val="28"/>
          <w:szCs w:val="28"/>
          <w:lang w:val="uk-UA"/>
        </w:rPr>
        <w:t xml:space="preserve">аторвастатин </w:t>
      </w:r>
      <w:r w:rsidR="00347EE4">
        <w:rPr>
          <w:rFonts w:ascii="Times New Roman" w:hAnsi="Times New Roman" w:cs="Times New Roman"/>
          <w:sz w:val="28"/>
          <w:szCs w:val="28"/>
          <w:lang w:val="uk-UA"/>
        </w:rPr>
        <w:t xml:space="preserve">дозою </w:t>
      </w:r>
      <w:r w:rsidR="00656188">
        <w:rPr>
          <w:rFonts w:ascii="Times New Roman" w:hAnsi="Times New Roman" w:cs="Times New Roman"/>
          <w:sz w:val="28"/>
          <w:szCs w:val="28"/>
          <w:lang w:val="uk-UA"/>
        </w:rPr>
        <w:t>10−</w:t>
      </w:r>
      <w:r w:rsidR="00BD3B8D" w:rsidRPr="00BD3B8D">
        <w:rPr>
          <w:rFonts w:ascii="Times New Roman" w:hAnsi="Times New Roman" w:cs="Times New Roman"/>
          <w:sz w:val="28"/>
          <w:szCs w:val="28"/>
          <w:lang w:val="uk-UA"/>
        </w:rPr>
        <w:t>20−</w:t>
      </w:r>
      <w:r w:rsidR="00FF0CD1">
        <w:rPr>
          <w:rFonts w:ascii="Times New Roman" w:hAnsi="Times New Roman" w:cs="Times New Roman"/>
          <w:sz w:val="28"/>
          <w:szCs w:val="28"/>
          <w:lang w:val="uk-UA"/>
        </w:rPr>
        <w:t>4</w:t>
      </w:r>
      <w:r w:rsidR="00E06559">
        <w:rPr>
          <w:rFonts w:ascii="Times New Roman" w:hAnsi="Times New Roman" w:cs="Times New Roman"/>
          <w:sz w:val="28"/>
          <w:szCs w:val="28"/>
          <w:lang w:val="uk-UA"/>
        </w:rPr>
        <w:t>0 мг/добу</w:t>
      </w:r>
      <w:r w:rsidR="00347EE4">
        <w:rPr>
          <w:rFonts w:ascii="Times New Roman" w:hAnsi="Times New Roman" w:cs="Times New Roman"/>
          <w:sz w:val="28"/>
          <w:szCs w:val="28"/>
          <w:lang w:val="uk-UA"/>
        </w:rPr>
        <w:t xml:space="preserve"> </w:t>
      </w:r>
      <w:r w:rsidRPr="000879ED">
        <w:rPr>
          <w:rFonts w:ascii="Times New Roman" w:hAnsi="Times New Roman" w:cs="Times New Roman"/>
          <w:sz w:val="28"/>
          <w:szCs w:val="28"/>
          <w:lang w:val="uk-UA"/>
        </w:rPr>
        <w:t>сприяє зниженню атерогенних та пiдвищенню антиатерогенних ліпопротеїдів</w:t>
      </w:r>
      <w:r>
        <w:rPr>
          <w:rFonts w:ascii="Times New Roman" w:hAnsi="Times New Roman" w:cs="Times New Roman"/>
          <w:sz w:val="28"/>
          <w:szCs w:val="28"/>
          <w:lang w:val="uk-UA"/>
        </w:rPr>
        <w:t xml:space="preserve">, його </w:t>
      </w:r>
      <w:r w:rsidRPr="000879ED">
        <w:rPr>
          <w:rFonts w:ascii="Times New Roman" w:hAnsi="Times New Roman" w:cs="Times New Roman"/>
          <w:sz w:val="28"/>
          <w:szCs w:val="28"/>
          <w:lang w:val="uk-UA"/>
        </w:rPr>
        <w:t xml:space="preserve">рекомендовано застосовувати для корекцiї дислiпiдемiї та вторинної </w:t>
      </w:r>
      <w:r w:rsidRPr="000879ED">
        <w:rPr>
          <w:rFonts w:ascii="Times New Roman" w:hAnsi="Times New Roman" w:cs="Times New Roman"/>
          <w:sz w:val="28"/>
          <w:szCs w:val="28"/>
          <w:lang w:val="uk-UA"/>
        </w:rPr>
        <w:lastRenderedPageBreak/>
        <w:t xml:space="preserve">профiлактики ССУ у пацієнтів із АГ та супутнім ЦД 2-го типу </w:t>
      </w:r>
      <w:r w:rsidR="0024328C">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 xml:space="preserve">із урахуванням відповіді </w:t>
      </w:r>
      <w:r w:rsidR="00D90A86">
        <w:rPr>
          <w:rFonts w:ascii="Times New Roman" w:hAnsi="Times New Roman" w:cs="Times New Roman"/>
          <w:sz w:val="28"/>
          <w:szCs w:val="28"/>
          <w:lang w:val="uk-UA"/>
        </w:rPr>
        <w:t xml:space="preserve">хворого </w:t>
      </w:r>
      <w:r w:rsidR="00347EE4">
        <w:rPr>
          <w:rFonts w:ascii="Times New Roman" w:hAnsi="Times New Roman" w:cs="Times New Roman"/>
          <w:sz w:val="28"/>
          <w:szCs w:val="28"/>
          <w:lang w:val="uk-UA"/>
        </w:rPr>
        <w:t>на зазначений препарат</w:t>
      </w:r>
      <w:r>
        <w:rPr>
          <w:rFonts w:ascii="Times New Roman" w:hAnsi="Times New Roman" w:cs="Times New Roman"/>
          <w:sz w:val="28"/>
          <w:szCs w:val="28"/>
          <w:lang w:val="uk-UA"/>
        </w:rPr>
        <w:t xml:space="preserve">. </w:t>
      </w:r>
      <w:r w:rsidR="00347EE4">
        <w:rPr>
          <w:rFonts w:ascii="Times New Roman" w:hAnsi="Times New Roman" w:cs="Times New Roman"/>
          <w:sz w:val="28"/>
          <w:szCs w:val="28"/>
          <w:lang w:val="uk-UA"/>
        </w:rPr>
        <w:t>П</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д впливом л</w:t>
      </w:r>
      <w:r w:rsidR="005651B0">
        <w:rPr>
          <w:rFonts w:ascii="Times New Roman" w:hAnsi="Times New Roman" w:cs="Times New Roman"/>
          <w:sz w:val="28"/>
          <w:szCs w:val="28"/>
          <w:lang w:val="en-US"/>
        </w:rPr>
        <w:t>i</w:t>
      </w:r>
      <w:r w:rsidR="00782F1C">
        <w:rPr>
          <w:rFonts w:ascii="Times New Roman" w:hAnsi="Times New Roman" w:cs="Times New Roman"/>
          <w:sz w:val="28"/>
          <w:szCs w:val="28"/>
          <w:lang w:val="uk-UA"/>
        </w:rPr>
        <w:t>кування аторваст</w:t>
      </w:r>
      <w:r w:rsidR="00656188">
        <w:rPr>
          <w:rFonts w:ascii="Times New Roman" w:hAnsi="Times New Roman" w:cs="Times New Roman"/>
          <w:sz w:val="28"/>
          <w:szCs w:val="28"/>
          <w:lang w:val="uk-UA"/>
        </w:rPr>
        <w:t>атином у</w:t>
      </w:r>
      <w:r w:rsidR="005651B0">
        <w:rPr>
          <w:rFonts w:ascii="Times New Roman" w:hAnsi="Times New Roman" w:cs="Times New Roman"/>
          <w:sz w:val="28"/>
          <w:szCs w:val="28"/>
          <w:lang w:val="uk-UA"/>
        </w:rPr>
        <w:t>далося досягти ц</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льового р</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вня показник</w:t>
      </w:r>
      <w:r w:rsidR="005651B0">
        <w:rPr>
          <w:rFonts w:ascii="Times New Roman" w:hAnsi="Times New Roman" w:cs="Times New Roman"/>
          <w:sz w:val="28"/>
          <w:szCs w:val="28"/>
          <w:lang w:val="en-US"/>
        </w:rPr>
        <w:t>i</w:t>
      </w:r>
      <w:r w:rsidR="00782F1C">
        <w:rPr>
          <w:rFonts w:ascii="Times New Roman" w:hAnsi="Times New Roman" w:cs="Times New Roman"/>
          <w:sz w:val="28"/>
          <w:szCs w:val="28"/>
          <w:lang w:val="uk-UA"/>
        </w:rPr>
        <w:t xml:space="preserve">в </w:t>
      </w:r>
      <w:r w:rsidR="005651B0">
        <w:rPr>
          <w:rFonts w:ascii="Times New Roman" w:hAnsi="Times New Roman" w:cs="Times New Roman"/>
          <w:sz w:val="28"/>
          <w:szCs w:val="28"/>
          <w:lang w:val="uk-UA"/>
        </w:rPr>
        <w:t>л</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п</w:t>
      </w:r>
      <w:r w:rsidR="005651B0">
        <w:rPr>
          <w:rFonts w:ascii="Times New Roman" w:hAnsi="Times New Roman" w:cs="Times New Roman"/>
          <w:sz w:val="28"/>
          <w:szCs w:val="28"/>
          <w:lang w:val="en-US"/>
        </w:rPr>
        <w:t>i</w:t>
      </w:r>
      <w:r w:rsidR="00FF0CD1">
        <w:rPr>
          <w:rFonts w:ascii="Times New Roman" w:hAnsi="Times New Roman" w:cs="Times New Roman"/>
          <w:sz w:val="28"/>
          <w:szCs w:val="28"/>
          <w:lang w:val="uk-UA"/>
        </w:rPr>
        <w:t>дн</w:t>
      </w:r>
      <w:r w:rsidR="005651B0">
        <w:rPr>
          <w:rFonts w:ascii="Times New Roman" w:hAnsi="Times New Roman" w:cs="Times New Roman"/>
          <w:sz w:val="28"/>
          <w:szCs w:val="28"/>
          <w:lang w:val="uk-UA"/>
        </w:rPr>
        <w:t>ого спектра кров</w:t>
      </w:r>
      <w:r w:rsidR="005651B0">
        <w:rPr>
          <w:rFonts w:ascii="Times New Roman" w:hAnsi="Times New Roman" w:cs="Times New Roman"/>
          <w:sz w:val="28"/>
          <w:szCs w:val="28"/>
          <w:lang w:val="en-US"/>
        </w:rPr>
        <w:t>i</w:t>
      </w:r>
      <w:r w:rsidR="00FF0CD1">
        <w:rPr>
          <w:rFonts w:ascii="Times New Roman" w:hAnsi="Times New Roman" w:cs="Times New Roman"/>
          <w:sz w:val="28"/>
          <w:szCs w:val="28"/>
          <w:lang w:val="uk-UA"/>
        </w:rPr>
        <w:t xml:space="preserve"> у значної</w:t>
      </w:r>
      <w:r w:rsidR="005651B0">
        <w:rPr>
          <w:rFonts w:ascii="Times New Roman" w:hAnsi="Times New Roman" w:cs="Times New Roman"/>
          <w:sz w:val="28"/>
          <w:szCs w:val="28"/>
          <w:lang w:val="uk-UA"/>
        </w:rPr>
        <w:t xml:space="preserve"> частини пац</w:t>
      </w:r>
      <w:r w:rsidR="005651B0">
        <w:rPr>
          <w:rFonts w:ascii="Times New Roman" w:hAnsi="Times New Roman" w:cs="Times New Roman"/>
          <w:sz w:val="28"/>
          <w:szCs w:val="28"/>
          <w:lang w:val="en-US"/>
        </w:rPr>
        <w:t>i</w:t>
      </w:r>
      <w:r w:rsidR="00782F1C">
        <w:rPr>
          <w:rFonts w:ascii="Times New Roman" w:hAnsi="Times New Roman" w:cs="Times New Roman"/>
          <w:sz w:val="28"/>
          <w:szCs w:val="28"/>
          <w:lang w:val="uk-UA"/>
        </w:rPr>
        <w:t>єнтів.</w:t>
      </w:r>
    </w:p>
    <w:p w:rsidR="008C64D5" w:rsidRPr="00942EFF" w:rsidRDefault="008C64D5" w:rsidP="00023195">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D61083" w:rsidRPr="00210218" w:rsidRDefault="002B4682" w:rsidP="00210218">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FF4AD2">
        <w:rPr>
          <w:rFonts w:ascii="Times New Roman" w:hAnsi="Times New Roman" w:cs="Times New Roman"/>
          <w:b/>
          <w:sz w:val="28"/>
          <w:szCs w:val="28"/>
          <w:lang w:val="uk-UA"/>
        </w:rPr>
        <w:t>.2</w:t>
      </w:r>
      <w:r w:rsidR="008E3D76">
        <w:rPr>
          <w:rFonts w:ascii="Times New Roman" w:hAnsi="Times New Roman" w:cs="Times New Roman"/>
          <w:b/>
          <w:sz w:val="28"/>
          <w:szCs w:val="28"/>
          <w:lang w:val="uk-UA"/>
        </w:rPr>
        <w:t>.</w:t>
      </w:r>
      <w:r w:rsidR="00E06559">
        <w:rPr>
          <w:rFonts w:ascii="Times New Roman" w:hAnsi="Times New Roman" w:cs="Times New Roman"/>
          <w:b/>
          <w:sz w:val="28"/>
          <w:szCs w:val="28"/>
          <w:lang w:val="uk-UA"/>
        </w:rPr>
        <w:t xml:space="preserve"> Пор</w:t>
      </w:r>
      <w:r w:rsidR="00E06559">
        <w:rPr>
          <w:rFonts w:ascii="Times New Roman" w:hAnsi="Times New Roman" w:cs="Times New Roman"/>
          <w:b/>
          <w:sz w:val="28"/>
          <w:szCs w:val="28"/>
          <w:lang w:val="en-US"/>
        </w:rPr>
        <w:t>i</w:t>
      </w:r>
      <w:r w:rsidR="00E06559">
        <w:rPr>
          <w:rFonts w:ascii="Times New Roman" w:hAnsi="Times New Roman" w:cs="Times New Roman"/>
          <w:b/>
          <w:sz w:val="28"/>
          <w:szCs w:val="28"/>
          <w:lang w:val="uk-UA"/>
        </w:rPr>
        <w:t>вняльна ефективн</w:t>
      </w:r>
      <w:r w:rsidR="00E06559">
        <w:rPr>
          <w:rFonts w:ascii="Times New Roman" w:hAnsi="Times New Roman" w:cs="Times New Roman"/>
          <w:b/>
          <w:sz w:val="28"/>
          <w:szCs w:val="28"/>
          <w:lang w:val="en-US"/>
        </w:rPr>
        <w:t>i</w:t>
      </w:r>
      <w:r w:rsidR="00EA1BA5">
        <w:rPr>
          <w:rFonts w:ascii="Times New Roman" w:hAnsi="Times New Roman" w:cs="Times New Roman"/>
          <w:b/>
          <w:sz w:val="28"/>
          <w:szCs w:val="28"/>
          <w:lang w:val="uk-UA"/>
        </w:rPr>
        <w:t xml:space="preserve">сть </w:t>
      </w:r>
      <w:r w:rsidR="00E706EF">
        <w:rPr>
          <w:rFonts w:ascii="Times New Roman" w:hAnsi="Times New Roman" w:cs="Times New Roman"/>
          <w:b/>
          <w:sz w:val="28"/>
          <w:szCs w:val="28"/>
          <w:lang w:val="uk-UA"/>
        </w:rPr>
        <w:t xml:space="preserve">органопротекторної </w:t>
      </w:r>
      <w:r w:rsidR="00E06559">
        <w:rPr>
          <w:rFonts w:ascii="Times New Roman" w:hAnsi="Times New Roman" w:cs="Times New Roman"/>
          <w:b/>
          <w:sz w:val="28"/>
          <w:szCs w:val="28"/>
          <w:lang w:val="uk-UA"/>
        </w:rPr>
        <w:t>д</w:t>
      </w:r>
      <w:r w:rsidR="00E06559">
        <w:rPr>
          <w:rFonts w:ascii="Times New Roman" w:hAnsi="Times New Roman" w:cs="Times New Roman"/>
          <w:b/>
          <w:sz w:val="28"/>
          <w:szCs w:val="28"/>
          <w:lang w:val="en-US"/>
        </w:rPr>
        <w:t>i</w:t>
      </w:r>
      <w:r w:rsidR="00E06559">
        <w:rPr>
          <w:rFonts w:ascii="Times New Roman" w:hAnsi="Times New Roman" w:cs="Times New Roman"/>
          <w:b/>
          <w:sz w:val="28"/>
          <w:szCs w:val="28"/>
          <w:lang w:val="uk-UA"/>
        </w:rPr>
        <w:t>ї телмісартану та л</w:t>
      </w:r>
      <w:r w:rsidR="00E06559">
        <w:rPr>
          <w:rFonts w:ascii="Times New Roman" w:hAnsi="Times New Roman" w:cs="Times New Roman"/>
          <w:b/>
          <w:sz w:val="28"/>
          <w:szCs w:val="28"/>
          <w:lang w:val="en-US"/>
        </w:rPr>
        <w:t>i</w:t>
      </w:r>
      <w:r w:rsidR="00EA1BA5">
        <w:rPr>
          <w:rFonts w:ascii="Times New Roman" w:hAnsi="Times New Roman" w:cs="Times New Roman"/>
          <w:b/>
          <w:sz w:val="28"/>
          <w:szCs w:val="28"/>
          <w:lang w:val="uk-UA"/>
        </w:rPr>
        <w:t>зиноприлу</w:t>
      </w:r>
    </w:p>
    <w:p w:rsidR="008C64D5" w:rsidRDefault="005651B0" w:rsidP="00E40CE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Антиг</w:t>
      </w:r>
      <w:r>
        <w:rPr>
          <w:rFonts w:ascii="Times New Roman" w:hAnsi="Times New Roman" w:cs="Times New Roman"/>
          <w:sz w:val="28"/>
          <w:szCs w:val="28"/>
          <w:lang w:val="en-US"/>
        </w:rPr>
        <w:t>i</w:t>
      </w:r>
      <w:r>
        <w:rPr>
          <w:rFonts w:ascii="Times New Roman" w:hAnsi="Times New Roman" w:cs="Times New Roman"/>
          <w:sz w:val="28"/>
          <w:szCs w:val="28"/>
          <w:lang w:val="uk-UA"/>
        </w:rPr>
        <w:t>пертензивна терап</w:t>
      </w:r>
      <w:r>
        <w:rPr>
          <w:rFonts w:ascii="Times New Roman" w:hAnsi="Times New Roman" w:cs="Times New Roman"/>
          <w:sz w:val="28"/>
          <w:szCs w:val="28"/>
          <w:lang w:val="en-US"/>
        </w:rPr>
        <w:t>i</w:t>
      </w:r>
      <w:r w:rsidR="00D90A86">
        <w:rPr>
          <w:rFonts w:ascii="Times New Roman" w:hAnsi="Times New Roman" w:cs="Times New Roman"/>
          <w:sz w:val="28"/>
          <w:szCs w:val="28"/>
          <w:lang w:val="uk-UA"/>
        </w:rPr>
        <w:t>я у хворих на</w:t>
      </w:r>
      <w:r w:rsidR="008C64D5" w:rsidRPr="008C64D5">
        <w:rPr>
          <w:rFonts w:ascii="Times New Roman" w:hAnsi="Times New Roman" w:cs="Times New Roman"/>
          <w:sz w:val="28"/>
          <w:szCs w:val="28"/>
          <w:lang w:val="uk-UA"/>
        </w:rPr>
        <w:t xml:space="preserve"> ЦД</w:t>
      </w:r>
      <w:r w:rsidR="008C64D5">
        <w:rPr>
          <w:rFonts w:ascii="Times New Roman" w:hAnsi="Times New Roman" w:cs="Times New Roman"/>
          <w:sz w:val="28"/>
          <w:szCs w:val="28"/>
          <w:lang w:val="uk-UA"/>
        </w:rPr>
        <w:t xml:space="preserve"> </w:t>
      </w:r>
      <w:r w:rsidR="008C64D5" w:rsidRPr="008C64D5">
        <w:rPr>
          <w:rFonts w:ascii="Times New Roman" w:hAnsi="Times New Roman" w:cs="Times New Roman"/>
          <w:sz w:val="28"/>
          <w:szCs w:val="28"/>
          <w:lang w:val="uk-UA"/>
        </w:rPr>
        <w:t xml:space="preserve">не повинна </w:t>
      </w:r>
      <w:r w:rsidR="00656188">
        <w:rPr>
          <w:rFonts w:ascii="Times New Roman" w:hAnsi="Times New Roman" w:cs="Times New Roman"/>
          <w:sz w:val="28"/>
          <w:szCs w:val="28"/>
          <w:lang w:val="uk-UA"/>
        </w:rPr>
        <w:t>обмежуватися</w:t>
      </w:r>
      <w:r w:rsidR="00500F70">
        <w:rPr>
          <w:rFonts w:ascii="Times New Roman" w:hAnsi="Times New Roman" w:cs="Times New Roman"/>
          <w:sz w:val="28"/>
          <w:szCs w:val="28"/>
          <w:lang w:val="uk-UA"/>
        </w:rPr>
        <w:t xml:space="preserve"> лише корекц</w:t>
      </w:r>
      <w:r w:rsidR="00500F70">
        <w:rPr>
          <w:rFonts w:ascii="Times New Roman" w:hAnsi="Times New Roman" w:cs="Times New Roman"/>
          <w:sz w:val="28"/>
          <w:szCs w:val="28"/>
          <w:lang w:val="en-US"/>
        </w:rPr>
        <w:t>i</w:t>
      </w:r>
      <w:r w:rsidR="008C64D5">
        <w:rPr>
          <w:rFonts w:ascii="Times New Roman" w:hAnsi="Times New Roman" w:cs="Times New Roman"/>
          <w:sz w:val="28"/>
          <w:szCs w:val="28"/>
          <w:lang w:val="uk-UA"/>
        </w:rPr>
        <w:t xml:space="preserve">єю АТ, </w:t>
      </w:r>
      <w:r w:rsidR="00656188">
        <w:rPr>
          <w:rFonts w:ascii="Times New Roman" w:hAnsi="Times New Roman" w:cs="Times New Roman"/>
          <w:sz w:val="28"/>
          <w:szCs w:val="28"/>
          <w:lang w:val="uk-UA"/>
        </w:rPr>
        <w:t>а</w:t>
      </w:r>
      <w:r>
        <w:rPr>
          <w:rFonts w:ascii="Times New Roman" w:hAnsi="Times New Roman" w:cs="Times New Roman"/>
          <w:sz w:val="28"/>
          <w:szCs w:val="28"/>
          <w:lang w:val="uk-UA"/>
        </w:rPr>
        <w:t xml:space="preserve"> й мати органопротекторну д</w:t>
      </w:r>
      <w:r>
        <w:rPr>
          <w:rFonts w:ascii="Times New Roman" w:hAnsi="Times New Roman" w:cs="Times New Roman"/>
          <w:sz w:val="28"/>
          <w:szCs w:val="28"/>
          <w:lang w:val="en-US"/>
        </w:rPr>
        <w:t>i</w:t>
      </w:r>
      <w:r w:rsidR="008C64D5" w:rsidRPr="008C64D5">
        <w:rPr>
          <w:rFonts w:ascii="Times New Roman" w:hAnsi="Times New Roman" w:cs="Times New Roman"/>
          <w:sz w:val="28"/>
          <w:szCs w:val="28"/>
          <w:lang w:val="uk-UA"/>
        </w:rPr>
        <w:t xml:space="preserve">ю. </w:t>
      </w:r>
      <w:r w:rsidR="00D90A86">
        <w:rPr>
          <w:rFonts w:ascii="Times New Roman" w:hAnsi="Times New Roman" w:cs="Times New Roman"/>
          <w:sz w:val="28"/>
          <w:szCs w:val="28"/>
          <w:lang w:val="uk-UA"/>
        </w:rPr>
        <w:t>П</w:t>
      </w:r>
      <w:r>
        <w:rPr>
          <w:rFonts w:ascii="Times New Roman" w:hAnsi="Times New Roman" w:cs="Times New Roman"/>
          <w:sz w:val="28"/>
          <w:szCs w:val="28"/>
          <w:lang w:val="uk-UA"/>
        </w:rPr>
        <w:t xml:space="preserve">озитивний вплив </w:t>
      </w:r>
      <w:r w:rsidR="004253F7">
        <w:rPr>
          <w:rFonts w:ascii="Times New Roman" w:hAnsi="Times New Roman" w:cs="Times New Roman"/>
          <w:sz w:val="28"/>
          <w:szCs w:val="28"/>
          <w:lang w:val="uk-UA"/>
        </w:rPr>
        <w:t xml:space="preserve">     </w:t>
      </w:r>
      <w:r>
        <w:rPr>
          <w:rFonts w:ascii="Times New Roman" w:hAnsi="Times New Roman" w:cs="Times New Roman"/>
          <w:sz w:val="28"/>
          <w:szCs w:val="28"/>
          <w:lang w:val="uk-UA"/>
        </w:rPr>
        <w:t>на метабол</w:t>
      </w:r>
      <w:r>
        <w:rPr>
          <w:rFonts w:ascii="Times New Roman" w:hAnsi="Times New Roman" w:cs="Times New Roman"/>
          <w:sz w:val="28"/>
          <w:szCs w:val="28"/>
          <w:lang w:val="en-US"/>
        </w:rPr>
        <w:t>i</w:t>
      </w:r>
      <w:r w:rsidR="008C64D5">
        <w:rPr>
          <w:rFonts w:ascii="Times New Roman" w:hAnsi="Times New Roman" w:cs="Times New Roman"/>
          <w:sz w:val="28"/>
          <w:szCs w:val="28"/>
          <w:lang w:val="uk-UA"/>
        </w:rPr>
        <w:t>ч</w:t>
      </w:r>
      <w:r w:rsidR="00656188">
        <w:rPr>
          <w:rFonts w:ascii="Times New Roman" w:hAnsi="Times New Roman" w:cs="Times New Roman"/>
          <w:sz w:val="28"/>
          <w:szCs w:val="28"/>
          <w:lang w:val="uk-UA"/>
        </w:rPr>
        <w:t>ні чинники і</w:t>
      </w:r>
      <w:r w:rsidR="008C64D5" w:rsidRPr="008C64D5">
        <w:rPr>
          <w:rFonts w:ascii="Times New Roman" w:hAnsi="Times New Roman" w:cs="Times New Roman"/>
          <w:sz w:val="28"/>
          <w:szCs w:val="28"/>
          <w:lang w:val="uk-UA"/>
        </w:rPr>
        <w:t xml:space="preserve"> в</w:t>
      </w:r>
      <w:r>
        <w:rPr>
          <w:rFonts w:ascii="Times New Roman" w:hAnsi="Times New Roman" w:cs="Times New Roman"/>
          <w:sz w:val="28"/>
          <w:szCs w:val="28"/>
          <w:lang w:val="en-US"/>
        </w:rPr>
        <w:t>i</w:t>
      </w:r>
      <w:r w:rsidR="00656188">
        <w:rPr>
          <w:rFonts w:ascii="Times New Roman" w:hAnsi="Times New Roman" w:cs="Times New Roman"/>
          <w:sz w:val="28"/>
          <w:szCs w:val="28"/>
          <w:lang w:val="uk-UA"/>
        </w:rPr>
        <w:t>дповідно</w:t>
      </w:r>
      <w:r w:rsidR="00500F70">
        <w:rPr>
          <w:rFonts w:ascii="Times New Roman" w:hAnsi="Times New Roman" w:cs="Times New Roman"/>
          <w:sz w:val="28"/>
          <w:szCs w:val="28"/>
          <w:lang w:val="uk-UA"/>
        </w:rPr>
        <w:t xml:space="preserve"> додатков</w:t>
      </w:r>
      <w:r w:rsidR="00500F70">
        <w:rPr>
          <w:rFonts w:ascii="Times New Roman" w:hAnsi="Times New Roman" w:cs="Times New Roman"/>
          <w:sz w:val="28"/>
          <w:szCs w:val="28"/>
          <w:lang w:val="en-US"/>
        </w:rPr>
        <w:t>i</w:t>
      </w:r>
      <w:r w:rsidR="00500F70">
        <w:rPr>
          <w:rFonts w:ascii="Times New Roman" w:hAnsi="Times New Roman" w:cs="Times New Roman"/>
          <w:sz w:val="28"/>
          <w:szCs w:val="28"/>
          <w:lang w:val="uk-UA"/>
        </w:rPr>
        <w:t xml:space="preserve"> можливост</w:t>
      </w:r>
      <w:r w:rsidR="00500F70">
        <w:rPr>
          <w:rFonts w:ascii="Times New Roman" w:hAnsi="Times New Roman" w:cs="Times New Roman"/>
          <w:sz w:val="28"/>
          <w:szCs w:val="28"/>
          <w:lang w:val="en-US"/>
        </w:rPr>
        <w:t>i</w:t>
      </w:r>
      <w:r w:rsidR="008C64D5">
        <w:rPr>
          <w:rFonts w:ascii="Times New Roman" w:hAnsi="Times New Roman" w:cs="Times New Roman"/>
          <w:sz w:val="28"/>
          <w:szCs w:val="28"/>
          <w:lang w:val="uk-UA"/>
        </w:rPr>
        <w:t xml:space="preserve"> </w:t>
      </w:r>
      <w:r w:rsidR="00500F70">
        <w:rPr>
          <w:rFonts w:ascii="Times New Roman" w:hAnsi="Times New Roman" w:cs="Times New Roman"/>
          <w:sz w:val="28"/>
          <w:szCs w:val="28"/>
          <w:lang w:val="uk-UA"/>
        </w:rPr>
        <w:t>л</w:t>
      </w:r>
      <w:r w:rsidR="00500F70">
        <w:rPr>
          <w:rFonts w:ascii="Times New Roman" w:hAnsi="Times New Roman" w:cs="Times New Roman"/>
          <w:sz w:val="28"/>
          <w:szCs w:val="28"/>
          <w:lang w:val="en-US"/>
        </w:rPr>
        <w:t>i</w:t>
      </w:r>
      <w:r w:rsidR="008C64D5" w:rsidRPr="008C64D5">
        <w:rPr>
          <w:rFonts w:ascii="Times New Roman" w:hAnsi="Times New Roman" w:cs="Times New Roman"/>
          <w:sz w:val="28"/>
          <w:szCs w:val="28"/>
          <w:lang w:val="uk-UA"/>
        </w:rPr>
        <w:t>кування та</w:t>
      </w:r>
      <w:r w:rsidR="00500F70">
        <w:rPr>
          <w:rFonts w:ascii="Times New Roman" w:hAnsi="Times New Roman" w:cs="Times New Roman"/>
          <w:sz w:val="28"/>
          <w:szCs w:val="28"/>
          <w:lang w:val="uk-UA"/>
        </w:rPr>
        <w:t>/або попередження метабол</w:t>
      </w:r>
      <w:r w:rsidR="00500F70">
        <w:rPr>
          <w:rFonts w:ascii="Times New Roman" w:hAnsi="Times New Roman" w:cs="Times New Roman"/>
          <w:sz w:val="28"/>
          <w:szCs w:val="28"/>
          <w:lang w:val="en-US"/>
        </w:rPr>
        <w:t>i</w:t>
      </w:r>
      <w:r w:rsidR="008C64D5">
        <w:rPr>
          <w:rFonts w:ascii="Times New Roman" w:hAnsi="Times New Roman" w:cs="Times New Roman"/>
          <w:sz w:val="28"/>
          <w:szCs w:val="28"/>
          <w:lang w:val="uk-UA"/>
        </w:rPr>
        <w:t xml:space="preserve">чного </w:t>
      </w:r>
      <w:r w:rsidR="008C64D5" w:rsidRPr="008C64D5">
        <w:rPr>
          <w:rFonts w:ascii="Times New Roman" w:hAnsi="Times New Roman" w:cs="Times New Roman"/>
          <w:sz w:val="28"/>
          <w:szCs w:val="28"/>
          <w:lang w:val="uk-UA"/>
        </w:rPr>
        <w:t>синдрому і ЦД</w:t>
      </w:r>
      <w:r w:rsidR="004253F7">
        <w:rPr>
          <w:rFonts w:ascii="Times New Roman" w:hAnsi="Times New Roman" w:cs="Times New Roman"/>
          <w:sz w:val="28"/>
          <w:szCs w:val="28"/>
          <w:lang w:val="uk-UA"/>
        </w:rPr>
        <w:t xml:space="preserve"> було доведено</w:t>
      </w:r>
      <w:r w:rsidR="0024328C">
        <w:rPr>
          <w:rFonts w:ascii="Times New Roman" w:hAnsi="Times New Roman" w:cs="Times New Roman"/>
          <w:sz w:val="28"/>
          <w:szCs w:val="28"/>
          <w:lang w:val="uk-UA"/>
        </w:rPr>
        <w:t xml:space="preserve">                             </w:t>
      </w:r>
      <w:r w:rsidR="004253F7">
        <w:rPr>
          <w:rFonts w:ascii="Times New Roman" w:hAnsi="Times New Roman" w:cs="Times New Roman"/>
          <w:sz w:val="28"/>
          <w:szCs w:val="28"/>
          <w:lang w:val="uk-UA"/>
        </w:rPr>
        <w:t xml:space="preserve"> </w:t>
      </w:r>
      <w:r w:rsidR="00D90A86">
        <w:rPr>
          <w:rFonts w:ascii="Times New Roman" w:hAnsi="Times New Roman" w:cs="Times New Roman"/>
          <w:sz w:val="28"/>
          <w:szCs w:val="28"/>
          <w:lang w:val="uk-UA"/>
        </w:rPr>
        <w:t xml:space="preserve">у </w:t>
      </w:r>
      <w:r w:rsidR="00D90A86" w:rsidRPr="00D90A86">
        <w:rPr>
          <w:rFonts w:ascii="Times New Roman" w:hAnsi="Times New Roman" w:cs="Times New Roman"/>
          <w:sz w:val="28"/>
          <w:szCs w:val="28"/>
          <w:lang w:val="uk-UA"/>
        </w:rPr>
        <w:t>антигiпертензивних засобiв класів БРА та іАПФ</w:t>
      </w:r>
      <w:r w:rsidR="008C64D5">
        <w:rPr>
          <w:rFonts w:ascii="Times New Roman" w:hAnsi="Times New Roman" w:cs="Times New Roman"/>
          <w:sz w:val="28"/>
          <w:szCs w:val="28"/>
          <w:lang w:val="uk-UA"/>
        </w:rPr>
        <w:t xml:space="preserve"> </w:t>
      </w:r>
      <w:r w:rsidR="008C64D5" w:rsidRPr="008C64D5">
        <w:rPr>
          <w:rFonts w:ascii="Times New Roman" w:hAnsi="Times New Roman" w:cs="Times New Roman"/>
          <w:sz w:val="28"/>
          <w:szCs w:val="28"/>
          <w:lang w:val="uk-UA"/>
        </w:rPr>
        <w:t>[</w:t>
      </w:r>
      <w:r w:rsidR="005C5DB7">
        <w:rPr>
          <w:rFonts w:ascii="Times New Roman" w:hAnsi="Times New Roman" w:cs="Times New Roman"/>
          <w:sz w:val="28"/>
          <w:szCs w:val="28"/>
          <w:lang w:val="uk-UA"/>
        </w:rPr>
        <w:t>7</w:t>
      </w:r>
      <w:r w:rsidR="008C64D5" w:rsidRPr="008C64D5">
        <w:rPr>
          <w:rFonts w:ascii="Times New Roman" w:hAnsi="Times New Roman" w:cs="Times New Roman"/>
          <w:sz w:val="28"/>
          <w:szCs w:val="28"/>
          <w:lang w:val="uk-UA"/>
        </w:rPr>
        <w:t>].</w:t>
      </w:r>
    </w:p>
    <w:p w:rsidR="00FF4AD2" w:rsidRPr="00D02A9E" w:rsidRDefault="005F1E32" w:rsidP="00892D3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w:t>
      </w:r>
      <w:r w:rsidR="005651B0">
        <w:rPr>
          <w:rFonts w:ascii="Times New Roman" w:hAnsi="Times New Roman" w:cs="Times New Roman"/>
          <w:sz w:val="28"/>
          <w:szCs w:val="28"/>
          <w:lang w:val="uk-UA"/>
        </w:rPr>
        <w:t>органопротекц</w:t>
      </w:r>
      <w:r w:rsidR="005651B0">
        <w:rPr>
          <w:rFonts w:ascii="Times New Roman" w:hAnsi="Times New Roman" w:cs="Times New Roman"/>
          <w:sz w:val="28"/>
          <w:szCs w:val="28"/>
          <w:lang w:val="en-US"/>
        </w:rPr>
        <w:t>i</w:t>
      </w:r>
      <w:r w:rsidR="00656188">
        <w:rPr>
          <w:rFonts w:ascii="Times New Roman" w:hAnsi="Times New Roman" w:cs="Times New Roman"/>
          <w:sz w:val="28"/>
          <w:szCs w:val="28"/>
          <w:lang w:val="uk-UA"/>
        </w:rPr>
        <w:t>ї ми обрали</w:t>
      </w:r>
      <w:r w:rsidR="00625205">
        <w:rPr>
          <w:rFonts w:ascii="Times New Roman" w:hAnsi="Times New Roman" w:cs="Times New Roman"/>
          <w:sz w:val="28"/>
          <w:szCs w:val="28"/>
          <w:lang w:val="uk-UA"/>
        </w:rPr>
        <w:t xml:space="preserve"> </w:t>
      </w:r>
      <w:r w:rsidR="005651B0">
        <w:rPr>
          <w:rFonts w:ascii="Times New Roman" w:hAnsi="Times New Roman" w:cs="Times New Roman"/>
          <w:sz w:val="28"/>
          <w:szCs w:val="28"/>
          <w:lang w:val="uk-UA"/>
        </w:rPr>
        <w:t>телм</w:t>
      </w:r>
      <w:r w:rsidR="005651B0">
        <w:rPr>
          <w:rFonts w:ascii="Times New Roman" w:hAnsi="Times New Roman" w:cs="Times New Roman"/>
          <w:sz w:val="28"/>
          <w:szCs w:val="28"/>
          <w:lang w:val="en-US"/>
        </w:rPr>
        <w:t>i</w:t>
      </w:r>
      <w:r w:rsidR="00D90A86">
        <w:rPr>
          <w:rFonts w:ascii="Times New Roman" w:hAnsi="Times New Roman" w:cs="Times New Roman"/>
          <w:sz w:val="28"/>
          <w:szCs w:val="28"/>
          <w:lang w:val="uk-UA"/>
        </w:rPr>
        <w:t>сартан, зва</w:t>
      </w:r>
      <w:r w:rsidR="00D90A86" w:rsidRPr="005F1E32">
        <w:rPr>
          <w:rFonts w:ascii="Times New Roman" w:hAnsi="Times New Roman" w:cs="Times New Roman"/>
          <w:sz w:val="28"/>
          <w:szCs w:val="28"/>
          <w:lang w:val="uk-UA"/>
        </w:rPr>
        <w:t>жаючи</w:t>
      </w:r>
      <w:r w:rsidR="00E706EF">
        <w:rPr>
          <w:rFonts w:ascii="Times New Roman" w:hAnsi="Times New Roman" w:cs="Times New Roman"/>
          <w:sz w:val="28"/>
          <w:szCs w:val="28"/>
          <w:lang w:val="uk-UA"/>
        </w:rPr>
        <w:t xml:space="preserve"> </w:t>
      </w:r>
      <w:r w:rsidR="00D90A86">
        <w:rPr>
          <w:rFonts w:ascii="Times New Roman" w:hAnsi="Times New Roman" w:cs="Times New Roman"/>
          <w:sz w:val="28"/>
          <w:szCs w:val="28"/>
          <w:lang w:val="uk-UA"/>
        </w:rPr>
        <w:t xml:space="preserve">на виражені </w:t>
      </w:r>
      <w:r w:rsidR="005651B0">
        <w:rPr>
          <w:rFonts w:ascii="Times New Roman" w:hAnsi="Times New Roman" w:cs="Times New Roman"/>
          <w:sz w:val="28"/>
          <w:szCs w:val="28"/>
          <w:lang w:val="uk-UA"/>
        </w:rPr>
        <w:t>л</w:t>
      </w:r>
      <w:r w:rsidR="005651B0">
        <w:rPr>
          <w:rFonts w:ascii="Times New Roman" w:hAnsi="Times New Roman" w:cs="Times New Roman"/>
          <w:sz w:val="28"/>
          <w:szCs w:val="28"/>
          <w:lang w:val="en-US"/>
        </w:rPr>
        <w:t>i</w:t>
      </w:r>
      <w:r w:rsidR="005651B0">
        <w:rPr>
          <w:rFonts w:ascii="Times New Roman" w:hAnsi="Times New Roman" w:cs="Times New Roman"/>
          <w:sz w:val="28"/>
          <w:szCs w:val="28"/>
          <w:lang w:val="uk-UA"/>
        </w:rPr>
        <w:t>поф</w:t>
      </w:r>
      <w:r w:rsidR="005651B0">
        <w:rPr>
          <w:rFonts w:ascii="Times New Roman" w:hAnsi="Times New Roman" w:cs="Times New Roman"/>
          <w:sz w:val="28"/>
          <w:szCs w:val="28"/>
          <w:lang w:val="en-US"/>
        </w:rPr>
        <w:t>i</w:t>
      </w:r>
      <w:r>
        <w:rPr>
          <w:rFonts w:ascii="Times New Roman" w:hAnsi="Times New Roman" w:cs="Times New Roman"/>
          <w:sz w:val="28"/>
          <w:szCs w:val="28"/>
          <w:lang w:val="uk-UA"/>
        </w:rPr>
        <w:t>льні властивості, здатність краще проникати</w:t>
      </w:r>
      <w:r w:rsidR="00E706EF">
        <w:rPr>
          <w:rFonts w:ascii="Times New Roman" w:hAnsi="Times New Roman" w:cs="Times New Roman"/>
          <w:sz w:val="28"/>
          <w:szCs w:val="28"/>
          <w:lang w:val="uk-UA"/>
        </w:rPr>
        <w:t xml:space="preserve"> в тканини</w:t>
      </w:r>
      <w:r>
        <w:rPr>
          <w:rFonts w:ascii="Times New Roman" w:hAnsi="Times New Roman" w:cs="Times New Roman"/>
          <w:sz w:val="28"/>
          <w:szCs w:val="28"/>
          <w:lang w:val="uk-UA"/>
        </w:rPr>
        <w:t xml:space="preserve">, </w:t>
      </w:r>
      <w:r w:rsidRPr="005F1E32">
        <w:rPr>
          <w:rFonts w:ascii="Times New Roman" w:hAnsi="Times New Roman" w:cs="Times New Roman"/>
          <w:sz w:val="28"/>
          <w:szCs w:val="28"/>
          <w:lang w:val="uk-UA"/>
        </w:rPr>
        <w:t>покращувати роботу судинної системи нирок</w:t>
      </w:r>
      <w:r>
        <w:rPr>
          <w:rFonts w:ascii="Times New Roman" w:hAnsi="Times New Roman" w:cs="Times New Roman"/>
          <w:sz w:val="28"/>
          <w:szCs w:val="28"/>
          <w:lang w:val="uk-UA"/>
        </w:rPr>
        <w:t>,</w:t>
      </w:r>
      <w:r w:rsidRPr="005F1E32">
        <w:rPr>
          <w:rFonts w:ascii="Times New Roman" w:hAnsi="Times New Roman" w:cs="Times New Roman"/>
          <w:sz w:val="28"/>
          <w:szCs w:val="28"/>
          <w:lang w:val="uk-UA"/>
        </w:rPr>
        <w:t xml:space="preserve"> пiдвищувати ниркову перфузiю у </w:t>
      </w:r>
      <w:r w:rsidR="007A0966">
        <w:rPr>
          <w:rFonts w:ascii="Times New Roman" w:hAnsi="Times New Roman" w:cs="Times New Roman"/>
          <w:sz w:val="28"/>
          <w:szCs w:val="28"/>
          <w:lang w:val="uk-UA"/>
        </w:rPr>
        <w:t>пацієнтів iз нефропатією</w:t>
      </w:r>
      <w:r>
        <w:rPr>
          <w:rFonts w:ascii="Times New Roman" w:hAnsi="Times New Roman" w:cs="Times New Roman"/>
          <w:sz w:val="28"/>
          <w:szCs w:val="28"/>
          <w:lang w:val="uk-UA"/>
        </w:rPr>
        <w:t>,</w:t>
      </w:r>
      <w:r w:rsidRPr="005F1E32">
        <w:rPr>
          <w:rFonts w:ascii="Times New Roman" w:hAnsi="Times New Roman" w:cs="Times New Roman"/>
          <w:sz w:val="28"/>
          <w:szCs w:val="28"/>
          <w:lang w:val="uk-UA"/>
        </w:rPr>
        <w:t xml:space="preserve"> </w:t>
      </w:r>
      <w:r w:rsidR="00B5098C">
        <w:rPr>
          <w:rFonts w:ascii="Times New Roman" w:hAnsi="Times New Roman" w:cs="Times New Roman"/>
          <w:sz w:val="28"/>
          <w:szCs w:val="28"/>
          <w:lang w:val="uk-UA"/>
        </w:rPr>
        <w:t>агон</w:t>
      </w:r>
      <w:r w:rsidR="00B5098C">
        <w:rPr>
          <w:rFonts w:ascii="Times New Roman" w:hAnsi="Times New Roman" w:cs="Times New Roman"/>
          <w:sz w:val="28"/>
          <w:szCs w:val="28"/>
          <w:lang w:val="en-US"/>
        </w:rPr>
        <w:t>i</w:t>
      </w:r>
      <w:r w:rsidR="00B5098C">
        <w:rPr>
          <w:rFonts w:ascii="Times New Roman" w:hAnsi="Times New Roman" w:cs="Times New Roman"/>
          <w:sz w:val="28"/>
          <w:szCs w:val="28"/>
          <w:lang w:val="uk-UA"/>
        </w:rPr>
        <w:t>стичн</w:t>
      </w:r>
      <w:r>
        <w:rPr>
          <w:rFonts w:ascii="Times New Roman" w:hAnsi="Times New Roman" w:cs="Times New Roman"/>
          <w:sz w:val="28"/>
          <w:szCs w:val="28"/>
          <w:lang w:val="uk-UA"/>
        </w:rPr>
        <w:t>ий вплив</w:t>
      </w:r>
      <w:r w:rsidR="00625205">
        <w:rPr>
          <w:rFonts w:ascii="Times New Roman" w:hAnsi="Times New Roman" w:cs="Times New Roman"/>
          <w:sz w:val="28"/>
          <w:szCs w:val="28"/>
          <w:lang w:val="uk-UA"/>
        </w:rPr>
        <w:t xml:space="preserve"> щодо </w:t>
      </w:r>
      <w:r w:rsidR="002B6D3F" w:rsidRPr="002B6D3F">
        <w:rPr>
          <w:rFonts w:ascii="Times New Roman" w:hAnsi="Times New Roman" w:cs="Times New Roman"/>
          <w:sz w:val="28"/>
          <w:szCs w:val="28"/>
          <w:lang w:val="uk-UA"/>
        </w:rPr>
        <w:t>PPARγ</w:t>
      </w:r>
      <w:r w:rsidR="002B6D3F" w:rsidRPr="002B6D3F">
        <w:rPr>
          <w:lang w:val="uk-UA"/>
        </w:rPr>
        <w:t xml:space="preserve"> </w:t>
      </w:r>
      <w:r w:rsidR="00A2258D">
        <w:rPr>
          <w:rFonts w:ascii="Times New Roman" w:hAnsi="Times New Roman" w:cs="Times New Roman"/>
          <w:sz w:val="28"/>
          <w:szCs w:val="28"/>
          <w:lang w:val="uk-UA"/>
        </w:rPr>
        <w:t>та зменшення</w:t>
      </w:r>
      <w:r w:rsidR="00B5098C">
        <w:rPr>
          <w:rFonts w:ascii="Times New Roman" w:hAnsi="Times New Roman" w:cs="Times New Roman"/>
          <w:sz w:val="28"/>
          <w:szCs w:val="28"/>
          <w:lang w:val="uk-UA"/>
        </w:rPr>
        <w:t xml:space="preserve"> </w:t>
      </w:r>
      <w:r w:rsidR="00B5098C">
        <w:rPr>
          <w:rFonts w:ascii="Times New Roman" w:hAnsi="Times New Roman" w:cs="Times New Roman"/>
          <w:sz w:val="28"/>
          <w:szCs w:val="28"/>
          <w:lang w:val="en-US"/>
        </w:rPr>
        <w:t>i</w:t>
      </w:r>
      <w:r w:rsidR="002B6D3F">
        <w:rPr>
          <w:rFonts w:ascii="Times New Roman" w:hAnsi="Times New Roman" w:cs="Times New Roman"/>
          <w:sz w:val="28"/>
          <w:szCs w:val="28"/>
          <w:lang w:val="uk-UA"/>
        </w:rPr>
        <w:t>нс</w:t>
      </w:r>
      <w:r w:rsidR="00B5098C">
        <w:rPr>
          <w:rFonts w:ascii="Times New Roman" w:hAnsi="Times New Roman" w:cs="Times New Roman"/>
          <w:sz w:val="28"/>
          <w:szCs w:val="28"/>
          <w:lang w:val="uk-UA"/>
        </w:rPr>
        <w:t>ул</w:t>
      </w:r>
      <w:r w:rsidR="00B5098C">
        <w:rPr>
          <w:rFonts w:ascii="Times New Roman" w:hAnsi="Times New Roman" w:cs="Times New Roman"/>
          <w:sz w:val="28"/>
          <w:szCs w:val="28"/>
          <w:lang w:val="en-US"/>
        </w:rPr>
        <w:t>i</w:t>
      </w:r>
      <w:r w:rsidR="00B5098C">
        <w:rPr>
          <w:rFonts w:ascii="Times New Roman" w:hAnsi="Times New Roman" w:cs="Times New Roman"/>
          <w:sz w:val="28"/>
          <w:szCs w:val="28"/>
          <w:lang w:val="uk-UA"/>
        </w:rPr>
        <w:t>норезистентност</w:t>
      </w:r>
      <w:r w:rsidR="00B5098C">
        <w:rPr>
          <w:rFonts w:ascii="Times New Roman" w:hAnsi="Times New Roman" w:cs="Times New Roman"/>
          <w:sz w:val="28"/>
          <w:szCs w:val="28"/>
          <w:lang w:val="en-US"/>
        </w:rPr>
        <w:t>i</w:t>
      </w:r>
      <w:r w:rsidR="00D02A9E">
        <w:rPr>
          <w:rFonts w:ascii="Times New Roman" w:hAnsi="Times New Roman" w:cs="Times New Roman"/>
          <w:sz w:val="28"/>
          <w:szCs w:val="28"/>
          <w:lang w:val="uk-UA"/>
        </w:rPr>
        <w:t xml:space="preserve"> </w:t>
      </w:r>
      <w:r w:rsidR="00D02A9E" w:rsidRPr="00D02A9E">
        <w:rPr>
          <w:rFonts w:ascii="Times New Roman" w:hAnsi="Times New Roman" w:cs="Times New Roman"/>
          <w:sz w:val="28"/>
          <w:szCs w:val="28"/>
          <w:lang w:val="uk-UA"/>
        </w:rPr>
        <w:t>[</w:t>
      </w:r>
      <w:r w:rsidR="00541249" w:rsidRPr="005C5DB7">
        <w:rPr>
          <w:rFonts w:ascii="Times New Roman" w:hAnsi="Times New Roman" w:cs="Times New Roman"/>
          <w:sz w:val="28"/>
          <w:szCs w:val="28"/>
          <w:lang w:val="uk-UA"/>
        </w:rPr>
        <w:t>100</w:t>
      </w:r>
      <w:r w:rsidR="00D02A9E" w:rsidRPr="002942F7">
        <w:rPr>
          <w:rFonts w:ascii="Times New Roman" w:hAnsi="Times New Roman" w:cs="Times New Roman"/>
          <w:sz w:val="28"/>
          <w:szCs w:val="28"/>
          <w:lang w:val="uk-UA"/>
        </w:rPr>
        <w:t>].</w:t>
      </w:r>
      <w:r w:rsidR="00E50A60" w:rsidRPr="00E50A60">
        <w:rPr>
          <w:lang w:val="uk-UA"/>
        </w:rPr>
        <w:t xml:space="preserve"> </w:t>
      </w:r>
    </w:p>
    <w:p w:rsidR="00975F03" w:rsidRDefault="00A86DF2" w:rsidP="00C65B1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3C30AE">
        <w:rPr>
          <w:rFonts w:ascii="Times New Roman" w:hAnsi="Times New Roman" w:cs="Times New Roman"/>
          <w:sz w:val="28"/>
          <w:szCs w:val="28"/>
          <w:lang w:val="uk-UA"/>
        </w:rPr>
        <w:t>инам</w:t>
      </w:r>
      <w:r w:rsidR="003C30AE">
        <w:rPr>
          <w:rFonts w:ascii="Times New Roman" w:hAnsi="Times New Roman" w:cs="Times New Roman"/>
          <w:sz w:val="28"/>
          <w:szCs w:val="28"/>
          <w:lang w:val="en-US"/>
        </w:rPr>
        <w:t>i</w:t>
      </w:r>
      <w:r w:rsidR="003C30AE">
        <w:rPr>
          <w:rFonts w:ascii="Times New Roman" w:hAnsi="Times New Roman" w:cs="Times New Roman"/>
          <w:sz w:val="28"/>
          <w:szCs w:val="28"/>
          <w:lang w:val="uk-UA"/>
        </w:rPr>
        <w:t xml:space="preserve">ку скарг </w:t>
      </w:r>
      <w:r w:rsidRPr="00A86DF2">
        <w:rPr>
          <w:rFonts w:ascii="Times New Roman" w:hAnsi="Times New Roman" w:cs="Times New Roman"/>
          <w:sz w:val="28"/>
          <w:szCs w:val="28"/>
          <w:lang w:val="uk-UA"/>
        </w:rPr>
        <w:t xml:space="preserve">було оцiнено </w:t>
      </w:r>
      <w:r w:rsidR="003C30AE">
        <w:rPr>
          <w:rFonts w:ascii="Times New Roman" w:hAnsi="Times New Roman" w:cs="Times New Roman"/>
          <w:sz w:val="28"/>
          <w:szCs w:val="28"/>
          <w:lang w:val="uk-UA"/>
        </w:rPr>
        <w:t>через 6 м</w:t>
      </w:r>
      <w:r w:rsidR="003C30AE">
        <w:rPr>
          <w:rFonts w:ascii="Times New Roman" w:hAnsi="Times New Roman" w:cs="Times New Roman"/>
          <w:sz w:val="28"/>
          <w:szCs w:val="28"/>
          <w:lang w:val="en-US"/>
        </w:rPr>
        <w:t>i</w:t>
      </w:r>
      <w:r w:rsidR="003C30AE">
        <w:rPr>
          <w:rFonts w:ascii="Times New Roman" w:hAnsi="Times New Roman" w:cs="Times New Roman"/>
          <w:sz w:val="28"/>
          <w:szCs w:val="28"/>
          <w:lang w:val="uk-UA"/>
        </w:rPr>
        <w:t xml:space="preserve">с. </w:t>
      </w:r>
      <w:r>
        <w:rPr>
          <w:rFonts w:ascii="Times New Roman" w:hAnsi="Times New Roman" w:cs="Times New Roman"/>
          <w:sz w:val="28"/>
          <w:szCs w:val="28"/>
          <w:lang w:val="uk-UA"/>
        </w:rPr>
        <w:t>л</w:t>
      </w:r>
      <w:r w:rsidR="003C30AE">
        <w:rPr>
          <w:rFonts w:ascii="Times New Roman" w:hAnsi="Times New Roman" w:cs="Times New Roman"/>
          <w:sz w:val="28"/>
          <w:szCs w:val="28"/>
          <w:lang w:val="en-US"/>
        </w:rPr>
        <w:t>i</w:t>
      </w:r>
      <w:r w:rsidR="002B4682">
        <w:rPr>
          <w:rFonts w:ascii="Times New Roman" w:hAnsi="Times New Roman" w:cs="Times New Roman"/>
          <w:sz w:val="28"/>
          <w:szCs w:val="28"/>
          <w:lang w:val="uk-UA"/>
        </w:rPr>
        <w:t>кування</w:t>
      </w:r>
      <w:r>
        <w:rPr>
          <w:rFonts w:ascii="Times New Roman" w:hAnsi="Times New Roman" w:cs="Times New Roman"/>
          <w:sz w:val="28"/>
          <w:szCs w:val="28"/>
          <w:lang w:val="uk-UA"/>
        </w:rPr>
        <w:t xml:space="preserve"> у </w:t>
      </w:r>
      <w:r w:rsidR="006739B9">
        <w:rPr>
          <w:rFonts w:ascii="Times New Roman" w:hAnsi="Times New Roman" w:cs="Times New Roman"/>
          <w:sz w:val="28"/>
          <w:szCs w:val="28"/>
          <w:lang w:val="uk-UA"/>
        </w:rPr>
        <w:t xml:space="preserve">коморбідних </w:t>
      </w:r>
      <w:r w:rsidRPr="00A86DF2">
        <w:rPr>
          <w:rFonts w:ascii="Times New Roman" w:hAnsi="Times New Roman" w:cs="Times New Roman"/>
          <w:sz w:val="28"/>
          <w:szCs w:val="28"/>
          <w:lang w:val="uk-UA"/>
        </w:rPr>
        <w:t xml:space="preserve">пацiєнтiв І </w:t>
      </w:r>
      <w:r>
        <w:rPr>
          <w:rFonts w:ascii="Times New Roman" w:hAnsi="Times New Roman" w:cs="Times New Roman"/>
          <w:sz w:val="28"/>
          <w:szCs w:val="28"/>
          <w:lang w:val="uk-UA"/>
        </w:rPr>
        <w:t xml:space="preserve">та ІІ пiдгруп </w:t>
      </w:r>
      <w:r w:rsidR="002B4682">
        <w:rPr>
          <w:rFonts w:ascii="Times New Roman" w:hAnsi="Times New Roman" w:cs="Times New Roman"/>
          <w:sz w:val="28"/>
          <w:szCs w:val="28"/>
          <w:lang w:val="uk-UA"/>
        </w:rPr>
        <w:t>(табл. 6</w:t>
      </w:r>
      <w:r w:rsidR="00C65B1D">
        <w:rPr>
          <w:rFonts w:ascii="Times New Roman" w:hAnsi="Times New Roman" w:cs="Times New Roman"/>
          <w:sz w:val="28"/>
          <w:szCs w:val="28"/>
          <w:lang w:val="uk-UA"/>
        </w:rPr>
        <w:t>.2.1).</w:t>
      </w:r>
    </w:p>
    <w:p w:rsidR="00C65B1D" w:rsidRPr="00C65B1D" w:rsidRDefault="00B064E6" w:rsidP="00C65B1D">
      <w:pPr>
        <w:autoSpaceDE w:val="0"/>
        <w:autoSpaceDN w:val="0"/>
        <w:adjustRightInd w:val="0"/>
        <w:spacing w:after="0" w:line="360" w:lineRule="auto"/>
        <w:jc w:val="right"/>
        <w:rPr>
          <w:rFonts w:ascii="Times New Roman" w:hAnsi="Times New Roman" w:cs="Times New Roman"/>
          <w:i/>
          <w:sz w:val="28"/>
          <w:szCs w:val="28"/>
          <w:lang w:val="uk-UA"/>
        </w:rPr>
      </w:pPr>
      <w:r w:rsidRPr="00C65B1D">
        <w:rPr>
          <w:rFonts w:ascii="Times New Roman" w:hAnsi="Times New Roman" w:cs="Times New Roman"/>
          <w:i/>
          <w:sz w:val="28"/>
          <w:szCs w:val="28"/>
          <w:lang w:val="uk-UA"/>
        </w:rPr>
        <w:t>Т</w:t>
      </w:r>
      <w:r w:rsidR="00FE3D7D" w:rsidRPr="00C65B1D">
        <w:rPr>
          <w:rFonts w:ascii="Times New Roman" w:hAnsi="Times New Roman" w:cs="Times New Roman"/>
          <w:i/>
          <w:sz w:val="28"/>
          <w:szCs w:val="28"/>
          <w:lang w:val="uk-UA"/>
        </w:rPr>
        <w:t>аблиця</w:t>
      </w:r>
      <w:r w:rsidR="002B4682" w:rsidRPr="00C65B1D">
        <w:rPr>
          <w:rFonts w:ascii="Times New Roman" w:hAnsi="Times New Roman" w:cs="Times New Roman"/>
          <w:i/>
          <w:sz w:val="28"/>
          <w:szCs w:val="28"/>
          <w:lang w:val="uk-UA"/>
        </w:rPr>
        <w:t xml:space="preserve"> 6</w:t>
      </w:r>
      <w:r w:rsidRPr="00C65B1D">
        <w:rPr>
          <w:rFonts w:ascii="Times New Roman" w:hAnsi="Times New Roman" w:cs="Times New Roman"/>
          <w:i/>
          <w:sz w:val="28"/>
          <w:szCs w:val="28"/>
          <w:lang w:val="uk-UA"/>
        </w:rPr>
        <w:t>.2.1</w:t>
      </w:r>
      <w:r w:rsidR="00FE3D7D" w:rsidRPr="00C65B1D">
        <w:rPr>
          <w:rFonts w:ascii="Times New Roman" w:hAnsi="Times New Roman" w:cs="Times New Roman"/>
          <w:i/>
          <w:sz w:val="28"/>
          <w:szCs w:val="28"/>
          <w:lang w:val="uk-UA"/>
        </w:rPr>
        <w:t xml:space="preserve"> </w:t>
      </w:r>
    </w:p>
    <w:p w:rsidR="00625348" w:rsidRPr="00C65B1D" w:rsidRDefault="003C30AE" w:rsidP="00C65B1D">
      <w:pPr>
        <w:autoSpaceDE w:val="0"/>
        <w:autoSpaceDN w:val="0"/>
        <w:adjustRightInd w:val="0"/>
        <w:spacing w:after="0" w:line="360" w:lineRule="auto"/>
        <w:jc w:val="center"/>
        <w:rPr>
          <w:rFonts w:ascii="Times New Roman" w:hAnsi="Times New Roman" w:cs="Times New Roman"/>
          <w:b/>
          <w:sz w:val="28"/>
          <w:szCs w:val="28"/>
          <w:lang w:val="uk-UA"/>
        </w:rPr>
      </w:pPr>
      <w:r w:rsidRPr="00C65B1D">
        <w:rPr>
          <w:rFonts w:ascii="Times New Roman" w:eastAsia="Times New Roman" w:hAnsi="Times New Roman" w:cs="Times New Roman"/>
          <w:b/>
          <w:sz w:val="28"/>
          <w:szCs w:val="28"/>
          <w:lang w:val="uk-UA" w:eastAsia="ru-RU"/>
        </w:rPr>
        <w:t>Динам</w:t>
      </w:r>
      <w:r w:rsidRPr="00C65B1D">
        <w:rPr>
          <w:rFonts w:ascii="Times New Roman" w:eastAsia="Times New Roman" w:hAnsi="Times New Roman" w:cs="Times New Roman"/>
          <w:b/>
          <w:sz w:val="28"/>
          <w:szCs w:val="28"/>
          <w:lang w:val="en-US" w:eastAsia="ru-RU"/>
        </w:rPr>
        <w:t>i</w:t>
      </w:r>
      <w:r w:rsidR="00625348" w:rsidRPr="00C65B1D">
        <w:rPr>
          <w:rFonts w:ascii="Times New Roman" w:eastAsia="Times New Roman" w:hAnsi="Times New Roman" w:cs="Times New Roman"/>
          <w:b/>
          <w:sz w:val="28"/>
          <w:szCs w:val="28"/>
          <w:lang w:val="uk-UA" w:eastAsia="ru-RU"/>
        </w:rPr>
        <w:t xml:space="preserve">ка </w:t>
      </w:r>
      <w:r w:rsidR="002B2889" w:rsidRPr="00C65B1D">
        <w:rPr>
          <w:rFonts w:ascii="Times New Roman" w:eastAsia="Times New Roman" w:hAnsi="Times New Roman" w:cs="Times New Roman"/>
          <w:b/>
          <w:sz w:val="28"/>
          <w:szCs w:val="28"/>
          <w:lang w:val="uk-UA" w:eastAsia="ru-RU"/>
        </w:rPr>
        <w:t xml:space="preserve">скарг </w:t>
      </w:r>
      <w:r w:rsidRPr="00C65B1D">
        <w:rPr>
          <w:rFonts w:ascii="Times New Roman" w:eastAsia="Times New Roman" w:hAnsi="Times New Roman" w:cs="Times New Roman"/>
          <w:b/>
          <w:sz w:val="28"/>
          <w:szCs w:val="28"/>
          <w:lang w:val="uk-UA" w:eastAsia="ru-RU"/>
        </w:rPr>
        <w:t>п</w:t>
      </w:r>
      <w:r w:rsidRPr="00C65B1D">
        <w:rPr>
          <w:rFonts w:ascii="Times New Roman" w:eastAsia="Times New Roman" w:hAnsi="Times New Roman" w:cs="Times New Roman"/>
          <w:b/>
          <w:sz w:val="28"/>
          <w:szCs w:val="28"/>
          <w:lang w:val="en-US" w:eastAsia="ru-RU"/>
        </w:rPr>
        <w:t>i</w:t>
      </w:r>
      <w:r w:rsidRPr="00C65B1D">
        <w:rPr>
          <w:rFonts w:ascii="Times New Roman" w:eastAsia="Times New Roman" w:hAnsi="Times New Roman" w:cs="Times New Roman"/>
          <w:b/>
          <w:sz w:val="28"/>
          <w:szCs w:val="28"/>
          <w:lang w:val="uk-UA" w:eastAsia="ru-RU"/>
        </w:rPr>
        <w:t>д впливом л</w:t>
      </w:r>
      <w:r w:rsidRPr="00C65B1D">
        <w:rPr>
          <w:rFonts w:ascii="Times New Roman" w:eastAsia="Times New Roman" w:hAnsi="Times New Roman" w:cs="Times New Roman"/>
          <w:b/>
          <w:sz w:val="28"/>
          <w:szCs w:val="28"/>
          <w:lang w:val="en-US" w:eastAsia="ru-RU"/>
        </w:rPr>
        <w:t>i</w:t>
      </w:r>
      <w:r w:rsidR="00FE3D7D" w:rsidRPr="00C65B1D">
        <w:rPr>
          <w:rFonts w:ascii="Times New Roman" w:eastAsia="Times New Roman" w:hAnsi="Times New Roman" w:cs="Times New Roman"/>
          <w:b/>
          <w:sz w:val="28"/>
          <w:szCs w:val="28"/>
          <w:lang w:val="uk-UA" w:eastAsia="ru-RU"/>
        </w:rPr>
        <w:t xml:space="preserve">кування </w:t>
      </w:r>
      <w:r w:rsidR="00A86DF2">
        <w:rPr>
          <w:rFonts w:ascii="Times New Roman" w:eastAsia="Times New Roman" w:hAnsi="Times New Roman" w:cs="Times New Roman"/>
          <w:b/>
          <w:sz w:val="28"/>
          <w:szCs w:val="28"/>
          <w:lang w:val="uk-UA" w:eastAsia="ru-RU"/>
        </w:rPr>
        <w:t xml:space="preserve">у пацієнтів </w:t>
      </w:r>
      <w:r w:rsidR="00210C13">
        <w:rPr>
          <w:rFonts w:ascii="Times New Roman" w:eastAsia="Times New Roman" w:hAnsi="Times New Roman" w:cs="Times New Roman"/>
          <w:b/>
          <w:sz w:val="28"/>
          <w:szCs w:val="28"/>
          <w:lang w:val="uk-UA" w:eastAsia="ru-RU"/>
        </w:rPr>
        <w:t>і</w:t>
      </w:r>
      <w:r w:rsidR="00625348" w:rsidRPr="00C65B1D">
        <w:rPr>
          <w:rFonts w:ascii="Times New Roman" w:eastAsia="Times New Roman" w:hAnsi="Times New Roman" w:cs="Times New Roman"/>
          <w:b/>
          <w:sz w:val="28"/>
          <w:szCs w:val="28"/>
          <w:lang w:val="uk-UA" w:eastAsia="ru-RU"/>
        </w:rPr>
        <w:t xml:space="preserve">з </w:t>
      </w:r>
      <w:r w:rsidRPr="00C65B1D">
        <w:rPr>
          <w:rFonts w:ascii="Times New Roman" w:eastAsia="Times New Roman" w:hAnsi="Times New Roman" w:cs="Times New Roman"/>
          <w:b/>
          <w:sz w:val="28"/>
          <w:szCs w:val="28"/>
          <w:lang w:val="uk-UA" w:eastAsia="ru-RU"/>
        </w:rPr>
        <w:t>артер</w:t>
      </w:r>
      <w:r w:rsidRPr="00C65B1D">
        <w:rPr>
          <w:rFonts w:ascii="Times New Roman" w:eastAsia="Times New Roman" w:hAnsi="Times New Roman" w:cs="Times New Roman"/>
          <w:b/>
          <w:sz w:val="28"/>
          <w:szCs w:val="28"/>
          <w:lang w:val="en-US" w:eastAsia="ru-RU"/>
        </w:rPr>
        <w:t>i</w:t>
      </w:r>
      <w:r w:rsidRPr="00C65B1D">
        <w:rPr>
          <w:rFonts w:ascii="Times New Roman" w:eastAsia="Times New Roman" w:hAnsi="Times New Roman" w:cs="Times New Roman"/>
          <w:b/>
          <w:sz w:val="28"/>
          <w:szCs w:val="28"/>
          <w:lang w:val="uk-UA" w:eastAsia="ru-RU"/>
        </w:rPr>
        <w:t>альною г</w:t>
      </w:r>
      <w:r w:rsidRPr="00C65B1D">
        <w:rPr>
          <w:rFonts w:ascii="Times New Roman" w:eastAsia="Times New Roman" w:hAnsi="Times New Roman" w:cs="Times New Roman"/>
          <w:b/>
          <w:sz w:val="28"/>
          <w:szCs w:val="28"/>
          <w:lang w:val="en-US" w:eastAsia="ru-RU"/>
        </w:rPr>
        <w:t>i</w:t>
      </w:r>
      <w:r w:rsidRPr="00C65B1D">
        <w:rPr>
          <w:rFonts w:ascii="Times New Roman" w:eastAsia="Times New Roman" w:hAnsi="Times New Roman" w:cs="Times New Roman"/>
          <w:b/>
          <w:sz w:val="28"/>
          <w:szCs w:val="28"/>
          <w:lang w:val="uk-UA" w:eastAsia="ru-RU"/>
        </w:rPr>
        <w:t>пертенз</w:t>
      </w:r>
      <w:r w:rsidRPr="00C65B1D">
        <w:rPr>
          <w:rFonts w:ascii="Times New Roman" w:eastAsia="Times New Roman" w:hAnsi="Times New Roman" w:cs="Times New Roman"/>
          <w:b/>
          <w:sz w:val="28"/>
          <w:szCs w:val="28"/>
          <w:lang w:val="en-US" w:eastAsia="ru-RU"/>
        </w:rPr>
        <w:t>i</w:t>
      </w:r>
      <w:r w:rsidR="00942EFF" w:rsidRPr="00C65B1D">
        <w:rPr>
          <w:rFonts w:ascii="Times New Roman" w:eastAsia="Times New Roman" w:hAnsi="Times New Roman" w:cs="Times New Roman"/>
          <w:b/>
          <w:sz w:val="28"/>
          <w:szCs w:val="28"/>
          <w:lang w:val="uk-UA" w:eastAsia="ru-RU"/>
        </w:rPr>
        <w:t xml:space="preserve">єю та </w:t>
      </w:r>
      <w:r w:rsidRPr="00C65B1D">
        <w:rPr>
          <w:rFonts w:ascii="Times New Roman" w:eastAsia="Times New Roman" w:hAnsi="Times New Roman" w:cs="Times New Roman"/>
          <w:b/>
          <w:sz w:val="28"/>
          <w:szCs w:val="28"/>
          <w:lang w:val="uk-UA" w:eastAsia="ru-RU"/>
        </w:rPr>
        <w:t>цукровим д</w:t>
      </w:r>
      <w:r w:rsidRPr="00C65B1D">
        <w:rPr>
          <w:rFonts w:ascii="Times New Roman" w:eastAsia="Times New Roman" w:hAnsi="Times New Roman" w:cs="Times New Roman"/>
          <w:b/>
          <w:sz w:val="28"/>
          <w:szCs w:val="28"/>
          <w:lang w:val="en-US" w:eastAsia="ru-RU"/>
        </w:rPr>
        <w:t>i</w:t>
      </w:r>
      <w:r w:rsidR="00625348" w:rsidRPr="00C65B1D">
        <w:rPr>
          <w:rFonts w:ascii="Times New Roman" w:eastAsia="Times New Roman" w:hAnsi="Times New Roman" w:cs="Times New Roman"/>
          <w:b/>
          <w:sz w:val="28"/>
          <w:szCs w:val="28"/>
          <w:lang w:val="uk-UA" w:eastAsia="ru-RU"/>
        </w:rPr>
        <w:t>абетом 2-го т</w:t>
      </w:r>
      <w:r w:rsidR="00942EFF" w:rsidRPr="00C65B1D">
        <w:rPr>
          <w:rFonts w:ascii="Times New Roman" w:eastAsia="Times New Roman" w:hAnsi="Times New Roman" w:cs="Times New Roman"/>
          <w:b/>
          <w:sz w:val="28"/>
          <w:szCs w:val="28"/>
          <w:lang w:val="uk-UA" w:eastAsia="ru-RU"/>
        </w:rPr>
        <w:t>ипу</w:t>
      </w:r>
      <w:r w:rsidR="006739B9">
        <w:rPr>
          <w:rFonts w:ascii="Times New Roman" w:eastAsia="Times New Roman" w:hAnsi="Times New Roman" w:cs="Times New Roman"/>
          <w:b/>
          <w:sz w:val="28"/>
          <w:szCs w:val="28"/>
          <w:lang w:val="uk-UA" w:eastAsia="ru-RU"/>
        </w:rPr>
        <w:t xml:space="preserve"> І та ІІ підгруп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275"/>
        <w:gridCol w:w="1276"/>
        <w:gridCol w:w="1276"/>
        <w:gridCol w:w="1134"/>
      </w:tblGrid>
      <w:tr w:rsidR="00625348" w:rsidRPr="002B4682" w:rsidTr="00940AAC">
        <w:tc>
          <w:tcPr>
            <w:tcW w:w="1843" w:type="dxa"/>
            <w:vMerge w:val="restart"/>
            <w:tcBorders>
              <w:top w:val="single" w:sz="4" w:space="0" w:color="auto"/>
              <w:left w:val="single" w:sz="4" w:space="0" w:color="auto"/>
              <w:bottom w:val="single" w:sz="4" w:space="0" w:color="auto"/>
              <w:right w:val="single" w:sz="4" w:space="0" w:color="auto"/>
            </w:tcBorders>
            <w:hideMark/>
          </w:tcPr>
          <w:p w:rsidR="00625348" w:rsidRPr="00625348" w:rsidRDefault="00625348" w:rsidP="00625348">
            <w:pPr>
              <w:spacing w:after="0"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Показник</w:t>
            </w:r>
          </w:p>
        </w:tc>
        <w:tc>
          <w:tcPr>
            <w:tcW w:w="3827" w:type="dxa"/>
            <w:gridSpan w:val="3"/>
            <w:tcBorders>
              <w:top w:val="single" w:sz="4" w:space="0" w:color="auto"/>
              <w:left w:val="single" w:sz="4" w:space="0" w:color="auto"/>
              <w:bottom w:val="single" w:sz="4" w:space="0" w:color="auto"/>
              <w:right w:val="single" w:sz="4" w:space="0" w:color="auto"/>
            </w:tcBorders>
            <w:hideMark/>
          </w:tcPr>
          <w:p w:rsidR="00625348" w:rsidRPr="00757BD0" w:rsidRDefault="00625348" w:rsidP="00625348">
            <w:pPr>
              <w:spacing w:after="0" w:line="240" w:lineRule="auto"/>
              <w:jc w:val="center"/>
              <w:rPr>
                <w:rFonts w:ascii="Times New Roman" w:eastAsia="Times New Roman" w:hAnsi="Times New Roman" w:cs="Times New Roman"/>
                <w:sz w:val="28"/>
                <w:szCs w:val="28"/>
                <w:lang w:val="en-US" w:bidi="en-US"/>
              </w:rPr>
            </w:pPr>
            <w:r w:rsidRPr="00625348">
              <w:rPr>
                <w:rFonts w:ascii="Times New Roman" w:eastAsia="Times New Roman" w:hAnsi="Times New Roman" w:cs="Times New Roman"/>
                <w:sz w:val="28"/>
                <w:szCs w:val="28"/>
                <w:lang w:val="uk-UA" w:eastAsia="ru-RU"/>
              </w:rPr>
              <w:t xml:space="preserve">І підгрупа, </w:t>
            </w:r>
            <w:r w:rsidRPr="00625348">
              <w:rPr>
                <w:rFonts w:ascii="Times New Roman" w:eastAsia="Times New Roman" w:hAnsi="Times New Roman" w:cs="Times New Roman"/>
                <w:sz w:val="28"/>
                <w:szCs w:val="28"/>
                <w:lang w:eastAsia="ru-RU"/>
              </w:rPr>
              <w:t>n</w:t>
            </w:r>
            <w:r w:rsidR="00FE3D7D">
              <w:rPr>
                <w:rFonts w:ascii="Times New Roman" w:eastAsia="Times New Roman" w:hAnsi="Times New Roman" w:cs="Times New Roman"/>
                <w:sz w:val="28"/>
                <w:szCs w:val="28"/>
                <w:lang w:val="uk-UA" w:eastAsia="ru-RU"/>
              </w:rPr>
              <w:t xml:space="preserve"> </w:t>
            </w:r>
            <w:r w:rsidRPr="002B4682">
              <w:rPr>
                <w:rFonts w:ascii="Times New Roman" w:eastAsia="Times New Roman" w:hAnsi="Times New Roman" w:cs="Times New Roman"/>
                <w:sz w:val="28"/>
                <w:szCs w:val="28"/>
                <w:lang w:val="uk-UA" w:eastAsia="ru-RU"/>
              </w:rPr>
              <w:t>=</w:t>
            </w:r>
            <w:r w:rsidR="00FE3D7D">
              <w:rPr>
                <w:rFonts w:ascii="Times New Roman" w:eastAsia="Times New Roman" w:hAnsi="Times New Roman" w:cs="Times New Roman"/>
                <w:sz w:val="28"/>
                <w:szCs w:val="28"/>
                <w:lang w:val="uk-UA" w:eastAsia="ru-RU"/>
              </w:rPr>
              <w:t xml:space="preserve"> </w:t>
            </w:r>
            <w:r w:rsidR="00454DEF">
              <w:rPr>
                <w:rFonts w:ascii="Times New Roman" w:eastAsia="Times New Roman" w:hAnsi="Times New Roman" w:cs="Times New Roman"/>
                <w:sz w:val="28"/>
                <w:szCs w:val="28"/>
                <w:lang w:val="en-US" w:eastAsia="ru-RU"/>
              </w:rPr>
              <w:t>54</w:t>
            </w:r>
          </w:p>
        </w:tc>
        <w:tc>
          <w:tcPr>
            <w:tcW w:w="3686" w:type="dxa"/>
            <w:gridSpan w:val="3"/>
            <w:tcBorders>
              <w:top w:val="single" w:sz="4" w:space="0" w:color="auto"/>
              <w:left w:val="single" w:sz="4" w:space="0" w:color="auto"/>
              <w:bottom w:val="single" w:sz="4" w:space="0" w:color="auto"/>
              <w:right w:val="single" w:sz="4" w:space="0" w:color="auto"/>
            </w:tcBorders>
            <w:hideMark/>
          </w:tcPr>
          <w:p w:rsidR="00625348" w:rsidRPr="00757BD0" w:rsidRDefault="00625348" w:rsidP="00625348">
            <w:pPr>
              <w:spacing w:after="0" w:line="240" w:lineRule="auto"/>
              <w:jc w:val="center"/>
              <w:rPr>
                <w:rFonts w:ascii="Times New Roman" w:eastAsia="Times New Roman" w:hAnsi="Times New Roman" w:cs="Times New Roman"/>
                <w:sz w:val="28"/>
                <w:szCs w:val="28"/>
                <w:lang w:val="en-US" w:bidi="en-US"/>
              </w:rPr>
            </w:pPr>
            <w:r w:rsidRPr="00625348">
              <w:rPr>
                <w:rFonts w:ascii="Times New Roman" w:eastAsia="Times New Roman" w:hAnsi="Times New Roman" w:cs="Times New Roman"/>
                <w:sz w:val="28"/>
                <w:szCs w:val="28"/>
                <w:lang w:val="uk-UA" w:eastAsia="ru-RU"/>
              </w:rPr>
              <w:t xml:space="preserve">ІІ підгрупа, </w:t>
            </w:r>
            <w:r w:rsidRPr="00625348">
              <w:rPr>
                <w:rFonts w:ascii="Times New Roman" w:eastAsia="Times New Roman" w:hAnsi="Times New Roman" w:cs="Times New Roman"/>
                <w:sz w:val="28"/>
                <w:szCs w:val="28"/>
                <w:lang w:eastAsia="ru-RU"/>
              </w:rPr>
              <w:t>n</w:t>
            </w:r>
            <w:r w:rsidR="00FE3D7D">
              <w:rPr>
                <w:rFonts w:ascii="Times New Roman" w:eastAsia="Times New Roman" w:hAnsi="Times New Roman" w:cs="Times New Roman"/>
                <w:sz w:val="28"/>
                <w:szCs w:val="28"/>
                <w:lang w:val="uk-UA" w:eastAsia="ru-RU"/>
              </w:rPr>
              <w:t xml:space="preserve"> </w:t>
            </w:r>
            <w:r w:rsidRPr="002B4682">
              <w:rPr>
                <w:rFonts w:ascii="Times New Roman" w:eastAsia="Times New Roman" w:hAnsi="Times New Roman" w:cs="Times New Roman"/>
                <w:sz w:val="28"/>
                <w:szCs w:val="28"/>
                <w:lang w:val="uk-UA" w:eastAsia="ru-RU"/>
              </w:rPr>
              <w:t>=</w:t>
            </w:r>
            <w:r w:rsidR="00FE3D7D">
              <w:rPr>
                <w:rFonts w:ascii="Times New Roman" w:eastAsia="Times New Roman" w:hAnsi="Times New Roman" w:cs="Times New Roman"/>
                <w:sz w:val="28"/>
                <w:szCs w:val="28"/>
                <w:lang w:val="uk-UA" w:eastAsia="ru-RU"/>
              </w:rPr>
              <w:t xml:space="preserve"> </w:t>
            </w:r>
            <w:r w:rsidR="00757BD0">
              <w:rPr>
                <w:rFonts w:ascii="Times New Roman" w:eastAsia="Times New Roman" w:hAnsi="Times New Roman" w:cs="Times New Roman"/>
                <w:sz w:val="28"/>
                <w:szCs w:val="28"/>
                <w:lang w:val="uk-UA" w:eastAsia="ru-RU"/>
              </w:rPr>
              <w:t>4</w:t>
            </w:r>
            <w:r w:rsidR="00454DEF">
              <w:rPr>
                <w:rFonts w:ascii="Times New Roman" w:eastAsia="Times New Roman" w:hAnsi="Times New Roman" w:cs="Times New Roman"/>
                <w:sz w:val="28"/>
                <w:szCs w:val="28"/>
                <w:lang w:val="en-US" w:eastAsia="ru-RU"/>
              </w:rPr>
              <w:t>0</w:t>
            </w:r>
          </w:p>
        </w:tc>
      </w:tr>
      <w:tr w:rsidR="000C752E" w:rsidRPr="001D7F24" w:rsidTr="00940AAC">
        <w:tc>
          <w:tcPr>
            <w:tcW w:w="1843" w:type="dxa"/>
            <w:vMerge/>
            <w:tcBorders>
              <w:top w:val="single" w:sz="4" w:space="0" w:color="auto"/>
              <w:left w:val="single" w:sz="4" w:space="0" w:color="auto"/>
              <w:bottom w:val="single" w:sz="4" w:space="0" w:color="auto"/>
              <w:right w:val="single" w:sz="4" w:space="0" w:color="auto"/>
            </w:tcBorders>
            <w:vAlign w:val="center"/>
            <w:hideMark/>
          </w:tcPr>
          <w:p w:rsidR="00625348" w:rsidRPr="00625348" w:rsidRDefault="00625348" w:rsidP="00625348">
            <w:pPr>
              <w:spacing w:after="0" w:line="240" w:lineRule="auto"/>
              <w:rPr>
                <w:rFonts w:ascii="Times New Roman" w:eastAsia="Times New Roman" w:hAnsi="Times New Roman" w:cs="Times New Roman"/>
                <w:sz w:val="28"/>
                <w:szCs w:val="28"/>
                <w:lang w:val="uk-UA" w:bidi="en-US"/>
              </w:rPr>
            </w:pPr>
          </w:p>
        </w:tc>
        <w:tc>
          <w:tcPr>
            <w:tcW w:w="1276" w:type="dxa"/>
            <w:tcBorders>
              <w:top w:val="single" w:sz="4" w:space="0" w:color="auto"/>
              <w:left w:val="single" w:sz="4" w:space="0" w:color="auto"/>
              <w:bottom w:val="single" w:sz="4" w:space="0" w:color="auto"/>
              <w:right w:val="single" w:sz="4" w:space="0" w:color="auto"/>
            </w:tcBorders>
            <w:hideMark/>
          </w:tcPr>
          <w:p w:rsidR="00625348" w:rsidRPr="001D7F24" w:rsidRDefault="00625348" w:rsidP="00625348">
            <w:pPr>
              <w:spacing w:line="240" w:lineRule="auto"/>
              <w:jc w:val="center"/>
              <w:rPr>
                <w:rFonts w:ascii="Times New Roman" w:eastAsia="Times New Roman" w:hAnsi="Times New Roman" w:cs="Times New Roman"/>
                <w:sz w:val="28"/>
                <w:szCs w:val="28"/>
                <w:lang w:val="uk-UA" w:eastAsia="ru-RU"/>
              </w:rPr>
            </w:pPr>
            <w:r w:rsidRPr="00625348">
              <w:rPr>
                <w:rFonts w:ascii="Times New Roman" w:eastAsia="Times New Roman" w:hAnsi="Times New Roman" w:cs="Times New Roman"/>
                <w:sz w:val="28"/>
                <w:szCs w:val="28"/>
                <w:lang w:val="uk-UA" w:eastAsia="ru-RU"/>
              </w:rPr>
              <w:t xml:space="preserve">до </w:t>
            </w:r>
            <w:r w:rsidR="001D7F24">
              <w:rPr>
                <w:rFonts w:ascii="Times New Roman" w:eastAsia="Times New Roman" w:hAnsi="Times New Roman" w:cs="Times New Roman"/>
                <w:sz w:val="28"/>
                <w:szCs w:val="28"/>
                <w:lang w:val="uk-UA" w:eastAsia="ru-RU"/>
              </w:rPr>
              <w:t>лікуван</w:t>
            </w:r>
            <w:r w:rsidR="00942EFF">
              <w:rPr>
                <w:rFonts w:ascii="Times New Roman" w:eastAsia="Times New Roman" w:hAnsi="Times New Roman" w:cs="Times New Roman"/>
                <w:sz w:val="28"/>
                <w:szCs w:val="28"/>
                <w:lang w:val="uk-UA" w:eastAsia="ru-RU"/>
              </w:rPr>
              <w:t>-</w:t>
            </w:r>
            <w:r w:rsidR="001D7F24">
              <w:rPr>
                <w:rFonts w:ascii="Times New Roman" w:eastAsia="Times New Roman" w:hAnsi="Times New Roman" w:cs="Times New Roman"/>
                <w:sz w:val="28"/>
                <w:szCs w:val="28"/>
                <w:lang w:val="uk-UA" w:eastAsia="ru-RU"/>
              </w:rPr>
              <w:t>ня,</w:t>
            </w:r>
            <w:r w:rsidR="00C300D3">
              <w:rPr>
                <w:rFonts w:ascii="Times New Roman" w:eastAsia="Times New Roman" w:hAnsi="Times New Roman" w:cs="Times New Roman"/>
                <w:sz w:val="28"/>
                <w:szCs w:val="28"/>
                <w:lang w:val="uk-UA" w:eastAsia="ru-RU"/>
              </w:rPr>
              <w:t xml:space="preserve"> </w:t>
            </w:r>
            <w:r w:rsidR="001D7F24">
              <w:rPr>
                <w:rFonts w:ascii="Times New Roman" w:eastAsia="Times New Roman" w:hAnsi="Times New Roman" w:cs="Times New Roman"/>
                <w:sz w:val="28"/>
                <w:szCs w:val="28"/>
                <w:lang w:val="en-US" w:eastAsia="ru-RU"/>
              </w:rPr>
              <w:t>n</w:t>
            </w:r>
          </w:p>
          <w:p w:rsidR="000D5D27" w:rsidRPr="00625348" w:rsidRDefault="000D5D27" w:rsidP="00625348">
            <w:pPr>
              <w:spacing w:line="240" w:lineRule="auto"/>
              <w:jc w:val="center"/>
              <w:rPr>
                <w:rFonts w:ascii="Times New Roman" w:eastAsia="Times New Roman" w:hAnsi="Times New Roman" w:cs="Times New Roman"/>
                <w:sz w:val="28"/>
                <w:szCs w:val="28"/>
                <w:lang w:val="uk-UA" w:bidi="en-US"/>
              </w:rPr>
            </w:pPr>
          </w:p>
        </w:tc>
        <w:tc>
          <w:tcPr>
            <w:tcW w:w="1276" w:type="dxa"/>
            <w:tcBorders>
              <w:top w:val="single" w:sz="4" w:space="0" w:color="auto"/>
              <w:left w:val="single" w:sz="4" w:space="0" w:color="auto"/>
              <w:bottom w:val="single" w:sz="4" w:space="0" w:color="auto"/>
              <w:right w:val="single" w:sz="4" w:space="0" w:color="auto"/>
            </w:tcBorders>
            <w:hideMark/>
          </w:tcPr>
          <w:p w:rsidR="00625348" w:rsidRPr="002B4682" w:rsidRDefault="00625348" w:rsidP="00625348">
            <w:pPr>
              <w:spacing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після лікуван</w:t>
            </w:r>
            <w:r w:rsidR="00942EFF">
              <w:rPr>
                <w:rFonts w:ascii="Times New Roman" w:eastAsia="Times New Roman" w:hAnsi="Times New Roman" w:cs="Times New Roman"/>
                <w:sz w:val="28"/>
                <w:szCs w:val="28"/>
                <w:lang w:val="uk-UA" w:eastAsia="ru-RU"/>
              </w:rPr>
              <w:t>-</w:t>
            </w:r>
            <w:r w:rsidRPr="00625348">
              <w:rPr>
                <w:rFonts w:ascii="Times New Roman" w:eastAsia="Times New Roman" w:hAnsi="Times New Roman" w:cs="Times New Roman"/>
                <w:sz w:val="28"/>
                <w:szCs w:val="28"/>
                <w:lang w:val="uk-UA" w:eastAsia="ru-RU"/>
              </w:rPr>
              <w:t>ня</w:t>
            </w:r>
            <w:r w:rsidR="001D7F24">
              <w:rPr>
                <w:rFonts w:ascii="Times New Roman" w:eastAsia="Times New Roman" w:hAnsi="Times New Roman" w:cs="Times New Roman"/>
                <w:sz w:val="28"/>
                <w:szCs w:val="28"/>
                <w:lang w:val="uk-UA" w:eastAsia="ru-RU"/>
              </w:rPr>
              <w:t>,</w:t>
            </w:r>
            <w:r w:rsidR="00C300D3">
              <w:rPr>
                <w:rFonts w:ascii="Times New Roman" w:eastAsia="Times New Roman" w:hAnsi="Times New Roman" w:cs="Times New Roman"/>
                <w:sz w:val="28"/>
                <w:szCs w:val="28"/>
                <w:lang w:val="uk-UA" w:eastAsia="ru-RU"/>
              </w:rPr>
              <w:t xml:space="preserve"> </w:t>
            </w:r>
            <w:r w:rsidR="001D7F24">
              <w:rPr>
                <w:rFonts w:ascii="Times New Roman" w:eastAsia="Times New Roman" w:hAnsi="Times New Roman" w:cs="Times New Roman"/>
                <w:sz w:val="28"/>
                <w:szCs w:val="28"/>
                <w:lang w:val="en-US" w:eastAsia="ru-RU"/>
              </w:rPr>
              <w:t>n</w:t>
            </w:r>
          </w:p>
        </w:tc>
        <w:tc>
          <w:tcPr>
            <w:tcW w:w="1275" w:type="dxa"/>
            <w:tcBorders>
              <w:top w:val="single" w:sz="4" w:space="0" w:color="auto"/>
              <w:left w:val="single" w:sz="4" w:space="0" w:color="auto"/>
              <w:bottom w:val="single" w:sz="4" w:space="0" w:color="auto"/>
              <w:right w:val="single" w:sz="4" w:space="0" w:color="auto"/>
            </w:tcBorders>
            <w:hideMark/>
          </w:tcPr>
          <w:p w:rsidR="00625348" w:rsidRPr="002B4682" w:rsidRDefault="001D7F24"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eastAsia="ru-RU"/>
              </w:rPr>
              <w:t>з</w:t>
            </w:r>
            <w:r w:rsidR="00625348" w:rsidRPr="00625348">
              <w:rPr>
                <w:rFonts w:ascii="Times New Roman" w:eastAsia="Times New Roman" w:hAnsi="Times New Roman" w:cs="Times New Roman"/>
                <w:sz w:val="28"/>
                <w:szCs w:val="28"/>
                <w:lang w:val="uk-UA" w:eastAsia="ru-RU"/>
              </w:rPr>
              <w:t>сув</w:t>
            </w:r>
            <w:r w:rsidRPr="002B4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n</w:t>
            </w:r>
          </w:p>
        </w:tc>
        <w:tc>
          <w:tcPr>
            <w:tcW w:w="1276" w:type="dxa"/>
            <w:tcBorders>
              <w:top w:val="single" w:sz="4" w:space="0" w:color="auto"/>
              <w:left w:val="single" w:sz="4" w:space="0" w:color="auto"/>
              <w:bottom w:val="single" w:sz="4" w:space="0" w:color="auto"/>
              <w:right w:val="single" w:sz="4" w:space="0" w:color="auto"/>
            </w:tcBorders>
            <w:hideMark/>
          </w:tcPr>
          <w:p w:rsidR="00625348" w:rsidRPr="002B4682" w:rsidRDefault="00625348" w:rsidP="00625348">
            <w:pPr>
              <w:spacing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 xml:space="preserve">до </w:t>
            </w:r>
            <w:r w:rsidR="001D7F24">
              <w:rPr>
                <w:rFonts w:ascii="Times New Roman" w:eastAsia="Times New Roman" w:hAnsi="Times New Roman" w:cs="Times New Roman"/>
                <w:sz w:val="28"/>
                <w:szCs w:val="28"/>
                <w:lang w:val="uk-UA" w:eastAsia="ru-RU"/>
              </w:rPr>
              <w:t>лікуван</w:t>
            </w:r>
            <w:r w:rsidR="00942EFF">
              <w:rPr>
                <w:rFonts w:ascii="Times New Roman" w:eastAsia="Times New Roman" w:hAnsi="Times New Roman" w:cs="Times New Roman"/>
                <w:sz w:val="28"/>
                <w:szCs w:val="28"/>
                <w:lang w:val="uk-UA" w:eastAsia="ru-RU"/>
              </w:rPr>
              <w:t>-</w:t>
            </w:r>
            <w:r w:rsidR="001D7F24">
              <w:rPr>
                <w:rFonts w:ascii="Times New Roman" w:eastAsia="Times New Roman" w:hAnsi="Times New Roman" w:cs="Times New Roman"/>
                <w:sz w:val="28"/>
                <w:szCs w:val="28"/>
                <w:lang w:val="uk-UA" w:eastAsia="ru-RU"/>
              </w:rPr>
              <w:t>ня,</w:t>
            </w:r>
            <w:r w:rsidR="00C300D3">
              <w:rPr>
                <w:rFonts w:ascii="Times New Roman" w:eastAsia="Times New Roman" w:hAnsi="Times New Roman" w:cs="Times New Roman"/>
                <w:sz w:val="28"/>
                <w:szCs w:val="28"/>
                <w:lang w:val="uk-UA" w:eastAsia="ru-RU"/>
              </w:rPr>
              <w:t xml:space="preserve"> </w:t>
            </w:r>
            <w:r w:rsidR="001D7F24">
              <w:rPr>
                <w:rFonts w:ascii="Times New Roman" w:eastAsia="Times New Roman" w:hAnsi="Times New Roman" w:cs="Times New Roman"/>
                <w:sz w:val="28"/>
                <w:szCs w:val="28"/>
                <w:lang w:val="en-US" w:eastAsia="ru-RU"/>
              </w:rPr>
              <w:t>n</w:t>
            </w:r>
          </w:p>
        </w:tc>
        <w:tc>
          <w:tcPr>
            <w:tcW w:w="1276" w:type="dxa"/>
            <w:tcBorders>
              <w:top w:val="single" w:sz="4" w:space="0" w:color="auto"/>
              <w:left w:val="single" w:sz="4" w:space="0" w:color="auto"/>
              <w:bottom w:val="single" w:sz="4" w:space="0" w:color="auto"/>
              <w:right w:val="single" w:sz="4" w:space="0" w:color="auto"/>
            </w:tcBorders>
            <w:hideMark/>
          </w:tcPr>
          <w:p w:rsidR="00625348" w:rsidRPr="002B4682" w:rsidRDefault="00625348" w:rsidP="00625348">
            <w:pPr>
              <w:spacing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після лікуван</w:t>
            </w:r>
            <w:r w:rsidR="00942EFF">
              <w:rPr>
                <w:rFonts w:ascii="Times New Roman" w:eastAsia="Times New Roman" w:hAnsi="Times New Roman" w:cs="Times New Roman"/>
                <w:sz w:val="28"/>
                <w:szCs w:val="28"/>
                <w:lang w:val="uk-UA" w:eastAsia="ru-RU"/>
              </w:rPr>
              <w:t>-</w:t>
            </w:r>
            <w:r w:rsidRPr="00625348">
              <w:rPr>
                <w:rFonts w:ascii="Times New Roman" w:eastAsia="Times New Roman" w:hAnsi="Times New Roman" w:cs="Times New Roman"/>
                <w:sz w:val="28"/>
                <w:szCs w:val="28"/>
                <w:lang w:val="uk-UA" w:eastAsia="ru-RU"/>
              </w:rPr>
              <w:t>ня</w:t>
            </w:r>
            <w:r w:rsidR="001D7F24" w:rsidRPr="002B4682">
              <w:rPr>
                <w:rFonts w:ascii="Times New Roman" w:eastAsia="Times New Roman" w:hAnsi="Times New Roman" w:cs="Times New Roman"/>
                <w:sz w:val="28"/>
                <w:szCs w:val="28"/>
                <w:lang w:val="uk-UA" w:eastAsia="ru-RU"/>
              </w:rPr>
              <w:t>,</w:t>
            </w:r>
            <w:r w:rsidR="00C300D3">
              <w:rPr>
                <w:rFonts w:ascii="Times New Roman" w:eastAsia="Times New Roman" w:hAnsi="Times New Roman" w:cs="Times New Roman"/>
                <w:sz w:val="28"/>
                <w:szCs w:val="28"/>
                <w:lang w:val="uk-UA" w:eastAsia="ru-RU"/>
              </w:rPr>
              <w:t xml:space="preserve"> </w:t>
            </w:r>
            <w:r w:rsidR="001D7F24">
              <w:rPr>
                <w:rFonts w:ascii="Times New Roman" w:eastAsia="Times New Roman" w:hAnsi="Times New Roman" w:cs="Times New Roman"/>
                <w:sz w:val="28"/>
                <w:szCs w:val="28"/>
                <w:lang w:val="en-US" w:eastAsia="ru-RU"/>
              </w:rPr>
              <w:t>n</w:t>
            </w:r>
          </w:p>
        </w:tc>
        <w:tc>
          <w:tcPr>
            <w:tcW w:w="1134" w:type="dxa"/>
            <w:tcBorders>
              <w:top w:val="single" w:sz="4" w:space="0" w:color="auto"/>
              <w:left w:val="single" w:sz="4" w:space="0" w:color="auto"/>
              <w:bottom w:val="single" w:sz="4" w:space="0" w:color="auto"/>
              <w:right w:val="single" w:sz="4" w:space="0" w:color="auto"/>
            </w:tcBorders>
            <w:hideMark/>
          </w:tcPr>
          <w:p w:rsidR="00625348" w:rsidRPr="001D7F24" w:rsidRDefault="001D7F24" w:rsidP="00625348">
            <w:pPr>
              <w:spacing w:after="0" w:line="240" w:lineRule="auto"/>
              <w:jc w:val="center"/>
              <w:rPr>
                <w:rFonts w:ascii="Times New Roman" w:eastAsia="Times New Roman" w:hAnsi="Times New Roman" w:cs="Times New Roman"/>
                <w:sz w:val="28"/>
                <w:szCs w:val="28"/>
                <w:lang w:val="en-US" w:bidi="en-US"/>
              </w:rPr>
            </w:pPr>
            <w:r>
              <w:rPr>
                <w:rFonts w:ascii="Times New Roman" w:eastAsia="Times New Roman" w:hAnsi="Times New Roman" w:cs="Times New Roman"/>
                <w:sz w:val="28"/>
                <w:szCs w:val="28"/>
                <w:lang w:val="uk-UA" w:eastAsia="ru-RU"/>
              </w:rPr>
              <w:t>з</w:t>
            </w:r>
            <w:r w:rsidR="00625348" w:rsidRPr="00625348">
              <w:rPr>
                <w:rFonts w:ascii="Times New Roman" w:eastAsia="Times New Roman" w:hAnsi="Times New Roman" w:cs="Times New Roman"/>
                <w:sz w:val="28"/>
                <w:szCs w:val="28"/>
                <w:lang w:val="uk-UA" w:eastAsia="ru-RU"/>
              </w:rPr>
              <w:t>сув</w:t>
            </w:r>
            <w:r w:rsidRPr="002B468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n</w:t>
            </w:r>
          </w:p>
        </w:tc>
      </w:tr>
      <w:tr w:rsidR="00D61083" w:rsidRPr="001D7F24" w:rsidTr="00940AAC">
        <w:tc>
          <w:tcPr>
            <w:tcW w:w="1843" w:type="dxa"/>
            <w:tcBorders>
              <w:top w:val="single" w:sz="4" w:space="0" w:color="auto"/>
              <w:left w:val="single" w:sz="4" w:space="0" w:color="auto"/>
              <w:bottom w:val="single" w:sz="4" w:space="0" w:color="auto"/>
              <w:right w:val="single" w:sz="4" w:space="0" w:color="auto"/>
            </w:tcBorders>
          </w:tcPr>
          <w:p w:rsidR="00D61083" w:rsidRPr="00625348" w:rsidRDefault="00D61083" w:rsidP="00D61083">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D61083" w:rsidRDefault="00D6108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D61083" w:rsidRDefault="00D6108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D61083" w:rsidRDefault="00D6108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D61083" w:rsidRDefault="00D61083"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D61083" w:rsidRDefault="00D61083"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D61083" w:rsidRDefault="00D61083" w:rsidP="0062534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7</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hideMark/>
          </w:tcPr>
          <w:p w:rsidR="00625348" w:rsidRPr="003A39B7" w:rsidRDefault="00FE3D7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С</w:t>
            </w:r>
            <w:r w:rsidR="00625348" w:rsidRPr="00CC5CC7">
              <w:rPr>
                <w:rFonts w:ascii="Times New Roman" w:eastAsia="Times New Roman" w:hAnsi="Times New Roman" w:cs="Times New Roman"/>
                <w:sz w:val="28"/>
                <w:szCs w:val="28"/>
                <w:lang w:val="uk-UA" w:bidi="en-US"/>
              </w:rPr>
              <w:t>прага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AC" w:rsidRDefault="00CC5CC7" w:rsidP="00625348">
            <w:pPr>
              <w:spacing w:after="0" w:line="240" w:lineRule="auto"/>
              <w:jc w:val="center"/>
              <w:rPr>
                <w:rFonts w:ascii="Times New Roman" w:eastAsia="Times New Roman" w:hAnsi="Times New Roman" w:cs="Times New Roman"/>
                <w:sz w:val="28"/>
                <w:szCs w:val="28"/>
                <w:lang w:val="uk-UA" w:bidi="en-US"/>
              </w:rPr>
            </w:pPr>
            <w:r w:rsidRPr="00CC5CC7">
              <w:rPr>
                <w:rFonts w:ascii="Times New Roman" w:eastAsia="Times New Roman" w:hAnsi="Times New Roman" w:cs="Times New Roman"/>
                <w:sz w:val="28"/>
                <w:szCs w:val="28"/>
                <w:lang w:val="en-US" w:bidi="en-US"/>
              </w:rPr>
              <w:t>30</w:t>
            </w:r>
            <w:r w:rsidR="000D5D27" w:rsidRPr="00CC5CC7">
              <w:rPr>
                <w:rFonts w:ascii="Times New Roman" w:eastAsia="Times New Roman" w:hAnsi="Times New Roman" w:cs="Times New Roman"/>
                <w:sz w:val="28"/>
                <w:szCs w:val="28"/>
                <w:lang w:val="uk-UA" w:bidi="en-US"/>
              </w:rPr>
              <w:t xml:space="preserve"> </w:t>
            </w:r>
          </w:p>
          <w:p w:rsidR="00625348" w:rsidRPr="003A39B7" w:rsidRDefault="000D5D27" w:rsidP="00625348">
            <w:pPr>
              <w:spacing w:after="0" w:line="240" w:lineRule="auto"/>
              <w:jc w:val="center"/>
              <w:rPr>
                <w:rFonts w:ascii="Times New Roman" w:eastAsia="Times New Roman" w:hAnsi="Times New Roman" w:cs="Times New Roman"/>
                <w:sz w:val="28"/>
                <w:szCs w:val="28"/>
                <w:highlight w:val="yellow"/>
                <w:lang w:val="uk-UA" w:bidi="en-US"/>
              </w:rPr>
            </w:pPr>
            <w:r w:rsidRPr="001C6EC9">
              <w:rPr>
                <w:rFonts w:ascii="Times New Roman" w:eastAsia="Times New Roman" w:hAnsi="Times New Roman" w:cs="Times New Roman"/>
                <w:sz w:val="28"/>
                <w:szCs w:val="28"/>
                <w:lang w:val="uk-UA" w:bidi="en-US"/>
              </w:rPr>
              <w:t>(</w:t>
            </w:r>
            <w:r w:rsidR="001C6EC9" w:rsidRPr="001C6EC9">
              <w:rPr>
                <w:rFonts w:ascii="Times New Roman" w:eastAsia="Times New Roman" w:hAnsi="Times New Roman" w:cs="Times New Roman"/>
                <w:sz w:val="28"/>
                <w:szCs w:val="28"/>
                <w:lang w:val="uk-UA" w:bidi="en-US"/>
              </w:rPr>
              <w:t>5</w:t>
            </w:r>
            <w:r w:rsidR="001C6EC9" w:rsidRPr="001C6EC9">
              <w:rPr>
                <w:rFonts w:ascii="Times New Roman" w:eastAsia="Times New Roman" w:hAnsi="Times New Roman" w:cs="Times New Roman"/>
                <w:sz w:val="28"/>
                <w:szCs w:val="28"/>
                <w:lang w:val="en-US" w:bidi="en-US"/>
              </w:rPr>
              <w:t>5</w:t>
            </w:r>
            <w:r w:rsidR="001C6EC9" w:rsidRPr="001C6EC9">
              <w:rPr>
                <w:rFonts w:ascii="Times New Roman" w:eastAsia="Times New Roman" w:hAnsi="Times New Roman" w:cs="Times New Roman"/>
                <w:sz w:val="28"/>
                <w:szCs w:val="28"/>
                <w:lang w:val="uk-UA" w:bidi="en-US"/>
              </w:rPr>
              <w:t>,</w:t>
            </w:r>
            <w:r w:rsidR="001C6EC9" w:rsidRPr="001C6EC9">
              <w:rPr>
                <w:rFonts w:ascii="Times New Roman" w:eastAsia="Times New Roman" w:hAnsi="Times New Roman" w:cs="Times New Roman"/>
                <w:sz w:val="28"/>
                <w:szCs w:val="28"/>
                <w:lang w:val="en-US" w:bidi="en-US"/>
              </w:rPr>
              <w:t>6</w:t>
            </w:r>
            <w:r w:rsidR="00FE3D7D">
              <w:rPr>
                <w:rFonts w:ascii="Times New Roman" w:eastAsia="Times New Roman" w:hAnsi="Times New Roman" w:cs="Times New Roman"/>
                <w:sz w:val="28"/>
                <w:szCs w:val="28"/>
                <w:lang w:val="uk-UA" w:bidi="en-US"/>
              </w:rPr>
              <w:t xml:space="preserve"> </w:t>
            </w:r>
            <w:r w:rsidRPr="001C6EC9">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26</w:t>
            </w:r>
            <w:r w:rsidR="00062DEC">
              <w:rPr>
                <w:rFonts w:ascii="Times New Roman" w:eastAsia="Times New Roman" w:hAnsi="Times New Roman" w:cs="Times New Roman"/>
                <w:sz w:val="28"/>
                <w:szCs w:val="28"/>
                <w:highlight w:val="yellow"/>
                <w:lang w:val="uk-UA" w:bidi="en-US"/>
              </w:rPr>
              <w:t xml:space="preserve"> </w:t>
            </w:r>
          </w:p>
          <w:p w:rsidR="00625348" w:rsidRPr="003A39B7" w:rsidRDefault="00062DEC" w:rsidP="00625348">
            <w:pPr>
              <w:spacing w:after="0" w:line="240" w:lineRule="auto"/>
              <w:jc w:val="center"/>
              <w:rPr>
                <w:rFonts w:ascii="Times New Roman" w:eastAsia="Times New Roman" w:hAnsi="Times New Roman" w:cs="Times New Roman"/>
                <w:sz w:val="28"/>
                <w:szCs w:val="28"/>
                <w:highlight w:val="yellow"/>
                <w:lang w:val="uk-UA" w:bidi="en-US"/>
              </w:rPr>
            </w:pPr>
            <w:r w:rsidRPr="00062DEC">
              <w:rPr>
                <w:rFonts w:ascii="Times New Roman" w:eastAsia="Times New Roman" w:hAnsi="Times New Roman" w:cs="Times New Roman"/>
                <w:sz w:val="28"/>
                <w:szCs w:val="28"/>
                <w:lang w:val="uk-UA" w:bidi="en-US"/>
              </w:rPr>
              <w:t>(</w:t>
            </w:r>
            <w:r w:rsidRPr="00062DEC">
              <w:rPr>
                <w:rFonts w:ascii="Times New Roman" w:eastAsia="Times New Roman" w:hAnsi="Times New Roman" w:cs="Times New Roman"/>
                <w:sz w:val="28"/>
                <w:szCs w:val="28"/>
                <w:lang w:val="en-US" w:bidi="en-US"/>
              </w:rPr>
              <w:t>48,1</w:t>
            </w:r>
            <w:r w:rsidR="00FE3D7D">
              <w:rPr>
                <w:rFonts w:ascii="Times New Roman" w:eastAsia="Times New Roman" w:hAnsi="Times New Roman" w:cs="Times New Roman"/>
                <w:sz w:val="28"/>
                <w:szCs w:val="28"/>
                <w:lang w:val="uk-UA" w:bidi="en-US"/>
              </w:rPr>
              <w:t xml:space="preserve"> </w:t>
            </w:r>
            <w:r w:rsidR="000D5D27" w:rsidRPr="00062DEC">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348" w:rsidRPr="003A39B7" w:rsidRDefault="002B2889" w:rsidP="00625348">
            <w:pPr>
              <w:spacing w:after="0" w:line="240" w:lineRule="auto"/>
              <w:jc w:val="center"/>
              <w:rPr>
                <w:rFonts w:ascii="Times New Roman" w:eastAsia="Times New Roman" w:hAnsi="Times New Roman" w:cs="Times New Roman"/>
                <w:sz w:val="28"/>
                <w:szCs w:val="28"/>
                <w:highlight w:val="yellow"/>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4</w:t>
            </w:r>
            <w:r w:rsidR="000D5D27" w:rsidRPr="006A1E5B">
              <w:rPr>
                <w:rFonts w:ascii="Times New Roman" w:eastAsia="Times New Roman" w:hAnsi="Times New Roman" w:cs="Times New Roman"/>
                <w:sz w:val="28"/>
                <w:szCs w:val="28"/>
                <w:lang w:val="uk-UA" w:bidi="en-US"/>
              </w:rPr>
              <w:t xml:space="preserve"> </w:t>
            </w:r>
            <w:r w:rsidR="00FE3D7D">
              <w:rPr>
                <w:rFonts w:ascii="Times New Roman" w:eastAsia="Times New Roman" w:hAnsi="Times New Roman" w:cs="Times New Roman"/>
                <w:sz w:val="28"/>
                <w:szCs w:val="28"/>
                <w:lang w:val="uk-UA" w:bidi="en-US"/>
              </w:rPr>
              <w:t xml:space="preserve">     </w:t>
            </w:r>
            <w:r w:rsidR="0005082A" w:rsidRPr="0005082A">
              <w:rPr>
                <w:rFonts w:ascii="Times New Roman" w:eastAsia="Times New Roman" w:hAnsi="Times New Roman" w:cs="Times New Roman"/>
                <w:sz w:val="28"/>
                <w:szCs w:val="28"/>
                <w:lang w:val="uk-UA" w:bidi="en-US"/>
              </w:rPr>
              <w:t>(7,</w:t>
            </w:r>
            <w:r w:rsidR="0005082A" w:rsidRPr="0005082A">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0D5D27" w:rsidRPr="0005082A">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940AAC">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en-US" w:bidi="en-US"/>
              </w:rPr>
              <w:t>24</w:t>
            </w:r>
            <w:r w:rsidR="00940AAC">
              <w:rPr>
                <w:rFonts w:ascii="Times New Roman" w:eastAsia="Times New Roman" w:hAnsi="Times New Roman" w:cs="Times New Roman"/>
                <w:sz w:val="28"/>
                <w:szCs w:val="28"/>
                <w:lang w:val="uk-UA" w:bidi="en-US"/>
              </w:rPr>
              <w:t xml:space="preserve"> </w:t>
            </w:r>
          </w:p>
          <w:p w:rsidR="00625348" w:rsidRPr="00D24F21" w:rsidRDefault="00D24F21" w:rsidP="00940AAC">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uk-UA" w:bidi="en-US"/>
              </w:rPr>
              <w:t>(</w:t>
            </w:r>
            <w:r w:rsidRPr="00D24F21">
              <w:rPr>
                <w:rFonts w:ascii="Times New Roman" w:eastAsia="Times New Roman" w:hAnsi="Times New Roman" w:cs="Times New Roman"/>
                <w:sz w:val="28"/>
                <w:szCs w:val="28"/>
                <w:lang w:val="en-US" w:bidi="en-US"/>
              </w:rPr>
              <w:t>60</w:t>
            </w:r>
            <w:r w:rsidR="00FE3D7D">
              <w:rPr>
                <w:rFonts w:ascii="Times New Roman" w:eastAsia="Times New Roman" w:hAnsi="Times New Roman" w:cs="Times New Roman"/>
                <w:sz w:val="28"/>
                <w:szCs w:val="28"/>
                <w:lang w:val="uk-UA" w:bidi="en-US"/>
              </w:rPr>
              <w:t xml:space="preserve"> </w:t>
            </w:r>
            <w:r w:rsidR="00CD6439" w:rsidRPr="00D24F21">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D24F21"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en-US" w:bidi="en-US"/>
              </w:rPr>
              <w:t>22</w:t>
            </w:r>
            <w:r w:rsidR="00CD6439" w:rsidRPr="00D24F21">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CD6439"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uk-UA" w:bidi="en-US"/>
              </w:rPr>
              <w:t>5</w:t>
            </w:r>
            <w:r w:rsidR="0049630C" w:rsidRPr="00D24F21">
              <w:rPr>
                <w:rFonts w:ascii="Times New Roman" w:eastAsia="Times New Roman" w:hAnsi="Times New Roman" w:cs="Times New Roman"/>
                <w:sz w:val="28"/>
                <w:szCs w:val="28"/>
                <w:lang w:val="uk-UA" w:bidi="en-US"/>
              </w:rPr>
              <w:t>5</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D24F21" w:rsidRDefault="0049630C" w:rsidP="00625348">
            <w:pPr>
              <w:spacing w:after="0" w:line="240" w:lineRule="auto"/>
              <w:jc w:val="center"/>
              <w:rPr>
                <w:rFonts w:ascii="Times New Roman" w:eastAsia="Times New Roman" w:hAnsi="Times New Roman" w:cs="Times New Roman"/>
                <w:sz w:val="28"/>
                <w:szCs w:val="28"/>
                <w:lang w:val="uk-UA" w:eastAsia="ru-RU" w:bidi="en-US"/>
              </w:rPr>
            </w:pPr>
            <w:r w:rsidRPr="00D24F21">
              <w:rPr>
                <w:rFonts w:ascii="Times New Roman" w:eastAsia="Times New Roman" w:hAnsi="Times New Roman" w:cs="Times New Roman"/>
                <w:sz w:val="28"/>
                <w:szCs w:val="28"/>
                <w:lang w:val="uk-UA" w:eastAsia="ru-RU" w:bidi="en-US"/>
              </w:rPr>
              <w:t>-</w:t>
            </w:r>
            <w:r w:rsidR="00882246" w:rsidRPr="00D24F21">
              <w:rPr>
                <w:rFonts w:ascii="Times New Roman" w:eastAsia="Times New Roman" w:hAnsi="Times New Roman" w:cs="Times New Roman"/>
                <w:sz w:val="28"/>
                <w:szCs w:val="28"/>
                <w:lang w:val="en-US" w:eastAsia="ru-RU" w:bidi="en-US"/>
              </w:rPr>
              <w:t>2</w:t>
            </w:r>
            <w:r w:rsidRPr="00D24F21">
              <w:rPr>
                <w:rFonts w:ascii="Times New Roman" w:eastAsia="Times New Roman" w:hAnsi="Times New Roman" w:cs="Times New Roman"/>
                <w:sz w:val="28"/>
                <w:szCs w:val="28"/>
                <w:lang w:val="uk-UA" w:eastAsia="ru-RU" w:bidi="en-US"/>
              </w:rPr>
              <w:t xml:space="preserve"> </w:t>
            </w:r>
            <w:r w:rsidR="00D1456D">
              <w:rPr>
                <w:rFonts w:ascii="Times New Roman" w:eastAsia="Times New Roman" w:hAnsi="Times New Roman" w:cs="Times New Roman"/>
                <w:sz w:val="28"/>
                <w:szCs w:val="28"/>
                <w:lang w:val="uk-UA" w:eastAsia="ru-RU" w:bidi="en-US"/>
              </w:rPr>
              <w:t xml:space="preserve">    </w:t>
            </w:r>
            <w:r w:rsidR="00D24F21" w:rsidRPr="00D24F21">
              <w:rPr>
                <w:rFonts w:ascii="Times New Roman" w:eastAsia="Times New Roman" w:hAnsi="Times New Roman" w:cs="Times New Roman"/>
                <w:sz w:val="28"/>
                <w:szCs w:val="28"/>
                <w:lang w:val="uk-UA" w:eastAsia="ru-RU" w:bidi="en-US"/>
              </w:rPr>
              <w:t>(</w:t>
            </w:r>
            <w:r w:rsidR="00D24F21" w:rsidRPr="00D24F21">
              <w:rPr>
                <w:rFonts w:ascii="Times New Roman" w:eastAsia="Times New Roman" w:hAnsi="Times New Roman" w:cs="Times New Roman"/>
                <w:sz w:val="28"/>
                <w:szCs w:val="28"/>
                <w:lang w:val="en-US" w:eastAsia="ru-RU" w:bidi="en-US"/>
              </w:rPr>
              <w:t>5</w:t>
            </w:r>
            <w:r w:rsidRPr="00D24F21">
              <w:rPr>
                <w:rFonts w:ascii="Times New Roman" w:eastAsia="Times New Roman" w:hAnsi="Times New Roman" w:cs="Times New Roman"/>
                <w:sz w:val="28"/>
                <w:szCs w:val="28"/>
                <w:lang w:val="uk-UA" w:eastAsia="ru-RU" w:bidi="en-US"/>
              </w:rPr>
              <w:t>,0</w:t>
            </w:r>
            <w:r w:rsidR="00FE3D7D">
              <w:rPr>
                <w:rFonts w:ascii="Times New Roman" w:eastAsia="Times New Roman" w:hAnsi="Times New Roman" w:cs="Times New Roman"/>
                <w:sz w:val="28"/>
                <w:szCs w:val="28"/>
                <w:lang w:val="uk-UA" w:eastAsia="ru-RU" w:bidi="en-US"/>
              </w:rPr>
              <w:t xml:space="preserve"> </w:t>
            </w:r>
            <w:r w:rsidRPr="00D24F21">
              <w:rPr>
                <w:rFonts w:ascii="Times New Roman" w:eastAsia="Times New Roman" w:hAnsi="Times New Roman" w:cs="Times New Roman"/>
                <w:sz w:val="28"/>
                <w:szCs w:val="28"/>
                <w:lang w:val="uk-UA" w:eastAsia="ru-RU"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FE3D7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В</w:t>
            </w:r>
            <w:r w:rsidR="00625348" w:rsidRPr="001C6EC9">
              <w:rPr>
                <w:rFonts w:ascii="Times New Roman" w:eastAsia="Times New Roman" w:hAnsi="Times New Roman" w:cs="Times New Roman"/>
                <w:sz w:val="28"/>
                <w:szCs w:val="28"/>
                <w:lang w:val="uk-UA" w:bidi="en-US"/>
              </w:rPr>
              <w:t>томлюва</w:t>
            </w:r>
            <w:r w:rsidR="0036171A">
              <w:rPr>
                <w:rFonts w:ascii="Times New Roman" w:eastAsia="Times New Roman" w:hAnsi="Times New Roman" w:cs="Times New Roman"/>
                <w:sz w:val="28"/>
                <w:szCs w:val="28"/>
                <w:lang w:val="uk-UA" w:bidi="en-US"/>
              </w:rPr>
              <w:t>-</w:t>
            </w:r>
            <w:r w:rsidR="00625348" w:rsidRPr="001C6EC9">
              <w:rPr>
                <w:rFonts w:ascii="Times New Roman" w:eastAsia="Times New Roman" w:hAnsi="Times New Roman" w:cs="Times New Roman"/>
                <w:sz w:val="28"/>
                <w:szCs w:val="28"/>
                <w:lang w:val="uk-UA" w:bidi="en-US"/>
              </w:rPr>
              <w:t>ність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5CC7" w:rsidRPr="00CC5CC7" w:rsidRDefault="00CC5CC7" w:rsidP="00625348">
            <w:pPr>
              <w:spacing w:after="0" w:line="240" w:lineRule="auto"/>
              <w:jc w:val="center"/>
              <w:rPr>
                <w:rFonts w:ascii="Times New Roman" w:eastAsia="Times New Roman" w:hAnsi="Times New Roman" w:cs="Times New Roman"/>
                <w:sz w:val="28"/>
                <w:szCs w:val="28"/>
                <w:lang w:val="en-US" w:bidi="en-US"/>
              </w:rPr>
            </w:pPr>
            <w:r w:rsidRPr="00CC5CC7">
              <w:rPr>
                <w:rFonts w:ascii="Times New Roman" w:eastAsia="Times New Roman" w:hAnsi="Times New Roman" w:cs="Times New Roman"/>
                <w:sz w:val="28"/>
                <w:szCs w:val="28"/>
                <w:lang w:val="en-US" w:bidi="en-US"/>
              </w:rPr>
              <w:t>40</w:t>
            </w:r>
          </w:p>
          <w:p w:rsidR="00625348" w:rsidRPr="003A39B7" w:rsidRDefault="001C6EC9" w:rsidP="00625348">
            <w:pPr>
              <w:spacing w:after="0" w:line="240" w:lineRule="auto"/>
              <w:jc w:val="center"/>
              <w:rPr>
                <w:rFonts w:ascii="Times New Roman" w:eastAsia="Times New Roman" w:hAnsi="Times New Roman" w:cs="Times New Roman"/>
                <w:sz w:val="28"/>
                <w:szCs w:val="28"/>
                <w:highlight w:val="yellow"/>
                <w:lang w:val="uk-UA" w:bidi="en-US"/>
              </w:rPr>
            </w:pPr>
            <w:r w:rsidRPr="001C6EC9">
              <w:rPr>
                <w:rFonts w:ascii="Times New Roman" w:eastAsia="Times New Roman" w:hAnsi="Times New Roman" w:cs="Times New Roman"/>
                <w:sz w:val="28"/>
                <w:szCs w:val="28"/>
                <w:lang w:val="uk-UA" w:bidi="en-US"/>
              </w:rPr>
              <w:t>(</w:t>
            </w:r>
            <w:r w:rsidRPr="001C6EC9">
              <w:rPr>
                <w:rFonts w:ascii="Times New Roman" w:eastAsia="Times New Roman" w:hAnsi="Times New Roman" w:cs="Times New Roman"/>
                <w:sz w:val="28"/>
                <w:szCs w:val="28"/>
                <w:lang w:val="en-US" w:bidi="en-US"/>
              </w:rPr>
              <w:t>74,1</w:t>
            </w:r>
            <w:r w:rsidR="00FE3D7D">
              <w:rPr>
                <w:rFonts w:ascii="Times New Roman" w:eastAsia="Times New Roman" w:hAnsi="Times New Roman" w:cs="Times New Roman"/>
                <w:sz w:val="28"/>
                <w:szCs w:val="28"/>
                <w:lang w:val="uk-UA" w:bidi="en-US"/>
              </w:rPr>
              <w:t xml:space="preserve"> </w:t>
            </w:r>
            <w:r w:rsidR="002B2889" w:rsidRPr="001C6EC9">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5348" w:rsidRPr="003A39B7" w:rsidRDefault="000B7457" w:rsidP="00625348">
            <w:pPr>
              <w:spacing w:after="0" w:line="240" w:lineRule="auto"/>
              <w:rPr>
                <w:rFonts w:ascii="Times New Roman" w:eastAsia="Times New Roman" w:hAnsi="Times New Roman" w:cs="Times New Roman"/>
                <w:sz w:val="28"/>
                <w:szCs w:val="28"/>
                <w:highlight w:val="yellow"/>
                <w:lang w:val="uk-UA" w:bidi="en-US"/>
              </w:rPr>
            </w:pPr>
            <w:r w:rsidRPr="006A1E5B">
              <w:rPr>
                <w:rFonts w:ascii="Times New Roman" w:eastAsia="Times New Roman" w:hAnsi="Times New Roman" w:cs="Times New Roman"/>
                <w:sz w:val="28"/>
                <w:szCs w:val="28"/>
                <w:lang w:val="uk-UA" w:bidi="en-US"/>
              </w:rPr>
              <w:t xml:space="preserve"> </w:t>
            </w:r>
            <w:r w:rsidR="002B2889" w:rsidRPr="006A1E5B">
              <w:rPr>
                <w:rFonts w:ascii="Times New Roman" w:eastAsia="Times New Roman" w:hAnsi="Times New Roman" w:cs="Times New Roman"/>
                <w:sz w:val="28"/>
                <w:szCs w:val="28"/>
                <w:lang w:val="uk-UA" w:bidi="en-US"/>
              </w:rPr>
              <w:t xml:space="preserve">     </w:t>
            </w:r>
            <w:r w:rsidR="006A1E5B" w:rsidRPr="006A1E5B">
              <w:rPr>
                <w:rFonts w:ascii="Times New Roman" w:eastAsia="Times New Roman" w:hAnsi="Times New Roman" w:cs="Times New Roman"/>
                <w:sz w:val="28"/>
                <w:szCs w:val="28"/>
                <w:lang w:val="en-US" w:bidi="en-US"/>
              </w:rPr>
              <w:t>36</w:t>
            </w:r>
            <w:r w:rsidR="002B2889" w:rsidRPr="006A1E5B">
              <w:rPr>
                <w:rFonts w:ascii="Times New Roman" w:eastAsia="Times New Roman" w:hAnsi="Times New Roman" w:cs="Times New Roman"/>
                <w:sz w:val="28"/>
                <w:szCs w:val="28"/>
                <w:lang w:val="uk-UA" w:bidi="en-US"/>
              </w:rPr>
              <w:t xml:space="preserve"> </w:t>
            </w:r>
            <w:r w:rsidR="00062DEC" w:rsidRPr="00062DEC">
              <w:rPr>
                <w:rFonts w:ascii="Times New Roman" w:eastAsia="Times New Roman" w:hAnsi="Times New Roman" w:cs="Times New Roman"/>
                <w:sz w:val="28"/>
                <w:szCs w:val="28"/>
                <w:lang w:val="uk-UA" w:bidi="en-US"/>
              </w:rPr>
              <w:t>(</w:t>
            </w:r>
            <w:r w:rsidR="00062DEC" w:rsidRPr="00062DEC">
              <w:rPr>
                <w:rFonts w:ascii="Times New Roman" w:eastAsia="Times New Roman" w:hAnsi="Times New Roman" w:cs="Times New Roman"/>
                <w:sz w:val="28"/>
                <w:szCs w:val="28"/>
                <w:lang w:val="en-US" w:bidi="en-US"/>
              </w:rPr>
              <w:t>66,7</w:t>
            </w:r>
            <w:r w:rsidR="00FE3D7D">
              <w:rPr>
                <w:rFonts w:ascii="Times New Roman" w:eastAsia="Times New Roman" w:hAnsi="Times New Roman" w:cs="Times New Roman"/>
                <w:sz w:val="28"/>
                <w:szCs w:val="28"/>
                <w:lang w:val="uk-UA" w:bidi="en-US"/>
              </w:rPr>
              <w:t xml:space="preserve"> </w:t>
            </w:r>
            <w:r w:rsidR="002B2889" w:rsidRPr="00062DEC">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25348" w:rsidRPr="003A39B7" w:rsidRDefault="002B2889" w:rsidP="00625348">
            <w:pPr>
              <w:spacing w:after="0" w:line="240" w:lineRule="auto"/>
              <w:jc w:val="center"/>
              <w:rPr>
                <w:rFonts w:ascii="Times New Roman" w:eastAsia="Times New Roman" w:hAnsi="Times New Roman" w:cs="Times New Roman"/>
                <w:sz w:val="28"/>
                <w:szCs w:val="28"/>
                <w:highlight w:val="yellow"/>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4</w:t>
            </w:r>
            <w:r w:rsidRPr="006A1E5B">
              <w:rPr>
                <w:rFonts w:ascii="Times New Roman" w:eastAsia="Times New Roman" w:hAnsi="Times New Roman" w:cs="Times New Roman"/>
                <w:sz w:val="28"/>
                <w:szCs w:val="28"/>
                <w:lang w:val="uk-UA" w:bidi="en-US"/>
              </w:rPr>
              <w:t xml:space="preserve"> </w:t>
            </w:r>
            <w:r w:rsidR="00FE3D7D">
              <w:rPr>
                <w:rFonts w:ascii="Times New Roman" w:eastAsia="Times New Roman" w:hAnsi="Times New Roman" w:cs="Times New Roman"/>
                <w:sz w:val="28"/>
                <w:szCs w:val="28"/>
                <w:lang w:val="uk-UA" w:bidi="en-US"/>
              </w:rPr>
              <w:t xml:space="preserve">     </w:t>
            </w:r>
            <w:r w:rsidR="0005082A" w:rsidRPr="0005082A">
              <w:rPr>
                <w:rFonts w:ascii="Times New Roman" w:eastAsia="Times New Roman" w:hAnsi="Times New Roman" w:cs="Times New Roman"/>
                <w:sz w:val="28"/>
                <w:szCs w:val="28"/>
                <w:lang w:val="uk-UA" w:bidi="en-US"/>
              </w:rPr>
              <w:t>(</w:t>
            </w:r>
            <w:r w:rsidR="0005082A" w:rsidRPr="0005082A">
              <w:rPr>
                <w:rFonts w:ascii="Times New Roman" w:eastAsia="Times New Roman" w:hAnsi="Times New Roman" w:cs="Times New Roman"/>
                <w:sz w:val="28"/>
                <w:szCs w:val="28"/>
                <w:lang w:val="en-US" w:bidi="en-US"/>
              </w:rPr>
              <w:t>7</w:t>
            </w:r>
            <w:r w:rsidR="0005082A" w:rsidRPr="0005082A">
              <w:rPr>
                <w:rFonts w:ascii="Times New Roman" w:eastAsia="Times New Roman" w:hAnsi="Times New Roman" w:cs="Times New Roman"/>
                <w:sz w:val="28"/>
                <w:szCs w:val="28"/>
                <w:lang w:val="uk-UA" w:bidi="en-US"/>
              </w:rPr>
              <w:t>,</w:t>
            </w:r>
            <w:r w:rsidR="0005082A" w:rsidRPr="0005082A">
              <w:rPr>
                <w:rFonts w:ascii="Times New Roman" w:eastAsia="Times New Roman" w:hAnsi="Times New Roman" w:cs="Times New Roman"/>
                <w:sz w:val="28"/>
                <w:szCs w:val="28"/>
                <w:lang w:val="en-US" w:bidi="en-US"/>
              </w:rPr>
              <w:t>4</w:t>
            </w:r>
            <w:r w:rsidR="00FE3D7D">
              <w:rPr>
                <w:rFonts w:ascii="Times New Roman" w:eastAsia="Times New Roman" w:hAnsi="Times New Roman" w:cs="Times New Roman"/>
                <w:sz w:val="28"/>
                <w:szCs w:val="28"/>
                <w:lang w:val="uk-UA" w:bidi="en-US"/>
              </w:rPr>
              <w:t xml:space="preserve"> </w:t>
            </w:r>
            <w:r w:rsidRPr="0005082A">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D24F21"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en-US" w:bidi="en-US"/>
              </w:rPr>
              <w:t>38</w:t>
            </w:r>
            <w:r w:rsidR="0049630C" w:rsidRPr="00D24F21">
              <w:rPr>
                <w:rFonts w:ascii="Times New Roman" w:eastAsia="Times New Roman" w:hAnsi="Times New Roman" w:cs="Times New Roman"/>
                <w:sz w:val="28"/>
                <w:szCs w:val="28"/>
                <w:lang w:val="uk-UA" w:bidi="en-US"/>
              </w:rPr>
              <w:t xml:space="preserve"> </w:t>
            </w:r>
          </w:p>
          <w:p w:rsidR="00625348" w:rsidRPr="00D24F21" w:rsidRDefault="00D24F21"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uk-UA" w:bidi="en-US"/>
              </w:rPr>
              <w:t>(</w:t>
            </w:r>
            <w:r w:rsidRPr="00D24F21">
              <w:rPr>
                <w:rFonts w:ascii="Times New Roman" w:eastAsia="Times New Roman" w:hAnsi="Times New Roman" w:cs="Times New Roman"/>
                <w:sz w:val="28"/>
                <w:szCs w:val="28"/>
                <w:lang w:val="en-US" w:bidi="en-US"/>
              </w:rPr>
              <w:t>95</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D24F21"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en-US" w:bidi="en-US"/>
              </w:rPr>
              <w:t>35</w:t>
            </w:r>
            <w:r w:rsidR="00940AAC">
              <w:rPr>
                <w:rFonts w:ascii="Times New Roman" w:eastAsia="Times New Roman" w:hAnsi="Times New Roman" w:cs="Times New Roman"/>
                <w:sz w:val="28"/>
                <w:szCs w:val="28"/>
                <w:lang w:val="uk-UA" w:bidi="en-US"/>
              </w:rPr>
              <w:t xml:space="preserve"> </w:t>
            </w:r>
          </w:p>
          <w:p w:rsidR="00625348" w:rsidRPr="00D24F21" w:rsidRDefault="00D24F21"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D24F21">
              <w:rPr>
                <w:rFonts w:ascii="Times New Roman" w:eastAsia="Times New Roman" w:hAnsi="Times New Roman" w:cs="Times New Roman"/>
                <w:sz w:val="28"/>
                <w:szCs w:val="28"/>
                <w:lang w:val="uk-UA" w:bidi="en-US"/>
              </w:rPr>
              <w:t>(8</w:t>
            </w:r>
            <w:r w:rsidRPr="00D24F21">
              <w:rPr>
                <w:rFonts w:ascii="Times New Roman" w:eastAsia="Times New Roman" w:hAnsi="Times New Roman" w:cs="Times New Roman"/>
                <w:sz w:val="28"/>
                <w:szCs w:val="28"/>
                <w:lang w:val="en-US" w:bidi="en-US"/>
              </w:rPr>
              <w:t>7</w:t>
            </w:r>
            <w:r w:rsidRPr="00D24F21">
              <w:rPr>
                <w:rFonts w:ascii="Times New Roman" w:eastAsia="Times New Roman" w:hAnsi="Times New Roman" w:cs="Times New Roman"/>
                <w:sz w:val="28"/>
                <w:szCs w:val="28"/>
                <w:lang w:val="uk-UA" w:bidi="en-US"/>
              </w:rPr>
              <w:t>,</w:t>
            </w:r>
            <w:r w:rsidRPr="00D24F21">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D24F21" w:rsidRDefault="0049630C" w:rsidP="00625348">
            <w:pPr>
              <w:spacing w:after="0" w:line="240" w:lineRule="auto"/>
              <w:jc w:val="center"/>
              <w:rPr>
                <w:rFonts w:ascii="Times New Roman" w:eastAsia="Times New Roman" w:hAnsi="Times New Roman" w:cs="Times New Roman"/>
                <w:sz w:val="28"/>
                <w:szCs w:val="28"/>
                <w:lang w:val="uk-UA" w:eastAsia="ru-RU" w:bidi="en-US"/>
              </w:rPr>
            </w:pPr>
            <w:r w:rsidRPr="00D24F21">
              <w:rPr>
                <w:rFonts w:ascii="Times New Roman" w:eastAsia="Times New Roman" w:hAnsi="Times New Roman" w:cs="Times New Roman"/>
                <w:sz w:val="28"/>
                <w:szCs w:val="28"/>
                <w:lang w:val="uk-UA" w:eastAsia="ru-RU" w:bidi="en-US"/>
              </w:rPr>
              <w:t>-</w:t>
            </w:r>
            <w:r w:rsidR="00882246" w:rsidRPr="00D24F21">
              <w:rPr>
                <w:rFonts w:ascii="Times New Roman" w:eastAsia="Times New Roman" w:hAnsi="Times New Roman" w:cs="Times New Roman"/>
                <w:sz w:val="28"/>
                <w:szCs w:val="28"/>
                <w:lang w:val="en-US" w:eastAsia="ru-RU" w:bidi="en-US"/>
              </w:rPr>
              <w:t>3</w:t>
            </w:r>
            <w:r w:rsidRPr="00D24F21">
              <w:rPr>
                <w:rFonts w:ascii="Times New Roman" w:eastAsia="Times New Roman" w:hAnsi="Times New Roman" w:cs="Times New Roman"/>
                <w:sz w:val="28"/>
                <w:szCs w:val="28"/>
                <w:lang w:val="uk-UA" w:eastAsia="ru-RU" w:bidi="en-US"/>
              </w:rPr>
              <w:t xml:space="preserve"> </w:t>
            </w:r>
            <w:r w:rsidR="00D1456D">
              <w:rPr>
                <w:rFonts w:ascii="Times New Roman" w:eastAsia="Times New Roman" w:hAnsi="Times New Roman" w:cs="Times New Roman"/>
                <w:sz w:val="28"/>
                <w:szCs w:val="28"/>
                <w:lang w:val="uk-UA" w:eastAsia="ru-RU" w:bidi="en-US"/>
              </w:rPr>
              <w:t xml:space="preserve">   </w:t>
            </w:r>
            <w:r w:rsidR="00D24F21" w:rsidRPr="00D24F21">
              <w:rPr>
                <w:rFonts w:ascii="Times New Roman" w:eastAsia="Times New Roman" w:hAnsi="Times New Roman" w:cs="Times New Roman"/>
                <w:sz w:val="28"/>
                <w:szCs w:val="28"/>
                <w:lang w:val="uk-UA" w:eastAsia="ru-RU" w:bidi="en-US"/>
              </w:rPr>
              <w:t>(</w:t>
            </w:r>
            <w:r w:rsidR="00D24F21">
              <w:rPr>
                <w:rFonts w:ascii="Times New Roman" w:eastAsia="Times New Roman" w:hAnsi="Times New Roman" w:cs="Times New Roman"/>
                <w:sz w:val="28"/>
                <w:szCs w:val="28"/>
                <w:lang w:val="en-US" w:eastAsia="ru-RU" w:bidi="en-US"/>
              </w:rPr>
              <w:t>7</w:t>
            </w:r>
            <w:r w:rsidR="00D24F21" w:rsidRPr="00D24F21">
              <w:rPr>
                <w:rFonts w:ascii="Times New Roman" w:eastAsia="Times New Roman" w:hAnsi="Times New Roman" w:cs="Times New Roman"/>
                <w:sz w:val="28"/>
                <w:szCs w:val="28"/>
                <w:lang w:val="uk-UA" w:eastAsia="ru-RU" w:bidi="en-US"/>
              </w:rPr>
              <w:t>,</w:t>
            </w:r>
            <w:r w:rsidR="00D24F21" w:rsidRPr="00D24F21">
              <w:rPr>
                <w:rFonts w:ascii="Times New Roman" w:eastAsia="Times New Roman" w:hAnsi="Times New Roman" w:cs="Times New Roman"/>
                <w:sz w:val="28"/>
                <w:szCs w:val="28"/>
                <w:lang w:val="en-US" w:eastAsia="ru-RU" w:bidi="en-US"/>
              </w:rPr>
              <w:t>5</w:t>
            </w:r>
            <w:r w:rsidR="00FE3D7D">
              <w:rPr>
                <w:rFonts w:ascii="Times New Roman" w:eastAsia="Times New Roman" w:hAnsi="Times New Roman" w:cs="Times New Roman"/>
                <w:sz w:val="28"/>
                <w:szCs w:val="28"/>
                <w:lang w:val="uk-UA" w:eastAsia="ru-RU" w:bidi="en-US"/>
              </w:rPr>
              <w:t xml:space="preserve"> </w:t>
            </w:r>
            <w:r w:rsidRPr="00D24F21">
              <w:rPr>
                <w:rFonts w:ascii="Times New Roman" w:eastAsia="Times New Roman" w:hAnsi="Times New Roman" w:cs="Times New Roman"/>
                <w:sz w:val="28"/>
                <w:szCs w:val="28"/>
                <w:lang w:val="uk-UA" w:eastAsia="ru-RU" w:bidi="en-US"/>
              </w:rPr>
              <w:t>%)</w:t>
            </w:r>
          </w:p>
        </w:tc>
      </w:tr>
    </w:tbl>
    <w:p w:rsidR="00A86DF2" w:rsidRPr="00A86DF2" w:rsidRDefault="00A86DF2" w:rsidP="00AB5ED3">
      <w:pPr>
        <w:rPr>
          <w:rFonts w:ascii="Times New Roman" w:hAnsi="Times New Roman" w:cs="Times New Roman"/>
          <w:i/>
          <w:sz w:val="28"/>
          <w:szCs w:val="28"/>
          <w:lang w:val="uk-UA"/>
        </w:rPr>
      </w:pPr>
      <w:r>
        <w:br w:type="page"/>
      </w:r>
      <w:r w:rsidRPr="00A86DF2">
        <w:rPr>
          <w:rFonts w:ascii="Times New Roman" w:hAnsi="Times New Roman" w:cs="Times New Roman"/>
          <w:i/>
          <w:sz w:val="28"/>
          <w:szCs w:val="28"/>
          <w:lang w:val="uk-UA"/>
        </w:rPr>
        <w:lastRenderedPageBreak/>
        <w:t>Продовж. табл. 6.2.1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6"/>
        <w:gridCol w:w="1275"/>
        <w:gridCol w:w="1276"/>
        <w:gridCol w:w="1276"/>
        <w:gridCol w:w="1134"/>
      </w:tblGrid>
      <w:tr w:rsidR="00AB5ED3" w:rsidRPr="003A39B7" w:rsidTr="00940AAC">
        <w:tc>
          <w:tcPr>
            <w:tcW w:w="1843" w:type="dxa"/>
            <w:tcBorders>
              <w:top w:val="single" w:sz="4" w:space="0" w:color="auto"/>
              <w:left w:val="single" w:sz="4" w:space="0" w:color="auto"/>
              <w:bottom w:val="single" w:sz="4" w:space="0" w:color="auto"/>
              <w:right w:val="single" w:sz="4" w:space="0" w:color="auto"/>
            </w:tcBorders>
          </w:tcPr>
          <w:p w:rsidR="00AB5ED3" w:rsidRDefault="00AB5ED3" w:rsidP="00AB5ED3">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AB5ED3" w:rsidRPr="00AB5ED3" w:rsidRDefault="00AB5ED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AB5ED3" w:rsidRPr="00AB5ED3" w:rsidRDefault="00AB5ED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AB5ED3" w:rsidRPr="006A1E5B" w:rsidRDefault="00AB5ED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AB5ED3" w:rsidRPr="00AB5ED3" w:rsidRDefault="00AB5ED3"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5</w:t>
            </w:r>
          </w:p>
        </w:tc>
        <w:tc>
          <w:tcPr>
            <w:tcW w:w="1276" w:type="dxa"/>
            <w:tcBorders>
              <w:top w:val="single" w:sz="4" w:space="0" w:color="auto"/>
              <w:left w:val="single" w:sz="4" w:space="0" w:color="auto"/>
              <w:bottom w:val="single" w:sz="4" w:space="0" w:color="auto"/>
              <w:right w:val="single" w:sz="4" w:space="0" w:color="auto"/>
            </w:tcBorders>
            <w:vAlign w:val="center"/>
          </w:tcPr>
          <w:p w:rsidR="00AB5ED3" w:rsidRPr="00AB5ED3" w:rsidRDefault="00AB5ED3"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AB5ED3" w:rsidRPr="00882246" w:rsidRDefault="00AB5ED3"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7</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FE3D7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Г</w:t>
            </w:r>
            <w:r w:rsidR="00625348" w:rsidRPr="001C6EC9">
              <w:rPr>
                <w:rFonts w:ascii="Times New Roman" w:eastAsia="Times New Roman" w:hAnsi="Times New Roman" w:cs="Times New Roman"/>
                <w:sz w:val="28"/>
                <w:szCs w:val="28"/>
                <w:lang w:val="uk-UA" w:bidi="en-US"/>
              </w:rPr>
              <w:t>оловний біль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AC" w:rsidRDefault="00CC5CC7" w:rsidP="00625348">
            <w:pPr>
              <w:spacing w:after="0" w:line="240" w:lineRule="auto"/>
              <w:jc w:val="center"/>
              <w:rPr>
                <w:rFonts w:ascii="Times New Roman" w:eastAsia="Times New Roman" w:hAnsi="Times New Roman" w:cs="Times New Roman"/>
                <w:sz w:val="28"/>
                <w:szCs w:val="28"/>
                <w:lang w:val="uk-UA" w:bidi="en-US"/>
              </w:rPr>
            </w:pPr>
            <w:r w:rsidRPr="00CC5CC7">
              <w:rPr>
                <w:rFonts w:ascii="Times New Roman" w:eastAsia="Times New Roman" w:hAnsi="Times New Roman" w:cs="Times New Roman"/>
                <w:sz w:val="28"/>
                <w:szCs w:val="28"/>
                <w:lang w:val="en-US" w:bidi="en-US"/>
              </w:rPr>
              <w:t>40</w:t>
            </w:r>
            <w:r w:rsidR="002B2889" w:rsidRPr="00CC5CC7">
              <w:rPr>
                <w:rFonts w:ascii="Times New Roman" w:eastAsia="Times New Roman" w:hAnsi="Times New Roman" w:cs="Times New Roman"/>
                <w:sz w:val="28"/>
                <w:szCs w:val="28"/>
                <w:lang w:val="uk-UA" w:bidi="en-US"/>
              </w:rPr>
              <w:t xml:space="preserve"> </w:t>
            </w:r>
          </w:p>
          <w:p w:rsidR="00625348" w:rsidRPr="003A39B7" w:rsidRDefault="001C6EC9" w:rsidP="00625348">
            <w:pPr>
              <w:spacing w:after="0" w:line="240" w:lineRule="auto"/>
              <w:jc w:val="center"/>
              <w:rPr>
                <w:rFonts w:ascii="Times New Roman" w:eastAsia="Times New Roman" w:hAnsi="Times New Roman" w:cs="Times New Roman"/>
                <w:sz w:val="28"/>
                <w:szCs w:val="28"/>
                <w:highlight w:val="yellow"/>
                <w:lang w:val="uk-UA" w:bidi="en-US"/>
              </w:rPr>
            </w:pPr>
            <w:r w:rsidRPr="001C6EC9">
              <w:rPr>
                <w:rFonts w:ascii="Times New Roman" w:eastAsia="Times New Roman" w:hAnsi="Times New Roman" w:cs="Times New Roman"/>
                <w:sz w:val="28"/>
                <w:szCs w:val="28"/>
                <w:lang w:val="uk-UA" w:bidi="en-US"/>
              </w:rPr>
              <w:t>(</w:t>
            </w:r>
            <w:r w:rsidRPr="001C6EC9">
              <w:rPr>
                <w:rFonts w:ascii="Times New Roman" w:eastAsia="Times New Roman" w:hAnsi="Times New Roman" w:cs="Times New Roman"/>
                <w:sz w:val="28"/>
                <w:szCs w:val="28"/>
                <w:lang w:val="en-US" w:bidi="en-US"/>
              </w:rPr>
              <w:t>74,1</w:t>
            </w:r>
            <w:r w:rsidR="00FE3D7D">
              <w:rPr>
                <w:rFonts w:ascii="Times New Roman" w:eastAsia="Times New Roman" w:hAnsi="Times New Roman" w:cs="Times New Roman"/>
                <w:sz w:val="28"/>
                <w:szCs w:val="28"/>
                <w:lang w:val="uk-UA" w:bidi="en-US"/>
              </w:rPr>
              <w:t xml:space="preserve"> </w:t>
            </w:r>
            <w:r w:rsidR="002B2889" w:rsidRPr="001C6EC9">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34</w:t>
            </w:r>
            <w:r w:rsidR="00FE3D7D">
              <w:rPr>
                <w:rFonts w:ascii="Times New Roman" w:eastAsia="Times New Roman" w:hAnsi="Times New Roman" w:cs="Times New Roman"/>
                <w:sz w:val="28"/>
                <w:szCs w:val="28"/>
                <w:lang w:val="uk-UA" w:bidi="en-US"/>
              </w:rPr>
              <w:t xml:space="preserve"> </w:t>
            </w:r>
          </w:p>
          <w:p w:rsidR="00625348" w:rsidRPr="003A39B7" w:rsidRDefault="00062DEC" w:rsidP="00625348">
            <w:pPr>
              <w:spacing w:after="0" w:line="240" w:lineRule="auto"/>
              <w:jc w:val="center"/>
              <w:rPr>
                <w:rFonts w:ascii="Times New Roman" w:eastAsia="Times New Roman" w:hAnsi="Times New Roman" w:cs="Times New Roman"/>
                <w:sz w:val="28"/>
                <w:szCs w:val="28"/>
                <w:highlight w:val="yellow"/>
                <w:lang w:val="uk-UA" w:bidi="en-US"/>
              </w:rPr>
            </w:pPr>
            <w:r w:rsidRPr="00062DEC">
              <w:rPr>
                <w:rFonts w:ascii="Times New Roman" w:eastAsia="Times New Roman" w:hAnsi="Times New Roman" w:cs="Times New Roman"/>
                <w:sz w:val="28"/>
                <w:szCs w:val="28"/>
                <w:lang w:val="en-US" w:bidi="en-US"/>
              </w:rPr>
              <w:t>(63</w:t>
            </w:r>
            <w:r w:rsidR="00FE3D7D">
              <w:rPr>
                <w:rFonts w:ascii="Times New Roman" w:eastAsia="Times New Roman" w:hAnsi="Times New Roman" w:cs="Times New Roman"/>
                <w:sz w:val="28"/>
                <w:szCs w:val="28"/>
                <w:lang w:val="uk-UA" w:bidi="en-US"/>
              </w:rPr>
              <w:t xml:space="preserve"> </w:t>
            </w:r>
            <w:r w:rsidR="002B2889" w:rsidRPr="00062DEC">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0AAC" w:rsidRDefault="002B2889"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6</w:t>
            </w:r>
            <w:r w:rsidRPr="006A1E5B">
              <w:rPr>
                <w:rFonts w:ascii="Times New Roman" w:eastAsia="Times New Roman" w:hAnsi="Times New Roman" w:cs="Times New Roman"/>
                <w:sz w:val="28"/>
                <w:szCs w:val="28"/>
                <w:lang w:val="uk-UA" w:bidi="en-US"/>
              </w:rPr>
              <w:t xml:space="preserve"> </w:t>
            </w:r>
          </w:p>
          <w:p w:rsidR="00625348"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(1</w:t>
            </w:r>
            <w:r w:rsidRPr="0005082A">
              <w:rPr>
                <w:rFonts w:ascii="Times New Roman" w:eastAsia="Times New Roman" w:hAnsi="Times New Roman" w:cs="Times New Roman"/>
                <w:sz w:val="28"/>
                <w:szCs w:val="28"/>
                <w:lang w:val="en-US" w:bidi="en-US"/>
              </w:rPr>
              <w:t>1</w:t>
            </w:r>
            <w:r w:rsidR="002B2889" w:rsidRPr="0005082A">
              <w:rPr>
                <w:rFonts w:ascii="Times New Roman" w:eastAsia="Times New Roman" w:hAnsi="Times New Roman" w:cs="Times New Roman"/>
                <w:sz w:val="28"/>
                <w:szCs w:val="28"/>
                <w:lang w:val="uk-UA" w:bidi="en-US"/>
              </w:rPr>
              <w:t>,1</w:t>
            </w:r>
            <w:r w:rsidR="00FE3D7D">
              <w:rPr>
                <w:rFonts w:ascii="Times New Roman" w:eastAsia="Times New Roman" w:hAnsi="Times New Roman" w:cs="Times New Roman"/>
                <w:sz w:val="28"/>
                <w:szCs w:val="28"/>
                <w:lang w:val="uk-UA" w:bidi="en-US"/>
              </w:rPr>
              <w:t xml:space="preserve"> </w:t>
            </w:r>
            <w:r w:rsidR="002B2889" w:rsidRPr="0005082A">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882246">
              <w:rPr>
                <w:rFonts w:ascii="Times New Roman" w:eastAsia="Times New Roman" w:hAnsi="Times New Roman" w:cs="Times New Roman"/>
                <w:sz w:val="28"/>
                <w:szCs w:val="28"/>
                <w:lang w:val="en-US" w:bidi="en-US"/>
              </w:rPr>
              <w:t>38</w:t>
            </w:r>
            <w:r w:rsidR="0049630C" w:rsidRPr="00882246">
              <w:rPr>
                <w:rFonts w:ascii="Times New Roman" w:eastAsia="Times New Roman" w:hAnsi="Times New Roman" w:cs="Times New Roman"/>
                <w:sz w:val="28"/>
                <w:szCs w:val="28"/>
                <w:lang w:val="uk-UA" w:bidi="en-US"/>
              </w:rPr>
              <w:t xml:space="preserve"> </w:t>
            </w:r>
          </w:p>
          <w:p w:rsidR="00625348" w:rsidRPr="003A39B7" w:rsidRDefault="00D24F21"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D24F21">
              <w:rPr>
                <w:rFonts w:ascii="Times New Roman" w:eastAsia="Times New Roman" w:hAnsi="Times New Roman" w:cs="Times New Roman"/>
                <w:sz w:val="28"/>
                <w:szCs w:val="28"/>
                <w:lang w:val="uk-UA" w:bidi="en-US"/>
              </w:rPr>
              <w:t>(</w:t>
            </w:r>
            <w:r w:rsidRPr="00D24F21">
              <w:rPr>
                <w:rFonts w:ascii="Times New Roman" w:eastAsia="Times New Roman" w:hAnsi="Times New Roman" w:cs="Times New Roman"/>
                <w:sz w:val="28"/>
                <w:szCs w:val="28"/>
                <w:lang w:val="en-US" w:bidi="en-US"/>
              </w:rPr>
              <w:t>95</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882246"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en-US" w:bidi="en-US"/>
              </w:rPr>
              <w:t>36</w:t>
            </w:r>
            <w:r w:rsidR="0049630C" w:rsidRPr="00882246">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9</w:t>
            </w:r>
            <w:r w:rsidR="00D24F21" w:rsidRPr="00D24F21">
              <w:rPr>
                <w:rFonts w:ascii="Times New Roman" w:eastAsia="Times New Roman" w:hAnsi="Times New Roman" w:cs="Times New Roman"/>
                <w:sz w:val="28"/>
                <w:szCs w:val="28"/>
                <w:lang w:val="uk-UA" w:bidi="en-US"/>
              </w:rPr>
              <w:t>0</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w:t>
            </w:r>
            <w:r w:rsidR="00882246" w:rsidRPr="00882246">
              <w:rPr>
                <w:rFonts w:ascii="Times New Roman" w:eastAsia="Times New Roman" w:hAnsi="Times New Roman" w:cs="Times New Roman"/>
                <w:sz w:val="28"/>
                <w:szCs w:val="28"/>
                <w:lang w:val="en-US" w:bidi="en-US"/>
              </w:rPr>
              <w:t>2</w:t>
            </w:r>
            <w:r w:rsidRPr="00882246">
              <w:rPr>
                <w:rFonts w:ascii="Times New Roman" w:eastAsia="Times New Roman" w:hAnsi="Times New Roman" w:cs="Times New Roman"/>
                <w:sz w:val="28"/>
                <w:szCs w:val="28"/>
                <w:lang w:val="uk-UA" w:bidi="en-US"/>
              </w:rPr>
              <w:t xml:space="preserve"> </w:t>
            </w:r>
            <w:r w:rsidR="00D1456D">
              <w:rPr>
                <w:rFonts w:ascii="Times New Roman" w:eastAsia="Times New Roman" w:hAnsi="Times New Roman" w:cs="Times New Roman"/>
                <w:sz w:val="28"/>
                <w:szCs w:val="28"/>
                <w:lang w:val="uk-UA" w:bidi="en-US"/>
              </w:rPr>
              <w:t xml:space="preserve">   </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5</w:t>
            </w:r>
            <w:r w:rsidRPr="00D24F21">
              <w:rPr>
                <w:rFonts w:ascii="Times New Roman" w:eastAsia="Times New Roman" w:hAnsi="Times New Roman" w:cs="Times New Roman"/>
                <w:sz w:val="28"/>
                <w:szCs w:val="28"/>
                <w:lang w:val="uk-UA" w:bidi="en-US"/>
              </w:rPr>
              <w:t>,0</w:t>
            </w:r>
            <w:r w:rsidR="00FE3D7D">
              <w:rPr>
                <w:rFonts w:ascii="Times New Roman" w:eastAsia="Times New Roman" w:hAnsi="Times New Roman" w:cs="Times New Roman"/>
                <w:sz w:val="28"/>
                <w:szCs w:val="28"/>
                <w:lang w:val="uk-UA" w:bidi="en-US"/>
              </w:rPr>
              <w:t xml:space="preserve"> </w:t>
            </w:r>
            <w:r w:rsidRPr="00D24F21">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FE3D7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Запамороче</w:t>
            </w:r>
            <w:r w:rsidR="00625348" w:rsidRPr="001C6EC9">
              <w:rPr>
                <w:rFonts w:ascii="Times New Roman" w:eastAsia="Times New Roman" w:hAnsi="Times New Roman" w:cs="Times New Roman"/>
                <w:sz w:val="28"/>
                <w:szCs w:val="28"/>
                <w:lang w:val="uk-UA" w:bidi="en-US"/>
              </w:rPr>
              <w:t>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AC" w:rsidRDefault="00CC5CC7" w:rsidP="00625348">
            <w:pPr>
              <w:spacing w:after="0" w:line="240" w:lineRule="auto"/>
              <w:jc w:val="center"/>
              <w:rPr>
                <w:rFonts w:ascii="Times New Roman" w:eastAsia="Times New Roman" w:hAnsi="Times New Roman" w:cs="Times New Roman"/>
                <w:sz w:val="28"/>
                <w:szCs w:val="28"/>
                <w:lang w:val="uk-UA" w:bidi="en-US"/>
              </w:rPr>
            </w:pPr>
            <w:r w:rsidRPr="00CC5CC7">
              <w:rPr>
                <w:rFonts w:ascii="Times New Roman" w:eastAsia="Times New Roman" w:hAnsi="Times New Roman" w:cs="Times New Roman"/>
                <w:sz w:val="28"/>
                <w:szCs w:val="28"/>
                <w:lang w:val="en-US" w:bidi="en-US"/>
              </w:rPr>
              <w:t>31</w:t>
            </w:r>
            <w:r w:rsidR="001C6EC9">
              <w:rPr>
                <w:rFonts w:ascii="Times New Roman" w:eastAsia="Times New Roman" w:hAnsi="Times New Roman" w:cs="Times New Roman"/>
                <w:sz w:val="28"/>
                <w:szCs w:val="28"/>
                <w:highlight w:val="yellow"/>
                <w:lang w:val="uk-UA" w:bidi="en-US"/>
              </w:rPr>
              <w:t xml:space="preserve"> </w:t>
            </w:r>
          </w:p>
          <w:p w:rsidR="00625348" w:rsidRPr="003A39B7" w:rsidRDefault="001C6EC9" w:rsidP="00625348">
            <w:pPr>
              <w:spacing w:after="0" w:line="240" w:lineRule="auto"/>
              <w:jc w:val="center"/>
              <w:rPr>
                <w:rFonts w:ascii="Times New Roman" w:eastAsia="Times New Roman" w:hAnsi="Times New Roman" w:cs="Times New Roman"/>
                <w:sz w:val="28"/>
                <w:szCs w:val="28"/>
                <w:highlight w:val="yellow"/>
                <w:lang w:val="uk-UA" w:bidi="en-US"/>
              </w:rPr>
            </w:pPr>
            <w:r w:rsidRPr="001C6EC9">
              <w:rPr>
                <w:rFonts w:ascii="Times New Roman" w:eastAsia="Times New Roman" w:hAnsi="Times New Roman" w:cs="Times New Roman"/>
                <w:sz w:val="28"/>
                <w:szCs w:val="28"/>
                <w:lang w:val="uk-UA" w:bidi="en-US"/>
              </w:rPr>
              <w:t>(</w:t>
            </w:r>
            <w:r w:rsidRPr="001C6EC9">
              <w:rPr>
                <w:rFonts w:ascii="Times New Roman" w:eastAsia="Times New Roman" w:hAnsi="Times New Roman" w:cs="Times New Roman"/>
                <w:sz w:val="28"/>
                <w:szCs w:val="28"/>
                <w:lang w:val="en-US" w:bidi="en-US"/>
              </w:rPr>
              <w:t>57,5</w:t>
            </w:r>
            <w:r w:rsidR="00FE3D7D">
              <w:rPr>
                <w:rFonts w:ascii="Times New Roman" w:eastAsia="Times New Roman" w:hAnsi="Times New Roman" w:cs="Times New Roman"/>
                <w:sz w:val="28"/>
                <w:szCs w:val="28"/>
                <w:lang w:val="uk-UA" w:bidi="en-US"/>
              </w:rPr>
              <w:t xml:space="preserve"> </w:t>
            </w:r>
            <w:r w:rsidR="002B2889" w:rsidRPr="001C6EC9">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26</w:t>
            </w:r>
            <w:r w:rsidR="00093C83">
              <w:rPr>
                <w:rFonts w:ascii="Times New Roman" w:eastAsia="Times New Roman" w:hAnsi="Times New Roman" w:cs="Times New Roman"/>
                <w:sz w:val="28"/>
                <w:szCs w:val="28"/>
                <w:highlight w:val="yellow"/>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48,1</w:t>
            </w:r>
            <w:r w:rsidR="00FE3D7D">
              <w:rPr>
                <w:rFonts w:ascii="Times New Roman" w:eastAsia="Times New Roman" w:hAnsi="Times New Roman" w:cs="Times New Roman"/>
                <w:sz w:val="28"/>
                <w:szCs w:val="28"/>
                <w:lang w:val="uk-UA" w:bidi="en-US"/>
              </w:rPr>
              <w:t xml:space="preserve"> </w:t>
            </w:r>
            <w:r w:rsidR="002B2889"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0AAC" w:rsidRDefault="002B2889"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5</w:t>
            </w:r>
            <w:r w:rsidR="00E12DBB" w:rsidRPr="006A1E5B">
              <w:rPr>
                <w:rFonts w:ascii="Times New Roman" w:eastAsia="Times New Roman" w:hAnsi="Times New Roman" w:cs="Times New Roman"/>
                <w:sz w:val="28"/>
                <w:szCs w:val="28"/>
                <w:lang w:val="uk-UA" w:bidi="en-US"/>
              </w:rPr>
              <w:t xml:space="preserve"> </w:t>
            </w:r>
          </w:p>
          <w:p w:rsidR="00625348" w:rsidRPr="003A39B7" w:rsidRDefault="00E12DBB"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(9</w:t>
            </w:r>
            <w:r w:rsidR="0005082A" w:rsidRPr="0005082A">
              <w:rPr>
                <w:rFonts w:ascii="Times New Roman" w:eastAsia="Times New Roman" w:hAnsi="Times New Roman" w:cs="Times New Roman"/>
                <w:sz w:val="28"/>
                <w:szCs w:val="28"/>
                <w:lang w:val="uk-UA" w:bidi="en-US"/>
              </w:rPr>
              <w:t>,</w:t>
            </w:r>
            <w:r w:rsidR="0005082A" w:rsidRPr="0005082A">
              <w:rPr>
                <w:rFonts w:ascii="Times New Roman" w:eastAsia="Times New Roman" w:hAnsi="Times New Roman" w:cs="Times New Roman"/>
                <w:sz w:val="28"/>
                <w:szCs w:val="28"/>
                <w:lang w:val="en-US" w:bidi="en-US"/>
              </w:rPr>
              <w:t>4</w:t>
            </w:r>
            <w:r w:rsidR="00FE3D7D">
              <w:rPr>
                <w:rFonts w:ascii="Times New Roman" w:eastAsia="Times New Roman" w:hAnsi="Times New Roman" w:cs="Times New Roman"/>
                <w:sz w:val="28"/>
                <w:szCs w:val="28"/>
                <w:lang w:val="uk-UA" w:bidi="en-US"/>
              </w:rPr>
              <w:t xml:space="preserve"> </w:t>
            </w:r>
            <w:r w:rsidR="002B2889" w:rsidRPr="0005082A">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882246">
              <w:rPr>
                <w:rFonts w:ascii="Times New Roman" w:eastAsia="Times New Roman" w:hAnsi="Times New Roman" w:cs="Times New Roman"/>
                <w:sz w:val="28"/>
                <w:szCs w:val="28"/>
                <w:lang w:val="en-US" w:bidi="en-US"/>
              </w:rPr>
              <w:t>21</w:t>
            </w:r>
            <w:r w:rsidR="0049630C" w:rsidRPr="00882246">
              <w:rPr>
                <w:rFonts w:ascii="Times New Roman" w:eastAsia="Times New Roman" w:hAnsi="Times New Roman" w:cs="Times New Roman"/>
                <w:sz w:val="28"/>
                <w:szCs w:val="28"/>
                <w:lang w:val="uk-UA" w:bidi="en-US"/>
              </w:rPr>
              <w:t xml:space="preserve"> </w:t>
            </w:r>
          </w:p>
          <w:p w:rsidR="00625348" w:rsidRPr="003A39B7" w:rsidRDefault="00D24F21"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D24F21">
              <w:rPr>
                <w:rFonts w:ascii="Times New Roman" w:eastAsia="Times New Roman" w:hAnsi="Times New Roman" w:cs="Times New Roman"/>
                <w:sz w:val="28"/>
                <w:szCs w:val="28"/>
                <w:lang w:val="uk-UA" w:bidi="en-US"/>
              </w:rPr>
              <w:t>(</w:t>
            </w:r>
            <w:r w:rsidRPr="00D24F21">
              <w:rPr>
                <w:rFonts w:ascii="Times New Roman" w:eastAsia="Times New Roman" w:hAnsi="Times New Roman" w:cs="Times New Roman"/>
                <w:sz w:val="28"/>
                <w:szCs w:val="28"/>
                <w:lang w:val="en-US" w:bidi="en-US"/>
              </w:rPr>
              <w:t>52</w:t>
            </w:r>
            <w:r w:rsidRPr="00D24F21">
              <w:rPr>
                <w:rFonts w:ascii="Times New Roman" w:eastAsia="Times New Roman" w:hAnsi="Times New Roman" w:cs="Times New Roman"/>
                <w:sz w:val="28"/>
                <w:szCs w:val="28"/>
                <w:lang w:val="uk-UA" w:bidi="en-US"/>
              </w:rPr>
              <w:t>,</w:t>
            </w:r>
            <w:r w:rsidRPr="00D24F21">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1</w:t>
            </w:r>
            <w:r w:rsidR="00B26236" w:rsidRPr="00810EDD">
              <w:rPr>
                <w:rFonts w:ascii="Times New Roman" w:eastAsia="Times New Roman" w:hAnsi="Times New Roman" w:cs="Times New Roman"/>
                <w:sz w:val="28"/>
                <w:szCs w:val="28"/>
                <w:lang w:val="uk-UA" w:bidi="en-US"/>
              </w:rPr>
              <w:t>9</w:t>
            </w:r>
            <w:r w:rsidR="0049630C"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47</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49630C" w:rsidRPr="00D24F21">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2</w:t>
            </w:r>
            <w:r w:rsidRPr="00810EDD">
              <w:rPr>
                <w:rFonts w:ascii="Times New Roman" w:eastAsia="Times New Roman" w:hAnsi="Times New Roman" w:cs="Times New Roman"/>
                <w:sz w:val="28"/>
                <w:szCs w:val="28"/>
                <w:lang w:val="uk-UA" w:bidi="en-US"/>
              </w:rPr>
              <w:t xml:space="preserve"> </w:t>
            </w:r>
            <w:r w:rsidR="00D1456D">
              <w:rPr>
                <w:rFonts w:ascii="Times New Roman" w:eastAsia="Times New Roman" w:hAnsi="Times New Roman" w:cs="Times New Roman"/>
                <w:sz w:val="28"/>
                <w:szCs w:val="28"/>
                <w:lang w:val="uk-UA" w:bidi="en-US"/>
              </w:rPr>
              <w:t xml:space="preserve">   </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5</w:t>
            </w:r>
            <w:r w:rsidRPr="00D24F21">
              <w:rPr>
                <w:rFonts w:ascii="Times New Roman" w:eastAsia="Times New Roman" w:hAnsi="Times New Roman" w:cs="Times New Roman"/>
                <w:sz w:val="28"/>
                <w:szCs w:val="28"/>
                <w:lang w:val="uk-UA" w:bidi="en-US"/>
              </w:rPr>
              <w:t>,0</w:t>
            </w:r>
            <w:r w:rsidR="00FE3D7D">
              <w:rPr>
                <w:rFonts w:ascii="Times New Roman" w:eastAsia="Times New Roman" w:hAnsi="Times New Roman" w:cs="Times New Roman"/>
                <w:sz w:val="28"/>
                <w:szCs w:val="28"/>
                <w:lang w:val="uk-UA" w:bidi="en-US"/>
              </w:rPr>
              <w:t xml:space="preserve"> </w:t>
            </w:r>
            <w:r w:rsidRPr="00D24F21">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П</w:t>
            </w:r>
            <w:r w:rsidR="00625348" w:rsidRPr="001C6EC9">
              <w:rPr>
                <w:rFonts w:ascii="Times New Roman" w:eastAsia="Times New Roman" w:hAnsi="Times New Roman" w:cs="Times New Roman"/>
                <w:sz w:val="28"/>
                <w:szCs w:val="28"/>
                <w:lang w:val="uk-UA" w:bidi="en-US"/>
              </w:rPr>
              <w:t>оліурія</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CC5CC7" w:rsidP="00625348">
            <w:pPr>
              <w:spacing w:after="0" w:line="240" w:lineRule="auto"/>
              <w:jc w:val="center"/>
              <w:rPr>
                <w:rFonts w:ascii="Times New Roman" w:eastAsia="Times New Roman" w:hAnsi="Times New Roman" w:cs="Times New Roman"/>
                <w:sz w:val="28"/>
                <w:szCs w:val="28"/>
                <w:lang w:val="uk-UA" w:bidi="en-US"/>
              </w:rPr>
            </w:pPr>
            <w:r w:rsidRPr="001C6EC9">
              <w:rPr>
                <w:rFonts w:ascii="Times New Roman" w:eastAsia="Times New Roman" w:hAnsi="Times New Roman" w:cs="Times New Roman"/>
                <w:sz w:val="28"/>
                <w:szCs w:val="28"/>
                <w:lang w:val="en-US" w:bidi="en-US"/>
              </w:rPr>
              <w:t>46</w:t>
            </w:r>
            <w:r w:rsidR="001C6EC9" w:rsidRPr="001C6EC9">
              <w:rPr>
                <w:rFonts w:ascii="Times New Roman" w:eastAsia="Times New Roman" w:hAnsi="Times New Roman" w:cs="Times New Roman"/>
                <w:sz w:val="28"/>
                <w:szCs w:val="28"/>
                <w:lang w:val="uk-UA" w:bidi="en-US"/>
              </w:rPr>
              <w:t xml:space="preserve"> </w:t>
            </w:r>
          </w:p>
          <w:p w:rsidR="00625348" w:rsidRPr="003A39B7" w:rsidRDefault="001C6EC9" w:rsidP="00625348">
            <w:pPr>
              <w:spacing w:after="0" w:line="240" w:lineRule="auto"/>
              <w:jc w:val="center"/>
              <w:rPr>
                <w:rFonts w:ascii="Times New Roman" w:eastAsia="Times New Roman" w:hAnsi="Times New Roman" w:cs="Times New Roman"/>
                <w:sz w:val="28"/>
                <w:szCs w:val="28"/>
                <w:highlight w:val="yellow"/>
                <w:lang w:val="uk-UA" w:bidi="en-US"/>
              </w:rPr>
            </w:pPr>
            <w:r w:rsidRPr="001C6EC9">
              <w:rPr>
                <w:rFonts w:ascii="Times New Roman" w:eastAsia="Times New Roman" w:hAnsi="Times New Roman" w:cs="Times New Roman"/>
                <w:sz w:val="28"/>
                <w:szCs w:val="28"/>
                <w:lang w:val="uk-UA" w:bidi="en-US"/>
              </w:rPr>
              <w:t>(8</w:t>
            </w:r>
            <w:r w:rsidRPr="001C6EC9">
              <w:rPr>
                <w:rFonts w:ascii="Times New Roman" w:eastAsia="Times New Roman" w:hAnsi="Times New Roman" w:cs="Times New Roman"/>
                <w:sz w:val="28"/>
                <w:szCs w:val="28"/>
                <w:lang w:val="en-US" w:bidi="en-US"/>
              </w:rPr>
              <w:t>5,2</w:t>
            </w:r>
            <w:r w:rsidR="00FE3D7D">
              <w:rPr>
                <w:rFonts w:ascii="Times New Roman" w:eastAsia="Times New Roman" w:hAnsi="Times New Roman" w:cs="Times New Roman"/>
                <w:sz w:val="28"/>
                <w:szCs w:val="28"/>
                <w:lang w:val="uk-UA" w:bidi="en-US"/>
              </w:rPr>
              <w:t xml:space="preserve"> </w:t>
            </w:r>
            <w:r w:rsidR="002B2889" w:rsidRPr="001C6EC9">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42</w:t>
            </w:r>
            <w:r w:rsidR="00140695" w:rsidRPr="006A1E5B">
              <w:rPr>
                <w:rFonts w:ascii="Times New Roman" w:eastAsia="Times New Roman" w:hAnsi="Times New Roman" w:cs="Times New Roman"/>
                <w:sz w:val="28"/>
                <w:szCs w:val="28"/>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(7</w:t>
            </w:r>
            <w:r w:rsidRPr="00093C83">
              <w:rPr>
                <w:rFonts w:ascii="Times New Roman" w:eastAsia="Times New Roman" w:hAnsi="Times New Roman" w:cs="Times New Roman"/>
                <w:sz w:val="28"/>
                <w:szCs w:val="28"/>
                <w:lang w:val="en-US" w:bidi="en-US"/>
              </w:rPr>
              <w:t>7</w:t>
            </w:r>
            <w:r w:rsidR="00140695" w:rsidRPr="00093C83">
              <w:rPr>
                <w:rFonts w:ascii="Times New Roman" w:eastAsia="Times New Roman" w:hAnsi="Times New Roman" w:cs="Times New Roman"/>
                <w:sz w:val="28"/>
                <w:szCs w:val="28"/>
                <w:lang w:val="uk-UA" w:bidi="en-US"/>
              </w:rPr>
              <w:t>,8</w:t>
            </w:r>
            <w:r w:rsidR="00FE3D7D">
              <w:rPr>
                <w:rFonts w:ascii="Times New Roman" w:eastAsia="Times New Roman" w:hAnsi="Times New Roman" w:cs="Times New Roman"/>
                <w:sz w:val="28"/>
                <w:szCs w:val="28"/>
                <w:lang w:val="uk-UA" w:bidi="en-US"/>
              </w:rPr>
              <w:t xml:space="preserve"> </w:t>
            </w:r>
            <w:r w:rsidR="002B2889"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940AAC" w:rsidRDefault="002B2889"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4</w:t>
            </w:r>
            <w:r w:rsidRPr="006A1E5B">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p>
          <w:p w:rsidR="00625348"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(7,</w:t>
            </w:r>
            <w:r w:rsidRPr="0005082A">
              <w:rPr>
                <w:rFonts w:ascii="Times New Roman" w:eastAsia="Times New Roman" w:hAnsi="Times New Roman" w:cs="Times New Roman"/>
                <w:sz w:val="28"/>
                <w:szCs w:val="28"/>
                <w:lang w:val="en-US" w:bidi="en-US"/>
              </w:rPr>
              <w:t>4</w:t>
            </w:r>
            <w:r w:rsidR="00FE3D7D">
              <w:rPr>
                <w:rFonts w:ascii="Times New Roman" w:eastAsia="Times New Roman" w:hAnsi="Times New Roman" w:cs="Times New Roman"/>
                <w:sz w:val="28"/>
                <w:szCs w:val="28"/>
                <w:lang w:val="uk-UA" w:bidi="en-US"/>
              </w:rPr>
              <w:t xml:space="preserve"> </w:t>
            </w:r>
            <w:r w:rsidR="00140695" w:rsidRPr="0005082A">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882246">
              <w:rPr>
                <w:rFonts w:ascii="Times New Roman" w:eastAsia="Times New Roman" w:hAnsi="Times New Roman" w:cs="Times New Roman"/>
                <w:sz w:val="28"/>
                <w:szCs w:val="28"/>
                <w:lang w:val="en-US" w:bidi="en-US"/>
              </w:rPr>
              <w:t>34</w:t>
            </w:r>
            <w:r w:rsidR="00FE3D7D">
              <w:rPr>
                <w:rFonts w:ascii="Times New Roman" w:eastAsia="Times New Roman" w:hAnsi="Times New Roman" w:cs="Times New Roman"/>
                <w:sz w:val="28"/>
                <w:szCs w:val="28"/>
                <w:lang w:val="uk-UA" w:bidi="en-US"/>
              </w:rPr>
              <w:t xml:space="preserve"> </w:t>
            </w:r>
          </w:p>
          <w:p w:rsidR="00625348" w:rsidRPr="003A39B7" w:rsidRDefault="0049630C"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85</w:t>
            </w:r>
            <w:r w:rsidR="00FE3D7D">
              <w:rPr>
                <w:rFonts w:ascii="Times New Roman" w:eastAsia="Times New Roman" w:hAnsi="Times New Roman" w:cs="Times New Roman"/>
                <w:sz w:val="28"/>
                <w:szCs w:val="28"/>
                <w:lang w:val="uk-UA" w:bidi="en-US"/>
              </w:rPr>
              <w:t xml:space="preserve"> </w:t>
            </w:r>
            <w:r w:rsidR="001D7F24" w:rsidRPr="00D24F21">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3</w:t>
            </w:r>
            <w:r w:rsidR="00B26236" w:rsidRPr="00810EDD">
              <w:rPr>
                <w:rFonts w:ascii="Times New Roman" w:eastAsia="Times New Roman" w:hAnsi="Times New Roman" w:cs="Times New Roman"/>
                <w:sz w:val="28"/>
                <w:szCs w:val="28"/>
                <w:lang w:val="uk-UA" w:bidi="en-US"/>
              </w:rPr>
              <w:t>1</w:t>
            </w:r>
            <w:r w:rsidR="001D7F24"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77</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1D7F24" w:rsidRPr="00D24F21">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3</w:t>
            </w:r>
            <w:r w:rsidRPr="00810EDD">
              <w:rPr>
                <w:rFonts w:ascii="Times New Roman" w:eastAsia="Times New Roman" w:hAnsi="Times New Roman" w:cs="Times New Roman"/>
                <w:sz w:val="28"/>
                <w:szCs w:val="28"/>
                <w:lang w:val="uk-UA" w:bidi="en-US"/>
              </w:rPr>
              <w:t xml:space="preserve"> </w:t>
            </w:r>
            <w:r w:rsidR="00D1456D">
              <w:rPr>
                <w:rFonts w:ascii="Times New Roman" w:eastAsia="Times New Roman" w:hAnsi="Times New Roman" w:cs="Times New Roman"/>
                <w:sz w:val="28"/>
                <w:szCs w:val="28"/>
                <w:lang w:val="uk-UA" w:bidi="en-US"/>
              </w:rPr>
              <w:t xml:space="preserve">   </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7</w:t>
            </w:r>
            <w:r w:rsidR="00D24F21" w:rsidRPr="00D24F21">
              <w:rPr>
                <w:rFonts w:ascii="Times New Roman" w:eastAsia="Times New Roman" w:hAnsi="Times New Roman" w:cs="Times New Roman"/>
                <w:sz w:val="28"/>
                <w:szCs w:val="28"/>
                <w:lang w:val="uk-UA" w:bidi="en-US"/>
              </w:rPr>
              <w:t>,</w:t>
            </w:r>
            <w:r w:rsidR="00D24F21" w:rsidRPr="00D24F21">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Pr="00D24F21">
              <w:rPr>
                <w:rFonts w:ascii="Times New Roman" w:eastAsia="Times New Roman" w:hAnsi="Times New Roman" w:cs="Times New Roman"/>
                <w:sz w:val="28"/>
                <w:szCs w:val="28"/>
                <w:lang w:val="uk-UA" w:bidi="en-US"/>
              </w:rPr>
              <w:t>%)</w:t>
            </w:r>
          </w:p>
        </w:tc>
      </w:tr>
      <w:tr w:rsidR="00442ED9" w:rsidRPr="003A39B7" w:rsidTr="00940AAC">
        <w:tc>
          <w:tcPr>
            <w:tcW w:w="1843" w:type="dxa"/>
            <w:tcBorders>
              <w:top w:val="single" w:sz="4" w:space="0" w:color="auto"/>
              <w:left w:val="single" w:sz="4" w:space="0" w:color="auto"/>
              <w:bottom w:val="single" w:sz="4" w:space="0" w:color="auto"/>
              <w:right w:val="single" w:sz="4" w:space="0" w:color="auto"/>
            </w:tcBorders>
          </w:tcPr>
          <w:p w:rsidR="00442ED9"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П</w:t>
            </w:r>
            <w:r w:rsidR="00442ED9" w:rsidRPr="001C6EC9">
              <w:rPr>
                <w:rFonts w:ascii="Times New Roman" w:eastAsia="Times New Roman" w:hAnsi="Times New Roman" w:cs="Times New Roman"/>
                <w:sz w:val="28"/>
                <w:szCs w:val="28"/>
                <w:lang w:val="uk-UA" w:bidi="en-US"/>
              </w:rPr>
              <w:t>оліфагія</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CC5CC7" w:rsidP="00625348">
            <w:pPr>
              <w:spacing w:after="0" w:line="240" w:lineRule="auto"/>
              <w:jc w:val="center"/>
              <w:rPr>
                <w:rFonts w:ascii="Times New Roman" w:eastAsia="Times New Roman" w:hAnsi="Times New Roman" w:cs="Times New Roman"/>
                <w:sz w:val="28"/>
                <w:szCs w:val="28"/>
                <w:lang w:val="uk-UA" w:bidi="en-US"/>
              </w:rPr>
            </w:pPr>
            <w:r w:rsidRPr="00CC5CC7">
              <w:rPr>
                <w:rFonts w:ascii="Times New Roman" w:eastAsia="Times New Roman" w:hAnsi="Times New Roman" w:cs="Times New Roman"/>
                <w:sz w:val="28"/>
                <w:szCs w:val="28"/>
                <w:lang w:val="en-US" w:bidi="en-US"/>
              </w:rPr>
              <w:t>1</w:t>
            </w:r>
            <w:r w:rsidR="00442ED9" w:rsidRPr="00CC5CC7">
              <w:rPr>
                <w:rFonts w:ascii="Times New Roman" w:eastAsia="Times New Roman" w:hAnsi="Times New Roman" w:cs="Times New Roman"/>
                <w:sz w:val="28"/>
                <w:szCs w:val="28"/>
                <w:lang w:val="uk-UA" w:bidi="en-US"/>
              </w:rPr>
              <w:t xml:space="preserve">0 </w:t>
            </w:r>
          </w:p>
          <w:p w:rsidR="00442ED9" w:rsidRPr="003A39B7" w:rsidRDefault="001C6EC9" w:rsidP="00625348">
            <w:pPr>
              <w:spacing w:after="0" w:line="240" w:lineRule="auto"/>
              <w:jc w:val="center"/>
              <w:rPr>
                <w:rFonts w:ascii="Times New Roman" w:eastAsia="Times New Roman" w:hAnsi="Times New Roman" w:cs="Times New Roman"/>
                <w:sz w:val="28"/>
                <w:szCs w:val="28"/>
                <w:highlight w:val="yellow"/>
                <w:lang w:val="uk-UA" w:bidi="en-US"/>
              </w:rPr>
            </w:pPr>
            <w:r w:rsidRPr="001C6EC9">
              <w:rPr>
                <w:rFonts w:ascii="Times New Roman" w:eastAsia="Times New Roman" w:hAnsi="Times New Roman" w:cs="Times New Roman"/>
                <w:sz w:val="28"/>
                <w:szCs w:val="28"/>
                <w:lang w:val="uk-UA" w:bidi="en-US"/>
              </w:rPr>
              <w:t>(</w:t>
            </w:r>
            <w:r w:rsidRPr="001C6EC9">
              <w:rPr>
                <w:rFonts w:ascii="Times New Roman" w:eastAsia="Times New Roman" w:hAnsi="Times New Roman" w:cs="Times New Roman"/>
                <w:sz w:val="28"/>
                <w:szCs w:val="28"/>
                <w:lang w:val="en-US" w:bidi="en-US"/>
              </w:rPr>
              <w:t>18</w:t>
            </w:r>
            <w:r w:rsidRPr="001C6EC9">
              <w:rPr>
                <w:rFonts w:ascii="Times New Roman" w:eastAsia="Times New Roman" w:hAnsi="Times New Roman" w:cs="Times New Roman"/>
                <w:sz w:val="28"/>
                <w:szCs w:val="28"/>
                <w:lang w:val="uk-UA" w:bidi="en-US"/>
              </w:rPr>
              <w:t>,</w:t>
            </w:r>
            <w:r w:rsidRPr="001C6EC9">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442ED9" w:rsidRPr="001C6EC9">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8</w:t>
            </w:r>
            <w:r w:rsidR="00442ED9" w:rsidRPr="006A1E5B">
              <w:rPr>
                <w:rFonts w:ascii="Times New Roman" w:eastAsia="Times New Roman" w:hAnsi="Times New Roman" w:cs="Times New Roman"/>
                <w:sz w:val="28"/>
                <w:szCs w:val="28"/>
                <w:lang w:val="uk-UA" w:bidi="en-US"/>
              </w:rPr>
              <w:t xml:space="preserve"> </w:t>
            </w:r>
          </w:p>
          <w:p w:rsidR="00442ED9"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(1</w:t>
            </w:r>
            <w:r w:rsidRPr="00093C83">
              <w:rPr>
                <w:rFonts w:ascii="Times New Roman" w:eastAsia="Times New Roman" w:hAnsi="Times New Roman" w:cs="Times New Roman"/>
                <w:sz w:val="28"/>
                <w:szCs w:val="28"/>
                <w:lang w:val="en-US" w:bidi="en-US"/>
              </w:rPr>
              <w:t>4</w:t>
            </w: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8</w:t>
            </w:r>
            <w:r w:rsidR="00FE3D7D">
              <w:rPr>
                <w:rFonts w:ascii="Times New Roman" w:eastAsia="Times New Roman" w:hAnsi="Times New Roman" w:cs="Times New Roman"/>
                <w:sz w:val="28"/>
                <w:szCs w:val="28"/>
                <w:lang w:val="uk-UA" w:bidi="en-US"/>
              </w:rPr>
              <w:t xml:space="preserve"> </w:t>
            </w:r>
            <w:r w:rsidR="00442ED9"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940AAC" w:rsidRDefault="00442ED9"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 xml:space="preserve">-2 </w:t>
            </w:r>
          </w:p>
          <w:p w:rsidR="00442ED9"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3</w:t>
            </w:r>
            <w:r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7</w:t>
            </w:r>
            <w:r w:rsidR="00FE3D7D">
              <w:rPr>
                <w:rFonts w:ascii="Times New Roman" w:eastAsia="Times New Roman" w:hAnsi="Times New Roman" w:cs="Times New Roman"/>
                <w:sz w:val="28"/>
                <w:szCs w:val="28"/>
                <w:lang w:val="uk-UA" w:bidi="en-US"/>
              </w:rPr>
              <w:t xml:space="preserve"> </w:t>
            </w:r>
            <w:r w:rsidR="00442ED9" w:rsidRPr="0005082A">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D24F21" w:rsidRDefault="00882246" w:rsidP="00625348">
            <w:pPr>
              <w:tabs>
                <w:tab w:val="left" w:pos="328"/>
              </w:tabs>
              <w:spacing w:after="0" w:line="240" w:lineRule="auto"/>
              <w:jc w:val="center"/>
              <w:rPr>
                <w:rFonts w:ascii="Times New Roman" w:eastAsia="Times New Roman" w:hAnsi="Times New Roman" w:cs="Times New Roman"/>
                <w:sz w:val="28"/>
                <w:szCs w:val="28"/>
                <w:lang w:val="en-US" w:bidi="en-US"/>
              </w:rPr>
            </w:pPr>
            <w:r w:rsidRPr="00882246">
              <w:rPr>
                <w:rFonts w:ascii="Times New Roman" w:eastAsia="Times New Roman" w:hAnsi="Times New Roman" w:cs="Times New Roman"/>
                <w:sz w:val="28"/>
                <w:szCs w:val="28"/>
                <w:lang w:val="en-US" w:bidi="en-US"/>
              </w:rPr>
              <w:t>6</w:t>
            </w:r>
            <w:r w:rsidR="00442ED9" w:rsidRPr="00882246">
              <w:rPr>
                <w:rFonts w:ascii="Times New Roman" w:eastAsia="Times New Roman" w:hAnsi="Times New Roman" w:cs="Times New Roman"/>
                <w:sz w:val="28"/>
                <w:szCs w:val="28"/>
                <w:lang w:val="uk-UA" w:bidi="en-US"/>
              </w:rPr>
              <w:t xml:space="preserve"> </w:t>
            </w:r>
          </w:p>
          <w:p w:rsidR="00442ED9" w:rsidRPr="003A39B7" w:rsidRDefault="00D24F21"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C540B0">
              <w:rPr>
                <w:rFonts w:ascii="Times New Roman" w:eastAsia="Times New Roman" w:hAnsi="Times New Roman" w:cs="Times New Roman"/>
                <w:sz w:val="28"/>
                <w:szCs w:val="28"/>
                <w:lang w:val="uk-UA" w:bidi="en-US"/>
              </w:rPr>
              <w:t>(</w:t>
            </w:r>
            <w:r w:rsidRPr="00C540B0">
              <w:rPr>
                <w:rFonts w:ascii="Times New Roman" w:eastAsia="Times New Roman" w:hAnsi="Times New Roman" w:cs="Times New Roman"/>
                <w:sz w:val="28"/>
                <w:szCs w:val="28"/>
                <w:lang w:val="en-US" w:bidi="en-US"/>
              </w:rPr>
              <w:t xml:space="preserve">15 </w:t>
            </w:r>
            <w:r w:rsidR="00442ED9" w:rsidRPr="00C540B0">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42ED9"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5</w:t>
            </w:r>
            <w:r w:rsidR="00940AAC">
              <w:rPr>
                <w:rFonts w:ascii="Times New Roman" w:eastAsia="Times New Roman" w:hAnsi="Times New Roman" w:cs="Times New Roman"/>
                <w:sz w:val="28"/>
                <w:szCs w:val="28"/>
                <w:lang w:val="uk-UA" w:bidi="en-US"/>
              </w:rPr>
              <w:t xml:space="preserve">  </w:t>
            </w:r>
            <w:r w:rsidR="00442ED9"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D24F21" w:rsidRPr="00C540B0">
              <w:rPr>
                <w:rFonts w:ascii="Times New Roman" w:eastAsia="Times New Roman" w:hAnsi="Times New Roman" w:cs="Times New Roman"/>
                <w:sz w:val="28"/>
                <w:szCs w:val="28"/>
                <w:lang w:val="uk-UA" w:bidi="en-US"/>
              </w:rPr>
              <w:t>(</w:t>
            </w:r>
            <w:r w:rsidR="00D24F21" w:rsidRPr="00C540B0">
              <w:rPr>
                <w:rFonts w:ascii="Times New Roman" w:eastAsia="Times New Roman" w:hAnsi="Times New Roman" w:cs="Times New Roman"/>
                <w:sz w:val="28"/>
                <w:szCs w:val="28"/>
                <w:lang w:val="en-US" w:bidi="en-US"/>
              </w:rPr>
              <w:t>12</w:t>
            </w:r>
            <w:r w:rsidR="00D24F21" w:rsidRPr="00C540B0">
              <w:rPr>
                <w:rFonts w:ascii="Times New Roman" w:eastAsia="Times New Roman" w:hAnsi="Times New Roman" w:cs="Times New Roman"/>
                <w:sz w:val="28"/>
                <w:szCs w:val="28"/>
                <w:lang w:val="uk-UA" w:bidi="en-US"/>
              </w:rPr>
              <w:t>,</w:t>
            </w:r>
            <w:r w:rsidR="00D24F21" w:rsidRPr="00C540B0">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442ED9" w:rsidRPr="00C540B0">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C540B0" w:rsidRDefault="00810EDD" w:rsidP="00625348">
            <w:pPr>
              <w:spacing w:after="0" w:line="240" w:lineRule="auto"/>
              <w:jc w:val="center"/>
              <w:rPr>
                <w:rFonts w:ascii="Times New Roman" w:eastAsia="Times New Roman" w:hAnsi="Times New Roman" w:cs="Times New Roman"/>
                <w:sz w:val="28"/>
                <w:szCs w:val="28"/>
                <w:lang w:val="en-US" w:bidi="en-US"/>
              </w:rPr>
            </w:pPr>
            <w:r w:rsidRPr="00810EDD">
              <w:rPr>
                <w:rFonts w:ascii="Times New Roman" w:eastAsia="Times New Roman" w:hAnsi="Times New Roman" w:cs="Times New Roman"/>
                <w:sz w:val="28"/>
                <w:szCs w:val="28"/>
                <w:lang w:val="en-US" w:bidi="en-US"/>
              </w:rPr>
              <w:t>1</w:t>
            </w:r>
            <w:r w:rsidR="00442ED9" w:rsidRPr="00810EDD">
              <w:rPr>
                <w:rFonts w:ascii="Times New Roman" w:eastAsia="Times New Roman" w:hAnsi="Times New Roman" w:cs="Times New Roman"/>
                <w:sz w:val="28"/>
                <w:szCs w:val="28"/>
                <w:lang w:val="uk-UA" w:bidi="en-US"/>
              </w:rPr>
              <w:t xml:space="preserve"> </w:t>
            </w:r>
          </w:p>
          <w:p w:rsidR="00442ED9" w:rsidRPr="003A39B7" w:rsidRDefault="00C540B0" w:rsidP="00625348">
            <w:pPr>
              <w:spacing w:after="0" w:line="240" w:lineRule="auto"/>
              <w:jc w:val="center"/>
              <w:rPr>
                <w:rFonts w:ascii="Times New Roman" w:eastAsia="Times New Roman" w:hAnsi="Times New Roman" w:cs="Times New Roman"/>
                <w:sz w:val="28"/>
                <w:szCs w:val="28"/>
                <w:highlight w:val="yellow"/>
                <w:lang w:val="uk-UA" w:bidi="en-US"/>
              </w:rPr>
            </w:pPr>
            <w:r w:rsidRPr="00C540B0">
              <w:rPr>
                <w:rFonts w:ascii="Times New Roman" w:eastAsia="Times New Roman" w:hAnsi="Times New Roman" w:cs="Times New Roman"/>
                <w:sz w:val="28"/>
                <w:szCs w:val="28"/>
                <w:lang w:val="uk-UA" w:bidi="en-US"/>
              </w:rPr>
              <w:t>(2,</w:t>
            </w:r>
            <w:r w:rsidRPr="00C540B0">
              <w:rPr>
                <w:rFonts w:ascii="Times New Roman" w:eastAsia="Times New Roman" w:hAnsi="Times New Roman" w:cs="Times New Roman"/>
                <w:sz w:val="28"/>
                <w:szCs w:val="28"/>
                <w:lang w:val="en-US" w:bidi="en-US"/>
              </w:rPr>
              <w:t>5</w:t>
            </w:r>
            <w:r w:rsidR="00FE3D7D">
              <w:rPr>
                <w:rFonts w:ascii="Times New Roman" w:eastAsia="Times New Roman" w:hAnsi="Times New Roman" w:cs="Times New Roman"/>
                <w:sz w:val="28"/>
                <w:szCs w:val="28"/>
                <w:lang w:val="uk-UA" w:bidi="en-US"/>
              </w:rPr>
              <w:t xml:space="preserve"> </w:t>
            </w:r>
            <w:r w:rsidR="00442ED9" w:rsidRPr="00C540B0">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С</w:t>
            </w:r>
            <w:r w:rsidR="00625348" w:rsidRPr="001C6EC9">
              <w:rPr>
                <w:rFonts w:ascii="Times New Roman" w:eastAsia="Times New Roman" w:hAnsi="Times New Roman" w:cs="Times New Roman"/>
                <w:sz w:val="28"/>
                <w:szCs w:val="28"/>
                <w:lang w:val="uk-UA" w:bidi="en-US"/>
              </w:rPr>
              <w:t>вербіж</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1C6EC9" w:rsidRDefault="009B0997" w:rsidP="00625348">
            <w:pPr>
              <w:spacing w:after="0" w:line="240" w:lineRule="auto"/>
              <w:jc w:val="center"/>
              <w:rPr>
                <w:rFonts w:ascii="Times New Roman" w:eastAsia="Times New Roman" w:hAnsi="Times New Roman" w:cs="Times New Roman"/>
                <w:sz w:val="28"/>
                <w:szCs w:val="28"/>
                <w:lang w:val="en-US" w:bidi="en-US"/>
              </w:rPr>
            </w:pPr>
            <w:r>
              <w:rPr>
                <w:rFonts w:ascii="Times New Roman" w:eastAsia="Times New Roman" w:hAnsi="Times New Roman" w:cs="Times New Roman"/>
                <w:sz w:val="28"/>
                <w:szCs w:val="28"/>
                <w:lang w:val="en-US" w:bidi="en-US"/>
              </w:rPr>
              <w:t>2</w:t>
            </w:r>
            <w:r w:rsidR="001C6EC9" w:rsidRPr="001C6EC9">
              <w:rPr>
                <w:rFonts w:ascii="Times New Roman" w:eastAsia="Times New Roman" w:hAnsi="Times New Roman" w:cs="Times New Roman"/>
                <w:sz w:val="28"/>
                <w:szCs w:val="28"/>
                <w:lang w:val="en-US" w:bidi="en-US"/>
              </w:rPr>
              <w:t>8</w:t>
            </w:r>
          </w:p>
          <w:p w:rsidR="00140695" w:rsidRPr="003A39B7" w:rsidRDefault="009B0997" w:rsidP="00625348">
            <w:pPr>
              <w:spacing w:after="0" w:line="240" w:lineRule="auto"/>
              <w:jc w:val="center"/>
              <w:rPr>
                <w:rFonts w:ascii="Times New Roman" w:eastAsia="Times New Roman" w:hAnsi="Times New Roman" w:cs="Times New Roman"/>
                <w:sz w:val="28"/>
                <w:szCs w:val="28"/>
                <w:highlight w:val="yellow"/>
                <w:lang w:val="uk-UA" w:bidi="en-US"/>
              </w:rPr>
            </w:pPr>
            <w:r w:rsidRPr="009B0997">
              <w:rPr>
                <w:rFonts w:ascii="Times New Roman" w:eastAsia="Times New Roman" w:hAnsi="Times New Roman" w:cs="Times New Roman"/>
                <w:sz w:val="28"/>
                <w:szCs w:val="28"/>
                <w:lang w:val="uk-UA" w:bidi="en-US"/>
              </w:rPr>
              <w:t>(5</w:t>
            </w:r>
            <w:r w:rsidRPr="009B0997">
              <w:rPr>
                <w:rFonts w:ascii="Times New Roman" w:eastAsia="Times New Roman" w:hAnsi="Times New Roman" w:cs="Times New Roman"/>
                <w:sz w:val="28"/>
                <w:szCs w:val="28"/>
                <w:lang w:val="en-US" w:bidi="en-US"/>
              </w:rPr>
              <w:t>1</w:t>
            </w:r>
            <w:r w:rsidRPr="009B0997">
              <w:rPr>
                <w:rFonts w:ascii="Times New Roman" w:eastAsia="Times New Roman" w:hAnsi="Times New Roman" w:cs="Times New Roman"/>
                <w:sz w:val="28"/>
                <w:szCs w:val="28"/>
                <w:lang w:val="uk-UA" w:bidi="en-US"/>
              </w:rPr>
              <w:t>,</w:t>
            </w:r>
            <w:r w:rsidRPr="009B0997">
              <w:rPr>
                <w:rFonts w:ascii="Times New Roman" w:eastAsia="Times New Roman" w:hAnsi="Times New Roman" w:cs="Times New Roman"/>
                <w:sz w:val="28"/>
                <w:szCs w:val="28"/>
                <w:lang w:val="en-US" w:bidi="en-US"/>
              </w:rPr>
              <w:t>9</w:t>
            </w:r>
            <w:r w:rsidR="00FE3D7D">
              <w:rPr>
                <w:rFonts w:ascii="Times New Roman" w:eastAsia="Times New Roman" w:hAnsi="Times New Roman" w:cs="Times New Roman"/>
                <w:sz w:val="28"/>
                <w:szCs w:val="28"/>
                <w:lang w:val="uk-UA" w:bidi="en-US"/>
              </w:rPr>
              <w:t xml:space="preserve"> </w:t>
            </w:r>
            <w:r w:rsidR="00140695" w:rsidRPr="009B099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24</w:t>
            </w:r>
            <w:r w:rsidR="00140695" w:rsidRPr="006A1E5B">
              <w:rPr>
                <w:rFonts w:ascii="Times New Roman" w:eastAsia="Times New Roman" w:hAnsi="Times New Roman" w:cs="Times New Roman"/>
                <w:sz w:val="28"/>
                <w:szCs w:val="28"/>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44</w:t>
            </w: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4</w:t>
            </w:r>
            <w:r w:rsidR="00D1456D">
              <w:rPr>
                <w:rFonts w:ascii="Times New Roman" w:eastAsia="Times New Roman" w:hAnsi="Times New Roman" w:cs="Times New Roman"/>
                <w:sz w:val="28"/>
                <w:szCs w:val="28"/>
                <w:lang w:val="uk-UA" w:bidi="en-US"/>
              </w:rPr>
              <w:t xml:space="preserve"> </w:t>
            </w:r>
            <w:r w:rsidR="00140695"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940AAC" w:rsidRDefault="00140695" w:rsidP="00625348">
            <w:pPr>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uk-UA" w:bidi="en-US"/>
              </w:rPr>
              <w:t>-</w:t>
            </w:r>
            <w:r w:rsidR="006A1E5B" w:rsidRPr="00C540B0">
              <w:rPr>
                <w:rFonts w:ascii="Times New Roman" w:eastAsia="Times New Roman" w:hAnsi="Times New Roman" w:cs="Times New Roman"/>
                <w:sz w:val="28"/>
                <w:szCs w:val="28"/>
                <w:lang w:val="en-US" w:bidi="en-US"/>
              </w:rPr>
              <w:t>4</w:t>
            </w:r>
            <w:r w:rsidRPr="00C540B0">
              <w:rPr>
                <w:rFonts w:ascii="Times New Roman" w:eastAsia="Times New Roman" w:hAnsi="Times New Roman" w:cs="Times New Roman"/>
                <w:sz w:val="28"/>
                <w:szCs w:val="28"/>
                <w:lang w:val="uk-UA" w:bidi="en-US"/>
              </w:rPr>
              <w:t xml:space="preserve"> </w:t>
            </w:r>
          </w:p>
          <w:p w:rsidR="00625348" w:rsidRPr="00C540B0" w:rsidRDefault="0005082A" w:rsidP="00625348">
            <w:pPr>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uk-UA" w:bidi="en-US"/>
              </w:rPr>
              <w:t>(7,</w:t>
            </w:r>
            <w:r w:rsidRPr="00C540B0">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140695" w:rsidRPr="00C540B0">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en-US" w:bidi="en-US"/>
              </w:rPr>
              <w:t>23</w:t>
            </w:r>
            <w:r w:rsidR="001D7F24" w:rsidRPr="00C540B0">
              <w:rPr>
                <w:rFonts w:ascii="Times New Roman" w:eastAsia="Times New Roman" w:hAnsi="Times New Roman" w:cs="Times New Roman"/>
                <w:sz w:val="28"/>
                <w:szCs w:val="28"/>
                <w:lang w:val="uk-UA" w:bidi="en-US"/>
              </w:rPr>
              <w:t xml:space="preserve"> </w:t>
            </w:r>
          </w:p>
          <w:p w:rsidR="00625348" w:rsidRPr="00C540B0" w:rsidRDefault="00C540B0"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uk-UA" w:bidi="en-US"/>
              </w:rPr>
              <w:t>(</w:t>
            </w:r>
            <w:r w:rsidRPr="00C540B0">
              <w:rPr>
                <w:rFonts w:ascii="Times New Roman" w:eastAsia="Times New Roman" w:hAnsi="Times New Roman" w:cs="Times New Roman"/>
                <w:sz w:val="28"/>
                <w:szCs w:val="28"/>
                <w:lang w:val="en-US" w:bidi="en-US"/>
              </w:rPr>
              <w:t>57</w:t>
            </w:r>
            <w:r w:rsidRPr="00C540B0">
              <w:rPr>
                <w:rFonts w:ascii="Times New Roman" w:eastAsia="Times New Roman" w:hAnsi="Times New Roman" w:cs="Times New Roman"/>
                <w:sz w:val="28"/>
                <w:szCs w:val="28"/>
                <w:lang w:val="uk-UA" w:bidi="en-US"/>
              </w:rPr>
              <w:t>,</w:t>
            </w:r>
            <w:r w:rsidRPr="00C540B0">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1D7F24" w:rsidRPr="00C540B0">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C540B0" w:rsidRDefault="00810EDD"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en-US" w:bidi="en-US"/>
              </w:rPr>
              <w:t>2</w:t>
            </w:r>
            <w:r w:rsidR="00B26236" w:rsidRPr="00C540B0">
              <w:rPr>
                <w:rFonts w:ascii="Times New Roman" w:eastAsia="Times New Roman" w:hAnsi="Times New Roman" w:cs="Times New Roman"/>
                <w:sz w:val="28"/>
                <w:szCs w:val="28"/>
                <w:lang w:val="uk-UA" w:bidi="en-US"/>
              </w:rPr>
              <w:t>0</w:t>
            </w:r>
            <w:r w:rsidR="001D7F24" w:rsidRPr="00C540B0">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C540B0" w:rsidRPr="00C540B0">
              <w:rPr>
                <w:rFonts w:ascii="Times New Roman" w:eastAsia="Times New Roman" w:hAnsi="Times New Roman" w:cs="Times New Roman"/>
                <w:sz w:val="28"/>
                <w:szCs w:val="28"/>
                <w:lang w:val="uk-UA" w:bidi="en-US"/>
              </w:rPr>
              <w:t>(</w:t>
            </w:r>
            <w:r w:rsidR="00C540B0" w:rsidRPr="00C540B0">
              <w:rPr>
                <w:rFonts w:ascii="Times New Roman" w:eastAsia="Times New Roman" w:hAnsi="Times New Roman" w:cs="Times New Roman"/>
                <w:sz w:val="28"/>
                <w:szCs w:val="28"/>
                <w:lang w:val="en-US" w:bidi="en-US"/>
              </w:rPr>
              <w:t>5</w:t>
            </w:r>
            <w:r w:rsidR="00C540B0" w:rsidRPr="00C540B0">
              <w:rPr>
                <w:rFonts w:ascii="Times New Roman" w:eastAsia="Times New Roman" w:hAnsi="Times New Roman" w:cs="Times New Roman"/>
                <w:sz w:val="28"/>
                <w:szCs w:val="28"/>
                <w:lang w:val="uk-UA" w:bidi="en-US"/>
              </w:rPr>
              <w:t>0,</w:t>
            </w:r>
            <w:r w:rsidR="00C540B0" w:rsidRPr="00C540B0">
              <w:rPr>
                <w:rFonts w:ascii="Times New Roman" w:eastAsia="Times New Roman" w:hAnsi="Times New Roman" w:cs="Times New Roman"/>
                <w:sz w:val="28"/>
                <w:szCs w:val="28"/>
                <w:lang w:val="en-US" w:bidi="en-US"/>
              </w:rPr>
              <w:t>0</w:t>
            </w:r>
            <w:r w:rsidR="00D1456D">
              <w:rPr>
                <w:rFonts w:ascii="Times New Roman" w:eastAsia="Times New Roman" w:hAnsi="Times New Roman" w:cs="Times New Roman"/>
                <w:sz w:val="28"/>
                <w:szCs w:val="28"/>
                <w:lang w:val="uk-UA" w:bidi="en-US"/>
              </w:rPr>
              <w:t xml:space="preserve"> </w:t>
            </w:r>
            <w:r w:rsidR="001D7F24" w:rsidRPr="00C540B0">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C540B0" w:rsidRDefault="0049630C" w:rsidP="00625348">
            <w:pPr>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uk-UA" w:bidi="en-US"/>
              </w:rPr>
              <w:t>-</w:t>
            </w:r>
            <w:r w:rsidR="000D5D27" w:rsidRPr="00C540B0">
              <w:rPr>
                <w:rFonts w:ascii="Times New Roman" w:eastAsia="Times New Roman" w:hAnsi="Times New Roman" w:cs="Times New Roman"/>
                <w:sz w:val="28"/>
                <w:szCs w:val="28"/>
                <w:lang w:val="uk-UA" w:bidi="en-US"/>
              </w:rPr>
              <w:t>3</w:t>
            </w:r>
            <w:r w:rsidR="001D7F24" w:rsidRPr="00C540B0">
              <w:rPr>
                <w:rFonts w:ascii="Times New Roman" w:eastAsia="Times New Roman" w:hAnsi="Times New Roman" w:cs="Times New Roman"/>
                <w:sz w:val="28"/>
                <w:szCs w:val="28"/>
                <w:lang w:val="uk-UA" w:bidi="en-US"/>
              </w:rPr>
              <w:t xml:space="preserve"> </w:t>
            </w:r>
            <w:r w:rsidR="00D1456D">
              <w:rPr>
                <w:rFonts w:ascii="Times New Roman" w:eastAsia="Times New Roman" w:hAnsi="Times New Roman" w:cs="Times New Roman"/>
                <w:sz w:val="28"/>
                <w:szCs w:val="28"/>
                <w:lang w:val="uk-UA" w:bidi="en-US"/>
              </w:rPr>
              <w:t xml:space="preserve">   </w:t>
            </w:r>
            <w:r w:rsidR="001D7F24" w:rsidRPr="00C540B0">
              <w:rPr>
                <w:rFonts w:ascii="Times New Roman" w:eastAsia="Times New Roman" w:hAnsi="Times New Roman" w:cs="Times New Roman"/>
                <w:sz w:val="28"/>
                <w:szCs w:val="28"/>
                <w:lang w:val="uk-UA" w:bidi="en-US"/>
              </w:rPr>
              <w:t>(</w:t>
            </w:r>
            <w:r w:rsidR="00C540B0" w:rsidRPr="00C540B0">
              <w:rPr>
                <w:rFonts w:ascii="Times New Roman" w:eastAsia="Times New Roman" w:hAnsi="Times New Roman" w:cs="Times New Roman"/>
                <w:sz w:val="28"/>
                <w:szCs w:val="28"/>
                <w:lang w:val="en-US" w:bidi="en-US"/>
              </w:rPr>
              <w:t>7</w:t>
            </w:r>
            <w:r w:rsidR="00C540B0" w:rsidRPr="00C540B0">
              <w:rPr>
                <w:rFonts w:ascii="Times New Roman" w:eastAsia="Times New Roman" w:hAnsi="Times New Roman" w:cs="Times New Roman"/>
                <w:sz w:val="28"/>
                <w:szCs w:val="28"/>
                <w:lang w:val="uk-UA" w:bidi="en-US"/>
              </w:rPr>
              <w:t>,</w:t>
            </w:r>
            <w:r w:rsidR="00C540B0" w:rsidRPr="00C540B0">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Pr="00C540B0">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Слаб</w:t>
            </w:r>
            <w:r w:rsidR="00625348" w:rsidRPr="001C6EC9">
              <w:rPr>
                <w:rFonts w:ascii="Times New Roman" w:eastAsia="Times New Roman" w:hAnsi="Times New Roman" w:cs="Times New Roman"/>
                <w:sz w:val="28"/>
                <w:szCs w:val="28"/>
                <w:lang w:val="uk-UA" w:bidi="en-US"/>
              </w:rPr>
              <w:t>ість</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9B099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49</w:t>
            </w:r>
            <w:r w:rsidR="00140695" w:rsidRPr="001C6EC9">
              <w:rPr>
                <w:rFonts w:ascii="Times New Roman" w:eastAsia="Times New Roman" w:hAnsi="Times New Roman" w:cs="Times New Roman"/>
                <w:sz w:val="28"/>
                <w:szCs w:val="28"/>
                <w:lang w:val="uk-UA" w:bidi="en-US"/>
              </w:rPr>
              <w:t xml:space="preserve"> </w:t>
            </w:r>
          </w:p>
          <w:p w:rsidR="00625348" w:rsidRPr="003A39B7" w:rsidRDefault="009B0997" w:rsidP="00625348">
            <w:pPr>
              <w:spacing w:after="0" w:line="240" w:lineRule="auto"/>
              <w:jc w:val="center"/>
              <w:rPr>
                <w:rFonts w:ascii="Times New Roman" w:eastAsia="Times New Roman" w:hAnsi="Times New Roman" w:cs="Times New Roman"/>
                <w:sz w:val="28"/>
                <w:szCs w:val="28"/>
                <w:highlight w:val="yellow"/>
                <w:lang w:val="uk-UA" w:bidi="en-US"/>
              </w:rPr>
            </w:pPr>
            <w:r w:rsidRPr="009B0997">
              <w:rPr>
                <w:rFonts w:ascii="Times New Roman" w:eastAsia="Times New Roman" w:hAnsi="Times New Roman" w:cs="Times New Roman"/>
                <w:sz w:val="28"/>
                <w:szCs w:val="28"/>
                <w:lang w:val="uk-UA" w:bidi="en-US"/>
              </w:rPr>
              <w:t>(90,</w:t>
            </w:r>
            <w:r w:rsidRPr="009B0997">
              <w:rPr>
                <w:rFonts w:ascii="Times New Roman" w:eastAsia="Times New Roman" w:hAnsi="Times New Roman" w:cs="Times New Roman"/>
                <w:sz w:val="28"/>
                <w:szCs w:val="28"/>
                <w:lang w:val="en-US" w:bidi="en-US"/>
              </w:rPr>
              <w:t>7</w:t>
            </w:r>
            <w:r w:rsidR="00FE3D7D">
              <w:rPr>
                <w:rFonts w:ascii="Times New Roman" w:eastAsia="Times New Roman" w:hAnsi="Times New Roman" w:cs="Times New Roman"/>
                <w:sz w:val="28"/>
                <w:szCs w:val="28"/>
                <w:lang w:val="uk-UA" w:bidi="en-US"/>
              </w:rPr>
              <w:t xml:space="preserve"> </w:t>
            </w:r>
            <w:r w:rsidR="00140695" w:rsidRPr="009B099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44</w:t>
            </w:r>
            <w:r w:rsidR="00140695" w:rsidRPr="006A1E5B">
              <w:rPr>
                <w:rFonts w:ascii="Times New Roman" w:eastAsia="Times New Roman" w:hAnsi="Times New Roman" w:cs="Times New Roman"/>
                <w:sz w:val="28"/>
                <w:szCs w:val="28"/>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(8</w:t>
            </w:r>
            <w:r w:rsidRPr="00093C83">
              <w:rPr>
                <w:rFonts w:ascii="Times New Roman" w:eastAsia="Times New Roman" w:hAnsi="Times New Roman" w:cs="Times New Roman"/>
                <w:sz w:val="28"/>
                <w:szCs w:val="28"/>
                <w:lang w:val="en-US" w:bidi="en-US"/>
              </w:rPr>
              <w:t>1</w:t>
            </w: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140695"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625348" w:rsidRPr="003A39B7" w:rsidRDefault="00140695" w:rsidP="00625348">
            <w:pPr>
              <w:spacing w:after="0" w:line="240" w:lineRule="auto"/>
              <w:jc w:val="center"/>
              <w:rPr>
                <w:rFonts w:ascii="Times New Roman" w:eastAsia="Times New Roman" w:hAnsi="Times New Roman" w:cs="Times New Roman"/>
                <w:sz w:val="28"/>
                <w:szCs w:val="28"/>
                <w:highlight w:val="yellow"/>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5</w:t>
            </w:r>
            <w:r w:rsidR="000C752E" w:rsidRPr="006A1E5B">
              <w:rPr>
                <w:rFonts w:ascii="Times New Roman" w:eastAsia="Times New Roman" w:hAnsi="Times New Roman" w:cs="Times New Roman"/>
                <w:sz w:val="28"/>
                <w:szCs w:val="28"/>
                <w:lang w:val="uk-UA" w:bidi="en-US"/>
              </w:rPr>
              <w:t xml:space="preserve"> </w:t>
            </w:r>
            <w:r w:rsidR="00882246" w:rsidRPr="00882246">
              <w:rPr>
                <w:rFonts w:ascii="Times New Roman" w:eastAsia="Times New Roman" w:hAnsi="Times New Roman" w:cs="Times New Roman"/>
                <w:sz w:val="28"/>
                <w:szCs w:val="28"/>
                <w:lang w:val="uk-UA" w:bidi="en-US"/>
              </w:rPr>
              <w:t>(</w:t>
            </w:r>
            <w:r w:rsidR="00882246" w:rsidRPr="00882246">
              <w:rPr>
                <w:rFonts w:ascii="Times New Roman" w:eastAsia="Times New Roman" w:hAnsi="Times New Roman" w:cs="Times New Roman"/>
                <w:sz w:val="28"/>
                <w:szCs w:val="28"/>
                <w:lang w:val="en-US" w:bidi="en-US"/>
              </w:rPr>
              <w:t>9</w:t>
            </w:r>
            <w:r w:rsidR="00882246" w:rsidRPr="00882246">
              <w:rPr>
                <w:rFonts w:ascii="Times New Roman" w:eastAsia="Times New Roman" w:hAnsi="Times New Roman" w:cs="Times New Roman"/>
                <w:sz w:val="28"/>
                <w:szCs w:val="28"/>
                <w:lang w:val="uk-UA" w:bidi="en-US"/>
              </w:rPr>
              <w:t>,</w:t>
            </w:r>
            <w:r w:rsidR="00882246" w:rsidRPr="00882246">
              <w:rPr>
                <w:rFonts w:ascii="Times New Roman" w:eastAsia="Times New Roman" w:hAnsi="Times New Roman" w:cs="Times New Roman"/>
                <w:sz w:val="28"/>
                <w:szCs w:val="28"/>
                <w:lang w:val="en-US" w:bidi="en-US"/>
              </w:rPr>
              <w:t>2</w:t>
            </w:r>
            <w:r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C540B0"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38</w:t>
            </w:r>
            <w:r w:rsidR="001D7F24" w:rsidRPr="00882246">
              <w:rPr>
                <w:rFonts w:ascii="Times New Roman" w:eastAsia="Times New Roman" w:hAnsi="Times New Roman" w:cs="Times New Roman"/>
                <w:sz w:val="28"/>
                <w:szCs w:val="28"/>
                <w:lang w:val="uk-UA" w:bidi="en-US"/>
              </w:rPr>
              <w:t xml:space="preserve"> </w:t>
            </w:r>
          </w:p>
          <w:p w:rsidR="00625348" w:rsidRPr="003A39B7" w:rsidRDefault="00C540B0"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C540B0">
              <w:rPr>
                <w:rFonts w:ascii="Times New Roman" w:eastAsia="Times New Roman" w:hAnsi="Times New Roman" w:cs="Times New Roman"/>
                <w:sz w:val="28"/>
                <w:szCs w:val="28"/>
                <w:lang w:val="uk-UA" w:bidi="en-US"/>
              </w:rPr>
              <w:t>(</w:t>
            </w:r>
            <w:r w:rsidRPr="00C540B0">
              <w:rPr>
                <w:rFonts w:ascii="Times New Roman" w:eastAsia="Times New Roman" w:hAnsi="Times New Roman" w:cs="Times New Roman"/>
                <w:sz w:val="28"/>
                <w:szCs w:val="28"/>
                <w:lang w:val="en-US" w:bidi="en-US"/>
              </w:rPr>
              <w:t>95</w:t>
            </w:r>
            <w:r w:rsidR="001D7F24" w:rsidRPr="00C540B0">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C540B0" w:rsidRDefault="00C540B0"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en-US" w:bidi="en-US"/>
              </w:rPr>
              <w:t>34</w:t>
            </w:r>
            <w:r w:rsidRPr="00C540B0">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Pr="00C540B0">
              <w:rPr>
                <w:rFonts w:ascii="Times New Roman" w:eastAsia="Times New Roman" w:hAnsi="Times New Roman" w:cs="Times New Roman"/>
                <w:sz w:val="28"/>
                <w:szCs w:val="28"/>
                <w:lang w:val="uk-UA" w:bidi="en-US"/>
              </w:rPr>
              <w:t>(</w:t>
            </w:r>
            <w:r w:rsidRPr="00C540B0">
              <w:rPr>
                <w:rFonts w:ascii="Times New Roman" w:eastAsia="Times New Roman" w:hAnsi="Times New Roman" w:cs="Times New Roman"/>
                <w:sz w:val="28"/>
                <w:szCs w:val="28"/>
                <w:lang w:val="en-US" w:bidi="en-US"/>
              </w:rPr>
              <w:t>85</w:t>
            </w:r>
            <w:r w:rsidR="00D1456D">
              <w:rPr>
                <w:rFonts w:ascii="Times New Roman" w:eastAsia="Times New Roman" w:hAnsi="Times New Roman" w:cs="Times New Roman"/>
                <w:sz w:val="28"/>
                <w:szCs w:val="28"/>
                <w:lang w:val="uk-UA" w:bidi="en-US"/>
              </w:rPr>
              <w:t xml:space="preserve"> </w:t>
            </w:r>
            <w:r w:rsidR="001D7F24" w:rsidRPr="00C540B0">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C540B0" w:rsidRPr="00C540B0" w:rsidRDefault="0049630C" w:rsidP="00625348">
            <w:pPr>
              <w:spacing w:after="0" w:line="240" w:lineRule="auto"/>
              <w:jc w:val="center"/>
              <w:rPr>
                <w:rFonts w:ascii="Times New Roman" w:eastAsia="Times New Roman" w:hAnsi="Times New Roman" w:cs="Times New Roman"/>
                <w:sz w:val="28"/>
                <w:szCs w:val="28"/>
                <w:lang w:val="en-US" w:bidi="en-US"/>
              </w:rPr>
            </w:pPr>
            <w:r w:rsidRPr="00C540B0">
              <w:rPr>
                <w:rFonts w:ascii="Times New Roman" w:eastAsia="Times New Roman" w:hAnsi="Times New Roman" w:cs="Times New Roman"/>
                <w:sz w:val="28"/>
                <w:szCs w:val="28"/>
                <w:lang w:val="uk-UA" w:bidi="en-US"/>
              </w:rPr>
              <w:t>-</w:t>
            </w:r>
            <w:r w:rsidR="00810EDD" w:rsidRPr="00C540B0">
              <w:rPr>
                <w:rFonts w:ascii="Times New Roman" w:eastAsia="Times New Roman" w:hAnsi="Times New Roman" w:cs="Times New Roman"/>
                <w:sz w:val="28"/>
                <w:szCs w:val="28"/>
                <w:lang w:val="en-US" w:bidi="en-US"/>
              </w:rPr>
              <w:t>4</w:t>
            </w:r>
            <w:r w:rsidRPr="00C540B0">
              <w:rPr>
                <w:rFonts w:ascii="Times New Roman" w:eastAsia="Times New Roman" w:hAnsi="Times New Roman" w:cs="Times New Roman"/>
                <w:sz w:val="28"/>
                <w:szCs w:val="28"/>
                <w:lang w:val="uk-UA" w:bidi="en-US"/>
              </w:rPr>
              <w:t xml:space="preserve"> </w:t>
            </w:r>
          </w:p>
          <w:p w:rsidR="00625348" w:rsidRPr="00C540B0" w:rsidRDefault="00C540B0" w:rsidP="00625348">
            <w:pPr>
              <w:spacing w:after="0" w:line="240" w:lineRule="auto"/>
              <w:jc w:val="center"/>
              <w:rPr>
                <w:rFonts w:ascii="Times New Roman" w:eastAsia="Times New Roman" w:hAnsi="Times New Roman" w:cs="Times New Roman"/>
                <w:sz w:val="28"/>
                <w:szCs w:val="28"/>
                <w:lang w:val="uk-UA" w:bidi="en-US"/>
              </w:rPr>
            </w:pPr>
            <w:r w:rsidRPr="00C540B0">
              <w:rPr>
                <w:rFonts w:ascii="Times New Roman" w:eastAsia="Times New Roman" w:hAnsi="Times New Roman" w:cs="Times New Roman"/>
                <w:sz w:val="28"/>
                <w:szCs w:val="28"/>
                <w:lang w:val="uk-UA" w:bidi="en-US"/>
              </w:rPr>
              <w:t>(</w:t>
            </w:r>
            <w:r w:rsidRPr="00C540B0">
              <w:rPr>
                <w:rFonts w:ascii="Times New Roman" w:eastAsia="Times New Roman" w:hAnsi="Times New Roman" w:cs="Times New Roman"/>
                <w:sz w:val="28"/>
                <w:szCs w:val="28"/>
                <w:lang w:val="en-US" w:bidi="en-US"/>
              </w:rPr>
              <w:t>10</w:t>
            </w:r>
            <w:r w:rsidR="00D1456D">
              <w:rPr>
                <w:rFonts w:ascii="Times New Roman" w:eastAsia="Times New Roman" w:hAnsi="Times New Roman" w:cs="Times New Roman"/>
                <w:sz w:val="28"/>
                <w:szCs w:val="28"/>
                <w:lang w:val="uk-UA" w:bidi="en-US"/>
              </w:rPr>
              <w:t xml:space="preserve"> </w:t>
            </w:r>
            <w:r w:rsidR="0049630C" w:rsidRPr="00C540B0">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С</w:t>
            </w:r>
            <w:r w:rsidR="000B7457" w:rsidRPr="0013719C">
              <w:rPr>
                <w:rFonts w:ascii="Times New Roman" w:eastAsia="Times New Roman" w:hAnsi="Times New Roman" w:cs="Times New Roman"/>
                <w:sz w:val="28"/>
                <w:szCs w:val="28"/>
                <w:lang w:val="uk-UA" w:bidi="en-US"/>
              </w:rPr>
              <w:t>ухість у роті</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13719C" w:rsidP="00625348">
            <w:pPr>
              <w:spacing w:after="0" w:line="240" w:lineRule="auto"/>
              <w:jc w:val="center"/>
              <w:rPr>
                <w:rFonts w:ascii="Times New Roman" w:eastAsia="Times New Roman" w:hAnsi="Times New Roman" w:cs="Times New Roman"/>
                <w:sz w:val="28"/>
                <w:szCs w:val="28"/>
                <w:lang w:val="uk-UA" w:bidi="en-US"/>
              </w:rPr>
            </w:pPr>
            <w:r w:rsidRPr="00C65B1D">
              <w:rPr>
                <w:rFonts w:ascii="Times New Roman" w:eastAsia="Times New Roman" w:hAnsi="Times New Roman" w:cs="Times New Roman"/>
                <w:sz w:val="28"/>
                <w:szCs w:val="28"/>
                <w:lang w:bidi="en-US"/>
              </w:rPr>
              <w:t>47</w:t>
            </w:r>
            <w:r w:rsidR="00140695" w:rsidRPr="001C6EC9">
              <w:rPr>
                <w:rFonts w:ascii="Times New Roman" w:eastAsia="Times New Roman" w:hAnsi="Times New Roman" w:cs="Times New Roman"/>
                <w:sz w:val="28"/>
                <w:szCs w:val="28"/>
                <w:lang w:val="uk-UA" w:bidi="en-US"/>
              </w:rPr>
              <w:t xml:space="preserve"> </w:t>
            </w:r>
          </w:p>
          <w:p w:rsidR="00625348" w:rsidRPr="003A39B7" w:rsidRDefault="0013719C" w:rsidP="00625348">
            <w:pPr>
              <w:spacing w:after="0" w:line="240" w:lineRule="auto"/>
              <w:jc w:val="center"/>
              <w:rPr>
                <w:rFonts w:ascii="Times New Roman" w:eastAsia="Times New Roman" w:hAnsi="Times New Roman" w:cs="Times New Roman"/>
                <w:sz w:val="28"/>
                <w:szCs w:val="28"/>
                <w:highlight w:val="yellow"/>
                <w:lang w:val="uk-UA" w:bidi="en-US"/>
              </w:rPr>
            </w:pPr>
            <w:r w:rsidRPr="0013719C">
              <w:rPr>
                <w:rFonts w:ascii="Times New Roman" w:eastAsia="Times New Roman" w:hAnsi="Times New Roman" w:cs="Times New Roman"/>
                <w:sz w:val="28"/>
                <w:szCs w:val="28"/>
                <w:lang w:val="uk-UA" w:bidi="en-US"/>
              </w:rPr>
              <w:t>(87,</w:t>
            </w:r>
            <w:r w:rsidRPr="00C65B1D">
              <w:rPr>
                <w:rFonts w:ascii="Times New Roman" w:eastAsia="Times New Roman" w:hAnsi="Times New Roman" w:cs="Times New Roman"/>
                <w:sz w:val="28"/>
                <w:szCs w:val="28"/>
                <w:lang w:bidi="en-US"/>
              </w:rPr>
              <w:t>0</w:t>
            </w:r>
            <w:r w:rsidR="00D1456D">
              <w:rPr>
                <w:rFonts w:ascii="Times New Roman" w:eastAsia="Times New Roman" w:hAnsi="Times New Roman" w:cs="Times New Roman"/>
                <w:sz w:val="28"/>
                <w:szCs w:val="28"/>
                <w:lang w:val="uk-UA" w:bidi="en-US"/>
              </w:rPr>
              <w:t xml:space="preserve"> </w:t>
            </w:r>
            <w:r w:rsidR="00140695" w:rsidRPr="0013719C">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C65B1D">
              <w:rPr>
                <w:rFonts w:ascii="Times New Roman" w:eastAsia="Times New Roman" w:hAnsi="Times New Roman" w:cs="Times New Roman"/>
                <w:sz w:val="28"/>
                <w:szCs w:val="28"/>
                <w:lang w:bidi="en-US"/>
              </w:rPr>
              <w:t>40</w:t>
            </w:r>
            <w:r w:rsidR="00093C83">
              <w:rPr>
                <w:rFonts w:ascii="Times New Roman" w:eastAsia="Times New Roman" w:hAnsi="Times New Roman" w:cs="Times New Roman"/>
                <w:sz w:val="28"/>
                <w:szCs w:val="28"/>
                <w:highlight w:val="yellow"/>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(74,</w:t>
            </w:r>
            <w:r w:rsidRPr="00C65B1D">
              <w:rPr>
                <w:rFonts w:ascii="Times New Roman" w:eastAsia="Times New Roman" w:hAnsi="Times New Roman" w:cs="Times New Roman"/>
                <w:sz w:val="28"/>
                <w:szCs w:val="28"/>
                <w:lang w:bidi="en-US"/>
              </w:rPr>
              <w:t>1</w:t>
            </w:r>
            <w:r w:rsidR="00D1456D">
              <w:rPr>
                <w:rFonts w:ascii="Times New Roman" w:eastAsia="Times New Roman" w:hAnsi="Times New Roman" w:cs="Times New Roman"/>
                <w:sz w:val="28"/>
                <w:szCs w:val="28"/>
                <w:lang w:val="uk-UA" w:bidi="en-US"/>
              </w:rPr>
              <w:t xml:space="preserve"> </w:t>
            </w:r>
            <w:r w:rsidR="00140695"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940AAC" w:rsidRDefault="00140695"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C65B1D">
              <w:rPr>
                <w:rFonts w:ascii="Times New Roman" w:eastAsia="Times New Roman" w:hAnsi="Times New Roman" w:cs="Times New Roman"/>
                <w:sz w:val="28"/>
                <w:szCs w:val="28"/>
                <w:lang w:bidi="en-US"/>
              </w:rPr>
              <w:t>7</w:t>
            </w:r>
            <w:r w:rsidRPr="006A1E5B">
              <w:rPr>
                <w:rFonts w:ascii="Times New Roman" w:eastAsia="Times New Roman" w:hAnsi="Times New Roman" w:cs="Times New Roman"/>
                <w:sz w:val="28"/>
                <w:szCs w:val="28"/>
                <w:lang w:val="uk-UA" w:bidi="en-US"/>
              </w:rPr>
              <w:t xml:space="preserve"> </w:t>
            </w:r>
          </w:p>
          <w:p w:rsidR="00625348"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(1</w:t>
            </w:r>
            <w:r w:rsidRPr="00C65B1D">
              <w:rPr>
                <w:rFonts w:ascii="Times New Roman" w:eastAsia="Times New Roman" w:hAnsi="Times New Roman" w:cs="Times New Roman"/>
                <w:sz w:val="28"/>
                <w:szCs w:val="28"/>
                <w:lang w:bidi="en-US"/>
              </w:rPr>
              <w:t>2</w:t>
            </w:r>
            <w:r w:rsidRPr="00882246">
              <w:rPr>
                <w:rFonts w:ascii="Times New Roman" w:eastAsia="Times New Roman" w:hAnsi="Times New Roman" w:cs="Times New Roman"/>
                <w:sz w:val="28"/>
                <w:szCs w:val="28"/>
                <w:lang w:val="uk-UA" w:bidi="en-US"/>
              </w:rPr>
              <w:t>,</w:t>
            </w:r>
            <w:r w:rsidRPr="00C65B1D">
              <w:rPr>
                <w:rFonts w:ascii="Times New Roman" w:eastAsia="Times New Roman" w:hAnsi="Times New Roman" w:cs="Times New Roman"/>
                <w:sz w:val="28"/>
                <w:szCs w:val="28"/>
                <w:lang w:bidi="en-US"/>
              </w:rPr>
              <w:t>9</w:t>
            </w:r>
            <w:r w:rsidR="00D1456D">
              <w:rPr>
                <w:rFonts w:ascii="Times New Roman" w:eastAsia="Times New Roman" w:hAnsi="Times New Roman" w:cs="Times New Roman"/>
                <w:sz w:val="28"/>
                <w:szCs w:val="28"/>
                <w:lang w:val="uk-UA" w:bidi="en-US"/>
              </w:rPr>
              <w:t xml:space="preserve"> </w:t>
            </w:r>
            <w:r w:rsidR="00140695"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C65B1D">
              <w:rPr>
                <w:rFonts w:ascii="Times New Roman" w:eastAsia="Times New Roman" w:hAnsi="Times New Roman" w:cs="Times New Roman"/>
                <w:sz w:val="28"/>
                <w:szCs w:val="28"/>
                <w:lang w:bidi="en-US"/>
              </w:rPr>
              <w:t>36</w:t>
            </w:r>
            <w:r w:rsidR="001D7F24" w:rsidRPr="00882246">
              <w:rPr>
                <w:rFonts w:ascii="Times New Roman" w:eastAsia="Times New Roman" w:hAnsi="Times New Roman" w:cs="Times New Roman"/>
                <w:sz w:val="28"/>
                <w:szCs w:val="28"/>
                <w:lang w:val="uk-UA" w:bidi="en-US"/>
              </w:rPr>
              <w:t xml:space="preserve"> </w:t>
            </w:r>
          </w:p>
          <w:p w:rsidR="00625348" w:rsidRPr="003A39B7" w:rsidRDefault="00C540B0"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C540B0">
              <w:rPr>
                <w:rFonts w:ascii="Times New Roman" w:eastAsia="Times New Roman" w:hAnsi="Times New Roman" w:cs="Times New Roman"/>
                <w:sz w:val="28"/>
                <w:szCs w:val="28"/>
                <w:lang w:val="uk-UA" w:bidi="en-US"/>
              </w:rPr>
              <w:t>(</w:t>
            </w:r>
            <w:r w:rsidRPr="00C65B1D">
              <w:rPr>
                <w:rFonts w:ascii="Times New Roman" w:eastAsia="Times New Roman" w:hAnsi="Times New Roman" w:cs="Times New Roman"/>
                <w:sz w:val="28"/>
                <w:szCs w:val="28"/>
                <w:lang w:bidi="en-US"/>
              </w:rPr>
              <w:t>90</w:t>
            </w:r>
            <w:r w:rsidR="00D1456D">
              <w:rPr>
                <w:rFonts w:ascii="Times New Roman" w:eastAsia="Times New Roman" w:hAnsi="Times New Roman" w:cs="Times New Roman"/>
                <w:sz w:val="28"/>
                <w:szCs w:val="28"/>
                <w:lang w:val="uk-UA" w:bidi="en-US"/>
              </w:rPr>
              <w:t xml:space="preserve"> </w:t>
            </w:r>
            <w:r w:rsidR="001D7F24" w:rsidRPr="00C540B0">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C65B1D">
              <w:rPr>
                <w:rFonts w:ascii="Times New Roman" w:eastAsia="Times New Roman" w:hAnsi="Times New Roman" w:cs="Times New Roman"/>
                <w:sz w:val="28"/>
                <w:szCs w:val="28"/>
                <w:lang w:bidi="en-US"/>
              </w:rPr>
              <w:t>33</w:t>
            </w:r>
            <w:r w:rsidR="001D7F24"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C540B0" w:rsidRPr="00C540B0">
              <w:rPr>
                <w:rFonts w:ascii="Times New Roman" w:eastAsia="Times New Roman" w:hAnsi="Times New Roman" w:cs="Times New Roman"/>
                <w:sz w:val="28"/>
                <w:szCs w:val="28"/>
                <w:lang w:val="uk-UA" w:bidi="en-US"/>
              </w:rPr>
              <w:t>(</w:t>
            </w:r>
            <w:r w:rsidR="00C540B0" w:rsidRPr="00C65B1D">
              <w:rPr>
                <w:rFonts w:ascii="Times New Roman" w:eastAsia="Times New Roman" w:hAnsi="Times New Roman" w:cs="Times New Roman"/>
                <w:sz w:val="28"/>
                <w:szCs w:val="28"/>
                <w:lang w:bidi="en-US"/>
              </w:rPr>
              <w:t>82</w:t>
            </w:r>
            <w:r w:rsidR="00C540B0" w:rsidRPr="00C540B0">
              <w:rPr>
                <w:rFonts w:ascii="Times New Roman" w:eastAsia="Times New Roman" w:hAnsi="Times New Roman" w:cs="Times New Roman"/>
                <w:sz w:val="28"/>
                <w:szCs w:val="28"/>
                <w:lang w:val="uk-UA" w:bidi="en-US"/>
              </w:rPr>
              <w:t>,</w:t>
            </w:r>
            <w:r w:rsidR="00C540B0" w:rsidRPr="00C65B1D">
              <w:rPr>
                <w:rFonts w:ascii="Times New Roman" w:eastAsia="Times New Roman" w:hAnsi="Times New Roman" w:cs="Times New Roman"/>
                <w:sz w:val="28"/>
                <w:szCs w:val="28"/>
                <w:lang w:bidi="en-US"/>
              </w:rPr>
              <w:t>5</w:t>
            </w:r>
            <w:r w:rsidR="00D1456D">
              <w:rPr>
                <w:rFonts w:ascii="Times New Roman" w:eastAsia="Times New Roman" w:hAnsi="Times New Roman" w:cs="Times New Roman"/>
                <w:sz w:val="28"/>
                <w:szCs w:val="28"/>
                <w:lang w:val="uk-UA" w:bidi="en-US"/>
              </w:rPr>
              <w:t xml:space="preserve"> </w:t>
            </w:r>
            <w:r w:rsidR="001D7F24" w:rsidRPr="00C540B0">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C65B1D">
              <w:rPr>
                <w:rFonts w:ascii="Times New Roman" w:eastAsia="Times New Roman" w:hAnsi="Times New Roman" w:cs="Times New Roman"/>
                <w:sz w:val="28"/>
                <w:szCs w:val="28"/>
                <w:lang w:bidi="en-US"/>
              </w:rPr>
              <w:t>3</w:t>
            </w:r>
            <w:r w:rsidRPr="00810EDD">
              <w:rPr>
                <w:rFonts w:ascii="Times New Roman" w:eastAsia="Times New Roman" w:hAnsi="Times New Roman" w:cs="Times New Roman"/>
                <w:sz w:val="28"/>
                <w:szCs w:val="28"/>
                <w:lang w:val="uk-UA" w:bidi="en-US"/>
              </w:rPr>
              <w:t xml:space="preserve"> </w:t>
            </w:r>
            <w:r w:rsidR="00D1456D">
              <w:rPr>
                <w:rFonts w:ascii="Times New Roman" w:eastAsia="Times New Roman" w:hAnsi="Times New Roman" w:cs="Times New Roman"/>
                <w:sz w:val="28"/>
                <w:szCs w:val="28"/>
                <w:lang w:val="uk-UA" w:bidi="en-US"/>
              </w:rPr>
              <w:t xml:space="preserve">   </w:t>
            </w:r>
            <w:r w:rsidR="00C540B0" w:rsidRPr="00C540B0">
              <w:rPr>
                <w:rFonts w:ascii="Times New Roman" w:eastAsia="Times New Roman" w:hAnsi="Times New Roman" w:cs="Times New Roman"/>
                <w:sz w:val="28"/>
                <w:szCs w:val="28"/>
                <w:lang w:val="uk-UA" w:bidi="en-US"/>
              </w:rPr>
              <w:t>(7,</w:t>
            </w:r>
            <w:r w:rsidR="00C540B0" w:rsidRPr="00C65B1D">
              <w:rPr>
                <w:rFonts w:ascii="Times New Roman" w:eastAsia="Times New Roman" w:hAnsi="Times New Roman" w:cs="Times New Roman"/>
                <w:sz w:val="28"/>
                <w:szCs w:val="28"/>
                <w:lang w:bidi="en-US"/>
              </w:rPr>
              <w:t>5</w:t>
            </w:r>
            <w:r w:rsidR="00D1456D">
              <w:rPr>
                <w:rFonts w:ascii="Times New Roman" w:eastAsia="Times New Roman" w:hAnsi="Times New Roman" w:cs="Times New Roman"/>
                <w:sz w:val="28"/>
                <w:szCs w:val="28"/>
                <w:lang w:val="uk-UA" w:bidi="en-US"/>
              </w:rPr>
              <w:t xml:space="preserve"> </w:t>
            </w:r>
            <w:r w:rsidRPr="00C540B0">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З</w:t>
            </w:r>
            <w:r w:rsidR="000B7457" w:rsidRPr="0013719C">
              <w:rPr>
                <w:rFonts w:ascii="Times New Roman" w:eastAsia="Times New Roman" w:hAnsi="Times New Roman" w:cs="Times New Roman"/>
                <w:sz w:val="28"/>
                <w:szCs w:val="28"/>
                <w:lang w:val="uk-UA" w:bidi="en-US"/>
              </w:rPr>
              <w:t>ниження зору</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13719C" w:rsidP="00625348">
            <w:pPr>
              <w:spacing w:after="0" w:line="240" w:lineRule="auto"/>
              <w:jc w:val="center"/>
              <w:rPr>
                <w:rFonts w:ascii="Times New Roman" w:eastAsia="Times New Roman" w:hAnsi="Times New Roman" w:cs="Times New Roman"/>
                <w:sz w:val="28"/>
                <w:szCs w:val="28"/>
                <w:lang w:val="uk-UA" w:bidi="en-US"/>
              </w:rPr>
            </w:pPr>
            <w:r w:rsidRPr="00C65B1D">
              <w:rPr>
                <w:rFonts w:ascii="Times New Roman" w:eastAsia="Times New Roman" w:hAnsi="Times New Roman" w:cs="Times New Roman"/>
                <w:sz w:val="28"/>
                <w:szCs w:val="28"/>
                <w:lang w:bidi="en-US"/>
              </w:rPr>
              <w:t>50</w:t>
            </w:r>
            <w:r>
              <w:rPr>
                <w:rFonts w:ascii="Times New Roman" w:eastAsia="Times New Roman" w:hAnsi="Times New Roman" w:cs="Times New Roman"/>
                <w:sz w:val="28"/>
                <w:szCs w:val="28"/>
                <w:highlight w:val="yellow"/>
                <w:lang w:val="uk-UA" w:bidi="en-US"/>
              </w:rPr>
              <w:t xml:space="preserve"> </w:t>
            </w:r>
          </w:p>
          <w:p w:rsidR="00625348" w:rsidRPr="003A39B7" w:rsidRDefault="0013719C" w:rsidP="00625348">
            <w:pPr>
              <w:spacing w:after="0" w:line="240" w:lineRule="auto"/>
              <w:jc w:val="center"/>
              <w:rPr>
                <w:rFonts w:ascii="Times New Roman" w:eastAsia="Times New Roman" w:hAnsi="Times New Roman" w:cs="Times New Roman"/>
                <w:sz w:val="28"/>
                <w:szCs w:val="28"/>
                <w:highlight w:val="yellow"/>
                <w:lang w:val="uk-UA" w:bidi="en-US"/>
              </w:rPr>
            </w:pPr>
            <w:r w:rsidRPr="0013719C">
              <w:rPr>
                <w:rFonts w:ascii="Times New Roman" w:eastAsia="Times New Roman" w:hAnsi="Times New Roman" w:cs="Times New Roman"/>
                <w:sz w:val="28"/>
                <w:szCs w:val="28"/>
                <w:lang w:val="uk-UA" w:bidi="en-US"/>
              </w:rPr>
              <w:t>(9</w:t>
            </w:r>
            <w:r w:rsidRPr="0013719C">
              <w:rPr>
                <w:rFonts w:ascii="Times New Roman" w:eastAsia="Times New Roman" w:hAnsi="Times New Roman" w:cs="Times New Roman"/>
                <w:sz w:val="28"/>
                <w:szCs w:val="28"/>
                <w:lang w:val="en-US" w:bidi="en-US"/>
              </w:rPr>
              <w:t>2</w:t>
            </w:r>
            <w:r w:rsidRPr="0013719C">
              <w:rPr>
                <w:rFonts w:ascii="Times New Roman" w:eastAsia="Times New Roman" w:hAnsi="Times New Roman" w:cs="Times New Roman"/>
                <w:sz w:val="28"/>
                <w:szCs w:val="28"/>
                <w:lang w:val="uk-UA" w:bidi="en-US"/>
              </w:rPr>
              <w:t>,</w:t>
            </w:r>
            <w:r w:rsidRPr="0013719C">
              <w:rPr>
                <w:rFonts w:ascii="Times New Roman" w:eastAsia="Times New Roman" w:hAnsi="Times New Roman" w:cs="Times New Roman"/>
                <w:sz w:val="28"/>
                <w:szCs w:val="28"/>
                <w:lang w:val="en-US" w:bidi="en-US"/>
              </w:rPr>
              <w:t>6</w:t>
            </w:r>
            <w:r w:rsidR="00D1456D">
              <w:rPr>
                <w:rFonts w:ascii="Times New Roman" w:eastAsia="Times New Roman" w:hAnsi="Times New Roman" w:cs="Times New Roman"/>
                <w:sz w:val="28"/>
                <w:szCs w:val="28"/>
                <w:lang w:val="uk-UA" w:bidi="en-US"/>
              </w:rPr>
              <w:t xml:space="preserve"> </w:t>
            </w:r>
            <w:r w:rsidR="00140695" w:rsidRPr="0013719C">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45</w:t>
            </w:r>
            <w:r w:rsidR="00093C83">
              <w:rPr>
                <w:rFonts w:ascii="Times New Roman" w:eastAsia="Times New Roman" w:hAnsi="Times New Roman" w:cs="Times New Roman"/>
                <w:sz w:val="28"/>
                <w:szCs w:val="28"/>
                <w:highlight w:val="yellow"/>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(8</w:t>
            </w:r>
            <w:r w:rsidRPr="00093C83">
              <w:rPr>
                <w:rFonts w:ascii="Times New Roman" w:eastAsia="Times New Roman" w:hAnsi="Times New Roman" w:cs="Times New Roman"/>
                <w:sz w:val="28"/>
                <w:szCs w:val="28"/>
                <w:lang w:val="en-US" w:bidi="en-US"/>
              </w:rPr>
              <w:t>3</w:t>
            </w: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3</w:t>
            </w:r>
            <w:r w:rsidR="00D1456D">
              <w:rPr>
                <w:rFonts w:ascii="Times New Roman" w:eastAsia="Times New Roman" w:hAnsi="Times New Roman" w:cs="Times New Roman"/>
                <w:sz w:val="28"/>
                <w:szCs w:val="28"/>
                <w:lang w:val="uk-UA" w:bidi="en-US"/>
              </w:rPr>
              <w:t xml:space="preserve"> </w:t>
            </w:r>
            <w:r w:rsidR="00140695"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140695"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5</w:t>
            </w:r>
            <w:r w:rsidRPr="006A1E5B">
              <w:rPr>
                <w:rFonts w:ascii="Times New Roman" w:eastAsia="Times New Roman" w:hAnsi="Times New Roman" w:cs="Times New Roman"/>
                <w:sz w:val="28"/>
                <w:szCs w:val="28"/>
                <w:lang w:val="uk-UA" w:bidi="en-US"/>
              </w:rPr>
              <w:t xml:space="preserve"> </w:t>
            </w:r>
          </w:p>
          <w:p w:rsidR="00625348"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(9,</w:t>
            </w:r>
            <w:r w:rsidRPr="00882246">
              <w:rPr>
                <w:rFonts w:ascii="Times New Roman" w:eastAsia="Times New Roman" w:hAnsi="Times New Roman" w:cs="Times New Roman"/>
                <w:sz w:val="28"/>
                <w:szCs w:val="28"/>
                <w:lang w:val="en-US" w:bidi="en-US"/>
              </w:rPr>
              <w:t>3</w:t>
            </w:r>
            <w:r w:rsidR="00D1456D">
              <w:rPr>
                <w:rFonts w:ascii="Times New Roman" w:eastAsia="Times New Roman" w:hAnsi="Times New Roman" w:cs="Times New Roman"/>
                <w:sz w:val="28"/>
                <w:szCs w:val="28"/>
                <w:lang w:val="uk-UA" w:bidi="en-US"/>
              </w:rPr>
              <w:t xml:space="preserve"> </w:t>
            </w:r>
            <w:r w:rsidR="00140695"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C540B0"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38</w:t>
            </w:r>
            <w:r w:rsidR="001C4FB8">
              <w:rPr>
                <w:rFonts w:ascii="Times New Roman" w:eastAsia="Times New Roman" w:hAnsi="Times New Roman" w:cs="Times New Roman"/>
                <w:sz w:val="28"/>
                <w:szCs w:val="28"/>
                <w:highlight w:val="yellow"/>
                <w:lang w:val="uk-UA" w:bidi="en-US"/>
              </w:rPr>
              <w:t xml:space="preserve"> </w:t>
            </w:r>
          </w:p>
          <w:p w:rsidR="00625348" w:rsidRPr="003A39B7" w:rsidRDefault="001C4FB8"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1C4FB8">
              <w:rPr>
                <w:rFonts w:ascii="Times New Roman" w:eastAsia="Times New Roman" w:hAnsi="Times New Roman" w:cs="Times New Roman"/>
                <w:sz w:val="28"/>
                <w:szCs w:val="28"/>
                <w:lang w:val="uk-UA" w:bidi="en-US"/>
              </w:rPr>
              <w:t>(</w:t>
            </w:r>
            <w:r w:rsidRPr="001C4FB8">
              <w:rPr>
                <w:rFonts w:ascii="Times New Roman" w:eastAsia="Times New Roman" w:hAnsi="Times New Roman" w:cs="Times New Roman"/>
                <w:sz w:val="28"/>
                <w:szCs w:val="28"/>
                <w:lang w:val="en-US" w:bidi="en-US"/>
              </w:rPr>
              <w:t>95</w:t>
            </w:r>
            <w:r w:rsidR="00D1456D">
              <w:rPr>
                <w:rFonts w:ascii="Times New Roman" w:eastAsia="Times New Roman" w:hAnsi="Times New Roman" w:cs="Times New Roman"/>
                <w:sz w:val="28"/>
                <w:szCs w:val="28"/>
                <w:lang w:val="uk-UA" w:bidi="en-US"/>
              </w:rPr>
              <w:t xml:space="preserve"> </w:t>
            </w:r>
            <w:r w:rsidR="001D7F24" w:rsidRPr="001C4FB8">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C540B0"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en-US" w:bidi="en-US"/>
              </w:rPr>
              <w:t>34</w:t>
            </w:r>
            <w:r w:rsidR="001D7F24"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1C4FB8" w:rsidRPr="001C4FB8">
              <w:rPr>
                <w:rFonts w:ascii="Times New Roman" w:eastAsia="Times New Roman" w:hAnsi="Times New Roman" w:cs="Times New Roman"/>
                <w:sz w:val="28"/>
                <w:szCs w:val="28"/>
                <w:lang w:val="uk-UA" w:bidi="en-US"/>
              </w:rPr>
              <w:t>(</w:t>
            </w:r>
            <w:r w:rsidR="001C4FB8" w:rsidRPr="001C4FB8">
              <w:rPr>
                <w:rFonts w:ascii="Times New Roman" w:eastAsia="Times New Roman" w:hAnsi="Times New Roman" w:cs="Times New Roman"/>
                <w:sz w:val="28"/>
                <w:szCs w:val="28"/>
                <w:lang w:val="en-US" w:bidi="en-US"/>
              </w:rPr>
              <w:t>85</w:t>
            </w:r>
            <w:r w:rsidR="00D1456D">
              <w:rPr>
                <w:rFonts w:ascii="Times New Roman" w:eastAsia="Times New Roman" w:hAnsi="Times New Roman" w:cs="Times New Roman"/>
                <w:sz w:val="28"/>
                <w:szCs w:val="28"/>
                <w:lang w:val="uk-UA" w:bidi="en-US"/>
              </w:rPr>
              <w:t xml:space="preserve"> </w:t>
            </w:r>
            <w:r w:rsidR="001D7F24" w:rsidRPr="001C4FB8">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1C4FB8" w:rsidRDefault="0049630C" w:rsidP="00625348">
            <w:pPr>
              <w:spacing w:after="0" w:line="240" w:lineRule="auto"/>
              <w:jc w:val="center"/>
              <w:rPr>
                <w:rFonts w:ascii="Times New Roman" w:eastAsia="Times New Roman" w:hAnsi="Times New Roman" w:cs="Times New Roman"/>
                <w:sz w:val="28"/>
                <w:szCs w:val="28"/>
                <w:lang w:val="en-US"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4</w:t>
            </w:r>
            <w:r w:rsidRPr="00810EDD">
              <w:rPr>
                <w:rFonts w:ascii="Times New Roman" w:eastAsia="Times New Roman" w:hAnsi="Times New Roman" w:cs="Times New Roman"/>
                <w:sz w:val="28"/>
                <w:szCs w:val="28"/>
                <w:lang w:val="uk-UA" w:bidi="en-US"/>
              </w:rPr>
              <w:t xml:space="preserve"> </w:t>
            </w:r>
          </w:p>
          <w:p w:rsidR="00625348" w:rsidRPr="003A39B7" w:rsidRDefault="001C4FB8" w:rsidP="00625348">
            <w:pPr>
              <w:spacing w:after="0" w:line="240" w:lineRule="auto"/>
              <w:jc w:val="center"/>
              <w:rPr>
                <w:rFonts w:ascii="Times New Roman" w:eastAsia="Times New Roman" w:hAnsi="Times New Roman" w:cs="Times New Roman"/>
                <w:sz w:val="28"/>
                <w:szCs w:val="28"/>
                <w:highlight w:val="yellow"/>
                <w:lang w:val="uk-UA" w:bidi="en-US"/>
              </w:rPr>
            </w:pPr>
            <w:r w:rsidRPr="001C4FB8">
              <w:rPr>
                <w:rFonts w:ascii="Times New Roman" w:eastAsia="Times New Roman" w:hAnsi="Times New Roman" w:cs="Times New Roman"/>
                <w:sz w:val="28"/>
                <w:szCs w:val="28"/>
                <w:lang w:val="uk-UA" w:bidi="en-US"/>
              </w:rPr>
              <w:t>(</w:t>
            </w:r>
            <w:r w:rsidRPr="001C4FB8">
              <w:rPr>
                <w:rFonts w:ascii="Times New Roman" w:eastAsia="Times New Roman" w:hAnsi="Times New Roman" w:cs="Times New Roman"/>
                <w:sz w:val="28"/>
                <w:szCs w:val="28"/>
                <w:lang w:val="en-US" w:bidi="en-US"/>
              </w:rPr>
              <w:t>10</w:t>
            </w:r>
            <w:r w:rsidR="00D1456D">
              <w:rPr>
                <w:rFonts w:ascii="Times New Roman" w:eastAsia="Times New Roman" w:hAnsi="Times New Roman" w:cs="Times New Roman"/>
                <w:sz w:val="28"/>
                <w:szCs w:val="28"/>
                <w:lang w:val="uk-UA" w:bidi="en-US"/>
              </w:rPr>
              <w:t xml:space="preserve"> </w:t>
            </w:r>
            <w:r w:rsidR="0049630C" w:rsidRPr="001C4FB8">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П</w:t>
            </w:r>
            <w:r w:rsidR="000B7457" w:rsidRPr="0013719C">
              <w:rPr>
                <w:rFonts w:ascii="Times New Roman" w:eastAsia="Times New Roman" w:hAnsi="Times New Roman" w:cs="Times New Roman"/>
                <w:sz w:val="28"/>
                <w:szCs w:val="28"/>
                <w:lang w:val="uk-UA" w:bidi="en-US"/>
              </w:rPr>
              <w:t>арестезії</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13719C"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4</w:t>
            </w:r>
            <w:r w:rsidR="00E13C15">
              <w:rPr>
                <w:rFonts w:ascii="Times New Roman" w:eastAsia="Times New Roman" w:hAnsi="Times New Roman" w:cs="Times New Roman"/>
                <w:sz w:val="28"/>
                <w:szCs w:val="28"/>
                <w:lang w:val="en-US" w:bidi="en-US"/>
              </w:rPr>
              <w:t>5</w:t>
            </w:r>
            <w:r w:rsidR="00140695" w:rsidRPr="003A39B7">
              <w:rPr>
                <w:rFonts w:ascii="Times New Roman" w:eastAsia="Times New Roman" w:hAnsi="Times New Roman" w:cs="Times New Roman"/>
                <w:sz w:val="28"/>
                <w:szCs w:val="28"/>
                <w:highlight w:val="yellow"/>
                <w:lang w:val="uk-UA" w:bidi="en-US"/>
              </w:rPr>
              <w:t xml:space="preserve"> </w:t>
            </w:r>
          </w:p>
          <w:p w:rsidR="00625348" w:rsidRPr="003A39B7" w:rsidRDefault="00140695" w:rsidP="00625348">
            <w:pPr>
              <w:spacing w:after="0" w:line="240" w:lineRule="auto"/>
              <w:jc w:val="center"/>
              <w:rPr>
                <w:rFonts w:ascii="Times New Roman" w:eastAsia="Times New Roman" w:hAnsi="Times New Roman" w:cs="Times New Roman"/>
                <w:sz w:val="28"/>
                <w:szCs w:val="28"/>
                <w:highlight w:val="yellow"/>
                <w:lang w:val="uk-UA" w:bidi="en-US"/>
              </w:rPr>
            </w:pPr>
            <w:r w:rsidRPr="00E13C15">
              <w:rPr>
                <w:rFonts w:ascii="Times New Roman" w:eastAsia="Times New Roman" w:hAnsi="Times New Roman" w:cs="Times New Roman"/>
                <w:sz w:val="28"/>
                <w:szCs w:val="28"/>
                <w:lang w:val="uk-UA" w:bidi="en-US"/>
              </w:rPr>
              <w:t>(</w:t>
            </w:r>
            <w:r w:rsidR="00E13C15" w:rsidRPr="00E13C15">
              <w:rPr>
                <w:rFonts w:ascii="Times New Roman" w:eastAsia="Times New Roman" w:hAnsi="Times New Roman" w:cs="Times New Roman"/>
                <w:sz w:val="28"/>
                <w:szCs w:val="28"/>
                <w:lang w:val="uk-UA" w:bidi="en-US"/>
              </w:rPr>
              <w:t>8</w:t>
            </w:r>
            <w:r w:rsidR="00E13C15" w:rsidRPr="00E13C15">
              <w:rPr>
                <w:rFonts w:ascii="Times New Roman" w:eastAsia="Times New Roman" w:hAnsi="Times New Roman" w:cs="Times New Roman"/>
                <w:sz w:val="28"/>
                <w:szCs w:val="28"/>
                <w:lang w:val="en-US" w:bidi="en-US"/>
              </w:rPr>
              <w:t>3</w:t>
            </w:r>
            <w:r w:rsidR="00E13C15" w:rsidRPr="00E13C15">
              <w:rPr>
                <w:rFonts w:ascii="Times New Roman" w:eastAsia="Times New Roman" w:hAnsi="Times New Roman" w:cs="Times New Roman"/>
                <w:sz w:val="28"/>
                <w:szCs w:val="28"/>
                <w:lang w:val="uk-UA" w:bidi="en-US"/>
              </w:rPr>
              <w:t>,</w:t>
            </w:r>
            <w:r w:rsidR="00E13C15" w:rsidRPr="00E13C15">
              <w:rPr>
                <w:rFonts w:ascii="Times New Roman" w:eastAsia="Times New Roman" w:hAnsi="Times New Roman" w:cs="Times New Roman"/>
                <w:sz w:val="28"/>
                <w:szCs w:val="28"/>
                <w:lang w:val="en-US" w:bidi="en-US"/>
              </w:rPr>
              <w:t>3</w:t>
            </w:r>
            <w:r w:rsidR="00D1456D">
              <w:rPr>
                <w:rFonts w:ascii="Times New Roman" w:eastAsia="Times New Roman" w:hAnsi="Times New Roman" w:cs="Times New Roman"/>
                <w:sz w:val="28"/>
                <w:szCs w:val="28"/>
                <w:lang w:val="uk-UA" w:bidi="en-US"/>
              </w:rPr>
              <w:t xml:space="preserve"> </w:t>
            </w:r>
            <w:r w:rsidR="00E12DBB" w:rsidRPr="00E13C15">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41</w:t>
            </w:r>
            <w:r w:rsidR="00093C83">
              <w:rPr>
                <w:rFonts w:ascii="Times New Roman" w:eastAsia="Times New Roman" w:hAnsi="Times New Roman" w:cs="Times New Roman"/>
                <w:sz w:val="28"/>
                <w:szCs w:val="28"/>
                <w:highlight w:val="yellow"/>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(7</w:t>
            </w:r>
            <w:r w:rsidRPr="00093C83">
              <w:rPr>
                <w:rFonts w:ascii="Times New Roman" w:eastAsia="Times New Roman" w:hAnsi="Times New Roman" w:cs="Times New Roman"/>
                <w:sz w:val="28"/>
                <w:szCs w:val="28"/>
                <w:lang w:val="en-US" w:bidi="en-US"/>
              </w:rPr>
              <w:t>5</w:t>
            </w: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9</w:t>
            </w:r>
            <w:r w:rsidR="00D1456D">
              <w:rPr>
                <w:rFonts w:ascii="Times New Roman" w:eastAsia="Times New Roman" w:hAnsi="Times New Roman" w:cs="Times New Roman"/>
                <w:sz w:val="28"/>
                <w:szCs w:val="28"/>
                <w:lang w:val="uk-UA" w:bidi="en-US"/>
              </w:rPr>
              <w:t xml:space="preserve"> </w:t>
            </w:r>
            <w:r w:rsidR="00E12DBB"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140695"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4</w:t>
            </w:r>
            <w:r w:rsidR="00E12DBB" w:rsidRPr="006A1E5B">
              <w:rPr>
                <w:rFonts w:ascii="Times New Roman" w:eastAsia="Times New Roman" w:hAnsi="Times New Roman" w:cs="Times New Roman"/>
                <w:sz w:val="28"/>
                <w:szCs w:val="28"/>
                <w:lang w:val="uk-UA" w:bidi="en-US"/>
              </w:rPr>
              <w:t xml:space="preserve"> </w:t>
            </w:r>
          </w:p>
          <w:p w:rsidR="00625348"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7</w:t>
            </w: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4</w:t>
            </w:r>
            <w:r w:rsidR="00D1456D">
              <w:rPr>
                <w:rFonts w:ascii="Times New Roman" w:eastAsia="Times New Roman" w:hAnsi="Times New Roman" w:cs="Times New Roman"/>
                <w:sz w:val="28"/>
                <w:szCs w:val="28"/>
                <w:lang w:val="uk-UA" w:bidi="en-US"/>
              </w:rPr>
              <w:t xml:space="preserve"> </w:t>
            </w:r>
            <w:r w:rsidR="00E12DBB"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C540B0" w:rsidP="00625348">
            <w:pPr>
              <w:tabs>
                <w:tab w:val="left" w:pos="328"/>
              </w:tabs>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39</w:t>
            </w:r>
            <w:r w:rsidR="001D7F24" w:rsidRPr="00882246">
              <w:rPr>
                <w:rFonts w:ascii="Times New Roman" w:eastAsia="Times New Roman" w:hAnsi="Times New Roman" w:cs="Times New Roman"/>
                <w:sz w:val="28"/>
                <w:szCs w:val="28"/>
                <w:lang w:val="uk-UA" w:bidi="en-US"/>
              </w:rPr>
              <w:t xml:space="preserve"> </w:t>
            </w:r>
          </w:p>
          <w:p w:rsidR="00625348" w:rsidRPr="003A39B7" w:rsidRDefault="001C4FB8"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4343DB">
              <w:rPr>
                <w:rFonts w:ascii="Times New Roman" w:eastAsia="Times New Roman" w:hAnsi="Times New Roman" w:cs="Times New Roman"/>
                <w:sz w:val="28"/>
                <w:szCs w:val="28"/>
                <w:lang w:val="uk-UA" w:bidi="en-US"/>
              </w:rPr>
              <w:t>(</w:t>
            </w:r>
            <w:r w:rsidRPr="004343DB">
              <w:rPr>
                <w:rFonts w:ascii="Times New Roman" w:eastAsia="Times New Roman" w:hAnsi="Times New Roman" w:cs="Times New Roman"/>
                <w:sz w:val="28"/>
                <w:szCs w:val="28"/>
                <w:lang w:val="en-US" w:bidi="en-US"/>
              </w:rPr>
              <w:t>97,5</w:t>
            </w:r>
            <w:r w:rsidR="00D1456D">
              <w:rPr>
                <w:rFonts w:ascii="Times New Roman" w:eastAsia="Times New Roman" w:hAnsi="Times New Roman" w:cs="Times New Roman"/>
                <w:sz w:val="28"/>
                <w:szCs w:val="28"/>
                <w:lang w:val="uk-UA" w:bidi="en-US"/>
              </w:rPr>
              <w:t xml:space="preserve"> </w:t>
            </w:r>
            <w:r w:rsidR="001D7F24" w:rsidRPr="004343DB">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C540B0"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en-US" w:bidi="en-US"/>
              </w:rPr>
              <w:t>35</w:t>
            </w:r>
            <w:r w:rsidR="001C4FB8">
              <w:rPr>
                <w:rFonts w:ascii="Times New Roman" w:eastAsia="Times New Roman" w:hAnsi="Times New Roman" w:cs="Times New Roman"/>
                <w:sz w:val="28"/>
                <w:szCs w:val="28"/>
                <w:highlight w:val="yellow"/>
                <w:lang w:val="uk-UA" w:bidi="en-US"/>
              </w:rPr>
              <w:t xml:space="preserve"> </w:t>
            </w:r>
            <w:r w:rsidR="00940AAC">
              <w:rPr>
                <w:rFonts w:ascii="Times New Roman" w:eastAsia="Times New Roman" w:hAnsi="Times New Roman" w:cs="Times New Roman"/>
                <w:sz w:val="28"/>
                <w:szCs w:val="28"/>
                <w:lang w:val="uk-UA" w:bidi="en-US"/>
              </w:rPr>
              <w:t xml:space="preserve">  </w:t>
            </w:r>
            <w:r w:rsidR="001C4FB8" w:rsidRPr="004343DB">
              <w:rPr>
                <w:rFonts w:ascii="Times New Roman" w:eastAsia="Times New Roman" w:hAnsi="Times New Roman" w:cs="Times New Roman"/>
                <w:sz w:val="28"/>
                <w:szCs w:val="28"/>
                <w:lang w:val="uk-UA" w:bidi="en-US"/>
              </w:rPr>
              <w:t>(</w:t>
            </w:r>
            <w:r w:rsidR="001C4FB8" w:rsidRPr="004343DB">
              <w:rPr>
                <w:rFonts w:ascii="Times New Roman" w:eastAsia="Times New Roman" w:hAnsi="Times New Roman" w:cs="Times New Roman"/>
                <w:sz w:val="28"/>
                <w:szCs w:val="28"/>
                <w:lang w:val="en-US" w:bidi="en-US"/>
              </w:rPr>
              <w:t>87,5</w:t>
            </w:r>
            <w:r w:rsidR="00D1456D">
              <w:rPr>
                <w:rFonts w:ascii="Times New Roman" w:eastAsia="Times New Roman" w:hAnsi="Times New Roman" w:cs="Times New Roman"/>
                <w:sz w:val="28"/>
                <w:szCs w:val="28"/>
                <w:lang w:val="uk-UA" w:bidi="en-US"/>
              </w:rPr>
              <w:t xml:space="preserve"> </w:t>
            </w:r>
            <w:r w:rsidR="001D7F24" w:rsidRPr="004343DB">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343DB" w:rsidRDefault="0049630C" w:rsidP="00625348">
            <w:pPr>
              <w:spacing w:after="0" w:line="240" w:lineRule="auto"/>
              <w:jc w:val="center"/>
              <w:rPr>
                <w:rFonts w:ascii="Times New Roman" w:eastAsia="Times New Roman" w:hAnsi="Times New Roman" w:cs="Times New Roman"/>
                <w:sz w:val="28"/>
                <w:szCs w:val="28"/>
                <w:lang w:val="en-US"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4</w:t>
            </w:r>
            <w:r w:rsidRPr="00810EDD">
              <w:rPr>
                <w:rFonts w:ascii="Times New Roman" w:eastAsia="Times New Roman" w:hAnsi="Times New Roman" w:cs="Times New Roman"/>
                <w:sz w:val="28"/>
                <w:szCs w:val="28"/>
                <w:lang w:val="uk-UA" w:bidi="en-US"/>
              </w:rPr>
              <w:t xml:space="preserve"> </w:t>
            </w:r>
          </w:p>
          <w:p w:rsidR="00625348" w:rsidRPr="003A39B7" w:rsidRDefault="004343DB" w:rsidP="00625348">
            <w:pPr>
              <w:spacing w:after="0" w:line="240" w:lineRule="auto"/>
              <w:jc w:val="center"/>
              <w:rPr>
                <w:rFonts w:ascii="Times New Roman" w:eastAsia="Times New Roman" w:hAnsi="Times New Roman" w:cs="Times New Roman"/>
                <w:sz w:val="28"/>
                <w:szCs w:val="28"/>
                <w:highlight w:val="yellow"/>
                <w:lang w:val="uk-UA" w:bidi="en-US"/>
              </w:rPr>
            </w:pPr>
            <w:r w:rsidRPr="004343DB">
              <w:rPr>
                <w:rFonts w:ascii="Times New Roman" w:eastAsia="Times New Roman" w:hAnsi="Times New Roman" w:cs="Times New Roman"/>
                <w:sz w:val="28"/>
                <w:szCs w:val="28"/>
                <w:lang w:val="uk-UA" w:bidi="en-US"/>
              </w:rPr>
              <w:t>(</w:t>
            </w:r>
            <w:r w:rsidRPr="004343DB">
              <w:rPr>
                <w:rFonts w:ascii="Times New Roman" w:eastAsia="Times New Roman" w:hAnsi="Times New Roman" w:cs="Times New Roman"/>
                <w:sz w:val="28"/>
                <w:szCs w:val="28"/>
                <w:lang w:val="en-US" w:bidi="en-US"/>
              </w:rPr>
              <w:t>10</w:t>
            </w:r>
            <w:r w:rsidR="00D1456D">
              <w:rPr>
                <w:rFonts w:ascii="Times New Roman" w:eastAsia="Times New Roman" w:hAnsi="Times New Roman" w:cs="Times New Roman"/>
                <w:sz w:val="28"/>
                <w:szCs w:val="28"/>
                <w:lang w:val="uk-UA" w:bidi="en-US"/>
              </w:rPr>
              <w:t xml:space="preserve"> </w:t>
            </w:r>
            <w:r w:rsidR="0049630C" w:rsidRPr="004343DB">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О</w:t>
            </w:r>
            <w:r w:rsidR="000B7457" w:rsidRPr="0013719C">
              <w:rPr>
                <w:rFonts w:ascii="Times New Roman" w:eastAsia="Times New Roman" w:hAnsi="Times New Roman" w:cs="Times New Roman"/>
                <w:sz w:val="28"/>
                <w:szCs w:val="28"/>
                <w:lang w:val="uk-UA" w:bidi="en-US"/>
              </w:rPr>
              <w:t>німіння дистальних відділів кінцівок</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5E585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37</w:t>
            </w:r>
            <w:r>
              <w:rPr>
                <w:rFonts w:ascii="Times New Roman" w:eastAsia="Times New Roman" w:hAnsi="Times New Roman" w:cs="Times New Roman"/>
                <w:sz w:val="28"/>
                <w:szCs w:val="28"/>
                <w:highlight w:val="yellow"/>
                <w:lang w:val="uk-UA" w:bidi="en-US"/>
              </w:rPr>
              <w:t xml:space="preserve"> </w:t>
            </w:r>
          </w:p>
          <w:p w:rsidR="00625348" w:rsidRPr="003A39B7" w:rsidRDefault="005E5857" w:rsidP="00625348">
            <w:pPr>
              <w:spacing w:after="0" w:line="240" w:lineRule="auto"/>
              <w:jc w:val="center"/>
              <w:rPr>
                <w:rFonts w:ascii="Times New Roman" w:eastAsia="Times New Roman" w:hAnsi="Times New Roman" w:cs="Times New Roman"/>
                <w:sz w:val="28"/>
                <w:szCs w:val="28"/>
                <w:highlight w:val="yellow"/>
                <w:lang w:val="uk-UA" w:bidi="en-US"/>
              </w:rPr>
            </w:pPr>
            <w:r w:rsidRPr="005E5857">
              <w:rPr>
                <w:rFonts w:ascii="Times New Roman" w:eastAsia="Times New Roman" w:hAnsi="Times New Roman" w:cs="Times New Roman"/>
                <w:sz w:val="28"/>
                <w:szCs w:val="28"/>
                <w:lang w:val="uk-UA" w:bidi="en-US"/>
              </w:rPr>
              <w:t>(68,</w:t>
            </w:r>
            <w:r w:rsidRPr="005E5857">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E12DBB" w:rsidRPr="005E585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33</w:t>
            </w:r>
            <w:r w:rsidR="00093C83">
              <w:rPr>
                <w:rFonts w:ascii="Times New Roman" w:eastAsia="Times New Roman" w:hAnsi="Times New Roman" w:cs="Times New Roman"/>
                <w:sz w:val="28"/>
                <w:szCs w:val="28"/>
                <w:highlight w:val="yellow"/>
                <w:lang w:val="uk-UA" w:bidi="en-US"/>
              </w:rPr>
              <w:t xml:space="preserve"> </w:t>
            </w:r>
          </w:p>
          <w:p w:rsidR="00625348" w:rsidRPr="003A39B7" w:rsidRDefault="00093C83" w:rsidP="00625348">
            <w:pPr>
              <w:spacing w:after="0" w:line="240" w:lineRule="auto"/>
              <w:jc w:val="center"/>
              <w:rPr>
                <w:rFonts w:ascii="Times New Roman" w:eastAsia="Times New Roman" w:hAnsi="Times New Roman" w:cs="Times New Roman"/>
                <w:sz w:val="28"/>
                <w:szCs w:val="28"/>
                <w:highlight w:val="yellow"/>
                <w:lang w:val="uk-UA" w:bidi="en-US"/>
              </w:rPr>
            </w:pPr>
            <w:r w:rsidRPr="00093C83">
              <w:rPr>
                <w:rFonts w:ascii="Times New Roman" w:eastAsia="Times New Roman" w:hAnsi="Times New Roman" w:cs="Times New Roman"/>
                <w:sz w:val="28"/>
                <w:szCs w:val="28"/>
                <w:lang w:val="uk-UA" w:bidi="en-US"/>
              </w:rPr>
              <w:t>(6</w:t>
            </w:r>
            <w:r w:rsidRPr="00093C83">
              <w:rPr>
                <w:rFonts w:ascii="Times New Roman" w:eastAsia="Times New Roman" w:hAnsi="Times New Roman" w:cs="Times New Roman"/>
                <w:sz w:val="28"/>
                <w:szCs w:val="28"/>
                <w:lang w:val="en-US" w:bidi="en-US"/>
              </w:rPr>
              <w:t>1</w:t>
            </w:r>
            <w:r w:rsidRPr="00093C83">
              <w:rPr>
                <w:rFonts w:ascii="Times New Roman" w:eastAsia="Times New Roman" w:hAnsi="Times New Roman" w:cs="Times New Roman"/>
                <w:sz w:val="28"/>
                <w:szCs w:val="28"/>
                <w:lang w:val="uk-UA" w:bidi="en-US"/>
              </w:rPr>
              <w:t>,</w:t>
            </w:r>
            <w:r w:rsidRPr="00093C83">
              <w:rPr>
                <w:rFonts w:ascii="Times New Roman" w:eastAsia="Times New Roman" w:hAnsi="Times New Roman" w:cs="Times New Roman"/>
                <w:sz w:val="28"/>
                <w:szCs w:val="28"/>
                <w:lang w:val="en-US" w:bidi="en-US"/>
              </w:rPr>
              <w:t>1</w:t>
            </w:r>
            <w:r w:rsidR="00D1456D">
              <w:rPr>
                <w:rFonts w:ascii="Times New Roman" w:eastAsia="Times New Roman" w:hAnsi="Times New Roman" w:cs="Times New Roman"/>
                <w:sz w:val="28"/>
                <w:szCs w:val="28"/>
                <w:lang w:val="uk-UA" w:bidi="en-US"/>
              </w:rPr>
              <w:t xml:space="preserve"> </w:t>
            </w:r>
            <w:r w:rsidR="00E12DBB" w:rsidRPr="00093C83">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140695"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4</w:t>
            </w:r>
            <w:r w:rsidR="002C6567" w:rsidRPr="006A1E5B">
              <w:rPr>
                <w:rFonts w:ascii="Times New Roman" w:eastAsia="Times New Roman" w:hAnsi="Times New Roman" w:cs="Times New Roman"/>
                <w:sz w:val="28"/>
                <w:szCs w:val="28"/>
                <w:lang w:val="uk-UA" w:bidi="en-US"/>
              </w:rPr>
              <w:t xml:space="preserve"> </w:t>
            </w:r>
            <w:r w:rsidR="0036171A">
              <w:rPr>
                <w:rFonts w:ascii="Times New Roman" w:eastAsia="Times New Roman" w:hAnsi="Times New Roman" w:cs="Times New Roman"/>
                <w:sz w:val="28"/>
                <w:szCs w:val="28"/>
                <w:lang w:val="uk-UA" w:bidi="en-US"/>
              </w:rPr>
              <w:t xml:space="preserve"> </w:t>
            </w:r>
          </w:p>
          <w:p w:rsidR="00625348"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7</w:t>
            </w: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4</w:t>
            </w:r>
            <w:r w:rsidR="00D1456D">
              <w:rPr>
                <w:rFonts w:ascii="Times New Roman" w:eastAsia="Times New Roman" w:hAnsi="Times New Roman" w:cs="Times New Roman"/>
                <w:sz w:val="28"/>
                <w:szCs w:val="28"/>
                <w:lang w:val="uk-UA" w:bidi="en-US"/>
              </w:rPr>
              <w:t xml:space="preserve"> </w:t>
            </w:r>
            <w:r w:rsidR="002C6567"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882246">
              <w:rPr>
                <w:rFonts w:ascii="Times New Roman" w:eastAsia="Times New Roman" w:hAnsi="Times New Roman" w:cs="Times New Roman"/>
                <w:sz w:val="28"/>
                <w:szCs w:val="28"/>
                <w:lang w:val="en-US" w:bidi="en-US"/>
              </w:rPr>
              <w:t>28</w:t>
            </w:r>
            <w:r w:rsidR="001D7F24" w:rsidRPr="00882246">
              <w:rPr>
                <w:rFonts w:ascii="Times New Roman" w:eastAsia="Times New Roman" w:hAnsi="Times New Roman" w:cs="Times New Roman"/>
                <w:sz w:val="28"/>
                <w:szCs w:val="28"/>
                <w:lang w:val="uk-UA" w:bidi="en-US"/>
              </w:rPr>
              <w:t xml:space="preserve"> </w:t>
            </w:r>
          </w:p>
          <w:p w:rsidR="00625348" w:rsidRPr="003A39B7" w:rsidRDefault="004343DB"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4343DB">
              <w:rPr>
                <w:rFonts w:ascii="Times New Roman" w:eastAsia="Times New Roman" w:hAnsi="Times New Roman" w:cs="Times New Roman"/>
                <w:sz w:val="28"/>
                <w:szCs w:val="28"/>
                <w:lang w:val="uk-UA" w:bidi="en-US"/>
              </w:rPr>
              <w:t>(</w:t>
            </w:r>
            <w:r w:rsidRPr="004343DB">
              <w:rPr>
                <w:rFonts w:ascii="Times New Roman" w:eastAsia="Times New Roman" w:hAnsi="Times New Roman" w:cs="Times New Roman"/>
                <w:sz w:val="28"/>
                <w:szCs w:val="28"/>
                <w:lang w:val="en-US" w:bidi="en-US"/>
              </w:rPr>
              <w:t>70</w:t>
            </w:r>
            <w:r w:rsidR="00D1456D">
              <w:rPr>
                <w:rFonts w:ascii="Times New Roman" w:eastAsia="Times New Roman" w:hAnsi="Times New Roman" w:cs="Times New Roman"/>
                <w:sz w:val="28"/>
                <w:szCs w:val="28"/>
                <w:lang w:val="uk-UA" w:bidi="en-US"/>
              </w:rPr>
              <w:t xml:space="preserve"> </w:t>
            </w:r>
            <w:r w:rsidR="001D7F24" w:rsidRPr="004343DB">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2</w:t>
            </w:r>
            <w:r w:rsidRPr="00810EDD">
              <w:rPr>
                <w:rFonts w:ascii="Times New Roman" w:eastAsia="Times New Roman" w:hAnsi="Times New Roman" w:cs="Times New Roman"/>
                <w:sz w:val="28"/>
                <w:szCs w:val="28"/>
                <w:lang w:val="uk-UA" w:bidi="en-US"/>
              </w:rPr>
              <w:t>5</w:t>
            </w:r>
            <w:r w:rsidR="001D7F24"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1D7F24" w:rsidRPr="004343DB">
              <w:rPr>
                <w:rFonts w:ascii="Times New Roman" w:eastAsia="Times New Roman" w:hAnsi="Times New Roman" w:cs="Times New Roman"/>
                <w:sz w:val="28"/>
                <w:szCs w:val="28"/>
                <w:lang w:val="uk-UA" w:bidi="en-US"/>
              </w:rPr>
              <w:t>(</w:t>
            </w:r>
            <w:r w:rsidR="004343DB" w:rsidRPr="004343DB">
              <w:rPr>
                <w:rFonts w:ascii="Times New Roman" w:eastAsia="Times New Roman" w:hAnsi="Times New Roman" w:cs="Times New Roman"/>
                <w:sz w:val="28"/>
                <w:szCs w:val="28"/>
                <w:lang w:val="en-US" w:bidi="en-US"/>
              </w:rPr>
              <w:t>62</w:t>
            </w:r>
            <w:r w:rsidR="000C752E" w:rsidRPr="004343DB">
              <w:rPr>
                <w:rFonts w:ascii="Times New Roman" w:eastAsia="Times New Roman" w:hAnsi="Times New Roman" w:cs="Times New Roman"/>
                <w:sz w:val="28"/>
                <w:szCs w:val="28"/>
                <w:lang w:val="uk-UA" w:bidi="en-US"/>
              </w:rPr>
              <w:t>,5</w:t>
            </w:r>
            <w:r w:rsidR="00D1456D">
              <w:rPr>
                <w:rFonts w:ascii="Times New Roman" w:eastAsia="Times New Roman" w:hAnsi="Times New Roman" w:cs="Times New Roman"/>
                <w:sz w:val="28"/>
                <w:szCs w:val="28"/>
                <w:lang w:val="uk-UA" w:bidi="en-US"/>
              </w:rPr>
              <w:t xml:space="preserve"> </w:t>
            </w:r>
            <w:r w:rsidR="000C752E" w:rsidRPr="004343DB">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625348"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3</w:t>
            </w:r>
            <w:r w:rsidRPr="00810EDD">
              <w:rPr>
                <w:rFonts w:ascii="Times New Roman" w:eastAsia="Times New Roman" w:hAnsi="Times New Roman" w:cs="Times New Roman"/>
                <w:sz w:val="28"/>
                <w:szCs w:val="28"/>
                <w:lang w:val="uk-UA" w:bidi="en-US"/>
              </w:rPr>
              <w:t xml:space="preserve"> </w:t>
            </w:r>
            <w:r w:rsidR="00D1456D">
              <w:rPr>
                <w:rFonts w:ascii="Times New Roman" w:eastAsia="Times New Roman" w:hAnsi="Times New Roman" w:cs="Times New Roman"/>
                <w:sz w:val="28"/>
                <w:szCs w:val="28"/>
                <w:lang w:val="uk-UA" w:bidi="en-US"/>
              </w:rPr>
              <w:t xml:space="preserve">   </w:t>
            </w:r>
            <w:r w:rsidR="004343DB" w:rsidRPr="004343DB">
              <w:rPr>
                <w:rFonts w:ascii="Times New Roman" w:eastAsia="Times New Roman" w:hAnsi="Times New Roman" w:cs="Times New Roman"/>
                <w:sz w:val="28"/>
                <w:szCs w:val="28"/>
                <w:lang w:val="uk-UA" w:bidi="en-US"/>
              </w:rPr>
              <w:t>(</w:t>
            </w:r>
            <w:r w:rsidR="004343DB" w:rsidRPr="004343DB">
              <w:rPr>
                <w:rFonts w:ascii="Times New Roman" w:eastAsia="Times New Roman" w:hAnsi="Times New Roman" w:cs="Times New Roman"/>
                <w:sz w:val="28"/>
                <w:szCs w:val="28"/>
                <w:lang w:val="en-US" w:bidi="en-US"/>
              </w:rPr>
              <w:t>7,5</w:t>
            </w:r>
            <w:r w:rsidR="00D1456D">
              <w:rPr>
                <w:rFonts w:ascii="Times New Roman" w:eastAsia="Times New Roman" w:hAnsi="Times New Roman" w:cs="Times New Roman"/>
                <w:sz w:val="28"/>
                <w:szCs w:val="28"/>
                <w:lang w:val="uk-UA" w:bidi="en-US"/>
              </w:rPr>
              <w:t xml:space="preserve"> </w:t>
            </w:r>
            <w:r w:rsidRPr="004343DB">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Н</w:t>
            </w:r>
            <w:r w:rsidR="000B7457" w:rsidRPr="0013719C">
              <w:rPr>
                <w:rFonts w:ascii="Times New Roman" w:eastAsia="Times New Roman" w:hAnsi="Times New Roman" w:cs="Times New Roman"/>
                <w:sz w:val="28"/>
                <w:szCs w:val="28"/>
                <w:lang w:val="uk-UA" w:bidi="en-US"/>
              </w:rPr>
              <w:t>абряки кінцівок</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5E585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15</w:t>
            </w:r>
            <w:r w:rsidR="002C6567" w:rsidRPr="001C6EC9">
              <w:rPr>
                <w:rFonts w:ascii="Times New Roman" w:eastAsia="Times New Roman" w:hAnsi="Times New Roman" w:cs="Times New Roman"/>
                <w:sz w:val="28"/>
                <w:szCs w:val="28"/>
                <w:lang w:val="uk-UA" w:bidi="en-US"/>
              </w:rPr>
              <w:t xml:space="preserve"> </w:t>
            </w:r>
          </w:p>
          <w:p w:rsidR="00625348" w:rsidRPr="003A39B7" w:rsidRDefault="005E5857" w:rsidP="00625348">
            <w:pPr>
              <w:spacing w:after="0" w:line="240" w:lineRule="auto"/>
              <w:jc w:val="center"/>
              <w:rPr>
                <w:rFonts w:ascii="Times New Roman" w:eastAsia="Times New Roman" w:hAnsi="Times New Roman" w:cs="Times New Roman"/>
                <w:sz w:val="28"/>
                <w:szCs w:val="28"/>
                <w:highlight w:val="yellow"/>
                <w:lang w:val="uk-UA" w:bidi="en-US"/>
              </w:rPr>
            </w:pPr>
            <w:r w:rsidRPr="005E5857">
              <w:rPr>
                <w:rFonts w:ascii="Times New Roman" w:eastAsia="Times New Roman" w:hAnsi="Times New Roman" w:cs="Times New Roman"/>
                <w:sz w:val="28"/>
                <w:szCs w:val="28"/>
                <w:lang w:val="uk-UA" w:bidi="en-US"/>
              </w:rPr>
              <w:t>(2</w:t>
            </w:r>
            <w:r w:rsidRPr="005E5857">
              <w:rPr>
                <w:rFonts w:ascii="Times New Roman" w:eastAsia="Times New Roman" w:hAnsi="Times New Roman" w:cs="Times New Roman"/>
                <w:sz w:val="28"/>
                <w:szCs w:val="28"/>
                <w:lang w:val="en-US" w:bidi="en-US"/>
              </w:rPr>
              <w:t>7</w:t>
            </w:r>
            <w:r w:rsidRPr="005E5857">
              <w:rPr>
                <w:rFonts w:ascii="Times New Roman" w:eastAsia="Times New Roman" w:hAnsi="Times New Roman" w:cs="Times New Roman"/>
                <w:sz w:val="28"/>
                <w:szCs w:val="28"/>
                <w:lang w:val="uk-UA" w:bidi="en-US"/>
              </w:rPr>
              <w:t>,</w:t>
            </w:r>
            <w:r w:rsidRPr="005E5857">
              <w:rPr>
                <w:rFonts w:ascii="Times New Roman" w:eastAsia="Times New Roman" w:hAnsi="Times New Roman" w:cs="Times New Roman"/>
                <w:sz w:val="28"/>
                <w:szCs w:val="28"/>
                <w:lang w:val="en-US" w:bidi="en-US"/>
              </w:rPr>
              <w:t>8</w:t>
            </w:r>
            <w:r w:rsidR="00D1456D">
              <w:rPr>
                <w:rFonts w:ascii="Times New Roman" w:eastAsia="Times New Roman" w:hAnsi="Times New Roman" w:cs="Times New Roman"/>
                <w:sz w:val="28"/>
                <w:szCs w:val="28"/>
                <w:lang w:val="uk-UA" w:bidi="en-US"/>
              </w:rPr>
              <w:t xml:space="preserve"> </w:t>
            </w:r>
            <w:r w:rsidR="002C6567" w:rsidRPr="005E585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13</w:t>
            </w:r>
            <w:r w:rsidR="002C6567" w:rsidRPr="006A1E5B">
              <w:rPr>
                <w:rFonts w:ascii="Times New Roman" w:eastAsia="Times New Roman" w:hAnsi="Times New Roman" w:cs="Times New Roman"/>
                <w:sz w:val="28"/>
                <w:szCs w:val="28"/>
                <w:lang w:val="uk-UA" w:bidi="en-US"/>
              </w:rPr>
              <w:t xml:space="preserve"> </w:t>
            </w:r>
          </w:p>
          <w:p w:rsidR="00625348"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(24,</w:t>
            </w:r>
            <w:r w:rsidRPr="0005082A">
              <w:rPr>
                <w:rFonts w:ascii="Times New Roman" w:eastAsia="Times New Roman" w:hAnsi="Times New Roman" w:cs="Times New Roman"/>
                <w:sz w:val="28"/>
                <w:szCs w:val="28"/>
                <w:lang w:val="en-US" w:bidi="en-US"/>
              </w:rPr>
              <w:t>1</w:t>
            </w:r>
            <w:r w:rsidR="00D1456D">
              <w:rPr>
                <w:rFonts w:ascii="Times New Roman" w:eastAsia="Times New Roman" w:hAnsi="Times New Roman" w:cs="Times New Roman"/>
                <w:sz w:val="28"/>
                <w:szCs w:val="28"/>
                <w:lang w:val="uk-UA" w:bidi="en-US"/>
              </w:rPr>
              <w:t xml:space="preserve"> </w:t>
            </w:r>
            <w:r w:rsidR="002C6567" w:rsidRPr="0005082A">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2C6567"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2</w:t>
            </w:r>
            <w:r w:rsidRPr="006A1E5B">
              <w:rPr>
                <w:rFonts w:ascii="Times New Roman" w:eastAsia="Times New Roman" w:hAnsi="Times New Roman" w:cs="Times New Roman"/>
                <w:sz w:val="28"/>
                <w:szCs w:val="28"/>
                <w:lang w:val="uk-UA" w:bidi="en-US"/>
              </w:rPr>
              <w:t xml:space="preserve"> </w:t>
            </w:r>
          </w:p>
          <w:p w:rsidR="00625348"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3</w:t>
            </w: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7</w:t>
            </w:r>
            <w:r w:rsidR="00D1456D">
              <w:rPr>
                <w:rFonts w:ascii="Times New Roman" w:eastAsia="Times New Roman" w:hAnsi="Times New Roman" w:cs="Times New Roman"/>
                <w:sz w:val="28"/>
                <w:szCs w:val="28"/>
                <w:lang w:val="uk-UA" w:bidi="en-US"/>
              </w:rPr>
              <w:t xml:space="preserve"> </w:t>
            </w:r>
            <w:r w:rsidR="002C6567"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882246" w:rsidP="00625348">
            <w:pPr>
              <w:tabs>
                <w:tab w:val="left" w:pos="328"/>
              </w:tabs>
              <w:spacing w:after="0" w:line="240" w:lineRule="auto"/>
              <w:jc w:val="center"/>
              <w:rPr>
                <w:rFonts w:ascii="Times New Roman" w:eastAsia="Times New Roman" w:hAnsi="Times New Roman" w:cs="Times New Roman"/>
                <w:sz w:val="28"/>
                <w:szCs w:val="28"/>
                <w:lang w:val="uk-UA" w:bidi="en-US"/>
              </w:rPr>
            </w:pPr>
            <w:r w:rsidRPr="00882246">
              <w:rPr>
                <w:rFonts w:ascii="Times New Roman" w:eastAsia="Times New Roman" w:hAnsi="Times New Roman" w:cs="Times New Roman"/>
                <w:sz w:val="28"/>
                <w:szCs w:val="28"/>
                <w:lang w:val="en-US" w:bidi="en-US"/>
              </w:rPr>
              <w:t>12</w:t>
            </w:r>
            <w:r w:rsidR="000C752E" w:rsidRPr="00882246">
              <w:rPr>
                <w:rFonts w:ascii="Times New Roman" w:eastAsia="Times New Roman" w:hAnsi="Times New Roman" w:cs="Times New Roman"/>
                <w:sz w:val="28"/>
                <w:szCs w:val="28"/>
                <w:lang w:val="uk-UA" w:bidi="en-US"/>
              </w:rPr>
              <w:t xml:space="preserve"> </w:t>
            </w:r>
          </w:p>
          <w:p w:rsidR="00625348" w:rsidRPr="003A39B7" w:rsidRDefault="004343DB"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4962ED">
              <w:rPr>
                <w:rFonts w:ascii="Times New Roman" w:eastAsia="Times New Roman" w:hAnsi="Times New Roman" w:cs="Times New Roman"/>
                <w:sz w:val="28"/>
                <w:szCs w:val="28"/>
                <w:lang w:val="uk-UA" w:bidi="en-US"/>
              </w:rPr>
              <w:t>(</w:t>
            </w:r>
            <w:r w:rsidRPr="004962ED">
              <w:rPr>
                <w:rFonts w:ascii="Times New Roman" w:eastAsia="Times New Roman" w:hAnsi="Times New Roman" w:cs="Times New Roman"/>
                <w:sz w:val="28"/>
                <w:szCs w:val="28"/>
                <w:lang w:val="en-US" w:bidi="en-US"/>
              </w:rPr>
              <w:t>30</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B26236"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1</w:t>
            </w:r>
            <w:r w:rsidR="00810EDD" w:rsidRPr="00810EDD">
              <w:rPr>
                <w:rFonts w:ascii="Times New Roman" w:eastAsia="Times New Roman" w:hAnsi="Times New Roman" w:cs="Times New Roman"/>
                <w:sz w:val="28"/>
                <w:szCs w:val="28"/>
                <w:lang w:val="en-US" w:bidi="en-US"/>
              </w:rPr>
              <w:t>0</w:t>
            </w:r>
            <w:r w:rsidR="000C752E"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343DB" w:rsidRPr="004962ED">
              <w:rPr>
                <w:rFonts w:ascii="Times New Roman" w:eastAsia="Times New Roman" w:hAnsi="Times New Roman" w:cs="Times New Roman"/>
                <w:sz w:val="28"/>
                <w:szCs w:val="28"/>
                <w:lang w:val="uk-UA" w:bidi="en-US"/>
              </w:rPr>
              <w:t>(2</w:t>
            </w:r>
            <w:r w:rsidR="004343DB" w:rsidRPr="004962ED">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343DB" w:rsidRDefault="0049630C" w:rsidP="00625348">
            <w:pPr>
              <w:spacing w:after="0" w:line="240" w:lineRule="auto"/>
              <w:jc w:val="center"/>
              <w:rPr>
                <w:rFonts w:ascii="Times New Roman" w:eastAsia="Times New Roman" w:hAnsi="Times New Roman" w:cs="Times New Roman"/>
                <w:sz w:val="28"/>
                <w:szCs w:val="28"/>
                <w:lang w:val="en-US"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2</w:t>
            </w:r>
          </w:p>
          <w:p w:rsidR="00625348"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 xml:space="preserve"> </w:t>
            </w:r>
            <w:r w:rsidR="004343DB" w:rsidRPr="004962ED">
              <w:rPr>
                <w:rFonts w:ascii="Times New Roman" w:eastAsia="Times New Roman" w:hAnsi="Times New Roman" w:cs="Times New Roman"/>
                <w:sz w:val="28"/>
                <w:szCs w:val="28"/>
                <w:lang w:val="uk-UA" w:bidi="en-US"/>
              </w:rPr>
              <w:t>(</w:t>
            </w:r>
            <w:r w:rsidR="004343DB" w:rsidRPr="004962ED">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Pr="004962ED">
              <w:rPr>
                <w:rFonts w:ascii="Times New Roman" w:eastAsia="Times New Roman" w:hAnsi="Times New Roman" w:cs="Times New Roman"/>
                <w:sz w:val="28"/>
                <w:szCs w:val="28"/>
                <w:lang w:val="uk-UA" w:bidi="en-US"/>
              </w:rPr>
              <w:t>%)</w:t>
            </w:r>
          </w:p>
        </w:tc>
      </w:tr>
      <w:tr w:rsidR="000C752E" w:rsidRPr="003A39B7" w:rsidTr="00940AAC">
        <w:tc>
          <w:tcPr>
            <w:tcW w:w="1843" w:type="dxa"/>
            <w:tcBorders>
              <w:top w:val="single" w:sz="4" w:space="0" w:color="auto"/>
              <w:left w:val="single" w:sz="4" w:space="0" w:color="auto"/>
              <w:bottom w:val="single" w:sz="4" w:space="0" w:color="auto"/>
              <w:right w:val="single" w:sz="4" w:space="0" w:color="auto"/>
            </w:tcBorders>
          </w:tcPr>
          <w:p w:rsidR="00625348"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Б</w:t>
            </w:r>
            <w:r w:rsidR="000B7457" w:rsidRPr="0013719C">
              <w:rPr>
                <w:rFonts w:ascii="Times New Roman" w:eastAsia="Times New Roman" w:hAnsi="Times New Roman" w:cs="Times New Roman"/>
                <w:sz w:val="28"/>
                <w:szCs w:val="28"/>
                <w:lang w:val="uk-UA" w:bidi="en-US"/>
              </w:rPr>
              <w:t>іль у м</w:t>
            </w:r>
            <w:r w:rsidR="00B26236" w:rsidRPr="0013719C">
              <w:rPr>
                <w:rFonts w:ascii="Times New Roman" w:eastAsia="Times New Roman" w:hAnsi="Times New Roman" w:cs="Times New Roman"/>
                <w:sz w:val="28"/>
                <w:szCs w:val="28"/>
                <w:lang w:val="uk-UA" w:bidi="en-US"/>
              </w:rPr>
              <w:t>ʼ</w:t>
            </w:r>
            <w:r w:rsidR="000B7457" w:rsidRPr="0013719C">
              <w:rPr>
                <w:rFonts w:ascii="Times New Roman" w:eastAsia="Times New Roman" w:hAnsi="Times New Roman" w:cs="Times New Roman"/>
                <w:sz w:val="28"/>
                <w:szCs w:val="28"/>
                <w:lang w:val="uk-UA" w:bidi="en-US"/>
              </w:rPr>
              <w:t>язах</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5E585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17</w:t>
            </w:r>
            <w:r>
              <w:rPr>
                <w:rFonts w:ascii="Times New Roman" w:eastAsia="Times New Roman" w:hAnsi="Times New Roman" w:cs="Times New Roman"/>
                <w:sz w:val="28"/>
                <w:szCs w:val="28"/>
                <w:highlight w:val="yellow"/>
                <w:lang w:val="uk-UA" w:bidi="en-US"/>
              </w:rPr>
              <w:t xml:space="preserve"> </w:t>
            </w:r>
          </w:p>
          <w:p w:rsidR="00625348" w:rsidRPr="003A39B7" w:rsidRDefault="005E5857" w:rsidP="00625348">
            <w:pPr>
              <w:spacing w:after="0" w:line="240" w:lineRule="auto"/>
              <w:jc w:val="center"/>
              <w:rPr>
                <w:rFonts w:ascii="Times New Roman" w:eastAsia="Times New Roman" w:hAnsi="Times New Roman" w:cs="Times New Roman"/>
                <w:sz w:val="28"/>
                <w:szCs w:val="28"/>
                <w:highlight w:val="yellow"/>
                <w:lang w:val="uk-UA" w:bidi="en-US"/>
              </w:rPr>
            </w:pPr>
            <w:r w:rsidRPr="005E5857">
              <w:rPr>
                <w:rFonts w:ascii="Times New Roman" w:eastAsia="Times New Roman" w:hAnsi="Times New Roman" w:cs="Times New Roman"/>
                <w:sz w:val="28"/>
                <w:szCs w:val="28"/>
                <w:lang w:val="uk-UA" w:bidi="en-US"/>
              </w:rPr>
              <w:t>(3</w:t>
            </w:r>
            <w:r w:rsidRPr="005E5857">
              <w:rPr>
                <w:rFonts w:ascii="Times New Roman" w:eastAsia="Times New Roman" w:hAnsi="Times New Roman" w:cs="Times New Roman"/>
                <w:sz w:val="28"/>
                <w:szCs w:val="28"/>
                <w:lang w:val="en-US" w:bidi="en-US"/>
              </w:rPr>
              <w:t>1</w:t>
            </w:r>
            <w:r w:rsidRPr="005E5857">
              <w:rPr>
                <w:rFonts w:ascii="Times New Roman" w:eastAsia="Times New Roman" w:hAnsi="Times New Roman" w:cs="Times New Roman"/>
                <w:sz w:val="28"/>
                <w:szCs w:val="28"/>
                <w:lang w:val="uk-UA" w:bidi="en-US"/>
              </w:rPr>
              <w:t>,</w:t>
            </w:r>
            <w:r w:rsidRPr="005E5857">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2C6567" w:rsidRPr="005E585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40AAC"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15</w:t>
            </w:r>
            <w:r w:rsidR="0005082A">
              <w:rPr>
                <w:rFonts w:ascii="Times New Roman" w:eastAsia="Times New Roman" w:hAnsi="Times New Roman" w:cs="Times New Roman"/>
                <w:sz w:val="28"/>
                <w:szCs w:val="28"/>
                <w:highlight w:val="yellow"/>
                <w:lang w:val="uk-UA" w:bidi="en-US"/>
              </w:rPr>
              <w:t xml:space="preserve"> </w:t>
            </w:r>
          </w:p>
          <w:p w:rsidR="00625348"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(2</w:t>
            </w:r>
            <w:r w:rsidRPr="0005082A">
              <w:rPr>
                <w:rFonts w:ascii="Times New Roman" w:eastAsia="Times New Roman" w:hAnsi="Times New Roman" w:cs="Times New Roman"/>
                <w:sz w:val="28"/>
                <w:szCs w:val="28"/>
                <w:lang w:val="en-US" w:bidi="en-US"/>
              </w:rPr>
              <w:t>7</w:t>
            </w:r>
            <w:r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8</w:t>
            </w:r>
            <w:r w:rsidR="00D1456D">
              <w:rPr>
                <w:rFonts w:ascii="Times New Roman" w:eastAsia="Times New Roman" w:hAnsi="Times New Roman" w:cs="Times New Roman"/>
                <w:sz w:val="28"/>
                <w:szCs w:val="28"/>
                <w:lang w:val="uk-UA" w:bidi="en-US"/>
              </w:rPr>
              <w:t xml:space="preserve"> </w:t>
            </w:r>
            <w:r w:rsidR="002C6567" w:rsidRPr="0005082A">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2C6567" w:rsidP="00625348">
            <w:pPr>
              <w:spacing w:after="0" w:line="240" w:lineRule="auto"/>
              <w:jc w:val="center"/>
              <w:rPr>
                <w:rFonts w:ascii="Times New Roman" w:eastAsia="Times New Roman" w:hAnsi="Times New Roman" w:cs="Times New Roman"/>
                <w:sz w:val="28"/>
                <w:szCs w:val="28"/>
                <w:lang w:val="uk-UA" w:bidi="en-US"/>
              </w:rPr>
            </w:pPr>
            <w:r w:rsidRPr="00882246">
              <w:rPr>
                <w:rFonts w:ascii="Times New Roman" w:eastAsia="Times New Roman" w:hAnsi="Times New Roman" w:cs="Times New Roman"/>
                <w:sz w:val="28"/>
                <w:szCs w:val="28"/>
                <w:lang w:val="uk-UA" w:bidi="en-US"/>
              </w:rPr>
              <w:t>-</w:t>
            </w:r>
            <w:r w:rsidR="006A1E5B" w:rsidRPr="00882246">
              <w:rPr>
                <w:rFonts w:ascii="Times New Roman" w:eastAsia="Times New Roman" w:hAnsi="Times New Roman" w:cs="Times New Roman"/>
                <w:sz w:val="28"/>
                <w:szCs w:val="28"/>
                <w:lang w:val="en-US" w:bidi="en-US"/>
              </w:rPr>
              <w:t>2</w:t>
            </w:r>
            <w:r w:rsidR="00CD6439" w:rsidRPr="00882246">
              <w:rPr>
                <w:rFonts w:ascii="Times New Roman" w:eastAsia="Times New Roman" w:hAnsi="Times New Roman" w:cs="Times New Roman"/>
                <w:sz w:val="28"/>
                <w:szCs w:val="28"/>
                <w:lang w:val="uk-UA" w:bidi="en-US"/>
              </w:rPr>
              <w:t xml:space="preserve"> </w:t>
            </w:r>
          </w:p>
          <w:p w:rsidR="00625348" w:rsidRPr="00882246"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3</w:t>
            </w: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7</w:t>
            </w:r>
            <w:r w:rsidR="00D1456D">
              <w:rPr>
                <w:rFonts w:ascii="Times New Roman" w:eastAsia="Times New Roman" w:hAnsi="Times New Roman" w:cs="Times New Roman"/>
                <w:sz w:val="28"/>
                <w:szCs w:val="28"/>
                <w:lang w:val="uk-UA" w:bidi="en-US"/>
              </w:rPr>
              <w:t xml:space="preserve"> </w:t>
            </w:r>
            <w:r w:rsidR="00CD6439"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882246" w:rsidRDefault="00882246"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en-US" w:bidi="en-US"/>
              </w:rPr>
              <w:t>18</w:t>
            </w:r>
            <w:r w:rsidR="000C752E" w:rsidRPr="00882246">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45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625348"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16</w:t>
            </w:r>
            <w:r w:rsidR="000C752E"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40</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4962ED" w:rsidRDefault="0049630C" w:rsidP="00625348">
            <w:pPr>
              <w:spacing w:after="0" w:line="240" w:lineRule="auto"/>
              <w:jc w:val="center"/>
              <w:rPr>
                <w:rFonts w:ascii="Times New Roman" w:eastAsia="Times New Roman" w:hAnsi="Times New Roman" w:cs="Times New Roman"/>
                <w:sz w:val="28"/>
                <w:szCs w:val="28"/>
                <w:lang w:val="en-US"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2</w:t>
            </w:r>
            <w:r w:rsidRPr="00810EDD">
              <w:rPr>
                <w:rFonts w:ascii="Times New Roman" w:eastAsia="Times New Roman" w:hAnsi="Times New Roman" w:cs="Times New Roman"/>
                <w:sz w:val="28"/>
                <w:szCs w:val="28"/>
                <w:lang w:val="uk-UA" w:bidi="en-US"/>
              </w:rPr>
              <w:t xml:space="preserve"> </w:t>
            </w:r>
          </w:p>
          <w:p w:rsidR="00625348" w:rsidRPr="003A39B7" w:rsidRDefault="004962ED" w:rsidP="00625348">
            <w:pPr>
              <w:spacing w:after="0" w:line="240" w:lineRule="auto"/>
              <w:jc w:val="center"/>
              <w:rPr>
                <w:rFonts w:ascii="Times New Roman" w:eastAsia="Times New Roman" w:hAnsi="Times New Roman" w:cs="Times New Roman"/>
                <w:sz w:val="28"/>
                <w:szCs w:val="28"/>
                <w:highlight w:val="yellow"/>
                <w:lang w:val="uk-UA" w:bidi="en-US"/>
              </w:rPr>
            </w:pPr>
            <w:r w:rsidRPr="004962ED">
              <w:rPr>
                <w:rFonts w:ascii="Times New Roman" w:eastAsia="Times New Roman" w:hAnsi="Times New Roman" w:cs="Times New Roman"/>
                <w:sz w:val="28"/>
                <w:szCs w:val="28"/>
                <w:lang w:val="uk-UA" w:bidi="en-US"/>
              </w:rPr>
              <w:t>(</w:t>
            </w:r>
            <w:r w:rsidRPr="004962ED">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49630C" w:rsidRPr="004962ED">
              <w:rPr>
                <w:rFonts w:ascii="Times New Roman" w:eastAsia="Times New Roman" w:hAnsi="Times New Roman" w:cs="Times New Roman"/>
                <w:sz w:val="28"/>
                <w:szCs w:val="28"/>
                <w:lang w:val="uk-UA" w:bidi="en-US"/>
              </w:rPr>
              <w:t>%)</w:t>
            </w:r>
          </w:p>
        </w:tc>
      </w:tr>
      <w:tr w:rsidR="000B7457" w:rsidRPr="003A39B7" w:rsidTr="00940AAC">
        <w:tc>
          <w:tcPr>
            <w:tcW w:w="1843" w:type="dxa"/>
            <w:tcBorders>
              <w:top w:val="single" w:sz="4" w:space="0" w:color="auto"/>
              <w:left w:val="single" w:sz="4" w:space="0" w:color="auto"/>
              <w:bottom w:val="single" w:sz="4" w:space="0" w:color="auto"/>
              <w:right w:val="single" w:sz="4" w:space="0" w:color="auto"/>
            </w:tcBorders>
          </w:tcPr>
          <w:p w:rsidR="000B7457" w:rsidRPr="003A39B7" w:rsidRDefault="0036171A"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Задишка під час фізич-</w:t>
            </w:r>
            <w:r w:rsidR="00D1456D">
              <w:rPr>
                <w:rFonts w:ascii="Times New Roman" w:eastAsia="Times New Roman" w:hAnsi="Times New Roman" w:cs="Times New Roman"/>
                <w:sz w:val="28"/>
                <w:szCs w:val="28"/>
                <w:lang w:val="uk-UA" w:bidi="en-US"/>
              </w:rPr>
              <w:t>ного наван</w:t>
            </w:r>
            <w:r>
              <w:rPr>
                <w:rFonts w:ascii="Times New Roman" w:eastAsia="Times New Roman" w:hAnsi="Times New Roman" w:cs="Times New Roman"/>
                <w:sz w:val="28"/>
                <w:szCs w:val="28"/>
                <w:lang w:val="uk-UA" w:bidi="en-US"/>
              </w:rPr>
              <w:t>-</w:t>
            </w:r>
            <w:r w:rsidR="00D1456D">
              <w:rPr>
                <w:rFonts w:ascii="Times New Roman" w:eastAsia="Times New Roman" w:hAnsi="Times New Roman" w:cs="Times New Roman"/>
                <w:sz w:val="28"/>
                <w:szCs w:val="28"/>
                <w:lang w:val="uk-UA" w:bidi="en-US"/>
              </w:rPr>
              <w:t>таження</w:t>
            </w:r>
          </w:p>
        </w:tc>
        <w:tc>
          <w:tcPr>
            <w:tcW w:w="1276" w:type="dxa"/>
            <w:tcBorders>
              <w:top w:val="single" w:sz="4" w:space="0" w:color="auto"/>
              <w:left w:val="single" w:sz="4" w:space="0" w:color="auto"/>
              <w:bottom w:val="single" w:sz="4" w:space="0" w:color="auto"/>
              <w:right w:val="single" w:sz="4" w:space="0" w:color="auto"/>
            </w:tcBorders>
            <w:vAlign w:val="center"/>
          </w:tcPr>
          <w:p w:rsidR="0036171A" w:rsidRDefault="005E585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46</w:t>
            </w:r>
            <w:r w:rsidR="00CD6439" w:rsidRPr="001C6EC9">
              <w:rPr>
                <w:rFonts w:ascii="Times New Roman" w:eastAsia="Times New Roman" w:hAnsi="Times New Roman" w:cs="Times New Roman"/>
                <w:sz w:val="28"/>
                <w:szCs w:val="28"/>
                <w:lang w:val="uk-UA" w:bidi="en-US"/>
              </w:rPr>
              <w:t xml:space="preserve"> </w:t>
            </w:r>
          </w:p>
          <w:p w:rsidR="000B7457" w:rsidRPr="003A39B7" w:rsidRDefault="005E5857" w:rsidP="00625348">
            <w:pPr>
              <w:spacing w:after="0" w:line="240" w:lineRule="auto"/>
              <w:jc w:val="center"/>
              <w:rPr>
                <w:rFonts w:ascii="Times New Roman" w:eastAsia="Times New Roman" w:hAnsi="Times New Roman" w:cs="Times New Roman"/>
                <w:sz w:val="28"/>
                <w:szCs w:val="28"/>
                <w:highlight w:val="yellow"/>
                <w:lang w:val="uk-UA" w:bidi="en-US"/>
              </w:rPr>
            </w:pPr>
            <w:r w:rsidRPr="005E5857">
              <w:rPr>
                <w:rFonts w:ascii="Times New Roman" w:eastAsia="Times New Roman" w:hAnsi="Times New Roman" w:cs="Times New Roman"/>
                <w:sz w:val="28"/>
                <w:szCs w:val="28"/>
                <w:lang w:val="uk-UA" w:bidi="en-US"/>
              </w:rPr>
              <w:t>(8</w:t>
            </w:r>
            <w:r w:rsidRPr="005E5857">
              <w:rPr>
                <w:rFonts w:ascii="Times New Roman" w:eastAsia="Times New Roman" w:hAnsi="Times New Roman" w:cs="Times New Roman"/>
                <w:sz w:val="28"/>
                <w:szCs w:val="28"/>
                <w:lang w:val="en-US" w:bidi="en-US"/>
              </w:rPr>
              <w:t>5</w:t>
            </w:r>
            <w:r w:rsidRPr="005E5857">
              <w:rPr>
                <w:rFonts w:ascii="Times New Roman" w:eastAsia="Times New Roman" w:hAnsi="Times New Roman" w:cs="Times New Roman"/>
                <w:sz w:val="28"/>
                <w:szCs w:val="28"/>
                <w:lang w:val="uk-UA" w:bidi="en-US"/>
              </w:rPr>
              <w:t>,</w:t>
            </w:r>
            <w:r w:rsidRPr="005E5857">
              <w:rPr>
                <w:rFonts w:ascii="Times New Roman" w:eastAsia="Times New Roman" w:hAnsi="Times New Roman" w:cs="Times New Roman"/>
                <w:sz w:val="28"/>
                <w:szCs w:val="28"/>
                <w:lang w:val="en-US" w:bidi="en-US"/>
              </w:rPr>
              <w:t>2</w:t>
            </w:r>
            <w:r w:rsidR="00D1456D">
              <w:rPr>
                <w:rFonts w:ascii="Times New Roman" w:eastAsia="Times New Roman" w:hAnsi="Times New Roman" w:cs="Times New Roman"/>
                <w:sz w:val="28"/>
                <w:szCs w:val="28"/>
                <w:lang w:val="uk-UA" w:bidi="en-US"/>
              </w:rPr>
              <w:t xml:space="preserve"> </w:t>
            </w:r>
            <w:r w:rsidR="00CD6439" w:rsidRPr="005E585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6171A" w:rsidRDefault="006A1E5B"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en-US" w:bidi="en-US"/>
              </w:rPr>
              <w:t>42</w:t>
            </w:r>
            <w:r w:rsidR="00CD6439" w:rsidRPr="006A1E5B">
              <w:rPr>
                <w:rFonts w:ascii="Times New Roman" w:eastAsia="Times New Roman" w:hAnsi="Times New Roman" w:cs="Times New Roman"/>
                <w:sz w:val="28"/>
                <w:szCs w:val="28"/>
                <w:lang w:val="uk-UA" w:bidi="en-US"/>
              </w:rPr>
              <w:t xml:space="preserve"> </w:t>
            </w:r>
          </w:p>
          <w:p w:rsidR="000B7457"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77</w:t>
            </w:r>
            <w:r w:rsidR="00CD6439" w:rsidRPr="0005082A">
              <w:rPr>
                <w:rFonts w:ascii="Times New Roman" w:eastAsia="Times New Roman" w:hAnsi="Times New Roman" w:cs="Times New Roman"/>
                <w:sz w:val="28"/>
                <w:szCs w:val="28"/>
                <w:lang w:val="uk-UA" w:bidi="en-US"/>
              </w:rPr>
              <w:t>,8</w:t>
            </w:r>
            <w:r w:rsidR="00D1456D">
              <w:rPr>
                <w:rFonts w:ascii="Times New Roman" w:eastAsia="Times New Roman" w:hAnsi="Times New Roman" w:cs="Times New Roman"/>
                <w:sz w:val="28"/>
                <w:szCs w:val="28"/>
                <w:lang w:val="uk-UA" w:bidi="en-US"/>
              </w:rPr>
              <w:t xml:space="preserve"> </w:t>
            </w:r>
            <w:r w:rsidR="00CD6439" w:rsidRPr="0005082A">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2C6567" w:rsidP="00625348">
            <w:pPr>
              <w:spacing w:after="0" w:line="240" w:lineRule="auto"/>
              <w:jc w:val="center"/>
              <w:rPr>
                <w:rFonts w:ascii="Times New Roman" w:eastAsia="Times New Roman" w:hAnsi="Times New Roman" w:cs="Times New Roman"/>
                <w:sz w:val="28"/>
                <w:szCs w:val="28"/>
                <w:lang w:val="uk-UA" w:bidi="en-US"/>
              </w:rPr>
            </w:pPr>
            <w:r w:rsidRPr="006A1E5B">
              <w:rPr>
                <w:rFonts w:ascii="Times New Roman" w:eastAsia="Times New Roman" w:hAnsi="Times New Roman" w:cs="Times New Roman"/>
                <w:sz w:val="28"/>
                <w:szCs w:val="28"/>
                <w:lang w:val="uk-UA" w:bidi="en-US"/>
              </w:rPr>
              <w:t>-</w:t>
            </w:r>
            <w:r w:rsidR="006A1E5B" w:rsidRPr="006A1E5B">
              <w:rPr>
                <w:rFonts w:ascii="Times New Roman" w:eastAsia="Times New Roman" w:hAnsi="Times New Roman" w:cs="Times New Roman"/>
                <w:sz w:val="28"/>
                <w:szCs w:val="28"/>
                <w:lang w:val="en-US" w:bidi="en-US"/>
              </w:rPr>
              <w:t>4</w:t>
            </w:r>
            <w:r w:rsidR="00CD6439" w:rsidRPr="006A1E5B">
              <w:rPr>
                <w:rFonts w:ascii="Times New Roman" w:eastAsia="Times New Roman" w:hAnsi="Times New Roman" w:cs="Times New Roman"/>
                <w:sz w:val="28"/>
                <w:szCs w:val="28"/>
                <w:lang w:val="uk-UA" w:bidi="en-US"/>
              </w:rPr>
              <w:t xml:space="preserve"> </w:t>
            </w:r>
          </w:p>
          <w:p w:rsidR="000B7457"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(7,</w:t>
            </w:r>
            <w:r w:rsidRPr="00882246">
              <w:rPr>
                <w:rFonts w:ascii="Times New Roman" w:eastAsia="Times New Roman" w:hAnsi="Times New Roman" w:cs="Times New Roman"/>
                <w:sz w:val="28"/>
                <w:szCs w:val="28"/>
                <w:lang w:val="en-US" w:bidi="en-US"/>
              </w:rPr>
              <w:t>4</w:t>
            </w:r>
            <w:r w:rsidR="00D1456D">
              <w:rPr>
                <w:rFonts w:ascii="Times New Roman" w:eastAsia="Times New Roman" w:hAnsi="Times New Roman" w:cs="Times New Roman"/>
                <w:sz w:val="28"/>
                <w:szCs w:val="28"/>
                <w:lang w:val="uk-UA" w:bidi="en-US"/>
              </w:rPr>
              <w:t xml:space="preserve"> </w:t>
            </w:r>
            <w:r w:rsidR="00CD6439"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7457" w:rsidRPr="003A39B7" w:rsidRDefault="00882246"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en-US" w:bidi="en-US"/>
              </w:rPr>
              <w:t>38</w:t>
            </w:r>
            <w:r w:rsidR="004962ED">
              <w:rPr>
                <w:rFonts w:ascii="Times New Roman" w:eastAsia="Times New Roman" w:hAnsi="Times New Roman" w:cs="Times New Roman"/>
                <w:sz w:val="28"/>
                <w:szCs w:val="28"/>
                <w:highlight w:val="yellow"/>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95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7457"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35</w:t>
            </w:r>
            <w:r w:rsidR="004962ED">
              <w:rPr>
                <w:rFonts w:ascii="Times New Roman" w:eastAsia="Times New Roman" w:hAnsi="Times New Roman" w:cs="Times New Roman"/>
                <w:sz w:val="28"/>
                <w:szCs w:val="28"/>
                <w:highlight w:val="yellow"/>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87</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B7457"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3</w:t>
            </w:r>
            <w:r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7</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Pr="004962ED">
              <w:rPr>
                <w:rFonts w:ascii="Times New Roman" w:eastAsia="Times New Roman" w:hAnsi="Times New Roman" w:cs="Times New Roman"/>
                <w:sz w:val="28"/>
                <w:szCs w:val="28"/>
                <w:lang w:val="uk-UA" w:bidi="en-US"/>
              </w:rPr>
              <w:t>%)</w:t>
            </w:r>
          </w:p>
        </w:tc>
      </w:tr>
      <w:tr w:rsidR="000B7457" w:rsidRPr="003A39B7" w:rsidTr="00940AAC">
        <w:tc>
          <w:tcPr>
            <w:tcW w:w="1843" w:type="dxa"/>
            <w:tcBorders>
              <w:top w:val="single" w:sz="4" w:space="0" w:color="auto"/>
              <w:left w:val="single" w:sz="4" w:space="0" w:color="auto"/>
              <w:bottom w:val="single" w:sz="4" w:space="0" w:color="auto"/>
              <w:right w:val="single" w:sz="4" w:space="0" w:color="auto"/>
            </w:tcBorders>
          </w:tcPr>
          <w:p w:rsidR="000B7457"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З</w:t>
            </w:r>
            <w:r w:rsidR="000B7457" w:rsidRPr="0013719C">
              <w:rPr>
                <w:rFonts w:ascii="Times New Roman" w:eastAsia="Times New Roman" w:hAnsi="Times New Roman" w:cs="Times New Roman"/>
                <w:sz w:val="28"/>
                <w:szCs w:val="28"/>
                <w:lang w:val="uk-UA" w:bidi="en-US"/>
              </w:rPr>
              <w:t>адишка в спокої</w:t>
            </w:r>
          </w:p>
        </w:tc>
        <w:tc>
          <w:tcPr>
            <w:tcW w:w="1276" w:type="dxa"/>
            <w:tcBorders>
              <w:top w:val="single" w:sz="4" w:space="0" w:color="auto"/>
              <w:left w:val="single" w:sz="4" w:space="0" w:color="auto"/>
              <w:bottom w:val="single" w:sz="4" w:space="0" w:color="auto"/>
              <w:right w:val="single" w:sz="4" w:space="0" w:color="auto"/>
            </w:tcBorders>
            <w:vAlign w:val="center"/>
          </w:tcPr>
          <w:p w:rsidR="0036171A" w:rsidRDefault="005E585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18</w:t>
            </w:r>
            <w:r w:rsidR="00CD6439" w:rsidRPr="001C6EC9">
              <w:rPr>
                <w:rFonts w:ascii="Times New Roman" w:eastAsia="Times New Roman" w:hAnsi="Times New Roman" w:cs="Times New Roman"/>
                <w:sz w:val="28"/>
                <w:szCs w:val="28"/>
                <w:lang w:val="uk-UA" w:bidi="en-US"/>
              </w:rPr>
              <w:t xml:space="preserve"> </w:t>
            </w:r>
          </w:p>
          <w:p w:rsidR="000B7457" w:rsidRPr="003A39B7" w:rsidRDefault="005E5857" w:rsidP="00625348">
            <w:pPr>
              <w:spacing w:after="0" w:line="240" w:lineRule="auto"/>
              <w:jc w:val="center"/>
              <w:rPr>
                <w:rFonts w:ascii="Times New Roman" w:eastAsia="Times New Roman" w:hAnsi="Times New Roman" w:cs="Times New Roman"/>
                <w:sz w:val="28"/>
                <w:szCs w:val="28"/>
                <w:highlight w:val="yellow"/>
                <w:lang w:val="uk-UA" w:bidi="en-US"/>
              </w:rPr>
            </w:pPr>
            <w:r w:rsidRPr="005E5857">
              <w:rPr>
                <w:rFonts w:ascii="Times New Roman" w:eastAsia="Times New Roman" w:hAnsi="Times New Roman" w:cs="Times New Roman"/>
                <w:sz w:val="28"/>
                <w:szCs w:val="28"/>
                <w:lang w:val="uk-UA" w:bidi="en-US"/>
              </w:rPr>
              <w:t>(3</w:t>
            </w:r>
            <w:r w:rsidRPr="005E5857">
              <w:rPr>
                <w:rFonts w:ascii="Times New Roman" w:eastAsia="Times New Roman" w:hAnsi="Times New Roman" w:cs="Times New Roman"/>
                <w:sz w:val="28"/>
                <w:szCs w:val="28"/>
                <w:lang w:val="en-US" w:bidi="en-US"/>
              </w:rPr>
              <w:t>3</w:t>
            </w:r>
            <w:r w:rsidR="00CD6439" w:rsidRPr="005E5857">
              <w:rPr>
                <w:rFonts w:ascii="Times New Roman" w:eastAsia="Times New Roman" w:hAnsi="Times New Roman" w:cs="Times New Roman"/>
                <w:sz w:val="28"/>
                <w:szCs w:val="28"/>
                <w:lang w:val="uk-UA" w:bidi="en-US"/>
              </w:rPr>
              <w:t>,3</w:t>
            </w:r>
            <w:r w:rsidR="00D1456D">
              <w:rPr>
                <w:rFonts w:ascii="Times New Roman" w:eastAsia="Times New Roman" w:hAnsi="Times New Roman" w:cs="Times New Roman"/>
                <w:sz w:val="28"/>
                <w:szCs w:val="28"/>
                <w:lang w:val="uk-UA" w:bidi="en-US"/>
              </w:rPr>
              <w:t xml:space="preserve"> </w:t>
            </w:r>
            <w:r w:rsidR="00CD6439" w:rsidRPr="005E585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6171A" w:rsidRDefault="00062DEC" w:rsidP="00625348">
            <w:pPr>
              <w:spacing w:after="0" w:line="240" w:lineRule="auto"/>
              <w:jc w:val="center"/>
              <w:rPr>
                <w:rFonts w:ascii="Times New Roman" w:eastAsia="Times New Roman" w:hAnsi="Times New Roman" w:cs="Times New Roman"/>
                <w:sz w:val="28"/>
                <w:szCs w:val="28"/>
                <w:lang w:val="uk-UA" w:bidi="en-US"/>
              </w:rPr>
            </w:pPr>
            <w:r w:rsidRPr="00062DEC">
              <w:rPr>
                <w:rFonts w:ascii="Times New Roman" w:eastAsia="Times New Roman" w:hAnsi="Times New Roman" w:cs="Times New Roman"/>
                <w:sz w:val="28"/>
                <w:szCs w:val="28"/>
                <w:lang w:val="en-US" w:bidi="en-US"/>
              </w:rPr>
              <w:t>16</w:t>
            </w:r>
            <w:r w:rsidR="00CD6439" w:rsidRPr="00062DEC">
              <w:rPr>
                <w:rFonts w:ascii="Times New Roman" w:eastAsia="Times New Roman" w:hAnsi="Times New Roman" w:cs="Times New Roman"/>
                <w:sz w:val="28"/>
                <w:szCs w:val="28"/>
                <w:lang w:val="uk-UA" w:bidi="en-US"/>
              </w:rPr>
              <w:t xml:space="preserve"> </w:t>
            </w:r>
          </w:p>
          <w:p w:rsidR="000B7457"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29</w:t>
            </w:r>
            <w:r w:rsidR="00CD6439"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6</w:t>
            </w:r>
            <w:r w:rsidR="00D1456D">
              <w:rPr>
                <w:rFonts w:ascii="Times New Roman" w:eastAsia="Times New Roman" w:hAnsi="Times New Roman" w:cs="Times New Roman"/>
                <w:sz w:val="28"/>
                <w:szCs w:val="28"/>
                <w:lang w:val="uk-UA" w:bidi="en-US"/>
              </w:rPr>
              <w:t xml:space="preserve"> </w:t>
            </w:r>
            <w:r w:rsidR="00CD6439" w:rsidRPr="0005082A">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2C6567" w:rsidP="00625348">
            <w:pPr>
              <w:spacing w:after="0" w:line="240" w:lineRule="auto"/>
              <w:jc w:val="center"/>
              <w:rPr>
                <w:rFonts w:ascii="Times New Roman" w:eastAsia="Times New Roman" w:hAnsi="Times New Roman" w:cs="Times New Roman"/>
                <w:sz w:val="28"/>
                <w:szCs w:val="28"/>
                <w:lang w:val="uk-UA" w:bidi="en-US"/>
              </w:rPr>
            </w:pPr>
            <w:r w:rsidRPr="00062DEC">
              <w:rPr>
                <w:rFonts w:ascii="Times New Roman" w:eastAsia="Times New Roman" w:hAnsi="Times New Roman" w:cs="Times New Roman"/>
                <w:sz w:val="28"/>
                <w:szCs w:val="28"/>
                <w:lang w:val="uk-UA" w:bidi="en-US"/>
              </w:rPr>
              <w:t>-</w:t>
            </w:r>
            <w:r w:rsidR="000D5D27" w:rsidRPr="00062DEC">
              <w:rPr>
                <w:rFonts w:ascii="Times New Roman" w:eastAsia="Times New Roman" w:hAnsi="Times New Roman" w:cs="Times New Roman"/>
                <w:sz w:val="28"/>
                <w:szCs w:val="28"/>
                <w:lang w:val="uk-UA" w:bidi="en-US"/>
              </w:rPr>
              <w:t>2</w:t>
            </w:r>
            <w:r w:rsidR="00CD6439" w:rsidRPr="00062DEC">
              <w:rPr>
                <w:rFonts w:ascii="Times New Roman" w:eastAsia="Times New Roman" w:hAnsi="Times New Roman" w:cs="Times New Roman"/>
                <w:sz w:val="28"/>
                <w:szCs w:val="28"/>
                <w:lang w:val="uk-UA" w:bidi="en-US"/>
              </w:rPr>
              <w:t xml:space="preserve"> </w:t>
            </w:r>
          </w:p>
          <w:p w:rsidR="000B7457"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3</w:t>
            </w:r>
            <w:r w:rsidR="00CD6439" w:rsidRPr="00882246">
              <w:rPr>
                <w:rFonts w:ascii="Times New Roman" w:eastAsia="Times New Roman" w:hAnsi="Times New Roman" w:cs="Times New Roman"/>
                <w:sz w:val="28"/>
                <w:szCs w:val="28"/>
                <w:lang w:val="uk-UA" w:bidi="en-US"/>
              </w:rPr>
              <w:t>,</w:t>
            </w:r>
            <w:r w:rsidRPr="00882246">
              <w:rPr>
                <w:rFonts w:ascii="Times New Roman" w:eastAsia="Times New Roman" w:hAnsi="Times New Roman" w:cs="Times New Roman"/>
                <w:sz w:val="28"/>
                <w:szCs w:val="28"/>
                <w:lang w:val="en-US" w:bidi="en-US"/>
              </w:rPr>
              <w:t>7</w:t>
            </w:r>
            <w:r w:rsidR="00D1456D">
              <w:rPr>
                <w:rFonts w:ascii="Times New Roman" w:eastAsia="Times New Roman" w:hAnsi="Times New Roman" w:cs="Times New Roman"/>
                <w:sz w:val="28"/>
                <w:szCs w:val="28"/>
                <w:lang w:val="uk-UA" w:bidi="en-US"/>
              </w:rPr>
              <w:t xml:space="preserve"> </w:t>
            </w:r>
            <w:r w:rsidR="00CD6439"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7457" w:rsidRPr="003A39B7" w:rsidRDefault="00882246"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en-US" w:bidi="en-US"/>
              </w:rPr>
              <w:t>14</w:t>
            </w:r>
            <w:r w:rsidR="000C752E" w:rsidRPr="00882246">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35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7457"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12</w:t>
            </w:r>
            <w:r w:rsidR="000C752E"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30</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B7457"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2</w:t>
            </w:r>
            <w:r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5</w:t>
            </w:r>
            <w:r w:rsidRPr="004962ED">
              <w:rPr>
                <w:rFonts w:ascii="Times New Roman" w:eastAsia="Times New Roman" w:hAnsi="Times New Roman" w:cs="Times New Roman"/>
                <w:sz w:val="28"/>
                <w:szCs w:val="28"/>
                <w:lang w:val="uk-UA" w:bidi="en-US"/>
              </w:rPr>
              <w:t>,0</w:t>
            </w:r>
            <w:r w:rsidR="00D1456D">
              <w:rPr>
                <w:rFonts w:ascii="Times New Roman" w:eastAsia="Times New Roman" w:hAnsi="Times New Roman" w:cs="Times New Roman"/>
                <w:sz w:val="28"/>
                <w:szCs w:val="28"/>
                <w:lang w:val="uk-UA" w:bidi="en-US"/>
              </w:rPr>
              <w:t xml:space="preserve"> </w:t>
            </w:r>
            <w:r w:rsidRPr="004962ED">
              <w:rPr>
                <w:rFonts w:ascii="Times New Roman" w:eastAsia="Times New Roman" w:hAnsi="Times New Roman" w:cs="Times New Roman"/>
                <w:sz w:val="28"/>
                <w:szCs w:val="28"/>
                <w:lang w:val="uk-UA" w:bidi="en-US"/>
              </w:rPr>
              <w:t>%)</w:t>
            </w:r>
          </w:p>
        </w:tc>
      </w:tr>
      <w:tr w:rsidR="000B7457" w:rsidRPr="003A39B7" w:rsidTr="00940AAC">
        <w:tc>
          <w:tcPr>
            <w:tcW w:w="1843" w:type="dxa"/>
            <w:tcBorders>
              <w:top w:val="single" w:sz="4" w:space="0" w:color="auto"/>
              <w:left w:val="single" w:sz="4" w:space="0" w:color="auto"/>
              <w:bottom w:val="single" w:sz="4" w:space="0" w:color="auto"/>
              <w:right w:val="single" w:sz="4" w:space="0" w:color="auto"/>
            </w:tcBorders>
          </w:tcPr>
          <w:p w:rsidR="000B7457" w:rsidRPr="003A39B7" w:rsidRDefault="00D1456D" w:rsidP="00625348">
            <w:pPr>
              <w:spacing w:after="0" w:line="240" w:lineRule="auto"/>
              <w:jc w:val="both"/>
              <w:rPr>
                <w:rFonts w:ascii="Times New Roman" w:eastAsia="Times New Roman" w:hAnsi="Times New Roman" w:cs="Times New Roman"/>
                <w:sz w:val="28"/>
                <w:szCs w:val="28"/>
                <w:highlight w:val="yellow"/>
                <w:lang w:val="uk-UA" w:bidi="en-US"/>
              </w:rPr>
            </w:pPr>
            <w:r>
              <w:rPr>
                <w:rFonts w:ascii="Times New Roman" w:eastAsia="Times New Roman" w:hAnsi="Times New Roman" w:cs="Times New Roman"/>
                <w:sz w:val="28"/>
                <w:szCs w:val="28"/>
                <w:lang w:val="uk-UA" w:bidi="en-US"/>
              </w:rPr>
              <w:t>Б</w:t>
            </w:r>
            <w:r w:rsidR="000B7457" w:rsidRPr="0013719C">
              <w:rPr>
                <w:rFonts w:ascii="Times New Roman" w:eastAsia="Times New Roman" w:hAnsi="Times New Roman" w:cs="Times New Roman"/>
                <w:sz w:val="28"/>
                <w:szCs w:val="28"/>
                <w:lang w:val="uk-UA" w:bidi="en-US"/>
              </w:rPr>
              <w:t>іль у ділянці серця</w:t>
            </w:r>
          </w:p>
        </w:tc>
        <w:tc>
          <w:tcPr>
            <w:tcW w:w="1276" w:type="dxa"/>
            <w:tcBorders>
              <w:top w:val="single" w:sz="4" w:space="0" w:color="auto"/>
              <w:left w:val="single" w:sz="4" w:space="0" w:color="auto"/>
              <w:bottom w:val="single" w:sz="4" w:space="0" w:color="auto"/>
              <w:right w:val="single" w:sz="4" w:space="0" w:color="auto"/>
            </w:tcBorders>
            <w:vAlign w:val="center"/>
          </w:tcPr>
          <w:p w:rsidR="0036171A" w:rsidRDefault="005E5857" w:rsidP="0062534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en-US" w:bidi="en-US"/>
              </w:rPr>
              <w:t>41</w:t>
            </w:r>
            <w:r>
              <w:rPr>
                <w:rFonts w:ascii="Times New Roman" w:eastAsia="Times New Roman" w:hAnsi="Times New Roman" w:cs="Times New Roman"/>
                <w:sz w:val="28"/>
                <w:szCs w:val="28"/>
                <w:highlight w:val="yellow"/>
                <w:lang w:val="uk-UA" w:bidi="en-US"/>
              </w:rPr>
              <w:t xml:space="preserve"> </w:t>
            </w:r>
          </w:p>
          <w:p w:rsidR="000B7457" w:rsidRPr="003A39B7" w:rsidRDefault="005E5857" w:rsidP="00625348">
            <w:pPr>
              <w:spacing w:after="0" w:line="240" w:lineRule="auto"/>
              <w:jc w:val="center"/>
              <w:rPr>
                <w:rFonts w:ascii="Times New Roman" w:eastAsia="Times New Roman" w:hAnsi="Times New Roman" w:cs="Times New Roman"/>
                <w:sz w:val="28"/>
                <w:szCs w:val="28"/>
                <w:highlight w:val="yellow"/>
                <w:lang w:val="uk-UA" w:bidi="en-US"/>
              </w:rPr>
            </w:pPr>
            <w:r w:rsidRPr="005E5857">
              <w:rPr>
                <w:rFonts w:ascii="Times New Roman" w:eastAsia="Times New Roman" w:hAnsi="Times New Roman" w:cs="Times New Roman"/>
                <w:sz w:val="28"/>
                <w:szCs w:val="28"/>
                <w:lang w:val="uk-UA" w:bidi="en-US"/>
              </w:rPr>
              <w:t>(7</w:t>
            </w:r>
            <w:r w:rsidRPr="005E5857">
              <w:rPr>
                <w:rFonts w:ascii="Times New Roman" w:eastAsia="Times New Roman" w:hAnsi="Times New Roman" w:cs="Times New Roman"/>
                <w:sz w:val="28"/>
                <w:szCs w:val="28"/>
                <w:lang w:val="en-US" w:bidi="en-US"/>
              </w:rPr>
              <w:t>5</w:t>
            </w:r>
            <w:r w:rsidRPr="005E5857">
              <w:rPr>
                <w:rFonts w:ascii="Times New Roman" w:eastAsia="Times New Roman" w:hAnsi="Times New Roman" w:cs="Times New Roman"/>
                <w:sz w:val="28"/>
                <w:szCs w:val="28"/>
                <w:lang w:val="uk-UA" w:bidi="en-US"/>
              </w:rPr>
              <w:t>,</w:t>
            </w:r>
            <w:r w:rsidRPr="005E5857">
              <w:rPr>
                <w:rFonts w:ascii="Times New Roman" w:eastAsia="Times New Roman" w:hAnsi="Times New Roman" w:cs="Times New Roman"/>
                <w:sz w:val="28"/>
                <w:szCs w:val="28"/>
                <w:lang w:val="en-US" w:bidi="en-US"/>
              </w:rPr>
              <w:t>9</w:t>
            </w:r>
            <w:r w:rsidR="00D1456D">
              <w:rPr>
                <w:rFonts w:ascii="Times New Roman" w:eastAsia="Times New Roman" w:hAnsi="Times New Roman" w:cs="Times New Roman"/>
                <w:sz w:val="28"/>
                <w:szCs w:val="28"/>
                <w:lang w:val="uk-UA" w:bidi="en-US"/>
              </w:rPr>
              <w:t xml:space="preserve"> </w:t>
            </w:r>
            <w:r w:rsidR="00CD6439" w:rsidRPr="005E5857">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36171A" w:rsidRDefault="00062DEC" w:rsidP="00625348">
            <w:pPr>
              <w:spacing w:after="0" w:line="240" w:lineRule="auto"/>
              <w:jc w:val="center"/>
              <w:rPr>
                <w:rFonts w:ascii="Times New Roman" w:eastAsia="Times New Roman" w:hAnsi="Times New Roman" w:cs="Times New Roman"/>
                <w:sz w:val="28"/>
                <w:szCs w:val="28"/>
                <w:lang w:val="uk-UA" w:bidi="en-US"/>
              </w:rPr>
            </w:pPr>
            <w:r w:rsidRPr="00062DEC">
              <w:rPr>
                <w:rFonts w:ascii="Times New Roman" w:eastAsia="Times New Roman" w:hAnsi="Times New Roman" w:cs="Times New Roman"/>
                <w:sz w:val="28"/>
                <w:szCs w:val="28"/>
                <w:lang w:val="en-US" w:bidi="en-US"/>
              </w:rPr>
              <w:t>38</w:t>
            </w:r>
            <w:r w:rsidR="0005082A">
              <w:rPr>
                <w:rFonts w:ascii="Times New Roman" w:eastAsia="Times New Roman" w:hAnsi="Times New Roman" w:cs="Times New Roman"/>
                <w:sz w:val="28"/>
                <w:szCs w:val="28"/>
                <w:highlight w:val="yellow"/>
                <w:lang w:val="uk-UA" w:bidi="en-US"/>
              </w:rPr>
              <w:t xml:space="preserve"> </w:t>
            </w:r>
          </w:p>
          <w:p w:rsidR="000B7457" w:rsidRPr="003A39B7" w:rsidRDefault="0005082A" w:rsidP="00625348">
            <w:pPr>
              <w:spacing w:after="0" w:line="240" w:lineRule="auto"/>
              <w:jc w:val="center"/>
              <w:rPr>
                <w:rFonts w:ascii="Times New Roman" w:eastAsia="Times New Roman" w:hAnsi="Times New Roman" w:cs="Times New Roman"/>
                <w:sz w:val="28"/>
                <w:szCs w:val="28"/>
                <w:highlight w:val="yellow"/>
                <w:lang w:val="uk-UA" w:bidi="en-US"/>
              </w:rPr>
            </w:pPr>
            <w:r w:rsidRPr="0005082A">
              <w:rPr>
                <w:rFonts w:ascii="Times New Roman" w:eastAsia="Times New Roman" w:hAnsi="Times New Roman" w:cs="Times New Roman"/>
                <w:sz w:val="28"/>
                <w:szCs w:val="28"/>
                <w:lang w:val="uk-UA" w:bidi="en-US"/>
              </w:rPr>
              <w:t>(7</w:t>
            </w:r>
            <w:r w:rsidRPr="0005082A">
              <w:rPr>
                <w:rFonts w:ascii="Times New Roman" w:eastAsia="Times New Roman" w:hAnsi="Times New Roman" w:cs="Times New Roman"/>
                <w:sz w:val="28"/>
                <w:szCs w:val="28"/>
                <w:lang w:val="en-US" w:bidi="en-US"/>
              </w:rPr>
              <w:t>0</w:t>
            </w:r>
            <w:r w:rsidRPr="0005082A">
              <w:rPr>
                <w:rFonts w:ascii="Times New Roman" w:eastAsia="Times New Roman" w:hAnsi="Times New Roman" w:cs="Times New Roman"/>
                <w:sz w:val="28"/>
                <w:szCs w:val="28"/>
                <w:lang w:val="uk-UA" w:bidi="en-US"/>
              </w:rPr>
              <w:t>,</w:t>
            </w:r>
            <w:r w:rsidRPr="0005082A">
              <w:rPr>
                <w:rFonts w:ascii="Times New Roman" w:eastAsia="Times New Roman" w:hAnsi="Times New Roman" w:cs="Times New Roman"/>
                <w:sz w:val="28"/>
                <w:szCs w:val="28"/>
                <w:lang w:val="en-US" w:bidi="en-US"/>
              </w:rPr>
              <w:t>4</w:t>
            </w:r>
            <w:r w:rsidR="00D1456D">
              <w:rPr>
                <w:rFonts w:ascii="Times New Roman" w:eastAsia="Times New Roman" w:hAnsi="Times New Roman" w:cs="Times New Roman"/>
                <w:sz w:val="28"/>
                <w:szCs w:val="28"/>
                <w:lang w:val="uk-UA" w:bidi="en-US"/>
              </w:rPr>
              <w:t xml:space="preserve"> </w:t>
            </w:r>
            <w:r w:rsidR="00CD6439" w:rsidRPr="0005082A">
              <w:rPr>
                <w:rFonts w:ascii="Times New Roman" w:eastAsia="Times New Roman" w:hAnsi="Times New Roman" w:cs="Times New Roman"/>
                <w:sz w:val="28"/>
                <w:szCs w:val="28"/>
                <w:lang w:val="uk-UA"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36171A" w:rsidRDefault="002C6567" w:rsidP="00625348">
            <w:pPr>
              <w:spacing w:after="0" w:line="240" w:lineRule="auto"/>
              <w:jc w:val="center"/>
              <w:rPr>
                <w:rFonts w:ascii="Times New Roman" w:eastAsia="Times New Roman" w:hAnsi="Times New Roman" w:cs="Times New Roman"/>
                <w:sz w:val="28"/>
                <w:szCs w:val="28"/>
                <w:lang w:val="uk-UA" w:bidi="en-US"/>
              </w:rPr>
            </w:pPr>
            <w:r w:rsidRPr="00062DEC">
              <w:rPr>
                <w:rFonts w:ascii="Times New Roman" w:eastAsia="Times New Roman" w:hAnsi="Times New Roman" w:cs="Times New Roman"/>
                <w:sz w:val="28"/>
                <w:szCs w:val="28"/>
                <w:lang w:val="uk-UA" w:bidi="en-US"/>
              </w:rPr>
              <w:t>-</w:t>
            </w:r>
            <w:r w:rsidR="00062DEC" w:rsidRPr="00062DEC">
              <w:rPr>
                <w:rFonts w:ascii="Times New Roman" w:eastAsia="Times New Roman" w:hAnsi="Times New Roman" w:cs="Times New Roman"/>
                <w:sz w:val="28"/>
                <w:szCs w:val="28"/>
                <w:lang w:val="en-US" w:bidi="en-US"/>
              </w:rPr>
              <w:t>3</w:t>
            </w:r>
            <w:r w:rsidR="00CD6439" w:rsidRPr="00062DEC">
              <w:rPr>
                <w:rFonts w:ascii="Times New Roman" w:eastAsia="Times New Roman" w:hAnsi="Times New Roman" w:cs="Times New Roman"/>
                <w:sz w:val="28"/>
                <w:szCs w:val="28"/>
                <w:lang w:val="uk-UA" w:bidi="en-US"/>
              </w:rPr>
              <w:t xml:space="preserve"> </w:t>
            </w:r>
          </w:p>
          <w:p w:rsidR="000B7457" w:rsidRPr="003A39B7" w:rsidRDefault="00882246" w:rsidP="00625348">
            <w:pPr>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uk-UA" w:bidi="en-US"/>
              </w:rPr>
              <w:t>(5,</w:t>
            </w:r>
            <w:r w:rsidRPr="00882246">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CD6439" w:rsidRPr="00882246">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7457" w:rsidRPr="003A39B7" w:rsidRDefault="00882246"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82246">
              <w:rPr>
                <w:rFonts w:ascii="Times New Roman" w:eastAsia="Times New Roman" w:hAnsi="Times New Roman" w:cs="Times New Roman"/>
                <w:sz w:val="28"/>
                <w:szCs w:val="28"/>
                <w:lang w:val="en-US" w:bidi="en-US"/>
              </w:rPr>
              <w:t>38</w:t>
            </w:r>
            <w:r w:rsidR="000C752E" w:rsidRPr="00882246">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95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0B7457" w:rsidRPr="003A39B7" w:rsidRDefault="00810EDD" w:rsidP="00625348">
            <w:pPr>
              <w:tabs>
                <w:tab w:val="left" w:pos="328"/>
              </w:tabs>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en-US" w:bidi="en-US"/>
              </w:rPr>
              <w:t>35</w:t>
            </w:r>
            <w:r w:rsidR="004962ED">
              <w:rPr>
                <w:rFonts w:ascii="Times New Roman" w:eastAsia="Times New Roman" w:hAnsi="Times New Roman" w:cs="Times New Roman"/>
                <w:sz w:val="28"/>
                <w:szCs w:val="28"/>
                <w:highlight w:val="yellow"/>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87</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5</w:t>
            </w:r>
            <w:r w:rsidR="00D1456D">
              <w:rPr>
                <w:rFonts w:ascii="Times New Roman" w:eastAsia="Times New Roman" w:hAnsi="Times New Roman" w:cs="Times New Roman"/>
                <w:sz w:val="28"/>
                <w:szCs w:val="28"/>
                <w:lang w:val="uk-UA" w:bidi="en-US"/>
              </w:rPr>
              <w:t xml:space="preserve"> </w:t>
            </w:r>
            <w:r w:rsidR="000C752E" w:rsidRPr="004962ED">
              <w:rPr>
                <w:rFonts w:ascii="Times New Roman" w:eastAsia="Times New Roman" w:hAnsi="Times New Roman" w:cs="Times New Roman"/>
                <w:sz w:val="28"/>
                <w:szCs w:val="28"/>
                <w:lang w:val="uk-UA" w:bidi="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0B7457" w:rsidRPr="003A39B7" w:rsidRDefault="0049630C" w:rsidP="00625348">
            <w:pPr>
              <w:spacing w:after="0" w:line="240" w:lineRule="auto"/>
              <w:jc w:val="center"/>
              <w:rPr>
                <w:rFonts w:ascii="Times New Roman" w:eastAsia="Times New Roman" w:hAnsi="Times New Roman" w:cs="Times New Roman"/>
                <w:sz w:val="28"/>
                <w:szCs w:val="28"/>
                <w:highlight w:val="yellow"/>
                <w:lang w:val="uk-UA" w:bidi="en-US"/>
              </w:rPr>
            </w:pPr>
            <w:r w:rsidRPr="00810EDD">
              <w:rPr>
                <w:rFonts w:ascii="Times New Roman" w:eastAsia="Times New Roman" w:hAnsi="Times New Roman" w:cs="Times New Roman"/>
                <w:sz w:val="28"/>
                <w:szCs w:val="28"/>
                <w:lang w:val="uk-UA" w:bidi="en-US"/>
              </w:rPr>
              <w:t>-</w:t>
            </w:r>
            <w:r w:rsidR="00810EDD" w:rsidRPr="00810EDD">
              <w:rPr>
                <w:rFonts w:ascii="Times New Roman" w:eastAsia="Times New Roman" w:hAnsi="Times New Roman" w:cs="Times New Roman"/>
                <w:sz w:val="28"/>
                <w:szCs w:val="28"/>
                <w:lang w:val="en-US" w:bidi="en-US"/>
              </w:rPr>
              <w:t>3</w:t>
            </w:r>
            <w:r w:rsidRPr="00810EDD">
              <w:rPr>
                <w:rFonts w:ascii="Times New Roman" w:eastAsia="Times New Roman" w:hAnsi="Times New Roman" w:cs="Times New Roman"/>
                <w:sz w:val="28"/>
                <w:szCs w:val="28"/>
                <w:lang w:val="uk-UA" w:bidi="en-US"/>
              </w:rPr>
              <w:t xml:space="preserve"> </w:t>
            </w:r>
            <w:r w:rsidR="00940AAC">
              <w:rPr>
                <w:rFonts w:ascii="Times New Roman" w:eastAsia="Times New Roman" w:hAnsi="Times New Roman" w:cs="Times New Roman"/>
                <w:sz w:val="28"/>
                <w:szCs w:val="28"/>
                <w:lang w:val="uk-UA" w:bidi="en-US"/>
              </w:rPr>
              <w:t xml:space="preserve">   </w:t>
            </w:r>
            <w:r w:rsidR="004962ED" w:rsidRPr="004962ED">
              <w:rPr>
                <w:rFonts w:ascii="Times New Roman" w:eastAsia="Times New Roman" w:hAnsi="Times New Roman" w:cs="Times New Roman"/>
                <w:sz w:val="28"/>
                <w:szCs w:val="28"/>
                <w:lang w:val="uk-UA" w:bidi="en-US"/>
              </w:rPr>
              <w:t>(</w:t>
            </w:r>
            <w:r w:rsidR="004962ED" w:rsidRPr="004962ED">
              <w:rPr>
                <w:rFonts w:ascii="Times New Roman" w:eastAsia="Times New Roman" w:hAnsi="Times New Roman" w:cs="Times New Roman"/>
                <w:sz w:val="28"/>
                <w:szCs w:val="28"/>
                <w:lang w:val="en-US" w:bidi="en-US"/>
              </w:rPr>
              <w:t>7,</w:t>
            </w:r>
            <w:r w:rsidR="004962ED" w:rsidRPr="004962ED">
              <w:rPr>
                <w:rFonts w:ascii="Times New Roman" w:eastAsia="Times New Roman" w:hAnsi="Times New Roman" w:cs="Times New Roman"/>
                <w:sz w:val="28"/>
                <w:szCs w:val="28"/>
                <w:lang w:val="uk-UA" w:bidi="en-US"/>
              </w:rPr>
              <w:t>5</w:t>
            </w:r>
            <w:r w:rsidR="00D1456D">
              <w:rPr>
                <w:rFonts w:ascii="Times New Roman" w:eastAsia="Times New Roman" w:hAnsi="Times New Roman" w:cs="Times New Roman"/>
                <w:sz w:val="28"/>
                <w:szCs w:val="28"/>
                <w:lang w:val="uk-UA" w:bidi="en-US"/>
              </w:rPr>
              <w:t xml:space="preserve"> </w:t>
            </w:r>
            <w:r w:rsidRPr="004962ED">
              <w:rPr>
                <w:rFonts w:ascii="Times New Roman" w:eastAsia="Times New Roman" w:hAnsi="Times New Roman" w:cs="Times New Roman"/>
                <w:sz w:val="28"/>
                <w:szCs w:val="28"/>
                <w:lang w:val="uk-UA" w:bidi="en-US"/>
              </w:rPr>
              <w:t>%)</w:t>
            </w:r>
          </w:p>
        </w:tc>
      </w:tr>
    </w:tbl>
    <w:p w:rsidR="00CD6439" w:rsidRPr="00FF30F5" w:rsidRDefault="00FF30F5" w:rsidP="002E6864">
      <w:pPr>
        <w:autoSpaceDE w:val="0"/>
        <w:autoSpaceDN w:val="0"/>
        <w:adjustRightInd w:val="0"/>
        <w:spacing w:after="0" w:line="360" w:lineRule="auto"/>
        <w:ind w:firstLine="708"/>
        <w:jc w:val="both"/>
        <w:rPr>
          <w:rFonts w:ascii="Times New Roman" w:hAnsi="Times New Roman" w:cs="Times New Roman"/>
          <w:sz w:val="28"/>
          <w:szCs w:val="28"/>
          <w:lang w:val="uk-UA"/>
        </w:rPr>
      </w:pPr>
      <w:r w:rsidRPr="005E5857">
        <w:rPr>
          <w:rFonts w:ascii="Times New Roman" w:hAnsi="Times New Roman" w:cs="Times New Roman"/>
          <w:sz w:val="28"/>
          <w:szCs w:val="28"/>
          <w:lang w:val="uk-UA"/>
        </w:rPr>
        <w:t xml:space="preserve">Примітка: </w:t>
      </w:r>
      <w:r w:rsidRPr="005E5857">
        <w:rPr>
          <w:rFonts w:ascii="Times New Roman" w:hAnsi="Times New Roman" w:cs="Times New Roman"/>
          <w:sz w:val="28"/>
          <w:szCs w:val="28"/>
          <w:lang w:val="en-US"/>
        </w:rPr>
        <w:t xml:space="preserve">n – </w:t>
      </w:r>
      <w:r w:rsidRPr="005E5857">
        <w:rPr>
          <w:rFonts w:ascii="Times New Roman" w:hAnsi="Times New Roman" w:cs="Times New Roman"/>
          <w:sz w:val="28"/>
          <w:szCs w:val="28"/>
        </w:rPr>
        <w:t>к</w:t>
      </w:r>
      <w:r w:rsidRPr="005E5857">
        <w:rPr>
          <w:rFonts w:ascii="Times New Roman" w:hAnsi="Times New Roman" w:cs="Times New Roman"/>
          <w:sz w:val="28"/>
          <w:szCs w:val="28"/>
          <w:lang w:val="uk-UA"/>
        </w:rPr>
        <w:t>ількість осіб.</w:t>
      </w:r>
    </w:p>
    <w:p w:rsidR="008A6890" w:rsidRDefault="008A6890" w:rsidP="00442ED9">
      <w:pPr>
        <w:autoSpaceDE w:val="0"/>
        <w:autoSpaceDN w:val="0"/>
        <w:adjustRightInd w:val="0"/>
        <w:spacing w:after="0" w:line="360" w:lineRule="auto"/>
        <w:ind w:firstLine="708"/>
        <w:jc w:val="both"/>
        <w:rPr>
          <w:rFonts w:ascii="Times New Roman" w:hAnsi="Times New Roman" w:cs="Times New Roman"/>
          <w:sz w:val="28"/>
          <w:szCs w:val="28"/>
          <w:lang w:val="uk-UA"/>
        </w:rPr>
      </w:pPr>
    </w:p>
    <w:p w:rsidR="00442ED9" w:rsidRDefault="0003351F" w:rsidP="00442ED9">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п</w:t>
      </w:r>
      <w:r>
        <w:rPr>
          <w:rFonts w:ascii="Times New Roman" w:hAnsi="Times New Roman" w:cs="Times New Roman"/>
          <w:sz w:val="28"/>
          <w:szCs w:val="28"/>
          <w:lang w:val="en-US"/>
        </w:rPr>
        <w:t>i</w:t>
      </w:r>
      <w:r>
        <w:rPr>
          <w:rFonts w:ascii="Times New Roman" w:hAnsi="Times New Roman" w:cs="Times New Roman"/>
          <w:sz w:val="28"/>
          <w:szCs w:val="28"/>
          <w:lang w:val="uk-UA"/>
        </w:rPr>
        <w:t>д впливом л</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кування </w:t>
      </w:r>
      <w:r w:rsidR="006739B9">
        <w:rPr>
          <w:rFonts w:ascii="Times New Roman" w:hAnsi="Times New Roman" w:cs="Times New Roman"/>
          <w:sz w:val="28"/>
          <w:szCs w:val="28"/>
          <w:lang w:val="uk-UA"/>
        </w:rPr>
        <w:t xml:space="preserve">констатовано </w:t>
      </w:r>
      <w:r>
        <w:rPr>
          <w:rFonts w:ascii="Times New Roman" w:hAnsi="Times New Roman" w:cs="Times New Roman"/>
          <w:sz w:val="28"/>
          <w:szCs w:val="28"/>
          <w:lang w:val="uk-UA"/>
        </w:rPr>
        <w:t>регрес</w:t>
      </w:r>
      <w:r>
        <w:rPr>
          <w:rFonts w:ascii="Times New Roman" w:hAnsi="Times New Roman" w:cs="Times New Roman"/>
          <w:sz w:val="28"/>
          <w:szCs w:val="28"/>
          <w:lang w:val="en-US"/>
        </w:rPr>
        <w:t>i</w:t>
      </w:r>
      <w:r w:rsidR="006739B9">
        <w:rPr>
          <w:rFonts w:ascii="Times New Roman" w:hAnsi="Times New Roman" w:cs="Times New Roman"/>
          <w:sz w:val="28"/>
          <w:szCs w:val="28"/>
          <w:lang w:val="uk-UA"/>
        </w:rPr>
        <w:t>ю</w:t>
      </w:r>
      <w:r>
        <w:rPr>
          <w:rFonts w:ascii="Times New Roman" w:hAnsi="Times New Roman" w:cs="Times New Roman"/>
          <w:sz w:val="28"/>
          <w:szCs w:val="28"/>
          <w:lang w:val="uk-UA"/>
        </w:rPr>
        <w:t xml:space="preserve"> скарг </w:t>
      </w:r>
      <w:r w:rsidR="00D0569F">
        <w:rPr>
          <w:rFonts w:ascii="Times New Roman" w:hAnsi="Times New Roman" w:cs="Times New Roman"/>
          <w:sz w:val="28"/>
          <w:szCs w:val="28"/>
          <w:lang w:val="uk-UA"/>
        </w:rPr>
        <w:t xml:space="preserve">         </w:t>
      </w:r>
      <w:r>
        <w:rPr>
          <w:rFonts w:ascii="Times New Roman" w:hAnsi="Times New Roman" w:cs="Times New Roman"/>
          <w:sz w:val="28"/>
          <w:szCs w:val="28"/>
          <w:lang w:val="uk-UA"/>
        </w:rPr>
        <w:t>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в обох п</w:t>
      </w:r>
      <w:r>
        <w:rPr>
          <w:rFonts w:ascii="Times New Roman" w:hAnsi="Times New Roman" w:cs="Times New Roman"/>
          <w:sz w:val="28"/>
          <w:szCs w:val="28"/>
          <w:lang w:val="en-US"/>
        </w:rPr>
        <w:t>i</w:t>
      </w:r>
      <w:r w:rsidR="00442ED9">
        <w:rPr>
          <w:rFonts w:ascii="Times New Roman" w:hAnsi="Times New Roman" w:cs="Times New Roman"/>
          <w:sz w:val="28"/>
          <w:szCs w:val="28"/>
          <w:lang w:val="uk-UA"/>
        </w:rPr>
        <w:t>дгруп</w:t>
      </w:r>
      <w:r>
        <w:rPr>
          <w:rFonts w:ascii="Times New Roman" w:hAnsi="Times New Roman" w:cs="Times New Roman"/>
          <w:sz w:val="28"/>
          <w:szCs w:val="28"/>
          <w:lang w:val="uk-UA"/>
        </w:rPr>
        <w:t>. Серед</w:t>
      </w:r>
      <w:r w:rsidR="006739B9">
        <w:rPr>
          <w:rFonts w:ascii="Times New Roman" w:hAnsi="Times New Roman" w:cs="Times New Roman"/>
          <w:sz w:val="28"/>
          <w:szCs w:val="28"/>
          <w:lang w:val="uk-UA"/>
        </w:rPr>
        <w:t xml:space="preserve"> хворих</w:t>
      </w:r>
      <w:r w:rsidR="00D44613">
        <w:rPr>
          <w:rFonts w:ascii="Times New Roman" w:hAnsi="Times New Roman" w:cs="Times New Roman"/>
          <w:sz w:val="28"/>
          <w:szCs w:val="28"/>
          <w:lang w:val="uk-UA"/>
        </w:rPr>
        <w:t xml:space="preserve">, </w:t>
      </w:r>
      <w:r>
        <w:rPr>
          <w:rFonts w:ascii="Times New Roman" w:hAnsi="Times New Roman" w:cs="Times New Roman"/>
          <w:sz w:val="28"/>
          <w:szCs w:val="28"/>
          <w:lang w:val="uk-UA"/>
        </w:rPr>
        <w:t>як</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приймали телм</w:t>
      </w:r>
      <w:r>
        <w:rPr>
          <w:rFonts w:ascii="Times New Roman" w:hAnsi="Times New Roman" w:cs="Times New Roman"/>
          <w:sz w:val="28"/>
          <w:szCs w:val="28"/>
          <w:lang w:val="en-US"/>
        </w:rPr>
        <w:t>i</w:t>
      </w:r>
      <w:r w:rsidR="00D44613">
        <w:rPr>
          <w:rFonts w:ascii="Times New Roman" w:hAnsi="Times New Roman" w:cs="Times New Roman"/>
          <w:sz w:val="28"/>
          <w:szCs w:val="28"/>
          <w:lang w:val="uk-UA"/>
        </w:rPr>
        <w:t>сартан,</w:t>
      </w:r>
      <w:r w:rsidR="004962ED" w:rsidRPr="004962ED">
        <w:rPr>
          <w:rFonts w:ascii="Times New Roman" w:hAnsi="Times New Roman" w:cs="Times New Roman"/>
          <w:sz w:val="28"/>
          <w:szCs w:val="28"/>
          <w:lang w:val="uk-UA"/>
        </w:rPr>
        <w:t xml:space="preserve"> 6</w:t>
      </w:r>
      <w:r w:rsidR="004962ED">
        <w:rPr>
          <w:rFonts w:ascii="Times New Roman" w:hAnsi="Times New Roman" w:cs="Times New Roman"/>
          <w:sz w:val="28"/>
          <w:szCs w:val="28"/>
          <w:lang w:val="uk-UA"/>
        </w:rPr>
        <w:t xml:space="preserve"> (1</w:t>
      </w:r>
      <w:r w:rsidR="004962ED" w:rsidRPr="004962ED">
        <w:rPr>
          <w:rFonts w:ascii="Times New Roman" w:hAnsi="Times New Roman" w:cs="Times New Roman"/>
          <w:sz w:val="28"/>
          <w:szCs w:val="28"/>
          <w:lang w:val="uk-UA"/>
        </w:rPr>
        <w:t>1</w:t>
      </w:r>
      <w:r w:rsidR="00D44613">
        <w:rPr>
          <w:rFonts w:ascii="Times New Roman" w:hAnsi="Times New Roman" w:cs="Times New Roman"/>
          <w:sz w:val="28"/>
          <w:szCs w:val="28"/>
          <w:lang w:val="uk-UA"/>
        </w:rPr>
        <w:t>,1</w:t>
      </w:r>
      <w:r w:rsidR="0036171A">
        <w:rPr>
          <w:rFonts w:ascii="Times New Roman" w:hAnsi="Times New Roman" w:cs="Times New Roman"/>
          <w:sz w:val="28"/>
          <w:szCs w:val="28"/>
          <w:lang w:val="uk-UA"/>
        </w:rPr>
        <w:t xml:space="preserve"> </w:t>
      </w:r>
      <w:r w:rsidR="006739B9">
        <w:rPr>
          <w:rFonts w:ascii="Times New Roman" w:hAnsi="Times New Roman" w:cs="Times New Roman"/>
          <w:sz w:val="28"/>
          <w:szCs w:val="28"/>
          <w:lang w:val="uk-UA"/>
        </w:rPr>
        <w:t>%) осіб</w:t>
      </w:r>
      <w:r>
        <w:rPr>
          <w:rFonts w:ascii="Times New Roman" w:hAnsi="Times New Roman" w:cs="Times New Roman"/>
          <w:sz w:val="28"/>
          <w:szCs w:val="28"/>
          <w:lang w:val="uk-UA"/>
        </w:rPr>
        <w:t xml:space="preserve"> перестали турбувати головн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бол</w:t>
      </w:r>
      <w:r>
        <w:rPr>
          <w:rFonts w:ascii="Times New Roman" w:hAnsi="Times New Roman" w:cs="Times New Roman"/>
          <w:sz w:val="28"/>
          <w:szCs w:val="28"/>
          <w:lang w:val="en-US"/>
        </w:rPr>
        <w:t>i</w:t>
      </w:r>
      <w:r w:rsidR="00442ED9">
        <w:rPr>
          <w:rFonts w:ascii="Times New Roman" w:hAnsi="Times New Roman" w:cs="Times New Roman"/>
          <w:sz w:val="28"/>
          <w:szCs w:val="28"/>
          <w:lang w:val="uk-UA"/>
        </w:rPr>
        <w:t xml:space="preserve">, </w:t>
      </w:r>
      <w:r w:rsidR="004962ED" w:rsidRPr="004962ED">
        <w:rPr>
          <w:rFonts w:ascii="Times New Roman" w:hAnsi="Times New Roman" w:cs="Times New Roman"/>
          <w:sz w:val="28"/>
          <w:szCs w:val="28"/>
          <w:lang w:val="uk-UA"/>
        </w:rPr>
        <w:t>7</w:t>
      </w:r>
      <w:r w:rsidR="004962ED">
        <w:rPr>
          <w:rFonts w:ascii="Times New Roman" w:hAnsi="Times New Roman" w:cs="Times New Roman"/>
          <w:sz w:val="28"/>
          <w:szCs w:val="28"/>
          <w:lang w:val="uk-UA"/>
        </w:rPr>
        <w:t xml:space="preserve"> (1</w:t>
      </w:r>
      <w:r w:rsidR="004962ED" w:rsidRPr="004962ED">
        <w:rPr>
          <w:rFonts w:ascii="Times New Roman" w:hAnsi="Times New Roman" w:cs="Times New Roman"/>
          <w:sz w:val="28"/>
          <w:szCs w:val="28"/>
          <w:lang w:val="uk-UA"/>
        </w:rPr>
        <w:t>2</w:t>
      </w:r>
      <w:r w:rsidR="004962ED">
        <w:rPr>
          <w:rFonts w:ascii="Times New Roman" w:hAnsi="Times New Roman" w:cs="Times New Roman"/>
          <w:sz w:val="28"/>
          <w:szCs w:val="28"/>
          <w:lang w:val="uk-UA"/>
        </w:rPr>
        <w:t>,</w:t>
      </w:r>
      <w:r w:rsidR="004962ED" w:rsidRPr="004962ED">
        <w:rPr>
          <w:rFonts w:ascii="Times New Roman" w:hAnsi="Times New Roman" w:cs="Times New Roman"/>
          <w:sz w:val="28"/>
          <w:szCs w:val="28"/>
          <w:lang w:val="uk-UA"/>
        </w:rPr>
        <w:t>9</w:t>
      </w:r>
      <w:r w:rsidR="0036171A">
        <w:rPr>
          <w:rFonts w:ascii="Times New Roman" w:hAnsi="Times New Roman" w:cs="Times New Roman"/>
          <w:sz w:val="28"/>
          <w:szCs w:val="28"/>
          <w:lang w:val="uk-UA"/>
        </w:rPr>
        <w:t xml:space="preserve"> </w:t>
      </w:r>
      <w:r>
        <w:rPr>
          <w:rFonts w:ascii="Times New Roman" w:hAnsi="Times New Roman" w:cs="Times New Roman"/>
          <w:sz w:val="28"/>
          <w:szCs w:val="28"/>
          <w:lang w:val="uk-UA"/>
        </w:rPr>
        <w:t>%) – сух</w:t>
      </w:r>
      <w:r>
        <w:rPr>
          <w:rFonts w:ascii="Times New Roman" w:hAnsi="Times New Roman" w:cs="Times New Roman"/>
          <w:sz w:val="28"/>
          <w:szCs w:val="28"/>
          <w:lang w:val="en-US"/>
        </w:rPr>
        <w:t>i</w:t>
      </w:r>
      <w:r>
        <w:rPr>
          <w:rFonts w:ascii="Times New Roman" w:hAnsi="Times New Roman" w:cs="Times New Roman"/>
          <w:sz w:val="28"/>
          <w:szCs w:val="28"/>
          <w:lang w:val="uk-UA"/>
        </w:rPr>
        <w:t>сть у рот</w:t>
      </w:r>
      <w:r>
        <w:rPr>
          <w:rFonts w:ascii="Times New Roman" w:hAnsi="Times New Roman" w:cs="Times New Roman"/>
          <w:sz w:val="28"/>
          <w:szCs w:val="28"/>
          <w:lang w:val="en-US"/>
        </w:rPr>
        <w:t>i</w:t>
      </w:r>
      <w:r w:rsidR="004962ED">
        <w:rPr>
          <w:rFonts w:ascii="Times New Roman" w:hAnsi="Times New Roman" w:cs="Times New Roman"/>
          <w:sz w:val="28"/>
          <w:szCs w:val="28"/>
          <w:lang w:val="uk-UA"/>
        </w:rPr>
        <w:t xml:space="preserve">, </w:t>
      </w:r>
      <w:r w:rsidR="004962ED" w:rsidRPr="004962ED">
        <w:rPr>
          <w:rFonts w:ascii="Times New Roman" w:hAnsi="Times New Roman" w:cs="Times New Roman"/>
          <w:sz w:val="28"/>
          <w:szCs w:val="28"/>
          <w:lang w:val="uk-UA"/>
        </w:rPr>
        <w:t>5</w:t>
      </w:r>
      <w:r w:rsidR="004962ED">
        <w:rPr>
          <w:rFonts w:ascii="Times New Roman" w:hAnsi="Times New Roman" w:cs="Times New Roman"/>
          <w:sz w:val="28"/>
          <w:szCs w:val="28"/>
          <w:lang w:val="uk-UA"/>
        </w:rPr>
        <w:t xml:space="preserve"> (</w:t>
      </w:r>
      <w:r w:rsidR="004962ED" w:rsidRPr="004962ED">
        <w:rPr>
          <w:rFonts w:ascii="Times New Roman" w:hAnsi="Times New Roman" w:cs="Times New Roman"/>
          <w:sz w:val="28"/>
          <w:szCs w:val="28"/>
          <w:lang w:val="uk-UA"/>
        </w:rPr>
        <w:t>9</w:t>
      </w:r>
      <w:r w:rsidR="004962ED">
        <w:rPr>
          <w:rFonts w:ascii="Times New Roman" w:hAnsi="Times New Roman" w:cs="Times New Roman"/>
          <w:sz w:val="28"/>
          <w:szCs w:val="28"/>
          <w:lang w:val="uk-UA"/>
        </w:rPr>
        <w:t>,</w:t>
      </w:r>
      <w:r w:rsidR="004962ED" w:rsidRPr="004962ED">
        <w:rPr>
          <w:rFonts w:ascii="Times New Roman" w:hAnsi="Times New Roman" w:cs="Times New Roman"/>
          <w:sz w:val="28"/>
          <w:szCs w:val="28"/>
          <w:lang w:val="uk-UA"/>
        </w:rPr>
        <w:t>2</w:t>
      </w:r>
      <w:r w:rsidR="0036171A">
        <w:rPr>
          <w:rFonts w:ascii="Times New Roman" w:hAnsi="Times New Roman" w:cs="Times New Roman"/>
          <w:sz w:val="28"/>
          <w:szCs w:val="28"/>
          <w:lang w:val="uk-UA"/>
        </w:rPr>
        <w:t xml:space="preserve"> %) </w:t>
      </w:r>
      <w:r w:rsidR="00D0569F">
        <w:rPr>
          <w:rFonts w:ascii="Times New Roman" w:hAnsi="Times New Roman" w:cs="Times New Roman"/>
          <w:sz w:val="28"/>
          <w:szCs w:val="28"/>
          <w:lang w:val="uk-UA"/>
        </w:rPr>
        <w:t xml:space="preserve">    </w:t>
      </w:r>
      <w:r w:rsidR="0036171A">
        <w:rPr>
          <w:rFonts w:ascii="Times New Roman" w:hAnsi="Times New Roman" w:cs="Times New Roman"/>
          <w:sz w:val="28"/>
          <w:szCs w:val="28"/>
          <w:lang w:val="uk-UA"/>
        </w:rPr>
        <w:lastRenderedPageBreak/>
        <w:t>– слаб</w:t>
      </w:r>
      <w:r>
        <w:rPr>
          <w:rFonts w:ascii="Times New Roman" w:hAnsi="Times New Roman" w:cs="Times New Roman"/>
          <w:sz w:val="28"/>
          <w:szCs w:val="28"/>
          <w:lang w:val="en-US"/>
        </w:rPr>
        <w:t>i</w:t>
      </w:r>
      <w:r w:rsidR="00D13979">
        <w:rPr>
          <w:rFonts w:ascii="Times New Roman" w:hAnsi="Times New Roman" w:cs="Times New Roman"/>
          <w:sz w:val="28"/>
          <w:szCs w:val="28"/>
          <w:lang w:val="uk-UA"/>
        </w:rPr>
        <w:t xml:space="preserve">сть, </w:t>
      </w:r>
      <w:r w:rsidR="00D13979" w:rsidRPr="00D13979">
        <w:rPr>
          <w:rFonts w:ascii="Times New Roman" w:hAnsi="Times New Roman" w:cs="Times New Roman"/>
          <w:sz w:val="28"/>
          <w:szCs w:val="28"/>
          <w:lang w:val="uk-UA"/>
        </w:rPr>
        <w:t>5</w:t>
      </w:r>
      <w:r w:rsidR="00D13979">
        <w:rPr>
          <w:rFonts w:ascii="Times New Roman" w:hAnsi="Times New Roman" w:cs="Times New Roman"/>
          <w:sz w:val="28"/>
          <w:szCs w:val="28"/>
          <w:lang w:val="uk-UA"/>
        </w:rPr>
        <w:t xml:space="preserve"> (9,</w:t>
      </w:r>
      <w:r w:rsidR="00D13979" w:rsidRPr="00D13979">
        <w:rPr>
          <w:rFonts w:ascii="Times New Roman" w:hAnsi="Times New Roman" w:cs="Times New Roman"/>
          <w:sz w:val="28"/>
          <w:szCs w:val="28"/>
          <w:lang w:val="uk-UA"/>
        </w:rPr>
        <w:t>4</w:t>
      </w:r>
      <w:r w:rsidR="0036171A">
        <w:rPr>
          <w:rFonts w:ascii="Times New Roman" w:hAnsi="Times New Roman" w:cs="Times New Roman"/>
          <w:sz w:val="28"/>
          <w:szCs w:val="28"/>
          <w:lang w:val="uk-UA"/>
        </w:rPr>
        <w:t xml:space="preserve"> %) – запамороче</w:t>
      </w:r>
      <w:r w:rsidR="00D44613">
        <w:rPr>
          <w:rFonts w:ascii="Times New Roman" w:hAnsi="Times New Roman" w:cs="Times New Roman"/>
          <w:sz w:val="28"/>
          <w:szCs w:val="28"/>
          <w:lang w:val="uk-UA"/>
        </w:rPr>
        <w:t>ння,</w:t>
      </w:r>
      <w:r>
        <w:rPr>
          <w:rFonts w:ascii="Times New Roman" w:hAnsi="Times New Roman" w:cs="Times New Roman"/>
          <w:sz w:val="28"/>
          <w:szCs w:val="28"/>
          <w:lang w:val="uk-UA"/>
        </w:rPr>
        <w:t xml:space="preserve"> парестез</w:t>
      </w:r>
      <w:r>
        <w:rPr>
          <w:rFonts w:ascii="Times New Roman" w:hAnsi="Times New Roman" w:cs="Times New Roman"/>
          <w:sz w:val="28"/>
          <w:szCs w:val="28"/>
          <w:lang w:val="en-US"/>
        </w:rPr>
        <w:t>i</w:t>
      </w:r>
      <w:r w:rsidR="00D13979">
        <w:rPr>
          <w:rFonts w:ascii="Times New Roman" w:hAnsi="Times New Roman" w:cs="Times New Roman"/>
          <w:sz w:val="28"/>
          <w:szCs w:val="28"/>
          <w:lang w:val="uk-UA"/>
        </w:rPr>
        <w:t xml:space="preserve">ї, зниження зору, </w:t>
      </w:r>
      <w:r w:rsidR="00D13979" w:rsidRPr="00D13979">
        <w:rPr>
          <w:rFonts w:ascii="Times New Roman" w:hAnsi="Times New Roman" w:cs="Times New Roman"/>
          <w:sz w:val="28"/>
          <w:szCs w:val="28"/>
          <w:lang w:val="uk-UA"/>
        </w:rPr>
        <w:t>4</w:t>
      </w:r>
      <w:r w:rsidR="00D13979">
        <w:rPr>
          <w:rFonts w:ascii="Times New Roman" w:hAnsi="Times New Roman" w:cs="Times New Roman"/>
          <w:sz w:val="28"/>
          <w:szCs w:val="28"/>
          <w:lang w:val="uk-UA"/>
        </w:rPr>
        <w:t xml:space="preserve"> (</w:t>
      </w:r>
      <w:r w:rsidR="00D13979" w:rsidRPr="00D13979">
        <w:rPr>
          <w:rFonts w:ascii="Times New Roman" w:hAnsi="Times New Roman" w:cs="Times New Roman"/>
          <w:sz w:val="28"/>
          <w:szCs w:val="28"/>
          <w:lang w:val="uk-UA"/>
        </w:rPr>
        <w:t>7</w:t>
      </w:r>
      <w:r w:rsidR="00D13979">
        <w:rPr>
          <w:rFonts w:ascii="Times New Roman" w:hAnsi="Times New Roman" w:cs="Times New Roman"/>
          <w:sz w:val="28"/>
          <w:szCs w:val="28"/>
          <w:lang w:val="uk-UA"/>
        </w:rPr>
        <w:t>,</w:t>
      </w:r>
      <w:r w:rsidR="00D13979" w:rsidRPr="00D13979">
        <w:rPr>
          <w:rFonts w:ascii="Times New Roman" w:hAnsi="Times New Roman" w:cs="Times New Roman"/>
          <w:sz w:val="28"/>
          <w:szCs w:val="28"/>
          <w:lang w:val="uk-UA"/>
        </w:rPr>
        <w:t>4</w:t>
      </w:r>
      <w:r w:rsidR="0036171A">
        <w:rPr>
          <w:rFonts w:ascii="Times New Roman" w:hAnsi="Times New Roman" w:cs="Times New Roman"/>
          <w:sz w:val="28"/>
          <w:szCs w:val="28"/>
          <w:lang w:val="uk-UA"/>
        </w:rPr>
        <w:t xml:space="preserve"> </w:t>
      </w:r>
      <w:r>
        <w:rPr>
          <w:rFonts w:ascii="Times New Roman" w:hAnsi="Times New Roman" w:cs="Times New Roman"/>
          <w:sz w:val="28"/>
          <w:szCs w:val="28"/>
          <w:lang w:val="uk-UA"/>
        </w:rPr>
        <w:t>%) – втомлюван</w:t>
      </w:r>
      <w:r>
        <w:rPr>
          <w:rFonts w:ascii="Times New Roman" w:hAnsi="Times New Roman" w:cs="Times New Roman"/>
          <w:sz w:val="28"/>
          <w:szCs w:val="28"/>
          <w:lang w:val="en-US"/>
        </w:rPr>
        <w:t>i</w:t>
      </w:r>
      <w:r w:rsidR="00FF30F5">
        <w:rPr>
          <w:rFonts w:ascii="Times New Roman" w:hAnsi="Times New Roman" w:cs="Times New Roman"/>
          <w:sz w:val="28"/>
          <w:szCs w:val="28"/>
          <w:lang w:val="uk-UA"/>
        </w:rPr>
        <w:t xml:space="preserve">сть, </w:t>
      </w:r>
      <w:r w:rsidR="00D941B7" w:rsidRPr="00D941B7">
        <w:rPr>
          <w:rFonts w:ascii="Times New Roman" w:hAnsi="Times New Roman" w:cs="Times New Roman"/>
          <w:sz w:val="28"/>
          <w:szCs w:val="28"/>
          <w:lang w:val="uk-UA"/>
        </w:rPr>
        <w:t>4 (7,5</w:t>
      </w:r>
      <w:r w:rsidR="0036171A">
        <w:rPr>
          <w:rFonts w:ascii="Times New Roman" w:hAnsi="Times New Roman" w:cs="Times New Roman"/>
          <w:sz w:val="28"/>
          <w:szCs w:val="28"/>
          <w:lang w:val="uk-UA"/>
        </w:rPr>
        <w:t xml:space="preserve"> </w:t>
      </w:r>
      <w:r w:rsidR="00FF30F5" w:rsidRPr="00D941B7">
        <w:rPr>
          <w:rFonts w:ascii="Times New Roman" w:hAnsi="Times New Roman" w:cs="Times New Roman"/>
          <w:sz w:val="28"/>
          <w:szCs w:val="28"/>
          <w:lang w:val="uk-UA"/>
        </w:rPr>
        <w:t>%) – спрага</w:t>
      </w:r>
      <w:r>
        <w:rPr>
          <w:rFonts w:ascii="Times New Roman" w:hAnsi="Times New Roman" w:cs="Times New Roman"/>
          <w:sz w:val="28"/>
          <w:szCs w:val="28"/>
          <w:lang w:val="uk-UA"/>
        </w:rPr>
        <w:t>, пол</w:t>
      </w:r>
      <w:r>
        <w:rPr>
          <w:rFonts w:ascii="Times New Roman" w:hAnsi="Times New Roman" w:cs="Times New Roman"/>
          <w:sz w:val="28"/>
          <w:szCs w:val="28"/>
          <w:lang w:val="en-US"/>
        </w:rPr>
        <w:t>i</w:t>
      </w:r>
      <w:r>
        <w:rPr>
          <w:rFonts w:ascii="Times New Roman" w:hAnsi="Times New Roman" w:cs="Times New Roman"/>
          <w:sz w:val="28"/>
          <w:szCs w:val="28"/>
          <w:lang w:val="uk-UA"/>
        </w:rPr>
        <w:t>урія, сверб</w:t>
      </w:r>
      <w:r>
        <w:rPr>
          <w:rFonts w:ascii="Times New Roman" w:hAnsi="Times New Roman" w:cs="Times New Roman"/>
          <w:sz w:val="28"/>
          <w:szCs w:val="28"/>
          <w:lang w:val="en-US"/>
        </w:rPr>
        <w:t>i</w:t>
      </w:r>
      <w:r w:rsidR="0036171A">
        <w:rPr>
          <w:rFonts w:ascii="Times New Roman" w:hAnsi="Times New Roman" w:cs="Times New Roman"/>
          <w:sz w:val="28"/>
          <w:szCs w:val="28"/>
          <w:lang w:val="uk-UA"/>
        </w:rPr>
        <w:t>ж, задишка п</w:t>
      </w:r>
      <w:r>
        <w:rPr>
          <w:rFonts w:ascii="Times New Roman" w:hAnsi="Times New Roman" w:cs="Times New Roman"/>
          <w:sz w:val="28"/>
          <w:szCs w:val="28"/>
          <w:lang w:val="en-US"/>
        </w:rPr>
        <w:t>i</w:t>
      </w:r>
      <w:r w:rsidR="0036171A">
        <w:rPr>
          <w:rFonts w:ascii="Times New Roman" w:hAnsi="Times New Roman" w:cs="Times New Roman"/>
          <w:sz w:val="28"/>
          <w:szCs w:val="28"/>
          <w:lang w:val="uk-UA"/>
        </w:rPr>
        <w:t>д час фізичного</w:t>
      </w:r>
      <w:r w:rsidR="00FF30F5" w:rsidRPr="00D941B7">
        <w:rPr>
          <w:rFonts w:ascii="Times New Roman" w:hAnsi="Times New Roman" w:cs="Times New Roman"/>
          <w:sz w:val="28"/>
          <w:szCs w:val="28"/>
          <w:lang w:val="uk-UA"/>
        </w:rPr>
        <w:t xml:space="preserve"> нава</w:t>
      </w:r>
      <w:r w:rsidR="0036171A">
        <w:rPr>
          <w:rFonts w:ascii="Times New Roman" w:hAnsi="Times New Roman" w:cs="Times New Roman"/>
          <w:sz w:val="28"/>
          <w:szCs w:val="28"/>
          <w:lang w:val="uk-UA"/>
        </w:rPr>
        <w:t>нтаження</w:t>
      </w:r>
      <w:r w:rsidR="00D941B7" w:rsidRPr="00D941B7">
        <w:rPr>
          <w:rFonts w:ascii="Times New Roman" w:hAnsi="Times New Roman" w:cs="Times New Roman"/>
          <w:sz w:val="28"/>
          <w:szCs w:val="28"/>
          <w:lang w:val="uk-UA"/>
        </w:rPr>
        <w:t xml:space="preserve">, </w:t>
      </w:r>
      <w:r>
        <w:rPr>
          <w:rFonts w:ascii="Times New Roman" w:hAnsi="Times New Roman" w:cs="Times New Roman"/>
          <w:sz w:val="28"/>
          <w:szCs w:val="28"/>
          <w:lang w:val="uk-UA"/>
        </w:rPr>
        <w:t>парестезії, он</w:t>
      </w:r>
      <w:r>
        <w:rPr>
          <w:rFonts w:ascii="Times New Roman" w:hAnsi="Times New Roman" w:cs="Times New Roman"/>
          <w:sz w:val="28"/>
          <w:szCs w:val="28"/>
          <w:lang w:val="en-US"/>
        </w:rPr>
        <w:t>i</w:t>
      </w:r>
      <w:r>
        <w:rPr>
          <w:rFonts w:ascii="Times New Roman" w:hAnsi="Times New Roman" w:cs="Times New Roman"/>
          <w:sz w:val="28"/>
          <w:szCs w:val="28"/>
          <w:lang w:val="uk-UA"/>
        </w:rPr>
        <w:t>м</w:t>
      </w:r>
      <w:r>
        <w:rPr>
          <w:rFonts w:ascii="Times New Roman" w:hAnsi="Times New Roman" w:cs="Times New Roman"/>
          <w:sz w:val="28"/>
          <w:szCs w:val="28"/>
          <w:lang w:val="en-US"/>
        </w:rPr>
        <w:t>i</w:t>
      </w:r>
      <w:r>
        <w:rPr>
          <w:rFonts w:ascii="Times New Roman" w:hAnsi="Times New Roman" w:cs="Times New Roman"/>
          <w:sz w:val="28"/>
          <w:szCs w:val="28"/>
          <w:lang w:val="uk-UA"/>
        </w:rPr>
        <w:t>ння дистальних в</w:t>
      </w:r>
      <w:r>
        <w:rPr>
          <w:rFonts w:ascii="Times New Roman" w:hAnsi="Times New Roman" w:cs="Times New Roman"/>
          <w:sz w:val="28"/>
          <w:szCs w:val="28"/>
          <w:lang w:val="en-US"/>
        </w:rPr>
        <w:t>i</w:t>
      </w:r>
      <w:r w:rsidR="00D941B7">
        <w:rPr>
          <w:rFonts w:ascii="Times New Roman" w:hAnsi="Times New Roman" w:cs="Times New Roman"/>
          <w:sz w:val="28"/>
          <w:szCs w:val="28"/>
          <w:lang w:val="uk-UA"/>
        </w:rPr>
        <w:t xml:space="preserve">дділів </w:t>
      </w:r>
      <w:r>
        <w:rPr>
          <w:rFonts w:ascii="Times New Roman" w:hAnsi="Times New Roman" w:cs="Times New Roman"/>
          <w:sz w:val="28"/>
          <w:szCs w:val="28"/>
          <w:lang w:val="uk-UA"/>
        </w:rPr>
        <w:t>к</w:t>
      </w:r>
      <w:r>
        <w:rPr>
          <w:rFonts w:ascii="Times New Roman" w:hAnsi="Times New Roman" w:cs="Times New Roman"/>
          <w:sz w:val="28"/>
          <w:szCs w:val="28"/>
          <w:lang w:val="en-US"/>
        </w:rPr>
        <w:t>i</w:t>
      </w:r>
      <w:r>
        <w:rPr>
          <w:rFonts w:ascii="Times New Roman" w:hAnsi="Times New Roman" w:cs="Times New Roman"/>
          <w:sz w:val="28"/>
          <w:szCs w:val="28"/>
          <w:lang w:val="uk-UA"/>
        </w:rPr>
        <w:t>нц</w:t>
      </w:r>
      <w:r>
        <w:rPr>
          <w:rFonts w:ascii="Times New Roman" w:hAnsi="Times New Roman" w:cs="Times New Roman"/>
          <w:sz w:val="28"/>
          <w:szCs w:val="28"/>
          <w:lang w:val="en-US"/>
        </w:rPr>
        <w:t>i</w:t>
      </w:r>
      <w:r w:rsidR="0036171A">
        <w:rPr>
          <w:rFonts w:ascii="Times New Roman" w:hAnsi="Times New Roman" w:cs="Times New Roman"/>
          <w:sz w:val="28"/>
          <w:szCs w:val="28"/>
          <w:lang w:val="uk-UA"/>
        </w:rPr>
        <w:t>вок</w:t>
      </w:r>
      <w:r w:rsidR="00D941B7" w:rsidRPr="00D2776F">
        <w:rPr>
          <w:rFonts w:ascii="Times New Roman" w:hAnsi="Times New Roman" w:cs="Times New Roman"/>
          <w:sz w:val="28"/>
          <w:szCs w:val="28"/>
          <w:lang w:val="uk-UA"/>
        </w:rPr>
        <w:t>.</w:t>
      </w:r>
      <w:r w:rsidR="0036171A">
        <w:rPr>
          <w:rFonts w:ascii="Times New Roman" w:hAnsi="Times New Roman" w:cs="Times New Roman"/>
          <w:sz w:val="28"/>
          <w:szCs w:val="28"/>
          <w:lang w:val="uk-UA"/>
        </w:rPr>
        <w:t xml:space="preserve"> Серед пацієнтів, які прийм</w:t>
      </w:r>
      <w:r w:rsidR="00D44613" w:rsidRPr="00D2776F">
        <w:rPr>
          <w:rFonts w:ascii="Times New Roman" w:hAnsi="Times New Roman" w:cs="Times New Roman"/>
          <w:sz w:val="28"/>
          <w:szCs w:val="28"/>
          <w:lang w:val="uk-UA"/>
        </w:rPr>
        <w:t xml:space="preserve">али </w:t>
      </w:r>
      <w:r w:rsidR="00D92748" w:rsidRPr="00D2776F">
        <w:rPr>
          <w:rFonts w:ascii="Times New Roman" w:hAnsi="Times New Roman" w:cs="Times New Roman"/>
          <w:sz w:val="28"/>
          <w:szCs w:val="28"/>
          <w:lang w:val="uk-UA"/>
        </w:rPr>
        <w:t xml:space="preserve">лізиноприл, </w:t>
      </w:r>
      <w:r w:rsidR="00D2776F" w:rsidRPr="00D2776F">
        <w:rPr>
          <w:rFonts w:ascii="Times New Roman" w:hAnsi="Times New Roman" w:cs="Times New Roman"/>
          <w:sz w:val="28"/>
          <w:szCs w:val="28"/>
          <w:lang w:val="uk-UA"/>
        </w:rPr>
        <w:t>4 (10</w:t>
      </w:r>
      <w:r w:rsidR="0036171A">
        <w:rPr>
          <w:rFonts w:ascii="Times New Roman" w:hAnsi="Times New Roman" w:cs="Times New Roman"/>
          <w:sz w:val="28"/>
          <w:szCs w:val="28"/>
          <w:lang w:val="uk-UA"/>
        </w:rPr>
        <w:t xml:space="preserve"> </w:t>
      </w:r>
      <w:r w:rsidR="00D92748" w:rsidRPr="00D2776F">
        <w:rPr>
          <w:rFonts w:ascii="Times New Roman" w:hAnsi="Times New Roman" w:cs="Times New Roman"/>
          <w:sz w:val="28"/>
          <w:szCs w:val="28"/>
          <w:lang w:val="uk-UA"/>
        </w:rPr>
        <w:t>%) осіб перестал</w:t>
      </w:r>
      <w:r w:rsidR="0014491A" w:rsidRPr="00D2776F">
        <w:rPr>
          <w:rFonts w:ascii="Times New Roman" w:hAnsi="Times New Roman" w:cs="Times New Roman"/>
          <w:sz w:val="28"/>
          <w:szCs w:val="28"/>
          <w:lang w:val="uk-UA"/>
        </w:rPr>
        <w:t>и</w:t>
      </w:r>
      <w:r w:rsidR="0036171A">
        <w:rPr>
          <w:rFonts w:ascii="Times New Roman" w:hAnsi="Times New Roman" w:cs="Times New Roman"/>
          <w:sz w:val="28"/>
          <w:szCs w:val="28"/>
          <w:lang w:val="uk-UA"/>
        </w:rPr>
        <w:t xml:space="preserve"> турбувати слаб</w:t>
      </w:r>
      <w:r w:rsidR="00D92748" w:rsidRPr="00D2776F">
        <w:rPr>
          <w:rFonts w:ascii="Times New Roman" w:hAnsi="Times New Roman" w:cs="Times New Roman"/>
          <w:sz w:val="28"/>
          <w:szCs w:val="28"/>
          <w:lang w:val="uk-UA"/>
        </w:rPr>
        <w:t xml:space="preserve">ість, зниження зору, </w:t>
      </w:r>
      <w:r w:rsidR="00FF30F5" w:rsidRPr="00D2776F">
        <w:rPr>
          <w:rFonts w:ascii="Times New Roman" w:hAnsi="Times New Roman" w:cs="Times New Roman"/>
          <w:sz w:val="28"/>
          <w:szCs w:val="28"/>
          <w:lang w:val="uk-UA"/>
        </w:rPr>
        <w:t xml:space="preserve">парестезії, </w:t>
      </w:r>
      <w:r w:rsidR="00D2776F" w:rsidRPr="00D2776F">
        <w:rPr>
          <w:rFonts w:ascii="Times New Roman" w:hAnsi="Times New Roman" w:cs="Times New Roman"/>
          <w:sz w:val="28"/>
          <w:szCs w:val="28"/>
          <w:lang w:val="uk-UA"/>
        </w:rPr>
        <w:t>3 (7,5</w:t>
      </w:r>
      <w:r w:rsidR="0036171A">
        <w:rPr>
          <w:rFonts w:ascii="Times New Roman" w:hAnsi="Times New Roman" w:cs="Times New Roman"/>
          <w:sz w:val="28"/>
          <w:szCs w:val="28"/>
          <w:lang w:val="uk-UA"/>
        </w:rPr>
        <w:t xml:space="preserve"> </w:t>
      </w:r>
      <w:r w:rsidR="00FF30F5" w:rsidRPr="00D2776F">
        <w:rPr>
          <w:rFonts w:ascii="Times New Roman" w:hAnsi="Times New Roman" w:cs="Times New Roman"/>
          <w:sz w:val="28"/>
          <w:szCs w:val="28"/>
          <w:lang w:val="uk-UA"/>
        </w:rPr>
        <w:t xml:space="preserve">%) – </w:t>
      </w:r>
      <w:r>
        <w:rPr>
          <w:rFonts w:ascii="Times New Roman" w:hAnsi="Times New Roman" w:cs="Times New Roman"/>
          <w:sz w:val="28"/>
          <w:szCs w:val="28"/>
          <w:lang w:val="uk-UA"/>
        </w:rPr>
        <w:t>втомлюван</w:t>
      </w:r>
      <w:r>
        <w:rPr>
          <w:rFonts w:ascii="Times New Roman" w:hAnsi="Times New Roman" w:cs="Times New Roman"/>
          <w:sz w:val="28"/>
          <w:szCs w:val="28"/>
          <w:lang w:val="en-US"/>
        </w:rPr>
        <w:t>i</w:t>
      </w:r>
      <w:r>
        <w:rPr>
          <w:rFonts w:ascii="Times New Roman" w:hAnsi="Times New Roman" w:cs="Times New Roman"/>
          <w:sz w:val="28"/>
          <w:szCs w:val="28"/>
          <w:lang w:val="uk-UA"/>
        </w:rPr>
        <w:t>сть, пол</w:t>
      </w:r>
      <w:r>
        <w:rPr>
          <w:rFonts w:ascii="Times New Roman" w:hAnsi="Times New Roman" w:cs="Times New Roman"/>
          <w:sz w:val="28"/>
          <w:szCs w:val="28"/>
          <w:lang w:val="en-US"/>
        </w:rPr>
        <w:t>i</w:t>
      </w:r>
      <w:r>
        <w:rPr>
          <w:rFonts w:ascii="Times New Roman" w:hAnsi="Times New Roman" w:cs="Times New Roman"/>
          <w:sz w:val="28"/>
          <w:szCs w:val="28"/>
          <w:lang w:val="uk-UA"/>
        </w:rPr>
        <w:t>урія, сверб</w:t>
      </w:r>
      <w:r>
        <w:rPr>
          <w:rFonts w:ascii="Times New Roman" w:hAnsi="Times New Roman" w:cs="Times New Roman"/>
          <w:sz w:val="28"/>
          <w:szCs w:val="28"/>
          <w:lang w:val="en-US"/>
        </w:rPr>
        <w:t>i</w:t>
      </w:r>
      <w:r w:rsidR="00D2776F">
        <w:rPr>
          <w:rFonts w:ascii="Times New Roman" w:hAnsi="Times New Roman" w:cs="Times New Roman"/>
          <w:sz w:val="28"/>
          <w:szCs w:val="28"/>
          <w:lang w:val="uk-UA"/>
        </w:rPr>
        <w:t xml:space="preserve">ж, </w:t>
      </w:r>
      <w:r>
        <w:rPr>
          <w:rFonts w:ascii="Times New Roman" w:hAnsi="Times New Roman" w:cs="Times New Roman"/>
          <w:sz w:val="28"/>
          <w:szCs w:val="28"/>
          <w:lang w:val="uk-UA"/>
        </w:rPr>
        <w:t>сух</w:t>
      </w:r>
      <w:r>
        <w:rPr>
          <w:rFonts w:ascii="Times New Roman" w:hAnsi="Times New Roman" w:cs="Times New Roman"/>
          <w:sz w:val="28"/>
          <w:szCs w:val="28"/>
          <w:lang w:val="en-US"/>
        </w:rPr>
        <w:t>i</w:t>
      </w:r>
      <w:r>
        <w:rPr>
          <w:rFonts w:ascii="Times New Roman" w:hAnsi="Times New Roman" w:cs="Times New Roman"/>
          <w:sz w:val="28"/>
          <w:szCs w:val="28"/>
          <w:lang w:val="uk-UA"/>
        </w:rPr>
        <w:t>сть у рот</w:t>
      </w:r>
      <w:r>
        <w:rPr>
          <w:rFonts w:ascii="Times New Roman" w:hAnsi="Times New Roman" w:cs="Times New Roman"/>
          <w:sz w:val="28"/>
          <w:szCs w:val="28"/>
          <w:lang w:val="en-US"/>
        </w:rPr>
        <w:t>i</w:t>
      </w:r>
      <w:r w:rsidR="0036171A">
        <w:rPr>
          <w:rFonts w:ascii="Times New Roman" w:hAnsi="Times New Roman" w:cs="Times New Roman"/>
          <w:sz w:val="28"/>
          <w:szCs w:val="28"/>
          <w:lang w:val="uk-UA"/>
        </w:rPr>
        <w:t>,</w:t>
      </w:r>
      <w:r>
        <w:rPr>
          <w:rFonts w:ascii="Times New Roman" w:hAnsi="Times New Roman" w:cs="Times New Roman"/>
          <w:sz w:val="28"/>
          <w:szCs w:val="28"/>
          <w:lang w:val="uk-UA"/>
        </w:rPr>
        <w:t xml:space="preserve"> задишка п</w:t>
      </w:r>
      <w:r>
        <w:rPr>
          <w:rFonts w:ascii="Times New Roman" w:hAnsi="Times New Roman" w:cs="Times New Roman"/>
          <w:sz w:val="28"/>
          <w:szCs w:val="28"/>
          <w:lang w:val="en-US"/>
        </w:rPr>
        <w:t>i</w:t>
      </w:r>
      <w:r>
        <w:rPr>
          <w:rFonts w:ascii="Times New Roman" w:hAnsi="Times New Roman" w:cs="Times New Roman"/>
          <w:sz w:val="28"/>
          <w:szCs w:val="28"/>
          <w:lang w:val="uk-UA"/>
        </w:rPr>
        <w:t>д час ф</w:t>
      </w:r>
      <w:r>
        <w:rPr>
          <w:rFonts w:ascii="Times New Roman" w:hAnsi="Times New Roman" w:cs="Times New Roman"/>
          <w:sz w:val="28"/>
          <w:szCs w:val="28"/>
          <w:lang w:val="en-US"/>
        </w:rPr>
        <w:t>i</w:t>
      </w:r>
      <w:r w:rsidR="0036171A">
        <w:rPr>
          <w:rFonts w:ascii="Times New Roman" w:hAnsi="Times New Roman" w:cs="Times New Roman"/>
          <w:sz w:val="28"/>
          <w:szCs w:val="28"/>
          <w:lang w:val="uk-UA"/>
        </w:rPr>
        <w:t>зичного</w:t>
      </w:r>
      <w:r w:rsidR="00FF30F5" w:rsidRPr="00D2776F">
        <w:rPr>
          <w:rFonts w:ascii="Times New Roman" w:hAnsi="Times New Roman" w:cs="Times New Roman"/>
          <w:sz w:val="28"/>
          <w:szCs w:val="28"/>
          <w:lang w:val="uk-UA"/>
        </w:rPr>
        <w:t xml:space="preserve"> навантаже</w:t>
      </w:r>
      <w:r w:rsidR="0036171A">
        <w:rPr>
          <w:rFonts w:ascii="Times New Roman" w:hAnsi="Times New Roman" w:cs="Times New Roman"/>
          <w:sz w:val="28"/>
          <w:szCs w:val="28"/>
          <w:lang w:val="uk-UA"/>
        </w:rPr>
        <w:t>ння</w:t>
      </w:r>
      <w:r>
        <w:rPr>
          <w:rFonts w:ascii="Times New Roman" w:hAnsi="Times New Roman" w:cs="Times New Roman"/>
          <w:sz w:val="28"/>
          <w:szCs w:val="28"/>
          <w:lang w:val="uk-UA"/>
        </w:rPr>
        <w:t>, он</w:t>
      </w:r>
      <w:r>
        <w:rPr>
          <w:rFonts w:ascii="Times New Roman" w:hAnsi="Times New Roman" w:cs="Times New Roman"/>
          <w:sz w:val="28"/>
          <w:szCs w:val="28"/>
          <w:lang w:val="en-US"/>
        </w:rPr>
        <w:t>i</w:t>
      </w:r>
      <w:r>
        <w:rPr>
          <w:rFonts w:ascii="Times New Roman" w:hAnsi="Times New Roman" w:cs="Times New Roman"/>
          <w:sz w:val="28"/>
          <w:szCs w:val="28"/>
          <w:lang w:val="uk-UA"/>
        </w:rPr>
        <w:t>м</w:t>
      </w:r>
      <w:r>
        <w:rPr>
          <w:rFonts w:ascii="Times New Roman" w:hAnsi="Times New Roman" w:cs="Times New Roman"/>
          <w:sz w:val="28"/>
          <w:szCs w:val="28"/>
          <w:lang w:val="en-US"/>
        </w:rPr>
        <w:t>i</w:t>
      </w:r>
      <w:r>
        <w:rPr>
          <w:rFonts w:ascii="Times New Roman" w:hAnsi="Times New Roman" w:cs="Times New Roman"/>
          <w:sz w:val="28"/>
          <w:szCs w:val="28"/>
          <w:lang w:val="uk-UA"/>
        </w:rPr>
        <w:t>ння дистальних в</w:t>
      </w:r>
      <w:r>
        <w:rPr>
          <w:rFonts w:ascii="Times New Roman" w:hAnsi="Times New Roman" w:cs="Times New Roman"/>
          <w:sz w:val="28"/>
          <w:szCs w:val="28"/>
          <w:lang w:val="en-US"/>
        </w:rPr>
        <w:t>i</w:t>
      </w:r>
      <w:r>
        <w:rPr>
          <w:rFonts w:ascii="Times New Roman" w:hAnsi="Times New Roman" w:cs="Times New Roman"/>
          <w:sz w:val="28"/>
          <w:szCs w:val="28"/>
          <w:lang w:val="uk-UA"/>
        </w:rPr>
        <w:t>дд</w:t>
      </w:r>
      <w:r>
        <w:rPr>
          <w:rFonts w:ascii="Times New Roman" w:hAnsi="Times New Roman" w:cs="Times New Roman"/>
          <w:sz w:val="28"/>
          <w:szCs w:val="28"/>
          <w:lang w:val="en-US"/>
        </w:rPr>
        <w:t>i</w:t>
      </w:r>
      <w:r>
        <w:rPr>
          <w:rFonts w:ascii="Times New Roman" w:hAnsi="Times New Roman" w:cs="Times New Roman"/>
          <w:sz w:val="28"/>
          <w:szCs w:val="28"/>
          <w:lang w:val="uk-UA"/>
        </w:rPr>
        <w:t>л</w:t>
      </w:r>
      <w:r>
        <w:rPr>
          <w:rFonts w:ascii="Times New Roman" w:hAnsi="Times New Roman" w:cs="Times New Roman"/>
          <w:sz w:val="28"/>
          <w:szCs w:val="28"/>
          <w:lang w:val="en-US"/>
        </w:rPr>
        <w:t>i</w:t>
      </w:r>
      <w:r>
        <w:rPr>
          <w:rFonts w:ascii="Times New Roman" w:hAnsi="Times New Roman" w:cs="Times New Roman"/>
          <w:sz w:val="28"/>
          <w:szCs w:val="28"/>
          <w:lang w:val="uk-UA"/>
        </w:rPr>
        <w:t>в к</w:t>
      </w:r>
      <w:r>
        <w:rPr>
          <w:rFonts w:ascii="Times New Roman" w:hAnsi="Times New Roman" w:cs="Times New Roman"/>
          <w:sz w:val="28"/>
          <w:szCs w:val="28"/>
          <w:lang w:val="en-US"/>
        </w:rPr>
        <w:t>i</w:t>
      </w:r>
      <w:r>
        <w:rPr>
          <w:rFonts w:ascii="Times New Roman" w:hAnsi="Times New Roman" w:cs="Times New Roman"/>
          <w:sz w:val="28"/>
          <w:szCs w:val="28"/>
          <w:lang w:val="uk-UA"/>
        </w:rPr>
        <w:t>нц</w:t>
      </w:r>
      <w:r>
        <w:rPr>
          <w:rFonts w:ascii="Times New Roman" w:hAnsi="Times New Roman" w:cs="Times New Roman"/>
          <w:sz w:val="28"/>
          <w:szCs w:val="28"/>
          <w:lang w:val="en-US"/>
        </w:rPr>
        <w:t>i</w:t>
      </w:r>
      <w:r w:rsidR="00D2776F">
        <w:rPr>
          <w:rFonts w:ascii="Times New Roman" w:hAnsi="Times New Roman" w:cs="Times New Roman"/>
          <w:sz w:val="28"/>
          <w:szCs w:val="28"/>
          <w:lang w:val="uk-UA"/>
        </w:rPr>
        <w:t>вок.</w:t>
      </w:r>
      <w:r w:rsidR="004016E5" w:rsidRPr="00D2776F">
        <w:rPr>
          <w:rFonts w:ascii="Times New Roman" w:hAnsi="Times New Roman" w:cs="Times New Roman"/>
          <w:sz w:val="28"/>
          <w:szCs w:val="28"/>
          <w:lang w:val="uk-UA"/>
        </w:rPr>
        <w:t xml:space="preserve"> Таким чином, застосування </w:t>
      </w:r>
      <w:r w:rsidR="00C300D3">
        <w:rPr>
          <w:rFonts w:ascii="Times New Roman" w:hAnsi="Times New Roman" w:cs="Times New Roman"/>
          <w:sz w:val="28"/>
          <w:szCs w:val="28"/>
          <w:lang w:val="uk-UA"/>
        </w:rPr>
        <w:t>лізиноприлу та телмісартану</w:t>
      </w:r>
      <w:r w:rsidR="00FF30F5" w:rsidRPr="00D2776F">
        <w:rPr>
          <w:rFonts w:ascii="Times New Roman" w:hAnsi="Times New Roman" w:cs="Times New Roman"/>
          <w:sz w:val="28"/>
          <w:szCs w:val="28"/>
          <w:lang w:val="uk-UA"/>
        </w:rPr>
        <w:t xml:space="preserve"> сприяє пок</w:t>
      </w:r>
      <w:r w:rsidR="0036171A">
        <w:rPr>
          <w:rFonts w:ascii="Times New Roman" w:hAnsi="Times New Roman" w:cs="Times New Roman"/>
          <w:sz w:val="28"/>
          <w:szCs w:val="28"/>
          <w:lang w:val="uk-UA"/>
        </w:rPr>
        <w:t>раща</w:t>
      </w:r>
      <w:r>
        <w:rPr>
          <w:rFonts w:ascii="Times New Roman" w:hAnsi="Times New Roman" w:cs="Times New Roman"/>
          <w:sz w:val="28"/>
          <w:szCs w:val="28"/>
          <w:lang w:val="uk-UA"/>
        </w:rPr>
        <w:t>нню самопочуття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Pr>
          <w:rFonts w:ascii="Times New Roman" w:hAnsi="Times New Roman" w:cs="Times New Roman"/>
          <w:sz w:val="28"/>
          <w:szCs w:val="28"/>
          <w:lang w:val="en-US"/>
        </w:rPr>
        <w:t>i</w:t>
      </w:r>
      <w:r>
        <w:rPr>
          <w:rFonts w:ascii="Times New Roman" w:hAnsi="Times New Roman" w:cs="Times New Roman"/>
          <w:sz w:val="28"/>
          <w:szCs w:val="28"/>
          <w:lang w:val="uk-UA"/>
        </w:rPr>
        <w:t>з коморб</w:t>
      </w:r>
      <w:r>
        <w:rPr>
          <w:rFonts w:ascii="Times New Roman" w:hAnsi="Times New Roman" w:cs="Times New Roman"/>
          <w:sz w:val="28"/>
          <w:szCs w:val="28"/>
          <w:lang w:val="en-US"/>
        </w:rPr>
        <w:t>i</w:t>
      </w:r>
      <w:r>
        <w:rPr>
          <w:rFonts w:ascii="Times New Roman" w:hAnsi="Times New Roman" w:cs="Times New Roman"/>
          <w:sz w:val="28"/>
          <w:szCs w:val="28"/>
          <w:lang w:val="uk-UA"/>
        </w:rPr>
        <w:t>дною патолог</w:t>
      </w:r>
      <w:r>
        <w:rPr>
          <w:rFonts w:ascii="Times New Roman" w:hAnsi="Times New Roman" w:cs="Times New Roman"/>
          <w:sz w:val="28"/>
          <w:szCs w:val="28"/>
          <w:lang w:val="en-US"/>
        </w:rPr>
        <w:t>i</w:t>
      </w:r>
      <w:r w:rsidR="00FF30F5" w:rsidRPr="00D2776F">
        <w:rPr>
          <w:rFonts w:ascii="Times New Roman" w:hAnsi="Times New Roman" w:cs="Times New Roman"/>
          <w:sz w:val="28"/>
          <w:szCs w:val="28"/>
          <w:lang w:val="uk-UA"/>
        </w:rPr>
        <w:t>єю.</w:t>
      </w:r>
    </w:p>
    <w:p w:rsidR="00FB6BAD" w:rsidRDefault="0003351F" w:rsidP="00C65B1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Через 6 міс. в</w:t>
      </w:r>
      <w:r>
        <w:rPr>
          <w:rFonts w:ascii="Times New Roman" w:hAnsi="Times New Roman" w:cs="Times New Roman"/>
          <w:sz w:val="28"/>
          <w:szCs w:val="28"/>
          <w:lang w:val="en-US"/>
        </w:rPr>
        <w:t>i</w:t>
      </w:r>
      <w:r>
        <w:rPr>
          <w:rFonts w:ascii="Times New Roman" w:hAnsi="Times New Roman" w:cs="Times New Roman"/>
          <w:sz w:val="28"/>
          <w:szCs w:val="28"/>
          <w:lang w:val="uk-UA"/>
        </w:rPr>
        <w:t>д початку л</w:t>
      </w:r>
      <w:r>
        <w:rPr>
          <w:rFonts w:ascii="Times New Roman" w:hAnsi="Times New Roman" w:cs="Times New Roman"/>
          <w:sz w:val="28"/>
          <w:szCs w:val="28"/>
          <w:lang w:val="en-US"/>
        </w:rPr>
        <w:t>i</w:t>
      </w:r>
      <w:r>
        <w:rPr>
          <w:rFonts w:ascii="Times New Roman" w:hAnsi="Times New Roman" w:cs="Times New Roman"/>
          <w:sz w:val="28"/>
          <w:szCs w:val="28"/>
          <w:lang w:val="uk-UA"/>
        </w:rPr>
        <w:t>кування було оці</w:t>
      </w:r>
      <w:r w:rsidR="00833C9E" w:rsidRPr="008707FF">
        <w:rPr>
          <w:rFonts w:ascii="Times New Roman" w:hAnsi="Times New Roman" w:cs="Times New Roman"/>
          <w:sz w:val="28"/>
          <w:szCs w:val="28"/>
          <w:lang w:val="uk-UA"/>
        </w:rPr>
        <w:t xml:space="preserve">нено </w:t>
      </w:r>
      <w:r>
        <w:rPr>
          <w:rFonts w:ascii="Times New Roman" w:hAnsi="Times New Roman" w:cs="Times New Roman"/>
          <w:sz w:val="28"/>
          <w:szCs w:val="28"/>
          <w:lang w:val="uk-UA"/>
        </w:rPr>
        <w:t>динам</w:t>
      </w:r>
      <w:r>
        <w:rPr>
          <w:rFonts w:ascii="Times New Roman" w:hAnsi="Times New Roman" w:cs="Times New Roman"/>
          <w:sz w:val="28"/>
          <w:szCs w:val="28"/>
          <w:lang w:val="en-US"/>
        </w:rPr>
        <w:t>i</w:t>
      </w:r>
      <w:r>
        <w:rPr>
          <w:rFonts w:ascii="Times New Roman" w:hAnsi="Times New Roman" w:cs="Times New Roman"/>
          <w:sz w:val="28"/>
          <w:szCs w:val="28"/>
          <w:lang w:val="uk-UA"/>
        </w:rPr>
        <w:t>ку показник</w:t>
      </w:r>
      <w:r>
        <w:rPr>
          <w:rFonts w:ascii="Times New Roman" w:hAnsi="Times New Roman" w:cs="Times New Roman"/>
          <w:sz w:val="28"/>
          <w:szCs w:val="28"/>
          <w:lang w:val="en-US"/>
        </w:rPr>
        <w:t>i</w:t>
      </w:r>
      <w:r w:rsidR="00D61083">
        <w:rPr>
          <w:rFonts w:ascii="Times New Roman" w:hAnsi="Times New Roman" w:cs="Times New Roman"/>
          <w:sz w:val="28"/>
          <w:szCs w:val="28"/>
          <w:lang w:val="uk-UA"/>
        </w:rPr>
        <w:t>в ех</w:t>
      </w:r>
      <w:r>
        <w:rPr>
          <w:rFonts w:ascii="Times New Roman" w:hAnsi="Times New Roman" w:cs="Times New Roman"/>
          <w:sz w:val="28"/>
          <w:szCs w:val="28"/>
          <w:lang w:val="uk-UA"/>
        </w:rPr>
        <w:t>окард</w:t>
      </w:r>
      <w:r>
        <w:rPr>
          <w:rFonts w:ascii="Times New Roman" w:hAnsi="Times New Roman" w:cs="Times New Roman"/>
          <w:sz w:val="28"/>
          <w:szCs w:val="28"/>
          <w:lang w:val="en-US"/>
        </w:rPr>
        <w:t>i</w:t>
      </w:r>
      <w:r w:rsidR="007520BB">
        <w:rPr>
          <w:rFonts w:ascii="Times New Roman" w:hAnsi="Times New Roman" w:cs="Times New Roman"/>
          <w:sz w:val="28"/>
          <w:szCs w:val="28"/>
          <w:lang w:val="uk-UA"/>
        </w:rPr>
        <w:t>огра</w:t>
      </w:r>
      <w:r w:rsidR="00393B66">
        <w:rPr>
          <w:rFonts w:ascii="Times New Roman" w:hAnsi="Times New Roman" w:cs="Times New Roman"/>
          <w:sz w:val="28"/>
          <w:szCs w:val="28"/>
          <w:lang w:val="uk-UA"/>
        </w:rPr>
        <w:t>ф</w:t>
      </w:r>
      <w:r>
        <w:rPr>
          <w:rFonts w:ascii="Times New Roman" w:hAnsi="Times New Roman" w:cs="Times New Roman"/>
          <w:sz w:val="28"/>
          <w:szCs w:val="28"/>
          <w:lang w:val="en-US"/>
        </w:rPr>
        <w:t>i</w:t>
      </w:r>
      <w:r w:rsidR="00D61083">
        <w:rPr>
          <w:rFonts w:ascii="Times New Roman" w:hAnsi="Times New Roman" w:cs="Times New Roman"/>
          <w:sz w:val="28"/>
          <w:szCs w:val="28"/>
          <w:lang w:val="uk-UA"/>
        </w:rPr>
        <w:t>ї</w:t>
      </w:r>
      <w:r w:rsidR="00033FDC" w:rsidRPr="00FF25BB">
        <w:rPr>
          <w:rFonts w:ascii="Times New Roman" w:hAnsi="Times New Roman" w:cs="Times New Roman"/>
          <w:sz w:val="28"/>
          <w:szCs w:val="28"/>
          <w:lang w:val="uk-UA"/>
        </w:rPr>
        <w:t xml:space="preserve"> </w:t>
      </w:r>
      <w:r w:rsidR="005A5B0F">
        <w:rPr>
          <w:rFonts w:ascii="Times New Roman" w:hAnsi="Times New Roman" w:cs="Times New Roman"/>
          <w:sz w:val="28"/>
          <w:szCs w:val="28"/>
          <w:lang w:val="uk-UA"/>
        </w:rPr>
        <w:t xml:space="preserve">у пацієнтів І та ІІ підгруп </w:t>
      </w:r>
      <w:r w:rsidR="00033FDC" w:rsidRPr="00FF25BB">
        <w:rPr>
          <w:rFonts w:ascii="Times New Roman" w:hAnsi="Times New Roman" w:cs="Times New Roman"/>
          <w:sz w:val="28"/>
          <w:szCs w:val="28"/>
          <w:lang w:val="uk-UA"/>
        </w:rPr>
        <w:t>(</w:t>
      </w:r>
      <w:r w:rsidR="005A6D49">
        <w:rPr>
          <w:rFonts w:ascii="Times New Roman" w:hAnsi="Times New Roman" w:cs="Times New Roman"/>
          <w:sz w:val="28"/>
          <w:szCs w:val="28"/>
          <w:lang w:val="uk-UA"/>
        </w:rPr>
        <w:t xml:space="preserve">табл. </w:t>
      </w:r>
      <w:r w:rsidR="002B4682">
        <w:rPr>
          <w:rFonts w:ascii="Times New Roman" w:hAnsi="Times New Roman" w:cs="Times New Roman"/>
          <w:sz w:val="28"/>
          <w:szCs w:val="28"/>
          <w:lang w:val="uk-UA"/>
        </w:rPr>
        <w:t>6</w:t>
      </w:r>
      <w:r w:rsidR="00B064E6">
        <w:rPr>
          <w:rFonts w:ascii="Times New Roman" w:hAnsi="Times New Roman" w:cs="Times New Roman"/>
          <w:sz w:val="28"/>
          <w:szCs w:val="28"/>
          <w:lang w:val="uk-UA"/>
        </w:rPr>
        <w:t>.2.2</w:t>
      </w:r>
      <w:r w:rsidR="002E6864">
        <w:rPr>
          <w:rFonts w:ascii="Times New Roman" w:hAnsi="Times New Roman" w:cs="Times New Roman"/>
          <w:sz w:val="28"/>
          <w:szCs w:val="28"/>
          <w:lang w:val="uk-UA"/>
        </w:rPr>
        <w:t>).</w:t>
      </w:r>
    </w:p>
    <w:p w:rsidR="00C65B1D" w:rsidRPr="00C65B1D" w:rsidRDefault="005A6D49" w:rsidP="00C65B1D">
      <w:pPr>
        <w:autoSpaceDE w:val="0"/>
        <w:autoSpaceDN w:val="0"/>
        <w:adjustRightInd w:val="0"/>
        <w:spacing w:after="0" w:line="360" w:lineRule="auto"/>
        <w:jc w:val="right"/>
        <w:rPr>
          <w:rFonts w:ascii="Times New Roman" w:hAnsi="Times New Roman" w:cs="Times New Roman"/>
          <w:i/>
          <w:sz w:val="28"/>
          <w:szCs w:val="28"/>
          <w:lang w:val="uk-UA"/>
        </w:rPr>
      </w:pPr>
      <w:r w:rsidRPr="00C65B1D">
        <w:rPr>
          <w:rFonts w:ascii="Times New Roman" w:hAnsi="Times New Roman" w:cs="Times New Roman"/>
          <w:i/>
          <w:sz w:val="28"/>
          <w:szCs w:val="28"/>
          <w:lang w:val="uk-UA"/>
        </w:rPr>
        <w:t>Табл</w:t>
      </w:r>
      <w:r w:rsidR="0036171A" w:rsidRPr="00C65B1D">
        <w:rPr>
          <w:rFonts w:ascii="Times New Roman" w:hAnsi="Times New Roman" w:cs="Times New Roman"/>
          <w:i/>
          <w:sz w:val="28"/>
          <w:szCs w:val="28"/>
          <w:lang w:val="uk-UA"/>
        </w:rPr>
        <w:t>иця</w:t>
      </w:r>
      <w:r w:rsidRPr="00C65B1D">
        <w:rPr>
          <w:rFonts w:ascii="Times New Roman" w:hAnsi="Times New Roman" w:cs="Times New Roman"/>
          <w:i/>
          <w:sz w:val="28"/>
          <w:szCs w:val="28"/>
          <w:lang w:val="uk-UA"/>
        </w:rPr>
        <w:t xml:space="preserve"> </w:t>
      </w:r>
      <w:r w:rsidR="002B4682" w:rsidRPr="00C65B1D">
        <w:rPr>
          <w:rFonts w:ascii="Times New Roman" w:hAnsi="Times New Roman" w:cs="Times New Roman"/>
          <w:i/>
          <w:sz w:val="28"/>
          <w:szCs w:val="28"/>
          <w:lang w:val="uk-UA"/>
        </w:rPr>
        <w:t>6</w:t>
      </w:r>
      <w:r w:rsidR="00B064E6" w:rsidRPr="00C65B1D">
        <w:rPr>
          <w:rFonts w:ascii="Times New Roman" w:hAnsi="Times New Roman" w:cs="Times New Roman"/>
          <w:i/>
          <w:sz w:val="28"/>
          <w:szCs w:val="28"/>
          <w:lang w:val="uk-UA"/>
        </w:rPr>
        <w:t>.2.2</w:t>
      </w:r>
      <w:r w:rsidR="0036171A" w:rsidRPr="00C65B1D">
        <w:rPr>
          <w:rFonts w:ascii="Times New Roman" w:hAnsi="Times New Roman" w:cs="Times New Roman"/>
          <w:i/>
          <w:sz w:val="28"/>
          <w:szCs w:val="28"/>
          <w:lang w:val="uk-UA"/>
        </w:rPr>
        <w:t xml:space="preserve"> </w:t>
      </w:r>
    </w:p>
    <w:p w:rsidR="00033FDC" w:rsidRPr="00C65B1D" w:rsidRDefault="00033FDC" w:rsidP="00C65B1D">
      <w:pPr>
        <w:autoSpaceDE w:val="0"/>
        <w:autoSpaceDN w:val="0"/>
        <w:adjustRightInd w:val="0"/>
        <w:spacing w:after="0" w:line="360" w:lineRule="auto"/>
        <w:jc w:val="center"/>
        <w:rPr>
          <w:rFonts w:ascii="Times New Roman" w:hAnsi="Times New Roman" w:cs="Times New Roman"/>
          <w:b/>
          <w:sz w:val="28"/>
          <w:szCs w:val="28"/>
          <w:lang w:val="uk-UA"/>
        </w:rPr>
      </w:pPr>
      <w:r w:rsidRPr="00C65B1D">
        <w:rPr>
          <w:rFonts w:ascii="Times New Roman" w:hAnsi="Times New Roman" w:cs="Times New Roman"/>
          <w:b/>
          <w:bCs/>
          <w:color w:val="000000"/>
          <w:sz w:val="28"/>
          <w:szCs w:val="28"/>
          <w:lang w:val="uk-UA"/>
        </w:rPr>
        <w:t xml:space="preserve">Динаміка показників </w:t>
      </w:r>
      <w:r w:rsidR="007520BB" w:rsidRPr="00C65B1D">
        <w:rPr>
          <w:rFonts w:ascii="Times New Roman" w:hAnsi="Times New Roman" w:cs="Times New Roman"/>
          <w:b/>
          <w:bCs/>
          <w:color w:val="000000"/>
          <w:sz w:val="28"/>
          <w:szCs w:val="28"/>
          <w:lang w:val="uk-UA"/>
        </w:rPr>
        <w:t>ехокардіографії</w:t>
      </w:r>
      <w:r w:rsidR="0036171A" w:rsidRPr="00C65B1D">
        <w:rPr>
          <w:rFonts w:ascii="Times New Roman" w:hAnsi="Times New Roman" w:cs="Times New Roman"/>
          <w:b/>
          <w:bCs/>
          <w:color w:val="000000"/>
          <w:sz w:val="28"/>
          <w:szCs w:val="28"/>
          <w:lang w:val="uk-UA"/>
        </w:rPr>
        <w:t xml:space="preserve"> </w:t>
      </w:r>
      <w:r w:rsidR="00C65B1D" w:rsidRPr="00C65B1D">
        <w:rPr>
          <w:rFonts w:ascii="Times New Roman" w:hAnsi="Times New Roman" w:cs="Times New Roman"/>
          <w:b/>
          <w:bCs/>
          <w:color w:val="000000"/>
          <w:sz w:val="28"/>
          <w:szCs w:val="28"/>
          <w:lang w:val="uk-UA"/>
        </w:rPr>
        <w:t xml:space="preserve">у хворих </w:t>
      </w:r>
      <w:r w:rsidR="00683814" w:rsidRPr="00C65B1D">
        <w:rPr>
          <w:rFonts w:ascii="Times New Roman" w:hAnsi="Times New Roman" w:cs="Times New Roman"/>
          <w:b/>
          <w:bCs/>
          <w:color w:val="000000"/>
          <w:sz w:val="28"/>
          <w:szCs w:val="28"/>
          <w:lang w:val="uk-UA"/>
        </w:rPr>
        <w:t>І групи</w:t>
      </w:r>
      <w:r w:rsidRPr="00C65B1D">
        <w:rPr>
          <w:rFonts w:ascii="Times New Roman" w:hAnsi="Times New Roman" w:cs="Times New Roman"/>
          <w:b/>
          <w:bCs/>
          <w:color w:val="000000"/>
          <w:sz w:val="28"/>
          <w:szCs w:val="28"/>
          <w:lang w:val="uk-UA"/>
        </w:rPr>
        <w:t xml:space="preserve"> під впливом лікування</w:t>
      </w:r>
    </w:p>
    <w:tbl>
      <w:tblPr>
        <w:tblStyle w:val="a5"/>
        <w:tblW w:w="9356" w:type="dxa"/>
        <w:tblInd w:w="108" w:type="dxa"/>
        <w:tblLook w:val="04A0" w:firstRow="1" w:lastRow="0" w:firstColumn="1" w:lastColumn="0" w:noHBand="0" w:noVBand="1"/>
      </w:tblPr>
      <w:tblGrid>
        <w:gridCol w:w="1843"/>
        <w:gridCol w:w="1843"/>
        <w:gridCol w:w="2126"/>
        <w:gridCol w:w="1701"/>
        <w:gridCol w:w="1843"/>
      </w:tblGrid>
      <w:tr w:rsidR="00137AF1" w:rsidRPr="00136877" w:rsidTr="008F115E">
        <w:tc>
          <w:tcPr>
            <w:tcW w:w="1843" w:type="dxa"/>
            <w:vMerge w:val="restart"/>
          </w:tcPr>
          <w:p w:rsidR="00137AF1" w:rsidRPr="00136877" w:rsidRDefault="00137AF1" w:rsidP="00023195">
            <w:pPr>
              <w:pStyle w:val="Default"/>
              <w:spacing w:line="360" w:lineRule="auto"/>
              <w:rPr>
                <w:rFonts w:ascii="Times New Roman" w:hAnsi="Times New Roman" w:cs="Times New Roman"/>
                <w:sz w:val="28"/>
                <w:szCs w:val="28"/>
                <w:lang w:val="uk-UA"/>
              </w:rPr>
            </w:pPr>
            <w:r w:rsidRPr="00136877">
              <w:rPr>
                <w:rFonts w:ascii="Times New Roman" w:hAnsi="Times New Roman" w:cs="Times New Roman"/>
                <w:sz w:val="28"/>
                <w:szCs w:val="28"/>
                <w:lang w:val="uk-UA"/>
              </w:rPr>
              <w:t>Показник</w:t>
            </w:r>
          </w:p>
        </w:tc>
        <w:tc>
          <w:tcPr>
            <w:tcW w:w="3969" w:type="dxa"/>
            <w:gridSpan w:val="2"/>
          </w:tcPr>
          <w:p w:rsidR="00137AF1" w:rsidRPr="00136877"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І група</w:t>
            </w:r>
          </w:p>
        </w:tc>
        <w:tc>
          <w:tcPr>
            <w:tcW w:w="1701" w:type="dxa"/>
            <w:vMerge w:val="restart"/>
          </w:tcPr>
          <w:p w:rsidR="00297F80" w:rsidRDefault="00297F80" w:rsidP="00F86448">
            <w:pPr>
              <w:pStyle w:val="Default"/>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136877">
              <w:rPr>
                <w:rFonts w:ascii="Times New Roman" w:hAnsi="Times New Roman" w:cs="Times New Roman"/>
                <w:sz w:val="28"/>
                <w:szCs w:val="28"/>
                <w:lang w:val="uk-UA"/>
              </w:rPr>
              <w:t xml:space="preserve"> </w:t>
            </w:r>
          </w:p>
          <w:p w:rsidR="00137AF1" w:rsidRPr="00136877"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w:t>
            </w:r>
            <w:r w:rsidRPr="00136877">
              <w:rPr>
                <w:rFonts w:ascii="Times New Roman" w:hAnsi="Times New Roman" w:cs="Times New Roman"/>
                <w:sz w:val="28"/>
                <w:szCs w:val="28"/>
                <w:lang w:val="en-US"/>
              </w:rPr>
              <w:t>n</w:t>
            </w:r>
            <w:r w:rsidR="0036171A">
              <w:rPr>
                <w:rFonts w:ascii="Times New Roman" w:hAnsi="Times New Roman" w:cs="Times New Roman"/>
                <w:sz w:val="28"/>
                <w:szCs w:val="28"/>
                <w:lang w:val="uk-UA"/>
              </w:rPr>
              <w:t xml:space="preserve"> </w:t>
            </w:r>
            <w:r w:rsidR="00757BD0">
              <w:rPr>
                <w:rFonts w:ascii="Times New Roman" w:hAnsi="Times New Roman" w:cs="Times New Roman"/>
                <w:sz w:val="28"/>
                <w:szCs w:val="28"/>
                <w:lang w:val="uk-UA"/>
              </w:rPr>
              <w:t>=</w:t>
            </w:r>
            <w:r w:rsidR="0036171A">
              <w:rPr>
                <w:rFonts w:ascii="Times New Roman" w:hAnsi="Times New Roman" w:cs="Times New Roman"/>
                <w:sz w:val="28"/>
                <w:szCs w:val="28"/>
                <w:lang w:val="uk-UA"/>
              </w:rPr>
              <w:t xml:space="preserve"> </w:t>
            </w:r>
            <w:r w:rsidR="00757BD0">
              <w:rPr>
                <w:rFonts w:ascii="Times New Roman" w:hAnsi="Times New Roman" w:cs="Times New Roman"/>
                <w:sz w:val="28"/>
                <w:szCs w:val="28"/>
                <w:lang w:val="en-US"/>
              </w:rPr>
              <w:t>15</w:t>
            </w:r>
            <w:r w:rsidRPr="00136877">
              <w:rPr>
                <w:rFonts w:ascii="Times New Roman" w:hAnsi="Times New Roman" w:cs="Times New Roman"/>
                <w:sz w:val="28"/>
                <w:szCs w:val="28"/>
                <w:lang w:val="uk-UA"/>
              </w:rPr>
              <w:t>)</w:t>
            </w:r>
          </w:p>
        </w:tc>
        <w:tc>
          <w:tcPr>
            <w:tcW w:w="1843" w:type="dxa"/>
            <w:vMerge w:val="restart"/>
          </w:tcPr>
          <w:p w:rsidR="00137AF1" w:rsidRPr="00136877"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en-US"/>
              </w:rPr>
              <w:t>p</w:t>
            </w:r>
          </w:p>
        </w:tc>
      </w:tr>
      <w:tr w:rsidR="00137AF1" w:rsidRPr="00136877" w:rsidTr="008F115E">
        <w:tc>
          <w:tcPr>
            <w:tcW w:w="1843" w:type="dxa"/>
            <w:vMerge/>
          </w:tcPr>
          <w:p w:rsidR="00137AF1" w:rsidRPr="00136877" w:rsidRDefault="00137AF1" w:rsidP="00023195">
            <w:pPr>
              <w:pStyle w:val="Default"/>
              <w:spacing w:line="360" w:lineRule="auto"/>
              <w:rPr>
                <w:rFonts w:ascii="Times New Roman" w:hAnsi="Times New Roman" w:cs="Times New Roman"/>
                <w:sz w:val="28"/>
                <w:szCs w:val="28"/>
                <w:lang w:val="uk-UA"/>
              </w:rPr>
            </w:pPr>
          </w:p>
        </w:tc>
        <w:tc>
          <w:tcPr>
            <w:tcW w:w="1843" w:type="dxa"/>
          </w:tcPr>
          <w:p w:rsidR="0036171A"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І підгрупа</w:t>
            </w:r>
          </w:p>
          <w:p w:rsidR="00137AF1" w:rsidRPr="00136877"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 xml:space="preserve"> (</w:t>
            </w:r>
            <w:r w:rsidRPr="00136877">
              <w:rPr>
                <w:rFonts w:ascii="Times New Roman" w:hAnsi="Times New Roman" w:cs="Times New Roman"/>
                <w:sz w:val="28"/>
                <w:szCs w:val="28"/>
                <w:lang w:val="en-US"/>
              </w:rPr>
              <w:t>n</w:t>
            </w:r>
            <w:r w:rsidR="0036171A">
              <w:rPr>
                <w:rFonts w:ascii="Times New Roman" w:hAnsi="Times New Roman" w:cs="Times New Roman"/>
                <w:sz w:val="28"/>
                <w:szCs w:val="28"/>
                <w:lang w:val="uk-UA"/>
              </w:rPr>
              <w:t xml:space="preserve"> </w:t>
            </w:r>
            <w:r w:rsidR="00757BD0">
              <w:rPr>
                <w:rFonts w:ascii="Times New Roman" w:hAnsi="Times New Roman" w:cs="Times New Roman"/>
                <w:sz w:val="28"/>
                <w:szCs w:val="28"/>
                <w:lang w:val="uk-UA"/>
              </w:rPr>
              <w:t>=</w:t>
            </w:r>
            <w:r w:rsidR="0036171A">
              <w:rPr>
                <w:rFonts w:ascii="Times New Roman" w:hAnsi="Times New Roman" w:cs="Times New Roman"/>
                <w:sz w:val="28"/>
                <w:szCs w:val="28"/>
                <w:lang w:val="uk-UA"/>
              </w:rPr>
              <w:t xml:space="preserve"> </w:t>
            </w:r>
            <w:r w:rsidR="00454DEF">
              <w:rPr>
                <w:rFonts w:ascii="Times New Roman" w:hAnsi="Times New Roman" w:cs="Times New Roman"/>
                <w:sz w:val="28"/>
                <w:szCs w:val="28"/>
                <w:lang w:val="en-US"/>
              </w:rPr>
              <w:t>54</w:t>
            </w:r>
            <w:r w:rsidRPr="00136877">
              <w:rPr>
                <w:rFonts w:ascii="Times New Roman" w:hAnsi="Times New Roman" w:cs="Times New Roman"/>
                <w:sz w:val="28"/>
                <w:szCs w:val="28"/>
                <w:lang w:val="uk-UA"/>
              </w:rPr>
              <w:t>)</w:t>
            </w:r>
          </w:p>
        </w:tc>
        <w:tc>
          <w:tcPr>
            <w:tcW w:w="2126" w:type="dxa"/>
          </w:tcPr>
          <w:p w:rsidR="0036171A"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 xml:space="preserve">ІІ підгрупа </w:t>
            </w:r>
          </w:p>
          <w:p w:rsidR="00137AF1" w:rsidRPr="00136877" w:rsidRDefault="00137AF1" w:rsidP="00F86448">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w:t>
            </w:r>
            <w:r w:rsidRPr="00136877">
              <w:rPr>
                <w:rFonts w:ascii="Times New Roman" w:hAnsi="Times New Roman" w:cs="Times New Roman"/>
                <w:sz w:val="28"/>
                <w:szCs w:val="28"/>
                <w:lang w:val="en-US"/>
              </w:rPr>
              <w:t>n</w:t>
            </w:r>
            <w:r w:rsidR="0036171A">
              <w:rPr>
                <w:rFonts w:ascii="Times New Roman" w:hAnsi="Times New Roman" w:cs="Times New Roman"/>
                <w:sz w:val="28"/>
                <w:szCs w:val="28"/>
                <w:lang w:val="uk-UA"/>
              </w:rPr>
              <w:t xml:space="preserve"> </w:t>
            </w:r>
            <w:r w:rsidR="00757BD0">
              <w:rPr>
                <w:rFonts w:ascii="Times New Roman" w:hAnsi="Times New Roman" w:cs="Times New Roman"/>
                <w:sz w:val="28"/>
                <w:szCs w:val="28"/>
                <w:lang w:val="uk-UA"/>
              </w:rPr>
              <w:t>=</w:t>
            </w:r>
            <w:r w:rsidR="0036171A">
              <w:rPr>
                <w:rFonts w:ascii="Times New Roman" w:hAnsi="Times New Roman" w:cs="Times New Roman"/>
                <w:sz w:val="28"/>
                <w:szCs w:val="28"/>
                <w:lang w:val="uk-UA"/>
              </w:rPr>
              <w:t xml:space="preserve"> </w:t>
            </w:r>
            <w:r w:rsidR="00454DEF">
              <w:rPr>
                <w:rFonts w:ascii="Times New Roman" w:hAnsi="Times New Roman" w:cs="Times New Roman"/>
                <w:sz w:val="28"/>
                <w:szCs w:val="28"/>
                <w:lang w:val="en-US"/>
              </w:rPr>
              <w:t>40</w:t>
            </w:r>
            <w:r w:rsidRPr="00136877">
              <w:rPr>
                <w:rFonts w:ascii="Times New Roman" w:hAnsi="Times New Roman" w:cs="Times New Roman"/>
                <w:sz w:val="28"/>
                <w:szCs w:val="28"/>
                <w:lang w:val="uk-UA"/>
              </w:rPr>
              <w:t>)</w:t>
            </w:r>
          </w:p>
        </w:tc>
        <w:tc>
          <w:tcPr>
            <w:tcW w:w="1701" w:type="dxa"/>
            <w:vMerge/>
          </w:tcPr>
          <w:p w:rsidR="00137AF1" w:rsidRPr="00136877" w:rsidRDefault="00137AF1" w:rsidP="00F86448">
            <w:pPr>
              <w:pStyle w:val="Default"/>
              <w:spacing w:line="360" w:lineRule="auto"/>
              <w:jc w:val="center"/>
              <w:rPr>
                <w:rFonts w:ascii="Times New Roman" w:hAnsi="Times New Roman" w:cs="Times New Roman"/>
                <w:sz w:val="28"/>
                <w:szCs w:val="28"/>
                <w:lang w:val="uk-UA"/>
              </w:rPr>
            </w:pPr>
          </w:p>
        </w:tc>
        <w:tc>
          <w:tcPr>
            <w:tcW w:w="1843" w:type="dxa"/>
            <w:vMerge/>
          </w:tcPr>
          <w:p w:rsidR="00137AF1" w:rsidRPr="00136877" w:rsidRDefault="00137AF1" w:rsidP="00F86448">
            <w:pPr>
              <w:pStyle w:val="Default"/>
              <w:spacing w:line="360" w:lineRule="auto"/>
              <w:jc w:val="center"/>
              <w:rPr>
                <w:rFonts w:ascii="Times New Roman" w:hAnsi="Times New Roman" w:cs="Times New Roman"/>
                <w:sz w:val="28"/>
                <w:szCs w:val="28"/>
                <w:lang w:val="uk-UA"/>
              </w:rPr>
            </w:pPr>
          </w:p>
        </w:tc>
      </w:tr>
      <w:tr w:rsidR="00137AF1" w:rsidRPr="00136877" w:rsidTr="008F115E">
        <w:tc>
          <w:tcPr>
            <w:tcW w:w="1843" w:type="dxa"/>
          </w:tcPr>
          <w:p w:rsidR="00137AF1" w:rsidRPr="00136877" w:rsidRDefault="00137AF1" w:rsidP="002E6864">
            <w:pPr>
              <w:pStyle w:val="Default"/>
              <w:spacing w:line="360" w:lineRule="auto"/>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1</w:t>
            </w:r>
          </w:p>
        </w:tc>
        <w:tc>
          <w:tcPr>
            <w:tcW w:w="1843" w:type="dxa"/>
          </w:tcPr>
          <w:p w:rsidR="00137AF1" w:rsidRPr="00136877" w:rsidRDefault="00137AF1" w:rsidP="002E6864">
            <w:pPr>
              <w:pStyle w:val="Default"/>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2</w:t>
            </w:r>
          </w:p>
        </w:tc>
        <w:tc>
          <w:tcPr>
            <w:tcW w:w="2126" w:type="dxa"/>
          </w:tcPr>
          <w:p w:rsidR="00137AF1" w:rsidRPr="00136877" w:rsidRDefault="00137AF1" w:rsidP="002E6864">
            <w:pPr>
              <w:pStyle w:val="Default"/>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3</w:t>
            </w:r>
          </w:p>
        </w:tc>
        <w:tc>
          <w:tcPr>
            <w:tcW w:w="1701" w:type="dxa"/>
          </w:tcPr>
          <w:p w:rsidR="00137AF1" w:rsidRPr="00136877" w:rsidRDefault="00137AF1" w:rsidP="002E6864">
            <w:pPr>
              <w:pStyle w:val="Default"/>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4</w:t>
            </w:r>
          </w:p>
        </w:tc>
        <w:tc>
          <w:tcPr>
            <w:tcW w:w="1843" w:type="dxa"/>
          </w:tcPr>
          <w:p w:rsidR="00137AF1" w:rsidRPr="00136877" w:rsidRDefault="00137AF1" w:rsidP="002E6864">
            <w:pPr>
              <w:autoSpaceDE w:val="0"/>
              <w:autoSpaceDN w:val="0"/>
              <w:adjustRightInd w:val="0"/>
              <w:jc w:val="center"/>
              <w:rPr>
                <w:rFonts w:ascii="Times New Roman" w:hAnsi="Times New Roman" w:cs="Times New Roman"/>
                <w:sz w:val="28"/>
                <w:szCs w:val="28"/>
                <w:lang w:val="uk-UA"/>
              </w:rPr>
            </w:pPr>
            <w:r w:rsidRPr="00136877">
              <w:rPr>
                <w:rFonts w:ascii="Times New Roman" w:hAnsi="Times New Roman" w:cs="Times New Roman"/>
                <w:sz w:val="28"/>
                <w:szCs w:val="28"/>
                <w:lang w:val="uk-UA"/>
              </w:rPr>
              <w:t>5</w:t>
            </w: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r w:rsidRPr="00136877">
              <w:rPr>
                <w:rFonts w:ascii="Times New Roman" w:hAnsi="Times New Roman" w:cs="Times New Roman"/>
                <w:sz w:val="28"/>
                <w:szCs w:val="28"/>
                <w:lang w:val="uk-UA"/>
              </w:rPr>
              <w:t>ФВ (%)</w:t>
            </w:r>
          </w:p>
        </w:tc>
        <w:tc>
          <w:tcPr>
            <w:tcW w:w="1843" w:type="dxa"/>
          </w:tcPr>
          <w:p w:rsidR="00137AF1" w:rsidRPr="00454DEF" w:rsidRDefault="00137AF1" w:rsidP="00F03E64">
            <w:pPr>
              <w:pStyle w:val="Default"/>
              <w:rPr>
                <w:rFonts w:ascii="Times New Roman" w:hAnsi="Times New Roman" w:cs="Times New Roman"/>
                <w:sz w:val="28"/>
                <w:szCs w:val="28"/>
                <w:u w:val="single"/>
                <w:lang w:val="uk-UA"/>
              </w:rPr>
            </w:pPr>
            <w:r w:rsidRPr="00454DEF">
              <w:rPr>
                <w:rFonts w:ascii="Times New Roman" w:hAnsi="Times New Roman" w:cs="Times New Roman"/>
                <w:sz w:val="28"/>
                <w:szCs w:val="28"/>
                <w:u w:val="single"/>
                <w:lang w:val="uk-UA"/>
              </w:rPr>
              <w:t>58,5</w:t>
            </w:r>
            <w:r w:rsidR="0036171A">
              <w:rPr>
                <w:rFonts w:ascii="Times New Roman" w:hAnsi="Times New Roman" w:cs="Times New Roman"/>
                <w:sz w:val="28"/>
                <w:szCs w:val="28"/>
                <w:u w:val="single"/>
                <w:lang w:val="uk-UA"/>
              </w:rPr>
              <w:t xml:space="preserve"> </w:t>
            </w:r>
            <w:r w:rsidRPr="00454DEF">
              <w:rPr>
                <w:rFonts w:ascii="Times New Roman" w:hAnsi="Times New Roman" w:cs="Times New Roman"/>
                <w:sz w:val="28"/>
                <w:szCs w:val="28"/>
                <w:u w:val="single"/>
                <w:lang w:val="uk-UA"/>
              </w:rPr>
              <w:t>±</w:t>
            </w:r>
            <w:r w:rsidR="0036171A">
              <w:rPr>
                <w:rFonts w:ascii="Times New Roman" w:hAnsi="Times New Roman" w:cs="Times New Roman"/>
                <w:sz w:val="28"/>
                <w:szCs w:val="28"/>
                <w:u w:val="single"/>
                <w:lang w:val="uk-UA"/>
              </w:rPr>
              <w:t xml:space="preserve"> </w:t>
            </w:r>
            <w:r w:rsidRPr="00454DEF">
              <w:rPr>
                <w:rFonts w:ascii="Times New Roman" w:hAnsi="Times New Roman" w:cs="Times New Roman"/>
                <w:sz w:val="28"/>
                <w:szCs w:val="28"/>
                <w:u w:val="single"/>
                <w:lang w:val="uk-UA"/>
              </w:rPr>
              <w:t>0,01</w:t>
            </w:r>
          </w:p>
          <w:p w:rsidR="00137AF1" w:rsidRPr="00454DEF" w:rsidRDefault="00137AF1" w:rsidP="00F03E64">
            <w:pPr>
              <w:pStyle w:val="Default"/>
              <w:rPr>
                <w:rFonts w:ascii="Times New Roman" w:hAnsi="Times New Roman" w:cs="Times New Roman"/>
                <w:sz w:val="28"/>
                <w:szCs w:val="28"/>
                <w:lang w:val="uk-UA"/>
              </w:rPr>
            </w:pPr>
            <w:r w:rsidRPr="00454DEF">
              <w:rPr>
                <w:rFonts w:ascii="Times New Roman" w:hAnsi="Times New Roman" w:cs="Times New Roman"/>
                <w:sz w:val="28"/>
                <w:szCs w:val="28"/>
                <w:lang w:val="uk-UA"/>
              </w:rPr>
              <w:t>64,58</w:t>
            </w:r>
            <w:r w:rsidR="0036171A">
              <w:rPr>
                <w:rFonts w:ascii="Times New Roman" w:hAnsi="Times New Roman" w:cs="Times New Roman"/>
                <w:sz w:val="28"/>
                <w:szCs w:val="28"/>
                <w:lang w:val="uk-UA"/>
              </w:rPr>
              <w:t xml:space="preserve"> </w:t>
            </w:r>
            <w:r w:rsidRPr="00454DEF">
              <w:rPr>
                <w:rFonts w:ascii="Times New Roman" w:hAnsi="Times New Roman" w:cs="Times New Roman"/>
                <w:sz w:val="28"/>
                <w:szCs w:val="28"/>
                <w:lang w:val="uk-UA"/>
              </w:rPr>
              <w:t>±</w:t>
            </w:r>
            <w:r w:rsidR="0036171A">
              <w:rPr>
                <w:rFonts w:ascii="Times New Roman" w:hAnsi="Times New Roman" w:cs="Times New Roman"/>
                <w:sz w:val="28"/>
                <w:szCs w:val="28"/>
                <w:lang w:val="uk-UA"/>
              </w:rPr>
              <w:t xml:space="preserve"> </w:t>
            </w:r>
            <w:r w:rsidRPr="00454DEF">
              <w:rPr>
                <w:rFonts w:ascii="Times New Roman" w:hAnsi="Times New Roman" w:cs="Times New Roman"/>
                <w:sz w:val="28"/>
                <w:szCs w:val="28"/>
                <w:lang w:val="uk-UA"/>
              </w:rPr>
              <w:t>0,12</w:t>
            </w:r>
          </w:p>
        </w:tc>
        <w:tc>
          <w:tcPr>
            <w:tcW w:w="2126" w:type="dxa"/>
          </w:tcPr>
          <w:p w:rsidR="00137AF1" w:rsidRPr="00454DEF" w:rsidRDefault="00137AF1" w:rsidP="00D065D3">
            <w:pPr>
              <w:pStyle w:val="Default"/>
              <w:rPr>
                <w:rFonts w:ascii="Times New Roman" w:hAnsi="Times New Roman" w:cs="Times New Roman"/>
                <w:sz w:val="28"/>
                <w:szCs w:val="28"/>
                <w:u w:val="single"/>
                <w:lang w:val="uk-UA"/>
              </w:rPr>
            </w:pPr>
            <w:r w:rsidRPr="00454DEF">
              <w:rPr>
                <w:rFonts w:ascii="Times New Roman" w:hAnsi="Times New Roman" w:cs="Times New Roman"/>
                <w:sz w:val="28"/>
                <w:szCs w:val="28"/>
                <w:u w:val="single"/>
                <w:lang w:val="uk-UA"/>
              </w:rPr>
              <w:t>54,38</w:t>
            </w:r>
            <w:r w:rsidR="0036171A">
              <w:rPr>
                <w:rFonts w:ascii="Times New Roman" w:hAnsi="Times New Roman" w:cs="Times New Roman"/>
                <w:sz w:val="28"/>
                <w:szCs w:val="28"/>
                <w:u w:val="single"/>
                <w:lang w:val="uk-UA"/>
              </w:rPr>
              <w:t xml:space="preserve"> </w:t>
            </w:r>
            <w:r w:rsidRPr="00454DEF">
              <w:rPr>
                <w:rFonts w:ascii="Times New Roman" w:hAnsi="Times New Roman" w:cs="Times New Roman"/>
                <w:sz w:val="28"/>
                <w:szCs w:val="28"/>
                <w:u w:val="single"/>
                <w:lang w:val="uk-UA"/>
              </w:rPr>
              <w:t>±</w:t>
            </w:r>
            <w:r w:rsidR="0036171A">
              <w:rPr>
                <w:rFonts w:ascii="Times New Roman" w:hAnsi="Times New Roman" w:cs="Times New Roman"/>
                <w:sz w:val="28"/>
                <w:szCs w:val="28"/>
                <w:u w:val="single"/>
                <w:lang w:val="uk-UA"/>
              </w:rPr>
              <w:t xml:space="preserve"> </w:t>
            </w:r>
            <w:r w:rsidRPr="00454DEF">
              <w:rPr>
                <w:rFonts w:ascii="Times New Roman" w:hAnsi="Times New Roman" w:cs="Times New Roman"/>
                <w:sz w:val="28"/>
                <w:szCs w:val="28"/>
                <w:u w:val="single"/>
                <w:lang w:val="uk-UA"/>
              </w:rPr>
              <w:t>0,02</w:t>
            </w:r>
          </w:p>
          <w:p w:rsidR="00137AF1" w:rsidRPr="00454DEF" w:rsidRDefault="00137AF1" w:rsidP="00D065D3">
            <w:pPr>
              <w:pStyle w:val="Default"/>
              <w:rPr>
                <w:rFonts w:ascii="Times New Roman" w:hAnsi="Times New Roman" w:cs="Times New Roman"/>
                <w:sz w:val="28"/>
                <w:szCs w:val="28"/>
                <w:lang w:val="uk-UA"/>
              </w:rPr>
            </w:pPr>
            <w:r w:rsidRPr="00454DEF">
              <w:rPr>
                <w:rFonts w:ascii="Times New Roman" w:hAnsi="Times New Roman" w:cs="Times New Roman"/>
                <w:sz w:val="28"/>
                <w:szCs w:val="28"/>
                <w:lang w:val="uk-UA"/>
              </w:rPr>
              <w:t>59,71</w:t>
            </w:r>
            <w:r w:rsidR="0036171A">
              <w:rPr>
                <w:rFonts w:ascii="Times New Roman" w:hAnsi="Times New Roman" w:cs="Times New Roman"/>
                <w:sz w:val="28"/>
                <w:szCs w:val="28"/>
                <w:lang w:val="uk-UA"/>
              </w:rPr>
              <w:t xml:space="preserve"> </w:t>
            </w:r>
            <w:r w:rsidRPr="00454DEF">
              <w:rPr>
                <w:rFonts w:ascii="Times New Roman" w:hAnsi="Times New Roman" w:cs="Times New Roman"/>
                <w:sz w:val="28"/>
                <w:szCs w:val="28"/>
                <w:lang w:val="uk-UA"/>
              </w:rPr>
              <w:t>±</w:t>
            </w:r>
            <w:r w:rsidR="0036171A">
              <w:rPr>
                <w:rFonts w:ascii="Times New Roman" w:hAnsi="Times New Roman" w:cs="Times New Roman"/>
                <w:sz w:val="28"/>
                <w:szCs w:val="28"/>
                <w:lang w:val="uk-UA"/>
              </w:rPr>
              <w:t xml:space="preserve"> </w:t>
            </w:r>
            <w:r w:rsidRPr="00454DEF">
              <w:rPr>
                <w:rFonts w:ascii="Times New Roman" w:hAnsi="Times New Roman" w:cs="Times New Roman"/>
                <w:sz w:val="28"/>
                <w:szCs w:val="28"/>
                <w:lang w:val="uk-UA"/>
              </w:rPr>
              <w:t>0,3</w:t>
            </w:r>
          </w:p>
        </w:tc>
        <w:tc>
          <w:tcPr>
            <w:tcW w:w="1701" w:type="dxa"/>
          </w:tcPr>
          <w:p w:rsidR="00137AF1" w:rsidRPr="00454DEF" w:rsidRDefault="003B4C9C" w:rsidP="00D065D3">
            <w:pPr>
              <w:pStyle w:val="Default"/>
              <w:rPr>
                <w:rFonts w:ascii="Times New Roman" w:hAnsi="Times New Roman" w:cs="Times New Roman"/>
                <w:sz w:val="28"/>
                <w:szCs w:val="28"/>
                <w:lang w:val="en-US"/>
              </w:rPr>
            </w:pPr>
            <w:r>
              <w:rPr>
                <w:rFonts w:ascii="Times New Roman" w:hAnsi="Times New Roman" w:cs="Times New Roman"/>
                <w:sz w:val="28"/>
                <w:szCs w:val="28"/>
                <w:lang w:val="en-US"/>
              </w:rPr>
              <w:t>64,13</w:t>
            </w:r>
            <w:r w:rsidR="0036171A">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sidR="0036171A">
              <w:rPr>
                <w:rFonts w:ascii="Times New Roman" w:hAnsi="Times New Roman" w:cs="Times New Roman"/>
                <w:sz w:val="28"/>
                <w:szCs w:val="28"/>
                <w:lang w:val="uk-UA"/>
              </w:rPr>
              <w:t xml:space="preserve"> </w:t>
            </w:r>
            <w:r>
              <w:rPr>
                <w:rFonts w:ascii="Times New Roman" w:hAnsi="Times New Roman" w:cs="Times New Roman"/>
                <w:sz w:val="28"/>
                <w:szCs w:val="28"/>
                <w:lang w:val="en-US"/>
              </w:rPr>
              <w:t>5,7</w:t>
            </w:r>
          </w:p>
        </w:tc>
        <w:tc>
          <w:tcPr>
            <w:tcW w:w="1843" w:type="dxa"/>
          </w:tcPr>
          <w:p w:rsidR="00137AF1" w:rsidRPr="00454DEF" w:rsidRDefault="00137AF1" w:rsidP="008E58A1">
            <w:pPr>
              <w:autoSpaceDE w:val="0"/>
              <w:autoSpaceDN w:val="0"/>
              <w:adjustRightInd w:val="0"/>
              <w:jc w:val="both"/>
              <w:rPr>
                <w:rFonts w:ascii="Times New Roman" w:hAnsi="Times New Roman" w:cs="Times New Roman"/>
                <w:sz w:val="28"/>
                <w:szCs w:val="28"/>
                <w:lang w:val="en-US"/>
              </w:rPr>
            </w:pPr>
            <w:r w:rsidRPr="00454DEF">
              <w:rPr>
                <w:rFonts w:ascii="Times New Roman" w:hAnsi="Times New Roman" w:cs="Times New Roman"/>
                <w:sz w:val="28"/>
                <w:szCs w:val="28"/>
                <w:lang w:val="en-US"/>
              </w:rPr>
              <w:t>p</w:t>
            </w:r>
            <w:r w:rsidRPr="00454DEF">
              <w:rPr>
                <w:rFonts w:ascii="Times New Roman" w:hAnsi="Times New Roman" w:cs="Times New Roman"/>
                <w:sz w:val="28"/>
                <w:szCs w:val="28"/>
                <w:vertAlign w:val="subscript"/>
                <w:lang w:val="en-US"/>
              </w:rPr>
              <w:t>1</w:t>
            </w:r>
            <w:r w:rsidR="003B4C9C">
              <w:rPr>
                <w:rFonts w:ascii="Times New Roman" w:hAnsi="Times New Roman" w:cs="Times New Roman"/>
                <w:sz w:val="28"/>
                <w:szCs w:val="28"/>
                <w:vertAlign w:val="subscript"/>
                <w:lang w:val="en-US"/>
              </w:rPr>
              <w:t xml:space="preserve"> </w:t>
            </w:r>
            <w:r w:rsidRPr="00454DEF">
              <w:rPr>
                <w:rFonts w:ascii="Times New Roman" w:hAnsi="Times New Roman" w:cs="Times New Roman"/>
                <w:sz w:val="28"/>
                <w:szCs w:val="28"/>
                <w:lang w:val="en-US"/>
              </w:rPr>
              <w:t>&lt;</w:t>
            </w:r>
            <w:r w:rsidR="003B4C9C">
              <w:rPr>
                <w:rFonts w:ascii="Times New Roman" w:hAnsi="Times New Roman" w:cs="Times New Roman"/>
                <w:sz w:val="28"/>
                <w:szCs w:val="28"/>
                <w:lang w:val="en-US"/>
              </w:rPr>
              <w:t xml:space="preserve"> </w:t>
            </w:r>
            <w:r w:rsidRPr="00454DEF">
              <w:rPr>
                <w:rFonts w:ascii="Times New Roman" w:hAnsi="Times New Roman" w:cs="Times New Roman"/>
                <w:sz w:val="28"/>
                <w:szCs w:val="28"/>
                <w:lang w:val="en-US"/>
              </w:rPr>
              <w:t>0,00</w:t>
            </w:r>
            <w:r w:rsidR="00D64683" w:rsidRPr="00454DEF">
              <w:rPr>
                <w:rFonts w:ascii="Times New Roman" w:hAnsi="Times New Roman" w:cs="Times New Roman"/>
                <w:sz w:val="28"/>
                <w:szCs w:val="28"/>
                <w:lang w:val="en-US"/>
              </w:rPr>
              <w:t>0</w:t>
            </w:r>
            <w:r w:rsidRPr="00454DEF">
              <w:rPr>
                <w:rFonts w:ascii="Times New Roman" w:hAnsi="Times New Roman" w:cs="Times New Roman"/>
                <w:sz w:val="28"/>
                <w:szCs w:val="28"/>
                <w:lang w:val="en-US"/>
              </w:rPr>
              <w:t>1</w:t>
            </w:r>
          </w:p>
          <w:p w:rsidR="00137AF1" w:rsidRPr="00454DEF" w:rsidRDefault="00137AF1" w:rsidP="008E58A1">
            <w:pPr>
              <w:autoSpaceDE w:val="0"/>
              <w:autoSpaceDN w:val="0"/>
              <w:adjustRightInd w:val="0"/>
              <w:jc w:val="both"/>
              <w:rPr>
                <w:rFonts w:ascii="Times New Roman" w:hAnsi="Times New Roman" w:cs="Times New Roman"/>
                <w:sz w:val="28"/>
                <w:szCs w:val="28"/>
                <w:lang w:val="en-US"/>
              </w:rPr>
            </w:pPr>
            <w:r w:rsidRPr="00454DEF">
              <w:rPr>
                <w:rFonts w:ascii="Times New Roman" w:hAnsi="Times New Roman" w:cs="Times New Roman"/>
                <w:sz w:val="28"/>
                <w:szCs w:val="28"/>
                <w:lang w:val="en-US"/>
              </w:rPr>
              <w:t>p</w:t>
            </w:r>
            <w:r w:rsidRPr="00454DEF">
              <w:rPr>
                <w:rFonts w:ascii="Times New Roman" w:hAnsi="Times New Roman" w:cs="Times New Roman"/>
                <w:sz w:val="28"/>
                <w:szCs w:val="28"/>
                <w:vertAlign w:val="subscript"/>
                <w:lang w:val="en-US"/>
              </w:rPr>
              <w:t>2</w:t>
            </w:r>
            <w:r w:rsidR="003B4C9C">
              <w:rPr>
                <w:rFonts w:ascii="Times New Roman" w:hAnsi="Times New Roman" w:cs="Times New Roman"/>
                <w:sz w:val="28"/>
                <w:szCs w:val="28"/>
                <w:vertAlign w:val="subscript"/>
                <w:lang w:val="en-US"/>
              </w:rPr>
              <w:t xml:space="preserve"> </w:t>
            </w:r>
            <w:r w:rsidR="003B4C9C">
              <w:rPr>
                <w:rFonts w:ascii="Times New Roman" w:hAnsi="Times New Roman" w:cs="Times New Roman"/>
                <w:sz w:val="28"/>
                <w:szCs w:val="28"/>
                <w:lang w:val="en-US"/>
              </w:rPr>
              <w:t>= 0,05</w:t>
            </w:r>
          </w:p>
          <w:p w:rsidR="00137AF1" w:rsidRPr="00454DEF" w:rsidRDefault="00137AF1" w:rsidP="008E58A1">
            <w:pPr>
              <w:pStyle w:val="Default"/>
              <w:rPr>
                <w:rFonts w:ascii="Times New Roman" w:hAnsi="Times New Roman" w:cs="Times New Roman"/>
                <w:sz w:val="28"/>
                <w:szCs w:val="28"/>
                <w:u w:val="single"/>
                <w:lang w:val="uk-UA"/>
              </w:rPr>
            </w:pPr>
            <w:r w:rsidRPr="00454DEF">
              <w:rPr>
                <w:rFonts w:ascii="Times New Roman" w:hAnsi="Times New Roman" w:cs="Times New Roman"/>
                <w:sz w:val="28"/>
                <w:szCs w:val="28"/>
                <w:lang w:val="en-US"/>
              </w:rPr>
              <w:t>p</w:t>
            </w:r>
            <w:r w:rsidRPr="00454DEF">
              <w:rPr>
                <w:rFonts w:ascii="Times New Roman" w:hAnsi="Times New Roman" w:cs="Times New Roman"/>
                <w:sz w:val="28"/>
                <w:szCs w:val="28"/>
                <w:vertAlign w:val="subscript"/>
                <w:lang w:val="en-US"/>
              </w:rPr>
              <w:t>3</w:t>
            </w:r>
            <w:r w:rsidR="003B4C9C">
              <w:rPr>
                <w:rFonts w:ascii="Times New Roman" w:hAnsi="Times New Roman" w:cs="Times New Roman"/>
                <w:sz w:val="28"/>
                <w:szCs w:val="28"/>
                <w:vertAlign w:val="subscript"/>
                <w:lang w:val="en-US"/>
              </w:rPr>
              <w:t xml:space="preserve"> </w:t>
            </w:r>
            <w:r w:rsidR="003B4C9C">
              <w:rPr>
                <w:rFonts w:ascii="Times New Roman" w:hAnsi="Times New Roman" w:cs="Times New Roman"/>
                <w:sz w:val="28"/>
                <w:szCs w:val="28"/>
                <w:lang w:val="en-US"/>
              </w:rPr>
              <w:t>= 0,0064</w:t>
            </w: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p>
        </w:tc>
        <w:tc>
          <w:tcPr>
            <w:tcW w:w="1843" w:type="dxa"/>
          </w:tcPr>
          <w:p w:rsidR="00137AF1" w:rsidRPr="00454DEF" w:rsidRDefault="00137AF1" w:rsidP="00480F09">
            <w:pPr>
              <w:autoSpaceDE w:val="0"/>
              <w:autoSpaceDN w:val="0"/>
              <w:adjustRightInd w:val="0"/>
              <w:jc w:val="both"/>
              <w:rPr>
                <w:rFonts w:ascii="Times New Roman" w:hAnsi="Times New Roman" w:cs="Times New Roman"/>
                <w:sz w:val="28"/>
                <w:szCs w:val="28"/>
                <w:lang w:val="en-US"/>
              </w:rPr>
            </w:pPr>
            <w:r w:rsidRPr="00454DEF">
              <w:rPr>
                <w:rFonts w:ascii="Times New Roman" w:hAnsi="Times New Roman" w:cs="Times New Roman"/>
                <w:sz w:val="28"/>
                <w:szCs w:val="28"/>
                <w:lang w:val="en-US"/>
              </w:rPr>
              <w:t>p</w:t>
            </w:r>
            <w:r w:rsidRPr="00454DEF">
              <w:rPr>
                <w:rFonts w:ascii="Times New Roman" w:hAnsi="Times New Roman" w:cs="Times New Roman"/>
                <w:sz w:val="28"/>
                <w:szCs w:val="28"/>
                <w:vertAlign w:val="subscript"/>
                <w:lang w:val="en-US"/>
              </w:rPr>
              <w:t xml:space="preserve"> </w:t>
            </w:r>
            <w:r w:rsidRPr="00454DEF">
              <w:rPr>
                <w:rFonts w:ascii="Times New Roman" w:hAnsi="Times New Roman" w:cs="Times New Roman"/>
                <w:sz w:val="28"/>
                <w:szCs w:val="28"/>
                <w:lang w:val="en-US"/>
              </w:rPr>
              <w:t>&lt;</w:t>
            </w:r>
            <w:r w:rsidR="0036171A">
              <w:rPr>
                <w:rFonts w:ascii="Times New Roman" w:hAnsi="Times New Roman" w:cs="Times New Roman"/>
                <w:sz w:val="28"/>
                <w:szCs w:val="28"/>
                <w:lang w:val="uk-UA"/>
              </w:rPr>
              <w:t xml:space="preserve"> </w:t>
            </w:r>
            <w:r w:rsidRPr="00454DEF">
              <w:rPr>
                <w:rFonts w:ascii="Times New Roman" w:hAnsi="Times New Roman" w:cs="Times New Roman"/>
                <w:sz w:val="28"/>
                <w:szCs w:val="28"/>
                <w:lang w:val="en-US"/>
              </w:rPr>
              <w:t>0,00</w:t>
            </w:r>
            <w:r w:rsidR="00D64683" w:rsidRPr="00454DEF">
              <w:rPr>
                <w:rFonts w:ascii="Times New Roman" w:hAnsi="Times New Roman" w:cs="Times New Roman"/>
                <w:sz w:val="28"/>
                <w:szCs w:val="28"/>
                <w:lang w:val="en-US"/>
              </w:rPr>
              <w:t>0</w:t>
            </w:r>
            <w:r w:rsidRPr="00454DEF">
              <w:rPr>
                <w:rFonts w:ascii="Times New Roman" w:hAnsi="Times New Roman" w:cs="Times New Roman"/>
                <w:sz w:val="28"/>
                <w:szCs w:val="28"/>
                <w:lang w:val="en-US"/>
              </w:rPr>
              <w:t>1</w:t>
            </w:r>
          </w:p>
        </w:tc>
        <w:tc>
          <w:tcPr>
            <w:tcW w:w="2126" w:type="dxa"/>
          </w:tcPr>
          <w:p w:rsidR="00137AF1" w:rsidRPr="00454DEF" w:rsidRDefault="0036171A" w:rsidP="00661517">
            <w:pPr>
              <w:pStyle w:val="Default"/>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р </w:t>
            </w:r>
            <w:r w:rsidR="00137AF1" w:rsidRPr="00454DEF">
              <w:rPr>
                <w:rFonts w:ascii="Times New Roman" w:hAnsi="Times New Roman" w:cs="Times New Roman"/>
                <w:sz w:val="28"/>
                <w:szCs w:val="28"/>
                <w:vertAlign w:val="subscript"/>
                <w:lang w:val="en-US"/>
              </w:rPr>
              <w:t xml:space="preserve"> </w:t>
            </w:r>
            <w:r w:rsidR="00137AF1" w:rsidRPr="00454DEF">
              <w:rPr>
                <w:rFonts w:ascii="Times New Roman" w:hAnsi="Times New Roman" w:cs="Times New Roman"/>
                <w:sz w:val="28"/>
                <w:szCs w:val="28"/>
                <w:lang w:val="en-US"/>
              </w:rPr>
              <w:t>&lt;</w:t>
            </w:r>
            <w:r>
              <w:rPr>
                <w:rFonts w:ascii="Times New Roman" w:hAnsi="Times New Roman" w:cs="Times New Roman"/>
                <w:sz w:val="28"/>
                <w:szCs w:val="28"/>
                <w:lang w:val="uk-UA"/>
              </w:rPr>
              <w:t xml:space="preserve"> </w:t>
            </w:r>
            <w:r w:rsidR="00137AF1" w:rsidRPr="00454DEF">
              <w:rPr>
                <w:rFonts w:ascii="Times New Roman" w:hAnsi="Times New Roman" w:cs="Times New Roman"/>
                <w:sz w:val="28"/>
                <w:szCs w:val="28"/>
                <w:lang w:val="en-US"/>
              </w:rPr>
              <w:t>0,00</w:t>
            </w:r>
            <w:r w:rsidR="00D64683" w:rsidRPr="00454DEF">
              <w:rPr>
                <w:rFonts w:ascii="Times New Roman" w:hAnsi="Times New Roman" w:cs="Times New Roman"/>
                <w:sz w:val="28"/>
                <w:szCs w:val="28"/>
                <w:lang w:val="en-US"/>
              </w:rPr>
              <w:t>0</w:t>
            </w:r>
            <w:r w:rsidR="00137AF1" w:rsidRPr="00454DEF">
              <w:rPr>
                <w:rFonts w:ascii="Times New Roman" w:hAnsi="Times New Roman" w:cs="Times New Roman"/>
                <w:sz w:val="28"/>
                <w:szCs w:val="28"/>
                <w:lang w:val="en-US"/>
              </w:rPr>
              <w:t>1</w:t>
            </w:r>
          </w:p>
        </w:tc>
        <w:tc>
          <w:tcPr>
            <w:tcW w:w="1701" w:type="dxa"/>
          </w:tcPr>
          <w:p w:rsidR="00137AF1" w:rsidRPr="00454DEF" w:rsidRDefault="00137AF1" w:rsidP="00D065D3">
            <w:pPr>
              <w:pStyle w:val="Default"/>
              <w:rPr>
                <w:rFonts w:ascii="Times New Roman" w:hAnsi="Times New Roman" w:cs="Times New Roman"/>
                <w:sz w:val="28"/>
                <w:szCs w:val="28"/>
                <w:lang w:val="en-US"/>
              </w:rPr>
            </w:pPr>
          </w:p>
        </w:tc>
        <w:tc>
          <w:tcPr>
            <w:tcW w:w="1843" w:type="dxa"/>
          </w:tcPr>
          <w:p w:rsidR="00137AF1" w:rsidRPr="00454DEF" w:rsidRDefault="00137AF1" w:rsidP="008E58A1">
            <w:pPr>
              <w:autoSpaceDE w:val="0"/>
              <w:autoSpaceDN w:val="0"/>
              <w:adjustRightInd w:val="0"/>
              <w:jc w:val="both"/>
              <w:rPr>
                <w:rFonts w:ascii="Times New Roman" w:hAnsi="Times New Roman" w:cs="Times New Roman"/>
                <w:sz w:val="28"/>
                <w:szCs w:val="28"/>
                <w:lang w:val="en-US"/>
              </w:rPr>
            </w:pP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r w:rsidRPr="00136877">
              <w:rPr>
                <w:rFonts w:ascii="Times New Roman" w:hAnsi="Times New Roman" w:cs="Times New Roman"/>
                <w:sz w:val="28"/>
                <w:szCs w:val="28"/>
                <w:lang w:val="uk-UA"/>
              </w:rPr>
              <w:t>ТМШП (см)</w:t>
            </w:r>
          </w:p>
        </w:tc>
        <w:tc>
          <w:tcPr>
            <w:tcW w:w="1843" w:type="dxa"/>
          </w:tcPr>
          <w:p w:rsidR="00137AF1" w:rsidRPr="003B4C9C" w:rsidRDefault="00137AF1" w:rsidP="00F03E64">
            <w:pPr>
              <w:pStyle w:val="Default"/>
              <w:rPr>
                <w:rFonts w:ascii="Times New Roman" w:hAnsi="Times New Roman" w:cs="Times New Roman"/>
                <w:sz w:val="28"/>
                <w:szCs w:val="28"/>
                <w:u w:val="single"/>
                <w:lang w:val="en-US"/>
              </w:rPr>
            </w:pPr>
            <w:r w:rsidRPr="003B4C9C">
              <w:rPr>
                <w:rFonts w:ascii="Times New Roman" w:hAnsi="Times New Roman" w:cs="Times New Roman"/>
                <w:sz w:val="28"/>
                <w:szCs w:val="28"/>
                <w:u w:val="single"/>
                <w:lang w:val="uk-UA"/>
              </w:rPr>
              <w:t>1,33</w:t>
            </w:r>
            <w:r w:rsidR="00EC2C18">
              <w:rPr>
                <w:rFonts w:ascii="Times New Roman" w:hAnsi="Times New Roman" w:cs="Times New Roman"/>
                <w:sz w:val="28"/>
                <w:szCs w:val="28"/>
                <w:u w:val="single"/>
                <w:lang w:val="uk-UA"/>
              </w:rPr>
              <w:t xml:space="preserve"> </w:t>
            </w:r>
            <w:r w:rsidRPr="003B4C9C">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3B4C9C">
              <w:rPr>
                <w:rFonts w:ascii="Times New Roman" w:hAnsi="Times New Roman" w:cs="Times New Roman"/>
                <w:sz w:val="28"/>
                <w:szCs w:val="28"/>
                <w:u w:val="single"/>
                <w:lang w:val="uk-UA"/>
              </w:rPr>
              <w:t>0,03</w:t>
            </w:r>
          </w:p>
          <w:p w:rsidR="00137AF1" w:rsidRPr="00454DEF" w:rsidRDefault="00137AF1" w:rsidP="00F03E64">
            <w:pPr>
              <w:pStyle w:val="Default"/>
              <w:rPr>
                <w:rFonts w:ascii="Times New Roman" w:hAnsi="Times New Roman" w:cs="Times New Roman"/>
                <w:sz w:val="28"/>
                <w:szCs w:val="28"/>
                <w:highlight w:val="yellow"/>
                <w:u w:val="single"/>
                <w:lang w:val="en-US"/>
              </w:rPr>
            </w:pPr>
            <w:r w:rsidRPr="0017603B">
              <w:rPr>
                <w:rFonts w:ascii="Times New Roman" w:hAnsi="Times New Roman" w:cs="Times New Roman"/>
                <w:sz w:val="28"/>
                <w:szCs w:val="28"/>
                <w:lang w:val="uk-UA"/>
              </w:rPr>
              <w:t>1,26</w:t>
            </w:r>
            <w:r w:rsidR="00EC2C18">
              <w:rPr>
                <w:rFonts w:ascii="Times New Roman" w:hAnsi="Times New Roman" w:cs="Times New Roman"/>
                <w:sz w:val="28"/>
                <w:szCs w:val="28"/>
                <w:lang w:val="uk-UA"/>
              </w:rPr>
              <w:t xml:space="preserve"> </w:t>
            </w:r>
            <w:r w:rsidRPr="0017603B">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17603B">
              <w:rPr>
                <w:rFonts w:ascii="Times New Roman" w:hAnsi="Times New Roman" w:cs="Times New Roman"/>
                <w:sz w:val="28"/>
                <w:szCs w:val="28"/>
                <w:lang w:val="uk-UA"/>
              </w:rPr>
              <w:t>0,01</w:t>
            </w:r>
          </w:p>
        </w:tc>
        <w:tc>
          <w:tcPr>
            <w:tcW w:w="2126" w:type="dxa"/>
          </w:tcPr>
          <w:p w:rsidR="00137AF1" w:rsidRPr="003B4C9C" w:rsidRDefault="00137AF1" w:rsidP="00D065D3">
            <w:pPr>
              <w:pStyle w:val="Default"/>
              <w:rPr>
                <w:rFonts w:ascii="Times New Roman" w:hAnsi="Times New Roman" w:cs="Times New Roman"/>
                <w:sz w:val="28"/>
                <w:szCs w:val="28"/>
                <w:u w:val="single"/>
                <w:lang w:val="uk-UA"/>
              </w:rPr>
            </w:pPr>
            <w:r w:rsidRPr="003B4C9C">
              <w:rPr>
                <w:rFonts w:ascii="Times New Roman" w:hAnsi="Times New Roman" w:cs="Times New Roman"/>
                <w:sz w:val="28"/>
                <w:szCs w:val="28"/>
                <w:u w:val="single"/>
                <w:lang w:val="uk-UA"/>
              </w:rPr>
              <w:t>1,</w:t>
            </w:r>
            <w:r w:rsidRPr="003B4C9C">
              <w:rPr>
                <w:rFonts w:ascii="Times New Roman" w:hAnsi="Times New Roman" w:cs="Times New Roman"/>
                <w:sz w:val="28"/>
                <w:szCs w:val="28"/>
                <w:u w:val="single"/>
                <w:lang w:val="en-US"/>
              </w:rPr>
              <w:t>25</w:t>
            </w:r>
            <w:r w:rsidR="00EC2C18">
              <w:rPr>
                <w:rFonts w:ascii="Times New Roman" w:hAnsi="Times New Roman" w:cs="Times New Roman"/>
                <w:sz w:val="28"/>
                <w:szCs w:val="28"/>
                <w:u w:val="single"/>
                <w:lang w:val="uk-UA"/>
              </w:rPr>
              <w:t xml:space="preserve"> </w:t>
            </w:r>
            <w:r w:rsidRPr="003B4C9C">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3B4C9C">
              <w:rPr>
                <w:rFonts w:ascii="Times New Roman" w:hAnsi="Times New Roman" w:cs="Times New Roman"/>
                <w:sz w:val="28"/>
                <w:szCs w:val="28"/>
                <w:u w:val="single"/>
                <w:lang w:val="uk-UA"/>
              </w:rPr>
              <w:t>0,02</w:t>
            </w:r>
          </w:p>
          <w:p w:rsidR="00137AF1" w:rsidRPr="00454DEF" w:rsidRDefault="00137AF1" w:rsidP="00D065D3">
            <w:pPr>
              <w:pStyle w:val="Default"/>
              <w:rPr>
                <w:rFonts w:ascii="Times New Roman" w:hAnsi="Times New Roman" w:cs="Times New Roman"/>
                <w:sz w:val="28"/>
                <w:szCs w:val="28"/>
                <w:highlight w:val="yellow"/>
                <w:u w:val="single"/>
                <w:lang w:val="uk-UA"/>
              </w:rPr>
            </w:pPr>
            <w:r w:rsidRPr="003B4C9C">
              <w:rPr>
                <w:rFonts w:ascii="Times New Roman" w:hAnsi="Times New Roman" w:cs="Times New Roman"/>
                <w:sz w:val="28"/>
                <w:szCs w:val="28"/>
                <w:lang w:val="uk-UA"/>
              </w:rPr>
              <w:t>1,2</w:t>
            </w:r>
            <w:r w:rsidR="00EC2C18">
              <w:rPr>
                <w:rFonts w:ascii="Times New Roman" w:hAnsi="Times New Roman" w:cs="Times New Roman"/>
                <w:sz w:val="28"/>
                <w:szCs w:val="28"/>
                <w:lang w:val="uk-UA"/>
              </w:rPr>
              <w:t xml:space="preserve"> </w:t>
            </w:r>
            <w:r w:rsidRPr="003B4C9C">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3B4C9C">
              <w:rPr>
                <w:rFonts w:ascii="Times New Roman" w:hAnsi="Times New Roman" w:cs="Times New Roman"/>
                <w:sz w:val="28"/>
                <w:szCs w:val="28"/>
                <w:lang w:val="uk-UA"/>
              </w:rPr>
              <w:t>0,01</w:t>
            </w:r>
          </w:p>
        </w:tc>
        <w:tc>
          <w:tcPr>
            <w:tcW w:w="1701" w:type="dxa"/>
          </w:tcPr>
          <w:p w:rsidR="00137AF1" w:rsidRPr="00454DEF" w:rsidRDefault="003B4C9C" w:rsidP="00D065D3">
            <w:pPr>
              <w:pStyle w:val="Default"/>
              <w:rPr>
                <w:rFonts w:ascii="Times New Roman" w:hAnsi="Times New Roman" w:cs="Times New Roman"/>
                <w:sz w:val="28"/>
                <w:szCs w:val="28"/>
                <w:highlight w:val="yellow"/>
                <w:lang w:val="en-US"/>
              </w:rPr>
            </w:pPr>
            <w:r w:rsidRPr="003B4C9C">
              <w:rPr>
                <w:rFonts w:ascii="Times New Roman" w:hAnsi="Times New Roman" w:cs="Times New Roman"/>
                <w:sz w:val="28"/>
                <w:szCs w:val="28"/>
                <w:lang w:val="en-US"/>
              </w:rPr>
              <w:t>1,09</w:t>
            </w:r>
            <w:r w:rsidR="0036171A">
              <w:rPr>
                <w:rFonts w:ascii="Times New Roman" w:hAnsi="Times New Roman" w:cs="Times New Roman"/>
                <w:sz w:val="28"/>
                <w:szCs w:val="28"/>
                <w:lang w:val="uk-UA"/>
              </w:rPr>
              <w:t xml:space="preserve"> </w:t>
            </w:r>
            <w:r w:rsidRPr="003B4C9C">
              <w:rPr>
                <w:rFonts w:ascii="Times New Roman" w:hAnsi="Times New Roman" w:cs="Times New Roman"/>
                <w:sz w:val="28"/>
                <w:szCs w:val="28"/>
                <w:lang w:val="en-US"/>
              </w:rPr>
              <w:t>±</w:t>
            </w:r>
            <w:r w:rsidR="0036171A">
              <w:rPr>
                <w:rFonts w:ascii="Times New Roman" w:hAnsi="Times New Roman" w:cs="Times New Roman"/>
                <w:sz w:val="28"/>
                <w:szCs w:val="28"/>
                <w:lang w:val="uk-UA"/>
              </w:rPr>
              <w:t xml:space="preserve"> </w:t>
            </w:r>
            <w:r w:rsidRPr="003B4C9C">
              <w:rPr>
                <w:rFonts w:ascii="Times New Roman" w:hAnsi="Times New Roman" w:cs="Times New Roman"/>
                <w:sz w:val="28"/>
                <w:szCs w:val="28"/>
                <w:lang w:val="en-US"/>
              </w:rPr>
              <w:t>0,02</w:t>
            </w:r>
          </w:p>
        </w:tc>
        <w:tc>
          <w:tcPr>
            <w:tcW w:w="1843" w:type="dxa"/>
          </w:tcPr>
          <w:p w:rsidR="00137AF1" w:rsidRPr="003B4C9C" w:rsidRDefault="000A4AFE" w:rsidP="008E58A1">
            <w:pPr>
              <w:autoSpaceDE w:val="0"/>
              <w:autoSpaceDN w:val="0"/>
              <w:adjustRightInd w:val="0"/>
              <w:jc w:val="both"/>
              <w:rPr>
                <w:rFonts w:ascii="Times New Roman" w:hAnsi="Times New Roman" w:cs="Times New Roman"/>
                <w:sz w:val="28"/>
                <w:szCs w:val="28"/>
                <w:lang w:val="en-US"/>
              </w:rPr>
            </w:pPr>
            <w:r w:rsidRPr="003B4C9C">
              <w:rPr>
                <w:rFonts w:ascii="Times New Roman" w:hAnsi="Times New Roman" w:cs="Times New Roman"/>
                <w:sz w:val="28"/>
                <w:szCs w:val="28"/>
                <w:lang w:val="en-US"/>
              </w:rPr>
              <w:t>p</w:t>
            </w:r>
            <w:r w:rsidR="00137AF1" w:rsidRPr="003B4C9C">
              <w:rPr>
                <w:rFonts w:ascii="Times New Roman" w:hAnsi="Times New Roman" w:cs="Times New Roman"/>
                <w:sz w:val="28"/>
                <w:szCs w:val="28"/>
                <w:vertAlign w:val="subscript"/>
                <w:lang w:val="en-US"/>
              </w:rPr>
              <w:t>1</w:t>
            </w:r>
            <w:r w:rsidR="00C14ECA" w:rsidRPr="003B4C9C">
              <w:rPr>
                <w:rFonts w:ascii="Times New Roman" w:hAnsi="Times New Roman" w:cs="Times New Roman"/>
                <w:sz w:val="28"/>
                <w:szCs w:val="28"/>
                <w:vertAlign w:val="subscript"/>
                <w:lang w:val="en-US"/>
              </w:rPr>
              <w:t xml:space="preserve"> </w:t>
            </w:r>
            <w:r w:rsidR="003B4C9C" w:rsidRPr="003B4C9C">
              <w:rPr>
                <w:rFonts w:ascii="Times New Roman" w:hAnsi="Times New Roman" w:cs="Times New Roman"/>
                <w:sz w:val="28"/>
                <w:szCs w:val="28"/>
                <w:lang w:val="en-US"/>
              </w:rPr>
              <w:t>= 0,0426</w:t>
            </w:r>
          </w:p>
          <w:p w:rsidR="00137AF1" w:rsidRPr="003B4C9C" w:rsidRDefault="00137AF1" w:rsidP="008E58A1">
            <w:pPr>
              <w:autoSpaceDE w:val="0"/>
              <w:autoSpaceDN w:val="0"/>
              <w:adjustRightInd w:val="0"/>
              <w:jc w:val="both"/>
              <w:rPr>
                <w:rFonts w:ascii="Times New Roman" w:hAnsi="Times New Roman" w:cs="Times New Roman"/>
                <w:sz w:val="28"/>
                <w:szCs w:val="28"/>
                <w:lang w:val="en-US"/>
              </w:rPr>
            </w:pPr>
            <w:r w:rsidRPr="003B4C9C">
              <w:rPr>
                <w:rFonts w:ascii="Times New Roman" w:hAnsi="Times New Roman" w:cs="Times New Roman"/>
                <w:sz w:val="28"/>
                <w:szCs w:val="28"/>
                <w:lang w:val="en-US"/>
              </w:rPr>
              <w:t>p</w:t>
            </w:r>
            <w:r w:rsidRPr="003B4C9C">
              <w:rPr>
                <w:rFonts w:ascii="Times New Roman" w:hAnsi="Times New Roman" w:cs="Times New Roman"/>
                <w:sz w:val="28"/>
                <w:szCs w:val="28"/>
                <w:vertAlign w:val="subscript"/>
                <w:lang w:val="en-US"/>
              </w:rPr>
              <w:t>2</w:t>
            </w:r>
            <w:r w:rsidR="00D64683" w:rsidRPr="003B4C9C">
              <w:rPr>
                <w:rFonts w:ascii="Times New Roman" w:hAnsi="Times New Roman" w:cs="Times New Roman"/>
                <w:sz w:val="28"/>
                <w:szCs w:val="28"/>
                <w:vertAlign w:val="subscript"/>
                <w:lang w:val="en-US"/>
              </w:rPr>
              <w:t xml:space="preserve"> </w:t>
            </w:r>
            <w:r w:rsidRPr="003B4C9C">
              <w:rPr>
                <w:rFonts w:ascii="Times New Roman" w:hAnsi="Times New Roman" w:cs="Times New Roman"/>
                <w:sz w:val="28"/>
                <w:szCs w:val="28"/>
                <w:lang w:val="en-US"/>
              </w:rPr>
              <w:t>&lt;</w:t>
            </w:r>
            <w:r w:rsidR="00D64683" w:rsidRPr="003B4C9C">
              <w:rPr>
                <w:rFonts w:ascii="Times New Roman" w:hAnsi="Times New Roman" w:cs="Times New Roman"/>
                <w:sz w:val="28"/>
                <w:szCs w:val="28"/>
                <w:lang w:val="en-US"/>
              </w:rPr>
              <w:t xml:space="preserve"> </w:t>
            </w:r>
            <w:r w:rsidRPr="003B4C9C">
              <w:rPr>
                <w:rFonts w:ascii="Times New Roman" w:hAnsi="Times New Roman" w:cs="Times New Roman"/>
                <w:sz w:val="28"/>
                <w:szCs w:val="28"/>
                <w:lang w:val="en-US"/>
              </w:rPr>
              <w:t>0,00</w:t>
            </w:r>
            <w:r w:rsidR="00D64683" w:rsidRPr="003B4C9C">
              <w:rPr>
                <w:rFonts w:ascii="Times New Roman" w:hAnsi="Times New Roman" w:cs="Times New Roman"/>
                <w:sz w:val="28"/>
                <w:szCs w:val="28"/>
                <w:lang w:val="en-US"/>
              </w:rPr>
              <w:t>0</w:t>
            </w:r>
            <w:r w:rsidRPr="003B4C9C">
              <w:rPr>
                <w:rFonts w:ascii="Times New Roman" w:hAnsi="Times New Roman" w:cs="Times New Roman"/>
                <w:sz w:val="28"/>
                <w:szCs w:val="28"/>
                <w:lang w:val="en-US"/>
              </w:rPr>
              <w:t>1</w:t>
            </w:r>
          </w:p>
          <w:p w:rsidR="00137AF1" w:rsidRPr="00454DEF" w:rsidRDefault="00137AF1" w:rsidP="008E58A1">
            <w:pPr>
              <w:pStyle w:val="Default"/>
              <w:rPr>
                <w:rFonts w:ascii="Times New Roman" w:hAnsi="Times New Roman" w:cs="Times New Roman"/>
                <w:sz w:val="28"/>
                <w:szCs w:val="28"/>
                <w:highlight w:val="yellow"/>
                <w:u w:val="single"/>
                <w:lang w:val="uk-UA"/>
              </w:rPr>
            </w:pPr>
            <w:r w:rsidRPr="003B4C9C">
              <w:rPr>
                <w:rFonts w:ascii="Times New Roman" w:hAnsi="Times New Roman" w:cs="Times New Roman"/>
                <w:sz w:val="28"/>
                <w:szCs w:val="28"/>
                <w:lang w:val="en-US"/>
              </w:rPr>
              <w:t>p</w:t>
            </w:r>
            <w:r w:rsidRPr="003B4C9C">
              <w:rPr>
                <w:rFonts w:ascii="Times New Roman" w:hAnsi="Times New Roman" w:cs="Times New Roman"/>
                <w:sz w:val="28"/>
                <w:szCs w:val="28"/>
                <w:vertAlign w:val="subscript"/>
                <w:lang w:val="en-US"/>
              </w:rPr>
              <w:t>3</w:t>
            </w:r>
            <w:r w:rsidRPr="003B4C9C">
              <w:rPr>
                <w:rFonts w:ascii="Times New Roman" w:hAnsi="Times New Roman" w:cs="Times New Roman"/>
                <w:sz w:val="28"/>
                <w:szCs w:val="28"/>
                <w:lang w:val="en-US"/>
              </w:rPr>
              <w:t>&lt;</w:t>
            </w:r>
            <w:r w:rsidR="005A33EF" w:rsidRPr="003B4C9C">
              <w:rPr>
                <w:rFonts w:ascii="Times New Roman" w:hAnsi="Times New Roman" w:cs="Times New Roman"/>
                <w:sz w:val="28"/>
                <w:szCs w:val="28"/>
                <w:lang w:val="en-US"/>
              </w:rPr>
              <w:t xml:space="preserve"> </w:t>
            </w:r>
            <w:r w:rsidRPr="003B4C9C">
              <w:rPr>
                <w:rFonts w:ascii="Times New Roman" w:hAnsi="Times New Roman" w:cs="Times New Roman"/>
                <w:sz w:val="28"/>
                <w:szCs w:val="28"/>
                <w:lang w:val="en-US"/>
              </w:rPr>
              <w:t>0,00</w:t>
            </w:r>
            <w:r w:rsidR="00D64683" w:rsidRPr="003B4C9C">
              <w:rPr>
                <w:rFonts w:ascii="Times New Roman" w:hAnsi="Times New Roman" w:cs="Times New Roman"/>
                <w:sz w:val="28"/>
                <w:szCs w:val="28"/>
                <w:lang w:val="en-US"/>
              </w:rPr>
              <w:t>0</w:t>
            </w:r>
            <w:r w:rsidRPr="003B4C9C">
              <w:rPr>
                <w:rFonts w:ascii="Times New Roman" w:hAnsi="Times New Roman" w:cs="Times New Roman"/>
                <w:sz w:val="28"/>
                <w:szCs w:val="28"/>
                <w:lang w:val="en-US"/>
              </w:rPr>
              <w:t>1</w:t>
            </w: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p>
        </w:tc>
        <w:tc>
          <w:tcPr>
            <w:tcW w:w="1843" w:type="dxa"/>
          </w:tcPr>
          <w:p w:rsidR="00137AF1" w:rsidRPr="00454DEF" w:rsidRDefault="00137AF1" w:rsidP="000E15FA">
            <w:pPr>
              <w:pStyle w:val="Default"/>
              <w:rPr>
                <w:rFonts w:ascii="Times New Roman" w:hAnsi="Times New Roman" w:cs="Times New Roman"/>
                <w:sz w:val="28"/>
                <w:szCs w:val="28"/>
                <w:highlight w:val="yellow"/>
                <w:u w:val="single"/>
                <w:lang w:val="uk-UA"/>
              </w:rPr>
            </w:pPr>
            <w:r w:rsidRPr="0017603B">
              <w:rPr>
                <w:rFonts w:ascii="Times New Roman" w:hAnsi="Times New Roman" w:cs="Times New Roman"/>
                <w:sz w:val="28"/>
                <w:szCs w:val="28"/>
                <w:lang w:val="en-US"/>
              </w:rPr>
              <w:t>p</w:t>
            </w:r>
            <w:r w:rsidRPr="0017603B">
              <w:rPr>
                <w:rFonts w:ascii="Times New Roman" w:hAnsi="Times New Roman" w:cs="Times New Roman"/>
                <w:sz w:val="28"/>
                <w:szCs w:val="28"/>
                <w:vertAlign w:val="subscript"/>
                <w:lang w:val="en-US"/>
              </w:rPr>
              <w:t xml:space="preserve"> </w:t>
            </w:r>
            <w:r w:rsidR="0017603B" w:rsidRPr="0017603B">
              <w:rPr>
                <w:rFonts w:ascii="Times New Roman" w:hAnsi="Times New Roman" w:cs="Times New Roman"/>
                <w:sz w:val="28"/>
                <w:szCs w:val="28"/>
                <w:lang w:val="en-US"/>
              </w:rPr>
              <w:t>= 0,029</w:t>
            </w:r>
            <w:r w:rsidR="00C14ECA" w:rsidRPr="0017603B">
              <w:rPr>
                <w:rFonts w:ascii="Times New Roman" w:hAnsi="Times New Roman" w:cs="Times New Roman"/>
                <w:sz w:val="28"/>
                <w:szCs w:val="28"/>
                <w:lang w:val="en-US"/>
              </w:rPr>
              <w:t>0</w:t>
            </w:r>
          </w:p>
        </w:tc>
        <w:tc>
          <w:tcPr>
            <w:tcW w:w="2126" w:type="dxa"/>
          </w:tcPr>
          <w:p w:rsidR="00137AF1" w:rsidRPr="00454DEF" w:rsidRDefault="00137AF1" w:rsidP="00661517">
            <w:pPr>
              <w:pStyle w:val="Default"/>
              <w:rPr>
                <w:rFonts w:ascii="Times New Roman" w:hAnsi="Times New Roman" w:cs="Times New Roman"/>
                <w:sz w:val="28"/>
                <w:szCs w:val="28"/>
                <w:highlight w:val="yellow"/>
                <w:u w:val="single"/>
                <w:lang w:val="uk-UA"/>
              </w:rPr>
            </w:pPr>
            <w:r w:rsidRPr="003B4C9C">
              <w:rPr>
                <w:rFonts w:ascii="Times New Roman" w:hAnsi="Times New Roman" w:cs="Times New Roman"/>
                <w:sz w:val="28"/>
                <w:szCs w:val="28"/>
                <w:lang w:val="en-US"/>
              </w:rPr>
              <w:t>p</w:t>
            </w:r>
            <w:r w:rsidRPr="003B4C9C">
              <w:rPr>
                <w:rFonts w:ascii="Times New Roman" w:hAnsi="Times New Roman" w:cs="Times New Roman"/>
                <w:sz w:val="28"/>
                <w:szCs w:val="28"/>
                <w:vertAlign w:val="subscript"/>
                <w:lang w:val="en-US"/>
              </w:rPr>
              <w:t xml:space="preserve"> </w:t>
            </w:r>
            <w:r w:rsidR="000A4AFE" w:rsidRPr="003B4C9C">
              <w:rPr>
                <w:rFonts w:ascii="Times New Roman" w:hAnsi="Times New Roman" w:cs="Times New Roman"/>
                <w:sz w:val="28"/>
                <w:szCs w:val="28"/>
                <w:lang w:val="en-US"/>
              </w:rPr>
              <w:t xml:space="preserve">= </w:t>
            </w:r>
            <w:r w:rsidRPr="003B4C9C">
              <w:rPr>
                <w:rFonts w:ascii="Times New Roman" w:hAnsi="Times New Roman" w:cs="Times New Roman"/>
                <w:sz w:val="28"/>
                <w:szCs w:val="28"/>
                <w:lang w:val="en-US"/>
              </w:rPr>
              <w:t>0,0</w:t>
            </w:r>
            <w:r w:rsidR="003B4C9C" w:rsidRPr="003B4C9C">
              <w:rPr>
                <w:rFonts w:ascii="Times New Roman" w:hAnsi="Times New Roman" w:cs="Times New Roman"/>
                <w:sz w:val="28"/>
                <w:szCs w:val="28"/>
                <w:lang w:val="en-US"/>
              </w:rPr>
              <w:t>282</w:t>
            </w:r>
          </w:p>
        </w:tc>
        <w:tc>
          <w:tcPr>
            <w:tcW w:w="1701" w:type="dxa"/>
          </w:tcPr>
          <w:p w:rsidR="00137AF1" w:rsidRPr="00454DEF" w:rsidRDefault="00137AF1" w:rsidP="00D065D3">
            <w:pPr>
              <w:pStyle w:val="Default"/>
              <w:rPr>
                <w:rFonts w:ascii="Times New Roman" w:hAnsi="Times New Roman" w:cs="Times New Roman"/>
                <w:sz w:val="28"/>
                <w:szCs w:val="28"/>
                <w:highlight w:val="yellow"/>
                <w:lang w:val="en-US"/>
              </w:rPr>
            </w:pPr>
          </w:p>
        </w:tc>
        <w:tc>
          <w:tcPr>
            <w:tcW w:w="1843" w:type="dxa"/>
          </w:tcPr>
          <w:p w:rsidR="00137AF1" w:rsidRPr="00454DEF" w:rsidRDefault="00137AF1" w:rsidP="008E58A1">
            <w:pPr>
              <w:autoSpaceDE w:val="0"/>
              <w:autoSpaceDN w:val="0"/>
              <w:adjustRightInd w:val="0"/>
              <w:jc w:val="both"/>
              <w:rPr>
                <w:rFonts w:ascii="Times New Roman" w:hAnsi="Times New Roman" w:cs="Times New Roman"/>
                <w:sz w:val="28"/>
                <w:szCs w:val="28"/>
                <w:highlight w:val="yellow"/>
                <w:lang w:val="en-US"/>
              </w:rPr>
            </w:pPr>
          </w:p>
        </w:tc>
      </w:tr>
      <w:tr w:rsidR="00137AF1" w:rsidRPr="00136877" w:rsidTr="008F115E">
        <w:tc>
          <w:tcPr>
            <w:tcW w:w="1843" w:type="dxa"/>
          </w:tcPr>
          <w:p w:rsidR="00137AF1" w:rsidRPr="00136877" w:rsidRDefault="00C626B7" w:rsidP="00023195">
            <w:pPr>
              <w:pStyle w:val="Default"/>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ТЗС</w:t>
            </w:r>
            <w:r w:rsidR="00137AF1" w:rsidRPr="00136877">
              <w:rPr>
                <w:rFonts w:ascii="Times New Roman" w:hAnsi="Times New Roman" w:cs="Times New Roman"/>
                <w:sz w:val="28"/>
                <w:szCs w:val="28"/>
                <w:lang w:val="uk-UA"/>
              </w:rPr>
              <w:t>ЛШ (см)</w:t>
            </w:r>
          </w:p>
        </w:tc>
        <w:tc>
          <w:tcPr>
            <w:tcW w:w="1843" w:type="dxa"/>
          </w:tcPr>
          <w:p w:rsidR="00137AF1" w:rsidRPr="0017603B" w:rsidRDefault="00137AF1" w:rsidP="009B3B00">
            <w:pPr>
              <w:pStyle w:val="Default"/>
              <w:rPr>
                <w:rFonts w:ascii="Times New Roman" w:hAnsi="Times New Roman" w:cs="Times New Roman"/>
                <w:sz w:val="28"/>
                <w:szCs w:val="28"/>
                <w:u w:val="single"/>
                <w:lang w:val="uk-UA"/>
              </w:rPr>
            </w:pPr>
            <w:r w:rsidRPr="0017603B">
              <w:rPr>
                <w:rFonts w:ascii="Times New Roman" w:hAnsi="Times New Roman" w:cs="Times New Roman"/>
                <w:sz w:val="28"/>
                <w:szCs w:val="28"/>
                <w:u w:val="single"/>
                <w:lang w:val="uk-UA"/>
              </w:rPr>
              <w:t>1,17</w:t>
            </w:r>
            <w:r w:rsidR="00EC2C18">
              <w:rPr>
                <w:rFonts w:ascii="Times New Roman" w:hAnsi="Times New Roman" w:cs="Times New Roman"/>
                <w:sz w:val="28"/>
                <w:szCs w:val="28"/>
                <w:u w:val="single"/>
                <w:lang w:val="uk-UA"/>
              </w:rPr>
              <w:t xml:space="preserve"> </w:t>
            </w:r>
            <w:r w:rsidRPr="0017603B">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17603B">
              <w:rPr>
                <w:rFonts w:ascii="Times New Roman" w:hAnsi="Times New Roman" w:cs="Times New Roman"/>
                <w:sz w:val="28"/>
                <w:szCs w:val="28"/>
                <w:u w:val="single"/>
                <w:lang w:val="uk-UA"/>
              </w:rPr>
              <w:t>0,01</w:t>
            </w:r>
          </w:p>
          <w:p w:rsidR="00137AF1" w:rsidRPr="00454DEF" w:rsidRDefault="00137AF1" w:rsidP="009B3B00">
            <w:pPr>
              <w:pStyle w:val="Default"/>
              <w:rPr>
                <w:rFonts w:ascii="Times New Roman" w:hAnsi="Times New Roman" w:cs="Times New Roman"/>
                <w:sz w:val="28"/>
                <w:szCs w:val="28"/>
                <w:highlight w:val="yellow"/>
                <w:u w:val="single"/>
                <w:lang w:val="en-US"/>
              </w:rPr>
            </w:pPr>
            <w:r w:rsidRPr="0017603B">
              <w:rPr>
                <w:rFonts w:ascii="Times New Roman" w:hAnsi="Times New Roman" w:cs="Times New Roman"/>
                <w:sz w:val="28"/>
                <w:szCs w:val="28"/>
                <w:lang w:val="uk-UA"/>
              </w:rPr>
              <w:t>1,13</w:t>
            </w:r>
            <w:r w:rsidR="00EC2C18">
              <w:rPr>
                <w:rFonts w:ascii="Times New Roman" w:hAnsi="Times New Roman" w:cs="Times New Roman"/>
                <w:sz w:val="28"/>
                <w:szCs w:val="28"/>
                <w:lang w:val="uk-UA"/>
              </w:rPr>
              <w:t xml:space="preserve"> </w:t>
            </w:r>
            <w:r w:rsidRPr="0017603B">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17603B">
              <w:rPr>
                <w:rFonts w:ascii="Times New Roman" w:hAnsi="Times New Roman" w:cs="Times New Roman"/>
                <w:sz w:val="28"/>
                <w:szCs w:val="28"/>
                <w:lang w:val="uk-UA"/>
              </w:rPr>
              <w:t>0,01</w:t>
            </w:r>
          </w:p>
        </w:tc>
        <w:tc>
          <w:tcPr>
            <w:tcW w:w="2126" w:type="dxa"/>
          </w:tcPr>
          <w:p w:rsidR="00137AF1" w:rsidRPr="0017603B" w:rsidRDefault="00137AF1" w:rsidP="00D065D3">
            <w:pPr>
              <w:pStyle w:val="Default"/>
              <w:rPr>
                <w:rFonts w:ascii="Times New Roman" w:hAnsi="Times New Roman" w:cs="Times New Roman"/>
                <w:sz w:val="28"/>
                <w:szCs w:val="28"/>
                <w:u w:val="single"/>
                <w:lang w:val="uk-UA"/>
              </w:rPr>
            </w:pPr>
            <w:r w:rsidRPr="0017603B">
              <w:rPr>
                <w:rFonts w:ascii="Times New Roman" w:hAnsi="Times New Roman" w:cs="Times New Roman"/>
                <w:sz w:val="28"/>
                <w:szCs w:val="28"/>
                <w:u w:val="single"/>
                <w:lang w:val="uk-UA"/>
              </w:rPr>
              <w:t>1,12</w:t>
            </w:r>
            <w:r w:rsidR="00EC2C18">
              <w:rPr>
                <w:rFonts w:ascii="Times New Roman" w:hAnsi="Times New Roman" w:cs="Times New Roman"/>
                <w:sz w:val="28"/>
                <w:szCs w:val="28"/>
                <w:u w:val="single"/>
                <w:lang w:val="uk-UA"/>
              </w:rPr>
              <w:t xml:space="preserve"> </w:t>
            </w:r>
            <w:r w:rsidRPr="0017603B">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17603B">
              <w:rPr>
                <w:rFonts w:ascii="Times New Roman" w:hAnsi="Times New Roman" w:cs="Times New Roman"/>
                <w:sz w:val="28"/>
                <w:szCs w:val="28"/>
                <w:u w:val="single"/>
                <w:lang w:val="uk-UA"/>
              </w:rPr>
              <w:t>0,01</w:t>
            </w:r>
          </w:p>
          <w:p w:rsidR="00137AF1" w:rsidRPr="0017603B" w:rsidRDefault="00137AF1" w:rsidP="00D065D3">
            <w:pPr>
              <w:pStyle w:val="Default"/>
              <w:rPr>
                <w:rFonts w:ascii="Times New Roman" w:hAnsi="Times New Roman" w:cs="Times New Roman"/>
                <w:sz w:val="28"/>
                <w:szCs w:val="28"/>
                <w:u w:val="single"/>
                <w:lang w:val="en-US"/>
              </w:rPr>
            </w:pPr>
            <w:r w:rsidRPr="0017603B">
              <w:rPr>
                <w:rFonts w:ascii="Times New Roman" w:hAnsi="Times New Roman" w:cs="Times New Roman"/>
                <w:sz w:val="28"/>
                <w:szCs w:val="28"/>
                <w:lang w:val="uk-UA"/>
              </w:rPr>
              <w:t>1,08</w:t>
            </w:r>
            <w:r w:rsidR="00EC2C18">
              <w:rPr>
                <w:rFonts w:ascii="Times New Roman" w:hAnsi="Times New Roman" w:cs="Times New Roman"/>
                <w:sz w:val="28"/>
                <w:szCs w:val="28"/>
                <w:lang w:val="uk-UA"/>
              </w:rPr>
              <w:t xml:space="preserve"> </w:t>
            </w:r>
            <w:r w:rsidRPr="0017603B">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17603B">
              <w:rPr>
                <w:rFonts w:ascii="Times New Roman" w:hAnsi="Times New Roman" w:cs="Times New Roman"/>
                <w:sz w:val="28"/>
                <w:szCs w:val="28"/>
                <w:lang w:val="uk-UA"/>
              </w:rPr>
              <w:t>0,01</w:t>
            </w:r>
          </w:p>
        </w:tc>
        <w:tc>
          <w:tcPr>
            <w:tcW w:w="1701" w:type="dxa"/>
          </w:tcPr>
          <w:p w:rsidR="00137AF1" w:rsidRPr="00454DEF" w:rsidRDefault="0017603B" w:rsidP="00D065D3">
            <w:pPr>
              <w:pStyle w:val="Default"/>
              <w:rPr>
                <w:rFonts w:ascii="Times New Roman" w:hAnsi="Times New Roman" w:cs="Times New Roman"/>
                <w:sz w:val="28"/>
                <w:szCs w:val="28"/>
                <w:highlight w:val="yellow"/>
                <w:lang w:val="en-US"/>
              </w:rPr>
            </w:pPr>
            <w:r w:rsidRPr="0017603B">
              <w:rPr>
                <w:rFonts w:ascii="Times New Roman" w:hAnsi="Times New Roman" w:cs="Times New Roman"/>
                <w:sz w:val="28"/>
                <w:szCs w:val="28"/>
                <w:lang w:val="en-US"/>
              </w:rPr>
              <w:t>1,07</w:t>
            </w:r>
            <w:r w:rsidR="00DA6E42">
              <w:rPr>
                <w:rFonts w:ascii="Times New Roman" w:hAnsi="Times New Roman" w:cs="Times New Roman"/>
                <w:sz w:val="28"/>
                <w:szCs w:val="28"/>
                <w:lang w:val="uk-UA"/>
              </w:rPr>
              <w:t xml:space="preserve"> </w:t>
            </w:r>
            <w:r w:rsidRPr="0017603B">
              <w:rPr>
                <w:rFonts w:ascii="Times New Roman" w:hAnsi="Times New Roman" w:cs="Times New Roman"/>
                <w:sz w:val="28"/>
                <w:szCs w:val="28"/>
                <w:lang w:val="en-US"/>
              </w:rPr>
              <w:t>±</w:t>
            </w:r>
            <w:r w:rsidR="00DA6E42">
              <w:rPr>
                <w:rFonts w:ascii="Times New Roman" w:hAnsi="Times New Roman" w:cs="Times New Roman"/>
                <w:sz w:val="28"/>
                <w:szCs w:val="28"/>
                <w:lang w:val="uk-UA"/>
              </w:rPr>
              <w:t xml:space="preserve"> </w:t>
            </w:r>
            <w:r w:rsidRPr="0017603B">
              <w:rPr>
                <w:rFonts w:ascii="Times New Roman" w:hAnsi="Times New Roman" w:cs="Times New Roman"/>
                <w:sz w:val="28"/>
                <w:szCs w:val="28"/>
                <w:lang w:val="en-US"/>
              </w:rPr>
              <w:t>0,</w:t>
            </w:r>
            <w:r>
              <w:rPr>
                <w:rFonts w:ascii="Times New Roman" w:hAnsi="Times New Roman" w:cs="Times New Roman"/>
                <w:sz w:val="28"/>
                <w:szCs w:val="28"/>
                <w:lang w:val="en-US"/>
              </w:rPr>
              <w:t>0</w:t>
            </w:r>
            <w:r w:rsidRPr="0017603B">
              <w:rPr>
                <w:rFonts w:ascii="Times New Roman" w:hAnsi="Times New Roman" w:cs="Times New Roman"/>
                <w:sz w:val="28"/>
                <w:szCs w:val="28"/>
                <w:lang w:val="en-US"/>
              </w:rPr>
              <w:t>3</w:t>
            </w:r>
          </w:p>
        </w:tc>
        <w:tc>
          <w:tcPr>
            <w:tcW w:w="1843" w:type="dxa"/>
          </w:tcPr>
          <w:p w:rsidR="00137AF1" w:rsidRPr="0017603B" w:rsidRDefault="00137AF1" w:rsidP="008E58A1">
            <w:pPr>
              <w:autoSpaceDE w:val="0"/>
              <w:autoSpaceDN w:val="0"/>
              <w:adjustRightInd w:val="0"/>
              <w:jc w:val="both"/>
              <w:rPr>
                <w:rFonts w:ascii="Times New Roman" w:hAnsi="Times New Roman" w:cs="Times New Roman"/>
                <w:sz w:val="28"/>
                <w:szCs w:val="28"/>
                <w:lang w:val="en-US"/>
              </w:rPr>
            </w:pPr>
            <w:r w:rsidRPr="0017603B">
              <w:rPr>
                <w:rFonts w:ascii="Times New Roman" w:hAnsi="Times New Roman" w:cs="Times New Roman"/>
                <w:sz w:val="28"/>
                <w:szCs w:val="28"/>
                <w:lang w:val="en-US"/>
              </w:rPr>
              <w:t>p</w:t>
            </w:r>
            <w:r w:rsidRPr="0017603B">
              <w:rPr>
                <w:rFonts w:ascii="Times New Roman" w:hAnsi="Times New Roman" w:cs="Times New Roman"/>
                <w:sz w:val="28"/>
                <w:szCs w:val="28"/>
                <w:vertAlign w:val="subscript"/>
                <w:lang w:val="en-US"/>
              </w:rPr>
              <w:t>1</w:t>
            </w:r>
            <w:r w:rsidR="00C14ECA" w:rsidRPr="0017603B">
              <w:rPr>
                <w:rFonts w:ascii="Times New Roman" w:hAnsi="Times New Roman" w:cs="Times New Roman"/>
                <w:sz w:val="28"/>
                <w:szCs w:val="28"/>
                <w:vertAlign w:val="subscript"/>
                <w:lang w:val="en-US"/>
              </w:rPr>
              <w:t xml:space="preserve"> </w:t>
            </w:r>
            <w:r w:rsidR="0017603B" w:rsidRPr="0017603B">
              <w:rPr>
                <w:rFonts w:ascii="Times New Roman" w:hAnsi="Times New Roman" w:cs="Times New Roman"/>
                <w:sz w:val="28"/>
                <w:szCs w:val="28"/>
                <w:lang w:val="en-US"/>
              </w:rPr>
              <w:t>= 0,0008</w:t>
            </w:r>
          </w:p>
          <w:p w:rsidR="00137AF1" w:rsidRPr="0017603B" w:rsidRDefault="00137AF1" w:rsidP="008E58A1">
            <w:pPr>
              <w:autoSpaceDE w:val="0"/>
              <w:autoSpaceDN w:val="0"/>
              <w:adjustRightInd w:val="0"/>
              <w:jc w:val="both"/>
              <w:rPr>
                <w:rFonts w:ascii="Times New Roman" w:hAnsi="Times New Roman" w:cs="Times New Roman"/>
                <w:sz w:val="28"/>
                <w:szCs w:val="28"/>
                <w:lang w:val="en-US"/>
              </w:rPr>
            </w:pPr>
            <w:r w:rsidRPr="0017603B">
              <w:rPr>
                <w:rFonts w:ascii="Times New Roman" w:hAnsi="Times New Roman" w:cs="Times New Roman"/>
                <w:sz w:val="28"/>
                <w:szCs w:val="28"/>
                <w:lang w:val="en-US"/>
              </w:rPr>
              <w:t>p</w:t>
            </w:r>
            <w:r w:rsidRPr="0017603B">
              <w:rPr>
                <w:rFonts w:ascii="Times New Roman" w:hAnsi="Times New Roman" w:cs="Times New Roman"/>
                <w:sz w:val="28"/>
                <w:szCs w:val="28"/>
                <w:vertAlign w:val="subscript"/>
                <w:lang w:val="en-US"/>
              </w:rPr>
              <w:t>2</w:t>
            </w:r>
            <w:r w:rsidR="00D64683" w:rsidRPr="0017603B">
              <w:rPr>
                <w:rFonts w:ascii="Times New Roman" w:hAnsi="Times New Roman" w:cs="Times New Roman"/>
                <w:sz w:val="28"/>
                <w:szCs w:val="28"/>
                <w:vertAlign w:val="subscript"/>
                <w:lang w:val="en-US"/>
              </w:rPr>
              <w:t xml:space="preserve"> </w:t>
            </w:r>
            <w:r w:rsidRPr="0017603B">
              <w:rPr>
                <w:rFonts w:ascii="Times New Roman" w:hAnsi="Times New Roman" w:cs="Times New Roman"/>
                <w:sz w:val="28"/>
                <w:szCs w:val="28"/>
                <w:lang w:val="en-US"/>
              </w:rPr>
              <w:t>&lt;</w:t>
            </w:r>
            <w:r w:rsidR="00D64683" w:rsidRPr="0017603B">
              <w:rPr>
                <w:rFonts w:ascii="Times New Roman" w:hAnsi="Times New Roman" w:cs="Times New Roman"/>
                <w:sz w:val="28"/>
                <w:szCs w:val="28"/>
                <w:lang w:val="en-US"/>
              </w:rPr>
              <w:t xml:space="preserve"> </w:t>
            </w:r>
            <w:r w:rsidRPr="0017603B">
              <w:rPr>
                <w:rFonts w:ascii="Times New Roman" w:hAnsi="Times New Roman" w:cs="Times New Roman"/>
                <w:sz w:val="28"/>
                <w:szCs w:val="28"/>
                <w:lang w:val="en-US"/>
              </w:rPr>
              <w:t>0,00</w:t>
            </w:r>
            <w:r w:rsidR="00D64683" w:rsidRPr="0017603B">
              <w:rPr>
                <w:rFonts w:ascii="Times New Roman" w:hAnsi="Times New Roman" w:cs="Times New Roman"/>
                <w:sz w:val="28"/>
                <w:szCs w:val="28"/>
                <w:lang w:val="en-US"/>
              </w:rPr>
              <w:t>0</w:t>
            </w:r>
            <w:r w:rsidRPr="0017603B">
              <w:rPr>
                <w:rFonts w:ascii="Times New Roman" w:hAnsi="Times New Roman" w:cs="Times New Roman"/>
                <w:sz w:val="28"/>
                <w:szCs w:val="28"/>
                <w:lang w:val="en-US"/>
              </w:rPr>
              <w:t>1</w:t>
            </w:r>
          </w:p>
          <w:p w:rsidR="00137AF1" w:rsidRPr="00454DEF" w:rsidRDefault="00137AF1" w:rsidP="008E58A1">
            <w:pPr>
              <w:pStyle w:val="Default"/>
              <w:rPr>
                <w:rFonts w:ascii="Times New Roman" w:hAnsi="Times New Roman" w:cs="Times New Roman"/>
                <w:sz w:val="28"/>
                <w:szCs w:val="28"/>
                <w:highlight w:val="yellow"/>
                <w:u w:val="single"/>
                <w:lang w:val="uk-UA"/>
              </w:rPr>
            </w:pPr>
            <w:r w:rsidRPr="0017603B">
              <w:rPr>
                <w:rFonts w:ascii="Times New Roman" w:hAnsi="Times New Roman" w:cs="Times New Roman"/>
                <w:sz w:val="28"/>
                <w:szCs w:val="28"/>
                <w:lang w:val="en-US"/>
              </w:rPr>
              <w:t>p</w:t>
            </w:r>
            <w:r w:rsidRPr="0017603B">
              <w:rPr>
                <w:rFonts w:ascii="Times New Roman" w:hAnsi="Times New Roman" w:cs="Times New Roman"/>
                <w:sz w:val="28"/>
                <w:szCs w:val="28"/>
                <w:vertAlign w:val="subscript"/>
                <w:lang w:val="en-US"/>
              </w:rPr>
              <w:t>3</w:t>
            </w:r>
            <w:r w:rsidR="00C14ECA" w:rsidRPr="0017603B">
              <w:rPr>
                <w:rFonts w:ascii="Times New Roman" w:hAnsi="Times New Roman" w:cs="Times New Roman"/>
                <w:sz w:val="28"/>
                <w:szCs w:val="28"/>
                <w:vertAlign w:val="subscript"/>
                <w:lang w:val="en-US"/>
              </w:rPr>
              <w:t xml:space="preserve"> </w:t>
            </w:r>
            <w:r w:rsidR="0017603B" w:rsidRPr="0017603B">
              <w:rPr>
                <w:rFonts w:ascii="Times New Roman" w:hAnsi="Times New Roman" w:cs="Times New Roman"/>
                <w:sz w:val="28"/>
                <w:szCs w:val="28"/>
                <w:lang w:val="en-US"/>
              </w:rPr>
              <w:t>= 0,0456</w:t>
            </w: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p>
        </w:tc>
        <w:tc>
          <w:tcPr>
            <w:tcW w:w="1843" w:type="dxa"/>
          </w:tcPr>
          <w:p w:rsidR="00137AF1" w:rsidRPr="00454DEF" w:rsidRDefault="00137AF1" w:rsidP="000E15FA">
            <w:pPr>
              <w:pStyle w:val="Default"/>
              <w:rPr>
                <w:rFonts w:ascii="Times New Roman" w:hAnsi="Times New Roman" w:cs="Times New Roman"/>
                <w:sz w:val="28"/>
                <w:szCs w:val="28"/>
                <w:highlight w:val="yellow"/>
                <w:u w:val="single"/>
                <w:lang w:val="uk-UA"/>
              </w:rPr>
            </w:pPr>
            <w:r w:rsidRPr="0017603B">
              <w:rPr>
                <w:rFonts w:ascii="Times New Roman" w:hAnsi="Times New Roman" w:cs="Times New Roman"/>
                <w:sz w:val="28"/>
                <w:szCs w:val="28"/>
                <w:lang w:val="en-US"/>
              </w:rPr>
              <w:t>p</w:t>
            </w:r>
            <w:r w:rsidRPr="0017603B">
              <w:rPr>
                <w:rFonts w:ascii="Times New Roman" w:hAnsi="Times New Roman" w:cs="Times New Roman"/>
                <w:sz w:val="28"/>
                <w:szCs w:val="28"/>
                <w:vertAlign w:val="subscript"/>
                <w:lang w:val="en-US"/>
              </w:rPr>
              <w:t xml:space="preserve"> </w:t>
            </w:r>
            <w:r w:rsidR="0017603B" w:rsidRPr="0017603B">
              <w:rPr>
                <w:rFonts w:ascii="Times New Roman" w:hAnsi="Times New Roman" w:cs="Times New Roman"/>
                <w:sz w:val="28"/>
                <w:szCs w:val="28"/>
                <w:lang w:val="en-US"/>
              </w:rPr>
              <w:t>=</w:t>
            </w:r>
            <w:r w:rsidR="00EC2C18">
              <w:rPr>
                <w:rFonts w:ascii="Times New Roman" w:hAnsi="Times New Roman" w:cs="Times New Roman"/>
                <w:sz w:val="28"/>
                <w:szCs w:val="28"/>
                <w:lang w:val="uk-UA"/>
              </w:rPr>
              <w:t xml:space="preserve"> </w:t>
            </w:r>
            <w:r w:rsidR="0017603B" w:rsidRPr="0017603B">
              <w:rPr>
                <w:rFonts w:ascii="Times New Roman" w:hAnsi="Times New Roman" w:cs="Times New Roman"/>
                <w:sz w:val="28"/>
                <w:szCs w:val="28"/>
                <w:lang w:val="en-US"/>
              </w:rPr>
              <w:t>0,0056</w:t>
            </w:r>
          </w:p>
        </w:tc>
        <w:tc>
          <w:tcPr>
            <w:tcW w:w="2126" w:type="dxa"/>
          </w:tcPr>
          <w:p w:rsidR="00137AF1" w:rsidRPr="0017603B" w:rsidRDefault="00137AF1" w:rsidP="00905758">
            <w:pPr>
              <w:pStyle w:val="Default"/>
              <w:rPr>
                <w:rFonts w:ascii="Times New Roman" w:hAnsi="Times New Roman" w:cs="Times New Roman"/>
                <w:sz w:val="28"/>
                <w:szCs w:val="28"/>
                <w:u w:val="single"/>
                <w:lang w:val="uk-UA"/>
              </w:rPr>
            </w:pPr>
            <w:r w:rsidRPr="0017603B">
              <w:rPr>
                <w:rFonts w:ascii="Times New Roman" w:hAnsi="Times New Roman" w:cs="Times New Roman"/>
                <w:sz w:val="28"/>
                <w:szCs w:val="28"/>
                <w:lang w:val="en-US"/>
              </w:rPr>
              <w:t>p</w:t>
            </w:r>
            <w:r w:rsidRPr="0017603B">
              <w:rPr>
                <w:rFonts w:ascii="Times New Roman" w:hAnsi="Times New Roman" w:cs="Times New Roman"/>
                <w:sz w:val="28"/>
                <w:szCs w:val="28"/>
                <w:vertAlign w:val="subscript"/>
                <w:lang w:val="en-US"/>
              </w:rPr>
              <w:t xml:space="preserve"> </w:t>
            </w:r>
            <w:r w:rsidR="0017603B" w:rsidRPr="0017603B">
              <w:rPr>
                <w:rFonts w:ascii="Times New Roman" w:hAnsi="Times New Roman" w:cs="Times New Roman"/>
                <w:sz w:val="28"/>
                <w:szCs w:val="28"/>
                <w:lang w:val="en-US"/>
              </w:rPr>
              <w:t>= 0,0059</w:t>
            </w:r>
          </w:p>
        </w:tc>
        <w:tc>
          <w:tcPr>
            <w:tcW w:w="1701" w:type="dxa"/>
          </w:tcPr>
          <w:p w:rsidR="00137AF1" w:rsidRPr="00454DEF" w:rsidRDefault="00137AF1" w:rsidP="00D065D3">
            <w:pPr>
              <w:pStyle w:val="Default"/>
              <w:rPr>
                <w:rFonts w:ascii="Times New Roman" w:hAnsi="Times New Roman" w:cs="Times New Roman"/>
                <w:sz w:val="28"/>
                <w:szCs w:val="28"/>
                <w:highlight w:val="yellow"/>
                <w:lang w:val="en-US"/>
              </w:rPr>
            </w:pPr>
          </w:p>
        </w:tc>
        <w:tc>
          <w:tcPr>
            <w:tcW w:w="1843" w:type="dxa"/>
          </w:tcPr>
          <w:p w:rsidR="00137AF1" w:rsidRPr="00454DEF" w:rsidRDefault="00137AF1" w:rsidP="008E58A1">
            <w:pPr>
              <w:autoSpaceDE w:val="0"/>
              <w:autoSpaceDN w:val="0"/>
              <w:adjustRightInd w:val="0"/>
              <w:jc w:val="both"/>
              <w:rPr>
                <w:rFonts w:ascii="Times New Roman" w:hAnsi="Times New Roman" w:cs="Times New Roman"/>
                <w:sz w:val="28"/>
                <w:szCs w:val="28"/>
                <w:highlight w:val="yellow"/>
                <w:lang w:val="en-US"/>
              </w:rPr>
            </w:pP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r w:rsidRPr="00136877">
              <w:rPr>
                <w:rFonts w:ascii="Times New Roman" w:hAnsi="Times New Roman" w:cs="Times New Roman"/>
                <w:sz w:val="28"/>
                <w:szCs w:val="28"/>
                <w:lang w:val="uk-UA"/>
              </w:rPr>
              <w:t>КДР (см)</w:t>
            </w:r>
          </w:p>
        </w:tc>
        <w:tc>
          <w:tcPr>
            <w:tcW w:w="1843" w:type="dxa"/>
          </w:tcPr>
          <w:p w:rsidR="00137AF1" w:rsidRPr="00216B06" w:rsidRDefault="00137AF1" w:rsidP="00D065D3">
            <w:pPr>
              <w:pStyle w:val="Default"/>
              <w:rPr>
                <w:rFonts w:ascii="Times New Roman" w:hAnsi="Times New Roman" w:cs="Times New Roman"/>
                <w:sz w:val="28"/>
                <w:szCs w:val="28"/>
                <w:u w:val="single"/>
                <w:lang w:val="en-US"/>
              </w:rPr>
            </w:pPr>
            <w:r w:rsidRPr="00216B06">
              <w:rPr>
                <w:rFonts w:ascii="Times New Roman" w:hAnsi="Times New Roman" w:cs="Times New Roman"/>
                <w:sz w:val="28"/>
                <w:szCs w:val="28"/>
                <w:u w:val="single"/>
                <w:lang w:val="uk-UA"/>
              </w:rPr>
              <w:t>5,17</w:t>
            </w:r>
            <w:r w:rsidR="00EC2C18">
              <w:rPr>
                <w:rFonts w:ascii="Times New Roman" w:hAnsi="Times New Roman" w:cs="Times New Roman"/>
                <w:sz w:val="28"/>
                <w:szCs w:val="28"/>
                <w:u w:val="single"/>
                <w:lang w:val="uk-UA"/>
              </w:rPr>
              <w:t xml:space="preserve"> </w:t>
            </w:r>
            <w:r w:rsidRPr="00216B06">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216B06">
              <w:rPr>
                <w:rFonts w:ascii="Times New Roman" w:hAnsi="Times New Roman" w:cs="Times New Roman"/>
                <w:sz w:val="28"/>
                <w:szCs w:val="28"/>
                <w:u w:val="single"/>
                <w:lang w:val="uk-UA"/>
              </w:rPr>
              <w:t>0,</w:t>
            </w:r>
            <w:r w:rsidR="00216B06" w:rsidRPr="00216B06">
              <w:rPr>
                <w:rFonts w:ascii="Times New Roman" w:hAnsi="Times New Roman" w:cs="Times New Roman"/>
                <w:sz w:val="28"/>
                <w:szCs w:val="28"/>
                <w:u w:val="single"/>
                <w:lang w:val="en-US"/>
              </w:rPr>
              <w:t>02</w:t>
            </w:r>
          </w:p>
          <w:p w:rsidR="00137AF1" w:rsidRPr="00454DEF" w:rsidRDefault="00137AF1" w:rsidP="00D065D3">
            <w:pPr>
              <w:pStyle w:val="Default"/>
              <w:rPr>
                <w:rFonts w:ascii="Times New Roman" w:hAnsi="Times New Roman" w:cs="Times New Roman"/>
                <w:sz w:val="28"/>
                <w:szCs w:val="28"/>
                <w:highlight w:val="yellow"/>
                <w:u w:val="single"/>
                <w:lang w:val="en-US"/>
              </w:rPr>
            </w:pPr>
            <w:r w:rsidRPr="00216B06">
              <w:rPr>
                <w:rFonts w:ascii="Times New Roman" w:hAnsi="Times New Roman" w:cs="Times New Roman"/>
                <w:sz w:val="28"/>
                <w:szCs w:val="28"/>
                <w:lang w:val="uk-UA"/>
              </w:rPr>
              <w:t>4,86</w:t>
            </w:r>
            <w:r w:rsidR="00EC2C18">
              <w:rPr>
                <w:rFonts w:ascii="Times New Roman" w:hAnsi="Times New Roman" w:cs="Times New Roman"/>
                <w:sz w:val="28"/>
                <w:szCs w:val="28"/>
                <w:lang w:val="uk-UA"/>
              </w:rPr>
              <w:t xml:space="preserve"> </w:t>
            </w:r>
            <w:r w:rsidRPr="00216B06">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216B06">
              <w:rPr>
                <w:rFonts w:ascii="Times New Roman" w:hAnsi="Times New Roman" w:cs="Times New Roman"/>
                <w:sz w:val="28"/>
                <w:szCs w:val="28"/>
                <w:lang w:val="uk-UA"/>
              </w:rPr>
              <w:t>0,1</w:t>
            </w:r>
          </w:p>
        </w:tc>
        <w:tc>
          <w:tcPr>
            <w:tcW w:w="2126" w:type="dxa"/>
          </w:tcPr>
          <w:p w:rsidR="00137AF1" w:rsidRPr="00216B06" w:rsidRDefault="00137AF1" w:rsidP="00CB1BDC">
            <w:pPr>
              <w:pStyle w:val="Default"/>
              <w:rPr>
                <w:rFonts w:ascii="Times New Roman" w:hAnsi="Times New Roman" w:cs="Times New Roman"/>
                <w:sz w:val="28"/>
                <w:szCs w:val="28"/>
                <w:u w:val="single"/>
                <w:lang w:val="en-US"/>
              </w:rPr>
            </w:pPr>
            <w:r w:rsidRPr="00216B06">
              <w:rPr>
                <w:rFonts w:ascii="Times New Roman" w:hAnsi="Times New Roman" w:cs="Times New Roman"/>
                <w:sz w:val="28"/>
                <w:szCs w:val="28"/>
                <w:u w:val="single"/>
                <w:lang w:val="uk-UA"/>
              </w:rPr>
              <w:t>5,22</w:t>
            </w:r>
            <w:r w:rsidR="00EC2C18">
              <w:rPr>
                <w:rFonts w:ascii="Times New Roman" w:hAnsi="Times New Roman" w:cs="Times New Roman"/>
                <w:sz w:val="28"/>
                <w:szCs w:val="28"/>
                <w:u w:val="single"/>
                <w:lang w:val="uk-UA"/>
              </w:rPr>
              <w:t xml:space="preserve"> </w:t>
            </w:r>
            <w:r w:rsidRPr="00216B06">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216B06">
              <w:rPr>
                <w:rFonts w:ascii="Times New Roman" w:hAnsi="Times New Roman" w:cs="Times New Roman"/>
                <w:sz w:val="28"/>
                <w:szCs w:val="28"/>
                <w:u w:val="single"/>
                <w:lang w:val="uk-UA"/>
              </w:rPr>
              <w:t>0,</w:t>
            </w:r>
            <w:r w:rsidRPr="00216B06">
              <w:rPr>
                <w:rFonts w:ascii="Times New Roman" w:hAnsi="Times New Roman" w:cs="Times New Roman"/>
                <w:sz w:val="28"/>
                <w:szCs w:val="28"/>
                <w:u w:val="single"/>
                <w:lang w:val="en-US"/>
              </w:rPr>
              <w:t>01</w:t>
            </w:r>
          </w:p>
          <w:p w:rsidR="00137AF1" w:rsidRPr="00216B06" w:rsidRDefault="00137AF1" w:rsidP="00CB1BDC">
            <w:pPr>
              <w:pStyle w:val="Default"/>
              <w:rPr>
                <w:rFonts w:ascii="Times New Roman" w:hAnsi="Times New Roman" w:cs="Times New Roman"/>
                <w:sz w:val="28"/>
                <w:szCs w:val="28"/>
                <w:u w:val="single"/>
                <w:lang w:val="uk-UA"/>
              </w:rPr>
            </w:pPr>
            <w:r w:rsidRPr="00216B06">
              <w:rPr>
                <w:rFonts w:ascii="Times New Roman" w:hAnsi="Times New Roman" w:cs="Times New Roman"/>
                <w:sz w:val="28"/>
                <w:szCs w:val="28"/>
                <w:lang w:val="uk-UA"/>
              </w:rPr>
              <w:t>4,93</w:t>
            </w:r>
            <w:r w:rsidR="00EC2C18">
              <w:rPr>
                <w:rFonts w:ascii="Times New Roman" w:hAnsi="Times New Roman" w:cs="Times New Roman"/>
                <w:sz w:val="28"/>
                <w:szCs w:val="28"/>
                <w:lang w:val="uk-UA"/>
              </w:rPr>
              <w:t xml:space="preserve"> </w:t>
            </w:r>
            <w:r w:rsidRPr="00216B06">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216B06">
              <w:rPr>
                <w:rFonts w:ascii="Times New Roman" w:hAnsi="Times New Roman" w:cs="Times New Roman"/>
                <w:sz w:val="28"/>
                <w:szCs w:val="28"/>
                <w:lang w:val="uk-UA"/>
              </w:rPr>
              <w:t>0,02</w:t>
            </w:r>
          </w:p>
        </w:tc>
        <w:tc>
          <w:tcPr>
            <w:tcW w:w="1701" w:type="dxa"/>
          </w:tcPr>
          <w:p w:rsidR="00137AF1" w:rsidRPr="00216B06" w:rsidRDefault="00137AF1" w:rsidP="00CB1BDC">
            <w:pPr>
              <w:pStyle w:val="Default"/>
              <w:rPr>
                <w:rFonts w:ascii="Times New Roman" w:hAnsi="Times New Roman" w:cs="Times New Roman"/>
                <w:sz w:val="28"/>
                <w:szCs w:val="28"/>
                <w:lang w:val="en-US"/>
              </w:rPr>
            </w:pPr>
            <w:r w:rsidRPr="00216B06">
              <w:rPr>
                <w:rFonts w:ascii="Times New Roman" w:hAnsi="Times New Roman" w:cs="Times New Roman"/>
                <w:sz w:val="28"/>
                <w:szCs w:val="28"/>
                <w:lang w:val="en-US"/>
              </w:rPr>
              <w:t>4,6</w:t>
            </w:r>
            <w:r w:rsidR="00DA6E42">
              <w:rPr>
                <w:rFonts w:ascii="Times New Roman" w:hAnsi="Times New Roman" w:cs="Times New Roman"/>
                <w:sz w:val="28"/>
                <w:szCs w:val="28"/>
                <w:lang w:val="uk-UA"/>
              </w:rPr>
              <w:t xml:space="preserve"> </w:t>
            </w:r>
            <w:r w:rsidRPr="00216B06">
              <w:rPr>
                <w:rFonts w:ascii="Times New Roman" w:hAnsi="Times New Roman" w:cs="Times New Roman"/>
                <w:sz w:val="28"/>
                <w:szCs w:val="28"/>
                <w:lang w:val="en-US"/>
              </w:rPr>
              <w:t>±</w:t>
            </w:r>
            <w:r w:rsidR="00DA6E42">
              <w:rPr>
                <w:rFonts w:ascii="Times New Roman" w:hAnsi="Times New Roman" w:cs="Times New Roman"/>
                <w:sz w:val="28"/>
                <w:szCs w:val="28"/>
                <w:lang w:val="uk-UA"/>
              </w:rPr>
              <w:t xml:space="preserve"> </w:t>
            </w:r>
            <w:r w:rsidRPr="00216B06">
              <w:rPr>
                <w:rFonts w:ascii="Times New Roman" w:hAnsi="Times New Roman" w:cs="Times New Roman"/>
                <w:sz w:val="28"/>
                <w:szCs w:val="28"/>
                <w:lang w:val="en-US"/>
              </w:rPr>
              <w:t>0,18</w:t>
            </w:r>
          </w:p>
        </w:tc>
        <w:tc>
          <w:tcPr>
            <w:tcW w:w="1843" w:type="dxa"/>
          </w:tcPr>
          <w:p w:rsidR="00137AF1" w:rsidRPr="00216B06" w:rsidRDefault="00137AF1" w:rsidP="004A1DE4">
            <w:pPr>
              <w:autoSpaceDE w:val="0"/>
              <w:autoSpaceDN w:val="0"/>
              <w:adjustRightInd w:val="0"/>
              <w:jc w:val="both"/>
              <w:rPr>
                <w:rFonts w:ascii="Times New Roman" w:hAnsi="Times New Roman" w:cs="Times New Roman"/>
                <w:sz w:val="28"/>
                <w:szCs w:val="28"/>
                <w:lang w:val="en-US"/>
              </w:rPr>
            </w:pPr>
            <w:r w:rsidRPr="00216B06">
              <w:rPr>
                <w:rFonts w:ascii="Times New Roman" w:hAnsi="Times New Roman" w:cs="Times New Roman"/>
                <w:sz w:val="28"/>
                <w:szCs w:val="28"/>
                <w:lang w:val="en-US"/>
              </w:rPr>
              <w:t>p</w:t>
            </w:r>
            <w:r w:rsidRPr="00216B06">
              <w:rPr>
                <w:rFonts w:ascii="Times New Roman" w:hAnsi="Times New Roman" w:cs="Times New Roman"/>
                <w:sz w:val="28"/>
                <w:szCs w:val="28"/>
                <w:vertAlign w:val="subscript"/>
                <w:lang w:val="en-US"/>
              </w:rPr>
              <w:t>1</w:t>
            </w:r>
            <w:r w:rsidR="00D549BB" w:rsidRPr="00216B06">
              <w:rPr>
                <w:rFonts w:ascii="Times New Roman" w:hAnsi="Times New Roman" w:cs="Times New Roman"/>
                <w:sz w:val="28"/>
                <w:szCs w:val="28"/>
                <w:vertAlign w:val="subscript"/>
                <w:lang w:val="en-US"/>
              </w:rPr>
              <w:t xml:space="preserve"> </w:t>
            </w:r>
            <w:r w:rsidR="00D549BB" w:rsidRPr="00216B06">
              <w:rPr>
                <w:rFonts w:ascii="Times New Roman" w:hAnsi="Times New Roman" w:cs="Times New Roman"/>
                <w:sz w:val="28"/>
                <w:szCs w:val="28"/>
                <w:lang w:val="en-US"/>
              </w:rPr>
              <w:t xml:space="preserve">= </w:t>
            </w:r>
            <w:r w:rsidRPr="00216B06">
              <w:rPr>
                <w:rFonts w:ascii="Times New Roman" w:hAnsi="Times New Roman" w:cs="Times New Roman"/>
                <w:sz w:val="28"/>
                <w:szCs w:val="28"/>
                <w:lang w:val="en-US"/>
              </w:rPr>
              <w:t>0,0</w:t>
            </w:r>
            <w:r w:rsidR="00216B06" w:rsidRPr="00216B06">
              <w:rPr>
                <w:rFonts w:ascii="Times New Roman" w:hAnsi="Times New Roman" w:cs="Times New Roman"/>
                <w:sz w:val="28"/>
                <w:szCs w:val="28"/>
                <w:lang w:val="en-US"/>
              </w:rPr>
              <w:t>468</w:t>
            </w:r>
          </w:p>
          <w:p w:rsidR="00137AF1" w:rsidRPr="00216B06" w:rsidRDefault="00137AF1" w:rsidP="004A1DE4">
            <w:pPr>
              <w:autoSpaceDE w:val="0"/>
              <w:autoSpaceDN w:val="0"/>
              <w:adjustRightInd w:val="0"/>
              <w:jc w:val="both"/>
              <w:rPr>
                <w:rFonts w:ascii="Times New Roman" w:hAnsi="Times New Roman" w:cs="Times New Roman"/>
                <w:sz w:val="28"/>
                <w:szCs w:val="28"/>
                <w:lang w:val="en-US"/>
              </w:rPr>
            </w:pPr>
            <w:r w:rsidRPr="00216B06">
              <w:rPr>
                <w:rFonts w:ascii="Times New Roman" w:hAnsi="Times New Roman" w:cs="Times New Roman"/>
                <w:sz w:val="28"/>
                <w:szCs w:val="28"/>
                <w:lang w:val="en-US"/>
              </w:rPr>
              <w:t>p</w:t>
            </w:r>
            <w:r w:rsidRPr="00216B06">
              <w:rPr>
                <w:rFonts w:ascii="Times New Roman" w:hAnsi="Times New Roman" w:cs="Times New Roman"/>
                <w:sz w:val="28"/>
                <w:szCs w:val="28"/>
                <w:vertAlign w:val="subscript"/>
                <w:lang w:val="en-US"/>
              </w:rPr>
              <w:t>2</w:t>
            </w:r>
            <w:r w:rsidR="00D64683" w:rsidRPr="00216B06">
              <w:rPr>
                <w:rFonts w:ascii="Times New Roman" w:hAnsi="Times New Roman" w:cs="Times New Roman"/>
                <w:sz w:val="28"/>
                <w:szCs w:val="28"/>
                <w:vertAlign w:val="subscript"/>
                <w:lang w:val="en-US"/>
              </w:rPr>
              <w:t xml:space="preserve"> </w:t>
            </w:r>
            <w:r w:rsidRPr="00216B06">
              <w:rPr>
                <w:rFonts w:ascii="Times New Roman" w:hAnsi="Times New Roman" w:cs="Times New Roman"/>
                <w:sz w:val="28"/>
                <w:szCs w:val="28"/>
                <w:lang w:val="en-US"/>
              </w:rPr>
              <w:t>&lt;</w:t>
            </w:r>
            <w:r w:rsidR="00D64683" w:rsidRPr="00216B06">
              <w:rPr>
                <w:rFonts w:ascii="Times New Roman" w:hAnsi="Times New Roman" w:cs="Times New Roman"/>
                <w:sz w:val="28"/>
                <w:szCs w:val="28"/>
                <w:lang w:val="en-US"/>
              </w:rPr>
              <w:t xml:space="preserve"> </w:t>
            </w:r>
            <w:r w:rsidRPr="00216B06">
              <w:rPr>
                <w:rFonts w:ascii="Times New Roman" w:hAnsi="Times New Roman" w:cs="Times New Roman"/>
                <w:sz w:val="28"/>
                <w:szCs w:val="28"/>
                <w:lang w:val="en-US"/>
              </w:rPr>
              <w:t>0,00</w:t>
            </w:r>
            <w:r w:rsidR="00D64683" w:rsidRPr="00216B06">
              <w:rPr>
                <w:rFonts w:ascii="Times New Roman" w:hAnsi="Times New Roman" w:cs="Times New Roman"/>
                <w:sz w:val="28"/>
                <w:szCs w:val="28"/>
                <w:lang w:val="en-US"/>
              </w:rPr>
              <w:t>0</w:t>
            </w:r>
            <w:r w:rsidRPr="00216B06">
              <w:rPr>
                <w:rFonts w:ascii="Times New Roman" w:hAnsi="Times New Roman" w:cs="Times New Roman"/>
                <w:sz w:val="28"/>
                <w:szCs w:val="28"/>
                <w:lang w:val="en-US"/>
              </w:rPr>
              <w:t>1</w:t>
            </w:r>
          </w:p>
          <w:p w:rsidR="00137AF1" w:rsidRPr="00454DEF" w:rsidRDefault="00137AF1" w:rsidP="004A1DE4">
            <w:pPr>
              <w:pStyle w:val="Default"/>
              <w:rPr>
                <w:rFonts w:ascii="Times New Roman" w:hAnsi="Times New Roman" w:cs="Times New Roman"/>
                <w:sz w:val="28"/>
                <w:szCs w:val="28"/>
                <w:highlight w:val="yellow"/>
                <w:u w:val="single"/>
                <w:lang w:val="uk-UA"/>
              </w:rPr>
            </w:pPr>
            <w:r w:rsidRPr="00216B06">
              <w:rPr>
                <w:rFonts w:ascii="Times New Roman" w:hAnsi="Times New Roman" w:cs="Times New Roman"/>
                <w:sz w:val="28"/>
                <w:szCs w:val="28"/>
                <w:lang w:val="en-US"/>
              </w:rPr>
              <w:t>p</w:t>
            </w:r>
            <w:r w:rsidRPr="00216B06">
              <w:rPr>
                <w:rFonts w:ascii="Times New Roman" w:hAnsi="Times New Roman" w:cs="Times New Roman"/>
                <w:sz w:val="28"/>
                <w:szCs w:val="28"/>
                <w:vertAlign w:val="subscript"/>
                <w:lang w:val="en-US"/>
              </w:rPr>
              <w:t>3</w:t>
            </w:r>
            <w:r w:rsidR="00D64683" w:rsidRPr="00216B06">
              <w:rPr>
                <w:rFonts w:ascii="Times New Roman" w:hAnsi="Times New Roman" w:cs="Times New Roman"/>
                <w:sz w:val="28"/>
                <w:szCs w:val="28"/>
                <w:vertAlign w:val="subscript"/>
                <w:lang w:val="en-US"/>
              </w:rPr>
              <w:t xml:space="preserve"> </w:t>
            </w:r>
            <w:r w:rsidRPr="00216B06">
              <w:rPr>
                <w:rFonts w:ascii="Times New Roman" w:hAnsi="Times New Roman" w:cs="Times New Roman"/>
                <w:sz w:val="28"/>
                <w:szCs w:val="28"/>
                <w:lang w:val="en-US"/>
              </w:rPr>
              <w:t>&lt;</w:t>
            </w:r>
            <w:r w:rsidR="00D64683" w:rsidRPr="00216B06">
              <w:rPr>
                <w:rFonts w:ascii="Times New Roman" w:hAnsi="Times New Roman" w:cs="Times New Roman"/>
                <w:sz w:val="28"/>
                <w:szCs w:val="28"/>
                <w:lang w:val="en-US"/>
              </w:rPr>
              <w:t xml:space="preserve"> </w:t>
            </w:r>
            <w:r w:rsidRPr="00216B06">
              <w:rPr>
                <w:rFonts w:ascii="Times New Roman" w:hAnsi="Times New Roman" w:cs="Times New Roman"/>
                <w:sz w:val="28"/>
                <w:szCs w:val="28"/>
                <w:lang w:val="en-US"/>
              </w:rPr>
              <w:t>0,00</w:t>
            </w:r>
            <w:r w:rsidR="00D64683" w:rsidRPr="00216B06">
              <w:rPr>
                <w:rFonts w:ascii="Times New Roman" w:hAnsi="Times New Roman" w:cs="Times New Roman"/>
                <w:sz w:val="28"/>
                <w:szCs w:val="28"/>
                <w:lang w:val="en-US"/>
              </w:rPr>
              <w:t>0</w:t>
            </w:r>
            <w:r w:rsidRPr="00216B06">
              <w:rPr>
                <w:rFonts w:ascii="Times New Roman" w:hAnsi="Times New Roman" w:cs="Times New Roman"/>
                <w:sz w:val="28"/>
                <w:szCs w:val="28"/>
                <w:lang w:val="en-US"/>
              </w:rPr>
              <w:t>1</w:t>
            </w:r>
          </w:p>
        </w:tc>
      </w:tr>
    </w:tbl>
    <w:p w:rsidR="006739B9" w:rsidRDefault="006739B9">
      <w:pPr>
        <w:rPr>
          <w:lang w:val="uk-UA"/>
        </w:rPr>
      </w:pPr>
      <w:r>
        <w:br w:type="page"/>
      </w:r>
    </w:p>
    <w:p w:rsidR="006739B9" w:rsidRPr="006739B9" w:rsidRDefault="006739B9" w:rsidP="00AB5ED3">
      <w:pPr>
        <w:rPr>
          <w:rFonts w:ascii="Times New Roman" w:hAnsi="Times New Roman" w:cs="Times New Roman"/>
          <w:i/>
          <w:sz w:val="28"/>
          <w:szCs w:val="28"/>
          <w:lang w:val="uk-UA"/>
        </w:rPr>
      </w:pPr>
      <w:r w:rsidRPr="006739B9">
        <w:rPr>
          <w:rFonts w:ascii="Times New Roman" w:hAnsi="Times New Roman" w:cs="Times New Roman"/>
          <w:i/>
          <w:sz w:val="28"/>
          <w:szCs w:val="28"/>
          <w:lang w:val="uk-UA"/>
        </w:rPr>
        <w:lastRenderedPageBreak/>
        <w:t>Продовж. табл. 6.2.2</w:t>
      </w:r>
    </w:p>
    <w:tbl>
      <w:tblPr>
        <w:tblStyle w:val="a5"/>
        <w:tblW w:w="9356" w:type="dxa"/>
        <w:tblInd w:w="108" w:type="dxa"/>
        <w:tblLook w:val="04A0" w:firstRow="1" w:lastRow="0" w:firstColumn="1" w:lastColumn="0" w:noHBand="0" w:noVBand="1"/>
      </w:tblPr>
      <w:tblGrid>
        <w:gridCol w:w="1843"/>
        <w:gridCol w:w="1843"/>
        <w:gridCol w:w="2126"/>
        <w:gridCol w:w="1701"/>
        <w:gridCol w:w="1843"/>
      </w:tblGrid>
      <w:tr w:rsidR="006739B9" w:rsidRPr="00136877" w:rsidTr="008F115E">
        <w:tc>
          <w:tcPr>
            <w:tcW w:w="1843" w:type="dxa"/>
          </w:tcPr>
          <w:p w:rsidR="006739B9" w:rsidRPr="00136877" w:rsidRDefault="006739B9" w:rsidP="006739B9">
            <w:pPr>
              <w:pStyle w:val="Default"/>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tcPr>
          <w:p w:rsidR="006739B9" w:rsidRPr="006739B9" w:rsidRDefault="006739B9" w:rsidP="006739B9">
            <w:pPr>
              <w:pStyle w:val="Default"/>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126" w:type="dxa"/>
          </w:tcPr>
          <w:p w:rsidR="006739B9" w:rsidRPr="006739B9" w:rsidRDefault="006739B9" w:rsidP="006739B9">
            <w:pPr>
              <w:pStyle w:val="Default"/>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01" w:type="dxa"/>
          </w:tcPr>
          <w:p w:rsidR="006739B9" w:rsidRPr="006739B9" w:rsidRDefault="006739B9" w:rsidP="006739B9">
            <w:pPr>
              <w:pStyle w:val="Default"/>
              <w:jc w:val="center"/>
              <w:rPr>
                <w:rFonts w:ascii="Times New Roman" w:hAnsi="Times New Roman" w:cs="Times New Roman"/>
                <w:sz w:val="28"/>
                <w:szCs w:val="28"/>
                <w:highlight w:val="yellow"/>
                <w:lang w:val="uk-UA"/>
              </w:rPr>
            </w:pPr>
            <w:r w:rsidRPr="006739B9">
              <w:rPr>
                <w:rFonts w:ascii="Times New Roman" w:hAnsi="Times New Roman" w:cs="Times New Roman"/>
                <w:sz w:val="28"/>
                <w:szCs w:val="28"/>
                <w:lang w:val="uk-UA"/>
              </w:rPr>
              <w:t>4</w:t>
            </w:r>
          </w:p>
        </w:tc>
        <w:tc>
          <w:tcPr>
            <w:tcW w:w="1843" w:type="dxa"/>
          </w:tcPr>
          <w:p w:rsidR="006739B9" w:rsidRPr="006739B9" w:rsidRDefault="006739B9" w:rsidP="006739B9">
            <w:pPr>
              <w:autoSpaceDE w:val="0"/>
              <w:autoSpaceDN w:val="0"/>
              <w:adjustRightInd w:val="0"/>
              <w:jc w:val="center"/>
              <w:rPr>
                <w:rFonts w:ascii="Times New Roman" w:hAnsi="Times New Roman" w:cs="Times New Roman"/>
                <w:sz w:val="28"/>
                <w:szCs w:val="28"/>
                <w:highlight w:val="yellow"/>
                <w:lang w:val="uk-UA"/>
              </w:rPr>
            </w:pPr>
            <w:r w:rsidRPr="006739B9">
              <w:rPr>
                <w:rFonts w:ascii="Times New Roman" w:hAnsi="Times New Roman" w:cs="Times New Roman"/>
                <w:sz w:val="28"/>
                <w:szCs w:val="28"/>
                <w:lang w:val="uk-UA"/>
              </w:rPr>
              <w:t>5</w:t>
            </w: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p>
        </w:tc>
        <w:tc>
          <w:tcPr>
            <w:tcW w:w="1843" w:type="dxa"/>
          </w:tcPr>
          <w:p w:rsidR="00137AF1" w:rsidRPr="00454DEF" w:rsidRDefault="00137AF1" w:rsidP="000E15FA">
            <w:pPr>
              <w:pStyle w:val="Default"/>
              <w:rPr>
                <w:rFonts w:ascii="Times New Roman" w:hAnsi="Times New Roman" w:cs="Times New Roman"/>
                <w:sz w:val="28"/>
                <w:szCs w:val="28"/>
                <w:highlight w:val="yellow"/>
                <w:u w:val="single"/>
                <w:lang w:val="uk-UA"/>
              </w:rPr>
            </w:pPr>
            <w:r w:rsidRPr="00216B06">
              <w:rPr>
                <w:rFonts w:ascii="Times New Roman" w:hAnsi="Times New Roman" w:cs="Times New Roman"/>
                <w:sz w:val="28"/>
                <w:szCs w:val="28"/>
                <w:lang w:val="en-US"/>
              </w:rPr>
              <w:t>p</w:t>
            </w:r>
            <w:r w:rsidRPr="00216B06">
              <w:rPr>
                <w:rFonts w:ascii="Times New Roman" w:hAnsi="Times New Roman" w:cs="Times New Roman"/>
                <w:sz w:val="28"/>
                <w:szCs w:val="28"/>
                <w:vertAlign w:val="subscript"/>
                <w:lang w:val="en-US"/>
              </w:rPr>
              <w:t xml:space="preserve"> </w:t>
            </w:r>
            <w:r w:rsidR="00216B06" w:rsidRPr="00216B06">
              <w:rPr>
                <w:rFonts w:ascii="Times New Roman" w:hAnsi="Times New Roman" w:cs="Times New Roman"/>
                <w:sz w:val="28"/>
                <w:szCs w:val="28"/>
                <w:lang w:val="en-US"/>
              </w:rPr>
              <w:t>= 0,003</w:t>
            </w:r>
          </w:p>
        </w:tc>
        <w:tc>
          <w:tcPr>
            <w:tcW w:w="2126" w:type="dxa"/>
          </w:tcPr>
          <w:p w:rsidR="00137AF1" w:rsidRPr="00454DEF" w:rsidRDefault="00137AF1" w:rsidP="00905758">
            <w:pPr>
              <w:pStyle w:val="Default"/>
              <w:rPr>
                <w:rFonts w:ascii="Times New Roman" w:hAnsi="Times New Roman" w:cs="Times New Roman"/>
                <w:sz w:val="28"/>
                <w:szCs w:val="28"/>
                <w:highlight w:val="yellow"/>
                <w:u w:val="single"/>
                <w:lang w:val="uk-UA"/>
              </w:rPr>
            </w:pPr>
            <w:r w:rsidRPr="00216B06">
              <w:rPr>
                <w:rFonts w:ascii="Times New Roman" w:hAnsi="Times New Roman" w:cs="Times New Roman"/>
                <w:sz w:val="28"/>
                <w:szCs w:val="28"/>
                <w:lang w:val="en-US"/>
              </w:rPr>
              <w:t>p</w:t>
            </w:r>
            <w:r w:rsidRPr="00216B06">
              <w:rPr>
                <w:rFonts w:ascii="Times New Roman" w:hAnsi="Times New Roman" w:cs="Times New Roman"/>
                <w:sz w:val="28"/>
                <w:szCs w:val="28"/>
                <w:vertAlign w:val="subscript"/>
                <w:lang w:val="en-US"/>
              </w:rPr>
              <w:t xml:space="preserve"> </w:t>
            </w:r>
            <w:r w:rsidRPr="00216B06">
              <w:rPr>
                <w:rFonts w:ascii="Times New Roman" w:hAnsi="Times New Roman" w:cs="Times New Roman"/>
                <w:sz w:val="28"/>
                <w:szCs w:val="28"/>
                <w:lang w:val="en-US"/>
              </w:rPr>
              <w:t>&lt;</w:t>
            </w:r>
            <w:r w:rsidR="00EC2C18">
              <w:rPr>
                <w:rFonts w:ascii="Times New Roman" w:hAnsi="Times New Roman" w:cs="Times New Roman"/>
                <w:sz w:val="28"/>
                <w:szCs w:val="28"/>
                <w:lang w:val="uk-UA"/>
              </w:rPr>
              <w:t xml:space="preserve"> </w:t>
            </w:r>
            <w:r w:rsidRPr="00216B06">
              <w:rPr>
                <w:rFonts w:ascii="Times New Roman" w:hAnsi="Times New Roman" w:cs="Times New Roman"/>
                <w:sz w:val="28"/>
                <w:szCs w:val="28"/>
                <w:lang w:val="en-US"/>
              </w:rPr>
              <w:t>0,00</w:t>
            </w:r>
            <w:r w:rsidR="00D64683" w:rsidRPr="00216B06">
              <w:rPr>
                <w:rFonts w:ascii="Times New Roman" w:hAnsi="Times New Roman" w:cs="Times New Roman"/>
                <w:sz w:val="28"/>
                <w:szCs w:val="28"/>
                <w:lang w:val="en-US"/>
              </w:rPr>
              <w:t>0</w:t>
            </w:r>
            <w:r w:rsidRPr="00216B06">
              <w:rPr>
                <w:rFonts w:ascii="Times New Roman" w:hAnsi="Times New Roman" w:cs="Times New Roman"/>
                <w:sz w:val="28"/>
                <w:szCs w:val="28"/>
                <w:lang w:val="en-US"/>
              </w:rPr>
              <w:t>1</w:t>
            </w:r>
          </w:p>
        </w:tc>
        <w:tc>
          <w:tcPr>
            <w:tcW w:w="1701" w:type="dxa"/>
          </w:tcPr>
          <w:p w:rsidR="00137AF1" w:rsidRPr="00454DEF" w:rsidRDefault="00137AF1" w:rsidP="00CB1BDC">
            <w:pPr>
              <w:pStyle w:val="Default"/>
              <w:rPr>
                <w:rFonts w:ascii="Times New Roman" w:hAnsi="Times New Roman" w:cs="Times New Roman"/>
                <w:sz w:val="28"/>
                <w:szCs w:val="28"/>
                <w:highlight w:val="yellow"/>
                <w:lang w:val="en-US"/>
              </w:rPr>
            </w:pPr>
          </w:p>
        </w:tc>
        <w:tc>
          <w:tcPr>
            <w:tcW w:w="1843" w:type="dxa"/>
          </w:tcPr>
          <w:p w:rsidR="00137AF1" w:rsidRPr="00454DEF" w:rsidRDefault="00137AF1" w:rsidP="004A1DE4">
            <w:pPr>
              <w:autoSpaceDE w:val="0"/>
              <w:autoSpaceDN w:val="0"/>
              <w:adjustRightInd w:val="0"/>
              <w:jc w:val="both"/>
              <w:rPr>
                <w:rFonts w:ascii="Times New Roman" w:hAnsi="Times New Roman" w:cs="Times New Roman"/>
                <w:sz w:val="28"/>
                <w:szCs w:val="28"/>
                <w:highlight w:val="yellow"/>
                <w:lang w:val="en-US"/>
              </w:rPr>
            </w:pP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r w:rsidRPr="00136877">
              <w:rPr>
                <w:rFonts w:ascii="Times New Roman" w:hAnsi="Times New Roman" w:cs="Times New Roman"/>
                <w:sz w:val="28"/>
                <w:szCs w:val="28"/>
                <w:lang w:val="uk-UA"/>
              </w:rPr>
              <w:t>КСР (см)</w:t>
            </w:r>
          </w:p>
        </w:tc>
        <w:tc>
          <w:tcPr>
            <w:tcW w:w="1843" w:type="dxa"/>
          </w:tcPr>
          <w:p w:rsidR="00137AF1" w:rsidRPr="0003245B" w:rsidRDefault="00137AF1" w:rsidP="00D065D3">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u w:val="single"/>
                <w:lang w:val="uk-UA"/>
              </w:rPr>
              <w:t>3,6</w:t>
            </w:r>
            <w:r w:rsidR="00EC2C18">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0,05</w:t>
            </w:r>
          </w:p>
          <w:p w:rsidR="00137AF1" w:rsidRPr="0003245B" w:rsidRDefault="00137AF1" w:rsidP="00D065D3">
            <w:pPr>
              <w:pStyle w:val="Default"/>
              <w:rPr>
                <w:rFonts w:ascii="Times New Roman" w:hAnsi="Times New Roman" w:cs="Times New Roman"/>
                <w:sz w:val="28"/>
                <w:szCs w:val="28"/>
                <w:u w:val="single"/>
                <w:lang w:val="en-US"/>
              </w:rPr>
            </w:pPr>
            <w:r w:rsidRPr="0003245B">
              <w:rPr>
                <w:rFonts w:ascii="Times New Roman" w:hAnsi="Times New Roman" w:cs="Times New Roman"/>
                <w:sz w:val="28"/>
                <w:szCs w:val="28"/>
                <w:lang w:val="uk-UA"/>
              </w:rPr>
              <w:t>3,46</w:t>
            </w:r>
            <w:r w:rsidR="00EC2C18">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0,02</w:t>
            </w:r>
          </w:p>
        </w:tc>
        <w:tc>
          <w:tcPr>
            <w:tcW w:w="2126" w:type="dxa"/>
          </w:tcPr>
          <w:p w:rsidR="00137AF1" w:rsidRPr="0003245B" w:rsidRDefault="00137AF1" w:rsidP="00CB1BDC">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u w:val="single"/>
                <w:lang w:val="uk-UA"/>
              </w:rPr>
              <w:t>3,79</w:t>
            </w:r>
            <w:r w:rsidR="00EC2C18">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w:t>
            </w:r>
            <w:r w:rsidR="00EC2C18">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0,03</w:t>
            </w:r>
          </w:p>
          <w:p w:rsidR="00137AF1" w:rsidRPr="0003245B" w:rsidRDefault="00137AF1" w:rsidP="00CB1BDC">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lang w:val="uk-UA"/>
              </w:rPr>
              <w:t>3,65</w:t>
            </w:r>
            <w:r w:rsidR="00EC2C18">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w:t>
            </w:r>
            <w:r w:rsidR="00EC2C18">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0,02</w:t>
            </w:r>
          </w:p>
        </w:tc>
        <w:tc>
          <w:tcPr>
            <w:tcW w:w="1701" w:type="dxa"/>
          </w:tcPr>
          <w:p w:rsidR="00137AF1" w:rsidRPr="00454DEF" w:rsidRDefault="00137AF1" w:rsidP="00CB1BDC">
            <w:pPr>
              <w:pStyle w:val="Default"/>
              <w:rPr>
                <w:rFonts w:ascii="Times New Roman" w:hAnsi="Times New Roman" w:cs="Times New Roman"/>
                <w:sz w:val="28"/>
                <w:szCs w:val="28"/>
                <w:highlight w:val="yellow"/>
                <w:lang w:val="en-US"/>
              </w:rPr>
            </w:pPr>
            <w:r w:rsidRPr="0003245B">
              <w:rPr>
                <w:rFonts w:ascii="Times New Roman" w:hAnsi="Times New Roman" w:cs="Times New Roman"/>
                <w:sz w:val="28"/>
                <w:szCs w:val="28"/>
                <w:lang w:val="en-US"/>
              </w:rPr>
              <w:t>3,3</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en-US"/>
              </w:rPr>
              <w:t>±</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en-US"/>
              </w:rPr>
              <w:t>0,13</w:t>
            </w:r>
          </w:p>
        </w:tc>
        <w:tc>
          <w:tcPr>
            <w:tcW w:w="1843" w:type="dxa"/>
          </w:tcPr>
          <w:p w:rsidR="00137AF1" w:rsidRPr="0003245B" w:rsidRDefault="00137AF1" w:rsidP="004A1DE4">
            <w:pPr>
              <w:autoSpaceDE w:val="0"/>
              <w:autoSpaceDN w:val="0"/>
              <w:adjustRightInd w:val="0"/>
              <w:jc w:val="both"/>
              <w:rPr>
                <w:rFonts w:ascii="Times New Roman" w:hAnsi="Times New Roman" w:cs="Times New Roman"/>
                <w:sz w:val="28"/>
                <w:szCs w:val="28"/>
                <w:lang w:val="en-US"/>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1</w:t>
            </w:r>
            <w:r w:rsidR="00D549BB" w:rsidRPr="0003245B">
              <w:rPr>
                <w:rFonts w:ascii="Times New Roman" w:hAnsi="Times New Roman" w:cs="Times New Roman"/>
                <w:sz w:val="28"/>
                <w:szCs w:val="28"/>
                <w:vertAlign w:val="subscript"/>
                <w:lang w:val="en-US"/>
              </w:rPr>
              <w:t xml:space="preserve"> </w:t>
            </w:r>
            <w:r w:rsidR="0003245B" w:rsidRPr="0003245B">
              <w:rPr>
                <w:rFonts w:ascii="Times New Roman" w:hAnsi="Times New Roman" w:cs="Times New Roman"/>
                <w:sz w:val="28"/>
                <w:szCs w:val="28"/>
                <w:lang w:val="en-US"/>
              </w:rPr>
              <w:t>= 0,0036</w:t>
            </w:r>
          </w:p>
          <w:p w:rsidR="00137AF1" w:rsidRPr="0003245B" w:rsidRDefault="00137AF1" w:rsidP="004A1DE4">
            <w:pPr>
              <w:autoSpaceDE w:val="0"/>
              <w:autoSpaceDN w:val="0"/>
              <w:adjustRightInd w:val="0"/>
              <w:jc w:val="both"/>
              <w:rPr>
                <w:rFonts w:ascii="Times New Roman" w:hAnsi="Times New Roman" w:cs="Times New Roman"/>
                <w:sz w:val="28"/>
                <w:szCs w:val="28"/>
                <w:lang w:val="en-US"/>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2</w:t>
            </w:r>
            <w:r w:rsidR="00D549BB" w:rsidRPr="0003245B">
              <w:rPr>
                <w:rFonts w:ascii="Times New Roman" w:hAnsi="Times New Roman" w:cs="Times New Roman"/>
                <w:sz w:val="28"/>
                <w:szCs w:val="28"/>
                <w:vertAlign w:val="subscript"/>
                <w:lang w:val="en-US"/>
              </w:rPr>
              <w:t xml:space="preserve"> </w:t>
            </w:r>
            <w:r w:rsidR="0003245B" w:rsidRPr="0003245B">
              <w:rPr>
                <w:rFonts w:ascii="Times New Roman" w:hAnsi="Times New Roman" w:cs="Times New Roman"/>
                <w:sz w:val="28"/>
                <w:szCs w:val="28"/>
                <w:lang w:val="en-US"/>
              </w:rPr>
              <w:t>= 0,0123</w:t>
            </w:r>
          </w:p>
          <w:p w:rsidR="00137AF1" w:rsidRPr="00454DEF" w:rsidRDefault="00137AF1" w:rsidP="004A1DE4">
            <w:pPr>
              <w:pStyle w:val="Default"/>
              <w:rPr>
                <w:rFonts w:ascii="Times New Roman" w:hAnsi="Times New Roman" w:cs="Times New Roman"/>
                <w:sz w:val="28"/>
                <w:szCs w:val="28"/>
                <w:highlight w:val="yellow"/>
                <w:u w:val="single"/>
                <w:lang w:val="uk-UA"/>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3</w:t>
            </w:r>
            <w:r w:rsidR="00D64683" w:rsidRPr="0003245B">
              <w:rPr>
                <w:rFonts w:ascii="Times New Roman" w:hAnsi="Times New Roman" w:cs="Times New Roman"/>
                <w:sz w:val="28"/>
                <w:szCs w:val="28"/>
                <w:vertAlign w:val="subscript"/>
                <w:lang w:val="en-US"/>
              </w:rPr>
              <w:t xml:space="preserve"> </w:t>
            </w:r>
            <w:r w:rsidRPr="0003245B">
              <w:rPr>
                <w:rFonts w:ascii="Times New Roman" w:hAnsi="Times New Roman" w:cs="Times New Roman"/>
                <w:sz w:val="28"/>
                <w:szCs w:val="28"/>
                <w:lang w:val="en-US"/>
              </w:rPr>
              <w:t>&lt;</w:t>
            </w:r>
            <w:r w:rsidR="00D64683" w:rsidRPr="0003245B">
              <w:rPr>
                <w:rFonts w:ascii="Times New Roman" w:hAnsi="Times New Roman" w:cs="Times New Roman"/>
                <w:sz w:val="28"/>
                <w:szCs w:val="28"/>
                <w:lang w:val="en-US"/>
              </w:rPr>
              <w:t xml:space="preserve"> </w:t>
            </w:r>
            <w:r w:rsidRPr="0003245B">
              <w:rPr>
                <w:rFonts w:ascii="Times New Roman" w:hAnsi="Times New Roman" w:cs="Times New Roman"/>
                <w:sz w:val="28"/>
                <w:szCs w:val="28"/>
                <w:lang w:val="en-US"/>
              </w:rPr>
              <w:t>0,00</w:t>
            </w:r>
            <w:r w:rsidR="00D64683" w:rsidRPr="0003245B">
              <w:rPr>
                <w:rFonts w:ascii="Times New Roman" w:hAnsi="Times New Roman" w:cs="Times New Roman"/>
                <w:sz w:val="28"/>
                <w:szCs w:val="28"/>
                <w:lang w:val="en-US"/>
              </w:rPr>
              <w:t>0</w:t>
            </w:r>
            <w:r w:rsidRPr="0003245B">
              <w:rPr>
                <w:rFonts w:ascii="Times New Roman" w:hAnsi="Times New Roman" w:cs="Times New Roman"/>
                <w:sz w:val="28"/>
                <w:szCs w:val="28"/>
                <w:lang w:val="en-US"/>
              </w:rPr>
              <w:t>1</w:t>
            </w:r>
          </w:p>
        </w:tc>
      </w:tr>
      <w:tr w:rsidR="00137AF1" w:rsidRPr="00136877" w:rsidTr="008F115E">
        <w:tc>
          <w:tcPr>
            <w:tcW w:w="1843" w:type="dxa"/>
          </w:tcPr>
          <w:p w:rsidR="00137AF1" w:rsidRPr="00136877" w:rsidRDefault="00137AF1" w:rsidP="00023195">
            <w:pPr>
              <w:pStyle w:val="Default"/>
              <w:spacing w:line="360" w:lineRule="auto"/>
              <w:rPr>
                <w:rFonts w:ascii="Times New Roman" w:hAnsi="Times New Roman" w:cs="Times New Roman"/>
                <w:sz w:val="28"/>
                <w:szCs w:val="28"/>
                <w:lang w:val="uk-UA"/>
              </w:rPr>
            </w:pPr>
          </w:p>
        </w:tc>
        <w:tc>
          <w:tcPr>
            <w:tcW w:w="1843" w:type="dxa"/>
          </w:tcPr>
          <w:p w:rsidR="00137AF1" w:rsidRPr="0003245B" w:rsidRDefault="00137AF1" w:rsidP="00D80734">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 xml:space="preserve"> </w:t>
            </w:r>
            <w:r w:rsidR="00D549BB" w:rsidRPr="0003245B">
              <w:rPr>
                <w:rFonts w:ascii="Times New Roman" w:hAnsi="Times New Roman" w:cs="Times New Roman"/>
                <w:sz w:val="28"/>
                <w:szCs w:val="28"/>
                <w:vertAlign w:val="subscript"/>
                <w:lang w:val="en-US"/>
              </w:rPr>
              <w:t xml:space="preserve"> </w:t>
            </w:r>
            <w:r w:rsidR="00D549BB" w:rsidRPr="0003245B">
              <w:rPr>
                <w:rFonts w:ascii="Times New Roman" w:hAnsi="Times New Roman" w:cs="Times New Roman"/>
                <w:sz w:val="28"/>
                <w:szCs w:val="28"/>
                <w:lang w:val="en-US"/>
              </w:rPr>
              <w:t>= 0,01</w:t>
            </w:r>
            <w:r w:rsidR="0003245B" w:rsidRPr="0003245B">
              <w:rPr>
                <w:rFonts w:ascii="Times New Roman" w:hAnsi="Times New Roman" w:cs="Times New Roman"/>
                <w:sz w:val="28"/>
                <w:szCs w:val="28"/>
                <w:lang w:val="en-US"/>
              </w:rPr>
              <w:t>07</w:t>
            </w:r>
          </w:p>
        </w:tc>
        <w:tc>
          <w:tcPr>
            <w:tcW w:w="2126" w:type="dxa"/>
          </w:tcPr>
          <w:p w:rsidR="00137AF1" w:rsidRPr="0003245B" w:rsidRDefault="00137AF1" w:rsidP="00905758">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 xml:space="preserve"> </w:t>
            </w:r>
            <w:r w:rsidR="0003245B" w:rsidRPr="0003245B">
              <w:rPr>
                <w:rFonts w:ascii="Times New Roman" w:hAnsi="Times New Roman" w:cs="Times New Roman"/>
                <w:sz w:val="28"/>
                <w:szCs w:val="28"/>
                <w:lang w:val="en-US"/>
              </w:rPr>
              <w:t>=</w:t>
            </w:r>
            <w:r w:rsidR="00DA6E42">
              <w:rPr>
                <w:rFonts w:ascii="Times New Roman" w:hAnsi="Times New Roman" w:cs="Times New Roman"/>
                <w:sz w:val="28"/>
                <w:szCs w:val="28"/>
                <w:lang w:val="uk-UA"/>
              </w:rPr>
              <w:t xml:space="preserve"> </w:t>
            </w:r>
            <w:r w:rsidR="0003245B" w:rsidRPr="0003245B">
              <w:rPr>
                <w:rFonts w:ascii="Times New Roman" w:hAnsi="Times New Roman" w:cs="Times New Roman"/>
                <w:sz w:val="28"/>
                <w:szCs w:val="28"/>
                <w:lang w:val="en-US"/>
              </w:rPr>
              <w:t>0,0002</w:t>
            </w:r>
          </w:p>
        </w:tc>
        <w:tc>
          <w:tcPr>
            <w:tcW w:w="1701" w:type="dxa"/>
          </w:tcPr>
          <w:p w:rsidR="00137AF1" w:rsidRPr="00454DEF" w:rsidRDefault="00137AF1" w:rsidP="00CB1BDC">
            <w:pPr>
              <w:pStyle w:val="Default"/>
              <w:rPr>
                <w:rFonts w:ascii="Times New Roman" w:hAnsi="Times New Roman" w:cs="Times New Roman"/>
                <w:sz w:val="28"/>
                <w:szCs w:val="28"/>
                <w:highlight w:val="yellow"/>
                <w:lang w:val="en-US"/>
              </w:rPr>
            </w:pPr>
          </w:p>
        </w:tc>
        <w:tc>
          <w:tcPr>
            <w:tcW w:w="1843" w:type="dxa"/>
          </w:tcPr>
          <w:p w:rsidR="00137AF1" w:rsidRPr="00454DEF" w:rsidRDefault="00137AF1" w:rsidP="004A1DE4">
            <w:pPr>
              <w:autoSpaceDE w:val="0"/>
              <w:autoSpaceDN w:val="0"/>
              <w:adjustRightInd w:val="0"/>
              <w:jc w:val="both"/>
              <w:rPr>
                <w:rFonts w:ascii="Times New Roman" w:hAnsi="Times New Roman" w:cs="Times New Roman"/>
                <w:sz w:val="28"/>
                <w:szCs w:val="28"/>
                <w:highlight w:val="yellow"/>
                <w:lang w:val="en-US"/>
              </w:rPr>
            </w:pPr>
          </w:p>
        </w:tc>
      </w:tr>
      <w:tr w:rsidR="00137AF1" w:rsidRPr="00136877" w:rsidTr="008F115E">
        <w:tc>
          <w:tcPr>
            <w:tcW w:w="1843" w:type="dxa"/>
          </w:tcPr>
          <w:p w:rsidR="00137AF1" w:rsidRPr="00136877" w:rsidRDefault="00137AF1" w:rsidP="00033FDC">
            <w:pPr>
              <w:pStyle w:val="Default"/>
              <w:rPr>
                <w:rFonts w:ascii="Times New Roman" w:hAnsi="Times New Roman" w:cs="Times New Roman"/>
                <w:sz w:val="28"/>
                <w:szCs w:val="28"/>
                <w:lang w:val="uk-UA"/>
              </w:rPr>
            </w:pPr>
            <w:r w:rsidRPr="00136877">
              <w:rPr>
                <w:rFonts w:ascii="Times New Roman" w:hAnsi="Times New Roman" w:cs="Times New Roman"/>
                <w:sz w:val="28"/>
                <w:szCs w:val="28"/>
                <w:lang w:val="uk-UA"/>
              </w:rPr>
              <w:t>Е/А</w:t>
            </w:r>
          </w:p>
        </w:tc>
        <w:tc>
          <w:tcPr>
            <w:tcW w:w="1843" w:type="dxa"/>
          </w:tcPr>
          <w:p w:rsidR="00137AF1" w:rsidRPr="0003245B" w:rsidRDefault="00137AF1" w:rsidP="00033FDC">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u w:val="single"/>
                <w:lang w:val="uk-UA"/>
              </w:rPr>
              <w:t>0,97</w:t>
            </w:r>
            <w:r w:rsidR="00DA6E42">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w:t>
            </w:r>
            <w:r w:rsidR="00DA6E42">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0,02</w:t>
            </w:r>
          </w:p>
          <w:p w:rsidR="00137AF1" w:rsidRPr="0003245B" w:rsidRDefault="00137AF1" w:rsidP="00033FDC">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lang w:val="uk-UA"/>
              </w:rPr>
              <w:t>1,09</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0,05</w:t>
            </w:r>
          </w:p>
        </w:tc>
        <w:tc>
          <w:tcPr>
            <w:tcW w:w="2126" w:type="dxa"/>
          </w:tcPr>
          <w:p w:rsidR="00137AF1" w:rsidRPr="0003245B" w:rsidRDefault="00137AF1" w:rsidP="00033FDC">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u w:val="single"/>
                <w:lang w:val="uk-UA"/>
              </w:rPr>
              <w:t>1,1</w:t>
            </w:r>
            <w:r w:rsidR="00DA6E42">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w:t>
            </w:r>
            <w:r w:rsidR="00DA6E42">
              <w:rPr>
                <w:rFonts w:ascii="Times New Roman" w:hAnsi="Times New Roman" w:cs="Times New Roman"/>
                <w:sz w:val="28"/>
                <w:szCs w:val="28"/>
                <w:u w:val="single"/>
                <w:lang w:val="uk-UA"/>
              </w:rPr>
              <w:t xml:space="preserve"> </w:t>
            </w:r>
            <w:r w:rsidRPr="0003245B">
              <w:rPr>
                <w:rFonts w:ascii="Times New Roman" w:hAnsi="Times New Roman" w:cs="Times New Roman"/>
                <w:sz w:val="28"/>
                <w:szCs w:val="28"/>
                <w:u w:val="single"/>
                <w:lang w:val="uk-UA"/>
              </w:rPr>
              <w:t>0,02</w:t>
            </w:r>
          </w:p>
          <w:p w:rsidR="00137AF1" w:rsidRPr="0003245B" w:rsidRDefault="00137AF1" w:rsidP="00033FDC">
            <w:pPr>
              <w:pStyle w:val="Default"/>
              <w:rPr>
                <w:rFonts w:ascii="Times New Roman" w:hAnsi="Times New Roman" w:cs="Times New Roman"/>
                <w:sz w:val="28"/>
                <w:szCs w:val="28"/>
                <w:u w:val="single"/>
                <w:lang w:val="uk-UA"/>
              </w:rPr>
            </w:pPr>
            <w:r w:rsidRPr="0003245B">
              <w:rPr>
                <w:rFonts w:ascii="Times New Roman" w:hAnsi="Times New Roman" w:cs="Times New Roman"/>
                <w:sz w:val="28"/>
                <w:szCs w:val="28"/>
                <w:lang w:val="uk-UA"/>
              </w:rPr>
              <w:t>1,21</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uk-UA"/>
              </w:rPr>
              <w:t>0,03</w:t>
            </w:r>
          </w:p>
        </w:tc>
        <w:tc>
          <w:tcPr>
            <w:tcW w:w="1701" w:type="dxa"/>
          </w:tcPr>
          <w:p w:rsidR="00137AF1" w:rsidRPr="00454DEF" w:rsidRDefault="00137AF1" w:rsidP="00033FDC">
            <w:pPr>
              <w:pStyle w:val="Default"/>
              <w:rPr>
                <w:rFonts w:ascii="Times New Roman" w:hAnsi="Times New Roman" w:cs="Times New Roman"/>
                <w:sz w:val="28"/>
                <w:szCs w:val="28"/>
                <w:highlight w:val="yellow"/>
                <w:lang w:val="en-US"/>
              </w:rPr>
            </w:pPr>
            <w:r w:rsidRPr="0003245B">
              <w:rPr>
                <w:rFonts w:ascii="Times New Roman" w:hAnsi="Times New Roman" w:cs="Times New Roman"/>
                <w:sz w:val="28"/>
                <w:szCs w:val="28"/>
                <w:lang w:val="en-US"/>
              </w:rPr>
              <w:t>1,3</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en-US"/>
              </w:rPr>
              <w:t>±</w:t>
            </w:r>
            <w:r w:rsidR="00DA6E42">
              <w:rPr>
                <w:rFonts w:ascii="Times New Roman" w:hAnsi="Times New Roman" w:cs="Times New Roman"/>
                <w:sz w:val="28"/>
                <w:szCs w:val="28"/>
                <w:lang w:val="uk-UA"/>
              </w:rPr>
              <w:t xml:space="preserve"> </w:t>
            </w:r>
            <w:r w:rsidRPr="0003245B">
              <w:rPr>
                <w:rFonts w:ascii="Times New Roman" w:hAnsi="Times New Roman" w:cs="Times New Roman"/>
                <w:sz w:val="28"/>
                <w:szCs w:val="28"/>
                <w:lang w:val="en-US"/>
              </w:rPr>
              <w:t>0,02</w:t>
            </w:r>
          </w:p>
        </w:tc>
        <w:tc>
          <w:tcPr>
            <w:tcW w:w="1843" w:type="dxa"/>
          </w:tcPr>
          <w:p w:rsidR="00137AF1" w:rsidRPr="0003245B" w:rsidRDefault="00137AF1" w:rsidP="004A1DE4">
            <w:pPr>
              <w:autoSpaceDE w:val="0"/>
              <w:autoSpaceDN w:val="0"/>
              <w:adjustRightInd w:val="0"/>
              <w:jc w:val="both"/>
              <w:rPr>
                <w:rFonts w:ascii="Times New Roman" w:hAnsi="Times New Roman" w:cs="Times New Roman"/>
                <w:sz w:val="28"/>
                <w:szCs w:val="28"/>
                <w:lang w:val="en-US"/>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1</w:t>
            </w:r>
            <w:r w:rsidR="00D64683" w:rsidRPr="0003245B">
              <w:rPr>
                <w:rFonts w:ascii="Times New Roman" w:hAnsi="Times New Roman" w:cs="Times New Roman"/>
                <w:sz w:val="28"/>
                <w:szCs w:val="28"/>
                <w:vertAlign w:val="subscript"/>
                <w:lang w:val="en-US"/>
              </w:rPr>
              <w:t xml:space="preserve"> </w:t>
            </w:r>
            <w:r w:rsidRPr="0003245B">
              <w:rPr>
                <w:rFonts w:ascii="Times New Roman" w:hAnsi="Times New Roman" w:cs="Times New Roman"/>
                <w:sz w:val="28"/>
                <w:szCs w:val="28"/>
                <w:lang w:val="en-US"/>
              </w:rPr>
              <w:t>&lt;</w:t>
            </w:r>
            <w:r w:rsidR="00D64683" w:rsidRPr="0003245B">
              <w:rPr>
                <w:rFonts w:ascii="Times New Roman" w:hAnsi="Times New Roman" w:cs="Times New Roman"/>
                <w:sz w:val="28"/>
                <w:szCs w:val="28"/>
                <w:lang w:val="en-US"/>
              </w:rPr>
              <w:t xml:space="preserve"> </w:t>
            </w:r>
            <w:r w:rsidRPr="0003245B">
              <w:rPr>
                <w:rFonts w:ascii="Times New Roman" w:hAnsi="Times New Roman" w:cs="Times New Roman"/>
                <w:sz w:val="28"/>
                <w:szCs w:val="28"/>
                <w:lang w:val="en-US"/>
              </w:rPr>
              <w:t>0,00</w:t>
            </w:r>
            <w:r w:rsidR="00D64683" w:rsidRPr="0003245B">
              <w:rPr>
                <w:rFonts w:ascii="Times New Roman" w:hAnsi="Times New Roman" w:cs="Times New Roman"/>
                <w:sz w:val="28"/>
                <w:szCs w:val="28"/>
                <w:lang w:val="en-US"/>
              </w:rPr>
              <w:t>0</w:t>
            </w:r>
            <w:r w:rsidRPr="0003245B">
              <w:rPr>
                <w:rFonts w:ascii="Times New Roman" w:hAnsi="Times New Roman" w:cs="Times New Roman"/>
                <w:sz w:val="28"/>
                <w:szCs w:val="28"/>
                <w:lang w:val="en-US"/>
              </w:rPr>
              <w:t>1</w:t>
            </w:r>
          </w:p>
          <w:p w:rsidR="00137AF1" w:rsidRPr="0003245B" w:rsidRDefault="00137AF1" w:rsidP="004A1DE4">
            <w:pPr>
              <w:autoSpaceDE w:val="0"/>
              <w:autoSpaceDN w:val="0"/>
              <w:adjustRightInd w:val="0"/>
              <w:jc w:val="both"/>
              <w:rPr>
                <w:rFonts w:ascii="Times New Roman" w:hAnsi="Times New Roman" w:cs="Times New Roman"/>
                <w:sz w:val="28"/>
                <w:szCs w:val="28"/>
                <w:lang w:val="en-US"/>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2</w:t>
            </w:r>
            <w:r w:rsidR="00D64683" w:rsidRPr="0003245B">
              <w:rPr>
                <w:rFonts w:ascii="Times New Roman" w:hAnsi="Times New Roman" w:cs="Times New Roman"/>
                <w:sz w:val="28"/>
                <w:szCs w:val="28"/>
                <w:vertAlign w:val="subscript"/>
                <w:lang w:val="en-US"/>
              </w:rPr>
              <w:t xml:space="preserve"> </w:t>
            </w:r>
            <w:r w:rsidRPr="0003245B">
              <w:rPr>
                <w:rFonts w:ascii="Times New Roman" w:hAnsi="Times New Roman" w:cs="Times New Roman"/>
                <w:sz w:val="28"/>
                <w:szCs w:val="28"/>
                <w:lang w:val="en-US"/>
              </w:rPr>
              <w:t>&lt;</w:t>
            </w:r>
            <w:r w:rsidR="00D64683" w:rsidRPr="0003245B">
              <w:rPr>
                <w:rFonts w:ascii="Times New Roman" w:hAnsi="Times New Roman" w:cs="Times New Roman"/>
                <w:sz w:val="28"/>
                <w:szCs w:val="28"/>
                <w:lang w:val="en-US"/>
              </w:rPr>
              <w:t xml:space="preserve"> </w:t>
            </w:r>
            <w:r w:rsidRPr="0003245B">
              <w:rPr>
                <w:rFonts w:ascii="Times New Roman" w:hAnsi="Times New Roman" w:cs="Times New Roman"/>
                <w:sz w:val="28"/>
                <w:szCs w:val="28"/>
                <w:lang w:val="en-US"/>
              </w:rPr>
              <w:t>0,0</w:t>
            </w:r>
            <w:r w:rsidR="00D64683" w:rsidRPr="0003245B">
              <w:rPr>
                <w:rFonts w:ascii="Times New Roman" w:hAnsi="Times New Roman" w:cs="Times New Roman"/>
                <w:sz w:val="28"/>
                <w:szCs w:val="28"/>
                <w:lang w:val="en-US"/>
              </w:rPr>
              <w:t>0</w:t>
            </w:r>
            <w:r w:rsidRPr="0003245B">
              <w:rPr>
                <w:rFonts w:ascii="Times New Roman" w:hAnsi="Times New Roman" w:cs="Times New Roman"/>
                <w:sz w:val="28"/>
                <w:szCs w:val="28"/>
                <w:lang w:val="en-US"/>
              </w:rPr>
              <w:t>01</w:t>
            </w:r>
          </w:p>
          <w:p w:rsidR="00137AF1" w:rsidRPr="00454DEF" w:rsidRDefault="00137AF1" w:rsidP="004A1DE4">
            <w:pPr>
              <w:pStyle w:val="Default"/>
              <w:rPr>
                <w:rFonts w:ascii="Times New Roman" w:hAnsi="Times New Roman" w:cs="Times New Roman"/>
                <w:sz w:val="28"/>
                <w:szCs w:val="28"/>
                <w:highlight w:val="yellow"/>
                <w:u w:val="single"/>
                <w:lang w:val="uk-UA"/>
              </w:rPr>
            </w:pPr>
            <w:r w:rsidRPr="0003245B">
              <w:rPr>
                <w:rFonts w:ascii="Times New Roman" w:hAnsi="Times New Roman" w:cs="Times New Roman"/>
                <w:sz w:val="28"/>
                <w:szCs w:val="28"/>
                <w:lang w:val="en-US"/>
              </w:rPr>
              <w:t>p</w:t>
            </w:r>
            <w:r w:rsidRPr="0003245B">
              <w:rPr>
                <w:rFonts w:ascii="Times New Roman" w:hAnsi="Times New Roman" w:cs="Times New Roman"/>
                <w:sz w:val="28"/>
                <w:szCs w:val="28"/>
                <w:vertAlign w:val="subscript"/>
                <w:lang w:val="en-US"/>
              </w:rPr>
              <w:t>3</w:t>
            </w:r>
            <w:r w:rsidR="00D64683" w:rsidRPr="0003245B">
              <w:rPr>
                <w:rFonts w:ascii="Times New Roman" w:hAnsi="Times New Roman" w:cs="Times New Roman"/>
                <w:sz w:val="28"/>
                <w:szCs w:val="28"/>
                <w:vertAlign w:val="subscript"/>
                <w:lang w:val="en-US"/>
              </w:rPr>
              <w:t xml:space="preserve"> </w:t>
            </w:r>
            <w:r w:rsidRPr="0003245B">
              <w:rPr>
                <w:rFonts w:ascii="Times New Roman" w:hAnsi="Times New Roman" w:cs="Times New Roman"/>
                <w:sz w:val="28"/>
                <w:szCs w:val="28"/>
                <w:lang w:val="en-US"/>
              </w:rPr>
              <w:t>&lt;</w:t>
            </w:r>
            <w:r w:rsidR="00D64683" w:rsidRPr="0003245B">
              <w:rPr>
                <w:rFonts w:ascii="Times New Roman" w:hAnsi="Times New Roman" w:cs="Times New Roman"/>
                <w:sz w:val="28"/>
                <w:szCs w:val="28"/>
                <w:lang w:val="en-US"/>
              </w:rPr>
              <w:t xml:space="preserve"> </w:t>
            </w:r>
            <w:r w:rsidRPr="0003245B">
              <w:rPr>
                <w:rFonts w:ascii="Times New Roman" w:hAnsi="Times New Roman" w:cs="Times New Roman"/>
                <w:sz w:val="28"/>
                <w:szCs w:val="28"/>
                <w:lang w:val="en-US"/>
              </w:rPr>
              <w:t>0,00</w:t>
            </w:r>
            <w:r w:rsidR="00D64683" w:rsidRPr="0003245B">
              <w:rPr>
                <w:rFonts w:ascii="Times New Roman" w:hAnsi="Times New Roman" w:cs="Times New Roman"/>
                <w:sz w:val="28"/>
                <w:szCs w:val="28"/>
                <w:lang w:val="en-US"/>
              </w:rPr>
              <w:t>0</w:t>
            </w:r>
            <w:r w:rsidRPr="0003245B">
              <w:rPr>
                <w:rFonts w:ascii="Times New Roman" w:hAnsi="Times New Roman" w:cs="Times New Roman"/>
                <w:sz w:val="28"/>
                <w:szCs w:val="28"/>
                <w:lang w:val="en-US"/>
              </w:rPr>
              <w:t>1</w:t>
            </w:r>
          </w:p>
        </w:tc>
      </w:tr>
      <w:tr w:rsidR="00E46E9B" w:rsidRPr="00136877" w:rsidTr="008F115E">
        <w:tc>
          <w:tcPr>
            <w:tcW w:w="1843" w:type="dxa"/>
          </w:tcPr>
          <w:p w:rsidR="00E46E9B" w:rsidRPr="00136877" w:rsidRDefault="00E46E9B" w:rsidP="00033FDC">
            <w:pPr>
              <w:pStyle w:val="Default"/>
              <w:rPr>
                <w:rFonts w:ascii="Times New Roman" w:hAnsi="Times New Roman" w:cs="Times New Roman"/>
                <w:sz w:val="28"/>
                <w:szCs w:val="28"/>
                <w:lang w:val="uk-UA"/>
              </w:rPr>
            </w:pPr>
          </w:p>
        </w:tc>
        <w:tc>
          <w:tcPr>
            <w:tcW w:w="1843" w:type="dxa"/>
          </w:tcPr>
          <w:p w:rsidR="00E46E9B" w:rsidRPr="00E46E9B" w:rsidRDefault="00E46E9B" w:rsidP="00033FDC">
            <w:pPr>
              <w:pStyle w:val="Default"/>
              <w:rPr>
                <w:rFonts w:ascii="Times New Roman" w:hAnsi="Times New Roman" w:cs="Times New Roman"/>
                <w:sz w:val="28"/>
                <w:szCs w:val="28"/>
                <w:lang w:val="uk-UA"/>
              </w:rPr>
            </w:pPr>
            <w:r w:rsidRPr="00E46E9B">
              <w:rPr>
                <w:rFonts w:ascii="Times New Roman" w:hAnsi="Times New Roman" w:cs="Times New Roman"/>
                <w:sz w:val="28"/>
                <w:szCs w:val="28"/>
                <w:lang w:val="uk-UA"/>
              </w:rPr>
              <w:t>р = 0,0280</w:t>
            </w:r>
          </w:p>
        </w:tc>
        <w:tc>
          <w:tcPr>
            <w:tcW w:w="2126" w:type="dxa"/>
          </w:tcPr>
          <w:p w:rsidR="00E46E9B" w:rsidRPr="00E46E9B" w:rsidRDefault="00E46E9B" w:rsidP="00033FDC">
            <w:pPr>
              <w:pStyle w:val="Default"/>
              <w:rPr>
                <w:rFonts w:ascii="Times New Roman" w:hAnsi="Times New Roman" w:cs="Times New Roman"/>
                <w:sz w:val="28"/>
                <w:szCs w:val="28"/>
                <w:lang w:val="uk-UA"/>
              </w:rPr>
            </w:pPr>
            <w:r w:rsidRPr="00E46E9B">
              <w:rPr>
                <w:rFonts w:ascii="Times New Roman" w:hAnsi="Times New Roman" w:cs="Times New Roman"/>
                <w:sz w:val="28"/>
                <w:szCs w:val="28"/>
                <w:lang w:val="uk-UA"/>
              </w:rPr>
              <w:t>р = 0,0031</w:t>
            </w:r>
          </w:p>
        </w:tc>
        <w:tc>
          <w:tcPr>
            <w:tcW w:w="1701" w:type="dxa"/>
          </w:tcPr>
          <w:p w:rsidR="00E46E9B" w:rsidRPr="0003245B" w:rsidRDefault="00E46E9B" w:rsidP="00033FDC">
            <w:pPr>
              <w:pStyle w:val="Default"/>
              <w:rPr>
                <w:rFonts w:ascii="Times New Roman" w:hAnsi="Times New Roman" w:cs="Times New Roman"/>
                <w:sz w:val="28"/>
                <w:szCs w:val="28"/>
                <w:lang w:val="en-US"/>
              </w:rPr>
            </w:pPr>
          </w:p>
        </w:tc>
        <w:tc>
          <w:tcPr>
            <w:tcW w:w="1843" w:type="dxa"/>
          </w:tcPr>
          <w:p w:rsidR="00E46E9B" w:rsidRPr="0003245B" w:rsidRDefault="00E46E9B" w:rsidP="004A1DE4">
            <w:pPr>
              <w:autoSpaceDE w:val="0"/>
              <w:autoSpaceDN w:val="0"/>
              <w:adjustRightInd w:val="0"/>
              <w:jc w:val="both"/>
              <w:rPr>
                <w:rFonts w:ascii="Times New Roman" w:hAnsi="Times New Roman" w:cs="Times New Roman"/>
                <w:sz w:val="28"/>
                <w:szCs w:val="28"/>
                <w:lang w:val="en-US"/>
              </w:rPr>
            </w:pPr>
          </w:p>
        </w:tc>
      </w:tr>
      <w:tr w:rsidR="00E46E9B" w:rsidRPr="00136877" w:rsidTr="008F115E">
        <w:tc>
          <w:tcPr>
            <w:tcW w:w="1843" w:type="dxa"/>
          </w:tcPr>
          <w:p w:rsidR="00E46E9B" w:rsidRPr="00136877" w:rsidRDefault="00E46E9B" w:rsidP="00033FDC">
            <w:pPr>
              <w:pStyle w:val="Default"/>
              <w:rPr>
                <w:rFonts w:ascii="Times New Roman" w:hAnsi="Times New Roman" w:cs="Times New Roman"/>
                <w:sz w:val="28"/>
                <w:szCs w:val="28"/>
                <w:lang w:val="uk-UA"/>
              </w:rPr>
            </w:pPr>
            <w:r>
              <w:rPr>
                <w:rFonts w:ascii="Times New Roman" w:hAnsi="Times New Roman" w:cs="Times New Roman"/>
                <w:sz w:val="28"/>
                <w:szCs w:val="28"/>
                <w:lang w:val="uk-UA"/>
              </w:rPr>
              <w:t>ІММ ЛШ (г/м</w:t>
            </w:r>
            <w:r>
              <w:rPr>
                <w:rFonts w:ascii="Times New Roman" w:hAnsi="Times New Roman" w:cs="Times New Roman"/>
                <w:sz w:val="28"/>
                <w:szCs w:val="28"/>
                <w:vertAlign w:val="superscript"/>
                <w:lang w:val="uk-UA"/>
              </w:rPr>
              <w:t>2,7</w:t>
            </w:r>
            <w:r w:rsidRPr="00E46E9B">
              <w:rPr>
                <w:rFonts w:ascii="Times New Roman" w:hAnsi="Times New Roman" w:cs="Times New Roman"/>
                <w:sz w:val="28"/>
                <w:szCs w:val="28"/>
                <w:lang w:val="uk-UA"/>
              </w:rPr>
              <w:t>)</w:t>
            </w:r>
          </w:p>
        </w:tc>
        <w:tc>
          <w:tcPr>
            <w:tcW w:w="1843" w:type="dxa"/>
          </w:tcPr>
          <w:p w:rsidR="00E46E9B" w:rsidRPr="00E46E9B" w:rsidRDefault="00E46E9B" w:rsidP="00E46E9B">
            <w:pPr>
              <w:pStyle w:val="Default"/>
              <w:rPr>
                <w:rFonts w:ascii="Times New Roman" w:hAnsi="Times New Roman" w:cs="Times New Roman"/>
                <w:sz w:val="28"/>
                <w:szCs w:val="28"/>
                <w:u w:val="single"/>
                <w:lang w:val="uk-UA"/>
              </w:rPr>
            </w:pPr>
            <w:r w:rsidRPr="00E46E9B">
              <w:rPr>
                <w:rFonts w:ascii="Times New Roman" w:hAnsi="Times New Roman" w:cs="Times New Roman"/>
                <w:sz w:val="28"/>
                <w:szCs w:val="28"/>
                <w:u w:val="single"/>
                <w:lang w:val="uk-UA"/>
              </w:rPr>
              <w:t>71,42 ± 1,3</w:t>
            </w:r>
          </w:p>
          <w:p w:rsidR="00E46E9B" w:rsidRPr="00E46E9B" w:rsidRDefault="00E46E9B" w:rsidP="00E46E9B">
            <w:pPr>
              <w:pStyle w:val="Default"/>
              <w:rPr>
                <w:rFonts w:ascii="Times New Roman" w:hAnsi="Times New Roman" w:cs="Times New Roman"/>
                <w:sz w:val="28"/>
                <w:szCs w:val="28"/>
                <w:lang w:val="uk-UA"/>
              </w:rPr>
            </w:pPr>
            <w:r w:rsidRPr="00E46E9B">
              <w:rPr>
                <w:rFonts w:ascii="Times New Roman" w:hAnsi="Times New Roman" w:cs="Times New Roman"/>
                <w:sz w:val="28"/>
                <w:szCs w:val="28"/>
                <w:lang w:val="uk-UA"/>
              </w:rPr>
              <w:t>67,16 ± 0,9</w:t>
            </w:r>
          </w:p>
        </w:tc>
        <w:tc>
          <w:tcPr>
            <w:tcW w:w="2126" w:type="dxa"/>
          </w:tcPr>
          <w:p w:rsidR="00E46E9B" w:rsidRPr="00E46E9B" w:rsidRDefault="00E46E9B" w:rsidP="00E46E9B">
            <w:pPr>
              <w:pStyle w:val="Default"/>
              <w:rPr>
                <w:rFonts w:ascii="Times New Roman" w:hAnsi="Times New Roman" w:cs="Times New Roman"/>
                <w:sz w:val="28"/>
                <w:szCs w:val="28"/>
                <w:u w:val="single"/>
                <w:lang w:val="uk-UA"/>
              </w:rPr>
            </w:pPr>
            <w:r w:rsidRPr="00E46E9B">
              <w:rPr>
                <w:rFonts w:ascii="Times New Roman" w:hAnsi="Times New Roman" w:cs="Times New Roman"/>
                <w:sz w:val="28"/>
                <w:szCs w:val="28"/>
                <w:u w:val="single"/>
                <w:lang w:val="uk-UA"/>
              </w:rPr>
              <w:t>76,03 ± 0,09</w:t>
            </w:r>
          </w:p>
          <w:p w:rsidR="00E46E9B" w:rsidRPr="00E46E9B" w:rsidRDefault="00E46E9B" w:rsidP="00E46E9B">
            <w:pPr>
              <w:pStyle w:val="Default"/>
              <w:rPr>
                <w:rFonts w:ascii="Times New Roman" w:hAnsi="Times New Roman" w:cs="Times New Roman"/>
                <w:sz w:val="28"/>
                <w:szCs w:val="28"/>
                <w:lang w:val="uk-UA"/>
              </w:rPr>
            </w:pPr>
            <w:r w:rsidRPr="00E46E9B">
              <w:rPr>
                <w:rFonts w:ascii="Times New Roman" w:hAnsi="Times New Roman" w:cs="Times New Roman"/>
                <w:sz w:val="28"/>
                <w:szCs w:val="28"/>
                <w:lang w:val="uk-UA"/>
              </w:rPr>
              <w:t>73,52 ± 1,1</w:t>
            </w:r>
          </w:p>
        </w:tc>
        <w:tc>
          <w:tcPr>
            <w:tcW w:w="1701" w:type="dxa"/>
          </w:tcPr>
          <w:p w:rsidR="00E46E9B" w:rsidRPr="0003245B" w:rsidRDefault="00E46E9B" w:rsidP="00033FDC">
            <w:pPr>
              <w:pStyle w:val="Default"/>
              <w:rPr>
                <w:rFonts w:ascii="Times New Roman" w:hAnsi="Times New Roman" w:cs="Times New Roman"/>
                <w:sz w:val="28"/>
                <w:szCs w:val="28"/>
                <w:lang w:val="en-US"/>
              </w:rPr>
            </w:pPr>
            <w:r w:rsidRPr="00E46E9B">
              <w:rPr>
                <w:rFonts w:ascii="Times New Roman" w:hAnsi="Times New Roman" w:cs="Times New Roman"/>
                <w:sz w:val="28"/>
                <w:szCs w:val="28"/>
                <w:lang w:val="en-US"/>
              </w:rPr>
              <w:t>32,95 ± 0,99</w:t>
            </w:r>
          </w:p>
        </w:tc>
        <w:tc>
          <w:tcPr>
            <w:tcW w:w="1843" w:type="dxa"/>
          </w:tcPr>
          <w:p w:rsidR="00E46E9B" w:rsidRPr="00E46E9B" w:rsidRDefault="00E46E9B" w:rsidP="00E46E9B">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uk-UA"/>
              </w:rPr>
              <w:t>р</w:t>
            </w:r>
            <w:r>
              <w:rPr>
                <w:rFonts w:ascii="Times New Roman" w:hAnsi="Times New Roman" w:cs="Times New Roman"/>
                <w:sz w:val="28"/>
                <w:szCs w:val="28"/>
                <w:vertAlign w:val="subscript"/>
                <w:lang w:val="uk-UA"/>
              </w:rPr>
              <w:t>1</w:t>
            </w:r>
            <w:r w:rsidRPr="00E46E9B">
              <w:rPr>
                <w:rFonts w:ascii="Times New Roman" w:hAnsi="Times New Roman" w:cs="Times New Roman"/>
                <w:sz w:val="28"/>
                <w:szCs w:val="28"/>
                <w:lang w:val="en-US"/>
              </w:rPr>
              <w:t xml:space="preserve"> = 0,003</w:t>
            </w:r>
          </w:p>
          <w:p w:rsidR="00E46E9B" w:rsidRPr="00E46E9B" w:rsidRDefault="00E46E9B" w:rsidP="00E46E9B">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2</w:t>
            </w:r>
            <w:r w:rsidRPr="00E46E9B">
              <w:rPr>
                <w:rFonts w:ascii="Times New Roman" w:hAnsi="Times New Roman" w:cs="Times New Roman"/>
                <w:sz w:val="28"/>
                <w:szCs w:val="28"/>
                <w:lang w:val="en-US"/>
              </w:rPr>
              <w:t xml:space="preserve"> &lt; 0,0001</w:t>
            </w:r>
          </w:p>
          <w:p w:rsidR="00E46E9B" w:rsidRPr="0003245B" w:rsidRDefault="00E46E9B" w:rsidP="00E46E9B">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p</w:t>
            </w:r>
            <w:r>
              <w:rPr>
                <w:rFonts w:ascii="Times New Roman" w:hAnsi="Times New Roman" w:cs="Times New Roman"/>
                <w:sz w:val="28"/>
                <w:szCs w:val="28"/>
                <w:vertAlign w:val="subscript"/>
                <w:lang w:val="uk-UA"/>
              </w:rPr>
              <w:t>3</w:t>
            </w:r>
            <w:r w:rsidRPr="00E46E9B">
              <w:rPr>
                <w:rFonts w:ascii="Times New Roman" w:hAnsi="Times New Roman" w:cs="Times New Roman"/>
                <w:sz w:val="28"/>
                <w:szCs w:val="28"/>
                <w:lang w:val="en-US"/>
              </w:rPr>
              <w:t xml:space="preserve"> &lt; 0,0001</w:t>
            </w:r>
          </w:p>
        </w:tc>
      </w:tr>
      <w:tr w:rsidR="00E46E9B" w:rsidRPr="00136877" w:rsidTr="008F115E">
        <w:tc>
          <w:tcPr>
            <w:tcW w:w="1843" w:type="dxa"/>
          </w:tcPr>
          <w:p w:rsidR="00E46E9B" w:rsidRPr="00136877" w:rsidRDefault="00E46E9B" w:rsidP="00033FDC">
            <w:pPr>
              <w:pStyle w:val="Default"/>
              <w:rPr>
                <w:rFonts w:ascii="Times New Roman" w:hAnsi="Times New Roman" w:cs="Times New Roman"/>
                <w:sz w:val="28"/>
                <w:szCs w:val="28"/>
                <w:lang w:val="uk-UA"/>
              </w:rPr>
            </w:pPr>
          </w:p>
        </w:tc>
        <w:tc>
          <w:tcPr>
            <w:tcW w:w="1843" w:type="dxa"/>
          </w:tcPr>
          <w:p w:rsidR="00E46E9B" w:rsidRPr="00E46E9B" w:rsidRDefault="00E46E9B" w:rsidP="00033FDC">
            <w:pPr>
              <w:pStyle w:val="Default"/>
              <w:rPr>
                <w:rFonts w:ascii="Times New Roman" w:hAnsi="Times New Roman" w:cs="Times New Roman"/>
                <w:sz w:val="28"/>
                <w:szCs w:val="28"/>
                <w:lang w:val="uk-UA"/>
              </w:rPr>
            </w:pPr>
            <w:r w:rsidRPr="00E46E9B">
              <w:rPr>
                <w:rFonts w:ascii="Times New Roman" w:hAnsi="Times New Roman" w:cs="Times New Roman"/>
                <w:sz w:val="28"/>
                <w:szCs w:val="28"/>
                <w:lang w:val="uk-UA"/>
              </w:rPr>
              <w:t>p = 0,0082</w:t>
            </w:r>
          </w:p>
        </w:tc>
        <w:tc>
          <w:tcPr>
            <w:tcW w:w="2126" w:type="dxa"/>
          </w:tcPr>
          <w:p w:rsidR="00E46E9B" w:rsidRPr="00E46E9B" w:rsidRDefault="00E46E9B" w:rsidP="00033FDC">
            <w:pPr>
              <w:pStyle w:val="Default"/>
              <w:rPr>
                <w:rFonts w:ascii="Times New Roman" w:hAnsi="Times New Roman" w:cs="Times New Roman"/>
                <w:sz w:val="28"/>
                <w:szCs w:val="28"/>
                <w:lang w:val="uk-UA"/>
              </w:rPr>
            </w:pPr>
            <w:r w:rsidRPr="00E46E9B">
              <w:rPr>
                <w:rFonts w:ascii="Times New Roman" w:hAnsi="Times New Roman" w:cs="Times New Roman"/>
                <w:sz w:val="28"/>
                <w:szCs w:val="28"/>
                <w:lang w:val="uk-UA"/>
              </w:rPr>
              <w:t>p = 0,0257</w:t>
            </w:r>
          </w:p>
        </w:tc>
        <w:tc>
          <w:tcPr>
            <w:tcW w:w="1701" w:type="dxa"/>
          </w:tcPr>
          <w:p w:rsidR="00E46E9B" w:rsidRPr="0003245B" w:rsidRDefault="00E46E9B" w:rsidP="00033FDC">
            <w:pPr>
              <w:pStyle w:val="Default"/>
              <w:rPr>
                <w:rFonts w:ascii="Times New Roman" w:hAnsi="Times New Roman" w:cs="Times New Roman"/>
                <w:sz w:val="28"/>
                <w:szCs w:val="28"/>
                <w:lang w:val="en-US"/>
              </w:rPr>
            </w:pPr>
          </w:p>
        </w:tc>
        <w:tc>
          <w:tcPr>
            <w:tcW w:w="1843" w:type="dxa"/>
          </w:tcPr>
          <w:p w:rsidR="00E46E9B" w:rsidRPr="0003245B" w:rsidRDefault="00E46E9B" w:rsidP="004A1DE4">
            <w:pPr>
              <w:autoSpaceDE w:val="0"/>
              <w:autoSpaceDN w:val="0"/>
              <w:adjustRightInd w:val="0"/>
              <w:jc w:val="both"/>
              <w:rPr>
                <w:rFonts w:ascii="Times New Roman" w:hAnsi="Times New Roman" w:cs="Times New Roman"/>
                <w:sz w:val="28"/>
                <w:szCs w:val="28"/>
                <w:lang w:val="en-US"/>
              </w:rPr>
            </w:pPr>
          </w:p>
        </w:tc>
      </w:tr>
    </w:tbl>
    <w:p w:rsidR="006739B9" w:rsidRDefault="00C65B1D" w:rsidP="006739B9">
      <w:pPr>
        <w:spacing w:after="0" w:line="360" w:lineRule="auto"/>
        <w:rPr>
          <w:rFonts w:ascii="Times New Roman" w:hAnsi="Times New Roman" w:cs="Times New Roman"/>
          <w:bCs/>
          <w:sz w:val="28"/>
          <w:szCs w:val="28"/>
          <w:lang w:val="uk-UA"/>
        </w:rPr>
      </w:pPr>
      <w:r>
        <w:rPr>
          <w:rFonts w:ascii="Times New Roman" w:hAnsi="Times New Roman" w:cs="Times New Roman"/>
          <w:bCs/>
          <w:sz w:val="28"/>
          <w:szCs w:val="28"/>
          <w:lang w:val="uk-UA"/>
        </w:rPr>
        <w:t>Примітки</w:t>
      </w:r>
      <w:r w:rsidR="0023254F" w:rsidRPr="00136877">
        <w:rPr>
          <w:rFonts w:ascii="Times New Roman" w:hAnsi="Times New Roman" w:cs="Times New Roman"/>
          <w:bCs/>
          <w:sz w:val="28"/>
          <w:szCs w:val="28"/>
          <w:lang w:val="uk-UA"/>
        </w:rPr>
        <w:t xml:space="preserve">: </w:t>
      </w:r>
    </w:p>
    <w:p w:rsidR="00B87EAE" w:rsidRPr="00E46E9B" w:rsidRDefault="00B87EAE" w:rsidP="00E46E9B">
      <w:pPr>
        <w:pStyle w:val="a8"/>
        <w:numPr>
          <w:ilvl w:val="0"/>
          <w:numId w:val="31"/>
        </w:numPr>
        <w:spacing w:after="0" w:line="360" w:lineRule="auto"/>
        <w:rPr>
          <w:rFonts w:ascii="Times New Roman" w:hAnsi="Times New Roman" w:cs="Times New Roman"/>
          <w:sz w:val="28"/>
          <w:szCs w:val="28"/>
        </w:rPr>
      </w:pPr>
      <w:r w:rsidRPr="00E46E9B">
        <w:rPr>
          <w:rFonts w:ascii="Times New Roman" w:hAnsi="Times New Roman" w:cs="Times New Roman"/>
          <w:bCs/>
          <w:sz w:val="28"/>
          <w:szCs w:val="28"/>
          <w:lang w:val="en-US"/>
        </w:rPr>
        <w:t>n</w:t>
      </w:r>
      <w:r w:rsidRPr="00E46E9B">
        <w:rPr>
          <w:rFonts w:ascii="Times New Roman" w:hAnsi="Times New Roman" w:cs="Times New Roman"/>
          <w:bCs/>
          <w:sz w:val="28"/>
          <w:szCs w:val="28"/>
        </w:rPr>
        <w:t xml:space="preserve"> – кількість осіб</w:t>
      </w:r>
      <w:r w:rsidR="008227BA" w:rsidRPr="00E46E9B">
        <w:rPr>
          <w:rFonts w:ascii="Times New Roman" w:hAnsi="Times New Roman" w:cs="Times New Roman"/>
          <w:bCs/>
          <w:sz w:val="28"/>
          <w:szCs w:val="28"/>
        </w:rPr>
        <w:t>;</w:t>
      </w:r>
    </w:p>
    <w:p w:rsidR="00B87EAE" w:rsidRPr="00C65B1D" w:rsidRDefault="00B87EAE" w:rsidP="00C65B1D">
      <w:pPr>
        <w:pStyle w:val="a8"/>
        <w:numPr>
          <w:ilvl w:val="0"/>
          <w:numId w:val="31"/>
        </w:numPr>
        <w:autoSpaceDE w:val="0"/>
        <w:autoSpaceDN w:val="0"/>
        <w:adjustRightInd w:val="0"/>
        <w:spacing w:after="0" w:line="360" w:lineRule="auto"/>
        <w:jc w:val="both"/>
        <w:rPr>
          <w:rFonts w:ascii="Times New Roman" w:hAnsi="Times New Roman" w:cs="Times New Roman"/>
          <w:bCs/>
          <w:sz w:val="28"/>
          <w:szCs w:val="28"/>
        </w:rPr>
      </w:pPr>
      <w:r w:rsidRPr="00C65B1D">
        <w:rPr>
          <w:rFonts w:ascii="Times New Roman" w:hAnsi="Times New Roman" w:cs="Times New Roman"/>
          <w:bCs/>
          <w:sz w:val="28"/>
          <w:szCs w:val="28"/>
        </w:rPr>
        <w:t>чисельник – значення показника до лікування;</w:t>
      </w:r>
    </w:p>
    <w:p w:rsidR="00B87EAE" w:rsidRPr="00C65B1D" w:rsidRDefault="00B87EAE" w:rsidP="00C65B1D">
      <w:pPr>
        <w:pStyle w:val="a8"/>
        <w:numPr>
          <w:ilvl w:val="0"/>
          <w:numId w:val="31"/>
        </w:numPr>
        <w:autoSpaceDE w:val="0"/>
        <w:autoSpaceDN w:val="0"/>
        <w:adjustRightInd w:val="0"/>
        <w:spacing w:after="0" w:line="360" w:lineRule="auto"/>
        <w:jc w:val="both"/>
        <w:rPr>
          <w:rFonts w:ascii="Times New Roman" w:hAnsi="Times New Roman" w:cs="Times New Roman"/>
          <w:bCs/>
          <w:sz w:val="28"/>
          <w:szCs w:val="28"/>
        </w:rPr>
      </w:pPr>
      <w:r w:rsidRPr="00C65B1D">
        <w:rPr>
          <w:rFonts w:ascii="Times New Roman" w:hAnsi="Times New Roman" w:cs="Times New Roman"/>
          <w:bCs/>
          <w:sz w:val="28"/>
          <w:szCs w:val="28"/>
        </w:rPr>
        <w:t>знаменник – значення показника після лікування;</w:t>
      </w:r>
    </w:p>
    <w:p w:rsidR="00B87EAE" w:rsidRPr="00C65B1D" w:rsidRDefault="00B87EAE" w:rsidP="00C65B1D">
      <w:pPr>
        <w:pStyle w:val="a8"/>
        <w:numPr>
          <w:ilvl w:val="0"/>
          <w:numId w:val="31"/>
        </w:numPr>
        <w:spacing w:after="0" w:line="360" w:lineRule="auto"/>
        <w:jc w:val="both"/>
        <w:rPr>
          <w:rFonts w:ascii="Times New Roman" w:eastAsia="Times New Roman" w:hAnsi="Times New Roman" w:cs="Times New Roman"/>
          <w:bCs/>
          <w:color w:val="000000"/>
          <w:sz w:val="28"/>
          <w:szCs w:val="28"/>
          <w:lang w:eastAsia="ru-RU"/>
        </w:rPr>
      </w:pPr>
      <w:r w:rsidRPr="00C65B1D">
        <w:rPr>
          <w:rFonts w:ascii="Times New Roman" w:eastAsia="Times New Roman" w:hAnsi="Times New Roman" w:cs="Times New Roman"/>
          <w:bCs/>
          <w:color w:val="000000"/>
          <w:sz w:val="28"/>
          <w:szCs w:val="28"/>
          <w:lang w:eastAsia="ru-RU"/>
        </w:rPr>
        <w:t>р</w:t>
      </w:r>
      <w:r w:rsidRPr="00C65B1D">
        <w:rPr>
          <w:rFonts w:ascii="Times New Roman" w:eastAsia="Times New Roman" w:hAnsi="Times New Roman" w:cs="Times New Roman"/>
          <w:bCs/>
          <w:color w:val="000000"/>
          <w:sz w:val="28"/>
          <w:szCs w:val="28"/>
          <w:vertAlign w:val="subscript"/>
          <w:lang w:eastAsia="ru-RU"/>
        </w:rPr>
        <w:t>1</w:t>
      </w:r>
      <w:r w:rsidRPr="00C65B1D">
        <w:rPr>
          <w:rFonts w:ascii="Times New Roman" w:eastAsia="Times New Roman" w:hAnsi="Times New Roman" w:cs="Times New Roman"/>
          <w:bCs/>
          <w:color w:val="000000"/>
          <w:sz w:val="28"/>
          <w:szCs w:val="28"/>
          <w:lang w:eastAsia="ru-RU"/>
        </w:rPr>
        <w:t xml:space="preserve"> – достовірність розходження між показниками </w:t>
      </w:r>
      <w:r w:rsidRPr="00C65B1D">
        <w:rPr>
          <w:rFonts w:ascii="Times New Roman" w:eastAsia="Times New Roman" w:hAnsi="Times New Roman" w:cs="Times New Roman"/>
          <w:color w:val="000000"/>
          <w:sz w:val="28"/>
          <w:szCs w:val="28"/>
          <w:lang w:eastAsia="ru-RU"/>
        </w:rPr>
        <w:t>І та ІІ підгруп</w:t>
      </w:r>
      <w:r w:rsidRPr="00C65B1D">
        <w:rPr>
          <w:rFonts w:ascii="Times New Roman" w:eastAsia="Times New Roman" w:hAnsi="Times New Roman" w:cs="Times New Roman"/>
          <w:bCs/>
          <w:color w:val="000000"/>
          <w:sz w:val="28"/>
          <w:szCs w:val="28"/>
          <w:lang w:eastAsia="ru-RU"/>
        </w:rPr>
        <w:t>;</w:t>
      </w:r>
    </w:p>
    <w:p w:rsidR="00B87EAE" w:rsidRPr="00C65B1D" w:rsidRDefault="00B87EAE" w:rsidP="00C65B1D">
      <w:pPr>
        <w:pStyle w:val="a8"/>
        <w:numPr>
          <w:ilvl w:val="0"/>
          <w:numId w:val="31"/>
        </w:numPr>
        <w:spacing w:after="0" w:line="360" w:lineRule="auto"/>
        <w:jc w:val="both"/>
        <w:rPr>
          <w:rFonts w:ascii="Times New Roman" w:eastAsia="Times New Roman" w:hAnsi="Times New Roman" w:cs="Times New Roman"/>
          <w:bCs/>
          <w:color w:val="000000"/>
          <w:sz w:val="28"/>
          <w:szCs w:val="28"/>
          <w:lang w:eastAsia="ru-RU"/>
        </w:rPr>
      </w:pPr>
      <w:r w:rsidRPr="00C65B1D">
        <w:rPr>
          <w:rFonts w:ascii="Times New Roman" w:eastAsia="Times New Roman" w:hAnsi="Times New Roman" w:cs="Times New Roman"/>
          <w:bCs/>
          <w:color w:val="000000"/>
          <w:sz w:val="28"/>
          <w:szCs w:val="28"/>
          <w:lang w:eastAsia="ru-RU"/>
        </w:rPr>
        <w:t>р</w:t>
      </w:r>
      <w:r w:rsidRPr="00C65B1D">
        <w:rPr>
          <w:rFonts w:ascii="Times New Roman" w:eastAsia="Times New Roman" w:hAnsi="Times New Roman" w:cs="Times New Roman"/>
          <w:bCs/>
          <w:color w:val="000000"/>
          <w:sz w:val="28"/>
          <w:szCs w:val="28"/>
          <w:vertAlign w:val="subscript"/>
          <w:lang w:eastAsia="ru-RU"/>
        </w:rPr>
        <w:t>2</w:t>
      </w:r>
      <w:r w:rsidRPr="00C65B1D">
        <w:rPr>
          <w:rFonts w:ascii="Times New Roman" w:eastAsia="Times New Roman" w:hAnsi="Times New Roman" w:cs="Times New Roman"/>
          <w:bCs/>
          <w:color w:val="000000"/>
          <w:sz w:val="28"/>
          <w:szCs w:val="28"/>
          <w:lang w:eastAsia="ru-RU"/>
        </w:rPr>
        <w:t xml:space="preserve"> – достовірність розходження між показниками</w:t>
      </w:r>
      <w:r w:rsidR="00210218">
        <w:rPr>
          <w:rFonts w:ascii="Times New Roman" w:eastAsia="Times New Roman" w:hAnsi="Times New Roman" w:cs="Times New Roman"/>
          <w:color w:val="000000"/>
          <w:sz w:val="28"/>
          <w:szCs w:val="28"/>
          <w:lang w:eastAsia="ru-RU"/>
        </w:rPr>
        <w:t xml:space="preserve"> І підгрупи та контролем</w:t>
      </w:r>
      <w:r w:rsidRPr="00C65B1D">
        <w:rPr>
          <w:rFonts w:ascii="Times New Roman" w:eastAsia="Times New Roman" w:hAnsi="Times New Roman" w:cs="Times New Roman"/>
          <w:bCs/>
          <w:color w:val="000000"/>
          <w:sz w:val="28"/>
          <w:szCs w:val="28"/>
          <w:lang w:eastAsia="ru-RU"/>
        </w:rPr>
        <w:t xml:space="preserve">; </w:t>
      </w:r>
    </w:p>
    <w:p w:rsidR="00B87EAE" w:rsidRPr="00C65B1D" w:rsidRDefault="00B87EAE" w:rsidP="00C65B1D">
      <w:pPr>
        <w:pStyle w:val="a8"/>
        <w:numPr>
          <w:ilvl w:val="0"/>
          <w:numId w:val="31"/>
        </w:numPr>
        <w:spacing w:after="0" w:line="360" w:lineRule="auto"/>
        <w:jc w:val="both"/>
        <w:rPr>
          <w:rFonts w:ascii="Times New Roman" w:eastAsia="Times New Roman" w:hAnsi="Times New Roman" w:cs="Times New Roman"/>
          <w:bCs/>
          <w:color w:val="000000"/>
          <w:sz w:val="28"/>
          <w:szCs w:val="28"/>
          <w:lang w:eastAsia="ru-RU"/>
        </w:rPr>
      </w:pPr>
      <w:r w:rsidRPr="00C65B1D">
        <w:rPr>
          <w:rFonts w:ascii="Times New Roman" w:eastAsia="Times New Roman" w:hAnsi="Times New Roman" w:cs="Times New Roman"/>
          <w:bCs/>
          <w:color w:val="000000"/>
          <w:sz w:val="28"/>
          <w:szCs w:val="28"/>
          <w:lang w:eastAsia="ru-RU"/>
        </w:rPr>
        <w:t>р</w:t>
      </w:r>
      <w:r w:rsidRPr="00C65B1D">
        <w:rPr>
          <w:rFonts w:ascii="Times New Roman" w:eastAsia="Times New Roman" w:hAnsi="Times New Roman" w:cs="Times New Roman"/>
          <w:bCs/>
          <w:color w:val="000000"/>
          <w:sz w:val="28"/>
          <w:szCs w:val="28"/>
          <w:vertAlign w:val="subscript"/>
          <w:lang w:eastAsia="ru-RU"/>
        </w:rPr>
        <w:t xml:space="preserve">3 </w:t>
      </w:r>
      <w:r w:rsidRPr="00C65B1D">
        <w:rPr>
          <w:rFonts w:ascii="Times New Roman" w:eastAsia="Times New Roman" w:hAnsi="Times New Roman" w:cs="Times New Roman"/>
          <w:bCs/>
          <w:color w:val="000000"/>
          <w:sz w:val="28"/>
          <w:szCs w:val="28"/>
          <w:lang w:eastAsia="ru-RU"/>
        </w:rPr>
        <w:t xml:space="preserve"> –  достовірність розходження між показниками </w:t>
      </w:r>
      <w:r w:rsidR="00210218">
        <w:rPr>
          <w:rFonts w:ascii="Times New Roman" w:eastAsia="Times New Roman" w:hAnsi="Times New Roman" w:cs="Times New Roman"/>
          <w:color w:val="000000"/>
          <w:sz w:val="28"/>
          <w:szCs w:val="28"/>
          <w:lang w:eastAsia="ru-RU"/>
        </w:rPr>
        <w:t>ІІ підгрупи та контролем</w:t>
      </w:r>
      <w:r w:rsidRPr="00C65B1D">
        <w:rPr>
          <w:rFonts w:ascii="Times New Roman" w:eastAsia="Times New Roman" w:hAnsi="Times New Roman" w:cs="Times New Roman"/>
          <w:bCs/>
          <w:color w:val="000000"/>
          <w:sz w:val="28"/>
          <w:szCs w:val="28"/>
          <w:lang w:eastAsia="ru-RU"/>
        </w:rPr>
        <w:t xml:space="preserve">; </w:t>
      </w:r>
    </w:p>
    <w:p w:rsidR="00B87EAE" w:rsidRPr="00C65B1D" w:rsidRDefault="00B87EAE" w:rsidP="00C65B1D">
      <w:pPr>
        <w:pStyle w:val="a8"/>
        <w:numPr>
          <w:ilvl w:val="0"/>
          <w:numId w:val="31"/>
        </w:numPr>
        <w:spacing w:after="0" w:line="360" w:lineRule="auto"/>
        <w:jc w:val="both"/>
        <w:rPr>
          <w:rFonts w:ascii="Times New Roman" w:eastAsia="Times New Roman" w:hAnsi="Times New Roman" w:cs="Times New Roman"/>
          <w:bCs/>
          <w:color w:val="000000"/>
          <w:sz w:val="28"/>
          <w:szCs w:val="28"/>
          <w:lang w:eastAsia="ru-RU"/>
        </w:rPr>
      </w:pPr>
      <w:r w:rsidRPr="00C65B1D">
        <w:rPr>
          <w:rFonts w:ascii="Times New Roman" w:eastAsia="Times New Roman" w:hAnsi="Times New Roman" w:cs="Times New Roman"/>
          <w:bCs/>
          <w:color w:val="000000"/>
          <w:sz w:val="28"/>
          <w:szCs w:val="28"/>
          <w:lang w:val="en-US" w:eastAsia="ru-RU"/>
        </w:rPr>
        <w:t>p</w:t>
      </w:r>
      <w:r w:rsidRPr="00C65B1D">
        <w:rPr>
          <w:rFonts w:ascii="Times New Roman" w:eastAsia="Times New Roman" w:hAnsi="Times New Roman" w:cs="Times New Roman"/>
          <w:bCs/>
          <w:color w:val="000000"/>
          <w:sz w:val="28"/>
          <w:szCs w:val="28"/>
          <w:lang w:eastAsia="ru-RU"/>
        </w:rPr>
        <w:t xml:space="preserve"> – достовірність розходження між показниками до та після лікування</w:t>
      </w:r>
      <w:r w:rsidR="00683814" w:rsidRPr="00C65B1D">
        <w:rPr>
          <w:rFonts w:ascii="Times New Roman" w:eastAsia="Times New Roman" w:hAnsi="Times New Roman" w:cs="Times New Roman"/>
          <w:bCs/>
          <w:color w:val="000000"/>
          <w:sz w:val="28"/>
          <w:szCs w:val="28"/>
          <w:lang w:eastAsia="ru-RU"/>
        </w:rPr>
        <w:t>.</w:t>
      </w:r>
    </w:p>
    <w:p w:rsidR="00033FDC" w:rsidRPr="00B87EAE" w:rsidRDefault="00033FDC" w:rsidP="00683814">
      <w:pPr>
        <w:pStyle w:val="Default"/>
        <w:spacing w:line="360" w:lineRule="auto"/>
        <w:rPr>
          <w:sz w:val="28"/>
          <w:szCs w:val="28"/>
          <w:lang w:val="uk-UA"/>
        </w:rPr>
      </w:pPr>
    </w:p>
    <w:p w:rsidR="00833C9E" w:rsidRPr="008F115E" w:rsidRDefault="006125C7" w:rsidP="00023195">
      <w:pPr>
        <w:pStyle w:val="Pa9"/>
        <w:spacing w:line="360" w:lineRule="auto"/>
        <w:ind w:firstLine="708"/>
        <w:jc w:val="both"/>
        <w:rPr>
          <w:rFonts w:ascii="Times New Roman" w:hAnsi="Times New Roman" w:cs="Times New Roman"/>
          <w:color w:val="000000"/>
          <w:sz w:val="28"/>
          <w:szCs w:val="28"/>
          <w:highlight w:val="yellow"/>
          <w:lang w:val="uk-UA"/>
        </w:rPr>
      </w:pPr>
      <w:r>
        <w:rPr>
          <w:rFonts w:ascii="Times New Roman" w:hAnsi="Times New Roman" w:cs="Times New Roman"/>
          <w:color w:val="000000"/>
          <w:sz w:val="28"/>
          <w:szCs w:val="28"/>
          <w:lang w:val="uk-UA"/>
        </w:rPr>
        <w:t>П</w:t>
      </w:r>
      <w:r w:rsidR="001F18E6">
        <w:rPr>
          <w:rFonts w:ascii="Times New Roman" w:hAnsi="Times New Roman" w:cs="Times New Roman"/>
          <w:color w:val="000000"/>
          <w:sz w:val="28"/>
          <w:szCs w:val="28"/>
          <w:lang w:val="en-US"/>
        </w:rPr>
        <w:t>i</w:t>
      </w:r>
      <w:r w:rsidR="00833C9E" w:rsidRPr="00D2776F">
        <w:rPr>
          <w:rFonts w:ascii="Times New Roman" w:hAnsi="Times New Roman" w:cs="Times New Roman"/>
          <w:color w:val="000000"/>
          <w:sz w:val="28"/>
          <w:szCs w:val="28"/>
          <w:lang w:val="uk-UA"/>
        </w:rPr>
        <w:t>двищ</w:t>
      </w:r>
      <w:r w:rsidR="001F18E6">
        <w:rPr>
          <w:rFonts w:ascii="Times New Roman" w:hAnsi="Times New Roman" w:cs="Times New Roman"/>
          <w:color w:val="000000"/>
          <w:sz w:val="28"/>
          <w:szCs w:val="28"/>
          <w:lang w:val="uk-UA"/>
        </w:rPr>
        <w:t>ення ФВ ЛШ на 10,4 та 9,8 % пор</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вняно з вих</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дними значен</w:t>
      </w:r>
      <w:r w:rsidR="001F18E6">
        <w:rPr>
          <w:rFonts w:ascii="Times New Roman" w:hAnsi="Times New Roman" w:cs="Times New Roman"/>
          <w:color w:val="000000"/>
          <w:sz w:val="28"/>
          <w:szCs w:val="28"/>
          <w:lang w:val="uk-UA"/>
        </w:rPr>
        <w:softHyphen/>
        <w:t>нями, що св</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дчить про пол</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пшення систол</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ч</w:t>
      </w:r>
      <w:r w:rsidR="001F18E6">
        <w:rPr>
          <w:rFonts w:ascii="Times New Roman" w:hAnsi="Times New Roman" w:cs="Times New Roman"/>
          <w:color w:val="000000"/>
          <w:sz w:val="28"/>
          <w:szCs w:val="28"/>
          <w:lang w:val="uk-UA"/>
        </w:rPr>
        <w:softHyphen/>
        <w:t>ної функц</w:t>
      </w:r>
      <w:r w:rsidR="001F18E6">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 xml:space="preserve">ї серцевого м’яза, виявлено під </w:t>
      </w:r>
      <w:r w:rsidR="00833C9E" w:rsidRPr="00D2776F">
        <w:rPr>
          <w:rFonts w:ascii="Times New Roman" w:hAnsi="Times New Roman" w:cs="Times New Roman"/>
          <w:color w:val="000000"/>
          <w:sz w:val="28"/>
          <w:szCs w:val="28"/>
          <w:lang w:val="uk-UA"/>
        </w:rPr>
        <w:t xml:space="preserve"> </w:t>
      </w:r>
      <w:r w:rsidRPr="006125C7">
        <w:rPr>
          <w:rFonts w:ascii="Times New Roman" w:hAnsi="Times New Roman" w:cs="Times New Roman"/>
          <w:color w:val="000000"/>
          <w:sz w:val="28"/>
          <w:szCs w:val="28"/>
          <w:lang w:val="uk-UA"/>
        </w:rPr>
        <w:t>впливом лiкування у пацiєнтiв І та ІІ підгруп</w:t>
      </w:r>
      <w:r>
        <w:rPr>
          <w:rFonts w:ascii="Times New Roman" w:hAnsi="Times New Roman" w:cs="Times New Roman"/>
          <w:color w:val="000000"/>
          <w:sz w:val="28"/>
          <w:szCs w:val="28"/>
          <w:lang w:val="uk-UA"/>
        </w:rPr>
        <w:t>.</w:t>
      </w:r>
    </w:p>
    <w:p w:rsidR="00833C9E" w:rsidRPr="008F115E" w:rsidRDefault="00AB5ED3" w:rsidP="00023195">
      <w:pPr>
        <w:pStyle w:val="Pa9"/>
        <w:spacing w:line="360" w:lineRule="auto"/>
        <w:ind w:firstLine="708"/>
        <w:jc w:val="both"/>
        <w:rPr>
          <w:rFonts w:ascii="Times New Roman" w:hAnsi="Times New Roman" w:cs="Times New Roman"/>
          <w:color w:val="000000"/>
          <w:sz w:val="28"/>
          <w:szCs w:val="28"/>
          <w:highlight w:val="yellow"/>
          <w:lang w:val="uk-UA"/>
        </w:rPr>
      </w:pPr>
      <w:r>
        <w:rPr>
          <w:rFonts w:ascii="Times New Roman" w:hAnsi="Times New Roman" w:cs="Times New Roman"/>
          <w:color w:val="000000"/>
          <w:sz w:val="28"/>
          <w:szCs w:val="28"/>
          <w:lang w:val="uk-UA"/>
        </w:rPr>
        <w:t xml:space="preserve">Констатоване </w:t>
      </w:r>
      <w:r w:rsidR="001F18E6">
        <w:rPr>
          <w:rFonts w:ascii="Times New Roman" w:hAnsi="Times New Roman" w:cs="Times New Roman"/>
          <w:color w:val="000000"/>
          <w:sz w:val="28"/>
          <w:szCs w:val="28"/>
          <w:lang w:val="uk-UA"/>
        </w:rPr>
        <w:t xml:space="preserve">зменшення товщини МШП </w:t>
      </w:r>
      <w:r w:rsidR="006125C7">
        <w:rPr>
          <w:rFonts w:ascii="Times New Roman" w:hAnsi="Times New Roman" w:cs="Times New Roman"/>
          <w:color w:val="000000"/>
          <w:sz w:val="28"/>
          <w:szCs w:val="28"/>
          <w:lang w:val="uk-UA"/>
        </w:rPr>
        <w:t>на 5 і 4 %</w:t>
      </w:r>
      <w:r w:rsidR="00833C9E" w:rsidRPr="00D2776F">
        <w:rPr>
          <w:rFonts w:ascii="Times New Roman" w:hAnsi="Times New Roman" w:cs="Times New Roman"/>
          <w:color w:val="000000"/>
          <w:sz w:val="28"/>
          <w:szCs w:val="28"/>
          <w:lang w:val="uk-UA"/>
        </w:rPr>
        <w:t>, ТЗС</w:t>
      </w:r>
      <w:r w:rsidR="006125C7">
        <w:rPr>
          <w:rFonts w:ascii="Times New Roman" w:hAnsi="Times New Roman" w:cs="Times New Roman"/>
          <w:color w:val="000000"/>
          <w:sz w:val="28"/>
          <w:szCs w:val="28"/>
          <w:lang w:val="uk-UA"/>
        </w:rPr>
        <w:t>ЛШ</w:t>
      </w:r>
      <w:r w:rsidR="00833C9E" w:rsidRPr="00D2776F">
        <w:rPr>
          <w:rFonts w:ascii="Times New Roman" w:hAnsi="Times New Roman" w:cs="Times New Roman"/>
          <w:color w:val="000000"/>
          <w:sz w:val="28"/>
          <w:szCs w:val="28"/>
          <w:lang w:val="uk-UA"/>
        </w:rPr>
        <w:t xml:space="preserve"> </w:t>
      </w:r>
      <w:r w:rsidR="009458C2" w:rsidRPr="009458C2">
        <w:rPr>
          <w:rFonts w:ascii="Times New Roman" w:hAnsi="Times New Roman" w:cs="Times New Roman"/>
          <w:color w:val="000000"/>
          <w:sz w:val="28"/>
          <w:szCs w:val="28"/>
          <w:lang w:val="uk-UA"/>
        </w:rPr>
        <w:t>–</w:t>
      </w:r>
      <w:r w:rsidR="00833C9E" w:rsidRPr="00D2776F">
        <w:rPr>
          <w:rFonts w:ascii="Times New Roman" w:hAnsi="Times New Roman" w:cs="Times New Roman"/>
          <w:color w:val="000000"/>
          <w:sz w:val="28"/>
          <w:szCs w:val="28"/>
          <w:lang w:val="uk-UA"/>
        </w:rPr>
        <w:t xml:space="preserve"> 3,8 і </w:t>
      </w:r>
      <w:r w:rsidR="006125C7">
        <w:rPr>
          <w:rFonts w:ascii="Times New Roman" w:hAnsi="Times New Roman" w:cs="Times New Roman"/>
          <w:color w:val="000000"/>
          <w:sz w:val="28"/>
          <w:szCs w:val="28"/>
          <w:lang w:val="uk-UA"/>
        </w:rPr>
        <w:t xml:space="preserve">    </w:t>
      </w:r>
      <w:r w:rsidR="00833C9E" w:rsidRPr="00D2776F">
        <w:rPr>
          <w:rFonts w:ascii="Times New Roman" w:hAnsi="Times New Roman" w:cs="Times New Roman"/>
          <w:color w:val="000000"/>
          <w:sz w:val="28"/>
          <w:szCs w:val="28"/>
          <w:lang w:val="uk-UA"/>
        </w:rPr>
        <w:t xml:space="preserve">3,6 %, КДР </w:t>
      </w:r>
      <w:r w:rsidR="009458C2" w:rsidRPr="009458C2">
        <w:rPr>
          <w:rFonts w:ascii="Times New Roman" w:hAnsi="Times New Roman" w:cs="Times New Roman"/>
          <w:color w:val="000000"/>
          <w:sz w:val="28"/>
          <w:szCs w:val="28"/>
          <w:lang w:val="uk-UA"/>
        </w:rPr>
        <w:t>–</w:t>
      </w:r>
      <w:r w:rsidR="006125C7">
        <w:rPr>
          <w:rFonts w:ascii="Times New Roman" w:hAnsi="Times New Roman" w:cs="Times New Roman"/>
          <w:color w:val="000000"/>
          <w:sz w:val="28"/>
          <w:szCs w:val="28"/>
          <w:lang w:val="uk-UA"/>
        </w:rPr>
        <w:t xml:space="preserve"> </w:t>
      </w:r>
      <w:r w:rsidR="00833C9E" w:rsidRPr="00D2776F">
        <w:rPr>
          <w:rFonts w:ascii="Times New Roman" w:hAnsi="Times New Roman" w:cs="Times New Roman"/>
          <w:color w:val="000000"/>
          <w:sz w:val="28"/>
          <w:szCs w:val="28"/>
          <w:lang w:val="uk-UA"/>
        </w:rPr>
        <w:t>6 і 5,5 %</w:t>
      </w:r>
      <w:r w:rsidR="006125C7">
        <w:rPr>
          <w:rFonts w:ascii="Times New Roman" w:hAnsi="Times New Roman" w:cs="Times New Roman"/>
          <w:color w:val="000000"/>
          <w:sz w:val="28"/>
          <w:szCs w:val="28"/>
          <w:lang w:val="uk-UA"/>
        </w:rPr>
        <w:t xml:space="preserve"> відповідно </w:t>
      </w:r>
      <w:r w:rsidR="006125C7" w:rsidRPr="006125C7">
        <w:rPr>
          <w:rFonts w:ascii="Times New Roman" w:hAnsi="Times New Roman" w:cs="Times New Roman"/>
          <w:color w:val="000000"/>
          <w:sz w:val="28"/>
          <w:szCs w:val="28"/>
          <w:lang w:val="uk-UA"/>
        </w:rPr>
        <w:t>у хворих І та ІІ</w:t>
      </w:r>
      <w:r w:rsidR="006125C7">
        <w:rPr>
          <w:rFonts w:ascii="Times New Roman" w:hAnsi="Times New Roman" w:cs="Times New Roman"/>
          <w:color w:val="000000"/>
          <w:sz w:val="28"/>
          <w:szCs w:val="28"/>
          <w:lang w:val="uk-UA"/>
        </w:rPr>
        <w:t xml:space="preserve"> </w:t>
      </w:r>
      <w:r w:rsidR="006125C7" w:rsidRPr="006125C7">
        <w:rPr>
          <w:rFonts w:ascii="Times New Roman" w:hAnsi="Times New Roman" w:cs="Times New Roman"/>
          <w:color w:val="000000"/>
          <w:sz w:val="28"/>
          <w:szCs w:val="28"/>
          <w:lang w:val="uk-UA"/>
        </w:rPr>
        <w:t>підгруп</w:t>
      </w:r>
      <w:r w:rsidR="00833C9E" w:rsidRPr="00D2776F">
        <w:rPr>
          <w:rFonts w:ascii="Times New Roman" w:hAnsi="Times New Roman" w:cs="Times New Roman"/>
          <w:color w:val="000000"/>
          <w:sz w:val="28"/>
          <w:szCs w:val="28"/>
          <w:lang w:val="uk-UA"/>
        </w:rPr>
        <w:t xml:space="preserve">. </w:t>
      </w:r>
    </w:p>
    <w:p w:rsidR="00A72073" w:rsidRDefault="001F18E6" w:rsidP="00023195">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вв</w:t>
      </w:r>
      <w:r>
        <w:rPr>
          <w:rFonts w:ascii="Times New Roman" w:hAnsi="Times New Roman" w:cs="Times New Roman"/>
          <w:color w:val="000000"/>
          <w:sz w:val="28"/>
          <w:szCs w:val="28"/>
          <w:lang w:val="en-US"/>
        </w:rPr>
        <w:t>i</w:t>
      </w:r>
      <w:r w:rsidR="00833C9E" w:rsidRPr="00D2776F">
        <w:rPr>
          <w:rFonts w:ascii="Times New Roman" w:hAnsi="Times New Roman" w:cs="Times New Roman"/>
          <w:color w:val="000000"/>
          <w:sz w:val="28"/>
          <w:szCs w:val="28"/>
          <w:lang w:val="uk-UA"/>
        </w:rPr>
        <w:t>дно</w:t>
      </w:r>
      <w:r>
        <w:rPr>
          <w:rFonts w:ascii="Times New Roman" w:hAnsi="Times New Roman" w:cs="Times New Roman"/>
          <w:color w:val="000000"/>
          <w:sz w:val="28"/>
          <w:szCs w:val="28"/>
          <w:lang w:val="uk-UA"/>
        </w:rPr>
        <w:t>шення Е/А зб</w:t>
      </w:r>
      <w:r>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льшило</w:t>
      </w:r>
      <w:r w:rsidR="006F5879">
        <w:rPr>
          <w:rFonts w:ascii="Times New Roman" w:hAnsi="Times New Roman" w:cs="Times New Roman"/>
          <w:color w:val="000000"/>
          <w:sz w:val="28"/>
          <w:szCs w:val="28"/>
          <w:lang w:val="uk-UA"/>
        </w:rPr>
        <w:softHyphen/>
        <w:t xml:space="preserve">ся </w:t>
      </w:r>
      <w:r w:rsidR="00AB5ED3">
        <w:rPr>
          <w:rFonts w:ascii="Times New Roman" w:hAnsi="Times New Roman" w:cs="Times New Roman"/>
          <w:color w:val="000000"/>
          <w:sz w:val="28"/>
          <w:szCs w:val="28"/>
          <w:lang w:val="uk-UA"/>
        </w:rPr>
        <w:t>у пацієнтів</w:t>
      </w:r>
      <w:r>
        <w:rPr>
          <w:rFonts w:ascii="Times New Roman" w:hAnsi="Times New Roman" w:cs="Times New Roman"/>
          <w:color w:val="000000"/>
          <w:sz w:val="28"/>
          <w:szCs w:val="28"/>
          <w:lang w:val="uk-UA"/>
        </w:rPr>
        <w:t>, що приймали телм</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сартан,</w:t>
      </w:r>
      <w:r w:rsidR="00AB5ED3" w:rsidRPr="00AB5ED3">
        <w:t xml:space="preserve"> </w:t>
      </w:r>
      <w:r w:rsidR="00AB5ED3" w:rsidRPr="00AB5ED3">
        <w:rPr>
          <w:rFonts w:ascii="Times New Roman" w:hAnsi="Times New Roman" w:cs="Times New Roman"/>
          <w:color w:val="000000"/>
          <w:sz w:val="28"/>
          <w:szCs w:val="28"/>
          <w:lang w:val="uk-UA"/>
        </w:rPr>
        <w:t>на 12 % (р = 0,0280)</w:t>
      </w:r>
      <w:r w:rsidR="009458C2">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9458C2">
        <w:rPr>
          <w:rFonts w:ascii="Times New Roman" w:hAnsi="Times New Roman" w:cs="Times New Roman"/>
          <w:color w:val="000000"/>
          <w:sz w:val="28"/>
          <w:szCs w:val="28"/>
          <w:lang w:val="uk-UA"/>
        </w:rPr>
        <w:t xml:space="preserve">лізиноприл </w:t>
      </w:r>
      <w:r w:rsidR="009458C2" w:rsidRPr="009458C2">
        <w:rPr>
          <w:rFonts w:ascii="Times New Roman" w:hAnsi="Times New Roman" w:cs="Times New Roman"/>
          <w:color w:val="000000"/>
          <w:sz w:val="28"/>
          <w:szCs w:val="28"/>
          <w:lang w:val="uk-UA"/>
        </w:rPr>
        <w:t>–</w:t>
      </w:r>
      <w:r w:rsidR="00AB5ED3">
        <w:rPr>
          <w:rFonts w:ascii="Times New Roman" w:hAnsi="Times New Roman" w:cs="Times New Roman"/>
          <w:color w:val="000000"/>
          <w:sz w:val="28"/>
          <w:szCs w:val="28"/>
          <w:lang w:val="uk-UA"/>
        </w:rPr>
        <w:t xml:space="preserve"> </w:t>
      </w:r>
      <w:r w:rsidR="00AB5ED3" w:rsidRPr="00AB5ED3">
        <w:t xml:space="preserve"> </w:t>
      </w:r>
      <w:r w:rsidR="00AB5ED3" w:rsidRPr="00AB5ED3">
        <w:rPr>
          <w:rFonts w:ascii="Times New Roman" w:hAnsi="Times New Roman" w:cs="Times New Roman"/>
          <w:color w:val="000000"/>
          <w:sz w:val="28"/>
          <w:szCs w:val="28"/>
          <w:lang w:val="uk-UA"/>
        </w:rPr>
        <w:t>на 10 % (р = 0,0031)</w:t>
      </w:r>
      <w:r w:rsidR="00AB5ED3">
        <w:rPr>
          <w:rFonts w:ascii="Times New Roman" w:hAnsi="Times New Roman" w:cs="Times New Roman"/>
          <w:color w:val="000000"/>
          <w:sz w:val="28"/>
          <w:szCs w:val="28"/>
          <w:lang w:val="uk-UA"/>
        </w:rPr>
        <w:t>.</w:t>
      </w:r>
      <w:r w:rsidR="0094703F">
        <w:rPr>
          <w:rFonts w:ascii="Times New Roman" w:hAnsi="Times New Roman" w:cs="Times New Roman"/>
          <w:color w:val="000000"/>
          <w:sz w:val="28"/>
          <w:szCs w:val="28"/>
          <w:lang w:val="uk-UA"/>
        </w:rPr>
        <w:t xml:space="preserve"> ІММЛШ </w:t>
      </w:r>
      <w:r w:rsidR="0094703F">
        <w:rPr>
          <w:rFonts w:ascii="Times New Roman" w:hAnsi="Times New Roman" w:cs="Times New Roman"/>
          <w:color w:val="000000"/>
          <w:sz w:val="28"/>
          <w:szCs w:val="28"/>
          <w:lang w:val="uk-UA"/>
        </w:rPr>
        <w:lastRenderedPageBreak/>
        <w:t xml:space="preserve">зменшився </w:t>
      </w:r>
      <w:r w:rsidR="008F115E">
        <w:rPr>
          <w:rFonts w:ascii="Times New Roman" w:hAnsi="Times New Roman" w:cs="Times New Roman"/>
          <w:color w:val="000000"/>
          <w:sz w:val="28"/>
          <w:szCs w:val="28"/>
          <w:lang w:val="uk-UA"/>
        </w:rPr>
        <w:t>на 6</w:t>
      </w:r>
      <w:r w:rsidR="0094703F" w:rsidRPr="003544E0">
        <w:rPr>
          <w:rFonts w:ascii="Times New Roman" w:hAnsi="Times New Roman" w:cs="Times New Roman"/>
          <w:color w:val="000000"/>
          <w:sz w:val="28"/>
          <w:szCs w:val="28"/>
          <w:lang w:val="uk-UA"/>
        </w:rPr>
        <w:t xml:space="preserve"> %</w:t>
      </w:r>
      <w:r w:rsidR="00C71CBE" w:rsidRPr="003544E0">
        <w:rPr>
          <w:rFonts w:ascii="Times New Roman" w:hAnsi="Times New Roman" w:cs="Times New Roman"/>
          <w:color w:val="000000"/>
          <w:sz w:val="28"/>
          <w:szCs w:val="28"/>
          <w:lang w:val="uk-UA"/>
        </w:rPr>
        <w:t xml:space="preserve"> (</w:t>
      </w:r>
      <w:r w:rsidR="006B0C8D" w:rsidRPr="003544E0">
        <w:rPr>
          <w:rFonts w:ascii="Times New Roman" w:hAnsi="Times New Roman" w:cs="Times New Roman"/>
          <w:color w:val="000000"/>
          <w:sz w:val="28"/>
          <w:szCs w:val="28"/>
          <w:lang w:val="en-US"/>
        </w:rPr>
        <w:t>p</w:t>
      </w:r>
      <w:r w:rsidR="0014371D" w:rsidRPr="003544E0">
        <w:rPr>
          <w:rFonts w:ascii="Times New Roman" w:hAnsi="Times New Roman" w:cs="Times New Roman"/>
          <w:color w:val="000000"/>
          <w:sz w:val="28"/>
          <w:szCs w:val="28"/>
          <w:lang w:val="uk-UA"/>
        </w:rPr>
        <w:t xml:space="preserve"> =</w:t>
      </w:r>
      <w:r w:rsidR="006B0C8D" w:rsidRPr="003544E0">
        <w:rPr>
          <w:rFonts w:ascii="Times New Roman" w:hAnsi="Times New Roman" w:cs="Times New Roman"/>
          <w:color w:val="000000"/>
          <w:sz w:val="28"/>
          <w:szCs w:val="28"/>
          <w:lang w:val="uk-UA"/>
        </w:rPr>
        <w:t xml:space="preserve"> 0,0</w:t>
      </w:r>
      <w:r w:rsidR="008F115E">
        <w:rPr>
          <w:rFonts w:ascii="Times New Roman" w:hAnsi="Times New Roman" w:cs="Times New Roman"/>
          <w:color w:val="000000"/>
          <w:sz w:val="28"/>
          <w:szCs w:val="28"/>
          <w:lang w:val="uk-UA"/>
        </w:rPr>
        <w:t>0</w:t>
      </w:r>
      <w:r w:rsidR="008F115E" w:rsidRPr="008F115E">
        <w:rPr>
          <w:rFonts w:ascii="Times New Roman" w:hAnsi="Times New Roman" w:cs="Times New Roman"/>
          <w:color w:val="000000"/>
          <w:sz w:val="28"/>
          <w:szCs w:val="28"/>
          <w:lang w:val="uk-UA"/>
        </w:rPr>
        <w:t>82</w:t>
      </w:r>
      <w:r w:rsidR="006B0C8D" w:rsidRPr="003544E0">
        <w:rPr>
          <w:rFonts w:ascii="Times New Roman" w:hAnsi="Times New Roman" w:cs="Times New Roman"/>
          <w:color w:val="000000"/>
          <w:sz w:val="28"/>
          <w:szCs w:val="28"/>
          <w:lang w:val="uk-UA"/>
        </w:rPr>
        <w:t>)</w:t>
      </w:r>
      <w:r w:rsidR="008F115E">
        <w:rPr>
          <w:rFonts w:ascii="Times New Roman" w:hAnsi="Times New Roman" w:cs="Times New Roman"/>
          <w:color w:val="000000"/>
          <w:sz w:val="28"/>
          <w:szCs w:val="28"/>
          <w:lang w:val="uk-UA"/>
        </w:rPr>
        <w:t xml:space="preserve"> і 3,</w:t>
      </w:r>
      <w:r w:rsidR="008F115E" w:rsidRPr="008F115E">
        <w:rPr>
          <w:rFonts w:ascii="Times New Roman" w:hAnsi="Times New Roman" w:cs="Times New Roman"/>
          <w:color w:val="000000"/>
          <w:sz w:val="28"/>
          <w:szCs w:val="28"/>
          <w:lang w:val="uk-UA"/>
        </w:rPr>
        <w:t>3</w:t>
      </w:r>
      <w:r w:rsidR="00833C9E" w:rsidRPr="003544E0">
        <w:rPr>
          <w:rFonts w:ascii="Times New Roman" w:hAnsi="Times New Roman" w:cs="Times New Roman"/>
          <w:color w:val="000000"/>
          <w:sz w:val="28"/>
          <w:szCs w:val="28"/>
          <w:lang w:val="uk-UA"/>
        </w:rPr>
        <w:t xml:space="preserve"> %</w:t>
      </w:r>
      <w:r w:rsidR="0014371D" w:rsidRPr="003544E0">
        <w:rPr>
          <w:rFonts w:ascii="Times New Roman" w:hAnsi="Times New Roman" w:cs="Times New Roman"/>
          <w:color w:val="000000"/>
          <w:sz w:val="28"/>
          <w:szCs w:val="28"/>
          <w:lang w:val="uk-UA"/>
        </w:rPr>
        <w:t xml:space="preserve"> (</w:t>
      </w:r>
      <w:r w:rsidR="0014371D" w:rsidRPr="003544E0">
        <w:rPr>
          <w:rFonts w:ascii="Times New Roman" w:hAnsi="Times New Roman" w:cs="Times New Roman"/>
          <w:color w:val="000000"/>
          <w:sz w:val="28"/>
          <w:szCs w:val="28"/>
          <w:lang w:val="en-US"/>
        </w:rPr>
        <w:t>p</w:t>
      </w:r>
      <w:r w:rsidR="008F115E">
        <w:rPr>
          <w:rFonts w:ascii="Times New Roman" w:hAnsi="Times New Roman" w:cs="Times New Roman"/>
          <w:color w:val="000000"/>
          <w:sz w:val="28"/>
          <w:szCs w:val="28"/>
          <w:lang w:val="uk-UA"/>
        </w:rPr>
        <w:t xml:space="preserve"> = 0,02</w:t>
      </w:r>
      <w:r w:rsidR="008F115E" w:rsidRPr="008F115E">
        <w:rPr>
          <w:rFonts w:ascii="Times New Roman" w:hAnsi="Times New Roman" w:cs="Times New Roman"/>
          <w:color w:val="000000"/>
          <w:sz w:val="28"/>
          <w:szCs w:val="28"/>
          <w:lang w:val="uk-UA"/>
        </w:rPr>
        <w:t>57</w:t>
      </w:r>
      <w:r w:rsidR="0014371D" w:rsidRPr="0014371D">
        <w:rPr>
          <w:rFonts w:ascii="Times New Roman" w:hAnsi="Times New Roman" w:cs="Times New Roman"/>
          <w:color w:val="000000"/>
          <w:sz w:val="28"/>
          <w:szCs w:val="28"/>
          <w:lang w:val="uk-UA"/>
        </w:rPr>
        <w:t>)</w:t>
      </w:r>
      <w:r w:rsidR="00833C9E" w:rsidRPr="008707FF">
        <w:rPr>
          <w:rFonts w:ascii="Times New Roman" w:hAnsi="Times New Roman" w:cs="Times New Roman"/>
          <w:color w:val="000000"/>
          <w:sz w:val="28"/>
          <w:szCs w:val="28"/>
          <w:lang w:val="uk-UA"/>
        </w:rPr>
        <w:t xml:space="preserve"> </w:t>
      </w:r>
      <w:r w:rsidR="009458C2">
        <w:rPr>
          <w:rFonts w:ascii="Times New Roman" w:hAnsi="Times New Roman" w:cs="Times New Roman"/>
          <w:color w:val="000000"/>
          <w:sz w:val="28"/>
          <w:szCs w:val="28"/>
          <w:lang w:val="uk-UA"/>
        </w:rPr>
        <w:t xml:space="preserve">у хворих </w:t>
      </w:r>
      <w:r w:rsidR="009458C2" w:rsidRPr="009458C2">
        <w:rPr>
          <w:rFonts w:ascii="Times New Roman" w:hAnsi="Times New Roman" w:cs="Times New Roman"/>
          <w:color w:val="000000"/>
          <w:sz w:val="28"/>
          <w:szCs w:val="28"/>
          <w:lang w:val="uk-UA"/>
        </w:rPr>
        <w:t xml:space="preserve">І та ІІ пiдгруп </w:t>
      </w:r>
      <w:r>
        <w:rPr>
          <w:rFonts w:ascii="Times New Roman" w:hAnsi="Times New Roman" w:cs="Times New Roman"/>
          <w:color w:val="000000"/>
          <w:sz w:val="28"/>
          <w:szCs w:val="28"/>
          <w:lang w:val="uk-UA"/>
        </w:rPr>
        <w:t>в</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дпов</w:t>
      </w:r>
      <w:r>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дно, що є ознакою покраща</w:t>
      </w:r>
      <w:r>
        <w:rPr>
          <w:rFonts w:ascii="Times New Roman" w:hAnsi="Times New Roman" w:cs="Times New Roman"/>
          <w:color w:val="000000"/>
          <w:sz w:val="28"/>
          <w:szCs w:val="28"/>
          <w:lang w:val="uk-UA"/>
        </w:rPr>
        <w:t>ння д</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асто</w:t>
      </w:r>
      <w:r>
        <w:rPr>
          <w:rFonts w:ascii="Times New Roman" w:hAnsi="Times New Roman" w:cs="Times New Roman"/>
          <w:color w:val="000000"/>
          <w:sz w:val="28"/>
          <w:szCs w:val="28"/>
          <w:lang w:val="uk-UA"/>
        </w:rPr>
        <w:softHyphen/>
        <w:t>л</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чної функц</w:t>
      </w:r>
      <w:r>
        <w:rPr>
          <w:rFonts w:ascii="Times New Roman" w:hAnsi="Times New Roman" w:cs="Times New Roman"/>
          <w:color w:val="000000"/>
          <w:sz w:val="28"/>
          <w:szCs w:val="28"/>
          <w:lang w:val="en-US"/>
        </w:rPr>
        <w:t>i</w:t>
      </w:r>
      <w:r w:rsidR="00833C9E" w:rsidRPr="008707FF">
        <w:rPr>
          <w:rFonts w:ascii="Times New Roman" w:hAnsi="Times New Roman" w:cs="Times New Roman"/>
          <w:color w:val="000000"/>
          <w:sz w:val="28"/>
          <w:szCs w:val="28"/>
          <w:lang w:val="uk-UA"/>
        </w:rPr>
        <w:t>ї.</w:t>
      </w:r>
      <w:r w:rsidR="00C71CBE" w:rsidRPr="00C71CBE">
        <w:rPr>
          <w:rFonts w:ascii="Times New Roman" w:hAnsi="Times New Roman" w:cs="Times New Roman"/>
          <w:color w:val="000000"/>
          <w:sz w:val="28"/>
          <w:szCs w:val="28"/>
          <w:lang w:val="uk-UA"/>
        </w:rPr>
        <w:t xml:space="preserve"> </w:t>
      </w:r>
    </w:p>
    <w:p w:rsidR="00033FDC" w:rsidRPr="006B0C8D" w:rsidRDefault="008D1977" w:rsidP="00023195">
      <w:pPr>
        <w:autoSpaceDE w:val="0"/>
        <w:autoSpaceDN w:val="0"/>
        <w:adjustRightInd w:val="0"/>
        <w:spacing w:after="0" w:line="360" w:lineRule="auto"/>
        <w:ind w:firstLine="708"/>
        <w:jc w:val="both"/>
        <w:rPr>
          <w:rFonts w:ascii="Times New Roman" w:hAnsi="Times New Roman" w:cs="Times New Roman"/>
          <w:color w:val="000000"/>
          <w:sz w:val="28"/>
          <w:szCs w:val="28"/>
          <w:lang w:val="uk-UA"/>
        </w:rPr>
      </w:pPr>
      <w:r w:rsidRPr="008D1977">
        <w:rPr>
          <w:rFonts w:ascii="Times New Roman" w:hAnsi="Times New Roman" w:cs="Times New Roman"/>
          <w:color w:val="000000"/>
          <w:sz w:val="28"/>
          <w:szCs w:val="28"/>
          <w:lang w:val="uk-UA"/>
        </w:rPr>
        <w:t>Констатовано</w:t>
      </w:r>
      <w:r w:rsidR="00B25974">
        <w:rPr>
          <w:rFonts w:ascii="Times New Roman" w:hAnsi="Times New Roman" w:cs="Times New Roman"/>
          <w:color w:val="000000"/>
          <w:sz w:val="28"/>
          <w:szCs w:val="28"/>
          <w:lang w:val="uk-UA"/>
        </w:rPr>
        <w:t xml:space="preserve"> рег</w:t>
      </w:r>
      <w:r w:rsidR="001E2C53">
        <w:rPr>
          <w:rFonts w:ascii="Times New Roman" w:hAnsi="Times New Roman" w:cs="Times New Roman"/>
          <w:color w:val="000000"/>
          <w:sz w:val="28"/>
          <w:szCs w:val="28"/>
          <w:lang w:val="uk-UA"/>
        </w:rPr>
        <w:t>рес ІММ</w:t>
      </w:r>
      <w:r w:rsidR="006F5879">
        <w:rPr>
          <w:rFonts w:ascii="Times New Roman" w:hAnsi="Times New Roman" w:cs="Times New Roman"/>
          <w:color w:val="000000"/>
          <w:sz w:val="28"/>
          <w:szCs w:val="28"/>
          <w:lang w:val="uk-UA"/>
        </w:rPr>
        <w:t xml:space="preserve">ЛШ </w:t>
      </w:r>
      <w:r w:rsidR="00ED0A90" w:rsidRPr="00ED0A90">
        <w:rPr>
          <w:rFonts w:ascii="Times New Roman" w:hAnsi="Times New Roman" w:cs="Times New Roman"/>
          <w:color w:val="000000"/>
          <w:sz w:val="28"/>
          <w:szCs w:val="28"/>
          <w:lang w:val="uk-UA"/>
        </w:rPr>
        <w:t>у пац</w:t>
      </w:r>
      <w:r w:rsidR="00ED0A90">
        <w:rPr>
          <w:rFonts w:ascii="Times New Roman" w:hAnsi="Times New Roman" w:cs="Times New Roman"/>
          <w:color w:val="000000"/>
          <w:sz w:val="28"/>
          <w:szCs w:val="28"/>
          <w:lang w:val="uk-UA"/>
        </w:rPr>
        <w:t xml:space="preserve">ієнтів </w:t>
      </w:r>
      <w:r w:rsidR="00222D21">
        <w:rPr>
          <w:rFonts w:ascii="Times New Roman" w:hAnsi="Times New Roman" w:cs="Times New Roman"/>
          <w:color w:val="000000"/>
          <w:sz w:val="28"/>
          <w:szCs w:val="28"/>
          <w:lang w:val="uk-UA"/>
        </w:rPr>
        <w:t>і</w:t>
      </w:r>
      <w:r w:rsidR="00B25974">
        <w:rPr>
          <w:rFonts w:ascii="Times New Roman" w:hAnsi="Times New Roman" w:cs="Times New Roman"/>
          <w:color w:val="000000"/>
          <w:sz w:val="28"/>
          <w:szCs w:val="28"/>
          <w:lang w:val="uk-UA"/>
        </w:rPr>
        <w:t>з АГ та супут</w:t>
      </w:r>
      <w:r w:rsidR="001F18E6">
        <w:rPr>
          <w:rFonts w:ascii="Times New Roman" w:hAnsi="Times New Roman" w:cs="Times New Roman"/>
          <w:color w:val="000000"/>
          <w:sz w:val="28"/>
          <w:szCs w:val="28"/>
          <w:lang w:val="uk-UA"/>
        </w:rPr>
        <w:t>н</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 xml:space="preserve">м </w:t>
      </w:r>
      <w:r w:rsidR="00210218">
        <w:rPr>
          <w:rFonts w:ascii="Times New Roman" w:hAnsi="Times New Roman" w:cs="Times New Roman"/>
          <w:color w:val="000000"/>
          <w:sz w:val="28"/>
          <w:szCs w:val="28"/>
          <w:lang w:val="uk-UA"/>
        </w:rPr>
        <w:t xml:space="preserve">                </w:t>
      </w:r>
      <w:r w:rsidR="001F18E6">
        <w:rPr>
          <w:rFonts w:ascii="Times New Roman" w:hAnsi="Times New Roman" w:cs="Times New Roman"/>
          <w:color w:val="000000"/>
          <w:sz w:val="28"/>
          <w:szCs w:val="28"/>
          <w:lang w:val="uk-UA"/>
        </w:rPr>
        <w:t>ЦД 2-го типу на фон</w:t>
      </w:r>
      <w:r w:rsidR="001F18E6">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 xml:space="preserve"> приймання</w:t>
      </w:r>
      <w:r w:rsidR="001F18E6">
        <w:rPr>
          <w:rFonts w:ascii="Times New Roman" w:hAnsi="Times New Roman" w:cs="Times New Roman"/>
          <w:color w:val="000000"/>
          <w:sz w:val="28"/>
          <w:szCs w:val="28"/>
          <w:lang w:val="uk-UA"/>
        </w:rPr>
        <w:t xml:space="preserve"> </w:t>
      </w:r>
      <w:r w:rsidR="009458C2">
        <w:rPr>
          <w:rFonts w:ascii="Times New Roman" w:hAnsi="Times New Roman" w:cs="Times New Roman"/>
          <w:color w:val="000000"/>
          <w:sz w:val="28"/>
          <w:szCs w:val="28"/>
          <w:lang w:val="uk-UA"/>
        </w:rPr>
        <w:t xml:space="preserve">лізиноприлу та </w:t>
      </w:r>
      <w:r w:rsidR="001F18E6">
        <w:rPr>
          <w:rFonts w:ascii="Times New Roman" w:hAnsi="Times New Roman" w:cs="Times New Roman"/>
          <w:color w:val="000000"/>
          <w:sz w:val="28"/>
          <w:szCs w:val="28"/>
          <w:lang w:val="uk-UA"/>
        </w:rPr>
        <w:t>телм</w:t>
      </w:r>
      <w:r w:rsidR="001F18E6">
        <w:rPr>
          <w:rFonts w:ascii="Times New Roman" w:hAnsi="Times New Roman" w:cs="Times New Roman"/>
          <w:color w:val="000000"/>
          <w:sz w:val="28"/>
          <w:szCs w:val="28"/>
          <w:lang w:val="en-US"/>
        </w:rPr>
        <w:t>i</w:t>
      </w:r>
      <w:r w:rsidR="00A61C69">
        <w:rPr>
          <w:rFonts w:ascii="Times New Roman" w:hAnsi="Times New Roman" w:cs="Times New Roman"/>
          <w:color w:val="000000"/>
          <w:sz w:val="28"/>
          <w:szCs w:val="28"/>
          <w:lang w:val="uk-UA"/>
        </w:rPr>
        <w:t xml:space="preserve">сартану. </w:t>
      </w:r>
      <w:r w:rsidR="001F18E6">
        <w:rPr>
          <w:rFonts w:ascii="Times New Roman" w:hAnsi="Times New Roman" w:cs="Times New Roman"/>
          <w:color w:val="000000"/>
          <w:sz w:val="28"/>
          <w:szCs w:val="28"/>
          <w:lang w:val="uk-UA"/>
        </w:rPr>
        <w:t>В</w:t>
      </w:r>
      <w:r w:rsidR="001F18E6">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 xml:space="preserve">дсоток </w:t>
      </w:r>
      <w:r w:rsidR="006B0C8D">
        <w:rPr>
          <w:rFonts w:ascii="Times New Roman" w:hAnsi="Times New Roman" w:cs="Times New Roman"/>
          <w:color w:val="000000"/>
          <w:sz w:val="28"/>
          <w:szCs w:val="28"/>
          <w:lang w:val="uk-UA"/>
        </w:rPr>
        <w:t xml:space="preserve">зниження ІММЛШ у </w:t>
      </w:r>
      <w:r w:rsidR="006F5879">
        <w:rPr>
          <w:rFonts w:ascii="Times New Roman" w:hAnsi="Times New Roman" w:cs="Times New Roman"/>
          <w:color w:val="000000"/>
          <w:sz w:val="28"/>
          <w:szCs w:val="28"/>
          <w:lang w:val="uk-UA"/>
        </w:rPr>
        <w:t>хворих</w:t>
      </w:r>
      <w:r w:rsidR="00CC63A8">
        <w:rPr>
          <w:rFonts w:ascii="Times New Roman" w:hAnsi="Times New Roman" w:cs="Times New Roman"/>
          <w:color w:val="000000"/>
          <w:sz w:val="28"/>
          <w:szCs w:val="28"/>
          <w:lang w:val="uk-UA"/>
        </w:rPr>
        <w:t xml:space="preserve"> на АГ та ЦД 2-го типу</w:t>
      </w:r>
      <w:r w:rsidR="006F5879">
        <w:rPr>
          <w:rFonts w:ascii="Times New Roman" w:hAnsi="Times New Roman" w:cs="Times New Roman"/>
          <w:color w:val="000000"/>
          <w:sz w:val="28"/>
          <w:szCs w:val="28"/>
          <w:lang w:val="uk-UA"/>
        </w:rPr>
        <w:t>, яких ми обстежили,</w:t>
      </w:r>
      <w:r w:rsidR="00122F2B">
        <w:rPr>
          <w:rFonts w:ascii="Times New Roman" w:hAnsi="Times New Roman" w:cs="Times New Roman"/>
          <w:color w:val="000000"/>
          <w:sz w:val="28"/>
          <w:szCs w:val="28"/>
          <w:lang w:val="uk-UA"/>
        </w:rPr>
        <w:t xml:space="preserve"> </w:t>
      </w:r>
      <w:r w:rsidR="00D81605">
        <w:rPr>
          <w:rFonts w:ascii="Times New Roman" w:hAnsi="Times New Roman" w:cs="Times New Roman"/>
          <w:color w:val="000000"/>
          <w:sz w:val="28"/>
          <w:szCs w:val="28"/>
          <w:lang w:val="uk-UA"/>
        </w:rPr>
        <w:t xml:space="preserve">      </w:t>
      </w:r>
      <w:r w:rsidR="001F18E6">
        <w:rPr>
          <w:rFonts w:ascii="Times New Roman" w:hAnsi="Times New Roman" w:cs="Times New Roman"/>
          <w:color w:val="000000"/>
          <w:sz w:val="28"/>
          <w:szCs w:val="28"/>
          <w:lang w:val="uk-UA"/>
        </w:rPr>
        <w:t>на фон</w:t>
      </w:r>
      <w:r w:rsidR="001F18E6">
        <w:rPr>
          <w:rFonts w:ascii="Times New Roman" w:hAnsi="Times New Roman" w:cs="Times New Roman"/>
          <w:color w:val="000000"/>
          <w:sz w:val="28"/>
          <w:szCs w:val="28"/>
          <w:lang w:val="en-US"/>
        </w:rPr>
        <w:t>i</w:t>
      </w:r>
      <w:r w:rsidR="00A72073">
        <w:rPr>
          <w:rFonts w:ascii="Times New Roman" w:hAnsi="Times New Roman" w:cs="Times New Roman"/>
          <w:color w:val="000000"/>
          <w:sz w:val="28"/>
          <w:szCs w:val="28"/>
          <w:lang w:val="uk-UA"/>
        </w:rPr>
        <w:t xml:space="preserve"> </w:t>
      </w:r>
      <w:r w:rsidR="006F5879">
        <w:rPr>
          <w:rFonts w:ascii="Times New Roman" w:hAnsi="Times New Roman" w:cs="Times New Roman"/>
          <w:color w:val="000000"/>
          <w:sz w:val="28"/>
          <w:szCs w:val="28"/>
          <w:lang w:val="uk-UA"/>
        </w:rPr>
        <w:t>приймання 40−</w:t>
      </w:r>
      <w:r w:rsidR="001F18E6">
        <w:rPr>
          <w:rFonts w:ascii="Times New Roman" w:hAnsi="Times New Roman" w:cs="Times New Roman"/>
          <w:color w:val="000000"/>
          <w:sz w:val="28"/>
          <w:szCs w:val="28"/>
          <w:lang w:val="uk-UA"/>
        </w:rPr>
        <w:t>80 мг телм</w:t>
      </w:r>
      <w:r w:rsidR="001F18E6">
        <w:rPr>
          <w:rFonts w:ascii="Times New Roman" w:hAnsi="Times New Roman" w:cs="Times New Roman"/>
          <w:color w:val="000000"/>
          <w:sz w:val="28"/>
          <w:szCs w:val="28"/>
          <w:lang w:val="en-US"/>
        </w:rPr>
        <w:t>i</w:t>
      </w:r>
      <w:r w:rsidR="00A72073">
        <w:rPr>
          <w:rFonts w:ascii="Times New Roman" w:hAnsi="Times New Roman" w:cs="Times New Roman"/>
          <w:color w:val="000000"/>
          <w:sz w:val="28"/>
          <w:szCs w:val="28"/>
          <w:lang w:val="uk-UA"/>
        </w:rPr>
        <w:t>сартану</w:t>
      </w:r>
      <w:r w:rsidR="001F18E6">
        <w:rPr>
          <w:rFonts w:ascii="Times New Roman" w:hAnsi="Times New Roman" w:cs="Times New Roman"/>
          <w:color w:val="000000"/>
          <w:sz w:val="28"/>
          <w:szCs w:val="28"/>
          <w:lang w:val="uk-UA"/>
        </w:rPr>
        <w:t xml:space="preserve"> є незначним, адже за ш</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сть м</w:t>
      </w:r>
      <w:r w:rsidR="001F18E6">
        <w:rPr>
          <w:rFonts w:ascii="Times New Roman" w:hAnsi="Times New Roman" w:cs="Times New Roman"/>
          <w:color w:val="000000"/>
          <w:sz w:val="28"/>
          <w:szCs w:val="28"/>
          <w:lang w:val="en-US"/>
        </w:rPr>
        <w:t>i</w:t>
      </w:r>
      <w:r w:rsidR="001F18E6">
        <w:rPr>
          <w:rFonts w:ascii="Times New Roman" w:hAnsi="Times New Roman" w:cs="Times New Roman"/>
          <w:color w:val="000000"/>
          <w:sz w:val="28"/>
          <w:szCs w:val="28"/>
          <w:lang w:val="uk-UA"/>
        </w:rPr>
        <w:t>сяц</w:t>
      </w:r>
      <w:r w:rsidR="001F18E6">
        <w:rPr>
          <w:rFonts w:ascii="Times New Roman" w:hAnsi="Times New Roman" w:cs="Times New Roman"/>
          <w:color w:val="000000"/>
          <w:sz w:val="28"/>
          <w:szCs w:val="28"/>
          <w:lang w:val="en-US"/>
        </w:rPr>
        <w:t>i</w:t>
      </w:r>
      <w:r w:rsidR="0014371D">
        <w:rPr>
          <w:rFonts w:ascii="Times New Roman" w:hAnsi="Times New Roman" w:cs="Times New Roman"/>
          <w:color w:val="000000"/>
          <w:sz w:val="28"/>
          <w:szCs w:val="28"/>
          <w:lang w:val="uk-UA"/>
        </w:rPr>
        <w:t>в</w:t>
      </w:r>
      <w:r w:rsidR="001F18E6">
        <w:rPr>
          <w:rFonts w:ascii="Times New Roman" w:hAnsi="Times New Roman" w:cs="Times New Roman"/>
          <w:color w:val="000000"/>
          <w:sz w:val="28"/>
          <w:szCs w:val="28"/>
          <w:lang w:val="uk-UA"/>
        </w:rPr>
        <w:t xml:space="preserve"> л</w:t>
      </w:r>
      <w:r w:rsidR="001F18E6">
        <w:rPr>
          <w:rFonts w:ascii="Times New Roman" w:hAnsi="Times New Roman" w:cs="Times New Roman"/>
          <w:color w:val="000000"/>
          <w:sz w:val="28"/>
          <w:szCs w:val="28"/>
          <w:lang w:val="en-US"/>
        </w:rPr>
        <w:t>i</w:t>
      </w:r>
      <w:r w:rsidR="00140788">
        <w:rPr>
          <w:rFonts w:ascii="Times New Roman" w:hAnsi="Times New Roman" w:cs="Times New Roman"/>
          <w:color w:val="000000"/>
          <w:sz w:val="28"/>
          <w:szCs w:val="28"/>
          <w:lang w:val="uk-UA"/>
        </w:rPr>
        <w:t xml:space="preserve">кування не </w:t>
      </w:r>
      <w:r w:rsidR="002E623F">
        <w:rPr>
          <w:rFonts w:ascii="Times New Roman" w:hAnsi="Times New Roman" w:cs="Times New Roman"/>
          <w:color w:val="000000"/>
          <w:sz w:val="28"/>
          <w:szCs w:val="28"/>
          <w:lang w:val="uk-UA"/>
        </w:rPr>
        <w:t>можна оч</w:t>
      </w:r>
      <w:r w:rsidR="002E623F">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кувати значного покраща</w:t>
      </w:r>
      <w:r w:rsidR="00140788">
        <w:rPr>
          <w:rFonts w:ascii="Times New Roman" w:hAnsi="Times New Roman" w:cs="Times New Roman"/>
          <w:color w:val="000000"/>
          <w:sz w:val="28"/>
          <w:szCs w:val="28"/>
          <w:lang w:val="uk-UA"/>
        </w:rPr>
        <w:t xml:space="preserve">ння </w:t>
      </w:r>
      <w:r w:rsidR="00A72073">
        <w:rPr>
          <w:rFonts w:ascii="Times New Roman" w:hAnsi="Times New Roman" w:cs="Times New Roman"/>
          <w:color w:val="000000"/>
          <w:sz w:val="28"/>
          <w:szCs w:val="28"/>
          <w:lang w:val="uk-UA"/>
        </w:rPr>
        <w:t>ре</w:t>
      </w:r>
      <w:r w:rsidR="00140788">
        <w:rPr>
          <w:rFonts w:ascii="Times New Roman" w:hAnsi="Times New Roman" w:cs="Times New Roman"/>
          <w:color w:val="000000"/>
          <w:sz w:val="28"/>
          <w:szCs w:val="28"/>
          <w:lang w:val="uk-UA"/>
        </w:rPr>
        <w:t>моделювання Л</w:t>
      </w:r>
      <w:r w:rsidR="0014491A">
        <w:rPr>
          <w:rFonts w:ascii="Times New Roman" w:hAnsi="Times New Roman" w:cs="Times New Roman"/>
          <w:color w:val="000000"/>
          <w:sz w:val="28"/>
          <w:szCs w:val="28"/>
          <w:lang w:val="uk-UA"/>
        </w:rPr>
        <w:t xml:space="preserve">Ш, </w:t>
      </w:r>
      <w:r w:rsidR="00222D21">
        <w:rPr>
          <w:rFonts w:ascii="Times New Roman" w:hAnsi="Times New Roman" w:cs="Times New Roman"/>
          <w:color w:val="000000"/>
          <w:sz w:val="28"/>
          <w:szCs w:val="28"/>
          <w:lang w:val="uk-UA"/>
        </w:rPr>
        <w:t xml:space="preserve">    </w:t>
      </w:r>
      <w:r w:rsidR="0014491A">
        <w:rPr>
          <w:rFonts w:ascii="Times New Roman" w:hAnsi="Times New Roman" w:cs="Times New Roman"/>
          <w:color w:val="000000"/>
          <w:sz w:val="28"/>
          <w:szCs w:val="28"/>
          <w:lang w:val="uk-UA"/>
        </w:rPr>
        <w:t xml:space="preserve">на </w:t>
      </w:r>
      <w:r w:rsidR="002E623F">
        <w:rPr>
          <w:rFonts w:ascii="Times New Roman" w:hAnsi="Times New Roman" w:cs="Times New Roman"/>
          <w:color w:val="000000"/>
          <w:sz w:val="28"/>
          <w:szCs w:val="28"/>
          <w:lang w:val="uk-UA"/>
        </w:rPr>
        <w:t>це необх</w:t>
      </w:r>
      <w:r w:rsidR="002E623F">
        <w:rPr>
          <w:rFonts w:ascii="Times New Roman" w:hAnsi="Times New Roman" w:cs="Times New Roman"/>
          <w:color w:val="000000"/>
          <w:sz w:val="28"/>
          <w:szCs w:val="28"/>
          <w:lang w:val="en-US"/>
        </w:rPr>
        <w:t>i</w:t>
      </w:r>
      <w:r w:rsidR="002E623F">
        <w:rPr>
          <w:rFonts w:ascii="Times New Roman" w:hAnsi="Times New Roman" w:cs="Times New Roman"/>
          <w:color w:val="000000"/>
          <w:sz w:val="28"/>
          <w:szCs w:val="28"/>
          <w:lang w:val="uk-UA"/>
        </w:rPr>
        <w:t>дно б</w:t>
      </w:r>
      <w:r w:rsidR="002E623F">
        <w:rPr>
          <w:rFonts w:ascii="Times New Roman" w:hAnsi="Times New Roman" w:cs="Times New Roman"/>
          <w:color w:val="000000"/>
          <w:sz w:val="28"/>
          <w:szCs w:val="28"/>
          <w:lang w:val="en-US"/>
        </w:rPr>
        <w:t>i</w:t>
      </w:r>
      <w:r w:rsidR="0014491A">
        <w:rPr>
          <w:rFonts w:ascii="Times New Roman" w:hAnsi="Times New Roman" w:cs="Times New Roman"/>
          <w:color w:val="000000"/>
          <w:sz w:val="28"/>
          <w:szCs w:val="28"/>
          <w:lang w:val="uk-UA"/>
        </w:rPr>
        <w:t>льше часу</w:t>
      </w:r>
      <w:r w:rsidR="0014491A" w:rsidRPr="0014491A">
        <w:rPr>
          <w:rFonts w:ascii="Times New Roman" w:hAnsi="Times New Roman" w:cs="Times New Roman"/>
          <w:color w:val="000000"/>
          <w:sz w:val="28"/>
          <w:szCs w:val="28"/>
          <w:lang w:val="uk-UA"/>
        </w:rPr>
        <w:t xml:space="preserve">. </w:t>
      </w:r>
      <w:r w:rsidR="002E623F">
        <w:rPr>
          <w:rFonts w:ascii="Times New Roman" w:hAnsi="Times New Roman" w:cs="Times New Roman"/>
          <w:color w:val="000000"/>
          <w:sz w:val="28"/>
          <w:szCs w:val="28"/>
          <w:lang w:val="uk-UA"/>
        </w:rPr>
        <w:t>В</w:t>
      </w:r>
      <w:r w:rsidR="002E623F">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дсоток</w:t>
      </w:r>
      <w:r w:rsidR="0014491A" w:rsidRPr="00D2776F">
        <w:rPr>
          <w:rFonts w:ascii="Times New Roman" w:hAnsi="Times New Roman" w:cs="Times New Roman"/>
          <w:color w:val="000000"/>
          <w:sz w:val="28"/>
          <w:szCs w:val="28"/>
          <w:lang w:val="uk-UA"/>
        </w:rPr>
        <w:t xml:space="preserve"> з</w:t>
      </w:r>
      <w:r w:rsidR="002E623F">
        <w:rPr>
          <w:rFonts w:ascii="Times New Roman" w:hAnsi="Times New Roman" w:cs="Times New Roman"/>
          <w:color w:val="000000"/>
          <w:sz w:val="28"/>
          <w:szCs w:val="28"/>
          <w:lang w:val="uk-UA"/>
        </w:rPr>
        <w:t xml:space="preserve">ниження </w:t>
      </w:r>
      <w:r w:rsidR="002E623F">
        <w:rPr>
          <w:rFonts w:ascii="Times New Roman" w:hAnsi="Times New Roman" w:cs="Times New Roman"/>
          <w:color w:val="000000"/>
          <w:sz w:val="28"/>
          <w:szCs w:val="28"/>
          <w:lang w:val="en-US"/>
        </w:rPr>
        <w:t>I</w:t>
      </w:r>
      <w:r w:rsidR="006B0C8D" w:rsidRPr="00D2776F">
        <w:rPr>
          <w:rFonts w:ascii="Times New Roman" w:hAnsi="Times New Roman" w:cs="Times New Roman"/>
          <w:color w:val="000000"/>
          <w:sz w:val="28"/>
          <w:szCs w:val="28"/>
          <w:lang w:val="uk-UA"/>
        </w:rPr>
        <w:t>ММ</w:t>
      </w:r>
      <w:r w:rsidR="00D813B4" w:rsidRPr="00D2776F">
        <w:rPr>
          <w:rFonts w:ascii="Times New Roman" w:hAnsi="Times New Roman" w:cs="Times New Roman"/>
          <w:color w:val="000000"/>
          <w:sz w:val="28"/>
          <w:szCs w:val="28"/>
          <w:lang w:val="uk-UA"/>
        </w:rPr>
        <w:t>ЛШ</w:t>
      </w:r>
      <w:r w:rsidR="002E623F">
        <w:rPr>
          <w:rFonts w:ascii="Times New Roman" w:hAnsi="Times New Roman" w:cs="Times New Roman"/>
          <w:color w:val="000000"/>
          <w:sz w:val="28"/>
          <w:szCs w:val="28"/>
          <w:lang w:val="uk-UA"/>
        </w:rPr>
        <w:t xml:space="preserve"> у пац</w:t>
      </w:r>
      <w:r w:rsidR="002E623F">
        <w:rPr>
          <w:rFonts w:ascii="Times New Roman" w:hAnsi="Times New Roman" w:cs="Times New Roman"/>
          <w:color w:val="000000"/>
          <w:sz w:val="28"/>
          <w:szCs w:val="28"/>
          <w:lang w:val="en-US"/>
        </w:rPr>
        <w:t>i</w:t>
      </w:r>
      <w:r w:rsidR="002E623F">
        <w:rPr>
          <w:rFonts w:ascii="Times New Roman" w:hAnsi="Times New Roman" w:cs="Times New Roman"/>
          <w:color w:val="000000"/>
          <w:sz w:val="28"/>
          <w:szCs w:val="28"/>
          <w:lang w:val="uk-UA"/>
        </w:rPr>
        <w:t>єнт</w:t>
      </w:r>
      <w:r w:rsidR="002E623F">
        <w:rPr>
          <w:rFonts w:ascii="Times New Roman" w:hAnsi="Times New Roman" w:cs="Times New Roman"/>
          <w:color w:val="000000"/>
          <w:sz w:val="28"/>
          <w:szCs w:val="28"/>
          <w:lang w:val="en-US"/>
        </w:rPr>
        <w:t>i</w:t>
      </w:r>
      <w:r w:rsidR="00942EFF">
        <w:rPr>
          <w:rFonts w:ascii="Times New Roman" w:hAnsi="Times New Roman" w:cs="Times New Roman"/>
          <w:color w:val="000000"/>
          <w:sz w:val="28"/>
          <w:szCs w:val="28"/>
          <w:lang w:val="uk-UA"/>
        </w:rPr>
        <w:t xml:space="preserve">в </w:t>
      </w:r>
      <w:r w:rsidR="000D030C">
        <w:rPr>
          <w:rFonts w:ascii="Times New Roman" w:hAnsi="Times New Roman" w:cs="Times New Roman"/>
          <w:color w:val="000000"/>
          <w:sz w:val="28"/>
          <w:szCs w:val="28"/>
          <w:lang w:val="uk-UA"/>
        </w:rPr>
        <w:t>і</w:t>
      </w:r>
      <w:r w:rsidR="006B0C8D" w:rsidRPr="00D2776F">
        <w:rPr>
          <w:rFonts w:ascii="Times New Roman" w:hAnsi="Times New Roman" w:cs="Times New Roman"/>
          <w:color w:val="000000"/>
          <w:sz w:val="28"/>
          <w:szCs w:val="28"/>
          <w:lang w:val="uk-UA"/>
        </w:rPr>
        <w:t xml:space="preserve">з </w:t>
      </w:r>
      <w:r w:rsidR="00942EFF">
        <w:rPr>
          <w:rFonts w:ascii="Times New Roman" w:hAnsi="Times New Roman" w:cs="Times New Roman"/>
          <w:color w:val="000000"/>
          <w:sz w:val="28"/>
          <w:szCs w:val="28"/>
          <w:lang w:val="uk-UA"/>
        </w:rPr>
        <w:t xml:space="preserve">АГ та </w:t>
      </w:r>
      <w:r w:rsidR="002E623F">
        <w:rPr>
          <w:rFonts w:ascii="Times New Roman" w:hAnsi="Times New Roman" w:cs="Times New Roman"/>
          <w:color w:val="000000"/>
          <w:sz w:val="28"/>
          <w:szCs w:val="28"/>
          <w:lang w:val="uk-UA"/>
        </w:rPr>
        <w:t>супутн</w:t>
      </w:r>
      <w:r w:rsidR="002E623F">
        <w:rPr>
          <w:rFonts w:ascii="Times New Roman" w:hAnsi="Times New Roman" w:cs="Times New Roman"/>
          <w:color w:val="000000"/>
          <w:sz w:val="28"/>
          <w:szCs w:val="28"/>
          <w:lang w:val="en-US"/>
        </w:rPr>
        <w:t>i</w:t>
      </w:r>
      <w:r w:rsidR="006B0C8D" w:rsidRPr="00D2776F">
        <w:rPr>
          <w:rFonts w:ascii="Times New Roman" w:hAnsi="Times New Roman" w:cs="Times New Roman"/>
          <w:color w:val="000000"/>
          <w:sz w:val="28"/>
          <w:szCs w:val="28"/>
          <w:lang w:val="uk-UA"/>
        </w:rPr>
        <w:t>м ЦД 2-го типу</w:t>
      </w:r>
      <w:r w:rsidR="002E623F">
        <w:rPr>
          <w:rFonts w:ascii="Times New Roman" w:hAnsi="Times New Roman" w:cs="Times New Roman"/>
          <w:color w:val="000000"/>
          <w:sz w:val="28"/>
          <w:szCs w:val="28"/>
          <w:lang w:val="uk-UA"/>
        </w:rPr>
        <w:t>, як</w:t>
      </w:r>
      <w:r w:rsidR="002E623F">
        <w:rPr>
          <w:rFonts w:ascii="Times New Roman" w:hAnsi="Times New Roman" w:cs="Times New Roman"/>
          <w:color w:val="000000"/>
          <w:sz w:val="28"/>
          <w:szCs w:val="28"/>
          <w:lang w:val="en-US"/>
        </w:rPr>
        <w:t>i</w:t>
      </w:r>
      <w:r w:rsidR="0014491A" w:rsidRPr="00D2776F">
        <w:rPr>
          <w:rFonts w:ascii="Times New Roman" w:hAnsi="Times New Roman" w:cs="Times New Roman"/>
          <w:color w:val="000000"/>
          <w:sz w:val="28"/>
          <w:szCs w:val="28"/>
          <w:lang w:val="uk-UA"/>
        </w:rPr>
        <w:t xml:space="preserve"> приймали </w:t>
      </w:r>
      <w:r w:rsidR="002E623F">
        <w:rPr>
          <w:rFonts w:ascii="Times New Roman" w:hAnsi="Times New Roman" w:cs="Times New Roman"/>
          <w:color w:val="000000"/>
          <w:sz w:val="28"/>
          <w:szCs w:val="28"/>
          <w:lang w:val="uk-UA"/>
        </w:rPr>
        <w:t>телм</w:t>
      </w:r>
      <w:r w:rsidR="002E623F">
        <w:rPr>
          <w:rFonts w:ascii="Times New Roman" w:hAnsi="Times New Roman" w:cs="Times New Roman"/>
          <w:color w:val="000000"/>
          <w:sz w:val="28"/>
          <w:szCs w:val="28"/>
          <w:lang w:val="en-US"/>
        </w:rPr>
        <w:t>i</w:t>
      </w:r>
      <w:r w:rsidR="0014491A" w:rsidRPr="00D2776F">
        <w:rPr>
          <w:rFonts w:ascii="Times New Roman" w:hAnsi="Times New Roman" w:cs="Times New Roman"/>
          <w:color w:val="000000"/>
          <w:sz w:val="28"/>
          <w:szCs w:val="28"/>
          <w:lang w:val="uk-UA"/>
        </w:rPr>
        <w:t>сартан, був на</w:t>
      </w:r>
      <w:r w:rsidR="00496950">
        <w:rPr>
          <w:rFonts w:ascii="Times New Roman" w:hAnsi="Times New Roman" w:cs="Times New Roman"/>
          <w:color w:val="000000"/>
          <w:sz w:val="28"/>
          <w:szCs w:val="28"/>
          <w:lang w:val="uk-UA"/>
        </w:rPr>
        <w:t xml:space="preserve"> 2,7</w:t>
      </w:r>
      <w:r w:rsidR="006F5879">
        <w:rPr>
          <w:rFonts w:ascii="Times New Roman" w:hAnsi="Times New Roman" w:cs="Times New Roman"/>
          <w:color w:val="000000"/>
          <w:sz w:val="28"/>
          <w:szCs w:val="28"/>
          <w:lang w:val="uk-UA"/>
        </w:rPr>
        <w:t xml:space="preserve"> </w:t>
      </w:r>
      <w:r w:rsidR="006B0C8D" w:rsidRPr="00D2776F">
        <w:rPr>
          <w:rFonts w:ascii="Times New Roman" w:hAnsi="Times New Roman" w:cs="Times New Roman"/>
          <w:color w:val="000000"/>
          <w:sz w:val="28"/>
          <w:szCs w:val="28"/>
          <w:lang w:val="uk-UA"/>
        </w:rPr>
        <w:t xml:space="preserve">% </w:t>
      </w:r>
      <w:r w:rsidR="002E623F">
        <w:rPr>
          <w:rFonts w:ascii="Times New Roman" w:hAnsi="Times New Roman" w:cs="Times New Roman"/>
          <w:color w:val="000000"/>
          <w:sz w:val="28"/>
          <w:szCs w:val="28"/>
          <w:lang w:val="uk-UA"/>
        </w:rPr>
        <w:t>б</w:t>
      </w:r>
      <w:r w:rsidR="002E623F">
        <w:rPr>
          <w:rFonts w:ascii="Times New Roman" w:hAnsi="Times New Roman" w:cs="Times New Roman"/>
          <w:color w:val="000000"/>
          <w:sz w:val="28"/>
          <w:szCs w:val="28"/>
          <w:lang w:val="en-US"/>
        </w:rPr>
        <w:t>i</w:t>
      </w:r>
      <w:r w:rsidR="002E623F">
        <w:rPr>
          <w:rFonts w:ascii="Times New Roman" w:hAnsi="Times New Roman" w:cs="Times New Roman"/>
          <w:color w:val="000000"/>
          <w:sz w:val="28"/>
          <w:szCs w:val="28"/>
          <w:lang w:val="uk-UA"/>
        </w:rPr>
        <w:t xml:space="preserve">льшим, </w:t>
      </w:r>
      <w:r w:rsidR="00D81605">
        <w:rPr>
          <w:rFonts w:ascii="Times New Roman" w:hAnsi="Times New Roman" w:cs="Times New Roman"/>
          <w:color w:val="000000"/>
          <w:sz w:val="28"/>
          <w:szCs w:val="28"/>
          <w:lang w:val="uk-UA"/>
        </w:rPr>
        <w:t xml:space="preserve">    </w:t>
      </w:r>
      <w:r w:rsidR="002E623F">
        <w:rPr>
          <w:rFonts w:ascii="Times New Roman" w:hAnsi="Times New Roman" w:cs="Times New Roman"/>
          <w:color w:val="000000"/>
          <w:sz w:val="28"/>
          <w:szCs w:val="28"/>
          <w:lang w:val="uk-UA"/>
        </w:rPr>
        <w:t>н</w:t>
      </w:r>
      <w:r w:rsidR="002E623F">
        <w:rPr>
          <w:rFonts w:ascii="Times New Roman" w:hAnsi="Times New Roman" w:cs="Times New Roman"/>
          <w:color w:val="000000"/>
          <w:sz w:val="28"/>
          <w:szCs w:val="28"/>
          <w:lang w:val="en-US"/>
        </w:rPr>
        <w:t>i</w:t>
      </w:r>
      <w:r w:rsidR="0014491A" w:rsidRPr="00D2776F">
        <w:rPr>
          <w:rFonts w:ascii="Times New Roman" w:hAnsi="Times New Roman" w:cs="Times New Roman"/>
          <w:color w:val="000000"/>
          <w:sz w:val="28"/>
          <w:szCs w:val="28"/>
          <w:lang w:val="uk-UA"/>
        </w:rPr>
        <w:t>ж</w:t>
      </w:r>
      <w:r w:rsidR="009458C2">
        <w:rPr>
          <w:rFonts w:ascii="Times New Roman" w:hAnsi="Times New Roman" w:cs="Times New Roman"/>
          <w:color w:val="000000"/>
          <w:sz w:val="28"/>
          <w:szCs w:val="28"/>
          <w:lang w:val="uk-UA"/>
        </w:rPr>
        <w:t xml:space="preserve"> у хворих</w:t>
      </w:r>
      <w:r w:rsidR="002E623F">
        <w:rPr>
          <w:rFonts w:ascii="Times New Roman" w:hAnsi="Times New Roman" w:cs="Times New Roman"/>
          <w:color w:val="000000"/>
          <w:sz w:val="28"/>
          <w:szCs w:val="28"/>
          <w:lang w:val="uk-UA"/>
        </w:rPr>
        <w:t>, як</w:t>
      </w:r>
      <w:r w:rsidR="002E623F">
        <w:rPr>
          <w:rFonts w:ascii="Times New Roman" w:hAnsi="Times New Roman" w:cs="Times New Roman"/>
          <w:color w:val="000000"/>
          <w:sz w:val="28"/>
          <w:szCs w:val="28"/>
          <w:lang w:val="en-US"/>
        </w:rPr>
        <w:t>i</w:t>
      </w:r>
      <w:r w:rsidR="002E623F">
        <w:rPr>
          <w:rFonts w:ascii="Times New Roman" w:hAnsi="Times New Roman" w:cs="Times New Roman"/>
          <w:color w:val="000000"/>
          <w:sz w:val="28"/>
          <w:szCs w:val="28"/>
          <w:lang w:val="uk-UA"/>
        </w:rPr>
        <w:t xml:space="preserve"> вживали л</w:t>
      </w:r>
      <w:r w:rsidR="002E623F">
        <w:rPr>
          <w:rFonts w:ascii="Times New Roman" w:hAnsi="Times New Roman" w:cs="Times New Roman"/>
          <w:color w:val="000000"/>
          <w:sz w:val="28"/>
          <w:szCs w:val="28"/>
          <w:lang w:val="en-US"/>
        </w:rPr>
        <w:t>i</w:t>
      </w:r>
      <w:r w:rsidR="0013122C" w:rsidRPr="00D2776F">
        <w:rPr>
          <w:rFonts w:ascii="Times New Roman" w:hAnsi="Times New Roman" w:cs="Times New Roman"/>
          <w:color w:val="000000"/>
          <w:sz w:val="28"/>
          <w:szCs w:val="28"/>
          <w:lang w:val="uk-UA"/>
        </w:rPr>
        <w:t>зиноприл</w:t>
      </w:r>
      <w:r w:rsidR="0014491A" w:rsidRPr="0014491A">
        <w:rPr>
          <w:rFonts w:ascii="Times New Roman" w:hAnsi="Times New Roman" w:cs="Times New Roman"/>
          <w:color w:val="000000"/>
          <w:sz w:val="28"/>
          <w:szCs w:val="28"/>
          <w:lang w:val="uk-UA"/>
        </w:rPr>
        <w:t>.</w:t>
      </w:r>
    </w:p>
    <w:p w:rsidR="00EA69B0" w:rsidRPr="00F55CBA" w:rsidRDefault="002E623F" w:rsidP="00F55CB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Отже, телм</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сартан чинить кард</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опротектор</w:t>
      </w:r>
      <w:r>
        <w:rPr>
          <w:rFonts w:ascii="Times New Roman" w:hAnsi="Times New Roman" w:cs="Times New Roman"/>
          <w:color w:val="000000"/>
          <w:sz w:val="28"/>
          <w:szCs w:val="28"/>
          <w:lang w:val="uk-UA"/>
        </w:rPr>
        <w:softHyphen/>
        <w:t>ну д</w:t>
      </w:r>
      <w:r>
        <w:rPr>
          <w:rFonts w:ascii="Times New Roman" w:hAnsi="Times New Roman" w:cs="Times New Roman"/>
          <w:color w:val="000000"/>
          <w:sz w:val="28"/>
          <w:szCs w:val="28"/>
          <w:lang w:val="en-US"/>
        </w:rPr>
        <w:t>i</w:t>
      </w:r>
      <w:r w:rsidR="00833C9E" w:rsidRPr="008707FF">
        <w:rPr>
          <w:rFonts w:ascii="Times New Roman" w:hAnsi="Times New Roman" w:cs="Times New Roman"/>
          <w:color w:val="000000"/>
          <w:sz w:val="28"/>
          <w:szCs w:val="28"/>
          <w:lang w:val="uk-UA"/>
        </w:rPr>
        <w:t>ю на серц</w:t>
      </w:r>
      <w:r>
        <w:rPr>
          <w:rFonts w:ascii="Times New Roman" w:hAnsi="Times New Roman" w:cs="Times New Roman"/>
          <w:color w:val="000000"/>
          <w:sz w:val="28"/>
          <w:szCs w:val="28"/>
          <w:lang w:val="uk-UA"/>
        </w:rPr>
        <w:t xml:space="preserve">евий м’яз, </w:t>
      </w:r>
      <w:r w:rsidR="00D81605">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що виявляється у пол</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пшенн</w:t>
      </w:r>
      <w:r>
        <w:rPr>
          <w:rFonts w:ascii="Times New Roman" w:hAnsi="Times New Roman" w:cs="Times New Roman"/>
          <w:color w:val="000000"/>
          <w:sz w:val="28"/>
          <w:szCs w:val="28"/>
          <w:lang w:val="en-US"/>
        </w:rPr>
        <w:t>i</w:t>
      </w:r>
      <w:r w:rsidR="00833C9E" w:rsidRPr="008707FF">
        <w:rPr>
          <w:rFonts w:ascii="Times New Roman" w:hAnsi="Times New Roman" w:cs="Times New Roman"/>
          <w:color w:val="000000"/>
          <w:sz w:val="28"/>
          <w:szCs w:val="28"/>
          <w:lang w:val="uk-UA"/>
        </w:rPr>
        <w:t xml:space="preserve"> си</w:t>
      </w:r>
      <w:r>
        <w:rPr>
          <w:rFonts w:ascii="Times New Roman" w:hAnsi="Times New Roman" w:cs="Times New Roman"/>
          <w:color w:val="000000"/>
          <w:sz w:val="28"/>
          <w:szCs w:val="28"/>
          <w:lang w:val="uk-UA"/>
        </w:rPr>
        <w:t>стол</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чної і д</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астол</w:t>
      </w:r>
      <w:r>
        <w:rPr>
          <w:rFonts w:ascii="Times New Roman" w:hAnsi="Times New Roman" w:cs="Times New Roman"/>
          <w:color w:val="000000"/>
          <w:sz w:val="28"/>
          <w:szCs w:val="28"/>
          <w:lang w:val="en-US"/>
        </w:rPr>
        <w:t>i</w:t>
      </w:r>
      <w:r>
        <w:rPr>
          <w:rFonts w:ascii="Times New Roman" w:hAnsi="Times New Roman" w:cs="Times New Roman"/>
          <w:color w:val="000000"/>
          <w:sz w:val="28"/>
          <w:szCs w:val="28"/>
          <w:lang w:val="uk-UA"/>
        </w:rPr>
        <w:t>чної функц</w:t>
      </w:r>
      <w:r>
        <w:rPr>
          <w:rFonts w:ascii="Times New Roman" w:hAnsi="Times New Roman" w:cs="Times New Roman"/>
          <w:color w:val="000000"/>
          <w:sz w:val="28"/>
          <w:szCs w:val="28"/>
          <w:lang w:val="en-US"/>
        </w:rPr>
        <w:t>i</w:t>
      </w:r>
      <w:r w:rsidR="006F5879">
        <w:rPr>
          <w:rFonts w:ascii="Times New Roman" w:hAnsi="Times New Roman" w:cs="Times New Roman"/>
          <w:color w:val="000000"/>
          <w:sz w:val="28"/>
          <w:szCs w:val="28"/>
          <w:lang w:val="uk-UA"/>
        </w:rPr>
        <w:t>й</w:t>
      </w:r>
      <w:r w:rsidR="00833C9E" w:rsidRPr="008707FF">
        <w:rPr>
          <w:rFonts w:ascii="Times New Roman" w:hAnsi="Times New Roman" w:cs="Times New Roman"/>
          <w:color w:val="000000"/>
          <w:sz w:val="28"/>
          <w:szCs w:val="28"/>
          <w:lang w:val="uk-UA"/>
        </w:rPr>
        <w:t xml:space="preserve">. </w:t>
      </w:r>
    </w:p>
    <w:p w:rsidR="005A5B0F" w:rsidRDefault="005A5B0F" w:rsidP="005A5B0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D1D06">
        <w:rPr>
          <w:rFonts w:ascii="Times New Roman" w:hAnsi="Times New Roman" w:cs="Times New Roman"/>
          <w:sz w:val="28"/>
          <w:szCs w:val="28"/>
          <w:lang w:val="uk-UA"/>
        </w:rPr>
        <w:t xml:space="preserve">осліджено динаміку альбумінурії, </w:t>
      </w:r>
      <w:r w:rsidRPr="005A5B0F">
        <w:rPr>
          <w:rFonts w:ascii="Times New Roman" w:hAnsi="Times New Roman" w:cs="Times New Roman"/>
          <w:sz w:val="28"/>
          <w:szCs w:val="28"/>
          <w:lang w:val="uk-UA"/>
        </w:rPr>
        <w:t>HbA1с</w:t>
      </w:r>
      <w:r w:rsidR="002D1D06">
        <w:rPr>
          <w:rFonts w:ascii="Times New Roman" w:hAnsi="Times New Roman" w:cs="Times New Roman"/>
          <w:sz w:val="28"/>
          <w:szCs w:val="28"/>
          <w:lang w:val="uk-UA"/>
        </w:rPr>
        <w:t>, АТ</w:t>
      </w:r>
      <w:r w:rsidRPr="005A5B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пацієнтів І та ІІ підгруп </w:t>
      </w:r>
      <w:r w:rsidR="002D1D06">
        <w:rPr>
          <w:rFonts w:ascii="Times New Roman" w:hAnsi="Times New Roman" w:cs="Times New Roman"/>
          <w:sz w:val="28"/>
          <w:szCs w:val="28"/>
          <w:lang w:val="uk-UA"/>
        </w:rPr>
        <w:t xml:space="preserve">на фоні прийому телмісартану та лізиноприлу </w:t>
      </w:r>
      <w:r w:rsidRPr="005A5B0F">
        <w:rPr>
          <w:rFonts w:ascii="Times New Roman" w:hAnsi="Times New Roman" w:cs="Times New Roman"/>
          <w:sz w:val="28"/>
          <w:szCs w:val="28"/>
          <w:lang w:val="uk-UA"/>
        </w:rPr>
        <w:t>(табл. 6.2.3).</w:t>
      </w:r>
      <w:r>
        <w:rPr>
          <w:rFonts w:ascii="Times New Roman" w:hAnsi="Times New Roman" w:cs="Times New Roman"/>
          <w:sz w:val="28"/>
          <w:szCs w:val="28"/>
          <w:lang w:val="uk-UA"/>
        </w:rPr>
        <w:t xml:space="preserve"> </w:t>
      </w:r>
    </w:p>
    <w:p w:rsidR="005A5B0F" w:rsidRDefault="005A5B0F" w:rsidP="005A5B0F">
      <w:pPr>
        <w:autoSpaceDE w:val="0"/>
        <w:autoSpaceDN w:val="0"/>
        <w:adjustRightInd w:val="0"/>
        <w:spacing w:after="0" w:line="360" w:lineRule="auto"/>
        <w:ind w:firstLine="708"/>
        <w:jc w:val="right"/>
        <w:rPr>
          <w:rFonts w:ascii="Times New Roman" w:hAnsi="Times New Roman" w:cs="Times New Roman"/>
          <w:i/>
          <w:sz w:val="28"/>
          <w:szCs w:val="28"/>
          <w:lang w:val="uk-UA"/>
        </w:rPr>
      </w:pPr>
      <w:r w:rsidRPr="005A5B0F">
        <w:rPr>
          <w:rFonts w:ascii="Times New Roman" w:hAnsi="Times New Roman" w:cs="Times New Roman"/>
          <w:i/>
          <w:sz w:val="28"/>
          <w:szCs w:val="28"/>
          <w:lang w:val="uk-UA"/>
        </w:rPr>
        <w:t>Таблиця 6.2.3</w:t>
      </w:r>
    </w:p>
    <w:p w:rsidR="005A5B0F" w:rsidRPr="005A5B0F" w:rsidRDefault="005A5B0F" w:rsidP="000775DC">
      <w:pPr>
        <w:autoSpaceDE w:val="0"/>
        <w:autoSpaceDN w:val="0"/>
        <w:adjustRightInd w:val="0"/>
        <w:spacing w:after="0" w:line="360" w:lineRule="auto"/>
        <w:jc w:val="center"/>
        <w:rPr>
          <w:rFonts w:ascii="Times New Roman" w:hAnsi="Times New Roman" w:cs="Times New Roman"/>
          <w:b/>
          <w:sz w:val="28"/>
          <w:szCs w:val="28"/>
          <w:lang w:val="uk-UA"/>
        </w:rPr>
      </w:pPr>
      <w:r w:rsidRPr="005A5B0F">
        <w:rPr>
          <w:rFonts w:ascii="Times New Roman" w:hAnsi="Times New Roman" w:cs="Times New Roman"/>
          <w:b/>
          <w:sz w:val="28"/>
          <w:szCs w:val="28"/>
          <w:lang w:val="uk-UA"/>
        </w:rPr>
        <w:t xml:space="preserve">Динаміка </w:t>
      </w:r>
      <w:r w:rsidR="002D1D06">
        <w:rPr>
          <w:rFonts w:ascii="Times New Roman" w:hAnsi="Times New Roman" w:cs="Times New Roman"/>
          <w:b/>
          <w:sz w:val="28"/>
          <w:szCs w:val="28"/>
          <w:lang w:val="uk-UA"/>
        </w:rPr>
        <w:t xml:space="preserve">альбумінурії, </w:t>
      </w:r>
      <w:r w:rsidRPr="005A5B0F">
        <w:rPr>
          <w:rFonts w:ascii="Times New Roman" w:hAnsi="Times New Roman" w:cs="Times New Roman"/>
          <w:b/>
          <w:sz w:val="28"/>
          <w:szCs w:val="28"/>
          <w:lang w:val="uk-UA"/>
        </w:rPr>
        <w:t>глікозильованого гемоглобіну</w:t>
      </w:r>
      <w:r w:rsidR="002D1D06">
        <w:rPr>
          <w:rFonts w:ascii="Times New Roman" w:hAnsi="Times New Roman" w:cs="Times New Roman"/>
          <w:b/>
          <w:sz w:val="28"/>
          <w:szCs w:val="28"/>
          <w:lang w:val="uk-UA"/>
        </w:rPr>
        <w:t xml:space="preserve"> та артеріального тиску</w:t>
      </w:r>
      <w:r w:rsidRPr="005A5B0F">
        <w:rPr>
          <w:rFonts w:ascii="Times New Roman" w:hAnsi="Times New Roman" w:cs="Times New Roman"/>
          <w:b/>
          <w:sz w:val="28"/>
          <w:szCs w:val="28"/>
          <w:lang w:val="uk-UA"/>
        </w:rPr>
        <w:t xml:space="preserve"> під впливом лікування у </w:t>
      </w:r>
      <w:r w:rsidR="000775DC">
        <w:rPr>
          <w:rFonts w:ascii="Times New Roman" w:hAnsi="Times New Roman" w:cs="Times New Roman"/>
          <w:b/>
          <w:sz w:val="28"/>
          <w:szCs w:val="28"/>
          <w:lang w:val="uk-UA"/>
        </w:rPr>
        <w:t xml:space="preserve">коморбідних </w:t>
      </w:r>
      <w:r w:rsidRPr="005A5B0F">
        <w:rPr>
          <w:rFonts w:ascii="Times New Roman" w:hAnsi="Times New Roman" w:cs="Times New Roman"/>
          <w:b/>
          <w:sz w:val="28"/>
          <w:szCs w:val="28"/>
          <w:lang w:val="uk-UA"/>
        </w:rPr>
        <w:t>хворих І та ІІ підгруп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1701"/>
        <w:gridCol w:w="1843"/>
        <w:gridCol w:w="1843"/>
      </w:tblGrid>
      <w:tr w:rsidR="00F727F0" w:rsidRPr="00757BD0" w:rsidTr="002D1D06">
        <w:tc>
          <w:tcPr>
            <w:tcW w:w="2127" w:type="dxa"/>
            <w:vMerge w:val="restart"/>
            <w:tcBorders>
              <w:top w:val="single" w:sz="4" w:space="0" w:color="auto"/>
              <w:left w:val="single" w:sz="4" w:space="0" w:color="auto"/>
              <w:bottom w:val="single" w:sz="4" w:space="0" w:color="auto"/>
              <w:right w:val="single" w:sz="4" w:space="0" w:color="auto"/>
            </w:tcBorders>
            <w:hideMark/>
          </w:tcPr>
          <w:p w:rsidR="00F727F0" w:rsidRPr="00625348" w:rsidRDefault="00F727F0" w:rsidP="00060528">
            <w:pPr>
              <w:spacing w:after="0"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Показник</w:t>
            </w:r>
          </w:p>
        </w:tc>
        <w:tc>
          <w:tcPr>
            <w:tcW w:w="3543" w:type="dxa"/>
            <w:gridSpan w:val="2"/>
            <w:tcBorders>
              <w:top w:val="single" w:sz="4" w:space="0" w:color="auto"/>
              <w:left w:val="single" w:sz="4" w:space="0" w:color="auto"/>
              <w:bottom w:val="single" w:sz="4" w:space="0" w:color="auto"/>
              <w:right w:val="single" w:sz="4" w:space="0" w:color="auto"/>
            </w:tcBorders>
            <w:hideMark/>
          </w:tcPr>
          <w:p w:rsidR="00F727F0" w:rsidRPr="00757BD0" w:rsidRDefault="00F727F0" w:rsidP="00060528">
            <w:pPr>
              <w:spacing w:after="0" w:line="240" w:lineRule="auto"/>
              <w:jc w:val="center"/>
              <w:rPr>
                <w:rFonts w:ascii="Times New Roman" w:eastAsia="Times New Roman" w:hAnsi="Times New Roman" w:cs="Times New Roman"/>
                <w:sz w:val="28"/>
                <w:szCs w:val="28"/>
                <w:lang w:val="en-US" w:bidi="en-US"/>
              </w:rPr>
            </w:pPr>
            <w:r w:rsidRPr="00625348">
              <w:rPr>
                <w:rFonts w:ascii="Times New Roman" w:eastAsia="Times New Roman" w:hAnsi="Times New Roman" w:cs="Times New Roman"/>
                <w:sz w:val="28"/>
                <w:szCs w:val="28"/>
                <w:lang w:val="uk-UA" w:eastAsia="ru-RU"/>
              </w:rPr>
              <w:t xml:space="preserve">І підгрупа, </w:t>
            </w:r>
            <w:r w:rsidRPr="00625348">
              <w:rPr>
                <w:rFonts w:ascii="Times New Roman" w:eastAsia="Times New Roman" w:hAnsi="Times New Roman" w:cs="Times New Roman"/>
                <w:sz w:val="28"/>
                <w:szCs w:val="28"/>
                <w:lang w:eastAsia="ru-RU"/>
              </w:rPr>
              <w:t>n</w:t>
            </w:r>
            <w:r>
              <w:rPr>
                <w:rFonts w:ascii="Times New Roman" w:eastAsia="Times New Roman" w:hAnsi="Times New Roman" w:cs="Times New Roman"/>
                <w:sz w:val="28"/>
                <w:szCs w:val="28"/>
                <w:lang w:val="uk-UA" w:eastAsia="ru-RU"/>
              </w:rPr>
              <w:t xml:space="preserve"> </w:t>
            </w:r>
            <w:r w:rsidRPr="002B468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54</w:t>
            </w:r>
          </w:p>
        </w:tc>
        <w:tc>
          <w:tcPr>
            <w:tcW w:w="3686" w:type="dxa"/>
            <w:gridSpan w:val="2"/>
            <w:tcBorders>
              <w:top w:val="single" w:sz="4" w:space="0" w:color="auto"/>
              <w:left w:val="single" w:sz="4" w:space="0" w:color="auto"/>
              <w:bottom w:val="single" w:sz="4" w:space="0" w:color="auto"/>
              <w:right w:val="single" w:sz="4" w:space="0" w:color="auto"/>
            </w:tcBorders>
            <w:hideMark/>
          </w:tcPr>
          <w:p w:rsidR="00F727F0" w:rsidRPr="00757BD0" w:rsidRDefault="00F727F0" w:rsidP="00060528">
            <w:pPr>
              <w:spacing w:after="0" w:line="240" w:lineRule="auto"/>
              <w:jc w:val="center"/>
              <w:rPr>
                <w:rFonts w:ascii="Times New Roman" w:eastAsia="Times New Roman" w:hAnsi="Times New Roman" w:cs="Times New Roman"/>
                <w:sz w:val="28"/>
                <w:szCs w:val="28"/>
                <w:lang w:val="en-US" w:bidi="en-US"/>
              </w:rPr>
            </w:pPr>
            <w:r w:rsidRPr="00625348">
              <w:rPr>
                <w:rFonts w:ascii="Times New Roman" w:eastAsia="Times New Roman" w:hAnsi="Times New Roman" w:cs="Times New Roman"/>
                <w:sz w:val="28"/>
                <w:szCs w:val="28"/>
                <w:lang w:val="uk-UA" w:eastAsia="ru-RU"/>
              </w:rPr>
              <w:t xml:space="preserve">ІІ підгрупа, </w:t>
            </w:r>
            <w:r w:rsidRPr="00625348">
              <w:rPr>
                <w:rFonts w:ascii="Times New Roman" w:eastAsia="Times New Roman" w:hAnsi="Times New Roman" w:cs="Times New Roman"/>
                <w:sz w:val="28"/>
                <w:szCs w:val="28"/>
                <w:lang w:eastAsia="ru-RU"/>
              </w:rPr>
              <w:t>n</w:t>
            </w:r>
            <w:r>
              <w:rPr>
                <w:rFonts w:ascii="Times New Roman" w:eastAsia="Times New Roman" w:hAnsi="Times New Roman" w:cs="Times New Roman"/>
                <w:sz w:val="28"/>
                <w:szCs w:val="28"/>
                <w:lang w:val="uk-UA" w:eastAsia="ru-RU"/>
              </w:rPr>
              <w:t xml:space="preserve"> </w:t>
            </w:r>
            <w:r w:rsidRPr="002B468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4</w:t>
            </w:r>
            <w:r>
              <w:rPr>
                <w:rFonts w:ascii="Times New Roman" w:eastAsia="Times New Roman" w:hAnsi="Times New Roman" w:cs="Times New Roman"/>
                <w:sz w:val="28"/>
                <w:szCs w:val="28"/>
                <w:lang w:val="en-US" w:eastAsia="ru-RU"/>
              </w:rPr>
              <w:t>0</w:t>
            </w:r>
          </w:p>
        </w:tc>
      </w:tr>
      <w:tr w:rsidR="00D744D3" w:rsidRPr="001D7F24" w:rsidTr="002D1D06">
        <w:tc>
          <w:tcPr>
            <w:tcW w:w="2127" w:type="dxa"/>
            <w:vMerge/>
            <w:tcBorders>
              <w:top w:val="single" w:sz="4" w:space="0" w:color="auto"/>
              <w:left w:val="single" w:sz="4" w:space="0" w:color="auto"/>
              <w:bottom w:val="single" w:sz="4" w:space="0" w:color="auto"/>
              <w:right w:val="single" w:sz="4" w:space="0" w:color="auto"/>
            </w:tcBorders>
            <w:vAlign w:val="center"/>
            <w:hideMark/>
          </w:tcPr>
          <w:p w:rsidR="00D744D3" w:rsidRPr="00625348" w:rsidRDefault="00D744D3" w:rsidP="00060528">
            <w:pPr>
              <w:spacing w:after="0" w:line="240" w:lineRule="auto"/>
              <w:rPr>
                <w:rFonts w:ascii="Times New Roman" w:eastAsia="Times New Roman" w:hAnsi="Times New Roman" w:cs="Times New Roman"/>
                <w:sz w:val="28"/>
                <w:szCs w:val="28"/>
                <w:lang w:val="uk-UA" w:bidi="en-US"/>
              </w:rPr>
            </w:pPr>
          </w:p>
        </w:tc>
        <w:tc>
          <w:tcPr>
            <w:tcW w:w="1842" w:type="dxa"/>
            <w:tcBorders>
              <w:top w:val="single" w:sz="4" w:space="0" w:color="auto"/>
              <w:left w:val="single" w:sz="4" w:space="0" w:color="auto"/>
              <w:bottom w:val="single" w:sz="4" w:space="0" w:color="auto"/>
              <w:right w:val="single" w:sz="4" w:space="0" w:color="auto"/>
            </w:tcBorders>
            <w:hideMark/>
          </w:tcPr>
          <w:p w:rsidR="00D744D3" w:rsidRPr="00F727F0" w:rsidRDefault="00D744D3" w:rsidP="00D744D3">
            <w:pPr>
              <w:spacing w:line="240" w:lineRule="auto"/>
              <w:jc w:val="center"/>
              <w:rPr>
                <w:rFonts w:ascii="Times New Roman" w:eastAsia="Times New Roman" w:hAnsi="Times New Roman" w:cs="Times New Roman"/>
                <w:sz w:val="28"/>
                <w:szCs w:val="28"/>
                <w:lang w:val="uk-UA" w:eastAsia="ru-RU"/>
              </w:rPr>
            </w:pPr>
            <w:r w:rsidRPr="00625348">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 xml:space="preserve">лікування </w:t>
            </w:r>
          </w:p>
        </w:tc>
        <w:tc>
          <w:tcPr>
            <w:tcW w:w="1701" w:type="dxa"/>
            <w:tcBorders>
              <w:top w:val="single" w:sz="4" w:space="0" w:color="auto"/>
              <w:left w:val="single" w:sz="4" w:space="0" w:color="auto"/>
              <w:bottom w:val="single" w:sz="4" w:space="0" w:color="auto"/>
              <w:right w:val="single" w:sz="4" w:space="0" w:color="auto"/>
            </w:tcBorders>
            <w:hideMark/>
          </w:tcPr>
          <w:p w:rsidR="00D744D3" w:rsidRPr="002B4682" w:rsidRDefault="00D744D3" w:rsidP="00060528">
            <w:pPr>
              <w:spacing w:after="0"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після лікування</w:t>
            </w:r>
            <w:r>
              <w:rPr>
                <w:rFonts w:ascii="Times New Roman" w:eastAsia="Times New Roman" w:hAnsi="Times New Roman" w:cs="Times New Roman"/>
                <w:sz w:val="28"/>
                <w:szCs w:val="28"/>
                <w:lang w:val="uk-UA"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744D3" w:rsidRPr="00F727F0" w:rsidRDefault="00D744D3" w:rsidP="00060528">
            <w:pPr>
              <w:spacing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 xml:space="preserve">до </w:t>
            </w:r>
            <w:r>
              <w:rPr>
                <w:rFonts w:ascii="Times New Roman" w:eastAsia="Times New Roman" w:hAnsi="Times New Roman" w:cs="Times New Roman"/>
                <w:sz w:val="28"/>
                <w:szCs w:val="28"/>
                <w:lang w:val="uk-UA" w:eastAsia="ru-RU"/>
              </w:rPr>
              <w:t>лікування</w:t>
            </w:r>
          </w:p>
        </w:tc>
        <w:tc>
          <w:tcPr>
            <w:tcW w:w="1843" w:type="dxa"/>
            <w:tcBorders>
              <w:top w:val="single" w:sz="4" w:space="0" w:color="auto"/>
              <w:left w:val="single" w:sz="4" w:space="0" w:color="auto"/>
              <w:bottom w:val="single" w:sz="4" w:space="0" w:color="auto"/>
              <w:right w:val="single" w:sz="4" w:space="0" w:color="auto"/>
            </w:tcBorders>
            <w:hideMark/>
          </w:tcPr>
          <w:p w:rsidR="00D744D3" w:rsidRPr="00F727F0" w:rsidRDefault="00D744D3" w:rsidP="00060528">
            <w:pPr>
              <w:spacing w:after="0" w:line="240" w:lineRule="auto"/>
              <w:jc w:val="center"/>
              <w:rPr>
                <w:rFonts w:ascii="Times New Roman" w:eastAsia="Times New Roman" w:hAnsi="Times New Roman" w:cs="Times New Roman"/>
                <w:sz w:val="28"/>
                <w:szCs w:val="28"/>
                <w:lang w:val="uk-UA" w:bidi="en-US"/>
              </w:rPr>
            </w:pPr>
            <w:r w:rsidRPr="00625348">
              <w:rPr>
                <w:rFonts w:ascii="Times New Roman" w:eastAsia="Times New Roman" w:hAnsi="Times New Roman" w:cs="Times New Roman"/>
                <w:sz w:val="28"/>
                <w:szCs w:val="28"/>
                <w:lang w:val="uk-UA" w:eastAsia="ru-RU"/>
              </w:rPr>
              <w:t>після лікування</w:t>
            </w:r>
          </w:p>
        </w:tc>
      </w:tr>
      <w:tr w:rsidR="002D1D06" w:rsidTr="007236BB">
        <w:tc>
          <w:tcPr>
            <w:tcW w:w="2127" w:type="dxa"/>
            <w:vMerge w:val="restart"/>
            <w:tcBorders>
              <w:top w:val="single" w:sz="4" w:space="0" w:color="auto"/>
              <w:left w:val="single" w:sz="4" w:space="0" w:color="auto"/>
              <w:right w:val="single" w:sz="4" w:space="0" w:color="auto"/>
            </w:tcBorders>
          </w:tcPr>
          <w:p w:rsidR="002D1D06" w:rsidRPr="00625348" w:rsidRDefault="002D1D06"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Альбумінурія, мг/л</w:t>
            </w:r>
          </w:p>
        </w:tc>
        <w:tc>
          <w:tcPr>
            <w:tcW w:w="1842" w:type="dxa"/>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56,18 ± </w:t>
            </w:r>
            <w:r w:rsidRPr="00F727F0">
              <w:rPr>
                <w:rFonts w:ascii="Times New Roman" w:eastAsia="Times New Roman" w:hAnsi="Times New Roman" w:cs="Times New Roman"/>
                <w:sz w:val="28"/>
                <w:szCs w:val="28"/>
                <w:lang w:val="uk-UA" w:bidi="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2D1D06" w:rsidRDefault="002D1D06" w:rsidP="00D744D3">
            <w:pPr>
              <w:spacing w:after="0" w:line="240" w:lineRule="auto"/>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52,25 ± </w:t>
            </w:r>
            <w:r w:rsidRPr="00F727F0">
              <w:rPr>
                <w:rFonts w:ascii="Times New Roman" w:eastAsia="Times New Roman" w:hAnsi="Times New Roman" w:cs="Times New Roman"/>
                <w:sz w:val="28"/>
                <w:szCs w:val="28"/>
                <w:lang w:val="uk-UA" w:bidi="en-US"/>
              </w:rPr>
              <w:t>1,4</w:t>
            </w:r>
          </w:p>
        </w:tc>
        <w:tc>
          <w:tcPr>
            <w:tcW w:w="1843" w:type="dxa"/>
            <w:tcBorders>
              <w:top w:val="single" w:sz="4" w:space="0" w:color="auto"/>
              <w:left w:val="single" w:sz="4" w:space="0" w:color="auto"/>
              <w:bottom w:val="single" w:sz="4" w:space="0" w:color="auto"/>
              <w:right w:val="single" w:sz="4" w:space="0" w:color="auto"/>
            </w:tcBorders>
            <w:vAlign w:val="center"/>
          </w:tcPr>
          <w:p w:rsidR="002D1D06" w:rsidRDefault="002D1D06" w:rsidP="00D744D3">
            <w:pPr>
              <w:tabs>
                <w:tab w:val="left" w:pos="328"/>
              </w:tabs>
              <w:spacing w:after="0" w:line="240" w:lineRule="auto"/>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58,87 ± </w:t>
            </w:r>
            <w:r w:rsidRPr="00D744D3">
              <w:rPr>
                <w:rFonts w:ascii="Times New Roman" w:eastAsia="Times New Roman" w:hAnsi="Times New Roman" w:cs="Times New Roman"/>
                <w:sz w:val="28"/>
                <w:szCs w:val="28"/>
                <w:lang w:val="uk-UA" w:bidi="en-US"/>
              </w:rPr>
              <w:t>1,24</w:t>
            </w:r>
          </w:p>
        </w:tc>
        <w:tc>
          <w:tcPr>
            <w:tcW w:w="1843" w:type="dxa"/>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bidi="en-US"/>
              </w:rPr>
              <w:t xml:space="preserve">55,04 ± </w:t>
            </w:r>
            <w:r w:rsidRPr="00D744D3">
              <w:rPr>
                <w:rFonts w:ascii="Times New Roman" w:eastAsia="Times New Roman" w:hAnsi="Times New Roman" w:cs="Times New Roman"/>
                <w:sz w:val="28"/>
                <w:szCs w:val="28"/>
                <w:lang w:val="uk-UA" w:bidi="en-US"/>
              </w:rPr>
              <w:t>1,4</w:t>
            </w:r>
          </w:p>
        </w:tc>
      </w:tr>
      <w:tr w:rsidR="002D1D06" w:rsidTr="007236BB">
        <w:tc>
          <w:tcPr>
            <w:tcW w:w="2127" w:type="dxa"/>
            <w:vMerge/>
            <w:tcBorders>
              <w:left w:val="single" w:sz="4" w:space="0" w:color="auto"/>
              <w:bottom w:val="single" w:sz="4" w:space="0" w:color="auto"/>
              <w:right w:val="single" w:sz="4" w:space="0" w:color="auto"/>
            </w:tcBorders>
          </w:tcPr>
          <w:p w:rsidR="002D1D06" w:rsidRDefault="002D1D06" w:rsidP="00060528">
            <w:pPr>
              <w:spacing w:after="0" w:line="240" w:lineRule="auto"/>
              <w:jc w:val="center"/>
              <w:rPr>
                <w:rFonts w:ascii="Times New Roman" w:eastAsia="Times New Roman" w:hAnsi="Times New Roman" w:cs="Times New Roman"/>
                <w:sz w:val="28"/>
                <w:szCs w:val="28"/>
                <w:lang w:val="uk-UA" w:bidi="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D1D06" w:rsidRDefault="002D1D06" w:rsidP="00D744D3">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р = 0,0421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D1D06" w:rsidRPr="00D744D3" w:rsidRDefault="002D1D06"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bidi="en-US"/>
              </w:rPr>
              <w:t>р = 0,0439</w:t>
            </w:r>
          </w:p>
        </w:tc>
      </w:tr>
      <w:tr w:rsidR="002D1D06" w:rsidTr="007236BB">
        <w:tc>
          <w:tcPr>
            <w:tcW w:w="2127" w:type="dxa"/>
            <w:vMerge w:val="restart"/>
            <w:tcBorders>
              <w:top w:val="single" w:sz="4" w:space="0" w:color="auto"/>
              <w:left w:val="single" w:sz="4" w:space="0" w:color="auto"/>
              <w:right w:val="single" w:sz="4" w:space="0" w:color="auto"/>
            </w:tcBorders>
          </w:tcPr>
          <w:p w:rsidR="002D1D06" w:rsidRDefault="002D1D06" w:rsidP="00060528">
            <w:pPr>
              <w:spacing w:after="0" w:line="240" w:lineRule="auto"/>
              <w:jc w:val="center"/>
              <w:rPr>
                <w:rFonts w:ascii="Times New Roman" w:eastAsia="Times New Roman" w:hAnsi="Times New Roman" w:cs="Times New Roman"/>
                <w:sz w:val="28"/>
                <w:szCs w:val="28"/>
                <w:lang w:val="uk-UA" w:bidi="en-US"/>
              </w:rPr>
            </w:pPr>
            <w:r w:rsidRPr="00F727F0">
              <w:rPr>
                <w:rFonts w:ascii="Times New Roman" w:eastAsia="Times New Roman" w:hAnsi="Times New Roman" w:cs="Times New Roman"/>
                <w:sz w:val="28"/>
                <w:szCs w:val="28"/>
                <w:lang w:val="uk-UA" w:bidi="en-US"/>
              </w:rPr>
              <w:t>HbA1с</w:t>
            </w:r>
            <w:r w:rsidR="00911797">
              <w:rPr>
                <w:rFonts w:ascii="Times New Roman" w:eastAsia="Times New Roman" w:hAnsi="Times New Roman" w:cs="Times New Roman"/>
                <w:sz w:val="28"/>
                <w:szCs w:val="28"/>
                <w:lang w:val="uk-UA" w:bidi="en-US"/>
              </w:rPr>
              <w:t>, %</w:t>
            </w:r>
          </w:p>
        </w:tc>
        <w:tc>
          <w:tcPr>
            <w:tcW w:w="1842" w:type="dxa"/>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bidi="en-US"/>
              </w:rPr>
            </w:pPr>
            <w:r w:rsidRPr="00D744D3">
              <w:rPr>
                <w:rFonts w:ascii="Times New Roman" w:eastAsia="Times New Roman" w:hAnsi="Times New Roman" w:cs="Times New Roman"/>
                <w:sz w:val="28"/>
                <w:szCs w:val="28"/>
                <w:lang w:val="uk-UA" w:bidi="en-US"/>
              </w:rPr>
              <w:t>8,8 ± 0,18</w:t>
            </w:r>
          </w:p>
        </w:tc>
        <w:tc>
          <w:tcPr>
            <w:tcW w:w="1701" w:type="dxa"/>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bidi="en-US"/>
              </w:rPr>
            </w:pPr>
            <w:r w:rsidRPr="00D744D3">
              <w:rPr>
                <w:rFonts w:ascii="Times New Roman" w:eastAsia="Times New Roman" w:hAnsi="Times New Roman" w:cs="Times New Roman"/>
                <w:sz w:val="28"/>
                <w:szCs w:val="28"/>
                <w:lang w:val="uk-UA" w:bidi="en-US"/>
              </w:rPr>
              <w:t>8,32 ± 0,04</w:t>
            </w:r>
          </w:p>
        </w:tc>
        <w:tc>
          <w:tcPr>
            <w:tcW w:w="1843" w:type="dxa"/>
            <w:tcBorders>
              <w:top w:val="single" w:sz="4" w:space="0" w:color="auto"/>
              <w:left w:val="single" w:sz="4" w:space="0" w:color="auto"/>
              <w:bottom w:val="single" w:sz="4" w:space="0" w:color="auto"/>
              <w:right w:val="single" w:sz="4" w:space="0" w:color="auto"/>
            </w:tcBorders>
            <w:vAlign w:val="center"/>
          </w:tcPr>
          <w:p w:rsidR="002D1D06" w:rsidRDefault="002D1D06" w:rsidP="00060528">
            <w:pPr>
              <w:tabs>
                <w:tab w:val="left" w:pos="328"/>
              </w:tabs>
              <w:spacing w:after="0" w:line="240" w:lineRule="auto"/>
              <w:jc w:val="center"/>
              <w:rPr>
                <w:rFonts w:ascii="Times New Roman" w:eastAsia="Times New Roman" w:hAnsi="Times New Roman" w:cs="Times New Roman"/>
                <w:sz w:val="28"/>
                <w:szCs w:val="28"/>
                <w:lang w:val="uk-UA" w:bidi="en-US"/>
              </w:rPr>
            </w:pPr>
            <w:r w:rsidRPr="00D744D3">
              <w:rPr>
                <w:rFonts w:ascii="Times New Roman" w:eastAsia="Times New Roman" w:hAnsi="Times New Roman" w:cs="Times New Roman"/>
                <w:sz w:val="28"/>
                <w:szCs w:val="28"/>
                <w:lang w:val="uk-UA" w:bidi="en-US"/>
              </w:rPr>
              <w:t>8,35 ± 0,05</w:t>
            </w:r>
          </w:p>
        </w:tc>
        <w:tc>
          <w:tcPr>
            <w:tcW w:w="1843" w:type="dxa"/>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eastAsia="ru-RU" w:bidi="en-US"/>
              </w:rPr>
            </w:pPr>
            <w:r w:rsidRPr="003F1E67">
              <w:rPr>
                <w:rFonts w:ascii="Times New Roman" w:eastAsia="Times New Roman" w:hAnsi="Times New Roman" w:cs="Times New Roman"/>
                <w:sz w:val="28"/>
                <w:szCs w:val="28"/>
                <w:lang w:val="uk-UA" w:eastAsia="ru-RU" w:bidi="en-US"/>
              </w:rPr>
              <w:t>8,1 ± 0,08</w:t>
            </w:r>
          </w:p>
        </w:tc>
      </w:tr>
      <w:tr w:rsidR="002D1D06" w:rsidTr="007236BB">
        <w:tc>
          <w:tcPr>
            <w:tcW w:w="2127" w:type="dxa"/>
            <w:vMerge/>
            <w:tcBorders>
              <w:left w:val="single" w:sz="4" w:space="0" w:color="auto"/>
              <w:bottom w:val="single" w:sz="4" w:space="0" w:color="auto"/>
              <w:right w:val="single" w:sz="4" w:space="0" w:color="auto"/>
            </w:tcBorders>
          </w:tcPr>
          <w:p w:rsidR="002D1D06" w:rsidRPr="00F727F0" w:rsidRDefault="002D1D06" w:rsidP="00060528">
            <w:pPr>
              <w:spacing w:after="0" w:line="240" w:lineRule="auto"/>
              <w:jc w:val="center"/>
              <w:rPr>
                <w:rFonts w:ascii="Times New Roman" w:eastAsia="Times New Roman" w:hAnsi="Times New Roman" w:cs="Times New Roman"/>
                <w:sz w:val="28"/>
                <w:szCs w:val="28"/>
                <w:lang w:val="uk-UA" w:bidi="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bidi="en-US"/>
              </w:rPr>
            </w:pPr>
            <w:r w:rsidRPr="00D744D3">
              <w:rPr>
                <w:rFonts w:ascii="Times New Roman" w:eastAsia="Times New Roman" w:hAnsi="Times New Roman" w:cs="Times New Roman"/>
                <w:sz w:val="28"/>
                <w:szCs w:val="28"/>
                <w:lang w:val="uk-UA" w:bidi="en-US"/>
              </w:rPr>
              <w:t>p = 0,0106</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D1D06" w:rsidRDefault="002D1D06"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 xml:space="preserve">p  </w:t>
            </w:r>
            <w:r w:rsidRPr="003F1E67">
              <w:rPr>
                <w:rFonts w:ascii="Times New Roman" w:eastAsia="Times New Roman" w:hAnsi="Times New Roman" w:cs="Times New Roman"/>
                <w:sz w:val="28"/>
                <w:szCs w:val="28"/>
                <w:lang w:val="uk-UA" w:eastAsia="ru-RU" w:bidi="en-US"/>
              </w:rPr>
              <w:t>= 0,0097</w:t>
            </w:r>
          </w:p>
        </w:tc>
      </w:tr>
      <w:tr w:rsidR="00297C1E" w:rsidTr="007236BB">
        <w:tc>
          <w:tcPr>
            <w:tcW w:w="2127" w:type="dxa"/>
            <w:vMerge w:val="restart"/>
            <w:tcBorders>
              <w:top w:val="single" w:sz="4" w:space="0" w:color="auto"/>
              <w:left w:val="single" w:sz="4" w:space="0" w:color="auto"/>
              <w:right w:val="single" w:sz="4" w:space="0" w:color="auto"/>
            </w:tcBorders>
          </w:tcPr>
          <w:p w:rsidR="00297C1E" w:rsidRPr="00F727F0" w:rsidRDefault="00297C1E"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САТ, мм рт ст.</w:t>
            </w:r>
          </w:p>
        </w:tc>
        <w:tc>
          <w:tcPr>
            <w:tcW w:w="1842" w:type="dxa"/>
            <w:tcBorders>
              <w:top w:val="single" w:sz="4" w:space="0" w:color="auto"/>
              <w:left w:val="single" w:sz="4" w:space="0" w:color="auto"/>
              <w:bottom w:val="single" w:sz="4" w:space="0" w:color="auto"/>
              <w:right w:val="single" w:sz="4" w:space="0" w:color="auto"/>
            </w:tcBorders>
            <w:vAlign w:val="center"/>
          </w:tcPr>
          <w:p w:rsidR="00297C1E" w:rsidRPr="00D744D3" w:rsidRDefault="00297C1E"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154,1 ± 0,16</w:t>
            </w:r>
          </w:p>
        </w:tc>
        <w:tc>
          <w:tcPr>
            <w:tcW w:w="1701" w:type="dxa"/>
            <w:tcBorders>
              <w:top w:val="single" w:sz="4" w:space="0" w:color="auto"/>
              <w:left w:val="single" w:sz="4" w:space="0" w:color="auto"/>
              <w:bottom w:val="single" w:sz="4" w:space="0" w:color="auto"/>
              <w:right w:val="single" w:sz="4" w:space="0" w:color="auto"/>
            </w:tcBorders>
            <w:vAlign w:val="center"/>
          </w:tcPr>
          <w:p w:rsidR="00297C1E" w:rsidRPr="00D744D3" w:rsidRDefault="00297C1E"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140,1 ± 0,7</w:t>
            </w:r>
          </w:p>
        </w:tc>
        <w:tc>
          <w:tcPr>
            <w:tcW w:w="1843" w:type="dxa"/>
            <w:tcBorders>
              <w:top w:val="single" w:sz="4" w:space="0" w:color="auto"/>
              <w:left w:val="single" w:sz="4" w:space="0" w:color="auto"/>
              <w:bottom w:val="single" w:sz="4" w:space="0" w:color="auto"/>
              <w:right w:val="single" w:sz="4" w:space="0" w:color="auto"/>
            </w:tcBorders>
            <w:vAlign w:val="center"/>
          </w:tcPr>
          <w:p w:rsidR="00297C1E" w:rsidRDefault="00297C1E"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152,9 ± 0,6</w:t>
            </w:r>
          </w:p>
        </w:tc>
        <w:tc>
          <w:tcPr>
            <w:tcW w:w="1843" w:type="dxa"/>
            <w:tcBorders>
              <w:top w:val="single" w:sz="4" w:space="0" w:color="auto"/>
              <w:left w:val="single" w:sz="4" w:space="0" w:color="auto"/>
              <w:bottom w:val="single" w:sz="4" w:space="0" w:color="auto"/>
              <w:right w:val="single" w:sz="4" w:space="0" w:color="auto"/>
            </w:tcBorders>
            <w:vAlign w:val="center"/>
          </w:tcPr>
          <w:p w:rsidR="00297C1E" w:rsidRDefault="00297C1E"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139,7 ± 0,5</w:t>
            </w:r>
          </w:p>
        </w:tc>
      </w:tr>
      <w:tr w:rsidR="00297C1E" w:rsidTr="007236BB">
        <w:tc>
          <w:tcPr>
            <w:tcW w:w="2127" w:type="dxa"/>
            <w:vMerge/>
            <w:tcBorders>
              <w:left w:val="single" w:sz="4" w:space="0" w:color="auto"/>
              <w:bottom w:val="single" w:sz="4" w:space="0" w:color="auto"/>
              <w:right w:val="single" w:sz="4" w:space="0" w:color="auto"/>
            </w:tcBorders>
          </w:tcPr>
          <w:p w:rsidR="00297C1E" w:rsidRPr="00F727F0" w:rsidRDefault="00297C1E" w:rsidP="00060528">
            <w:pPr>
              <w:spacing w:after="0" w:line="240" w:lineRule="auto"/>
              <w:jc w:val="center"/>
              <w:rPr>
                <w:rFonts w:ascii="Times New Roman" w:eastAsia="Times New Roman" w:hAnsi="Times New Roman" w:cs="Times New Roman"/>
                <w:sz w:val="28"/>
                <w:szCs w:val="28"/>
                <w:lang w:val="uk-UA" w:bidi="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97C1E" w:rsidRPr="00D744D3" w:rsidRDefault="00297C1E"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р </w:t>
            </w:r>
            <w:r w:rsidRPr="002D1D06">
              <w:rPr>
                <w:rFonts w:ascii="Times New Roman" w:eastAsia="Times New Roman" w:hAnsi="Times New Roman" w:cs="Times New Roman"/>
                <w:sz w:val="28"/>
                <w:szCs w:val="28"/>
                <w:lang w:val="uk-UA" w:bidi="en-US"/>
              </w:rPr>
              <w:t>&lt; 0,0001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97C1E" w:rsidRDefault="00297C1E" w:rsidP="00060528">
            <w:pPr>
              <w:spacing w:after="0" w:line="240" w:lineRule="auto"/>
              <w:jc w:val="center"/>
              <w:rPr>
                <w:rFonts w:ascii="Times New Roman" w:eastAsia="Times New Roman" w:hAnsi="Times New Roman" w:cs="Times New Roman"/>
                <w:sz w:val="28"/>
                <w:szCs w:val="28"/>
                <w:lang w:val="uk-UA" w:eastAsia="ru-RU" w:bidi="en-US"/>
              </w:rPr>
            </w:pPr>
            <w:r w:rsidRPr="00297C1E">
              <w:rPr>
                <w:rFonts w:ascii="Times New Roman" w:eastAsia="Times New Roman" w:hAnsi="Times New Roman" w:cs="Times New Roman"/>
                <w:sz w:val="28"/>
                <w:szCs w:val="28"/>
                <w:lang w:val="uk-UA" w:eastAsia="ru-RU" w:bidi="en-US"/>
              </w:rPr>
              <w:t>р &lt; 0,0001</w:t>
            </w:r>
          </w:p>
        </w:tc>
      </w:tr>
      <w:tr w:rsidR="00297C1E" w:rsidTr="007236BB">
        <w:tc>
          <w:tcPr>
            <w:tcW w:w="2127" w:type="dxa"/>
            <w:vMerge w:val="restart"/>
            <w:tcBorders>
              <w:top w:val="single" w:sz="4" w:space="0" w:color="auto"/>
              <w:left w:val="single" w:sz="4" w:space="0" w:color="auto"/>
              <w:right w:val="single" w:sz="4" w:space="0" w:color="auto"/>
            </w:tcBorders>
          </w:tcPr>
          <w:p w:rsidR="00297C1E" w:rsidRPr="00F727F0" w:rsidRDefault="00297C1E"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ДАТ, мм рт ст.</w:t>
            </w:r>
          </w:p>
        </w:tc>
        <w:tc>
          <w:tcPr>
            <w:tcW w:w="1842" w:type="dxa"/>
            <w:tcBorders>
              <w:top w:val="single" w:sz="4" w:space="0" w:color="auto"/>
              <w:left w:val="single" w:sz="4" w:space="0" w:color="auto"/>
              <w:bottom w:val="single" w:sz="4" w:space="0" w:color="auto"/>
              <w:right w:val="single" w:sz="4" w:space="0" w:color="auto"/>
            </w:tcBorders>
            <w:vAlign w:val="center"/>
          </w:tcPr>
          <w:p w:rsidR="00297C1E" w:rsidRPr="00D744D3" w:rsidRDefault="000775DC"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102,4 ± 0,1</w:t>
            </w:r>
          </w:p>
        </w:tc>
        <w:tc>
          <w:tcPr>
            <w:tcW w:w="1701" w:type="dxa"/>
            <w:tcBorders>
              <w:top w:val="single" w:sz="4" w:space="0" w:color="auto"/>
              <w:left w:val="single" w:sz="4" w:space="0" w:color="auto"/>
              <w:bottom w:val="single" w:sz="4" w:space="0" w:color="auto"/>
              <w:right w:val="single" w:sz="4" w:space="0" w:color="auto"/>
            </w:tcBorders>
            <w:vAlign w:val="center"/>
          </w:tcPr>
          <w:p w:rsidR="00297C1E" w:rsidRPr="00D744D3" w:rsidRDefault="000775DC" w:rsidP="00060528">
            <w:pPr>
              <w:spacing w:after="0" w:line="240" w:lineRule="auto"/>
              <w:jc w:val="center"/>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93,6 </w:t>
            </w:r>
            <w:r w:rsidRPr="000775DC">
              <w:rPr>
                <w:rFonts w:ascii="Times New Roman" w:eastAsia="Times New Roman" w:hAnsi="Times New Roman" w:cs="Times New Roman"/>
                <w:sz w:val="28"/>
                <w:szCs w:val="28"/>
                <w:lang w:val="uk-UA" w:bidi="en-US"/>
              </w:rPr>
              <w:t>±</w:t>
            </w:r>
            <w:r>
              <w:rPr>
                <w:rFonts w:ascii="Times New Roman" w:eastAsia="Times New Roman" w:hAnsi="Times New Roman" w:cs="Times New Roman"/>
                <w:sz w:val="28"/>
                <w:szCs w:val="28"/>
                <w:lang w:val="uk-UA" w:bidi="en-US"/>
              </w:rPr>
              <w:t xml:space="preserve"> 0,41</w:t>
            </w:r>
          </w:p>
        </w:tc>
        <w:tc>
          <w:tcPr>
            <w:tcW w:w="1843" w:type="dxa"/>
            <w:tcBorders>
              <w:top w:val="single" w:sz="4" w:space="0" w:color="auto"/>
              <w:left w:val="single" w:sz="4" w:space="0" w:color="auto"/>
              <w:bottom w:val="single" w:sz="4" w:space="0" w:color="auto"/>
              <w:right w:val="single" w:sz="4" w:space="0" w:color="auto"/>
            </w:tcBorders>
            <w:vAlign w:val="center"/>
          </w:tcPr>
          <w:p w:rsidR="00297C1E" w:rsidRDefault="000775DC"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100,7 ± 0,3</w:t>
            </w:r>
          </w:p>
        </w:tc>
        <w:tc>
          <w:tcPr>
            <w:tcW w:w="1843" w:type="dxa"/>
            <w:tcBorders>
              <w:top w:val="single" w:sz="4" w:space="0" w:color="auto"/>
              <w:left w:val="single" w:sz="4" w:space="0" w:color="auto"/>
              <w:bottom w:val="single" w:sz="4" w:space="0" w:color="auto"/>
              <w:right w:val="single" w:sz="4" w:space="0" w:color="auto"/>
            </w:tcBorders>
            <w:vAlign w:val="center"/>
          </w:tcPr>
          <w:p w:rsidR="00297C1E" w:rsidRDefault="000775DC" w:rsidP="00060528">
            <w:pPr>
              <w:spacing w:after="0" w:line="240" w:lineRule="auto"/>
              <w:jc w:val="center"/>
              <w:rPr>
                <w:rFonts w:ascii="Times New Roman" w:eastAsia="Times New Roman" w:hAnsi="Times New Roman" w:cs="Times New Roman"/>
                <w:sz w:val="28"/>
                <w:szCs w:val="28"/>
                <w:lang w:val="uk-UA" w:eastAsia="ru-RU" w:bidi="en-US"/>
              </w:rPr>
            </w:pPr>
            <w:r>
              <w:rPr>
                <w:rFonts w:ascii="Times New Roman" w:eastAsia="Times New Roman" w:hAnsi="Times New Roman" w:cs="Times New Roman"/>
                <w:sz w:val="28"/>
                <w:szCs w:val="28"/>
                <w:lang w:val="uk-UA" w:eastAsia="ru-RU" w:bidi="en-US"/>
              </w:rPr>
              <w:t>92,8 ± 0,22</w:t>
            </w:r>
          </w:p>
        </w:tc>
      </w:tr>
      <w:tr w:rsidR="00297C1E" w:rsidTr="007236BB">
        <w:tc>
          <w:tcPr>
            <w:tcW w:w="2127" w:type="dxa"/>
            <w:vMerge/>
            <w:tcBorders>
              <w:left w:val="single" w:sz="4" w:space="0" w:color="auto"/>
              <w:bottom w:val="single" w:sz="4" w:space="0" w:color="auto"/>
              <w:right w:val="single" w:sz="4" w:space="0" w:color="auto"/>
            </w:tcBorders>
          </w:tcPr>
          <w:p w:rsidR="00297C1E" w:rsidRPr="00F727F0" w:rsidRDefault="00297C1E" w:rsidP="00060528">
            <w:pPr>
              <w:spacing w:after="0" w:line="240" w:lineRule="auto"/>
              <w:jc w:val="center"/>
              <w:rPr>
                <w:rFonts w:ascii="Times New Roman" w:eastAsia="Times New Roman" w:hAnsi="Times New Roman" w:cs="Times New Roman"/>
                <w:sz w:val="28"/>
                <w:szCs w:val="28"/>
                <w:lang w:val="uk-UA" w:bidi="en-US"/>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297C1E" w:rsidRPr="00D744D3" w:rsidRDefault="000775DC" w:rsidP="00060528">
            <w:pPr>
              <w:spacing w:after="0" w:line="240" w:lineRule="auto"/>
              <w:jc w:val="center"/>
              <w:rPr>
                <w:rFonts w:ascii="Times New Roman" w:eastAsia="Times New Roman" w:hAnsi="Times New Roman" w:cs="Times New Roman"/>
                <w:sz w:val="28"/>
                <w:szCs w:val="28"/>
                <w:lang w:val="uk-UA" w:bidi="en-US"/>
              </w:rPr>
            </w:pPr>
            <w:r w:rsidRPr="000775DC">
              <w:rPr>
                <w:rFonts w:ascii="Times New Roman" w:eastAsia="Times New Roman" w:hAnsi="Times New Roman" w:cs="Times New Roman"/>
                <w:sz w:val="28"/>
                <w:szCs w:val="28"/>
                <w:lang w:val="uk-UA" w:bidi="en-US"/>
              </w:rPr>
              <w:t>р &lt; 0,0001</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97C1E" w:rsidRDefault="000775DC" w:rsidP="00060528">
            <w:pPr>
              <w:spacing w:after="0" w:line="240" w:lineRule="auto"/>
              <w:jc w:val="center"/>
              <w:rPr>
                <w:rFonts w:ascii="Times New Roman" w:eastAsia="Times New Roman" w:hAnsi="Times New Roman" w:cs="Times New Roman"/>
                <w:sz w:val="28"/>
                <w:szCs w:val="28"/>
                <w:lang w:val="uk-UA" w:eastAsia="ru-RU" w:bidi="en-US"/>
              </w:rPr>
            </w:pPr>
            <w:r w:rsidRPr="000775DC">
              <w:rPr>
                <w:rFonts w:ascii="Times New Roman" w:eastAsia="Times New Roman" w:hAnsi="Times New Roman" w:cs="Times New Roman"/>
                <w:sz w:val="28"/>
                <w:szCs w:val="28"/>
                <w:lang w:val="uk-UA" w:eastAsia="ru-RU" w:bidi="en-US"/>
              </w:rPr>
              <w:t>р &lt; 0,0001</w:t>
            </w:r>
          </w:p>
        </w:tc>
      </w:tr>
    </w:tbl>
    <w:p w:rsidR="00F727F0" w:rsidRDefault="005A5B0F" w:rsidP="00F727F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Примітки:</w:t>
      </w:r>
    </w:p>
    <w:p w:rsidR="005A5B0F" w:rsidRDefault="005A5B0F" w:rsidP="005A5B0F">
      <w:pPr>
        <w:pStyle w:val="a8"/>
        <w:numPr>
          <w:ilvl w:val="0"/>
          <w:numId w:val="3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n – </w:t>
      </w:r>
      <w:r>
        <w:rPr>
          <w:rFonts w:ascii="Times New Roman" w:hAnsi="Times New Roman" w:cs="Times New Roman"/>
          <w:sz w:val="28"/>
          <w:szCs w:val="28"/>
        </w:rPr>
        <w:t>кількість осіб;</w:t>
      </w:r>
    </w:p>
    <w:p w:rsidR="005A5B0F" w:rsidRPr="005A5B0F" w:rsidRDefault="005A5B0F" w:rsidP="005A5B0F">
      <w:pPr>
        <w:pStyle w:val="a8"/>
        <w:numPr>
          <w:ilvl w:val="0"/>
          <w:numId w:val="32"/>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р – достовірність розходжень між показниками</w:t>
      </w:r>
    </w:p>
    <w:p w:rsidR="00764FEE" w:rsidRDefault="00764FEE" w:rsidP="005A5B0F">
      <w:pPr>
        <w:autoSpaceDE w:val="0"/>
        <w:autoSpaceDN w:val="0"/>
        <w:adjustRightInd w:val="0"/>
        <w:spacing w:after="0" w:line="360" w:lineRule="auto"/>
        <w:ind w:firstLine="709"/>
        <w:jc w:val="both"/>
        <w:rPr>
          <w:rFonts w:ascii="Times New Roman" w:hAnsi="Times New Roman" w:cs="Times New Roman"/>
          <w:sz w:val="28"/>
          <w:szCs w:val="28"/>
          <w:lang w:val="uk-UA"/>
        </w:rPr>
      </w:pPr>
    </w:p>
    <w:p w:rsidR="005A5B0F" w:rsidRPr="005A5B0F" w:rsidRDefault="005A5B0F" w:rsidP="005A5B0F">
      <w:pPr>
        <w:autoSpaceDE w:val="0"/>
        <w:autoSpaceDN w:val="0"/>
        <w:adjustRightInd w:val="0"/>
        <w:spacing w:after="0" w:line="360" w:lineRule="auto"/>
        <w:ind w:firstLine="709"/>
        <w:jc w:val="both"/>
        <w:rPr>
          <w:rFonts w:ascii="Times New Roman" w:hAnsi="Times New Roman" w:cs="Times New Roman"/>
          <w:sz w:val="28"/>
          <w:szCs w:val="28"/>
          <w:lang w:val="uk-UA"/>
        </w:rPr>
      </w:pPr>
      <w:r w:rsidRPr="005A5B0F">
        <w:rPr>
          <w:rFonts w:ascii="Times New Roman" w:hAnsi="Times New Roman" w:cs="Times New Roman"/>
          <w:sz w:val="28"/>
          <w:szCs w:val="28"/>
          <w:lang w:val="uk-UA"/>
        </w:rPr>
        <w:lastRenderedPageBreak/>
        <w:t xml:space="preserve">Вміст альбумiнурiї знизився iз (56,18 ± 1,3) мг/л до (52,25 ± 1,4) мг/л, </w:t>
      </w:r>
      <w:r w:rsidR="00BC7282">
        <w:rPr>
          <w:rFonts w:ascii="Times New Roman" w:hAnsi="Times New Roman" w:cs="Times New Roman"/>
          <w:sz w:val="28"/>
          <w:szCs w:val="28"/>
          <w:lang w:val="uk-UA"/>
        </w:rPr>
        <w:t xml:space="preserve">  </w:t>
      </w:r>
      <w:r w:rsidR="004F4A96">
        <w:rPr>
          <w:rFonts w:ascii="Times New Roman" w:hAnsi="Times New Roman" w:cs="Times New Roman"/>
          <w:sz w:val="28"/>
          <w:szCs w:val="28"/>
          <w:lang w:val="uk-UA"/>
        </w:rPr>
        <w:t xml:space="preserve">(p = 0,0421) </w:t>
      </w:r>
      <w:r w:rsidRPr="005A5B0F">
        <w:rPr>
          <w:rFonts w:ascii="Times New Roman" w:hAnsi="Times New Roman" w:cs="Times New Roman"/>
          <w:sz w:val="28"/>
          <w:szCs w:val="28"/>
          <w:lang w:val="uk-UA"/>
        </w:rPr>
        <w:t>у хворих, якi приймали телмiсартан</w:t>
      </w:r>
      <w:r>
        <w:rPr>
          <w:rFonts w:ascii="Times New Roman" w:hAnsi="Times New Roman" w:cs="Times New Roman"/>
          <w:sz w:val="28"/>
          <w:szCs w:val="28"/>
          <w:lang w:val="uk-UA"/>
        </w:rPr>
        <w:t>, та</w:t>
      </w:r>
      <w:r w:rsidR="004F4A96">
        <w:rPr>
          <w:rFonts w:ascii="Times New Roman" w:hAnsi="Times New Roman" w:cs="Times New Roman"/>
          <w:sz w:val="28"/>
          <w:szCs w:val="28"/>
          <w:lang w:val="uk-UA"/>
        </w:rPr>
        <w:t xml:space="preserve"> </w:t>
      </w:r>
      <w:r w:rsidR="00BC7282">
        <w:rPr>
          <w:rFonts w:ascii="Times New Roman" w:hAnsi="Times New Roman" w:cs="Times New Roman"/>
          <w:sz w:val="28"/>
          <w:szCs w:val="28"/>
          <w:lang w:val="uk-UA"/>
        </w:rPr>
        <w:t>з (58,87</w:t>
      </w:r>
      <w:r>
        <w:rPr>
          <w:rFonts w:ascii="Times New Roman" w:hAnsi="Times New Roman" w:cs="Times New Roman"/>
          <w:sz w:val="28"/>
          <w:szCs w:val="28"/>
          <w:lang w:val="uk-UA"/>
        </w:rPr>
        <w:t xml:space="preserve"> </w:t>
      </w:r>
      <w:r w:rsidR="004F4A96">
        <w:rPr>
          <w:rFonts w:ascii="Times New Roman" w:hAnsi="Times New Roman" w:cs="Times New Roman"/>
          <w:sz w:val="28"/>
          <w:szCs w:val="28"/>
          <w:lang w:val="uk-UA"/>
        </w:rPr>
        <w:t xml:space="preserve">± 1,24) мг/л </w:t>
      </w:r>
      <w:r w:rsidR="0047181B">
        <w:rPr>
          <w:rFonts w:ascii="Times New Roman" w:hAnsi="Times New Roman" w:cs="Times New Roman"/>
          <w:sz w:val="28"/>
          <w:szCs w:val="28"/>
          <w:lang w:val="uk-UA"/>
        </w:rPr>
        <w:t xml:space="preserve">        </w:t>
      </w:r>
      <w:r w:rsidR="004F4A96">
        <w:rPr>
          <w:rFonts w:ascii="Times New Roman" w:hAnsi="Times New Roman" w:cs="Times New Roman"/>
          <w:sz w:val="28"/>
          <w:szCs w:val="28"/>
          <w:lang w:val="uk-UA"/>
        </w:rPr>
        <w:t xml:space="preserve">до </w:t>
      </w:r>
      <w:r w:rsidRPr="005A5B0F">
        <w:rPr>
          <w:rFonts w:ascii="Times New Roman" w:hAnsi="Times New Roman" w:cs="Times New Roman"/>
          <w:sz w:val="28"/>
          <w:szCs w:val="28"/>
          <w:lang w:val="uk-UA"/>
        </w:rPr>
        <w:t>(55,04 ± 1,4) м</w:t>
      </w:r>
      <w:r w:rsidR="004F4A96">
        <w:rPr>
          <w:rFonts w:ascii="Times New Roman" w:hAnsi="Times New Roman" w:cs="Times New Roman"/>
          <w:sz w:val="28"/>
          <w:szCs w:val="28"/>
          <w:lang w:val="uk-UA"/>
        </w:rPr>
        <w:t xml:space="preserve">г/л, (p = 0,0439) </w:t>
      </w:r>
      <w:r w:rsidRPr="005A5B0F">
        <w:rPr>
          <w:rFonts w:ascii="Times New Roman" w:hAnsi="Times New Roman" w:cs="Times New Roman"/>
          <w:sz w:val="28"/>
          <w:szCs w:val="28"/>
          <w:lang w:val="uk-UA"/>
        </w:rPr>
        <w:t xml:space="preserve">у пацiєнтiв, якi </w:t>
      </w:r>
      <w:r w:rsidR="004F4A96">
        <w:rPr>
          <w:rFonts w:ascii="Times New Roman" w:hAnsi="Times New Roman" w:cs="Times New Roman"/>
          <w:sz w:val="28"/>
          <w:szCs w:val="28"/>
          <w:lang w:val="uk-UA"/>
        </w:rPr>
        <w:t xml:space="preserve">вживали </w:t>
      </w:r>
      <w:r w:rsidRPr="005A5B0F">
        <w:rPr>
          <w:rFonts w:ascii="Times New Roman" w:hAnsi="Times New Roman" w:cs="Times New Roman"/>
          <w:sz w:val="28"/>
          <w:szCs w:val="28"/>
          <w:lang w:val="uk-UA"/>
        </w:rPr>
        <w:t>лiзиноприл.</w:t>
      </w:r>
    </w:p>
    <w:p w:rsidR="008774E2" w:rsidRDefault="005A5B0F" w:rsidP="005A5B0F">
      <w:pPr>
        <w:autoSpaceDE w:val="0"/>
        <w:autoSpaceDN w:val="0"/>
        <w:adjustRightInd w:val="0"/>
        <w:spacing w:after="0" w:line="360" w:lineRule="auto"/>
        <w:ind w:firstLine="708"/>
        <w:jc w:val="both"/>
        <w:rPr>
          <w:rFonts w:ascii="Times New Roman" w:hAnsi="Times New Roman" w:cs="Times New Roman"/>
          <w:sz w:val="28"/>
          <w:szCs w:val="28"/>
          <w:lang w:val="uk-UA"/>
        </w:rPr>
      </w:pPr>
      <w:r w:rsidRPr="005A5B0F">
        <w:rPr>
          <w:rFonts w:ascii="Times New Roman" w:hAnsi="Times New Roman" w:cs="Times New Roman"/>
          <w:sz w:val="28"/>
          <w:szCs w:val="28"/>
          <w:lang w:val="uk-UA"/>
        </w:rPr>
        <w:t xml:space="preserve">У хворих, якi приймали телмiсартан, вміст HbA1с знизився </w:t>
      </w:r>
      <w:r w:rsidR="00506A45">
        <w:rPr>
          <w:rFonts w:ascii="Times New Roman" w:hAnsi="Times New Roman" w:cs="Times New Roman"/>
          <w:sz w:val="28"/>
          <w:szCs w:val="28"/>
          <w:lang w:val="uk-UA"/>
        </w:rPr>
        <w:t xml:space="preserve">iз (8,8 </w:t>
      </w:r>
      <w:r w:rsidR="000D030C">
        <w:rPr>
          <w:rFonts w:ascii="Times New Roman" w:hAnsi="Times New Roman" w:cs="Times New Roman"/>
          <w:sz w:val="28"/>
          <w:szCs w:val="28"/>
          <w:lang w:val="uk-UA"/>
        </w:rPr>
        <w:t xml:space="preserve">         </w:t>
      </w:r>
      <w:r w:rsidR="00506A45">
        <w:rPr>
          <w:rFonts w:ascii="Times New Roman" w:hAnsi="Times New Roman" w:cs="Times New Roman"/>
          <w:sz w:val="28"/>
          <w:szCs w:val="28"/>
          <w:lang w:val="uk-UA"/>
        </w:rPr>
        <w:t xml:space="preserve">± </w:t>
      </w:r>
      <w:r w:rsidRPr="005A5B0F">
        <w:rPr>
          <w:rFonts w:ascii="Times New Roman" w:hAnsi="Times New Roman" w:cs="Times New Roman"/>
          <w:sz w:val="28"/>
          <w:szCs w:val="28"/>
          <w:lang w:val="uk-UA"/>
        </w:rPr>
        <w:t xml:space="preserve">0,18) </w:t>
      </w:r>
      <w:r w:rsidR="00506A45">
        <w:rPr>
          <w:rFonts w:ascii="Times New Roman" w:hAnsi="Times New Roman" w:cs="Times New Roman"/>
          <w:sz w:val="28"/>
          <w:szCs w:val="28"/>
          <w:lang w:val="uk-UA"/>
        </w:rPr>
        <w:t xml:space="preserve">до (8,32 ± 0,04) %, p = 0,0106. </w:t>
      </w:r>
      <w:r w:rsidRPr="005A5B0F">
        <w:rPr>
          <w:rFonts w:ascii="Times New Roman" w:hAnsi="Times New Roman" w:cs="Times New Roman"/>
          <w:sz w:val="28"/>
          <w:szCs w:val="28"/>
          <w:lang w:val="uk-UA"/>
        </w:rPr>
        <w:t>Пiд впливом лiкування лiзиноприлом вміст  HbA1с з</w:t>
      </w:r>
      <w:r w:rsidR="00506A45">
        <w:rPr>
          <w:rFonts w:ascii="Times New Roman" w:hAnsi="Times New Roman" w:cs="Times New Roman"/>
          <w:sz w:val="28"/>
          <w:szCs w:val="28"/>
          <w:lang w:val="uk-UA"/>
        </w:rPr>
        <w:t xml:space="preserve">меншився </w:t>
      </w:r>
      <w:r w:rsidRPr="005A5B0F">
        <w:rPr>
          <w:rFonts w:ascii="Times New Roman" w:hAnsi="Times New Roman" w:cs="Times New Roman"/>
          <w:sz w:val="28"/>
          <w:szCs w:val="28"/>
          <w:lang w:val="uk-UA"/>
        </w:rPr>
        <w:t>iз (8,35 ± 0,05) % до</w:t>
      </w:r>
      <w:r w:rsidR="00506A45">
        <w:rPr>
          <w:rFonts w:ascii="Times New Roman" w:hAnsi="Times New Roman" w:cs="Times New Roman"/>
          <w:sz w:val="28"/>
          <w:szCs w:val="28"/>
          <w:lang w:val="uk-UA"/>
        </w:rPr>
        <w:t xml:space="preserve"> (8,1 ± 0,08) %, p = 0,0097.</w:t>
      </w:r>
    </w:p>
    <w:p w:rsidR="000775DC" w:rsidRDefault="00AC4F6E" w:rsidP="00EA1BA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Дослідження динаміки АТ </w:t>
      </w:r>
      <w:r w:rsidR="00764FEE">
        <w:rPr>
          <w:rFonts w:ascii="Times New Roman" w:hAnsi="Times New Roman" w:cs="Times New Roman"/>
          <w:sz w:val="28"/>
          <w:szCs w:val="28"/>
          <w:lang w:val="uk-UA"/>
        </w:rPr>
        <w:t xml:space="preserve">у коморбідних пацієнтів </w:t>
      </w:r>
      <w:r>
        <w:rPr>
          <w:rFonts w:ascii="Times New Roman" w:hAnsi="Times New Roman" w:cs="Times New Roman"/>
          <w:sz w:val="28"/>
          <w:szCs w:val="28"/>
          <w:lang w:val="uk-UA"/>
        </w:rPr>
        <w:t>на фоні шестимісячного прийому телмісартану показало, що САТ знизився на 9,09 % (</w:t>
      </w:r>
      <w:r w:rsidRPr="00AC4F6E">
        <w:rPr>
          <w:rFonts w:ascii="Times New Roman" w:hAnsi="Times New Roman" w:cs="Times New Roman"/>
          <w:sz w:val="28"/>
          <w:szCs w:val="28"/>
          <w:lang w:val="uk-UA"/>
        </w:rPr>
        <w:t>р &lt; 0,0001</w:t>
      </w:r>
      <w:r>
        <w:rPr>
          <w:rFonts w:ascii="Times New Roman" w:hAnsi="Times New Roman" w:cs="Times New Roman"/>
          <w:sz w:val="28"/>
          <w:szCs w:val="28"/>
          <w:lang w:val="uk-UA"/>
        </w:rPr>
        <w:t>), ДАТ – на 8,59 % (</w:t>
      </w:r>
      <w:r w:rsidRPr="00AC4F6E">
        <w:rPr>
          <w:rFonts w:ascii="Times New Roman" w:hAnsi="Times New Roman" w:cs="Times New Roman"/>
          <w:sz w:val="28"/>
          <w:szCs w:val="28"/>
          <w:lang w:val="uk-UA"/>
        </w:rPr>
        <w:t>р &lt; 0,0001</w:t>
      </w:r>
      <w:r>
        <w:rPr>
          <w:rFonts w:ascii="Times New Roman" w:hAnsi="Times New Roman" w:cs="Times New Roman"/>
          <w:sz w:val="28"/>
          <w:szCs w:val="28"/>
          <w:lang w:val="uk-UA"/>
        </w:rPr>
        <w:t>).</w:t>
      </w:r>
    </w:p>
    <w:p w:rsidR="00AC4F6E" w:rsidRDefault="00AC4F6E" w:rsidP="00EA1BA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A75E1D">
        <w:rPr>
          <w:rFonts w:ascii="Times New Roman" w:hAnsi="Times New Roman" w:cs="Times New Roman"/>
          <w:sz w:val="28"/>
          <w:szCs w:val="28"/>
          <w:lang w:val="uk-UA"/>
        </w:rPr>
        <w:t>истолічний артеріальний тиск</w:t>
      </w:r>
      <w:r>
        <w:rPr>
          <w:rFonts w:ascii="Times New Roman" w:hAnsi="Times New Roman" w:cs="Times New Roman"/>
          <w:sz w:val="28"/>
          <w:szCs w:val="28"/>
          <w:lang w:val="uk-UA"/>
        </w:rPr>
        <w:t xml:space="preserve"> зменшився на 8,63 % (р &lt; 0,0001), ДАТ – на 7,85 % </w:t>
      </w:r>
      <w:r w:rsidRPr="00AC4F6E">
        <w:rPr>
          <w:rFonts w:ascii="Times New Roman" w:hAnsi="Times New Roman" w:cs="Times New Roman"/>
          <w:sz w:val="28"/>
          <w:szCs w:val="28"/>
          <w:lang w:val="uk-UA"/>
        </w:rPr>
        <w:t>(р &lt; 0,0001)</w:t>
      </w:r>
      <w:r>
        <w:rPr>
          <w:rFonts w:ascii="Times New Roman" w:hAnsi="Times New Roman" w:cs="Times New Roman"/>
          <w:sz w:val="28"/>
          <w:szCs w:val="28"/>
          <w:lang w:val="uk-UA"/>
        </w:rPr>
        <w:t xml:space="preserve"> у хворих </w:t>
      </w:r>
      <w:r w:rsidR="00255B46">
        <w:rPr>
          <w:rFonts w:ascii="Times New Roman" w:hAnsi="Times New Roman" w:cs="Times New Roman"/>
          <w:sz w:val="28"/>
          <w:szCs w:val="28"/>
          <w:lang w:val="uk-UA"/>
        </w:rPr>
        <w:t xml:space="preserve">на </w:t>
      </w:r>
      <w:r w:rsidR="00764FEE">
        <w:rPr>
          <w:rFonts w:ascii="Times New Roman" w:hAnsi="Times New Roman" w:cs="Times New Roman"/>
          <w:sz w:val="28"/>
          <w:szCs w:val="28"/>
          <w:lang w:val="uk-UA"/>
        </w:rPr>
        <w:t>АГ та ЦД 2-го типу під впливом лікування лізиноприлом.</w:t>
      </w:r>
    </w:p>
    <w:p w:rsidR="00EA1BA5" w:rsidRDefault="005A5B0F" w:rsidP="00EA1BA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у </w:t>
      </w:r>
      <w:r w:rsidR="00734A9B">
        <w:rPr>
          <w:rFonts w:ascii="Times New Roman" w:hAnsi="Times New Roman" w:cs="Times New Roman"/>
          <w:sz w:val="28"/>
          <w:szCs w:val="28"/>
          <w:lang w:val="uk-UA"/>
        </w:rPr>
        <w:t>пацієнтів</w:t>
      </w:r>
      <w:r w:rsidR="00942EFF">
        <w:rPr>
          <w:rFonts w:ascii="Times New Roman" w:hAnsi="Times New Roman" w:cs="Times New Roman"/>
          <w:sz w:val="28"/>
          <w:szCs w:val="28"/>
          <w:lang w:val="uk-UA"/>
        </w:rPr>
        <w:t xml:space="preserve"> </w:t>
      </w:r>
      <w:r w:rsidR="000D030C">
        <w:rPr>
          <w:rFonts w:ascii="Times New Roman" w:hAnsi="Times New Roman" w:cs="Times New Roman"/>
          <w:sz w:val="28"/>
          <w:szCs w:val="28"/>
          <w:lang w:val="uk-UA"/>
        </w:rPr>
        <w:t>і</w:t>
      </w:r>
      <w:r w:rsidR="00216C1B">
        <w:rPr>
          <w:rFonts w:ascii="Times New Roman" w:hAnsi="Times New Roman" w:cs="Times New Roman"/>
          <w:sz w:val="28"/>
          <w:szCs w:val="28"/>
          <w:lang w:val="uk-UA"/>
        </w:rPr>
        <w:t xml:space="preserve">з </w:t>
      </w:r>
      <w:r w:rsidR="00942EFF">
        <w:rPr>
          <w:rFonts w:ascii="Times New Roman" w:hAnsi="Times New Roman" w:cs="Times New Roman"/>
          <w:sz w:val="28"/>
          <w:szCs w:val="28"/>
          <w:lang w:val="uk-UA"/>
        </w:rPr>
        <w:t xml:space="preserve">АГ та ЦД 2-го типу </w:t>
      </w:r>
      <w:r w:rsidR="002E623F">
        <w:rPr>
          <w:rFonts w:ascii="Times New Roman" w:hAnsi="Times New Roman" w:cs="Times New Roman"/>
          <w:sz w:val="28"/>
          <w:szCs w:val="28"/>
          <w:lang w:val="uk-UA"/>
        </w:rPr>
        <w:t>в</w:t>
      </w:r>
      <w:r w:rsidR="002E623F">
        <w:rPr>
          <w:rFonts w:ascii="Times New Roman" w:hAnsi="Times New Roman" w:cs="Times New Roman"/>
          <w:sz w:val="28"/>
          <w:szCs w:val="28"/>
          <w:lang w:val="en-US"/>
        </w:rPr>
        <w:t>i</w:t>
      </w:r>
      <w:r w:rsidR="00216C1B">
        <w:rPr>
          <w:rFonts w:ascii="Times New Roman" w:hAnsi="Times New Roman" w:cs="Times New Roman"/>
          <w:sz w:val="28"/>
          <w:szCs w:val="28"/>
          <w:lang w:val="uk-UA"/>
        </w:rPr>
        <w:t>дсоток</w:t>
      </w:r>
      <w:r w:rsidR="00F55CBA" w:rsidRPr="00F55CBA">
        <w:rPr>
          <w:rFonts w:ascii="Times New Roman" w:hAnsi="Times New Roman" w:cs="Times New Roman"/>
          <w:sz w:val="28"/>
          <w:szCs w:val="28"/>
          <w:lang w:val="uk-UA"/>
        </w:rPr>
        <w:t xml:space="preserve"> зн</w:t>
      </w:r>
      <w:r w:rsidR="002E623F">
        <w:rPr>
          <w:rFonts w:ascii="Times New Roman" w:hAnsi="Times New Roman" w:cs="Times New Roman"/>
          <w:sz w:val="28"/>
          <w:szCs w:val="28"/>
          <w:lang w:val="uk-UA"/>
        </w:rPr>
        <w:t>иження альбум</w:t>
      </w:r>
      <w:r w:rsidR="002E623F">
        <w:rPr>
          <w:rFonts w:ascii="Times New Roman" w:hAnsi="Times New Roman" w:cs="Times New Roman"/>
          <w:sz w:val="28"/>
          <w:szCs w:val="28"/>
          <w:lang w:val="en-US"/>
        </w:rPr>
        <w:t>i</w:t>
      </w:r>
      <w:r w:rsidR="002E623F">
        <w:rPr>
          <w:rFonts w:ascii="Times New Roman" w:hAnsi="Times New Roman" w:cs="Times New Roman"/>
          <w:sz w:val="28"/>
          <w:szCs w:val="28"/>
          <w:lang w:val="uk-UA"/>
        </w:rPr>
        <w:t>нур</w:t>
      </w:r>
      <w:r w:rsidR="002E623F">
        <w:rPr>
          <w:rFonts w:ascii="Times New Roman" w:hAnsi="Times New Roman" w:cs="Times New Roman"/>
          <w:sz w:val="28"/>
          <w:szCs w:val="28"/>
          <w:lang w:val="en-US"/>
        </w:rPr>
        <w:t>i</w:t>
      </w:r>
      <w:r w:rsidR="00D81913">
        <w:rPr>
          <w:rFonts w:ascii="Times New Roman" w:hAnsi="Times New Roman" w:cs="Times New Roman"/>
          <w:sz w:val="28"/>
          <w:szCs w:val="28"/>
          <w:lang w:val="uk-UA"/>
        </w:rPr>
        <w:t>ї є меншим (p</w:t>
      </w:r>
      <w:r w:rsidR="00216C1B">
        <w:rPr>
          <w:rFonts w:ascii="Times New Roman" w:hAnsi="Times New Roman" w:cs="Times New Roman"/>
          <w:sz w:val="28"/>
          <w:szCs w:val="28"/>
          <w:lang w:val="uk-UA"/>
        </w:rPr>
        <w:t xml:space="preserve"> </w:t>
      </w:r>
      <w:r w:rsidR="00F55CBA" w:rsidRPr="00F55CBA">
        <w:rPr>
          <w:rFonts w:ascii="Times New Roman" w:hAnsi="Times New Roman" w:cs="Times New Roman"/>
          <w:sz w:val="28"/>
          <w:szCs w:val="28"/>
          <w:lang w:val="uk-UA"/>
        </w:rPr>
        <w:t>&lt;</w:t>
      </w:r>
      <w:r w:rsidR="00216C1B">
        <w:rPr>
          <w:rFonts w:ascii="Times New Roman" w:hAnsi="Times New Roman" w:cs="Times New Roman"/>
          <w:sz w:val="28"/>
          <w:szCs w:val="28"/>
          <w:lang w:val="uk-UA"/>
        </w:rPr>
        <w:t xml:space="preserve"> </w:t>
      </w:r>
      <w:r w:rsidR="00F55CBA" w:rsidRPr="00F55CBA">
        <w:rPr>
          <w:rFonts w:ascii="Times New Roman" w:hAnsi="Times New Roman" w:cs="Times New Roman"/>
          <w:sz w:val="28"/>
          <w:szCs w:val="28"/>
          <w:lang w:val="uk-UA"/>
        </w:rPr>
        <w:t>0,00</w:t>
      </w:r>
      <w:r w:rsidR="00D64683" w:rsidRPr="00D64683">
        <w:rPr>
          <w:rFonts w:ascii="Times New Roman" w:hAnsi="Times New Roman" w:cs="Times New Roman"/>
          <w:sz w:val="28"/>
          <w:szCs w:val="28"/>
          <w:lang w:val="uk-UA"/>
        </w:rPr>
        <w:t>0</w:t>
      </w:r>
      <w:r w:rsidR="002E623F">
        <w:rPr>
          <w:rFonts w:ascii="Times New Roman" w:hAnsi="Times New Roman" w:cs="Times New Roman"/>
          <w:sz w:val="28"/>
          <w:szCs w:val="28"/>
          <w:lang w:val="uk-UA"/>
        </w:rPr>
        <w:t>1), н</w:t>
      </w:r>
      <w:r w:rsidR="002E623F">
        <w:rPr>
          <w:rFonts w:ascii="Times New Roman" w:hAnsi="Times New Roman" w:cs="Times New Roman"/>
          <w:sz w:val="28"/>
          <w:szCs w:val="28"/>
          <w:lang w:val="en-US"/>
        </w:rPr>
        <w:t>i</w:t>
      </w:r>
      <w:r w:rsidR="000D030C">
        <w:rPr>
          <w:rFonts w:ascii="Times New Roman" w:hAnsi="Times New Roman" w:cs="Times New Roman"/>
          <w:sz w:val="28"/>
          <w:szCs w:val="28"/>
          <w:lang w:val="uk-UA"/>
        </w:rPr>
        <w:t>ж у хворих на</w:t>
      </w:r>
      <w:r w:rsidR="00942EFF">
        <w:rPr>
          <w:rFonts w:ascii="Times New Roman" w:hAnsi="Times New Roman" w:cs="Times New Roman"/>
          <w:sz w:val="28"/>
          <w:szCs w:val="28"/>
          <w:lang w:val="uk-UA"/>
        </w:rPr>
        <w:t xml:space="preserve"> </w:t>
      </w:r>
      <w:r w:rsidR="00216C1B">
        <w:rPr>
          <w:rFonts w:ascii="Times New Roman" w:hAnsi="Times New Roman" w:cs="Times New Roman"/>
          <w:sz w:val="28"/>
          <w:szCs w:val="28"/>
          <w:lang w:val="uk-UA"/>
        </w:rPr>
        <w:t>АГ. На нашу думку, це пов’язане</w:t>
      </w:r>
      <w:r w:rsidR="002E623F">
        <w:rPr>
          <w:rFonts w:ascii="Times New Roman" w:hAnsi="Times New Roman" w:cs="Times New Roman"/>
          <w:sz w:val="28"/>
          <w:szCs w:val="28"/>
          <w:lang w:val="uk-UA"/>
        </w:rPr>
        <w:t xml:space="preserve"> </w:t>
      </w:r>
      <w:r w:rsidR="002E623F">
        <w:rPr>
          <w:rFonts w:ascii="Times New Roman" w:hAnsi="Times New Roman" w:cs="Times New Roman"/>
          <w:sz w:val="28"/>
          <w:szCs w:val="28"/>
          <w:lang w:val="en-US"/>
        </w:rPr>
        <w:t>i</w:t>
      </w:r>
      <w:r w:rsidR="00F55CBA" w:rsidRPr="00F55CBA">
        <w:rPr>
          <w:rFonts w:ascii="Times New Roman" w:hAnsi="Times New Roman" w:cs="Times New Roman"/>
          <w:sz w:val="28"/>
          <w:szCs w:val="28"/>
          <w:lang w:val="uk-UA"/>
        </w:rPr>
        <w:t>з наявністю ДН.</w:t>
      </w:r>
      <w:r w:rsidR="00F55CBA">
        <w:rPr>
          <w:rFonts w:ascii="Times New Roman" w:hAnsi="Times New Roman" w:cs="Times New Roman"/>
          <w:sz w:val="28"/>
          <w:szCs w:val="28"/>
          <w:lang w:val="uk-UA"/>
        </w:rPr>
        <w:t xml:space="preserve"> До того ж</w:t>
      </w:r>
      <w:r w:rsidR="002E623F">
        <w:rPr>
          <w:rFonts w:ascii="Times New Roman" w:hAnsi="Times New Roman" w:cs="Times New Roman"/>
          <w:sz w:val="28"/>
          <w:szCs w:val="28"/>
          <w:lang w:val="uk-UA"/>
        </w:rPr>
        <w:t xml:space="preserve"> телм</w:t>
      </w:r>
      <w:r w:rsidR="002E623F">
        <w:rPr>
          <w:rFonts w:ascii="Times New Roman" w:hAnsi="Times New Roman" w:cs="Times New Roman"/>
          <w:sz w:val="28"/>
          <w:szCs w:val="28"/>
          <w:lang w:val="en-US"/>
        </w:rPr>
        <w:t>i</w:t>
      </w:r>
      <w:r w:rsidR="002E623F">
        <w:rPr>
          <w:rFonts w:ascii="Times New Roman" w:hAnsi="Times New Roman" w:cs="Times New Roman"/>
          <w:sz w:val="28"/>
          <w:szCs w:val="28"/>
          <w:lang w:val="uk-UA"/>
        </w:rPr>
        <w:t>сартан не поступається л</w:t>
      </w:r>
      <w:r w:rsidR="002E623F">
        <w:rPr>
          <w:rFonts w:ascii="Times New Roman" w:hAnsi="Times New Roman" w:cs="Times New Roman"/>
          <w:sz w:val="28"/>
          <w:szCs w:val="28"/>
          <w:lang w:val="en-US"/>
        </w:rPr>
        <w:t>i</w:t>
      </w:r>
      <w:r w:rsidR="00EA1BA5" w:rsidRPr="008707FF">
        <w:rPr>
          <w:rFonts w:ascii="Times New Roman" w:hAnsi="Times New Roman" w:cs="Times New Roman"/>
          <w:sz w:val="28"/>
          <w:szCs w:val="28"/>
          <w:lang w:val="uk-UA"/>
        </w:rPr>
        <w:t xml:space="preserve">зиноприлу за </w:t>
      </w:r>
      <w:r w:rsidR="00AC4F6E">
        <w:rPr>
          <w:rFonts w:ascii="Times New Roman" w:hAnsi="Times New Roman" w:cs="Times New Roman"/>
          <w:sz w:val="28"/>
          <w:szCs w:val="28"/>
          <w:lang w:val="uk-UA"/>
        </w:rPr>
        <w:t xml:space="preserve">антигіпертензивних ефектом, </w:t>
      </w:r>
      <w:r w:rsidR="00EA1BA5" w:rsidRPr="008707FF">
        <w:rPr>
          <w:rFonts w:ascii="Times New Roman" w:hAnsi="Times New Roman" w:cs="Times New Roman"/>
          <w:sz w:val="28"/>
          <w:szCs w:val="28"/>
          <w:lang w:val="uk-UA"/>
        </w:rPr>
        <w:t>нефропротекторними властиво</w:t>
      </w:r>
      <w:r w:rsidR="002E623F">
        <w:rPr>
          <w:rFonts w:ascii="Times New Roman" w:hAnsi="Times New Roman" w:cs="Times New Roman"/>
          <w:sz w:val="28"/>
          <w:szCs w:val="28"/>
          <w:lang w:val="uk-UA"/>
        </w:rPr>
        <w:t>стями, що виявляються у зниженн</w:t>
      </w:r>
      <w:r w:rsidR="002E623F">
        <w:rPr>
          <w:rFonts w:ascii="Times New Roman" w:hAnsi="Times New Roman" w:cs="Times New Roman"/>
          <w:sz w:val="28"/>
          <w:szCs w:val="28"/>
          <w:lang w:val="en-US"/>
        </w:rPr>
        <w:t>i</w:t>
      </w:r>
      <w:r w:rsidR="000D030C">
        <w:rPr>
          <w:rFonts w:ascii="Times New Roman" w:hAnsi="Times New Roman" w:cs="Times New Roman"/>
          <w:sz w:val="28"/>
          <w:szCs w:val="28"/>
          <w:lang w:val="uk-UA"/>
        </w:rPr>
        <w:t xml:space="preserve"> вмісту</w:t>
      </w:r>
      <w:r w:rsidR="002E623F">
        <w:rPr>
          <w:rFonts w:ascii="Times New Roman" w:hAnsi="Times New Roman" w:cs="Times New Roman"/>
          <w:sz w:val="28"/>
          <w:szCs w:val="28"/>
          <w:lang w:val="uk-UA"/>
        </w:rPr>
        <w:t xml:space="preserve"> альбум</w:t>
      </w:r>
      <w:r w:rsidR="002E623F">
        <w:rPr>
          <w:rFonts w:ascii="Times New Roman" w:hAnsi="Times New Roman" w:cs="Times New Roman"/>
          <w:sz w:val="28"/>
          <w:szCs w:val="28"/>
          <w:lang w:val="en-US"/>
        </w:rPr>
        <w:t>i</w:t>
      </w:r>
      <w:r w:rsidR="002E623F">
        <w:rPr>
          <w:rFonts w:ascii="Times New Roman" w:hAnsi="Times New Roman" w:cs="Times New Roman"/>
          <w:sz w:val="28"/>
          <w:szCs w:val="28"/>
          <w:lang w:val="uk-UA"/>
        </w:rPr>
        <w:t>нур</w:t>
      </w:r>
      <w:r w:rsidR="002E623F">
        <w:rPr>
          <w:rFonts w:ascii="Times New Roman" w:hAnsi="Times New Roman" w:cs="Times New Roman"/>
          <w:sz w:val="28"/>
          <w:szCs w:val="28"/>
          <w:lang w:val="en-US"/>
        </w:rPr>
        <w:t>i</w:t>
      </w:r>
      <w:r w:rsidR="00EA1BA5" w:rsidRPr="008707FF">
        <w:rPr>
          <w:rFonts w:ascii="Times New Roman" w:hAnsi="Times New Roman" w:cs="Times New Roman"/>
          <w:sz w:val="28"/>
          <w:szCs w:val="28"/>
          <w:lang w:val="uk-UA"/>
        </w:rPr>
        <w:t xml:space="preserve">ї та </w:t>
      </w:r>
      <w:r w:rsidR="00EA1BA5" w:rsidRPr="008707FF">
        <w:rPr>
          <w:rFonts w:ascii="Times New Roman" w:hAnsi="Times New Roman" w:cs="Times New Roman"/>
          <w:sz w:val="28"/>
          <w:szCs w:val="28"/>
        </w:rPr>
        <w:t>HbA</w:t>
      </w:r>
      <w:r w:rsidR="00EA1BA5" w:rsidRPr="00A92E6B">
        <w:rPr>
          <w:rFonts w:ascii="Times New Roman" w:hAnsi="Times New Roman" w:cs="Times New Roman"/>
          <w:sz w:val="28"/>
          <w:szCs w:val="28"/>
          <w:lang w:val="uk-UA"/>
        </w:rPr>
        <w:t>1с</w:t>
      </w:r>
      <w:r w:rsidR="002E623F">
        <w:rPr>
          <w:rFonts w:ascii="Times New Roman" w:hAnsi="Times New Roman" w:cs="Times New Roman"/>
          <w:sz w:val="28"/>
          <w:szCs w:val="28"/>
          <w:lang w:val="uk-UA"/>
        </w:rPr>
        <w:t xml:space="preserve">, </w:t>
      </w:r>
      <w:r w:rsidR="002E623F">
        <w:rPr>
          <w:rFonts w:ascii="Times New Roman" w:hAnsi="Times New Roman" w:cs="Times New Roman"/>
          <w:sz w:val="28"/>
          <w:szCs w:val="28"/>
          <w:lang w:val="en-US"/>
        </w:rPr>
        <w:t>i</w:t>
      </w:r>
      <w:r w:rsidR="00A92E6B">
        <w:rPr>
          <w:rFonts w:ascii="Times New Roman" w:hAnsi="Times New Roman" w:cs="Times New Roman"/>
          <w:sz w:val="28"/>
          <w:szCs w:val="28"/>
          <w:lang w:val="uk-UA"/>
        </w:rPr>
        <w:t xml:space="preserve"> </w:t>
      </w:r>
      <w:r w:rsidR="00734A9B">
        <w:rPr>
          <w:rFonts w:ascii="Times New Roman" w:hAnsi="Times New Roman" w:cs="Times New Roman"/>
          <w:sz w:val="28"/>
          <w:szCs w:val="28"/>
          <w:lang w:val="uk-UA"/>
        </w:rPr>
        <w:t xml:space="preserve">доцільний для використання </w:t>
      </w:r>
      <w:r w:rsidR="002E623F">
        <w:rPr>
          <w:rFonts w:ascii="Times New Roman" w:hAnsi="Times New Roman" w:cs="Times New Roman"/>
          <w:sz w:val="28"/>
          <w:szCs w:val="28"/>
          <w:lang w:val="uk-UA"/>
        </w:rPr>
        <w:t xml:space="preserve">у </w:t>
      </w:r>
      <w:r w:rsidR="00734A9B">
        <w:rPr>
          <w:rFonts w:ascii="Times New Roman" w:hAnsi="Times New Roman" w:cs="Times New Roman"/>
          <w:sz w:val="28"/>
          <w:szCs w:val="28"/>
          <w:lang w:val="uk-UA"/>
        </w:rPr>
        <w:t>хворих на</w:t>
      </w:r>
      <w:r w:rsidR="00A92E6B">
        <w:rPr>
          <w:rFonts w:ascii="Times New Roman" w:hAnsi="Times New Roman" w:cs="Times New Roman"/>
          <w:sz w:val="28"/>
          <w:szCs w:val="28"/>
          <w:lang w:val="uk-UA"/>
        </w:rPr>
        <w:t xml:space="preserve"> </w:t>
      </w:r>
      <w:r w:rsidR="00942EFF">
        <w:rPr>
          <w:rFonts w:ascii="Times New Roman" w:hAnsi="Times New Roman" w:cs="Times New Roman"/>
          <w:sz w:val="28"/>
          <w:szCs w:val="28"/>
          <w:lang w:val="uk-UA"/>
        </w:rPr>
        <w:t>АГ та</w:t>
      </w:r>
      <w:r w:rsidR="00734A9B">
        <w:rPr>
          <w:rFonts w:ascii="Times New Roman" w:hAnsi="Times New Roman" w:cs="Times New Roman"/>
          <w:sz w:val="28"/>
          <w:szCs w:val="28"/>
          <w:lang w:val="uk-UA"/>
        </w:rPr>
        <w:t xml:space="preserve"> супутній</w:t>
      </w:r>
      <w:r w:rsidR="00942EFF">
        <w:rPr>
          <w:rFonts w:ascii="Times New Roman" w:hAnsi="Times New Roman" w:cs="Times New Roman"/>
          <w:sz w:val="28"/>
          <w:szCs w:val="28"/>
          <w:lang w:val="uk-UA"/>
        </w:rPr>
        <w:t xml:space="preserve"> ЦД 2-го типу</w:t>
      </w:r>
      <w:r w:rsidR="00A92E6B">
        <w:rPr>
          <w:rFonts w:ascii="Times New Roman" w:hAnsi="Times New Roman" w:cs="Times New Roman"/>
          <w:sz w:val="28"/>
          <w:szCs w:val="28"/>
          <w:lang w:val="uk-UA"/>
        </w:rPr>
        <w:t>.</w:t>
      </w:r>
    </w:p>
    <w:p w:rsidR="00CF1E57" w:rsidRDefault="00CF1E57" w:rsidP="00967B83">
      <w:pPr>
        <w:autoSpaceDE w:val="0"/>
        <w:autoSpaceDN w:val="0"/>
        <w:adjustRightInd w:val="0"/>
        <w:spacing w:after="0" w:line="360" w:lineRule="auto"/>
        <w:ind w:firstLine="708"/>
        <w:jc w:val="both"/>
        <w:rPr>
          <w:rFonts w:ascii="Times New Roman" w:hAnsi="Times New Roman" w:cs="Times New Roman"/>
          <w:b/>
          <w:sz w:val="28"/>
          <w:szCs w:val="28"/>
          <w:lang w:val="uk-UA"/>
        </w:rPr>
      </w:pPr>
    </w:p>
    <w:p w:rsidR="00016E8E" w:rsidRPr="000E1BAD" w:rsidRDefault="002B4682" w:rsidP="000E1BAD">
      <w:pPr>
        <w:autoSpaceDE w:val="0"/>
        <w:autoSpaceDN w:val="0"/>
        <w:adjustRightInd w:val="0"/>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6</w:t>
      </w:r>
      <w:r w:rsidR="00626E57" w:rsidRPr="00626E57">
        <w:rPr>
          <w:rFonts w:ascii="Times New Roman" w:hAnsi="Times New Roman" w:cs="Times New Roman"/>
          <w:b/>
          <w:sz w:val="28"/>
          <w:szCs w:val="28"/>
          <w:lang w:val="uk-UA"/>
        </w:rPr>
        <w:t>.3</w:t>
      </w:r>
      <w:r w:rsidR="008E3D76">
        <w:rPr>
          <w:rFonts w:ascii="Times New Roman" w:hAnsi="Times New Roman" w:cs="Times New Roman"/>
          <w:b/>
          <w:sz w:val="28"/>
          <w:szCs w:val="28"/>
          <w:lang w:val="uk-UA"/>
        </w:rPr>
        <w:t>.</w:t>
      </w:r>
      <w:r w:rsidR="00626E57" w:rsidRPr="00626E57">
        <w:rPr>
          <w:rFonts w:ascii="Times New Roman" w:hAnsi="Times New Roman" w:cs="Times New Roman"/>
          <w:b/>
          <w:sz w:val="28"/>
          <w:szCs w:val="28"/>
          <w:lang w:val="uk-UA"/>
        </w:rPr>
        <w:t xml:space="preserve"> </w:t>
      </w:r>
      <w:r w:rsidR="006506E6">
        <w:rPr>
          <w:rFonts w:ascii="Times New Roman" w:hAnsi="Times New Roman" w:cs="Times New Roman"/>
          <w:b/>
          <w:sz w:val="28"/>
          <w:szCs w:val="28"/>
          <w:lang w:val="uk-UA"/>
        </w:rPr>
        <w:t>Диференц</w:t>
      </w:r>
      <w:r w:rsidR="006506E6">
        <w:rPr>
          <w:rFonts w:ascii="Times New Roman" w:hAnsi="Times New Roman" w:cs="Times New Roman"/>
          <w:b/>
          <w:sz w:val="28"/>
          <w:szCs w:val="28"/>
          <w:lang w:val="en-US"/>
        </w:rPr>
        <w:t>i</w:t>
      </w:r>
      <w:r w:rsidR="006506E6">
        <w:rPr>
          <w:rFonts w:ascii="Times New Roman" w:hAnsi="Times New Roman" w:cs="Times New Roman"/>
          <w:b/>
          <w:sz w:val="28"/>
          <w:szCs w:val="28"/>
          <w:lang w:val="uk-UA"/>
        </w:rPr>
        <w:t>йований п</w:t>
      </w:r>
      <w:r w:rsidR="006506E6">
        <w:rPr>
          <w:rFonts w:ascii="Times New Roman" w:hAnsi="Times New Roman" w:cs="Times New Roman"/>
          <w:b/>
          <w:sz w:val="28"/>
          <w:szCs w:val="28"/>
          <w:lang w:val="en-US"/>
        </w:rPr>
        <w:t>i</w:t>
      </w:r>
      <w:r w:rsidR="006506E6">
        <w:rPr>
          <w:rFonts w:ascii="Times New Roman" w:hAnsi="Times New Roman" w:cs="Times New Roman"/>
          <w:b/>
          <w:sz w:val="28"/>
          <w:szCs w:val="28"/>
          <w:lang w:val="uk-UA"/>
        </w:rPr>
        <w:t>дх</w:t>
      </w:r>
      <w:r w:rsidR="006506E6">
        <w:rPr>
          <w:rFonts w:ascii="Times New Roman" w:hAnsi="Times New Roman" w:cs="Times New Roman"/>
          <w:b/>
          <w:sz w:val="28"/>
          <w:szCs w:val="28"/>
          <w:lang w:val="en-US"/>
        </w:rPr>
        <w:t>i</w:t>
      </w:r>
      <w:r w:rsidR="006506E6">
        <w:rPr>
          <w:rFonts w:ascii="Times New Roman" w:hAnsi="Times New Roman" w:cs="Times New Roman"/>
          <w:b/>
          <w:sz w:val="28"/>
          <w:szCs w:val="28"/>
          <w:lang w:val="uk-UA"/>
        </w:rPr>
        <w:t>д до призначення телм</w:t>
      </w:r>
      <w:r w:rsidR="006506E6">
        <w:rPr>
          <w:rFonts w:ascii="Times New Roman" w:hAnsi="Times New Roman" w:cs="Times New Roman"/>
          <w:b/>
          <w:sz w:val="28"/>
          <w:szCs w:val="28"/>
          <w:lang w:val="en-US"/>
        </w:rPr>
        <w:t>i</w:t>
      </w:r>
      <w:r w:rsidR="00A92E6B">
        <w:rPr>
          <w:rFonts w:ascii="Times New Roman" w:hAnsi="Times New Roman" w:cs="Times New Roman"/>
          <w:b/>
          <w:sz w:val="28"/>
          <w:szCs w:val="28"/>
          <w:lang w:val="uk-UA"/>
        </w:rPr>
        <w:t xml:space="preserve">сартану </w:t>
      </w:r>
      <w:r w:rsidR="00216C1B">
        <w:rPr>
          <w:rFonts w:ascii="Times New Roman" w:hAnsi="Times New Roman" w:cs="Times New Roman"/>
          <w:b/>
          <w:sz w:val="28"/>
          <w:szCs w:val="28"/>
          <w:lang w:val="uk-UA"/>
        </w:rPr>
        <w:t xml:space="preserve">             залежно</w:t>
      </w:r>
      <w:r w:rsidR="006506E6">
        <w:rPr>
          <w:rFonts w:ascii="Times New Roman" w:hAnsi="Times New Roman" w:cs="Times New Roman"/>
          <w:b/>
          <w:sz w:val="28"/>
          <w:szCs w:val="28"/>
          <w:lang w:val="uk-UA"/>
        </w:rPr>
        <w:t xml:space="preserve"> в</w:t>
      </w:r>
      <w:r w:rsidR="006506E6">
        <w:rPr>
          <w:rFonts w:ascii="Times New Roman" w:hAnsi="Times New Roman" w:cs="Times New Roman"/>
          <w:b/>
          <w:sz w:val="28"/>
          <w:szCs w:val="28"/>
          <w:lang w:val="en-US"/>
        </w:rPr>
        <w:t>i</w:t>
      </w:r>
      <w:r w:rsidR="006506E6">
        <w:rPr>
          <w:rFonts w:ascii="Times New Roman" w:hAnsi="Times New Roman" w:cs="Times New Roman"/>
          <w:b/>
          <w:sz w:val="28"/>
          <w:szCs w:val="28"/>
          <w:lang w:val="uk-UA"/>
        </w:rPr>
        <w:t xml:space="preserve">д </w:t>
      </w:r>
      <w:r w:rsidR="00817002">
        <w:rPr>
          <w:rFonts w:ascii="Times New Roman" w:hAnsi="Times New Roman" w:cs="Times New Roman"/>
          <w:b/>
          <w:sz w:val="28"/>
          <w:szCs w:val="28"/>
          <w:lang w:val="uk-UA"/>
        </w:rPr>
        <w:t xml:space="preserve">вмісту </w:t>
      </w:r>
      <w:r w:rsidR="00A92E6B">
        <w:rPr>
          <w:rFonts w:ascii="Times New Roman" w:hAnsi="Times New Roman" w:cs="Times New Roman"/>
          <w:b/>
          <w:sz w:val="28"/>
          <w:szCs w:val="28"/>
          <w:lang w:val="uk-UA"/>
        </w:rPr>
        <w:t>е</w:t>
      </w:r>
      <w:r w:rsidR="006506E6">
        <w:rPr>
          <w:rFonts w:ascii="Times New Roman" w:hAnsi="Times New Roman" w:cs="Times New Roman"/>
          <w:b/>
          <w:sz w:val="28"/>
          <w:szCs w:val="28"/>
          <w:lang w:val="uk-UA"/>
        </w:rPr>
        <w:t>ндотел</w:t>
      </w:r>
      <w:r w:rsidR="006506E6">
        <w:rPr>
          <w:rFonts w:ascii="Times New Roman" w:hAnsi="Times New Roman" w:cs="Times New Roman"/>
          <w:b/>
          <w:sz w:val="28"/>
          <w:szCs w:val="28"/>
          <w:lang w:val="en-US"/>
        </w:rPr>
        <w:t>i</w:t>
      </w:r>
      <w:r w:rsidR="00016E8E">
        <w:rPr>
          <w:rFonts w:ascii="Times New Roman" w:hAnsi="Times New Roman" w:cs="Times New Roman"/>
          <w:b/>
          <w:sz w:val="28"/>
          <w:szCs w:val="28"/>
          <w:lang w:val="uk-UA"/>
        </w:rPr>
        <w:t>ну-1</w:t>
      </w:r>
    </w:p>
    <w:p w:rsidR="000E1BAD" w:rsidRDefault="000E1BAD" w:rsidP="00FB6BAD">
      <w:pPr>
        <w:autoSpaceDE w:val="0"/>
        <w:autoSpaceDN w:val="0"/>
        <w:adjustRightInd w:val="0"/>
        <w:spacing w:after="0" w:line="360" w:lineRule="auto"/>
        <w:ind w:firstLine="708"/>
        <w:jc w:val="both"/>
        <w:rPr>
          <w:rFonts w:ascii="Times New Roman" w:hAnsi="Times New Roman" w:cs="Times New Roman"/>
          <w:sz w:val="28"/>
          <w:szCs w:val="28"/>
          <w:lang w:val="uk-UA"/>
        </w:rPr>
      </w:pPr>
    </w:p>
    <w:p w:rsidR="00C05846" w:rsidRPr="00097A40" w:rsidRDefault="00CF1E57" w:rsidP="00FB6BAD">
      <w:pPr>
        <w:autoSpaceDE w:val="0"/>
        <w:autoSpaceDN w:val="0"/>
        <w:adjustRightInd w:val="0"/>
        <w:spacing w:after="0" w:line="360" w:lineRule="auto"/>
        <w:ind w:firstLine="708"/>
        <w:jc w:val="both"/>
        <w:rPr>
          <w:rFonts w:ascii="Times New Roman" w:hAnsi="Times New Roman" w:cs="Times New Roman"/>
          <w:sz w:val="28"/>
          <w:szCs w:val="28"/>
          <w:lang w:val="uk-UA"/>
        </w:rPr>
      </w:pPr>
      <w:r w:rsidRPr="00A05EE0">
        <w:rPr>
          <w:rFonts w:ascii="Times New Roman" w:hAnsi="Times New Roman" w:cs="Times New Roman"/>
          <w:sz w:val="28"/>
          <w:szCs w:val="28"/>
          <w:lang w:val="uk-UA"/>
        </w:rPr>
        <w:t xml:space="preserve">Процеси запалення та </w:t>
      </w:r>
      <w:r w:rsidR="00942EFF">
        <w:rPr>
          <w:rFonts w:ascii="Times New Roman" w:hAnsi="Times New Roman" w:cs="Times New Roman"/>
          <w:sz w:val="28"/>
          <w:szCs w:val="28"/>
          <w:lang w:val="uk-UA"/>
        </w:rPr>
        <w:t xml:space="preserve">ЕД </w:t>
      </w:r>
      <w:r w:rsidR="002E623F">
        <w:rPr>
          <w:rFonts w:ascii="Times New Roman" w:hAnsi="Times New Roman" w:cs="Times New Roman"/>
          <w:sz w:val="28"/>
          <w:szCs w:val="28"/>
          <w:lang w:val="uk-UA"/>
        </w:rPr>
        <w:t>у сукупност</w:t>
      </w:r>
      <w:r w:rsidR="002E623F">
        <w:rPr>
          <w:rFonts w:ascii="Times New Roman" w:hAnsi="Times New Roman" w:cs="Times New Roman"/>
          <w:sz w:val="28"/>
          <w:szCs w:val="28"/>
          <w:lang w:val="en-US"/>
        </w:rPr>
        <w:t>i</w:t>
      </w:r>
      <w:r w:rsidR="00216C1B">
        <w:rPr>
          <w:rFonts w:ascii="Times New Roman" w:hAnsi="Times New Roman" w:cs="Times New Roman"/>
          <w:sz w:val="28"/>
          <w:szCs w:val="28"/>
          <w:lang w:val="uk-UA"/>
        </w:rPr>
        <w:t xml:space="preserve"> </w:t>
      </w:r>
      <w:r w:rsidR="002E623F">
        <w:rPr>
          <w:rFonts w:ascii="Times New Roman" w:hAnsi="Times New Roman" w:cs="Times New Roman"/>
          <w:sz w:val="28"/>
          <w:szCs w:val="28"/>
          <w:lang w:val="uk-UA"/>
        </w:rPr>
        <w:t xml:space="preserve">з </w:t>
      </w:r>
      <w:r w:rsidR="002E623F">
        <w:rPr>
          <w:rFonts w:ascii="Times New Roman" w:hAnsi="Times New Roman" w:cs="Times New Roman"/>
          <w:sz w:val="28"/>
          <w:szCs w:val="28"/>
          <w:lang w:val="en-US"/>
        </w:rPr>
        <w:t>i</w:t>
      </w:r>
      <w:r w:rsidRPr="00A05EE0">
        <w:rPr>
          <w:rFonts w:ascii="Times New Roman" w:hAnsi="Times New Roman" w:cs="Times New Roman"/>
          <w:sz w:val="28"/>
          <w:szCs w:val="28"/>
          <w:lang w:val="uk-UA"/>
        </w:rPr>
        <w:t>ншими патогенетичними механ</w:t>
      </w:r>
      <w:r w:rsidR="002E623F">
        <w:rPr>
          <w:rFonts w:ascii="Times New Roman" w:hAnsi="Times New Roman" w:cs="Times New Roman"/>
          <w:sz w:val="28"/>
          <w:szCs w:val="28"/>
          <w:lang w:val="uk-UA"/>
        </w:rPr>
        <w:t>ізмами призводять до розвитку м</w:t>
      </w:r>
      <w:r w:rsidR="002E623F">
        <w:rPr>
          <w:rFonts w:ascii="Times New Roman" w:hAnsi="Times New Roman" w:cs="Times New Roman"/>
          <w:sz w:val="28"/>
          <w:szCs w:val="28"/>
          <w:lang w:val="en-US"/>
        </w:rPr>
        <w:t>i</w:t>
      </w:r>
      <w:r w:rsidR="002E623F">
        <w:rPr>
          <w:rFonts w:ascii="Times New Roman" w:hAnsi="Times New Roman" w:cs="Times New Roman"/>
          <w:sz w:val="28"/>
          <w:szCs w:val="28"/>
          <w:lang w:val="uk-UA"/>
        </w:rPr>
        <w:t>окард</w:t>
      </w:r>
      <w:r w:rsidR="002E623F">
        <w:rPr>
          <w:rFonts w:ascii="Times New Roman" w:hAnsi="Times New Roman" w:cs="Times New Roman"/>
          <w:sz w:val="28"/>
          <w:szCs w:val="28"/>
          <w:lang w:val="en-US"/>
        </w:rPr>
        <w:t>i</w:t>
      </w:r>
      <w:r w:rsidRPr="00A05EE0">
        <w:rPr>
          <w:rFonts w:ascii="Times New Roman" w:hAnsi="Times New Roman" w:cs="Times New Roman"/>
          <w:sz w:val="28"/>
          <w:szCs w:val="28"/>
          <w:lang w:val="uk-UA"/>
        </w:rPr>
        <w:t>аль</w:t>
      </w:r>
      <w:r w:rsidR="0001660A">
        <w:rPr>
          <w:rFonts w:ascii="Times New Roman" w:hAnsi="Times New Roman" w:cs="Times New Roman"/>
          <w:sz w:val="28"/>
          <w:szCs w:val="28"/>
          <w:lang w:val="uk-UA"/>
        </w:rPr>
        <w:t>ного стресу,</w:t>
      </w:r>
      <w:r w:rsidRPr="00A05EE0">
        <w:rPr>
          <w:rFonts w:ascii="Times New Roman" w:hAnsi="Times New Roman" w:cs="Times New Roman"/>
          <w:sz w:val="28"/>
          <w:szCs w:val="28"/>
          <w:lang w:val="uk-UA"/>
        </w:rPr>
        <w:t xml:space="preserve"> р</w:t>
      </w:r>
      <w:r w:rsidR="000D25D6">
        <w:rPr>
          <w:rFonts w:ascii="Times New Roman" w:hAnsi="Times New Roman" w:cs="Times New Roman"/>
          <w:sz w:val="28"/>
          <w:szCs w:val="28"/>
          <w:lang w:val="uk-UA"/>
        </w:rPr>
        <w:t>емоделювання та ф</w:t>
      </w:r>
      <w:r w:rsidR="000D25D6">
        <w:rPr>
          <w:rFonts w:ascii="Times New Roman" w:hAnsi="Times New Roman" w:cs="Times New Roman"/>
          <w:sz w:val="28"/>
          <w:szCs w:val="28"/>
          <w:lang w:val="en-US"/>
        </w:rPr>
        <w:t>i</w:t>
      </w:r>
      <w:r w:rsidR="00216C1B">
        <w:rPr>
          <w:rFonts w:ascii="Times New Roman" w:hAnsi="Times New Roman" w:cs="Times New Roman"/>
          <w:sz w:val="28"/>
          <w:szCs w:val="28"/>
          <w:lang w:val="uk-UA"/>
        </w:rPr>
        <w:t>брозу міокарда</w:t>
      </w:r>
      <w:r w:rsidR="000D25D6">
        <w:rPr>
          <w:rFonts w:ascii="Times New Roman" w:hAnsi="Times New Roman" w:cs="Times New Roman"/>
          <w:sz w:val="28"/>
          <w:szCs w:val="28"/>
          <w:lang w:val="uk-UA"/>
        </w:rPr>
        <w:t>. Аберантна активац</w:t>
      </w:r>
      <w:r w:rsidR="000D25D6">
        <w:rPr>
          <w:rFonts w:ascii="Times New Roman" w:hAnsi="Times New Roman" w:cs="Times New Roman"/>
          <w:sz w:val="28"/>
          <w:szCs w:val="28"/>
          <w:lang w:val="en-US"/>
        </w:rPr>
        <w:t>i</w:t>
      </w:r>
      <w:r w:rsidR="00743F50" w:rsidRPr="00A05EE0">
        <w:rPr>
          <w:rFonts w:ascii="Times New Roman" w:hAnsi="Times New Roman" w:cs="Times New Roman"/>
          <w:sz w:val="28"/>
          <w:szCs w:val="28"/>
          <w:lang w:val="uk-UA"/>
        </w:rPr>
        <w:t>я РААС і наростання оксидантного стресу сприяють по</w:t>
      </w:r>
      <w:r w:rsidR="00216C1B">
        <w:rPr>
          <w:rFonts w:ascii="Times New Roman" w:hAnsi="Times New Roman" w:cs="Times New Roman"/>
          <w:sz w:val="28"/>
          <w:szCs w:val="28"/>
          <w:lang w:val="uk-UA"/>
        </w:rPr>
        <w:t>ру</w:t>
      </w:r>
      <w:r w:rsidR="000D25D6">
        <w:rPr>
          <w:rFonts w:ascii="Times New Roman" w:hAnsi="Times New Roman" w:cs="Times New Roman"/>
          <w:sz w:val="28"/>
          <w:szCs w:val="28"/>
          <w:lang w:val="uk-UA"/>
        </w:rPr>
        <w:t>шенню регуляц</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ї </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нсул</w:t>
      </w:r>
      <w:r w:rsidR="000D25D6">
        <w:rPr>
          <w:rFonts w:ascii="Times New Roman" w:hAnsi="Times New Roman" w:cs="Times New Roman"/>
          <w:sz w:val="28"/>
          <w:szCs w:val="28"/>
          <w:lang w:val="en-US"/>
        </w:rPr>
        <w:t>i</w:t>
      </w:r>
      <w:r w:rsidR="00216C1B">
        <w:rPr>
          <w:rFonts w:ascii="Times New Roman" w:hAnsi="Times New Roman" w:cs="Times New Roman"/>
          <w:sz w:val="28"/>
          <w:szCs w:val="28"/>
          <w:lang w:val="uk-UA"/>
        </w:rPr>
        <w:t>ну, що й</w:t>
      </w:r>
      <w:r w:rsidR="000D25D6">
        <w:rPr>
          <w:rFonts w:ascii="Times New Roman" w:hAnsi="Times New Roman" w:cs="Times New Roman"/>
          <w:sz w:val="28"/>
          <w:szCs w:val="28"/>
          <w:lang w:val="uk-UA"/>
        </w:rPr>
        <w:t xml:space="preserve"> призводить </w:t>
      </w:r>
      <w:r w:rsidR="006E50A1">
        <w:rPr>
          <w:rFonts w:ascii="Times New Roman" w:hAnsi="Times New Roman" w:cs="Times New Roman"/>
          <w:sz w:val="28"/>
          <w:szCs w:val="28"/>
          <w:lang w:val="uk-UA"/>
        </w:rPr>
        <w:t xml:space="preserve">                  </w:t>
      </w:r>
      <w:r w:rsidR="000D25D6">
        <w:rPr>
          <w:rFonts w:ascii="Times New Roman" w:hAnsi="Times New Roman" w:cs="Times New Roman"/>
          <w:sz w:val="28"/>
          <w:szCs w:val="28"/>
          <w:lang w:val="uk-UA"/>
        </w:rPr>
        <w:t>до розвитку д</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астол</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чної дисфункц</w:t>
      </w:r>
      <w:r w:rsidR="000D25D6">
        <w:rPr>
          <w:rFonts w:ascii="Times New Roman" w:hAnsi="Times New Roman" w:cs="Times New Roman"/>
          <w:sz w:val="28"/>
          <w:szCs w:val="28"/>
          <w:lang w:val="en-US"/>
        </w:rPr>
        <w:t>i</w:t>
      </w:r>
      <w:r w:rsidR="00743F50" w:rsidRPr="00A05EE0">
        <w:rPr>
          <w:rFonts w:ascii="Times New Roman" w:hAnsi="Times New Roman" w:cs="Times New Roman"/>
          <w:sz w:val="28"/>
          <w:szCs w:val="28"/>
          <w:lang w:val="uk-UA"/>
        </w:rPr>
        <w:t xml:space="preserve">ї ЛШ </w:t>
      </w:r>
      <w:r w:rsidR="00743F50" w:rsidRPr="008B1A20">
        <w:rPr>
          <w:rFonts w:ascii="Times New Roman" w:hAnsi="Times New Roman" w:cs="Times New Roman"/>
          <w:sz w:val="28"/>
          <w:szCs w:val="28"/>
          <w:lang w:val="uk-UA"/>
        </w:rPr>
        <w:t>[</w:t>
      </w:r>
      <w:r w:rsidR="005C5DB7">
        <w:rPr>
          <w:rFonts w:ascii="Times New Roman" w:hAnsi="Times New Roman" w:cs="Times New Roman"/>
          <w:sz w:val="28"/>
          <w:szCs w:val="28"/>
          <w:lang w:val="uk-UA"/>
        </w:rPr>
        <w:t>158</w:t>
      </w:r>
      <w:r w:rsidR="00743F50" w:rsidRPr="005C5DB7">
        <w:rPr>
          <w:rFonts w:ascii="Times New Roman" w:hAnsi="Times New Roman" w:cs="Times New Roman"/>
          <w:sz w:val="28"/>
          <w:szCs w:val="28"/>
          <w:lang w:val="uk-UA"/>
        </w:rPr>
        <w:t>]</w:t>
      </w:r>
      <w:r w:rsidR="00743F50" w:rsidRPr="00A05EE0">
        <w:rPr>
          <w:rFonts w:ascii="Times New Roman" w:hAnsi="Times New Roman" w:cs="Times New Roman"/>
          <w:sz w:val="28"/>
          <w:szCs w:val="28"/>
          <w:lang w:val="uk-UA"/>
        </w:rPr>
        <w:t>. Саме тому призн</w:t>
      </w:r>
      <w:r w:rsidR="000D25D6">
        <w:rPr>
          <w:rFonts w:ascii="Times New Roman" w:hAnsi="Times New Roman" w:cs="Times New Roman"/>
          <w:sz w:val="28"/>
          <w:szCs w:val="28"/>
          <w:lang w:val="uk-UA"/>
        </w:rPr>
        <w:t>ачення адекватної дози блокатор</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в РААС необх</w:t>
      </w:r>
      <w:r w:rsidR="000D25D6">
        <w:rPr>
          <w:rFonts w:ascii="Times New Roman" w:hAnsi="Times New Roman" w:cs="Times New Roman"/>
          <w:sz w:val="28"/>
          <w:szCs w:val="28"/>
          <w:lang w:val="en-US"/>
        </w:rPr>
        <w:t>i</w:t>
      </w:r>
      <w:r w:rsidR="00743F50" w:rsidRPr="00A05EE0">
        <w:rPr>
          <w:rFonts w:ascii="Times New Roman" w:hAnsi="Times New Roman" w:cs="Times New Roman"/>
          <w:sz w:val="28"/>
          <w:szCs w:val="28"/>
          <w:lang w:val="uk-UA"/>
        </w:rPr>
        <w:t>дне не лиш</w:t>
      </w:r>
      <w:r w:rsidR="000D25D6">
        <w:rPr>
          <w:rFonts w:ascii="Times New Roman" w:hAnsi="Times New Roman" w:cs="Times New Roman"/>
          <w:sz w:val="28"/>
          <w:szCs w:val="28"/>
          <w:lang w:val="uk-UA"/>
        </w:rPr>
        <w:t>е для зниження АТ, нефропротекц</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ї, а й для корекції д</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астол</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чної дисфункц</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ї, що має м</w:t>
      </w:r>
      <w:r w:rsidR="000D25D6">
        <w:rPr>
          <w:rFonts w:ascii="Times New Roman" w:hAnsi="Times New Roman" w:cs="Times New Roman"/>
          <w:sz w:val="28"/>
          <w:szCs w:val="28"/>
          <w:lang w:val="en-US"/>
        </w:rPr>
        <w:t>i</w:t>
      </w:r>
      <w:r w:rsidR="00743F50" w:rsidRPr="00A05EE0">
        <w:rPr>
          <w:rFonts w:ascii="Times New Roman" w:hAnsi="Times New Roman" w:cs="Times New Roman"/>
          <w:sz w:val="28"/>
          <w:szCs w:val="28"/>
          <w:lang w:val="uk-UA"/>
        </w:rPr>
        <w:t xml:space="preserve">сце </w:t>
      </w:r>
      <w:r w:rsidR="00D1741F">
        <w:rPr>
          <w:rFonts w:ascii="Times New Roman" w:hAnsi="Times New Roman" w:cs="Times New Roman"/>
          <w:sz w:val="28"/>
          <w:szCs w:val="28"/>
          <w:lang w:val="uk-UA"/>
        </w:rPr>
        <w:t xml:space="preserve">      </w:t>
      </w:r>
      <w:r w:rsidR="00743F50" w:rsidRPr="00A05EE0">
        <w:rPr>
          <w:rFonts w:ascii="Times New Roman" w:hAnsi="Times New Roman" w:cs="Times New Roman"/>
          <w:sz w:val="28"/>
          <w:szCs w:val="28"/>
          <w:lang w:val="uk-UA"/>
        </w:rPr>
        <w:t>при комо</w:t>
      </w:r>
      <w:r w:rsidR="000D25D6">
        <w:rPr>
          <w:rFonts w:ascii="Times New Roman" w:hAnsi="Times New Roman" w:cs="Times New Roman"/>
          <w:sz w:val="28"/>
          <w:szCs w:val="28"/>
          <w:lang w:val="uk-UA"/>
        </w:rPr>
        <w:t>рб</w:t>
      </w:r>
      <w:r w:rsidR="000D25D6">
        <w:rPr>
          <w:rFonts w:ascii="Times New Roman" w:hAnsi="Times New Roman" w:cs="Times New Roman"/>
          <w:sz w:val="28"/>
          <w:szCs w:val="28"/>
          <w:lang w:val="en-US"/>
        </w:rPr>
        <w:t>i</w:t>
      </w:r>
      <w:r w:rsidR="000E1BAD">
        <w:rPr>
          <w:rFonts w:ascii="Times New Roman" w:hAnsi="Times New Roman" w:cs="Times New Roman"/>
          <w:sz w:val="28"/>
          <w:szCs w:val="28"/>
          <w:lang w:val="uk-UA"/>
        </w:rPr>
        <w:t xml:space="preserve">дному ЦД 2-го типу </w:t>
      </w:r>
      <w:r w:rsidR="00A2258D" w:rsidRPr="00097A40">
        <w:rPr>
          <w:rFonts w:ascii="Times New Roman" w:hAnsi="Times New Roman" w:cs="Times New Roman"/>
          <w:sz w:val="28"/>
          <w:szCs w:val="28"/>
          <w:lang w:val="uk-UA"/>
        </w:rPr>
        <w:t>[</w:t>
      </w:r>
      <w:r w:rsidR="00541249" w:rsidRPr="000E1BAD">
        <w:rPr>
          <w:rFonts w:ascii="Times New Roman" w:hAnsi="Times New Roman" w:cs="Times New Roman"/>
          <w:sz w:val="28"/>
          <w:szCs w:val="28"/>
          <w:lang w:val="uk-UA"/>
        </w:rPr>
        <w:t>173</w:t>
      </w:r>
      <w:r w:rsidR="00A2258D" w:rsidRPr="00097A40">
        <w:rPr>
          <w:rFonts w:ascii="Times New Roman" w:hAnsi="Times New Roman" w:cs="Times New Roman"/>
          <w:sz w:val="28"/>
          <w:szCs w:val="28"/>
          <w:lang w:val="uk-UA"/>
        </w:rPr>
        <w:t>].</w:t>
      </w:r>
    </w:p>
    <w:p w:rsidR="00216C1B" w:rsidRDefault="000D25D6" w:rsidP="0001660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Пац</w:t>
      </w:r>
      <w:r>
        <w:rPr>
          <w:rFonts w:ascii="Times New Roman" w:hAnsi="Times New Roman" w:cs="Times New Roman"/>
          <w:sz w:val="28"/>
          <w:szCs w:val="28"/>
          <w:lang w:val="en-US"/>
        </w:rPr>
        <w:t>i</w:t>
      </w:r>
      <w:r w:rsidR="00942EFF">
        <w:rPr>
          <w:rFonts w:ascii="Times New Roman" w:hAnsi="Times New Roman" w:cs="Times New Roman"/>
          <w:sz w:val="28"/>
          <w:szCs w:val="28"/>
          <w:lang w:val="uk-UA"/>
        </w:rPr>
        <w:t xml:space="preserve">єнтам </w:t>
      </w:r>
      <w:r w:rsidR="00A17A30">
        <w:rPr>
          <w:rFonts w:ascii="Times New Roman" w:hAnsi="Times New Roman" w:cs="Times New Roman"/>
          <w:sz w:val="28"/>
          <w:szCs w:val="28"/>
          <w:lang w:val="uk-UA"/>
        </w:rPr>
        <w:t>і</w:t>
      </w:r>
      <w:r w:rsidR="00FD53AF" w:rsidRPr="00097A40">
        <w:rPr>
          <w:rFonts w:ascii="Times New Roman" w:hAnsi="Times New Roman" w:cs="Times New Roman"/>
          <w:sz w:val="28"/>
          <w:szCs w:val="28"/>
          <w:lang w:val="uk-UA"/>
        </w:rPr>
        <w:t xml:space="preserve">з </w:t>
      </w:r>
      <w:r w:rsidR="00942EFF">
        <w:rPr>
          <w:rFonts w:ascii="Times New Roman" w:hAnsi="Times New Roman" w:cs="Times New Roman"/>
          <w:sz w:val="28"/>
          <w:szCs w:val="28"/>
          <w:lang w:val="uk-UA"/>
        </w:rPr>
        <w:t>АГ та ЦД 2-го типу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01660A">
        <w:rPr>
          <w:rFonts w:ascii="Times New Roman" w:hAnsi="Times New Roman" w:cs="Times New Roman"/>
          <w:sz w:val="28"/>
          <w:szCs w:val="28"/>
          <w:lang w:val="uk-UA"/>
        </w:rPr>
        <w:t>з меншим за 10 пг/мл вмістом</w:t>
      </w:r>
      <w:r w:rsidR="00FD53AF" w:rsidRPr="00097A40">
        <w:rPr>
          <w:rFonts w:ascii="Times New Roman" w:hAnsi="Times New Roman" w:cs="Times New Roman"/>
          <w:sz w:val="28"/>
          <w:szCs w:val="28"/>
          <w:lang w:val="uk-UA"/>
        </w:rPr>
        <w:t xml:space="preserve"> ЕТ-1 було призначено 40 мг/добу телмісартану, а </w:t>
      </w:r>
      <w:r w:rsidR="0001660A">
        <w:rPr>
          <w:rFonts w:ascii="Times New Roman" w:hAnsi="Times New Roman" w:cs="Times New Roman"/>
          <w:sz w:val="28"/>
          <w:szCs w:val="28"/>
          <w:lang w:val="uk-UA"/>
        </w:rPr>
        <w:t>у хворих, вміст</w:t>
      </w:r>
      <w:r>
        <w:rPr>
          <w:rFonts w:ascii="Times New Roman" w:hAnsi="Times New Roman" w:cs="Times New Roman"/>
          <w:sz w:val="28"/>
          <w:szCs w:val="28"/>
          <w:lang w:val="uk-UA"/>
        </w:rPr>
        <w:t xml:space="preserve"> ЕТ-1 яких був б</w:t>
      </w:r>
      <w:r>
        <w:rPr>
          <w:rFonts w:ascii="Times New Roman" w:hAnsi="Times New Roman" w:cs="Times New Roman"/>
          <w:sz w:val="28"/>
          <w:szCs w:val="28"/>
          <w:lang w:val="en-US"/>
        </w:rPr>
        <w:t>i</w:t>
      </w:r>
      <w:r w:rsidR="0001660A">
        <w:rPr>
          <w:rFonts w:ascii="Times New Roman" w:hAnsi="Times New Roman" w:cs="Times New Roman"/>
          <w:sz w:val="28"/>
          <w:szCs w:val="28"/>
          <w:lang w:val="uk-UA"/>
        </w:rPr>
        <w:t>льшим за 10 п</w:t>
      </w:r>
      <w:r w:rsidR="00FD53AF" w:rsidRPr="00097A40">
        <w:rPr>
          <w:rFonts w:ascii="Times New Roman" w:hAnsi="Times New Roman" w:cs="Times New Roman"/>
          <w:sz w:val="28"/>
          <w:szCs w:val="28"/>
          <w:lang w:val="uk-UA"/>
        </w:rPr>
        <w:t>г/мл</w:t>
      </w:r>
      <w:r w:rsidR="00A90500" w:rsidRPr="00097A40">
        <w:rPr>
          <w:rFonts w:ascii="Times New Roman" w:hAnsi="Times New Roman" w:cs="Times New Roman"/>
          <w:sz w:val="28"/>
          <w:szCs w:val="28"/>
          <w:lang w:val="uk-UA"/>
        </w:rPr>
        <w:t>, доза телм</w:t>
      </w:r>
      <w:r>
        <w:rPr>
          <w:rFonts w:ascii="Times New Roman" w:hAnsi="Times New Roman" w:cs="Times New Roman"/>
          <w:sz w:val="28"/>
          <w:szCs w:val="28"/>
          <w:lang w:val="en-US"/>
        </w:rPr>
        <w:t>i</w:t>
      </w:r>
      <w:r w:rsidR="00216C1B">
        <w:rPr>
          <w:rFonts w:ascii="Times New Roman" w:hAnsi="Times New Roman" w:cs="Times New Roman"/>
          <w:sz w:val="28"/>
          <w:szCs w:val="28"/>
          <w:lang w:val="uk-UA"/>
        </w:rPr>
        <w:t>сарт</w:t>
      </w:r>
      <w:r w:rsidR="0001660A">
        <w:rPr>
          <w:rFonts w:ascii="Times New Roman" w:hAnsi="Times New Roman" w:cs="Times New Roman"/>
          <w:sz w:val="28"/>
          <w:szCs w:val="28"/>
          <w:lang w:val="uk-UA"/>
        </w:rPr>
        <w:t>ану становила 80 мг/добу. Д</w:t>
      </w:r>
      <w:r>
        <w:rPr>
          <w:rFonts w:ascii="Times New Roman" w:hAnsi="Times New Roman" w:cs="Times New Roman"/>
          <w:sz w:val="28"/>
          <w:szCs w:val="28"/>
          <w:lang w:val="uk-UA"/>
        </w:rPr>
        <w:t>инам</w:t>
      </w:r>
      <w:r>
        <w:rPr>
          <w:rFonts w:ascii="Times New Roman" w:hAnsi="Times New Roman" w:cs="Times New Roman"/>
          <w:sz w:val="28"/>
          <w:szCs w:val="28"/>
          <w:lang w:val="en-US"/>
        </w:rPr>
        <w:t>i</w:t>
      </w:r>
      <w:r>
        <w:rPr>
          <w:rFonts w:ascii="Times New Roman" w:hAnsi="Times New Roman" w:cs="Times New Roman"/>
          <w:sz w:val="28"/>
          <w:szCs w:val="28"/>
          <w:lang w:val="uk-UA"/>
        </w:rPr>
        <w:t>ку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8016E1" w:rsidRPr="00097A40">
        <w:rPr>
          <w:rFonts w:ascii="Times New Roman" w:hAnsi="Times New Roman" w:cs="Times New Roman"/>
          <w:sz w:val="28"/>
          <w:szCs w:val="28"/>
          <w:lang w:val="uk-UA"/>
        </w:rPr>
        <w:t>ї та ІММ</w:t>
      </w:r>
      <w:r>
        <w:rPr>
          <w:rFonts w:ascii="Times New Roman" w:hAnsi="Times New Roman" w:cs="Times New Roman"/>
          <w:sz w:val="28"/>
          <w:szCs w:val="28"/>
          <w:lang w:val="uk-UA"/>
        </w:rPr>
        <w:t>ЛШ п</w:t>
      </w:r>
      <w:r>
        <w:rPr>
          <w:rFonts w:ascii="Times New Roman" w:hAnsi="Times New Roman" w:cs="Times New Roman"/>
          <w:sz w:val="28"/>
          <w:szCs w:val="28"/>
          <w:lang w:val="en-US"/>
        </w:rPr>
        <w:t>i</w:t>
      </w:r>
      <w:r w:rsidR="00A90500" w:rsidRPr="00097A40">
        <w:rPr>
          <w:rFonts w:ascii="Times New Roman" w:hAnsi="Times New Roman" w:cs="Times New Roman"/>
          <w:sz w:val="28"/>
          <w:szCs w:val="28"/>
          <w:lang w:val="uk-UA"/>
        </w:rPr>
        <w:t xml:space="preserve">д </w:t>
      </w:r>
      <w:r>
        <w:rPr>
          <w:rFonts w:ascii="Times New Roman" w:hAnsi="Times New Roman" w:cs="Times New Roman"/>
          <w:sz w:val="28"/>
          <w:szCs w:val="28"/>
          <w:lang w:val="uk-UA"/>
        </w:rPr>
        <w:t>впливом л</w:t>
      </w:r>
      <w:r>
        <w:rPr>
          <w:rFonts w:ascii="Times New Roman" w:hAnsi="Times New Roman" w:cs="Times New Roman"/>
          <w:sz w:val="28"/>
          <w:szCs w:val="28"/>
          <w:lang w:val="en-US"/>
        </w:rPr>
        <w:t>i</w:t>
      </w:r>
      <w:r>
        <w:rPr>
          <w:rFonts w:ascii="Times New Roman" w:hAnsi="Times New Roman" w:cs="Times New Roman"/>
          <w:sz w:val="28"/>
          <w:szCs w:val="28"/>
          <w:lang w:val="uk-UA"/>
        </w:rPr>
        <w:t>кування</w:t>
      </w:r>
      <w:r w:rsidR="0001660A">
        <w:rPr>
          <w:rFonts w:ascii="Times New Roman" w:hAnsi="Times New Roman" w:cs="Times New Roman"/>
          <w:sz w:val="28"/>
          <w:szCs w:val="28"/>
          <w:lang w:val="uk-UA"/>
        </w:rPr>
        <w:t xml:space="preserve"> було досліджено</w:t>
      </w:r>
      <w:r>
        <w:rPr>
          <w:rFonts w:ascii="Times New Roman" w:hAnsi="Times New Roman" w:cs="Times New Roman"/>
          <w:sz w:val="28"/>
          <w:szCs w:val="28"/>
          <w:lang w:val="uk-UA"/>
        </w:rPr>
        <w:t xml:space="preserve"> з метою оц</w:t>
      </w:r>
      <w:r>
        <w:rPr>
          <w:rFonts w:ascii="Times New Roman" w:hAnsi="Times New Roman" w:cs="Times New Roman"/>
          <w:sz w:val="28"/>
          <w:szCs w:val="28"/>
          <w:lang w:val="en-US"/>
        </w:rPr>
        <w:t>i</w:t>
      </w:r>
      <w:r w:rsidR="00216C1B">
        <w:rPr>
          <w:rFonts w:ascii="Times New Roman" w:hAnsi="Times New Roman" w:cs="Times New Roman"/>
          <w:sz w:val="28"/>
          <w:szCs w:val="28"/>
          <w:lang w:val="uk-UA"/>
        </w:rPr>
        <w:t>нювання</w:t>
      </w:r>
      <w:r w:rsidR="00A90500" w:rsidRPr="00097A40">
        <w:rPr>
          <w:rFonts w:ascii="Times New Roman" w:hAnsi="Times New Roman" w:cs="Times New Roman"/>
          <w:sz w:val="28"/>
          <w:szCs w:val="28"/>
          <w:lang w:val="uk-UA"/>
        </w:rPr>
        <w:t xml:space="preserve"> органопротекторних вл</w:t>
      </w:r>
      <w:r>
        <w:rPr>
          <w:rFonts w:ascii="Times New Roman" w:hAnsi="Times New Roman" w:cs="Times New Roman"/>
          <w:sz w:val="28"/>
          <w:szCs w:val="28"/>
          <w:lang w:val="uk-UA"/>
        </w:rPr>
        <w:t>астивостей телм</w:t>
      </w:r>
      <w:r>
        <w:rPr>
          <w:rFonts w:ascii="Times New Roman" w:hAnsi="Times New Roman" w:cs="Times New Roman"/>
          <w:sz w:val="28"/>
          <w:szCs w:val="28"/>
          <w:lang w:val="en-US"/>
        </w:rPr>
        <w:t>i</w:t>
      </w:r>
      <w:r w:rsidR="002B4682" w:rsidRPr="00097A40">
        <w:rPr>
          <w:rFonts w:ascii="Times New Roman" w:hAnsi="Times New Roman" w:cs="Times New Roman"/>
          <w:sz w:val="28"/>
          <w:szCs w:val="28"/>
          <w:lang w:val="uk-UA"/>
        </w:rPr>
        <w:t>сартану</w:t>
      </w:r>
      <w:r w:rsidR="0001660A">
        <w:rPr>
          <w:rFonts w:ascii="Times New Roman" w:hAnsi="Times New Roman" w:cs="Times New Roman"/>
          <w:sz w:val="28"/>
          <w:szCs w:val="28"/>
          <w:lang w:val="uk-UA"/>
        </w:rPr>
        <w:t xml:space="preserve"> у пацієнтів Іа і І</w:t>
      </w:r>
      <w:r w:rsidR="0001660A">
        <w:rPr>
          <w:rFonts w:ascii="Times New Roman" w:hAnsi="Times New Roman" w:cs="Times New Roman"/>
          <w:sz w:val="28"/>
          <w:szCs w:val="28"/>
          <w:lang w:val="en-US"/>
        </w:rPr>
        <w:t>b</w:t>
      </w:r>
      <w:r w:rsidR="0035735A">
        <w:rPr>
          <w:rFonts w:ascii="Times New Roman" w:hAnsi="Times New Roman" w:cs="Times New Roman"/>
          <w:sz w:val="28"/>
          <w:szCs w:val="28"/>
          <w:lang w:val="uk-UA"/>
        </w:rPr>
        <w:t xml:space="preserve"> підгруп </w:t>
      </w:r>
      <w:r w:rsidR="002B4682" w:rsidRPr="00097A40">
        <w:rPr>
          <w:rFonts w:ascii="Times New Roman" w:hAnsi="Times New Roman" w:cs="Times New Roman"/>
          <w:sz w:val="28"/>
          <w:szCs w:val="28"/>
          <w:lang w:val="uk-UA"/>
        </w:rPr>
        <w:t>(табл. 6</w:t>
      </w:r>
      <w:r w:rsidR="0001660A">
        <w:rPr>
          <w:rFonts w:ascii="Times New Roman" w:hAnsi="Times New Roman" w:cs="Times New Roman"/>
          <w:sz w:val="28"/>
          <w:szCs w:val="28"/>
          <w:lang w:val="uk-UA"/>
        </w:rPr>
        <w:t>.3</w:t>
      </w:r>
      <w:r w:rsidR="008B77A1" w:rsidRPr="00C570BE">
        <w:rPr>
          <w:rFonts w:ascii="Times New Roman" w:hAnsi="Times New Roman" w:cs="Times New Roman"/>
          <w:sz w:val="28"/>
          <w:szCs w:val="28"/>
          <w:lang w:val="uk-UA"/>
        </w:rPr>
        <w:t>.1</w:t>
      </w:r>
      <w:r w:rsidR="00A90500" w:rsidRPr="00097A40">
        <w:rPr>
          <w:rFonts w:ascii="Times New Roman" w:hAnsi="Times New Roman" w:cs="Times New Roman"/>
          <w:sz w:val="28"/>
          <w:szCs w:val="28"/>
          <w:lang w:val="uk-UA"/>
        </w:rPr>
        <w:t>).</w:t>
      </w:r>
    </w:p>
    <w:p w:rsidR="00C65B1D" w:rsidRPr="00C65B1D" w:rsidRDefault="00216C1B" w:rsidP="00C65B1D">
      <w:pPr>
        <w:autoSpaceDE w:val="0"/>
        <w:autoSpaceDN w:val="0"/>
        <w:adjustRightInd w:val="0"/>
        <w:spacing w:after="0" w:line="360" w:lineRule="auto"/>
        <w:jc w:val="right"/>
        <w:rPr>
          <w:rFonts w:ascii="Times New Roman" w:hAnsi="Times New Roman" w:cs="Times New Roman"/>
          <w:i/>
          <w:sz w:val="28"/>
          <w:szCs w:val="28"/>
          <w:lang w:val="uk-UA"/>
        </w:rPr>
      </w:pPr>
      <w:r w:rsidRPr="00C65B1D">
        <w:rPr>
          <w:rFonts w:ascii="Times New Roman" w:hAnsi="Times New Roman" w:cs="Times New Roman"/>
          <w:i/>
          <w:sz w:val="28"/>
          <w:szCs w:val="28"/>
          <w:lang w:val="uk-UA"/>
        </w:rPr>
        <w:t>Таблиця</w:t>
      </w:r>
      <w:r w:rsidR="002B4682" w:rsidRPr="00C65B1D">
        <w:rPr>
          <w:rFonts w:ascii="Times New Roman" w:hAnsi="Times New Roman" w:cs="Times New Roman"/>
          <w:i/>
          <w:sz w:val="28"/>
          <w:szCs w:val="28"/>
          <w:lang w:val="uk-UA"/>
        </w:rPr>
        <w:t xml:space="preserve"> 6</w:t>
      </w:r>
      <w:r w:rsidR="0001660A">
        <w:rPr>
          <w:rFonts w:ascii="Times New Roman" w:hAnsi="Times New Roman" w:cs="Times New Roman"/>
          <w:i/>
          <w:sz w:val="28"/>
          <w:szCs w:val="28"/>
          <w:lang w:val="uk-UA"/>
        </w:rPr>
        <w:t>.3</w:t>
      </w:r>
      <w:r w:rsidR="00C570BE" w:rsidRPr="00C570BE">
        <w:rPr>
          <w:rFonts w:ascii="Times New Roman" w:hAnsi="Times New Roman" w:cs="Times New Roman"/>
          <w:i/>
          <w:sz w:val="28"/>
          <w:szCs w:val="28"/>
          <w:lang w:val="uk-UA"/>
        </w:rPr>
        <w:t>.</w:t>
      </w:r>
      <w:r w:rsidR="00C570BE" w:rsidRPr="007B6771">
        <w:rPr>
          <w:rFonts w:ascii="Times New Roman" w:hAnsi="Times New Roman" w:cs="Times New Roman"/>
          <w:i/>
          <w:sz w:val="28"/>
          <w:szCs w:val="28"/>
          <w:lang w:val="uk-UA"/>
        </w:rPr>
        <w:t>1</w:t>
      </w:r>
      <w:r w:rsidR="00A90500" w:rsidRPr="00C65B1D">
        <w:rPr>
          <w:rFonts w:ascii="Times New Roman" w:hAnsi="Times New Roman" w:cs="Times New Roman"/>
          <w:i/>
          <w:sz w:val="28"/>
          <w:szCs w:val="28"/>
          <w:lang w:val="uk-UA"/>
        </w:rPr>
        <w:t xml:space="preserve"> </w:t>
      </w:r>
    </w:p>
    <w:p w:rsidR="00A90500" w:rsidRPr="00C65B1D" w:rsidRDefault="006506E6" w:rsidP="00216C1B">
      <w:pPr>
        <w:autoSpaceDE w:val="0"/>
        <w:autoSpaceDN w:val="0"/>
        <w:adjustRightInd w:val="0"/>
        <w:spacing w:after="0" w:line="360" w:lineRule="auto"/>
        <w:jc w:val="both"/>
        <w:rPr>
          <w:rFonts w:ascii="Times New Roman" w:hAnsi="Times New Roman" w:cs="Times New Roman"/>
          <w:b/>
          <w:sz w:val="28"/>
          <w:szCs w:val="28"/>
          <w:lang w:val="uk-UA"/>
        </w:rPr>
      </w:pPr>
      <w:r w:rsidRPr="00C65B1D">
        <w:rPr>
          <w:rFonts w:ascii="Times New Roman" w:hAnsi="Times New Roman" w:cs="Times New Roman"/>
          <w:b/>
          <w:sz w:val="28"/>
          <w:szCs w:val="28"/>
          <w:lang w:val="uk-UA"/>
        </w:rPr>
        <w:t>Динам</w:t>
      </w:r>
      <w:r w:rsidRPr="00C65B1D">
        <w:rPr>
          <w:rFonts w:ascii="Times New Roman" w:hAnsi="Times New Roman" w:cs="Times New Roman"/>
          <w:b/>
          <w:sz w:val="28"/>
          <w:szCs w:val="28"/>
          <w:lang w:val="en-US"/>
        </w:rPr>
        <w:t>i</w:t>
      </w:r>
      <w:r w:rsidRPr="00C65B1D">
        <w:rPr>
          <w:rFonts w:ascii="Times New Roman" w:hAnsi="Times New Roman" w:cs="Times New Roman"/>
          <w:b/>
          <w:sz w:val="28"/>
          <w:szCs w:val="28"/>
          <w:lang w:val="uk-UA"/>
        </w:rPr>
        <w:t>ка альбум</w:t>
      </w:r>
      <w:r w:rsidRPr="00C65B1D">
        <w:rPr>
          <w:rFonts w:ascii="Times New Roman" w:hAnsi="Times New Roman" w:cs="Times New Roman"/>
          <w:b/>
          <w:sz w:val="28"/>
          <w:szCs w:val="28"/>
          <w:lang w:val="en-US"/>
        </w:rPr>
        <w:t>i</w:t>
      </w:r>
      <w:r w:rsidRPr="00C65B1D">
        <w:rPr>
          <w:rFonts w:ascii="Times New Roman" w:hAnsi="Times New Roman" w:cs="Times New Roman"/>
          <w:b/>
          <w:sz w:val="28"/>
          <w:szCs w:val="28"/>
          <w:lang w:val="uk-UA"/>
        </w:rPr>
        <w:t xml:space="preserve">нурії та </w:t>
      </w:r>
      <w:r w:rsidRPr="00C65B1D">
        <w:rPr>
          <w:rFonts w:ascii="Times New Roman" w:hAnsi="Times New Roman" w:cs="Times New Roman"/>
          <w:b/>
          <w:sz w:val="28"/>
          <w:szCs w:val="28"/>
          <w:lang w:val="en-US"/>
        </w:rPr>
        <w:t>i</w:t>
      </w:r>
      <w:r w:rsidR="00B25898" w:rsidRPr="00C65B1D">
        <w:rPr>
          <w:rFonts w:ascii="Times New Roman" w:hAnsi="Times New Roman" w:cs="Times New Roman"/>
          <w:b/>
          <w:sz w:val="28"/>
          <w:szCs w:val="28"/>
          <w:lang w:val="uk-UA"/>
        </w:rPr>
        <w:t>ндексу</w:t>
      </w:r>
      <w:r w:rsidRPr="00C65B1D">
        <w:rPr>
          <w:rFonts w:ascii="Times New Roman" w:hAnsi="Times New Roman" w:cs="Times New Roman"/>
          <w:b/>
          <w:sz w:val="28"/>
          <w:szCs w:val="28"/>
          <w:lang w:val="uk-UA"/>
        </w:rPr>
        <w:t xml:space="preserve"> маси м</w:t>
      </w:r>
      <w:r w:rsidRPr="00C65B1D">
        <w:rPr>
          <w:rFonts w:ascii="Times New Roman" w:hAnsi="Times New Roman" w:cs="Times New Roman"/>
          <w:b/>
          <w:sz w:val="28"/>
          <w:szCs w:val="28"/>
          <w:lang w:val="en-US"/>
        </w:rPr>
        <w:t>i</w:t>
      </w:r>
      <w:r w:rsidRPr="00C65B1D">
        <w:rPr>
          <w:rFonts w:ascii="Times New Roman" w:hAnsi="Times New Roman" w:cs="Times New Roman"/>
          <w:b/>
          <w:sz w:val="28"/>
          <w:szCs w:val="28"/>
          <w:lang w:val="uk-UA"/>
        </w:rPr>
        <w:t>окарда л</w:t>
      </w:r>
      <w:r w:rsidRPr="00C65B1D">
        <w:rPr>
          <w:rFonts w:ascii="Times New Roman" w:hAnsi="Times New Roman" w:cs="Times New Roman"/>
          <w:b/>
          <w:sz w:val="28"/>
          <w:szCs w:val="28"/>
          <w:lang w:val="en-US"/>
        </w:rPr>
        <w:t>i</w:t>
      </w:r>
      <w:r w:rsidR="00216C1B" w:rsidRPr="00C65B1D">
        <w:rPr>
          <w:rFonts w:ascii="Times New Roman" w:hAnsi="Times New Roman" w:cs="Times New Roman"/>
          <w:b/>
          <w:sz w:val="28"/>
          <w:szCs w:val="28"/>
          <w:lang w:val="uk-UA"/>
        </w:rPr>
        <w:t xml:space="preserve">вого шлуночка </w:t>
      </w:r>
      <w:r w:rsidR="00870FD1">
        <w:rPr>
          <w:rFonts w:ascii="Times New Roman" w:hAnsi="Times New Roman" w:cs="Times New Roman"/>
          <w:b/>
          <w:sz w:val="28"/>
          <w:szCs w:val="28"/>
          <w:lang w:val="uk-UA"/>
        </w:rPr>
        <w:t xml:space="preserve">            </w:t>
      </w:r>
      <w:r w:rsidR="00C65B1D" w:rsidRPr="00C65B1D">
        <w:rPr>
          <w:rFonts w:ascii="Times New Roman" w:hAnsi="Times New Roman" w:cs="Times New Roman"/>
          <w:b/>
          <w:sz w:val="28"/>
          <w:szCs w:val="28"/>
          <w:lang w:val="uk-UA"/>
        </w:rPr>
        <w:t xml:space="preserve">у пацієнтів </w:t>
      </w:r>
      <w:r w:rsidR="00F145CF">
        <w:rPr>
          <w:rFonts w:ascii="Times New Roman" w:hAnsi="Times New Roman" w:cs="Times New Roman"/>
          <w:b/>
          <w:sz w:val="28"/>
          <w:szCs w:val="28"/>
          <w:lang w:val="uk-UA"/>
        </w:rPr>
        <w:t>і</w:t>
      </w:r>
      <w:r w:rsidR="00B25898" w:rsidRPr="00C65B1D">
        <w:rPr>
          <w:rFonts w:ascii="Times New Roman" w:hAnsi="Times New Roman" w:cs="Times New Roman"/>
          <w:b/>
          <w:sz w:val="28"/>
          <w:szCs w:val="28"/>
          <w:lang w:val="uk-UA"/>
        </w:rPr>
        <w:t xml:space="preserve">з </w:t>
      </w:r>
      <w:r w:rsidRPr="00C65B1D">
        <w:rPr>
          <w:rFonts w:ascii="Times New Roman" w:hAnsi="Times New Roman" w:cs="Times New Roman"/>
          <w:b/>
          <w:sz w:val="28"/>
          <w:szCs w:val="28"/>
          <w:lang w:val="uk-UA"/>
        </w:rPr>
        <w:t>артер</w:t>
      </w:r>
      <w:r w:rsidRPr="00C65B1D">
        <w:rPr>
          <w:rFonts w:ascii="Times New Roman" w:hAnsi="Times New Roman" w:cs="Times New Roman"/>
          <w:b/>
          <w:sz w:val="28"/>
          <w:szCs w:val="28"/>
          <w:lang w:val="en-US"/>
        </w:rPr>
        <w:t>i</w:t>
      </w:r>
      <w:r w:rsidRPr="00C65B1D">
        <w:rPr>
          <w:rFonts w:ascii="Times New Roman" w:hAnsi="Times New Roman" w:cs="Times New Roman"/>
          <w:b/>
          <w:sz w:val="28"/>
          <w:szCs w:val="28"/>
          <w:lang w:val="uk-UA"/>
        </w:rPr>
        <w:t>альною г</w:t>
      </w:r>
      <w:r w:rsidRPr="00C65B1D">
        <w:rPr>
          <w:rFonts w:ascii="Times New Roman" w:hAnsi="Times New Roman" w:cs="Times New Roman"/>
          <w:b/>
          <w:sz w:val="28"/>
          <w:szCs w:val="28"/>
          <w:lang w:val="en-US"/>
        </w:rPr>
        <w:t>i</w:t>
      </w:r>
      <w:r w:rsidRPr="00C65B1D">
        <w:rPr>
          <w:rFonts w:ascii="Times New Roman" w:hAnsi="Times New Roman" w:cs="Times New Roman"/>
          <w:b/>
          <w:sz w:val="28"/>
          <w:szCs w:val="28"/>
          <w:lang w:val="uk-UA"/>
        </w:rPr>
        <w:t>пертенз</w:t>
      </w:r>
      <w:r w:rsidRPr="00C65B1D">
        <w:rPr>
          <w:rFonts w:ascii="Times New Roman" w:hAnsi="Times New Roman" w:cs="Times New Roman"/>
          <w:b/>
          <w:sz w:val="28"/>
          <w:szCs w:val="28"/>
          <w:lang w:val="en-US"/>
        </w:rPr>
        <w:t>i</w:t>
      </w:r>
      <w:r w:rsidR="001E6A96" w:rsidRPr="00C65B1D">
        <w:rPr>
          <w:rFonts w:ascii="Times New Roman" w:hAnsi="Times New Roman" w:cs="Times New Roman"/>
          <w:b/>
          <w:sz w:val="28"/>
          <w:szCs w:val="28"/>
          <w:lang w:val="uk-UA"/>
        </w:rPr>
        <w:t xml:space="preserve">єю та </w:t>
      </w:r>
      <w:r w:rsidRPr="00C65B1D">
        <w:rPr>
          <w:rFonts w:ascii="Times New Roman" w:hAnsi="Times New Roman" w:cs="Times New Roman"/>
          <w:b/>
          <w:sz w:val="28"/>
          <w:szCs w:val="28"/>
          <w:lang w:val="uk-UA"/>
        </w:rPr>
        <w:t>цукровим д</w:t>
      </w:r>
      <w:r w:rsidRPr="00C65B1D">
        <w:rPr>
          <w:rFonts w:ascii="Times New Roman" w:hAnsi="Times New Roman" w:cs="Times New Roman"/>
          <w:b/>
          <w:sz w:val="28"/>
          <w:szCs w:val="28"/>
          <w:lang w:val="en-US"/>
        </w:rPr>
        <w:t>i</w:t>
      </w:r>
      <w:r w:rsidR="00B25898" w:rsidRPr="00C65B1D">
        <w:rPr>
          <w:rFonts w:ascii="Times New Roman" w:hAnsi="Times New Roman" w:cs="Times New Roman"/>
          <w:b/>
          <w:sz w:val="28"/>
          <w:szCs w:val="28"/>
          <w:lang w:val="uk-UA"/>
        </w:rPr>
        <w:t xml:space="preserve">абетом 2-го типу </w:t>
      </w:r>
    </w:p>
    <w:tbl>
      <w:tblPr>
        <w:tblStyle w:val="a5"/>
        <w:tblW w:w="9592" w:type="dxa"/>
        <w:tblInd w:w="108" w:type="dxa"/>
        <w:tblLayout w:type="fixed"/>
        <w:tblLook w:val="04A0" w:firstRow="1" w:lastRow="0" w:firstColumn="1" w:lastColumn="0" w:noHBand="0" w:noVBand="1"/>
      </w:tblPr>
      <w:tblGrid>
        <w:gridCol w:w="1985"/>
        <w:gridCol w:w="1984"/>
        <w:gridCol w:w="2363"/>
        <w:gridCol w:w="1701"/>
        <w:gridCol w:w="1559"/>
      </w:tblGrid>
      <w:tr w:rsidR="00AE2DD9" w:rsidRPr="00097A40" w:rsidTr="00EB6204">
        <w:tc>
          <w:tcPr>
            <w:tcW w:w="1985" w:type="dxa"/>
            <w:vMerge w:val="restart"/>
          </w:tcPr>
          <w:p w:rsidR="00AE2DD9" w:rsidRPr="00097A40" w:rsidRDefault="0035735A" w:rsidP="00790FE4">
            <w:pPr>
              <w:autoSpaceDE w:val="0"/>
              <w:autoSpaceDN w:val="0"/>
              <w:adjustRightInd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rPr>
              <w:t>П</w:t>
            </w:r>
            <w:r w:rsidR="00AE2DD9" w:rsidRPr="00097A40">
              <w:rPr>
                <w:rFonts w:ascii="Times New Roman" w:hAnsi="Times New Roman" w:cs="Times New Roman"/>
                <w:sz w:val="28"/>
                <w:szCs w:val="28"/>
                <w:lang w:val="uk-UA"/>
              </w:rPr>
              <w:t>оказник</w:t>
            </w:r>
          </w:p>
        </w:tc>
        <w:tc>
          <w:tcPr>
            <w:tcW w:w="4347" w:type="dxa"/>
            <w:gridSpan w:val="2"/>
          </w:tcPr>
          <w:p w:rsidR="00AE2DD9" w:rsidRPr="00097A40" w:rsidRDefault="00AE2DD9" w:rsidP="00790FE4">
            <w:pPr>
              <w:autoSpaceDE w:val="0"/>
              <w:autoSpaceDN w:val="0"/>
              <w:adjustRightInd w:val="0"/>
              <w:spacing w:line="360" w:lineRule="auto"/>
              <w:jc w:val="center"/>
              <w:rPr>
                <w:rFonts w:ascii="Times New Roman" w:hAnsi="Times New Roman" w:cs="Times New Roman"/>
                <w:sz w:val="28"/>
                <w:szCs w:val="28"/>
                <w:lang w:val="uk-UA"/>
              </w:rPr>
            </w:pPr>
            <w:r w:rsidRPr="00097A40">
              <w:rPr>
                <w:rFonts w:ascii="Times New Roman" w:hAnsi="Times New Roman" w:cs="Times New Roman"/>
                <w:sz w:val="28"/>
                <w:szCs w:val="28"/>
                <w:lang w:val="uk-UA"/>
              </w:rPr>
              <w:t>І підгрупа (</w:t>
            </w:r>
            <w:r w:rsidRPr="00097A40">
              <w:rPr>
                <w:rFonts w:ascii="Times New Roman" w:hAnsi="Times New Roman" w:cs="Times New Roman"/>
                <w:sz w:val="28"/>
                <w:szCs w:val="28"/>
                <w:lang w:val="en-US"/>
              </w:rPr>
              <w:t>n</w:t>
            </w:r>
            <w:r w:rsidR="00E23A59">
              <w:rPr>
                <w:rFonts w:ascii="Times New Roman" w:hAnsi="Times New Roman" w:cs="Times New Roman"/>
                <w:sz w:val="28"/>
                <w:szCs w:val="28"/>
                <w:lang w:val="en-US"/>
              </w:rPr>
              <w:t xml:space="preserve"> </w:t>
            </w:r>
            <w:r w:rsidR="00097A40" w:rsidRPr="00097A40">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sidR="00097A40" w:rsidRPr="00097A40">
              <w:rPr>
                <w:rFonts w:ascii="Times New Roman" w:hAnsi="Times New Roman" w:cs="Times New Roman"/>
                <w:sz w:val="28"/>
                <w:szCs w:val="28"/>
                <w:lang w:val="uk-UA"/>
              </w:rPr>
              <w:t>54</w:t>
            </w:r>
            <w:r w:rsidRPr="00097A40">
              <w:rPr>
                <w:rFonts w:ascii="Times New Roman" w:hAnsi="Times New Roman" w:cs="Times New Roman"/>
                <w:sz w:val="28"/>
                <w:szCs w:val="28"/>
                <w:lang w:val="uk-UA"/>
              </w:rPr>
              <w:t>)</w:t>
            </w:r>
          </w:p>
        </w:tc>
        <w:tc>
          <w:tcPr>
            <w:tcW w:w="1701" w:type="dxa"/>
            <w:vMerge w:val="restart"/>
          </w:tcPr>
          <w:p w:rsidR="00297F80" w:rsidRDefault="00297F80" w:rsidP="009755C8">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w:t>
            </w:r>
            <w:r w:rsidRPr="00097A40">
              <w:rPr>
                <w:rFonts w:ascii="Times New Roman" w:hAnsi="Times New Roman" w:cs="Times New Roman"/>
                <w:sz w:val="28"/>
                <w:szCs w:val="28"/>
                <w:lang w:val="uk-UA"/>
              </w:rPr>
              <w:t xml:space="preserve"> </w:t>
            </w:r>
          </w:p>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lang w:val="uk-UA"/>
              </w:rPr>
            </w:pPr>
            <w:r w:rsidRPr="00097A40">
              <w:rPr>
                <w:rFonts w:ascii="Times New Roman" w:hAnsi="Times New Roman" w:cs="Times New Roman"/>
                <w:sz w:val="28"/>
                <w:szCs w:val="28"/>
                <w:lang w:val="uk-UA"/>
              </w:rPr>
              <w:t>(</w:t>
            </w:r>
            <w:r w:rsidRPr="00097A40">
              <w:rPr>
                <w:rFonts w:ascii="Times New Roman" w:hAnsi="Times New Roman" w:cs="Times New Roman"/>
                <w:sz w:val="28"/>
                <w:szCs w:val="28"/>
                <w:lang w:val="en-US"/>
              </w:rPr>
              <w:t>n</w:t>
            </w:r>
            <w:r w:rsidR="00E23A59">
              <w:rPr>
                <w:rFonts w:ascii="Times New Roman" w:hAnsi="Times New Roman" w:cs="Times New Roman"/>
                <w:sz w:val="28"/>
                <w:szCs w:val="28"/>
                <w:lang w:val="en-US"/>
              </w:rPr>
              <w:t xml:space="preserve"> </w:t>
            </w:r>
            <w:r w:rsidR="00097A40" w:rsidRPr="00097A40">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sidR="00097A40" w:rsidRPr="00097A40">
              <w:rPr>
                <w:rFonts w:ascii="Times New Roman" w:hAnsi="Times New Roman" w:cs="Times New Roman"/>
                <w:sz w:val="28"/>
                <w:szCs w:val="28"/>
                <w:lang w:val="uk-UA"/>
              </w:rPr>
              <w:t>15</w:t>
            </w:r>
            <w:r w:rsidRPr="00097A40">
              <w:rPr>
                <w:rFonts w:ascii="Times New Roman" w:hAnsi="Times New Roman" w:cs="Times New Roman"/>
                <w:sz w:val="28"/>
                <w:szCs w:val="28"/>
                <w:lang w:val="uk-UA"/>
              </w:rPr>
              <w:t>)</w:t>
            </w:r>
          </w:p>
        </w:tc>
        <w:tc>
          <w:tcPr>
            <w:tcW w:w="1559" w:type="dxa"/>
            <w:vMerge w:val="restart"/>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lang w:val="uk-UA"/>
              </w:rPr>
            </w:pPr>
            <w:r w:rsidRPr="00097A40">
              <w:rPr>
                <w:rFonts w:ascii="Times New Roman" w:hAnsi="Times New Roman" w:cs="Times New Roman"/>
                <w:sz w:val="28"/>
                <w:szCs w:val="28"/>
                <w:lang w:val="en-US"/>
              </w:rPr>
              <w:t>p</w:t>
            </w:r>
          </w:p>
        </w:tc>
      </w:tr>
      <w:tr w:rsidR="00AE2DD9" w:rsidRPr="00097A40" w:rsidTr="00EB6204">
        <w:tc>
          <w:tcPr>
            <w:tcW w:w="1985" w:type="dxa"/>
            <w:vMerge/>
          </w:tcPr>
          <w:p w:rsidR="00AE2DD9" w:rsidRPr="00097A40" w:rsidRDefault="00AE2DD9" w:rsidP="00790FE4">
            <w:pPr>
              <w:autoSpaceDE w:val="0"/>
              <w:autoSpaceDN w:val="0"/>
              <w:adjustRightInd w:val="0"/>
              <w:spacing w:line="360" w:lineRule="auto"/>
              <w:jc w:val="center"/>
              <w:rPr>
                <w:rFonts w:ascii="Times New Roman" w:hAnsi="Times New Roman" w:cs="Times New Roman"/>
                <w:sz w:val="28"/>
                <w:szCs w:val="28"/>
                <w:highlight w:val="yellow"/>
                <w:lang w:val="uk-UA"/>
              </w:rPr>
            </w:pPr>
          </w:p>
        </w:tc>
        <w:tc>
          <w:tcPr>
            <w:tcW w:w="1984" w:type="dxa"/>
          </w:tcPr>
          <w:p w:rsidR="00AE2DD9" w:rsidRPr="00097A40" w:rsidRDefault="00AE2DD9" w:rsidP="00790FE4">
            <w:pPr>
              <w:autoSpaceDE w:val="0"/>
              <w:autoSpaceDN w:val="0"/>
              <w:adjustRightInd w:val="0"/>
              <w:spacing w:line="360" w:lineRule="auto"/>
              <w:jc w:val="center"/>
              <w:rPr>
                <w:rFonts w:ascii="Times New Roman" w:hAnsi="Times New Roman" w:cs="Times New Roman"/>
                <w:sz w:val="28"/>
                <w:szCs w:val="28"/>
                <w:lang w:val="uk-UA"/>
              </w:rPr>
            </w:pPr>
            <w:r w:rsidRPr="00097A40">
              <w:rPr>
                <w:rFonts w:ascii="Times New Roman" w:hAnsi="Times New Roman" w:cs="Times New Roman"/>
                <w:sz w:val="28"/>
                <w:szCs w:val="28"/>
                <w:lang w:val="en-US"/>
              </w:rPr>
              <w:t>Ia</w:t>
            </w:r>
          </w:p>
        </w:tc>
        <w:tc>
          <w:tcPr>
            <w:tcW w:w="2363" w:type="dxa"/>
          </w:tcPr>
          <w:p w:rsidR="00AE2DD9" w:rsidRPr="00097A40" w:rsidRDefault="00AE2DD9" w:rsidP="00790FE4">
            <w:pPr>
              <w:autoSpaceDE w:val="0"/>
              <w:autoSpaceDN w:val="0"/>
              <w:adjustRightInd w:val="0"/>
              <w:spacing w:line="360" w:lineRule="auto"/>
              <w:jc w:val="center"/>
              <w:rPr>
                <w:rFonts w:ascii="Times New Roman" w:hAnsi="Times New Roman" w:cs="Times New Roman"/>
                <w:sz w:val="28"/>
                <w:szCs w:val="28"/>
                <w:lang w:val="uk-UA"/>
              </w:rPr>
            </w:pPr>
            <w:r w:rsidRPr="00097A40">
              <w:rPr>
                <w:rFonts w:ascii="Times New Roman" w:hAnsi="Times New Roman" w:cs="Times New Roman"/>
                <w:sz w:val="28"/>
                <w:szCs w:val="28"/>
                <w:lang w:val="en-US"/>
              </w:rPr>
              <w:t>Ib</w:t>
            </w:r>
          </w:p>
        </w:tc>
        <w:tc>
          <w:tcPr>
            <w:tcW w:w="1701" w:type="dxa"/>
            <w:vMerge/>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uk-UA"/>
              </w:rPr>
            </w:pPr>
          </w:p>
        </w:tc>
        <w:tc>
          <w:tcPr>
            <w:tcW w:w="1559" w:type="dxa"/>
            <w:vMerge/>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uk-UA"/>
              </w:rPr>
            </w:pPr>
          </w:p>
        </w:tc>
      </w:tr>
      <w:tr w:rsidR="00AE2DD9" w:rsidRPr="00097A40" w:rsidTr="00EB6204">
        <w:tc>
          <w:tcPr>
            <w:tcW w:w="1985" w:type="dxa"/>
            <w:vMerge/>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u w:val="single"/>
                <w:lang w:val="uk-UA"/>
              </w:rPr>
            </w:pPr>
          </w:p>
        </w:tc>
        <w:tc>
          <w:tcPr>
            <w:tcW w:w="1984" w:type="dxa"/>
          </w:tcPr>
          <w:p w:rsidR="00AE2DD9" w:rsidRPr="00097A40" w:rsidRDefault="007520BB" w:rsidP="009755C8">
            <w:pPr>
              <w:autoSpaceDE w:val="0"/>
              <w:autoSpaceDN w:val="0"/>
              <w:adjustRightInd w:val="0"/>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ET-1 ≤</w:t>
            </w:r>
            <w:r w:rsidR="009E02C5" w:rsidRPr="00097A40">
              <w:rPr>
                <w:rFonts w:ascii="Times New Roman" w:hAnsi="Times New Roman" w:cs="Times New Roman"/>
                <w:sz w:val="28"/>
                <w:szCs w:val="28"/>
                <w:lang w:val="uk-UA"/>
              </w:rPr>
              <w:t xml:space="preserve"> 10 пг/мл </w:t>
            </w:r>
            <w:r w:rsidR="00D24F2F" w:rsidRPr="00D24F2F">
              <w:rPr>
                <w:rFonts w:ascii="Times New Roman" w:hAnsi="Times New Roman" w:cs="Times New Roman"/>
                <w:sz w:val="28"/>
                <w:szCs w:val="28"/>
                <w:lang w:val="uk-UA"/>
              </w:rPr>
              <w:t>(n</w:t>
            </w:r>
            <w:r w:rsidR="00E23A59">
              <w:rPr>
                <w:rFonts w:ascii="Times New Roman" w:hAnsi="Times New Roman" w:cs="Times New Roman"/>
                <w:sz w:val="28"/>
                <w:szCs w:val="28"/>
                <w:lang w:val="en-US"/>
              </w:rPr>
              <w:t xml:space="preserve"> </w:t>
            </w:r>
            <w:r w:rsidR="00D24F2F" w:rsidRPr="00D24F2F">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sidR="00D24F2F" w:rsidRPr="00D24F2F">
              <w:rPr>
                <w:rFonts w:ascii="Times New Roman" w:hAnsi="Times New Roman" w:cs="Times New Roman"/>
                <w:sz w:val="28"/>
                <w:szCs w:val="28"/>
                <w:lang w:val="uk-UA"/>
              </w:rPr>
              <w:t>25</w:t>
            </w:r>
            <w:r w:rsidR="00AE2DD9" w:rsidRPr="00D24F2F">
              <w:rPr>
                <w:rFonts w:ascii="Times New Roman" w:hAnsi="Times New Roman" w:cs="Times New Roman"/>
                <w:sz w:val="28"/>
                <w:szCs w:val="28"/>
                <w:lang w:val="uk-UA"/>
              </w:rPr>
              <w:t>)</w:t>
            </w:r>
          </w:p>
        </w:tc>
        <w:tc>
          <w:tcPr>
            <w:tcW w:w="2363" w:type="dxa"/>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u w:val="single"/>
                <w:lang w:val="uk-UA"/>
              </w:rPr>
            </w:pPr>
            <w:r w:rsidRPr="00097A40">
              <w:rPr>
                <w:rFonts w:ascii="Times New Roman" w:hAnsi="Times New Roman" w:cs="Times New Roman"/>
                <w:sz w:val="28"/>
                <w:szCs w:val="28"/>
                <w:lang w:val="uk-UA"/>
              </w:rPr>
              <w:t xml:space="preserve">ET-1 &gt; 10 пг/мл </w:t>
            </w:r>
            <w:r w:rsidRPr="00D24F2F">
              <w:rPr>
                <w:rFonts w:ascii="Times New Roman" w:hAnsi="Times New Roman" w:cs="Times New Roman"/>
                <w:sz w:val="28"/>
                <w:szCs w:val="28"/>
                <w:lang w:val="uk-UA"/>
              </w:rPr>
              <w:t>(</w:t>
            </w:r>
            <w:r w:rsidRPr="00D24F2F">
              <w:rPr>
                <w:rFonts w:ascii="Times New Roman" w:hAnsi="Times New Roman" w:cs="Times New Roman"/>
                <w:sz w:val="28"/>
                <w:szCs w:val="28"/>
                <w:lang w:val="en-US"/>
              </w:rPr>
              <w:t>n</w:t>
            </w:r>
            <w:r w:rsidR="00E23A59">
              <w:rPr>
                <w:rFonts w:ascii="Times New Roman" w:hAnsi="Times New Roman" w:cs="Times New Roman"/>
                <w:sz w:val="28"/>
                <w:szCs w:val="28"/>
                <w:lang w:val="en-US"/>
              </w:rPr>
              <w:t xml:space="preserve"> </w:t>
            </w:r>
            <w:r w:rsidR="00D24F2F" w:rsidRPr="00D24F2F">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sidR="00D24F2F" w:rsidRPr="00D24F2F">
              <w:rPr>
                <w:rFonts w:ascii="Times New Roman" w:hAnsi="Times New Roman" w:cs="Times New Roman"/>
                <w:sz w:val="28"/>
                <w:szCs w:val="28"/>
                <w:lang w:val="uk-UA"/>
              </w:rPr>
              <w:t>29</w:t>
            </w:r>
            <w:r w:rsidRPr="00D24F2F">
              <w:rPr>
                <w:rFonts w:ascii="Times New Roman" w:hAnsi="Times New Roman" w:cs="Times New Roman"/>
                <w:sz w:val="28"/>
                <w:szCs w:val="28"/>
                <w:lang w:val="uk-UA"/>
              </w:rPr>
              <w:t>)</w:t>
            </w:r>
          </w:p>
        </w:tc>
        <w:tc>
          <w:tcPr>
            <w:tcW w:w="1701" w:type="dxa"/>
            <w:vMerge/>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u w:val="single"/>
                <w:lang w:val="uk-UA"/>
              </w:rPr>
            </w:pPr>
          </w:p>
        </w:tc>
        <w:tc>
          <w:tcPr>
            <w:tcW w:w="1559" w:type="dxa"/>
            <w:vMerge/>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uk-UA"/>
              </w:rPr>
            </w:pPr>
          </w:p>
        </w:tc>
      </w:tr>
      <w:tr w:rsidR="00AE2DD9" w:rsidRPr="00097A40" w:rsidTr="00EB6204">
        <w:tc>
          <w:tcPr>
            <w:tcW w:w="1985" w:type="dxa"/>
          </w:tcPr>
          <w:p w:rsidR="00AE2DD9" w:rsidRPr="00D24F2F" w:rsidRDefault="0035735A" w:rsidP="009755C8">
            <w:pPr>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B6204">
              <w:rPr>
                <w:rFonts w:ascii="Times New Roman" w:hAnsi="Times New Roman" w:cs="Times New Roman"/>
                <w:sz w:val="28"/>
                <w:szCs w:val="28"/>
                <w:lang w:val="uk-UA"/>
              </w:rPr>
              <w:t>льбумінурія</w:t>
            </w:r>
            <w:r w:rsidR="00AE2DD9" w:rsidRPr="00D24F2F">
              <w:rPr>
                <w:rFonts w:ascii="Times New Roman" w:hAnsi="Times New Roman" w:cs="Times New Roman"/>
                <w:sz w:val="28"/>
                <w:szCs w:val="28"/>
                <w:lang w:val="uk-UA"/>
              </w:rPr>
              <w:t>, мг/л</w:t>
            </w:r>
          </w:p>
          <w:p w:rsidR="00AE2DD9" w:rsidRPr="00D24F2F" w:rsidRDefault="00AE2DD9" w:rsidP="009755C8">
            <w:pPr>
              <w:autoSpaceDE w:val="0"/>
              <w:autoSpaceDN w:val="0"/>
              <w:adjustRightInd w:val="0"/>
              <w:spacing w:line="360" w:lineRule="auto"/>
              <w:jc w:val="both"/>
              <w:rPr>
                <w:rFonts w:ascii="Times New Roman" w:hAnsi="Times New Roman" w:cs="Times New Roman"/>
                <w:sz w:val="28"/>
                <w:szCs w:val="28"/>
                <w:lang w:val="uk-UA"/>
              </w:rPr>
            </w:pPr>
          </w:p>
        </w:tc>
        <w:tc>
          <w:tcPr>
            <w:tcW w:w="1984" w:type="dxa"/>
          </w:tcPr>
          <w:p w:rsidR="00AE2DD9" w:rsidRPr="00D24F2F" w:rsidRDefault="009E02C5" w:rsidP="009755C8">
            <w:pPr>
              <w:autoSpaceDE w:val="0"/>
              <w:autoSpaceDN w:val="0"/>
              <w:adjustRightInd w:val="0"/>
              <w:jc w:val="both"/>
              <w:rPr>
                <w:rFonts w:ascii="Times New Roman" w:hAnsi="Times New Roman" w:cs="Times New Roman"/>
                <w:sz w:val="28"/>
                <w:szCs w:val="28"/>
                <w:u w:val="single"/>
                <w:lang w:val="uk-UA"/>
              </w:rPr>
            </w:pPr>
            <w:r w:rsidRPr="00D24F2F">
              <w:rPr>
                <w:rFonts w:ascii="Times New Roman" w:hAnsi="Times New Roman" w:cs="Times New Roman"/>
                <w:sz w:val="28"/>
                <w:szCs w:val="28"/>
                <w:u w:val="single"/>
                <w:lang w:val="uk-UA"/>
              </w:rPr>
              <w:t>20,38</w:t>
            </w:r>
            <w:r w:rsidR="00E23A59">
              <w:rPr>
                <w:rFonts w:ascii="Times New Roman" w:hAnsi="Times New Roman" w:cs="Times New Roman"/>
                <w:sz w:val="28"/>
                <w:szCs w:val="28"/>
                <w:u w:val="single"/>
                <w:lang w:val="en-US"/>
              </w:rPr>
              <w:t xml:space="preserve"> </w:t>
            </w:r>
            <w:r w:rsidRPr="00D24F2F">
              <w:rPr>
                <w:rFonts w:ascii="Times New Roman" w:hAnsi="Times New Roman" w:cs="Times New Roman"/>
                <w:sz w:val="28"/>
                <w:szCs w:val="28"/>
                <w:u w:val="single"/>
                <w:lang w:val="uk-UA"/>
              </w:rPr>
              <w:t>±</w:t>
            </w:r>
            <w:r w:rsidR="00E23A59">
              <w:rPr>
                <w:rFonts w:ascii="Times New Roman" w:hAnsi="Times New Roman" w:cs="Times New Roman"/>
                <w:sz w:val="28"/>
                <w:szCs w:val="28"/>
                <w:u w:val="single"/>
                <w:lang w:val="en-US"/>
              </w:rPr>
              <w:t xml:space="preserve"> </w:t>
            </w:r>
            <w:r w:rsidR="007C6FF4" w:rsidRPr="00D24F2F">
              <w:rPr>
                <w:rFonts w:ascii="Times New Roman" w:hAnsi="Times New Roman" w:cs="Times New Roman"/>
                <w:sz w:val="28"/>
                <w:szCs w:val="28"/>
                <w:u w:val="single"/>
                <w:lang w:val="uk-UA"/>
              </w:rPr>
              <w:t>0,9</w:t>
            </w:r>
          </w:p>
          <w:p w:rsidR="00AE2DD9" w:rsidRPr="00D24F2F" w:rsidRDefault="004538C5" w:rsidP="009755C8">
            <w:pPr>
              <w:autoSpaceDE w:val="0"/>
              <w:autoSpaceDN w:val="0"/>
              <w:adjustRightInd w:val="0"/>
              <w:jc w:val="both"/>
              <w:rPr>
                <w:rFonts w:ascii="Times New Roman" w:hAnsi="Times New Roman" w:cs="Times New Roman"/>
                <w:sz w:val="28"/>
                <w:szCs w:val="28"/>
                <w:lang w:val="uk-UA"/>
              </w:rPr>
            </w:pPr>
            <w:r w:rsidRPr="00D24F2F">
              <w:rPr>
                <w:rFonts w:ascii="Times New Roman" w:hAnsi="Times New Roman" w:cs="Times New Roman"/>
                <w:sz w:val="28"/>
                <w:szCs w:val="28"/>
                <w:lang w:val="uk-UA"/>
              </w:rPr>
              <w:t>18,4</w:t>
            </w:r>
            <w:r w:rsidR="00E23A59">
              <w:rPr>
                <w:rFonts w:ascii="Times New Roman" w:hAnsi="Times New Roman" w:cs="Times New Roman"/>
                <w:sz w:val="28"/>
                <w:szCs w:val="28"/>
                <w:lang w:val="en-US"/>
              </w:rPr>
              <w:t xml:space="preserve"> </w:t>
            </w:r>
            <w:r w:rsidR="007C6FF4" w:rsidRPr="00D24F2F">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sidR="007C6FF4" w:rsidRPr="00D24F2F">
              <w:rPr>
                <w:rFonts w:ascii="Times New Roman" w:hAnsi="Times New Roman" w:cs="Times New Roman"/>
                <w:sz w:val="28"/>
                <w:szCs w:val="28"/>
                <w:lang w:val="uk-UA"/>
              </w:rPr>
              <w:t>0,04</w:t>
            </w:r>
          </w:p>
        </w:tc>
        <w:tc>
          <w:tcPr>
            <w:tcW w:w="2363" w:type="dxa"/>
          </w:tcPr>
          <w:p w:rsidR="00AE2DD9" w:rsidRPr="00D24F2F" w:rsidRDefault="00AE2DD9" w:rsidP="009755C8">
            <w:pPr>
              <w:autoSpaceDE w:val="0"/>
              <w:autoSpaceDN w:val="0"/>
              <w:adjustRightInd w:val="0"/>
              <w:jc w:val="both"/>
              <w:rPr>
                <w:rFonts w:ascii="Times New Roman" w:hAnsi="Times New Roman" w:cs="Times New Roman"/>
                <w:sz w:val="28"/>
                <w:szCs w:val="28"/>
                <w:u w:val="single"/>
                <w:lang w:val="uk-UA"/>
              </w:rPr>
            </w:pPr>
            <w:r w:rsidRPr="00D24F2F">
              <w:rPr>
                <w:rFonts w:ascii="Times New Roman" w:hAnsi="Times New Roman" w:cs="Times New Roman"/>
                <w:sz w:val="28"/>
                <w:szCs w:val="28"/>
                <w:u w:val="single"/>
                <w:lang w:val="uk-UA"/>
              </w:rPr>
              <w:t>8</w:t>
            </w:r>
            <w:r w:rsidR="009E02C5" w:rsidRPr="00D24F2F">
              <w:rPr>
                <w:rFonts w:ascii="Times New Roman" w:hAnsi="Times New Roman" w:cs="Times New Roman"/>
                <w:sz w:val="28"/>
                <w:szCs w:val="28"/>
                <w:u w:val="single"/>
                <w:lang w:val="uk-UA"/>
              </w:rPr>
              <w:t>7,65</w:t>
            </w:r>
            <w:r w:rsidR="00E23A59">
              <w:rPr>
                <w:rFonts w:ascii="Times New Roman" w:hAnsi="Times New Roman" w:cs="Times New Roman"/>
                <w:sz w:val="28"/>
                <w:szCs w:val="28"/>
                <w:u w:val="single"/>
                <w:lang w:val="en-US"/>
              </w:rPr>
              <w:t xml:space="preserve"> </w:t>
            </w:r>
            <w:r w:rsidRPr="00D24F2F">
              <w:rPr>
                <w:rFonts w:ascii="Times New Roman" w:hAnsi="Times New Roman" w:cs="Times New Roman"/>
                <w:sz w:val="28"/>
                <w:szCs w:val="28"/>
                <w:u w:val="single"/>
                <w:lang w:val="uk-UA"/>
              </w:rPr>
              <w:t>±</w:t>
            </w:r>
            <w:r w:rsidR="00E23A59">
              <w:rPr>
                <w:rFonts w:ascii="Times New Roman" w:hAnsi="Times New Roman" w:cs="Times New Roman"/>
                <w:sz w:val="28"/>
                <w:szCs w:val="28"/>
                <w:u w:val="single"/>
                <w:lang w:val="en-US"/>
              </w:rPr>
              <w:t xml:space="preserve"> </w:t>
            </w:r>
            <w:r w:rsidR="009E02C5" w:rsidRPr="00D24F2F">
              <w:rPr>
                <w:rFonts w:ascii="Times New Roman" w:hAnsi="Times New Roman" w:cs="Times New Roman"/>
                <w:sz w:val="28"/>
                <w:szCs w:val="28"/>
                <w:u w:val="single"/>
                <w:lang w:val="uk-UA"/>
              </w:rPr>
              <w:t>1,</w:t>
            </w:r>
            <w:r w:rsidR="005F65ED" w:rsidRPr="00D24F2F">
              <w:rPr>
                <w:rFonts w:ascii="Times New Roman" w:hAnsi="Times New Roman" w:cs="Times New Roman"/>
                <w:sz w:val="28"/>
                <w:szCs w:val="28"/>
                <w:u w:val="single"/>
                <w:lang w:val="uk-UA"/>
              </w:rPr>
              <w:t>7</w:t>
            </w:r>
            <w:r w:rsidR="009E02C5" w:rsidRPr="00D24F2F">
              <w:rPr>
                <w:rFonts w:ascii="Times New Roman" w:hAnsi="Times New Roman" w:cs="Times New Roman"/>
                <w:sz w:val="28"/>
                <w:szCs w:val="28"/>
                <w:u w:val="single"/>
                <w:lang w:val="uk-UA"/>
              </w:rPr>
              <w:t>8</w:t>
            </w:r>
          </w:p>
          <w:p w:rsidR="00AE2DD9" w:rsidRPr="00D24F2F" w:rsidRDefault="004538C5" w:rsidP="009755C8">
            <w:pPr>
              <w:autoSpaceDE w:val="0"/>
              <w:autoSpaceDN w:val="0"/>
              <w:adjustRightInd w:val="0"/>
              <w:jc w:val="both"/>
              <w:rPr>
                <w:rFonts w:ascii="Times New Roman" w:hAnsi="Times New Roman" w:cs="Times New Roman"/>
                <w:sz w:val="28"/>
                <w:szCs w:val="28"/>
                <w:lang w:val="uk-UA"/>
              </w:rPr>
            </w:pPr>
            <w:r w:rsidRPr="00D24F2F">
              <w:rPr>
                <w:rFonts w:ascii="Times New Roman" w:hAnsi="Times New Roman" w:cs="Times New Roman"/>
                <w:sz w:val="28"/>
                <w:szCs w:val="28"/>
                <w:lang w:val="uk-UA"/>
              </w:rPr>
              <w:t>83</w:t>
            </w:r>
            <w:r w:rsidR="00AE2DD9" w:rsidRPr="00D24F2F">
              <w:rPr>
                <w:rFonts w:ascii="Times New Roman" w:hAnsi="Times New Roman" w:cs="Times New Roman"/>
                <w:sz w:val="28"/>
                <w:szCs w:val="28"/>
                <w:lang w:val="uk-UA"/>
              </w:rPr>
              <w:t>,3</w:t>
            </w:r>
            <w:r w:rsidRPr="00D24F2F">
              <w:rPr>
                <w:rFonts w:ascii="Times New Roman" w:hAnsi="Times New Roman" w:cs="Times New Roman"/>
                <w:sz w:val="28"/>
                <w:szCs w:val="28"/>
                <w:lang w:val="uk-UA"/>
              </w:rPr>
              <w:t>6</w:t>
            </w:r>
            <w:r w:rsidR="00E23A59">
              <w:rPr>
                <w:rFonts w:ascii="Times New Roman" w:hAnsi="Times New Roman" w:cs="Times New Roman"/>
                <w:sz w:val="28"/>
                <w:szCs w:val="28"/>
                <w:lang w:val="en-US"/>
              </w:rPr>
              <w:t xml:space="preserve"> </w:t>
            </w:r>
            <w:r w:rsidR="007C6FF4" w:rsidRPr="00D24F2F">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sidR="007C6FF4" w:rsidRPr="00D24F2F">
              <w:rPr>
                <w:rFonts w:ascii="Times New Roman" w:hAnsi="Times New Roman" w:cs="Times New Roman"/>
                <w:sz w:val="28"/>
                <w:szCs w:val="28"/>
                <w:lang w:val="uk-UA"/>
              </w:rPr>
              <w:t>1,07</w:t>
            </w:r>
          </w:p>
        </w:tc>
        <w:tc>
          <w:tcPr>
            <w:tcW w:w="1701" w:type="dxa"/>
          </w:tcPr>
          <w:p w:rsidR="00AE2DD9" w:rsidRPr="0092752A" w:rsidRDefault="0092752A" w:rsidP="009755C8">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uk-UA"/>
              </w:rPr>
              <w:t>,</w:t>
            </w:r>
            <w:r>
              <w:rPr>
                <w:rFonts w:ascii="Times New Roman" w:hAnsi="Times New Roman" w:cs="Times New Roman"/>
                <w:sz w:val="28"/>
                <w:szCs w:val="28"/>
                <w:lang w:val="en-US"/>
              </w:rPr>
              <w:t>27</w:t>
            </w:r>
            <w:r w:rsidR="00E23A59">
              <w:rPr>
                <w:rFonts w:ascii="Times New Roman" w:hAnsi="Times New Roman" w:cs="Times New Roman"/>
                <w:sz w:val="28"/>
                <w:szCs w:val="28"/>
                <w:lang w:val="en-US"/>
              </w:rPr>
              <w:t xml:space="preserve"> </w:t>
            </w:r>
            <w:r>
              <w:rPr>
                <w:rFonts w:ascii="Times New Roman" w:hAnsi="Times New Roman" w:cs="Times New Roman"/>
                <w:sz w:val="28"/>
                <w:szCs w:val="28"/>
                <w:lang w:val="uk-UA"/>
              </w:rPr>
              <w:t>±</w:t>
            </w:r>
            <w:r w:rsidR="00E23A59">
              <w:rPr>
                <w:rFonts w:ascii="Times New Roman" w:hAnsi="Times New Roman" w:cs="Times New Roman"/>
                <w:sz w:val="28"/>
                <w:szCs w:val="28"/>
                <w:lang w:val="en-US"/>
              </w:rPr>
              <w:t xml:space="preserve"> </w:t>
            </w:r>
            <w:r>
              <w:rPr>
                <w:rFonts w:ascii="Times New Roman" w:hAnsi="Times New Roman" w:cs="Times New Roman"/>
                <w:sz w:val="28"/>
                <w:szCs w:val="28"/>
                <w:lang w:val="en-US"/>
              </w:rPr>
              <w:t>0</w:t>
            </w:r>
            <w:r>
              <w:rPr>
                <w:rFonts w:ascii="Times New Roman" w:hAnsi="Times New Roman" w:cs="Times New Roman"/>
                <w:sz w:val="28"/>
                <w:szCs w:val="28"/>
                <w:lang w:val="uk-UA"/>
              </w:rPr>
              <w:t>,</w:t>
            </w:r>
            <w:r>
              <w:rPr>
                <w:rFonts w:ascii="Times New Roman" w:hAnsi="Times New Roman" w:cs="Times New Roman"/>
                <w:sz w:val="28"/>
                <w:szCs w:val="28"/>
                <w:lang w:val="en-US"/>
              </w:rPr>
              <w:t>66</w:t>
            </w:r>
          </w:p>
          <w:p w:rsidR="00AE2DD9" w:rsidRPr="00097A40" w:rsidRDefault="00AE2DD9" w:rsidP="009755C8">
            <w:pPr>
              <w:autoSpaceDE w:val="0"/>
              <w:autoSpaceDN w:val="0"/>
              <w:adjustRightInd w:val="0"/>
              <w:jc w:val="both"/>
              <w:rPr>
                <w:rFonts w:ascii="Times New Roman" w:hAnsi="Times New Roman" w:cs="Times New Roman"/>
                <w:sz w:val="28"/>
                <w:szCs w:val="28"/>
                <w:highlight w:val="yellow"/>
                <w:u w:val="single"/>
                <w:lang w:val="uk-UA"/>
              </w:rPr>
            </w:pPr>
          </w:p>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rPr>
            </w:pPr>
          </w:p>
        </w:tc>
        <w:tc>
          <w:tcPr>
            <w:tcW w:w="1559" w:type="dxa"/>
          </w:tcPr>
          <w:p w:rsidR="00AE2DD9" w:rsidRPr="004A581F" w:rsidRDefault="00AE2DD9" w:rsidP="00E629C8">
            <w:pPr>
              <w:autoSpaceDE w:val="0"/>
              <w:autoSpaceDN w:val="0"/>
              <w:adjustRightInd w:val="0"/>
              <w:jc w:val="both"/>
              <w:rPr>
                <w:rFonts w:ascii="Times New Roman" w:hAnsi="Times New Roman" w:cs="Times New Roman"/>
                <w:sz w:val="28"/>
                <w:szCs w:val="28"/>
              </w:rPr>
            </w:pPr>
            <w:r w:rsidRPr="004A581F">
              <w:rPr>
                <w:rFonts w:ascii="Times New Roman" w:hAnsi="Times New Roman" w:cs="Times New Roman"/>
                <w:sz w:val="28"/>
                <w:szCs w:val="28"/>
                <w:lang w:val="uk-UA"/>
              </w:rPr>
              <w:t>р</w:t>
            </w:r>
            <w:r w:rsidRPr="004A581F">
              <w:rPr>
                <w:rFonts w:ascii="Times New Roman" w:hAnsi="Times New Roman" w:cs="Times New Roman"/>
                <w:sz w:val="28"/>
                <w:szCs w:val="28"/>
                <w:vertAlign w:val="subscript"/>
              </w:rPr>
              <w:t>1</w:t>
            </w:r>
            <w:r w:rsidR="004A581F">
              <w:rPr>
                <w:rFonts w:ascii="Times New Roman" w:hAnsi="Times New Roman" w:cs="Times New Roman"/>
                <w:sz w:val="28"/>
                <w:szCs w:val="28"/>
                <w:vertAlign w:val="subscript"/>
                <w:lang w:val="en-US"/>
              </w:rPr>
              <w:t xml:space="preserve"> </w:t>
            </w:r>
            <w:r w:rsidRPr="004A581F">
              <w:rPr>
                <w:rFonts w:ascii="Times New Roman" w:hAnsi="Times New Roman" w:cs="Times New Roman"/>
                <w:sz w:val="28"/>
                <w:szCs w:val="28"/>
              </w:rPr>
              <w:t>&lt;</w:t>
            </w:r>
            <w:r w:rsidR="004A581F">
              <w:rPr>
                <w:rFonts w:ascii="Times New Roman" w:hAnsi="Times New Roman" w:cs="Times New Roman"/>
                <w:sz w:val="28"/>
                <w:szCs w:val="28"/>
                <w:lang w:val="en-US"/>
              </w:rPr>
              <w:t xml:space="preserve"> </w:t>
            </w:r>
            <w:r w:rsidRPr="004A581F">
              <w:rPr>
                <w:rFonts w:ascii="Times New Roman" w:hAnsi="Times New Roman" w:cs="Times New Roman"/>
                <w:sz w:val="28"/>
                <w:szCs w:val="28"/>
              </w:rPr>
              <w:t>0,00</w:t>
            </w:r>
            <w:r w:rsidR="00D64683" w:rsidRPr="004A581F">
              <w:rPr>
                <w:rFonts w:ascii="Times New Roman" w:hAnsi="Times New Roman" w:cs="Times New Roman"/>
                <w:sz w:val="28"/>
                <w:szCs w:val="28"/>
              </w:rPr>
              <w:t>0</w:t>
            </w:r>
            <w:r w:rsidRPr="004A581F">
              <w:rPr>
                <w:rFonts w:ascii="Times New Roman" w:hAnsi="Times New Roman" w:cs="Times New Roman"/>
                <w:sz w:val="28"/>
                <w:szCs w:val="28"/>
              </w:rPr>
              <w:t>1</w:t>
            </w:r>
          </w:p>
          <w:p w:rsidR="00AE2DD9" w:rsidRPr="004A581F" w:rsidRDefault="00AE2DD9" w:rsidP="00E629C8">
            <w:pPr>
              <w:autoSpaceDE w:val="0"/>
              <w:autoSpaceDN w:val="0"/>
              <w:adjustRightInd w:val="0"/>
              <w:jc w:val="both"/>
              <w:rPr>
                <w:rFonts w:ascii="Times New Roman" w:hAnsi="Times New Roman" w:cs="Times New Roman"/>
                <w:sz w:val="28"/>
                <w:szCs w:val="28"/>
                <w:lang w:val="en-US"/>
              </w:rPr>
            </w:pPr>
            <w:r w:rsidRPr="004A581F">
              <w:rPr>
                <w:rFonts w:ascii="Times New Roman" w:hAnsi="Times New Roman" w:cs="Times New Roman"/>
                <w:sz w:val="28"/>
                <w:szCs w:val="28"/>
                <w:lang w:val="uk-UA"/>
              </w:rPr>
              <w:t>р</w:t>
            </w:r>
            <w:r w:rsidRPr="004A581F">
              <w:rPr>
                <w:rFonts w:ascii="Times New Roman" w:hAnsi="Times New Roman" w:cs="Times New Roman"/>
                <w:sz w:val="28"/>
                <w:szCs w:val="28"/>
                <w:vertAlign w:val="subscript"/>
              </w:rPr>
              <w:t>2</w:t>
            </w:r>
            <w:r w:rsidR="00F11ACC" w:rsidRPr="004A581F">
              <w:rPr>
                <w:rFonts w:ascii="Times New Roman" w:hAnsi="Times New Roman" w:cs="Times New Roman"/>
                <w:sz w:val="28"/>
                <w:szCs w:val="28"/>
                <w:vertAlign w:val="subscript"/>
              </w:rPr>
              <w:t xml:space="preserve"> </w:t>
            </w:r>
            <w:r w:rsidR="00F11ACC" w:rsidRPr="004A581F">
              <w:rPr>
                <w:rFonts w:ascii="Times New Roman" w:hAnsi="Times New Roman" w:cs="Times New Roman"/>
                <w:sz w:val="28"/>
                <w:szCs w:val="28"/>
              </w:rPr>
              <w:t>= 0,0</w:t>
            </w:r>
            <w:r w:rsidR="004A581F" w:rsidRPr="004A581F">
              <w:rPr>
                <w:rFonts w:ascii="Times New Roman" w:hAnsi="Times New Roman" w:cs="Times New Roman"/>
                <w:sz w:val="28"/>
                <w:szCs w:val="28"/>
                <w:lang w:val="en-US"/>
              </w:rPr>
              <w:t>023</w:t>
            </w:r>
          </w:p>
          <w:p w:rsidR="00AE2DD9" w:rsidRPr="00097A40" w:rsidRDefault="00AE2DD9" w:rsidP="00E629C8">
            <w:pPr>
              <w:autoSpaceDE w:val="0"/>
              <w:autoSpaceDN w:val="0"/>
              <w:adjustRightInd w:val="0"/>
              <w:spacing w:line="360" w:lineRule="auto"/>
              <w:jc w:val="both"/>
              <w:rPr>
                <w:rFonts w:ascii="Times New Roman" w:hAnsi="Times New Roman" w:cs="Times New Roman"/>
                <w:sz w:val="28"/>
                <w:szCs w:val="28"/>
                <w:highlight w:val="yellow"/>
              </w:rPr>
            </w:pPr>
            <w:r w:rsidRPr="004A581F">
              <w:rPr>
                <w:rFonts w:ascii="Times New Roman" w:hAnsi="Times New Roman" w:cs="Times New Roman"/>
                <w:sz w:val="28"/>
                <w:szCs w:val="28"/>
                <w:lang w:val="uk-UA"/>
              </w:rPr>
              <w:t>р</w:t>
            </w:r>
            <w:r w:rsidRPr="004A581F">
              <w:rPr>
                <w:rFonts w:ascii="Times New Roman" w:hAnsi="Times New Roman" w:cs="Times New Roman"/>
                <w:sz w:val="28"/>
                <w:szCs w:val="28"/>
                <w:vertAlign w:val="subscript"/>
              </w:rPr>
              <w:t>3</w:t>
            </w:r>
            <w:r w:rsidRPr="004A581F">
              <w:rPr>
                <w:rFonts w:ascii="Times New Roman" w:hAnsi="Times New Roman" w:cs="Times New Roman"/>
                <w:sz w:val="28"/>
                <w:szCs w:val="28"/>
              </w:rPr>
              <w:t>&lt;0,00</w:t>
            </w:r>
            <w:r w:rsidR="00D64683" w:rsidRPr="004A581F">
              <w:rPr>
                <w:rFonts w:ascii="Times New Roman" w:hAnsi="Times New Roman" w:cs="Times New Roman"/>
                <w:sz w:val="28"/>
                <w:szCs w:val="28"/>
              </w:rPr>
              <w:t>0</w:t>
            </w:r>
            <w:r w:rsidRPr="004A581F">
              <w:rPr>
                <w:rFonts w:ascii="Times New Roman" w:hAnsi="Times New Roman" w:cs="Times New Roman"/>
                <w:sz w:val="28"/>
                <w:szCs w:val="28"/>
              </w:rPr>
              <w:t>1</w:t>
            </w:r>
          </w:p>
        </w:tc>
      </w:tr>
      <w:tr w:rsidR="00AE2DD9" w:rsidRPr="00097A40" w:rsidTr="00340EA7">
        <w:trPr>
          <w:trHeight w:val="505"/>
        </w:trPr>
        <w:tc>
          <w:tcPr>
            <w:tcW w:w="1985" w:type="dxa"/>
          </w:tcPr>
          <w:p w:rsidR="00AE2DD9" w:rsidRPr="00D24F2F" w:rsidRDefault="00AE2DD9" w:rsidP="009755C8">
            <w:pPr>
              <w:autoSpaceDE w:val="0"/>
              <w:autoSpaceDN w:val="0"/>
              <w:adjustRightInd w:val="0"/>
              <w:jc w:val="both"/>
              <w:rPr>
                <w:rFonts w:ascii="Times New Roman" w:hAnsi="Times New Roman" w:cs="Times New Roman"/>
                <w:sz w:val="28"/>
                <w:szCs w:val="28"/>
                <w:lang w:val="uk-UA"/>
              </w:rPr>
            </w:pPr>
          </w:p>
          <w:p w:rsidR="00AE2DD9" w:rsidRPr="00D24F2F" w:rsidRDefault="00AE2DD9" w:rsidP="009755C8">
            <w:pPr>
              <w:autoSpaceDE w:val="0"/>
              <w:autoSpaceDN w:val="0"/>
              <w:adjustRightInd w:val="0"/>
              <w:spacing w:line="360" w:lineRule="auto"/>
              <w:jc w:val="both"/>
              <w:rPr>
                <w:rFonts w:ascii="Times New Roman" w:hAnsi="Times New Roman" w:cs="Times New Roman"/>
                <w:sz w:val="28"/>
                <w:szCs w:val="28"/>
                <w:lang w:val="uk-UA"/>
              </w:rPr>
            </w:pPr>
          </w:p>
        </w:tc>
        <w:tc>
          <w:tcPr>
            <w:tcW w:w="1984" w:type="dxa"/>
          </w:tcPr>
          <w:p w:rsidR="00AE2DD9" w:rsidRPr="006D3110" w:rsidRDefault="00AE2DD9" w:rsidP="00886747">
            <w:pPr>
              <w:autoSpaceDE w:val="0"/>
              <w:autoSpaceDN w:val="0"/>
              <w:adjustRightInd w:val="0"/>
              <w:spacing w:line="360" w:lineRule="auto"/>
              <w:jc w:val="both"/>
              <w:rPr>
                <w:rFonts w:ascii="Times New Roman" w:hAnsi="Times New Roman" w:cs="Times New Roman"/>
                <w:sz w:val="28"/>
                <w:szCs w:val="28"/>
                <w:lang w:val="en-US"/>
              </w:rPr>
            </w:pPr>
            <w:r w:rsidRPr="00D24F2F">
              <w:rPr>
                <w:rFonts w:ascii="Times New Roman" w:hAnsi="Times New Roman" w:cs="Times New Roman"/>
                <w:sz w:val="28"/>
                <w:szCs w:val="28"/>
                <w:lang w:val="en-US"/>
              </w:rPr>
              <w:t>p</w:t>
            </w:r>
            <w:r w:rsidRPr="00D24F2F">
              <w:rPr>
                <w:rFonts w:ascii="Times New Roman" w:hAnsi="Times New Roman" w:cs="Times New Roman"/>
                <w:sz w:val="28"/>
                <w:szCs w:val="28"/>
                <w:vertAlign w:val="subscript"/>
                <w:lang w:val="en-US"/>
              </w:rPr>
              <w:t xml:space="preserve"> </w:t>
            </w:r>
            <w:r w:rsidR="007C6FF4" w:rsidRPr="00D24F2F">
              <w:rPr>
                <w:rFonts w:ascii="Times New Roman" w:hAnsi="Times New Roman" w:cs="Times New Roman"/>
                <w:sz w:val="28"/>
                <w:szCs w:val="28"/>
              </w:rPr>
              <w:t xml:space="preserve">= </w:t>
            </w:r>
            <w:r w:rsidR="007C6FF4" w:rsidRPr="00D24F2F">
              <w:rPr>
                <w:rFonts w:ascii="Times New Roman" w:hAnsi="Times New Roman" w:cs="Times New Roman"/>
                <w:sz w:val="28"/>
                <w:szCs w:val="28"/>
                <w:lang w:val="en-US"/>
              </w:rPr>
              <w:t>0,0</w:t>
            </w:r>
            <w:r w:rsidR="00D24F2F" w:rsidRPr="00D24F2F">
              <w:rPr>
                <w:rFonts w:ascii="Times New Roman" w:hAnsi="Times New Roman" w:cs="Times New Roman"/>
                <w:sz w:val="28"/>
                <w:szCs w:val="28"/>
              </w:rPr>
              <w:t>3</w:t>
            </w:r>
            <w:r w:rsidR="00146D76">
              <w:rPr>
                <w:rFonts w:ascii="Times New Roman" w:hAnsi="Times New Roman" w:cs="Times New Roman"/>
                <w:sz w:val="28"/>
                <w:szCs w:val="28"/>
                <w:lang w:val="en-US"/>
              </w:rPr>
              <w:t>28</w:t>
            </w:r>
          </w:p>
        </w:tc>
        <w:tc>
          <w:tcPr>
            <w:tcW w:w="2363" w:type="dxa"/>
          </w:tcPr>
          <w:p w:rsidR="00AE2DD9" w:rsidRPr="006D3110" w:rsidRDefault="006D3110" w:rsidP="00886747">
            <w:pPr>
              <w:autoSpaceDE w:val="0"/>
              <w:autoSpaceDN w:val="0"/>
              <w:adjustRightInd w:val="0"/>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p = 0,04</w:t>
            </w:r>
            <w:r w:rsidR="00146D76">
              <w:rPr>
                <w:rFonts w:ascii="Times New Roman" w:hAnsi="Times New Roman" w:cs="Times New Roman"/>
                <w:sz w:val="28"/>
                <w:szCs w:val="28"/>
                <w:lang w:val="en-US"/>
              </w:rPr>
              <w:t>35</w:t>
            </w:r>
          </w:p>
        </w:tc>
        <w:tc>
          <w:tcPr>
            <w:tcW w:w="1701" w:type="dxa"/>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en-US"/>
              </w:rPr>
            </w:pPr>
          </w:p>
        </w:tc>
        <w:tc>
          <w:tcPr>
            <w:tcW w:w="1559" w:type="dxa"/>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uk-UA"/>
              </w:rPr>
            </w:pPr>
          </w:p>
        </w:tc>
      </w:tr>
      <w:tr w:rsidR="00AE2DD9" w:rsidRPr="0092752A" w:rsidTr="00EB6204">
        <w:tc>
          <w:tcPr>
            <w:tcW w:w="1985" w:type="dxa"/>
          </w:tcPr>
          <w:p w:rsidR="00AE2DD9" w:rsidRPr="00D24F2F" w:rsidRDefault="00AE2DD9" w:rsidP="009755C8">
            <w:pPr>
              <w:autoSpaceDE w:val="0"/>
              <w:autoSpaceDN w:val="0"/>
              <w:adjustRightInd w:val="0"/>
              <w:jc w:val="both"/>
              <w:rPr>
                <w:rFonts w:ascii="Times New Roman" w:hAnsi="Times New Roman" w:cs="Times New Roman"/>
                <w:sz w:val="28"/>
                <w:szCs w:val="28"/>
                <w:vertAlign w:val="superscript"/>
                <w:lang w:val="uk-UA"/>
              </w:rPr>
            </w:pPr>
            <w:r w:rsidRPr="00D24F2F">
              <w:rPr>
                <w:rFonts w:ascii="Times New Roman" w:hAnsi="Times New Roman" w:cs="Times New Roman"/>
                <w:sz w:val="28"/>
                <w:szCs w:val="28"/>
                <w:lang w:val="uk-UA"/>
              </w:rPr>
              <w:t>ІММ ЛШ, г/м</w:t>
            </w:r>
            <w:r w:rsidRPr="00D24F2F">
              <w:rPr>
                <w:rFonts w:ascii="Times New Roman" w:hAnsi="Times New Roman" w:cs="Times New Roman"/>
                <w:sz w:val="28"/>
                <w:szCs w:val="28"/>
                <w:vertAlign w:val="superscript"/>
                <w:lang w:val="uk-UA"/>
              </w:rPr>
              <w:t>2,7</w:t>
            </w:r>
          </w:p>
        </w:tc>
        <w:tc>
          <w:tcPr>
            <w:tcW w:w="1984" w:type="dxa"/>
          </w:tcPr>
          <w:p w:rsidR="00AE2DD9" w:rsidRPr="00D24F2F" w:rsidRDefault="00AE2DD9" w:rsidP="00E629C8">
            <w:pPr>
              <w:autoSpaceDE w:val="0"/>
              <w:autoSpaceDN w:val="0"/>
              <w:adjustRightInd w:val="0"/>
              <w:jc w:val="both"/>
              <w:rPr>
                <w:rFonts w:ascii="Times New Roman" w:hAnsi="Times New Roman" w:cs="Times New Roman"/>
                <w:sz w:val="28"/>
                <w:szCs w:val="28"/>
                <w:u w:val="single"/>
                <w:lang w:val="uk-UA"/>
              </w:rPr>
            </w:pPr>
            <w:r w:rsidRPr="00D24F2F">
              <w:rPr>
                <w:rFonts w:ascii="Times New Roman" w:hAnsi="Times New Roman" w:cs="Times New Roman"/>
                <w:sz w:val="28"/>
                <w:szCs w:val="28"/>
                <w:u w:val="single"/>
                <w:lang w:val="uk-UA"/>
              </w:rPr>
              <w:t>73</w:t>
            </w:r>
            <w:r w:rsidR="00E23A59" w:rsidRPr="00C65B1D">
              <w:rPr>
                <w:rFonts w:ascii="Times New Roman" w:hAnsi="Times New Roman" w:cs="Times New Roman"/>
                <w:sz w:val="28"/>
                <w:szCs w:val="28"/>
                <w:u w:val="single"/>
              </w:rPr>
              <w:t xml:space="preserve"> </w:t>
            </w:r>
            <w:r w:rsidRPr="00D24F2F">
              <w:rPr>
                <w:rFonts w:ascii="Times New Roman" w:hAnsi="Times New Roman" w:cs="Times New Roman"/>
                <w:sz w:val="28"/>
                <w:szCs w:val="28"/>
                <w:u w:val="single"/>
                <w:lang w:val="uk-UA"/>
              </w:rPr>
              <w:t>±</w:t>
            </w:r>
            <w:r w:rsidR="00E23A59" w:rsidRPr="00C65B1D">
              <w:rPr>
                <w:rFonts w:ascii="Times New Roman" w:hAnsi="Times New Roman" w:cs="Times New Roman"/>
                <w:sz w:val="28"/>
                <w:szCs w:val="28"/>
                <w:u w:val="single"/>
              </w:rPr>
              <w:t xml:space="preserve"> </w:t>
            </w:r>
            <w:r w:rsidRPr="00D24F2F">
              <w:rPr>
                <w:rFonts w:ascii="Times New Roman" w:hAnsi="Times New Roman" w:cs="Times New Roman"/>
                <w:sz w:val="28"/>
                <w:szCs w:val="28"/>
                <w:u w:val="single"/>
                <w:lang w:val="uk-UA"/>
              </w:rPr>
              <w:t>0,8</w:t>
            </w:r>
          </w:p>
          <w:p w:rsidR="00AE2DD9" w:rsidRPr="00D24F2F" w:rsidRDefault="00AE2DD9" w:rsidP="00E629C8">
            <w:pPr>
              <w:autoSpaceDE w:val="0"/>
              <w:autoSpaceDN w:val="0"/>
              <w:adjustRightInd w:val="0"/>
              <w:jc w:val="both"/>
              <w:rPr>
                <w:rFonts w:ascii="Times New Roman" w:hAnsi="Times New Roman" w:cs="Times New Roman"/>
                <w:sz w:val="28"/>
                <w:szCs w:val="28"/>
                <w:lang w:val="uk-UA"/>
              </w:rPr>
            </w:pPr>
            <w:r w:rsidRPr="00D24F2F">
              <w:rPr>
                <w:rFonts w:ascii="Times New Roman" w:hAnsi="Times New Roman" w:cs="Times New Roman"/>
                <w:sz w:val="28"/>
                <w:szCs w:val="28"/>
                <w:lang w:val="uk-UA"/>
              </w:rPr>
              <w:t>68,1</w:t>
            </w:r>
            <w:r w:rsidR="00E23A59" w:rsidRPr="00C65B1D">
              <w:rPr>
                <w:rFonts w:ascii="Times New Roman" w:hAnsi="Times New Roman" w:cs="Times New Roman"/>
                <w:sz w:val="28"/>
                <w:szCs w:val="28"/>
              </w:rPr>
              <w:t xml:space="preserve"> </w:t>
            </w:r>
            <w:r w:rsidRPr="00D24F2F">
              <w:rPr>
                <w:rFonts w:ascii="Times New Roman" w:hAnsi="Times New Roman" w:cs="Times New Roman"/>
                <w:sz w:val="28"/>
                <w:szCs w:val="28"/>
                <w:lang w:val="uk-UA"/>
              </w:rPr>
              <w:t>±</w:t>
            </w:r>
            <w:r w:rsidR="00E23A59" w:rsidRPr="00C65B1D">
              <w:rPr>
                <w:rFonts w:ascii="Times New Roman" w:hAnsi="Times New Roman" w:cs="Times New Roman"/>
                <w:sz w:val="28"/>
                <w:szCs w:val="28"/>
              </w:rPr>
              <w:t xml:space="preserve"> </w:t>
            </w:r>
            <w:r w:rsidRPr="00D24F2F">
              <w:rPr>
                <w:rFonts w:ascii="Times New Roman" w:hAnsi="Times New Roman" w:cs="Times New Roman"/>
                <w:sz w:val="28"/>
                <w:szCs w:val="28"/>
                <w:lang w:val="uk-UA"/>
              </w:rPr>
              <w:t>1,1</w:t>
            </w:r>
          </w:p>
        </w:tc>
        <w:tc>
          <w:tcPr>
            <w:tcW w:w="2363" w:type="dxa"/>
          </w:tcPr>
          <w:p w:rsidR="00AE2DD9" w:rsidRPr="00D24F2F" w:rsidRDefault="00AE2DD9" w:rsidP="00E629C8">
            <w:pPr>
              <w:autoSpaceDE w:val="0"/>
              <w:autoSpaceDN w:val="0"/>
              <w:adjustRightInd w:val="0"/>
              <w:jc w:val="both"/>
              <w:rPr>
                <w:rFonts w:ascii="Times New Roman" w:hAnsi="Times New Roman" w:cs="Times New Roman"/>
                <w:sz w:val="28"/>
                <w:szCs w:val="28"/>
                <w:u w:val="single"/>
                <w:lang w:val="uk-UA"/>
              </w:rPr>
            </w:pPr>
            <w:r w:rsidRPr="00D24F2F">
              <w:rPr>
                <w:rFonts w:ascii="Times New Roman" w:hAnsi="Times New Roman" w:cs="Times New Roman"/>
                <w:sz w:val="28"/>
                <w:szCs w:val="28"/>
                <w:u w:val="single"/>
                <w:lang w:val="uk-UA"/>
              </w:rPr>
              <w:t>91</w:t>
            </w:r>
            <w:r w:rsidR="00E23A59" w:rsidRPr="00C65B1D">
              <w:rPr>
                <w:rFonts w:ascii="Times New Roman" w:hAnsi="Times New Roman" w:cs="Times New Roman"/>
                <w:sz w:val="28"/>
                <w:szCs w:val="28"/>
                <w:u w:val="single"/>
              </w:rPr>
              <w:t xml:space="preserve"> </w:t>
            </w:r>
            <w:r w:rsidRPr="00D24F2F">
              <w:rPr>
                <w:rFonts w:ascii="Times New Roman" w:hAnsi="Times New Roman" w:cs="Times New Roman"/>
                <w:sz w:val="28"/>
                <w:szCs w:val="28"/>
                <w:u w:val="single"/>
                <w:lang w:val="uk-UA"/>
              </w:rPr>
              <w:t>±</w:t>
            </w:r>
            <w:r w:rsidR="00E23A59" w:rsidRPr="00C65B1D">
              <w:rPr>
                <w:rFonts w:ascii="Times New Roman" w:hAnsi="Times New Roman" w:cs="Times New Roman"/>
                <w:sz w:val="28"/>
                <w:szCs w:val="28"/>
                <w:u w:val="single"/>
              </w:rPr>
              <w:t xml:space="preserve"> </w:t>
            </w:r>
            <w:r w:rsidRPr="00D24F2F">
              <w:rPr>
                <w:rFonts w:ascii="Times New Roman" w:hAnsi="Times New Roman" w:cs="Times New Roman"/>
                <w:sz w:val="28"/>
                <w:szCs w:val="28"/>
                <w:u w:val="single"/>
                <w:lang w:val="uk-UA"/>
              </w:rPr>
              <w:t>0,54</w:t>
            </w:r>
          </w:p>
          <w:p w:rsidR="00AE2DD9" w:rsidRPr="00D24F2F" w:rsidRDefault="00AE2DD9" w:rsidP="00E629C8">
            <w:pPr>
              <w:autoSpaceDE w:val="0"/>
              <w:autoSpaceDN w:val="0"/>
              <w:adjustRightInd w:val="0"/>
              <w:jc w:val="both"/>
              <w:rPr>
                <w:rFonts w:ascii="Times New Roman" w:hAnsi="Times New Roman" w:cs="Times New Roman"/>
                <w:sz w:val="28"/>
                <w:szCs w:val="28"/>
                <w:lang w:val="uk-UA"/>
              </w:rPr>
            </w:pPr>
            <w:r w:rsidRPr="00D24F2F">
              <w:rPr>
                <w:rFonts w:ascii="Times New Roman" w:hAnsi="Times New Roman" w:cs="Times New Roman"/>
                <w:sz w:val="28"/>
                <w:szCs w:val="28"/>
                <w:lang w:val="uk-UA"/>
              </w:rPr>
              <w:t>88,2</w:t>
            </w:r>
            <w:r w:rsidR="00E23A59" w:rsidRPr="00C65B1D">
              <w:rPr>
                <w:rFonts w:ascii="Times New Roman" w:hAnsi="Times New Roman" w:cs="Times New Roman"/>
                <w:sz w:val="28"/>
                <w:szCs w:val="28"/>
              </w:rPr>
              <w:t xml:space="preserve"> </w:t>
            </w:r>
            <w:r w:rsidRPr="00D24F2F">
              <w:rPr>
                <w:rFonts w:ascii="Times New Roman" w:hAnsi="Times New Roman" w:cs="Times New Roman"/>
                <w:sz w:val="28"/>
                <w:szCs w:val="28"/>
                <w:lang w:val="uk-UA"/>
              </w:rPr>
              <w:t>±</w:t>
            </w:r>
            <w:r w:rsidR="00E23A59" w:rsidRPr="00C65B1D">
              <w:rPr>
                <w:rFonts w:ascii="Times New Roman" w:hAnsi="Times New Roman" w:cs="Times New Roman"/>
                <w:sz w:val="28"/>
                <w:szCs w:val="28"/>
              </w:rPr>
              <w:t xml:space="preserve"> </w:t>
            </w:r>
            <w:r w:rsidRPr="00D24F2F">
              <w:rPr>
                <w:rFonts w:ascii="Times New Roman" w:hAnsi="Times New Roman" w:cs="Times New Roman"/>
                <w:sz w:val="28"/>
                <w:szCs w:val="28"/>
                <w:lang w:val="uk-UA"/>
              </w:rPr>
              <w:t>0,2</w:t>
            </w:r>
          </w:p>
        </w:tc>
        <w:tc>
          <w:tcPr>
            <w:tcW w:w="1701" w:type="dxa"/>
          </w:tcPr>
          <w:p w:rsidR="00AE2DD9" w:rsidRPr="00C65B1D" w:rsidRDefault="0092752A" w:rsidP="009755C8">
            <w:pPr>
              <w:autoSpaceDE w:val="0"/>
              <w:autoSpaceDN w:val="0"/>
              <w:adjustRightInd w:val="0"/>
              <w:spacing w:line="360" w:lineRule="auto"/>
              <w:jc w:val="both"/>
              <w:rPr>
                <w:rFonts w:ascii="Times New Roman" w:hAnsi="Times New Roman" w:cs="Times New Roman"/>
                <w:sz w:val="28"/>
                <w:szCs w:val="28"/>
                <w:highlight w:val="yellow"/>
              </w:rPr>
            </w:pPr>
            <w:r>
              <w:rPr>
                <w:rFonts w:ascii="Times New Roman" w:hAnsi="Times New Roman" w:cs="Times New Roman"/>
                <w:sz w:val="28"/>
                <w:szCs w:val="28"/>
                <w:lang w:val="uk-UA"/>
              </w:rPr>
              <w:t>32</w:t>
            </w:r>
            <w:r w:rsidRPr="00C65B1D">
              <w:rPr>
                <w:rFonts w:ascii="Times New Roman" w:hAnsi="Times New Roman" w:cs="Times New Roman"/>
                <w:sz w:val="28"/>
                <w:szCs w:val="28"/>
              </w:rPr>
              <w:t>,95</w:t>
            </w:r>
            <w:r w:rsidR="00E23A59" w:rsidRPr="00C65B1D">
              <w:rPr>
                <w:rFonts w:ascii="Times New Roman" w:hAnsi="Times New Roman" w:cs="Times New Roman"/>
                <w:sz w:val="28"/>
                <w:szCs w:val="28"/>
              </w:rPr>
              <w:t xml:space="preserve"> </w:t>
            </w:r>
            <w:r>
              <w:rPr>
                <w:rFonts w:ascii="Times New Roman" w:hAnsi="Times New Roman" w:cs="Times New Roman"/>
                <w:sz w:val="28"/>
                <w:szCs w:val="28"/>
                <w:lang w:val="uk-UA"/>
              </w:rPr>
              <w:t>±</w:t>
            </w:r>
            <w:r w:rsidR="00E23A59" w:rsidRPr="00C65B1D">
              <w:rPr>
                <w:rFonts w:ascii="Times New Roman" w:hAnsi="Times New Roman" w:cs="Times New Roman"/>
                <w:sz w:val="28"/>
                <w:szCs w:val="28"/>
              </w:rPr>
              <w:t xml:space="preserve"> </w:t>
            </w:r>
            <w:r>
              <w:rPr>
                <w:rFonts w:ascii="Times New Roman" w:hAnsi="Times New Roman" w:cs="Times New Roman"/>
                <w:sz w:val="28"/>
                <w:szCs w:val="28"/>
                <w:lang w:val="uk-UA"/>
              </w:rPr>
              <w:t>0,</w:t>
            </w:r>
            <w:r w:rsidRPr="00C65B1D">
              <w:rPr>
                <w:rFonts w:ascii="Times New Roman" w:hAnsi="Times New Roman" w:cs="Times New Roman"/>
                <w:sz w:val="28"/>
                <w:szCs w:val="28"/>
              </w:rPr>
              <w:t>99</w:t>
            </w:r>
          </w:p>
        </w:tc>
        <w:tc>
          <w:tcPr>
            <w:tcW w:w="1559" w:type="dxa"/>
          </w:tcPr>
          <w:p w:rsidR="00AE2DD9" w:rsidRPr="0092752A" w:rsidRDefault="00AE2DD9" w:rsidP="001A7A89">
            <w:pPr>
              <w:autoSpaceDE w:val="0"/>
              <w:autoSpaceDN w:val="0"/>
              <w:adjustRightInd w:val="0"/>
              <w:jc w:val="both"/>
              <w:rPr>
                <w:rFonts w:ascii="Times New Roman" w:hAnsi="Times New Roman" w:cs="Times New Roman"/>
                <w:sz w:val="28"/>
                <w:szCs w:val="28"/>
                <w:lang w:val="uk-UA"/>
              </w:rPr>
            </w:pPr>
            <w:r w:rsidRPr="004A581F">
              <w:rPr>
                <w:rFonts w:ascii="Times New Roman" w:hAnsi="Times New Roman" w:cs="Times New Roman"/>
                <w:sz w:val="28"/>
                <w:szCs w:val="28"/>
                <w:lang w:val="uk-UA"/>
              </w:rPr>
              <w:t>р</w:t>
            </w:r>
            <w:r w:rsidRPr="0092752A">
              <w:rPr>
                <w:rFonts w:ascii="Times New Roman" w:hAnsi="Times New Roman" w:cs="Times New Roman"/>
                <w:sz w:val="28"/>
                <w:szCs w:val="28"/>
                <w:vertAlign w:val="subscript"/>
                <w:lang w:val="uk-UA"/>
              </w:rPr>
              <w:t>1</w:t>
            </w:r>
            <w:r w:rsidR="004A581F" w:rsidRPr="0092752A">
              <w:rPr>
                <w:rFonts w:ascii="Times New Roman" w:hAnsi="Times New Roman" w:cs="Times New Roman"/>
                <w:sz w:val="28"/>
                <w:szCs w:val="28"/>
                <w:vertAlign w:val="subscript"/>
                <w:lang w:val="uk-UA"/>
              </w:rPr>
              <w:t xml:space="preserve"> </w:t>
            </w:r>
            <w:r w:rsidRPr="0092752A">
              <w:rPr>
                <w:rFonts w:ascii="Times New Roman" w:hAnsi="Times New Roman" w:cs="Times New Roman"/>
                <w:sz w:val="28"/>
                <w:szCs w:val="28"/>
                <w:lang w:val="uk-UA"/>
              </w:rPr>
              <w:t>&lt;</w:t>
            </w:r>
            <w:r w:rsidR="004A581F" w:rsidRPr="0092752A">
              <w:rPr>
                <w:rFonts w:ascii="Times New Roman" w:hAnsi="Times New Roman" w:cs="Times New Roman"/>
                <w:sz w:val="28"/>
                <w:szCs w:val="28"/>
                <w:lang w:val="uk-UA"/>
              </w:rPr>
              <w:t xml:space="preserve"> </w:t>
            </w:r>
            <w:r w:rsidRPr="0092752A">
              <w:rPr>
                <w:rFonts w:ascii="Times New Roman" w:hAnsi="Times New Roman" w:cs="Times New Roman"/>
                <w:sz w:val="28"/>
                <w:szCs w:val="28"/>
                <w:lang w:val="uk-UA"/>
              </w:rPr>
              <w:t>0,00</w:t>
            </w:r>
            <w:r w:rsidR="00D64683" w:rsidRPr="0092752A">
              <w:rPr>
                <w:rFonts w:ascii="Times New Roman" w:hAnsi="Times New Roman" w:cs="Times New Roman"/>
                <w:sz w:val="28"/>
                <w:szCs w:val="28"/>
                <w:lang w:val="uk-UA"/>
              </w:rPr>
              <w:t>0</w:t>
            </w:r>
            <w:r w:rsidRPr="0092752A">
              <w:rPr>
                <w:rFonts w:ascii="Times New Roman" w:hAnsi="Times New Roman" w:cs="Times New Roman"/>
                <w:sz w:val="28"/>
                <w:szCs w:val="28"/>
                <w:lang w:val="uk-UA"/>
              </w:rPr>
              <w:t>1</w:t>
            </w:r>
          </w:p>
          <w:p w:rsidR="00AE2DD9" w:rsidRPr="0092752A" w:rsidRDefault="00AE2DD9" w:rsidP="001A7A89">
            <w:pPr>
              <w:autoSpaceDE w:val="0"/>
              <w:autoSpaceDN w:val="0"/>
              <w:adjustRightInd w:val="0"/>
              <w:jc w:val="both"/>
              <w:rPr>
                <w:rFonts w:ascii="Times New Roman" w:hAnsi="Times New Roman" w:cs="Times New Roman"/>
                <w:sz w:val="28"/>
                <w:szCs w:val="28"/>
                <w:lang w:val="uk-UA"/>
              </w:rPr>
            </w:pPr>
            <w:r w:rsidRPr="004A581F">
              <w:rPr>
                <w:rFonts w:ascii="Times New Roman" w:hAnsi="Times New Roman" w:cs="Times New Roman"/>
                <w:sz w:val="28"/>
                <w:szCs w:val="28"/>
                <w:lang w:val="uk-UA"/>
              </w:rPr>
              <w:t>р</w:t>
            </w:r>
            <w:r w:rsidRPr="0092752A">
              <w:rPr>
                <w:rFonts w:ascii="Times New Roman" w:hAnsi="Times New Roman" w:cs="Times New Roman"/>
                <w:sz w:val="28"/>
                <w:szCs w:val="28"/>
                <w:vertAlign w:val="subscript"/>
                <w:lang w:val="uk-UA"/>
              </w:rPr>
              <w:t>2</w:t>
            </w:r>
            <w:r w:rsidR="004A581F" w:rsidRPr="0092752A">
              <w:rPr>
                <w:rFonts w:ascii="Times New Roman" w:hAnsi="Times New Roman" w:cs="Times New Roman"/>
                <w:sz w:val="28"/>
                <w:szCs w:val="28"/>
                <w:vertAlign w:val="subscript"/>
                <w:lang w:val="uk-UA"/>
              </w:rPr>
              <w:t xml:space="preserve"> </w:t>
            </w:r>
            <w:r w:rsidRPr="0092752A">
              <w:rPr>
                <w:rFonts w:ascii="Times New Roman" w:hAnsi="Times New Roman" w:cs="Times New Roman"/>
                <w:sz w:val="28"/>
                <w:szCs w:val="28"/>
                <w:lang w:val="uk-UA"/>
              </w:rPr>
              <w:t>&lt;</w:t>
            </w:r>
            <w:r w:rsidR="004A581F" w:rsidRPr="0092752A">
              <w:rPr>
                <w:rFonts w:ascii="Times New Roman" w:hAnsi="Times New Roman" w:cs="Times New Roman"/>
                <w:sz w:val="28"/>
                <w:szCs w:val="28"/>
                <w:lang w:val="uk-UA"/>
              </w:rPr>
              <w:t xml:space="preserve"> </w:t>
            </w:r>
            <w:r w:rsidRPr="0092752A">
              <w:rPr>
                <w:rFonts w:ascii="Times New Roman" w:hAnsi="Times New Roman" w:cs="Times New Roman"/>
                <w:sz w:val="28"/>
                <w:szCs w:val="28"/>
                <w:lang w:val="uk-UA"/>
              </w:rPr>
              <w:t>0,00</w:t>
            </w:r>
            <w:r w:rsidR="00D64683" w:rsidRPr="0092752A">
              <w:rPr>
                <w:rFonts w:ascii="Times New Roman" w:hAnsi="Times New Roman" w:cs="Times New Roman"/>
                <w:sz w:val="28"/>
                <w:szCs w:val="28"/>
                <w:lang w:val="uk-UA"/>
              </w:rPr>
              <w:t>0</w:t>
            </w:r>
            <w:r w:rsidRPr="0092752A">
              <w:rPr>
                <w:rFonts w:ascii="Times New Roman" w:hAnsi="Times New Roman" w:cs="Times New Roman"/>
                <w:sz w:val="28"/>
                <w:szCs w:val="28"/>
                <w:lang w:val="uk-UA"/>
              </w:rPr>
              <w:t>1</w:t>
            </w:r>
          </w:p>
          <w:p w:rsidR="00AE2DD9" w:rsidRPr="00097A40" w:rsidRDefault="00AE2DD9" w:rsidP="001A7A89">
            <w:pPr>
              <w:autoSpaceDE w:val="0"/>
              <w:autoSpaceDN w:val="0"/>
              <w:adjustRightInd w:val="0"/>
              <w:spacing w:line="360" w:lineRule="auto"/>
              <w:jc w:val="both"/>
              <w:rPr>
                <w:rFonts w:ascii="Times New Roman" w:hAnsi="Times New Roman" w:cs="Times New Roman"/>
                <w:sz w:val="28"/>
                <w:szCs w:val="28"/>
                <w:highlight w:val="yellow"/>
                <w:lang w:val="uk-UA"/>
              </w:rPr>
            </w:pPr>
            <w:r w:rsidRPr="004A581F">
              <w:rPr>
                <w:rFonts w:ascii="Times New Roman" w:hAnsi="Times New Roman" w:cs="Times New Roman"/>
                <w:sz w:val="28"/>
                <w:szCs w:val="28"/>
                <w:lang w:val="uk-UA"/>
              </w:rPr>
              <w:t>р</w:t>
            </w:r>
            <w:r w:rsidRPr="0092752A">
              <w:rPr>
                <w:rFonts w:ascii="Times New Roman" w:hAnsi="Times New Roman" w:cs="Times New Roman"/>
                <w:sz w:val="28"/>
                <w:szCs w:val="28"/>
                <w:vertAlign w:val="subscript"/>
                <w:lang w:val="uk-UA"/>
              </w:rPr>
              <w:t>3</w:t>
            </w:r>
            <w:r w:rsidR="004A581F" w:rsidRPr="0092752A">
              <w:rPr>
                <w:rFonts w:ascii="Times New Roman" w:hAnsi="Times New Roman" w:cs="Times New Roman"/>
                <w:sz w:val="28"/>
                <w:szCs w:val="28"/>
                <w:vertAlign w:val="subscript"/>
                <w:lang w:val="uk-UA"/>
              </w:rPr>
              <w:t xml:space="preserve"> </w:t>
            </w:r>
            <w:r w:rsidRPr="0092752A">
              <w:rPr>
                <w:rFonts w:ascii="Times New Roman" w:hAnsi="Times New Roman" w:cs="Times New Roman"/>
                <w:sz w:val="28"/>
                <w:szCs w:val="28"/>
                <w:lang w:val="uk-UA"/>
              </w:rPr>
              <w:t>&lt;</w:t>
            </w:r>
            <w:r w:rsidR="004A581F" w:rsidRPr="0092752A">
              <w:rPr>
                <w:rFonts w:ascii="Times New Roman" w:hAnsi="Times New Roman" w:cs="Times New Roman"/>
                <w:sz w:val="28"/>
                <w:szCs w:val="28"/>
                <w:lang w:val="uk-UA"/>
              </w:rPr>
              <w:t xml:space="preserve"> </w:t>
            </w:r>
            <w:r w:rsidRPr="0092752A">
              <w:rPr>
                <w:rFonts w:ascii="Times New Roman" w:hAnsi="Times New Roman" w:cs="Times New Roman"/>
                <w:sz w:val="28"/>
                <w:szCs w:val="28"/>
                <w:lang w:val="uk-UA"/>
              </w:rPr>
              <w:t>0,00</w:t>
            </w:r>
            <w:r w:rsidR="00D64683" w:rsidRPr="0092752A">
              <w:rPr>
                <w:rFonts w:ascii="Times New Roman" w:hAnsi="Times New Roman" w:cs="Times New Roman"/>
                <w:sz w:val="28"/>
                <w:szCs w:val="28"/>
                <w:lang w:val="uk-UA"/>
              </w:rPr>
              <w:t>0</w:t>
            </w:r>
            <w:r w:rsidRPr="0092752A">
              <w:rPr>
                <w:rFonts w:ascii="Times New Roman" w:hAnsi="Times New Roman" w:cs="Times New Roman"/>
                <w:sz w:val="28"/>
                <w:szCs w:val="28"/>
                <w:lang w:val="uk-UA"/>
              </w:rPr>
              <w:t>1</w:t>
            </w:r>
          </w:p>
        </w:tc>
      </w:tr>
      <w:tr w:rsidR="00AE2DD9" w:rsidRPr="0092752A" w:rsidTr="00EB6204">
        <w:tc>
          <w:tcPr>
            <w:tcW w:w="1985" w:type="dxa"/>
          </w:tcPr>
          <w:p w:rsidR="00AE2DD9" w:rsidRPr="00097A40" w:rsidRDefault="00AE2DD9" w:rsidP="009755C8">
            <w:pPr>
              <w:autoSpaceDE w:val="0"/>
              <w:autoSpaceDN w:val="0"/>
              <w:adjustRightInd w:val="0"/>
              <w:jc w:val="both"/>
              <w:rPr>
                <w:rFonts w:ascii="Times New Roman" w:hAnsi="Times New Roman" w:cs="Times New Roman"/>
                <w:sz w:val="28"/>
                <w:szCs w:val="28"/>
                <w:highlight w:val="yellow"/>
                <w:lang w:val="uk-UA"/>
              </w:rPr>
            </w:pPr>
          </w:p>
        </w:tc>
        <w:tc>
          <w:tcPr>
            <w:tcW w:w="1984" w:type="dxa"/>
          </w:tcPr>
          <w:p w:rsidR="00AE2DD9" w:rsidRPr="00146D76" w:rsidRDefault="0090132B" w:rsidP="00E629C8">
            <w:pPr>
              <w:autoSpaceDE w:val="0"/>
              <w:autoSpaceDN w:val="0"/>
              <w:adjustRightInd w:val="0"/>
              <w:spacing w:line="360" w:lineRule="auto"/>
              <w:jc w:val="both"/>
              <w:rPr>
                <w:rFonts w:ascii="Times New Roman" w:hAnsi="Times New Roman" w:cs="Times New Roman"/>
                <w:sz w:val="28"/>
                <w:szCs w:val="28"/>
                <w:lang w:val="en-US"/>
              </w:rPr>
            </w:pPr>
            <w:r w:rsidRPr="00D24F2F">
              <w:rPr>
                <w:rFonts w:ascii="Times New Roman" w:hAnsi="Times New Roman" w:cs="Times New Roman"/>
                <w:sz w:val="28"/>
                <w:szCs w:val="28"/>
                <w:lang w:val="en-US"/>
              </w:rPr>
              <w:t>p</w:t>
            </w:r>
            <w:r w:rsidRPr="0092752A">
              <w:rPr>
                <w:rFonts w:ascii="Times New Roman" w:hAnsi="Times New Roman" w:cs="Times New Roman"/>
                <w:sz w:val="28"/>
                <w:szCs w:val="28"/>
                <w:lang w:val="uk-UA"/>
              </w:rPr>
              <w:t xml:space="preserve"> = 0,00</w:t>
            </w:r>
            <w:r w:rsidR="00D24F2F" w:rsidRPr="0092752A">
              <w:rPr>
                <w:rFonts w:ascii="Times New Roman" w:hAnsi="Times New Roman" w:cs="Times New Roman"/>
                <w:sz w:val="28"/>
                <w:szCs w:val="28"/>
                <w:lang w:val="uk-UA"/>
              </w:rPr>
              <w:t>0</w:t>
            </w:r>
            <w:r w:rsidR="00146D76">
              <w:rPr>
                <w:rFonts w:ascii="Times New Roman" w:hAnsi="Times New Roman" w:cs="Times New Roman"/>
                <w:sz w:val="28"/>
                <w:szCs w:val="28"/>
                <w:lang w:val="en-US"/>
              </w:rPr>
              <w:t>7</w:t>
            </w:r>
          </w:p>
        </w:tc>
        <w:tc>
          <w:tcPr>
            <w:tcW w:w="2363" w:type="dxa"/>
          </w:tcPr>
          <w:p w:rsidR="00AE2DD9" w:rsidRPr="00D24F2F" w:rsidRDefault="00AE2DD9" w:rsidP="00E629C8">
            <w:pPr>
              <w:autoSpaceDE w:val="0"/>
              <w:autoSpaceDN w:val="0"/>
              <w:adjustRightInd w:val="0"/>
              <w:spacing w:line="360" w:lineRule="auto"/>
              <w:jc w:val="both"/>
              <w:rPr>
                <w:rFonts w:ascii="Times New Roman" w:hAnsi="Times New Roman" w:cs="Times New Roman"/>
                <w:sz w:val="28"/>
                <w:szCs w:val="28"/>
                <w:lang w:val="uk-UA"/>
              </w:rPr>
            </w:pPr>
            <w:r w:rsidRPr="00D24F2F">
              <w:rPr>
                <w:rFonts w:ascii="Times New Roman" w:hAnsi="Times New Roman" w:cs="Times New Roman"/>
                <w:sz w:val="28"/>
                <w:szCs w:val="28"/>
                <w:lang w:val="uk-UA"/>
              </w:rPr>
              <w:t>p &lt;</w:t>
            </w:r>
            <w:r w:rsidR="0090132B" w:rsidRPr="00D24F2F">
              <w:rPr>
                <w:rFonts w:ascii="Times New Roman" w:hAnsi="Times New Roman" w:cs="Times New Roman"/>
                <w:sz w:val="28"/>
                <w:szCs w:val="28"/>
                <w:lang w:val="uk-UA"/>
              </w:rPr>
              <w:t xml:space="preserve"> </w:t>
            </w:r>
            <w:r w:rsidRPr="00D24F2F">
              <w:rPr>
                <w:rFonts w:ascii="Times New Roman" w:hAnsi="Times New Roman" w:cs="Times New Roman"/>
                <w:sz w:val="28"/>
                <w:szCs w:val="28"/>
                <w:lang w:val="uk-UA"/>
              </w:rPr>
              <w:t>0,00</w:t>
            </w:r>
            <w:r w:rsidR="00D64683" w:rsidRPr="0092752A">
              <w:rPr>
                <w:rFonts w:ascii="Times New Roman" w:hAnsi="Times New Roman" w:cs="Times New Roman"/>
                <w:sz w:val="28"/>
                <w:szCs w:val="28"/>
                <w:lang w:val="uk-UA"/>
              </w:rPr>
              <w:t>0</w:t>
            </w:r>
            <w:r w:rsidRPr="00D24F2F">
              <w:rPr>
                <w:rFonts w:ascii="Times New Roman" w:hAnsi="Times New Roman" w:cs="Times New Roman"/>
                <w:sz w:val="28"/>
                <w:szCs w:val="28"/>
                <w:lang w:val="uk-UA"/>
              </w:rPr>
              <w:t>1</w:t>
            </w:r>
          </w:p>
        </w:tc>
        <w:tc>
          <w:tcPr>
            <w:tcW w:w="1701" w:type="dxa"/>
          </w:tcPr>
          <w:p w:rsidR="00AE2DD9" w:rsidRPr="0092752A"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uk-UA"/>
              </w:rPr>
            </w:pPr>
          </w:p>
        </w:tc>
        <w:tc>
          <w:tcPr>
            <w:tcW w:w="1559" w:type="dxa"/>
          </w:tcPr>
          <w:p w:rsidR="00AE2DD9" w:rsidRPr="00097A40" w:rsidRDefault="00AE2DD9" w:rsidP="009755C8">
            <w:pPr>
              <w:autoSpaceDE w:val="0"/>
              <w:autoSpaceDN w:val="0"/>
              <w:adjustRightInd w:val="0"/>
              <w:spacing w:line="360" w:lineRule="auto"/>
              <w:jc w:val="both"/>
              <w:rPr>
                <w:rFonts w:ascii="Times New Roman" w:hAnsi="Times New Roman" w:cs="Times New Roman"/>
                <w:sz w:val="28"/>
                <w:szCs w:val="28"/>
                <w:highlight w:val="yellow"/>
                <w:lang w:val="uk-UA"/>
              </w:rPr>
            </w:pPr>
          </w:p>
        </w:tc>
      </w:tr>
    </w:tbl>
    <w:p w:rsidR="00C65B1D" w:rsidRPr="00340EA7" w:rsidRDefault="00C65B1D" w:rsidP="00734A9B">
      <w:pPr>
        <w:pStyle w:val="Default"/>
        <w:spacing w:line="360" w:lineRule="auto"/>
        <w:ind w:firstLine="709"/>
        <w:rPr>
          <w:rFonts w:ascii="Times New Roman" w:hAnsi="Times New Roman" w:cs="Times New Roman"/>
          <w:bCs/>
          <w:sz w:val="28"/>
          <w:szCs w:val="28"/>
          <w:lang w:val="uk-UA"/>
        </w:rPr>
      </w:pPr>
      <w:r w:rsidRPr="00340EA7">
        <w:rPr>
          <w:rFonts w:ascii="Times New Roman" w:hAnsi="Times New Roman" w:cs="Times New Roman"/>
          <w:bCs/>
          <w:sz w:val="28"/>
          <w:szCs w:val="28"/>
          <w:lang w:val="uk-UA"/>
        </w:rPr>
        <w:t>Примітки</w:t>
      </w:r>
      <w:r w:rsidR="00E23A59" w:rsidRPr="00340EA7">
        <w:rPr>
          <w:rFonts w:ascii="Times New Roman" w:hAnsi="Times New Roman" w:cs="Times New Roman"/>
          <w:bCs/>
          <w:sz w:val="28"/>
          <w:szCs w:val="28"/>
          <w:lang w:val="uk-UA"/>
        </w:rPr>
        <w:t>:</w:t>
      </w:r>
    </w:p>
    <w:p w:rsidR="001A7A89" w:rsidRPr="00E23A59" w:rsidRDefault="00C65B1D" w:rsidP="00C65B1D">
      <w:pPr>
        <w:pStyle w:val="Default"/>
        <w:spacing w:line="360" w:lineRule="auto"/>
        <w:rPr>
          <w:bCs/>
          <w:sz w:val="28"/>
          <w:szCs w:val="28"/>
          <w:lang w:val="uk-UA"/>
        </w:rPr>
      </w:pPr>
      <w:r>
        <w:rPr>
          <w:bCs/>
          <w:sz w:val="28"/>
          <w:szCs w:val="28"/>
          <w:lang w:val="uk-UA"/>
        </w:rPr>
        <w:t>1.</w:t>
      </w:r>
      <w:r w:rsidR="00E23A59" w:rsidRPr="00C65B1D">
        <w:rPr>
          <w:bCs/>
          <w:sz w:val="28"/>
          <w:szCs w:val="28"/>
        </w:rPr>
        <w:t xml:space="preserve"> </w:t>
      </w:r>
      <w:r w:rsidR="001A7A89" w:rsidRPr="00D24F2F">
        <w:rPr>
          <w:rFonts w:ascii="Times New Roman" w:hAnsi="Times New Roman" w:cs="Times New Roman"/>
          <w:bCs/>
          <w:sz w:val="28"/>
          <w:szCs w:val="28"/>
          <w:lang w:val="en-US"/>
        </w:rPr>
        <w:t>n</w:t>
      </w:r>
      <w:r w:rsidR="001A7A89" w:rsidRPr="0092752A">
        <w:rPr>
          <w:rFonts w:ascii="Times New Roman" w:hAnsi="Times New Roman" w:cs="Times New Roman"/>
          <w:bCs/>
          <w:sz w:val="28"/>
          <w:szCs w:val="28"/>
          <w:lang w:val="uk-UA"/>
        </w:rPr>
        <w:t xml:space="preserve"> –</w:t>
      </w:r>
      <w:r w:rsidR="006506E6">
        <w:rPr>
          <w:rFonts w:ascii="Times New Roman" w:hAnsi="Times New Roman" w:cs="Times New Roman"/>
          <w:bCs/>
          <w:sz w:val="28"/>
          <w:szCs w:val="28"/>
          <w:lang w:val="uk-UA"/>
        </w:rPr>
        <w:t xml:space="preserve"> к</w:t>
      </w:r>
      <w:r w:rsidR="006506E6">
        <w:rPr>
          <w:rFonts w:ascii="Times New Roman" w:hAnsi="Times New Roman" w:cs="Times New Roman"/>
          <w:bCs/>
          <w:sz w:val="28"/>
          <w:szCs w:val="28"/>
          <w:lang w:val="en-US"/>
        </w:rPr>
        <w:t>i</w:t>
      </w:r>
      <w:r w:rsidR="001A7A89" w:rsidRPr="00D24F2F">
        <w:rPr>
          <w:rFonts w:ascii="Times New Roman" w:hAnsi="Times New Roman" w:cs="Times New Roman"/>
          <w:bCs/>
          <w:sz w:val="28"/>
          <w:szCs w:val="28"/>
          <w:lang w:val="uk-UA"/>
        </w:rPr>
        <w:t>лькість осіб</w:t>
      </w:r>
      <w:r w:rsidR="00E23A59">
        <w:rPr>
          <w:rFonts w:ascii="Times New Roman" w:hAnsi="Times New Roman" w:cs="Times New Roman"/>
          <w:bCs/>
          <w:sz w:val="28"/>
          <w:szCs w:val="28"/>
        </w:rPr>
        <w:t>;</w:t>
      </w:r>
    </w:p>
    <w:p w:rsidR="001A7A89" w:rsidRPr="00D24F2F" w:rsidRDefault="00C65B1D" w:rsidP="00C65B1D">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2. </w:t>
      </w:r>
      <w:r w:rsidR="001A7A89" w:rsidRPr="00D24F2F">
        <w:rPr>
          <w:rFonts w:ascii="Times New Roman" w:hAnsi="Times New Roman" w:cs="Times New Roman"/>
          <w:bCs/>
          <w:sz w:val="28"/>
          <w:szCs w:val="28"/>
          <w:lang w:val="uk-UA"/>
        </w:rPr>
        <w:t>чисе</w:t>
      </w:r>
      <w:r w:rsidR="006506E6">
        <w:rPr>
          <w:rFonts w:ascii="Times New Roman" w:hAnsi="Times New Roman" w:cs="Times New Roman"/>
          <w:bCs/>
          <w:sz w:val="28"/>
          <w:szCs w:val="28"/>
          <w:lang w:val="uk-UA"/>
        </w:rPr>
        <w:t>льник – значення показника до л</w:t>
      </w:r>
      <w:r w:rsidR="006506E6">
        <w:rPr>
          <w:rFonts w:ascii="Times New Roman" w:hAnsi="Times New Roman" w:cs="Times New Roman"/>
          <w:bCs/>
          <w:sz w:val="28"/>
          <w:szCs w:val="28"/>
          <w:lang w:val="en-US"/>
        </w:rPr>
        <w:t>i</w:t>
      </w:r>
      <w:r w:rsidR="001A7A89" w:rsidRPr="00D24F2F">
        <w:rPr>
          <w:rFonts w:ascii="Times New Roman" w:hAnsi="Times New Roman" w:cs="Times New Roman"/>
          <w:bCs/>
          <w:sz w:val="28"/>
          <w:szCs w:val="28"/>
          <w:lang w:val="uk-UA"/>
        </w:rPr>
        <w:t>кування;</w:t>
      </w:r>
    </w:p>
    <w:p w:rsidR="001A7A89" w:rsidRPr="00D24F2F" w:rsidRDefault="00C65B1D" w:rsidP="00C65B1D">
      <w:pPr>
        <w:autoSpaceDE w:val="0"/>
        <w:autoSpaceDN w:val="0"/>
        <w:adjustRightInd w:val="0"/>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 </w:t>
      </w:r>
      <w:r w:rsidR="001A7A89" w:rsidRPr="00D24F2F">
        <w:rPr>
          <w:rFonts w:ascii="Times New Roman" w:hAnsi="Times New Roman" w:cs="Times New Roman"/>
          <w:bCs/>
          <w:sz w:val="28"/>
          <w:szCs w:val="28"/>
          <w:lang w:val="uk-UA"/>
        </w:rPr>
        <w:t>знаменник – значення по</w:t>
      </w:r>
      <w:r w:rsidR="006506E6">
        <w:rPr>
          <w:rFonts w:ascii="Times New Roman" w:hAnsi="Times New Roman" w:cs="Times New Roman"/>
          <w:bCs/>
          <w:sz w:val="28"/>
          <w:szCs w:val="28"/>
          <w:lang w:val="uk-UA"/>
        </w:rPr>
        <w:t>казника п</w:t>
      </w:r>
      <w:r w:rsidR="006506E6">
        <w:rPr>
          <w:rFonts w:ascii="Times New Roman" w:hAnsi="Times New Roman" w:cs="Times New Roman"/>
          <w:bCs/>
          <w:sz w:val="28"/>
          <w:szCs w:val="28"/>
          <w:lang w:val="en-US"/>
        </w:rPr>
        <w:t>i</w:t>
      </w:r>
      <w:r w:rsidR="006506E6">
        <w:rPr>
          <w:rFonts w:ascii="Times New Roman" w:hAnsi="Times New Roman" w:cs="Times New Roman"/>
          <w:bCs/>
          <w:sz w:val="28"/>
          <w:szCs w:val="28"/>
          <w:lang w:val="uk-UA"/>
        </w:rPr>
        <w:t>сля л</w:t>
      </w:r>
      <w:r w:rsidR="006506E6">
        <w:rPr>
          <w:rFonts w:ascii="Times New Roman" w:hAnsi="Times New Roman" w:cs="Times New Roman"/>
          <w:bCs/>
          <w:sz w:val="28"/>
          <w:szCs w:val="28"/>
          <w:lang w:val="en-US"/>
        </w:rPr>
        <w:t>i</w:t>
      </w:r>
      <w:r w:rsidR="001A7A89" w:rsidRPr="00D24F2F">
        <w:rPr>
          <w:rFonts w:ascii="Times New Roman" w:hAnsi="Times New Roman" w:cs="Times New Roman"/>
          <w:bCs/>
          <w:sz w:val="28"/>
          <w:szCs w:val="28"/>
          <w:lang w:val="uk-UA"/>
        </w:rPr>
        <w:t>кування;</w:t>
      </w:r>
    </w:p>
    <w:p w:rsidR="001A7A89" w:rsidRPr="00D24F2F" w:rsidRDefault="00C65B1D" w:rsidP="00C65B1D">
      <w:pPr>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4. </w:t>
      </w:r>
      <w:r w:rsidR="001A7A89" w:rsidRPr="00D24F2F">
        <w:rPr>
          <w:rFonts w:ascii="Times New Roman" w:eastAsia="Times New Roman" w:hAnsi="Times New Roman" w:cs="Times New Roman"/>
          <w:bCs/>
          <w:color w:val="000000"/>
          <w:sz w:val="28"/>
          <w:szCs w:val="28"/>
          <w:lang w:val="uk-UA" w:eastAsia="ru-RU"/>
        </w:rPr>
        <w:t>р</w:t>
      </w:r>
      <w:r w:rsidR="001A7A89" w:rsidRPr="00D24F2F">
        <w:rPr>
          <w:rFonts w:ascii="Times New Roman" w:eastAsia="Times New Roman" w:hAnsi="Times New Roman" w:cs="Times New Roman"/>
          <w:bCs/>
          <w:color w:val="000000"/>
          <w:sz w:val="28"/>
          <w:szCs w:val="28"/>
          <w:vertAlign w:val="subscript"/>
          <w:lang w:val="uk-UA" w:eastAsia="ru-RU"/>
        </w:rPr>
        <w:t>1</w:t>
      </w:r>
      <w:r w:rsidR="006506E6">
        <w:rPr>
          <w:rFonts w:ascii="Times New Roman" w:eastAsia="Times New Roman" w:hAnsi="Times New Roman" w:cs="Times New Roman"/>
          <w:bCs/>
          <w:color w:val="000000"/>
          <w:sz w:val="28"/>
          <w:szCs w:val="28"/>
          <w:lang w:val="uk-UA" w:eastAsia="ru-RU"/>
        </w:rPr>
        <w:t xml:space="preserve"> – достов</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рн</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сть розходження м</w:t>
      </w:r>
      <w:r w:rsidR="006506E6">
        <w:rPr>
          <w:rFonts w:ascii="Times New Roman" w:eastAsia="Times New Roman" w:hAnsi="Times New Roman" w:cs="Times New Roman"/>
          <w:bCs/>
          <w:color w:val="000000"/>
          <w:sz w:val="28"/>
          <w:szCs w:val="28"/>
          <w:lang w:val="en-US" w:eastAsia="ru-RU"/>
        </w:rPr>
        <w:t>i</w:t>
      </w:r>
      <w:r w:rsidR="001A7A89" w:rsidRPr="00D24F2F">
        <w:rPr>
          <w:rFonts w:ascii="Times New Roman" w:eastAsia="Times New Roman" w:hAnsi="Times New Roman" w:cs="Times New Roman"/>
          <w:bCs/>
          <w:color w:val="000000"/>
          <w:sz w:val="28"/>
          <w:szCs w:val="28"/>
          <w:lang w:val="uk-UA" w:eastAsia="ru-RU"/>
        </w:rPr>
        <w:t xml:space="preserve">ж показниками </w:t>
      </w:r>
      <w:r w:rsidR="001A7A89" w:rsidRPr="00D24F2F">
        <w:rPr>
          <w:rFonts w:ascii="Times New Roman" w:eastAsia="Times New Roman" w:hAnsi="Times New Roman" w:cs="Times New Roman"/>
          <w:color w:val="000000"/>
          <w:sz w:val="28"/>
          <w:szCs w:val="28"/>
          <w:lang w:val="uk-UA" w:eastAsia="ru-RU"/>
        </w:rPr>
        <w:t>І</w:t>
      </w:r>
      <w:r w:rsidR="001A7A89" w:rsidRPr="00D24F2F">
        <w:rPr>
          <w:rFonts w:ascii="Times New Roman" w:eastAsia="Times New Roman" w:hAnsi="Times New Roman" w:cs="Times New Roman"/>
          <w:color w:val="000000"/>
          <w:sz w:val="28"/>
          <w:szCs w:val="28"/>
          <w:lang w:val="en-US" w:eastAsia="ru-RU"/>
        </w:rPr>
        <w:t>a</w:t>
      </w:r>
      <w:r w:rsidR="001A7A89" w:rsidRPr="00D24F2F">
        <w:rPr>
          <w:rFonts w:ascii="Times New Roman" w:eastAsia="Times New Roman" w:hAnsi="Times New Roman" w:cs="Times New Roman"/>
          <w:color w:val="000000"/>
          <w:sz w:val="28"/>
          <w:szCs w:val="28"/>
          <w:lang w:val="uk-UA" w:eastAsia="ru-RU"/>
        </w:rPr>
        <w:t xml:space="preserve"> та І</w:t>
      </w:r>
      <w:r w:rsidR="001A7A89" w:rsidRPr="00D24F2F">
        <w:rPr>
          <w:rFonts w:ascii="Times New Roman" w:eastAsia="Times New Roman" w:hAnsi="Times New Roman" w:cs="Times New Roman"/>
          <w:color w:val="000000"/>
          <w:sz w:val="28"/>
          <w:szCs w:val="28"/>
          <w:lang w:val="en-US" w:eastAsia="ru-RU"/>
        </w:rPr>
        <w:t>b</w:t>
      </w:r>
      <w:r w:rsidR="006506E6">
        <w:rPr>
          <w:rFonts w:ascii="Times New Roman" w:eastAsia="Times New Roman" w:hAnsi="Times New Roman" w:cs="Times New Roman"/>
          <w:color w:val="000000"/>
          <w:sz w:val="28"/>
          <w:szCs w:val="28"/>
          <w:lang w:val="uk-UA" w:eastAsia="ru-RU"/>
        </w:rPr>
        <w:t xml:space="preserve"> п</w:t>
      </w:r>
      <w:r w:rsidR="006506E6">
        <w:rPr>
          <w:rFonts w:ascii="Times New Roman" w:eastAsia="Times New Roman" w:hAnsi="Times New Roman" w:cs="Times New Roman"/>
          <w:color w:val="000000"/>
          <w:sz w:val="28"/>
          <w:szCs w:val="28"/>
          <w:lang w:val="en-US" w:eastAsia="ru-RU"/>
        </w:rPr>
        <w:t>i</w:t>
      </w:r>
      <w:r w:rsidR="008016E1" w:rsidRPr="00D24F2F">
        <w:rPr>
          <w:rFonts w:ascii="Times New Roman" w:eastAsia="Times New Roman" w:hAnsi="Times New Roman" w:cs="Times New Roman"/>
          <w:color w:val="000000"/>
          <w:sz w:val="28"/>
          <w:szCs w:val="28"/>
          <w:lang w:val="uk-UA" w:eastAsia="ru-RU"/>
        </w:rPr>
        <w:t>дгруп</w:t>
      </w:r>
      <w:r w:rsidR="001A7A89" w:rsidRPr="00D24F2F">
        <w:rPr>
          <w:rFonts w:ascii="Times New Roman" w:eastAsia="Times New Roman" w:hAnsi="Times New Roman" w:cs="Times New Roman"/>
          <w:bCs/>
          <w:color w:val="000000"/>
          <w:sz w:val="28"/>
          <w:szCs w:val="28"/>
          <w:lang w:val="uk-UA" w:eastAsia="ru-RU"/>
        </w:rPr>
        <w:t>;</w:t>
      </w:r>
    </w:p>
    <w:p w:rsidR="001A7A89" w:rsidRPr="00D24F2F" w:rsidRDefault="00C65B1D" w:rsidP="00C65B1D">
      <w:pPr>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5. </w:t>
      </w:r>
      <w:r w:rsidR="001A7A89" w:rsidRPr="00D24F2F">
        <w:rPr>
          <w:rFonts w:ascii="Times New Roman" w:eastAsia="Times New Roman" w:hAnsi="Times New Roman" w:cs="Times New Roman"/>
          <w:bCs/>
          <w:color w:val="000000"/>
          <w:sz w:val="28"/>
          <w:szCs w:val="28"/>
          <w:lang w:val="uk-UA" w:eastAsia="ru-RU"/>
        </w:rPr>
        <w:t>р</w:t>
      </w:r>
      <w:r w:rsidR="001A7A89" w:rsidRPr="00D24F2F">
        <w:rPr>
          <w:rFonts w:ascii="Times New Roman" w:eastAsia="Times New Roman" w:hAnsi="Times New Roman" w:cs="Times New Roman"/>
          <w:bCs/>
          <w:color w:val="000000"/>
          <w:sz w:val="28"/>
          <w:szCs w:val="28"/>
          <w:vertAlign w:val="subscript"/>
          <w:lang w:val="uk-UA" w:eastAsia="ru-RU"/>
        </w:rPr>
        <w:t>2</w:t>
      </w:r>
      <w:r w:rsidR="006506E6">
        <w:rPr>
          <w:rFonts w:ascii="Times New Roman" w:eastAsia="Times New Roman" w:hAnsi="Times New Roman" w:cs="Times New Roman"/>
          <w:bCs/>
          <w:color w:val="000000"/>
          <w:sz w:val="28"/>
          <w:szCs w:val="28"/>
          <w:lang w:val="uk-UA" w:eastAsia="ru-RU"/>
        </w:rPr>
        <w:t xml:space="preserve"> – достов</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рн</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сть розходження м</w:t>
      </w:r>
      <w:r w:rsidR="006506E6">
        <w:rPr>
          <w:rFonts w:ascii="Times New Roman" w:eastAsia="Times New Roman" w:hAnsi="Times New Roman" w:cs="Times New Roman"/>
          <w:bCs/>
          <w:color w:val="000000"/>
          <w:sz w:val="28"/>
          <w:szCs w:val="28"/>
          <w:lang w:val="en-US" w:eastAsia="ru-RU"/>
        </w:rPr>
        <w:t>i</w:t>
      </w:r>
      <w:r w:rsidR="001A7A89" w:rsidRPr="00D24F2F">
        <w:rPr>
          <w:rFonts w:ascii="Times New Roman" w:eastAsia="Times New Roman" w:hAnsi="Times New Roman" w:cs="Times New Roman"/>
          <w:bCs/>
          <w:color w:val="000000"/>
          <w:sz w:val="28"/>
          <w:szCs w:val="28"/>
          <w:lang w:val="uk-UA" w:eastAsia="ru-RU"/>
        </w:rPr>
        <w:t>ж показниками</w:t>
      </w:r>
      <w:r w:rsidR="001A7A89" w:rsidRPr="00D24F2F">
        <w:rPr>
          <w:rFonts w:ascii="Times New Roman" w:eastAsia="Times New Roman" w:hAnsi="Times New Roman" w:cs="Times New Roman"/>
          <w:color w:val="000000"/>
          <w:sz w:val="28"/>
          <w:szCs w:val="28"/>
          <w:lang w:val="uk-UA" w:eastAsia="ru-RU"/>
        </w:rPr>
        <w:t xml:space="preserve"> І</w:t>
      </w:r>
      <w:r w:rsidR="001A7A89" w:rsidRPr="00D24F2F">
        <w:rPr>
          <w:rFonts w:ascii="Times New Roman" w:eastAsia="Times New Roman" w:hAnsi="Times New Roman" w:cs="Times New Roman"/>
          <w:color w:val="000000"/>
          <w:sz w:val="28"/>
          <w:szCs w:val="28"/>
          <w:lang w:val="en-US" w:eastAsia="ru-RU"/>
        </w:rPr>
        <w:t>a</w:t>
      </w:r>
      <w:r w:rsidR="006506E6">
        <w:rPr>
          <w:rFonts w:ascii="Times New Roman" w:eastAsia="Times New Roman" w:hAnsi="Times New Roman" w:cs="Times New Roman"/>
          <w:color w:val="000000"/>
          <w:sz w:val="28"/>
          <w:szCs w:val="28"/>
          <w:lang w:val="uk-UA" w:eastAsia="ru-RU"/>
        </w:rPr>
        <w:t xml:space="preserve"> п</w:t>
      </w:r>
      <w:r w:rsidR="006506E6">
        <w:rPr>
          <w:rFonts w:ascii="Times New Roman" w:eastAsia="Times New Roman" w:hAnsi="Times New Roman" w:cs="Times New Roman"/>
          <w:color w:val="000000"/>
          <w:sz w:val="28"/>
          <w:szCs w:val="28"/>
          <w:lang w:val="en-US" w:eastAsia="ru-RU"/>
        </w:rPr>
        <w:t>i</w:t>
      </w:r>
      <w:r w:rsidR="000A719E">
        <w:rPr>
          <w:rFonts w:ascii="Times New Roman" w:eastAsia="Times New Roman" w:hAnsi="Times New Roman" w:cs="Times New Roman"/>
          <w:color w:val="000000"/>
          <w:sz w:val="28"/>
          <w:szCs w:val="28"/>
          <w:lang w:val="uk-UA" w:eastAsia="ru-RU"/>
        </w:rPr>
        <w:t>дгрупи та контролем</w:t>
      </w:r>
      <w:r w:rsidR="001A7A89" w:rsidRPr="00D24F2F">
        <w:rPr>
          <w:rFonts w:ascii="Times New Roman" w:eastAsia="Times New Roman" w:hAnsi="Times New Roman" w:cs="Times New Roman"/>
          <w:bCs/>
          <w:color w:val="000000"/>
          <w:sz w:val="28"/>
          <w:szCs w:val="28"/>
          <w:lang w:val="uk-UA" w:eastAsia="ru-RU"/>
        </w:rPr>
        <w:t xml:space="preserve">; </w:t>
      </w:r>
    </w:p>
    <w:p w:rsidR="001A7A89" w:rsidRPr="00D24F2F" w:rsidRDefault="00C65B1D" w:rsidP="00C65B1D">
      <w:pPr>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6. </w:t>
      </w:r>
      <w:r w:rsidR="001A7A89" w:rsidRPr="00D24F2F">
        <w:rPr>
          <w:rFonts w:ascii="Times New Roman" w:eastAsia="Times New Roman" w:hAnsi="Times New Roman" w:cs="Times New Roman"/>
          <w:bCs/>
          <w:color w:val="000000"/>
          <w:sz w:val="28"/>
          <w:szCs w:val="28"/>
          <w:lang w:val="uk-UA" w:eastAsia="ru-RU"/>
        </w:rPr>
        <w:t>р</w:t>
      </w:r>
      <w:r w:rsidR="001A7A89" w:rsidRPr="00D24F2F">
        <w:rPr>
          <w:rFonts w:ascii="Times New Roman" w:eastAsia="Times New Roman" w:hAnsi="Times New Roman" w:cs="Times New Roman"/>
          <w:bCs/>
          <w:color w:val="000000"/>
          <w:sz w:val="28"/>
          <w:szCs w:val="28"/>
          <w:vertAlign w:val="subscript"/>
          <w:lang w:val="uk-UA" w:eastAsia="ru-RU"/>
        </w:rPr>
        <w:t xml:space="preserve">3 </w:t>
      </w:r>
      <w:r w:rsidR="001A7A89" w:rsidRPr="00D24F2F">
        <w:rPr>
          <w:rFonts w:ascii="Times New Roman" w:eastAsia="Times New Roman" w:hAnsi="Times New Roman" w:cs="Times New Roman"/>
          <w:bCs/>
          <w:color w:val="000000"/>
          <w:sz w:val="28"/>
          <w:szCs w:val="28"/>
          <w:lang w:val="uk-UA" w:eastAsia="ru-RU"/>
        </w:rPr>
        <w:t xml:space="preserve"> –  достовірність розходження між показниками </w:t>
      </w:r>
      <w:r w:rsidR="001A7A89" w:rsidRPr="00D24F2F">
        <w:rPr>
          <w:rFonts w:ascii="Times New Roman" w:eastAsia="Times New Roman" w:hAnsi="Times New Roman" w:cs="Times New Roman"/>
          <w:color w:val="000000"/>
          <w:sz w:val="28"/>
          <w:szCs w:val="28"/>
          <w:lang w:val="uk-UA" w:eastAsia="ru-RU"/>
        </w:rPr>
        <w:t>І</w:t>
      </w:r>
      <w:r w:rsidR="001A7A89" w:rsidRPr="00D24F2F">
        <w:rPr>
          <w:rFonts w:ascii="Times New Roman" w:eastAsia="Times New Roman" w:hAnsi="Times New Roman" w:cs="Times New Roman"/>
          <w:color w:val="000000"/>
          <w:sz w:val="28"/>
          <w:szCs w:val="28"/>
          <w:lang w:val="en-US" w:eastAsia="ru-RU"/>
        </w:rPr>
        <w:t>b</w:t>
      </w:r>
      <w:r w:rsidR="006506E6">
        <w:rPr>
          <w:rFonts w:ascii="Times New Roman" w:eastAsia="Times New Roman" w:hAnsi="Times New Roman" w:cs="Times New Roman"/>
          <w:color w:val="000000"/>
          <w:sz w:val="28"/>
          <w:szCs w:val="28"/>
          <w:lang w:val="uk-UA" w:eastAsia="ru-RU"/>
        </w:rPr>
        <w:t xml:space="preserve"> п</w:t>
      </w:r>
      <w:r w:rsidR="006506E6">
        <w:rPr>
          <w:rFonts w:ascii="Times New Roman" w:eastAsia="Times New Roman" w:hAnsi="Times New Roman" w:cs="Times New Roman"/>
          <w:color w:val="000000"/>
          <w:sz w:val="28"/>
          <w:szCs w:val="28"/>
          <w:lang w:val="en-US" w:eastAsia="ru-RU"/>
        </w:rPr>
        <w:t>i</w:t>
      </w:r>
      <w:r w:rsidR="000A719E">
        <w:rPr>
          <w:rFonts w:ascii="Times New Roman" w:eastAsia="Times New Roman" w:hAnsi="Times New Roman" w:cs="Times New Roman"/>
          <w:color w:val="000000"/>
          <w:sz w:val="28"/>
          <w:szCs w:val="28"/>
          <w:lang w:val="uk-UA" w:eastAsia="ru-RU"/>
        </w:rPr>
        <w:t>дгрупи та контролем</w:t>
      </w:r>
      <w:r w:rsidR="001A7A89" w:rsidRPr="00D24F2F">
        <w:rPr>
          <w:rFonts w:ascii="Times New Roman" w:eastAsia="Times New Roman" w:hAnsi="Times New Roman" w:cs="Times New Roman"/>
          <w:bCs/>
          <w:color w:val="000000"/>
          <w:sz w:val="28"/>
          <w:szCs w:val="28"/>
          <w:lang w:val="uk-UA" w:eastAsia="ru-RU"/>
        </w:rPr>
        <w:t xml:space="preserve">; </w:t>
      </w:r>
    </w:p>
    <w:p w:rsidR="003544E0" w:rsidRPr="000A719E" w:rsidRDefault="00C65B1D" w:rsidP="000A719E">
      <w:pPr>
        <w:spacing w:after="0" w:line="360" w:lineRule="auto"/>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7. </w:t>
      </w:r>
      <w:r w:rsidR="001A7A89" w:rsidRPr="00D24F2F">
        <w:rPr>
          <w:rFonts w:ascii="Times New Roman" w:eastAsia="Times New Roman" w:hAnsi="Times New Roman" w:cs="Times New Roman"/>
          <w:bCs/>
          <w:color w:val="000000"/>
          <w:sz w:val="28"/>
          <w:szCs w:val="28"/>
          <w:lang w:val="en-US" w:eastAsia="ru-RU"/>
        </w:rPr>
        <w:t>p</w:t>
      </w:r>
      <w:r w:rsidR="001A7A89" w:rsidRPr="00D24F2F">
        <w:rPr>
          <w:rFonts w:ascii="Times New Roman" w:eastAsia="Times New Roman" w:hAnsi="Times New Roman" w:cs="Times New Roman"/>
          <w:bCs/>
          <w:color w:val="000000"/>
          <w:sz w:val="28"/>
          <w:szCs w:val="28"/>
          <w:lang w:eastAsia="ru-RU"/>
        </w:rPr>
        <w:t xml:space="preserve"> – </w:t>
      </w:r>
      <w:r w:rsidR="006506E6">
        <w:rPr>
          <w:rFonts w:ascii="Times New Roman" w:eastAsia="Times New Roman" w:hAnsi="Times New Roman" w:cs="Times New Roman"/>
          <w:bCs/>
          <w:color w:val="000000"/>
          <w:sz w:val="28"/>
          <w:szCs w:val="28"/>
          <w:lang w:val="uk-UA" w:eastAsia="ru-RU"/>
        </w:rPr>
        <w:t>достов</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рн</w:t>
      </w:r>
      <w:r w:rsidR="006506E6">
        <w:rPr>
          <w:rFonts w:ascii="Times New Roman" w:eastAsia="Times New Roman" w:hAnsi="Times New Roman" w:cs="Times New Roman"/>
          <w:bCs/>
          <w:color w:val="000000"/>
          <w:sz w:val="28"/>
          <w:szCs w:val="28"/>
          <w:lang w:val="en-US" w:eastAsia="ru-RU"/>
        </w:rPr>
        <w:t>i</w:t>
      </w:r>
      <w:r w:rsidR="001A7A89" w:rsidRPr="00D24F2F">
        <w:rPr>
          <w:rFonts w:ascii="Times New Roman" w:eastAsia="Times New Roman" w:hAnsi="Times New Roman" w:cs="Times New Roman"/>
          <w:bCs/>
          <w:color w:val="000000"/>
          <w:sz w:val="28"/>
          <w:szCs w:val="28"/>
          <w:lang w:val="uk-UA" w:eastAsia="ru-RU"/>
        </w:rPr>
        <w:t>ст</w:t>
      </w:r>
      <w:r w:rsidR="006506E6">
        <w:rPr>
          <w:rFonts w:ascii="Times New Roman" w:eastAsia="Times New Roman" w:hAnsi="Times New Roman" w:cs="Times New Roman"/>
          <w:bCs/>
          <w:color w:val="000000"/>
          <w:sz w:val="28"/>
          <w:szCs w:val="28"/>
          <w:lang w:val="uk-UA" w:eastAsia="ru-RU"/>
        </w:rPr>
        <w:t>ь розходження м</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ж показниками до та п</w:t>
      </w:r>
      <w:r w:rsidR="006506E6">
        <w:rPr>
          <w:rFonts w:ascii="Times New Roman" w:eastAsia="Times New Roman" w:hAnsi="Times New Roman" w:cs="Times New Roman"/>
          <w:bCs/>
          <w:color w:val="000000"/>
          <w:sz w:val="28"/>
          <w:szCs w:val="28"/>
          <w:lang w:val="en-US" w:eastAsia="ru-RU"/>
        </w:rPr>
        <w:t>i</w:t>
      </w:r>
      <w:r w:rsidR="006506E6">
        <w:rPr>
          <w:rFonts w:ascii="Times New Roman" w:eastAsia="Times New Roman" w:hAnsi="Times New Roman" w:cs="Times New Roman"/>
          <w:bCs/>
          <w:color w:val="000000"/>
          <w:sz w:val="28"/>
          <w:szCs w:val="28"/>
          <w:lang w:val="uk-UA" w:eastAsia="ru-RU"/>
        </w:rPr>
        <w:t>сля л</w:t>
      </w:r>
      <w:r w:rsidR="006506E6">
        <w:rPr>
          <w:rFonts w:ascii="Times New Roman" w:eastAsia="Times New Roman" w:hAnsi="Times New Roman" w:cs="Times New Roman"/>
          <w:bCs/>
          <w:color w:val="000000"/>
          <w:sz w:val="28"/>
          <w:szCs w:val="28"/>
          <w:lang w:val="en-US" w:eastAsia="ru-RU"/>
        </w:rPr>
        <w:t>i</w:t>
      </w:r>
      <w:r w:rsidR="001A7A89" w:rsidRPr="00D24F2F">
        <w:rPr>
          <w:rFonts w:ascii="Times New Roman" w:eastAsia="Times New Roman" w:hAnsi="Times New Roman" w:cs="Times New Roman"/>
          <w:bCs/>
          <w:color w:val="000000"/>
          <w:sz w:val="28"/>
          <w:szCs w:val="28"/>
          <w:lang w:val="uk-UA" w:eastAsia="ru-RU"/>
        </w:rPr>
        <w:t>кування</w:t>
      </w:r>
    </w:p>
    <w:p w:rsidR="00671329" w:rsidRPr="00097A40" w:rsidRDefault="006506E6" w:rsidP="0096635F">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lastRenderedPageBreak/>
        <w:t>П</w:t>
      </w:r>
      <w:r>
        <w:rPr>
          <w:rFonts w:ascii="Times New Roman" w:hAnsi="Times New Roman" w:cs="Times New Roman"/>
          <w:sz w:val="28"/>
          <w:szCs w:val="28"/>
          <w:lang w:val="en-US"/>
        </w:rPr>
        <w:t>i</w:t>
      </w:r>
      <w:r w:rsidR="00B25898" w:rsidRPr="004A581F">
        <w:rPr>
          <w:rFonts w:ascii="Times New Roman" w:hAnsi="Times New Roman" w:cs="Times New Roman"/>
          <w:sz w:val="28"/>
          <w:szCs w:val="28"/>
          <w:lang w:val="uk-UA"/>
        </w:rPr>
        <w:t xml:space="preserve">д </w:t>
      </w:r>
      <w:r w:rsidR="000D25D6">
        <w:rPr>
          <w:rFonts w:ascii="Times New Roman" w:hAnsi="Times New Roman" w:cs="Times New Roman"/>
          <w:sz w:val="28"/>
          <w:szCs w:val="28"/>
          <w:lang w:val="uk-UA"/>
        </w:rPr>
        <w:t>впливом л</w:t>
      </w:r>
      <w:r>
        <w:rPr>
          <w:rFonts w:ascii="Times New Roman" w:hAnsi="Times New Roman" w:cs="Times New Roman"/>
          <w:sz w:val="28"/>
          <w:szCs w:val="28"/>
          <w:lang w:val="en-US"/>
        </w:rPr>
        <w:t>i</w:t>
      </w:r>
      <w:r w:rsidR="000D25D6">
        <w:rPr>
          <w:rFonts w:ascii="Times New Roman" w:hAnsi="Times New Roman" w:cs="Times New Roman"/>
          <w:sz w:val="28"/>
          <w:szCs w:val="28"/>
          <w:lang w:val="uk-UA"/>
        </w:rPr>
        <w:t>кування телм</w:t>
      </w:r>
      <w:r>
        <w:rPr>
          <w:rFonts w:ascii="Times New Roman" w:hAnsi="Times New Roman" w:cs="Times New Roman"/>
          <w:sz w:val="28"/>
          <w:szCs w:val="28"/>
          <w:lang w:val="en-US"/>
        </w:rPr>
        <w:t>i</w:t>
      </w:r>
      <w:r w:rsidR="00E23A59">
        <w:rPr>
          <w:rFonts w:ascii="Times New Roman" w:hAnsi="Times New Roman" w:cs="Times New Roman"/>
          <w:sz w:val="28"/>
          <w:szCs w:val="28"/>
          <w:lang w:val="uk-UA"/>
        </w:rPr>
        <w:t>сартаном</w:t>
      </w:r>
      <w:r w:rsidR="003B0E10" w:rsidRPr="004A581F">
        <w:rPr>
          <w:rFonts w:ascii="Times New Roman" w:hAnsi="Times New Roman" w:cs="Times New Roman"/>
          <w:sz w:val="28"/>
          <w:szCs w:val="28"/>
          <w:lang w:val="uk-UA"/>
        </w:rPr>
        <w:t xml:space="preserve"> </w:t>
      </w:r>
      <w:r w:rsidR="00E23A59">
        <w:rPr>
          <w:rFonts w:ascii="Times New Roman" w:hAnsi="Times New Roman" w:cs="Times New Roman"/>
          <w:sz w:val="28"/>
          <w:szCs w:val="28"/>
          <w:lang w:val="uk-UA"/>
        </w:rPr>
        <w:t>дозою</w:t>
      </w:r>
      <w:r w:rsidR="003B0E10" w:rsidRPr="004A581F">
        <w:rPr>
          <w:rFonts w:ascii="Times New Roman" w:hAnsi="Times New Roman" w:cs="Times New Roman"/>
          <w:sz w:val="28"/>
          <w:szCs w:val="28"/>
          <w:lang w:val="uk-UA"/>
        </w:rPr>
        <w:t xml:space="preserve"> 40 мг/добу </w:t>
      </w:r>
      <w:r w:rsidR="0035735A">
        <w:rPr>
          <w:rFonts w:ascii="Times New Roman" w:hAnsi="Times New Roman" w:cs="Times New Roman"/>
          <w:sz w:val="28"/>
          <w:szCs w:val="28"/>
          <w:lang w:val="uk-UA"/>
        </w:rPr>
        <w:t>у хворих на</w:t>
      </w:r>
      <w:r w:rsidR="000D25D6">
        <w:rPr>
          <w:rFonts w:ascii="Times New Roman" w:hAnsi="Times New Roman" w:cs="Times New Roman"/>
          <w:sz w:val="28"/>
          <w:szCs w:val="28"/>
          <w:lang w:val="uk-UA"/>
        </w:rPr>
        <w:t xml:space="preserve"> АГ та ЦД 2-го типу </w:t>
      </w:r>
      <w:r>
        <w:rPr>
          <w:rFonts w:ascii="Times New Roman" w:hAnsi="Times New Roman" w:cs="Times New Roman"/>
          <w:sz w:val="28"/>
          <w:szCs w:val="28"/>
          <w:lang w:val="en-US"/>
        </w:rPr>
        <w:t>i</w:t>
      </w:r>
      <w:r w:rsidR="00B25898" w:rsidRPr="004A581F">
        <w:rPr>
          <w:rFonts w:ascii="Times New Roman" w:hAnsi="Times New Roman" w:cs="Times New Roman"/>
          <w:sz w:val="28"/>
          <w:szCs w:val="28"/>
          <w:lang w:val="uk-UA"/>
        </w:rPr>
        <w:t xml:space="preserve"> менш</w:t>
      </w:r>
      <w:r w:rsidR="000D25D6">
        <w:rPr>
          <w:rFonts w:ascii="Times New Roman" w:hAnsi="Times New Roman" w:cs="Times New Roman"/>
          <w:sz w:val="28"/>
          <w:szCs w:val="28"/>
          <w:lang w:val="uk-UA"/>
        </w:rPr>
        <w:t xml:space="preserve">им за 10 пг/мл значенням ЕТ-1 </w:t>
      </w:r>
      <w:r w:rsidR="0035735A">
        <w:rPr>
          <w:rFonts w:ascii="Times New Roman" w:hAnsi="Times New Roman" w:cs="Times New Roman"/>
          <w:sz w:val="28"/>
          <w:szCs w:val="28"/>
          <w:lang w:val="uk-UA"/>
        </w:rPr>
        <w:t xml:space="preserve">вміст </w:t>
      </w:r>
      <w:r w:rsidR="000D25D6">
        <w:rPr>
          <w:rFonts w:ascii="Times New Roman" w:hAnsi="Times New Roman" w:cs="Times New Roman"/>
          <w:sz w:val="28"/>
          <w:szCs w:val="28"/>
          <w:lang w:val="uk-UA"/>
        </w:rPr>
        <w:t>альбум</w:t>
      </w:r>
      <w:r>
        <w:rPr>
          <w:rFonts w:ascii="Times New Roman" w:hAnsi="Times New Roman" w:cs="Times New Roman"/>
          <w:sz w:val="28"/>
          <w:szCs w:val="28"/>
          <w:lang w:val="en-US"/>
        </w:rPr>
        <w:t>i</w:t>
      </w:r>
      <w:r w:rsidR="000D25D6">
        <w:rPr>
          <w:rFonts w:ascii="Times New Roman" w:hAnsi="Times New Roman" w:cs="Times New Roman"/>
          <w:sz w:val="28"/>
          <w:szCs w:val="28"/>
          <w:lang w:val="uk-UA"/>
        </w:rPr>
        <w:t>нур</w:t>
      </w:r>
      <w:r>
        <w:rPr>
          <w:rFonts w:ascii="Times New Roman" w:hAnsi="Times New Roman" w:cs="Times New Roman"/>
          <w:sz w:val="28"/>
          <w:szCs w:val="28"/>
          <w:lang w:val="en-US"/>
        </w:rPr>
        <w:t>i</w:t>
      </w:r>
      <w:r w:rsidR="00B25898" w:rsidRPr="004A581F">
        <w:rPr>
          <w:rFonts w:ascii="Times New Roman" w:hAnsi="Times New Roman" w:cs="Times New Roman"/>
          <w:sz w:val="28"/>
          <w:szCs w:val="28"/>
          <w:lang w:val="uk-UA"/>
        </w:rPr>
        <w:t>ї зменшився на 9,7</w:t>
      </w:r>
      <w:r w:rsidR="008016E1" w:rsidRPr="004A581F">
        <w:rPr>
          <w:rFonts w:ascii="Times New Roman" w:hAnsi="Times New Roman" w:cs="Times New Roman"/>
          <w:sz w:val="28"/>
          <w:szCs w:val="28"/>
          <w:lang w:val="uk-UA"/>
        </w:rPr>
        <w:t xml:space="preserve"> </w:t>
      </w:r>
      <w:r w:rsidR="00B25898" w:rsidRPr="004A581F">
        <w:rPr>
          <w:rFonts w:ascii="Times New Roman" w:hAnsi="Times New Roman" w:cs="Times New Roman"/>
          <w:sz w:val="28"/>
          <w:szCs w:val="28"/>
          <w:lang w:val="uk-UA"/>
        </w:rPr>
        <w:t>% (</w:t>
      </w:r>
      <w:r w:rsidR="005833B1">
        <w:rPr>
          <w:rFonts w:ascii="Times New Roman" w:hAnsi="Times New Roman" w:cs="Times New Roman"/>
          <w:sz w:val="28"/>
          <w:szCs w:val="28"/>
          <w:lang w:val="uk-UA"/>
        </w:rPr>
        <w:t>p = 0,03</w:t>
      </w:r>
      <w:r w:rsidR="00146D76" w:rsidRPr="00146D76">
        <w:rPr>
          <w:rFonts w:ascii="Times New Roman" w:hAnsi="Times New Roman" w:cs="Times New Roman"/>
          <w:sz w:val="28"/>
          <w:szCs w:val="28"/>
          <w:lang w:val="uk-UA"/>
        </w:rPr>
        <w:t>28</w:t>
      </w:r>
      <w:r>
        <w:rPr>
          <w:rFonts w:ascii="Times New Roman" w:hAnsi="Times New Roman" w:cs="Times New Roman"/>
          <w:sz w:val="28"/>
          <w:szCs w:val="28"/>
          <w:lang w:val="uk-UA"/>
        </w:rPr>
        <w:t xml:space="preserve">), а </w:t>
      </w:r>
      <w:r>
        <w:rPr>
          <w:rFonts w:ascii="Times New Roman" w:hAnsi="Times New Roman" w:cs="Times New Roman"/>
          <w:sz w:val="28"/>
          <w:szCs w:val="28"/>
          <w:lang w:val="en-US"/>
        </w:rPr>
        <w:t>I</w:t>
      </w:r>
      <w:r w:rsidR="00B25898" w:rsidRPr="004A581F">
        <w:rPr>
          <w:rFonts w:ascii="Times New Roman" w:hAnsi="Times New Roman" w:cs="Times New Roman"/>
          <w:sz w:val="28"/>
          <w:szCs w:val="28"/>
          <w:lang w:val="uk-UA"/>
        </w:rPr>
        <w:t>ММЛШ – на 6,7</w:t>
      </w:r>
      <w:r w:rsidR="008016E1" w:rsidRPr="004A581F">
        <w:rPr>
          <w:rFonts w:ascii="Times New Roman" w:hAnsi="Times New Roman" w:cs="Times New Roman"/>
          <w:sz w:val="28"/>
          <w:szCs w:val="28"/>
          <w:lang w:val="uk-UA"/>
        </w:rPr>
        <w:t xml:space="preserve"> </w:t>
      </w:r>
      <w:r w:rsidR="00B25898" w:rsidRPr="004A581F">
        <w:rPr>
          <w:rFonts w:ascii="Times New Roman" w:hAnsi="Times New Roman" w:cs="Times New Roman"/>
          <w:sz w:val="28"/>
          <w:szCs w:val="28"/>
          <w:lang w:val="uk-UA"/>
        </w:rPr>
        <w:t>% (</w:t>
      </w:r>
      <w:r w:rsidR="004A581F" w:rsidRPr="004A581F">
        <w:rPr>
          <w:rFonts w:ascii="Times New Roman" w:hAnsi="Times New Roman" w:cs="Times New Roman"/>
          <w:sz w:val="28"/>
          <w:szCs w:val="28"/>
          <w:lang w:val="uk-UA"/>
        </w:rPr>
        <w:t>p = 0,0007</w:t>
      </w:r>
      <w:r w:rsidR="00E23A59">
        <w:rPr>
          <w:rFonts w:ascii="Times New Roman" w:hAnsi="Times New Roman" w:cs="Times New Roman"/>
          <w:sz w:val="28"/>
          <w:szCs w:val="28"/>
          <w:lang w:val="uk-UA"/>
        </w:rPr>
        <w:t xml:space="preserve">). </w:t>
      </w:r>
      <w:r w:rsidR="000A719E">
        <w:rPr>
          <w:rFonts w:ascii="Times New Roman" w:hAnsi="Times New Roman" w:cs="Times New Roman"/>
          <w:sz w:val="28"/>
          <w:szCs w:val="28"/>
          <w:lang w:val="uk-UA"/>
        </w:rPr>
        <w:t xml:space="preserve">                </w:t>
      </w:r>
      <w:r w:rsidR="000D25D6">
        <w:rPr>
          <w:rFonts w:ascii="Times New Roman" w:hAnsi="Times New Roman" w:cs="Times New Roman"/>
          <w:sz w:val="28"/>
          <w:szCs w:val="28"/>
          <w:lang w:val="uk-UA"/>
        </w:rPr>
        <w:t>У пац</w:t>
      </w:r>
      <w:r>
        <w:rPr>
          <w:rFonts w:ascii="Times New Roman" w:hAnsi="Times New Roman" w:cs="Times New Roman"/>
          <w:sz w:val="28"/>
          <w:szCs w:val="28"/>
          <w:lang w:val="en-US"/>
        </w:rPr>
        <w:t>i</w:t>
      </w:r>
      <w:r w:rsidR="00E23A59">
        <w:rPr>
          <w:rFonts w:ascii="Times New Roman" w:hAnsi="Times New Roman" w:cs="Times New Roman"/>
          <w:sz w:val="28"/>
          <w:szCs w:val="28"/>
          <w:lang w:val="uk-UA"/>
        </w:rPr>
        <w:t xml:space="preserve">єнтів І групи </w:t>
      </w:r>
      <w:r w:rsidR="000D25D6">
        <w:rPr>
          <w:rFonts w:ascii="Times New Roman" w:hAnsi="Times New Roman" w:cs="Times New Roman"/>
          <w:sz w:val="28"/>
          <w:szCs w:val="28"/>
          <w:lang w:val="uk-UA"/>
        </w:rPr>
        <w:t>з б</w:t>
      </w:r>
      <w:r>
        <w:rPr>
          <w:rFonts w:ascii="Times New Roman" w:hAnsi="Times New Roman" w:cs="Times New Roman"/>
          <w:sz w:val="28"/>
          <w:szCs w:val="28"/>
          <w:lang w:val="en-US"/>
        </w:rPr>
        <w:t>i</w:t>
      </w:r>
      <w:r w:rsidR="000D25D6">
        <w:rPr>
          <w:rFonts w:ascii="Times New Roman" w:hAnsi="Times New Roman" w:cs="Times New Roman"/>
          <w:sz w:val="28"/>
          <w:szCs w:val="28"/>
          <w:lang w:val="uk-UA"/>
        </w:rPr>
        <w:t>льшим за 10 пг/мл ЕТ-1, як</w:t>
      </w:r>
      <w:r>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 отримували 80 мг/добу телм</w:t>
      </w:r>
      <w:r>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сартану, </w:t>
      </w:r>
      <w:r w:rsidR="0035735A">
        <w:rPr>
          <w:rFonts w:ascii="Times New Roman" w:hAnsi="Times New Roman" w:cs="Times New Roman"/>
          <w:sz w:val="28"/>
          <w:szCs w:val="28"/>
          <w:lang w:val="uk-UA"/>
        </w:rPr>
        <w:t xml:space="preserve">вміст </w:t>
      </w:r>
      <w:r w:rsidR="000D25D6">
        <w:rPr>
          <w:rFonts w:ascii="Times New Roman" w:hAnsi="Times New Roman" w:cs="Times New Roman"/>
          <w:sz w:val="28"/>
          <w:szCs w:val="28"/>
          <w:lang w:val="uk-UA"/>
        </w:rPr>
        <w:t>альбум</w:t>
      </w:r>
      <w:r>
        <w:rPr>
          <w:rFonts w:ascii="Times New Roman" w:hAnsi="Times New Roman" w:cs="Times New Roman"/>
          <w:sz w:val="28"/>
          <w:szCs w:val="28"/>
          <w:lang w:val="en-US"/>
        </w:rPr>
        <w:t>i</w:t>
      </w:r>
      <w:r w:rsidR="000D25D6">
        <w:rPr>
          <w:rFonts w:ascii="Times New Roman" w:hAnsi="Times New Roman" w:cs="Times New Roman"/>
          <w:sz w:val="28"/>
          <w:szCs w:val="28"/>
          <w:lang w:val="uk-UA"/>
        </w:rPr>
        <w:t>нур</w:t>
      </w:r>
      <w:r>
        <w:rPr>
          <w:rFonts w:ascii="Times New Roman" w:hAnsi="Times New Roman" w:cs="Times New Roman"/>
          <w:sz w:val="28"/>
          <w:szCs w:val="28"/>
          <w:lang w:val="en-US"/>
        </w:rPr>
        <w:t>i</w:t>
      </w:r>
      <w:r w:rsidR="003B0E10" w:rsidRPr="004A581F">
        <w:rPr>
          <w:rFonts w:ascii="Times New Roman" w:hAnsi="Times New Roman" w:cs="Times New Roman"/>
          <w:sz w:val="28"/>
          <w:szCs w:val="28"/>
          <w:lang w:val="uk-UA"/>
        </w:rPr>
        <w:t>ї зменшився на 4,9</w:t>
      </w:r>
      <w:r w:rsidR="008016E1" w:rsidRPr="004A581F">
        <w:rPr>
          <w:rFonts w:ascii="Times New Roman" w:hAnsi="Times New Roman" w:cs="Times New Roman"/>
          <w:sz w:val="28"/>
          <w:szCs w:val="28"/>
          <w:lang w:val="uk-UA"/>
        </w:rPr>
        <w:t xml:space="preserve"> </w:t>
      </w:r>
      <w:r w:rsidR="003B0E10" w:rsidRPr="004A581F">
        <w:rPr>
          <w:rFonts w:ascii="Times New Roman" w:hAnsi="Times New Roman" w:cs="Times New Roman"/>
          <w:sz w:val="28"/>
          <w:szCs w:val="28"/>
          <w:lang w:val="uk-UA"/>
        </w:rPr>
        <w:t>% (</w:t>
      </w:r>
      <w:r w:rsidR="007C6FF4" w:rsidRPr="004A581F">
        <w:rPr>
          <w:rFonts w:ascii="Times New Roman" w:hAnsi="Times New Roman" w:cs="Times New Roman"/>
          <w:sz w:val="28"/>
          <w:szCs w:val="28"/>
          <w:lang w:val="uk-UA"/>
        </w:rPr>
        <w:t>p =</w:t>
      </w:r>
      <w:r w:rsidR="00F11ACC" w:rsidRPr="004A581F">
        <w:rPr>
          <w:rFonts w:ascii="Times New Roman" w:hAnsi="Times New Roman" w:cs="Times New Roman"/>
          <w:sz w:val="28"/>
          <w:szCs w:val="28"/>
          <w:lang w:val="uk-UA"/>
        </w:rPr>
        <w:t xml:space="preserve"> 0,0</w:t>
      </w:r>
      <w:r w:rsidR="004A581F" w:rsidRPr="004A581F">
        <w:rPr>
          <w:rFonts w:ascii="Times New Roman" w:hAnsi="Times New Roman" w:cs="Times New Roman"/>
          <w:sz w:val="28"/>
          <w:szCs w:val="28"/>
          <w:lang w:val="uk-UA"/>
        </w:rPr>
        <w:t>435</w:t>
      </w:r>
      <w:r w:rsidR="000D25D6">
        <w:rPr>
          <w:rFonts w:ascii="Times New Roman" w:hAnsi="Times New Roman" w:cs="Times New Roman"/>
          <w:sz w:val="28"/>
          <w:szCs w:val="28"/>
          <w:lang w:val="uk-UA"/>
        </w:rPr>
        <w:t xml:space="preserve">), а </w:t>
      </w:r>
      <w:r>
        <w:rPr>
          <w:rFonts w:ascii="Times New Roman" w:hAnsi="Times New Roman" w:cs="Times New Roman"/>
          <w:sz w:val="28"/>
          <w:szCs w:val="28"/>
          <w:lang w:val="en-US"/>
        </w:rPr>
        <w:t>I</w:t>
      </w:r>
      <w:r w:rsidR="00F11ACC" w:rsidRPr="004A581F">
        <w:rPr>
          <w:rFonts w:ascii="Times New Roman" w:hAnsi="Times New Roman" w:cs="Times New Roman"/>
          <w:sz w:val="28"/>
          <w:szCs w:val="28"/>
          <w:lang w:val="uk-UA"/>
        </w:rPr>
        <w:t>ММЛШ – на 3,1</w:t>
      </w:r>
      <w:r w:rsidR="008016E1" w:rsidRPr="004A581F">
        <w:rPr>
          <w:rFonts w:ascii="Times New Roman" w:hAnsi="Times New Roman" w:cs="Times New Roman"/>
          <w:sz w:val="28"/>
          <w:szCs w:val="28"/>
          <w:lang w:val="uk-UA"/>
        </w:rPr>
        <w:t xml:space="preserve"> </w:t>
      </w:r>
      <w:r w:rsidR="00F11ACC" w:rsidRPr="004A581F">
        <w:rPr>
          <w:rFonts w:ascii="Times New Roman" w:hAnsi="Times New Roman" w:cs="Times New Roman"/>
          <w:sz w:val="28"/>
          <w:szCs w:val="28"/>
          <w:lang w:val="uk-UA"/>
        </w:rPr>
        <w:t>% (</w:t>
      </w:r>
      <w:r w:rsidR="003B0E10" w:rsidRPr="004A581F">
        <w:rPr>
          <w:rFonts w:ascii="Times New Roman" w:hAnsi="Times New Roman" w:cs="Times New Roman"/>
          <w:sz w:val="28"/>
          <w:szCs w:val="28"/>
          <w:lang w:val="uk-UA"/>
        </w:rPr>
        <w:t>p &lt;</w:t>
      </w:r>
      <w:r w:rsidR="00B56674" w:rsidRPr="004A581F">
        <w:rPr>
          <w:rFonts w:ascii="Times New Roman" w:hAnsi="Times New Roman" w:cs="Times New Roman"/>
          <w:sz w:val="28"/>
          <w:szCs w:val="28"/>
          <w:lang w:val="uk-UA"/>
        </w:rPr>
        <w:t xml:space="preserve"> </w:t>
      </w:r>
      <w:r w:rsidR="003B0E10" w:rsidRPr="004A581F">
        <w:rPr>
          <w:rFonts w:ascii="Times New Roman" w:hAnsi="Times New Roman" w:cs="Times New Roman"/>
          <w:sz w:val="28"/>
          <w:szCs w:val="28"/>
          <w:lang w:val="uk-UA"/>
        </w:rPr>
        <w:t>0,00</w:t>
      </w:r>
      <w:r w:rsidR="00D64683" w:rsidRPr="004A581F">
        <w:rPr>
          <w:rFonts w:ascii="Times New Roman" w:hAnsi="Times New Roman" w:cs="Times New Roman"/>
          <w:sz w:val="28"/>
          <w:szCs w:val="28"/>
          <w:lang w:val="uk-UA"/>
        </w:rPr>
        <w:t>0</w:t>
      </w:r>
      <w:r w:rsidR="003B0E10" w:rsidRPr="004A581F">
        <w:rPr>
          <w:rFonts w:ascii="Times New Roman" w:hAnsi="Times New Roman" w:cs="Times New Roman"/>
          <w:sz w:val="28"/>
          <w:szCs w:val="28"/>
          <w:lang w:val="uk-UA"/>
        </w:rPr>
        <w:t>1)</w:t>
      </w:r>
      <w:r w:rsidR="00851D7B">
        <w:rPr>
          <w:rFonts w:ascii="Times New Roman" w:hAnsi="Times New Roman" w:cs="Times New Roman"/>
          <w:sz w:val="28"/>
          <w:szCs w:val="28"/>
          <w:lang w:val="uk-UA"/>
        </w:rPr>
        <w:t xml:space="preserve"> [</w:t>
      </w:r>
      <w:r w:rsidR="004472C4" w:rsidRPr="005C5DB7">
        <w:rPr>
          <w:rFonts w:ascii="Times New Roman" w:hAnsi="Times New Roman" w:cs="Times New Roman"/>
          <w:sz w:val="28"/>
          <w:szCs w:val="28"/>
          <w:lang w:val="uk-UA"/>
        </w:rPr>
        <w:t>174</w:t>
      </w:r>
      <w:r w:rsidR="00851D7B">
        <w:rPr>
          <w:rFonts w:ascii="Times New Roman" w:hAnsi="Times New Roman" w:cs="Times New Roman"/>
          <w:sz w:val="28"/>
          <w:szCs w:val="28"/>
          <w:lang w:val="uk-UA"/>
        </w:rPr>
        <w:t>]</w:t>
      </w:r>
      <w:r w:rsidR="003B0E10" w:rsidRPr="004A581F">
        <w:rPr>
          <w:rFonts w:ascii="Times New Roman" w:hAnsi="Times New Roman" w:cs="Times New Roman"/>
          <w:sz w:val="28"/>
          <w:szCs w:val="28"/>
          <w:lang w:val="uk-UA"/>
        </w:rPr>
        <w:t xml:space="preserve">. </w:t>
      </w:r>
    </w:p>
    <w:p w:rsidR="00F839A8" w:rsidRPr="00F839A8" w:rsidRDefault="0035735A" w:rsidP="0096635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6506E6">
        <w:rPr>
          <w:rFonts w:ascii="Times New Roman" w:hAnsi="Times New Roman" w:cs="Times New Roman"/>
          <w:sz w:val="28"/>
          <w:szCs w:val="28"/>
          <w:lang w:val="en-US"/>
        </w:rPr>
        <w:t>i</w:t>
      </w:r>
      <w:r w:rsidR="00F839A8">
        <w:rPr>
          <w:rFonts w:ascii="Times New Roman" w:hAnsi="Times New Roman" w:cs="Times New Roman"/>
          <w:sz w:val="28"/>
          <w:szCs w:val="28"/>
          <w:lang w:val="uk-UA"/>
        </w:rPr>
        <w:t>д в</w:t>
      </w:r>
      <w:r w:rsidR="000D25D6">
        <w:rPr>
          <w:rFonts w:ascii="Times New Roman" w:hAnsi="Times New Roman" w:cs="Times New Roman"/>
          <w:sz w:val="28"/>
          <w:szCs w:val="28"/>
          <w:lang w:val="uk-UA"/>
        </w:rPr>
        <w:t>пливом л</w:t>
      </w:r>
      <w:r w:rsidR="006506E6">
        <w:rPr>
          <w:rFonts w:ascii="Times New Roman" w:hAnsi="Times New Roman" w:cs="Times New Roman"/>
          <w:sz w:val="28"/>
          <w:szCs w:val="28"/>
          <w:lang w:val="en-US"/>
        </w:rPr>
        <w:t>i</w:t>
      </w:r>
      <w:r w:rsidR="000D25D6">
        <w:rPr>
          <w:rFonts w:ascii="Times New Roman" w:hAnsi="Times New Roman" w:cs="Times New Roman"/>
          <w:sz w:val="28"/>
          <w:szCs w:val="28"/>
          <w:lang w:val="uk-UA"/>
        </w:rPr>
        <w:t>кування телм</w:t>
      </w:r>
      <w:r w:rsidR="006506E6">
        <w:rPr>
          <w:rFonts w:ascii="Times New Roman" w:hAnsi="Times New Roman" w:cs="Times New Roman"/>
          <w:sz w:val="28"/>
          <w:szCs w:val="28"/>
          <w:lang w:val="en-US"/>
        </w:rPr>
        <w:t>i</w:t>
      </w:r>
      <w:r w:rsidR="00E23A59">
        <w:rPr>
          <w:rFonts w:ascii="Times New Roman" w:hAnsi="Times New Roman" w:cs="Times New Roman"/>
          <w:sz w:val="28"/>
          <w:szCs w:val="28"/>
          <w:lang w:val="uk-UA"/>
        </w:rPr>
        <w:t xml:space="preserve">сартаном </w:t>
      </w:r>
      <w:r>
        <w:rPr>
          <w:rFonts w:ascii="Times New Roman" w:hAnsi="Times New Roman" w:cs="Times New Roman"/>
          <w:sz w:val="28"/>
          <w:szCs w:val="28"/>
          <w:lang w:val="uk-UA"/>
        </w:rPr>
        <w:t xml:space="preserve">у хворих </w:t>
      </w:r>
      <w:r w:rsidR="000D25D6">
        <w:rPr>
          <w:rFonts w:ascii="Times New Roman" w:hAnsi="Times New Roman" w:cs="Times New Roman"/>
          <w:sz w:val="28"/>
          <w:szCs w:val="28"/>
          <w:lang w:val="uk-UA"/>
        </w:rPr>
        <w:t>Іа п</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дгрупи спостер</w:t>
      </w:r>
      <w:r w:rsidR="000D25D6">
        <w:rPr>
          <w:rFonts w:ascii="Times New Roman" w:hAnsi="Times New Roman" w:cs="Times New Roman"/>
          <w:sz w:val="28"/>
          <w:szCs w:val="28"/>
          <w:lang w:val="en-US"/>
        </w:rPr>
        <w:t>i</w:t>
      </w:r>
      <w:r w:rsidR="00F839A8">
        <w:rPr>
          <w:rFonts w:ascii="Times New Roman" w:hAnsi="Times New Roman" w:cs="Times New Roman"/>
          <w:sz w:val="28"/>
          <w:szCs w:val="28"/>
          <w:lang w:val="uk-UA"/>
        </w:rPr>
        <w:t xml:space="preserve">галася </w:t>
      </w:r>
      <w:r w:rsidR="000D25D6">
        <w:rPr>
          <w:rFonts w:ascii="Times New Roman" w:hAnsi="Times New Roman" w:cs="Times New Roman"/>
          <w:sz w:val="28"/>
          <w:szCs w:val="28"/>
          <w:lang w:val="uk-UA"/>
        </w:rPr>
        <w:t>тенденц</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я до зниження </w:t>
      </w:r>
      <w:r w:rsidR="009B2574">
        <w:rPr>
          <w:rFonts w:ascii="Times New Roman" w:hAnsi="Times New Roman" w:cs="Times New Roman"/>
          <w:sz w:val="28"/>
          <w:szCs w:val="28"/>
          <w:lang w:val="uk-UA"/>
        </w:rPr>
        <w:t xml:space="preserve">вмісту </w:t>
      </w:r>
      <w:r w:rsidR="000D25D6">
        <w:rPr>
          <w:rFonts w:ascii="Times New Roman" w:hAnsi="Times New Roman" w:cs="Times New Roman"/>
          <w:sz w:val="28"/>
          <w:szCs w:val="28"/>
          <w:lang w:val="uk-UA"/>
        </w:rPr>
        <w:t xml:space="preserve">ЕТ-1 </w:t>
      </w:r>
      <w:r w:rsidR="000D25D6">
        <w:rPr>
          <w:rFonts w:ascii="Times New Roman" w:hAnsi="Times New Roman" w:cs="Times New Roman"/>
          <w:sz w:val="28"/>
          <w:szCs w:val="28"/>
          <w:lang w:val="en-US"/>
        </w:rPr>
        <w:t>i</w:t>
      </w:r>
      <w:r w:rsidR="00F839A8">
        <w:rPr>
          <w:rFonts w:ascii="Times New Roman" w:hAnsi="Times New Roman" w:cs="Times New Roman"/>
          <w:sz w:val="28"/>
          <w:szCs w:val="28"/>
          <w:lang w:val="uk-UA"/>
        </w:rPr>
        <w:t>з (8,3</w:t>
      </w:r>
      <w:r w:rsidR="00E23A59">
        <w:rPr>
          <w:rFonts w:ascii="Times New Roman" w:hAnsi="Times New Roman" w:cs="Times New Roman"/>
          <w:sz w:val="28"/>
          <w:szCs w:val="28"/>
          <w:lang w:val="uk-UA"/>
        </w:rPr>
        <w:t xml:space="preserve"> </w:t>
      </w:r>
      <w:r w:rsidR="00F839A8">
        <w:rPr>
          <w:rFonts w:ascii="Times New Roman" w:hAnsi="Times New Roman" w:cs="Times New Roman"/>
          <w:sz w:val="28"/>
          <w:szCs w:val="28"/>
          <w:lang w:val="uk-UA"/>
        </w:rPr>
        <w:t>±</w:t>
      </w:r>
      <w:r w:rsidR="00E23A59">
        <w:rPr>
          <w:rFonts w:ascii="Times New Roman" w:hAnsi="Times New Roman" w:cs="Times New Roman"/>
          <w:sz w:val="28"/>
          <w:szCs w:val="28"/>
          <w:lang w:val="uk-UA"/>
        </w:rPr>
        <w:t xml:space="preserve"> 0,49)</w:t>
      </w:r>
      <w:r w:rsidR="00F839A8">
        <w:rPr>
          <w:rFonts w:ascii="Times New Roman" w:hAnsi="Times New Roman" w:cs="Times New Roman"/>
          <w:sz w:val="28"/>
          <w:szCs w:val="28"/>
          <w:lang w:val="uk-UA"/>
        </w:rPr>
        <w:t xml:space="preserve"> </w:t>
      </w:r>
      <w:r w:rsidR="000A719E">
        <w:rPr>
          <w:rFonts w:ascii="Times New Roman" w:hAnsi="Times New Roman" w:cs="Times New Roman"/>
          <w:sz w:val="28"/>
          <w:szCs w:val="28"/>
          <w:lang w:val="uk-UA"/>
        </w:rPr>
        <w:t xml:space="preserve">                    до </w:t>
      </w:r>
      <w:r w:rsidR="00F839A8">
        <w:rPr>
          <w:rFonts w:ascii="Times New Roman" w:hAnsi="Times New Roman" w:cs="Times New Roman"/>
          <w:sz w:val="28"/>
          <w:szCs w:val="28"/>
          <w:lang w:val="uk-UA"/>
        </w:rPr>
        <w:t>(6,8</w:t>
      </w:r>
      <w:r w:rsidR="00E23A59">
        <w:rPr>
          <w:rFonts w:ascii="Times New Roman" w:hAnsi="Times New Roman" w:cs="Times New Roman"/>
          <w:sz w:val="28"/>
          <w:szCs w:val="28"/>
          <w:lang w:val="uk-UA"/>
        </w:rPr>
        <w:t xml:space="preserve"> </w:t>
      </w:r>
      <w:r w:rsidR="00F839A8">
        <w:rPr>
          <w:rFonts w:ascii="Times New Roman" w:hAnsi="Times New Roman" w:cs="Times New Roman"/>
          <w:sz w:val="28"/>
          <w:szCs w:val="28"/>
          <w:lang w:val="uk-UA"/>
        </w:rPr>
        <w:t>±</w:t>
      </w:r>
      <w:r w:rsidR="00E23A59">
        <w:rPr>
          <w:rFonts w:ascii="Times New Roman" w:hAnsi="Times New Roman" w:cs="Times New Roman"/>
          <w:sz w:val="28"/>
          <w:szCs w:val="28"/>
          <w:lang w:val="uk-UA"/>
        </w:rPr>
        <w:t xml:space="preserve"> </w:t>
      </w:r>
      <w:r w:rsidR="000D25D6">
        <w:rPr>
          <w:rFonts w:ascii="Times New Roman" w:hAnsi="Times New Roman" w:cs="Times New Roman"/>
          <w:sz w:val="28"/>
          <w:szCs w:val="28"/>
          <w:lang w:val="uk-UA"/>
        </w:rPr>
        <w:t>0,58) пг/мл, р = 0,0540; у пац</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єнт</w:t>
      </w:r>
      <w:r w:rsidR="000D25D6">
        <w:rPr>
          <w:rFonts w:ascii="Times New Roman" w:hAnsi="Times New Roman" w:cs="Times New Roman"/>
          <w:sz w:val="28"/>
          <w:szCs w:val="28"/>
          <w:lang w:val="en-US"/>
        </w:rPr>
        <w:t>i</w:t>
      </w:r>
      <w:r w:rsidR="00F839A8">
        <w:rPr>
          <w:rFonts w:ascii="Times New Roman" w:hAnsi="Times New Roman" w:cs="Times New Roman"/>
          <w:sz w:val="28"/>
          <w:szCs w:val="28"/>
          <w:lang w:val="uk-UA"/>
        </w:rPr>
        <w:t>в І</w:t>
      </w:r>
      <w:r w:rsidR="00F839A8">
        <w:rPr>
          <w:rFonts w:ascii="Times New Roman" w:hAnsi="Times New Roman" w:cs="Times New Roman"/>
          <w:sz w:val="28"/>
          <w:szCs w:val="28"/>
          <w:lang w:val="en-US"/>
        </w:rPr>
        <w:t>b</w:t>
      </w:r>
      <w:r w:rsidR="00F839A8" w:rsidRPr="00F839A8">
        <w:rPr>
          <w:rFonts w:ascii="Times New Roman" w:hAnsi="Times New Roman" w:cs="Times New Roman"/>
          <w:sz w:val="28"/>
          <w:szCs w:val="28"/>
          <w:lang w:val="uk-UA"/>
        </w:rPr>
        <w:t xml:space="preserve"> </w:t>
      </w:r>
      <w:r w:rsidR="000D25D6">
        <w:rPr>
          <w:rFonts w:ascii="Times New Roman" w:hAnsi="Times New Roman" w:cs="Times New Roman"/>
          <w:sz w:val="28"/>
          <w:szCs w:val="28"/>
          <w:lang w:val="uk-UA"/>
        </w:rPr>
        <w:t>п</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дгрупи – достов</w:t>
      </w:r>
      <w:r w:rsidR="000D25D6">
        <w:rPr>
          <w:rFonts w:ascii="Times New Roman" w:hAnsi="Times New Roman" w:cs="Times New Roman"/>
          <w:sz w:val="28"/>
          <w:szCs w:val="28"/>
          <w:lang w:val="en-US"/>
        </w:rPr>
        <w:t>i</w:t>
      </w:r>
      <w:r w:rsidR="00F839A8">
        <w:rPr>
          <w:rFonts w:ascii="Times New Roman" w:hAnsi="Times New Roman" w:cs="Times New Roman"/>
          <w:sz w:val="28"/>
          <w:szCs w:val="28"/>
          <w:lang w:val="uk-UA"/>
        </w:rPr>
        <w:t>рне зниження ЕТ</w:t>
      </w:r>
      <w:r w:rsidR="001E6A96">
        <w:rPr>
          <w:rFonts w:ascii="Times New Roman" w:hAnsi="Times New Roman" w:cs="Times New Roman"/>
          <w:sz w:val="28"/>
          <w:szCs w:val="28"/>
          <w:lang w:val="uk-UA"/>
        </w:rPr>
        <w:t>-1</w:t>
      </w:r>
      <w:r w:rsidR="00F839A8">
        <w:rPr>
          <w:rFonts w:ascii="Times New Roman" w:hAnsi="Times New Roman" w:cs="Times New Roman"/>
          <w:sz w:val="28"/>
          <w:szCs w:val="28"/>
          <w:lang w:val="uk-UA"/>
        </w:rPr>
        <w:t xml:space="preserve"> із (12,2</w:t>
      </w:r>
      <w:r w:rsidR="00E23A59">
        <w:rPr>
          <w:rFonts w:ascii="Times New Roman" w:hAnsi="Times New Roman" w:cs="Times New Roman"/>
          <w:sz w:val="28"/>
          <w:szCs w:val="28"/>
          <w:lang w:val="uk-UA"/>
        </w:rPr>
        <w:t xml:space="preserve"> </w:t>
      </w:r>
      <w:r w:rsidR="00F839A8">
        <w:rPr>
          <w:rFonts w:ascii="Times New Roman" w:hAnsi="Times New Roman" w:cs="Times New Roman"/>
          <w:sz w:val="28"/>
          <w:szCs w:val="28"/>
          <w:lang w:val="uk-UA"/>
        </w:rPr>
        <w:t>±</w:t>
      </w:r>
      <w:r w:rsidR="00E23A59">
        <w:rPr>
          <w:rFonts w:ascii="Times New Roman" w:hAnsi="Times New Roman" w:cs="Times New Roman"/>
          <w:sz w:val="28"/>
          <w:szCs w:val="28"/>
          <w:lang w:val="uk-UA"/>
        </w:rPr>
        <w:t xml:space="preserve"> 0,29)</w:t>
      </w:r>
      <w:r w:rsidR="00F839A8">
        <w:rPr>
          <w:rFonts w:ascii="Times New Roman" w:hAnsi="Times New Roman" w:cs="Times New Roman"/>
          <w:sz w:val="28"/>
          <w:szCs w:val="28"/>
          <w:lang w:val="uk-UA"/>
        </w:rPr>
        <w:t xml:space="preserve"> до (10,9</w:t>
      </w:r>
      <w:r w:rsidR="00E23A59">
        <w:rPr>
          <w:rFonts w:ascii="Times New Roman" w:hAnsi="Times New Roman" w:cs="Times New Roman"/>
          <w:sz w:val="28"/>
          <w:szCs w:val="28"/>
          <w:lang w:val="uk-UA"/>
        </w:rPr>
        <w:t xml:space="preserve"> </w:t>
      </w:r>
      <w:r w:rsidR="00F839A8">
        <w:rPr>
          <w:rFonts w:ascii="Times New Roman" w:hAnsi="Times New Roman" w:cs="Times New Roman"/>
          <w:sz w:val="28"/>
          <w:szCs w:val="28"/>
          <w:lang w:val="uk-UA"/>
        </w:rPr>
        <w:t>±</w:t>
      </w:r>
      <w:r w:rsidR="00E23A59">
        <w:rPr>
          <w:rFonts w:ascii="Times New Roman" w:hAnsi="Times New Roman" w:cs="Times New Roman"/>
          <w:sz w:val="28"/>
          <w:szCs w:val="28"/>
          <w:lang w:val="uk-UA"/>
        </w:rPr>
        <w:t xml:space="preserve"> </w:t>
      </w:r>
      <w:r w:rsidR="00F839A8">
        <w:rPr>
          <w:rFonts w:ascii="Times New Roman" w:hAnsi="Times New Roman" w:cs="Times New Roman"/>
          <w:sz w:val="28"/>
          <w:szCs w:val="28"/>
          <w:lang w:val="uk-UA"/>
        </w:rPr>
        <w:t>0,38) пг/мл,</w:t>
      </w:r>
      <w:r w:rsidR="000D25D6">
        <w:rPr>
          <w:rFonts w:ascii="Times New Roman" w:hAnsi="Times New Roman" w:cs="Times New Roman"/>
          <w:sz w:val="28"/>
          <w:szCs w:val="28"/>
          <w:lang w:val="uk-UA"/>
        </w:rPr>
        <w:t xml:space="preserve"> р = 0,0087. Наведений факт є п</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дтвердженням здатност</w:t>
      </w:r>
      <w:r w:rsidR="000D25D6">
        <w:rPr>
          <w:rFonts w:ascii="Times New Roman" w:hAnsi="Times New Roman" w:cs="Times New Roman"/>
          <w:sz w:val="28"/>
          <w:szCs w:val="28"/>
          <w:lang w:val="en-US"/>
        </w:rPr>
        <w:t>i</w:t>
      </w:r>
      <w:r w:rsidR="00F839A8">
        <w:rPr>
          <w:rFonts w:ascii="Times New Roman" w:hAnsi="Times New Roman" w:cs="Times New Roman"/>
          <w:sz w:val="28"/>
          <w:szCs w:val="28"/>
          <w:lang w:val="uk-UA"/>
        </w:rPr>
        <w:t xml:space="preserve"> зазначеного сартану покращ</w:t>
      </w:r>
      <w:r w:rsidR="000D25D6">
        <w:rPr>
          <w:rFonts w:ascii="Times New Roman" w:hAnsi="Times New Roman" w:cs="Times New Roman"/>
          <w:sz w:val="28"/>
          <w:szCs w:val="28"/>
          <w:lang w:val="uk-UA"/>
        </w:rPr>
        <w:t>увати ендотел</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альну функц</w:t>
      </w:r>
      <w:r w:rsidR="000D25D6">
        <w:rPr>
          <w:rFonts w:ascii="Times New Roman" w:hAnsi="Times New Roman" w:cs="Times New Roman"/>
          <w:sz w:val="28"/>
          <w:szCs w:val="28"/>
          <w:lang w:val="en-US"/>
        </w:rPr>
        <w:t>i</w:t>
      </w:r>
      <w:r w:rsidR="00F839A8">
        <w:rPr>
          <w:rFonts w:ascii="Times New Roman" w:hAnsi="Times New Roman" w:cs="Times New Roman"/>
          <w:sz w:val="28"/>
          <w:szCs w:val="28"/>
          <w:lang w:val="uk-UA"/>
        </w:rPr>
        <w:t>ю</w:t>
      </w:r>
      <w:r>
        <w:rPr>
          <w:rFonts w:ascii="Times New Roman" w:hAnsi="Times New Roman" w:cs="Times New Roman"/>
          <w:sz w:val="28"/>
          <w:szCs w:val="28"/>
          <w:lang w:val="uk-UA"/>
        </w:rPr>
        <w:t xml:space="preserve"> у хворих на АГ та супутній</w:t>
      </w:r>
      <w:r w:rsidR="004A22F4">
        <w:rPr>
          <w:rFonts w:ascii="Times New Roman" w:hAnsi="Times New Roman" w:cs="Times New Roman"/>
          <w:sz w:val="28"/>
          <w:szCs w:val="28"/>
          <w:lang w:val="uk-UA"/>
        </w:rPr>
        <w:t xml:space="preserve"> ЦД 2-го типу</w:t>
      </w:r>
      <w:r w:rsidR="00F839A8">
        <w:rPr>
          <w:rFonts w:ascii="Times New Roman" w:hAnsi="Times New Roman" w:cs="Times New Roman"/>
          <w:sz w:val="28"/>
          <w:szCs w:val="28"/>
          <w:lang w:val="uk-UA"/>
        </w:rPr>
        <w:t>.</w:t>
      </w:r>
    </w:p>
    <w:p w:rsidR="00B25898" w:rsidRPr="00B25898" w:rsidRDefault="00E23A59" w:rsidP="005F732C">
      <w:pPr>
        <w:tabs>
          <w:tab w:val="left" w:pos="3119"/>
        </w:tabs>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Одерж</w:t>
      </w:r>
      <w:r w:rsidR="000D25D6">
        <w:rPr>
          <w:rFonts w:ascii="Times New Roman" w:hAnsi="Times New Roman" w:cs="Times New Roman"/>
          <w:sz w:val="28"/>
          <w:szCs w:val="28"/>
          <w:lang w:val="uk-UA"/>
        </w:rPr>
        <w:t>ан</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 дан</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 св</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дчать про доц</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льн</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сть призначення 40 мг/добу телм</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 xml:space="preserve">сартану, якщо </w:t>
      </w:r>
      <w:r w:rsidR="0035735A">
        <w:rPr>
          <w:rFonts w:ascii="Times New Roman" w:hAnsi="Times New Roman" w:cs="Times New Roman"/>
          <w:sz w:val="28"/>
          <w:szCs w:val="28"/>
          <w:lang w:val="uk-UA"/>
        </w:rPr>
        <w:t xml:space="preserve">вміст </w:t>
      </w:r>
      <w:r w:rsidR="003B0E10" w:rsidRPr="004A581F">
        <w:rPr>
          <w:rFonts w:ascii="Times New Roman" w:hAnsi="Times New Roman" w:cs="Times New Roman"/>
          <w:sz w:val="28"/>
          <w:szCs w:val="28"/>
          <w:lang w:val="uk-UA"/>
        </w:rPr>
        <w:t xml:space="preserve">ЕТ-1 не перевищує 10 пг/мл, та 80 мг/добу </w:t>
      </w:r>
      <w:r w:rsidR="000D25D6">
        <w:rPr>
          <w:rFonts w:ascii="Times New Roman" w:hAnsi="Times New Roman" w:cs="Times New Roman"/>
          <w:sz w:val="28"/>
          <w:szCs w:val="28"/>
          <w:lang w:val="uk-UA"/>
        </w:rPr>
        <w:t>в</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дпов</w:t>
      </w:r>
      <w:r w:rsidR="000D25D6">
        <w:rPr>
          <w:rFonts w:ascii="Times New Roman" w:hAnsi="Times New Roman" w:cs="Times New Roman"/>
          <w:sz w:val="28"/>
          <w:szCs w:val="28"/>
          <w:lang w:val="en-US"/>
        </w:rPr>
        <w:t>i</w:t>
      </w:r>
      <w:r w:rsidR="0035735A">
        <w:rPr>
          <w:rFonts w:ascii="Times New Roman" w:hAnsi="Times New Roman" w:cs="Times New Roman"/>
          <w:sz w:val="28"/>
          <w:szCs w:val="28"/>
          <w:lang w:val="uk-UA"/>
        </w:rPr>
        <w:t>дного препарату, якщо вміст</w:t>
      </w:r>
      <w:r w:rsidR="000D25D6">
        <w:rPr>
          <w:rFonts w:ascii="Times New Roman" w:hAnsi="Times New Roman" w:cs="Times New Roman"/>
          <w:sz w:val="28"/>
          <w:szCs w:val="28"/>
          <w:lang w:val="uk-UA"/>
        </w:rPr>
        <w:t xml:space="preserve"> ЕТ-1 є б</w:t>
      </w:r>
      <w:r w:rsidR="000D25D6">
        <w:rPr>
          <w:rFonts w:ascii="Times New Roman" w:hAnsi="Times New Roman" w:cs="Times New Roman"/>
          <w:sz w:val="28"/>
          <w:szCs w:val="28"/>
          <w:lang w:val="en-US"/>
        </w:rPr>
        <w:t>i</w:t>
      </w:r>
      <w:r w:rsidR="003B0E10" w:rsidRPr="004A581F">
        <w:rPr>
          <w:rFonts w:ascii="Times New Roman" w:hAnsi="Times New Roman" w:cs="Times New Roman"/>
          <w:sz w:val="28"/>
          <w:szCs w:val="28"/>
          <w:lang w:val="uk-UA"/>
        </w:rPr>
        <w:t>льшим за 10 пг/мл</w:t>
      </w:r>
      <w:r w:rsidR="00EC0DC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5735A">
        <w:rPr>
          <w:rFonts w:ascii="Times New Roman" w:hAnsi="Times New Roman" w:cs="Times New Roman"/>
          <w:sz w:val="28"/>
          <w:szCs w:val="28"/>
          <w:lang w:val="uk-UA"/>
        </w:rPr>
        <w:t xml:space="preserve">у пацієнтів </w:t>
      </w:r>
      <w:r w:rsidR="000A719E">
        <w:rPr>
          <w:rFonts w:ascii="Times New Roman" w:hAnsi="Times New Roman" w:cs="Times New Roman"/>
          <w:sz w:val="28"/>
          <w:szCs w:val="28"/>
          <w:lang w:val="uk-UA"/>
        </w:rPr>
        <w:t xml:space="preserve">   і</w:t>
      </w:r>
      <w:r w:rsidR="00055833" w:rsidRPr="004A581F">
        <w:rPr>
          <w:rFonts w:ascii="Times New Roman" w:hAnsi="Times New Roman" w:cs="Times New Roman"/>
          <w:sz w:val="28"/>
          <w:szCs w:val="28"/>
          <w:lang w:val="uk-UA"/>
        </w:rPr>
        <w:t xml:space="preserve">з </w:t>
      </w:r>
      <w:r w:rsidR="00FC571D">
        <w:rPr>
          <w:rFonts w:ascii="Times New Roman" w:hAnsi="Times New Roman" w:cs="Times New Roman"/>
          <w:sz w:val="28"/>
          <w:szCs w:val="28"/>
          <w:lang w:val="uk-UA"/>
        </w:rPr>
        <w:t xml:space="preserve">АГ та ЦД 2-го типу </w:t>
      </w:r>
      <w:r w:rsidR="00055833" w:rsidRPr="004A581F">
        <w:rPr>
          <w:rFonts w:ascii="Times New Roman" w:hAnsi="Times New Roman" w:cs="Times New Roman"/>
          <w:sz w:val="28"/>
          <w:szCs w:val="28"/>
          <w:lang w:val="uk-UA"/>
        </w:rPr>
        <w:t>з</w:t>
      </w:r>
      <w:r w:rsidR="005F732C">
        <w:rPr>
          <w:rFonts w:ascii="Times New Roman" w:hAnsi="Times New Roman" w:cs="Times New Roman"/>
          <w:sz w:val="28"/>
          <w:szCs w:val="28"/>
          <w:lang w:val="uk-UA"/>
        </w:rPr>
        <w:t xml:space="preserve"> мето</w:t>
      </w:r>
      <w:r w:rsidR="000D25D6">
        <w:rPr>
          <w:rFonts w:ascii="Times New Roman" w:hAnsi="Times New Roman" w:cs="Times New Roman"/>
          <w:sz w:val="28"/>
          <w:szCs w:val="28"/>
          <w:lang w:val="uk-UA"/>
        </w:rPr>
        <w:t>ю кард</w:t>
      </w:r>
      <w:r w:rsidR="000D25D6">
        <w:rPr>
          <w:rFonts w:ascii="Times New Roman" w:hAnsi="Times New Roman" w:cs="Times New Roman"/>
          <w:sz w:val="28"/>
          <w:szCs w:val="28"/>
          <w:lang w:val="en-US"/>
        </w:rPr>
        <w:t>i</w:t>
      </w:r>
      <w:r w:rsidR="000D25D6">
        <w:rPr>
          <w:rFonts w:ascii="Times New Roman" w:hAnsi="Times New Roman" w:cs="Times New Roman"/>
          <w:sz w:val="28"/>
          <w:szCs w:val="28"/>
          <w:lang w:val="uk-UA"/>
        </w:rPr>
        <w:t>о- та ренопротекц</w:t>
      </w:r>
      <w:r w:rsidR="000D25D6">
        <w:rPr>
          <w:rFonts w:ascii="Times New Roman" w:hAnsi="Times New Roman" w:cs="Times New Roman"/>
          <w:sz w:val="28"/>
          <w:szCs w:val="28"/>
          <w:lang w:val="en-US"/>
        </w:rPr>
        <w:t>i</w:t>
      </w:r>
      <w:r w:rsidR="005F732C">
        <w:rPr>
          <w:rFonts w:ascii="Times New Roman" w:hAnsi="Times New Roman" w:cs="Times New Roman"/>
          <w:sz w:val="28"/>
          <w:szCs w:val="28"/>
          <w:lang w:val="uk-UA"/>
        </w:rPr>
        <w:t>ї</w:t>
      </w:r>
      <w:r w:rsidR="005F732C" w:rsidRPr="005F732C">
        <w:rPr>
          <w:rFonts w:ascii="Times New Roman" w:hAnsi="Times New Roman" w:cs="Times New Roman"/>
          <w:sz w:val="28"/>
          <w:szCs w:val="28"/>
          <w:lang w:val="uk-UA"/>
        </w:rPr>
        <w:t>.</w:t>
      </w:r>
      <w:r w:rsidR="003B0E10">
        <w:rPr>
          <w:rFonts w:ascii="Times New Roman" w:hAnsi="Times New Roman" w:cs="Times New Roman"/>
          <w:sz w:val="28"/>
          <w:szCs w:val="28"/>
          <w:lang w:val="uk-UA"/>
        </w:rPr>
        <w:t xml:space="preserve"> </w:t>
      </w:r>
    </w:p>
    <w:p w:rsidR="00D25650" w:rsidRDefault="00D25650" w:rsidP="00D25650">
      <w:pPr>
        <w:spacing w:line="360" w:lineRule="auto"/>
        <w:ind w:firstLine="708"/>
        <w:rPr>
          <w:rFonts w:ascii="Times New Roman" w:hAnsi="Times New Roman" w:cs="Times New Roman"/>
          <w:b/>
          <w:sz w:val="28"/>
          <w:szCs w:val="28"/>
          <w:lang w:val="uk-UA"/>
        </w:rPr>
      </w:pPr>
    </w:p>
    <w:p w:rsidR="00166683" w:rsidRPr="003B0E10" w:rsidRDefault="006C1618" w:rsidP="00E07658">
      <w:pPr>
        <w:spacing w:after="0" w:line="360" w:lineRule="auto"/>
        <w:ind w:firstLine="708"/>
        <w:rPr>
          <w:rFonts w:ascii="Times New Roman" w:hAnsi="Times New Roman" w:cs="Times New Roman"/>
          <w:sz w:val="28"/>
          <w:szCs w:val="28"/>
          <w:lang w:val="uk-UA"/>
        </w:rPr>
      </w:pPr>
      <w:r w:rsidRPr="006C1618">
        <w:rPr>
          <w:rFonts w:ascii="Times New Roman" w:hAnsi="Times New Roman" w:cs="Times New Roman"/>
          <w:sz w:val="28"/>
          <w:szCs w:val="28"/>
          <w:lang w:val="uk-UA"/>
        </w:rPr>
        <w:t>Основні положе</w:t>
      </w:r>
      <w:r>
        <w:rPr>
          <w:rFonts w:ascii="Times New Roman" w:hAnsi="Times New Roman" w:cs="Times New Roman"/>
          <w:sz w:val="28"/>
          <w:szCs w:val="28"/>
          <w:lang w:val="uk-UA"/>
        </w:rPr>
        <w:t>ння розділу висвітлено у статті</w:t>
      </w:r>
      <w:r w:rsidR="00166683" w:rsidRPr="003B0E10">
        <w:rPr>
          <w:rFonts w:ascii="Times New Roman" w:hAnsi="Times New Roman" w:cs="Times New Roman"/>
          <w:sz w:val="28"/>
          <w:szCs w:val="28"/>
          <w:lang w:val="uk-UA"/>
        </w:rPr>
        <w:t>:</w:t>
      </w:r>
      <w:r w:rsidR="00166683" w:rsidRPr="003B0E10">
        <w:rPr>
          <w:sz w:val="28"/>
          <w:szCs w:val="28"/>
          <w:lang w:val="uk-UA"/>
        </w:rPr>
        <w:t xml:space="preserve"> </w:t>
      </w:r>
    </w:p>
    <w:p w:rsidR="00166683" w:rsidRPr="00E23A59" w:rsidRDefault="00E23A59" w:rsidP="00E23A5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852B50">
        <w:rPr>
          <w:rFonts w:ascii="Times New Roman" w:hAnsi="Times New Roman" w:cs="Times New Roman"/>
          <w:sz w:val="28"/>
          <w:szCs w:val="28"/>
          <w:lang w:val="uk-UA"/>
        </w:rPr>
        <w:t>Chernatska O.</w:t>
      </w:r>
      <w:r w:rsidR="004968AD" w:rsidRPr="004968AD">
        <w:rPr>
          <w:rFonts w:ascii="Times New Roman" w:hAnsi="Times New Roman" w:cs="Times New Roman"/>
          <w:sz w:val="28"/>
          <w:szCs w:val="28"/>
          <w:lang w:val="uk-UA"/>
        </w:rPr>
        <w:t xml:space="preserve"> Improvement of treatment in persons with arterial hypertension and t</w:t>
      </w:r>
      <w:r w:rsidR="00852B50">
        <w:rPr>
          <w:rFonts w:ascii="Times New Roman" w:hAnsi="Times New Roman" w:cs="Times New Roman"/>
          <w:sz w:val="28"/>
          <w:szCs w:val="28"/>
          <w:lang w:val="uk-UA"/>
        </w:rPr>
        <w:t>ype 2 diabetes mellitus / O. Chernatska, N.</w:t>
      </w:r>
      <w:r w:rsidR="00852B50">
        <w:rPr>
          <w:rFonts w:ascii="Times New Roman" w:hAnsi="Times New Roman" w:cs="Times New Roman"/>
          <w:sz w:val="28"/>
          <w:szCs w:val="28"/>
          <w:lang w:val="en-US"/>
        </w:rPr>
        <w:t xml:space="preserve"> </w:t>
      </w:r>
      <w:r w:rsidR="004968AD" w:rsidRPr="004968AD">
        <w:rPr>
          <w:rFonts w:ascii="Times New Roman" w:hAnsi="Times New Roman" w:cs="Times New Roman"/>
          <w:sz w:val="28"/>
          <w:szCs w:val="28"/>
          <w:lang w:val="uk-UA"/>
        </w:rPr>
        <w:t>Demikhova // Georgian Medical News. – 2018. –</w:t>
      </w:r>
      <w:r w:rsidR="00852B50" w:rsidRPr="00852B50">
        <w:rPr>
          <w:rFonts w:ascii="Times New Roman" w:hAnsi="Times New Roman" w:cs="Times New Roman"/>
          <w:sz w:val="28"/>
          <w:szCs w:val="28"/>
          <w:lang w:val="uk-UA"/>
        </w:rPr>
        <w:t xml:space="preserve"> № 11 (284). – C. 47–51.</w:t>
      </w:r>
    </w:p>
    <w:p w:rsidR="00EB6204" w:rsidRPr="004968AD" w:rsidRDefault="00E23A59" w:rsidP="00E23A59">
      <w:pPr>
        <w:tabs>
          <w:tab w:val="left" w:pos="28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70158" w:rsidRDefault="00570158" w:rsidP="00975F03">
      <w:pPr>
        <w:tabs>
          <w:tab w:val="left" w:pos="2880"/>
          <w:tab w:val="center" w:pos="4677"/>
          <w:tab w:val="right" w:pos="9355"/>
        </w:tabs>
        <w:spacing w:line="360" w:lineRule="auto"/>
        <w:jc w:val="center"/>
        <w:rPr>
          <w:rFonts w:ascii="Times New Roman" w:hAnsi="Times New Roman" w:cs="Times New Roman"/>
          <w:b/>
          <w:sz w:val="28"/>
          <w:szCs w:val="28"/>
          <w:lang w:val="uk-UA"/>
        </w:rPr>
      </w:pPr>
    </w:p>
    <w:p w:rsidR="00FB6BAD" w:rsidRDefault="00FB6BAD" w:rsidP="00975F03">
      <w:pPr>
        <w:tabs>
          <w:tab w:val="left" w:pos="2880"/>
          <w:tab w:val="center" w:pos="4677"/>
          <w:tab w:val="right" w:pos="9355"/>
        </w:tabs>
        <w:spacing w:line="360" w:lineRule="auto"/>
        <w:jc w:val="center"/>
        <w:rPr>
          <w:rFonts w:ascii="Times New Roman" w:hAnsi="Times New Roman" w:cs="Times New Roman"/>
          <w:b/>
          <w:sz w:val="28"/>
          <w:szCs w:val="28"/>
          <w:lang w:val="uk-UA"/>
        </w:rPr>
      </w:pPr>
    </w:p>
    <w:p w:rsidR="00C65B1D" w:rsidRPr="006F6CC5" w:rsidRDefault="00C65B1D" w:rsidP="0035735A">
      <w:pPr>
        <w:tabs>
          <w:tab w:val="left" w:pos="2880"/>
          <w:tab w:val="center" w:pos="4677"/>
          <w:tab w:val="right" w:pos="9355"/>
        </w:tabs>
        <w:spacing w:line="360" w:lineRule="auto"/>
        <w:rPr>
          <w:rFonts w:ascii="Times New Roman" w:hAnsi="Times New Roman" w:cs="Times New Roman"/>
          <w:b/>
          <w:sz w:val="28"/>
          <w:szCs w:val="28"/>
          <w:lang w:val="en-US"/>
        </w:rPr>
      </w:pPr>
    </w:p>
    <w:p w:rsidR="009B2574" w:rsidRDefault="009B2574" w:rsidP="00975F03">
      <w:pPr>
        <w:tabs>
          <w:tab w:val="left" w:pos="2880"/>
          <w:tab w:val="center" w:pos="4677"/>
          <w:tab w:val="right" w:pos="9355"/>
        </w:tabs>
        <w:spacing w:line="360" w:lineRule="auto"/>
        <w:jc w:val="center"/>
        <w:rPr>
          <w:rFonts w:ascii="Times New Roman" w:hAnsi="Times New Roman" w:cs="Times New Roman"/>
          <w:b/>
          <w:sz w:val="28"/>
          <w:szCs w:val="28"/>
          <w:lang w:val="uk-UA"/>
        </w:rPr>
      </w:pPr>
    </w:p>
    <w:p w:rsidR="00870FD1" w:rsidRDefault="00870FD1" w:rsidP="00975F03">
      <w:pPr>
        <w:tabs>
          <w:tab w:val="left" w:pos="2880"/>
          <w:tab w:val="center" w:pos="4677"/>
          <w:tab w:val="right" w:pos="9355"/>
        </w:tabs>
        <w:spacing w:line="360" w:lineRule="auto"/>
        <w:jc w:val="center"/>
        <w:rPr>
          <w:rFonts w:ascii="Times New Roman" w:hAnsi="Times New Roman" w:cs="Times New Roman"/>
          <w:b/>
          <w:sz w:val="28"/>
          <w:szCs w:val="28"/>
          <w:lang w:val="uk-UA"/>
        </w:rPr>
      </w:pPr>
    </w:p>
    <w:p w:rsidR="00974512" w:rsidRPr="00975F03" w:rsidRDefault="00A324A9" w:rsidP="00975F03">
      <w:pPr>
        <w:tabs>
          <w:tab w:val="left" w:pos="2880"/>
          <w:tab w:val="center" w:pos="4677"/>
          <w:tab w:val="right" w:pos="9355"/>
        </w:tabs>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АНАЛ</w:t>
      </w:r>
      <w:r>
        <w:rPr>
          <w:rFonts w:ascii="Times New Roman" w:hAnsi="Times New Roman" w:cs="Times New Roman"/>
          <w:b/>
          <w:sz w:val="28"/>
          <w:szCs w:val="28"/>
          <w:lang w:val="en-US"/>
        </w:rPr>
        <w:t>I</w:t>
      </w:r>
      <w:r>
        <w:rPr>
          <w:rFonts w:ascii="Times New Roman" w:hAnsi="Times New Roman" w:cs="Times New Roman"/>
          <w:b/>
          <w:sz w:val="28"/>
          <w:szCs w:val="28"/>
          <w:lang w:val="uk-UA"/>
        </w:rPr>
        <w:t>З ТА УЗАГАЛЬНЕННЯ РЕЗУЛЬТАТ</w:t>
      </w:r>
      <w:r>
        <w:rPr>
          <w:rFonts w:ascii="Times New Roman" w:hAnsi="Times New Roman" w:cs="Times New Roman"/>
          <w:b/>
          <w:sz w:val="28"/>
          <w:szCs w:val="28"/>
          <w:lang w:val="en-US"/>
        </w:rPr>
        <w:t>I</w:t>
      </w:r>
      <w:r w:rsidR="00C30581">
        <w:rPr>
          <w:rFonts w:ascii="Times New Roman" w:hAnsi="Times New Roman" w:cs="Times New Roman"/>
          <w:b/>
          <w:sz w:val="28"/>
          <w:szCs w:val="28"/>
          <w:lang w:val="uk-UA"/>
        </w:rPr>
        <w:t>В</w:t>
      </w:r>
    </w:p>
    <w:p w:rsidR="000B0EB2" w:rsidRDefault="00974512" w:rsidP="000B0EB2">
      <w:pPr>
        <w:tabs>
          <w:tab w:val="left" w:pos="2880"/>
        </w:tabs>
        <w:spacing w:after="0" w:line="360" w:lineRule="auto"/>
        <w:jc w:val="both"/>
        <w:rPr>
          <w:lang w:val="uk-UA"/>
        </w:rPr>
      </w:pPr>
      <w:r>
        <w:rPr>
          <w:rFonts w:ascii="Times New Roman" w:hAnsi="Times New Roman" w:cs="Times New Roman"/>
          <w:sz w:val="28"/>
          <w:szCs w:val="28"/>
          <w:lang w:val="uk-UA"/>
        </w:rPr>
        <w:t xml:space="preserve">          </w:t>
      </w:r>
      <w:r w:rsidR="00A324A9">
        <w:rPr>
          <w:rFonts w:ascii="Times New Roman" w:hAnsi="Times New Roman" w:cs="Times New Roman"/>
          <w:sz w:val="28"/>
          <w:szCs w:val="28"/>
          <w:lang w:val="uk-UA"/>
        </w:rPr>
        <w:t>Дисл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п</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дем</w:t>
      </w:r>
      <w:r w:rsidR="00A324A9">
        <w:rPr>
          <w:rFonts w:ascii="Times New Roman" w:hAnsi="Times New Roman" w:cs="Times New Roman"/>
          <w:sz w:val="28"/>
          <w:szCs w:val="28"/>
          <w:lang w:val="en-US"/>
        </w:rPr>
        <w:t>i</w:t>
      </w:r>
      <w:r w:rsidR="00E1792B">
        <w:rPr>
          <w:rFonts w:ascii="Times New Roman" w:hAnsi="Times New Roman" w:cs="Times New Roman"/>
          <w:sz w:val="28"/>
          <w:szCs w:val="28"/>
          <w:lang w:val="uk-UA"/>
        </w:rPr>
        <w:t>я є звʼязувальн</w:t>
      </w:r>
      <w:r w:rsidR="00E07658">
        <w:rPr>
          <w:rFonts w:ascii="Times New Roman" w:hAnsi="Times New Roman" w:cs="Times New Roman"/>
          <w:sz w:val="28"/>
          <w:szCs w:val="28"/>
          <w:lang w:val="uk-UA"/>
        </w:rPr>
        <w:t>ою л</w:t>
      </w:r>
      <w:r w:rsidR="00A324A9">
        <w:rPr>
          <w:rFonts w:ascii="Times New Roman" w:hAnsi="Times New Roman" w:cs="Times New Roman"/>
          <w:sz w:val="28"/>
          <w:szCs w:val="28"/>
          <w:lang w:val="uk-UA"/>
        </w:rPr>
        <w:t>анкою у патогенез</w:t>
      </w:r>
      <w:r w:rsidR="00A324A9">
        <w:rPr>
          <w:rFonts w:ascii="Times New Roman" w:hAnsi="Times New Roman" w:cs="Times New Roman"/>
          <w:sz w:val="28"/>
          <w:szCs w:val="28"/>
          <w:lang w:val="en-US"/>
        </w:rPr>
        <w:t>i</w:t>
      </w:r>
      <w:r w:rsidR="00D25650">
        <w:rPr>
          <w:rFonts w:ascii="Times New Roman" w:hAnsi="Times New Roman" w:cs="Times New Roman"/>
          <w:sz w:val="28"/>
          <w:szCs w:val="28"/>
          <w:lang w:val="uk-UA"/>
        </w:rPr>
        <w:t xml:space="preserve"> </w:t>
      </w:r>
      <w:r w:rsidR="00592F74">
        <w:rPr>
          <w:rFonts w:ascii="Times New Roman" w:hAnsi="Times New Roman" w:cs="Times New Roman"/>
          <w:sz w:val="28"/>
          <w:szCs w:val="28"/>
          <w:lang w:val="uk-UA"/>
        </w:rPr>
        <w:t>АГ та ЦД 2-го типу</w:t>
      </w:r>
      <w:r w:rsidR="004016E5">
        <w:rPr>
          <w:rFonts w:ascii="Times New Roman" w:hAnsi="Times New Roman" w:cs="Times New Roman"/>
          <w:sz w:val="28"/>
          <w:szCs w:val="28"/>
          <w:lang w:val="uk-UA"/>
        </w:rPr>
        <w:t>,</w:t>
      </w:r>
      <w:r w:rsidR="00D25650">
        <w:rPr>
          <w:rFonts w:ascii="Times New Roman" w:hAnsi="Times New Roman" w:cs="Times New Roman"/>
          <w:sz w:val="28"/>
          <w:szCs w:val="28"/>
          <w:lang w:val="uk-UA"/>
        </w:rPr>
        <w:t xml:space="preserve"> фактором ризику розвитку ССУ.</w:t>
      </w:r>
      <w:r w:rsidR="00A324A9">
        <w:rPr>
          <w:rFonts w:ascii="Times New Roman" w:hAnsi="Times New Roman" w:cs="Times New Roman"/>
          <w:sz w:val="28"/>
          <w:szCs w:val="28"/>
          <w:lang w:val="uk-UA"/>
        </w:rPr>
        <w:t xml:space="preserve"> Саме тому </w:t>
      </w:r>
      <w:r w:rsidR="00FD629A" w:rsidRPr="00FD629A">
        <w:rPr>
          <w:rFonts w:ascii="Times New Roman" w:hAnsi="Times New Roman" w:cs="Times New Roman"/>
          <w:sz w:val="28"/>
          <w:szCs w:val="28"/>
          <w:lang w:val="uk-UA"/>
        </w:rPr>
        <w:t xml:space="preserve">корекцiя показникiв лiпiдного спектра кровi за допомогою статинiв </w:t>
      </w:r>
      <w:r w:rsidR="00FD629A">
        <w:rPr>
          <w:rFonts w:ascii="Times New Roman" w:hAnsi="Times New Roman" w:cs="Times New Roman"/>
          <w:sz w:val="28"/>
          <w:szCs w:val="28"/>
          <w:lang w:val="uk-UA"/>
        </w:rPr>
        <w:t xml:space="preserve">є </w:t>
      </w:r>
      <w:r w:rsidR="00A324A9">
        <w:rPr>
          <w:rFonts w:ascii="Times New Roman" w:hAnsi="Times New Roman" w:cs="Times New Roman"/>
          <w:sz w:val="28"/>
          <w:szCs w:val="28"/>
          <w:lang w:val="uk-UA"/>
        </w:rPr>
        <w:t>важливим елементом 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 xml:space="preserve">кування </w:t>
      </w:r>
      <w:r w:rsidR="0035735A">
        <w:rPr>
          <w:rFonts w:ascii="Times New Roman" w:hAnsi="Times New Roman" w:cs="Times New Roman"/>
          <w:sz w:val="28"/>
          <w:szCs w:val="28"/>
          <w:lang w:val="uk-UA"/>
        </w:rPr>
        <w:t xml:space="preserve">хворих на </w:t>
      </w:r>
      <w:r w:rsidR="00FD629A">
        <w:rPr>
          <w:rFonts w:ascii="Times New Roman" w:hAnsi="Times New Roman" w:cs="Times New Roman"/>
          <w:sz w:val="28"/>
          <w:szCs w:val="28"/>
          <w:lang w:val="uk-UA"/>
        </w:rPr>
        <w:t>АГ та ЦД 2-го типу.</w:t>
      </w:r>
    </w:p>
    <w:p w:rsidR="00691106" w:rsidRDefault="00A324A9" w:rsidP="005C186D">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6CC5">
        <w:rPr>
          <w:rFonts w:ascii="Times New Roman" w:hAnsi="Times New Roman" w:cs="Times New Roman"/>
          <w:sz w:val="28"/>
          <w:szCs w:val="28"/>
          <w:lang w:val="uk-UA"/>
        </w:rPr>
        <w:t xml:space="preserve">Вміст </w:t>
      </w:r>
      <w:r w:rsidR="00592F74">
        <w:rPr>
          <w:rFonts w:ascii="Times New Roman" w:hAnsi="Times New Roman" w:cs="Times New Roman"/>
          <w:sz w:val="28"/>
          <w:szCs w:val="28"/>
          <w:lang w:val="uk-UA"/>
        </w:rPr>
        <w:t xml:space="preserve">атерогенних ліпопротеїдів </w:t>
      </w:r>
      <w:r w:rsidR="006F6CC5">
        <w:rPr>
          <w:rFonts w:ascii="Times New Roman" w:hAnsi="Times New Roman" w:cs="Times New Roman"/>
          <w:sz w:val="28"/>
          <w:szCs w:val="28"/>
          <w:lang w:val="uk-UA"/>
        </w:rPr>
        <w:t>був</w:t>
      </w:r>
      <w:r>
        <w:rPr>
          <w:rFonts w:ascii="Times New Roman" w:hAnsi="Times New Roman" w:cs="Times New Roman"/>
          <w:sz w:val="28"/>
          <w:szCs w:val="28"/>
          <w:lang w:val="uk-UA"/>
        </w:rPr>
        <w:t xml:space="preserve"> достов</w:t>
      </w:r>
      <w:r>
        <w:rPr>
          <w:rFonts w:ascii="Times New Roman" w:hAnsi="Times New Roman" w:cs="Times New Roman"/>
          <w:sz w:val="28"/>
          <w:szCs w:val="28"/>
          <w:lang w:val="en-US"/>
        </w:rPr>
        <w:t>i</w:t>
      </w:r>
      <w:r w:rsidR="006A31EB" w:rsidRPr="006A31EB">
        <w:rPr>
          <w:rFonts w:ascii="Times New Roman" w:hAnsi="Times New Roman" w:cs="Times New Roman"/>
          <w:sz w:val="28"/>
          <w:szCs w:val="28"/>
          <w:lang w:val="uk-UA"/>
        </w:rPr>
        <w:t xml:space="preserve">рно </w:t>
      </w:r>
      <w:r w:rsidR="0062471C">
        <w:rPr>
          <w:rFonts w:ascii="Times New Roman" w:hAnsi="Times New Roman" w:cs="Times New Roman"/>
          <w:sz w:val="28"/>
          <w:szCs w:val="28"/>
          <w:lang w:val="uk-UA"/>
        </w:rPr>
        <w:t xml:space="preserve">більшим </w:t>
      </w:r>
      <w:r w:rsidR="00445BA9">
        <w:rPr>
          <w:rFonts w:ascii="Times New Roman" w:hAnsi="Times New Roman" w:cs="Times New Roman"/>
          <w:sz w:val="28"/>
          <w:szCs w:val="28"/>
          <w:lang w:val="uk-UA"/>
        </w:rPr>
        <w:t xml:space="preserve">(р </w:t>
      </w:r>
      <w:r w:rsidR="00445BA9" w:rsidRPr="00445BA9">
        <w:rPr>
          <w:rFonts w:ascii="Times New Roman" w:hAnsi="Times New Roman" w:cs="Times New Roman"/>
          <w:sz w:val="28"/>
          <w:szCs w:val="28"/>
          <w:lang w:val="uk-UA"/>
        </w:rPr>
        <w:t>&lt; 0,05)</w:t>
      </w:r>
      <w:r>
        <w:rPr>
          <w:rFonts w:ascii="Times New Roman" w:hAnsi="Times New Roman" w:cs="Times New Roman"/>
          <w:sz w:val="28"/>
          <w:szCs w:val="28"/>
          <w:lang w:val="uk-UA"/>
        </w:rPr>
        <w:t xml:space="preserve">, </w:t>
      </w:r>
      <w:r w:rsidR="00777C01">
        <w:rPr>
          <w:rFonts w:ascii="Times New Roman" w:hAnsi="Times New Roman" w:cs="Times New Roman"/>
          <w:sz w:val="28"/>
          <w:szCs w:val="28"/>
          <w:lang w:val="uk-UA"/>
        </w:rPr>
        <w:t xml:space="preserve">антиатерогенних </w:t>
      </w:r>
      <w:r w:rsidR="00445BA9">
        <w:rPr>
          <w:rFonts w:ascii="Times New Roman" w:hAnsi="Times New Roman" w:cs="Times New Roman"/>
          <w:sz w:val="28"/>
          <w:szCs w:val="28"/>
          <w:lang w:val="uk-UA"/>
        </w:rPr>
        <w:t>–</w:t>
      </w:r>
      <w:r w:rsidR="006F6CC5">
        <w:rPr>
          <w:rFonts w:ascii="Times New Roman" w:hAnsi="Times New Roman" w:cs="Times New Roman"/>
          <w:sz w:val="28"/>
          <w:szCs w:val="28"/>
          <w:lang w:val="uk-UA"/>
        </w:rPr>
        <w:t xml:space="preserve"> нижчим</w:t>
      </w:r>
      <w:r w:rsidR="00445BA9" w:rsidRPr="00445BA9">
        <w:rPr>
          <w:rFonts w:ascii="Times New Roman" w:hAnsi="Times New Roman" w:cs="Times New Roman"/>
          <w:sz w:val="28"/>
          <w:szCs w:val="28"/>
          <w:lang w:val="uk-UA"/>
        </w:rPr>
        <w:t xml:space="preserve"> (</w:t>
      </w:r>
      <w:r w:rsidR="00445BA9">
        <w:rPr>
          <w:rFonts w:ascii="Times New Roman" w:hAnsi="Times New Roman" w:cs="Times New Roman"/>
          <w:sz w:val="28"/>
          <w:szCs w:val="28"/>
          <w:lang w:val="uk-UA"/>
        </w:rPr>
        <w:t>р &lt; 0,05)</w:t>
      </w:r>
      <w:r w:rsidR="0035735A">
        <w:rPr>
          <w:rFonts w:ascii="Times New Roman" w:hAnsi="Times New Roman" w:cs="Times New Roman"/>
          <w:sz w:val="28"/>
          <w:szCs w:val="28"/>
          <w:lang w:val="uk-UA"/>
        </w:rPr>
        <w:t xml:space="preserve"> у </w:t>
      </w:r>
      <w:r w:rsidR="00C832A7" w:rsidRPr="00C832A7">
        <w:rPr>
          <w:rFonts w:ascii="Times New Roman" w:hAnsi="Times New Roman" w:cs="Times New Roman"/>
          <w:sz w:val="28"/>
          <w:szCs w:val="28"/>
          <w:lang w:val="uk-UA"/>
        </w:rPr>
        <w:t>пац</w:t>
      </w:r>
      <w:r w:rsidR="00C832A7">
        <w:rPr>
          <w:rFonts w:ascii="Times New Roman" w:hAnsi="Times New Roman" w:cs="Times New Roman"/>
          <w:sz w:val="28"/>
          <w:szCs w:val="28"/>
          <w:lang w:val="uk-UA"/>
        </w:rPr>
        <w:t xml:space="preserve">iєнтiв </w:t>
      </w:r>
      <w:r w:rsidR="006F6CC5">
        <w:rPr>
          <w:rFonts w:ascii="Times New Roman" w:hAnsi="Times New Roman" w:cs="Times New Roman"/>
          <w:sz w:val="28"/>
          <w:szCs w:val="28"/>
          <w:lang w:val="uk-UA"/>
        </w:rPr>
        <w:t>і</w:t>
      </w:r>
      <w:r w:rsidR="00C832A7" w:rsidRPr="00C832A7">
        <w:rPr>
          <w:rFonts w:ascii="Times New Roman" w:hAnsi="Times New Roman" w:cs="Times New Roman"/>
          <w:sz w:val="28"/>
          <w:szCs w:val="28"/>
          <w:lang w:val="uk-UA"/>
        </w:rPr>
        <w:t>з АГ та ЦД 2-го типу</w:t>
      </w:r>
      <w:r w:rsidR="00C832A7">
        <w:rPr>
          <w:rFonts w:ascii="Times New Roman" w:hAnsi="Times New Roman" w:cs="Times New Roman"/>
          <w:sz w:val="28"/>
          <w:szCs w:val="28"/>
          <w:lang w:val="uk-UA"/>
        </w:rPr>
        <w:t xml:space="preserve"> порівняно з хворими</w:t>
      </w:r>
      <w:r w:rsidR="004E4C5E">
        <w:rPr>
          <w:rFonts w:ascii="Times New Roman" w:hAnsi="Times New Roman" w:cs="Times New Roman"/>
          <w:sz w:val="28"/>
          <w:szCs w:val="28"/>
          <w:lang w:val="uk-UA"/>
        </w:rPr>
        <w:t xml:space="preserve"> </w:t>
      </w:r>
      <w:r w:rsidR="006F6CC5">
        <w:rPr>
          <w:rFonts w:ascii="Times New Roman" w:hAnsi="Times New Roman" w:cs="Times New Roman"/>
          <w:sz w:val="28"/>
          <w:szCs w:val="28"/>
          <w:lang w:val="uk-UA"/>
        </w:rPr>
        <w:t>на</w:t>
      </w:r>
      <w:r w:rsidR="006A31EB" w:rsidRPr="006A31EB">
        <w:rPr>
          <w:rFonts w:ascii="Times New Roman" w:hAnsi="Times New Roman" w:cs="Times New Roman"/>
          <w:sz w:val="28"/>
          <w:szCs w:val="28"/>
          <w:lang w:val="uk-UA"/>
        </w:rPr>
        <w:t xml:space="preserve"> АГ без супутнього ЦД 2-го т</w:t>
      </w:r>
      <w:r w:rsidR="00691106">
        <w:rPr>
          <w:rFonts w:ascii="Times New Roman" w:hAnsi="Times New Roman" w:cs="Times New Roman"/>
          <w:sz w:val="28"/>
          <w:szCs w:val="28"/>
          <w:lang w:val="uk-UA"/>
        </w:rPr>
        <w:t>ипу</w:t>
      </w:r>
      <w:r w:rsidR="00592F74">
        <w:rPr>
          <w:rFonts w:ascii="Times New Roman" w:hAnsi="Times New Roman" w:cs="Times New Roman"/>
          <w:sz w:val="28"/>
          <w:szCs w:val="28"/>
          <w:lang w:val="uk-UA"/>
        </w:rPr>
        <w:t xml:space="preserve"> </w:t>
      </w:r>
      <w:r w:rsidR="00592F74" w:rsidRPr="00592F74">
        <w:rPr>
          <w:rFonts w:ascii="Times New Roman" w:hAnsi="Times New Roman" w:cs="Times New Roman"/>
          <w:sz w:val="28"/>
          <w:szCs w:val="28"/>
          <w:lang w:val="uk-UA"/>
        </w:rPr>
        <w:t>[</w:t>
      </w:r>
      <w:r w:rsidR="005C5DB7">
        <w:rPr>
          <w:rFonts w:ascii="Times New Roman" w:hAnsi="Times New Roman" w:cs="Times New Roman"/>
          <w:sz w:val="28"/>
          <w:szCs w:val="28"/>
          <w:lang w:val="uk-UA"/>
        </w:rPr>
        <w:t>143</w:t>
      </w:r>
      <w:r w:rsidR="00632295" w:rsidRPr="005C5DB7">
        <w:rPr>
          <w:rFonts w:ascii="Times New Roman" w:hAnsi="Times New Roman" w:cs="Times New Roman"/>
          <w:sz w:val="28"/>
          <w:szCs w:val="28"/>
          <w:lang w:val="uk-UA"/>
        </w:rPr>
        <w:t>,</w:t>
      </w:r>
      <w:r w:rsidR="004472C4" w:rsidRPr="005C5DB7">
        <w:rPr>
          <w:rFonts w:ascii="Times New Roman" w:hAnsi="Times New Roman" w:cs="Times New Roman"/>
          <w:sz w:val="28"/>
          <w:szCs w:val="28"/>
          <w:lang w:val="uk-UA"/>
        </w:rPr>
        <w:t>175</w:t>
      </w:r>
      <w:r w:rsidR="00592F74" w:rsidRPr="00592F74">
        <w:rPr>
          <w:rFonts w:ascii="Times New Roman" w:hAnsi="Times New Roman" w:cs="Times New Roman"/>
          <w:sz w:val="28"/>
          <w:szCs w:val="28"/>
          <w:lang w:val="uk-UA"/>
        </w:rPr>
        <w:t>].</w:t>
      </w:r>
      <w:r w:rsidR="00592F74">
        <w:rPr>
          <w:rFonts w:ascii="Times New Roman" w:hAnsi="Times New Roman" w:cs="Times New Roman"/>
          <w:sz w:val="28"/>
          <w:szCs w:val="28"/>
          <w:lang w:val="uk-UA"/>
        </w:rPr>
        <w:t xml:space="preserve"> </w:t>
      </w:r>
      <w:r w:rsidR="00F677E4">
        <w:rPr>
          <w:rFonts w:ascii="Times New Roman" w:hAnsi="Times New Roman" w:cs="Times New Roman"/>
          <w:sz w:val="28"/>
          <w:szCs w:val="28"/>
          <w:lang w:val="uk-UA"/>
        </w:rPr>
        <w:t>Коефіцієнт атерогенності</w:t>
      </w:r>
      <w:r w:rsidR="0062471C">
        <w:rPr>
          <w:rFonts w:ascii="Times New Roman" w:hAnsi="Times New Roman" w:cs="Times New Roman"/>
          <w:sz w:val="28"/>
          <w:szCs w:val="28"/>
          <w:lang w:val="uk-UA"/>
        </w:rPr>
        <w:t xml:space="preserve"> виявився достовірно вищим</w:t>
      </w:r>
      <w:r w:rsidR="00445BA9" w:rsidRPr="00445BA9">
        <w:rPr>
          <w:rFonts w:ascii="Times New Roman" w:hAnsi="Times New Roman" w:cs="Times New Roman"/>
          <w:sz w:val="28"/>
          <w:szCs w:val="28"/>
          <w:lang w:val="uk-UA"/>
        </w:rPr>
        <w:t xml:space="preserve"> у пацієнтів І групи порівняно з хворими ІІ групи</w:t>
      </w:r>
      <w:r w:rsidR="004E4095">
        <w:rPr>
          <w:rFonts w:ascii="Times New Roman" w:hAnsi="Times New Roman" w:cs="Times New Roman"/>
          <w:sz w:val="28"/>
          <w:szCs w:val="28"/>
          <w:lang w:val="uk-UA"/>
        </w:rPr>
        <w:t xml:space="preserve"> (р &lt; </w:t>
      </w:r>
      <w:r w:rsidR="004E4095" w:rsidRPr="004E4095">
        <w:rPr>
          <w:rFonts w:ascii="Times New Roman" w:hAnsi="Times New Roman" w:cs="Times New Roman"/>
          <w:sz w:val="28"/>
          <w:szCs w:val="28"/>
          <w:lang w:val="uk-UA"/>
        </w:rPr>
        <w:t>0,05</w:t>
      </w:r>
      <w:r w:rsidR="00445BA9">
        <w:rPr>
          <w:rFonts w:ascii="Times New Roman" w:hAnsi="Times New Roman" w:cs="Times New Roman"/>
          <w:sz w:val="28"/>
          <w:szCs w:val="28"/>
          <w:lang w:val="uk-UA"/>
        </w:rPr>
        <w:t>)</w:t>
      </w:r>
      <w:r w:rsidR="0062471C">
        <w:rPr>
          <w:rFonts w:ascii="Times New Roman" w:hAnsi="Times New Roman" w:cs="Times New Roman"/>
          <w:sz w:val="28"/>
          <w:szCs w:val="28"/>
          <w:lang w:val="uk-UA"/>
        </w:rPr>
        <w:t xml:space="preserve"> </w:t>
      </w:r>
      <w:r w:rsidR="00777C01">
        <w:rPr>
          <w:rFonts w:ascii="Times New Roman" w:hAnsi="Times New Roman" w:cs="Times New Roman"/>
          <w:sz w:val="28"/>
          <w:szCs w:val="28"/>
          <w:lang w:val="uk-UA"/>
        </w:rPr>
        <w:t>[</w:t>
      </w:r>
      <w:r w:rsidR="005C5DB7" w:rsidRPr="00F677E4">
        <w:rPr>
          <w:rFonts w:ascii="Times New Roman" w:hAnsi="Times New Roman" w:cs="Times New Roman"/>
          <w:sz w:val="28"/>
          <w:szCs w:val="28"/>
          <w:lang w:val="uk-UA"/>
        </w:rPr>
        <w:t>14</w:t>
      </w:r>
      <w:r w:rsidR="005C5DB7">
        <w:rPr>
          <w:rFonts w:ascii="Times New Roman" w:hAnsi="Times New Roman" w:cs="Times New Roman"/>
          <w:sz w:val="28"/>
          <w:szCs w:val="28"/>
          <w:lang w:val="uk-UA"/>
        </w:rPr>
        <w:t>3</w:t>
      </w:r>
      <w:r w:rsidR="00777C01">
        <w:rPr>
          <w:rFonts w:ascii="Times New Roman" w:hAnsi="Times New Roman" w:cs="Times New Roman"/>
          <w:sz w:val="28"/>
          <w:szCs w:val="28"/>
          <w:lang w:val="uk-UA"/>
        </w:rPr>
        <w:t xml:space="preserve">]. Отримані дані </w:t>
      </w:r>
      <w:r>
        <w:rPr>
          <w:rFonts w:ascii="Times New Roman" w:hAnsi="Times New Roman" w:cs="Times New Roman"/>
          <w:sz w:val="28"/>
          <w:szCs w:val="28"/>
          <w:lang w:val="uk-UA"/>
        </w:rPr>
        <w:t>св</w:t>
      </w:r>
      <w:r>
        <w:rPr>
          <w:rFonts w:ascii="Times New Roman" w:hAnsi="Times New Roman" w:cs="Times New Roman"/>
          <w:sz w:val="28"/>
          <w:szCs w:val="28"/>
          <w:lang w:val="en-US"/>
        </w:rPr>
        <w:t>i</w:t>
      </w:r>
      <w:r w:rsidR="00777C01">
        <w:rPr>
          <w:rFonts w:ascii="Times New Roman" w:hAnsi="Times New Roman" w:cs="Times New Roman"/>
          <w:sz w:val="28"/>
          <w:szCs w:val="28"/>
          <w:lang w:val="uk-UA"/>
        </w:rPr>
        <w:t>дча</w:t>
      </w:r>
      <w:r w:rsidR="006A31EB" w:rsidRPr="006A31EB">
        <w:rPr>
          <w:rFonts w:ascii="Times New Roman" w:hAnsi="Times New Roman" w:cs="Times New Roman"/>
          <w:sz w:val="28"/>
          <w:szCs w:val="28"/>
          <w:lang w:val="uk-UA"/>
        </w:rPr>
        <w:t xml:space="preserve">ть </w:t>
      </w:r>
      <w:r w:rsidR="00F677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w:t>
      </w:r>
      <w:r w:rsidR="00E22FF3">
        <w:rPr>
          <w:rFonts w:ascii="Times New Roman" w:hAnsi="Times New Roman" w:cs="Times New Roman"/>
          <w:sz w:val="28"/>
          <w:szCs w:val="28"/>
          <w:lang w:val="uk-UA"/>
        </w:rPr>
        <w:t xml:space="preserve">проатерогенну спрямованість </w:t>
      </w:r>
      <w:r w:rsidR="00777C01">
        <w:rPr>
          <w:rFonts w:ascii="Times New Roman" w:hAnsi="Times New Roman" w:cs="Times New Roman"/>
          <w:sz w:val="28"/>
          <w:szCs w:val="28"/>
          <w:lang w:val="uk-UA"/>
        </w:rPr>
        <w:t xml:space="preserve">і глибші порушення ліпідного обміну </w:t>
      </w:r>
      <w:r w:rsidR="007D293A">
        <w:rPr>
          <w:rFonts w:ascii="Times New Roman" w:hAnsi="Times New Roman" w:cs="Times New Roman"/>
          <w:sz w:val="28"/>
          <w:szCs w:val="28"/>
          <w:lang w:val="uk-UA"/>
        </w:rPr>
        <w:t xml:space="preserve">        </w:t>
      </w:r>
      <w:r w:rsidR="00777C01">
        <w:rPr>
          <w:rFonts w:ascii="Times New Roman" w:hAnsi="Times New Roman" w:cs="Times New Roman"/>
          <w:sz w:val="28"/>
          <w:szCs w:val="28"/>
          <w:lang w:val="uk-UA"/>
        </w:rPr>
        <w:t xml:space="preserve">за наявності коморбідної патології </w:t>
      </w:r>
      <w:r w:rsidR="00777C01" w:rsidRPr="00777C01">
        <w:rPr>
          <w:rFonts w:ascii="Times New Roman" w:hAnsi="Times New Roman" w:cs="Times New Roman"/>
          <w:sz w:val="28"/>
          <w:szCs w:val="28"/>
          <w:lang w:val="uk-UA"/>
        </w:rPr>
        <w:t>−</w:t>
      </w:r>
      <w:r w:rsidR="00777C01">
        <w:rPr>
          <w:rFonts w:ascii="Times New Roman" w:hAnsi="Times New Roman" w:cs="Times New Roman"/>
          <w:sz w:val="28"/>
          <w:szCs w:val="28"/>
          <w:lang w:val="uk-UA"/>
        </w:rPr>
        <w:t xml:space="preserve"> </w:t>
      </w:r>
      <w:r w:rsidR="004E4C5E">
        <w:rPr>
          <w:rFonts w:ascii="Times New Roman" w:hAnsi="Times New Roman" w:cs="Times New Roman"/>
          <w:sz w:val="28"/>
          <w:szCs w:val="28"/>
          <w:lang w:val="uk-UA"/>
        </w:rPr>
        <w:t>АГ та ЦД 2-го типу</w:t>
      </w:r>
      <w:r w:rsidR="006A31EB" w:rsidRPr="006A31E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632295" w:rsidRDefault="0062471C" w:rsidP="007A1D9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632295">
        <w:rPr>
          <w:rFonts w:ascii="Times New Roman" w:hAnsi="Times New Roman" w:cs="Times New Roman"/>
          <w:sz w:val="28"/>
          <w:szCs w:val="28"/>
          <w:lang w:val="uk-UA"/>
        </w:rPr>
        <w:t>собливо</w:t>
      </w:r>
      <w:r w:rsidR="00C832A7">
        <w:rPr>
          <w:rFonts w:ascii="Times New Roman" w:hAnsi="Times New Roman" w:cs="Times New Roman"/>
          <w:sz w:val="28"/>
          <w:szCs w:val="28"/>
          <w:lang w:val="uk-UA"/>
        </w:rPr>
        <w:t xml:space="preserve">сті дисліпідемії </w:t>
      </w:r>
      <w:r>
        <w:rPr>
          <w:rFonts w:ascii="Times New Roman" w:hAnsi="Times New Roman" w:cs="Times New Roman"/>
          <w:sz w:val="28"/>
          <w:szCs w:val="28"/>
          <w:lang w:val="uk-UA"/>
        </w:rPr>
        <w:t xml:space="preserve">виявлено </w:t>
      </w:r>
      <w:r w:rsidR="00C832A7">
        <w:rPr>
          <w:rFonts w:ascii="Times New Roman" w:hAnsi="Times New Roman" w:cs="Times New Roman"/>
          <w:sz w:val="28"/>
          <w:szCs w:val="28"/>
          <w:lang w:val="uk-UA"/>
        </w:rPr>
        <w:t xml:space="preserve">окремо для пацієнтів </w:t>
      </w:r>
      <w:r>
        <w:rPr>
          <w:rFonts w:ascii="Times New Roman" w:hAnsi="Times New Roman" w:cs="Times New Roman"/>
          <w:sz w:val="28"/>
          <w:szCs w:val="28"/>
          <w:lang w:val="uk-UA"/>
        </w:rPr>
        <w:t>І та ІІ груп</w:t>
      </w:r>
      <w:r w:rsidR="0063229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7A1D9E">
        <w:rPr>
          <w:rFonts w:ascii="Times New Roman" w:hAnsi="Times New Roman" w:cs="Times New Roman"/>
          <w:sz w:val="28"/>
          <w:szCs w:val="28"/>
          <w:lang w:val="uk-UA"/>
        </w:rPr>
        <w:t>міна якісних властивостей</w:t>
      </w:r>
      <w:r w:rsidR="00C832A7">
        <w:rPr>
          <w:rFonts w:ascii="Times New Roman" w:hAnsi="Times New Roman" w:cs="Times New Roman"/>
          <w:sz w:val="28"/>
          <w:szCs w:val="28"/>
          <w:lang w:val="uk-UA"/>
        </w:rPr>
        <w:t xml:space="preserve"> ХС</w:t>
      </w:r>
      <w:r w:rsidR="007A1D9E">
        <w:rPr>
          <w:rFonts w:ascii="Times New Roman" w:hAnsi="Times New Roman" w:cs="Times New Roman"/>
          <w:sz w:val="28"/>
          <w:szCs w:val="28"/>
          <w:lang w:val="uk-UA"/>
        </w:rPr>
        <w:t xml:space="preserve"> ЛПНЩ</w:t>
      </w:r>
      <w:r>
        <w:rPr>
          <w:rFonts w:ascii="Times New Roman" w:hAnsi="Times New Roman" w:cs="Times New Roman"/>
          <w:sz w:val="28"/>
          <w:szCs w:val="28"/>
          <w:lang w:val="uk-UA"/>
        </w:rPr>
        <w:t xml:space="preserve"> є характерною ознакою ЦД 2-го типу, яка обумовлена інтенсивним глікуванням</w:t>
      </w:r>
      <w:r w:rsidRPr="0062471C">
        <w:rPr>
          <w:rFonts w:ascii="Times New Roman" w:hAnsi="Times New Roman" w:cs="Times New Roman"/>
          <w:sz w:val="28"/>
          <w:szCs w:val="28"/>
          <w:lang w:val="uk-UA"/>
        </w:rPr>
        <w:t xml:space="preserve"> білків і ліпопротеїдів</w:t>
      </w:r>
      <w:r w:rsidR="007A1D9E">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C832A7">
        <w:rPr>
          <w:rFonts w:ascii="Times New Roman" w:hAnsi="Times New Roman" w:cs="Times New Roman"/>
          <w:sz w:val="28"/>
          <w:szCs w:val="28"/>
          <w:lang w:val="uk-UA"/>
        </w:rPr>
        <w:t>ідвищення</w:t>
      </w:r>
      <w:r w:rsidR="007A1D9E">
        <w:rPr>
          <w:rFonts w:ascii="Times New Roman" w:hAnsi="Times New Roman" w:cs="Times New Roman"/>
          <w:sz w:val="28"/>
          <w:szCs w:val="28"/>
          <w:lang w:val="uk-UA"/>
        </w:rPr>
        <w:t xml:space="preserve"> </w:t>
      </w:r>
      <w:r w:rsidR="00C832A7">
        <w:rPr>
          <w:rFonts w:ascii="Times New Roman" w:hAnsi="Times New Roman" w:cs="Times New Roman"/>
          <w:sz w:val="28"/>
          <w:szCs w:val="28"/>
          <w:lang w:val="uk-UA"/>
        </w:rPr>
        <w:t xml:space="preserve">ХС </w:t>
      </w:r>
      <w:r w:rsidR="007A1D9E">
        <w:rPr>
          <w:rFonts w:ascii="Times New Roman" w:hAnsi="Times New Roman" w:cs="Times New Roman"/>
          <w:sz w:val="28"/>
          <w:szCs w:val="28"/>
          <w:lang w:val="uk-UA"/>
        </w:rPr>
        <w:t>ЛПНЩ</w:t>
      </w:r>
      <w:r>
        <w:rPr>
          <w:rFonts w:ascii="Times New Roman" w:hAnsi="Times New Roman" w:cs="Times New Roman"/>
          <w:sz w:val="28"/>
          <w:szCs w:val="28"/>
          <w:lang w:val="uk-UA"/>
        </w:rPr>
        <w:t xml:space="preserve"> характерне для </w:t>
      </w:r>
      <w:r w:rsidRPr="0062471C">
        <w:rPr>
          <w:rFonts w:ascii="Times New Roman" w:hAnsi="Times New Roman" w:cs="Times New Roman"/>
          <w:sz w:val="28"/>
          <w:szCs w:val="28"/>
          <w:lang w:val="uk-UA"/>
        </w:rPr>
        <w:t>хворих на АГ</w:t>
      </w:r>
      <w:r w:rsidR="007A1D9E">
        <w:rPr>
          <w:rFonts w:ascii="Times New Roman" w:hAnsi="Times New Roman" w:cs="Times New Roman"/>
          <w:sz w:val="28"/>
          <w:szCs w:val="28"/>
          <w:lang w:val="uk-UA"/>
        </w:rPr>
        <w:t>.</w:t>
      </w:r>
      <w:r w:rsidR="004B7564">
        <w:rPr>
          <w:rFonts w:ascii="Times New Roman" w:hAnsi="Times New Roman" w:cs="Times New Roman"/>
          <w:sz w:val="28"/>
          <w:szCs w:val="28"/>
          <w:lang w:val="uk-UA"/>
        </w:rPr>
        <w:t xml:space="preserve"> </w:t>
      </w:r>
      <w:r w:rsidR="004B7564" w:rsidRPr="004B7564">
        <w:rPr>
          <w:rFonts w:ascii="Times New Roman" w:hAnsi="Times New Roman" w:cs="Times New Roman"/>
          <w:sz w:val="28"/>
          <w:szCs w:val="28"/>
          <w:lang w:val="uk-UA"/>
        </w:rPr>
        <w:t>Установлено, що лiпiдна трiада, наявна у пацiєнтiв iз ЦД 2-го типу, передбачає збiльшення концентрацiї ТГ, зниження ХС</w:t>
      </w:r>
      <w:r>
        <w:rPr>
          <w:rFonts w:ascii="Times New Roman" w:hAnsi="Times New Roman" w:cs="Times New Roman"/>
          <w:sz w:val="28"/>
          <w:szCs w:val="28"/>
          <w:lang w:val="uk-UA"/>
        </w:rPr>
        <w:t xml:space="preserve"> </w:t>
      </w:r>
      <w:r w:rsidR="004B7564" w:rsidRPr="004B7564">
        <w:rPr>
          <w:rFonts w:ascii="Times New Roman" w:hAnsi="Times New Roman" w:cs="Times New Roman"/>
          <w:sz w:val="28"/>
          <w:szCs w:val="28"/>
          <w:lang w:val="uk-UA"/>
        </w:rPr>
        <w:t xml:space="preserve">ЛПВЩ та переважання у кровi дрiбних щiльних частин </w:t>
      </w:r>
      <w:r>
        <w:rPr>
          <w:rFonts w:ascii="Times New Roman" w:hAnsi="Times New Roman" w:cs="Times New Roman"/>
          <w:sz w:val="28"/>
          <w:szCs w:val="28"/>
          <w:lang w:val="uk-UA"/>
        </w:rPr>
        <w:t xml:space="preserve">ХС </w:t>
      </w:r>
      <w:r w:rsidR="004B7564" w:rsidRPr="004B7564">
        <w:rPr>
          <w:rFonts w:ascii="Times New Roman" w:hAnsi="Times New Roman" w:cs="Times New Roman"/>
          <w:sz w:val="28"/>
          <w:szCs w:val="28"/>
          <w:lang w:val="uk-UA"/>
        </w:rPr>
        <w:t>ЛПНЩ [</w:t>
      </w:r>
      <w:r w:rsidR="005C5DB7">
        <w:rPr>
          <w:rFonts w:ascii="Times New Roman" w:hAnsi="Times New Roman" w:cs="Times New Roman"/>
          <w:sz w:val="28"/>
          <w:szCs w:val="28"/>
          <w:lang w:val="uk-UA"/>
        </w:rPr>
        <w:t>24</w:t>
      </w:r>
      <w:r w:rsidR="004B7564" w:rsidRPr="004B7564">
        <w:rPr>
          <w:rFonts w:ascii="Times New Roman" w:hAnsi="Times New Roman" w:cs="Times New Roman"/>
          <w:sz w:val="28"/>
          <w:szCs w:val="28"/>
          <w:lang w:val="uk-UA"/>
        </w:rPr>
        <w:t>].</w:t>
      </w:r>
    </w:p>
    <w:p w:rsidR="004B7564" w:rsidRDefault="007A1D9E" w:rsidP="007A1D9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w:t>
      </w:r>
      <w:r w:rsidR="00632295">
        <w:rPr>
          <w:rFonts w:ascii="Times New Roman" w:hAnsi="Times New Roman" w:cs="Times New Roman"/>
          <w:sz w:val="28"/>
          <w:szCs w:val="28"/>
          <w:lang w:val="uk-UA"/>
        </w:rPr>
        <w:t xml:space="preserve"> проаналіз</w:t>
      </w:r>
      <w:r>
        <w:rPr>
          <w:rFonts w:ascii="Times New Roman" w:hAnsi="Times New Roman" w:cs="Times New Roman"/>
          <w:sz w:val="28"/>
          <w:szCs w:val="28"/>
          <w:lang w:val="uk-UA"/>
        </w:rPr>
        <w:t>ували</w:t>
      </w:r>
      <w:r w:rsidR="00632295">
        <w:rPr>
          <w:rFonts w:ascii="Times New Roman" w:hAnsi="Times New Roman" w:cs="Times New Roman"/>
          <w:sz w:val="28"/>
          <w:szCs w:val="28"/>
          <w:lang w:val="uk-UA"/>
        </w:rPr>
        <w:t xml:space="preserve"> типи дисліпідемій саме для пацієнтів </w:t>
      </w:r>
      <w:r w:rsidR="007D293A">
        <w:rPr>
          <w:rFonts w:ascii="Times New Roman" w:hAnsi="Times New Roman" w:cs="Times New Roman"/>
          <w:sz w:val="28"/>
          <w:szCs w:val="28"/>
          <w:lang w:val="uk-UA"/>
        </w:rPr>
        <w:t xml:space="preserve">                        </w:t>
      </w:r>
      <w:r w:rsidR="00632295">
        <w:rPr>
          <w:rFonts w:ascii="Times New Roman" w:hAnsi="Times New Roman" w:cs="Times New Roman"/>
          <w:sz w:val="28"/>
          <w:szCs w:val="28"/>
          <w:lang w:val="uk-UA"/>
        </w:rPr>
        <w:t>із коморбідною патологією – АГ та супутнім ЦД 2-го типу.</w:t>
      </w:r>
      <w:r>
        <w:rPr>
          <w:rFonts w:ascii="Times New Roman" w:hAnsi="Times New Roman" w:cs="Times New Roman"/>
          <w:sz w:val="28"/>
          <w:szCs w:val="28"/>
          <w:lang w:val="uk-UA"/>
        </w:rPr>
        <w:t xml:space="preserve"> </w:t>
      </w:r>
      <w:r w:rsidR="00CA3DCF">
        <w:rPr>
          <w:rFonts w:ascii="Times New Roman" w:hAnsi="Times New Roman" w:cs="Times New Roman"/>
          <w:sz w:val="28"/>
          <w:szCs w:val="28"/>
          <w:lang w:val="uk-UA"/>
        </w:rPr>
        <w:t>К</w:t>
      </w:r>
      <w:r w:rsidR="00A324A9">
        <w:rPr>
          <w:rFonts w:ascii="Times New Roman" w:hAnsi="Times New Roman" w:cs="Times New Roman"/>
          <w:sz w:val="28"/>
          <w:szCs w:val="28"/>
          <w:lang w:val="uk-UA"/>
        </w:rPr>
        <w:t>омб</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нований тип дисл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п</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дем</w:t>
      </w:r>
      <w:r w:rsidR="00A324A9">
        <w:rPr>
          <w:rFonts w:ascii="Times New Roman" w:hAnsi="Times New Roman" w:cs="Times New Roman"/>
          <w:sz w:val="28"/>
          <w:szCs w:val="28"/>
          <w:lang w:val="en-US"/>
        </w:rPr>
        <w:t>i</w:t>
      </w:r>
      <w:r w:rsidR="007F3E69" w:rsidRPr="007F3E69">
        <w:rPr>
          <w:rFonts w:ascii="Times New Roman" w:hAnsi="Times New Roman" w:cs="Times New Roman"/>
          <w:sz w:val="28"/>
          <w:szCs w:val="28"/>
          <w:lang w:val="uk-UA"/>
        </w:rPr>
        <w:t>ї визначається приблизн</w:t>
      </w:r>
      <w:r w:rsidR="004B7564">
        <w:rPr>
          <w:rFonts w:ascii="Times New Roman" w:hAnsi="Times New Roman" w:cs="Times New Roman"/>
          <w:sz w:val="28"/>
          <w:szCs w:val="28"/>
          <w:lang w:val="uk-UA"/>
        </w:rPr>
        <w:t>о у п’ятої частини</w:t>
      </w:r>
      <w:r w:rsidR="00CA3DCF">
        <w:rPr>
          <w:rFonts w:ascii="Times New Roman" w:hAnsi="Times New Roman" w:cs="Times New Roman"/>
          <w:sz w:val="28"/>
          <w:szCs w:val="28"/>
          <w:lang w:val="uk-UA"/>
        </w:rPr>
        <w:t xml:space="preserve"> </w:t>
      </w:r>
      <w:r w:rsidR="00CA3DCF" w:rsidRPr="00CA3DCF">
        <w:rPr>
          <w:rFonts w:ascii="Times New Roman" w:hAnsi="Times New Roman" w:cs="Times New Roman"/>
          <w:sz w:val="28"/>
          <w:szCs w:val="28"/>
          <w:lang w:val="uk-UA"/>
        </w:rPr>
        <w:t>хворих І групи</w:t>
      </w:r>
      <w:r w:rsidR="00A324A9">
        <w:rPr>
          <w:rFonts w:ascii="Times New Roman" w:hAnsi="Times New Roman" w:cs="Times New Roman"/>
          <w:sz w:val="28"/>
          <w:szCs w:val="28"/>
          <w:lang w:val="uk-UA"/>
        </w:rPr>
        <w:t xml:space="preserve">, </w:t>
      </w:r>
      <w:r w:rsidR="00AD11B0">
        <w:rPr>
          <w:rFonts w:ascii="Times New Roman" w:hAnsi="Times New Roman" w:cs="Times New Roman"/>
          <w:sz w:val="28"/>
          <w:szCs w:val="28"/>
          <w:lang w:val="uk-UA"/>
        </w:rPr>
        <w:t xml:space="preserve">   </w:t>
      </w:r>
      <w:r w:rsidR="00A324A9">
        <w:rPr>
          <w:rFonts w:ascii="Times New Roman" w:hAnsi="Times New Roman" w:cs="Times New Roman"/>
          <w:sz w:val="28"/>
          <w:szCs w:val="28"/>
          <w:lang w:val="uk-UA"/>
        </w:rPr>
        <w:t>що св</w:t>
      </w:r>
      <w:r w:rsidR="00A324A9">
        <w:rPr>
          <w:rFonts w:ascii="Times New Roman" w:hAnsi="Times New Roman" w:cs="Times New Roman"/>
          <w:sz w:val="28"/>
          <w:szCs w:val="28"/>
          <w:lang w:val="en-US"/>
        </w:rPr>
        <w:t>i</w:t>
      </w:r>
      <w:r w:rsidR="007F3E69" w:rsidRPr="007F3E69">
        <w:rPr>
          <w:rFonts w:ascii="Times New Roman" w:hAnsi="Times New Roman" w:cs="Times New Roman"/>
          <w:sz w:val="28"/>
          <w:szCs w:val="28"/>
          <w:lang w:val="uk-UA"/>
        </w:rPr>
        <w:t>дчить про більш глиб</w:t>
      </w:r>
      <w:r w:rsidR="00A324A9">
        <w:rPr>
          <w:rFonts w:ascii="Times New Roman" w:hAnsi="Times New Roman" w:cs="Times New Roman"/>
          <w:sz w:val="28"/>
          <w:szCs w:val="28"/>
          <w:lang w:val="uk-UA"/>
        </w:rPr>
        <w:t>оке порушення 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п</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дного обм</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 xml:space="preserve">ну </w:t>
      </w:r>
      <w:r w:rsidR="00A348F0">
        <w:rPr>
          <w:rFonts w:ascii="Times New Roman" w:hAnsi="Times New Roman" w:cs="Times New Roman"/>
          <w:sz w:val="28"/>
          <w:szCs w:val="28"/>
          <w:lang w:val="uk-UA"/>
        </w:rPr>
        <w:t xml:space="preserve">у </w:t>
      </w:r>
      <w:r w:rsidR="00A324A9">
        <w:rPr>
          <w:rFonts w:ascii="Times New Roman" w:hAnsi="Times New Roman" w:cs="Times New Roman"/>
          <w:sz w:val="28"/>
          <w:szCs w:val="28"/>
          <w:lang w:val="uk-UA"/>
        </w:rPr>
        <w:t>цих пац</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єнтів пор</w:t>
      </w:r>
      <w:r w:rsidR="00A324A9">
        <w:rPr>
          <w:rFonts w:ascii="Times New Roman" w:hAnsi="Times New Roman" w:cs="Times New Roman"/>
          <w:sz w:val="28"/>
          <w:szCs w:val="28"/>
          <w:lang w:val="en-US"/>
        </w:rPr>
        <w:t>i</w:t>
      </w:r>
      <w:r w:rsidR="00E1792B">
        <w:rPr>
          <w:rFonts w:ascii="Times New Roman" w:hAnsi="Times New Roman" w:cs="Times New Roman"/>
          <w:sz w:val="28"/>
          <w:szCs w:val="28"/>
          <w:lang w:val="uk-UA"/>
        </w:rPr>
        <w:t>вняно</w:t>
      </w:r>
      <w:r w:rsidR="00A324A9">
        <w:rPr>
          <w:rFonts w:ascii="Times New Roman" w:hAnsi="Times New Roman" w:cs="Times New Roman"/>
          <w:sz w:val="28"/>
          <w:szCs w:val="28"/>
          <w:lang w:val="uk-UA"/>
        </w:rPr>
        <w:t xml:space="preserve"> з </w:t>
      </w:r>
      <w:r w:rsidR="00A348F0">
        <w:rPr>
          <w:rFonts w:ascii="Times New Roman" w:hAnsi="Times New Roman" w:cs="Times New Roman"/>
          <w:sz w:val="28"/>
          <w:szCs w:val="28"/>
          <w:lang w:val="uk-UA"/>
        </w:rPr>
        <w:t>хворими на</w:t>
      </w:r>
      <w:r w:rsidR="004B55B2">
        <w:rPr>
          <w:rFonts w:ascii="Times New Roman" w:hAnsi="Times New Roman" w:cs="Times New Roman"/>
          <w:sz w:val="28"/>
          <w:szCs w:val="28"/>
          <w:lang w:val="uk-UA"/>
        </w:rPr>
        <w:t xml:space="preserve"> АГ </w:t>
      </w:r>
      <w:r w:rsidR="007F3E69" w:rsidRPr="007F3E69">
        <w:rPr>
          <w:rFonts w:ascii="Times New Roman" w:hAnsi="Times New Roman" w:cs="Times New Roman"/>
          <w:sz w:val="28"/>
          <w:szCs w:val="28"/>
          <w:lang w:val="uk-UA"/>
        </w:rPr>
        <w:t xml:space="preserve">та практично </w:t>
      </w:r>
      <w:r w:rsidR="004E4C5E">
        <w:rPr>
          <w:rFonts w:ascii="Times New Roman" w:hAnsi="Times New Roman" w:cs="Times New Roman"/>
          <w:sz w:val="28"/>
          <w:szCs w:val="28"/>
          <w:lang w:val="uk-UA"/>
        </w:rPr>
        <w:t xml:space="preserve">здоровими людьми, </w:t>
      </w:r>
      <w:r w:rsidR="00A324A9">
        <w:rPr>
          <w:rFonts w:ascii="Times New Roman" w:hAnsi="Times New Roman" w:cs="Times New Roman"/>
          <w:sz w:val="28"/>
          <w:szCs w:val="28"/>
          <w:lang w:val="uk-UA"/>
        </w:rPr>
        <w:t>необх</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дн</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сть корекц</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ї дисл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п</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дем</w:t>
      </w:r>
      <w:r w:rsidR="00A324A9">
        <w:rPr>
          <w:rFonts w:ascii="Times New Roman" w:hAnsi="Times New Roman" w:cs="Times New Roman"/>
          <w:sz w:val="28"/>
          <w:szCs w:val="28"/>
          <w:lang w:val="en-US"/>
        </w:rPr>
        <w:t>i</w:t>
      </w:r>
      <w:r w:rsidR="007F3E69" w:rsidRPr="007F3E69">
        <w:rPr>
          <w:rFonts w:ascii="Times New Roman" w:hAnsi="Times New Roman" w:cs="Times New Roman"/>
          <w:sz w:val="28"/>
          <w:szCs w:val="28"/>
          <w:lang w:val="uk-UA"/>
        </w:rPr>
        <w:t>ї для попередження ризику в</w:t>
      </w:r>
      <w:r w:rsidR="00A324A9">
        <w:rPr>
          <w:rFonts w:ascii="Times New Roman" w:hAnsi="Times New Roman" w:cs="Times New Roman"/>
          <w:sz w:val="28"/>
          <w:szCs w:val="28"/>
          <w:lang w:val="uk-UA"/>
        </w:rPr>
        <w:t>иникнення нових ССУ</w:t>
      </w:r>
      <w:r w:rsidR="004B7564">
        <w:rPr>
          <w:rFonts w:ascii="Times New Roman" w:hAnsi="Times New Roman" w:cs="Times New Roman"/>
          <w:sz w:val="28"/>
          <w:szCs w:val="28"/>
          <w:lang w:val="uk-UA"/>
        </w:rPr>
        <w:t xml:space="preserve"> [</w:t>
      </w:r>
      <w:r w:rsidR="005C5DB7">
        <w:rPr>
          <w:rFonts w:ascii="Times New Roman" w:hAnsi="Times New Roman" w:cs="Times New Roman"/>
          <w:sz w:val="28"/>
          <w:szCs w:val="28"/>
          <w:lang w:val="uk-UA"/>
        </w:rPr>
        <w:t>143</w:t>
      </w:r>
      <w:r w:rsidR="004B7564">
        <w:rPr>
          <w:rFonts w:ascii="Times New Roman" w:hAnsi="Times New Roman" w:cs="Times New Roman"/>
          <w:sz w:val="28"/>
          <w:szCs w:val="28"/>
          <w:lang w:val="uk-UA"/>
        </w:rPr>
        <w:t>]</w:t>
      </w:r>
      <w:r w:rsidR="00A348F0">
        <w:rPr>
          <w:rFonts w:ascii="Times New Roman" w:hAnsi="Times New Roman" w:cs="Times New Roman"/>
          <w:sz w:val="28"/>
          <w:szCs w:val="28"/>
          <w:lang w:val="uk-UA"/>
        </w:rPr>
        <w:t xml:space="preserve">. </w:t>
      </w:r>
      <w:r w:rsidR="00B03C64">
        <w:rPr>
          <w:rFonts w:ascii="Times New Roman" w:hAnsi="Times New Roman" w:cs="Times New Roman"/>
          <w:sz w:val="28"/>
          <w:szCs w:val="28"/>
          <w:lang w:val="uk-UA"/>
        </w:rPr>
        <w:t xml:space="preserve">Зазначений </w:t>
      </w:r>
      <w:r w:rsidR="00A348F0">
        <w:rPr>
          <w:rFonts w:ascii="Times New Roman" w:hAnsi="Times New Roman" w:cs="Times New Roman"/>
          <w:sz w:val="28"/>
          <w:szCs w:val="28"/>
          <w:lang w:val="uk-UA"/>
        </w:rPr>
        <w:t>тип</w:t>
      </w:r>
      <w:r w:rsidR="00A324A9">
        <w:rPr>
          <w:rFonts w:ascii="Times New Roman" w:hAnsi="Times New Roman" w:cs="Times New Roman"/>
          <w:sz w:val="28"/>
          <w:szCs w:val="28"/>
          <w:lang w:val="uk-UA"/>
        </w:rPr>
        <w:t xml:space="preserve"> дисл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п</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дем</w:t>
      </w:r>
      <w:r w:rsidR="00A324A9">
        <w:rPr>
          <w:rFonts w:ascii="Times New Roman" w:hAnsi="Times New Roman" w:cs="Times New Roman"/>
          <w:sz w:val="28"/>
          <w:szCs w:val="28"/>
          <w:lang w:val="en-US"/>
        </w:rPr>
        <w:t>i</w:t>
      </w:r>
      <w:r w:rsidR="007F3E69" w:rsidRPr="007F3E69">
        <w:rPr>
          <w:rFonts w:ascii="Times New Roman" w:hAnsi="Times New Roman" w:cs="Times New Roman"/>
          <w:sz w:val="28"/>
          <w:szCs w:val="28"/>
          <w:lang w:val="uk-UA"/>
        </w:rPr>
        <w:t>ї</w:t>
      </w:r>
      <w:r w:rsidR="004B7564">
        <w:rPr>
          <w:rFonts w:ascii="Times New Roman" w:hAnsi="Times New Roman" w:cs="Times New Roman"/>
          <w:sz w:val="28"/>
          <w:szCs w:val="28"/>
          <w:lang w:val="uk-UA"/>
        </w:rPr>
        <w:t xml:space="preserve">, </w:t>
      </w:r>
      <w:r w:rsidR="00A348F0">
        <w:rPr>
          <w:rFonts w:ascii="Times New Roman" w:hAnsi="Times New Roman" w:cs="Times New Roman"/>
          <w:sz w:val="28"/>
          <w:szCs w:val="28"/>
          <w:lang w:val="uk-UA"/>
        </w:rPr>
        <w:t>який включає</w:t>
      </w:r>
      <w:r w:rsidR="004B7564">
        <w:rPr>
          <w:rFonts w:ascii="Times New Roman" w:hAnsi="Times New Roman" w:cs="Times New Roman"/>
          <w:sz w:val="28"/>
          <w:szCs w:val="28"/>
          <w:lang w:val="uk-UA"/>
        </w:rPr>
        <w:t xml:space="preserve"> </w:t>
      </w:r>
      <w:r w:rsidR="00A348F0">
        <w:rPr>
          <w:rFonts w:ascii="Times New Roman" w:hAnsi="Times New Roman" w:cs="Times New Roman"/>
          <w:sz w:val="28"/>
          <w:szCs w:val="28"/>
          <w:lang w:val="uk-UA"/>
        </w:rPr>
        <w:t>збільшення</w:t>
      </w:r>
      <w:r w:rsidR="004B7564" w:rsidRPr="004B7564">
        <w:rPr>
          <w:rFonts w:ascii="Times New Roman" w:hAnsi="Times New Roman" w:cs="Times New Roman"/>
          <w:sz w:val="28"/>
          <w:szCs w:val="28"/>
          <w:lang w:val="uk-UA"/>
        </w:rPr>
        <w:t xml:space="preserve"> </w:t>
      </w:r>
      <w:r w:rsidR="00A348F0">
        <w:rPr>
          <w:rFonts w:ascii="Times New Roman" w:hAnsi="Times New Roman" w:cs="Times New Roman"/>
          <w:sz w:val="28"/>
          <w:szCs w:val="28"/>
          <w:lang w:val="uk-UA"/>
        </w:rPr>
        <w:t xml:space="preserve">вмісту ХС </w:t>
      </w:r>
      <w:r w:rsidR="004B7564" w:rsidRPr="004B7564">
        <w:rPr>
          <w:rFonts w:ascii="Times New Roman" w:hAnsi="Times New Roman" w:cs="Times New Roman"/>
          <w:sz w:val="28"/>
          <w:szCs w:val="28"/>
          <w:lang w:val="uk-UA"/>
        </w:rPr>
        <w:t>ЛПНЩ</w:t>
      </w:r>
      <w:r w:rsidR="004B7564">
        <w:rPr>
          <w:rFonts w:ascii="Times New Roman" w:hAnsi="Times New Roman" w:cs="Times New Roman"/>
          <w:sz w:val="28"/>
          <w:szCs w:val="28"/>
          <w:lang w:val="uk-UA"/>
        </w:rPr>
        <w:t xml:space="preserve"> та </w:t>
      </w:r>
      <w:r w:rsidR="00A348F0">
        <w:rPr>
          <w:rFonts w:ascii="Times New Roman" w:hAnsi="Times New Roman" w:cs="Times New Roman"/>
          <w:sz w:val="28"/>
          <w:szCs w:val="28"/>
          <w:lang w:val="uk-UA"/>
        </w:rPr>
        <w:t xml:space="preserve">ЗХС, </w:t>
      </w:r>
      <w:r w:rsidR="007F3E69" w:rsidRPr="007F3E69">
        <w:rPr>
          <w:rFonts w:ascii="Times New Roman" w:hAnsi="Times New Roman" w:cs="Times New Roman"/>
          <w:sz w:val="28"/>
          <w:szCs w:val="28"/>
          <w:lang w:val="uk-UA"/>
        </w:rPr>
        <w:t xml:space="preserve">можна пояснити </w:t>
      </w:r>
      <w:r w:rsidR="00A348F0">
        <w:rPr>
          <w:rFonts w:ascii="Times New Roman" w:hAnsi="Times New Roman" w:cs="Times New Roman"/>
          <w:sz w:val="28"/>
          <w:szCs w:val="28"/>
          <w:lang w:val="uk-UA"/>
        </w:rPr>
        <w:t>наявністю</w:t>
      </w:r>
      <w:r w:rsidR="004B7564">
        <w:rPr>
          <w:rFonts w:ascii="Times New Roman" w:hAnsi="Times New Roman" w:cs="Times New Roman"/>
          <w:sz w:val="28"/>
          <w:szCs w:val="28"/>
          <w:lang w:val="uk-UA"/>
        </w:rPr>
        <w:t xml:space="preserve"> </w:t>
      </w:r>
      <w:r w:rsidR="00A324A9">
        <w:rPr>
          <w:rFonts w:ascii="Times New Roman" w:hAnsi="Times New Roman" w:cs="Times New Roman"/>
          <w:sz w:val="28"/>
          <w:szCs w:val="28"/>
          <w:lang w:val="uk-UA"/>
        </w:rPr>
        <w:t xml:space="preserve">АГ </w:t>
      </w:r>
      <w:r w:rsidR="004B7564">
        <w:rPr>
          <w:rFonts w:ascii="Times New Roman" w:hAnsi="Times New Roman" w:cs="Times New Roman"/>
          <w:sz w:val="28"/>
          <w:szCs w:val="28"/>
          <w:lang w:val="uk-UA"/>
        </w:rPr>
        <w:t>у пацієнтів із</w:t>
      </w:r>
      <w:r w:rsidR="004E4C5E">
        <w:rPr>
          <w:rFonts w:ascii="Times New Roman" w:hAnsi="Times New Roman" w:cs="Times New Roman"/>
          <w:sz w:val="28"/>
          <w:szCs w:val="28"/>
          <w:lang w:val="uk-UA"/>
        </w:rPr>
        <w:t xml:space="preserve"> ЦД 2-го типу</w:t>
      </w:r>
      <w:r w:rsidR="00A324A9">
        <w:rPr>
          <w:rFonts w:ascii="Times New Roman" w:hAnsi="Times New Roman" w:cs="Times New Roman"/>
          <w:sz w:val="28"/>
          <w:szCs w:val="28"/>
          <w:lang w:val="uk-UA"/>
        </w:rPr>
        <w:t xml:space="preserve">. </w:t>
      </w:r>
    </w:p>
    <w:p w:rsidR="009858A0" w:rsidRDefault="00A324A9" w:rsidP="007A1D9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Зниження  </w:t>
      </w:r>
      <w:r w:rsidR="00A348F0">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ЛПВЩ та п</w:t>
      </w:r>
      <w:r>
        <w:rPr>
          <w:rFonts w:ascii="Times New Roman" w:hAnsi="Times New Roman" w:cs="Times New Roman"/>
          <w:sz w:val="28"/>
          <w:szCs w:val="28"/>
          <w:lang w:val="en-US"/>
        </w:rPr>
        <w:t>i</w:t>
      </w:r>
      <w:r w:rsidR="007F3E69" w:rsidRPr="007F3E69">
        <w:rPr>
          <w:rFonts w:ascii="Times New Roman" w:hAnsi="Times New Roman" w:cs="Times New Roman"/>
          <w:sz w:val="28"/>
          <w:szCs w:val="28"/>
          <w:lang w:val="uk-UA"/>
        </w:rPr>
        <w:t>двищення ТГ було ная</w:t>
      </w:r>
      <w:r>
        <w:rPr>
          <w:rFonts w:ascii="Times New Roman" w:hAnsi="Times New Roman" w:cs="Times New Roman"/>
          <w:sz w:val="28"/>
          <w:szCs w:val="28"/>
          <w:lang w:val="uk-UA"/>
        </w:rPr>
        <w:t xml:space="preserve">вним майже у десятої частини </w:t>
      </w:r>
      <w:r w:rsidR="00C30466">
        <w:rPr>
          <w:rFonts w:ascii="Times New Roman" w:hAnsi="Times New Roman" w:cs="Times New Roman"/>
          <w:sz w:val="28"/>
          <w:szCs w:val="28"/>
          <w:lang w:val="uk-UA"/>
        </w:rPr>
        <w:t xml:space="preserve">хворих </w:t>
      </w:r>
      <w:r w:rsidR="007F3E69" w:rsidRPr="007F3E69">
        <w:rPr>
          <w:rFonts w:ascii="Times New Roman" w:hAnsi="Times New Roman" w:cs="Times New Roman"/>
          <w:sz w:val="28"/>
          <w:szCs w:val="28"/>
          <w:lang w:val="uk-UA"/>
        </w:rPr>
        <w:t>І групи (9,38</w:t>
      </w:r>
      <w:r w:rsidR="00E1792B">
        <w:rPr>
          <w:rFonts w:ascii="Times New Roman" w:hAnsi="Times New Roman" w:cs="Times New Roman"/>
          <w:sz w:val="28"/>
          <w:szCs w:val="28"/>
          <w:lang w:val="uk-UA"/>
        </w:rPr>
        <w:t xml:space="preserve"> </w:t>
      </w:r>
      <w:r w:rsidR="007F3E69" w:rsidRPr="007F3E69">
        <w:rPr>
          <w:rFonts w:ascii="Times New Roman" w:hAnsi="Times New Roman" w:cs="Times New Roman"/>
          <w:sz w:val="28"/>
          <w:szCs w:val="28"/>
          <w:lang w:val="uk-UA"/>
        </w:rPr>
        <w:t xml:space="preserve">%). </w:t>
      </w:r>
    </w:p>
    <w:p w:rsidR="00A025BD" w:rsidRPr="007A1D9E" w:rsidRDefault="00A348F0" w:rsidP="0003657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Гiперглiкемiя</w:t>
      </w:r>
      <w:r w:rsidRPr="00A348F0">
        <w:rPr>
          <w:rFonts w:ascii="Times New Roman" w:hAnsi="Times New Roman" w:cs="Times New Roman"/>
          <w:sz w:val="28"/>
          <w:szCs w:val="28"/>
          <w:lang w:val="uk-UA"/>
        </w:rPr>
        <w:t xml:space="preserve"> i дислiпiдемiя </w:t>
      </w:r>
      <w:r w:rsidR="009858A0" w:rsidRPr="009858A0">
        <w:rPr>
          <w:rFonts w:ascii="Times New Roman" w:hAnsi="Times New Roman" w:cs="Times New Roman"/>
          <w:sz w:val="28"/>
          <w:szCs w:val="28"/>
          <w:lang w:val="uk-UA"/>
        </w:rPr>
        <w:t>призводять до ураження артерiальної стiнки та появи атеросклеротичних бляшок</w:t>
      </w:r>
      <w:r w:rsidR="006853A1">
        <w:rPr>
          <w:rFonts w:ascii="Times New Roman" w:hAnsi="Times New Roman" w:cs="Times New Roman"/>
          <w:sz w:val="28"/>
          <w:szCs w:val="28"/>
          <w:lang w:val="uk-UA"/>
        </w:rPr>
        <w:t xml:space="preserve"> у пацієнтів із ЦД 2-го типу</w:t>
      </w:r>
      <w:r w:rsidR="009858A0" w:rsidRPr="009858A0">
        <w:rPr>
          <w:rFonts w:ascii="Times New Roman" w:hAnsi="Times New Roman" w:cs="Times New Roman"/>
          <w:sz w:val="28"/>
          <w:szCs w:val="28"/>
          <w:lang w:val="uk-UA"/>
        </w:rPr>
        <w:t xml:space="preserve">. </w:t>
      </w:r>
      <w:r w:rsidR="006853A1">
        <w:rPr>
          <w:rFonts w:ascii="Times New Roman" w:hAnsi="Times New Roman" w:cs="Times New Roman"/>
          <w:sz w:val="28"/>
          <w:szCs w:val="28"/>
          <w:lang w:val="uk-UA"/>
        </w:rPr>
        <w:t>Зазначені метаболічні детермінанти</w:t>
      </w:r>
      <w:r w:rsidR="009858A0" w:rsidRPr="009858A0">
        <w:rPr>
          <w:rFonts w:ascii="Times New Roman" w:hAnsi="Times New Roman" w:cs="Times New Roman"/>
          <w:sz w:val="28"/>
          <w:szCs w:val="28"/>
          <w:lang w:val="uk-UA"/>
        </w:rPr>
        <w:t xml:space="preserve"> потенцiюють дi</w:t>
      </w:r>
      <w:r w:rsidR="006853A1">
        <w:rPr>
          <w:rFonts w:ascii="Times New Roman" w:hAnsi="Times New Roman" w:cs="Times New Roman"/>
          <w:sz w:val="28"/>
          <w:szCs w:val="28"/>
          <w:lang w:val="uk-UA"/>
        </w:rPr>
        <w:t xml:space="preserve">ю один одного, наслiдком чого </w:t>
      </w:r>
      <w:r w:rsidR="009858A0" w:rsidRPr="009858A0">
        <w:rPr>
          <w:rFonts w:ascii="Times New Roman" w:hAnsi="Times New Roman" w:cs="Times New Roman"/>
          <w:sz w:val="28"/>
          <w:szCs w:val="28"/>
          <w:lang w:val="uk-UA"/>
        </w:rPr>
        <w:t>є наявнiс</w:t>
      </w:r>
      <w:r w:rsidR="006853A1">
        <w:rPr>
          <w:rFonts w:ascii="Times New Roman" w:hAnsi="Times New Roman" w:cs="Times New Roman"/>
          <w:sz w:val="28"/>
          <w:szCs w:val="28"/>
          <w:lang w:val="uk-UA"/>
        </w:rPr>
        <w:t>ть мiж ними позитивної залежності</w:t>
      </w:r>
      <w:r w:rsidR="009858A0" w:rsidRPr="009858A0">
        <w:rPr>
          <w:rFonts w:ascii="Times New Roman" w:hAnsi="Times New Roman" w:cs="Times New Roman"/>
          <w:sz w:val="28"/>
          <w:szCs w:val="28"/>
          <w:lang w:val="uk-UA"/>
        </w:rPr>
        <w:t xml:space="preserve"> [</w:t>
      </w:r>
      <w:r w:rsidR="004472C4" w:rsidRPr="005C5DB7">
        <w:rPr>
          <w:rFonts w:ascii="Times New Roman" w:hAnsi="Times New Roman" w:cs="Times New Roman"/>
          <w:sz w:val="28"/>
          <w:szCs w:val="28"/>
        </w:rPr>
        <w:t>78</w:t>
      </w:r>
      <w:r w:rsidR="009858A0" w:rsidRPr="009858A0">
        <w:rPr>
          <w:rFonts w:ascii="Times New Roman" w:hAnsi="Times New Roman" w:cs="Times New Roman"/>
          <w:sz w:val="28"/>
          <w:szCs w:val="28"/>
          <w:lang w:val="uk-UA"/>
        </w:rPr>
        <w:t>].</w:t>
      </w:r>
      <w:r w:rsidR="00036578">
        <w:rPr>
          <w:rFonts w:ascii="Times New Roman" w:hAnsi="Times New Roman" w:cs="Times New Roman"/>
          <w:sz w:val="28"/>
          <w:szCs w:val="28"/>
          <w:lang w:val="uk-UA"/>
        </w:rPr>
        <w:t xml:space="preserve"> </w:t>
      </w:r>
      <w:r w:rsidR="006853A1">
        <w:rPr>
          <w:rFonts w:ascii="Times New Roman" w:hAnsi="Times New Roman" w:cs="Times New Roman"/>
          <w:sz w:val="28"/>
          <w:szCs w:val="28"/>
          <w:lang w:val="uk-UA"/>
        </w:rPr>
        <w:t xml:space="preserve">Виявлено недостовірний </w:t>
      </w:r>
      <w:r w:rsidR="009858A0">
        <w:rPr>
          <w:rFonts w:ascii="Times New Roman" w:hAnsi="Times New Roman" w:cs="Times New Roman"/>
          <w:sz w:val="28"/>
          <w:szCs w:val="28"/>
          <w:lang w:val="uk-UA"/>
        </w:rPr>
        <w:t>п</w:t>
      </w:r>
      <w:r w:rsidR="006853A1">
        <w:rPr>
          <w:rFonts w:ascii="Times New Roman" w:hAnsi="Times New Roman" w:cs="Times New Roman"/>
          <w:sz w:val="28"/>
          <w:szCs w:val="28"/>
          <w:lang w:val="uk-UA"/>
        </w:rPr>
        <w:t>озитивний звʼ</w:t>
      </w:r>
      <w:r w:rsidR="00A324A9">
        <w:rPr>
          <w:rFonts w:ascii="Times New Roman" w:hAnsi="Times New Roman" w:cs="Times New Roman"/>
          <w:sz w:val="28"/>
          <w:szCs w:val="28"/>
          <w:lang w:val="uk-UA"/>
        </w:rPr>
        <w:t>язок м</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 xml:space="preserve">ж </w:t>
      </w:r>
      <w:r w:rsidR="006853A1">
        <w:rPr>
          <w:rFonts w:ascii="Times New Roman" w:hAnsi="Times New Roman" w:cs="Times New Roman"/>
          <w:sz w:val="28"/>
          <w:szCs w:val="28"/>
          <w:lang w:val="uk-UA"/>
        </w:rPr>
        <w:t xml:space="preserve">глікемією натще та КА </w:t>
      </w:r>
      <w:r w:rsidR="006853A1" w:rsidRPr="006853A1">
        <w:rPr>
          <w:rFonts w:ascii="Times New Roman" w:hAnsi="Times New Roman" w:cs="Times New Roman"/>
          <w:sz w:val="28"/>
          <w:szCs w:val="28"/>
          <w:lang w:val="uk-UA"/>
        </w:rPr>
        <w:t>(р = 0,1714)</w:t>
      </w:r>
      <w:r w:rsidR="006853A1">
        <w:rPr>
          <w:rFonts w:ascii="Times New Roman" w:hAnsi="Times New Roman" w:cs="Times New Roman"/>
          <w:sz w:val="28"/>
          <w:szCs w:val="28"/>
          <w:lang w:val="uk-UA"/>
        </w:rPr>
        <w:t xml:space="preserve"> </w:t>
      </w:r>
      <w:r w:rsidR="00D443E4">
        <w:rPr>
          <w:rFonts w:ascii="Times New Roman" w:hAnsi="Times New Roman" w:cs="Times New Roman"/>
          <w:sz w:val="28"/>
          <w:szCs w:val="28"/>
          <w:lang w:val="uk-UA"/>
        </w:rPr>
        <w:t xml:space="preserve">     </w:t>
      </w:r>
      <w:r w:rsidR="006853A1">
        <w:rPr>
          <w:rFonts w:ascii="Times New Roman" w:hAnsi="Times New Roman" w:cs="Times New Roman"/>
          <w:sz w:val="28"/>
          <w:szCs w:val="28"/>
          <w:lang w:val="uk-UA"/>
        </w:rPr>
        <w:t>у хворих</w:t>
      </w:r>
      <w:r w:rsidR="00A324A9">
        <w:rPr>
          <w:rFonts w:ascii="Times New Roman" w:hAnsi="Times New Roman" w:cs="Times New Roman"/>
          <w:sz w:val="28"/>
          <w:szCs w:val="28"/>
          <w:lang w:val="uk-UA"/>
        </w:rPr>
        <w:t xml:space="preserve"> І групи</w:t>
      </w:r>
      <w:r w:rsidR="00F15F22" w:rsidRPr="00F15F22">
        <w:rPr>
          <w:rFonts w:ascii="Times New Roman" w:hAnsi="Times New Roman" w:cs="Times New Roman"/>
          <w:sz w:val="28"/>
          <w:szCs w:val="28"/>
          <w:lang w:val="uk-UA"/>
        </w:rPr>
        <w:t xml:space="preserve">. </w:t>
      </w:r>
      <w:r w:rsidR="00036578">
        <w:rPr>
          <w:rFonts w:ascii="Times New Roman" w:hAnsi="Times New Roman" w:cs="Times New Roman"/>
          <w:sz w:val="28"/>
          <w:szCs w:val="28"/>
          <w:lang w:val="uk-UA"/>
        </w:rPr>
        <w:t xml:space="preserve">Це </w:t>
      </w:r>
      <w:r w:rsidR="00623878">
        <w:rPr>
          <w:rFonts w:ascii="Times New Roman" w:hAnsi="Times New Roman" w:cs="Times New Roman"/>
          <w:sz w:val="28"/>
          <w:szCs w:val="28"/>
          <w:lang w:val="uk-UA"/>
        </w:rPr>
        <w:t xml:space="preserve">можна пояснити тим, що визначення </w:t>
      </w:r>
      <w:r w:rsidR="00623878" w:rsidRPr="00623878">
        <w:rPr>
          <w:rFonts w:ascii="Times New Roman" w:hAnsi="Times New Roman" w:cs="Times New Roman"/>
          <w:sz w:val="28"/>
          <w:szCs w:val="28"/>
          <w:lang w:val="uk-UA"/>
        </w:rPr>
        <w:t>HbA1с</w:t>
      </w:r>
      <w:r w:rsidR="00623878">
        <w:rPr>
          <w:rFonts w:ascii="Times New Roman" w:hAnsi="Times New Roman" w:cs="Times New Roman"/>
          <w:sz w:val="28"/>
          <w:szCs w:val="28"/>
          <w:lang w:val="uk-UA"/>
        </w:rPr>
        <w:t xml:space="preserve"> є більш оптимальним, ніж підрахунок глюкози крові натще, і відображає середній </w:t>
      </w:r>
      <w:r w:rsidR="001D5C04">
        <w:rPr>
          <w:rFonts w:ascii="Times New Roman" w:hAnsi="Times New Roman" w:cs="Times New Roman"/>
          <w:sz w:val="28"/>
          <w:szCs w:val="28"/>
          <w:lang w:val="uk-UA"/>
        </w:rPr>
        <w:t xml:space="preserve">вміст </w:t>
      </w:r>
      <w:r w:rsidR="00623878">
        <w:rPr>
          <w:rFonts w:ascii="Times New Roman" w:hAnsi="Times New Roman" w:cs="Times New Roman"/>
          <w:sz w:val="28"/>
          <w:szCs w:val="28"/>
          <w:lang w:val="uk-UA"/>
        </w:rPr>
        <w:t xml:space="preserve">глікемії за три місяці </w:t>
      </w:r>
      <w:r w:rsidR="00623878" w:rsidRPr="00623878">
        <w:rPr>
          <w:rFonts w:ascii="Times New Roman" w:hAnsi="Times New Roman" w:cs="Times New Roman"/>
          <w:sz w:val="28"/>
          <w:szCs w:val="28"/>
          <w:lang w:val="uk-UA"/>
        </w:rPr>
        <w:t>[</w:t>
      </w:r>
      <w:r w:rsidR="005C5DB7">
        <w:rPr>
          <w:rFonts w:ascii="Times New Roman" w:hAnsi="Times New Roman" w:cs="Times New Roman"/>
          <w:sz w:val="28"/>
          <w:szCs w:val="28"/>
          <w:lang w:val="uk-UA"/>
        </w:rPr>
        <w:t>7</w:t>
      </w:r>
      <w:r w:rsidR="00623878" w:rsidRPr="00623878">
        <w:rPr>
          <w:rFonts w:ascii="Times New Roman" w:hAnsi="Times New Roman" w:cs="Times New Roman"/>
          <w:sz w:val="28"/>
          <w:szCs w:val="28"/>
          <w:lang w:val="uk-UA"/>
        </w:rPr>
        <w:t>]</w:t>
      </w:r>
      <w:r w:rsidR="00623878">
        <w:rPr>
          <w:rFonts w:ascii="Times New Roman" w:hAnsi="Times New Roman" w:cs="Times New Roman"/>
          <w:sz w:val="28"/>
          <w:szCs w:val="28"/>
          <w:lang w:val="uk-UA"/>
        </w:rPr>
        <w:t xml:space="preserve">. </w:t>
      </w:r>
    </w:p>
    <w:p w:rsidR="009858A0" w:rsidRDefault="009858A0" w:rsidP="0019589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проведеному нами дослідженні д</w:t>
      </w:r>
      <w:r w:rsidR="00A324A9">
        <w:rPr>
          <w:rFonts w:ascii="Times New Roman" w:hAnsi="Times New Roman" w:cs="Times New Roman"/>
          <w:sz w:val="28"/>
          <w:szCs w:val="28"/>
          <w:lang w:val="uk-UA"/>
        </w:rPr>
        <w:t>ля</w:t>
      </w:r>
      <w:r w:rsidR="00623878">
        <w:rPr>
          <w:rFonts w:ascii="Times New Roman" w:hAnsi="Times New Roman" w:cs="Times New Roman"/>
          <w:sz w:val="28"/>
          <w:szCs w:val="28"/>
          <w:lang w:val="uk-UA"/>
        </w:rPr>
        <w:t xml:space="preserve"> хворих</w:t>
      </w:r>
      <w:r w:rsidR="00A324A9">
        <w:rPr>
          <w:rFonts w:ascii="Times New Roman" w:hAnsi="Times New Roman" w:cs="Times New Roman"/>
          <w:sz w:val="28"/>
          <w:szCs w:val="28"/>
          <w:lang w:val="uk-UA"/>
        </w:rPr>
        <w:t>, як</w:t>
      </w:r>
      <w:r w:rsidR="00A324A9">
        <w:rPr>
          <w:rFonts w:ascii="Times New Roman" w:hAnsi="Times New Roman" w:cs="Times New Roman"/>
          <w:sz w:val="28"/>
          <w:szCs w:val="28"/>
          <w:lang w:val="en-US"/>
        </w:rPr>
        <w:t>i</w:t>
      </w:r>
      <w:r w:rsidR="00D61934" w:rsidRPr="00D61934">
        <w:rPr>
          <w:rFonts w:ascii="Times New Roman" w:hAnsi="Times New Roman" w:cs="Times New Roman"/>
          <w:sz w:val="28"/>
          <w:szCs w:val="28"/>
          <w:lang w:val="uk-UA"/>
        </w:rPr>
        <w:t xml:space="preserve"> мали HbA1</w:t>
      </w:r>
      <w:r w:rsidR="00D872E8">
        <w:rPr>
          <w:rFonts w:ascii="Times New Roman" w:hAnsi="Times New Roman" w:cs="Times New Roman"/>
          <w:sz w:val="28"/>
          <w:szCs w:val="28"/>
          <w:lang w:val="uk-UA"/>
        </w:rPr>
        <w:t xml:space="preserve">с </w:t>
      </w:r>
      <w:r w:rsidR="00D872E8" w:rsidRPr="00D872E8">
        <w:rPr>
          <w:rFonts w:ascii="Times New Roman" w:hAnsi="Times New Roman" w:cs="Times New Roman"/>
          <w:sz w:val="28"/>
          <w:szCs w:val="28"/>
          <w:lang w:val="uk-UA"/>
        </w:rPr>
        <w:t>&gt;</w:t>
      </w:r>
      <w:r w:rsidR="004E4C5E">
        <w:rPr>
          <w:rFonts w:ascii="Times New Roman" w:hAnsi="Times New Roman" w:cs="Times New Roman"/>
          <w:sz w:val="28"/>
          <w:szCs w:val="28"/>
          <w:lang w:val="uk-UA"/>
        </w:rPr>
        <w:t xml:space="preserve"> </w:t>
      </w:r>
      <w:r w:rsidR="00D872E8">
        <w:rPr>
          <w:rFonts w:ascii="Times New Roman" w:hAnsi="Times New Roman" w:cs="Times New Roman"/>
          <w:sz w:val="28"/>
          <w:szCs w:val="28"/>
          <w:lang w:val="uk-UA"/>
        </w:rPr>
        <w:t>8,</w:t>
      </w:r>
      <w:r w:rsidR="00D872E8" w:rsidRPr="00D872E8">
        <w:rPr>
          <w:rFonts w:ascii="Times New Roman" w:hAnsi="Times New Roman" w:cs="Times New Roman"/>
          <w:sz w:val="28"/>
          <w:szCs w:val="28"/>
          <w:lang w:val="uk-UA"/>
        </w:rPr>
        <w:t>0</w:t>
      </w:r>
      <w:r w:rsidR="00A324A9">
        <w:rPr>
          <w:rFonts w:ascii="Times New Roman" w:hAnsi="Times New Roman" w:cs="Times New Roman"/>
          <w:sz w:val="28"/>
          <w:szCs w:val="28"/>
          <w:lang w:val="uk-UA"/>
        </w:rPr>
        <w:t xml:space="preserve"> %, пор</w:t>
      </w:r>
      <w:r w:rsidR="00A324A9">
        <w:rPr>
          <w:rFonts w:ascii="Times New Roman" w:hAnsi="Times New Roman" w:cs="Times New Roman"/>
          <w:sz w:val="28"/>
          <w:szCs w:val="28"/>
          <w:lang w:val="en-US"/>
        </w:rPr>
        <w:t>i</w:t>
      </w:r>
      <w:r w:rsidR="004E4C5E">
        <w:rPr>
          <w:rFonts w:ascii="Times New Roman" w:hAnsi="Times New Roman" w:cs="Times New Roman"/>
          <w:sz w:val="28"/>
          <w:szCs w:val="28"/>
          <w:lang w:val="uk-UA"/>
        </w:rPr>
        <w:t xml:space="preserve">вняно з </w:t>
      </w:r>
      <w:r w:rsidR="00623878" w:rsidRPr="00623878">
        <w:rPr>
          <w:rFonts w:ascii="Times New Roman" w:hAnsi="Times New Roman" w:cs="Times New Roman"/>
          <w:sz w:val="28"/>
          <w:szCs w:val="28"/>
          <w:lang w:val="uk-UA"/>
        </w:rPr>
        <w:t>пац</w:t>
      </w:r>
      <w:r w:rsidR="00623878">
        <w:rPr>
          <w:rFonts w:ascii="Times New Roman" w:hAnsi="Times New Roman" w:cs="Times New Roman"/>
          <w:sz w:val="28"/>
          <w:szCs w:val="28"/>
          <w:lang w:val="uk-UA"/>
        </w:rPr>
        <w:t xml:space="preserve">ієнтами </w:t>
      </w:r>
      <w:r>
        <w:rPr>
          <w:rFonts w:ascii="Times New Roman" w:hAnsi="Times New Roman" w:cs="Times New Roman"/>
          <w:sz w:val="28"/>
          <w:szCs w:val="28"/>
          <w:lang w:val="uk-UA"/>
        </w:rPr>
        <w:t>з HbA1с</w:t>
      </w:r>
      <w:r w:rsidR="00E1792B">
        <w:rPr>
          <w:rFonts w:ascii="Times New Roman" w:hAnsi="Times New Roman" w:cs="Times New Roman"/>
          <w:sz w:val="28"/>
          <w:szCs w:val="28"/>
          <w:lang w:val="uk-UA"/>
        </w:rPr>
        <w:t xml:space="preserve"> </w:t>
      </w:r>
      <w:r w:rsidR="00A324A9">
        <w:rPr>
          <w:rFonts w:ascii="Times New Roman" w:hAnsi="Times New Roman" w:cs="Times New Roman"/>
          <w:sz w:val="28"/>
          <w:szCs w:val="28"/>
          <w:lang w:val="uk-UA"/>
        </w:rPr>
        <w:t>≤ 8 %, були характерними достов</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рно б</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льш</w:t>
      </w:r>
      <w:r w:rsidR="00A324A9">
        <w:rPr>
          <w:rFonts w:ascii="Times New Roman" w:hAnsi="Times New Roman" w:cs="Times New Roman"/>
          <w:sz w:val="28"/>
          <w:szCs w:val="28"/>
          <w:lang w:val="en-US"/>
        </w:rPr>
        <w:t>i</w:t>
      </w:r>
      <w:r w:rsidR="00D61934" w:rsidRPr="00D61934">
        <w:rPr>
          <w:rFonts w:ascii="Times New Roman" w:hAnsi="Times New Roman" w:cs="Times New Roman"/>
          <w:sz w:val="28"/>
          <w:szCs w:val="28"/>
          <w:lang w:val="uk-UA"/>
        </w:rPr>
        <w:t xml:space="preserve"> </w:t>
      </w:r>
      <w:r w:rsidR="00A324A9">
        <w:rPr>
          <w:rFonts w:ascii="Times New Roman" w:hAnsi="Times New Roman" w:cs="Times New Roman"/>
          <w:sz w:val="28"/>
          <w:szCs w:val="28"/>
          <w:lang w:val="uk-UA"/>
        </w:rPr>
        <w:t>значення ТГ (р = 0,0018),  нижч</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 xml:space="preserve"> – </w:t>
      </w:r>
      <w:r w:rsidR="00036578">
        <w:rPr>
          <w:rFonts w:ascii="Times New Roman" w:hAnsi="Times New Roman" w:cs="Times New Roman"/>
          <w:sz w:val="28"/>
          <w:szCs w:val="28"/>
          <w:lang w:val="uk-UA"/>
        </w:rPr>
        <w:t xml:space="preserve">ХС </w:t>
      </w:r>
      <w:r w:rsidR="00A324A9">
        <w:rPr>
          <w:rFonts w:ascii="Times New Roman" w:hAnsi="Times New Roman" w:cs="Times New Roman"/>
          <w:sz w:val="28"/>
          <w:szCs w:val="28"/>
          <w:lang w:val="uk-UA"/>
        </w:rPr>
        <w:t>ЛПВЩ (p = 0,0367), що св</w:t>
      </w:r>
      <w:r w:rsidR="00A324A9">
        <w:rPr>
          <w:rFonts w:ascii="Times New Roman" w:hAnsi="Times New Roman" w:cs="Times New Roman"/>
          <w:sz w:val="28"/>
          <w:szCs w:val="28"/>
          <w:lang w:val="en-US"/>
        </w:rPr>
        <w:t>i</w:t>
      </w:r>
      <w:r w:rsidR="00D61934" w:rsidRPr="00D61934">
        <w:rPr>
          <w:rFonts w:ascii="Times New Roman" w:hAnsi="Times New Roman" w:cs="Times New Roman"/>
          <w:sz w:val="28"/>
          <w:szCs w:val="28"/>
          <w:lang w:val="uk-UA"/>
        </w:rPr>
        <w:t>дчить</w:t>
      </w:r>
      <w:r w:rsidR="00A324A9">
        <w:rPr>
          <w:rFonts w:ascii="Times New Roman" w:hAnsi="Times New Roman" w:cs="Times New Roman"/>
          <w:sz w:val="28"/>
          <w:szCs w:val="28"/>
          <w:lang w:val="uk-UA"/>
        </w:rPr>
        <w:t xml:space="preserve"> </w:t>
      </w:r>
      <w:r w:rsidR="00D443E4">
        <w:rPr>
          <w:rFonts w:ascii="Times New Roman" w:hAnsi="Times New Roman" w:cs="Times New Roman"/>
          <w:sz w:val="28"/>
          <w:szCs w:val="28"/>
          <w:lang w:val="uk-UA"/>
        </w:rPr>
        <w:t xml:space="preserve">      </w:t>
      </w:r>
      <w:r w:rsidR="00A324A9">
        <w:rPr>
          <w:rFonts w:ascii="Times New Roman" w:hAnsi="Times New Roman" w:cs="Times New Roman"/>
          <w:sz w:val="28"/>
          <w:szCs w:val="28"/>
          <w:lang w:val="uk-UA"/>
        </w:rPr>
        <w:t>про вагому роль саме цих фракц</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й л</w:t>
      </w:r>
      <w:r w:rsidR="00A324A9">
        <w:rPr>
          <w:rFonts w:ascii="Times New Roman" w:hAnsi="Times New Roman" w:cs="Times New Roman"/>
          <w:sz w:val="28"/>
          <w:szCs w:val="28"/>
          <w:lang w:val="en-US"/>
        </w:rPr>
        <w:t>i</w:t>
      </w:r>
      <w:r w:rsidR="00A324A9">
        <w:rPr>
          <w:rFonts w:ascii="Times New Roman" w:hAnsi="Times New Roman" w:cs="Times New Roman"/>
          <w:sz w:val="28"/>
          <w:szCs w:val="28"/>
          <w:lang w:val="uk-UA"/>
        </w:rPr>
        <w:t>попротеїд</w:t>
      </w:r>
      <w:r w:rsidR="00A324A9">
        <w:rPr>
          <w:rFonts w:ascii="Times New Roman" w:hAnsi="Times New Roman" w:cs="Times New Roman"/>
          <w:sz w:val="28"/>
          <w:szCs w:val="28"/>
          <w:lang w:val="en-US"/>
        </w:rPr>
        <w:t>i</w:t>
      </w:r>
      <w:r w:rsidR="00D443E4">
        <w:rPr>
          <w:rFonts w:ascii="Times New Roman" w:hAnsi="Times New Roman" w:cs="Times New Roman"/>
          <w:sz w:val="28"/>
          <w:szCs w:val="28"/>
          <w:lang w:val="uk-UA"/>
        </w:rPr>
        <w:t>в у декомпенсації</w:t>
      </w:r>
      <w:r w:rsidR="00D61934" w:rsidRPr="00D61934">
        <w:rPr>
          <w:rFonts w:ascii="Times New Roman" w:hAnsi="Times New Roman" w:cs="Times New Roman"/>
          <w:sz w:val="28"/>
          <w:szCs w:val="28"/>
          <w:lang w:val="uk-UA"/>
        </w:rPr>
        <w:t xml:space="preserve"> </w:t>
      </w:r>
      <w:r w:rsidR="003B4CE5">
        <w:rPr>
          <w:rFonts w:ascii="Times New Roman" w:hAnsi="Times New Roman" w:cs="Times New Roman"/>
          <w:sz w:val="28"/>
          <w:szCs w:val="28"/>
          <w:lang w:val="uk-UA"/>
        </w:rPr>
        <w:t xml:space="preserve">                 </w:t>
      </w:r>
      <w:r w:rsidR="00D61934" w:rsidRPr="00D61934">
        <w:rPr>
          <w:rFonts w:ascii="Times New Roman" w:hAnsi="Times New Roman" w:cs="Times New Roman"/>
          <w:sz w:val="28"/>
          <w:szCs w:val="28"/>
          <w:lang w:val="uk-UA"/>
        </w:rPr>
        <w:t xml:space="preserve">ЦД </w:t>
      </w:r>
      <w:r w:rsidR="00623878">
        <w:rPr>
          <w:rFonts w:ascii="Times New Roman" w:hAnsi="Times New Roman" w:cs="Times New Roman"/>
          <w:sz w:val="28"/>
          <w:szCs w:val="28"/>
          <w:lang w:val="uk-UA"/>
        </w:rPr>
        <w:t xml:space="preserve">2-го типу </w:t>
      </w:r>
      <w:r>
        <w:rPr>
          <w:rFonts w:ascii="Times New Roman" w:hAnsi="Times New Roman" w:cs="Times New Roman"/>
          <w:sz w:val="28"/>
          <w:szCs w:val="28"/>
          <w:lang w:val="uk-UA"/>
        </w:rPr>
        <w:t>[</w:t>
      </w:r>
      <w:r w:rsidR="005C5DB7">
        <w:rPr>
          <w:rFonts w:ascii="Times New Roman" w:hAnsi="Times New Roman" w:cs="Times New Roman"/>
          <w:sz w:val="28"/>
          <w:szCs w:val="28"/>
          <w:lang w:val="uk-UA"/>
        </w:rPr>
        <w:t>143</w:t>
      </w:r>
      <w:r>
        <w:rPr>
          <w:rFonts w:ascii="Times New Roman" w:hAnsi="Times New Roman" w:cs="Times New Roman"/>
          <w:sz w:val="28"/>
          <w:szCs w:val="28"/>
          <w:lang w:val="uk-UA"/>
        </w:rPr>
        <w:t>]</w:t>
      </w:r>
      <w:r w:rsidR="00D61934" w:rsidRPr="00D61934">
        <w:rPr>
          <w:rFonts w:ascii="Times New Roman" w:hAnsi="Times New Roman" w:cs="Times New Roman"/>
          <w:sz w:val="28"/>
          <w:szCs w:val="28"/>
          <w:lang w:val="uk-UA"/>
        </w:rPr>
        <w:t>.</w:t>
      </w:r>
    </w:p>
    <w:p w:rsidR="00D61934" w:rsidRDefault="00D61934" w:rsidP="0019589B">
      <w:pPr>
        <w:autoSpaceDE w:val="0"/>
        <w:autoSpaceDN w:val="0"/>
        <w:adjustRightInd w:val="0"/>
        <w:spacing w:after="0" w:line="360" w:lineRule="auto"/>
        <w:ind w:firstLine="708"/>
        <w:jc w:val="both"/>
        <w:rPr>
          <w:rFonts w:ascii="Times New Roman" w:hAnsi="Times New Roman" w:cs="Times New Roman"/>
          <w:sz w:val="28"/>
          <w:szCs w:val="28"/>
          <w:lang w:val="uk-UA"/>
        </w:rPr>
      </w:pPr>
      <w:r w:rsidRPr="00D61934">
        <w:rPr>
          <w:lang w:val="uk-UA"/>
        </w:rPr>
        <w:t xml:space="preserve"> </w:t>
      </w:r>
      <w:r w:rsidR="00D75A1F">
        <w:rPr>
          <w:rFonts w:ascii="Times New Roman" w:hAnsi="Times New Roman" w:cs="Times New Roman"/>
          <w:sz w:val="28"/>
          <w:szCs w:val="28"/>
          <w:lang w:val="uk-UA"/>
        </w:rPr>
        <w:t>Науковцями отримано аналогічні результати</w:t>
      </w:r>
      <w:r w:rsidR="00E1792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якими </w:t>
      </w:r>
      <w:r w:rsidR="00A324A9">
        <w:rPr>
          <w:rFonts w:ascii="Times New Roman" w:hAnsi="Times New Roman" w:cs="Times New Roman"/>
          <w:sz w:val="28"/>
          <w:szCs w:val="28"/>
          <w:lang w:val="uk-UA"/>
        </w:rPr>
        <w:t>п</w:t>
      </w:r>
      <w:r w:rsidR="00A324A9">
        <w:rPr>
          <w:rFonts w:ascii="Times New Roman" w:hAnsi="Times New Roman" w:cs="Times New Roman"/>
          <w:sz w:val="28"/>
          <w:szCs w:val="28"/>
          <w:lang w:val="en-US"/>
        </w:rPr>
        <w:t>i</w:t>
      </w:r>
      <w:r w:rsidR="009858A0">
        <w:rPr>
          <w:rFonts w:ascii="Times New Roman" w:hAnsi="Times New Roman" w:cs="Times New Roman"/>
          <w:sz w:val="28"/>
          <w:szCs w:val="28"/>
          <w:lang w:val="uk-UA"/>
        </w:rPr>
        <w:t>двищений</w:t>
      </w:r>
      <w:r w:rsidR="00D75A1F">
        <w:rPr>
          <w:rFonts w:ascii="Times New Roman" w:hAnsi="Times New Roman" w:cs="Times New Roman"/>
          <w:sz w:val="28"/>
          <w:szCs w:val="28"/>
          <w:lang w:val="uk-UA"/>
        </w:rPr>
        <w:t xml:space="preserve"> вміст</w:t>
      </w:r>
      <w:r w:rsidR="00A324A9">
        <w:rPr>
          <w:rFonts w:ascii="Times New Roman" w:hAnsi="Times New Roman" w:cs="Times New Roman"/>
          <w:sz w:val="28"/>
          <w:szCs w:val="28"/>
          <w:lang w:val="uk-UA"/>
        </w:rPr>
        <w:t xml:space="preserve"> ТГ </w:t>
      </w:r>
      <w:r w:rsidR="00A324A9">
        <w:rPr>
          <w:rFonts w:ascii="Times New Roman" w:hAnsi="Times New Roman" w:cs="Times New Roman"/>
          <w:sz w:val="28"/>
          <w:szCs w:val="28"/>
          <w:lang w:val="en-US"/>
        </w:rPr>
        <w:t>i</w:t>
      </w:r>
      <w:r w:rsidR="009858A0">
        <w:rPr>
          <w:rFonts w:ascii="Times New Roman" w:hAnsi="Times New Roman" w:cs="Times New Roman"/>
          <w:sz w:val="28"/>
          <w:szCs w:val="28"/>
          <w:lang w:val="uk-UA"/>
        </w:rPr>
        <w:t xml:space="preserve"> знижений ХС</w:t>
      </w:r>
      <w:r w:rsidR="00036578">
        <w:rPr>
          <w:rFonts w:ascii="Times New Roman" w:hAnsi="Times New Roman" w:cs="Times New Roman"/>
          <w:sz w:val="28"/>
          <w:szCs w:val="28"/>
          <w:lang w:val="uk-UA"/>
        </w:rPr>
        <w:t xml:space="preserve"> </w:t>
      </w:r>
      <w:r w:rsidRPr="00D61934">
        <w:rPr>
          <w:rFonts w:ascii="Times New Roman" w:hAnsi="Times New Roman" w:cs="Times New Roman"/>
          <w:sz w:val="28"/>
          <w:szCs w:val="28"/>
          <w:lang w:val="uk-UA"/>
        </w:rPr>
        <w:t>ЛПВЩ</w:t>
      </w:r>
      <w:r w:rsidR="009858A0">
        <w:rPr>
          <w:rFonts w:ascii="Times New Roman" w:hAnsi="Times New Roman" w:cs="Times New Roman"/>
          <w:sz w:val="28"/>
          <w:szCs w:val="28"/>
          <w:lang w:val="uk-UA"/>
        </w:rPr>
        <w:t xml:space="preserve"> </w:t>
      </w:r>
      <w:r w:rsidR="00D75A1F">
        <w:rPr>
          <w:rFonts w:ascii="Times New Roman" w:hAnsi="Times New Roman" w:cs="Times New Roman"/>
          <w:sz w:val="28"/>
          <w:szCs w:val="28"/>
          <w:lang w:val="uk-UA"/>
        </w:rPr>
        <w:t xml:space="preserve">є </w:t>
      </w:r>
      <w:r w:rsidR="009858A0">
        <w:rPr>
          <w:rFonts w:ascii="Times New Roman" w:hAnsi="Times New Roman" w:cs="Times New Roman"/>
          <w:sz w:val="28"/>
          <w:szCs w:val="28"/>
          <w:lang w:val="uk-UA"/>
        </w:rPr>
        <w:t>ознакою прогресування атеросклеротичного процесу</w:t>
      </w:r>
      <w:r w:rsidRPr="00D61934">
        <w:rPr>
          <w:rFonts w:ascii="Times New Roman" w:hAnsi="Times New Roman" w:cs="Times New Roman"/>
          <w:sz w:val="28"/>
          <w:szCs w:val="28"/>
          <w:lang w:val="uk-UA"/>
        </w:rPr>
        <w:t xml:space="preserve"> [</w:t>
      </w:r>
      <w:r w:rsidR="005C5DB7">
        <w:rPr>
          <w:rFonts w:ascii="Times New Roman" w:hAnsi="Times New Roman" w:cs="Times New Roman"/>
          <w:sz w:val="28"/>
          <w:szCs w:val="28"/>
          <w:lang w:val="uk-UA"/>
        </w:rPr>
        <w:t>24</w:t>
      </w:r>
      <w:r w:rsidRPr="00D61934">
        <w:rPr>
          <w:rFonts w:ascii="Times New Roman" w:hAnsi="Times New Roman" w:cs="Times New Roman"/>
          <w:sz w:val="28"/>
          <w:szCs w:val="28"/>
          <w:lang w:val="uk-UA"/>
        </w:rPr>
        <w:t>].</w:t>
      </w:r>
      <w:r w:rsidR="00EB6204">
        <w:rPr>
          <w:rFonts w:ascii="Times New Roman" w:hAnsi="Times New Roman" w:cs="Times New Roman"/>
          <w:sz w:val="28"/>
          <w:szCs w:val="28"/>
          <w:lang w:val="uk-UA"/>
        </w:rPr>
        <w:t xml:space="preserve"> </w:t>
      </w:r>
      <w:r w:rsidR="00D75A1F">
        <w:rPr>
          <w:rFonts w:ascii="Times New Roman" w:hAnsi="Times New Roman" w:cs="Times New Roman"/>
          <w:sz w:val="28"/>
          <w:szCs w:val="28"/>
          <w:lang w:val="uk-UA"/>
        </w:rPr>
        <w:t>Позитивний звʼязок між вмістом</w:t>
      </w:r>
      <w:r w:rsidR="00B07793" w:rsidRPr="0019589B">
        <w:rPr>
          <w:rFonts w:ascii="Times New Roman" w:hAnsi="Times New Roman" w:cs="Times New Roman"/>
          <w:sz w:val="28"/>
          <w:szCs w:val="28"/>
          <w:lang w:val="uk-UA"/>
        </w:rPr>
        <w:t xml:space="preserve"> </w:t>
      </w:r>
      <w:r w:rsidR="00B07793" w:rsidRPr="0019589B">
        <w:rPr>
          <w:rFonts w:ascii="Times New Roman" w:hAnsi="Times New Roman" w:cs="Times New Roman"/>
          <w:sz w:val="28"/>
          <w:szCs w:val="28"/>
          <w:lang w:val="en-US"/>
        </w:rPr>
        <w:t>HbA</w:t>
      </w:r>
      <w:r w:rsidR="00B07793" w:rsidRPr="0019589B">
        <w:rPr>
          <w:rFonts w:ascii="Times New Roman" w:hAnsi="Times New Roman" w:cs="Times New Roman"/>
          <w:sz w:val="28"/>
          <w:szCs w:val="28"/>
          <w:lang w:val="uk-UA"/>
        </w:rPr>
        <w:t>1с і ТГ (</w:t>
      </w:r>
      <w:r w:rsidR="00B07793" w:rsidRPr="0019589B">
        <w:rPr>
          <w:rFonts w:ascii="Times New Roman" w:hAnsi="Times New Roman" w:cs="Times New Roman"/>
          <w:sz w:val="28"/>
          <w:szCs w:val="28"/>
          <w:lang w:val="en-US"/>
        </w:rPr>
        <w:t>r</w:t>
      </w:r>
      <w:r w:rsidR="0019589B" w:rsidRPr="0019589B">
        <w:rPr>
          <w:rFonts w:ascii="Times New Roman" w:hAnsi="Times New Roman" w:cs="Times New Roman"/>
          <w:sz w:val="28"/>
          <w:szCs w:val="28"/>
          <w:lang w:val="uk-UA"/>
        </w:rPr>
        <w:t xml:space="preserve"> = 0,4)</w:t>
      </w:r>
      <w:r w:rsidR="00D75A1F">
        <w:rPr>
          <w:rFonts w:ascii="Times New Roman" w:hAnsi="Times New Roman" w:cs="Times New Roman"/>
          <w:sz w:val="28"/>
          <w:szCs w:val="28"/>
          <w:lang w:val="uk-UA"/>
        </w:rPr>
        <w:t xml:space="preserve">, </w:t>
      </w:r>
      <w:r w:rsidR="00D75A1F" w:rsidRPr="00D75A1F">
        <w:rPr>
          <w:rFonts w:ascii="Times New Roman" w:hAnsi="Times New Roman" w:cs="Times New Roman"/>
          <w:sz w:val="28"/>
          <w:szCs w:val="28"/>
          <w:lang w:val="uk-UA"/>
        </w:rPr>
        <w:t xml:space="preserve">ЗХС (r = 0,26), </w:t>
      </w:r>
      <w:r w:rsidR="00D75A1F">
        <w:rPr>
          <w:rFonts w:ascii="Times New Roman" w:hAnsi="Times New Roman" w:cs="Times New Roman"/>
          <w:sz w:val="28"/>
          <w:szCs w:val="28"/>
          <w:lang w:val="uk-UA"/>
        </w:rPr>
        <w:t xml:space="preserve">ХС </w:t>
      </w:r>
      <w:r w:rsidR="00D75A1F" w:rsidRPr="00D75A1F">
        <w:rPr>
          <w:rFonts w:ascii="Times New Roman" w:hAnsi="Times New Roman" w:cs="Times New Roman"/>
          <w:sz w:val="28"/>
          <w:szCs w:val="28"/>
          <w:lang w:val="uk-UA"/>
        </w:rPr>
        <w:t xml:space="preserve">ЛПНЩ (r = 0,31) </w:t>
      </w:r>
      <w:r w:rsidR="00D75A1F">
        <w:rPr>
          <w:rFonts w:ascii="Times New Roman" w:hAnsi="Times New Roman" w:cs="Times New Roman"/>
          <w:sz w:val="28"/>
          <w:szCs w:val="28"/>
          <w:lang w:val="uk-UA"/>
        </w:rPr>
        <w:t>та негативний</w:t>
      </w:r>
      <w:r w:rsidR="00A324A9">
        <w:rPr>
          <w:rFonts w:ascii="Times New Roman" w:hAnsi="Times New Roman" w:cs="Times New Roman"/>
          <w:sz w:val="28"/>
          <w:szCs w:val="28"/>
          <w:lang w:val="uk-UA"/>
        </w:rPr>
        <w:t xml:space="preserve"> м</w:t>
      </w:r>
      <w:r w:rsidR="00A324A9">
        <w:rPr>
          <w:rFonts w:ascii="Times New Roman" w:hAnsi="Times New Roman" w:cs="Times New Roman"/>
          <w:sz w:val="28"/>
          <w:szCs w:val="28"/>
          <w:lang w:val="en-US"/>
        </w:rPr>
        <w:t>i</w:t>
      </w:r>
      <w:r w:rsidR="00B07793" w:rsidRPr="0019589B">
        <w:rPr>
          <w:rFonts w:ascii="Times New Roman" w:hAnsi="Times New Roman" w:cs="Times New Roman"/>
          <w:sz w:val="28"/>
          <w:szCs w:val="28"/>
          <w:lang w:val="uk-UA"/>
        </w:rPr>
        <w:t xml:space="preserve">ж </w:t>
      </w:r>
      <w:r w:rsidR="00D75A1F" w:rsidRPr="00D75A1F">
        <w:rPr>
          <w:rFonts w:ascii="Times New Roman" w:hAnsi="Times New Roman" w:cs="Times New Roman"/>
          <w:sz w:val="28"/>
          <w:szCs w:val="28"/>
          <w:lang w:val="uk-UA"/>
        </w:rPr>
        <w:t xml:space="preserve">вмістом </w:t>
      </w:r>
      <w:r w:rsidR="00B07793" w:rsidRPr="0019589B">
        <w:rPr>
          <w:rFonts w:ascii="Times New Roman" w:hAnsi="Times New Roman" w:cs="Times New Roman"/>
          <w:sz w:val="28"/>
          <w:szCs w:val="28"/>
        </w:rPr>
        <w:t>HbA</w:t>
      </w:r>
      <w:r w:rsidR="00B07793" w:rsidRPr="0019589B">
        <w:rPr>
          <w:rFonts w:ascii="Times New Roman" w:hAnsi="Times New Roman" w:cs="Times New Roman"/>
          <w:sz w:val="28"/>
          <w:szCs w:val="28"/>
          <w:lang w:val="uk-UA"/>
        </w:rPr>
        <w:t xml:space="preserve">1с та </w:t>
      </w:r>
      <w:r w:rsidR="00D75A1F">
        <w:rPr>
          <w:rFonts w:ascii="Times New Roman" w:hAnsi="Times New Roman" w:cs="Times New Roman"/>
          <w:sz w:val="28"/>
          <w:szCs w:val="28"/>
          <w:lang w:val="uk-UA"/>
        </w:rPr>
        <w:t xml:space="preserve">ХС </w:t>
      </w:r>
      <w:r w:rsidR="00B07793" w:rsidRPr="0019589B">
        <w:rPr>
          <w:rFonts w:ascii="Times New Roman" w:hAnsi="Times New Roman" w:cs="Times New Roman"/>
          <w:sz w:val="28"/>
          <w:szCs w:val="28"/>
          <w:lang w:val="uk-UA"/>
        </w:rPr>
        <w:t>ЛПВЩ (</w:t>
      </w:r>
      <w:r w:rsidR="00B07793" w:rsidRPr="0019589B">
        <w:rPr>
          <w:rFonts w:ascii="Times New Roman" w:hAnsi="Times New Roman" w:cs="Times New Roman"/>
          <w:sz w:val="28"/>
          <w:szCs w:val="28"/>
        </w:rPr>
        <w:t>r</w:t>
      </w:r>
      <w:r w:rsidR="00D75A1F">
        <w:rPr>
          <w:rFonts w:ascii="Times New Roman" w:hAnsi="Times New Roman" w:cs="Times New Roman"/>
          <w:sz w:val="28"/>
          <w:szCs w:val="28"/>
          <w:lang w:val="uk-UA"/>
        </w:rPr>
        <w:t xml:space="preserve"> = − 0,19) установлено у пацієнтів </w:t>
      </w:r>
      <w:r w:rsidR="00D75A1F" w:rsidRPr="00D75A1F">
        <w:rPr>
          <w:rFonts w:ascii="Times New Roman" w:hAnsi="Times New Roman" w:cs="Times New Roman"/>
          <w:sz w:val="28"/>
          <w:szCs w:val="28"/>
          <w:lang w:val="uk-UA"/>
        </w:rPr>
        <w:t xml:space="preserve">вiком вiд 45 до 50 рокiв та </w:t>
      </w:r>
      <w:r w:rsidR="00D75A1F">
        <w:rPr>
          <w:rFonts w:ascii="Times New Roman" w:hAnsi="Times New Roman" w:cs="Times New Roman"/>
          <w:sz w:val="28"/>
          <w:szCs w:val="28"/>
          <w:lang w:val="uk-UA"/>
        </w:rPr>
        <w:t xml:space="preserve">довшою за п’ять років </w:t>
      </w:r>
      <w:r w:rsidR="00D75A1F" w:rsidRPr="00D75A1F">
        <w:rPr>
          <w:rFonts w:ascii="Times New Roman" w:hAnsi="Times New Roman" w:cs="Times New Roman"/>
          <w:sz w:val="28"/>
          <w:szCs w:val="28"/>
          <w:lang w:val="uk-UA"/>
        </w:rPr>
        <w:t xml:space="preserve">тривалiстю </w:t>
      </w:r>
      <w:r w:rsidR="00D75A1F">
        <w:rPr>
          <w:rFonts w:ascii="Times New Roman" w:hAnsi="Times New Roman" w:cs="Times New Roman"/>
          <w:sz w:val="28"/>
          <w:szCs w:val="28"/>
          <w:lang w:val="uk-UA"/>
        </w:rPr>
        <w:t xml:space="preserve">ЦД </w:t>
      </w:r>
      <w:r w:rsidR="00DD41CD">
        <w:rPr>
          <w:rFonts w:ascii="Times New Roman" w:hAnsi="Times New Roman" w:cs="Times New Roman"/>
          <w:sz w:val="28"/>
          <w:szCs w:val="28"/>
          <w:lang w:val="uk-UA"/>
        </w:rPr>
        <w:t>[</w:t>
      </w:r>
      <w:r w:rsidR="00444930" w:rsidRPr="004900D9">
        <w:rPr>
          <w:rFonts w:ascii="Times New Roman" w:hAnsi="Times New Roman" w:cs="Times New Roman"/>
          <w:sz w:val="28"/>
          <w:szCs w:val="28"/>
        </w:rPr>
        <w:t>176</w:t>
      </w:r>
      <w:r w:rsidR="00B07793" w:rsidRPr="0019589B">
        <w:rPr>
          <w:rFonts w:ascii="Times New Roman" w:hAnsi="Times New Roman" w:cs="Times New Roman"/>
          <w:sz w:val="28"/>
          <w:szCs w:val="28"/>
          <w:lang w:val="uk-UA"/>
        </w:rPr>
        <w:t>].</w:t>
      </w:r>
      <w:r w:rsidR="00475E91">
        <w:rPr>
          <w:rFonts w:ascii="Times New Roman" w:hAnsi="Times New Roman" w:cs="Times New Roman"/>
          <w:sz w:val="28"/>
          <w:szCs w:val="28"/>
          <w:lang w:val="uk-UA"/>
        </w:rPr>
        <w:t xml:space="preserve"> У проведеному нами досл</w:t>
      </w:r>
      <w:r w:rsidR="00475E91">
        <w:rPr>
          <w:rFonts w:ascii="Times New Roman" w:hAnsi="Times New Roman" w:cs="Times New Roman"/>
          <w:sz w:val="28"/>
          <w:szCs w:val="28"/>
          <w:lang w:val="en-US"/>
        </w:rPr>
        <w:t>i</w:t>
      </w:r>
      <w:r w:rsidR="00702F6A">
        <w:rPr>
          <w:rFonts w:ascii="Times New Roman" w:hAnsi="Times New Roman" w:cs="Times New Roman"/>
          <w:sz w:val="28"/>
          <w:szCs w:val="28"/>
          <w:lang w:val="uk-UA"/>
        </w:rPr>
        <w:t>дженн</w:t>
      </w:r>
      <w:r w:rsidR="00702F6A">
        <w:rPr>
          <w:rFonts w:ascii="Times New Roman" w:hAnsi="Times New Roman" w:cs="Times New Roman"/>
          <w:sz w:val="28"/>
          <w:szCs w:val="28"/>
          <w:lang w:val="en-US"/>
        </w:rPr>
        <w:t>i</w:t>
      </w:r>
      <w:r w:rsidR="00702F6A">
        <w:rPr>
          <w:rFonts w:ascii="Times New Roman" w:hAnsi="Times New Roman" w:cs="Times New Roman"/>
          <w:sz w:val="28"/>
          <w:szCs w:val="28"/>
          <w:lang w:val="uk-UA"/>
        </w:rPr>
        <w:t xml:space="preserve"> </w:t>
      </w:r>
      <w:r w:rsidR="00565958">
        <w:rPr>
          <w:rFonts w:ascii="Times New Roman" w:hAnsi="Times New Roman" w:cs="Times New Roman"/>
          <w:sz w:val="28"/>
          <w:szCs w:val="28"/>
          <w:lang w:val="uk-UA"/>
        </w:rPr>
        <w:t>виявлено не</w:t>
      </w:r>
      <w:r w:rsidR="00702F6A">
        <w:rPr>
          <w:rFonts w:ascii="Times New Roman" w:hAnsi="Times New Roman" w:cs="Times New Roman"/>
          <w:sz w:val="28"/>
          <w:szCs w:val="28"/>
          <w:lang w:val="uk-UA"/>
        </w:rPr>
        <w:t>достов</w:t>
      </w:r>
      <w:r w:rsidR="00702F6A">
        <w:rPr>
          <w:rFonts w:ascii="Times New Roman" w:hAnsi="Times New Roman" w:cs="Times New Roman"/>
          <w:sz w:val="28"/>
          <w:szCs w:val="28"/>
          <w:lang w:val="en-US"/>
        </w:rPr>
        <w:t>i</w:t>
      </w:r>
      <w:r w:rsidR="00565958">
        <w:rPr>
          <w:rFonts w:ascii="Times New Roman" w:hAnsi="Times New Roman" w:cs="Times New Roman"/>
          <w:sz w:val="28"/>
          <w:szCs w:val="28"/>
          <w:lang w:val="uk-UA"/>
        </w:rPr>
        <w:t>рну залежні</w:t>
      </w:r>
      <w:r w:rsidR="00702F6A">
        <w:rPr>
          <w:rFonts w:ascii="Times New Roman" w:hAnsi="Times New Roman" w:cs="Times New Roman"/>
          <w:sz w:val="28"/>
          <w:szCs w:val="28"/>
          <w:lang w:val="uk-UA"/>
        </w:rPr>
        <w:t>ст</w:t>
      </w:r>
      <w:r w:rsidR="00565958">
        <w:rPr>
          <w:rFonts w:ascii="Times New Roman" w:hAnsi="Times New Roman" w:cs="Times New Roman"/>
          <w:sz w:val="28"/>
          <w:szCs w:val="28"/>
          <w:lang w:val="uk-UA"/>
        </w:rPr>
        <w:t>ь</w:t>
      </w:r>
      <w:r w:rsidR="00702F6A">
        <w:rPr>
          <w:rFonts w:ascii="Times New Roman" w:hAnsi="Times New Roman" w:cs="Times New Roman"/>
          <w:sz w:val="28"/>
          <w:szCs w:val="28"/>
          <w:lang w:val="uk-UA"/>
        </w:rPr>
        <w:t xml:space="preserve"> м</w:t>
      </w:r>
      <w:r w:rsidR="00702F6A">
        <w:rPr>
          <w:rFonts w:ascii="Times New Roman" w:hAnsi="Times New Roman" w:cs="Times New Roman"/>
          <w:sz w:val="28"/>
          <w:szCs w:val="28"/>
          <w:lang w:val="en-US"/>
        </w:rPr>
        <w:t>i</w:t>
      </w:r>
      <w:r w:rsidR="00565958">
        <w:rPr>
          <w:rFonts w:ascii="Times New Roman" w:hAnsi="Times New Roman" w:cs="Times New Roman"/>
          <w:sz w:val="28"/>
          <w:szCs w:val="28"/>
          <w:lang w:val="uk-UA"/>
        </w:rPr>
        <w:t>ж вмістом</w:t>
      </w:r>
      <w:r w:rsidR="0019589B">
        <w:rPr>
          <w:rFonts w:ascii="Times New Roman" w:hAnsi="Times New Roman" w:cs="Times New Roman"/>
          <w:sz w:val="28"/>
          <w:szCs w:val="28"/>
          <w:lang w:val="uk-UA"/>
        </w:rPr>
        <w:t xml:space="preserve"> </w:t>
      </w:r>
      <w:r w:rsidR="0019589B" w:rsidRPr="0019589B">
        <w:rPr>
          <w:rFonts w:ascii="Times New Roman" w:hAnsi="Times New Roman" w:cs="Times New Roman"/>
          <w:sz w:val="28"/>
          <w:szCs w:val="28"/>
          <w:lang w:val="en-US"/>
        </w:rPr>
        <w:t>HbA</w:t>
      </w:r>
      <w:r w:rsidR="0019589B" w:rsidRPr="0019589B">
        <w:rPr>
          <w:rFonts w:ascii="Times New Roman" w:hAnsi="Times New Roman" w:cs="Times New Roman"/>
          <w:sz w:val="28"/>
          <w:szCs w:val="28"/>
          <w:lang w:val="uk-UA"/>
        </w:rPr>
        <w:t>1с</w:t>
      </w:r>
      <w:r w:rsidR="0019589B">
        <w:rPr>
          <w:rFonts w:ascii="Times New Roman" w:hAnsi="Times New Roman" w:cs="Times New Roman"/>
          <w:sz w:val="28"/>
          <w:szCs w:val="28"/>
          <w:lang w:val="uk-UA"/>
        </w:rPr>
        <w:t xml:space="preserve"> та </w:t>
      </w:r>
      <w:r w:rsidR="00D75A1F">
        <w:rPr>
          <w:rFonts w:ascii="Times New Roman" w:hAnsi="Times New Roman" w:cs="Times New Roman"/>
          <w:sz w:val="28"/>
          <w:szCs w:val="28"/>
          <w:lang w:val="uk-UA"/>
        </w:rPr>
        <w:t xml:space="preserve">ХС </w:t>
      </w:r>
      <w:r w:rsidR="0019589B" w:rsidRPr="0019589B">
        <w:rPr>
          <w:rFonts w:ascii="Times New Roman" w:hAnsi="Times New Roman" w:cs="Times New Roman"/>
          <w:sz w:val="28"/>
          <w:szCs w:val="28"/>
          <w:lang w:val="uk-UA"/>
        </w:rPr>
        <w:t>ЛПНЩ</w:t>
      </w:r>
      <w:r w:rsidR="0019589B">
        <w:rPr>
          <w:rFonts w:ascii="Times New Roman" w:hAnsi="Times New Roman" w:cs="Times New Roman"/>
          <w:sz w:val="28"/>
          <w:szCs w:val="28"/>
          <w:lang w:val="uk-UA"/>
        </w:rPr>
        <w:t xml:space="preserve"> </w:t>
      </w:r>
      <w:r w:rsidR="00565958">
        <w:rPr>
          <w:rFonts w:ascii="Times New Roman" w:hAnsi="Times New Roman" w:cs="Times New Roman"/>
          <w:sz w:val="28"/>
          <w:szCs w:val="28"/>
          <w:lang w:val="uk-UA"/>
        </w:rPr>
        <w:t>у хворих І групи</w:t>
      </w:r>
      <w:r w:rsidR="00D75A1F">
        <w:rPr>
          <w:rFonts w:ascii="Times New Roman" w:hAnsi="Times New Roman" w:cs="Times New Roman"/>
          <w:sz w:val="28"/>
          <w:szCs w:val="28"/>
          <w:lang w:val="uk-UA"/>
        </w:rPr>
        <w:t xml:space="preserve"> (</w:t>
      </w:r>
      <w:r w:rsidR="00B71115">
        <w:rPr>
          <w:rFonts w:ascii="Times New Roman" w:hAnsi="Times New Roman" w:cs="Times New Roman"/>
          <w:sz w:val="28"/>
          <w:szCs w:val="28"/>
          <w:lang w:val="uk-UA"/>
        </w:rPr>
        <w:t xml:space="preserve">р </w:t>
      </w:r>
      <w:r w:rsidR="00B71115" w:rsidRPr="00B71115">
        <w:rPr>
          <w:rFonts w:ascii="Times New Roman" w:hAnsi="Times New Roman" w:cs="Times New Roman"/>
          <w:sz w:val="28"/>
          <w:szCs w:val="28"/>
        </w:rPr>
        <w:t>&gt; 0,05)</w:t>
      </w:r>
      <w:r w:rsidR="0019589B">
        <w:rPr>
          <w:rFonts w:ascii="Times New Roman" w:hAnsi="Times New Roman" w:cs="Times New Roman"/>
          <w:sz w:val="28"/>
          <w:szCs w:val="28"/>
          <w:lang w:val="uk-UA"/>
        </w:rPr>
        <w:t>.</w:t>
      </w:r>
      <w:r w:rsidR="00702F6A">
        <w:rPr>
          <w:rFonts w:ascii="Times New Roman" w:hAnsi="Times New Roman" w:cs="Times New Roman"/>
          <w:sz w:val="28"/>
          <w:szCs w:val="28"/>
          <w:lang w:val="uk-UA"/>
        </w:rPr>
        <w:t xml:space="preserve"> Це можна пояснити тим, що </w:t>
      </w:r>
      <w:r w:rsidR="00B71115">
        <w:rPr>
          <w:rFonts w:ascii="Times New Roman" w:hAnsi="Times New Roman" w:cs="Times New Roman"/>
          <w:sz w:val="28"/>
          <w:szCs w:val="28"/>
          <w:lang w:val="uk-UA"/>
        </w:rPr>
        <w:t xml:space="preserve">кількість ХС </w:t>
      </w:r>
      <w:r w:rsidR="00702F6A">
        <w:rPr>
          <w:rFonts w:ascii="Times New Roman" w:hAnsi="Times New Roman" w:cs="Times New Roman"/>
          <w:sz w:val="28"/>
          <w:szCs w:val="28"/>
          <w:lang w:val="uk-UA"/>
        </w:rPr>
        <w:t xml:space="preserve">ЛПНЩ </w:t>
      </w:r>
      <w:r w:rsidR="00B71115">
        <w:rPr>
          <w:rFonts w:ascii="Times New Roman" w:hAnsi="Times New Roman" w:cs="Times New Roman"/>
          <w:sz w:val="28"/>
          <w:szCs w:val="28"/>
          <w:lang w:val="uk-UA"/>
        </w:rPr>
        <w:t>може бути</w:t>
      </w:r>
      <w:r w:rsidR="0019589B">
        <w:rPr>
          <w:rFonts w:ascii="Times New Roman" w:hAnsi="Times New Roman" w:cs="Times New Roman"/>
          <w:sz w:val="28"/>
          <w:szCs w:val="28"/>
          <w:lang w:val="uk-UA"/>
        </w:rPr>
        <w:t xml:space="preserve"> у межах норми</w:t>
      </w:r>
      <w:r w:rsidR="00B71115" w:rsidRPr="00B71115">
        <w:rPr>
          <w:rFonts w:ascii="Times New Roman" w:hAnsi="Times New Roman" w:cs="Times New Roman"/>
          <w:sz w:val="28"/>
          <w:szCs w:val="28"/>
        </w:rPr>
        <w:t xml:space="preserve"> </w:t>
      </w:r>
      <w:r w:rsidR="00B71115">
        <w:rPr>
          <w:rFonts w:ascii="Times New Roman" w:hAnsi="Times New Roman" w:cs="Times New Roman"/>
          <w:sz w:val="28"/>
          <w:szCs w:val="28"/>
          <w:lang w:val="uk-UA"/>
        </w:rPr>
        <w:t>за наявності ЦД 2-го типу</w:t>
      </w:r>
      <w:r w:rsidR="0019589B">
        <w:rPr>
          <w:rFonts w:ascii="Times New Roman" w:hAnsi="Times New Roman" w:cs="Times New Roman"/>
          <w:sz w:val="28"/>
          <w:szCs w:val="28"/>
          <w:lang w:val="uk-UA"/>
        </w:rPr>
        <w:t>.</w:t>
      </w:r>
    </w:p>
    <w:p w:rsidR="00D61934" w:rsidRDefault="00B71115" w:rsidP="009E595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Концентрація</w:t>
      </w:r>
      <w:r w:rsidR="00565958">
        <w:rPr>
          <w:rFonts w:ascii="Times New Roman" w:hAnsi="Times New Roman" w:cs="Times New Roman"/>
          <w:sz w:val="28"/>
          <w:szCs w:val="28"/>
          <w:lang w:val="uk-UA"/>
        </w:rPr>
        <w:t xml:space="preserve"> sVCAM-1 є</w:t>
      </w:r>
      <w:r w:rsidR="0019589B">
        <w:rPr>
          <w:rFonts w:ascii="Times New Roman" w:hAnsi="Times New Roman" w:cs="Times New Roman"/>
          <w:sz w:val="28"/>
          <w:szCs w:val="28"/>
          <w:lang w:val="uk-UA"/>
        </w:rPr>
        <w:t xml:space="preserve"> маркер</w:t>
      </w:r>
      <w:r w:rsidR="006A3465">
        <w:rPr>
          <w:rFonts w:ascii="Times New Roman" w:hAnsi="Times New Roman" w:cs="Times New Roman"/>
          <w:sz w:val="28"/>
          <w:szCs w:val="28"/>
          <w:lang w:val="uk-UA"/>
        </w:rPr>
        <w:t>ом</w:t>
      </w:r>
      <w:r w:rsidR="0019589B" w:rsidRPr="004929E2">
        <w:rPr>
          <w:rFonts w:ascii="Times New Roman" w:hAnsi="Times New Roman" w:cs="Times New Roman"/>
          <w:sz w:val="28"/>
          <w:szCs w:val="28"/>
          <w:lang w:val="uk-UA"/>
        </w:rPr>
        <w:t xml:space="preserve"> атеросклеротичного процесу</w:t>
      </w:r>
      <w:r w:rsidR="00C42FD4">
        <w:rPr>
          <w:rFonts w:ascii="Times New Roman" w:hAnsi="Times New Roman" w:cs="Times New Roman"/>
          <w:sz w:val="28"/>
          <w:szCs w:val="28"/>
          <w:lang w:val="uk-UA"/>
        </w:rPr>
        <w:t xml:space="preserve"> </w:t>
      </w:r>
      <w:r w:rsidR="001A6494">
        <w:rPr>
          <w:rFonts w:ascii="Times New Roman" w:hAnsi="Times New Roman" w:cs="Times New Roman"/>
          <w:sz w:val="28"/>
          <w:szCs w:val="28"/>
          <w:lang w:val="uk-UA"/>
        </w:rPr>
        <w:t xml:space="preserve">        </w:t>
      </w:r>
      <w:r w:rsidR="00C42FD4">
        <w:rPr>
          <w:rFonts w:ascii="Times New Roman" w:hAnsi="Times New Roman" w:cs="Times New Roman"/>
          <w:sz w:val="28"/>
          <w:szCs w:val="28"/>
          <w:lang w:val="uk-UA"/>
        </w:rPr>
        <w:t>на ранніх стадіях</w:t>
      </w:r>
      <w:r>
        <w:rPr>
          <w:rFonts w:ascii="Times New Roman" w:hAnsi="Times New Roman" w:cs="Times New Roman"/>
          <w:sz w:val="28"/>
          <w:szCs w:val="28"/>
          <w:lang w:val="uk-UA"/>
        </w:rPr>
        <w:t xml:space="preserve"> ЦД</w:t>
      </w:r>
      <w:r w:rsidR="0019589B" w:rsidRPr="004929E2">
        <w:rPr>
          <w:rFonts w:ascii="Times New Roman" w:hAnsi="Times New Roman" w:cs="Times New Roman"/>
          <w:sz w:val="28"/>
          <w:szCs w:val="28"/>
          <w:lang w:val="uk-UA"/>
        </w:rPr>
        <w:t xml:space="preserve"> [</w:t>
      </w:r>
      <w:r w:rsidR="00444930" w:rsidRPr="004900D9">
        <w:rPr>
          <w:rFonts w:ascii="Times New Roman" w:hAnsi="Times New Roman" w:cs="Times New Roman"/>
          <w:sz w:val="28"/>
          <w:szCs w:val="28"/>
        </w:rPr>
        <w:t>177</w:t>
      </w:r>
      <w:r w:rsidR="0019589B" w:rsidRPr="00EB6204">
        <w:rPr>
          <w:rFonts w:ascii="Times New Roman" w:hAnsi="Times New Roman" w:cs="Times New Roman"/>
          <w:sz w:val="28"/>
          <w:szCs w:val="28"/>
          <w:lang w:val="uk-UA"/>
        </w:rPr>
        <w:t>].</w:t>
      </w:r>
      <w:r w:rsidR="00702F6A">
        <w:rPr>
          <w:rFonts w:ascii="Times New Roman" w:hAnsi="Times New Roman" w:cs="Times New Roman"/>
          <w:sz w:val="28"/>
          <w:szCs w:val="28"/>
          <w:lang w:val="uk-UA"/>
        </w:rPr>
        <w:t xml:space="preserve"> Але не </w:t>
      </w:r>
      <w:r w:rsidR="00C42FD4">
        <w:rPr>
          <w:rFonts w:ascii="Times New Roman" w:hAnsi="Times New Roman" w:cs="Times New Roman"/>
          <w:sz w:val="28"/>
          <w:szCs w:val="28"/>
          <w:lang w:val="uk-UA"/>
        </w:rPr>
        <w:t xml:space="preserve">достатньо вивченим </w:t>
      </w:r>
      <w:r w:rsidR="0019589B">
        <w:rPr>
          <w:rFonts w:ascii="Times New Roman" w:hAnsi="Times New Roman" w:cs="Times New Roman"/>
          <w:sz w:val="28"/>
          <w:szCs w:val="28"/>
          <w:lang w:val="uk-UA"/>
        </w:rPr>
        <w:t>зали</w:t>
      </w:r>
      <w:r w:rsidR="003662AD">
        <w:rPr>
          <w:rFonts w:ascii="Times New Roman" w:hAnsi="Times New Roman" w:cs="Times New Roman"/>
          <w:sz w:val="28"/>
          <w:szCs w:val="28"/>
          <w:lang w:val="uk-UA"/>
        </w:rPr>
        <w:t>шається питання щодо</w:t>
      </w:r>
      <w:r w:rsidR="00702F6A">
        <w:rPr>
          <w:rFonts w:ascii="Times New Roman" w:hAnsi="Times New Roman" w:cs="Times New Roman"/>
          <w:sz w:val="28"/>
          <w:szCs w:val="28"/>
          <w:lang w:val="uk-UA"/>
        </w:rPr>
        <w:t xml:space="preserve"> </w:t>
      </w:r>
      <w:r>
        <w:rPr>
          <w:rFonts w:ascii="Times New Roman" w:hAnsi="Times New Roman" w:cs="Times New Roman"/>
          <w:sz w:val="28"/>
          <w:szCs w:val="28"/>
          <w:lang w:val="uk-UA"/>
        </w:rPr>
        <w:t>вміст</w:t>
      </w:r>
      <w:r w:rsidR="003662AD">
        <w:rPr>
          <w:rFonts w:ascii="Times New Roman" w:hAnsi="Times New Roman" w:cs="Times New Roman"/>
          <w:sz w:val="28"/>
          <w:szCs w:val="28"/>
          <w:lang w:val="uk-UA"/>
        </w:rPr>
        <w:t>у</w:t>
      </w:r>
      <w:r>
        <w:rPr>
          <w:rFonts w:ascii="Times New Roman" w:hAnsi="Times New Roman" w:cs="Times New Roman"/>
          <w:sz w:val="28"/>
          <w:szCs w:val="28"/>
          <w:lang w:val="uk-UA"/>
        </w:rPr>
        <w:t xml:space="preserve"> </w:t>
      </w:r>
      <w:r w:rsidR="003662AD">
        <w:rPr>
          <w:rFonts w:ascii="Times New Roman" w:hAnsi="Times New Roman" w:cs="Times New Roman"/>
          <w:sz w:val="28"/>
          <w:szCs w:val="28"/>
          <w:lang w:val="uk-UA"/>
        </w:rPr>
        <w:t>зазначеної молекули адгезії в якості показника</w:t>
      </w:r>
      <w:r w:rsidR="0019589B">
        <w:rPr>
          <w:rFonts w:ascii="Times New Roman" w:hAnsi="Times New Roman" w:cs="Times New Roman"/>
          <w:sz w:val="28"/>
          <w:szCs w:val="28"/>
          <w:lang w:val="uk-UA"/>
        </w:rPr>
        <w:t xml:space="preserve"> </w:t>
      </w:r>
      <w:r w:rsidR="00E94846">
        <w:rPr>
          <w:rFonts w:ascii="Times New Roman" w:hAnsi="Times New Roman" w:cs="Times New Roman"/>
          <w:sz w:val="28"/>
          <w:szCs w:val="28"/>
          <w:lang w:val="uk-UA"/>
        </w:rPr>
        <w:t xml:space="preserve">проатерогенної спрямованості </w:t>
      </w:r>
      <w:r w:rsidR="00702F6A">
        <w:rPr>
          <w:rFonts w:ascii="Times New Roman" w:hAnsi="Times New Roman" w:cs="Times New Roman"/>
          <w:sz w:val="28"/>
          <w:szCs w:val="28"/>
          <w:lang w:val="uk-UA"/>
        </w:rPr>
        <w:t>при поєд</w:t>
      </w:r>
      <w:r w:rsidR="003662AD">
        <w:rPr>
          <w:rFonts w:ascii="Times New Roman" w:hAnsi="Times New Roman" w:cs="Times New Roman"/>
          <w:sz w:val="28"/>
          <w:szCs w:val="28"/>
          <w:lang w:val="uk-UA"/>
        </w:rPr>
        <w:t>н</w:t>
      </w:r>
      <w:r w:rsidR="00702F6A">
        <w:rPr>
          <w:rFonts w:ascii="Times New Roman" w:hAnsi="Times New Roman" w:cs="Times New Roman"/>
          <w:sz w:val="28"/>
          <w:szCs w:val="28"/>
          <w:lang w:val="uk-UA"/>
        </w:rPr>
        <w:t>анн</w:t>
      </w:r>
      <w:r w:rsidR="00702F6A">
        <w:rPr>
          <w:rFonts w:ascii="Times New Roman" w:hAnsi="Times New Roman" w:cs="Times New Roman"/>
          <w:sz w:val="28"/>
          <w:szCs w:val="28"/>
          <w:lang w:val="en-US"/>
        </w:rPr>
        <w:t>i</w:t>
      </w:r>
      <w:r w:rsidR="00DD38F0">
        <w:rPr>
          <w:rFonts w:ascii="Times New Roman" w:hAnsi="Times New Roman" w:cs="Times New Roman"/>
          <w:sz w:val="28"/>
          <w:szCs w:val="28"/>
          <w:lang w:val="uk-UA"/>
        </w:rPr>
        <w:t xml:space="preserve"> АГ та ЦД 2-го типу. </w:t>
      </w:r>
      <w:r w:rsidR="00702F6A">
        <w:rPr>
          <w:rFonts w:ascii="Times New Roman" w:hAnsi="Times New Roman" w:cs="Times New Roman"/>
          <w:sz w:val="28"/>
          <w:szCs w:val="28"/>
          <w:lang w:val="uk-UA"/>
        </w:rPr>
        <w:t xml:space="preserve">Нами саме </w:t>
      </w:r>
      <w:r>
        <w:rPr>
          <w:rFonts w:ascii="Times New Roman" w:hAnsi="Times New Roman" w:cs="Times New Roman"/>
          <w:sz w:val="28"/>
          <w:szCs w:val="28"/>
          <w:lang w:val="uk-UA"/>
        </w:rPr>
        <w:t xml:space="preserve">у пацієнтів </w:t>
      </w:r>
      <w:r w:rsidR="00E94846">
        <w:rPr>
          <w:rFonts w:ascii="Times New Roman" w:hAnsi="Times New Roman" w:cs="Times New Roman"/>
          <w:sz w:val="28"/>
          <w:szCs w:val="28"/>
          <w:lang w:val="uk-UA"/>
        </w:rPr>
        <w:t xml:space="preserve">       </w:t>
      </w:r>
      <w:r w:rsidR="00702F6A">
        <w:rPr>
          <w:rFonts w:ascii="Times New Roman" w:hAnsi="Times New Roman" w:cs="Times New Roman"/>
          <w:sz w:val="28"/>
          <w:szCs w:val="28"/>
          <w:lang w:val="en-US"/>
        </w:rPr>
        <w:t>i</w:t>
      </w:r>
      <w:r w:rsidR="00702F6A">
        <w:rPr>
          <w:rFonts w:ascii="Times New Roman" w:hAnsi="Times New Roman" w:cs="Times New Roman"/>
          <w:sz w:val="28"/>
          <w:szCs w:val="28"/>
          <w:lang w:val="uk-UA"/>
        </w:rPr>
        <w:t xml:space="preserve">з </w:t>
      </w:r>
      <w:r w:rsidR="0019589B">
        <w:rPr>
          <w:rFonts w:ascii="Times New Roman" w:hAnsi="Times New Roman" w:cs="Times New Roman"/>
          <w:sz w:val="28"/>
          <w:szCs w:val="28"/>
          <w:lang w:val="uk-UA"/>
        </w:rPr>
        <w:t xml:space="preserve">АГ та </w:t>
      </w:r>
      <w:r w:rsidR="00850846">
        <w:rPr>
          <w:rFonts w:ascii="Times New Roman" w:hAnsi="Times New Roman" w:cs="Times New Roman"/>
          <w:sz w:val="28"/>
          <w:szCs w:val="28"/>
          <w:lang w:val="uk-UA"/>
        </w:rPr>
        <w:t xml:space="preserve">супутнім </w:t>
      </w:r>
      <w:r w:rsidR="0019589B">
        <w:rPr>
          <w:rFonts w:ascii="Times New Roman" w:hAnsi="Times New Roman" w:cs="Times New Roman"/>
          <w:sz w:val="28"/>
          <w:szCs w:val="28"/>
          <w:lang w:val="uk-UA"/>
        </w:rPr>
        <w:t>ЦД 2-го типу у</w:t>
      </w:r>
      <w:r w:rsidR="00702F6A">
        <w:rPr>
          <w:rFonts w:ascii="Times New Roman" w:hAnsi="Times New Roman" w:cs="Times New Roman"/>
          <w:sz w:val="28"/>
          <w:szCs w:val="28"/>
          <w:lang w:val="uk-UA"/>
        </w:rPr>
        <w:t xml:space="preserve">становлено позитивну </w:t>
      </w:r>
      <w:r w:rsidR="00D61934" w:rsidRPr="00D61934">
        <w:rPr>
          <w:rFonts w:ascii="Times New Roman" w:hAnsi="Times New Roman" w:cs="Times New Roman"/>
          <w:sz w:val="28"/>
          <w:szCs w:val="28"/>
          <w:lang w:val="uk-UA"/>
        </w:rPr>
        <w:t>залеж</w:t>
      </w:r>
      <w:r w:rsidR="00702F6A">
        <w:rPr>
          <w:rFonts w:ascii="Times New Roman" w:hAnsi="Times New Roman" w:cs="Times New Roman"/>
          <w:sz w:val="28"/>
          <w:szCs w:val="28"/>
          <w:lang w:val="uk-UA"/>
        </w:rPr>
        <w:t>н</w:t>
      </w:r>
      <w:r w:rsidR="00702F6A">
        <w:rPr>
          <w:rFonts w:ascii="Times New Roman" w:hAnsi="Times New Roman" w:cs="Times New Roman"/>
          <w:sz w:val="28"/>
          <w:szCs w:val="28"/>
          <w:lang w:val="en-US"/>
        </w:rPr>
        <w:t>i</w:t>
      </w:r>
      <w:r w:rsidR="00702F6A">
        <w:rPr>
          <w:rFonts w:ascii="Times New Roman" w:hAnsi="Times New Roman" w:cs="Times New Roman"/>
          <w:sz w:val="28"/>
          <w:szCs w:val="28"/>
          <w:lang w:val="uk-UA"/>
        </w:rPr>
        <w:t>сть м</w:t>
      </w:r>
      <w:r w:rsidR="00702F6A">
        <w:rPr>
          <w:rFonts w:ascii="Times New Roman" w:hAnsi="Times New Roman" w:cs="Times New Roman"/>
          <w:sz w:val="28"/>
          <w:szCs w:val="28"/>
          <w:lang w:val="en-US"/>
        </w:rPr>
        <w:t>i</w:t>
      </w:r>
      <w:r w:rsidR="00702F6A">
        <w:rPr>
          <w:rFonts w:ascii="Times New Roman" w:hAnsi="Times New Roman" w:cs="Times New Roman"/>
          <w:sz w:val="28"/>
          <w:szCs w:val="28"/>
          <w:lang w:val="uk-UA"/>
        </w:rPr>
        <w:t xml:space="preserve">ж </w:t>
      </w:r>
      <w:r>
        <w:rPr>
          <w:rFonts w:ascii="Times New Roman" w:hAnsi="Times New Roman" w:cs="Times New Roman"/>
          <w:sz w:val="28"/>
          <w:szCs w:val="28"/>
          <w:lang w:val="uk-UA"/>
        </w:rPr>
        <w:t xml:space="preserve">концентрацією </w:t>
      </w:r>
      <w:r w:rsidR="007C30DA">
        <w:rPr>
          <w:rFonts w:ascii="Times New Roman" w:hAnsi="Times New Roman" w:cs="Times New Roman"/>
          <w:sz w:val="28"/>
          <w:szCs w:val="28"/>
          <w:lang w:val="uk-UA"/>
        </w:rPr>
        <w:t xml:space="preserve">sVCAM-1 та КА </w:t>
      </w:r>
      <w:r w:rsidR="0019589B">
        <w:rPr>
          <w:rFonts w:ascii="Times New Roman" w:hAnsi="Times New Roman" w:cs="Times New Roman"/>
          <w:sz w:val="28"/>
          <w:szCs w:val="28"/>
          <w:lang w:val="uk-UA"/>
        </w:rPr>
        <w:t>(r = 0,2; р = 0,0495)</w:t>
      </w:r>
      <w:r w:rsidR="00ED7EFE" w:rsidRPr="00ED7EFE">
        <w:rPr>
          <w:rFonts w:ascii="Times New Roman" w:hAnsi="Times New Roman" w:cs="Times New Roman"/>
          <w:sz w:val="28"/>
          <w:szCs w:val="28"/>
          <w:lang w:val="uk-UA"/>
        </w:rPr>
        <w:t>.</w:t>
      </w:r>
      <w:r w:rsidR="0019589B">
        <w:rPr>
          <w:rFonts w:ascii="Times New Roman" w:hAnsi="Times New Roman" w:cs="Times New Roman"/>
          <w:sz w:val="28"/>
          <w:szCs w:val="28"/>
          <w:lang w:val="uk-UA"/>
        </w:rPr>
        <w:t xml:space="preserve"> </w:t>
      </w:r>
      <w:r w:rsidR="00565958">
        <w:rPr>
          <w:rFonts w:ascii="Times New Roman" w:hAnsi="Times New Roman" w:cs="Times New Roman"/>
          <w:sz w:val="28"/>
          <w:szCs w:val="28"/>
          <w:lang w:val="uk-UA"/>
        </w:rPr>
        <w:t>Таким чином</w:t>
      </w:r>
      <w:r w:rsidR="00702F6A">
        <w:rPr>
          <w:rFonts w:ascii="Times New Roman" w:hAnsi="Times New Roman" w:cs="Times New Roman"/>
          <w:sz w:val="28"/>
          <w:szCs w:val="28"/>
          <w:lang w:val="uk-UA"/>
        </w:rPr>
        <w:t xml:space="preserve">, </w:t>
      </w:r>
      <w:r w:rsidR="00565958">
        <w:rPr>
          <w:rFonts w:ascii="Times New Roman" w:hAnsi="Times New Roman" w:cs="Times New Roman"/>
          <w:sz w:val="28"/>
          <w:szCs w:val="28"/>
          <w:lang w:val="uk-UA"/>
        </w:rPr>
        <w:t xml:space="preserve">чим вищим є вміст </w:t>
      </w:r>
      <w:r w:rsidR="00565958" w:rsidRPr="00565958">
        <w:rPr>
          <w:rFonts w:ascii="Times New Roman" w:hAnsi="Times New Roman" w:cs="Times New Roman"/>
          <w:sz w:val="28"/>
          <w:szCs w:val="28"/>
          <w:lang w:val="uk-UA"/>
        </w:rPr>
        <w:t>sVCAM-1</w:t>
      </w:r>
      <w:r w:rsidR="00565958">
        <w:rPr>
          <w:rFonts w:ascii="Times New Roman" w:hAnsi="Times New Roman" w:cs="Times New Roman"/>
          <w:sz w:val="28"/>
          <w:szCs w:val="28"/>
          <w:lang w:val="uk-UA"/>
        </w:rPr>
        <w:t xml:space="preserve">, тим </w:t>
      </w:r>
      <w:r w:rsidR="0098375E">
        <w:rPr>
          <w:rFonts w:ascii="Times New Roman" w:hAnsi="Times New Roman" w:cs="Times New Roman"/>
          <w:sz w:val="28"/>
          <w:szCs w:val="28"/>
          <w:lang w:val="uk-UA"/>
        </w:rPr>
        <w:t>більш</w:t>
      </w:r>
      <w:r w:rsidR="00F741A8">
        <w:rPr>
          <w:rFonts w:ascii="Times New Roman" w:hAnsi="Times New Roman" w:cs="Times New Roman"/>
          <w:sz w:val="28"/>
          <w:szCs w:val="28"/>
          <w:lang w:val="uk-UA"/>
        </w:rPr>
        <w:t>ою є проатерогенна спрямованість</w:t>
      </w:r>
      <w:r w:rsidR="007C30DA">
        <w:rPr>
          <w:rFonts w:ascii="Times New Roman" w:hAnsi="Times New Roman" w:cs="Times New Roman"/>
          <w:sz w:val="28"/>
          <w:szCs w:val="28"/>
          <w:lang w:val="uk-UA"/>
        </w:rPr>
        <w:t xml:space="preserve"> </w:t>
      </w:r>
      <w:r w:rsidR="00ED7EFE" w:rsidRPr="00850846">
        <w:rPr>
          <w:rFonts w:ascii="Times New Roman" w:hAnsi="Times New Roman" w:cs="Times New Roman"/>
          <w:sz w:val="28"/>
          <w:szCs w:val="28"/>
          <w:lang w:val="uk-UA"/>
        </w:rPr>
        <w:t>[</w:t>
      </w:r>
      <w:r w:rsidR="004900D9" w:rsidRPr="00F741A8">
        <w:rPr>
          <w:rFonts w:ascii="Times New Roman" w:hAnsi="Times New Roman" w:cs="Times New Roman"/>
          <w:sz w:val="28"/>
          <w:szCs w:val="28"/>
          <w:lang w:val="uk-UA"/>
        </w:rPr>
        <w:t>14</w:t>
      </w:r>
      <w:r w:rsidR="004900D9">
        <w:rPr>
          <w:rFonts w:ascii="Times New Roman" w:hAnsi="Times New Roman" w:cs="Times New Roman"/>
          <w:sz w:val="28"/>
          <w:szCs w:val="28"/>
          <w:lang w:val="uk-UA"/>
        </w:rPr>
        <w:t>5</w:t>
      </w:r>
      <w:r w:rsidR="00ED7EFE" w:rsidRPr="00850846">
        <w:rPr>
          <w:rFonts w:ascii="Times New Roman" w:hAnsi="Times New Roman" w:cs="Times New Roman"/>
          <w:sz w:val="28"/>
          <w:szCs w:val="28"/>
          <w:lang w:val="uk-UA"/>
        </w:rPr>
        <w:t>]</w:t>
      </w:r>
      <w:r w:rsidR="00D61934" w:rsidRPr="00D61934">
        <w:rPr>
          <w:rFonts w:ascii="Times New Roman" w:hAnsi="Times New Roman" w:cs="Times New Roman"/>
          <w:sz w:val="28"/>
          <w:szCs w:val="28"/>
          <w:lang w:val="uk-UA"/>
        </w:rPr>
        <w:t>.</w:t>
      </w:r>
      <w:r w:rsidR="00D61934">
        <w:rPr>
          <w:rFonts w:ascii="Times New Roman" w:hAnsi="Times New Roman" w:cs="Times New Roman"/>
          <w:sz w:val="28"/>
          <w:szCs w:val="28"/>
          <w:lang w:val="uk-UA"/>
        </w:rPr>
        <w:t xml:space="preserve"> </w:t>
      </w:r>
    </w:p>
    <w:p w:rsidR="00BA3749" w:rsidRDefault="00AD7EC6" w:rsidP="005C347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w:t>
      </w:r>
      <w:r w:rsidR="0080013D">
        <w:rPr>
          <w:rFonts w:ascii="Times New Roman" w:hAnsi="Times New Roman" w:cs="Times New Roman"/>
          <w:sz w:val="28"/>
          <w:szCs w:val="28"/>
          <w:lang w:val="uk-UA"/>
        </w:rPr>
        <w:t>атегорію альбумінурії А1</w:t>
      </w:r>
      <w:r w:rsidR="001F5CC0">
        <w:rPr>
          <w:rFonts w:ascii="Times New Roman" w:hAnsi="Times New Roman" w:cs="Times New Roman"/>
          <w:sz w:val="28"/>
          <w:szCs w:val="28"/>
          <w:lang w:val="uk-UA"/>
        </w:rPr>
        <w:t xml:space="preserve"> констатовано у 15 </w:t>
      </w:r>
      <w:r w:rsidR="009E5958">
        <w:rPr>
          <w:rFonts w:ascii="Times New Roman" w:hAnsi="Times New Roman" w:cs="Times New Roman"/>
          <w:sz w:val="28"/>
          <w:szCs w:val="28"/>
          <w:lang w:val="uk-UA"/>
        </w:rPr>
        <w:t xml:space="preserve">(15,6 </w:t>
      </w:r>
      <w:r w:rsidR="0080013D">
        <w:rPr>
          <w:rFonts w:ascii="Times New Roman" w:hAnsi="Times New Roman" w:cs="Times New Roman"/>
          <w:sz w:val="28"/>
          <w:szCs w:val="28"/>
          <w:lang w:val="uk-UA"/>
        </w:rPr>
        <w:t>%), А2 – 71 (74 %), А3</w:t>
      </w:r>
      <w:r w:rsidR="009E5958">
        <w:rPr>
          <w:rFonts w:ascii="Times New Roman" w:hAnsi="Times New Roman" w:cs="Times New Roman"/>
          <w:sz w:val="28"/>
          <w:szCs w:val="28"/>
          <w:lang w:val="uk-UA"/>
        </w:rPr>
        <w:t xml:space="preserve"> – 10 (10,4</w:t>
      </w:r>
      <w:r w:rsidR="00394D46">
        <w:rPr>
          <w:rFonts w:ascii="Times New Roman" w:hAnsi="Times New Roman" w:cs="Times New Roman"/>
          <w:sz w:val="28"/>
          <w:szCs w:val="28"/>
          <w:lang w:val="uk-UA"/>
        </w:rPr>
        <w:t xml:space="preserve"> </w:t>
      </w:r>
      <w:r w:rsidR="00D51461">
        <w:rPr>
          <w:rFonts w:ascii="Times New Roman" w:hAnsi="Times New Roman" w:cs="Times New Roman"/>
          <w:sz w:val="28"/>
          <w:szCs w:val="28"/>
          <w:lang w:val="uk-UA"/>
        </w:rPr>
        <w:t>%) пац</w:t>
      </w:r>
      <w:r w:rsidR="00D51461">
        <w:rPr>
          <w:rFonts w:ascii="Times New Roman" w:hAnsi="Times New Roman" w:cs="Times New Roman"/>
          <w:sz w:val="28"/>
          <w:szCs w:val="28"/>
          <w:lang w:val="en-US"/>
        </w:rPr>
        <w:t>i</w:t>
      </w:r>
      <w:r w:rsidR="00D51461">
        <w:rPr>
          <w:rFonts w:ascii="Times New Roman" w:hAnsi="Times New Roman" w:cs="Times New Roman"/>
          <w:sz w:val="28"/>
          <w:szCs w:val="28"/>
          <w:lang w:val="uk-UA"/>
        </w:rPr>
        <w:t>єнт</w:t>
      </w:r>
      <w:r w:rsidR="00D51461">
        <w:rPr>
          <w:rFonts w:ascii="Times New Roman" w:hAnsi="Times New Roman" w:cs="Times New Roman"/>
          <w:sz w:val="28"/>
          <w:szCs w:val="28"/>
          <w:lang w:val="en-US"/>
        </w:rPr>
        <w:t>i</w:t>
      </w:r>
      <w:r w:rsidR="008A54B5" w:rsidRPr="008A54B5">
        <w:rPr>
          <w:rFonts w:ascii="Times New Roman" w:hAnsi="Times New Roman" w:cs="Times New Roman"/>
          <w:sz w:val="28"/>
          <w:szCs w:val="28"/>
          <w:lang w:val="uk-UA"/>
        </w:rPr>
        <w:t>в</w:t>
      </w:r>
      <w:r w:rsidR="001F5CC0">
        <w:rPr>
          <w:rFonts w:ascii="Times New Roman" w:hAnsi="Times New Roman" w:cs="Times New Roman"/>
          <w:sz w:val="28"/>
          <w:szCs w:val="28"/>
          <w:lang w:val="uk-UA"/>
        </w:rPr>
        <w:t xml:space="preserve"> </w:t>
      </w:r>
      <w:r>
        <w:rPr>
          <w:rFonts w:ascii="Times New Roman" w:hAnsi="Times New Roman" w:cs="Times New Roman"/>
          <w:sz w:val="28"/>
          <w:szCs w:val="28"/>
          <w:lang w:val="uk-UA"/>
        </w:rPr>
        <w:t>І групи</w:t>
      </w:r>
      <w:r w:rsidR="00BF3AF6">
        <w:rPr>
          <w:rFonts w:ascii="Times New Roman" w:hAnsi="Times New Roman" w:cs="Times New Roman"/>
          <w:sz w:val="28"/>
          <w:szCs w:val="28"/>
          <w:lang w:val="uk-UA"/>
        </w:rPr>
        <w:t xml:space="preserve"> </w:t>
      </w:r>
      <w:r w:rsidR="001F5CC0">
        <w:rPr>
          <w:rFonts w:ascii="Times New Roman" w:hAnsi="Times New Roman" w:cs="Times New Roman"/>
          <w:sz w:val="28"/>
          <w:szCs w:val="28"/>
          <w:lang w:val="uk-UA"/>
        </w:rPr>
        <w:t>[</w:t>
      </w:r>
      <w:r w:rsidR="004900D9">
        <w:rPr>
          <w:rFonts w:ascii="Times New Roman" w:hAnsi="Times New Roman" w:cs="Times New Roman"/>
          <w:sz w:val="28"/>
          <w:szCs w:val="28"/>
          <w:lang w:val="uk-UA"/>
        </w:rPr>
        <w:t>151</w:t>
      </w:r>
      <w:r w:rsidR="001F5CC0">
        <w:rPr>
          <w:rFonts w:ascii="Times New Roman" w:hAnsi="Times New Roman" w:cs="Times New Roman"/>
          <w:sz w:val="28"/>
          <w:szCs w:val="28"/>
          <w:lang w:val="uk-UA"/>
        </w:rPr>
        <w:t>]</w:t>
      </w:r>
      <w:r w:rsidR="008A54B5">
        <w:rPr>
          <w:rFonts w:ascii="Times New Roman" w:hAnsi="Times New Roman" w:cs="Times New Roman"/>
          <w:sz w:val="28"/>
          <w:szCs w:val="28"/>
          <w:lang w:val="uk-UA"/>
        </w:rPr>
        <w:t>.</w:t>
      </w:r>
      <w:r w:rsidR="00D61083">
        <w:rPr>
          <w:rFonts w:ascii="Times New Roman" w:hAnsi="Times New Roman" w:cs="Times New Roman"/>
          <w:sz w:val="28"/>
          <w:szCs w:val="28"/>
          <w:lang w:val="uk-UA"/>
        </w:rPr>
        <w:t xml:space="preserve"> </w:t>
      </w:r>
      <w:r w:rsidR="009835F4" w:rsidRPr="009835F4">
        <w:rPr>
          <w:rFonts w:ascii="Times New Roman" w:hAnsi="Times New Roman" w:cs="Times New Roman"/>
          <w:sz w:val="28"/>
          <w:szCs w:val="28"/>
          <w:lang w:val="uk-UA"/>
        </w:rPr>
        <w:t xml:space="preserve">За </w:t>
      </w:r>
      <w:r w:rsidR="0098375E">
        <w:rPr>
          <w:rFonts w:ascii="Times New Roman" w:hAnsi="Times New Roman" w:cs="Times New Roman"/>
          <w:sz w:val="28"/>
          <w:szCs w:val="28"/>
          <w:lang w:val="uk-UA"/>
        </w:rPr>
        <w:t xml:space="preserve">результатами </w:t>
      </w:r>
      <w:r>
        <w:rPr>
          <w:rFonts w:ascii="Times New Roman" w:hAnsi="Times New Roman" w:cs="Times New Roman"/>
          <w:sz w:val="28"/>
          <w:szCs w:val="28"/>
          <w:lang w:val="uk-UA"/>
        </w:rPr>
        <w:t>науковців, категорію А2  (</w:t>
      </w:r>
      <w:r w:rsidRPr="00AD7EC6">
        <w:rPr>
          <w:rFonts w:ascii="Times New Roman" w:hAnsi="Times New Roman" w:cs="Times New Roman"/>
          <w:sz w:val="28"/>
          <w:szCs w:val="28"/>
          <w:lang w:val="uk-UA"/>
        </w:rPr>
        <w:t>мікроальбумінурію</w:t>
      </w:r>
      <w:r>
        <w:rPr>
          <w:rFonts w:ascii="Times New Roman" w:hAnsi="Times New Roman" w:cs="Times New Roman"/>
          <w:sz w:val="28"/>
          <w:szCs w:val="28"/>
          <w:lang w:val="uk-UA"/>
        </w:rPr>
        <w:t>) та А3 (</w:t>
      </w:r>
      <w:r w:rsidRPr="00AD7EC6">
        <w:rPr>
          <w:rFonts w:ascii="Times New Roman" w:hAnsi="Times New Roman" w:cs="Times New Roman"/>
          <w:sz w:val="28"/>
          <w:szCs w:val="28"/>
          <w:lang w:val="uk-UA"/>
        </w:rPr>
        <w:t>макроальбумінурію</w:t>
      </w:r>
      <w:r>
        <w:rPr>
          <w:rFonts w:ascii="Times New Roman" w:hAnsi="Times New Roman" w:cs="Times New Roman"/>
          <w:sz w:val="28"/>
          <w:szCs w:val="28"/>
          <w:lang w:val="uk-UA"/>
        </w:rPr>
        <w:t>) установлено</w:t>
      </w:r>
      <w:r w:rsidR="00BF3AF6">
        <w:rPr>
          <w:rFonts w:ascii="Times New Roman" w:hAnsi="Times New Roman" w:cs="Times New Roman"/>
          <w:sz w:val="28"/>
          <w:szCs w:val="28"/>
          <w:lang w:val="uk-UA"/>
        </w:rPr>
        <w:t xml:space="preserve"> відповідно</w:t>
      </w:r>
      <w:r>
        <w:rPr>
          <w:rFonts w:ascii="Times New Roman" w:hAnsi="Times New Roman" w:cs="Times New Roman"/>
          <w:sz w:val="28"/>
          <w:szCs w:val="28"/>
          <w:lang w:val="uk-UA"/>
        </w:rPr>
        <w:t xml:space="preserve"> у </w:t>
      </w:r>
      <w:r w:rsidRPr="00AD7EC6">
        <w:rPr>
          <w:rFonts w:ascii="Times New Roman" w:hAnsi="Times New Roman" w:cs="Times New Roman"/>
          <w:sz w:val="28"/>
          <w:szCs w:val="28"/>
          <w:lang w:val="uk-UA"/>
        </w:rPr>
        <w:t>51,7 %</w:t>
      </w:r>
      <w:r>
        <w:rPr>
          <w:rFonts w:ascii="Times New Roman" w:hAnsi="Times New Roman" w:cs="Times New Roman"/>
          <w:sz w:val="28"/>
          <w:szCs w:val="28"/>
          <w:lang w:val="uk-UA"/>
        </w:rPr>
        <w:t xml:space="preserve"> та 2,3 %</w:t>
      </w:r>
      <w:r w:rsidRPr="00AD7E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хворих на АГ І–ІІІ стадії та супутній недостатньо компенсований ЦД 2-го типу </w:t>
      </w:r>
      <w:r w:rsidR="009835F4">
        <w:rPr>
          <w:rFonts w:ascii="Times New Roman" w:hAnsi="Times New Roman" w:cs="Times New Roman"/>
          <w:sz w:val="28"/>
          <w:szCs w:val="28"/>
          <w:lang w:val="uk-UA"/>
        </w:rPr>
        <w:t>[</w:t>
      </w:r>
      <w:r w:rsidR="004900D9" w:rsidRPr="004900D9">
        <w:rPr>
          <w:rFonts w:ascii="Times New Roman" w:hAnsi="Times New Roman" w:cs="Times New Roman"/>
          <w:sz w:val="28"/>
          <w:szCs w:val="28"/>
          <w:lang w:val="uk-UA"/>
        </w:rPr>
        <w:t>147</w:t>
      </w:r>
      <w:r w:rsidR="009835F4" w:rsidRPr="004900D9">
        <w:rPr>
          <w:rFonts w:ascii="Times New Roman" w:hAnsi="Times New Roman" w:cs="Times New Roman"/>
          <w:sz w:val="28"/>
          <w:szCs w:val="28"/>
          <w:lang w:val="uk-UA"/>
        </w:rPr>
        <w:t>].</w:t>
      </w:r>
      <w:r w:rsidR="009835F4" w:rsidRPr="009835F4">
        <w:rPr>
          <w:rFonts w:ascii="Times New Roman" w:hAnsi="Times New Roman" w:cs="Times New Roman"/>
          <w:sz w:val="28"/>
          <w:szCs w:val="28"/>
          <w:lang w:val="uk-UA"/>
        </w:rPr>
        <w:t xml:space="preserve"> </w:t>
      </w:r>
      <w:r w:rsidR="009835F4">
        <w:rPr>
          <w:rFonts w:ascii="Times New Roman" w:hAnsi="Times New Roman" w:cs="Times New Roman"/>
          <w:sz w:val="28"/>
          <w:szCs w:val="28"/>
          <w:lang w:val="uk-UA"/>
        </w:rPr>
        <w:t>Відсоток пацієнтів</w:t>
      </w:r>
      <w:r w:rsidR="009F351F">
        <w:rPr>
          <w:rFonts w:ascii="Times New Roman" w:hAnsi="Times New Roman" w:cs="Times New Roman"/>
          <w:sz w:val="28"/>
          <w:szCs w:val="28"/>
          <w:lang w:val="uk-UA"/>
        </w:rPr>
        <w:t xml:space="preserve"> І групи</w:t>
      </w:r>
      <w:r w:rsidR="009835F4">
        <w:rPr>
          <w:rFonts w:ascii="Times New Roman" w:hAnsi="Times New Roman" w:cs="Times New Roman"/>
          <w:sz w:val="28"/>
          <w:szCs w:val="28"/>
          <w:lang w:val="uk-UA"/>
        </w:rPr>
        <w:t xml:space="preserve"> </w:t>
      </w:r>
      <w:r w:rsidR="00C73CE3">
        <w:rPr>
          <w:rFonts w:ascii="Times New Roman" w:hAnsi="Times New Roman" w:cs="Times New Roman"/>
          <w:sz w:val="28"/>
          <w:szCs w:val="28"/>
          <w:lang w:val="uk-UA"/>
        </w:rPr>
        <w:t xml:space="preserve">    </w:t>
      </w:r>
      <w:r w:rsidR="009835F4">
        <w:rPr>
          <w:rFonts w:ascii="Times New Roman" w:hAnsi="Times New Roman" w:cs="Times New Roman"/>
          <w:sz w:val="28"/>
          <w:szCs w:val="28"/>
          <w:lang w:val="uk-UA"/>
        </w:rPr>
        <w:t>із категоріями</w:t>
      </w:r>
      <w:r w:rsidR="009F351F">
        <w:rPr>
          <w:rFonts w:ascii="Times New Roman" w:hAnsi="Times New Roman" w:cs="Times New Roman"/>
          <w:sz w:val="28"/>
          <w:szCs w:val="28"/>
          <w:lang w:val="uk-UA"/>
        </w:rPr>
        <w:t xml:space="preserve"> альбумінурії А2 та</w:t>
      </w:r>
      <w:r w:rsidR="00BF3AF6">
        <w:rPr>
          <w:rFonts w:ascii="Times New Roman" w:hAnsi="Times New Roman" w:cs="Times New Roman"/>
          <w:sz w:val="28"/>
          <w:szCs w:val="28"/>
          <w:lang w:val="uk-UA"/>
        </w:rPr>
        <w:t xml:space="preserve"> А3</w:t>
      </w:r>
      <w:r w:rsidR="001F5CC0">
        <w:rPr>
          <w:rFonts w:ascii="Times New Roman" w:hAnsi="Times New Roman" w:cs="Times New Roman"/>
          <w:sz w:val="28"/>
          <w:szCs w:val="28"/>
          <w:lang w:val="uk-UA"/>
        </w:rPr>
        <w:t xml:space="preserve"> у нашому дослідженні</w:t>
      </w:r>
      <w:r w:rsidR="00BA3749">
        <w:rPr>
          <w:rFonts w:ascii="Times New Roman" w:hAnsi="Times New Roman" w:cs="Times New Roman"/>
          <w:sz w:val="28"/>
          <w:szCs w:val="28"/>
          <w:lang w:val="uk-UA"/>
        </w:rPr>
        <w:t xml:space="preserve"> був більшим</w:t>
      </w:r>
      <w:r w:rsidR="001F5CC0">
        <w:rPr>
          <w:rFonts w:ascii="Times New Roman" w:hAnsi="Times New Roman" w:cs="Times New Roman"/>
          <w:sz w:val="28"/>
          <w:szCs w:val="28"/>
          <w:lang w:val="uk-UA"/>
        </w:rPr>
        <w:t xml:space="preserve">. </w:t>
      </w:r>
      <w:r w:rsidR="00264AAC">
        <w:rPr>
          <w:rFonts w:ascii="Times New Roman" w:hAnsi="Times New Roman" w:cs="Times New Roman"/>
          <w:sz w:val="28"/>
          <w:szCs w:val="28"/>
          <w:lang w:val="uk-UA"/>
        </w:rPr>
        <w:t xml:space="preserve">Це може бути обумовлено тим, що всі </w:t>
      </w:r>
      <w:r w:rsidR="008F403E">
        <w:rPr>
          <w:rFonts w:ascii="Times New Roman" w:hAnsi="Times New Roman" w:cs="Times New Roman"/>
          <w:sz w:val="28"/>
          <w:szCs w:val="28"/>
          <w:lang w:val="uk-UA"/>
        </w:rPr>
        <w:t xml:space="preserve">обстежені нами </w:t>
      </w:r>
      <w:r w:rsidR="00264AAC">
        <w:rPr>
          <w:rFonts w:ascii="Times New Roman" w:hAnsi="Times New Roman" w:cs="Times New Roman"/>
          <w:sz w:val="28"/>
          <w:szCs w:val="28"/>
          <w:lang w:val="uk-UA"/>
        </w:rPr>
        <w:t>комор</w:t>
      </w:r>
      <w:r w:rsidR="009F351F">
        <w:rPr>
          <w:rFonts w:ascii="Times New Roman" w:hAnsi="Times New Roman" w:cs="Times New Roman"/>
          <w:sz w:val="28"/>
          <w:szCs w:val="28"/>
          <w:lang w:val="uk-UA"/>
        </w:rPr>
        <w:t>бідні хворі</w:t>
      </w:r>
      <w:r w:rsidR="008F403E">
        <w:rPr>
          <w:rFonts w:ascii="Times New Roman" w:hAnsi="Times New Roman" w:cs="Times New Roman"/>
          <w:sz w:val="28"/>
          <w:szCs w:val="28"/>
          <w:lang w:val="uk-UA"/>
        </w:rPr>
        <w:t xml:space="preserve"> мали третю стад</w:t>
      </w:r>
      <w:r w:rsidR="009F351F">
        <w:rPr>
          <w:rFonts w:ascii="Times New Roman" w:hAnsi="Times New Roman" w:cs="Times New Roman"/>
          <w:sz w:val="28"/>
          <w:szCs w:val="28"/>
          <w:lang w:val="uk-UA"/>
        </w:rPr>
        <w:t>ію АГ. С</w:t>
      </w:r>
      <w:r w:rsidR="00BA3749" w:rsidRPr="00BA3749">
        <w:rPr>
          <w:rFonts w:ascii="Times New Roman" w:hAnsi="Times New Roman" w:cs="Times New Roman"/>
          <w:sz w:val="28"/>
          <w:szCs w:val="28"/>
          <w:lang w:val="uk-UA"/>
        </w:rPr>
        <w:t>т</w:t>
      </w:r>
      <w:r w:rsidR="008A7321">
        <w:rPr>
          <w:rFonts w:ascii="Times New Roman" w:hAnsi="Times New Roman" w:cs="Times New Roman"/>
          <w:sz w:val="28"/>
          <w:szCs w:val="28"/>
          <w:lang w:val="uk-UA"/>
        </w:rPr>
        <w:t>ан</w:t>
      </w:r>
      <w:r w:rsidR="00BA3749" w:rsidRPr="00BA3749">
        <w:rPr>
          <w:rFonts w:ascii="Times New Roman" w:hAnsi="Times New Roman" w:cs="Times New Roman"/>
          <w:sz w:val="28"/>
          <w:szCs w:val="28"/>
          <w:lang w:val="uk-UA"/>
        </w:rPr>
        <w:t xml:space="preserve"> компенс</w:t>
      </w:r>
      <w:r w:rsidR="009F351F">
        <w:rPr>
          <w:rFonts w:ascii="Times New Roman" w:hAnsi="Times New Roman" w:cs="Times New Roman"/>
          <w:sz w:val="28"/>
          <w:szCs w:val="28"/>
          <w:lang w:val="uk-UA"/>
        </w:rPr>
        <w:t>ації ЦД 2-го типу у пацієнтів із АГ</w:t>
      </w:r>
      <w:r w:rsidR="00BA3749" w:rsidRPr="00BA3749">
        <w:rPr>
          <w:rFonts w:ascii="Times New Roman" w:hAnsi="Times New Roman" w:cs="Times New Roman"/>
          <w:sz w:val="28"/>
          <w:szCs w:val="28"/>
          <w:lang w:val="uk-UA"/>
        </w:rPr>
        <w:t xml:space="preserve"> був різним, а у зазначеному дослідженні </w:t>
      </w:r>
      <w:r w:rsidR="0098375E">
        <w:rPr>
          <w:rFonts w:ascii="Times New Roman" w:hAnsi="Times New Roman" w:cs="Times New Roman"/>
          <w:sz w:val="28"/>
          <w:szCs w:val="28"/>
          <w:lang w:val="uk-UA"/>
        </w:rPr>
        <w:t xml:space="preserve">інших науковців </w:t>
      </w:r>
      <w:r w:rsidR="00BA3749" w:rsidRPr="00BA3749">
        <w:rPr>
          <w:rFonts w:ascii="Times New Roman" w:hAnsi="Times New Roman" w:cs="Times New Roman"/>
          <w:sz w:val="28"/>
          <w:szCs w:val="28"/>
          <w:lang w:val="uk-UA"/>
        </w:rPr>
        <w:t>– лише недостатньо компенсованим. Логічним було б отримати більший відсоток</w:t>
      </w:r>
      <w:r w:rsidR="009F351F">
        <w:rPr>
          <w:rFonts w:ascii="Times New Roman" w:hAnsi="Times New Roman" w:cs="Times New Roman"/>
          <w:sz w:val="28"/>
          <w:szCs w:val="28"/>
          <w:lang w:val="uk-UA"/>
        </w:rPr>
        <w:t xml:space="preserve"> хворих</w:t>
      </w:r>
      <w:r w:rsidR="00BA3749" w:rsidRPr="00BA3749">
        <w:rPr>
          <w:rFonts w:ascii="Times New Roman" w:hAnsi="Times New Roman" w:cs="Times New Roman"/>
          <w:sz w:val="28"/>
          <w:szCs w:val="28"/>
          <w:lang w:val="uk-UA"/>
        </w:rPr>
        <w:t xml:space="preserve">, які мали категорії А2, А3 альбумінурії саме при недостатньо компенсованому ЦД 2-го типу. </w:t>
      </w:r>
      <w:r w:rsidR="0098375E">
        <w:rPr>
          <w:rFonts w:ascii="Times New Roman" w:hAnsi="Times New Roman" w:cs="Times New Roman"/>
          <w:sz w:val="28"/>
          <w:szCs w:val="28"/>
          <w:lang w:val="uk-UA"/>
        </w:rPr>
        <w:t>Ц</w:t>
      </w:r>
      <w:r w:rsidR="00BA3749" w:rsidRPr="00BA3749">
        <w:rPr>
          <w:rFonts w:ascii="Times New Roman" w:hAnsi="Times New Roman" w:cs="Times New Roman"/>
          <w:sz w:val="28"/>
          <w:szCs w:val="28"/>
          <w:lang w:val="uk-UA"/>
        </w:rPr>
        <w:t>е можна пояснити тим, що на вираженість альбумінурії коморбідних хворих впливає не тільки ст</w:t>
      </w:r>
      <w:r w:rsidR="00EA3883">
        <w:rPr>
          <w:rFonts w:ascii="Times New Roman" w:hAnsi="Times New Roman" w:cs="Times New Roman"/>
          <w:sz w:val="28"/>
          <w:szCs w:val="28"/>
          <w:lang w:val="uk-UA"/>
        </w:rPr>
        <w:t>ан</w:t>
      </w:r>
      <w:r w:rsidR="00BA3749" w:rsidRPr="00BA3749">
        <w:rPr>
          <w:rFonts w:ascii="Times New Roman" w:hAnsi="Times New Roman" w:cs="Times New Roman"/>
          <w:sz w:val="28"/>
          <w:szCs w:val="28"/>
          <w:lang w:val="uk-UA"/>
        </w:rPr>
        <w:t xml:space="preserve"> компенсації ЦД 2-го типу, а й інші фактори – стадія АГ, наявність </w:t>
      </w:r>
      <w:r w:rsidR="0098375E">
        <w:rPr>
          <w:rFonts w:ascii="Times New Roman" w:hAnsi="Times New Roman" w:cs="Times New Roman"/>
          <w:sz w:val="28"/>
          <w:szCs w:val="28"/>
          <w:lang w:val="uk-UA"/>
        </w:rPr>
        <w:t>ССУ та</w:t>
      </w:r>
      <w:r w:rsidR="00BA3749" w:rsidRPr="00BA3749">
        <w:rPr>
          <w:rFonts w:ascii="Times New Roman" w:hAnsi="Times New Roman" w:cs="Times New Roman"/>
          <w:sz w:val="28"/>
          <w:szCs w:val="28"/>
          <w:lang w:val="uk-UA"/>
        </w:rPr>
        <w:t xml:space="preserve"> інших незалежних факторів ризику їх розвитку</w:t>
      </w:r>
      <w:r w:rsidR="001F5CC0">
        <w:rPr>
          <w:rFonts w:ascii="Times New Roman" w:hAnsi="Times New Roman" w:cs="Times New Roman"/>
          <w:sz w:val="28"/>
          <w:szCs w:val="28"/>
          <w:lang w:val="uk-UA"/>
        </w:rPr>
        <w:t xml:space="preserve">. </w:t>
      </w:r>
    </w:p>
    <w:p w:rsidR="008A54B5" w:rsidRDefault="0098375E" w:rsidP="005438C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хворих на АГ та супутній</w:t>
      </w:r>
      <w:r w:rsidR="005C347B">
        <w:rPr>
          <w:rFonts w:ascii="Times New Roman" w:hAnsi="Times New Roman" w:cs="Times New Roman"/>
          <w:sz w:val="28"/>
          <w:szCs w:val="28"/>
          <w:lang w:val="uk-UA"/>
        </w:rPr>
        <w:t xml:space="preserve"> ЦД 2-го типу із </w:t>
      </w:r>
      <w:r>
        <w:rPr>
          <w:rFonts w:ascii="Times New Roman" w:hAnsi="Times New Roman" w:cs="Times New Roman"/>
          <w:sz w:val="28"/>
          <w:szCs w:val="28"/>
          <w:lang w:val="uk-UA"/>
        </w:rPr>
        <w:t>вищою концентрацією</w:t>
      </w:r>
      <w:r w:rsidR="005C347B">
        <w:rPr>
          <w:rFonts w:ascii="Times New Roman" w:hAnsi="Times New Roman" w:cs="Times New Roman"/>
          <w:sz w:val="28"/>
          <w:szCs w:val="28"/>
          <w:lang w:val="uk-UA"/>
        </w:rPr>
        <w:t xml:space="preserve"> альбумінурії був більшим</w:t>
      </w:r>
      <w:r w:rsidR="0080013D">
        <w:rPr>
          <w:rFonts w:ascii="Times New Roman" w:hAnsi="Times New Roman" w:cs="Times New Roman"/>
          <w:sz w:val="28"/>
          <w:szCs w:val="28"/>
          <w:lang w:val="uk-UA"/>
        </w:rPr>
        <w:t xml:space="preserve"> рівень </w:t>
      </w:r>
      <w:r w:rsidR="00F74FC7">
        <w:rPr>
          <w:rFonts w:ascii="Times New Roman" w:hAnsi="Times New Roman" w:cs="Times New Roman"/>
          <w:sz w:val="28"/>
          <w:szCs w:val="28"/>
          <w:lang w:val="uk-UA"/>
        </w:rPr>
        <w:t>систол</w:t>
      </w:r>
      <w:r w:rsidR="00F74FC7">
        <w:rPr>
          <w:rFonts w:ascii="Times New Roman" w:hAnsi="Times New Roman" w:cs="Times New Roman"/>
          <w:sz w:val="28"/>
          <w:szCs w:val="28"/>
          <w:lang w:val="en-US"/>
        </w:rPr>
        <w:t>i</w:t>
      </w:r>
      <w:r w:rsidR="00302379" w:rsidRPr="009E5958">
        <w:rPr>
          <w:rFonts w:ascii="Times New Roman" w:hAnsi="Times New Roman" w:cs="Times New Roman"/>
          <w:sz w:val="28"/>
          <w:szCs w:val="28"/>
          <w:lang w:val="uk-UA"/>
        </w:rPr>
        <w:t xml:space="preserve">чного (r = </w:t>
      </w:r>
      <w:r w:rsidR="00C20B21" w:rsidRPr="009E5958">
        <w:rPr>
          <w:rFonts w:ascii="Times New Roman" w:hAnsi="Times New Roman" w:cs="Times New Roman"/>
          <w:sz w:val="28"/>
          <w:szCs w:val="28"/>
          <w:lang w:val="uk-UA"/>
        </w:rPr>
        <w:t>0,43, p &lt; 0,0001</w:t>
      </w:r>
      <w:r w:rsidR="00F74FC7">
        <w:rPr>
          <w:rFonts w:ascii="Times New Roman" w:hAnsi="Times New Roman" w:cs="Times New Roman"/>
          <w:sz w:val="28"/>
          <w:szCs w:val="28"/>
          <w:lang w:val="uk-UA"/>
        </w:rPr>
        <w:t>) та д</w:t>
      </w:r>
      <w:r w:rsidR="00F74FC7">
        <w:rPr>
          <w:rFonts w:ascii="Times New Roman" w:hAnsi="Times New Roman" w:cs="Times New Roman"/>
          <w:sz w:val="28"/>
          <w:szCs w:val="28"/>
          <w:lang w:val="en-US"/>
        </w:rPr>
        <w:t>i</w:t>
      </w:r>
      <w:r w:rsidR="00302379" w:rsidRPr="009E5958">
        <w:rPr>
          <w:rFonts w:ascii="Times New Roman" w:hAnsi="Times New Roman" w:cs="Times New Roman"/>
          <w:sz w:val="28"/>
          <w:szCs w:val="28"/>
          <w:lang w:val="uk-UA"/>
        </w:rPr>
        <w:t>ас</w:t>
      </w:r>
      <w:r w:rsidR="00F74FC7">
        <w:rPr>
          <w:rFonts w:ascii="Times New Roman" w:hAnsi="Times New Roman" w:cs="Times New Roman"/>
          <w:sz w:val="28"/>
          <w:szCs w:val="28"/>
          <w:lang w:val="uk-UA"/>
        </w:rPr>
        <w:t>тол</w:t>
      </w:r>
      <w:r w:rsidR="00F74FC7">
        <w:rPr>
          <w:rFonts w:ascii="Times New Roman" w:hAnsi="Times New Roman" w:cs="Times New Roman"/>
          <w:sz w:val="28"/>
          <w:szCs w:val="28"/>
          <w:lang w:val="en-US"/>
        </w:rPr>
        <w:t>i</w:t>
      </w:r>
      <w:r w:rsidR="00C20B21" w:rsidRPr="009E5958">
        <w:rPr>
          <w:rFonts w:ascii="Times New Roman" w:hAnsi="Times New Roman" w:cs="Times New Roman"/>
          <w:sz w:val="28"/>
          <w:szCs w:val="28"/>
          <w:lang w:val="uk-UA"/>
        </w:rPr>
        <w:t>чного АТ (r = 0,38, p &lt; 0,0001</w:t>
      </w:r>
      <w:r w:rsidR="00302379" w:rsidRPr="009E5958">
        <w:rPr>
          <w:rFonts w:ascii="Times New Roman" w:hAnsi="Times New Roman" w:cs="Times New Roman"/>
          <w:sz w:val="28"/>
          <w:szCs w:val="28"/>
          <w:lang w:val="uk-UA"/>
        </w:rPr>
        <w:t>), що ще раз доводить</w:t>
      </w:r>
      <w:r>
        <w:rPr>
          <w:rFonts w:ascii="Times New Roman" w:hAnsi="Times New Roman" w:cs="Times New Roman"/>
          <w:sz w:val="28"/>
          <w:szCs w:val="28"/>
          <w:lang w:val="uk-UA"/>
        </w:rPr>
        <w:t xml:space="preserve"> патогенетичний </w:t>
      </w:r>
      <w:r w:rsidR="00F74FC7">
        <w:rPr>
          <w:rFonts w:ascii="Times New Roman" w:hAnsi="Times New Roman" w:cs="Times New Roman"/>
          <w:sz w:val="28"/>
          <w:szCs w:val="28"/>
          <w:lang w:val="uk-UA"/>
        </w:rPr>
        <w:t>зв’язок м</w:t>
      </w:r>
      <w:r w:rsidR="00F74FC7">
        <w:rPr>
          <w:rFonts w:ascii="Times New Roman" w:hAnsi="Times New Roman" w:cs="Times New Roman"/>
          <w:sz w:val="28"/>
          <w:szCs w:val="28"/>
          <w:lang w:val="en-US"/>
        </w:rPr>
        <w:t>i</w:t>
      </w:r>
      <w:r w:rsidR="00302379" w:rsidRPr="009E5958">
        <w:rPr>
          <w:rFonts w:ascii="Times New Roman" w:hAnsi="Times New Roman" w:cs="Times New Roman"/>
          <w:sz w:val="28"/>
          <w:szCs w:val="28"/>
          <w:lang w:val="uk-UA"/>
        </w:rPr>
        <w:t>ж р</w:t>
      </w:r>
      <w:r w:rsidR="00F74FC7">
        <w:rPr>
          <w:rFonts w:ascii="Times New Roman" w:hAnsi="Times New Roman" w:cs="Times New Roman"/>
          <w:sz w:val="28"/>
          <w:szCs w:val="28"/>
          <w:lang w:val="uk-UA"/>
        </w:rPr>
        <w:t>озвитком АГ та нирковою патолог</w:t>
      </w:r>
      <w:r w:rsidR="00F74FC7">
        <w:rPr>
          <w:rFonts w:ascii="Times New Roman" w:hAnsi="Times New Roman" w:cs="Times New Roman"/>
          <w:sz w:val="28"/>
          <w:szCs w:val="28"/>
          <w:lang w:val="en-US"/>
        </w:rPr>
        <w:t>i</w:t>
      </w:r>
      <w:r w:rsidR="00302379" w:rsidRPr="009E5958">
        <w:rPr>
          <w:rFonts w:ascii="Times New Roman" w:hAnsi="Times New Roman" w:cs="Times New Roman"/>
          <w:sz w:val="28"/>
          <w:szCs w:val="28"/>
          <w:lang w:val="uk-UA"/>
        </w:rPr>
        <w:t>єю.</w:t>
      </w:r>
      <w:r w:rsidR="00302379">
        <w:rPr>
          <w:rFonts w:ascii="Times New Roman" w:hAnsi="Times New Roman" w:cs="Times New Roman"/>
          <w:sz w:val="28"/>
          <w:szCs w:val="28"/>
          <w:lang w:val="uk-UA"/>
        </w:rPr>
        <w:t xml:space="preserve"> </w:t>
      </w:r>
    </w:p>
    <w:p w:rsidR="00FF58D5" w:rsidRDefault="00F74FC7" w:rsidP="00160EA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Pr>
          <w:rFonts w:ascii="Times New Roman" w:hAnsi="Times New Roman" w:cs="Times New Roman"/>
          <w:sz w:val="28"/>
          <w:szCs w:val="28"/>
          <w:lang w:val="en-US"/>
        </w:rPr>
        <w:t>i</w:t>
      </w:r>
      <w:r w:rsidR="006E0423" w:rsidRPr="006E0423">
        <w:rPr>
          <w:rFonts w:ascii="Times New Roman" w:hAnsi="Times New Roman" w:cs="Times New Roman"/>
          <w:sz w:val="28"/>
          <w:szCs w:val="28"/>
          <w:lang w:val="uk-UA"/>
        </w:rPr>
        <w:t xml:space="preserve">з </w:t>
      </w:r>
      <w:r w:rsidR="005438C8">
        <w:rPr>
          <w:rFonts w:ascii="Times New Roman" w:hAnsi="Times New Roman" w:cs="Times New Roman"/>
          <w:sz w:val="28"/>
          <w:szCs w:val="28"/>
          <w:lang w:val="uk-UA"/>
        </w:rPr>
        <w:t xml:space="preserve">категорією А1 альбумінурії </w:t>
      </w:r>
      <w:r>
        <w:rPr>
          <w:rFonts w:ascii="Times New Roman" w:hAnsi="Times New Roman" w:cs="Times New Roman"/>
          <w:sz w:val="28"/>
          <w:szCs w:val="28"/>
          <w:lang w:val="uk-UA"/>
        </w:rPr>
        <w:t>тривал</w:t>
      </w:r>
      <w:r>
        <w:rPr>
          <w:rFonts w:ascii="Times New Roman" w:hAnsi="Times New Roman" w:cs="Times New Roman"/>
          <w:sz w:val="28"/>
          <w:szCs w:val="28"/>
          <w:lang w:val="en-US"/>
        </w:rPr>
        <w:t>i</w:t>
      </w:r>
      <w:r w:rsidR="00394D46">
        <w:rPr>
          <w:rFonts w:ascii="Times New Roman" w:hAnsi="Times New Roman" w:cs="Times New Roman"/>
          <w:sz w:val="28"/>
          <w:szCs w:val="28"/>
          <w:lang w:val="uk-UA"/>
        </w:rPr>
        <w:t>сть ЦД станови</w:t>
      </w:r>
      <w:r w:rsidR="006E0423" w:rsidRPr="006E0423">
        <w:rPr>
          <w:rFonts w:ascii="Times New Roman" w:hAnsi="Times New Roman" w:cs="Times New Roman"/>
          <w:sz w:val="28"/>
          <w:szCs w:val="28"/>
          <w:lang w:val="uk-UA"/>
        </w:rPr>
        <w:t xml:space="preserve">ла </w:t>
      </w:r>
      <w:r w:rsidR="00394D46">
        <w:rPr>
          <w:rFonts w:ascii="Times New Roman" w:hAnsi="Times New Roman" w:cs="Times New Roman"/>
          <w:sz w:val="28"/>
          <w:szCs w:val="28"/>
          <w:lang w:val="uk-UA"/>
        </w:rPr>
        <w:t xml:space="preserve">           </w:t>
      </w:r>
      <w:r w:rsidR="006E0423" w:rsidRPr="006E0423">
        <w:rPr>
          <w:rFonts w:ascii="Times New Roman" w:hAnsi="Times New Roman" w:cs="Times New Roman"/>
          <w:sz w:val="28"/>
          <w:szCs w:val="28"/>
          <w:lang w:val="uk-UA"/>
        </w:rPr>
        <w:t>(5,47</w:t>
      </w:r>
      <w:r w:rsidR="00394D46">
        <w:rPr>
          <w:rFonts w:ascii="Times New Roman" w:hAnsi="Times New Roman" w:cs="Times New Roman"/>
          <w:sz w:val="28"/>
          <w:szCs w:val="28"/>
          <w:lang w:val="uk-UA"/>
        </w:rPr>
        <w:t xml:space="preserve"> </w:t>
      </w:r>
      <w:r w:rsidR="006E0423" w:rsidRPr="006E0423">
        <w:rPr>
          <w:rFonts w:ascii="Times New Roman" w:hAnsi="Times New Roman" w:cs="Times New Roman"/>
          <w:sz w:val="28"/>
          <w:szCs w:val="28"/>
          <w:lang w:val="uk-UA"/>
        </w:rPr>
        <w:t>±</w:t>
      </w:r>
      <w:r w:rsidR="00394D46">
        <w:rPr>
          <w:rFonts w:ascii="Times New Roman" w:hAnsi="Times New Roman" w:cs="Times New Roman"/>
          <w:sz w:val="28"/>
          <w:szCs w:val="28"/>
          <w:lang w:val="uk-UA"/>
        </w:rPr>
        <w:t xml:space="preserve"> 1,56) року</w:t>
      </w:r>
      <w:r>
        <w:rPr>
          <w:rFonts w:ascii="Times New Roman" w:hAnsi="Times New Roman" w:cs="Times New Roman"/>
          <w:sz w:val="28"/>
          <w:szCs w:val="28"/>
          <w:lang w:val="uk-UA"/>
        </w:rPr>
        <w:t xml:space="preserve">, </w:t>
      </w:r>
      <w:r w:rsidR="005438C8">
        <w:rPr>
          <w:rFonts w:ascii="Times New Roman" w:hAnsi="Times New Roman" w:cs="Times New Roman"/>
          <w:sz w:val="28"/>
          <w:szCs w:val="28"/>
          <w:lang w:val="uk-UA"/>
        </w:rPr>
        <w:t>А2</w:t>
      </w:r>
      <w:r w:rsidR="006E0423" w:rsidRPr="006E0423">
        <w:rPr>
          <w:rFonts w:ascii="Times New Roman" w:hAnsi="Times New Roman" w:cs="Times New Roman"/>
          <w:sz w:val="28"/>
          <w:szCs w:val="28"/>
          <w:lang w:val="uk-UA"/>
        </w:rPr>
        <w:t xml:space="preserve"> – (11,4</w:t>
      </w:r>
      <w:r w:rsidR="00394D46">
        <w:rPr>
          <w:rFonts w:ascii="Times New Roman" w:hAnsi="Times New Roman" w:cs="Times New Roman"/>
          <w:sz w:val="28"/>
          <w:szCs w:val="28"/>
          <w:lang w:val="uk-UA"/>
        </w:rPr>
        <w:t xml:space="preserve"> </w:t>
      </w:r>
      <w:r w:rsidR="006E0423" w:rsidRPr="006E0423">
        <w:rPr>
          <w:rFonts w:ascii="Times New Roman" w:hAnsi="Times New Roman" w:cs="Times New Roman"/>
          <w:sz w:val="28"/>
          <w:szCs w:val="28"/>
          <w:lang w:val="uk-UA"/>
        </w:rPr>
        <w:t>±</w:t>
      </w:r>
      <w:r w:rsidR="00394D46">
        <w:rPr>
          <w:rFonts w:ascii="Times New Roman" w:hAnsi="Times New Roman" w:cs="Times New Roman"/>
          <w:sz w:val="28"/>
          <w:szCs w:val="28"/>
          <w:lang w:val="uk-UA"/>
        </w:rPr>
        <w:t xml:space="preserve"> 0,8) року</w:t>
      </w:r>
      <w:r>
        <w:rPr>
          <w:rFonts w:ascii="Times New Roman" w:hAnsi="Times New Roman" w:cs="Times New Roman"/>
          <w:sz w:val="28"/>
          <w:szCs w:val="28"/>
          <w:lang w:val="uk-UA"/>
        </w:rPr>
        <w:t xml:space="preserve">, p = 0,05; </w:t>
      </w:r>
      <w:r w:rsidR="005438C8">
        <w:rPr>
          <w:rFonts w:ascii="Times New Roman" w:hAnsi="Times New Roman" w:cs="Times New Roman"/>
          <w:sz w:val="28"/>
          <w:szCs w:val="28"/>
          <w:lang w:val="uk-UA"/>
        </w:rPr>
        <w:t>А3</w:t>
      </w:r>
      <w:r w:rsidR="006E0423">
        <w:rPr>
          <w:rFonts w:ascii="Times New Roman" w:hAnsi="Times New Roman" w:cs="Times New Roman"/>
          <w:sz w:val="28"/>
          <w:szCs w:val="28"/>
          <w:lang w:val="uk-UA"/>
        </w:rPr>
        <w:t xml:space="preserve"> – (15,2</w:t>
      </w:r>
      <w:r w:rsidR="00394D46">
        <w:rPr>
          <w:rFonts w:ascii="Times New Roman" w:hAnsi="Times New Roman" w:cs="Times New Roman"/>
          <w:sz w:val="28"/>
          <w:szCs w:val="28"/>
          <w:lang w:val="uk-UA"/>
        </w:rPr>
        <w:t xml:space="preserve"> </w:t>
      </w:r>
      <w:r w:rsidR="006E0423">
        <w:rPr>
          <w:rFonts w:ascii="Times New Roman" w:hAnsi="Times New Roman" w:cs="Times New Roman"/>
          <w:sz w:val="28"/>
          <w:szCs w:val="28"/>
          <w:lang w:val="uk-UA"/>
        </w:rPr>
        <w:t>±</w:t>
      </w:r>
      <w:r w:rsidR="00394D46">
        <w:rPr>
          <w:rFonts w:ascii="Times New Roman" w:hAnsi="Times New Roman" w:cs="Times New Roman"/>
          <w:sz w:val="28"/>
          <w:szCs w:val="28"/>
          <w:lang w:val="uk-UA"/>
        </w:rPr>
        <w:t xml:space="preserve"> 3,2) року</w:t>
      </w:r>
      <w:r>
        <w:rPr>
          <w:rFonts w:ascii="Times New Roman" w:hAnsi="Times New Roman" w:cs="Times New Roman"/>
          <w:sz w:val="28"/>
          <w:szCs w:val="28"/>
          <w:lang w:val="uk-UA"/>
        </w:rPr>
        <w:t xml:space="preserve">, </w:t>
      </w:r>
      <w:r w:rsidR="006709C8">
        <w:rPr>
          <w:rFonts w:ascii="Times New Roman" w:hAnsi="Times New Roman" w:cs="Times New Roman"/>
          <w:sz w:val="28"/>
          <w:szCs w:val="28"/>
          <w:lang w:val="uk-UA"/>
        </w:rPr>
        <w:t xml:space="preserve">        </w:t>
      </w:r>
      <w:r>
        <w:rPr>
          <w:rFonts w:ascii="Times New Roman" w:hAnsi="Times New Roman" w:cs="Times New Roman"/>
          <w:sz w:val="28"/>
          <w:szCs w:val="28"/>
          <w:lang w:val="uk-UA"/>
        </w:rPr>
        <w:t>p = 0,0208, що св</w:t>
      </w:r>
      <w:r>
        <w:rPr>
          <w:rFonts w:ascii="Times New Roman" w:hAnsi="Times New Roman" w:cs="Times New Roman"/>
          <w:sz w:val="28"/>
          <w:szCs w:val="28"/>
          <w:lang w:val="en-US"/>
        </w:rPr>
        <w:t>i</w:t>
      </w:r>
      <w:r>
        <w:rPr>
          <w:rFonts w:ascii="Times New Roman" w:hAnsi="Times New Roman" w:cs="Times New Roman"/>
          <w:sz w:val="28"/>
          <w:szCs w:val="28"/>
          <w:lang w:val="uk-UA"/>
        </w:rPr>
        <w:t>дчить про ступ</w:t>
      </w:r>
      <w:r>
        <w:rPr>
          <w:rFonts w:ascii="Times New Roman" w:hAnsi="Times New Roman" w:cs="Times New Roman"/>
          <w:sz w:val="28"/>
          <w:szCs w:val="28"/>
          <w:lang w:val="en-US"/>
        </w:rPr>
        <w:t>i</w:t>
      </w:r>
      <w:r>
        <w:rPr>
          <w:rFonts w:ascii="Times New Roman" w:hAnsi="Times New Roman" w:cs="Times New Roman"/>
          <w:sz w:val="28"/>
          <w:szCs w:val="28"/>
          <w:lang w:val="uk-UA"/>
        </w:rPr>
        <w:t>нь зростання альбум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Pr>
          <w:rFonts w:ascii="Times New Roman" w:hAnsi="Times New Roman" w:cs="Times New Roman"/>
          <w:sz w:val="28"/>
          <w:szCs w:val="28"/>
          <w:lang w:val="uk-UA"/>
        </w:rPr>
        <w:t>ї у м</w:t>
      </w:r>
      <w:r>
        <w:rPr>
          <w:rFonts w:ascii="Times New Roman" w:hAnsi="Times New Roman" w:cs="Times New Roman"/>
          <w:sz w:val="28"/>
          <w:szCs w:val="28"/>
          <w:lang w:val="en-US"/>
        </w:rPr>
        <w:t>i</w:t>
      </w:r>
      <w:r>
        <w:rPr>
          <w:rFonts w:ascii="Times New Roman" w:hAnsi="Times New Roman" w:cs="Times New Roman"/>
          <w:sz w:val="28"/>
          <w:szCs w:val="28"/>
          <w:lang w:val="uk-UA"/>
        </w:rPr>
        <w:t>ру зб</w:t>
      </w:r>
      <w:r>
        <w:rPr>
          <w:rFonts w:ascii="Times New Roman" w:hAnsi="Times New Roman" w:cs="Times New Roman"/>
          <w:sz w:val="28"/>
          <w:szCs w:val="28"/>
          <w:lang w:val="en-US"/>
        </w:rPr>
        <w:t>i</w:t>
      </w:r>
      <w:r>
        <w:rPr>
          <w:rFonts w:ascii="Times New Roman" w:hAnsi="Times New Roman" w:cs="Times New Roman"/>
          <w:sz w:val="28"/>
          <w:szCs w:val="28"/>
          <w:lang w:val="uk-UA"/>
        </w:rPr>
        <w:t>льшення тривалост</w:t>
      </w:r>
      <w:r>
        <w:rPr>
          <w:rFonts w:ascii="Times New Roman" w:hAnsi="Times New Roman" w:cs="Times New Roman"/>
          <w:sz w:val="28"/>
          <w:szCs w:val="28"/>
          <w:lang w:val="en-US"/>
        </w:rPr>
        <w:t>i</w:t>
      </w:r>
      <w:r w:rsidR="006E0423">
        <w:rPr>
          <w:rFonts w:ascii="Times New Roman" w:hAnsi="Times New Roman" w:cs="Times New Roman"/>
          <w:sz w:val="28"/>
          <w:szCs w:val="28"/>
          <w:lang w:val="uk-UA"/>
        </w:rPr>
        <w:t xml:space="preserve"> захворювання. </w:t>
      </w:r>
      <w:r w:rsidR="0098375E">
        <w:rPr>
          <w:rFonts w:ascii="Times New Roman" w:hAnsi="Times New Roman" w:cs="Times New Roman"/>
          <w:sz w:val="28"/>
          <w:szCs w:val="28"/>
          <w:lang w:val="uk-UA"/>
        </w:rPr>
        <w:t>Таким чином, у хворих на АГ та</w:t>
      </w:r>
      <w:r w:rsidR="00FF58D5">
        <w:rPr>
          <w:rFonts w:ascii="Times New Roman" w:hAnsi="Times New Roman" w:cs="Times New Roman"/>
          <w:sz w:val="28"/>
          <w:szCs w:val="28"/>
          <w:lang w:val="uk-UA"/>
        </w:rPr>
        <w:t xml:space="preserve"> ЦД 2-го типу констатована</w:t>
      </w:r>
      <w:r w:rsidR="0098375E">
        <w:rPr>
          <w:rFonts w:ascii="Times New Roman" w:hAnsi="Times New Roman" w:cs="Times New Roman"/>
          <w:sz w:val="28"/>
          <w:szCs w:val="28"/>
          <w:lang w:val="uk-UA"/>
        </w:rPr>
        <w:t xml:space="preserve"> позитивна залежність між концентрацією</w:t>
      </w:r>
      <w:r w:rsidR="00FF58D5">
        <w:rPr>
          <w:rFonts w:ascii="Times New Roman" w:hAnsi="Times New Roman" w:cs="Times New Roman"/>
          <w:sz w:val="28"/>
          <w:szCs w:val="28"/>
          <w:lang w:val="uk-UA"/>
        </w:rPr>
        <w:t xml:space="preserve"> альбумінурії та тривалістю ЦД 2-го типу </w:t>
      </w:r>
      <w:r w:rsidR="00FF58D5" w:rsidRPr="00FF58D5">
        <w:rPr>
          <w:rFonts w:ascii="Times New Roman" w:hAnsi="Times New Roman" w:cs="Times New Roman"/>
          <w:sz w:val="28"/>
          <w:szCs w:val="28"/>
          <w:lang w:val="uk-UA"/>
        </w:rPr>
        <w:t>[</w:t>
      </w:r>
      <w:r w:rsidR="00444930" w:rsidRPr="004900D9">
        <w:rPr>
          <w:rFonts w:ascii="Times New Roman" w:hAnsi="Times New Roman" w:cs="Times New Roman"/>
          <w:sz w:val="28"/>
          <w:szCs w:val="28"/>
          <w:lang w:val="uk-UA"/>
        </w:rPr>
        <w:t>178</w:t>
      </w:r>
      <w:r w:rsidR="00FF58D5" w:rsidRPr="004900D9">
        <w:rPr>
          <w:rFonts w:ascii="Times New Roman" w:hAnsi="Times New Roman" w:cs="Times New Roman"/>
          <w:sz w:val="28"/>
          <w:szCs w:val="28"/>
          <w:lang w:val="uk-UA"/>
        </w:rPr>
        <w:t>]</w:t>
      </w:r>
      <w:r w:rsidR="00FF58D5" w:rsidRPr="00FF58D5">
        <w:rPr>
          <w:rFonts w:ascii="Times New Roman" w:hAnsi="Times New Roman" w:cs="Times New Roman"/>
          <w:sz w:val="28"/>
          <w:szCs w:val="28"/>
          <w:lang w:val="uk-UA"/>
        </w:rPr>
        <w:t xml:space="preserve">. </w:t>
      </w:r>
    </w:p>
    <w:p w:rsidR="00302379" w:rsidRDefault="007D3C18" w:rsidP="00F005F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Позитивні залежності</w:t>
      </w:r>
      <w:r w:rsidR="00F005FF">
        <w:rPr>
          <w:rFonts w:ascii="Times New Roman" w:hAnsi="Times New Roman" w:cs="Times New Roman"/>
          <w:sz w:val="28"/>
          <w:szCs w:val="28"/>
          <w:lang w:val="uk-UA"/>
        </w:rPr>
        <w:t xml:space="preserve"> між</w:t>
      </w:r>
      <w:r>
        <w:rPr>
          <w:rFonts w:ascii="Times New Roman" w:hAnsi="Times New Roman" w:cs="Times New Roman"/>
          <w:sz w:val="28"/>
          <w:szCs w:val="28"/>
          <w:lang w:val="uk-UA"/>
        </w:rPr>
        <w:t xml:space="preserve"> альбумінурією</w:t>
      </w:r>
      <w:r w:rsidR="00F005FF">
        <w:rPr>
          <w:rFonts w:ascii="Times New Roman" w:hAnsi="Times New Roman" w:cs="Times New Roman"/>
          <w:sz w:val="28"/>
          <w:szCs w:val="28"/>
          <w:lang w:val="uk-UA"/>
        </w:rPr>
        <w:t xml:space="preserve"> та </w:t>
      </w:r>
      <w:r w:rsidR="00F005FF" w:rsidRPr="00F005FF">
        <w:rPr>
          <w:rFonts w:ascii="Times New Roman" w:hAnsi="Times New Roman" w:cs="Times New Roman"/>
          <w:sz w:val="28"/>
          <w:szCs w:val="28"/>
          <w:lang w:val="uk-UA"/>
        </w:rPr>
        <w:t xml:space="preserve">HbA1с </w:t>
      </w:r>
      <w:r w:rsidR="00F005FF">
        <w:rPr>
          <w:rFonts w:ascii="Times New Roman" w:hAnsi="Times New Roman" w:cs="Times New Roman"/>
          <w:sz w:val="28"/>
          <w:szCs w:val="28"/>
          <w:lang w:val="uk-UA"/>
        </w:rPr>
        <w:t xml:space="preserve">(r = 0,609; </w:t>
      </w:r>
      <w:r w:rsidR="008D0E57">
        <w:rPr>
          <w:rFonts w:ascii="Times New Roman" w:hAnsi="Times New Roman" w:cs="Times New Roman"/>
          <w:sz w:val="28"/>
          <w:szCs w:val="28"/>
          <w:lang w:val="uk-UA"/>
        </w:rPr>
        <w:t xml:space="preserve">               </w:t>
      </w:r>
      <w:r w:rsidR="00F005FF">
        <w:rPr>
          <w:rFonts w:ascii="Times New Roman" w:hAnsi="Times New Roman" w:cs="Times New Roman"/>
          <w:sz w:val="28"/>
          <w:szCs w:val="28"/>
          <w:lang w:val="uk-UA"/>
        </w:rPr>
        <w:t>р = 0,004</w:t>
      </w:r>
      <w:r w:rsidR="00F74FC7">
        <w:rPr>
          <w:rFonts w:ascii="Times New Roman" w:hAnsi="Times New Roman" w:cs="Times New Roman"/>
          <w:sz w:val="28"/>
          <w:szCs w:val="28"/>
          <w:lang w:val="uk-UA"/>
        </w:rPr>
        <w:t>)</w:t>
      </w:r>
      <w:r w:rsidR="00C607B4">
        <w:rPr>
          <w:rFonts w:ascii="Times New Roman" w:hAnsi="Times New Roman" w:cs="Times New Roman"/>
          <w:sz w:val="28"/>
          <w:szCs w:val="28"/>
          <w:lang w:val="uk-UA"/>
        </w:rPr>
        <w:t xml:space="preserve"> </w:t>
      </w:r>
      <w:r w:rsidR="00414B2E" w:rsidRPr="00414B2E">
        <w:rPr>
          <w:rFonts w:ascii="Times New Roman" w:hAnsi="Times New Roman" w:cs="Times New Roman"/>
          <w:sz w:val="28"/>
          <w:szCs w:val="28"/>
          <w:lang w:val="uk-UA"/>
        </w:rPr>
        <w:t>[</w:t>
      </w:r>
      <w:r w:rsidR="00444930" w:rsidRPr="004900D9">
        <w:rPr>
          <w:rFonts w:ascii="Times New Roman" w:hAnsi="Times New Roman" w:cs="Times New Roman"/>
          <w:sz w:val="28"/>
          <w:szCs w:val="28"/>
          <w:lang w:val="uk-UA"/>
        </w:rPr>
        <w:t>179</w:t>
      </w:r>
      <w:r w:rsidR="005C347B" w:rsidRPr="004900D9">
        <w:rPr>
          <w:rFonts w:ascii="Times New Roman" w:hAnsi="Times New Roman" w:cs="Times New Roman"/>
          <w:sz w:val="28"/>
          <w:szCs w:val="28"/>
          <w:lang w:val="uk-UA"/>
        </w:rPr>
        <w:t>]</w:t>
      </w:r>
      <w:r w:rsidR="005C347B">
        <w:rPr>
          <w:rFonts w:ascii="Times New Roman" w:hAnsi="Times New Roman" w:cs="Times New Roman"/>
          <w:sz w:val="28"/>
          <w:szCs w:val="28"/>
          <w:lang w:val="uk-UA"/>
        </w:rPr>
        <w:t xml:space="preserve">, (r = 0,19; р </w:t>
      </w:r>
      <w:r w:rsidR="005C347B" w:rsidRPr="0060358E">
        <w:rPr>
          <w:rFonts w:ascii="Times New Roman" w:hAnsi="Times New Roman" w:cs="Times New Roman"/>
          <w:sz w:val="28"/>
          <w:szCs w:val="28"/>
          <w:lang w:val="uk-UA"/>
        </w:rPr>
        <w:t>&lt;</w:t>
      </w:r>
      <w:r w:rsidR="005C347B">
        <w:rPr>
          <w:rFonts w:ascii="Times New Roman" w:hAnsi="Times New Roman" w:cs="Times New Roman"/>
          <w:sz w:val="28"/>
          <w:szCs w:val="28"/>
          <w:lang w:val="uk-UA"/>
        </w:rPr>
        <w:t xml:space="preserve"> 0,05</w:t>
      </w:r>
      <w:r w:rsidR="005C347B" w:rsidRPr="005C347B">
        <w:rPr>
          <w:rFonts w:ascii="Times New Roman" w:hAnsi="Times New Roman" w:cs="Times New Roman"/>
          <w:sz w:val="28"/>
          <w:szCs w:val="28"/>
          <w:lang w:val="uk-UA"/>
        </w:rPr>
        <w:t xml:space="preserve">) </w:t>
      </w:r>
      <w:r w:rsidR="005C347B">
        <w:rPr>
          <w:rFonts w:ascii="Times New Roman" w:hAnsi="Times New Roman" w:cs="Times New Roman"/>
          <w:sz w:val="28"/>
          <w:szCs w:val="28"/>
          <w:lang w:val="uk-UA"/>
        </w:rPr>
        <w:t>[</w:t>
      </w:r>
      <w:r w:rsidR="00444930" w:rsidRPr="004900D9">
        <w:rPr>
          <w:rFonts w:ascii="Times New Roman" w:hAnsi="Times New Roman" w:cs="Times New Roman"/>
          <w:sz w:val="28"/>
          <w:szCs w:val="28"/>
          <w:lang w:val="uk-UA"/>
        </w:rPr>
        <w:t>56</w:t>
      </w:r>
      <w:r w:rsidR="005C347B">
        <w:rPr>
          <w:rFonts w:ascii="Times New Roman" w:hAnsi="Times New Roman" w:cs="Times New Roman"/>
          <w:sz w:val="28"/>
          <w:szCs w:val="28"/>
          <w:lang w:val="uk-UA"/>
        </w:rPr>
        <w:t>]</w:t>
      </w:r>
      <w:r>
        <w:rPr>
          <w:rFonts w:ascii="Times New Roman" w:hAnsi="Times New Roman" w:cs="Times New Roman"/>
          <w:sz w:val="28"/>
          <w:szCs w:val="28"/>
          <w:lang w:val="uk-UA"/>
        </w:rPr>
        <w:t xml:space="preserve"> установлено дослідниками у пацієнтів із</w:t>
      </w:r>
      <w:r w:rsidRPr="007D3C18">
        <w:rPr>
          <w:rFonts w:ascii="Times New Roman" w:hAnsi="Times New Roman" w:cs="Times New Roman"/>
          <w:sz w:val="28"/>
          <w:szCs w:val="28"/>
          <w:lang w:val="uk-UA"/>
        </w:rPr>
        <w:t xml:space="preserve"> ЦД 2-го типу без наявності АГ</w:t>
      </w:r>
      <w:r w:rsidR="005C347B">
        <w:rPr>
          <w:rFonts w:ascii="Times New Roman" w:hAnsi="Times New Roman" w:cs="Times New Roman"/>
          <w:sz w:val="28"/>
          <w:szCs w:val="28"/>
          <w:lang w:val="uk-UA"/>
        </w:rPr>
        <w:t>.</w:t>
      </w:r>
      <w:r w:rsidR="00C607B4">
        <w:rPr>
          <w:rFonts w:ascii="Times New Roman" w:hAnsi="Times New Roman" w:cs="Times New Roman"/>
          <w:sz w:val="28"/>
          <w:szCs w:val="28"/>
          <w:lang w:val="uk-UA"/>
        </w:rPr>
        <w:t xml:space="preserve"> </w:t>
      </w:r>
      <w:r w:rsidR="005C347B">
        <w:rPr>
          <w:rFonts w:ascii="Times New Roman" w:hAnsi="Times New Roman" w:cs="Times New Roman"/>
          <w:sz w:val="28"/>
          <w:szCs w:val="28"/>
          <w:lang w:val="uk-UA"/>
        </w:rPr>
        <w:t>Але</w:t>
      </w:r>
      <w:r>
        <w:rPr>
          <w:rFonts w:ascii="Times New Roman" w:hAnsi="Times New Roman" w:cs="Times New Roman"/>
          <w:sz w:val="28"/>
          <w:szCs w:val="28"/>
          <w:lang w:val="uk-UA"/>
        </w:rPr>
        <w:t xml:space="preserve"> ми констатували аналогічний звʼ</w:t>
      </w:r>
      <w:r w:rsidR="005C347B">
        <w:rPr>
          <w:rFonts w:ascii="Times New Roman" w:hAnsi="Times New Roman" w:cs="Times New Roman"/>
          <w:sz w:val="28"/>
          <w:szCs w:val="28"/>
          <w:lang w:val="uk-UA"/>
        </w:rPr>
        <w:t>язок саме при коморбідній патології.</w:t>
      </w:r>
      <w:r w:rsidR="00C607B4" w:rsidRPr="00C607B4">
        <w:rPr>
          <w:rFonts w:ascii="Times New Roman" w:hAnsi="Times New Roman" w:cs="Times New Roman"/>
          <w:sz w:val="28"/>
          <w:szCs w:val="28"/>
          <w:lang w:val="uk-UA"/>
        </w:rPr>
        <w:t xml:space="preserve"> </w:t>
      </w:r>
      <w:r w:rsidR="0076785B">
        <w:rPr>
          <w:rFonts w:ascii="Times New Roman" w:hAnsi="Times New Roman" w:cs="Times New Roman"/>
          <w:sz w:val="28"/>
          <w:szCs w:val="28"/>
          <w:lang w:val="uk-UA"/>
        </w:rPr>
        <w:t xml:space="preserve">Вміст </w:t>
      </w:r>
      <w:r w:rsidR="00C607B4" w:rsidRPr="00C607B4">
        <w:rPr>
          <w:rFonts w:ascii="Times New Roman" w:hAnsi="Times New Roman" w:cs="Times New Roman"/>
          <w:sz w:val="28"/>
          <w:szCs w:val="28"/>
          <w:lang w:val="uk-UA"/>
        </w:rPr>
        <w:t xml:space="preserve">HbA1с </w:t>
      </w:r>
      <w:r w:rsidR="0076785B" w:rsidRPr="0076785B">
        <w:rPr>
          <w:rFonts w:ascii="Times New Roman" w:hAnsi="Times New Roman" w:cs="Times New Roman"/>
          <w:sz w:val="28"/>
          <w:szCs w:val="28"/>
          <w:lang w:val="uk-UA"/>
        </w:rPr>
        <w:t>зростав</w:t>
      </w:r>
      <w:r w:rsidR="0076785B">
        <w:rPr>
          <w:rFonts w:ascii="Times New Roman" w:hAnsi="Times New Roman" w:cs="Times New Roman"/>
          <w:sz w:val="28"/>
          <w:szCs w:val="28"/>
          <w:lang w:val="uk-UA"/>
        </w:rPr>
        <w:t xml:space="preserve"> </w:t>
      </w:r>
      <w:r w:rsidR="0076785B" w:rsidRPr="0076785B">
        <w:rPr>
          <w:rFonts w:ascii="Times New Roman" w:hAnsi="Times New Roman" w:cs="Times New Roman"/>
          <w:sz w:val="28"/>
          <w:szCs w:val="28"/>
          <w:lang w:val="uk-UA"/>
        </w:rPr>
        <w:t xml:space="preserve">із збільшенням альбумінурії </w:t>
      </w:r>
      <w:r w:rsidR="0076785B">
        <w:rPr>
          <w:rFonts w:ascii="Times New Roman" w:hAnsi="Times New Roman" w:cs="Times New Roman"/>
          <w:sz w:val="28"/>
          <w:szCs w:val="28"/>
          <w:lang w:val="uk-UA"/>
        </w:rPr>
        <w:t>у</w:t>
      </w:r>
      <w:r w:rsidR="0076785B" w:rsidRPr="0076785B">
        <w:rPr>
          <w:rFonts w:ascii="Times New Roman" w:hAnsi="Times New Roman" w:cs="Times New Roman"/>
          <w:sz w:val="28"/>
          <w:szCs w:val="28"/>
          <w:lang w:val="uk-UA"/>
        </w:rPr>
        <w:t xml:space="preserve"> хворих на АГ та ЦД 2-го типу </w:t>
      </w:r>
      <w:r w:rsidR="00C607B4" w:rsidRPr="00C607B4">
        <w:rPr>
          <w:rFonts w:ascii="Times New Roman" w:hAnsi="Times New Roman" w:cs="Times New Roman"/>
          <w:sz w:val="28"/>
          <w:szCs w:val="28"/>
          <w:lang w:val="uk-UA"/>
        </w:rPr>
        <w:t xml:space="preserve">(r = 0,6; р &lt; 0,0001). Це свідчить </w:t>
      </w:r>
      <w:r w:rsidR="00C607B4" w:rsidRPr="00C607B4">
        <w:rPr>
          <w:rFonts w:ascii="Times New Roman" w:hAnsi="Times New Roman" w:cs="Times New Roman"/>
          <w:sz w:val="28"/>
          <w:szCs w:val="28"/>
          <w:lang w:val="uk-UA"/>
        </w:rPr>
        <w:lastRenderedPageBreak/>
        <w:t xml:space="preserve">про те, що у міру </w:t>
      </w:r>
      <w:r w:rsidR="005326C6">
        <w:rPr>
          <w:rFonts w:ascii="Times New Roman" w:hAnsi="Times New Roman" w:cs="Times New Roman"/>
          <w:sz w:val="28"/>
          <w:szCs w:val="28"/>
          <w:lang w:val="uk-UA"/>
        </w:rPr>
        <w:t xml:space="preserve">погіршення функціонального стану нирок </w:t>
      </w:r>
      <w:r w:rsidR="00C607B4" w:rsidRPr="00C607B4">
        <w:rPr>
          <w:rFonts w:ascii="Times New Roman" w:hAnsi="Times New Roman" w:cs="Times New Roman"/>
          <w:sz w:val="28"/>
          <w:szCs w:val="28"/>
          <w:lang w:val="uk-UA"/>
        </w:rPr>
        <w:t xml:space="preserve">спостерігається </w:t>
      </w:r>
      <w:r w:rsidR="005326C6">
        <w:rPr>
          <w:rFonts w:ascii="Times New Roman" w:hAnsi="Times New Roman" w:cs="Times New Roman"/>
          <w:sz w:val="28"/>
          <w:szCs w:val="28"/>
          <w:lang w:val="uk-UA"/>
        </w:rPr>
        <w:t>декомпенсація</w:t>
      </w:r>
      <w:r w:rsidR="00C607B4" w:rsidRPr="00C607B4">
        <w:rPr>
          <w:rFonts w:ascii="Times New Roman" w:hAnsi="Times New Roman" w:cs="Times New Roman"/>
          <w:sz w:val="28"/>
          <w:szCs w:val="28"/>
          <w:lang w:val="uk-UA"/>
        </w:rPr>
        <w:t xml:space="preserve"> ЦД 2-го типу.</w:t>
      </w:r>
    </w:p>
    <w:p w:rsidR="00A739ED" w:rsidRDefault="00F72A40" w:rsidP="00F72A4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F72A40">
        <w:rPr>
          <w:rFonts w:ascii="Times New Roman" w:hAnsi="Times New Roman" w:cs="Times New Roman"/>
          <w:sz w:val="28"/>
          <w:szCs w:val="28"/>
          <w:lang w:val="uk-UA"/>
        </w:rPr>
        <w:t xml:space="preserve">а думку науковців, </w:t>
      </w:r>
      <w:r w:rsidR="009B7F65">
        <w:rPr>
          <w:rFonts w:ascii="Times New Roman" w:hAnsi="Times New Roman" w:cs="Times New Roman"/>
          <w:sz w:val="28"/>
          <w:szCs w:val="28"/>
          <w:lang w:val="uk-UA"/>
        </w:rPr>
        <w:t xml:space="preserve">у пацієнтів </w:t>
      </w:r>
      <w:r w:rsidRPr="00F72A40">
        <w:rPr>
          <w:rFonts w:ascii="Times New Roman" w:hAnsi="Times New Roman" w:cs="Times New Roman"/>
          <w:sz w:val="28"/>
          <w:szCs w:val="28"/>
          <w:lang w:val="uk-UA"/>
        </w:rPr>
        <w:t xml:space="preserve">із ЦД при порівнянні визначення альбумінурії шляхом обчислення співвідношення альбуміну до креатиніну </w:t>
      </w:r>
      <w:r w:rsidR="002C3EF2">
        <w:rPr>
          <w:rFonts w:ascii="Times New Roman" w:hAnsi="Times New Roman" w:cs="Times New Roman"/>
          <w:sz w:val="28"/>
          <w:szCs w:val="28"/>
          <w:lang w:val="uk-UA"/>
        </w:rPr>
        <w:t xml:space="preserve">   </w:t>
      </w:r>
      <w:r w:rsidRPr="00F72A40">
        <w:rPr>
          <w:rFonts w:ascii="Times New Roman" w:hAnsi="Times New Roman" w:cs="Times New Roman"/>
          <w:sz w:val="28"/>
          <w:szCs w:val="28"/>
          <w:lang w:val="uk-UA"/>
        </w:rPr>
        <w:t>в сечі та виявлення альбуміну</w:t>
      </w:r>
      <w:r w:rsidR="009B7F65">
        <w:rPr>
          <w:rFonts w:ascii="Times New Roman" w:hAnsi="Times New Roman" w:cs="Times New Roman"/>
          <w:sz w:val="28"/>
          <w:szCs w:val="28"/>
          <w:lang w:val="uk-UA"/>
        </w:rPr>
        <w:t xml:space="preserve"> в разовій ранковій порції сечі</w:t>
      </w:r>
      <w:r w:rsidRPr="00F72A40">
        <w:rPr>
          <w:rFonts w:ascii="Times New Roman" w:hAnsi="Times New Roman" w:cs="Times New Roman"/>
          <w:sz w:val="28"/>
          <w:szCs w:val="28"/>
          <w:lang w:val="uk-UA"/>
        </w:rPr>
        <w:t xml:space="preserve"> ніякої різниці стосовно чутливості і специфічності цих двох методів констатовано не було. Зважаючи на нижчу вартість і більшу зручність, було рекомендовано визначати </w:t>
      </w:r>
      <w:r w:rsidR="009B7F65">
        <w:rPr>
          <w:rFonts w:ascii="Times New Roman" w:hAnsi="Times New Roman" w:cs="Times New Roman"/>
          <w:sz w:val="28"/>
          <w:szCs w:val="28"/>
          <w:lang w:val="uk-UA"/>
        </w:rPr>
        <w:t>альбумінурію</w:t>
      </w:r>
      <w:r w:rsidRPr="00F72A40">
        <w:rPr>
          <w:rFonts w:ascii="Times New Roman" w:hAnsi="Times New Roman" w:cs="Times New Roman"/>
          <w:sz w:val="28"/>
          <w:szCs w:val="28"/>
          <w:lang w:val="uk-UA"/>
        </w:rPr>
        <w:t xml:space="preserve"> в разовій порції сечі [</w:t>
      </w:r>
      <w:r w:rsidR="00444930" w:rsidRPr="004900D9">
        <w:rPr>
          <w:rFonts w:ascii="Times New Roman" w:hAnsi="Times New Roman" w:cs="Times New Roman"/>
          <w:sz w:val="28"/>
          <w:szCs w:val="28"/>
        </w:rPr>
        <w:t>180</w:t>
      </w:r>
      <w:r>
        <w:rPr>
          <w:rFonts w:ascii="Times New Roman" w:hAnsi="Times New Roman" w:cs="Times New Roman"/>
          <w:sz w:val="28"/>
          <w:szCs w:val="28"/>
          <w:lang w:val="uk-UA"/>
        </w:rPr>
        <w:t xml:space="preserve">]. </w:t>
      </w:r>
      <w:r w:rsidR="0077670C">
        <w:rPr>
          <w:rFonts w:ascii="Times New Roman" w:hAnsi="Times New Roman" w:cs="Times New Roman"/>
          <w:sz w:val="28"/>
          <w:szCs w:val="28"/>
          <w:lang w:val="uk-UA"/>
        </w:rPr>
        <w:t xml:space="preserve">У проведеному нами дослідженні у </w:t>
      </w:r>
      <w:r w:rsidR="00AB3B5C" w:rsidRPr="00AB3B5C">
        <w:rPr>
          <w:rFonts w:ascii="Times New Roman" w:hAnsi="Times New Roman" w:cs="Times New Roman"/>
          <w:sz w:val="28"/>
          <w:szCs w:val="28"/>
          <w:lang w:val="uk-UA"/>
        </w:rPr>
        <w:t>90</w:t>
      </w:r>
      <w:r w:rsidR="00F74FC7">
        <w:rPr>
          <w:rFonts w:ascii="Times New Roman" w:hAnsi="Times New Roman" w:cs="Times New Roman"/>
          <w:sz w:val="28"/>
          <w:szCs w:val="28"/>
          <w:lang w:val="uk-UA"/>
        </w:rPr>
        <w:t xml:space="preserve"> </w:t>
      </w:r>
      <w:r w:rsidR="0077670C">
        <w:rPr>
          <w:rFonts w:ascii="Times New Roman" w:hAnsi="Times New Roman" w:cs="Times New Roman"/>
          <w:sz w:val="28"/>
          <w:szCs w:val="28"/>
          <w:lang w:val="uk-UA"/>
        </w:rPr>
        <w:t xml:space="preserve">коморбідних </w:t>
      </w:r>
      <w:r w:rsidR="00F74FC7">
        <w:rPr>
          <w:rFonts w:ascii="Times New Roman" w:hAnsi="Times New Roman" w:cs="Times New Roman"/>
          <w:sz w:val="28"/>
          <w:szCs w:val="28"/>
          <w:lang w:val="uk-UA"/>
        </w:rPr>
        <w:t>пац</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єнт</w:t>
      </w:r>
      <w:r w:rsidR="00F74FC7">
        <w:rPr>
          <w:rFonts w:ascii="Times New Roman" w:hAnsi="Times New Roman" w:cs="Times New Roman"/>
          <w:sz w:val="28"/>
          <w:szCs w:val="28"/>
          <w:lang w:val="en-US"/>
        </w:rPr>
        <w:t>i</w:t>
      </w:r>
      <w:r w:rsidR="00302379" w:rsidRPr="00AB3B5C">
        <w:rPr>
          <w:rFonts w:ascii="Times New Roman" w:hAnsi="Times New Roman" w:cs="Times New Roman"/>
          <w:sz w:val="28"/>
          <w:szCs w:val="28"/>
          <w:lang w:val="uk-UA"/>
        </w:rPr>
        <w:t>в (94,0</w:t>
      </w:r>
      <w:r w:rsidR="009B7F65">
        <w:rPr>
          <w:rFonts w:ascii="Times New Roman" w:hAnsi="Times New Roman" w:cs="Times New Roman"/>
          <w:sz w:val="28"/>
          <w:szCs w:val="28"/>
          <w:lang w:val="uk-UA"/>
        </w:rPr>
        <w:t xml:space="preserve"> %) вміст</w:t>
      </w:r>
      <w:r w:rsidR="00F74FC7">
        <w:rPr>
          <w:rFonts w:ascii="Times New Roman" w:hAnsi="Times New Roman" w:cs="Times New Roman"/>
          <w:sz w:val="28"/>
          <w:szCs w:val="28"/>
          <w:lang w:val="uk-UA"/>
        </w:rPr>
        <w:t xml:space="preserve"> б</w:t>
      </w:r>
      <w:r w:rsidR="00F74FC7">
        <w:rPr>
          <w:rFonts w:ascii="Times New Roman" w:hAnsi="Times New Roman" w:cs="Times New Roman"/>
          <w:sz w:val="28"/>
          <w:szCs w:val="28"/>
          <w:lang w:val="en-US"/>
        </w:rPr>
        <w:t>i</w:t>
      </w:r>
      <w:r w:rsidR="00394D46">
        <w:rPr>
          <w:rFonts w:ascii="Times New Roman" w:hAnsi="Times New Roman" w:cs="Times New Roman"/>
          <w:sz w:val="28"/>
          <w:szCs w:val="28"/>
          <w:lang w:val="uk-UA"/>
        </w:rPr>
        <w:t>лка</w:t>
      </w:r>
      <w:r w:rsidR="00F74FC7">
        <w:rPr>
          <w:rFonts w:ascii="Times New Roman" w:hAnsi="Times New Roman" w:cs="Times New Roman"/>
          <w:sz w:val="28"/>
          <w:szCs w:val="28"/>
          <w:lang w:val="uk-UA"/>
        </w:rPr>
        <w:t>, вид</w:t>
      </w:r>
      <w:r w:rsidR="00F74FC7">
        <w:rPr>
          <w:rFonts w:ascii="Times New Roman" w:hAnsi="Times New Roman" w:cs="Times New Roman"/>
          <w:sz w:val="28"/>
          <w:szCs w:val="28"/>
          <w:lang w:val="en-US"/>
        </w:rPr>
        <w:t>i</w:t>
      </w:r>
      <w:r w:rsidR="00302379" w:rsidRPr="00AB3B5C">
        <w:rPr>
          <w:rFonts w:ascii="Times New Roman" w:hAnsi="Times New Roman" w:cs="Times New Roman"/>
          <w:sz w:val="28"/>
          <w:szCs w:val="28"/>
          <w:lang w:val="uk-UA"/>
        </w:rPr>
        <w:t xml:space="preserve">леного </w:t>
      </w:r>
      <w:r w:rsidR="002C3EF2">
        <w:rPr>
          <w:rFonts w:ascii="Times New Roman" w:hAnsi="Times New Roman" w:cs="Times New Roman"/>
          <w:sz w:val="28"/>
          <w:szCs w:val="28"/>
          <w:lang w:val="uk-UA"/>
        </w:rPr>
        <w:t xml:space="preserve">      </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з сечею, визначеного п</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сля вим</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рювання альбумінур</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ї та сп</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вв</w:t>
      </w:r>
      <w:r w:rsidR="00F74FC7">
        <w:rPr>
          <w:rFonts w:ascii="Times New Roman" w:hAnsi="Times New Roman" w:cs="Times New Roman"/>
          <w:sz w:val="28"/>
          <w:szCs w:val="28"/>
          <w:lang w:val="en-US"/>
        </w:rPr>
        <w:t>i</w:t>
      </w:r>
      <w:r w:rsidR="00302379" w:rsidRPr="00AB3B5C">
        <w:rPr>
          <w:rFonts w:ascii="Times New Roman" w:hAnsi="Times New Roman" w:cs="Times New Roman"/>
          <w:sz w:val="28"/>
          <w:szCs w:val="28"/>
          <w:lang w:val="uk-UA"/>
        </w:rPr>
        <w:t>дн</w:t>
      </w:r>
      <w:r w:rsidR="00F74FC7">
        <w:rPr>
          <w:rFonts w:ascii="Times New Roman" w:hAnsi="Times New Roman" w:cs="Times New Roman"/>
          <w:sz w:val="28"/>
          <w:szCs w:val="28"/>
          <w:lang w:val="uk-UA"/>
        </w:rPr>
        <w:t>ошення  альбум</w:t>
      </w:r>
      <w:r w:rsidR="00F74FC7">
        <w:rPr>
          <w:rFonts w:ascii="Times New Roman" w:hAnsi="Times New Roman" w:cs="Times New Roman"/>
          <w:sz w:val="28"/>
          <w:szCs w:val="28"/>
          <w:lang w:val="en-US"/>
        </w:rPr>
        <w:t>i</w:t>
      </w:r>
      <w:r w:rsidR="00302379" w:rsidRPr="00AB3B5C">
        <w:rPr>
          <w:rFonts w:ascii="Times New Roman" w:hAnsi="Times New Roman" w:cs="Times New Roman"/>
          <w:sz w:val="28"/>
          <w:szCs w:val="28"/>
          <w:lang w:val="uk-UA"/>
        </w:rPr>
        <w:t>н</w:t>
      </w:r>
      <w:r w:rsidR="00AB3B5C" w:rsidRPr="00AB3B5C">
        <w:rPr>
          <w:rFonts w:ascii="Times New Roman" w:hAnsi="Times New Roman" w:cs="Times New Roman"/>
          <w:sz w:val="28"/>
          <w:szCs w:val="28"/>
          <w:lang w:val="uk-UA"/>
        </w:rPr>
        <w:t>у до кр</w:t>
      </w:r>
      <w:r w:rsidR="00F74FC7">
        <w:rPr>
          <w:rFonts w:ascii="Times New Roman" w:hAnsi="Times New Roman" w:cs="Times New Roman"/>
          <w:sz w:val="28"/>
          <w:szCs w:val="28"/>
          <w:lang w:val="uk-UA"/>
        </w:rPr>
        <w:t>еатин</w:t>
      </w:r>
      <w:r w:rsidR="00F74FC7">
        <w:rPr>
          <w:rFonts w:ascii="Times New Roman" w:hAnsi="Times New Roman" w:cs="Times New Roman"/>
          <w:sz w:val="28"/>
          <w:szCs w:val="28"/>
          <w:lang w:val="en-US"/>
        </w:rPr>
        <w:t>i</w:t>
      </w:r>
      <w:r w:rsidR="009B7F65">
        <w:rPr>
          <w:rFonts w:ascii="Times New Roman" w:hAnsi="Times New Roman" w:cs="Times New Roman"/>
          <w:sz w:val="28"/>
          <w:szCs w:val="28"/>
          <w:lang w:val="uk-UA"/>
        </w:rPr>
        <w:t>ну, співпав</w:t>
      </w:r>
      <w:r w:rsidR="00AB3B5C" w:rsidRPr="00AB3B5C">
        <w:rPr>
          <w:rFonts w:ascii="Times New Roman" w:hAnsi="Times New Roman" w:cs="Times New Roman"/>
          <w:sz w:val="28"/>
          <w:szCs w:val="28"/>
          <w:lang w:val="uk-UA"/>
        </w:rPr>
        <w:t>, а у 6</w:t>
      </w:r>
      <w:r w:rsidR="00302379" w:rsidRPr="00AB3B5C">
        <w:rPr>
          <w:rFonts w:ascii="Times New Roman" w:hAnsi="Times New Roman" w:cs="Times New Roman"/>
          <w:sz w:val="28"/>
          <w:szCs w:val="28"/>
          <w:lang w:val="uk-UA"/>
        </w:rPr>
        <w:t xml:space="preserve"> (6,0</w:t>
      </w:r>
      <w:r w:rsidR="00394D46">
        <w:rPr>
          <w:rFonts w:ascii="Times New Roman" w:hAnsi="Times New Roman" w:cs="Times New Roman"/>
          <w:sz w:val="28"/>
          <w:szCs w:val="28"/>
          <w:lang w:val="uk-UA"/>
        </w:rPr>
        <w:t xml:space="preserve"> </w:t>
      </w:r>
      <w:r w:rsidR="00F74FC7">
        <w:rPr>
          <w:rFonts w:ascii="Times New Roman" w:hAnsi="Times New Roman" w:cs="Times New Roman"/>
          <w:sz w:val="28"/>
          <w:szCs w:val="28"/>
          <w:lang w:val="uk-UA"/>
        </w:rPr>
        <w:t>%) – в</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др</w:t>
      </w:r>
      <w:r w:rsidR="00F74FC7">
        <w:rPr>
          <w:rFonts w:ascii="Times New Roman" w:hAnsi="Times New Roman" w:cs="Times New Roman"/>
          <w:sz w:val="28"/>
          <w:szCs w:val="28"/>
          <w:lang w:val="en-US"/>
        </w:rPr>
        <w:t>i</w:t>
      </w:r>
      <w:r w:rsidR="00302379" w:rsidRPr="00AB3B5C">
        <w:rPr>
          <w:rFonts w:ascii="Times New Roman" w:hAnsi="Times New Roman" w:cs="Times New Roman"/>
          <w:sz w:val="28"/>
          <w:szCs w:val="28"/>
          <w:lang w:val="uk-UA"/>
        </w:rPr>
        <w:t>знявся.</w:t>
      </w:r>
      <w:r w:rsidR="00414B2E" w:rsidRPr="00AB3B5C">
        <w:rPr>
          <w:lang w:val="uk-UA"/>
        </w:rPr>
        <w:t xml:space="preserve"> </w:t>
      </w:r>
      <w:r w:rsidR="0077670C">
        <w:rPr>
          <w:rFonts w:ascii="Times New Roman" w:hAnsi="Times New Roman" w:cs="Times New Roman"/>
          <w:sz w:val="28"/>
          <w:szCs w:val="28"/>
          <w:lang w:val="uk-UA"/>
        </w:rPr>
        <w:t xml:space="preserve">Це можна пояснити тим, що </w:t>
      </w:r>
      <w:r w:rsidR="009B7F65">
        <w:rPr>
          <w:rFonts w:ascii="Times New Roman" w:hAnsi="Times New Roman" w:cs="Times New Roman"/>
          <w:sz w:val="28"/>
          <w:szCs w:val="28"/>
          <w:lang w:val="uk-UA"/>
        </w:rPr>
        <w:t xml:space="preserve">вміст </w:t>
      </w:r>
      <w:r w:rsidR="00F74FC7">
        <w:rPr>
          <w:rFonts w:ascii="Times New Roman" w:hAnsi="Times New Roman" w:cs="Times New Roman"/>
          <w:sz w:val="28"/>
          <w:szCs w:val="28"/>
          <w:lang w:val="uk-UA"/>
        </w:rPr>
        <w:t>вид</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леного </w:t>
      </w:r>
      <w:r w:rsidR="00F74FC7">
        <w:rPr>
          <w:rFonts w:ascii="Times New Roman" w:hAnsi="Times New Roman" w:cs="Times New Roman"/>
          <w:sz w:val="28"/>
          <w:szCs w:val="28"/>
          <w:lang w:val="en-US"/>
        </w:rPr>
        <w:t>i</w:t>
      </w:r>
      <w:r w:rsidR="00414B2E" w:rsidRPr="00414B2E">
        <w:rPr>
          <w:rFonts w:ascii="Times New Roman" w:hAnsi="Times New Roman" w:cs="Times New Roman"/>
          <w:sz w:val="28"/>
          <w:szCs w:val="28"/>
          <w:lang w:val="uk-UA"/>
        </w:rPr>
        <w:t>з сечею креати</w:t>
      </w:r>
      <w:r w:rsidR="00F74FC7">
        <w:rPr>
          <w:rFonts w:ascii="Times New Roman" w:hAnsi="Times New Roman" w:cs="Times New Roman"/>
          <w:sz w:val="28"/>
          <w:szCs w:val="28"/>
          <w:lang w:val="uk-UA"/>
        </w:rPr>
        <w:t>н</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ну не завжди дор</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внює 1,0 г </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 залежить в</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д в</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ку, стат</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 </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ндексу маси т</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ла. Ж</w:t>
      </w:r>
      <w:r w:rsidR="00F74FC7">
        <w:rPr>
          <w:rFonts w:ascii="Times New Roman" w:hAnsi="Times New Roman" w:cs="Times New Roman"/>
          <w:sz w:val="28"/>
          <w:szCs w:val="28"/>
          <w:lang w:val="en-US"/>
        </w:rPr>
        <w:t>i</w:t>
      </w:r>
      <w:r w:rsidR="00414B2E" w:rsidRPr="00414B2E">
        <w:rPr>
          <w:rFonts w:ascii="Times New Roman" w:hAnsi="Times New Roman" w:cs="Times New Roman"/>
          <w:sz w:val="28"/>
          <w:szCs w:val="28"/>
          <w:lang w:val="uk-UA"/>
        </w:rPr>
        <w:t>нки</w:t>
      </w:r>
      <w:r w:rsidR="00F74FC7">
        <w:rPr>
          <w:rFonts w:ascii="Times New Roman" w:hAnsi="Times New Roman" w:cs="Times New Roman"/>
          <w:sz w:val="28"/>
          <w:szCs w:val="28"/>
          <w:lang w:val="uk-UA"/>
        </w:rPr>
        <w:t>, особи похилого та старечого в</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ку, пац</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єнти </w:t>
      </w:r>
      <w:r w:rsidR="00F74FC7">
        <w:rPr>
          <w:rFonts w:ascii="Times New Roman" w:hAnsi="Times New Roman" w:cs="Times New Roman"/>
          <w:sz w:val="28"/>
          <w:szCs w:val="28"/>
          <w:lang w:val="en-US"/>
        </w:rPr>
        <w:t>i</w:t>
      </w:r>
      <w:r w:rsidR="00414B2E" w:rsidRPr="00414B2E">
        <w:rPr>
          <w:rFonts w:ascii="Times New Roman" w:hAnsi="Times New Roman" w:cs="Times New Roman"/>
          <w:sz w:val="28"/>
          <w:szCs w:val="28"/>
          <w:lang w:val="uk-UA"/>
        </w:rPr>
        <w:t>з зниженою масо</w:t>
      </w:r>
      <w:r w:rsidR="00F74FC7">
        <w:rPr>
          <w:rFonts w:ascii="Times New Roman" w:hAnsi="Times New Roman" w:cs="Times New Roman"/>
          <w:sz w:val="28"/>
          <w:szCs w:val="28"/>
          <w:lang w:val="uk-UA"/>
        </w:rPr>
        <w:t>ю м’язової тканини мають схильн</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сть до зменшення вид</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лення креатин</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ну </w:t>
      </w:r>
      <w:r w:rsidR="00F74FC7">
        <w:rPr>
          <w:rFonts w:ascii="Times New Roman" w:hAnsi="Times New Roman" w:cs="Times New Roman"/>
          <w:sz w:val="28"/>
          <w:szCs w:val="28"/>
          <w:lang w:val="en-US"/>
        </w:rPr>
        <w:t>i</w:t>
      </w:r>
      <w:r w:rsidR="00414B2E" w:rsidRPr="00414B2E">
        <w:rPr>
          <w:rFonts w:ascii="Times New Roman" w:hAnsi="Times New Roman" w:cs="Times New Roman"/>
          <w:sz w:val="28"/>
          <w:szCs w:val="28"/>
          <w:lang w:val="uk-UA"/>
        </w:rPr>
        <w:t>з сечею</w:t>
      </w:r>
      <w:r w:rsidR="0077670C">
        <w:rPr>
          <w:rFonts w:ascii="Times New Roman" w:hAnsi="Times New Roman" w:cs="Times New Roman"/>
          <w:sz w:val="28"/>
          <w:szCs w:val="28"/>
          <w:lang w:val="uk-UA"/>
        </w:rPr>
        <w:t xml:space="preserve"> </w:t>
      </w:r>
      <w:r w:rsidR="0077670C" w:rsidRPr="0077670C">
        <w:rPr>
          <w:rFonts w:ascii="Times New Roman" w:hAnsi="Times New Roman" w:cs="Times New Roman"/>
          <w:sz w:val="28"/>
          <w:szCs w:val="28"/>
          <w:lang w:val="uk-UA"/>
        </w:rPr>
        <w:t>[</w:t>
      </w:r>
      <w:r w:rsidR="00444930" w:rsidRPr="004900D9">
        <w:rPr>
          <w:rFonts w:ascii="Times New Roman" w:hAnsi="Times New Roman" w:cs="Times New Roman"/>
          <w:sz w:val="28"/>
          <w:szCs w:val="28"/>
          <w:lang w:val="uk-UA"/>
        </w:rPr>
        <w:t>53</w:t>
      </w:r>
      <w:r w:rsidR="0077670C" w:rsidRPr="0077670C">
        <w:rPr>
          <w:rFonts w:ascii="Times New Roman" w:hAnsi="Times New Roman" w:cs="Times New Roman"/>
          <w:sz w:val="28"/>
          <w:szCs w:val="28"/>
          <w:lang w:val="uk-UA"/>
        </w:rPr>
        <w:t>]</w:t>
      </w:r>
      <w:r w:rsidR="00414B2E" w:rsidRPr="00414B2E">
        <w:rPr>
          <w:rFonts w:ascii="Times New Roman" w:hAnsi="Times New Roman" w:cs="Times New Roman"/>
          <w:sz w:val="28"/>
          <w:szCs w:val="28"/>
          <w:lang w:val="uk-UA"/>
        </w:rPr>
        <w:t>.</w:t>
      </w:r>
      <w:r w:rsidR="0077670C" w:rsidRPr="0077670C">
        <w:rPr>
          <w:rFonts w:ascii="Times New Roman" w:hAnsi="Times New Roman" w:cs="Times New Roman"/>
          <w:sz w:val="28"/>
          <w:szCs w:val="28"/>
          <w:lang w:val="uk-UA"/>
        </w:rPr>
        <w:t xml:space="preserve"> </w:t>
      </w:r>
    </w:p>
    <w:p w:rsidR="00F72A40" w:rsidRDefault="00F328CA" w:rsidP="00E3744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w:t>
      </w:r>
      <w:r w:rsidR="009B7F65">
        <w:rPr>
          <w:rFonts w:ascii="Times New Roman" w:hAnsi="Times New Roman" w:cs="Times New Roman"/>
          <w:sz w:val="28"/>
          <w:szCs w:val="28"/>
          <w:lang w:val="uk-UA"/>
        </w:rPr>
        <w:t xml:space="preserve"> дослідників</w:t>
      </w:r>
      <w:r w:rsidR="00F72A40" w:rsidRPr="00F72A40">
        <w:rPr>
          <w:rFonts w:ascii="Times New Roman" w:hAnsi="Times New Roman" w:cs="Times New Roman"/>
          <w:sz w:val="28"/>
          <w:szCs w:val="28"/>
          <w:lang w:val="uk-UA"/>
        </w:rPr>
        <w:t xml:space="preserve">, у хворих </w:t>
      </w:r>
      <w:r w:rsidR="009B7F65">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АГ та ЦД 2-го типу </w:t>
      </w:r>
      <w:r w:rsidR="00315E7C">
        <w:rPr>
          <w:rFonts w:ascii="Times New Roman" w:hAnsi="Times New Roman" w:cs="Times New Roman"/>
          <w:sz w:val="28"/>
          <w:szCs w:val="28"/>
          <w:lang w:val="uk-UA"/>
        </w:rPr>
        <w:t xml:space="preserve">                         </w:t>
      </w:r>
      <w:r>
        <w:rPr>
          <w:rFonts w:ascii="Times New Roman" w:hAnsi="Times New Roman" w:cs="Times New Roman"/>
          <w:sz w:val="28"/>
          <w:szCs w:val="28"/>
          <w:lang w:val="uk-UA"/>
        </w:rPr>
        <w:t>із</w:t>
      </w:r>
      <w:r w:rsidR="00F72A40" w:rsidRPr="00F72A40">
        <w:rPr>
          <w:rFonts w:ascii="Times New Roman" w:hAnsi="Times New Roman" w:cs="Times New Roman"/>
          <w:sz w:val="28"/>
          <w:szCs w:val="28"/>
          <w:lang w:val="uk-UA"/>
        </w:rPr>
        <w:t xml:space="preserve"> недостатньою компенсацiєю гiперг</w:t>
      </w:r>
      <w:r>
        <w:rPr>
          <w:rFonts w:ascii="Times New Roman" w:hAnsi="Times New Roman" w:cs="Times New Roman"/>
          <w:sz w:val="28"/>
          <w:szCs w:val="28"/>
          <w:lang w:val="uk-UA"/>
        </w:rPr>
        <w:t xml:space="preserve">лiкемiї спостерiгалася </w:t>
      </w:r>
      <w:r w:rsidR="00F72A40" w:rsidRPr="00F72A40">
        <w:rPr>
          <w:rFonts w:ascii="Times New Roman" w:hAnsi="Times New Roman" w:cs="Times New Roman"/>
          <w:sz w:val="28"/>
          <w:szCs w:val="28"/>
          <w:lang w:val="uk-UA"/>
        </w:rPr>
        <w:t xml:space="preserve">позитивна </w:t>
      </w:r>
      <w:r w:rsidR="00BF2849">
        <w:rPr>
          <w:rFonts w:ascii="Times New Roman" w:hAnsi="Times New Roman" w:cs="Times New Roman"/>
          <w:sz w:val="28"/>
          <w:szCs w:val="28"/>
          <w:lang w:val="uk-UA"/>
        </w:rPr>
        <w:t xml:space="preserve">залежність </w:t>
      </w:r>
      <w:r w:rsidR="009B7F65">
        <w:rPr>
          <w:rFonts w:ascii="Times New Roman" w:hAnsi="Times New Roman" w:cs="Times New Roman"/>
          <w:sz w:val="28"/>
          <w:szCs w:val="28"/>
          <w:lang w:val="uk-UA"/>
        </w:rPr>
        <w:t xml:space="preserve">вмісту </w:t>
      </w:r>
      <w:r w:rsidR="00F72A40" w:rsidRPr="00F72A40">
        <w:rPr>
          <w:rFonts w:ascii="Times New Roman" w:hAnsi="Times New Roman" w:cs="Times New Roman"/>
          <w:sz w:val="28"/>
          <w:szCs w:val="28"/>
          <w:lang w:val="uk-UA"/>
        </w:rPr>
        <w:t xml:space="preserve">ЗХС i ступеня МАУ (r = +0,51), що свiдчить про зростання взаємної iнiцiалiзацiї патогенетичних механiзмiв поглиблення дислiпiдемiї </w:t>
      </w:r>
      <w:r w:rsidR="00315E7C">
        <w:rPr>
          <w:rFonts w:ascii="Times New Roman" w:hAnsi="Times New Roman" w:cs="Times New Roman"/>
          <w:sz w:val="28"/>
          <w:szCs w:val="28"/>
          <w:lang w:val="uk-UA"/>
        </w:rPr>
        <w:t xml:space="preserve">    </w:t>
      </w:r>
      <w:r w:rsidR="00F72A40" w:rsidRPr="00F72A40">
        <w:rPr>
          <w:rFonts w:ascii="Times New Roman" w:hAnsi="Times New Roman" w:cs="Times New Roman"/>
          <w:sz w:val="28"/>
          <w:szCs w:val="28"/>
          <w:lang w:val="uk-UA"/>
        </w:rPr>
        <w:t xml:space="preserve">в пацiєнтiв цього контингенту </w:t>
      </w:r>
      <w:r>
        <w:rPr>
          <w:rFonts w:ascii="Times New Roman" w:hAnsi="Times New Roman" w:cs="Times New Roman"/>
          <w:sz w:val="28"/>
          <w:szCs w:val="28"/>
          <w:lang w:val="uk-UA"/>
        </w:rPr>
        <w:t>[</w:t>
      </w:r>
      <w:r w:rsidR="004900D9">
        <w:rPr>
          <w:rFonts w:ascii="Times New Roman" w:hAnsi="Times New Roman" w:cs="Times New Roman"/>
          <w:sz w:val="28"/>
          <w:szCs w:val="28"/>
          <w:lang w:val="uk-UA"/>
        </w:rPr>
        <w:t>147</w:t>
      </w:r>
      <w:r w:rsidR="00F72A40" w:rsidRPr="004900D9">
        <w:rPr>
          <w:rFonts w:ascii="Times New Roman" w:hAnsi="Times New Roman" w:cs="Times New Roman"/>
          <w:sz w:val="28"/>
          <w:szCs w:val="28"/>
          <w:lang w:val="uk-UA"/>
        </w:rPr>
        <w:t>]</w:t>
      </w:r>
      <w:r w:rsidR="00F72A40" w:rsidRPr="00F72A40">
        <w:rPr>
          <w:rFonts w:ascii="Times New Roman" w:hAnsi="Times New Roman" w:cs="Times New Roman"/>
          <w:sz w:val="28"/>
          <w:szCs w:val="28"/>
          <w:lang w:val="uk-UA"/>
        </w:rPr>
        <w:t>.</w:t>
      </w:r>
    </w:p>
    <w:p w:rsidR="00F72A40" w:rsidRDefault="009B7F65" w:rsidP="00E3744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вирішили дослідити звʼ</w:t>
      </w:r>
      <w:r w:rsidR="00F328CA">
        <w:rPr>
          <w:rFonts w:ascii="Times New Roman" w:hAnsi="Times New Roman" w:cs="Times New Roman"/>
          <w:sz w:val="28"/>
          <w:szCs w:val="28"/>
          <w:lang w:val="uk-UA"/>
        </w:rPr>
        <w:t xml:space="preserve">язок між </w:t>
      </w:r>
      <w:r>
        <w:rPr>
          <w:rFonts w:ascii="Times New Roman" w:hAnsi="Times New Roman" w:cs="Times New Roman"/>
          <w:sz w:val="28"/>
          <w:szCs w:val="28"/>
          <w:lang w:val="uk-UA"/>
        </w:rPr>
        <w:t xml:space="preserve">концентрацією </w:t>
      </w:r>
      <w:r w:rsidR="00F328CA">
        <w:rPr>
          <w:rFonts w:ascii="Times New Roman" w:hAnsi="Times New Roman" w:cs="Times New Roman"/>
          <w:sz w:val="28"/>
          <w:szCs w:val="28"/>
          <w:lang w:val="uk-UA"/>
        </w:rPr>
        <w:t>альбумінурії та іншими показниками ліпідного с</w:t>
      </w:r>
      <w:r w:rsidR="00FD7133">
        <w:rPr>
          <w:rFonts w:ascii="Times New Roman" w:hAnsi="Times New Roman" w:cs="Times New Roman"/>
          <w:sz w:val="28"/>
          <w:szCs w:val="28"/>
          <w:lang w:val="uk-UA"/>
        </w:rPr>
        <w:t>пектра</w:t>
      </w:r>
      <w:r w:rsidR="00F328CA">
        <w:rPr>
          <w:rFonts w:ascii="Times New Roman" w:hAnsi="Times New Roman" w:cs="Times New Roman"/>
          <w:sz w:val="28"/>
          <w:szCs w:val="28"/>
          <w:lang w:val="uk-UA"/>
        </w:rPr>
        <w:t xml:space="preserve"> крові у коморбідних хворих.  </w:t>
      </w:r>
    </w:p>
    <w:p w:rsidR="00F72A40" w:rsidRDefault="00F328CA" w:rsidP="00F328CA">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Установлено, що у</w:t>
      </w:r>
      <w:r w:rsidR="00AB3B5C" w:rsidRPr="00AB3B5C">
        <w:rPr>
          <w:rFonts w:ascii="Times New Roman" w:hAnsi="Times New Roman" w:cs="Times New Roman"/>
          <w:sz w:val="28"/>
          <w:szCs w:val="28"/>
          <w:lang w:val="uk-UA"/>
        </w:rPr>
        <w:t xml:space="preserve"> </w:t>
      </w:r>
      <w:r w:rsidR="00F74FC7">
        <w:rPr>
          <w:rFonts w:ascii="Times New Roman" w:hAnsi="Times New Roman" w:cs="Times New Roman"/>
          <w:sz w:val="28"/>
          <w:szCs w:val="28"/>
          <w:lang w:val="uk-UA"/>
        </w:rPr>
        <w:t>пац</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єнт</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в </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з </w:t>
      </w:r>
      <w:r w:rsidR="005438C8">
        <w:rPr>
          <w:rFonts w:ascii="Times New Roman" w:hAnsi="Times New Roman" w:cs="Times New Roman"/>
          <w:sz w:val="28"/>
          <w:szCs w:val="28"/>
          <w:lang w:val="uk-UA"/>
        </w:rPr>
        <w:t xml:space="preserve">категорією А3 альбумінурії </w:t>
      </w:r>
      <w:r w:rsidR="00F74FC7">
        <w:rPr>
          <w:rFonts w:ascii="Times New Roman" w:hAnsi="Times New Roman" w:cs="Times New Roman"/>
          <w:sz w:val="28"/>
          <w:szCs w:val="28"/>
          <w:lang w:val="uk-UA"/>
        </w:rPr>
        <w:t>пор</w:t>
      </w:r>
      <w:r w:rsidR="00F74FC7">
        <w:rPr>
          <w:rFonts w:ascii="Times New Roman" w:hAnsi="Times New Roman" w:cs="Times New Roman"/>
          <w:sz w:val="28"/>
          <w:szCs w:val="28"/>
          <w:lang w:val="en-US"/>
        </w:rPr>
        <w:t>i</w:t>
      </w:r>
      <w:r w:rsidR="00394D46">
        <w:rPr>
          <w:rFonts w:ascii="Times New Roman" w:hAnsi="Times New Roman" w:cs="Times New Roman"/>
          <w:sz w:val="28"/>
          <w:szCs w:val="28"/>
          <w:lang w:val="uk-UA"/>
        </w:rPr>
        <w:t>вняно</w:t>
      </w:r>
      <w:r w:rsidR="009B7F65">
        <w:rPr>
          <w:rFonts w:ascii="Times New Roman" w:hAnsi="Times New Roman" w:cs="Times New Roman"/>
          <w:sz w:val="28"/>
          <w:szCs w:val="28"/>
          <w:lang w:val="uk-UA"/>
        </w:rPr>
        <w:t xml:space="preserve"> </w:t>
      </w:r>
      <w:r w:rsidR="00E82055">
        <w:rPr>
          <w:rFonts w:ascii="Times New Roman" w:hAnsi="Times New Roman" w:cs="Times New Roman"/>
          <w:sz w:val="28"/>
          <w:szCs w:val="28"/>
          <w:lang w:val="uk-UA"/>
        </w:rPr>
        <w:t xml:space="preserve">   </w:t>
      </w:r>
      <w:r w:rsidR="009B7F65">
        <w:rPr>
          <w:rFonts w:ascii="Times New Roman" w:hAnsi="Times New Roman" w:cs="Times New Roman"/>
          <w:sz w:val="28"/>
          <w:szCs w:val="28"/>
          <w:lang w:val="uk-UA"/>
        </w:rPr>
        <w:t>з хворими</w:t>
      </w:r>
      <w:r w:rsidR="00F74FC7">
        <w:rPr>
          <w:rFonts w:ascii="Times New Roman" w:hAnsi="Times New Roman" w:cs="Times New Roman"/>
          <w:sz w:val="28"/>
          <w:szCs w:val="28"/>
          <w:lang w:val="uk-UA"/>
        </w:rPr>
        <w:t xml:space="preserve"> </w:t>
      </w:r>
      <w:r w:rsidR="00F74FC7">
        <w:rPr>
          <w:rFonts w:ascii="Times New Roman" w:hAnsi="Times New Roman" w:cs="Times New Roman"/>
          <w:sz w:val="28"/>
          <w:szCs w:val="28"/>
          <w:lang w:val="en-US"/>
        </w:rPr>
        <w:t>i</w:t>
      </w:r>
      <w:r w:rsidR="005438C8">
        <w:rPr>
          <w:rFonts w:ascii="Times New Roman" w:hAnsi="Times New Roman" w:cs="Times New Roman"/>
          <w:sz w:val="28"/>
          <w:szCs w:val="28"/>
          <w:lang w:val="uk-UA"/>
        </w:rPr>
        <w:t xml:space="preserve">з категорією А2, </w:t>
      </w:r>
      <w:r w:rsidR="00F74FC7">
        <w:rPr>
          <w:rFonts w:ascii="Times New Roman" w:hAnsi="Times New Roman" w:cs="Times New Roman"/>
          <w:sz w:val="28"/>
          <w:szCs w:val="28"/>
          <w:lang w:val="uk-UA"/>
        </w:rPr>
        <w:t>констатовано достов</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рно вищ</w:t>
      </w:r>
      <w:r w:rsidR="00FD7133">
        <w:rPr>
          <w:rFonts w:ascii="Times New Roman" w:hAnsi="Times New Roman" w:cs="Times New Roman"/>
          <w:sz w:val="28"/>
          <w:szCs w:val="28"/>
          <w:lang w:val="uk-UA"/>
        </w:rPr>
        <w:t>ий вміст</w:t>
      </w:r>
      <w:r w:rsidR="00AB3B5C" w:rsidRPr="00AB3B5C">
        <w:rPr>
          <w:rFonts w:ascii="Times New Roman" w:hAnsi="Times New Roman" w:cs="Times New Roman"/>
          <w:sz w:val="28"/>
          <w:szCs w:val="28"/>
          <w:lang w:val="uk-UA"/>
        </w:rPr>
        <w:t xml:space="preserve"> ЗХС, </w:t>
      </w:r>
      <w:r w:rsidR="00E82055">
        <w:rPr>
          <w:rFonts w:ascii="Times New Roman" w:hAnsi="Times New Roman" w:cs="Times New Roman"/>
          <w:sz w:val="28"/>
          <w:szCs w:val="28"/>
          <w:lang w:val="uk-UA"/>
        </w:rPr>
        <w:t xml:space="preserve">     </w:t>
      </w:r>
      <w:r w:rsidR="009B7F65">
        <w:rPr>
          <w:rFonts w:ascii="Times New Roman" w:hAnsi="Times New Roman" w:cs="Times New Roman"/>
          <w:sz w:val="28"/>
          <w:szCs w:val="28"/>
          <w:lang w:val="uk-UA"/>
        </w:rPr>
        <w:t xml:space="preserve">ХС </w:t>
      </w:r>
      <w:r w:rsidR="00AB3B5C" w:rsidRPr="00AB3B5C">
        <w:rPr>
          <w:rFonts w:ascii="Times New Roman" w:hAnsi="Times New Roman" w:cs="Times New Roman"/>
          <w:sz w:val="28"/>
          <w:szCs w:val="28"/>
          <w:lang w:val="uk-UA"/>
        </w:rPr>
        <w:t>ЛП</w:t>
      </w:r>
      <w:r w:rsidR="00F74FC7">
        <w:rPr>
          <w:rFonts w:ascii="Times New Roman" w:hAnsi="Times New Roman" w:cs="Times New Roman"/>
          <w:sz w:val="28"/>
          <w:szCs w:val="28"/>
          <w:lang w:val="uk-UA"/>
        </w:rPr>
        <w:t xml:space="preserve">НЩ, </w:t>
      </w:r>
      <w:r w:rsidR="009B7F65">
        <w:rPr>
          <w:rFonts w:ascii="Times New Roman" w:hAnsi="Times New Roman" w:cs="Times New Roman"/>
          <w:sz w:val="28"/>
          <w:szCs w:val="28"/>
          <w:lang w:val="uk-UA"/>
        </w:rPr>
        <w:t xml:space="preserve">ХС </w:t>
      </w:r>
      <w:r w:rsidR="00F74FC7">
        <w:rPr>
          <w:rFonts w:ascii="Times New Roman" w:hAnsi="Times New Roman" w:cs="Times New Roman"/>
          <w:sz w:val="28"/>
          <w:szCs w:val="28"/>
          <w:lang w:val="uk-UA"/>
        </w:rPr>
        <w:t>ЛПДНЩ, ТГ та нижч</w:t>
      </w:r>
      <w:r w:rsidR="00FD7133">
        <w:rPr>
          <w:rFonts w:ascii="Times New Roman" w:hAnsi="Times New Roman" w:cs="Times New Roman"/>
          <w:sz w:val="28"/>
          <w:szCs w:val="28"/>
          <w:lang w:val="uk-UA"/>
        </w:rPr>
        <w:t>ий</w:t>
      </w:r>
      <w:r w:rsidR="00F72A40">
        <w:rPr>
          <w:rFonts w:ascii="Times New Roman" w:hAnsi="Times New Roman" w:cs="Times New Roman"/>
          <w:sz w:val="28"/>
          <w:szCs w:val="28"/>
          <w:lang w:val="uk-UA"/>
        </w:rPr>
        <w:t xml:space="preserve"> – </w:t>
      </w:r>
      <w:r w:rsidR="009B7F65">
        <w:rPr>
          <w:rFonts w:ascii="Times New Roman" w:hAnsi="Times New Roman" w:cs="Times New Roman"/>
          <w:sz w:val="28"/>
          <w:szCs w:val="28"/>
          <w:lang w:val="uk-UA"/>
        </w:rPr>
        <w:t xml:space="preserve">ХС </w:t>
      </w:r>
      <w:r w:rsidR="00F72A40">
        <w:rPr>
          <w:rFonts w:ascii="Times New Roman" w:hAnsi="Times New Roman" w:cs="Times New Roman"/>
          <w:sz w:val="28"/>
          <w:szCs w:val="28"/>
          <w:lang w:val="uk-UA"/>
        </w:rPr>
        <w:t>ЛПВЩ</w:t>
      </w:r>
      <w:r w:rsidR="009B7F65">
        <w:rPr>
          <w:rFonts w:ascii="Times New Roman" w:hAnsi="Times New Roman" w:cs="Times New Roman"/>
          <w:sz w:val="28"/>
          <w:szCs w:val="28"/>
          <w:lang w:val="uk-UA"/>
        </w:rPr>
        <w:t xml:space="preserve"> (р </w:t>
      </w:r>
      <w:r w:rsidR="009B7F65" w:rsidRPr="009E3533">
        <w:rPr>
          <w:rFonts w:ascii="Times New Roman" w:hAnsi="Times New Roman" w:cs="Times New Roman"/>
          <w:sz w:val="28"/>
          <w:szCs w:val="28"/>
          <w:lang w:val="uk-UA"/>
        </w:rPr>
        <w:t>&lt; 0,05)</w:t>
      </w:r>
      <w:r w:rsidR="00F72A40">
        <w:rPr>
          <w:rFonts w:ascii="Times New Roman" w:hAnsi="Times New Roman" w:cs="Times New Roman"/>
          <w:sz w:val="28"/>
          <w:szCs w:val="28"/>
          <w:lang w:val="uk-UA"/>
        </w:rPr>
        <w:t>. У</w:t>
      </w:r>
      <w:r w:rsidR="00F74FC7">
        <w:rPr>
          <w:rFonts w:ascii="Times New Roman" w:hAnsi="Times New Roman" w:cs="Times New Roman"/>
          <w:sz w:val="28"/>
          <w:szCs w:val="28"/>
          <w:lang w:val="uk-UA"/>
        </w:rPr>
        <w:t xml:space="preserve"> </w:t>
      </w:r>
      <w:r w:rsidR="009B7F65">
        <w:rPr>
          <w:rFonts w:ascii="Times New Roman" w:hAnsi="Times New Roman" w:cs="Times New Roman"/>
          <w:sz w:val="28"/>
          <w:szCs w:val="28"/>
          <w:lang w:val="uk-UA"/>
        </w:rPr>
        <w:t xml:space="preserve">пацієнтів </w:t>
      </w:r>
      <w:r w:rsidR="00E82055">
        <w:rPr>
          <w:rFonts w:ascii="Times New Roman" w:hAnsi="Times New Roman" w:cs="Times New Roman"/>
          <w:sz w:val="28"/>
          <w:szCs w:val="28"/>
          <w:lang w:val="uk-UA"/>
        </w:rPr>
        <w:t xml:space="preserve">  </w:t>
      </w:r>
      <w:r w:rsidR="00F74FC7">
        <w:rPr>
          <w:rFonts w:ascii="Times New Roman" w:hAnsi="Times New Roman" w:cs="Times New Roman"/>
          <w:sz w:val="28"/>
          <w:szCs w:val="28"/>
          <w:lang w:val="en-US"/>
        </w:rPr>
        <w:t>i</w:t>
      </w:r>
      <w:r w:rsidR="005438C8">
        <w:rPr>
          <w:rFonts w:ascii="Times New Roman" w:hAnsi="Times New Roman" w:cs="Times New Roman"/>
          <w:sz w:val="28"/>
          <w:szCs w:val="28"/>
          <w:lang w:val="uk-UA"/>
        </w:rPr>
        <w:t>з категорією А2</w:t>
      </w:r>
      <w:r w:rsidR="00F74FC7">
        <w:rPr>
          <w:rFonts w:ascii="Times New Roman" w:hAnsi="Times New Roman" w:cs="Times New Roman"/>
          <w:sz w:val="28"/>
          <w:szCs w:val="28"/>
          <w:lang w:val="uk-UA"/>
        </w:rPr>
        <w:t xml:space="preserve"> виявлено достов</w:t>
      </w:r>
      <w:r w:rsidR="00F74FC7">
        <w:rPr>
          <w:rFonts w:ascii="Times New Roman" w:hAnsi="Times New Roman" w:cs="Times New Roman"/>
          <w:sz w:val="28"/>
          <w:szCs w:val="28"/>
          <w:lang w:val="en-US"/>
        </w:rPr>
        <w:t>i</w:t>
      </w:r>
      <w:r w:rsidR="00FD7133">
        <w:rPr>
          <w:rFonts w:ascii="Times New Roman" w:hAnsi="Times New Roman" w:cs="Times New Roman"/>
          <w:sz w:val="28"/>
          <w:szCs w:val="28"/>
          <w:lang w:val="uk-UA"/>
        </w:rPr>
        <w:t>рно більший вміст</w:t>
      </w:r>
      <w:r w:rsidR="00F74FC7">
        <w:rPr>
          <w:rFonts w:ascii="Times New Roman" w:hAnsi="Times New Roman" w:cs="Times New Roman"/>
          <w:sz w:val="28"/>
          <w:szCs w:val="28"/>
          <w:lang w:val="uk-UA"/>
        </w:rPr>
        <w:t xml:space="preserve"> атерогенних ліпопротеїд</w:t>
      </w:r>
      <w:r w:rsidR="00F74FC7">
        <w:rPr>
          <w:rFonts w:ascii="Times New Roman" w:hAnsi="Times New Roman" w:cs="Times New Roman"/>
          <w:sz w:val="28"/>
          <w:szCs w:val="28"/>
          <w:lang w:val="en-US"/>
        </w:rPr>
        <w:t>i</w:t>
      </w:r>
      <w:r w:rsidR="00394D46">
        <w:rPr>
          <w:rFonts w:ascii="Times New Roman" w:hAnsi="Times New Roman" w:cs="Times New Roman"/>
          <w:sz w:val="28"/>
          <w:szCs w:val="28"/>
          <w:lang w:val="uk-UA"/>
        </w:rPr>
        <w:t>в</w:t>
      </w:r>
      <w:r w:rsidR="00FD7133">
        <w:rPr>
          <w:rFonts w:ascii="Times New Roman" w:hAnsi="Times New Roman" w:cs="Times New Roman"/>
          <w:sz w:val="28"/>
          <w:szCs w:val="28"/>
          <w:lang w:val="uk-UA"/>
        </w:rPr>
        <w:t xml:space="preserve"> та менший</w:t>
      </w:r>
      <w:r w:rsidR="00AB3B5C" w:rsidRPr="00AB3B5C">
        <w:rPr>
          <w:rFonts w:ascii="Times New Roman" w:hAnsi="Times New Roman" w:cs="Times New Roman"/>
          <w:sz w:val="28"/>
          <w:szCs w:val="28"/>
          <w:lang w:val="uk-UA"/>
        </w:rPr>
        <w:t xml:space="preserve"> </w:t>
      </w:r>
      <w:r w:rsidR="00F72A40">
        <w:rPr>
          <w:rFonts w:ascii="Times New Roman" w:hAnsi="Times New Roman" w:cs="Times New Roman"/>
          <w:sz w:val="28"/>
          <w:szCs w:val="28"/>
          <w:lang w:val="uk-UA"/>
        </w:rPr>
        <w:t>– антиатерогенних</w:t>
      </w:r>
      <w:r w:rsidR="00F74FC7">
        <w:rPr>
          <w:rFonts w:ascii="Times New Roman" w:hAnsi="Times New Roman" w:cs="Times New Roman"/>
          <w:sz w:val="28"/>
          <w:szCs w:val="28"/>
          <w:lang w:val="uk-UA"/>
        </w:rPr>
        <w:t>, н</w:t>
      </w:r>
      <w:r w:rsidR="00F74FC7">
        <w:rPr>
          <w:rFonts w:ascii="Times New Roman" w:hAnsi="Times New Roman" w:cs="Times New Roman"/>
          <w:sz w:val="28"/>
          <w:szCs w:val="28"/>
          <w:lang w:val="en-US"/>
        </w:rPr>
        <w:t>i</w:t>
      </w:r>
      <w:r w:rsidR="00F74FC7">
        <w:rPr>
          <w:rFonts w:ascii="Times New Roman" w:hAnsi="Times New Roman" w:cs="Times New Roman"/>
          <w:sz w:val="28"/>
          <w:szCs w:val="28"/>
          <w:lang w:val="uk-UA"/>
        </w:rPr>
        <w:t xml:space="preserve">ж у </w:t>
      </w:r>
      <w:r w:rsidR="009B7F65">
        <w:rPr>
          <w:rFonts w:ascii="Times New Roman" w:hAnsi="Times New Roman" w:cs="Times New Roman"/>
          <w:sz w:val="28"/>
          <w:szCs w:val="28"/>
          <w:lang w:val="uk-UA"/>
        </w:rPr>
        <w:t xml:space="preserve">хворих </w:t>
      </w:r>
      <w:r w:rsidR="00F74FC7">
        <w:rPr>
          <w:rFonts w:ascii="Times New Roman" w:hAnsi="Times New Roman" w:cs="Times New Roman"/>
          <w:sz w:val="28"/>
          <w:szCs w:val="28"/>
          <w:lang w:val="en-US"/>
        </w:rPr>
        <w:t>i</w:t>
      </w:r>
      <w:r w:rsidR="005438C8">
        <w:rPr>
          <w:rFonts w:ascii="Times New Roman" w:hAnsi="Times New Roman" w:cs="Times New Roman"/>
          <w:sz w:val="28"/>
          <w:szCs w:val="28"/>
          <w:lang w:val="uk-UA"/>
        </w:rPr>
        <w:t>з категорією А1</w:t>
      </w:r>
      <w:r w:rsidR="003D51E9">
        <w:rPr>
          <w:rFonts w:ascii="Times New Roman" w:hAnsi="Times New Roman" w:cs="Times New Roman"/>
          <w:sz w:val="28"/>
          <w:szCs w:val="28"/>
          <w:lang w:val="uk-UA"/>
        </w:rPr>
        <w:t xml:space="preserve"> </w:t>
      </w:r>
      <w:r w:rsidR="00E82055">
        <w:rPr>
          <w:rFonts w:ascii="Times New Roman" w:hAnsi="Times New Roman" w:cs="Times New Roman"/>
          <w:sz w:val="28"/>
          <w:szCs w:val="28"/>
          <w:lang w:val="uk-UA"/>
        </w:rPr>
        <w:t xml:space="preserve">  </w:t>
      </w:r>
      <w:r w:rsidR="003D51E9">
        <w:rPr>
          <w:rFonts w:ascii="Times New Roman" w:hAnsi="Times New Roman" w:cs="Times New Roman"/>
          <w:sz w:val="28"/>
          <w:szCs w:val="28"/>
          <w:lang w:val="uk-UA"/>
        </w:rPr>
        <w:t>(р &lt; 0,05)</w:t>
      </w:r>
      <w:r w:rsidR="00AB3B5C" w:rsidRPr="00AB3B5C">
        <w:rPr>
          <w:rFonts w:ascii="Times New Roman" w:hAnsi="Times New Roman" w:cs="Times New Roman"/>
          <w:sz w:val="28"/>
          <w:szCs w:val="28"/>
          <w:lang w:val="uk-UA"/>
        </w:rPr>
        <w:t>.</w:t>
      </w:r>
    </w:p>
    <w:p w:rsidR="00514CFE" w:rsidRDefault="00FD7133" w:rsidP="00AB3B5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47170A">
        <w:rPr>
          <w:rFonts w:ascii="Times New Roman" w:hAnsi="Times New Roman" w:cs="Times New Roman"/>
          <w:sz w:val="28"/>
          <w:szCs w:val="28"/>
          <w:lang w:val="uk-UA"/>
        </w:rPr>
        <w:t>ауковцями зазначено</w:t>
      </w:r>
      <w:r w:rsidR="00AB3B5C">
        <w:rPr>
          <w:rFonts w:ascii="Times New Roman" w:hAnsi="Times New Roman" w:cs="Times New Roman"/>
          <w:sz w:val="28"/>
          <w:szCs w:val="28"/>
          <w:lang w:val="uk-UA"/>
        </w:rPr>
        <w:t>,</w:t>
      </w:r>
      <w:r w:rsidR="0062410E">
        <w:rPr>
          <w:rFonts w:ascii="Times New Roman" w:hAnsi="Times New Roman" w:cs="Times New Roman"/>
          <w:sz w:val="28"/>
          <w:szCs w:val="28"/>
          <w:lang w:val="uk-UA"/>
        </w:rPr>
        <w:t xml:space="preserve"> </w:t>
      </w:r>
      <w:r w:rsidR="0047170A">
        <w:rPr>
          <w:rFonts w:ascii="Times New Roman" w:hAnsi="Times New Roman" w:cs="Times New Roman"/>
          <w:sz w:val="28"/>
          <w:szCs w:val="28"/>
          <w:lang w:val="uk-UA"/>
        </w:rPr>
        <w:t xml:space="preserve">що </w:t>
      </w:r>
      <w:r w:rsidR="0062410E">
        <w:rPr>
          <w:rFonts w:ascii="Times New Roman" w:hAnsi="Times New Roman" w:cs="Times New Roman"/>
          <w:sz w:val="28"/>
          <w:szCs w:val="28"/>
          <w:lang w:val="uk-UA"/>
        </w:rPr>
        <w:t>наявн</w:t>
      </w:r>
      <w:r w:rsidR="0062410E">
        <w:rPr>
          <w:rFonts w:ascii="Times New Roman" w:hAnsi="Times New Roman" w:cs="Times New Roman"/>
          <w:sz w:val="28"/>
          <w:szCs w:val="28"/>
          <w:lang w:val="en-US"/>
        </w:rPr>
        <w:t>i</w:t>
      </w:r>
      <w:r w:rsidR="00394D46">
        <w:rPr>
          <w:rFonts w:ascii="Times New Roman" w:hAnsi="Times New Roman" w:cs="Times New Roman"/>
          <w:sz w:val="28"/>
          <w:szCs w:val="28"/>
          <w:lang w:val="uk-UA"/>
        </w:rPr>
        <w:t xml:space="preserve">сть </w:t>
      </w:r>
      <w:r w:rsidR="00500D61">
        <w:rPr>
          <w:rFonts w:ascii="Times New Roman" w:hAnsi="Times New Roman" w:cs="Times New Roman"/>
          <w:sz w:val="28"/>
          <w:szCs w:val="28"/>
          <w:lang w:val="uk-UA"/>
        </w:rPr>
        <w:t xml:space="preserve">альбумінурії </w:t>
      </w:r>
      <w:r w:rsidR="00394D46">
        <w:rPr>
          <w:rFonts w:ascii="Times New Roman" w:hAnsi="Times New Roman" w:cs="Times New Roman"/>
          <w:sz w:val="28"/>
          <w:szCs w:val="28"/>
          <w:lang w:val="uk-UA"/>
        </w:rPr>
        <w:t xml:space="preserve">корелює </w:t>
      </w:r>
      <w:r w:rsidR="0062410E">
        <w:rPr>
          <w:rFonts w:ascii="Times New Roman" w:hAnsi="Times New Roman" w:cs="Times New Roman"/>
          <w:sz w:val="28"/>
          <w:szCs w:val="28"/>
          <w:lang w:val="uk-UA"/>
        </w:rPr>
        <w:t xml:space="preserve">з ознаками ЕД, бо одним </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з механ</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зм</w:t>
      </w:r>
      <w:r w:rsidR="0062410E">
        <w:rPr>
          <w:rFonts w:ascii="Times New Roman" w:hAnsi="Times New Roman" w:cs="Times New Roman"/>
          <w:sz w:val="28"/>
          <w:szCs w:val="28"/>
          <w:lang w:val="en-US"/>
        </w:rPr>
        <w:t>i</w:t>
      </w:r>
      <w:r w:rsidR="00AB3B5C" w:rsidRPr="00AB3B5C">
        <w:rPr>
          <w:rFonts w:ascii="Times New Roman" w:hAnsi="Times New Roman" w:cs="Times New Roman"/>
          <w:sz w:val="28"/>
          <w:szCs w:val="28"/>
          <w:lang w:val="uk-UA"/>
        </w:rPr>
        <w:t xml:space="preserve">в надходження </w:t>
      </w:r>
      <w:r w:rsidR="0062410E">
        <w:rPr>
          <w:rFonts w:ascii="Times New Roman" w:hAnsi="Times New Roman" w:cs="Times New Roman"/>
          <w:sz w:val="28"/>
          <w:szCs w:val="28"/>
          <w:lang w:val="uk-UA"/>
        </w:rPr>
        <w:t>альбум</w:t>
      </w:r>
      <w:r w:rsidR="0062410E">
        <w:rPr>
          <w:rFonts w:ascii="Times New Roman" w:hAnsi="Times New Roman" w:cs="Times New Roman"/>
          <w:sz w:val="28"/>
          <w:szCs w:val="28"/>
          <w:lang w:val="en-US"/>
        </w:rPr>
        <w:t>i</w:t>
      </w:r>
      <w:r w:rsidR="00AB3B5C" w:rsidRPr="00AB3B5C">
        <w:rPr>
          <w:rFonts w:ascii="Times New Roman" w:hAnsi="Times New Roman" w:cs="Times New Roman"/>
          <w:sz w:val="28"/>
          <w:szCs w:val="28"/>
          <w:lang w:val="uk-UA"/>
        </w:rPr>
        <w:t>ну до сеч</w:t>
      </w:r>
      <w:r w:rsidR="0062410E">
        <w:rPr>
          <w:rFonts w:ascii="Times New Roman" w:hAnsi="Times New Roman" w:cs="Times New Roman"/>
          <w:sz w:val="28"/>
          <w:szCs w:val="28"/>
          <w:lang w:val="en-US"/>
        </w:rPr>
        <w:t>i</w:t>
      </w:r>
      <w:r w:rsidR="00394D46">
        <w:rPr>
          <w:rFonts w:ascii="Times New Roman" w:hAnsi="Times New Roman" w:cs="Times New Roman"/>
          <w:sz w:val="28"/>
          <w:szCs w:val="28"/>
          <w:lang w:val="uk-UA"/>
        </w:rPr>
        <w:t xml:space="preserve"> є</w:t>
      </w:r>
      <w:r w:rsidR="0062410E">
        <w:rPr>
          <w:rFonts w:ascii="Times New Roman" w:hAnsi="Times New Roman" w:cs="Times New Roman"/>
          <w:sz w:val="28"/>
          <w:szCs w:val="28"/>
          <w:lang w:val="uk-UA"/>
        </w:rPr>
        <w:t xml:space="preserve"> безпосереднє </w:t>
      </w:r>
      <w:r w:rsidR="0062410E">
        <w:rPr>
          <w:rFonts w:ascii="Times New Roman" w:hAnsi="Times New Roman" w:cs="Times New Roman"/>
          <w:sz w:val="28"/>
          <w:szCs w:val="28"/>
          <w:lang w:val="uk-UA"/>
        </w:rPr>
        <w:lastRenderedPageBreak/>
        <w:t>ураження ендотел</w:t>
      </w:r>
      <w:r w:rsidR="0062410E">
        <w:rPr>
          <w:rFonts w:ascii="Times New Roman" w:hAnsi="Times New Roman" w:cs="Times New Roman"/>
          <w:sz w:val="28"/>
          <w:szCs w:val="28"/>
          <w:lang w:val="en-US"/>
        </w:rPr>
        <w:t>i</w:t>
      </w:r>
      <w:r w:rsidR="00AB3B5C" w:rsidRPr="00AB3B5C">
        <w:rPr>
          <w:rFonts w:ascii="Times New Roman" w:hAnsi="Times New Roman" w:cs="Times New Roman"/>
          <w:sz w:val="28"/>
          <w:szCs w:val="28"/>
          <w:lang w:val="uk-UA"/>
        </w:rPr>
        <w:t>ю судин [</w:t>
      </w:r>
      <w:r w:rsidR="00444930" w:rsidRPr="004900D9">
        <w:rPr>
          <w:rFonts w:ascii="Times New Roman" w:hAnsi="Times New Roman" w:cs="Times New Roman"/>
          <w:sz w:val="28"/>
          <w:szCs w:val="28"/>
          <w:lang w:val="uk-UA"/>
        </w:rPr>
        <w:t>68</w:t>
      </w:r>
      <w:r w:rsidR="00AB3B5C" w:rsidRPr="00AB3B5C">
        <w:rPr>
          <w:rFonts w:ascii="Times New Roman" w:hAnsi="Times New Roman" w:cs="Times New Roman"/>
          <w:sz w:val="28"/>
          <w:szCs w:val="28"/>
          <w:lang w:val="uk-UA"/>
        </w:rPr>
        <w:t>].</w:t>
      </w:r>
      <w:r w:rsidR="00E218A1">
        <w:rPr>
          <w:rFonts w:ascii="Times New Roman" w:hAnsi="Times New Roman" w:cs="Times New Roman"/>
          <w:sz w:val="28"/>
          <w:szCs w:val="28"/>
          <w:lang w:val="uk-UA"/>
        </w:rPr>
        <w:t xml:space="preserve"> С</w:t>
      </w:r>
      <w:r w:rsidR="00514CFE" w:rsidRPr="00514CFE">
        <w:rPr>
          <w:rFonts w:ascii="Times New Roman" w:hAnsi="Times New Roman" w:cs="Times New Roman"/>
          <w:sz w:val="28"/>
          <w:szCs w:val="28"/>
          <w:lang w:val="uk-UA"/>
        </w:rPr>
        <w:t>татисти</w:t>
      </w:r>
      <w:r w:rsidR="00E218A1">
        <w:rPr>
          <w:rFonts w:ascii="Times New Roman" w:hAnsi="Times New Roman" w:cs="Times New Roman"/>
          <w:sz w:val="28"/>
          <w:szCs w:val="28"/>
          <w:lang w:val="uk-UA"/>
        </w:rPr>
        <w:t xml:space="preserve">чно значущу кореляцiю </w:t>
      </w:r>
      <w:r w:rsidR="00E82055">
        <w:rPr>
          <w:rFonts w:ascii="Times New Roman" w:hAnsi="Times New Roman" w:cs="Times New Roman"/>
          <w:sz w:val="28"/>
          <w:szCs w:val="28"/>
          <w:lang w:val="uk-UA"/>
        </w:rPr>
        <w:t xml:space="preserve">                </w:t>
      </w:r>
      <w:r w:rsidR="00E218A1">
        <w:rPr>
          <w:rFonts w:ascii="Times New Roman" w:hAnsi="Times New Roman" w:cs="Times New Roman"/>
          <w:sz w:val="28"/>
          <w:szCs w:val="28"/>
          <w:lang w:val="uk-UA"/>
        </w:rPr>
        <w:t xml:space="preserve">мiж вмістом ЕТ-1 та альбумінурією було </w:t>
      </w:r>
      <w:r w:rsidR="00E218A1" w:rsidRPr="00E218A1">
        <w:rPr>
          <w:rFonts w:ascii="Times New Roman" w:hAnsi="Times New Roman" w:cs="Times New Roman"/>
          <w:sz w:val="28"/>
          <w:szCs w:val="28"/>
          <w:lang w:val="uk-UA"/>
        </w:rPr>
        <w:t>установлено</w:t>
      </w:r>
      <w:r w:rsidR="00514CFE">
        <w:rPr>
          <w:rFonts w:ascii="Times New Roman" w:hAnsi="Times New Roman" w:cs="Times New Roman"/>
          <w:sz w:val="28"/>
          <w:szCs w:val="28"/>
          <w:lang w:val="uk-UA"/>
        </w:rPr>
        <w:t xml:space="preserve"> </w:t>
      </w:r>
      <w:r w:rsidR="00E218A1">
        <w:rPr>
          <w:rFonts w:ascii="Times New Roman" w:hAnsi="Times New Roman" w:cs="Times New Roman"/>
          <w:sz w:val="28"/>
          <w:szCs w:val="28"/>
          <w:lang w:val="uk-UA"/>
        </w:rPr>
        <w:t xml:space="preserve">дослідниками </w:t>
      </w:r>
      <w:r w:rsidR="00E82055">
        <w:rPr>
          <w:rFonts w:ascii="Times New Roman" w:hAnsi="Times New Roman" w:cs="Times New Roman"/>
          <w:sz w:val="28"/>
          <w:szCs w:val="28"/>
          <w:lang w:val="uk-UA"/>
        </w:rPr>
        <w:t xml:space="preserve">               </w:t>
      </w:r>
      <w:r w:rsidR="00E218A1">
        <w:rPr>
          <w:rFonts w:ascii="Times New Roman" w:hAnsi="Times New Roman" w:cs="Times New Roman"/>
          <w:sz w:val="28"/>
          <w:szCs w:val="28"/>
          <w:lang w:val="uk-UA"/>
        </w:rPr>
        <w:t xml:space="preserve">у </w:t>
      </w:r>
      <w:r w:rsidR="00E218A1" w:rsidRPr="00E218A1">
        <w:rPr>
          <w:rFonts w:ascii="Times New Roman" w:hAnsi="Times New Roman" w:cs="Times New Roman"/>
          <w:sz w:val="28"/>
          <w:szCs w:val="28"/>
          <w:lang w:val="uk-UA"/>
        </w:rPr>
        <w:t>пацiєнтiв iз ЦД 2-го типу</w:t>
      </w:r>
      <w:r w:rsidR="005A00AF">
        <w:rPr>
          <w:rFonts w:ascii="Times New Roman" w:hAnsi="Times New Roman" w:cs="Times New Roman"/>
          <w:sz w:val="28"/>
          <w:szCs w:val="28"/>
          <w:lang w:val="uk-UA"/>
        </w:rPr>
        <w:t xml:space="preserve"> [</w:t>
      </w:r>
      <w:r w:rsidR="00444930" w:rsidRPr="004900D9">
        <w:rPr>
          <w:rFonts w:ascii="Times New Roman" w:hAnsi="Times New Roman" w:cs="Times New Roman"/>
          <w:sz w:val="28"/>
          <w:szCs w:val="28"/>
        </w:rPr>
        <w:t>181</w:t>
      </w:r>
      <w:r w:rsidR="00514CFE" w:rsidRPr="004900D9">
        <w:rPr>
          <w:rFonts w:ascii="Times New Roman" w:hAnsi="Times New Roman" w:cs="Times New Roman"/>
          <w:sz w:val="28"/>
          <w:szCs w:val="28"/>
          <w:lang w:val="uk-UA"/>
        </w:rPr>
        <w:t>]</w:t>
      </w:r>
      <w:r w:rsidR="00514CFE" w:rsidRPr="00514CFE">
        <w:rPr>
          <w:rFonts w:ascii="Times New Roman" w:hAnsi="Times New Roman" w:cs="Times New Roman"/>
          <w:sz w:val="28"/>
          <w:szCs w:val="28"/>
          <w:lang w:val="uk-UA"/>
        </w:rPr>
        <w:t>.</w:t>
      </w:r>
    </w:p>
    <w:p w:rsidR="00414B2E" w:rsidRDefault="004E4C5E" w:rsidP="001C158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Але ми</w:t>
      </w:r>
      <w:r w:rsidR="00394D46">
        <w:rPr>
          <w:rFonts w:ascii="Times New Roman" w:hAnsi="Times New Roman" w:cs="Times New Roman"/>
          <w:sz w:val="28"/>
          <w:szCs w:val="28"/>
          <w:lang w:val="uk-UA"/>
        </w:rPr>
        <w:t xml:space="preserve"> </w:t>
      </w:r>
      <w:r w:rsidR="00E218A1">
        <w:rPr>
          <w:rFonts w:ascii="Times New Roman" w:hAnsi="Times New Roman" w:cs="Times New Roman"/>
          <w:sz w:val="28"/>
          <w:szCs w:val="28"/>
          <w:lang w:val="uk-UA"/>
        </w:rPr>
        <w:t xml:space="preserve">саме у хворих на </w:t>
      </w:r>
      <w:r>
        <w:rPr>
          <w:rFonts w:ascii="Times New Roman" w:hAnsi="Times New Roman" w:cs="Times New Roman"/>
          <w:sz w:val="28"/>
          <w:szCs w:val="28"/>
          <w:lang w:val="uk-UA"/>
        </w:rPr>
        <w:t>АГ та ЦД 2-го типу</w:t>
      </w:r>
      <w:r w:rsidR="00E218A1">
        <w:rPr>
          <w:rFonts w:ascii="Times New Roman" w:hAnsi="Times New Roman" w:cs="Times New Roman"/>
          <w:sz w:val="28"/>
          <w:szCs w:val="28"/>
          <w:lang w:val="uk-UA"/>
        </w:rPr>
        <w:t xml:space="preserve"> виявили</w:t>
      </w:r>
      <w:r w:rsidR="00802D43">
        <w:rPr>
          <w:rFonts w:ascii="Times New Roman" w:hAnsi="Times New Roman" w:cs="Times New Roman"/>
          <w:sz w:val="28"/>
          <w:szCs w:val="28"/>
          <w:lang w:val="uk-UA"/>
        </w:rPr>
        <w:t xml:space="preserve">, що </w:t>
      </w:r>
      <w:r w:rsidR="00E82055">
        <w:rPr>
          <w:rFonts w:ascii="Times New Roman" w:hAnsi="Times New Roman" w:cs="Times New Roman"/>
          <w:sz w:val="28"/>
          <w:szCs w:val="28"/>
          <w:lang w:val="uk-UA"/>
        </w:rPr>
        <w:t xml:space="preserve">                      </w:t>
      </w:r>
      <w:r w:rsidR="00E218A1">
        <w:rPr>
          <w:rFonts w:ascii="Times New Roman" w:hAnsi="Times New Roman" w:cs="Times New Roman"/>
          <w:sz w:val="28"/>
          <w:szCs w:val="28"/>
          <w:lang w:val="uk-UA"/>
        </w:rPr>
        <w:t>із збільшенням вмісту</w:t>
      </w:r>
      <w:r w:rsidR="00500D61">
        <w:rPr>
          <w:rFonts w:ascii="Times New Roman" w:hAnsi="Times New Roman" w:cs="Times New Roman"/>
          <w:sz w:val="28"/>
          <w:szCs w:val="28"/>
          <w:lang w:val="uk-UA"/>
        </w:rPr>
        <w:t xml:space="preserve"> ЕТ-1 зростають і значення альбумінурії [</w:t>
      </w:r>
      <w:r w:rsidR="00444930" w:rsidRPr="004900D9">
        <w:rPr>
          <w:rFonts w:ascii="Times New Roman" w:hAnsi="Times New Roman" w:cs="Times New Roman"/>
          <w:sz w:val="28"/>
          <w:szCs w:val="28"/>
          <w:lang w:val="uk-UA"/>
        </w:rPr>
        <w:t>182</w:t>
      </w:r>
      <w:r w:rsidR="00500D61">
        <w:rPr>
          <w:rFonts w:ascii="Times New Roman" w:hAnsi="Times New Roman" w:cs="Times New Roman"/>
          <w:sz w:val="28"/>
          <w:szCs w:val="28"/>
          <w:lang w:val="uk-UA"/>
        </w:rPr>
        <w:t>]</w:t>
      </w:r>
      <w:r w:rsidR="00414B2E" w:rsidRPr="00414B2E">
        <w:rPr>
          <w:rFonts w:ascii="Times New Roman" w:hAnsi="Times New Roman" w:cs="Times New Roman"/>
          <w:sz w:val="28"/>
          <w:szCs w:val="28"/>
          <w:lang w:val="uk-UA"/>
        </w:rPr>
        <w:t xml:space="preserve">. </w:t>
      </w:r>
      <w:r w:rsidR="00414B2E">
        <w:rPr>
          <w:rFonts w:ascii="Times New Roman" w:hAnsi="Times New Roman" w:cs="Times New Roman"/>
          <w:sz w:val="28"/>
          <w:szCs w:val="28"/>
          <w:lang w:val="uk-UA"/>
        </w:rPr>
        <w:t xml:space="preserve">Це є </w:t>
      </w:r>
      <w:r w:rsidR="0062410E">
        <w:rPr>
          <w:rFonts w:ascii="Times New Roman" w:hAnsi="Times New Roman" w:cs="Times New Roman"/>
          <w:sz w:val="28"/>
          <w:szCs w:val="28"/>
          <w:lang w:val="uk-UA"/>
        </w:rPr>
        <w:t>п</w:t>
      </w:r>
      <w:r w:rsidR="0062410E">
        <w:rPr>
          <w:rFonts w:ascii="Times New Roman" w:hAnsi="Times New Roman" w:cs="Times New Roman"/>
          <w:sz w:val="28"/>
          <w:szCs w:val="28"/>
          <w:lang w:val="en-US"/>
        </w:rPr>
        <w:t>i</w:t>
      </w:r>
      <w:r w:rsidR="004016E5">
        <w:rPr>
          <w:rFonts w:ascii="Times New Roman" w:hAnsi="Times New Roman" w:cs="Times New Roman"/>
          <w:sz w:val="28"/>
          <w:szCs w:val="28"/>
          <w:lang w:val="uk-UA"/>
        </w:rPr>
        <w:t>дтвердженням</w:t>
      </w:r>
      <w:r w:rsidR="0062410E">
        <w:rPr>
          <w:rFonts w:ascii="Times New Roman" w:hAnsi="Times New Roman" w:cs="Times New Roman"/>
          <w:sz w:val="28"/>
          <w:szCs w:val="28"/>
          <w:lang w:val="uk-UA"/>
        </w:rPr>
        <w:t xml:space="preserve"> вагомої рол</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 xml:space="preserve"> </w:t>
      </w:r>
      <w:r w:rsidR="007F570D">
        <w:rPr>
          <w:rFonts w:ascii="Times New Roman" w:hAnsi="Times New Roman" w:cs="Times New Roman"/>
          <w:sz w:val="28"/>
          <w:szCs w:val="28"/>
          <w:lang w:val="uk-UA"/>
        </w:rPr>
        <w:t xml:space="preserve">підвищення вмісту зазначеного вазоконстриктора </w:t>
      </w:r>
      <w:r w:rsidR="00315E7C">
        <w:rPr>
          <w:rFonts w:ascii="Times New Roman" w:hAnsi="Times New Roman" w:cs="Times New Roman"/>
          <w:sz w:val="28"/>
          <w:szCs w:val="28"/>
          <w:lang w:val="uk-UA"/>
        </w:rPr>
        <w:t xml:space="preserve">у порушенні функціонального стану нирок </w:t>
      </w:r>
      <w:r w:rsidR="00414B2E">
        <w:rPr>
          <w:rFonts w:ascii="Times New Roman" w:hAnsi="Times New Roman" w:cs="Times New Roman"/>
          <w:sz w:val="28"/>
          <w:szCs w:val="28"/>
          <w:lang w:val="uk-UA"/>
        </w:rPr>
        <w:t>та</w:t>
      </w:r>
      <w:r w:rsidR="00414B2E" w:rsidRPr="00414B2E">
        <w:rPr>
          <w:lang w:val="uk-UA"/>
        </w:rPr>
        <w:t xml:space="preserve"> </w:t>
      </w:r>
      <w:r w:rsidR="0062410E">
        <w:rPr>
          <w:rFonts w:ascii="Times New Roman" w:hAnsi="Times New Roman" w:cs="Times New Roman"/>
          <w:sz w:val="28"/>
          <w:szCs w:val="28"/>
          <w:lang w:val="uk-UA"/>
        </w:rPr>
        <w:t>необх</w:t>
      </w:r>
      <w:r w:rsidR="0062410E">
        <w:rPr>
          <w:rFonts w:ascii="Times New Roman" w:hAnsi="Times New Roman" w:cs="Times New Roman"/>
          <w:sz w:val="28"/>
          <w:szCs w:val="28"/>
          <w:lang w:val="en-US"/>
        </w:rPr>
        <w:t>i</w:t>
      </w:r>
      <w:r w:rsidR="00414B2E">
        <w:rPr>
          <w:rFonts w:ascii="Times New Roman" w:hAnsi="Times New Roman" w:cs="Times New Roman"/>
          <w:sz w:val="28"/>
          <w:szCs w:val="28"/>
          <w:lang w:val="uk-UA"/>
        </w:rPr>
        <w:t>дн</w:t>
      </w:r>
      <w:r w:rsidR="0062410E">
        <w:rPr>
          <w:rFonts w:ascii="Times New Roman" w:hAnsi="Times New Roman" w:cs="Times New Roman"/>
          <w:sz w:val="28"/>
          <w:szCs w:val="28"/>
          <w:lang w:val="uk-UA"/>
        </w:rPr>
        <w:t>ост</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 xml:space="preserve"> призначення б</w:t>
      </w:r>
      <w:r w:rsidR="0062410E">
        <w:rPr>
          <w:rFonts w:ascii="Times New Roman" w:hAnsi="Times New Roman" w:cs="Times New Roman"/>
          <w:sz w:val="28"/>
          <w:szCs w:val="28"/>
          <w:lang w:val="en-US"/>
        </w:rPr>
        <w:t>i</w:t>
      </w:r>
      <w:r w:rsidR="00414B2E" w:rsidRPr="00414B2E">
        <w:rPr>
          <w:rFonts w:ascii="Times New Roman" w:hAnsi="Times New Roman" w:cs="Times New Roman"/>
          <w:sz w:val="28"/>
          <w:szCs w:val="28"/>
          <w:lang w:val="uk-UA"/>
        </w:rPr>
        <w:t>льшо</w:t>
      </w:r>
      <w:r w:rsidR="001C1587">
        <w:rPr>
          <w:rFonts w:ascii="Times New Roman" w:hAnsi="Times New Roman" w:cs="Times New Roman"/>
          <w:sz w:val="28"/>
          <w:szCs w:val="28"/>
          <w:lang w:val="uk-UA"/>
        </w:rPr>
        <w:t>ї дози нефр</w:t>
      </w:r>
      <w:r w:rsidR="0062410E">
        <w:rPr>
          <w:rFonts w:ascii="Times New Roman" w:hAnsi="Times New Roman" w:cs="Times New Roman"/>
          <w:sz w:val="28"/>
          <w:szCs w:val="28"/>
          <w:lang w:val="uk-UA"/>
        </w:rPr>
        <w:t xml:space="preserve">опротекторних </w:t>
      </w:r>
      <w:r w:rsidR="00E218A1">
        <w:rPr>
          <w:rFonts w:ascii="Times New Roman" w:hAnsi="Times New Roman" w:cs="Times New Roman"/>
          <w:sz w:val="28"/>
          <w:szCs w:val="28"/>
          <w:lang w:val="uk-UA"/>
        </w:rPr>
        <w:t xml:space="preserve">засобів </w:t>
      </w:r>
      <w:r w:rsidR="0062410E">
        <w:rPr>
          <w:rFonts w:ascii="Times New Roman" w:hAnsi="Times New Roman" w:cs="Times New Roman"/>
          <w:sz w:val="28"/>
          <w:szCs w:val="28"/>
          <w:lang w:val="uk-UA"/>
        </w:rPr>
        <w:t>у пац</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єнт</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 xml:space="preserve">в </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з б</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 xml:space="preserve">льшим </w:t>
      </w:r>
      <w:r w:rsidR="00E218A1">
        <w:rPr>
          <w:rFonts w:ascii="Times New Roman" w:hAnsi="Times New Roman" w:cs="Times New Roman"/>
          <w:sz w:val="28"/>
          <w:szCs w:val="28"/>
          <w:lang w:val="uk-UA"/>
        </w:rPr>
        <w:t xml:space="preserve">вмістом </w:t>
      </w:r>
      <w:r w:rsidR="00414B2E" w:rsidRPr="00414B2E">
        <w:rPr>
          <w:rFonts w:ascii="Times New Roman" w:hAnsi="Times New Roman" w:cs="Times New Roman"/>
          <w:sz w:val="28"/>
          <w:szCs w:val="28"/>
          <w:lang w:val="uk-UA"/>
        </w:rPr>
        <w:t>ЕТ-1.</w:t>
      </w:r>
      <w:r w:rsidR="00EC779A">
        <w:rPr>
          <w:rFonts w:ascii="Times New Roman" w:hAnsi="Times New Roman" w:cs="Times New Roman"/>
          <w:sz w:val="28"/>
          <w:szCs w:val="28"/>
          <w:lang w:val="uk-UA"/>
        </w:rPr>
        <w:t xml:space="preserve"> </w:t>
      </w:r>
    </w:p>
    <w:p w:rsidR="009C2565" w:rsidRDefault="00687E9F" w:rsidP="00687E9F">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нашому дослідженні у</w:t>
      </w:r>
      <w:r w:rsidR="00EC779A" w:rsidRPr="00EC779A">
        <w:rPr>
          <w:rFonts w:ascii="Times New Roman" w:hAnsi="Times New Roman" w:cs="Times New Roman"/>
          <w:sz w:val="28"/>
          <w:szCs w:val="28"/>
          <w:lang w:val="uk-UA"/>
        </w:rPr>
        <w:t>становлено</w:t>
      </w:r>
      <w:r w:rsidR="00E218A1">
        <w:rPr>
          <w:rFonts w:ascii="Times New Roman" w:hAnsi="Times New Roman" w:cs="Times New Roman"/>
          <w:sz w:val="28"/>
          <w:szCs w:val="28"/>
          <w:lang w:val="uk-UA"/>
        </w:rPr>
        <w:t xml:space="preserve"> зростання вмісту</w:t>
      </w:r>
      <w:r w:rsidR="005438C8">
        <w:rPr>
          <w:rFonts w:ascii="Times New Roman" w:hAnsi="Times New Roman" w:cs="Times New Roman"/>
          <w:sz w:val="28"/>
          <w:szCs w:val="28"/>
          <w:lang w:val="uk-UA"/>
        </w:rPr>
        <w:t xml:space="preserve"> ЕТ-1 у міру збільшення</w:t>
      </w:r>
      <w:r>
        <w:rPr>
          <w:rFonts w:ascii="Times New Roman" w:hAnsi="Times New Roman" w:cs="Times New Roman"/>
          <w:sz w:val="28"/>
          <w:szCs w:val="28"/>
          <w:lang w:val="uk-UA"/>
        </w:rPr>
        <w:t xml:space="preserve"> HbA1с</w:t>
      </w:r>
      <w:r w:rsidR="00E218A1">
        <w:rPr>
          <w:rFonts w:ascii="Times New Roman" w:hAnsi="Times New Roman" w:cs="Times New Roman"/>
          <w:sz w:val="28"/>
          <w:szCs w:val="28"/>
          <w:lang w:val="uk-UA"/>
        </w:rPr>
        <w:t xml:space="preserve"> (r = 0,4; p &lt; 0,0001) у хворих </w:t>
      </w:r>
      <w:r w:rsidR="00841ED6">
        <w:rPr>
          <w:rFonts w:ascii="Times New Roman" w:hAnsi="Times New Roman" w:cs="Times New Roman"/>
          <w:sz w:val="28"/>
          <w:szCs w:val="28"/>
          <w:lang w:val="uk-UA"/>
        </w:rPr>
        <w:t>на коморбідну патологі</w:t>
      </w:r>
      <w:r>
        <w:rPr>
          <w:rFonts w:ascii="Times New Roman" w:hAnsi="Times New Roman" w:cs="Times New Roman"/>
          <w:sz w:val="28"/>
          <w:szCs w:val="28"/>
          <w:lang w:val="uk-UA"/>
        </w:rPr>
        <w:t>ю</w:t>
      </w:r>
      <w:r w:rsidR="001C1587">
        <w:rPr>
          <w:rFonts w:ascii="Times New Roman" w:hAnsi="Times New Roman" w:cs="Times New Roman"/>
          <w:sz w:val="28"/>
          <w:szCs w:val="28"/>
          <w:lang w:val="uk-UA"/>
        </w:rPr>
        <w:t>.</w:t>
      </w:r>
      <w:r>
        <w:rPr>
          <w:rFonts w:ascii="Times New Roman" w:hAnsi="Times New Roman" w:cs="Times New Roman"/>
          <w:sz w:val="28"/>
          <w:szCs w:val="28"/>
          <w:lang w:val="uk-UA"/>
        </w:rPr>
        <w:t xml:space="preserve"> Це свідчить</w:t>
      </w:r>
      <w:r w:rsidR="00315E7C">
        <w:rPr>
          <w:rFonts w:ascii="Times New Roman" w:hAnsi="Times New Roman" w:cs="Times New Roman"/>
          <w:sz w:val="28"/>
          <w:szCs w:val="28"/>
          <w:lang w:val="uk-UA"/>
        </w:rPr>
        <w:t xml:space="preserve"> про те, що у міру</w:t>
      </w:r>
      <w:r>
        <w:rPr>
          <w:rFonts w:ascii="Times New Roman" w:hAnsi="Times New Roman" w:cs="Times New Roman"/>
          <w:sz w:val="28"/>
          <w:szCs w:val="28"/>
          <w:lang w:val="uk-UA"/>
        </w:rPr>
        <w:t xml:space="preserve"> </w:t>
      </w:r>
      <w:r w:rsidR="00315E7C">
        <w:rPr>
          <w:rFonts w:ascii="Times New Roman" w:hAnsi="Times New Roman" w:cs="Times New Roman"/>
          <w:sz w:val="28"/>
          <w:szCs w:val="28"/>
          <w:lang w:val="uk-UA"/>
        </w:rPr>
        <w:t>порушення</w:t>
      </w:r>
      <w:r w:rsidR="00AE50BD">
        <w:rPr>
          <w:rFonts w:ascii="Times New Roman" w:hAnsi="Times New Roman" w:cs="Times New Roman"/>
          <w:sz w:val="28"/>
          <w:szCs w:val="28"/>
          <w:lang w:val="uk-UA"/>
        </w:rPr>
        <w:t xml:space="preserve"> функціонального стану</w:t>
      </w:r>
      <w:r>
        <w:rPr>
          <w:rFonts w:ascii="Times New Roman" w:hAnsi="Times New Roman" w:cs="Times New Roman"/>
          <w:sz w:val="28"/>
          <w:szCs w:val="28"/>
          <w:lang w:val="uk-UA"/>
        </w:rPr>
        <w:t xml:space="preserve"> ендотелію зменшується компенсація ЦД 2-го типу.</w:t>
      </w:r>
    </w:p>
    <w:p w:rsidR="00F72A40" w:rsidRDefault="00E218A1" w:rsidP="00390F64">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пацієнтів із </w:t>
      </w:r>
      <w:r w:rsidR="004E4C5E">
        <w:rPr>
          <w:rFonts w:ascii="Times New Roman" w:hAnsi="Times New Roman" w:cs="Times New Roman"/>
          <w:sz w:val="28"/>
          <w:szCs w:val="28"/>
          <w:lang w:val="uk-UA"/>
        </w:rPr>
        <w:t>АГ та ЦД 2-го типу</w:t>
      </w:r>
      <w:r w:rsidR="00296C0B">
        <w:rPr>
          <w:rFonts w:ascii="Times New Roman" w:hAnsi="Times New Roman" w:cs="Times New Roman"/>
          <w:sz w:val="28"/>
          <w:szCs w:val="28"/>
          <w:lang w:val="uk-UA"/>
        </w:rPr>
        <w:t xml:space="preserve"> у</w:t>
      </w:r>
      <w:r w:rsidR="0062410E">
        <w:rPr>
          <w:rFonts w:ascii="Times New Roman" w:hAnsi="Times New Roman" w:cs="Times New Roman"/>
          <w:sz w:val="28"/>
          <w:szCs w:val="28"/>
          <w:lang w:val="uk-UA"/>
        </w:rPr>
        <w:t>становлено</w:t>
      </w:r>
      <w:r w:rsidR="00742F87">
        <w:rPr>
          <w:rFonts w:ascii="Times New Roman" w:hAnsi="Times New Roman" w:cs="Times New Roman"/>
          <w:sz w:val="28"/>
          <w:szCs w:val="28"/>
          <w:lang w:val="uk-UA"/>
        </w:rPr>
        <w:t xml:space="preserve">, що чим більшою </w:t>
      </w:r>
      <w:r w:rsidR="002548AC">
        <w:rPr>
          <w:rFonts w:ascii="Times New Roman" w:hAnsi="Times New Roman" w:cs="Times New Roman"/>
          <w:sz w:val="28"/>
          <w:szCs w:val="28"/>
          <w:lang w:val="uk-UA"/>
        </w:rPr>
        <w:t xml:space="preserve">виявлялась </w:t>
      </w:r>
      <w:r w:rsidR="00742F87">
        <w:rPr>
          <w:rFonts w:ascii="Times New Roman" w:hAnsi="Times New Roman" w:cs="Times New Roman"/>
          <w:sz w:val="28"/>
          <w:szCs w:val="28"/>
          <w:lang w:val="uk-UA"/>
        </w:rPr>
        <w:t>концентрація</w:t>
      </w:r>
      <w:r w:rsidR="0062410E">
        <w:rPr>
          <w:rFonts w:ascii="Times New Roman" w:hAnsi="Times New Roman" w:cs="Times New Roman"/>
          <w:sz w:val="28"/>
          <w:szCs w:val="28"/>
          <w:lang w:val="uk-UA"/>
        </w:rPr>
        <w:t xml:space="preserve"> sVCAM-1</w:t>
      </w:r>
      <w:r w:rsidR="008C4025">
        <w:rPr>
          <w:rFonts w:ascii="Times New Roman" w:hAnsi="Times New Roman" w:cs="Times New Roman"/>
          <w:sz w:val="28"/>
          <w:szCs w:val="28"/>
          <w:lang w:val="uk-UA"/>
        </w:rPr>
        <w:t>,</w:t>
      </w:r>
      <w:r w:rsidR="0062410E">
        <w:rPr>
          <w:rFonts w:ascii="Times New Roman" w:hAnsi="Times New Roman" w:cs="Times New Roman"/>
          <w:sz w:val="28"/>
          <w:szCs w:val="28"/>
          <w:lang w:val="uk-UA"/>
        </w:rPr>
        <w:t xml:space="preserve"> </w:t>
      </w:r>
      <w:r w:rsidR="008C4025">
        <w:rPr>
          <w:rFonts w:ascii="Times New Roman" w:hAnsi="Times New Roman" w:cs="Times New Roman"/>
          <w:sz w:val="28"/>
          <w:szCs w:val="28"/>
          <w:lang w:val="uk-UA"/>
        </w:rPr>
        <w:t xml:space="preserve">тим вищою була вираженість альбумінурії (r = 0,32; </w:t>
      </w:r>
      <w:r w:rsidR="007B0D82" w:rsidRPr="007B0D82">
        <w:rPr>
          <w:rFonts w:ascii="Times New Roman" w:hAnsi="Times New Roman" w:cs="Times New Roman"/>
          <w:sz w:val="28"/>
          <w:szCs w:val="28"/>
          <w:lang w:val="uk-UA"/>
        </w:rPr>
        <w:t>p = 0,0014).</w:t>
      </w:r>
      <w:r w:rsidR="0062410E">
        <w:rPr>
          <w:rFonts w:ascii="Times New Roman" w:hAnsi="Times New Roman" w:cs="Times New Roman"/>
          <w:sz w:val="28"/>
          <w:szCs w:val="28"/>
          <w:lang w:val="uk-UA"/>
        </w:rPr>
        <w:t xml:space="preserve"> Ц</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 xml:space="preserve"> дан</w:t>
      </w:r>
      <w:r w:rsidR="0062410E">
        <w:rPr>
          <w:rFonts w:ascii="Times New Roman" w:hAnsi="Times New Roman" w:cs="Times New Roman"/>
          <w:sz w:val="28"/>
          <w:szCs w:val="28"/>
          <w:lang w:val="en-US"/>
        </w:rPr>
        <w:t>i</w:t>
      </w:r>
      <w:r w:rsidR="0062410E">
        <w:rPr>
          <w:rFonts w:ascii="Times New Roman" w:hAnsi="Times New Roman" w:cs="Times New Roman"/>
          <w:sz w:val="28"/>
          <w:szCs w:val="28"/>
          <w:lang w:val="uk-UA"/>
        </w:rPr>
        <w:t xml:space="preserve"> зб</w:t>
      </w:r>
      <w:r w:rsidR="0062410E">
        <w:rPr>
          <w:rFonts w:ascii="Times New Roman" w:hAnsi="Times New Roman" w:cs="Times New Roman"/>
          <w:sz w:val="28"/>
          <w:szCs w:val="28"/>
          <w:lang w:val="en-US"/>
        </w:rPr>
        <w:t>i</w:t>
      </w:r>
      <w:r w:rsidR="00296C0B">
        <w:rPr>
          <w:rFonts w:ascii="Times New Roman" w:hAnsi="Times New Roman" w:cs="Times New Roman"/>
          <w:sz w:val="28"/>
          <w:szCs w:val="28"/>
          <w:lang w:val="uk-UA"/>
        </w:rPr>
        <w:t xml:space="preserve">гаються </w:t>
      </w:r>
      <w:r w:rsidR="007B0D82">
        <w:rPr>
          <w:rFonts w:ascii="Times New Roman" w:hAnsi="Times New Roman" w:cs="Times New Roman"/>
          <w:sz w:val="28"/>
          <w:szCs w:val="28"/>
          <w:lang w:val="uk-UA"/>
        </w:rPr>
        <w:t>з</w:t>
      </w:r>
      <w:r w:rsidR="002548AC">
        <w:rPr>
          <w:rFonts w:ascii="Times New Roman" w:hAnsi="Times New Roman" w:cs="Times New Roman"/>
          <w:sz w:val="28"/>
          <w:szCs w:val="28"/>
          <w:lang w:val="uk-UA"/>
        </w:rPr>
        <w:t xml:space="preserve"> даними</w:t>
      </w:r>
      <w:r w:rsidR="00671C86">
        <w:rPr>
          <w:rFonts w:ascii="Times New Roman" w:hAnsi="Times New Roman" w:cs="Times New Roman"/>
          <w:sz w:val="28"/>
          <w:szCs w:val="28"/>
          <w:lang w:val="uk-UA"/>
        </w:rPr>
        <w:t xml:space="preserve"> до</w:t>
      </w:r>
      <w:r w:rsidR="00FC6B5E">
        <w:rPr>
          <w:rFonts w:ascii="Times New Roman" w:hAnsi="Times New Roman" w:cs="Times New Roman"/>
          <w:sz w:val="28"/>
          <w:szCs w:val="28"/>
          <w:lang w:val="uk-UA"/>
        </w:rPr>
        <w:t>сл</w:t>
      </w:r>
      <w:r w:rsidR="00FC6B5E">
        <w:rPr>
          <w:rFonts w:ascii="Times New Roman" w:hAnsi="Times New Roman" w:cs="Times New Roman"/>
          <w:sz w:val="28"/>
          <w:szCs w:val="28"/>
          <w:lang w:val="en-US"/>
        </w:rPr>
        <w:t>i</w:t>
      </w:r>
      <w:r w:rsidR="00FC6B5E">
        <w:rPr>
          <w:rFonts w:ascii="Times New Roman" w:hAnsi="Times New Roman" w:cs="Times New Roman"/>
          <w:sz w:val="28"/>
          <w:szCs w:val="28"/>
          <w:lang w:val="uk-UA"/>
        </w:rPr>
        <w:t>дник</w:t>
      </w:r>
      <w:r w:rsidR="00FC6B5E">
        <w:rPr>
          <w:rFonts w:ascii="Times New Roman" w:hAnsi="Times New Roman" w:cs="Times New Roman"/>
          <w:sz w:val="28"/>
          <w:szCs w:val="28"/>
          <w:lang w:val="en-US"/>
        </w:rPr>
        <w:t>i</w:t>
      </w:r>
      <w:r w:rsidR="00296C0B">
        <w:rPr>
          <w:rFonts w:ascii="Times New Roman" w:hAnsi="Times New Roman" w:cs="Times New Roman"/>
          <w:sz w:val="28"/>
          <w:szCs w:val="28"/>
          <w:lang w:val="uk-UA"/>
        </w:rPr>
        <w:t xml:space="preserve">в, </w:t>
      </w:r>
      <w:r w:rsidR="003240FC">
        <w:rPr>
          <w:rFonts w:ascii="Times New Roman" w:hAnsi="Times New Roman" w:cs="Times New Roman"/>
          <w:sz w:val="28"/>
          <w:szCs w:val="28"/>
          <w:lang w:val="uk-UA"/>
        </w:rPr>
        <w:t xml:space="preserve">  </w:t>
      </w:r>
      <w:r w:rsidR="00296C0B">
        <w:rPr>
          <w:rFonts w:ascii="Times New Roman" w:hAnsi="Times New Roman" w:cs="Times New Roman"/>
          <w:sz w:val="28"/>
          <w:szCs w:val="28"/>
          <w:lang w:val="uk-UA"/>
        </w:rPr>
        <w:t>за результатами яких</w:t>
      </w:r>
      <w:r w:rsidR="00671C86">
        <w:rPr>
          <w:rFonts w:ascii="Times New Roman" w:hAnsi="Times New Roman" w:cs="Times New Roman"/>
          <w:sz w:val="28"/>
          <w:szCs w:val="28"/>
          <w:lang w:val="uk-UA"/>
        </w:rPr>
        <w:t xml:space="preserve"> </w:t>
      </w:r>
      <w:r w:rsidR="007B0D82">
        <w:rPr>
          <w:rFonts w:ascii="Times New Roman" w:hAnsi="Times New Roman" w:cs="Times New Roman"/>
          <w:sz w:val="28"/>
          <w:szCs w:val="28"/>
          <w:lang w:val="uk-UA"/>
        </w:rPr>
        <w:t>п</w:t>
      </w:r>
      <w:r w:rsidR="00FC6B5E">
        <w:rPr>
          <w:rFonts w:ascii="Times New Roman" w:hAnsi="Times New Roman" w:cs="Times New Roman"/>
          <w:sz w:val="28"/>
          <w:szCs w:val="28"/>
          <w:lang w:val="uk-UA"/>
        </w:rPr>
        <w:t xml:space="preserve">ідвищення </w:t>
      </w:r>
      <w:r w:rsidR="007D2F19">
        <w:rPr>
          <w:rFonts w:ascii="Times New Roman" w:hAnsi="Times New Roman" w:cs="Times New Roman"/>
          <w:sz w:val="28"/>
          <w:szCs w:val="28"/>
          <w:lang w:val="uk-UA"/>
        </w:rPr>
        <w:t xml:space="preserve">концентрації </w:t>
      </w:r>
      <w:r w:rsidR="007B0D82" w:rsidRPr="007B0D82">
        <w:rPr>
          <w:rFonts w:ascii="Times New Roman" w:hAnsi="Times New Roman" w:cs="Times New Roman"/>
          <w:sz w:val="28"/>
          <w:szCs w:val="28"/>
        </w:rPr>
        <w:t>sVCAM</w:t>
      </w:r>
      <w:r w:rsidR="00FC6B5E">
        <w:rPr>
          <w:rFonts w:ascii="Times New Roman" w:hAnsi="Times New Roman" w:cs="Times New Roman"/>
          <w:sz w:val="28"/>
          <w:szCs w:val="28"/>
          <w:lang w:val="uk-UA"/>
        </w:rPr>
        <w:t xml:space="preserve">-1 у хворих </w:t>
      </w:r>
      <w:r w:rsidR="003240FC">
        <w:rPr>
          <w:rFonts w:ascii="Times New Roman" w:hAnsi="Times New Roman" w:cs="Times New Roman"/>
          <w:sz w:val="28"/>
          <w:szCs w:val="28"/>
          <w:lang w:val="uk-UA"/>
        </w:rPr>
        <w:t xml:space="preserve">               </w:t>
      </w:r>
      <w:r w:rsidR="00FC6B5E">
        <w:rPr>
          <w:rFonts w:ascii="Times New Roman" w:hAnsi="Times New Roman" w:cs="Times New Roman"/>
          <w:sz w:val="28"/>
          <w:szCs w:val="28"/>
          <w:lang w:val="uk-UA"/>
        </w:rPr>
        <w:t>на ЦД корелює з</w:t>
      </w:r>
      <w:r w:rsidR="00FC6B5E">
        <w:rPr>
          <w:rFonts w:ascii="Times New Roman" w:hAnsi="Times New Roman" w:cs="Times New Roman"/>
          <w:sz w:val="28"/>
          <w:szCs w:val="28"/>
          <w:lang w:val="en-US"/>
        </w:rPr>
        <w:t>i</w:t>
      </w:r>
      <w:r w:rsidR="00FC6B5E">
        <w:rPr>
          <w:rFonts w:ascii="Times New Roman" w:hAnsi="Times New Roman" w:cs="Times New Roman"/>
          <w:sz w:val="28"/>
          <w:szCs w:val="28"/>
          <w:lang w:val="uk-UA"/>
        </w:rPr>
        <w:t xml:space="preserve"> ступенем тяжкост</w:t>
      </w:r>
      <w:r w:rsidR="00FC6B5E">
        <w:rPr>
          <w:rFonts w:ascii="Times New Roman" w:hAnsi="Times New Roman" w:cs="Times New Roman"/>
          <w:sz w:val="28"/>
          <w:szCs w:val="28"/>
          <w:lang w:val="en-US"/>
        </w:rPr>
        <w:t>i</w:t>
      </w:r>
      <w:r w:rsidR="00FC6B5E">
        <w:rPr>
          <w:rFonts w:ascii="Times New Roman" w:hAnsi="Times New Roman" w:cs="Times New Roman"/>
          <w:sz w:val="28"/>
          <w:szCs w:val="28"/>
          <w:lang w:val="uk-UA"/>
        </w:rPr>
        <w:t xml:space="preserve"> ураження м</w:t>
      </w:r>
      <w:r w:rsidR="00FC6B5E">
        <w:rPr>
          <w:rFonts w:ascii="Times New Roman" w:hAnsi="Times New Roman" w:cs="Times New Roman"/>
          <w:sz w:val="28"/>
          <w:szCs w:val="28"/>
          <w:lang w:val="en-US"/>
        </w:rPr>
        <w:t>i</w:t>
      </w:r>
      <w:r w:rsidR="004E4C5E">
        <w:rPr>
          <w:rFonts w:ascii="Times New Roman" w:hAnsi="Times New Roman" w:cs="Times New Roman"/>
          <w:sz w:val="28"/>
          <w:szCs w:val="28"/>
          <w:lang w:val="uk-UA"/>
        </w:rPr>
        <w:t xml:space="preserve">кросудинного русла, </w:t>
      </w:r>
      <w:r w:rsidR="003240FC">
        <w:rPr>
          <w:rFonts w:ascii="Times New Roman" w:hAnsi="Times New Roman" w:cs="Times New Roman"/>
          <w:sz w:val="28"/>
          <w:szCs w:val="28"/>
          <w:lang w:val="uk-UA"/>
        </w:rPr>
        <w:t xml:space="preserve">         </w:t>
      </w:r>
      <w:r w:rsidR="00FC6B5E">
        <w:rPr>
          <w:rFonts w:ascii="Times New Roman" w:hAnsi="Times New Roman" w:cs="Times New Roman"/>
          <w:sz w:val="28"/>
          <w:szCs w:val="28"/>
          <w:lang w:val="uk-UA"/>
        </w:rPr>
        <w:t>що св</w:t>
      </w:r>
      <w:r w:rsidR="00FC6B5E">
        <w:rPr>
          <w:rFonts w:ascii="Times New Roman" w:hAnsi="Times New Roman" w:cs="Times New Roman"/>
          <w:sz w:val="28"/>
          <w:szCs w:val="28"/>
          <w:lang w:val="en-US"/>
        </w:rPr>
        <w:t>i</w:t>
      </w:r>
      <w:r w:rsidR="007D2F19">
        <w:rPr>
          <w:rFonts w:ascii="Times New Roman" w:hAnsi="Times New Roman" w:cs="Times New Roman"/>
          <w:sz w:val="28"/>
          <w:szCs w:val="28"/>
          <w:lang w:val="uk-UA"/>
        </w:rPr>
        <w:t xml:space="preserve">дчить про важливу роль </w:t>
      </w:r>
      <w:r w:rsidR="000C0A39">
        <w:rPr>
          <w:rFonts w:ascii="Times New Roman" w:hAnsi="Times New Roman" w:cs="Times New Roman"/>
          <w:sz w:val="28"/>
          <w:szCs w:val="28"/>
          <w:lang w:val="uk-UA"/>
        </w:rPr>
        <w:t xml:space="preserve">порушення функціонального стану </w:t>
      </w:r>
      <w:r w:rsidR="00FC6B5E">
        <w:rPr>
          <w:rFonts w:ascii="Times New Roman" w:hAnsi="Times New Roman" w:cs="Times New Roman"/>
          <w:sz w:val="28"/>
          <w:szCs w:val="28"/>
          <w:lang w:val="uk-UA"/>
        </w:rPr>
        <w:t>ендотел</w:t>
      </w:r>
      <w:r w:rsidR="00FC6B5E">
        <w:rPr>
          <w:rFonts w:ascii="Times New Roman" w:hAnsi="Times New Roman" w:cs="Times New Roman"/>
          <w:sz w:val="28"/>
          <w:szCs w:val="28"/>
          <w:lang w:val="en-US"/>
        </w:rPr>
        <w:t>i</w:t>
      </w:r>
      <w:r w:rsidR="00FC6B5E">
        <w:rPr>
          <w:rFonts w:ascii="Times New Roman" w:hAnsi="Times New Roman" w:cs="Times New Roman"/>
          <w:sz w:val="28"/>
          <w:szCs w:val="28"/>
          <w:lang w:val="uk-UA"/>
        </w:rPr>
        <w:t>ю в процес</w:t>
      </w:r>
      <w:r w:rsidR="00FC6B5E">
        <w:rPr>
          <w:rFonts w:ascii="Times New Roman" w:hAnsi="Times New Roman" w:cs="Times New Roman"/>
          <w:sz w:val="28"/>
          <w:szCs w:val="28"/>
          <w:lang w:val="en-US"/>
        </w:rPr>
        <w:t>i</w:t>
      </w:r>
      <w:r w:rsidR="007B0D82">
        <w:rPr>
          <w:rFonts w:ascii="Times New Roman" w:hAnsi="Times New Roman" w:cs="Times New Roman"/>
          <w:sz w:val="28"/>
          <w:szCs w:val="28"/>
          <w:lang w:val="uk-UA"/>
        </w:rPr>
        <w:t xml:space="preserve"> розвитку ДН</w:t>
      </w:r>
      <w:r w:rsidR="00390F64">
        <w:rPr>
          <w:rFonts w:ascii="Times New Roman" w:hAnsi="Times New Roman" w:cs="Times New Roman"/>
          <w:sz w:val="28"/>
          <w:szCs w:val="28"/>
          <w:lang w:val="uk-UA"/>
        </w:rPr>
        <w:t xml:space="preserve"> [</w:t>
      </w:r>
      <w:r w:rsidR="00444930" w:rsidRPr="004900D9">
        <w:rPr>
          <w:rFonts w:ascii="Times New Roman" w:hAnsi="Times New Roman" w:cs="Times New Roman"/>
          <w:sz w:val="28"/>
          <w:szCs w:val="28"/>
          <w:lang w:val="uk-UA"/>
        </w:rPr>
        <w:t>75</w:t>
      </w:r>
      <w:r w:rsidR="00390F64" w:rsidRPr="004900D9">
        <w:rPr>
          <w:rFonts w:ascii="Times New Roman" w:hAnsi="Times New Roman" w:cs="Times New Roman"/>
          <w:sz w:val="28"/>
          <w:szCs w:val="28"/>
          <w:lang w:val="uk-UA"/>
        </w:rPr>
        <w:t>]</w:t>
      </w:r>
      <w:r w:rsidR="007B0D82" w:rsidRPr="007B0D82">
        <w:rPr>
          <w:rFonts w:ascii="Times New Roman" w:hAnsi="Times New Roman" w:cs="Times New Roman"/>
          <w:sz w:val="28"/>
          <w:szCs w:val="28"/>
          <w:lang w:val="uk-UA"/>
        </w:rPr>
        <w:t>.</w:t>
      </w:r>
      <w:r w:rsidR="004E4C5E">
        <w:rPr>
          <w:rFonts w:ascii="Times New Roman" w:hAnsi="Times New Roman" w:cs="Times New Roman"/>
          <w:sz w:val="28"/>
          <w:szCs w:val="28"/>
          <w:lang w:val="uk-UA"/>
        </w:rPr>
        <w:t xml:space="preserve"> Але</w:t>
      </w:r>
      <w:r w:rsidR="00FC6B5E">
        <w:rPr>
          <w:rFonts w:ascii="Times New Roman" w:hAnsi="Times New Roman" w:cs="Times New Roman"/>
          <w:sz w:val="28"/>
          <w:szCs w:val="28"/>
          <w:lang w:val="uk-UA"/>
        </w:rPr>
        <w:t xml:space="preserve"> ми констатували вказану залежн</w:t>
      </w:r>
      <w:r w:rsidR="00FC6B5E">
        <w:rPr>
          <w:rFonts w:ascii="Times New Roman" w:hAnsi="Times New Roman" w:cs="Times New Roman"/>
          <w:sz w:val="28"/>
          <w:szCs w:val="28"/>
          <w:lang w:val="en-US"/>
        </w:rPr>
        <w:t>i</w:t>
      </w:r>
      <w:r w:rsidR="004E4C5E">
        <w:rPr>
          <w:rFonts w:ascii="Times New Roman" w:hAnsi="Times New Roman" w:cs="Times New Roman"/>
          <w:sz w:val="28"/>
          <w:szCs w:val="28"/>
          <w:lang w:val="uk-UA"/>
        </w:rPr>
        <w:t>сть саме при</w:t>
      </w:r>
      <w:r w:rsidR="00FC6B5E">
        <w:rPr>
          <w:rFonts w:ascii="Times New Roman" w:hAnsi="Times New Roman" w:cs="Times New Roman"/>
          <w:sz w:val="28"/>
          <w:szCs w:val="28"/>
          <w:lang w:val="uk-UA"/>
        </w:rPr>
        <w:t xml:space="preserve"> коморб</w:t>
      </w:r>
      <w:r w:rsidR="00FC6B5E">
        <w:rPr>
          <w:rFonts w:ascii="Times New Roman" w:hAnsi="Times New Roman" w:cs="Times New Roman"/>
          <w:sz w:val="28"/>
          <w:szCs w:val="28"/>
          <w:lang w:val="en-US"/>
        </w:rPr>
        <w:t>i</w:t>
      </w:r>
      <w:r w:rsidR="00FC6B5E">
        <w:rPr>
          <w:rFonts w:ascii="Times New Roman" w:hAnsi="Times New Roman" w:cs="Times New Roman"/>
          <w:sz w:val="28"/>
          <w:szCs w:val="28"/>
          <w:lang w:val="uk-UA"/>
        </w:rPr>
        <w:t>дн</w:t>
      </w:r>
      <w:r w:rsidR="00FC6B5E">
        <w:rPr>
          <w:rFonts w:ascii="Times New Roman" w:hAnsi="Times New Roman" w:cs="Times New Roman"/>
          <w:sz w:val="28"/>
          <w:szCs w:val="28"/>
          <w:lang w:val="en-US"/>
        </w:rPr>
        <w:t>i</w:t>
      </w:r>
      <w:r w:rsidR="00FC6B5E">
        <w:rPr>
          <w:rFonts w:ascii="Times New Roman" w:hAnsi="Times New Roman" w:cs="Times New Roman"/>
          <w:sz w:val="28"/>
          <w:szCs w:val="28"/>
          <w:lang w:val="uk-UA"/>
        </w:rPr>
        <w:t>й патолог</w:t>
      </w:r>
      <w:r w:rsidR="00FC6B5E">
        <w:rPr>
          <w:rFonts w:ascii="Times New Roman" w:hAnsi="Times New Roman" w:cs="Times New Roman"/>
          <w:sz w:val="28"/>
          <w:szCs w:val="28"/>
          <w:lang w:val="en-US"/>
        </w:rPr>
        <w:t>i</w:t>
      </w:r>
      <w:r w:rsidR="004E4C5E">
        <w:rPr>
          <w:rFonts w:ascii="Times New Roman" w:hAnsi="Times New Roman" w:cs="Times New Roman"/>
          <w:sz w:val="28"/>
          <w:szCs w:val="28"/>
          <w:lang w:val="uk-UA"/>
        </w:rPr>
        <w:t>ї − АГ</w:t>
      </w:r>
      <w:r w:rsidR="007B0D82" w:rsidRPr="007B0D82">
        <w:rPr>
          <w:rFonts w:ascii="Times New Roman" w:hAnsi="Times New Roman" w:cs="Times New Roman"/>
          <w:sz w:val="28"/>
          <w:szCs w:val="28"/>
          <w:lang w:val="uk-UA"/>
        </w:rPr>
        <w:t xml:space="preserve"> </w:t>
      </w:r>
      <w:r w:rsidR="004E4C5E">
        <w:rPr>
          <w:rFonts w:ascii="Times New Roman" w:hAnsi="Times New Roman" w:cs="Times New Roman"/>
          <w:sz w:val="28"/>
          <w:szCs w:val="28"/>
          <w:lang w:val="uk-UA"/>
        </w:rPr>
        <w:t xml:space="preserve">та ЦД 2-го типу. </w:t>
      </w:r>
    </w:p>
    <w:p w:rsidR="00390F64" w:rsidRDefault="00DD662F" w:rsidP="00EA61EC">
      <w:pPr>
        <w:autoSpaceDE w:val="0"/>
        <w:autoSpaceDN w:val="0"/>
        <w:adjustRightInd w:val="0"/>
        <w:spacing w:after="0" w:line="360" w:lineRule="auto"/>
        <w:ind w:firstLine="708"/>
        <w:jc w:val="both"/>
        <w:rPr>
          <w:rFonts w:ascii="Times New Roman" w:hAnsi="Times New Roman" w:cs="Times New Roman"/>
          <w:sz w:val="28"/>
          <w:szCs w:val="28"/>
          <w:lang w:val="uk-UA"/>
        </w:rPr>
      </w:pPr>
      <w:r w:rsidRPr="00DD662F">
        <w:rPr>
          <w:rFonts w:ascii="Times New Roman" w:hAnsi="Times New Roman" w:cs="Times New Roman"/>
          <w:sz w:val="28"/>
          <w:szCs w:val="28"/>
          <w:lang w:val="uk-UA"/>
        </w:rPr>
        <w:t>Г</w:t>
      </w:r>
      <w:r w:rsidR="0005090A">
        <w:rPr>
          <w:rFonts w:ascii="Times New Roman" w:hAnsi="Times New Roman" w:cs="Times New Roman"/>
          <w:sz w:val="28"/>
          <w:szCs w:val="28"/>
          <w:lang w:val="en-US"/>
        </w:rPr>
        <w:t>i</w:t>
      </w:r>
      <w:r w:rsidR="0005090A">
        <w:rPr>
          <w:rFonts w:ascii="Times New Roman" w:hAnsi="Times New Roman" w:cs="Times New Roman"/>
          <w:sz w:val="28"/>
          <w:szCs w:val="28"/>
          <w:lang w:val="uk-UA"/>
        </w:rPr>
        <w:t>перурикем</w:t>
      </w:r>
      <w:r w:rsidR="0005090A">
        <w:rPr>
          <w:rFonts w:ascii="Times New Roman" w:hAnsi="Times New Roman" w:cs="Times New Roman"/>
          <w:sz w:val="28"/>
          <w:szCs w:val="28"/>
          <w:lang w:val="en-US"/>
        </w:rPr>
        <w:t>i</w:t>
      </w:r>
      <w:r>
        <w:rPr>
          <w:rFonts w:ascii="Times New Roman" w:hAnsi="Times New Roman" w:cs="Times New Roman"/>
          <w:sz w:val="28"/>
          <w:szCs w:val="28"/>
          <w:lang w:val="uk-UA"/>
        </w:rPr>
        <w:t>я</w:t>
      </w:r>
      <w:r w:rsidRPr="00DD662F">
        <w:rPr>
          <w:rFonts w:ascii="Times New Roman" w:hAnsi="Times New Roman" w:cs="Times New Roman"/>
          <w:sz w:val="28"/>
          <w:szCs w:val="28"/>
          <w:lang w:val="uk-UA"/>
        </w:rPr>
        <w:t xml:space="preserve"> на даний час визначена як складова серцево-с</w:t>
      </w:r>
      <w:r w:rsidR="007D2F19">
        <w:rPr>
          <w:rFonts w:ascii="Times New Roman" w:hAnsi="Times New Roman" w:cs="Times New Roman"/>
          <w:sz w:val="28"/>
          <w:szCs w:val="28"/>
          <w:lang w:val="uk-UA"/>
        </w:rPr>
        <w:t>удинного континууму та</w:t>
      </w:r>
      <w:r w:rsidRPr="00DD662F">
        <w:rPr>
          <w:rFonts w:ascii="Times New Roman" w:hAnsi="Times New Roman" w:cs="Times New Roman"/>
          <w:sz w:val="28"/>
          <w:szCs w:val="28"/>
          <w:lang w:val="uk-UA"/>
        </w:rPr>
        <w:t xml:space="preserve"> </w:t>
      </w:r>
      <w:r w:rsidR="007D2F19">
        <w:rPr>
          <w:rFonts w:ascii="Times New Roman" w:hAnsi="Times New Roman" w:cs="Times New Roman"/>
          <w:sz w:val="28"/>
          <w:szCs w:val="28"/>
          <w:lang w:val="uk-UA"/>
        </w:rPr>
        <w:t xml:space="preserve">чинник </w:t>
      </w:r>
      <w:r w:rsidRPr="00DD662F">
        <w:rPr>
          <w:rFonts w:ascii="Times New Roman" w:hAnsi="Times New Roman" w:cs="Times New Roman"/>
          <w:sz w:val="28"/>
          <w:szCs w:val="28"/>
          <w:lang w:val="uk-UA"/>
        </w:rPr>
        <w:t xml:space="preserve">ризику ССЗ, </w:t>
      </w:r>
      <w:r w:rsidR="0005090A">
        <w:rPr>
          <w:rFonts w:ascii="Times New Roman" w:hAnsi="Times New Roman" w:cs="Times New Roman"/>
          <w:sz w:val="28"/>
          <w:szCs w:val="28"/>
          <w:lang w:val="uk-UA"/>
        </w:rPr>
        <w:t>ураження орган</w:t>
      </w:r>
      <w:r w:rsidR="0005090A">
        <w:rPr>
          <w:rFonts w:ascii="Times New Roman" w:hAnsi="Times New Roman" w:cs="Times New Roman"/>
          <w:sz w:val="28"/>
          <w:szCs w:val="28"/>
          <w:lang w:val="en-US"/>
        </w:rPr>
        <w:t>i</w:t>
      </w:r>
      <w:r w:rsidR="0005090A">
        <w:rPr>
          <w:rFonts w:ascii="Times New Roman" w:hAnsi="Times New Roman" w:cs="Times New Roman"/>
          <w:sz w:val="28"/>
          <w:szCs w:val="28"/>
          <w:lang w:val="uk-UA"/>
        </w:rPr>
        <w:t>в-м</w:t>
      </w:r>
      <w:r w:rsidR="0005090A">
        <w:rPr>
          <w:rFonts w:ascii="Times New Roman" w:hAnsi="Times New Roman" w:cs="Times New Roman"/>
          <w:sz w:val="28"/>
          <w:szCs w:val="28"/>
          <w:lang w:val="en-US"/>
        </w:rPr>
        <w:t>i</w:t>
      </w:r>
      <w:r w:rsidRPr="00DD662F">
        <w:rPr>
          <w:rFonts w:ascii="Times New Roman" w:hAnsi="Times New Roman" w:cs="Times New Roman"/>
          <w:sz w:val="28"/>
          <w:szCs w:val="28"/>
          <w:lang w:val="uk-UA"/>
        </w:rPr>
        <w:t>шеней</w:t>
      </w:r>
      <w:r w:rsidRPr="007D2F19">
        <w:rPr>
          <w:rFonts w:ascii="Times New Roman" w:hAnsi="Times New Roman" w:cs="Times New Roman"/>
          <w:sz w:val="28"/>
          <w:szCs w:val="28"/>
          <w:lang w:val="uk-UA"/>
        </w:rPr>
        <w:t xml:space="preserve"> [</w:t>
      </w:r>
      <w:r w:rsidR="00444930" w:rsidRPr="004900D9">
        <w:rPr>
          <w:rFonts w:ascii="Times New Roman" w:hAnsi="Times New Roman" w:cs="Times New Roman"/>
          <w:sz w:val="28"/>
          <w:szCs w:val="28"/>
        </w:rPr>
        <w:t>183</w:t>
      </w:r>
      <w:r w:rsidRPr="007D2F19">
        <w:rPr>
          <w:rFonts w:ascii="Times New Roman" w:hAnsi="Times New Roman" w:cs="Times New Roman"/>
          <w:sz w:val="28"/>
          <w:szCs w:val="28"/>
          <w:lang w:val="uk-UA"/>
        </w:rPr>
        <w:t>].</w:t>
      </w:r>
      <w:r w:rsidRPr="00DD662F">
        <w:rPr>
          <w:rFonts w:ascii="Times New Roman" w:hAnsi="Times New Roman" w:cs="Times New Roman"/>
          <w:sz w:val="28"/>
          <w:szCs w:val="28"/>
          <w:lang w:val="uk-UA"/>
        </w:rPr>
        <w:t xml:space="preserve"> </w:t>
      </w:r>
      <w:r w:rsidR="007D2F19">
        <w:rPr>
          <w:rFonts w:ascii="Times New Roman" w:hAnsi="Times New Roman" w:cs="Times New Roman"/>
          <w:sz w:val="28"/>
          <w:szCs w:val="28"/>
          <w:lang w:val="uk-UA"/>
        </w:rPr>
        <w:t>Дослідниками у пацієнтів</w:t>
      </w:r>
      <w:r w:rsidR="00CA64DC">
        <w:rPr>
          <w:rFonts w:ascii="Times New Roman" w:hAnsi="Times New Roman" w:cs="Times New Roman"/>
          <w:sz w:val="28"/>
          <w:szCs w:val="28"/>
          <w:lang w:val="uk-UA"/>
        </w:rPr>
        <w:t xml:space="preserve"> із ЦД 2-го типу </w:t>
      </w:r>
      <w:r w:rsidR="007D2F19">
        <w:rPr>
          <w:rFonts w:ascii="Times New Roman" w:hAnsi="Times New Roman" w:cs="Times New Roman"/>
          <w:sz w:val="28"/>
          <w:szCs w:val="28"/>
          <w:lang w:val="uk-UA"/>
        </w:rPr>
        <w:t>виявлено, що із зростанням вмісту</w:t>
      </w:r>
      <w:r w:rsidR="00CA64DC">
        <w:rPr>
          <w:rFonts w:ascii="Times New Roman" w:hAnsi="Times New Roman" w:cs="Times New Roman"/>
          <w:sz w:val="28"/>
          <w:szCs w:val="28"/>
          <w:lang w:val="uk-UA"/>
        </w:rPr>
        <w:t xml:space="preserve"> сечової кислоти в крові </w:t>
      </w:r>
      <w:r w:rsidR="00EA61EC">
        <w:rPr>
          <w:rFonts w:ascii="Times New Roman" w:hAnsi="Times New Roman" w:cs="Times New Roman"/>
          <w:sz w:val="28"/>
          <w:szCs w:val="28"/>
          <w:lang w:val="uk-UA"/>
        </w:rPr>
        <w:t>достовірно збільшується</w:t>
      </w:r>
      <w:r w:rsidR="00CA64DC">
        <w:rPr>
          <w:rFonts w:ascii="Times New Roman" w:hAnsi="Times New Roman" w:cs="Times New Roman"/>
          <w:sz w:val="28"/>
          <w:szCs w:val="28"/>
          <w:lang w:val="uk-UA"/>
        </w:rPr>
        <w:t xml:space="preserve">  </w:t>
      </w:r>
      <w:r w:rsidR="00EA61EC">
        <w:rPr>
          <w:rFonts w:ascii="Times New Roman" w:hAnsi="Times New Roman" w:cs="Times New Roman"/>
          <w:sz w:val="28"/>
          <w:szCs w:val="28"/>
          <w:lang w:val="uk-UA"/>
        </w:rPr>
        <w:t>співвідношення альбуміну до креатиніну в сечі, знижується ШКФ [</w:t>
      </w:r>
      <w:r w:rsidR="00444930" w:rsidRPr="004900D9">
        <w:rPr>
          <w:rFonts w:ascii="Times New Roman" w:hAnsi="Times New Roman" w:cs="Times New Roman"/>
          <w:sz w:val="28"/>
          <w:szCs w:val="28"/>
          <w:lang w:val="uk-UA"/>
        </w:rPr>
        <w:t>71</w:t>
      </w:r>
      <w:r w:rsidR="00EA61EC" w:rsidRPr="004900D9">
        <w:rPr>
          <w:rFonts w:ascii="Times New Roman" w:hAnsi="Times New Roman" w:cs="Times New Roman"/>
          <w:sz w:val="28"/>
          <w:szCs w:val="28"/>
          <w:lang w:val="uk-UA"/>
        </w:rPr>
        <w:t>,</w:t>
      </w:r>
      <w:r w:rsidR="00444930" w:rsidRPr="004900D9">
        <w:rPr>
          <w:rFonts w:ascii="Times New Roman" w:hAnsi="Times New Roman" w:cs="Times New Roman"/>
          <w:sz w:val="28"/>
          <w:szCs w:val="28"/>
          <w:lang w:val="uk-UA"/>
        </w:rPr>
        <w:t>91</w:t>
      </w:r>
      <w:r w:rsidR="00EA61EC" w:rsidRPr="004900D9">
        <w:rPr>
          <w:rFonts w:ascii="Times New Roman" w:hAnsi="Times New Roman" w:cs="Times New Roman"/>
          <w:sz w:val="28"/>
          <w:szCs w:val="28"/>
          <w:lang w:val="uk-UA"/>
        </w:rPr>
        <w:t>].</w:t>
      </w:r>
      <w:r w:rsidR="00EA61EC">
        <w:rPr>
          <w:rFonts w:ascii="Times New Roman" w:hAnsi="Times New Roman" w:cs="Times New Roman"/>
          <w:sz w:val="28"/>
          <w:szCs w:val="28"/>
          <w:lang w:val="uk-UA"/>
        </w:rPr>
        <w:t xml:space="preserve"> Але нами саме </w:t>
      </w:r>
      <w:r w:rsidR="004A73A2">
        <w:rPr>
          <w:rFonts w:ascii="Times New Roman" w:hAnsi="Times New Roman" w:cs="Times New Roman"/>
          <w:sz w:val="28"/>
          <w:szCs w:val="28"/>
          <w:lang w:val="uk-UA"/>
        </w:rPr>
        <w:t>у коморбідних хворих на АГ та супутній</w:t>
      </w:r>
      <w:r w:rsidR="00EA61EC">
        <w:rPr>
          <w:rFonts w:ascii="Times New Roman" w:hAnsi="Times New Roman" w:cs="Times New Roman"/>
          <w:sz w:val="28"/>
          <w:szCs w:val="28"/>
          <w:lang w:val="uk-UA"/>
        </w:rPr>
        <w:t xml:space="preserve"> ЦД 2-го типу у</w:t>
      </w:r>
      <w:r w:rsidR="0005090A">
        <w:rPr>
          <w:rFonts w:ascii="Times New Roman" w:hAnsi="Times New Roman" w:cs="Times New Roman"/>
          <w:sz w:val="28"/>
          <w:szCs w:val="28"/>
          <w:lang w:val="uk-UA"/>
        </w:rPr>
        <w:t xml:space="preserve">становлено </w:t>
      </w:r>
      <w:r w:rsidR="0030051E">
        <w:rPr>
          <w:rFonts w:ascii="Times New Roman" w:hAnsi="Times New Roman" w:cs="Times New Roman"/>
          <w:sz w:val="28"/>
          <w:szCs w:val="28"/>
          <w:lang w:val="uk-UA"/>
        </w:rPr>
        <w:t>позитивну</w:t>
      </w:r>
      <w:r w:rsidR="0005090A">
        <w:rPr>
          <w:rFonts w:ascii="Times New Roman" w:hAnsi="Times New Roman" w:cs="Times New Roman"/>
          <w:sz w:val="28"/>
          <w:szCs w:val="28"/>
          <w:lang w:val="uk-UA"/>
        </w:rPr>
        <w:t xml:space="preserve"> залежн</w:t>
      </w:r>
      <w:r w:rsidR="0005090A">
        <w:rPr>
          <w:rFonts w:ascii="Times New Roman" w:hAnsi="Times New Roman" w:cs="Times New Roman"/>
          <w:sz w:val="28"/>
          <w:szCs w:val="28"/>
          <w:lang w:val="en-US"/>
        </w:rPr>
        <w:t>i</w:t>
      </w:r>
      <w:r w:rsidR="0005090A">
        <w:rPr>
          <w:rFonts w:ascii="Times New Roman" w:hAnsi="Times New Roman" w:cs="Times New Roman"/>
          <w:sz w:val="28"/>
          <w:szCs w:val="28"/>
          <w:lang w:val="uk-UA"/>
        </w:rPr>
        <w:t>сть м</w:t>
      </w:r>
      <w:r w:rsidR="0005090A">
        <w:rPr>
          <w:rFonts w:ascii="Times New Roman" w:hAnsi="Times New Roman" w:cs="Times New Roman"/>
          <w:sz w:val="28"/>
          <w:szCs w:val="28"/>
          <w:lang w:val="en-US"/>
        </w:rPr>
        <w:t>i</w:t>
      </w:r>
      <w:r w:rsidR="0005090A">
        <w:rPr>
          <w:rFonts w:ascii="Times New Roman" w:hAnsi="Times New Roman" w:cs="Times New Roman"/>
          <w:sz w:val="28"/>
          <w:szCs w:val="28"/>
          <w:lang w:val="uk-UA"/>
        </w:rPr>
        <w:t xml:space="preserve">ж </w:t>
      </w:r>
      <w:r w:rsidR="004A73A2">
        <w:rPr>
          <w:rFonts w:ascii="Times New Roman" w:hAnsi="Times New Roman" w:cs="Times New Roman"/>
          <w:sz w:val="28"/>
          <w:szCs w:val="28"/>
          <w:lang w:val="uk-UA"/>
        </w:rPr>
        <w:t xml:space="preserve">урикемією </w:t>
      </w:r>
      <w:r w:rsidR="0005090A">
        <w:rPr>
          <w:rFonts w:ascii="Times New Roman" w:hAnsi="Times New Roman" w:cs="Times New Roman"/>
          <w:sz w:val="28"/>
          <w:szCs w:val="28"/>
          <w:lang w:val="uk-UA"/>
        </w:rPr>
        <w:t>та сп</w:t>
      </w:r>
      <w:r w:rsidR="0005090A">
        <w:rPr>
          <w:rFonts w:ascii="Times New Roman" w:hAnsi="Times New Roman" w:cs="Times New Roman"/>
          <w:sz w:val="28"/>
          <w:szCs w:val="28"/>
          <w:lang w:val="en-US"/>
        </w:rPr>
        <w:t>i</w:t>
      </w:r>
      <w:r w:rsidR="0005090A">
        <w:rPr>
          <w:rFonts w:ascii="Times New Roman" w:hAnsi="Times New Roman" w:cs="Times New Roman"/>
          <w:sz w:val="28"/>
          <w:szCs w:val="28"/>
          <w:lang w:val="uk-UA"/>
        </w:rPr>
        <w:t>вв</w:t>
      </w:r>
      <w:r w:rsidR="0005090A">
        <w:rPr>
          <w:rFonts w:ascii="Times New Roman" w:hAnsi="Times New Roman" w:cs="Times New Roman"/>
          <w:sz w:val="28"/>
          <w:szCs w:val="28"/>
          <w:lang w:val="en-US"/>
        </w:rPr>
        <w:t>i</w:t>
      </w:r>
      <w:r w:rsidR="0005090A">
        <w:rPr>
          <w:rFonts w:ascii="Times New Roman" w:hAnsi="Times New Roman" w:cs="Times New Roman"/>
          <w:sz w:val="28"/>
          <w:szCs w:val="28"/>
          <w:lang w:val="uk-UA"/>
        </w:rPr>
        <w:t>дношенням альбум</w:t>
      </w:r>
      <w:r w:rsidR="0005090A">
        <w:rPr>
          <w:rFonts w:ascii="Times New Roman" w:hAnsi="Times New Roman" w:cs="Times New Roman"/>
          <w:sz w:val="28"/>
          <w:szCs w:val="28"/>
          <w:lang w:val="en-US"/>
        </w:rPr>
        <w:t>i</w:t>
      </w:r>
      <w:r w:rsidR="001F2825" w:rsidRPr="001F2825">
        <w:rPr>
          <w:rFonts w:ascii="Times New Roman" w:hAnsi="Times New Roman" w:cs="Times New Roman"/>
          <w:sz w:val="28"/>
          <w:szCs w:val="28"/>
          <w:lang w:val="uk-UA"/>
        </w:rPr>
        <w:t xml:space="preserve">ну до </w:t>
      </w:r>
      <w:r w:rsidR="0005090A">
        <w:rPr>
          <w:rFonts w:ascii="Times New Roman" w:hAnsi="Times New Roman" w:cs="Times New Roman"/>
          <w:sz w:val="28"/>
          <w:szCs w:val="28"/>
          <w:lang w:val="uk-UA"/>
        </w:rPr>
        <w:t>креатин</w:t>
      </w:r>
      <w:r w:rsidR="0005090A">
        <w:rPr>
          <w:rFonts w:ascii="Times New Roman" w:hAnsi="Times New Roman" w:cs="Times New Roman"/>
          <w:sz w:val="28"/>
          <w:szCs w:val="28"/>
          <w:lang w:val="en-US"/>
        </w:rPr>
        <w:t>i</w:t>
      </w:r>
      <w:r w:rsidR="00875AE8" w:rsidRPr="00875AE8">
        <w:rPr>
          <w:rFonts w:ascii="Times New Roman" w:hAnsi="Times New Roman" w:cs="Times New Roman"/>
          <w:sz w:val="28"/>
          <w:szCs w:val="28"/>
          <w:lang w:val="uk-UA"/>
        </w:rPr>
        <w:t xml:space="preserve">ну (r = 0,25; </w:t>
      </w:r>
      <w:r w:rsidR="00B12999">
        <w:rPr>
          <w:rFonts w:ascii="Times New Roman" w:hAnsi="Times New Roman" w:cs="Times New Roman"/>
          <w:sz w:val="28"/>
          <w:szCs w:val="28"/>
          <w:lang w:val="uk-UA"/>
        </w:rPr>
        <w:t xml:space="preserve">           </w:t>
      </w:r>
      <w:r w:rsidR="00875AE8" w:rsidRPr="00875AE8">
        <w:rPr>
          <w:rFonts w:ascii="Times New Roman" w:hAnsi="Times New Roman" w:cs="Times New Roman"/>
          <w:sz w:val="28"/>
          <w:szCs w:val="28"/>
          <w:lang w:val="uk-UA"/>
        </w:rPr>
        <w:t>p = 0,0135</w:t>
      </w:r>
      <w:r w:rsidR="001F2825" w:rsidRPr="00875AE8">
        <w:rPr>
          <w:rFonts w:ascii="Times New Roman" w:hAnsi="Times New Roman" w:cs="Times New Roman"/>
          <w:sz w:val="28"/>
          <w:szCs w:val="28"/>
          <w:lang w:val="uk-UA"/>
        </w:rPr>
        <w:t xml:space="preserve">). </w:t>
      </w:r>
    </w:p>
    <w:p w:rsidR="00EA61EC" w:rsidRDefault="00974512" w:rsidP="001F2825">
      <w:pPr>
        <w:autoSpaceDE w:val="0"/>
        <w:autoSpaceDN w:val="0"/>
        <w:adjustRightInd w:val="0"/>
        <w:spacing w:after="0" w:line="360" w:lineRule="auto"/>
        <w:ind w:firstLine="708"/>
        <w:jc w:val="both"/>
        <w:rPr>
          <w:rFonts w:ascii="Times New Roman" w:hAnsi="Times New Roman" w:cs="Times New Roman"/>
          <w:sz w:val="28"/>
          <w:szCs w:val="28"/>
          <w:lang w:val="uk-UA"/>
        </w:rPr>
      </w:pPr>
      <w:r w:rsidRPr="00875AE8">
        <w:rPr>
          <w:rFonts w:ascii="Times New Roman" w:hAnsi="Times New Roman" w:cs="Times New Roman"/>
          <w:sz w:val="28"/>
          <w:szCs w:val="28"/>
          <w:lang w:val="uk-UA"/>
        </w:rPr>
        <w:lastRenderedPageBreak/>
        <w:t>Вия</w:t>
      </w:r>
      <w:r w:rsidR="001F2825" w:rsidRPr="00875AE8">
        <w:rPr>
          <w:rFonts w:ascii="Times New Roman" w:hAnsi="Times New Roman" w:cs="Times New Roman"/>
          <w:sz w:val="28"/>
          <w:szCs w:val="28"/>
          <w:lang w:val="uk-UA"/>
        </w:rPr>
        <w:t>влено</w:t>
      </w:r>
      <w:r w:rsidR="0030051E">
        <w:rPr>
          <w:rFonts w:ascii="Times New Roman" w:hAnsi="Times New Roman" w:cs="Times New Roman"/>
          <w:sz w:val="28"/>
          <w:szCs w:val="28"/>
          <w:lang w:val="uk-UA"/>
        </w:rPr>
        <w:t xml:space="preserve">, що </w:t>
      </w:r>
      <w:r w:rsidR="004A73A2">
        <w:rPr>
          <w:rFonts w:ascii="Times New Roman" w:hAnsi="Times New Roman" w:cs="Times New Roman"/>
          <w:sz w:val="28"/>
          <w:szCs w:val="28"/>
          <w:lang w:val="uk-UA"/>
        </w:rPr>
        <w:t xml:space="preserve">у пацієнтів </w:t>
      </w:r>
      <w:r w:rsidR="0030051E">
        <w:rPr>
          <w:rFonts w:ascii="Times New Roman" w:hAnsi="Times New Roman" w:cs="Times New Roman"/>
          <w:sz w:val="28"/>
          <w:szCs w:val="28"/>
          <w:lang w:val="uk-UA"/>
        </w:rPr>
        <w:t xml:space="preserve">із АГ та ЦД 2-го типу у міру зростання </w:t>
      </w:r>
      <w:r w:rsidR="004A73A2">
        <w:rPr>
          <w:rFonts w:ascii="Times New Roman" w:hAnsi="Times New Roman" w:cs="Times New Roman"/>
          <w:sz w:val="28"/>
          <w:szCs w:val="28"/>
          <w:lang w:val="uk-UA"/>
        </w:rPr>
        <w:t xml:space="preserve">вмісту сечової кислоти в крові </w:t>
      </w:r>
      <w:r w:rsidR="0030051E">
        <w:rPr>
          <w:rFonts w:ascii="Times New Roman" w:hAnsi="Times New Roman" w:cs="Times New Roman"/>
          <w:sz w:val="28"/>
          <w:szCs w:val="28"/>
          <w:lang w:val="uk-UA"/>
        </w:rPr>
        <w:t>зменшувалась ШКФ [</w:t>
      </w:r>
      <w:r w:rsidR="00444930" w:rsidRPr="004900D9">
        <w:rPr>
          <w:rFonts w:ascii="Times New Roman" w:hAnsi="Times New Roman" w:cs="Times New Roman"/>
          <w:sz w:val="28"/>
          <w:szCs w:val="28"/>
          <w:lang w:val="uk-UA"/>
        </w:rPr>
        <w:t>184</w:t>
      </w:r>
      <w:r w:rsidR="0030051E" w:rsidRPr="004900D9">
        <w:rPr>
          <w:rFonts w:ascii="Times New Roman" w:hAnsi="Times New Roman" w:cs="Times New Roman"/>
          <w:sz w:val="28"/>
          <w:szCs w:val="28"/>
          <w:lang w:val="uk-UA"/>
        </w:rPr>
        <w:t>]</w:t>
      </w:r>
      <w:r w:rsidR="001F2825" w:rsidRPr="00875AE8">
        <w:rPr>
          <w:rFonts w:ascii="Times New Roman" w:hAnsi="Times New Roman" w:cs="Times New Roman"/>
          <w:sz w:val="28"/>
          <w:szCs w:val="28"/>
          <w:lang w:val="uk-UA"/>
        </w:rPr>
        <w:t>.</w:t>
      </w:r>
      <w:r w:rsidR="0030051E">
        <w:rPr>
          <w:rFonts w:ascii="Times New Roman" w:hAnsi="Times New Roman" w:cs="Times New Roman"/>
          <w:sz w:val="28"/>
          <w:szCs w:val="28"/>
          <w:lang w:val="uk-UA"/>
        </w:rPr>
        <w:t xml:space="preserve"> </w:t>
      </w:r>
      <w:r w:rsidRPr="00875AE8">
        <w:rPr>
          <w:rFonts w:ascii="Times New Roman" w:hAnsi="Times New Roman" w:cs="Times New Roman"/>
          <w:sz w:val="28"/>
          <w:szCs w:val="28"/>
          <w:lang w:val="uk-UA"/>
        </w:rPr>
        <w:t>Отже, у нашому</w:t>
      </w:r>
      <w:r w:rsidR="0005090A">
        <w:rPr>
          <w:rFonts w:ascii="Times New Roman" w:hAnsi="Times New Roman" w:cs="Times New Roman"/>
          <w:sz w:val="28"/>
          <w:szCs w:val="28"/>
          <w:lang w:val="uk-UA"/>
        </w:rPr>
        <w:t xml:space="preserve"> досл</w:t>
      </w:r>
      <w:r w:rsidR="0005090A">
        <w:rPr>
          <w:rFonts w:ascii="Times New Roman" w:hAnsi="Times New Roman" w:cs="Times New Roman"/>
          <w:sz w:val="28"/>
          <w:szCs w:val="28"/>
          <w:lang w:val="en-US"/>
        </w:rPr>
        <w:t>i</w:t>
      </w:r>
      <w:r w:rsidR="0038166B">
        <w:rPr>
          <w:rFonts w:ascii="Times New Roman" w:hAnsi="Times New Roman" w:cs="Times New Roman"/>
          <w:sz w:val="28"/>
          <w:szCs w:val="28"/>
          <w:lang w:val="uk-UA"/>
        </w:rPr>
        <w:t>дженн</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 вищенаведен</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 </w:t>
      </w:r>
      <w:r w:rsidR="0030051E">
        <w:rPr>
          <w:rFonts w:ascii="Times New Roman" w:hAnsi="Times New Roman" w:cs="Times New Roman"/>
          <w:sz w:val="28"/>
          <w:szCs w:val="28"/>
          <w:lang w:val="uk-UA"/>
        </w:rPr>
        <w:t xml:space="preserve">результати </w:t>
      </w:r>
      <w:r w:rsidR="0038166B">
        <w:rPr>
          <w:rFonts w:ascii="Times New Roman" w:hAnsi="Times New Roman" w:cs="Times New Roman"/>
          <w:sz w:val="28"/>
          <w:szCs w:val="28"/>
          <w:lang w:val="uk-UA"/>
        </w:rPr>
        <w:t>св</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дчать про роль </w:t>
      </w:r>
      <w:r w:rsidR="004A73A2">
        <w:rPr>
          <w:rFonts w:ascii="Times New Roman" w:hAnsi="Times New Roman" w:cs="Times New Roman"/>
          <w:sz w:val="28"/>
          <w:szCs w:val="28"/>
          <w:lang w:val="uk-UA"/>
        </w:rPr>
        <w:t>гіпер</w:t>
      </w:r>
      <w:r w:rsidR="0038166B">
        <w:rPr>
          <w:rFonts w:ascii="Times New Roman" w:hAnsi="Times New Roman" w:cs="Times New Roman"/>
          <w:sz w:val="28"/>
          <w:szCs w:val="28"/>
          <w:lang w:val="uk-UA"/>
        </w:rPr>
        <w:t>урикем</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ї </w:t>
      </w:r>
      <w:r w:rsidR="009A33BB">
        <w:rPr>
          <w:rFonts w:ascii="Times New Roman" w:hAnsi="Times New Roman" w:cs="Times New Roman"/>
          <w:sz w:val="28"/>
          <w:szCs w:val="28"/>
          <w:lang w:val="uk-UA"/>
        </w:rPr>
        <w:t xml:space="preserve">            </w:t>
      </w:r>
      <w:r w:rsidR="0038166B">
        <w:rPr>
          <w:rFonts w:ascii="Times New Roman" w:hAnsi="Times New Roman" w:cs="Times New Roman"/>
          <w:sz w:val="28"/>
          <w:szCs w:val="28"/>
          <w:lang w:val="uk-UA"/>
        </w:rPr>
        <w:t xml:space="preserve">у розвитку та </w:t>
      </w:r>
      <w:r w:rsidR="00A8298E">
        <w:rPr>
          <w:rFonts w:ascii="Times New Roman" w:hAnsi="Times New Roman" w:cs="Times New Roman"/>
          <w:sz w:val="28"/>
          <w:szCs w:val="28"/>
          <w:lang w:val="uk-UA"/>
        </w:rPr>
        <w:t xml:space="preserve">погіршенні функції нирок </w:t>
      </w:r>
      <w:r w:rsidR="0038166B">
        <w:rPr>
          <w:rFonts w:ascii="Times New Roman" w:hAnsi="Times New Roman" w:cs="Times New Roman"/>
          <w:sz w:val="28"/>
          <w:szCs w:val="28"/>
          <w:lang w:val="uk-UA"/>
        </w:rPr>
        <w:t>за наявност</w:t>
      </w:r>
      <w:r w:rsidR="0038166B">
        <w:rPr>
          <w:rFonts w:ascii="Times New Roman" w:hAnsi="Times New Roman" w:cs="Times New Roman"/>
          <w:sz w:val="28"/>
          <w:szCs w:val="28"/>
          <w:lang w:val="en-US"/>
        </w:rPr>
        <w:t>i</w:t>
      </w:r>
      <w:r w:rsidR="007525E5">
        <w:rPr>
          <w:rFonts w:ascii="Times New Roman" w:hAnsi="Times New Roman" w:cs="Times New Roman"/>
          <w:sz w:val="28"/>
          <w:szCs w:val="28"/>
          <w:lang w:val="uk-UA"/>
        </w:rPr>
        <w:t xml:space="preserve"> супутньої АГ</w:t>
      </w:r>
      <w:r>
        <w:rPr>
          <w:rFonts w:ascii="Times New Roman" w:hAnsi="Times New Roman" w:cs="Times New Roman"/>
          <w:sz w:val="28"/>
          <w:szCs w:val="28"/>
          <w:lang w:val="uk-UA"/>
        </w:rPr>
        <w:t xml:space="preserve">. </w:t>
      </w:r>
    </w:p>
    <w:p w:rsidR="00F92990" w:rsidRPr="00C2188B" w:rsidRDefault="0038166B" w:rsidP="001F2825">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Проте, за результатами досл</w:t>
      </w:r>
      <w:r>
        <w:rPr>
          <w:rFonts w:ascii="Times New Roman" w:hAnsi="Times New Roman" w:cs="Times New Roman"/>
          <w:sz w:val="28"/>
          <w:szCs w:val="28"/>
          <w:lang w:val="en-US"/>
        </w:rPr>
        <w:t>i</w:t>
      </w:r>
      <w:r>
        <w:rPr>
          <w:rFonts w:ascii="Times New Roman" w:hAnsi="Times New Roman" w:cs="Times New Roman"/>
          <w:sz w:val="28"/>
          <w:szCs w:val="28"/>
          <w:lang w:val="uk-UA"/>
        </w:rPr>
        <w:t>дник</w:t>
      </w:r>
      <w:r>
        <w:rPr>
          <w:rFonts w:ascii="Times New Roman" w:hAnsi="Times New Roman" w:cs="Times New Roman"/>
          <w:sz w:val="28"/>
          <w:szCs w:val="28"/>
          <w:lang w:val="en-US"/>
        </w:rPr>
        <w:t>i</w:t>
      </w:r>
      <w:r w:rsidR="004A73A2">
        <w:rPr>
          <w:rFonts w:ascii="Times New Roman" w:hAnsi="Times New Roman" w:cs="Times New Roman"/>
          <w:sz w:val="28"/>
          <w:szCs w:val="28"/>
          <w:lang w:val="uk-UA"/>
        </w:rPr>
        <w:t>в,</w:t>
      </w:r>
      <w:r w:rsidR="00974512" w:rsidRPr="00BE3912">
        <w:rPr>
          <w:rFonts w:ascii="Times New Roman" w:hAnsi="Times New Roman" w:cs="Times New Roman"/>
          <w:sz w:val="28"/>
          <w:szCs w:val="28"/>
          <w:lang w:val="uk-UA"/>
        </w:rPr>
        <w:t xml:space="preserve"> </w:t>
      </w:r>
      <w:r w:rsidR="004A73A2">
        <w:rPr>
          <w:rFonts w:ascii="Times New Roman" w:hAnsi="Times New Roman" w:cs="Times New Roman"/>
          <w:sz w:val="28"/>
          <w:szCs w:val="28"/>
          <w:lang w:val="uk-UA"/>
        </w:rPr>
        <w:t>вміст</w:t>
      </w:r>
      <w:r w:rsidR="00296C0B">
        <w:rPr>
          <w:rFonts w:ascii="Times New Roman" w:hAnsi="Times New Roman" w:cs="Times New Roman"/>
          <w:sz w:val="28"/>
          <w:szCs w:val="28"/>
          <w:lang w:val="uk-UA"/>
        </w:rPr>
        <w:t xml:space="preserve"> сечової кислоти </w:t>
      </w:r>
      <w:r w:rsidR="004A73A2">
        <w:rPr>
          <w:rFonts w:ascii="Times New Roman" w:hAnsi="Times New Roman" w:cs="Times New Roman"/>
          <w:sz w:val="28"/>
          <w:szCs w:val="28"/>
          <w:lang w:val="uk-UA"/>
        </w:rPr>
        <w:t xml:space="preserve">у пацієнтів </w:t>
      </w:r>
      <w:r>
        <w:rPr>
          <w:rFonts w:ascii="Times New Roman" w:hAnsi="Times New Roman" w:cs="Times New Roman"/>
          <w:sz w:val="28"/>
          <w:szCs w:val="28"/>
          <w:lang w:val="en-US"/>
        </w:rPr>
        <w:t>i</w:t>
      </w:r>
      <w:r>
        <w:rPr>
          <w:rFonts w:ascii="Times New Roman" w:hAnsi="Times New Roman" w:cs="Times New Roman"/>
          <w:sz w:val="28"/>
          <w:szCs w:val="28"/>
          <w:lang w:val="uk-UA"/>
        </w:rPr>
        <w:t>з нормо-, м</w:t>
      </w:r>
      <w:r>
        <w:rPr>
          <w:rFonts w:ascii="Times New Roman" w:hAnsi="Times New Roman" w:cs="Times New Roman"/>
          <w:sz w:val="28"/>
          <w:szCs w:val="28"/>
          <w:lang w:val="en-US"/>
        </w:rPr>
        <w:t>i</w:t>
      </w:r>
      <w:r w:rsidR="00BE3912">
        <w:rPr>
          <w:rFonts w:ascii="Times New Roman" w:hAnsi="Times New Roman" w:cs="Times New Roman"/>
          <w:sz w:val="28"/>
          <w:szCs w:val="28"/>
          <w:lang w:val="uk-UA"/>
        </w:rPr>
        <w:t>кро-, макроальбу</w:t>
      </w:r>
      <w:r>
        <w:rPr>
          <w:rFonts w:ascii="Times New Roman" w:hAnsi="Times New Roman" w:cs="Times New Roman"/>
          <w:sz w:val="28"/>
          <w:szCs w:val="28"/>
          <w:lang w:val="uk-UA"/>
        </w:rPr>
        <w:t>м</w:t>
      </w:r>
      <w:r>
        <w:rPr>
          <w:rFonts w:ascii="Times New Roman" w:hAnsi="Times New Roman" w:cs="Times New Roman"/>
          <w:sz w:val="28"/>
          <w:szCs w:val="28"/>
          <w:lang w:val="en-US"/>
        </w:rPr>
        <w:t>i</w:t>
      </w:r>
      <w:r>
        <w:rPr>
          <w:rFonts w:ascii="Times New Roman" w:hAnsi="Times New Roman" w:cs="Times New Roman"/>
          <w:sz w:val="28"/>
          <w:szCs w:val="28"/>
          <w:lang w:val="uk-UA"/>
        </w:rPr>
        <w:t>нур</w:t>
      </w:r>
      <w:r>
        <w:rPr>
          <w:rFonts w:ascii="Times New Roman" w:hAnsi="Times New Roman" w:cs="Times New Roman"/>
          <w:sz w:val="28"/>
          <w:szCs w:val="28"/>
          <w:lang w:val="en-US"/>
        </w:rPr>
        <w:t>i</w:t>
      </w:r>
      <w:r w:rsidR="00BE3912">
        <w:rPr>
          <w:rFonts w:ascii="Times New Roman" w:hAnsi="Times New Roman" w:cs="Times New Roman"/>
          <w:sz w:val="28"/>
          <w:szCs w:val="28"/>
          <w:lang w:val="uk-UA"/>
        </w:rPr>
        <w:t>єю</w:t>
      </w:r>
      <w:r w:rsidR="00BE3912" w:rsidRPr="00BE3912">
        <w:rPr>
          <w:rFonts w:ascii="Times New Roman" w:hAnsi="Times New Roman" w:cs="Times New Roman"/>
          <w:sz w:val="28"/>
          <w:szCs w:val="28"/>
          <w:lang w:val="uk-UA"/>
        </w:rPr>
        <w:t xml:space="preserve"> </w:t>
      </w:r>
      <w:r>
        <w:rPr>
          <w:rFonts w:ascii="Times New Roman" w:hAnsi="Times New Roman" w:cs="Times New Roman"/>
          <w:sz w:val="28"/>
          <w:szCs w:val="28"/>
          <w:lang w:val="uk-UA"/>
        </w:rPr>
        <w:t>та п</w:t>
      </w:r>
      <w:r>
        <w:rPr>
          <w:rFonts w:ascii="Times New Roman" w:hAnsi="Times New Roman" w:cs="Times New Roman"/>
          <w:sz w:val="28"/>
          <w:szCs w:val="28"/>
          <w:lang w:val="en-US"/>
        </w:rPr>
        <w:t>i</w:t>
      </w:r>
      <w:r w:rsidR="00BE3912">
        <w:rPr>
          <w:rFonts w:ascii="Times New Roman" w:hAnsi="Times New Roman" w:cs="Times New Roman"/>
          <w:sz w:val="28"/>
          <w:szCs w:val="28"/>
          <w:lang w:val="uk-UA"/>
        </w:rPr>
        <w:t>дтверджени</w:t>
      </w:r>
      <w:r>
        <w:rPr>
          <w:rFonts w:ascii="Times New Roman" w:hAnsi="Times New Roman" w:cs="Times New Roman"/>
          <w:sz w:val="28"/>
          <w:szCs w:val="28"/>
          <w:lang w:val="uk-UA"/>
        </w:rPr>
        <w:t>м д</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агнозом </w:t>
      </w:r>
      <w:r w:rsidR="000E12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ЦД 2-го типу </w:t>
      </w:r>
      <w:r>
        <w:rPr>
          <w:rFonts w:ascii="Times New Roman" w:hAnsi="Times New Roman" w:cs="Times New Roman"/>
          <w:sz w:val="28"/>
          <w:szCs w:val="28"/>
          <w:lang w:val="en-US"/>
        </w:rPr>
        <w:t>i</w:t>
      </w:r>
      <w:r w:rsidR="00296C0B">
        <w:rPr>
          <w:rFonts w:ascii="Times New Roman" w:hAnsi="Times New Roman" w:cs="Times New Roman"/>
          <w:sz w:val="28"/>
          <w:szCs w:val="28"/>
          <w:lang w:val="uk-UA"/>
        </w:rPr>
        <w:t>стотно</w:t>
      </w:r>
      <w:r>
        <w:rPr>
          <w:rFonts w:ascii="Times New Roman" w:hAnsi="Times New Roman" w:cs="Times New Roman"/>
          <w:sz w:val="28"/>
          <w:szCs w:val="28"/>
          <w:lang w:val="uk-UA"/>
        </w:rPr>
        <w:t xml:space="preserve"> не в</w:t>
      </w:r>
      <w:r>
        <w:rPr>
          <w:rFonts w:ascii="Times New Roman" w:hAnsi="Times New Roman" w:cs="Times New Roman"/>
          <w:sz w:val="28"/>
          <w:szCs w:val="28"/>
          <w:lang w:val="en-US"/>
        </w:rPr>
        <w:t>i</w:t>
      </w:r>
      <w:r>
        <w:rPr>
          <w:rFonts w:ascii="Times New Roman" w:hAnsi="Times New Roman" w:cs="Times New Roman"/>
          <w:sz w:val="28"/>
          <w:szCs w:val="28"/>
          <w:lang w:val="uk-UA"/>
        </w:rPr>
        <w:t>др</w:t>
      </w:r>
      <w:r>
        <w:rPr>
          <w:rFonts w:ascii="Times New Roman" w:hAnsi="Times New Roman" w:cs="Times New Roman"/>
          <w:sz w:val="28"/>
          <w:szCs w:val="28"/>
          <w:lang w:val="en-US"/>
        </w:rPr>
        <w:t>i</w:t>
      </w:r>
      <w:r w:rsidR="00BE3912">
        <w:rPr>
          <w:rFonts w:ascii="Times New Roman" w:hAnsi="Times New Roman" w:cs="Times New Roman"/>
          <w:sz w:val="28"/>
          <w:szCs w:val="28"/>
          <w:lang w:val="uk-UA"/>
        </w:rPr>
        <w:t xml:space="preserve">знявся </w:t>
      </w:r>
      <w:r w:rsidR="00BE3912" w:rsidRPr="00BE3912">
        <w:rPr>
          <w:rFonts w:ascii="Times New Roman" w:hAnsi="Times New Roman" w:cs="Times New Roman"/>
          <w:sz w:val="28"/>
          <w:szCs w:val="28"/>
          <w:lang w:val="uk-UA"/>
        </w:rPr>
        <w:t>[</w:t>
      </w:r>
      <w:r w:rsidR="00444930" w:rsidRPr="004900D9">
        <w:rPr>
          <w:rFonts w:ascii="Times New Roman" w:hAnsi="Times New Roman" w:cs="Times New Roman"/>
          <w:sz w:val="28"/>
          <w:szCs w:val="28"/>
          <w:lang w:val="uk-UA"/>
        </w:rPr>
        <w:t>185</w:t>
      </w:r>
      <w:r w:rsidR="00BE3912" w:rsidRPr="004900D9">
        <w:rPr>
          <w:rFonts w:ascii="Times New Roman" w:hAnsi="Times New Roman" w:cs="Times New Roman"/>
          <w:sz w:val="28"/>
          <w:szCs w:val="28"/>
          <w:lang w:val="uk-UA"/>
        </w:rPr>
        <w:t>]</w:t>
      </w:r>
      <w:r w:rsidR="00BE3912" w:rsidRPr="00BE3912">
        <w:rPr>
          <w:rFonts w:ascii="Times New Roman" w:hAnsi="Times New Roman" w:cs="Times New Roman"/>
          <w:sz w:val="28"/>
          <w:szCs w:val="28"/>
          <w:lang w:val="uk-UA"/>
        </w:rPr>
        <w:t>.</w:t>
      </w:r>
      <w:r w:rsidR="004A73A2">
        <w:rPr>
          <w:rFonts w:ascii="Times New Roman" w:hAnsi="Times New Roman" w:cs="Times New Roman"/>
          <w:sz w:val="28"/>
          <w:szCs w:val="28"/>
          <w:lang w:val="uk-UA"/>
        </w:rPr>
        <w:t xml:space="preserve"> Н</w:t>
      </w:r>
      <w:r>
        <w:rPr>
          <w:rFonts w:ascii="Times New Roman" w:hAnsi="Times New Roman" w:cs="Times New Roman"/>
          <w:sz w:val="28"/>
          <w:szCs w:val="28"/>
          <w:lang w:val="uk-UA"/>
        </w:rPr>
        <w:t>ауковц</w:t>
      </w:r>
      <w:r w:rsidR="004A73A2">
        <w:rPr>
          <w:rFonts w:ascii="Times New Roman" w:hAnsi="Times New Roman" w:cs="Times New Roman"/>
          <w:sz w:val="28"/>
          <w:szCs w:val="28"/>
          <w:lang w:val="uk-UA"/>
        </w:rPr>
        <w:t>ями</w:t>
      </w:r>
      <w:r w:rsidR="00296C0B">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становлено, що </w:t>
      </w:r>
      <w:r>
        <w:rPr>
          <w:rFonts w:ascii="Times New Roman" w:hAnsi="Times New Roman" w:cs="Times New Roman"/>
          <w:sz w:val="28"/>
          <w:szCs w:val="28"/>
          <w:lang w:val="en-US"/>
        </w:rPr>
        <w:t>i</w:t>
      </w:r>
      <w:r w:rsidR="004A73A2">
        <w:rPr>
          <w:rFonts w:ascii="Times New Roman" w:hAnsi="Times New Roman" w:cs="Times New Roman"/>
          <w:sz w:val="28"/>
          <w:szCs w:val="28"/>
          <w:lang w:val="uk-UA"/>
        </w:rPr>
        <w:t>снує позитивна залежність</w:t>
      </w:r>
      <w:r>
        <w:rPr>
          <w:rFonts w:ascii="Times New Roman" w:hAnsi="Times New Roman" w:cs="Times New Roman"/>
          <w:sz w:val="28"/>
          <w:szCs w:val="28"/>
          <w:lang w:val="uk-UA"/>
        </w:rPr>
        <w:t xml:space="preserve"> м</w:t>
      </w:r>
      <w:r>
        <w:rPr>
          <w:rFonts w:ascii="Times New Roman" w:hAnsi="Times New Roman" w:cs="Times New Roman"/>
          <w:sz w:val="28"/>
          <w:szCs w:val="28"/>
          <w:lang w:val="en-US"/>
        </w:rPr>
        <w:t>i</w:t>
      </w:r>
      <w:r w:rsidR="004A73A2">
        <w:rPr>
          <w:rFonts w:ascii="Times New Roman" w:hAnsi="Times New Roman" w:cs="Times New Roman"/>
          <w:sz w:val="28"/>
          <w:szCs w:val="28"/>
          <w:lang w:val="uk-UA"/>
        </w:rPr>
        <w:t xml:space="preserve">ж </w:t>
      </w:r>
      <w:r>
        <w:rPr>
          <w:rFonts w:ascii="Times New Roman" w:hAnsi="Times New Roman" w:cs="Times New Roman"/>
          <w:sz w:val="28"/>
          <w:szCs w:val="28"/>
          <w:lang w:val="uk-UA"/>
        </w:rPr>
        <w:t>урикем</w:t>
      </w:r>
      <w:r>
        <w:rPr>
          <w:rFonts w:ascii="Times New Roman" w:hAnsi="Times New Roman" w:cs="Times New Roman"/>
          <w:sz w:val="28"/>
          <w:szCs w:val="28"/>
          <w:lang w:val="en-US"/>
        </w:rPr>
        <w:t>i</w:t>
      </w:r>
      <w:r w:rsidR="00FF029D">
        <w:rPr>
          <w:rFonts w:ascii="Times New Roman" w:hAnsi="Times New Roman" w:cs="Times New Roman"/>
          <w:sz w:val="28"/>
          <w:szCs w:val="28"/>
          <w:lang w:val="uk-UA"/>
        </w:rPr>
        <w:t>єю та альбумінурією</w:t>
      </w:r>
      <w:r w:rsidR="00EA61EC">
        <w:rPr>
          <w:rFonts w:ascii="Times New Roman" w:hAnsi="Times New Roman" w:cs="Times New Roman"/>
          <w:sz w:val="28"/>
          <w:szCs w:val="28"/>
          <w:lang w:val="uk-UA"/>
        </w:rPr>
        <w:t xml:space="preserve"> </w:t>
      </w:r>
      <w:r w:rsidR="00413D43" w:rsidRPr="00C2188B">
        <w:rPr>
          <w:rFonts w:ascii="Times New Roman" w:hAnsi="Times New Roman" w:cs="Times New Roman"/>
          <w:sz w:val="28"/>
          <w:szCs w:val="28"/>
          <w:lang w:val="uk-UA"/>
        </w:rPr>
        <w:t>[</w:t>
      </w:r>
      <w:r w:rsidR="00444930" w:rsidRPr="004900D9">
        <w:rPr>
          <w:rFonts w:ascii="Times New Roman" w:hAnsi="Times New Roman" w:cs="Times New Roman"/>
          <w:sz w:val="28"/>
          <w:szCs w:val="28"/>
        </w:rPr>
        <w:t>90</w:t>
      </w:r>
      <w:r w:rsidR="00413D43" w:rsidRPr="004900D9">
        <w:rPr>
          <w:rFonts w:ascii="Times New Roman" w:hAnsi="Times New Roman" w:cs="Times New Roman"/>
          <w:sz w:val="28"/>
          <w:szCs w:val="28"/>
          <w:lang w:val="uk-UA"/>
        </w:rPr>
        <w:t>]</w:t>
      </w:r>
      <w:r w:rsidR="00413D43" w:rsidRPr="00C2188B">
        <w:rPr>
          <w:rFonts w:ascii="Times New Roman" w:hAnsi="Times New Roman" w:cs="Times New Roman"/>
          <w:sz w:val="28"/>
          <w:szCs w:val="28"/>
          <w:lang w:val="uk-UA"/>
        </w:rPr>
        <w:t>.</w:t>
      </w:r>
      <w:r w:rsidR="00413D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Сироватковий </w:t>
      </w:r>
      <w:r w:rsidR="00602745">
        <w:rPr>
          <w:rFonts w:ascii="Times New Roman" w:hAnsi="Times New Roman" w:cs="Times New Roman"/>
          <w:sz w:val="28"/>
          <w:szCs w:val="28"/>
          <w:lang w:val="uk-UA"/>
        </w:rPr>
        <w:t xml:space="preserve">вміст </w:t>
      </w:r>
      <w:r>
        <w:rPr>
          <w:rFonts w:ascii="Times New Roman" w:hAnsi="Times New Roman" w:cs="Times New Roman"/>
          <w:sz w:val="28"/>
          <w:szCs w:val="28"/>
          <w:lang w:val="uk-UA"/>
        </w:rPr>
        <w:t>сечової кислоти в</w:t>
      </w:r>
      <w:r>
        <w:rPr>
          <w:rFonts w:ascii="Times New Roman" w:hAnsi="Times New Roman" w:cs="Times New Roman"/>
          <w:sz w:val="28"/>
          <w:szCs w:val="28"/>
          <w:lang w:val="en-US"/>
        </w:rPr>
        <w:t>i</w:t>
      </w:r>
      <w:r w:rsidR="00C2188B" w:rsidRPr="00C2188B">
        <w:rPr>
          <w:rFonts w:ascii="Times New Roman" w:hAnsi="Times New Roman" w:cs="Times New Roman"/>
          <w:sz w:val="28"/>
          <w:szCs w:val="28"/>
          <w:lang w:val="uk-UA"/>
        </w:rPr>
        <w:t>добра</w:t>
      </w:r>
      <w:r>
        <w:rPr>
          <w:rFonts w:ascii="Times New Roman" w:hAnsi="Times New Roman" w:cs="Times New Roman"/>
          <w:sz w:val="28"/>
          <w:szCs w:val="28"/>
          <w:lang w:val="uk-UA"/>
        </w:rPr>
        <w:t>жає баланс м</w:t>
      </w:r>
      <w:r>
        <w:rPr>
          <w:rFonts w:ascii="Times New Roman" w:hAnsi="Times New Roman" w:cs="Times New Roman"/>
          <w:sz w:val="28"/>
          <w:szCs w:val="28"/>
          <w:lang w:val="en-US"/>
        </w:rPr>
        <w:t>i</w:t>
      </w:r>
      <w:r>
        <w:rPr>
          <w:rFonts w:ascii="Times New Roman" w:hAnsi="Times New Roman" w:cs="Times New Roman"/>
          <w:sz w:val="28"/>
          <w:szCs w:val="28"/>
          <w:lang w:val="uk-UA"/>
        </w:rPr>
        <w:t>ж її продукц</w:t>
      </w:r>
      <w:r>
        <w:rPr>
          <w:rFonts w:ascii="Times New Roman" w:hAnsi="Times New Roman" w:cs="Times New Roman"/>
          <w:sz w:val="28"/>
          <w:szCs w:val="28"/>
          <w:lang w:val="en-US"/>
        </w:rPr>
        <w:t>i</w:t>
      </w:r>
      <w:r w:rsidR="00C2188B" w:rsidRPr="00C2188B">
        <w:rPr>
          <w:rFonts w:ascii="Times New Roman" w:hAnsi="Times New Roman" w:cs="Times New Roman"/>
          <w:sz w:val="28"/>
          <w:szCs w:val="28"/>
          <w:lang w:val="uk-UA"/>
        </w:rPr>
        <w:t xml:space="preserve">єю та виведенням </w:t>
      </w:r>
      <w:r w:rsidR="000E122A">
        <w:rPr>
          <w:rFonts w:ascii="Times New Roman" w:hAnsi="Times New Roman" w:cs="Times New Roman"/>
          <w:sz w:val="28"/>
          <w:szCs w:val="28"/>
          <w:lang w:val="uk-UA"/>
        </w:rPr>
        <w:t xml:space="preserve">     </w:t>
      </w:r>
      <w:r w:rsidR="00C2188B" w:rsidRPr="00C2188B">
        <w:rPr>
          <w:rFonts w:ascii="Times New Roman" w:hAnsi="Times New Roman" w:cs="Times New Roman"/>
          <w:sz w:val="28"/>
          <w:szCs w:val="28"/>
          <w:lang w:val="uk-UA"/>
        </w:rPr>
        <w:t>з орган</w:t>
      </w:r>
      <w:r>
        <w:rPr>
          <w:rFonts w:ascii="Times New Roman" w:hAnsi="Times New Roman" w:cs="Times New Roman"/>
          <w:sz w:val="28"/>
          <w:szCs w:val="28"/>
          <w:lang w:val="en-US"/>
        </w:rPr>
        <w:t>i</w:t>
      </w:r>
      <w:r w:rsidR="00776A81">
        <w:rPr>
          <w:rFonts w:ascii="Times New Roman" w:hAnsi="Times New Roman" w:cs="Times New Roman"/>
          <w:sz w:val="28"/>
          <w:szCs w:val="28"/>
          <w:lang w:val="uk-UA"/>
        </w:rPr>
        <w:t xml:space="preserve">зму, </w:t>
      </w:r>
      <w:r w:rsidR="00602745">
        <w:rPr>
          <w:rFonts w:ascii="Times New Roman" w:hAnsi="Times New Roman" w:cs="Times New Roman"/>
          <w:sz w:val="28"/>
          <w:szCs w:val="28"/>
          <w:lang w:val="uk-UA"/>
        </w:rPr>
        <w:t xml:space="preserve">що здійснюється </w:t>
      </w:r>
      <w:r w:rsidR="00C5220E">
        <w:rPr>
          <w:rFonts w:ascii="Times New Roman" w:hAnsi="Times New Roman" w:cs="Times New Roman"/>
          <w:sz w:val="28"/>
          <w:szCs w:val="28"/>
          <w:lang w:val="uk-UA"/>
        </w:rPr>
        <w:t>переважно через нирки</w:t>
      </w:r>
      <w:r>
        <w:rPr>
          <w:rFonts w:ascii="Times New Roman" w:hAnsi="Times New Roman" w:cs="Times New Roman"/>
          <w:sz w:val="28"/>
          <w:szCs w:val="28"/>
          <w:lang w:val="uk-UA"/>
        </w:rPr>
        <w:t>. Саме тому зменшення екскрец</w:t>
      </w:r>
      <w:r>
        <w:rPr>
          <w:rFonts w:ascii="Times New Roman" w:hAnsi="Times New Roman" w:cs="Times New Roman"/>
          <w:sz w:val="28"/>
          <w:szCs w:val="28"/>
          <w:lang w:val="en-US"/>
        </w:rPr>
        <w:t>i</w:t>
      </w:r>
      <w:r w:rsidR="00C2188B" w:rsidRPr="00C2188B">
        <w:rPr>
          <w:rFonts w:ascii="Times New Roman" w:hAnsi="Times New Roman" w:cs="Times New Roman"/>
          <w:sz w:val="28"/>
          <w:szCs w:val="28"/>
          <w:lang w:val="uk-UA"/>
        </w:rPr>
        <w:t xml:space="preserve">ї сечової кислоти нирками </w:t>
      </w:r>
      <w:r>
        <w:rPr>
          <w:rFonts w:ascii="Times New Roman" w:hAnsi="Times New Roman" w:cs="Times New Roman"/>
          <w:sz w:val="28"/>
          <w:szCs w:val="28"/>
          <w:lang w:val="uk-UA"/>
        </w:rPr>
        <w:t>на тл</w:t>
      </w:r>
      <w:r>
        <w:rPr>
          <w:rFonts w:ascii="Times New Roman" w:hAnsi="Times New Roman" w:cs="Times New Roman"/>
          <w:sz w:val="28"/>
          <w:szCs w:val="28"/>
          <w:lang w:val="en-US"/>
        </w:rPr>
        <w:t>i</w:t>
      </w:r>
      <w:r w:rsidR="00C2188B">
        <w:rPr>
          <w:rFonts w:ascii="Times New Roman" w:hAnsi="Times New Roman" w:cs="Times New Roman"/>
          <w:sz w:val="28"/>
          <w:szCs w:val="28"/>
          <w:lang w:val="uk-UA"/>
        </w:rPr>
        <w:t xml:space="preserve"> зниження ренального кровотоку </w:t>
      </w:r>
      <w:r>
        <w:rPr>
          <w:rFonts w:ascii="Times New Roman" w:hAnsi="Times New Roman" w:cs="Times New Roman"/>
          <w:sz w:val="28"/>
          <w:szCs w:val="28"/>
          <w:lang w:val="uk-UA"/>
        </w:rPr>
        <w:t>призводить до зростання її вм</w:t>
      </w:r>
      <w:r>
        <w:rPr>
          <w:rFonts w:ascii="Times New Roman" w:hAnsi="Times New Roman" w:cs="Times New Roman"/>
          <w:sz w:val="28"/>
          <w:szCs w:val="28"/>
          <w:lang w:val="en-US"/>
        </w:rPr>
        <w:t>i</w:t>
      </w:r>
      <w:r>
        <w:rPr>
          <w:rFonts w:ascii="Times New Roman" w:hAnsi="Times New Roman" w:cs="Times New Roman"/>
          <w:sz w:val="28"/>
          <w:szCs w:val="28"/>
          <w:lang w:val="uk-UA"/>
        </w:rPr>
        <w:t>сту в кров</w:t>
      </w:r>
      <w:r>
        <w:rPr>
          <w:rFonts w:ascii="Times New Roman" w:hAnsi="Times New Roman" w:cs="Times New Roman"/>
          <w:sz w:val="28"/>
          <w:szCs w:val="28"/>
          <w:lang w:val="en-US"/>
        </w:rPr>
        <w:t>i</w:t>
      </w:r>
      <w:r>
        <w:rPr>
          <w:rFonts w:ascii="Times New Roman" w:hAnsi="Times New Roman" w:cs="Times New Roman"/>
          <w:sz w:val="28"/>
          <w:szCs w:val="28"/>
          <w:lang w:val="uk-UA"/>
        </w:rPr>
        <w:t>, що може мати м</w:t>
      </w:r>
      <w:r>
        <w:rPr>
          <w:rFonts w:ascii="Times New Roman" w:hAnsi="Times New Roman" w:cs="Times New Roman"/>
          <w:sz w:val="28"/>
          <w:szCs w:val="28"/>
          <w:lang w:val="en-US"/>
        </w:rPr>
        <w:t>i</w:t>
      </w:r>
      <w:r w:rsidR="00C2188B" w:rsidRPr="00C2188B">
        <w:rPr>
          <w:rFonts w:ascii="Times New Roman" w:hAnsi="Times New Roman" w:cs="Times New Roman"/>
          <w:sz w:val="28"/>
          <w:szCs w:val="28"/>
          <w:lang w:val="uk-UA"/>
        </w:rPr>
        <w:t xml:space="preserve">сце </w:t>
      </w:r>
      <w:r w:rsidR="000E122A">
        <w:rPr>
          <w:rFonts w:ascii="Times New Roman" w:hAnsi="Times New Roman" w:cs="Times New Roman"/>
          <w:sz w:val="28"/>
          <w:szCs w:val="28"/>
          <w:lang w:val="uk-UA"/>
        </w:rPr>
        <w:t xml:space="preserve">                     </w:t>
      </w:r>
      <w:r w:rsidR="00C2188B" w:rsidRPr="00C2188B">
        <w:rPr>
          <w:rFonts w:ascii="Times New Roman" w:hAnsi="Times New Roman" w:cs="Times New Roman"/>
          <w:sz w:val="28"/>
          <w:szCs w:val="28"/>
          <w:lang w:val="uk-UA"/>
        </w:rPr>
        <w:t xml:space="preserve">при </w:t>
      </w:r>
      <w:r>
        <w:rPr>
          <w:rFonts w:ascii="Times New Roman" w:hAnsi="Times New Roman" w:cs="Times New Roman"/>
          <w:sz w:val="28"/>
          <w:szCs w:val="28"/>
          <w:lang w:val="uk-UA"/>
        </w:rPr>
        <w:t>метабол</w:t>
      </w:r>
      <w:r>
        <w:rPr>
          <w:rFonts w:ascii="Times New Roman" w:hAnsi="Times New Roman" w:cs="Times New Roman"/>
          <w:sz w:val="28"/>
          <w:szCs w:val="28"/>
          <w:lang w:val="en-US"/>
        </w:rPr>
        <w:t>i</w:t>
      </w:r>
      <w:r w:rsidR="00C2188B" w:rsidRPr="00C2188B">
        <w:rPr>
          <w:rFonts w:ascii="Times New Roman" w:hAnsi="Times New Roman" w:cs="Times New Roman"/>
          <w:sz w:val="28"/>
          <w:szCs w:val="28"/>
          <w:lang w:val="uk-UA"/>
        </w:rPr>
        <w:t>чному</w:t>
      </w:r>
      <w:r>
        <w:rPr>
          <w:rFonts w:ascii="Times New Roman" w:hAnsi="Times New Roman" w:cs="Times New Roman"/>
          <w:sz w:val="28"/>
          <w:szCs w:val="28"/>
          <w:lang w:val="uk-UA"/>
        </w:rPr>
        <w:t xml:space="preserve"> синдром</w:t>
      </w:r>
      <w:r>
        <w:rPr>
          <w:rFonts w:ascii="Times New Roman" w:hAnsi="Times New Roman" w:cs="Times New Roman"/>
          <w:sz w:val="28"/>
          <w:szCs w:val="28"/>
          <w:lang w:val="en-US"/>
        </w:rPr>
        <w:t>i</w:t>
      </w:r>
      <w:r w:rsidR="00C2188B" w:rsidRPr="00C2188B">
        <w:rPr>
          <w:rFonts w:ascii="Times New Roman" w:hAnsi="Times New Roman" w:cs="Times New Roman"/>
          <w:sz w:val="28"/>
          <w:szCs w:val="28"/>
          <w:lang w:val="uk-UA"/>
        </w:rPr>
        <w:t xml:space="preserve">, </w:t>
      </w:r>
      <w:r w:rsidR="00C2188B">
        <w:rPr>
          <w:rFonts w:ascii="Times New Roman" w:hAnsi="Times New Roman" w:cs="Times New Roman"/>
          <w:sz w:val="28"/>
          <w:szCs w:val="28"/>
          <w:lang w:val="uk-UA"/>
        </w:rPr>
        <w:t xml:space="preserve">складовою частиною якого є ЦД 2-го типу </w:t>
      </w:r>
      <w:r w:rsidR="00C2188B" w:rsidRPr="00B1786A">
        <w:rPr>
          <w:rFonts w:ascii="Times New Roman" w:hAnsi="Times New Roman" w:cs="Times New Roman"/>
          <w:sz w:val="28"/>
          <w:szCs w:val="28"/>
          <w:lang w:val="uk-UA"/>
        </w:rPr>
        <w:t>[</w:t>
      </w:r>
      <w:r w:rsidR="00444930" w:rsidRPr="004900D9">
        <w:rPr>
          <w:rFonts w:ascii="Times New Roman" w:hAnsi="Times New Roman" w:cs="Times New Roman"/>
          <w:sz w:val="28"/>
          <w:szCs w:val="28"/>
        </w:rPr>
        <w:t>186</w:t>
      </w:r>
      <w:r w:rsidR="00C2188B" w:rsidRPr="00B1786A">
        <w:rPr>
          <w:rFonts w:ascii="Times New Roman" w:hAnsi="Times New Roman" w:cs="Times New Roman"/>
          <w:sz w:val="28"/>
          <w:szCs w:val="28"/>
          <w:lang w:val="uk-UA"/>
        </w:rPr>
        <w:t>].</w:t>
      </w:r>
    </w:p>
    <w:p w:rsidR="00C607B4" w:rsidRDefault="0038166B" w:rsidP="00DF76B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даними науковц</w:t>
      </w:r>
      <w:r>
        <w:rPr>
          <w:rFonts w:ascii="Times New Roman" w:hAnsi="Times New Roman" w:cs="Times New Roman"/>
          <w:sz w:val="28"/>
          <w:szCs w:val="28"/>
          <w:lang w:val="en-US"/>
        </w:rPr>
        <w:t>i</w:t>
      </w:r>
      <w:r w:rsidR="00A52236" w:rsidRPr="00A52236">
        <w:rPr>
          <w:rFonts w:ascii="Times New Roman" w:hAnsi="Times New Roman" w:cs="Times New Roman"/>
          <w:sz w:val="28"/>
          <w:szCs w:val="28"/>
          <w:lang w:val="uk-UA"/>
        </w:rPr>
        <w:t>в</w:t>
      </w:r>
      <w:r>
        <w:rPr>
          <w:rFonts w:ascii="Times New Roman" w:hAnsi="Times New Roman" w:cs="Times New Roman"/>
          <w:sz w:val="28"/>
          <w:szCs w:val="28"/>
          <w:lang w:val="uk-UA"/>
        </w:rPr>
        <w:t xml:space="preserve">, сироватковий </w:t>
      </w:r>
      <w:r w:rsidR="00C5220E">
        <w:rPr>
          <w:rFonts w:ascii="Times New Roman" w:hAnsi="Times New Roman" w:cs="Times New Roman"/>
          <w:sz w:val="28"/>
          <w:szCs w:val="28"/>
          <w:lang w:val="uk-UA"/>
        </w:rPr>
        <w:t xml:space="preserve">вміст </w:t>
      </w:r>
      <w:r w:rsidR="00875AE8" w:rsidRPr="00A52236">
        <w:rPr>
          <w:rFonts w:ascii="Times New Roman" w:hAnsi="Times New Roman" w:cs="Times New Roman"/>
          <w:sz w:val="28"/>
          <w:szCs w:val="28"/>
          <w:lang w:val="uk-UA"/>
        </w:rPr>
        <w:t>сечової кислоти демо</w:t>
      </w:r>
      <w:r>
        <w:rPr>
          <w:rFonts w:ascii="Times New Roman" w:hAnsi="Times New Roman" w:cs="Times New Roman"/>
          <w:sz w:val="28"/>
          <w:szCs w:val="28"/>
          <w:lang w:val="uk-UA"/>
        </w:rPr>
        <w:t xml:space="preserve">нструє значну позитивну </w:t>
      </w:r>
      <w:r w:rsidR="00C5220E">
        <w:rPr>
          <w:rFonts w:ascii="Times New Roman" w:hAnsi="Times New Roman" w:cs="Times New Roman"/>
          <w:sz w:val="28"/>
          <w:szCs w:val="28"/>
          <w:lang w:val="uk-UA"/>
        </w:rPr>
        <w:t>кореляцію і</w:t>
      </w:r>
      <w:r>
        <w:rPr>
          <w:rFonts w:ascii="Times New Roman" w:hAnsi="Times New Roman" w:cs="Times New Roman"/>
          <w:sz w:val="28"/>
          <w:szCs w:val="28"/>
          <w:lang w:val="uk-UA"/>
        </w:rPr>
        <w:t>з вм</w:t>
      </w:r>
      <w:r>
        <w:rPr>
          <w:rFonts w:ascii="Times New Roman" w:hAnsi="Times New Roman" w:cs="Times New Roman"/>
          <w:sz w:val="28"/>
          <w:szCs w:val="28"/>
          <w:lang w:val="en-US"/>
        </w:rPr>
        <w:t>i</w:t>
      </w:r>
      <w:r w:rsidR="00875AE8" w:rsidRPr="00A52236">
        <w:rPr>
          <w:rFonts w:ascii="Times New Roman" w:hAnsi="Times New Roman" w:cs="Times New Roman"/>
          <w:sz w:val="28"/>
          <w:szCs w:val="28"/>
          <w:lang w:val="uk-UA"/>
        </w:rPr>
        <w:t xml:space="preserve">стом ЕТ-1, </w:t>
      </w:r>
      <w:r w:rsidR="00C5220E">
        <w:rPr>
          <w:rFonts w:ascii="Times New Roman" w:hAnsi="Times New Roman" w:cs="Times New Roman"/>
          <w:sz w:val="28"/>
          <w:szCs w:val="28"/>
          <w:lang w:val="uk-UA"/>
        </w:rPr>
        <w:t xml:space="preserve">ХС </w:t>
      </w:r>
      <w:r w:rsidR="00875AE8" w:rsidRPr="00A52236">
        <w:rPr>
          <w:rFonts w:ascii="Times New Roman" w:hAnsi="Times New Roman" w:cs="Times New Roman"/>
          <w:sz w:val="28"/>
          <w:szCs w:val="28"/>
          <w:lang w:val="uk-UA"/>
        </w:rPr>
        <w:t>ЛПНЩ</w:t>
      </w:r>
      <w:r w:rsidR="00DF76B0" w:rsidRPr="00DF76B0">
        <w:rPr>
          <w:rFonts w:ascii="Times New Roman" w:hAnsi="Times New Roman" w:cs="Times New Roman"/>
          <w:sz w:val="28"/>
          <w:szCs w:val="28"/>
          <w:lang w:val="uk-UA"/>
        </w:rPr>
        <w:t xml:space="preserve"> </w:t>
      </w:r>
      <w:r w:rsidR="00C5220E">
        <w:rPr>
          <w:rFonts w:ascii="Times New Roman" w:hAnsi="Times New Roman" w:cs="Times New Roman"/>
          <w:sz w:val="28"/>
          <w:szCs w:val="28"/>
          <w:lang w:val="uk-UA"/>
        </w:rPr>
        <w:t xml:space="preserve">у пацієнтів </w:t>
      </w:r>
      <w:r w:rsidR="008B7764">
        <w:rPr>
          <w:rFonts w:ascii="Times New Roman" w:hAnsi="Times New Roman" w:cs="Times New Roman"/>
          <w:sz w:val="28"/>
          <w:szCs w:val="28"/>
          <w:lang w:val="uk-UA"/>
        </w:rPr>
        <w:t xml:space="preserve">              </w:t>
      </w:r>
      <w:r w:rsidR="00DF76B0">
        <w:rPr>
          <w:rFonts w:ascii="Times New Roman" w:hAnsi="Times New Roman" w:cs="Times New Roman"/>
          <w:sz w:val="28"/>
          <w:szCs w:val="28"/>
          <w:lang w:val="uk-UA"/>
        </w:rPr>
        <w:t>із початковими порушення</w:t>
      </w:r>
      <w:r w:rsidR="00C5220E">
        <w:rPr>
          <w:rFonts w:ascii="Times New Roman" w:hAnsi="Times New Roman" w:cs="Times New Roman"/>
          <w:sz w:val="28"/>
          <w:szCs w:val="28"/>
          <w:lang w:val="uk-UA"/>
        </w:rPr>
        <w:t>ми функціонального стану нирок та</w:t>
      </w:r>
      <w:r w:rsidR="00DF76B0">
        <w:rPr>
          <w:rFonts w:ascii="Times New Roman" w:hAnsi="Times New Roman" w:cs="Times New Roman"/>
          <w:sz w:val="28"/>
          <w:szCs w:val="28"/>
          <w:lang w:val="uk-UA"/>
        </w:rPr>
        <w:t xml:space="preserve"> </w:t>
      </w:r>
      <w:r>
        <w:rPr>
          <w:rFonts w:ascii="Times New Roman" w:hAnsi="Times New Roman" w:cs="Times New Roman"/>
          <w:sz w:val="28"/>
          <w:szCs w:val="28"/>
          <w:lang w:val="uk-UA"/>
        </w:rPr>
        <w:t>асоц</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юється </w:t>
      </w:r>
      <w:r w:rsidR="008B7764">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00875AE8" w:rsidRPr="00A52236">
        <w:rPr>
          <w:rFonts w:ascii="Times New Roman" w:hAnsi="Times New Roman" w:cs="Times New Roman"/>
          <w:sz w:val="28"/>
          <w:szCs w:val="28"/>
          <w:lang w:val="uk-UA"/>
        </w:rPr>
        <w:t>з судинним, нирковим, серцевим ф</w:t>
      </w:r>
      <w:r>
        <w:rPr>
          <w:rFonts w:ascii="Times New Roman" w:hAnsi="Times New Roman" w:cs="Times New Roman"/>
          <w:sz w:val="28"/>
          <w:szCs w:val="28"/>
          <w:lang w:val="en-US"/>
        </w:rPr>
        <w:t>i</w:t>
      </w:r>
      <w:r w:rsidR="00DF76B0">
        <w:rPr>
          <w:rFonts w:ascii="Times New Roman" w:hAnsi="Times New Roman" w:cs="Times New Roman"/>
          <w:sz w:val="28"/>
          <w:szCs w:val="28"/>
          <w:lang w:val="uk-UA"/>
        </w:rPr>
        <w:t>брозом [</w:t>
      </w:r>
      <w:r w:rsidR="00444930" w:rsidRPr="004900D9">
        <w:rPr>
          <w:rFonts w:ascii="Times New Roman" w:hAnsi="Times New Roman" w:cs="Times New Roman"/>
          <w:sz w:val="28"/>
          <w:szCs w:val="28"/>
          <w:lang w:val="uk-UA"/>
        </w:rPr>
        <w:t>187</w:t>
      </w:r>
      <w:r w:rsidR="00DF76B0">
        <w:rPr>
          <w:rFonts w:ascii="Times New Roman" w:hAnsi="Times New Roman" w:cs="Times New Roman"/>
          <w:sz w:val="28"/>
          <w:szCs w:val="28"/>
          <w:lang w:val="uk-UA"/>
        </w:rPr>
        <w:t>]</w:t>
      </w:r>
      <w:r w:rsidR="00875AE8" w:rsidRPr="00A52236">
        <w:rPr>
          <w:rFonts w:ascii="Times New Roman" w:hAnsi="Times New Roman" w:cs="Times New Roman"/>
          <w:sz w:val="28"/>
          <w:szCs w:val="28"/>
          <w:lang w:val="uk-UA"/>
        </w:rPr>
        <w:t xml:space="preserve">. </w:t>
      </w:r>
      <w:r w:rsidR="00A52236" w:rsidRPr="00A52236">
        <w:rPr>
          <w:rFonts w:ascii="Times New Roman" w:hAnsi="Times New Roman" w:cs="Times New Roman"/>
          <w:sz w:val="28"/>
          <w:szCs w:val="28"/>
          <w:lang w:val="uk-UA"/>
        </w:rPr>
        <w:t xml:space="preserve">Але </w:t>
      </w:r>
      <w:r>
        <w:rPr>
          <w:rFonts w:ascii="Times New Roman" w:hAnsi="Times New Roman" w:cs="Times New Roman"/>
          <w:sz w:val="28"/>
          <w:szCs w:val="28"/>
          <w:lang w:val="uk-UA"/>
        </w:rPr>
        <w:t>у нашому досл</w:t>
      </w:r>
      <w:r>
        <w:rPr>
          <w:rFonts w:ascii="Times New Roman" w:hAnsi="Times New Roman" w:cs="Times New Roman"/>
          <w:sz w:val="28"/>
          <w:szCs w:val="28"/>
          <w:lang w:val="en-US"/>
        </w:rPr>
        <w:t>i</w:t>
      </w:r>
      <w:r>
        <w:rPr>
          <w:rFonts w:ascii="Times New Roman" w:hAnsi="Times New Roman" w:cs="Times New Roman"/>
          <w:sz w:val="28"/>
          <w:szCs w:val="28"/>
          <w:lang w:val="uk-UA"/>
        </w:rPr>
        <w:t>дженн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8B7764">
        <w:rPr>
          <w:rFonts w:ascii="Times New Roman" w:hAnsi="Times New Roman" w:cs="Times New Roman"/>
          <w:sz w:val="28"/>
          <w:szCs w:val="28"/>
          <w:lang w:val="uk-UA"/>
        </w:rPr>
        <w:t xml:space="preserve">    </w:t>
      </w:r>
      <w:r w:rsidR="00C5220E">
        <w:rPr>
          <w:rFonts w:ascii="Times New Roman" w:hAnsi="Times New Roman" w:cs="Times New Roman"/>
          <w:sz w:val="28"/>
          <w:szCs w:val="28"/>
          <w:lang w:val="uk-UA"/>
        </w:rPr>
        <w:t>у хворих на</w:t>
      </w:r>
      <w:r>
        <w:rPr>
          <w:rFonts w:ascii="Times New Roman" w:hAnsi="Times New Roman" w:cs="Times New Roman"/>
          <w:sz w:val="28"/>
          <w:szCs w:val="28"/>
          <w:lang w:val="uk-UA"/>
        </w:rPr>
        <w:t xml:space="preserve"> АГ та супутн</w:t>
      </w:r>
      <w:r>
        <w:rPr>
          <w:rFonts w:ascii="Times New Roman" w:hAnsi="Times New Roman" w:cs="Times New Roman"/>
          <w:sz w:val="28"/>
          <w:szCs w:val="28"/>
          <w:lang w:val="en-US"/>
        </w:rPr>
        <w:t>i</w:t>
      </w:r>
      <w:r w:rsidR="00C5220E">
        <w:rPr>
          <w:rFonts w:ascii="Times New Roman" w:hAnsi="Times New Roman" w:cs="Times New Roman"/>
          <w:sz w:val="28"/>
          <w:szCs w:val="28"/>
          <w:lang w:val="uk-UA"/>
        </w:rPr>
        <w:t>й</w:t>
      </w:r>
      <w:r w:rsidR="00A52236" w:rsidRPr="00A52236">
        <w:rPr>
          <w:rFonts w:ascii="Times New Roman" w:hAnsi="Times New Roman" w:cs="Times New Roman"/>
          <w:sz w:val="28"/>
          <w:szCs w:val="28"/>
          <w:lang w:val="uk-UA"/>
        </w:rPr>
        <w:t xml:space="preserve"> ЦД 2-го типу установлено</w:t>
      </w:r>
      <w:r>
        <w:rPr>
          <w:rFonts w:ascii="Times New Roman" w:hAnsi="Times New Roman" w:cs="Times New Roman"/>
          <w:sz w:val="28"/>
          <w:szCs w:val="28"/>
          <w:lang w:val="uk-UA"/>
        </w:rPr>
        <w:t xml:space="preserve"> достов</w:t>
      </w:r>
      <w:r>
        <w:rPr>
          <w:rFonts w:ascii="Times New Roman" w:hAnsi="Times New Roman" w:cs="Times New Roman"/>
          <w:sz w:val="28"/>
          <w:szCs w:val="28"/>
          <w:lang w:val="en-US"/>
        </w:rPr>
        <w:t>i</w:t>
      </w:r>
      <w:r>
        <w:rPr>
          <w:rFonts w:ascii="Times New Roman" w:hAnsi="Times New Roman" w:cs="Times New Roman"/>
          <w:sz w:val="28"/>
          <w:szCs w:val="28"/>
          <w:lang w:val="uk-UA"/>
        </w:rPr>
        <w:t>рну залежн</w:t>
      </w:r>
      <w:r>
        <w:rPr>
          <w:rFonts w:ascii="Times New Roman" w:hAnsi="Times New Roman" w:cs="Times New Roman"/>
          <w:sz w:val="28"/>
          <w:szCs w:val="28"/>
          <w:lang w:val="en-US"/>
        </w:rPr>
        <w:t>i</w:t>
      </w:r>
      <w:r>
        <w:rPr>
          <w:rFonts w:ascii="Times New Roman" w:hAnsi="Times New Roman" w:cs="Times New Roman"/>
          <w:sz w:val="28"/>
          <w:szCs w:val="28"/>
          <w:lang w:val="uk-UA"/>
        </w:rPr>
        <w:t>сть м</w:t>
      </w:r>
      <w:r>
        <w:rPr>
          <w:rFonts w:ascii="Times New Roman" w:hAnsi="Times New Roman" w:cs="Times New Roman"/>
          <w:sz w:val="28"/>
          <w:szCs w:val="28"/>
          <w:lang w:val="en-US"/>
        </w:rPr>
        <w:t>i</w:t>
      </w:r>
      <w:r w:rsidR="00C5220E">
        <w:rPr>
          <w:rFonts w:ascii="Times New Roman" w:hAnsi="Times New Roman" w:cs="Times New Roman"/>
          <w:sz w:val="28"/>
          <w:szCs w:val="28"/>
          <w:lang w:val="uk-UA"/>
        </w:rPr>
        <w:t>ж вмістом</w:t>
      </w:r>
      <w:r w:rsidR="00A52236" w:rsidRPr="00A52236">
        <w:rPr>
          <w:rFonts w:ascii="Times New Roman" w:hAnsi="Times New Roman" w:cs="Times New Roman"/>
          <w:sz w:val="28"/>
          <w:szCs w:val="28"/>
          <w:lang w:val="uk-UA"/>
        </w:rPr>
        <w:t xml:space="preserve"> </w:t>
      </w:r>
      <w:r w:rsidR="00DF76B0">
        <w:rPr>
          <w:rFonts w:ascii="Times New Roman" w:hAnsi="Times New Roman" w:cs="Times New Roman"/>
          <w:sz w:val="28"/>
          <w:szCs w:val="28"/>
          <w:lang w:val="uk-UA"/>
        </w:rPr>
        <w:t xml:space="preserve">урикемії </w:t>
      </w:r>
      <w:r w:rsidR="00A52236" w:rsidRPr="00A52236">
        <w:rPr>
          <w:rFonts w:ascii="Times New Roman" w:hAnsi="Times New Roman" w:cs="Times New Roman"/>
          <w:sz w:val="28"/>
          <w:szCs w:val="28"/>
          <w:lang w:val="uk-UA"/>
        </w:rPr>
        <w:t xml:space="preserve">та </w:t>
      </w:r>
      <w:r w:rsidR="00C5220E">
        <w:rPr>
          <w:rFonts w:ascii="Times New Roman" w:hAnsi="Times New Roman" w:cs="Times New Roman"/>
          <w:sz w:val="28"/>
          <w:szCs w:val="28"/>
          <w:lang w:val="uk-UA"/>
        </w:rPr>
        <w:t xml:space="preserve">ХС </w:t>
      </w:r>
      <w:r w:rsidR="00A52236" w:rsidRPr="00A52236">
        <w:rPr>
          <w:rFonts w:ascii="Times New Roman" w:hAnsi="Times New Roman" w:cs="Times New Roman"/>
          <w:sz w:val="28"/>
          <w:szCs w:val="28"/>
          <w:lang w:val="uk-UA"/>
        </w:rPr>
        <w:t>ЛПДНЩ, ТГ</w:t>
      </w:r>
      <w:r>
        <w:rPr>
          <w:rFonts w:ascii="Times New Roman" w:hAnsi="Times New Roman" w:cs="Times New Roman"/>
          <w:sz w:val="28"/>
          <w:szCs w:val="28"/>
          <w:lang w:val="uk-UA"/>
        </w:rPr>
        <w:t xml:space="preserve">, а не </w:t>
      </w:r>
      <w:r>
        <w:rPr>
          <w:rFonts w:ascii="Times New Roman" w:hAnsi="Times New Roman" w:cs="Times New Roman"/>
          <w:sz w:val="28"/>
          <w:szCs w:val="28"/>
          <w:lang w:val="en-US"/>
        </w:rPr>
        <w:t>i</w:t>
      </w:r>
      <w:r w:rsidR="008B7764">
        <w:rPr>
          <w:rFonts w:ascii="Times New Roman" w:hAnsi="Times New Roman" w:cs="Times New Roman"/>
          <w:sz w:val="28"/>
          <w:szCs w:val="28"/>
          <w:lang w:val="uk-UA"/>
        </w:rPr>
        <w:t>з вмістом</w:t>
      </w:r>
      <w:r>
        <w:rPr>
          <w:rFonts w:ascii="Times New Roman" w:hAnsi="Times New Roman" w:cs="Times New Roman"/>
          <w:sz w:val="28"/>
          <w:szCs w:val="28"/>
          <w:lang w:val="uk-UA"/>
        </w:rPr>
        <w:t xml:space="preserve"> </w:t>
      </w:r>
      <w:r w:rsidR="00C5220E">
        <w:rPr>
          <w:rFonts w:ascii="Times New Roman" w:hAnsi="Times New Roman" w:cs="Times New Roman"/>
          <w:sz w:val="28"/>
          <w:szCs w:val="28"/>
          <w:lang w:val="uk-UA"/>
        </w:rPr>
        <w:t xml:space="preserve">ХС </w:t>
      </w:r>
      <w:r>
        <w:rPr>
          <w:rFonts w:ascii="Times New Roman" w:hAnsi="Times New Roman" w:cs="Times New Roman"/>
          <w:sz w:val="28"/>
          <w:szCs w:val="28"/>
          <w:lang w:val="uk-UA"/>
        </w:rPr>
        <w:t>ЛПНЩ. Зазначений факт п</w:t>
      </w:r>
      <w:r>
        <w:rPr>
          <w:rFonts w:ascii="Times New Roman" w:hAnsi="Times New Roman" w:cs="Times New Roman"/>
          <w:sz w:val="28"/>
          <w:szCs w:val="28"/>
          <w:lang w:val="en-US"/>
        </w:rPr>
        <w:t>i</w:t>
      </w:r>
      <w:r w:rsidR="00A52236">
        <w:rPr>
          <w:rFonts w:ascii="Times New Roman" w:hAnsi="Times New Roman" w:cs="Times New Roman"/>
          <w:sz w:val="28"/>
          <w:szCs w:val="28"/>
          <w:lang w:val="uk-UA"/>
        </w:rPr>
        <w:t>дтверджує, що у розвитку атеросклеротичного процесу судин нирок, с</w:t>
      </w:r>
      <w:r>
        <w:rPr>
          <w:rFonts w:ascii="Times New Roman" w:hAnsi="Times New Roman" w:cs="Times New Roman"/>
          <w:sz w:val="28"/>
          <w:szCs w:val="28"/>
          <w:lang w:val="uk-UA"/>
        </w:rPr>
        <w:t>ерця в пац</w:t>
      </w:r>
      <w:r>
        <w:rPr>
          <w:rFonts w:ascii="Times New Roman" w:hAnsi="Times New Roman" w:cs="Times New Roman"/>
          <w:sz w:val="28"/>
          <w:szCs w:val="28"/>
          <w:lang w:val="en-US"/>
        </w:rPr>
        <w:t>i</w:t>
      </w:r>
      <w:r>
        <w:rPr>
          <w:rFonts w:ascii="Times New Roman" w:hAnsi="Times New Roman" w:cs="Times New Roman"/>
          <w:sz w:val="28"/>
          <w:szCs w:val="28"/>
          <w:lang w:val="uk-UA"/>
        </w:rPr>
        <w:t>єнт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Pr>
          <w:rFonts w:ascii="Times New Roman" w:hAnsi="Times New Roman" w:cs="Times New Roman"/>
          <w:sz w:val="28"/>
          <w:szCs w:val="28"/>
          <w:lang w:val="en-US"/>
        </w:rPr>
        <w:t>i</w:t>
      </w:r>
      <w:r>
        <w:rPr>
          <w:rFonts w:ascii="Times New Roman" w:hAnsi="Times New Roman" w:cs="Times New Roman"/>
          <w:sz w:val="28"/>
          <w:szCs w:val="28"/>
          <w:lang w:val="uk-UA"/>
        </w:rPr>
        <w:t>з АГ саме за наявност</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ЦД 2-го типу вагому роль в</w:t>
      </w:r>
      <w:r>
        <w:rPr>
          <w:rFonts w:ascii="Times New Roman" w:hAnsi="Times New Roman" w:cs="Times New Roman"/>
          <w:sz w:val="28"/>
          <w:szCs w:val="28"/>
          <w:lang w:val="en-US"/>
        </w:rPr>
        <w:t>i</w:t>
      </w:r>
      <w:r>
        <w:rPr>
          <w:rFonts w:ascii="Times New Roman" w:hAnsi="Times New Roman" w:cs="Times New Roman"/>
          <w:sz w:val="28"/>
          <w:szCs w:val="28"/>
          <w:lang w:val="uk-UA"/>
        </w:rPr>
        <w:t>д</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грають ТГ </w:t>
      </w:r>
      <w:r>
        <w:rPr>
          <w:rFonts w:ascii="Times New Roman" w:hAnsi="Times New Roman" w:cs="Times New Roman"/>
          <w:sz w:val="28"/>
          <w:szCs w:val="28"/>
          <w:lang w:val="en-US"/>
        </w:rPr>
        <w:t>i</w:t>
      </w:r>
      <w:r w:rsidR="00A52236">
        <w:rPr>
          <w:rFonts w:ascii="Times New Roman" w:hAnsi="Times New Roman" w:cs="Times New Roman"/>
          <w:sz w:val="28"/>
          <w:szCs w:val="28"/>
          <w:lang w:val="uk-UA"/>
        </w:rPr>
        <w:t xml:space="preserve"> </w:t>
      </w:r>
      <w:r w:rsidR="00C5220E">
        <w:rPr>
          <w:rFonts w:ascii="Times New Roman" w:hAnsi="Times New Roman" w:cs="Times New Roman"/>
          <w:sz w:val="28"/>
          <w:szCs w:val="28"/>
          <w:lang w:val="uk-UA"/>
        </w:rPr>
        <w:t xml:space="preserve">ХС </w:t>
      </w:r>
      <w:r w:rsidR="00A52236">
        <w:rPr>
          <w:rFonts w:ascii="Times New Roman" w:hAnsi="Times New Roman" w:cs="Times New Roman"/>
          <w:sz w:val="28"/>
          <w:szCs w:val="28"/>
          <w:lang w:val="uk-UA"/>
        </w:rPr>
        <w:t>ЛПДНЩ.</w:t>
      </w:r>
    </w:p>
    <w:p w:rsidR="007446ED" w:rsidRPr="00462FDB" w:rsidRDefault="008B7764" w:rsidP="00376410">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Д</w:t>
      </w:r>
      <w:r w:rsidR="00DF76B0">
        <w:rPr>
          <w:rFonts w:ascii="Times New Roman" w:hAnsi="Times New Roman" w:cs="Times New Roman"/>
          <w:sz w:val="28"/>
          <w:szCs w:val="28"/>
          <w:lang w:val="uk-UA"/>
        </w:rPr>
        <w:t>ослідники</w:t>
      </w:r>
      <w:r w:rsidR="007446ED" w:rsidRPr="00462FDB">
        <w:rPr>
          <w:rFonts w:ascii="Times New Roman" w:hAnsi="Times New Roman" w:cs="Times New Roman"/>
          <w:sz w:val="28"/>
          <w:szCs w:val="28"/>
          <w:lang w:val="uk-UA"/>
        </w:rPr>
        <w:t xml:space="preserve"> п</w:t>
      </w:r>
      <w:r w:rsidR="0038166B">
        <w:rPr>
          <w:rFonts w:ascii="Times New Roman" w:hAnsi="Times New Roman" w:cs="Times New Roman"/>
          <w:sz w:val="28"/>
          <w:szCs w:val="28"/>
          <w:lang w:val="uk-UA"/>
        </w:rPr>
        <w:t>ор</w:t>
      </w:r>
      <w:r w:rsidR="0038166B">
        <w:rPr>
          <w:rFonts w:ascii="Times New Roman" w:hAnsi="Times New Roman" w:cs="Times New Roman"/>
          <w:sz w:val="28"/>
          <w:szCs w:val="28"/>
          <w:lang w:val="en-US"/>
        </w:rPr>
        <w:t>i</w:t>
      </w:r>
      <w:r w:rsidR="00296C0B" w:rsidRPr="00462FDB">
        <w:rPr>
          <w:rFonts w:ascii="Times New Roman" w:hAnsi="Times New Roman" w:cs="Times New Roman"/>
          <w:sz w:val="28"/>
          <w:szCs w:val="28"/>
          <w:lang w:val="uk-UA"/>
        </w:rPr>
        <w:t>вняли</w:t>
      </w:r>
      <w:r w:rsidR="007446ED" w:rsidRPr="00462FDB">
        <w:rPr>
          <w:rFonts w:ascii="Times New Roman" w:hAnsi="Times New Roman" w:cs="Times New Roman"/>
          <w:sz w:val="28"/>
          <w:szCs w:val="28"/>
          <w:lang w:val="uk-UA"/>
        </w:rPr>
        <w:t xml:space="preserve"> </w:t>
      </w:r>
      <w:r w:rsidR="000E44A3" w:rsidRPr="00462FDB">
        <w:rPr>
          <w:rFonts w:ascii="Times New Roman" w:hAnsi="Times New Roman" w:cs="Times New Roman"/>
          <w:sz w:val="28"/>
          <w:szCs w:val="28"/>
          <w:lang w:val="uk-UA"/>
        </w:rPr>
        <w:t xml:space="preserve">значення </w:t>
      </w:r>
      <w:r w:rsidR="007525E5">
        <w:rPr>
          <w:rFonts w:ascii="Times New Roman" w:hAnsi="Times New Roman" w:cs="Times New Roman"/>
          <w:sz w:val="28"/>
          <w:szCs w:val="28"/>
          <w:lang w:val="uk-UA"/>
        </w:rPr>
        <w:t xml:space="preserve">ММЛШ у 50 </w:t>
      </w:r>
      <w:r w:rsidR="006A0808">
        <w:rPr>
          <w:rFonts w:ascii="Times New Roman" w:hAnsi="Times New Roman" w:cs="Times New Roman"/>
          <w:sz w:val="28"/>
          <w:szCs w:val="28"/>
          <w:lang w:val="uk-UA"/>
        </w:rPr>
        <w:t>пацієнтів і</w:t>
      </w:r>
      <w:r w:rsidR="007446ED" w:rsidRPr="00462FDB">
        <w:rPr>
          <w:rFonts w:ascii="Times New Roman" w:hAnsi="Times New Roman" w:cs="Times New Roman"/>
          <w:sz w:val="28"/>
          <w:szCs w:val="28"/>
          <w:lang w:val="uk-UA"/>
        </w:rPr>
        <w:t xml:space="preserve">з </w:t>
      </w:r>
      <w:r w:rsidR="007525E5">
        <w:rPr>
          <w:rFonts w:ascii="Times New Roman" w:hAnsi="Times New Roman" w:cs="Times New Roman"/>
          <w:sz w:val="28"/>
          <w:szCs w:val="28"/>
          <w:lang w:val="uk-UA"/>
        </w:rPr>
        <w:t xml:space="preserve">АГ та </w:t>
      </w:r>
      <w:r w:rsidR="000E122A">
        <w:rPr>
          <w:rFonts w:ascii="Times New Roman" w:hAnsi="Times New Roman" w:cs="Times New Roman"/>
          <w:sz w:val="28"/>
          <w:szCs w:val="28"/>
          <w:lang w:val="uk-UA"/>
        </w:rPr>
        <w:t xml:space="preserve">          </w:t>
      </w:r>
      <w:r w:rsidR="007525E5">
        <w:rPr>
          <w:rFonts w:ascii="Times New Roman" w:hAnsi="Times New Roman" w:cs="Times New Roman"/>
          <w:sz w:val="28"/>
          <w:szCs w:val="28"/>
          <w:lang w:val="uk-UA"/>
        </w:rPr>
        <w:t xml:space="preserve">ЦД 2-го типу </w:t>
      </w:r>
      <w:r w:rsidR="00296C0B" w:rsidRPr="00462FDB">
        <w:rPr>
          <w:rFonts w:ascii="Times New Roman" w:hAnsi="Times New Roman" w:cs="Times New Roman"/>
          <w:sz w:val="28"/>
          <w:szCs w:val="28"/>
          <w:lang w:val="uk-UA"/>
        </w:rPr>
        <w:t xml:space="preserve">та 50 хворих </w:t>
      </w:r>
      <w:r w:rsidR="006A0808">
        <w:rPr>
          <w:rFonts w:ascii="Times New Roman" w:hAnsi="Times New Roman" w:cs="Times New Roman"/>
          <w:sz w:val="28"/>
          <w:szCs w:val="28"/>
          <w:lang w:val="uk-UA"/>
        </w:rPr>
        <w:t xml:space="preserve">на </w:t>
      </w:r>
      <w:r w:rsidR="00296C0B" w:rsidRPr="00462FDB">
        <w:rPr>
          <w:rFonts w:ascii="Times New Roman" w:hAnsi="Times New Roman" w:cs="Times New Roman"/>
          <w:sz w:val="28"/>
          <w:szCs w:val="28"/>
          <w:lang w:val="uk-UA"/>
        </w:rPr>
        <w:t xml:space="preserve">АГ віком від 35 до 85 років. </w:t>
      </w:r>
      <w:r>
        <w:rPr>
          <w:rFonts w:ascii="Times New Roman" w:hAnsi="Times New Roman" w:cs="Times New Roman"/>
          <w:sz w:val="28"/>
          <w:szCs w:val="28"/>
          <w:lang w:val="uk-UA"/>
        </w:rPr>
        <w:t xml:space="preserve">У пацієнтів </w:t>
      </w:r>
      <w:r w:rsidR="000E122A">
        <w:rPr>
          <w:rFonts w:ascii="Times New Roman" w:hAnsi="Times New Roman" w:cs="Times New Roman"/>
          <w:sz w:val="28"/>
          <w:szCs w:val="28"/>
          <w:lang w:val="uk-UA"/>
        </w:rPr>
        <w:t xml:space="preserve">            </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з коморб</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дною патолог</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єю в</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н був б</w:t>
      </w:r>
      <w:r w:rsidR="0038166B">
        <w:rPr>
          <w:rFonts w:ascii="Times New Roman" w:hAnsi="Times New Roman" w:cs="Times New Roman"/>
          <w:sz w:val="28"/>
          <w:szCs w:val="28"/>
          <w:lang w:val="en-US"/>
        </w:rPr>
        <w:t>i</w:t>
      </w:r>
      <w:r w:rsidR="007446ED" w:rsidRPr="00462FDB">
        <w:rPr>
          <w:rFonts w:ascii="Times New Roman" w:hAnsi="Times New Roman" w:cs="Times New Roman"/>
          <w:sz w:val="28"/>
          <w:szCs w:val="28"/>
          <w:lang w:val="uk-UA"/>
        </w:rPr>
        <w:t>льшим (214,05 ± 9,15),</w:t>
      </w:r>
      <w:r w:rsidR="0038166B">
        <w:rPr>
          <w:rFonts w:ascii="Times New Roman" w:hAnsi="Times New Roman" w:cs="Times New Roman"/>
          <w:sz w:val="28"/>
          <w:szCs w:val="28"/>
          <w:lang w:val="uk-UA"/>
        </w:rPr>
        <w:t xml:space="preserve"> н</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ж у </w:t>
      </w:r>
      <w:r w:rsidR="006A0808">
        <w:rPr>
          <w:rFonts w:ascii="Times New Roman" w:hAnsi="Times New Roman" w:cs="Times New Roman"/>
          <w:sz w:val="28"/>
          <w:szCs w:val="28"/>
          <w:lang w:val="uk-UA"/>
        </w:rPr>
        <w:t xml:space="preserve">хворих </w:t>
      </w:r>
      <w:r w:rsidR="000E122A">
        <w:rPr>
          <w:rFonts w:ascii="Times New Roman" w:hAnsi="Times New Roman" w:cs="Times New Roman"/>
          <w:sz w:val="28"/>
          <w:szCs w:val="28"/>
          <w:lang w:val="uk-UA"/>
        </w:rPr>
        <w:t xml:space="preserve">     </w:t>
      </w:r>
      <w:r w:rsidR="006A0808">
        <w:rPr>
          <w:rFonts w:ascii="Times New Roman" w:hAnsi="Times New Roman" w:cs="Times New Roman"/>
          <w:sz w:val="28"/>
          <w:szCs w:val="28"/>
          <w:lang w:val="uk-UA"/>
        </w:rPr>
        <w:t xml:space="preserve">на </w:t>
      </w:r>
      <w:r w:rsidR="007446ED" w:rsidRPr="00462FDB">
        <w:rPr>
          <w:rFonts w:ascii="Times New Roman" w:hAnsi="Times New Roman" w:cs="Times New Roman"/>
          <w:sz w:val="28"/>
          <w:szCs w:val="28"/>
          <w:lang w:val="uk-UA"/>
        </w:rPr>
        <w:t>АГ (</w:t>
      </w:r>
      <w:r w:rsidR="007446ED" w:rsidRPr="00513D4C">
        <w:rPr>
          <w:rFonts w:ascii="Times New Roman" w:hAnsi="Times New Roman" w:cs="Times New Roman"/>
          <w:sz w:val="28"/>
          <w:szCs w:val="28"/>
          <w:lang w:val="uk-UA"/>
        </w:rPr>
        <w:t>188,79</w:t>
      </w:r>
      <w:r w:rsidR="000E122A">
        <w:rPr>
          <w:rFonts w:ascii="Times New Roman" w:hAnsi="Times New Roman" w:cs="Times New Roman"/>
          <w:sz w:val="28"/>
          <w:szCs w:val="28"/>
          <w:lang w:val="uk-UA"/>
        </w:rPr>
        <w:t xml:space="preserve"> </w:t>
      </w:r>
      <w:r w:rsidR="00A565B1">
        <w:rPr>
          <w:rFonts w:ascii="Times New Roman" w:hAnsi="Times New Roman" w:cs="Times New Roman"/>
          <w:sz w:val="28"/>
          <w:szCs w:val="28"/>
          <w:lang w:val="uk-UA"/>
        </w:rPr>
        <w:t>±</w:t>
      </w:r>
      <w:r w:rsidR="000E122A">
        <w:rPr>
          <w:rFonts w:ascii="Times New Roman" w:hAnsi="Times New Roman" w:cs="Times New Roman"/>
          <w:sz w:val="28"/>
          <w:szCs w:val="28"/>
          <w:lang w:val="uk-UA"/>
        </w:rPr>
        <w:t xml:space="preserve"> </w:t>
      </w:r>
      <w:r w:rsidR="007446ED" w:rsidRPr="00462FDB">
        <w:rPr>
          <w:rFonts w:ascii="Times New Roman" w:hAnsi="Times New Roman" w:cs="Times New Roman"/>
          <w:sz w:val="28"/>
          <w:szCs w:val="28"/>
          <w:lang w:val="uk-UA"/>
        </w:rPr>
        <w:t>8,84), р = 0,05 [</w:t>
      </w:r>
      <w:r w:rsidR="004900D9">
        <w:rPr>
          <w:rFonts w:ascii="Times New Roman" w:hAnsi="Times New Roman" w:cs="Times New Roman"/>
          <w:sz w:val="28"/>
          <w:szCs w:val="28"/>
        </w:rPr>
        <w:t>16</w:t>
      </w:r>
      <w:r w:rsidR="004900D9">
        <w:rPr>
          <w:rFonts w:ascii="Times New Roman" w:hAnsi="Times New Roman" w:cs="Times New Roman"/>
          <w:sz w:val="28"/>
          <w:szCs w:val="28"/>
          <w:lang w:val="uk-UA"/>
        </w:rPr>
        <w:t>2</w:t>
      </w:r>
      <w:r w:rsidR="007446ED" w:rsidRPr="004900D9">
        <w:rPr>
          <w:rFonts w:ascii="Times New Roman" w:hAnsi="Times New Roman" w:cs="Times New Roman"/>
          <w:sz w:val="28"/>
          <w:szCs w:val="28"/>
          <w:lang w:val="uk-UA"/>
        </w:rPr>
        <w:t>].</w:t>
      </w:r>
      <w:r w:rsidR="00462FDB">
        <w:rPr>
          <w:rFonts w:ascii="Times New Roman" w:hAnsi="Times New Roman" w:cs="Times New Roman"/>
          <w:sz w:val="28"/>
          <w:szCs w:val="28"/>
          <w:lang w:val="uk-UA"/>
        </w:rPr>
        <w:t xml:space="preserve"> </w:t>
      </w:r>
      <w:r w:rsidR="006A0808">
        <w:rPr>
          <w:rFonts w:ascii="Times New Roman" w:hAnsi="Times New Roman" w:cs="Times New Roman"/>
          <w:sz w:val="28"/>
          <w:szCs w:val="28"/>
          <w:lang w:val="uk-UA"/>
        </w:rPr>
        <w:t>Ці результати співзвучні із даними нашого дослідження. У пацієнтів</w:t>
      </w:r>
      <w:r w:rsidR="007446ED" w:rsidRPr="007446ED">
        <w:rPr>
          <w:rFonts w:ascii="Times New Roman" w:hAnsi="Times New Roman" w:cs="Times New Roman"/>
          <w:sz w:val="28"/>
          <w:szCs w:val="28"/>
          <w:lang w:val="uk-UA"/>
        </w:rPr>
        <w:t xml:space="preserve"> І групи М</w:t>
      </w:r>
      <w:r w:rsidR="0038166B">
        <w:rPr>
          <w:rFonts w:ascii="Times New Roman" w:hAnsi="Times New Roman" w:cs="Times New Roman"/>
          <w:sz w:val="28"/>
          <w:szCs w:val="28"/>
          <w:lang w:val="uk-UA"/>
        </w:rPr>
        <w:t xml:space="preserve">МЛШ була </w:t>
      </w:r>
      <w:r w:rsidR="006A0808">
        <w:rPr>
          <w:rFonts w:ascii="Times New Roman" w:hAnsi="Times New Roman" w:cs="Times New Roman"/>
          <w:sz w:val="28"/>
          <w:szCs w:val="28"/>
          <w:lang w:val="uk-UA"/>
        </w:rPr>
        <w:t xml:space="preserve">більшою </w:t>
      </w:r>
      <w:r w:rsidR="0038166B">
        <w:rPr>
          <w:rFonts w:ascii="Times New Roman" w:hAnsi="Times New Roman" w:cs="Times New Roman"/>
          <w:sz w:val="28"/>
          <w:szCs w:val="28"/>
          <w:lang w:val="uk-UA"/>
        </w:rPr>
        <w:t>пор</w:t>
      </w:r>
      <w:r w:rsidR="0038166B">
        <w:rPr>
          <w:rFonts w:ascii="Times New Roman" w:hAnsi="Times New Roman" w:cs="Times New Roman"/>
          <w:sz w:val="28"/>
          <w:szCs w:val="28"/>
          <w:lang w:val="en-US"/>
        </w:rPr>
        <w:t>i</w:t>
      </w:r>
      <w:r w:rsidR="00296C0B">
        <w:rPr>
          <w:rFonts w:ascii="Times New Roman" w:hAnsi="Times New Roman" w:cs="Times New Roman"/>
          <w:sz w:val="28"/>
          <w:szCs w:val="28"/>
          <w:lang w:val="uk-UA"/>
        </w:rPr>
        <w:t>вняно</w:t>
      </w:r>
      <w:r w:rsidR="007446ED" w:rsidRPr="007446ED">
        <w:rPr>
          <w:rFonts w:ascii="Times New Roman" w:hAnsi="Times New Roman" w:cs="Times New Roman"/>
          <w:sz w:val="28"/>
          <w:szCs w:val="28"/>
          <w:lang w:val="uk-UA"/>
        </w:rPr>
        <w:t xml:space="preserve"> </w:t>
      </w:r>
      <w:r w:rsidR="000E122A">
        <w:rPr>
          <w:rFonts w:ascii="Times New Roman" w:hAnsi="Times New Roman" w:cs="Times New Roman"/>
          <w:sz w:val="28"/>
          <w:szCs w:val="28"/>
          <w:lang w:val="uk-UA"/>
        </w:rPr>
        <w:t xml:space="preserve">    </w:t>
      </w:r>
      <w:r w:rsidR="007446ED" w:rsidRPr="007446ED">
        <w:rPr>
          <w:rFonts w:ascii="Times New Roman" w:hAnsi="Times New Roman" w:cs="Times New Roman"/>
          <w:sz w:val="28"/>
          <w:szCs w:val="28"/>
          <w:lang w:val="uk-UA"/>
        </w:rPr>
        <w:t>з хворими ІІ групи</w:t>
      </w:r>
      <w:r w:rsidR="006A0808">
        <w:rPr>
          <w:rFonts w:ascii="Times New Roman" w:hAnsi="Times New Roman" w:cs="Times New Roman"/>
          <w:sz w:val="28"/>
          <w:szCs w:val="28"/>
          <w:lang w:val="uk-UA"/>
        </w:rPr>
        <w:t xml:space="preserve"> </w:t>
      </w:r>
      <w:r w:rsidR="006A0808" w:rsidRPr="006A0808">
        <w:rPr>
          <w:rFonts w:ascii="Times New Roman" w:hAnsi="Times New Roman" w:cs="Times New Roman"/>
          <w:sz w:val="28"/>
          <w:szCs w:val="28"/>
          <w:lang w:val="uk-UA"/>
        </w:rPr>
        <w:t>(р &lt; 0,0001)</w:t>
      </w:r>
      <w:r w:rsidR="007446ED" w:rsidRPr="007446ED">
        <w:rPr>
          <w:rFonts w:ascii="Times New Roman" w:hAnsi="Times New Roman" w:cs="Times New Roman"/>
          <w:sz w:val="28"/>
          <w:szCs w:val="28"/>
          <w:lang w:val="uk-UA"/>
        </w:rPr>
        <w:t>.</w:t>
      </w:r>
      <w:r w:rsidR="0038166B">
        <w:rPr>
          <w:rFonts w:ascii="Times New Roman" w:hAnsi="Times New Roman" w:cs="Times New Roman"/>
          <w:sz w:val="28"/>
          <w:szCs w:val="28"/>
          <w:lang w:val="uk-UA"/>
        </w:rPr>
        <w:t xml:space="preserve"> Проте важливим для д</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агностики ремоделювання чи г</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пертроф</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ї м</w:t>
      </w:r>
      <w:r w:rsidR="0038166B">
        <w:rPr>
          <w:rFonts w:ascii="Times New Roman" w:hAnsi="Times New Roman" w:cs="Times New Roman"/>
          <w:sz w:val="28"/>
          <w:szCs w:val="28"/>
          <w:lang w:val="en-US"/>
        </w:rPr>
        <w:t>i</w:t>
      </w:r>
      <w:r w:rsidR="0038166B" w:rsidRPr="0038166B">
        <w:rPr>
          <w:rFonts w:ascii="Times New Roman" w:hAnsi="Times New Roman" w:cs="Times New Roman"/>
          <w:sz w:val="28"/>
          <w:szCs w:val="28"/>
          <w:lang w:val="uk-UA"/>
        </w:rPr>
        <w:t>о</w:t>
      </w:r>
      <w:r w:rsidR="0038166B">
        <w:rPr>
          <w:rFonts w:ascii="Times New Roman" w:hAnsi="Times New Roman" w:cs="Times New Roman"/>
          <w:sz w:val="28"/>
          <w:szCs w:val="28"/>
          <w:lang w:val="uk-UA"/>
        </w:rPr>
        <w:t>карда ЛШ є не т</w:t>
      </w:r>
      <w:r w:rsidR="0038166B">
        <w:rPr>
          <w:rFonts w:ascii="Times New Roman" w:hAnsi="Times New Roman" w:cs="Times New Roman"/>
          <w:sz w:val="28"/>
          <w:szCs w:val="28"/>
          <w:lang w:val="en-US"/>
        </w:rPr>
        <w:t>i</w:t>
      </w:r>
      <w:r w:rsidR="00462FDB">
        <w:rPr>
          <w:rFonts w:ascii="Times New Roman" w:hAnsi="Times New Roman" w:cs="Times New Roman"/>
          <w:sz w:val="28"/>
          <w:szCs w:val="28"/>
          <w:lang w:val="uk-UA"/>
        </w:rPr>
        <w:t>льки</w:t>
      </w:r>
      <w:r w:rsidR="00462FDB" w:rsidRPr="00462FDB">
        <w:rPr>
          <w:rFonts w:ascii="Times New Roman" w:hAnsi="Times New Roman" w:cs="Times New Roman"/>
          <w:sz w:val="28"/>
          <w:szCs w:val="28"/>
          <w:lang w:val="uk-UA"/>
        </w:rPr>
        <w:t xml:space="preserve"> значення </w:t>
      </w:r>
      <w:r w:rsidR="0038166B">
        <w:rPr>
          <w:rFonts w:ascii="Times New Roman" w:hAnsi="Times New Roman" w:cs="Times New Roman"/>
          <w:sz w:val="28"/>
          <w:szCs w:val="28"/>
          <w:lang w:val="uk-UA"/>
        </w:rPr>
        <w:t xml:space="preserve">ММЛШ, а </w:t>
      </w:r>
      <w:r w:rsidR="0038166B">
        <w:rPr>
          <w:rFonts w:ascii="Times New Roman" w:hAnsi="Times New Roman" w:cs="Times New Roman"/>
          <w:sz w:val="28"/>
          <w:szCs w:val="28"/>
          <w:lang w:val="uk-UA"/>
        </w:rPr>
        <w:lastRenderedPageBreak/>
        <w:t>й п</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драхунок </w:t>
      </w:r>
      <w:r w:rsidR="0038166B">
        <w:rPr>
          <w:rFonts w:ascii="Times New Roman" w:hAnsi="Times New Roman" w:cs="Times New Roman"/>
          <w:sz w:val="28"/>
          <w:szCs w:val="28"/>
          <w:lang w:val="en-US"/>
        </w:rPr>
        <w:t>I</w:t>
      </w:r>
      <w:r w:rsidR="00462FDB">
        <w:rPr>
          <w:rFonts w:ascii="Times New Roman" w:hAnsi="Times New Roman" w:cs="Times New Roman"/>
          <w:sz w:val="28"/>
          <w:szCs w:val="28"/>
          <w:lang w:val="uk-UA"/>
        </w:rPr>
        <w:t>ММЛШ, значення якого є не лише</w:t>
      </w:r>
      <w:r w:rsidR="00462FDB" w:rsidRPr="00462FDB">
        <w:rPr>
          <w:rFonts w:ascii="Times New Roman" w:hAnsi="Times New Roman" w:cs="Times New Roman"/>
          <w:sz w:val="28"/>
          <w:szCs w:val="28"/>
          <w:lang w:val="uk-UA"/>
        </w:rPr>
        <w:t xml:space="preserve"> </w:t>
      </w:r>
      <w:r w:rsidR="0038166B">
        <w:rPr>
          <w:rFonts w:ascii="Times New Roman" w:hAnsi="Times New Roman" w:cs="Times New Roman"/>
          <w:sz w:val="28"/>
          <w:szCs w:val="28"/>
          <w:lang w:val="uk-UA"/>
        </w:rPr>
        <w:t>прямо пропорц</w:t>
      </w:r>
      <w:r w:rsidR="0038166B">
        <w:rPr>
          <w:rFonts w:ascii="Times New Roman" w:hAnsi="Times New Roman" w:cs="Times New Roman"/>
          <w:sz w:val="28"/>
          <w:szCs w:val="28"/>
          <w:lang w:val="en-US"/>
        </w:rPr>
        <w:t>i</w:t>
      </w:r>
      <w:r w:rsidR="00462FDB">
        <w:rPr>
          <w:rFonts w:ascii="Times New Roman" w:hAnsi="Times New Roman" w:cs="Times New Roman"/>
          <w:sz w:val="28"/>
          <w:szCs w:val="28"/>
          <w:lang w:val="uk-UA"/>
        </w:rPr>
        <w:t>йни</w:t>
      </w:r>
      <w:r w:rsidR="0038166B">
        <w:rPr>
          <w:rFonts w:ascii="Times New Roman" w:hAnsi="Times New Roman" w:cs="Times New Roman"/>
          <w:sz w:val="28"/>
          <w:szCs w:val="28"/>
          <w:lang w:val="uk-UA"/>
        </w:rPr>
        <w:t xml:space="preserve">м </w:t>
      </w:r>
      <w:r w:rsidR="000E122A">
        <w:rPr>
          <w:rFonts w:ascii="Times New Roman" w:hAnsi="Times New Roman" w:cs="Times New Roman"/>
          <w:sz w:val="28"/>
          <w:szCs w:val="28"/>
          <w:lang w:val="uk-UA"/>
        </w:rPr>
        <w:t xml:space="preserve">         </w:t>
      </w:r>
      <w:r w:rsidR="0038166B">
        <w:rPr>
          <w:rFonts w:ascii="Times New Roman" w:hAnsi="Times New Roman" w:cs="Times New Roman"/>
          <w:sz w:val="28"/>
          <w:szCs w:val="28"/>
          <w:lang w:val="uk-UA"/>
        </w:rPr>
        <w:t>до ММЛШ, а й обернено пропорц</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 xml:space="preserve">йним до </w:t>
      </w:r>
      <w:r w:rsidR="00AD385A">
        <w:rPr>
          <w:rFonts w:ascii="Times New Roman" w:hAnsi="Times New Roman" w:cs="Times New Roman"/>
          <w:sz w:val="28"/>
          <w:szCs w:val="28"/>
          <w:lang w:val="uk-UA"/>
        </w:rPr>
        <w:t>з</w:t>
      </w:r>
      <w:r w:rsidR="0038166B">
        <w:rPr>
          <w:rFonts w:ascii="Times New Roman" w:hAnsi="Times New Roman" w:cs="Times New Roman"/>
          <w:sz w:val="28"/>
          <w:szCs w:val="28"/>
          <w:lang w:val="uk-UA"/>
        </w:rPr>
        <w:t>росту, ваги пац</w:t>
      </w:r>
      <w:r w:rsidR="0038166B">
        <w:rPr>
          <w:rFonts w:ascii="Times New Roman" w:hAnsi="Times New Roman" w:cs="Times New Roman"/>
          <w:sz w:val="28"/>
          <w:szCs w:val="28"/>
          <w:lang w:val="en-US"/>
        </w:rPr>
        <w:t>i</w:t>
      </w:r>
      <w:r w:rsidR="00462FDB">
        <w:rPr>
          <w:rFonts w:ascii="Times New Roman" w:hAnsi="Times New Roman" w:cs="Times New Roman"/>
          <w:sz w:val="28"/>
          <w:szCs w:val="28"/>
          <w:lang w:val="uk-UA"/>
        </w:rPr>
        <w:t>єнта.</w:t>
      </w:r>
    </w:p>
    <w:p w:rsidR="000E44A3" w:rsidRDefault="0038166B" w:rsidP="0037641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драхунок </w:t>
      </w:r>
      <w:r>
        <w:rPr>
          <w:rFonts w:ascii="Times New Roman" w:hAnsi="Times New Roman" w:cs="Times New Roman"/>
          <w:sz w:val="28"/>
          <w:szCs w:val="28"/>
          <w:lang w:val="en-US"/>
        </w:rPr>
        <w:t>I</w:t>
      </w:r>
      <w:r>
        <w:rPr>
          <w:rFonts w:ascii="Times New Roman" w:hAnsi="Times New Roman" w:cs="Times New Roman"/>
          <w:sz w:val="28"/>
          <w:szCs w:val="28"/>
          <w:lang w:val="uk-UA"/>
        </w:rPr>
        <w:t>ММЛШ у коморб</w:t>
      </w:r>
      <w:r>
        <w:rPr>
          <w:rFonts w:ascii="Times New Roman" w:hAnsi="Times New Roman" w:cs="Times New Roman"/>
          <w:sz w:val="28"/>
          <w:szCs w:val="28"/>
          <w:lang w:val="en-US"/>
        </w:rPr>
        <w:t>i</w:t>
      </w:r>
      <w:r>
        <w:rPr>
          <w:rFonts w:ascii="Times New Roman" w:hAnsi="Times New Roman" w:cs="Times New Roman"/>
          <w:sz w:val="28"/>
          <w:szCs w:val="28"/>
          <w:lang w:val="uk-UA"/>
        </w:rPr>
        <w:t>дних хворих було зд</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й</w:t>
      </w:r>
      <w:r>
        <w:rPr>
          <w:rFonts w:ascii="Times New Roman" w:hAnsi="Times New Roman" w:cs="Times New Roman"/>
          <w:sz w:val="28"/>
          <w:szCs w:val="28"/>
          <w:lang w:val="uk-UA"/>
        </w:rPr>
        <w:t>снено за двома формулами (як сп</w:t>
      </w:r>
      <w:r>
        <w:rPr>
          <w:rFonts w:ascii="Times New Roman" w:hAnsi="Times New Roman" w:cs="Times New Roman"/>
          <w:sz w:val="28"/>
          <w:szCs w:val="28"/>
          <w:lang w:val="en-US"/>
        </w:rPr>
        <w:t>i</w:t>
      </w:r>
      <w:r>
        <w:rPr>
          <w:rFonts w:ascii="Times New Roman" w:hAnsi="Times New Roman" w:cs="Times New Roman"/>
          <w:sz w:val="28"/>
          <w:szCs w:val="28"/>
          <w:lang w:val="uk-UA"/>
        </w:rPr>
        <w:t>вв</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дношен</w:t>
      </w:r>
      <w:r w:rsidR="00296C0B">
        <w:rPr>
          <w:rFonts w:ascii="Times New Roman" w:hAnsi="Times New Roman" w:cs="Times New Roman"/>
          <w:sz w:val="28"/>
          <w:szCs w:val="28"/>
          <w:lang w:val="uk-UA"/>
        </w:rPr>
        <w:t>ня ММЛШ до ППТ; ММЛШ до зросту в</w:t>
      </w:r>
      <w:r>
        <w:rPr>
          <w:rFonts w:ascii="Times New Roman" w:hAnsi="Times New Roman" w:cs="Times New Roman"/>
          <w:sz w:val="28"/>
          <w:szCs w:val="28"/>
          <w:lang w:val="uk-UA"/>
        </w:rPr>
        <w:t xml:space="preserve"> степен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2,7</w:t>
      </w:r>
      <w:r w:rsidR="006A0808">
        <w:rPr>
          <w:rFonts w:ascii="Times New Roman" w:hAnsi="Times New Roman" w:cs="Times New Roman"/>
          <w:sz w:val="28"/>
          <w:szCs w:val="28"/>
          <w:lang w:val="uk-UA"/>
        </w:rPr>
        <w:t>)</w:t>
      </w:r>
      <w:r>
        <w:rPr>
          <w:rFonts w:ascii="Times New Roman" w:hAnsi="Times New Roman" w:cs="Times New Roman"/>
          <w:sz w:val="28"/>
          <w:szCs w:val="28"/>
          <w:lang w:val="uk-UA"/>
        </w:rPr>
        <w:t xml:space="preserve">. Виявилося, що у 9 </w:t>
      </w:r>
      <w:r w:rsidR="006A0808">
        <w:rPr>
          <w:rFonts w:ascii="Times New Roman" w:hAnsi="Times New Roman" w:cs="Times New Roman"/>
          <w:sz w:val="28"/>
          <w:szCs w:val="28"/>
          <w:lang w:val="uk-UA"/>
        </w:rPr>
        <w:t xml:space="preserve">пацієнтів </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ММЛШ, обчислений з</w:t>
      </w:r>
      <w:r>
        <w:rPr>
          <w:rFonts w:ascii="Times New Roman" w:hAnsi="Times New Roman" w:cs="Times New Roman"/>
          <w:sz w:val="28"/>
          <w:szCs w:val="28"/>
          <w:lang w:val="uk-UA"/>
        </w:rPr>
        <w:t>а першою формулою, мав нормальн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значення, а за другою – був п</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двищеним. С</w:t>
      </w:r>
      <w:r>
        <w:rPr>
          <w:rFonts w:ascii="Times New Roman" w:hAnsi="Times New Roman" w:cs="Times New Roman"/>
          <w:sz w:val="28"/>
          <w:szCs w:val="28"/>
          <w:lang w:val="uk-UA"/>
        </w:rPr>
        <w:t xml:space="preserve">еред цих 9 </w:t>
      </w:r>
      <w:r w:rsidR="000A1291">
        <w:rPr>
          <w:rFonts w:ascii="Times New Roman" w:hAnsi="Times New Roman" w:cs="Times New Roman"/>
          <w:sz w:val="28"/>
          <w:szCs w:val="28"/>
          <w:lang w:val="uk-UA"/>
        </w:rPr>
        <w:t>хворих один мав</w:t>
      </w:r>
      <w:r w:rsidR="000E44A3" w:rsidRPr="000E44A3">
        <w:rPr>
          <w:rFonts w:ascii="Times New Roman" w:hAnsi="Times New Roman" w:cs="Times New Roman"/>
          <w:sz w:val="28"/>
          <w:szCs w:val="28"/>
          <w:lang w:val="uk-UA"/>
        </w:rPr>
        <w:t xml:space="preserve"> І</w:t>
      </w:r>
      <w:r>
        <w:rPr>
          <w:rFonts w:ascii="Times New Roman" w:hAnsi="Times New Roman" w:cs="Times New Roman"/>
          <w:sz w:val="28"/>
          <w:szCs w:val="28"/>
          <w:lang w:val="uk-UA"/>
        </w:rPr>
        <w:t>І ступінь ожир</w:t>
      </w:r>
      <w:r>
        <w:rPr>
          <w:rFonts w:ascii="Times New Roman" w:hAnsi="Times New Roman" w:cs="Times New Roman"/>
          <w:sz w:val="28"/>
          <w:szCs w:val="28"/>
          <w:lang w:val="en-US"/>
        </w:rPr>
        <w:t>i</w:t>
      </w:r>
      <w:r w:rsidR="000A1291">
        <w:rPr>
          <w:rFonts w:ascii="Times New Roman" w:hAnsi="Times New Roman" w:cs="Times New Roman"/>
          <w:sz w:val="28"/>
          <w:szCs w:val="28"/>
          <w:lang w:val="uk-UA"/>
        </w:rPr>
        <w:t>ння, троє</w:t>
      </w:r>
      <w:r w:rsidR="00296C0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ступ</w:t>
      </w:r>
      <w:r>
        <w:rPr>
          <w:rFonts w:ascii="Times New Roman" w:hAnsi="Times New Roman" w:cs="Times New Roman"/>
          <w:sz w:val="28"/>
          <w:szCs w:val="28"/>
          <w:lang w:val="en-US"/>
        </w:rPr>
        <w:t>i</w:t>
      </w:r>
      <w:r>
        <w:rPr>
          <w:rFonts w:ascii="Times New Roman" w:hAnsi="Times New Roman" w:cs="Times New Roman"/>
          <w:sz w:val="28"/>
          <w:szCs w:val="28"/>
          <w:lang w:val="uk-UA"/>
        </w:rPr>
        <w:t>нь ожир</w:t>
      </w:r>
      <w:r>
        <w:rPr>
          <w:rFonts w:ascii="Times New Roman" w:hAnsi="Times New Roman" w:cs="Times New Roman"/>
          <w:sz w:val="28"/>
          <w:szCs w:val="28"/>
          <w:lang w:val="en-US"/>
        </w:rPr>
        <w:t>i</w:t>
      </w:r>
      <w:r>
        <w:rPr>
          <w:rFonts w:ascii="Times New Roman" w:hAnsi="Times New Roman" w:cs="Times New Roman"/>
          <w:sz w:val="28"/>
          <w:szCs w:val="28"/>
          <w:lang w:val="uk-UA"/>
        </w:rPr>
        <w:t>ння, пʼять – надм</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рну вагу. Отже</w:t>
      </w:r>
      <w:r>
        <w:rPr>
          <w:rFonts w:ascii="Times New Roman" w:hAnsi="Times New Roman" w:cs="Times New Roman"/>
          <w:sz w:val="28"/>
          <w:szCs w:val="28"/>
          <w:lang w:val="uk-UA"/>
        </w:rPr>
        <w:t>, у цих пац</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єн</w:t>
      </w:r>
      <w:r>
        <w:rPr>
          <w:rFonts w:ascii="Times New Roman" w:hAnsi="Times New Roman" w:cs="Times New Roman"/>
          <w:sz w:val="28"/>
          <w:szCs w:val="28"/>
          <w:lang w:val="uk-UA"/>
        </w:rPr>
        <w:t>т</w:t>
      </w:r>
      <w:r>
        <w:rPr>
          <w:rFonts w:ascii="Times New Roman" w:hAnsi="Times New Roman" w:cs="Times New Roman"/>
          <w:sz w:val="28"/>
          <w:szCs w:val="28"/>
          <w:lang w:val="en-US"/>
        </w:rPr>
        <w:t>i</w:t>
      </w:r>
      <w:r w:rsidR="007525E5">
        <w:rPr>
          <w:rFonts w:ascii="Times New Roman" w:hAnsi="Times New Roman" w:cs="Times New Roman"/>
          <w:sz w:val="28"/>
          <w:szCs w:val="28"/>
          <w:lang w:val="uk-UA"/>
        </w:rPr>
        <w:t xml:space="preserve">в </w:t>
      </w:r>
      <w:r w:rsidR="000E44A3" w:rsidRPr="000E44A3">
        <w:rPr>
          <w:rFonts w:ascii="Times New Roman" w:hAnsi="Times New Roman" w:cs="Times New Roman"/>
          <w:sz w:val="28"/>
          <w:szCs w:val="28"/>
          <w:lang w:val="uk-UA"/>
        </w:rPr>
        <w:t>з</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зб</w:t>
      </w:r>
      <w:r>
        <w:rPr>
          <w:rFonts w:ascii="Times New Roman" w:hAnsi="Times New Roman" w:cs="Times New Roman"/>
          <w:sz w:val="28"/>
          <w:szCs w:val="28"/>
          <w:lang w:val="en-US"/>
        </w:rPr>
        <w:t>i</w:t>
      </w:r>
      <w:r>
        <w:rPr>
          <w:rFonts w:ascii="Times New Roman" w:hAnsi="Times New Roman" w:cs="Times New Roman"/>
          <w:sz w:val="28"/>
          <w:szCs w:val="28"/>
          <w:lang w:val="uk-UA"/>
        </w:rPr>
        <w:t>льшенням ваги п</w:t>
      </w:r>
      <w:r>
        <w:rPr>
          <w:rFonts w:ascii="Times New Roman" w:hAnsi="Times New Roman" w:cs="Times New Roman"/>
          <w:sz w:val="28"/>
          <w:szCs w:val="28"/>
          <w:lang w:val="en-US"/>
        </w:rPr>
        <w:t>i</w:t>
      </w:r>
      <w:r w:rsidR="007525E5">
        <w:rPr>
          <w:rFonts w:ascii="Times New Roman" w:hAnsi="Times New Roman" w:cs="Times New Roman"/>
          <w:sz w:val="28"/>
          <w:szCs w:val="28"/>
          <w:lang w:val="uk-UA"/>
        </w:rPr>
        <w:t>двищилися й</w:t>
      </w:r>
      <w:r w:rsidR="000E44A3" w:rsidRPr="000E44A3">
        <w:rPr>
          <w:rFonts w:ascii="Times New Roman" w:hAnsi="Times New Roman" w:cs="Times New Roman"/>
          <w:sz w:val="28"/>
          <w:szCs w:val="28"/>
          <w:lang w:val="uk-UA"/>
        </w:rPr>
        <w:t xml:space="preserve"> значення ППТ, яка стоїть у знаме</w:t>
      </w:r>
      <w:r w:rsidR="00296C0B">
        <w:rPr>
          <w:rFonts w:ascii="Times New Roman" w:hAnsi="Times New Roman" w:cs="Times New Roman"/>
          <w:sz w:val="28"/>
          <w:szCs w:val="28"/>
          <w:lang w:val="uk-UA"/>
        </w:rPr>
        <w:t>нн</w:t>
      </w:r>
      <w:r w:rsidR="000A1291">
        <w:rPr>
          <w:rFonts w:ascii="Times New Roman" w:hAnsi="Times New Roman" w:cs="Times New Roman"/>
          <w:sz w:val="28"/>
          <w:szCs w:val="28"/>
          <w:lang w:val="uk-UA"/>
        </w:rPr>
        <w:t>ику формули</w:t>
      </w:r>
      <w:r w:rsidR="00A565B1">
        <w:rPr>
          <w:rFonts w:ascii="Times New Roman" w:hAnsi="Times New Roman" w:cs="Times New Roman"/>
          <w:sz w:val="28"/>
          <w:szCs w:val="28"/>
          <w:lang w:val="uk-UA"/>
        </w:rPr>
        <w:t>. На думку</w:t>
      </w:r>
      <w:r>
        <w:rPr>
          <w:rFonts w:ascii="Times New Roman" w:hAnsi="Times New Roman" w:cs="Times New Roman"/>
          <w:sz w:val="28"/>
          <w:szCs w:val="28"/>
          <w:lang w:val="uk-UA"/>
        </w:rPr>
        <w:t xml:space="preserve"> науковц</w:t>
      </w:r>
      <w:r>
        <w:rPr>
          <w:rFonts w:ascii="Times New Roman" w:hAnsi="Times New Roman" w:cs="Times New Roman"/>
          <w:sz w:val="28"/>
          <w:szCs w:val="28"/>
          <w:lang w:val="en-US"/>
        </w:rPr>
        <w:t>i</w:t>
      </w:r>
      <w:r>
        <w:rPr>
          <w:rFonts w:ascii="Times New Roman" w:hAnsi="Times New Roman" w:cs="Times New Roman"/>
          <w:sz w:val="28"/>
          <w:szCs w:val="28"/>
          <w:lang w:val="uk-UA"/>
        </w:rPr>
        <w:t>в, визначення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ї ЛШ </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з використанням </w:t>
      </w:r>
      <w:r>
        <w:rPr>
          <w:rFonts w:ascii="Times New Roman" w:hAnsi="Times New Roman" w:cs="Times New Roman"/>
          <w:sz w:val="28"/>
          <w:szCs w:val="28"/>
          <w:lang w:val="en-US"/>
        </w:rPr>
        <w:t>I</w:t>
      </w:r>
      <w:r>
        <w:rPr>
          <w:rFonts w:ascii="Times New Roman" w:hAnsi="Times New Roman" w:cs="Times New Roman"/>
          <w:sz w:val="28"/>
          <w:szCs w:val="28"/>
          <w:lang w:val="uk-UA"/>
        </w:rPr>
        <w:t>ММЛШ, визначеного як в</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дношення ММЛШ до зросту </w:t>
      </w:r>
      <w:r>
        <w:rPr>
          <w:rFonts w:ascii="Times New Roman" w:hAnsi="Times New Roman" w:cs="Times New Roman"/>
          <w:sz w:val="28"/>
          <w:szCs w:val="28"/>
          <w:lang w:val="uk-UA"/>
        </w:rPr>
        <w:t>в степен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2,7, пор</w:t>
      </w:r>
      <w:r>
        <w:rPr>
          <w:rFonts w:ascii="Times New Roman" w:hAnsi="Times New Roman" w:cs="Times New Roman"/>
          <w:sz w:val="28"/>
          <w:szCs w:val="28"/>
          <w:lang w:val="en-US"/>
        </w:rPr>
        <w:t>i</w:t>
      </w:r>
      <w:r>
        <w:rPr>
          <w:rFonts w:ascii="Times New Roman" w:hAnsi="Times New Roman" w:cs="Times New Roman"/>
          <w:sz w:val="28"/>
          <w:szCs w:val="28"/>
          <w:lang w:val="uk-UA"/>
        </w:rPr>
        <w:t>вняно з в</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дношен</w:t>
      </w:r>
      <w:r>
        <w:rPr>
          <w:rFonts w:ascii="Times New Roman" w:hAnsi="Times New Roman" w:cs="Times New Roman"/>
          <w:sz w:val="28"/>
          <w:szCs w:val="28"/>
          <w:lang w:val="uk-UA"/>
        </w:rPr>
        <w:t>ням ММЛШ до ППТ, дозволяє оптим</w:t>
      </w:r>
      <w:r>
        <w:rPr>
          <w:rFonts w:ascii="Times New Roman" w:hAnsi="Times New Roman" w:cs="Times New Roman"/>
          <w:sz w:val="28"/>
          <w:szCs w:val="28"/>
          <w:lang w:val="en-US"/>
        </w:rPr>
        <w:t>i</w:t>
      </w:r>
      <w:r>
        <w:rPr>
          <w:rFonts w:ascii="Times New Roman" w:hAnsi="Times New Roman" w:cs="Times New Roman"/>
          <w:sz w:val="28"/>
          <w:szCs w:val="28"/>
          <w:lang w:val="uk-UA"/>
        </w:rPr>
        <w:t>зувати виявлення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ї ЛШ </w:t>
      </w:r>
      <w:r w:rsidR="00A565B1">
        <w:rPr>
          <w:rFonts w:ascii="Times New Roman" w:hAnsi="Times New Roman" w:cs="Times New Roman"/>
          <w:sz w:val="28"/>
          <w:szCs w:val="28"/>
          <w:lang w:val="uk-UA"/>
        </w:rPr>
        <w:t xml:space="preserve">                </w:t>
      </w:r>
      <w:r>
        <w:rPr>
          <w:rFonts w:ascii="Times New Roman" w:hAnsi="Times New Roman" w:cs="Times New Roman"/>
          <w:sz w:val="28"/>
          <w:szCs w:val="28"/>
          <w:lang w:val="uk-UA"/>
        </w:rPr>
        <w:t>у пац</w:t>
      </w:r>
      <w:r>
        <w:rPr>
          <w:rFonts w:ascii="Times New Roman" w:hAnsi="Times New Roman" w:cs="Times New Roman"/>
          <w:sz w:val="28"/>
          <w:szCs w:val="28"/>
          <w:lang w:val="en-US"/>
        </w:rPr>
        <w:t>i</w:t>
      </w:r>
      <w:r>
        <w:rPr>
          <w:rFonts w:ascii="Times New Roman" w:hAnsi="Times New Roman" w:cs="Times New Roman"/>
          <w:sz w:val="28"/>
          <w:szCs w:val="28"/>
          <w:lang w:val="uk-UA"/>
        </w:rPr>
        <w:t>єнтів з ожир</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нням [</w:t>
      </w:r>
      <w:r w:rsidR="004900D9">
        <w:rPr>
          <w:rFonts w:ascii="Times New Roman" w:hAnsi="Times New Roman" w:cs="Times New Roman"/>
          <w:sz w:val="28"/>
          <w:szCs w:val="28"/>
          <w:lang w:val="uk-UA"/>
        </w:rPr>
        <w:t>139</w:t>
      </w:r>
      <w:r w:rsidR="000E44A3" w:rsidRPr="000E44A3">
        <w:rPr>
          <w:rFonts w:ascii="Times New Roman" w:hAnsi="Times New Roman" w:cs="Times New Roman"/>
          <w:sz w:val="28"/>
          <w:szCs w:val="28"/>
          <w:lang w:val="uk-UA"/>
        </w:rPr>
        <w:t>].</w:t>
      </w:r>
    </w:p>
    <w:p w:rsidR="007446ED" w:rsidRDefault="000A1291" w:rsidP="00376410">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Д</w:t>
      </w:r>
      <w:r w:rsidR="0038166B">
        <w:rPr>
          <w:rFonts w:ascii="Times New Roman" w:hAnsi="Times New Roman" w:cs="Times New Roman"/>
          <w:sz w:val="28"/>
          <w:szCs w:val="28"/>
          <w:lang w:val="uk-UA"/>
        </w:rPr>
        <w:t>осл</w:t>
      </w:r>
      <w:r w:rsidR="0038166B">
        <w:rPr>
          <w:rFonts w:ascii="Times New Roman" w:hAnsi="Times New Roman" w:cs="Times New Roman"/>
          <w:sz w:val="28"/>
          <w:szCs w:val="28"/>
          <w:lang w:val="en-US"/>
        </w:rPr>
        <w:t>i</w:t>
      </w:r>
      <w:r w:rsidR="00296C0B">
        <w:rPr>
          <w:rFonts w:ascii="Times New Roman" w:hAnsi="Times New Roman" w:cs="Times New Roman"/>
          <w:sz w:val="28"/>
          <w:szCs w:val="28"/>
          <w:lang w:val="uk-UA"/>
        </w:rPr>
        <w:t>дники констатували</w:t>
      </w:r>
      <w:r w:rsidR="0038166B">
        <w:rPr>
          <w:rFonts w:ascii="Times New Roman" w:hAnsi="Times New Roman" w:cs="Times New Roman"/>
          <w:sz w:val="28"/>
          <w:szCs w:val="28"/>
          <w:lang w:val="uk-UA"/>
        </w:rPr>
        <w:t xml:space="preserve"> залежн</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сть м</w:t>
      </w:r>
      <w:r w:rsidR="0038166B">
        <w:rPr>
          <w:rFonts w:ascii="Times New Roman" w:hAnsi="Times New Roman" w:cs="Times New Roman"/>
          <w:sz w:val="28"/>
          <w:szCs w:val="28"/>
          <w:lang w:val="en-US"/>
        </w:rPr>
        <w:t>i</w:t>
      </w:r>
      <w:r w:rsidR="003D27D6">
        <w:rPr>
          <w:rFonts w:ascii="Times New Roman" w:hAnsi="Times New Roman" w:cs="Times New Roman"/>
          <w:sz w:val="28"/>
          <w:szCs w:val="28"/>
          <w:lang w:val="uk-UA"/>
        </w:rPr>
        <w:t>ж ІММ</w:t>
      </w:r>
      <w:r w:rsidR="0038166B">
        <w:rPr>
          <w:rFonts w:ascii="Times New Roman" w:hAnsi="Times New Roman" w:cs="Times New Roman"/>
          <w:sz w:val="28"/>
          <w:szCs w:val="28"/>
          <w:lang w:val="uk-UA"/>
        </w:rPr>
        <w:t>ЛШ та в</w:t>
      </w:r>
      <w:r w:rsidR="0038166B">
        <w:rPr>
          <w:rFonts w:ascii="Times New Roman" w:hAnsi="Times New Roman" w:cs="Times New Roman"/>
          <w:sz w:val="28"/>
          <w:szCs w:val="28"/>
          <w:lang w:val="en-US"/>
        </w:rPr>
        <w:t>i</w:t>
      </w:r>
      <w:r w:rsidR="0038166B">
        <w:rPr>
          <w:rFonts w:ascii="Times New Roman" w:hAnsi="Times New Roman" w:cs="Times New Roman"/>
          <w:sz w:val="28"/>
          <w:szCs w:val="28"/>
          <w:lang w:val="uk-UA"/>
        </w:rPr>
        <w:t>ком пац</w:t>
      </w:r>
      <w:r w:rsidR="0038166B">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єнтів </w:t>
      </w:r>
      <w:r w:rsidR="00CD4EDB">
        <w:rPr>
          <w:rFonts w:ascii="Times New Roman" w:hAnsi="Times New Roman" w:cs="Times New Roman"/>
          <w:sz w:val="28"/>
          <w:szCs w:val="28"/>
          <w:lang w:val="uk-UA"/>
        </w:rPr>
        <w:t xml:space="preserve">  </w:t>
      </w:r>
      <w:r>
        <w:rPr>
          <w:rFonts w:ascii="Times New Roman" w:hAnsi="Times New Roman" w:cs="Times New Roman"/>
          <w:sz w:val="28"/>
          <w:szCs w:val="28"/>
          <w:lang w:val="uk-UA"/>
        </w:rPr>
        <w:t>у хворих на</w:t>
      </w:r>
      <w:r w:rsidR="003D27D6">
        <w:rPr>
          <w:rFonts w:ascii="Times New Roman" w:hAnsi="Times New Roman" w:cs="Times New Roman"/>
          <w:sz w:val="28"/>
          <w:szCs w:val="28"/>
          <w:lang w:val="uk-UA"/>
        </w:rPr>
        <w:t xml:space="preserve"> АГ </w:t>
      </w:r>
      <w:r w:rsidR="000E44A3" w:rsidRPr="000E44A3">
        <w:rPr>
          <w:rFonts w:ascii="Times New Roman" w:hAnsi="Times New Roman" w:cs="Times New Roman"/>
          <w:sz w:val="28"/>
          <w:szCs w:val="28"/>
          <w:lang w:val="uk-UA"/>
        </w:rPr>
        <w:t>[</w:t>
      </w:r>
      <w:r w:rsidR="004900D9">
        <w:rPr>
          <w:rFonts w:ascii="Times New Roman" w:hAnsi="Times New Roman" w:cs="Times New Roman"/>
          <w:sz w:val="28"/>
          <w:szCs w:val="28"/>
        </w:rPr>
        <w:t>16</w:t>
      </w:r>
      <w:r w:rsidR="004900D9">
        <w:rPr>
          <w:rFonts w:ascii="Times New Roman" w:hAnsi="Times New Roman" w:cs="Times New Roman"/>
          <w:sz w:val="28"/>
          <w:szCs w:val="28"/>
          <w:lang w:val="uk-UA"/>
        </w:rPr>
        <w:t>1</w:t>
      </w:r>
      <w:r w:rsidR="00296C0B" w:rsidRPr="00B1786A">
        <w:rPr>
          <w:rFonts w:ascii="Times New Roman" w:hAnsi="Times New Roman" w:cs="Times New Roman"/>
          <w:sz w:val="28"/>
          <w:szCs w:val="28"/>
          <w:lang w:val="uk-UA"/>
        </w:rPr>
        <w:t>].</w:t>
      </w:r>
      <w:r w:rsidR="00296C0B">
        <w:rPr>
          <w:rFonts w:ascii="Times New Roman" w:hAnsi="Times New Roman" w:cs="Times New Roman"/>
          <w:sz w:val="28"/>
          <w:szCs w:val="28"/>
          <w:lang w:val="uk-UA"/>
        </w:rPr>
        <w:t xml:space="preserve"> </w:t>
      </w:r>
      <w:r w:rsidR="00D56158">
        <w:rPr>
          <w:rFonts w:ascii="Times New Roman" w:hAnsi="Times New Roman" w:cs="Times New Roman"/>
          <w:sz w:val="28"/>
          <w:szCs w:val="28"/>
          <w:lang w:val="uk-UA"/>
        </w:rPr>
        <w:t>Але не достатньо висв</w:t>
      </w:r>
      <w:r w:rsidR="00D56158">
        <w:rPr>
          <w:rFonts w:ascii="Times New Roman" w:hAnsi="Times New Roman" w:cs="Times New Roman"/>
          <w:sz w:val="28"/>
          <w:szCs w:val="28"/>
          <w:lang w:val="en-US"/>
        </w:rPr>
        <w:t>i</w:t>
      </w:r>
      <w:r w:rsidR="003D27D6">
        <w:rPr>
          <w:rFonts w:ascii="Times New Roman" w:hAnsi="Times New Roman" w:cs="Times New Roman"/>
          <w:sz w:val="28"/>
          <w:szCs w:val="28"/>
          <w:lang w:val="uk-UA"/>
        </w:rPr>
        <w:t>тленим зал</w:t>
      </w:r>
      <w:r w:rsidR="00D56158">
        <w:rPr>
          <w:rFonts w:ascii="Times New Roman" w:hAnsi="Times New Roman" w:cs="Times New Roman"/>
          <w:sz w:val="28"/>
          <w:szCs w:val="28"/>
          <w:lang w:val="uk-UA"/>
        </w:rPr>
        <w:t>ишається вивчення зв’язку м</w:t>
      </w:r>
      <w:r w:rsidR="00D56158">
        <w:rPr>
          <w:rFonts w:ascii="Times New Roman" w:hAnsi="Times New Roman" w:cs="Times New Roman"/>
          <w:sz w:val="28"/>
          <w:szCs w:val="28"/>
          <w:lang w:val="en-US"/>
        </w:rPr>
        <w:t>i</w:t>
      </w:r>
      <w:r w:rsidR="00D56158">
        <w:rPr>
          <w:rFonts w:ascii="Times New Roman" w:hAnsi="Times New Roman" w:cs="Times New Roman"/>
          <w:sz w:val="28"/>
          <w:szCs w:val="28"/>
          <w:lang w:val="uk-UA"/>
        </w:rPr>
        <w:t>ж ІММЛШ та в</w:t>
      </w:r>
      <w:r w:rsidR="00D56158">
        <w:rPr>
          <w:rFonts w:ascii="Times New Roman" w:hAnsi="Times New Roman" w:cs="Times New Roman"/>
          <w:sz w:val="28"/>
          <w:szCs w:val="28"/>
          <w:lang w:val="en-US"/>
        </w:rPr>
        <w:t>i</w:t>
      </w:r>
      <w:r w:rsidR="00D56158">
        <w:rPr>
          <w:rFonts w:ascii="Times New Roman" w:hAnsi="Times New Roman" w:cs="Times New Roman"/>
          <w:sz w:val="28"/>
          <w:szCs w:val="28"/>
          <w:lang w:val="uk-UA"/>
        </w:rPr>
        <w:t>ком саме за наявності коморб</w:t>
      </w:r>
      <w:r w:rsidR="00D56158">
        <w:rPr>
          <w:rFonts w:ascii="Times New Roman" w:hAnsi="Times New Roman" w:cs="Times New Roman"/>
          <w:sz w:val="28"/>
          <w:szCs w:val="28"/>
          <w:lang w:val="en-US"/>
        </w:rPr>
        <w:t>i</w:t>
      </w:r>
      <w:r w:rsidR="003D27D6">
        <w:rPr>
          <w:rFonts w:ascii="Times New Roman" w:hAnsi="Times New Roman" w:cs="Times New Roman"/>
          <w:sz w:val="28"/>
          <w:szCs w:val="28"/>
          <w:lang w:val="uk-UA"/>
        </w:rPr>
        <w:t>дної</w:t>
      </w:r>
      <w:r w:rsidR="00D56158">
        <w:rPr>
          <w:rFonts w:ascii="Times New Roman" w:hAnsi="Times New Roman" w:cs="Times New Roman"/>
          <w:sz w:val="28"/>
          <w:szCs w:val="28"/>
          <w:lang w:val="uk-UA"/>
        </w:rPr>
        <w:t xml:space="preserve"> патології. </w:t>
      </w:r>
      <w:r w:rsidR="00CD4EDB">
        <w:rPr>
          <w:rFonts w:ascii="Times New Roman" w:hAnsi="Times New Roman" w:cs="Times New Roman"/>
          <w:sz w:val="28"/>
          <w:szCs w:val="28"/>
          <w:lang w:val="uk-UA"/>
        </w:rPr>
        <w:t xml:space="preserve">          </w:t>
      </w:r>
      <w:r w:rsidR="00D56158">
        <w:rPr>
          <w:rFonts w:ascii="Times New Roman" w:hAnsi="Times New Roman" w:cs="Times New Roman"/>
          <w:sz w:val="28"/>
          <w:szCs w:val="28"/>
          <w:lang w:val="uk-UA"/>
        </w:rPr>
        <w:t>У нашому дослідженн</w:t>
      </w:r>
      <w:r w:rsidR="00D56158">
        <w:rPr>
          <w:rFonts w:ascii="Times New Roman" w:hAnsi="Times New Roman" w:cs="Times New Roman"/>
          <w:sz w:val="28"/>
          <w:szCs w:val="28"/>
          <w:lang w:val="en-US"/>
        </w:rPr>
        <w:t>i</w:t>
      </w:r>
      <w:r w:rsidR="00D56158">
        <w:rPr>
          <w:rFonts w:ascii="Times New Roman" w:hAnsi="Times New Roman" w:cs="Times New Roman"/>
          <w:sz w:val="28"/>
          <w:szCs w:val="28"/>
          <w:lang w:val="uk-UA"/>
        </w:rPr>
        <w:t xml:space="preserve"> виявлено позитивну залежн</w:t>
      </w:r>
      <w:r w:rsidR="00D56158">
        <w:rPr>
          <w:rFonts w:ascii="Times New Roman" w:hAnsi="Times New Roman" w:cs="Times New Roman"/>
          <w:sz w:val="28"/>
          <w:szCs w:val="28"/>
          <w:lang w:val="en-US"/>
        </w:rPr>
        <w:t>i</w:t>
      </w:r>
      <w:r w:rsidR="00D56158">
        <w:rPr>
          <w:rFonts w:ascii="Times New Roman" w:hAnsi="Times New Roman" w:cs="Times New Roman"/>
          <w:sz w:val="28"/>
          <w:szCs w:val="28"/>
          <w:lang w:val="uk-UA"/>
        </w:rPr>
        <w:t>сть м</w:t>
      </w:r>
      <w:r w:rsidR="00D56158">
        <w:rPr>
          <w:rFonts w:ascii="Times New Roman" w:hAnsi="Times New Roman" w:cs="Times New Roman"/>
          <w:sz w:val="28"/>
          <w:szCs w:val="28"/>
          <w:lang w:val="en-US"/>
        </w:rPr>
        <w:t>i</w:t>
      </w:r>
      <w:r w:rsidR="00D56158">
        <w:rPr>
          <w:rFonts w:ascii="Times New Roman" w:hAnsi="Times New Roman" w:cs="Times New Roman"/>
          <w:sz w:val="28"/>
          <w:szCs w:val="28"/>
          <w:lang w:val="uk-UA"/>
        </w:rPr>
        <w:t>ж в</w:t>
      </w:r>
      <w:r w:rsidR="00D56158">
        <w:rPr>
          <w:rFonts w:ascii="Times New Roman" w:hAnsi="Times New Roman" w:cs="Times New Roman"/>
          <w:sz w:val="28"/>
          <w:szCs w:val="28"/>
          <w:lang w:val="en-US"/>
        </w:rPr>
        <w:t>i</w:t>
      </w:r>
      <w:r w:rsidR="003D27D6" w:rsidRPr="003D27D6">
        <w:rPr>
          <w:rFonts w:ascii="Times New Roman" w:hAnsi="Times New Roman" w:cs="Times New Roman"/>
          <w:sz w:val="28"/>
          <w:szCs w:val="28"/>
          <w:lang w:val="uk-UA"/>
        </w:rPr>
        <w:t>ком</w:t>
      </w:r>
      <w:r w:rsidR="000E44A3" w:rsidRPr="003D27D6">
        <w:rPr>
          <w:rFonts w:ascii="Times New Roman" w:hAnsi="Times New Roman" w:cs="Times New Roman"/>
          <w:sz w:val="28"/>
          <w:szCs w:val="28"/>
          <w:lang w:val="uk-UA"/>
        </w:rPr>
        <w:t xml:space="preserve"> та ІММЛШ </w:t>
      </w:r>
      <w:r>
        <w:rPr>
          <w:rFonts w:ascii="Times New Roman" w:hAnsi="Times New Roman" w:cs="Times New Roman"/>
          <w:sz w:val="28"/>
          <w:szCs w:val="28"/>
          <w:lang w:val="uk-UA"/>
        </w:rPr>
        <w:t xml:space="preserve">  </w:t>
      </w:r>
      <w:r w:rsidR="003D27D6" w:rsidRPr="003D27D6">
        <w:rPr>
          <w:rFonts w:ascii="Times New Roman" w:hAnsi="Times New Roman" w:cs="Times New Roman"/>
          <w:sz w:val="28"/>
          <w:szCs w:val="28"/>
          <w:lang w:val="uk-UA"/>
        </w:rPr>
        <w:t xml:space="preserve">(r = 0,28; р = 0,0055) </w:t>
      </w:r>
      <w:r>
        <w:rPr>
          <w:rFonts w:ascii="Times New Roman" w:hAnsi="Times New Roman" w:cs="Times New Roman"/>
          <w:sz w:val="28"/>
          <w:szCs w:val="28"/>
          <w:lang w:val="uk-UA"/>
        </w:rPr>
        <w:t>у пацієнтів і</w:t>
      </w:r>
      <w:r w:rsidR="003D27D6" w:rsidRPr="003D27D6">
        <w:rPr>
          <w:rFonts w:ascii="Times New Roman" w:hAnsi="Times New Roman" w:cs="Times New Roman"/>
          <w:sz w:val="28"/>
          <w:szCs w:val="28"/>
          <w:lang w:val="uk-UA"/>
        </w:rPr>
        <w:t>з АГ</w:t>
      </w:r>
      <w:r w:rsidR="00263219">
        <w:rPr>
          <w:rFonts w:ascii="Times New Roman" w:hAnsi="Times New Roman" w:cs="Times New Roman"/>
          <w:sz w:val="28"/>
          <w:szCs w:val="28"/>
          <w:lang w:val="uk-UA"/>
        </w:rPr>
        <w:t xml:space="preserve"> </w:t>
      </w:r>
      <w:r w:rsidR="00263219" w:rsidRPr="00263219">
        <w:rPr>
          <w:rFonts w:ascii="Times New Roman" w:hAnsi="Times New Roman" w:cs="Times New Roman"/>
          <w:sz w:val="28"/>
          <w:szCs w:val="28"/>
          <w:lang w:val="uk-UA"/>
        </w:rPr>
        <w:t>саме за наявностi ЦД 2-го типу</w:t>
      </w:r>
      <w:r w:rsidR="003D27D6" w:rsidRPr="003D27D6">
        <w:rPr>
          <w:rFonts w:ascii="Times New Roman" w:hAnsi="Times New Roman" w:cs="Times New Roman"/>
          <w:sz w:val="28"/>
          <w:szCs w:val="28"/>
          <w:lang w:val="uk-UA"/>
        </w:rPr>
        <w:t>.</w:t>
      </w:r>
    </w:p>
    <w:p w:rsidR="00532781" w:rsidRDefault="00593986" w:rsidP="0037641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Pr>
          <w:rFonts w:ascii="Times New Roman" w:hAnsi="Times New Roman" w:cs="Times New Roman"/>
          <w:sz w:val="28"/>
          <w:szCs w:val="28"/>
          <w:lang w:val="en-US"/>
        </w:rPr>
        <w:t>i</w:t>
      </w:r>
      <w:r>
        <w:rPr>
          <w:rFonts w:ascii="Times New Roman" w:hAnsi="Times New Roman" w:cs="Times New Roman"/>
          <w:sz w:val="28"/>
          <w:szCs w:val="28"/>
          <w:lang w:val="uk-UA"/>
        </w:rPr>
        <w:t>сля анал</w:t>
      </w:r>
      <w:r>
        <w:rPr>
          <w:rFonts w:ascii="Times New Roman" w:hAnsi="Times New Roman" w:cs="Times New Roman"/>
          <w:sz w:val="28"/>
          <w:szCs w:val="28"/>
          <w:lang w:val="en-US"/>
        </w:rPr>
        <w:t>i</w:t>
      </w:r>
      <w:r>
        <w:rPr>
          <w:rFonts w:ascii="Times New Roman" w:hAnsi="Times New Roman" w:cs="Times New Roman"/>
          <w:sz w:val="28"/>
          <w:szCs w:val="28"/>
          <w:lang w:val="uk-UA"/>
        </w:rPr>
        <w:t>зу тип</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в</w:t>
      </w:r>
      <w:r w:rsidR="003C121D">
        <w:rPr>
          <w:rFonts w:ascii="Times New Roman" w:hAnsi="Times New Roman" w:cs="Times New Roman"/>
          <w:sz w:val="28"/>
          <w:szCs w:val="28"/>
          <w:lang w:val="uk-UA"/>
        </w:rPr>
        <w:t xml:space="preserve"> ремоделювання у</w:t>
      </w:r>
      <w:r w:rsidR="00296C0B">
        <w:rPr>
          <w:rFonts w:ascii="Times New Roman" w:hAnsi="Times New Roman" w:cs="Times New Roman"/>
          <w:sz w:val="28"/>
          <w:szCs w:val="28"/>
          <w:lang w:val="uk-UA"/>
        </w:rPr>
        <w:t xml:space="preserve">становлено, що </w:t>
      </w:r>
      <w:r w:rsidR="003C121D">
        <w:rPr>
          <w:rFonts w:ascii="Times New Roman" w:hAnsi="Times New Roman" w:cs="Times New Roman"/>
          <w:sz w:val="28"/>
          <w:szCs w:val="28"/>
          <w:lang w:val="uk-UA"/>
        </w:rPr>
        <w:t xml:space="preserve">у хворих </w:t>
      </w:r>
      <w:r w:rsidR="000E44A3" w:rsidRPr="000E44A3">
        <w:rPr>
          <w:rFonts w:ascii="Times New Roman" w:hAnsi="Times New Roman" w:cs="Times New Roman"/>
          <w:sz w:val="28"/>
          <w:szCs w:val="28"/>
          <w:lang w:val="uk-UA"/>
        </w:rPr>
        <w:t>І групи к</w:t>
      </w:r>
      <w:r>
        <w:rPr>
          <w:rFonts w:ascii="Times New Roman" w:hAnsi="Times New Roman" w:cs="Times New Roman"/>
          <w:sz w:val="28"/>
          <w:szCs w:val="28"/>
          <w:lang w:val="uk-UA"/>
        </w:rPr>
        <w:t>онцентрична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sidR="00296C0B">
        <w:rPr>
          <w:rFonts w:ascii="Times New Roman" w:hAnsi="Times New Roman" w:cs="Times New Roman"/>
          <w:sz w:val="28"/>
          <w:szCs w:val="28"/>
          <w:lang w:val="uk-UA"/>
        </w:rPr>
        <w:t>я трапляється у 1,6 раза</w:t>
      </w:r>
      <w:r>
        <w:rPr>
          <w:rFonts w:ascii="Times New Roman" w:hAnsi="Times New Roman" w:cs="Times New Roman"/>
          <w:sz w:val="28"/>
          <w:szCs w:val="28"/>
          <w:lang w:val="uk-UA"/>
        </w:rPr>
        <w:t xml:space="preserve"> част</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ше, а ексцен</w:t>
      </w:r>
      <w:r>
        <w:rPr>
          <w:rFonts w:ascii="Times New Roman" w:hAnsi="Times New Roman" w:cs="Times New Roman"/>
          <w:sz w:val="28"/>
          <w:szCs w:val="28"/>
          <w:lang w:val="uk-UA"/>
        </w:rPr>
        <w:t>трична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Pr>
          <w:rFonts w:ascii="Times New Roman" w:hAnsi="Times New Roman" w:cs="Times New Roman"/>
          <w:sz w:val="28"/>
          <w:szCs w:val="28"/>
          <w:lang w:val="uk-UA"/>
        </w:rPr>
        <w:t>я – у 2,6 раза частіше, н</w:t>
      </w:r>
      <w:r>
        <w:rPr>
          <w:rFonts w:ascii="Times New Roman" w:hAnsi="Times New Roman" w:cs="Times New Roman"/>
          <w:sz w:val="28"/>
          <w:szCs w:val="28"/>
          <w:lang w:val="en-US"/>
        </w:rPr>
        <w:t>i</w:t>
      </w:r>
      <w:r w:rsidR="00296C0B">
        <w:rPr>
          <w:rFonts w:ascii="Times New Roman" w:hAnsi="Times New Roman" w:cs="Times New Roman"/>
          <w:sz w:val="28"/>
          <w:szCs w:val="28"/>
          <w:lang w:val="uk-UA"/>
        </w:rPr>
        <w:t xml:space="preserve">ж </w:t>
      </w:r>
      <w:r w:rsidR="003C121D">
        <w:rPr>
          <w:rFonts w:ascii="Times New Roman" w:hAnsi="Times New Roman" w:cs="Times New Roman"/>
          <w:sz w:val="28"/>
          <w:szCs w:val="28"/>
          <w:lang w:val="uk-UA"/>
        </w:rPr>
        <w:t xml:space="preserve">у пацієнтів </w:t>
      </w:r>
      <w:r>
        <w:rPr>
          <w:rFonts w:ascii="Times New Roman" w:hAnsi="Times New Roman" w:cs="Times New Roman"/>
          <w:sz w:val="28"/>
          <w:szCs w:val="28"/>
          <w:lang w:val="uk-UA"/>
        </w:rPr>
        <w:t>ІІ групи. За даними досл</w:t>
      </w:r>
      <w:r>
        <w:rPr>
          <w:rFonts w:ascii="Times New Roman" w:hAnsi="Times New Roman" w:cs="Times New Roman"/>
          <w:sz w:val="28"/>
          <w:szCs w:val="28"/>
          <w:lang w:val="en-US"/>
        </w:rPr>
        <w:t>i</w:t>
      </w:r>
      <w:r>
        <w:rPr>
          <w:rFonts w:ascii="Times New Roman" w:hAnsi="Times New Roman" w:cs="Times New Roman"/>
          <w:sz w:val="28"/>
          <w:szCs w:val="28"/>
          <w:lang w:val="uk-UA"/>
        </w:rPr>
        <w:t>дник</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в, у хворих </w:t>
      </w:r>
      <w:r w:rsidR="00263219">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ЦД 2-го типу концентрична </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 ексцентрич</w:t>
      </w:r>
      <w:r>
        <w:rPr>
          <w:rFonts w:ascii="Times New Roman" w:hAnsi="Times New Roman" w:cs="Times New Roman"/>
          <w:sz w:val="28"/>
          <w:szCs w:val="28"/>
          <w:lang w:val="uk-UA"/>
        </w:rPr>
        <w:t>на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w:t>
      </w:r>
      <w:r>
        <w:rPr>
          <w:rFonts w:ascii="Times New Roman" w:hAnsi="Times New Roman" w:cs="Times New Roman"/>
          <w:sz w:val="28"/>
          <w:szCs w:val="28"/>
          <w:lang w:val="en-US"/>
        </w:rPr>
        <w:t>i</w:t>
      </w:r>
      <w:r>
        <w:rPr>
          <w:rFonts w:ascii="Times New Roman" w:hAnsi="Times New Roman" w:cs="Times New Roman"/>
          <w:sz w:val="28"/>
          <w:szCs w:val="28"/>
          <w:lang w:val="uk-UA"/>
        </w:rPr>
        <w:t>я ЛШ дом</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нують у випа</w:t>
      </w:r>
      <w:r>
        <w:rPr>
          <w:rFonts w:ascii="Times New Roman" w:hAnsi="Times New Roman" w:cs="Times New Roman"/>
          <w:sz w:val="28"/>
          <w:szCs w:val="28"/>
          <w:lang w:val="uk-UA"/>
        </w:rPr>
        <w:t xml:space="preserve">дку його поєднання </w:t>
      </w:r>
      <w:r>
        <w:rPr>
          <w:rFonts w:ascii="Times New Roman" w:hAnsi="Times New Roman" w:cs="Times New Roman"/>
          <w:sz w:val="28"/>
          <w:szCs w:val="28"/>
          <w:lang w:val="en-US"/>
        </w:rPr>
        <w:t>i</w:t>
      </w:r>
      <w:r>
        <w:rPr>
          <w:rFonts w:ascii="Times New Roman" w:hAnsi="Times New Roman" w:cs="Times New Roman"/>
          <w:sz w:val="28"/>
          <w:szCs w:val="28"/>
          <w:lang w:val="uk-UA"/>
        </w:rPr>
        <w:t>з АГ, оск</w:t>
      </w:r>
      <w:r>
        <w:rPr>
          <w:rFonts w:ascii="Times New Roman" w:hAnsi="Times New Roman" w:cs="Times New Roman"/>
          <w:sz w:val="28"/>
          <w:szCs w:val="28"/>
          <w:lang w:val="en-US"/>
        </w:rPr>
        <w:t>i</w:t>
      </w:r>
      <w:r w:rsidR="008D02E7">
        <w:rPr>
          <w:rFonts w:ascii="Times New Roman" w:hAnsi="Times New Roman" w:cs="Times New Roman"/>
          <w:sz w:val="28"/>
          <w:szCs w:val="28"/>
          <w:lang w:val="uk-UA"/>
        </w:rPr>
        <w:t>льки</w:t>
      </w:r>
      <w:r>
        <w:rPr>
          <w:rFonts w:ascii="Times New Roman" w:hAnsi="Times New Roman" w:cs="Times New Roman"/>
          <w:sz w:val="28"/>
          <w:szCs w:val="28"/>
          <w:lang w:val="uk-UA"/>
        </w:rPr>
        <w:t xml:space="preserve"> гемодинам</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чне навантаження є вагомим фак</w:t>
      </w:r>
      <w:r>
        <w:rPr>
          <w:rFonts w:ascii="Times New Roman" w:hAnsi="Times New Roman" w:cs="Times New Roman"/>
          <w:sz w:val="28"/>
          <w:szCs w:val="28"/>
          <w:lang w:val="uk-UA"/>
        </w:rPr>
        <w:t>тором, який сприяє формуванню г</w:t>
      </w:r>
      <w:r>
        <w:rPr>
          <w:rFonts w:ascii="Times New Roman" w:hAnsi="Times New Roman" w:cs="Times New Roman"/>
          <w:sz w:val="28"/>
          <w:szCs w:val="28"/>
          <w:lang w:val="en-US"/>
        </w:rPr>
        <w:t>i</w:t>
      </w:r>
      <w:r>
        <w:rPr>
          <w:rFonts w:ascii="Times New Roman" w:hAnsi="Times New Roman" w:cs="Times New Roman"/>
          <w:sz w:val="28"/>
          <w:szCs w:val="28"/>
          <w:lang w:val="uk-UA"/>
        </w:rPr>
        <w:t>пертрофічних тип</w:t>
      </w:r>
      <w:r>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в </w:t>
      </w:r>
      <w:r w:rsidR="000E44A3" w:rsidRPr="004900D9">
        <w:rPr>
          <w:rFonts w:ascii="Times New Roman" w:hAnsi="Times New Roman" w:cs="Times New Roman"/>
          <w:sz w:val="28"/>
          <w:szCs w:val="28"/>
          <w:lang w:val="uk-UA"/>
        </w:rPr>
        <w:t>ремоделювання [</w:t>
      </w:r>
      <w:r w:rsidR="00444930" w:rsidRPr="004900D9">
        <w:rPr>
          <w:rFonts w:ascii="Times New Roman" w:hAnsi="Times New Roman" w:cs="Times New Roman"/>
          <w:sz w:val="28"/>
          <w:szCs w:val="28"/>
          <w:lang w:val="uk-UA"/>
        </w:rPr>
        <w:t>188</w:t>
      </w:r>
      <w:r w:rsidR="008D02E7" w:rsidRPr="004900D9">
        <w:rPr>
          <w:rFonts w:ascii="Times New Roman" w:hAnsi="Times New Roman" w:cs="Times New Roman"/>
          <w:sz w:val="28"/>
          <w:szCs w:val="28"/>
          <w:lang w:val="uk-UA"/>
        </w:rPr>
        <w:t>].</w:t>
      </w:r>
      <w:r w:rsidR="008D02E7">
        <w:rPr>
          <w:rFonts w:ascii="Times New Roman" w:hAnsi="Times New Roman" w:cs="Times New Roman"/>
          <w:sz w:val="28"/>
          <w:szCs w:val="28"/>
          <w:lang w:val="uk-UA"/>
        </w:rPr>
        <w:t xml:space="preserve"> </w:t>
      </w:r>
    </w:p>
    <w:p w:rsidR="00532781" w:rsidRDefault="008D02E7" w:rsidP="0037641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нашому дослідженні </w:t>
      </w:r>
      <w:r w:rsidR="00263219">
        <w:rPr>
          <w:rFonts w:ascii="Times New Roman" w:hAnsi="Times New Roman" w:cs="Times New Roman"/>
          <w:sz w:val="28"/>
          <w:szCs w:val="28"/>
          <w:lang w:val="uk-UA"/>
        </w:rPr>
        <w:t xml:space="preserve">у пацієнтів </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з коморб</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дною патолог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єю також ц</w:t>
      </w:r>
      <w:r w:rsidR="00593986">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 дв</w:t>
      </w:r>
      <w:r>
        <w:rPr>
          <w:rFonts w:ascii="Times New Roman" w:hAnsi="Times New Roman" w:cs="Times New Roman"/>
          <w:sz w:val="28"/>
          <w:szCs w:val="28"/>
          <w:lang w:val="uk-UA"/>
        </w:rPr>
        <w:t>а типи геом</w:t>
      </w:r>
      <w:r w:rsidR="00593986">
        <w:rPr>
          <w:rFonts w:ascii="Times New Roman" w:hAnsi="Times New Roman" w:cs="Times New Roman"/>
          <w:sz w:val="28"/>
          <w:szCs w:val="28"/>
          <w:lang w:val="uk-UA"/>
        </w:rPr>
        <w:t>етр</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ї ЛШ спостер</w:t>
      </w:r>
      <w:r w:rsidR="00593986">
        <w:rPr>
          <w:rFonts w:ascii="Times New Roman" w:hAnsi="Times New Roman" w:cs="Times New Roman"/>
          <w:sz w:val="28"/>
          <w:szCs w:val="28"/>
          <w:lang w:val="en-US"/>
        </w:rPr>
        <w:t>i</w:t>
      </w:r>
      <w:r>
        <w:rPr>
          <w:rFonts w:ascii="Times New Roman" w:hAnsi="Times New Roman" w:cs="Times New Roman"/>
          <w:sz w:val="28"/>
          <w:szCs w:val="28"/>
          <w:lang w:val="uk-UA"/>
        </w:rPr>
        <w:t>гали</w:t>
      </w:r>
      <w:r w:rsidR="00593986">
        <w:rPr>
          <w:rFonts w:ascii="Times New Roman" w:hAnsi="Times New Roman" w:cs="Times New Roman"/>
          <w:sz w:val="28"/>
          <w:szCs w:val="28"/>
          <w:lang w:val="uk-UA"/>
        </w:rPr>
        <w:t xml:space="preserve"> </w:t>
      </w:r>
      <w:r w:rsidR="00593986">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з більшою частотою: к</w:t>
      </w:r>
      <w:r w:rsidR="004270AB">
        <w:rPr>
          <w:rFonts w:ascii="Times New Roman" w:hAnsi="Times New Roman" w:cs="Times New Roman"/>
          <w:sz w:val="28"/>
          <w:szCs w:val="28"/>
          <w:lang w:val="uk-UA"/>
        </w:rPr>
        <w:t xml:space="preserve">онцентрична гіпертрофія – </w:t>
      </w:r>
      <w:r>
        <w:rPr>
          <w:rFonts w:ascii="Times New Roman" w:hAnsi="Times New Roman" w:cs="Times New Roman"/>
          <w:sz w:val="28"/>
          <w:szCs w:val="28"/>
          <w:lang w:val="uk-UA"/>
        </w:rPr>
        <w:t xml:space="preserve">у </w:t>
      </w:r>
      <w:r w:rsidR="004270AB">
        <w:rPr>
          <w:rFonts w:ascii="Times New Roman" w:hAnsi="Times New Roman" w:cs="Times New Roman"/>
          <w:sz w:val="28"/>
          <w:szCs w:val="28"/>
          <w:lang w:val="uk-UA"/>
        </w:rPr>
        <w:t>65,63 %, ексцентрична – у 20,83</w:t>
      </w:r>
      <w:r w:rsidR="00593986">
        <w:rPr>
          <w:rFonts w:ascii="Times New Roman" w:hAnsi="Times New Roman" w:cs="Times New Roman"/>
          <w:sz w:val="28"/>
          <w:szCs w:val="28"/>
          <w:lang w:val="uk-UA"/>
        </w:rPr>
        <w:t xml:space="preserve"> % хворих. </w:t>
      </w:r>
      <w:r w:rsidR="006E7E65">
        <w:rPr>
          <w:rFonts w:ascii="Times New Roman" w:hAnsi="Times New Roman" w:cs="Times New Roman"/>
          <w:sz w:val="28"/>
          <w:szCs w:val="28"/>
          <w:lang w:val="uk-UA"/>
        </w:rPr>
        <w:t>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пертроф</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чні та прол</w:t>
      </w:r>
      <w:r w:rsidR="00593986">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фер</w:t>
      </w:r>
      <w:r w:rsidR="00593986">
        <w:rPr>
          <w:rFonts w:ascii="Times New Roman" w:hAnsi="Times New Roman" w:cs="Times New Roman"/>
          <w:sz w:val="28"/>
          <w:szCs w:val="28"/>
          <w:lang w:val="uk-UA"/>
        </w:rPr>
        <w:t>ативн</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 xml:space="preserve"> процеси, одним </w:t>
      </w:r>
      <w:r w:rsidR="00593986">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з яких </w:t>
      </w:r>
      <w:r w:rsidR="00593986">
        <w:rPr>
          <w:rFonts w:ascii="Times New Roman" w:hAnsi="Times New Roman" w:cs="Times New Roman"/>
          <w:sz w:val="28"/>
          <w:szCs w:val="28"/>
          <w:lang w:val="uk-UA"/>
        </w:rPr>
        <w:t>є активац</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я прозапального циток</w:t>
      </w:r>
      <w:r w:rsidR="00593986">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ну </w:t>
      </w:r>
      <w:r w:rsidR="00593986">
        <w:rPr>
          <w:rFonts w:ascii="Times New Roman" w:hAnsi="Times New Roman" w:cs="Times New Roman"/>
          <w:sz w:val="28"/>
          <w:szCs w:val="28"/>
          <w:lang w:val="uk-UA"/>
        </w:rPr>
        <w:t>ФНП-α, призводять до швидкого 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пертроф</w:t>
      </w:r>
      <w:r w:rsidR="00593986">
        <w:rPr>
          <w:rFonts w:ascii="Times New Roman" w:hAnsi="Times New Roman" w:cs="Times New Roman"/>
          <w:sz w:val="28"/>
          <w:szCs w:val="28"/>
          <w:lang w:val="en-US"/>
        </w:rPr>
        <w:t>i</w:t>
      </w:r>
      <w:r w:rsidR="000E44A3" w:rsidRPr="000E44A3">
        <w:rPr>
          <w:rFonts w:ascii="Times New Roman" w:hAnsi="Times New Roman" w:cs="Times New Roman"/>
          <w:sz w:val="28"/>
          <w:szCs w:val="28"/>
          <w:lang w:val="uk-UA"/>
        </w:rPr>
        <w:t xml:space="preserve">чного ремоделювання, </w:t>
      </w:r>
      <w:r w:rsidR="000E44A3" w:rsidRPr="000E44A3">
        <w:rPr>
          <w:rFonts w:ascii="Times New Roman" w:hAnsi="Times New Roman" w:cs="Times New Roman"/>
          <w:sz w:val="28"/>
          <w:szCs w:val="28"/>
          <w:lang w:val="uk-UA"/>
        </w:rPr>
        <w:lastRenderedPageBreak/>
        <w:t xml:space="preserve">доповнюються </w:t>
      </w:r>
      <w:r>
        <w:rPr>
          <w:rFonts w:ascii="Times New Roman" w:hAnsi="Times New Roman" w:cs="Times New Roman"/>
          <w:sz w:val="28"/>
          <w:szCs w:val="28"/>
          <w:lang w:val="uk-UA"/>
        </w:rPr>
        <w:t>перевантаження</w:t>
      </w:r>
      <w:r w:rsidR="007824EA">
        <w:rPr>
          <w:rFonts w:ascii="Times New Roman" w:hAnsi="Times New Roman" w:cs="Times New Roman"/>
          <w:sz w:val="28"/>
          <w:szCs w:val="28"/>
          <w:lang w:val="uk-UA"/>
        </w:rPr>
        <w:t>м</w:t>
      </w:r>
      <w:r>
        <w:rPr>
          <w:rFonts w:ascii="Times New Roman" w:hAnsi="Times New Roman" w:cs="Times New Roman"/>
          <w:sz w:val="28"/>
          <w:szCs w:val="28"/>
          <w:lang w:val="uk-UA"/>
        </w:rPr>
        <w:t xml:space="preserve"> серця обʼ</w:t>
      </w:r>
      <w:r w:rsidR="007824EA">
        <w:rPr>
          <w:rFonts w:ascii="Times New Roman" w:hAnsi="Times New Roman" w:cs="Times New Roman"/>
          <w:sz w:val="28"/>
          <w:szCs w:val="28"/>
          <w:lang w:val="uk-UA"/>
        </w:rPr>
        <w:t xml:space="preserve">ємом та розвитком </w:t>
      </w:r>
      <w:r w:rsidR="000E44A3" w:rsidRPr="000E44A3">
        <w:rPr>
          <w:rFonts w:ascii="Times New Roman" w:hAnsi="Times New Roman" w:cs="Times New Roman"/>
          <w:sz w:val="28"/>
          <w:szCs w:val="28"/>
          <w:lang w:val="uk-UA"/>
        </w:rPr>
        <w:t>екцентричного ремоделювання [</w:t>
      </w:r>
      <w:r w:rsidR="00444930" w:rsidRPr="004900D9">
        <w:rPr>
          <w:rFonts w:ascii="Times New Roman" w:hAnsi="Times New Roman" w:cs="Times New Roman"/>
          <w:sz w:val="28"/>
          <w:szCs w:val="28"/>
          <w:lang w:val="uk-UA"/>
        </w:rPr>
        <w:t>97</w:t>
      </w:r>
      <w:r w:rsidR="00B45E56">
        <w:rPr>
          <w:rFonts w:ascii="Times New Roman" w:hAnsi="Times New Roman" w:cs="Times New Roman"/>
          <w:sz w:val="28"/>
          <w:szCs w:val="28"/>
          <w:lang w:val="uk-UA"/>
        </w:rPr>
        <w:t xml:space="preserve">]. </w:t>
      </w:r>
      <w:r w:rsidR="00593986">
        <w:rPr>
          <w:rFonts w:ascii="Times New Roman" w:hAnsi="Times New Roman" w:cs="Times New Roman"/>
          <w:sz w:val="28"/>
          <w:szCs w:val="28"/>
          <w:lang w:val="uk-UA"/>
        </w:rPr>
        <w:t xml:space="preserve">За даними </w:t>
      </w:r>
      <w:r w:rsidR="00B365EF" w:rsidRPr="00E45199">
        <w:rPr>
          <w:rFonts w:ascii="Times New Roman" w:hAnsi="Times New Roman" w:cs="Times New Roman"/>
          <w:sz w:val="28"/>
          <w:szCs w:val="28"/>
          <w:lang w:val="uk-UA"/>
        </w:rPr>
        <w:t>д</w:t>
      </w:r>
      <w:r w:rsidR="00593986">
        <w:rPr>
          <w:rFonts w:ascii="Times New Roman" w:hAnsi="Times New Roman" w:cs="Times New Roman"/>
          <w:sz w:val="28"/>
          <w:szCs w:val="28"/>
          <w:lang w:val="uk-UA"/>
        </w:rPr>
        <w:t>осл</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дник</w:t>
      </w:r>
      <w:r w:rsidR="00593986">
        <w:rPr>
          <w:rFonts w:ascii="Times New Roman" w:hAnsi="Times New Roman" w:cs="Times New Roman"/>
          <w:sz w:val="28"/>
          <w:szCs w:val="28"/>
          <w:lang w:val="en-US"/>
        </w:rPr>
        <w:t>i</w:t>
      </w:r>
      <w:r w:rsidR="007824EA">
        <w:rPr>
          <w:rFonts w:ascii="Times New Roman" w:hAnsi="Times New Roman" w:cs="Times New Roman"/>
          <w:sz w:val="28"/>
          <w:szCs w:val="28"/>
          <w:lang w:val="uk-UA"/>
        </w:rPr>
        <w:t xml:space="preserve">в, у хворих на </w:t>
      </w:r>
      <w:r w:rsidR="00593986">
        <w:rPr>
          <w:rFonts w:ascii="Times New Roman" w:hAnsi="Times New Roman" w:cs="Times New Roman"/>
          <w:sz w:val="28"/>
          <w:szCs w:val="28"/>
          <w:lang w:val="uk-UA"/>
        </w:rPr>
        <w:t>ЦД 2-го типу част</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ше розвивається ремоделювання м</w:t>
      </w:r>
      <w:r w:rsidR="00593986">
        <w:rPr>
          <w:rFonts w:ascii="Times New Roman" w:hAnsi="Times New Roman" w:cs="Times New Roman"/>
          <w:sz w:val="28"/>
          <w:szCs w:val="28"/>
          <w:lang w:val="en-US"/>
        </w:rPr>
        <w:t>i</w:t>
      </w:r>
      <w:r w:rsidR="00B365EF" w:rsidRPr="00E45199">
        <w:rPr>
          <w:rFonts w:ascii="Times New Roman" w:hAnsi="Times New Roman" w:cs="Times New Roman"/>
          <w:sz w:val="28"/>
          <w:szCs w:val="28"/>
          <w:lang w:val="uk-UA"/>
        </w:rPr>
        <w:t>окарда з перев</w:t>
      </w:r>
      <w:r w:rsidR="00593986">
        <w:rPr>
          <w:rFonts w:ascii="Times New Roman" w:hAnsi="Times New Roman" w:cs="Times New Roman"/>
          <w:sz w:val="28"/>
          <w:szCs w:val="28"/>
          <w:lang w:val="uk-UA"/>
        </w:rPr>
        <w:t>ажанням концентричної гіпертроф</w:t>
      </w:r>
      <w:r w:rsidR="00593986">
        <w:rPr>
          <w:rFonts w:ascii="Times New Roman" w:hAnsi="Times New Roman" w:cs="Times New Roman"/>
          <w:sz w:val="28"/>
          <w:szCs w:val="28"/>
          <w:lang w:val="en-US"/>
        </w:rPr>
        <w:t>i</w:t>
      </w:r>
      <w:r w:rsidR="00E31118">
        <w:rPr>
          <w:rFonts w:ascii="Times New Roman" w:hAnsi="Times New Roman" w:cs="Times New Roman"/>
          <w:sz w:val="28"/>
          <w:szCs w:val="28"/>
          <w:lang w:val="uk-UA"/>
        </w:rPr>
        <w:t>ї [</w:t>
      </w:r>
      <w:r w:rsidR="00444930" w:rsidRPr="004900D9">
        <w:rPr>
          <w:rFonts w:ascii="Times New Roman" w:hAnsi="Times New Roman" w:cs="Times New Roman"/>
          <w:sz w:val="28"/>
          <w:szCs w:val="28"/>
        </w:rPr>
        <w:t>189</w:t>
      </w:r>
      <w:r w:rsidR="00B365EF" w:rsidRPr="004900D9">
        <w:rPr>
          <w:rFonts w:ascii="Times New Roman" w:hAnsi="Times New Roman" w:cs="Times New Roman"/>
          <w:sz w:val="28"/>
          <w:szCs w:val="28"/>
          <w:lang w:val="uk-UA"/>
        </w:rPr>
        <w:t>]</w:t>
      </w:r>
      <w:r w:rsidR="00B365EF" w:rsidRPr="00E45199">
        <w:rPr>
          <w:rFonts w:ascii="Times New Roman" w:hAnsi="Times New Roman" w:cs="Times New Roman"/>
          <w:sz w:val="28"/>
          <w:szCs w:val="28"/>
          <w:lang w:val="uk-UA"/>
        </w:rPr>
        <w:t xml:space="preserve">. </w:t>
      </w:r>
    </w:p>
    <w:p w:rsidR="00D843D1" w:rsidRDefault="00B365EF" w:rsidP="00376410">
      <w:pPr>
        <w:autoSpaceDE w:val="0"/>
        <w:autoSpaceDN w:val="0"/>
        <w:adjustRightInd w:val="0"/>
        <w:spacing w:after="0" w:line="360" w:lineRule="auto"/>
        <w:ind w:firstLine="708"/>
        <w:jc w:val="both"/>
        <w:rPr>
          <w:rFonts w:ascii="Times New Roman" w:hAnsi="Times New Roman" w:cs="Times New Roman"/>
          <w:sz w:val="28"/>
          <w:szCs w:val="28"/>
          <w:lang w:val="uk-UA"/>
        </w:rPr>
      </w:pPr>
      <w:r w:rsidRPr="00E45199">
        <w:rPr>
          <w:rFonts w:ascii="Times New Roman" w:hAnsi="Times New Roman" w:cs="Times New Roman"/>
          <w:sz w:val="28"/>
          <w:szCs w:val="28"/>
          <w:lang w:val="uk-UA"/>
        </w:rPr>
        <w:t xml:space="preserve">У нашому дослідженні </w:t>
      </w:r>
      <w:r w:rsidR="007824EA">
        <w:rPr>
          <w:rFonts w:ascii="Times New Roman" w:hAnsi="Times New Roman" w:cs="Times New Roman"/>
          <w:sz w:val="28"/>
          <w:szCs w:val="28"/>
          <w:lang w:val="uk-UA"/>
        </w:rPr>
        <w:t>у пацієнтів і</w:t>
      </w:r>
      <w:r w:rsidR="00E45199" w:rsidRPr="004C4C32">
        <w:rPr>
          <w:rFonts w:ascii="Times New Roman" w:hAnsi="Times New Roman" w:cs="Times New Roman"/>
          <w:sz w:val="28"/>
          <w:szCs w:val="28"/>
          <w:lang w:val="uk-UA"/>
        </w:rPr>
        <w:t xml:space="preserve">з </w:t>
      </w:r>
      <w:r w:rsidR="00E45199">
        <w:rPr>
          <w:rFonts w:ascii="Times New Roman" w:hAnsi="Times New Roman" w:cs="Times New Roman"/>
          <w:sz w:val="28"/>
          <w:szCs w:val="28"/>
          <w:lang w:val="uk-UA"/>
        </w:rPr>
        <w:t>АГ та ЦД 2-го типу</w:t>
      </w:r>
      <w:r w:rsidR="00E45199" w:rsidRPr="004C4C32">
        <w:rPr>
          <w:rFonts w:ascii="Times New Roman" w:hAnsi="Times New Roman" w:cs="Times New Roman"/>
          <w:sz w:val="28"/>
          <w:szCs w:val="28"/>
          <w:lang w:val="uk-UA"/>
        </w:rPr>
        <w:t xml:space="preserve"> концентрична </w:t>
      </w:r>
      <w:r w:rsidR="00593986">
        <w:rPr>
          <w:rFonts w:ascii="Times New Roman" w:hAnsi="Times New Roman" w:cs="Times New Roman"/>
          <w:sz w:val="28"/>
          <w:szCs w:val="28"/>
          <w:lang w:val="uk-UA"/>
        </w:rPr>
        <w:t>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пертроф</w:t>
      </w:r>
      <w:r w:rsidR="00593986">
        <w:rPr>
          <w:rFonts w:ascii="Times New Roman" w:hAnsi="Times New Roman" w:cs="Times New Roman"/>
          <w:sz w:val="28"/>
          <w:szCs w:val="28"/>
          <w:lang w:val="en-US"/>
        </w:rPr>
        <w:t>i</w:t>
      </w:r>
      <w:r w:rsidR="00E45199">
        <w:rPr>
          <w:rFonts w:ascii="Times New Roman" w:hAnsi="Times New Roman" w:cs="Times New Roman"/>
          <w:sz w:val="28"/>
          <w:szCs w:val="28"/>
          <w:lang w:val="uk-UA"/>
        </w:rPr>
        <w:t>я трапля</w:t>
      </w:r>
      <w:r w:rsidR="00E45199" w:rsidRPr="004C4C32">
        <w:rPr>
          <w:rFonts w:ascii="Times New Roman" w:hAnsi="Times New Roman" w:cs="Times New Roman"/>
          <w:sz w:val="28"/>
          <w:szCs w:val="28"/>
          <w:lang w:val="uk-UA"/>
        </w:rPr>
        <w:t>ється у 1,6</w:t>
      </w:r>
      <w:r w:rsidR="00E45199">
        <w:rPr>
          <w:rFonts w:ascii="Times New Roman" w:hAnsi="Times New Roman" w:cs="Times New Roman"/>
          <w:sz w:val="28"/>
          <w:szCs w:val="28"/>
          <w:lang w:val="uk-UA"/>
        </w:rPr>
        <w:t xml:space="preserve"> раза</w:t>
      </w:r>
      <w:r w:rsidR="00593986">
        <w:rPr>
          <w:rFonts w:ascii="Times New Roman" w:hAnsi="Times New Roman" w:cs="Times New Roman"/>
          <w:sz w:val="28"/>
          <w:szCs w:val="28"/>
          <w:lang w:val="uk-UA"/>
        </w:rPr>
        <w:t xml:space="preserve"> част</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ше, а ексцентрична г</w:t>
      </w:r>
      <w:r w:rsidR="00593986">
        <w:rPr>
          <w:rFonts w:ascii="Times New Roman" w:hAnsi="Times New Roman" w:cs="Times New Roman"/>
          <w:sz w:val="28"/>
          <w:szCs w:val="28"/>
          <w:lang w:val="en-US"/>
        </w:rPr>
        <w:t>i</w:t>
      </w:r>
      <w:r w:rsidR="00E45199" w:rsidRPr="004C4C32">
        <w:rPr>
          <w:rFonts w:ascii="Times New Roman" w:hAnsi="Times New Roman" w:cs="Times New Roman"/>
          <w:sz w:val="28"/>
          <w:szCs w:val="28"/>
          <w:lang w:val="uk-UA"/>
        </w:rPr>
        <w:t>пертро</w:t>
      </w:r>
      <w:r w:rsidR="00593986">
        <w:rPr>
          <w:rFonts w:ascii="Times New Roman" w:hAnsi="Times New Roman" w:cs="Times New Roman"/>
          <w:sz w:val="28"/>
          <w:szCs w:val="28"/>
          <w:lang w:val="uk-UA"/>
        </w:rPr>
        <w:t>ф</w:t>
      </w:r>
      <w:r w:rsidR="00593986">
        <w:rPr>
          <w:rFonts w:ascii="Times New Roman" w:hAnsi="Times New Roman" w:cs="Times New Roman"/>
          <w:sz w:val="28"/>
          <w:szCs w:val="28"/>
          <w:lang w:val="en-US"/>
        </w:rPr>
        <w:t>i</w:t>
      </w:r>
      <w:r w:rsidR="00E45199" w:rsidRPr="004C4C32">
        <w:rPr>
          <w:rFonts w:ascii="Times New Roman" w:hAnsi="Times New Roman" w:cs="Times New Roman"/>
          <w:sz w:val="28"/>
          <w:szCs w:val="28"/>
          <w:lang w:val="uk-UA"/>
        </w:rPr>
        <w:t xml:space="preserve">я </w:t>
      </w:r>
      <w:r w:rsidR="000E122A">
        <w:rPr>
          <w:rFonts w:ascii="Times New Roman" w:hAnsi="Times New Roman" w:cs="Times New Roman"/>
          <w:sz w:val="28"/>
          <w:szCs w:val="28"/>
          <w:lang w:val="uk-UA"/>
        </w:rPr>
        <w:t xml:space="preserve">          </w:t>
      </w:r>
      <w:r w:rsidR="00E45199" w:rsidRPr="004C4C32">
        <w:rPr>
          <w:rFonts w:ascii="Times New Roman" w:hAnsi="Times New Roman" w:cs="Times New Roman"/>
          <w:sz w:val="28"/>
          <w:szCs w:val="28"/>
          <w:lang w:val="uk-UA"/>
        </w:rPr>
        <w:t>– у 2,6</w:t>
      </w:r>
      <w:r w:rsidR="00593986">
        <w:rPr>
          <w:rFonts w:ascii="Times New Roman" w:hAnsi="Times New Roman" w:cs="Times New Roman"/>
          <w:sz w:val="28"/>
          <w:szCs w:val="28"/>
          <w:lang w:val="uk-UA"/>
        </w:rPr>
        <w:t xml:space="preserve"> раза част</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ше, н</w:t>
      </w:r>
      <w:r w:rsidR="00593986">
        <w:rPr>
          <w:rFonts w:ascii="Times New Roman" w:hAnsi="Times New Roman" w:cs="Times New Roman"/>
          <w:sz w:val="28"/>
          <w:szCs w:val="28"/>
          <w:lang w:val="en-US"/>
        </w:rPr>
        <w:t>i</w:t>
      </w:r>
      <w:r w:rsidR="007824EA">
        <w:rPr>
          <w:rFonts w:ascii="Times New Roman" w:hAnsi="Times New Roman" w:cs="Times New Roman"/>
          <w:sz w:val="28"/>
          <w:szCs w:val="28"/>
          <w:lang w:val="uk-UA"/>
        </w:rPr>
        <w:t>ж у хворих на</w:t>
      </w:r>
      <w:r w:rsidR="00E45199" w:rsidRPr="004C4C32">
        <w:rPr>
          <w:rFonts w:ascii="Times New Roman" w:hAnsi="Times New Roman" w:cs="Times New Roman"/>
          <w:sz w:val="28"/>
          <w:szCs w:val="28"/>
          <w:lang w:val="uk-UA"/>
        </w:rPr>
        <w:t xml:space="preserve"> АГ</w:t>
      </w:r>
      <w:r w:rsidR="00E45199">
        <w:rPr>
          <w:rFonts w:ascii="Times New Roman" w:hAnsi="Times New Roman" w:cs="Times New Roman"/>
          <w:sz w:val="28"/>
          <w:szCs w:val="28"/>
          <w:lang w:val="uk-UA"/>
        </w:rPr>
        <w:t>.</w:t>
      </w:r>
      <w:r w:rsidR="00E45199" w:rsidRPr="000E44A3">
        <w:rPr>
          <w:rFonts w:ascii="Times New Roman" w:hAnsi="Times New Roman" w:cs="Times New Roman"/>
          <w:sz w:val="28"/>
          <w:szCs w:val="28"/>
          <w:lang w:val="uk-UA"/>
        </w:rPr>
        <w:t xml:space="preserve"> </w:t>
      </w:r>
      <w:r w:rsidR="000E44A3" w:rsidRPr="000E44A3">
        <w:rPr>
          <w:rFonts w:ascii="Times New Roman" w:hAnsi="Times New Roman" w:cs="Times New Roman"/>
          <w:sz w:val="28"/>
          <w:szCs w:val="28"/>
          <w:lang w:val="uk-UA"/>
        </w:rPr>
        <w:t>Отже,</w:t>
      </w:r>
      <w:r w:rsidR="00E45199">
        <w:rPr>
          <w:rFonts w:ascii="Times New Roman" w:hAnsi="Times New Roman" w:cs="Times New Roman"/>
          <w:sz w:val="28"/>
          <w:szCs w:val="28"/>
          <w:lang w:val="uk-UA"/>
        </w:rPr>
        <w:t xml:space="preserve"> хоча у 65,63</w:t>
      </w:r>
      <w:r w:rsidR="00111F43">
        <w:rPr>
          <w:rFonts w:ascii="Times New Roman" w:hAnsi="Times New Roman" w:cs="Times New Roman"/>
          <w:sz w:val="28"/>
          <w:szCs w:val="28"/>
          <w:lang w:val="uk-UA"/>
        </w:rPr>
        <w:t xml:space="preserve"> </w:t>
      </w:r>
      <w:r w:rsidR="00593986">
        <w:rPr>
          <w:rFonts w:ascii="Times New Roman" w:hAnsi="Times New Roman" w:cs="Times New Roman"/>
          <w:sz w:val="28"/>
          <w:szCs w:val="28"/>
          <w:lang w:val="uk-UA"/>
        </w:rPr>
        <w:t>% пац</w:t>
      </w:r>
      <w:r w:rsidR="00593986">
        <w:rPr>
          <w:rFonts w:ascii="Times New Roman" w:hAnsi="Times New Roman" w:cs="Times New Roman"/>
          <w:sz w:val="28"/>
          <w:szCs w:val="28"/>
          <w:lang w:val="en-US"/>
        </w:rPr>
        <w:t>i</w:t>
      </w:r>
      <w:r w:rsidR="00E45199">
        <w:rPr>
          <w:rFonts w:ascii="Times New Roman" w:hAnsi="Times New Roman" w:cs="Times New Roman"/>
          <w:sz w:val="28"/>
          <w:szCs w:val="28"/>
          <w:lang w:val="uk-UA"/>
        </w:rPr>
        <w:t>єнтів І груп</w:t>
      </w:r>
      <w:r w:rsidR="00593986">
        <w:rPr>
          <w:rFonts w:ascii="Times New Roman" w:hAnsi="Times New Roman" w:cs="Times New Roman"/>
          <w:sz w:val="28"/>
          <w:szCs w:val="28"/>
          <w:lang w:val="uk-UA"/>
        </w:rPr>
        <w:t>и і констатовано концентричну 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пертроф</w:t>
      </w:r>
      <w:r w:rsidR="00593986">
        <w:rPr>
          <w:rFonts w:ascii="Times New Roman" w:hAnsi="Times New Roman" w:cs="Times New Roman"/>
          <w:sz w:val="28"/>
          <w:szCs w:val="28"/>
          <w:lang w:val="en-US"/>
        </w:rPr>
        <w:t>i</w:t>
      </w:r>
      <w:r w:rsidR="00E45199">
        <w:rPr>
          <w:rFonts w:ascii="Times New Roman" w:hAnsi="Times New Roman" w:cs="Times New Roman"/>
          <w:sz w:val="28"/>
          <w:szCs w:val="28"/>
          <w:lang w:val="uk-UA"/>
        </w:rPr>
        <w:t>ю</w:t>
      </w:r>
      <w:r w:rsidR="00593986">
        <w:rPr>
          <w:rFonts w:ascii="Times New Roman" w:hAnsi="Times New Roman" w:cs="Times New Roman"/>
          <w:sz w:val="28"/>
          <w:szCs w:val="28"/>
          <w:lang w:val="uk-UA"/>
        </w:rPr>
        <w:t>, проте це в 1,6 раз частіше, н</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 xml:space="preserve">ж </w:t>
      </w:r>
      <w:r w:rsidR="007824EA">
        <w:rPr>
          <w:rFonts w:ascii="Times New Roman" w:hAnsi="Times New Roman" w:cs="Times New Roman"/>
          <w:sz w:val="28"/>
          <w:szCs w:val="28"/>
          <w:lang w:val="uk-UA"/>
        </w:rPr>
        <w:t>у хворих</w:t>
      </w:r>
      <w:r w:rsidR="00593986">
        <w:rPr>
          <w:rFonts w:ascii="Times New Roman" w:hAnsi="Times New Roman" w:cs="Times New Roman"/>
          <w:sz w:val="28"/>
          <w:szCs w:val="28"/>
          <w:lang w:val="uk-UA"/>
        </w:rPr>
        <w:t xml:space="preserve"> ІІ групи. В</w:t>
      </w:r>
      <w:r w:rsidR="00593986">
        <w:rPr>
          <w:rFonts w:ascii="Times New Roman" w:hAnsi="Times New Roman" w:cs="Times New Roman"/>
          <w:sz w:val="28"/>
          <w:szCs w:val="28"/>
          <w:lang w:val="en-US"/>
        </w:rPr>
        <w:t>i</w:t>
      </w:r>
      <w:r w:rsidR="00E45199">
        <w:rPr>
          <w:rFonts w:ascii="Times New Roman" w:hAnsi="Times New Roman" w:cs="Times New Roman"/>
          <w:sz w:val="28"/>
          <w:szCs w:val="28"/>
          <w:lang w:val="uk-UA"/>
        </w:rPr>
        <w:t>дсото</w:t>
      </w:r>
      <w:r w:rsidR="00211362">
        <w:rPr>
          <w:rFonts w:ascii="Times New Roman" w:hAnsi="Times New Roman" w:cs="Times New Roman"/>
          <w:sz w:val="28"/>
          <w:szCs w:val="28"/>
          <w:lang w:val="uk-UA"/>
        </w:rPr>
        <w:t>к виявле</w:t>
      </w:r>
      <w:r w:rsidR="00593986">
        <w:rPr>
          <w:rFonts w:ascii="Times New Roman" w:hAnsi="Times New Roman" w:cs="Times New Roman"/>
          <w:sz w:val="28"/>
          <w:szCs w:val="28"/>
          <w:lang w:val="uk-UA"/>
        </w:rPr>
        <w:t>ння ексцентричної 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пертроф</w:t>
      </w:r>
      <w:r w:rsidR="00593986">
        <w:rPr>
          <w:rFonts w:ascii="Times New Roman" w:hAnsi="Times New Roman" w:cs="Times New Roman"/>
          <w:sz w:val="28"/>
          <w:szCs w:val="28"/>
          <w:lang w:val="en-US"/>
        </w:rPr>
        <w:t>i</w:t>
      </w:r>
      <w:r w:rsidR="00E45199">
        <w:rPr>
          <w:rFonts w:ascii="Times New Roman" w:hAnsi="Times New Roman" w:cs="Times New Roman"/>
          <w:sz w:val="28"/>
          <w:szCs w:val="28"/>
          <w:lang w:val="uk-UA"/>
        </w:rPr>
        <w:t xml:space="preserve">ї </w:t>
      </w:r>
      <w:r w:rsidR="000E122A">
        <w:rPr>
          <w:rFonts w:ascii="Times New Roman" w:hAnsi="Times New Roman" w:cs="Times New Roman"/>
          <w:sz w:val="28"/>
          <w:szCs w:val="28"/>
          <w:lang w:val="uk-UA"/>
        </w:rPr>
        <w:t xml:space="preserve">     </w:t>
      </w:r>
      <w:r w:rsidR="00111F43">
        <w:rPr>
          <w:rFonts w:ascii="Times New Roman" w:hAnsi="Times New Roman" w:cs="Times New Roman"/>
          <w:sz w:val="28"/>
          <w:szCs w:val="28"/>
          <w:lang w:val="uk-UA"/>
        </w:rPr>
        <w:t>(20,83 %)</w:t>
      </w:r>
      <w:r w:rsidR="00111F43" w:rsidRPr="000E44A3">
        <w:rPr>
          <w:rFonts w:ascii="Times New Roman" w:hAnsi="Times New Roman" w:cs="Times New Roman"/>
          <w:sz w:val="28"/>
          <w:szCs w:val="28"/>
          <w:lang w:val="uk-UA"/>
        </w:rPr>
        <w:t xml:space="preserve"> </w:t>
      </w:r>
      <w:r w:rsidR="00593986">
        <w:rPr>
          <w:rFonts w:ascii="Times New Roman" w:hAnsi="Times New Roman" w:cs="Times New Roman"/>
          <w:sz w:val="28"/>
          <w:szCs w:val="28"/>
          <w:lang w:val="uk-UA"/>
        </w:rPr>
        <w:t xml:space="preserve"> хоча </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 xml:space="preserve"> менший, н</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ж в</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дсоток концентричної г</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пертроф</w:t>
      </w:r>
      <w:r w:rsidR="00593986">
        <w:rPr>
          <w:rFonts w:ascii="Times New Roman" w:hAnsi="Times New Roman" w:cs="Times New Roman"/>
          <w:sz w:val="28"/>
          <w:szCs w:val="28"/>
          <w:lang w:val="en-US"/>
        </w:rPr>
        <w:t>i</w:t>
      </w:r>
      <w:r w:rsidR="007824EA">
        <w:rPr>
          <w:rFonts w:ascii="Times New Roman" w:hAnsi="Times New Roman" w:cs="Times New Roman"/>
          <w:sz w:val="28"/>
          <w:szCs w:val="28"/>
          <w:lang w:val="uk-UA"/>
        </w:rPr>
        <w:t xml:space="preserve">ї (65,63 %) </w:t>
      </w:r>
      <w:r w:rsidR="000E122A">
        <w:rPr>
          <w:rFonts w:ascii="Times New Roman" w:hAnsi="Times New Roman" w:cs="Times New Roman"/>
          <w:sz w:val="28"/>
          <w:szCs w:val="28"/>
          <w:lang w:val="uk-UA"/>
        </w:rPr>
        <w:t xml:space="preserve">             </w:t>
      </w:r>
      <w:r w:rsidR="007824EA">
        <w:rPr>
          <w:rFonts w:ascii="Times New Roman" w:hAnsi="Times New Roman" w:cs="Times New Roman"/>
          <w:sz w:val="28"/>
          <w:szCs w:val="28"/>
          <w:lang w:val="uk-UA"/>
        </w:rPr>
        <w:t>у пацієнтів</w:t>
      </w:r>
      <w:r w:rsidR="00593986">
        <w:rPr>
          <w:rFonts w:ascii="Times New Roman" w:hAnsi="Times New Roman" w:cs="Times New Roman"/>
          <w:sz w:val="28"/>
          <w:szCs w:val="28"/>
          <w:lang w:val="uk-UA"/>
        </w:rPr>
        <w:t xml:space="preserve"> І групи, проте в</w:t>
      </w:r>
      <w:r w:rsidR="00593986">
        <w:rPr>
          <w:rFonts w:ascii="Times New Roman" w:hAnsi="Times New Roman" w:cs="Times New Roman"/>
          <w:sz w:val="28"/>
          <w:szCs w:val="28"/>
          <w:lang w:val="en-US"/>
        </w:rPr>
        <w:t>i</w:t>
      </w:r>
      <w:r w:rsidR="00593986">
        <w:rPr>
          <w:rFonts w:ascii="Times New Roman" w:hAnsi="Times New Roman" w:cs="Times New Roman"/>
          <w:sz w:val="28"/>
          <w:szCs w:val="28"/>
          <w:lang w:val="uk-UA"/>
        </w:rPr>
        <w:t>н є у 2,6 разів б</w:t>
      </w:r>
      <w:r w:rsidR="00593986">
        <w:rPr>
          <w:rFonts w:ascii="Times New Roman" w:hAnsi="Times New Roman" w:cs="Times New Roman"/>
          <w:sz w:val="28"/>
          <w:szCs w:val="28"/>
          <w:lang w:val="en-US"/>
        </w:rPr>
        <w:t>i</w:t>
      </w:r>
      <w:r w:rsidR="00111F43">
        <w:rPr>
          <w:rFonts w:ascii="Times New Roman" w:hAnsi="Times New Roman" w:cs="Times New Roman"/>
          <w:sz w:val="28"/>
          <w:szCs w:val="28"/>
          <w:lang w:val="uk-UA"/>
        </w:rPr>
        <w:t>льшим,</w:t>
      </w:r>
      <w:r w:rsidR="00111F43" w:rsidRPr="00111F43">
        <w:rPr>
          <w:rFonts w:ascii="Times New Roman" w:hAnsi="Times New Roman" w:cs="Times New Roman"/>
          <w:sz w:val="28"/>
          <w:szCs w:val="28"/>
          <w:lang w:val="uk-UA"/>
        </w:rPr>
        <w:t xml:space="preserve"> </w:t>
      </w:r>
      <w:r w:rsidR="00593986">
        <w:rPr>
          <w:rFonts w:ascii="Times New Roman" w:hAnsi="Times New Roman" w:cs="Times New Roman"/>
          <w:sz w:val="28"/>
          <w:szCs w:val="28"/>
          <w:lang w:val="uk-UA"/>
        </w:rPr>
        <w:t>н</w:t>
      </w:r>
      <w:r w:rsidR="00593986">
        <w:rPr>
          <w:rFonts w:ascii="Times New Roman" w:hAnsi="Times New Roman" w:cs="Times New Roman"/>
          <w:sz w:val="28"/>
          <w:szCs w:val="28"/>
          <w:lang w:val="en-US"/>
        </w:rPr>
        <w:t>i</w:t>
      </w:r>
      <w:r w:rsidR="007824EA">
        <w:rPr>
          <w:rFonts w:ascii="Times New Roman" w:hAnsi="Times New Roman" w:cs="Times New Roman"/>
          <w:sz w:val="28"/>
          <w:szCs w:val="28"/>
          <w:lang w:val="uk-UA"/>
        </w:rPr>
        <w:t>ж у хворих на</w:t>
      </w:r>
      <w:r w:rsidR="00111F43" w:rsidRPr="004C4C32">
        <w:rPr>
          <w:rFonts w:ascii="Times New Roman" w:hAnsi="Times New Roman" w:cs="Times New Roman"/>
          <w:sz w:val="28"/>
          <w:szCs w:val="28"/>
          <w:lang w:val="uk-UA"/>
        </w:rPr>
        <w:t xml:space="preserve"> АГ</w:t>
      </w:r>
      <w:r w:rsidR="00111F43">
        <w:rPr>
          <w:rFonts w:ascii="Times New Roman" w:hAnsi="Times New Roman" w:cs="Times New Roman"/>
          <w:sz w:val="28"/>
          <w:szCs w:val="28"/>
          <w:lang w:val="uk-UA"/>
        </w:rPr>
        <w:t xml:space="preserve"> (</w:t>
      </w:r>
      <w:r w:rsidR="00593986">
        <w:rPr>
          <w:rFonts w:ascii="Times New Roman" w:hAnsi="Times New Roman" w:cs="Times New Roman"/>
          <w:sz w:val="28"/>
          <w:szCs w:val="28"/>
          <w:lang w:val="uk-UA"/>
        </w:rPr>
        <w:t xml:space="preserve">8 %). </w:t>
      </w:r>
    </w:p>
    <w:p w:rsidR="000E44A3" w:rsidRDefault="00593986" w:rsidP="00376410">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Таким чином,</w:t>
      </w:r>
      <w:r w:rsidR="007824EA">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0011311A">
        <w:rPr>
          <w:rFonts w:ascii="Times New Roman" w:hAnsi="Times New Roman" w:cs="Times New Roman"/>
          <w:sz w:val="28"/>
          <w:szCs w:val="28"/>
          <w:lang w:val="uk-UA"/>
        </w:rPr>
        <w:t xml:space="preserve">хворих на </w:t>
      </w:r>
      <w:r>
        <w:rPr>
          <w:rFonts w:ascii="Times New Roman" w:hAnsi="Times New Roman" w:cs="Times New Roman"/>
          <w:sz w:val="28"/>
          <w:szCs w:val="28"/>
          <w:lang w:val="uk-UA"/>
        </w:rPr>
        <w:t>АГ та ЦД 2-го типу найб</w:t>
      </w:r>
      <w:r>
        <w:rPr>
          <w:rFonts w:ascii="Times New Roman" w:hAnsi="Times New Roman" w:cs="Times New Roman"/>
          <w:sz w:val="28"/>
          <w:szCs w:val="28"/>
          <w:lang w:val="en-US"/>
        </w:rPr>
        <w:t>i</w:t>
      </w:r>
      <w:r>
        <w:rPr>
          <w:rFonts w:ascii="Times New Roman" w:hAnsi="Times New Roman" w:cs="Times New Roman"/>
          <w:sz w:val="28"/>
          <w:szCs w:val="28"/>
          <w:lang w:val="uk-UA"/>
        </w:rPr>
        <w:t>льше зростає в</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дсоток </w:t>
      </w:r>
      <w:r w:rsidR="007D2EF4">
        <w:rPr>
          <w:rFonts w:ascii="Times New Roman" w:hAnsi="Times New Roman" w:cs="Times New Roman"/>
          <w:sz w:val="28"/>
          <w:szCs w:val="28"/>
          <w:lang w:val="uk-UA"/>
        </w:rPr>
        <w:t xml:space="preserve">пацієнтів </w:t>
      </w:r>
      <w:r w:rsidR="00111F43">
        <w:rPr>
          <w:rFonts w:ascii="Times New Roman" w:hAnsi="Times New Roman" w:cs="Times New Roman"/>
          <w:sz w:val="28"/>
          <w:szCs w:val="28"/>
          <w:lang w:val="uk-UA"/>
        </w:rPr>
        <w:t xml:space="preserve">саме </w:t>
      </w:r>
      <w:r w:rsidR="00516A27">
        <w:rPr>
          <w:rFonts w:ascii="Times New Roman" w:hAnsi="Times New Roman" w:cs="Times New Roman"/>
          <w:sz w:val="28"/>
          <w:szCs w:val="28"/>
          <w:lang w:val="uk-UA"/>
        </w:rPr>
        <w:t>з ексцентричною г</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пертроф</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єю</w:t>
      </w:r>
      <w:r w:rsidR="00111F43">
        <w:rPr>
          <w:rFonts w:ascii="Times New Roman" w:hAnsi="Times New Roman" w:cs="Times New Roman"/>
          <w:sz w:val="28"/>
          <w:szCs w:val="28"/>
          <w:lang w:val="uk-UA"/>
        </w:rPr>
        <w:t>.</w:t>
      </w:r>
    </w:p>
    <w:p w:rsidR="004270AB" w:rsidRPr="004270AB" w:rsidRDefault="00C06E4F" w:rsidP="004270AB">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Пошир</w:t>
      </w:r>
      <w:r w:rsidR="00516A27">
        <w:rPr>
          <w:rFonts w:ascii="Times New Roman" w:hAnsi="Times New Roman" w:cs="Times New Roman"/>
          <w:sz w:val="28"/>
          <w:szCs w:val="28"/>
          <w:lang w:val="uk-UA"/>
        </w:rPr>
        <w:t>ен</w:t>
      </w:r>
      <w:r w:rsidR="00516A27">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сть МАУ була п</w:t>
      </w:r>
      <w:r w:rsidR="00516A27">
        <w:rPr>
          <w:rFonts w:ascii="Times New Roman" w:hAnsi="Times New Roman" w:cs="Times New Roman"/>
          <w:sz w:val="28"/>
          <w:szCs w:val="28"/>
          <w:lang w:val="uk-UA"/>
        </w:rPr>
        <w:t>риблизно у два рази вищою у пац</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єнт</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 xml:space="preserve">в </w:t>
      </w:r>
      <w:r w:rsidR="00516A27">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 xml:space="preserve">з АГ </w:t>
      </w:r>
      <w:r w:rsidR="00516A27">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з к</w:t>
      </w:r>
      <w:r w:rsidR="00516A27">
        <w:rPr>
          <w:rFonts w:ascii="Times New Roman" w:hAnsi="Times New Roman" w:cs="Times New Roman"/>
          <w:sz w:val="28"/>
          <w:szCs w:val="28"/>
          <w:lang w:val="uk-UA"/>
        </w:rPr>
        <w:t>онцентричною чи ексцентричною г</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пертроф</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 xml:space="preserve">єю ЛШ </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 xml:space="preserve"> незначно п</w:t>
      </w:r>
      <w:r w:rsidR="00516A27">
        <w:rPr>
          <w:rFonts w:ascii="Times New Roman" w:hAnsi="Times New Roman" w:cs="Times New Roman"/>
          <w:sz w:val="28"/>
          <w:szCs w:val="28"/>
          <w:lang w:val="en-US"/>
        </w:rPr>
        <w:t>i</w:t>
      </w:r>
      <w:r w:rsidR="00516A27">
        <w:rPr>
          <w:rFonts w:ascii="Times New Roman" w:hAnsi="Times New Roman" w:cs="Times New Roman"/>
          <w:sz w:val="28"/>
          <w:szCs w:val="28"/>
          <w:lang w:val="uk-UA"/>
        </w:rPr>
        <w:t>двищена у груп</w:t>
      </w:r>
      <w:r w:rsidR="00516A27">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 xml:space="preserve"> з к</w:t>
      </w:r>
      <w:r>
        <w:rPr>
          <w:rFonts w:ascii="Times New Roman" w:hAnsi="Times New Roman" w:cs="Times New Roman"/>
          <w:sz w:val="28"/>
          <w:szCs w:val="28"/>
          <w:lang w:val="uk-UA"/>
        </w:rPr>
        <w:t>онц</w:t>
      </w:r>
      <w:r w:rsidR="00516A27">
        <w:rPr>
          <w:rFonts w:ascii="Times New Roman" w:hAnsi="Times New Roman" w:cs="Times New Roman"/>
          <w:sz w:val="28"/>
          <w:szCs w:val="28"/>
          <w:lang w:val="uk-UA"/>
        </w:rPr>
        <w:t>ентричним ремоделюванням ЛШ пор</w:t>
      </w:r>
      <w:r w:rsidR="00516A27">
        <w:rPr>
          <w:rFonts w:ascii="Times New Roman" w:hAnsi="Times New Roman" w:cs="Times New Roman"/>
          <w:sz w:val="28"/>
          <w:szCs w:val="28"/>
          <w:lang w:val="en-US"/>
        </w:rPr>
        <w:t>i</w:t>
      </w:r>
      <w:r>
        <w:rPr>
          <w:rFonts w:ascii="Times New Roman" w:hAnsi="Times New Roman" w:cs="Times New Roman"/>
          <w:sz w:val="28"/>
          <w:szCs w:val="28"/>
          <w:lang w:val="uk-UA"/>
        </w:rPr>
        <w:t>вняно</w:t>
      </w:r>
      <w:r w:rsidR="00516A27">
        <w:rPr>
          <w:rFonts w:ascii="Times New Roman" w:hAnsi="Times New Roman" w:cs="Times New Roman"/>
          <w:sz w:val="28"/>
          <w:szCs w:val="28"/>
          <w:lang w:val="uk-UA"/>
        </w:rPr>
        <w:t xml:space="preserve"> з хворими </w:t>
      </w:r>
      <w:r w:rsidR="00F876EE">
        <w:rPr>
          <w:rFonts w:ascii="Times New Roman" w:hAnsi="Times New Roman" w:cs="Times New Roman"/>
          <w:sz w:val="28"/>
          <w:szCs w:val="28"/>
          <w:lang w:val="uk-UA"/>
        </w:rPr>
        <w:t xml:space="preserve">              </w:t>
      </w:r>
      <w:r w:rsidR="00516A27">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з нормальною геометр</w:t>
      </w:r>
      <w:r w:rsidR="00516A27">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 xml:space="preserve">єю ЛШ </w:t>
      </w:r>
      <w:r w:rsidR="004270AB" w:rsidRPr="00B1786A">
        <w:rPr>
          <w:rFonts w:ascii="Times New Roman" w:hAnsi="Times New Roman" w:cs="Times New Roman"/>
          <w:sz w:val="28"/>
          <w:szCs w:val="28"/>
          <w:lang w:val="uk-UA"/>
        </w:rPr>
        <w:t>[</w:t>
      </w:r>
      <w:r w:rsidR="002E7A76" w:rsidRPr="004900D9">
        <w:rPr>
          <w:rFonts w:ascii="Times New Roman" w:hAnsi="Times New Roman" w:cs="Times New Roman"/>
          <w:sz w:val="28"/>
          <w:szCs w:val="28"/>
          <w:lang w:val="uk-UA"/>
        </w:rPr>
        <w:t>190</w:t>
      </w:r>
      <w:r w:rsidR="004270AB" w:rsidRPr="00B1786A">
        <w:rPr>
          <w:rFonts w:ascii="Times New Roman" w:hAnsi="Times New Roman" w:cs="Times New Roman"/>
          <w:sz w:val="28"/>
          <w:szCs w:val="28"/>
          <w:lang w:val="uk-UA"/>
        </w:rPr>
        <w:t>].</w:t>
      </w:r>
    </w:p>
    <w:p w:rsidR="004270AB" w:rsidRDefault="00516A27" w:rsidP="004270AB">
      <w:pPr>
        <w:autoSpaceDE w:val="0"/>
        <w:autoSpaceDN w:val="0"/>
        <w:adjustRightInd w:val="0"/>
        <w:spacing w:after="0" w:line="360" w:lineRule="auto"/>
        <w:ind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Т</w:t>
      </w:r>
      <w:r>
        <w:rPr>
          <w:rFonts w:ascii="Times New Roman" w:hAnsi="Times New Roman" w:cs="Times New Roman"/>
          <w:sz w:val="28"/>
          <w:szCs w:val="28"/>
          <w:lang w:val="en-US"/>
        </w:rPr>
        <w:t>i</w:t>
      </w:r>
      <w:r>
        <w:rPr>
          <w:rFonts w:ascii="Times New Roman" w:hAnsi="Times New Roman" w:cs="Times New Roman"/>
          <w:sz w:val="28"/>
          <w:szCs w:val="28"/>
          <w:lang w:val="uk-UA"/>
        </w:rPr>
        <w:t>сн</w:t>
      </w:r>
      <w:r>
        <w:rPr>
          <w:rFonts w:ascii="Times New Roman" w:hAnsi="Times New Roman" w:cs="Times New Roman"/>
          <w:sz w:val="28"/>
          <w:szCs w:val="28"/>
          <w:lang w:val="en-US"/>
        </w:rPr>
        <w:t>i</w:t>
      </w:r>
      <w:r>
        <w:rPr>
          <w:rFonts w:ascii="Times New Roman" w:hAnsi="Times New Roman" w:cs="Times New Roman"/>
          <w:sz w:val="28"/>
          <w:szCs w:val="28"/>
          <w:lang w:val="uk-UA"/>
        </w:rPr>
        <w:t xml:space="preserve"> зв’язки м</w:t>
      </w:r>
      <w:r>
        <w:rPr>
          <w:rFonts w:ascii="Times New Roman" w:hAnsi="Times New Roman" w:cs="Times New Roman"/>
          <w:sz w:val="28"/>
          <w:szCs w:val="28"/>
          <w:lang w:val="en-US"/>
        </w:rPr>
        <w:t>i</w:t>
      </w:r>
      <w:r>
        <w:rPr>
          <w:rFonts w:ascii="Times New Roman" w:hAnsi="Times New Roman" w:cs="Times New Roman"/>
          <w:sz w:val="28"/>
          <w:szCs w:val="28"/>
          <w:lang w:val="uk-UA"/>
        </w:rPr>
        <w:t>ж функц</w:t>
      </w:r>
      <w:r>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єю серця та нирок зд</w:t>
      </w:r>
      <w:r>
        <w:rPr>
          <w:rFonts w:ascii="Times New Roman" w:hAnsi="Times New Roman" w:cs="Times New Roman"/>
          <w:sz w:val="28"/>
          <w:szCs w:val="28"/>
          <w:lang w:val="uk-UA"/>
        </w:rPr>
        <w:t>авна привертають увагу л</w:t>
      </w:r>
      <w:r>
        <w:rPr>
          <w:rFonts w:ascii="Times New Roman" w:hAnsi="Times New Roman" w:cs="Times New Roman"/>
          <w:sz w:val="28"/>
          <w:szCs w:val="28"/>
          <w:lang w:val="en-US"/>
        </w:rPr>
        <w:t>i</w:t>
      </w:r>
      <w:r>
        <w:rPr>
          <w:rFonts w:ascii="Times New Roman" w:hAnsi="Times New Roman" w:cs="Times New Roman"/>
          <w:sz w:val="28"/>
          <w:szCs w:val="28"/>
          <w:lang w:val="uk-UA"/>
        </w:rPr>
        <w:t>кар</w:t>
      </w:r>
      <w:r>
        <w:rPr>
          <w:rFonts w:ascii="Times New Roman" w:hAnsi="Times New Roman" w:cs="Times New Roman"/>
          <w:sz w:val="28"/>
          <w:szCs w:val="28"/>
          <w:lang w:val="en-US"/>
        </w:rPr>
        <w:t>i</w:t>
      </w:r>
      <w:r w:rsidR="004270AB">
        <w:rPr>
          <w:rFonts w:ascii="Times New Roman" w:hAnsi="Times New Roman" w:cs="Times New Roman"/>
          <w:sz w:val="28"/>
          <w:szCs w:val="28"/>
          <w:lang w:val="uk-UA"/>
        </w:rPr>
        <w:t xml:space="preserve">в </w:t>
      </w:r>
      <w:r w:rsidR="004270AB" w:rsidRPr="004270AB">
        <w:rPr>
          <w:rFonts w:ascii="Times New Roman" w:hAnsi="Times New Roman" w:cs="Times New Roman"/>
          <w:sz w:val="28"/>
          <w:szCs w:val="28"/>
          <w:lang w:val="uk-UA"/>
        </w:rPr>
        <w:t>[</w:t>
      </w:r>
      <w:r w:rsidR="004900D9" w:rsidRPr="004900D9">
        <w:rPr>
          <w:rFonts w:ascii="Times New Roman" w:hAnsi="Times New Roman" w:cs="Times New Roman"/>
          <w:sz w:val="28"/>
          <w:szCs w:val="28"/>
          <w:lang w:val="uk-UA"/>
        </w:rPr>
        <w:t>16</w:t>
      </w:r>
      <w:r w:rsidR="004900D9">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7824EA">
        <w:rPr>
          <w:rFonts w:ascii="Times New Roman" w:hAnsi="Times New Roman" w:cs="Times New Roman"/>
          <w:sz w:val="28"/>
          <w:szCs w:val="28"/>
          <w:lang w:val="uk-UA"/>
        </w:rPr>
        <w:t>А</w:t>
      </w:r>
      <w:r>
        <w:rPr>
          <w:rFonts w:ascii="Times New Roman" w:hAnsi="Times New Roman" w:cs="Times New Roman"/>
          <w:sz w:val="28"/>
          <w:szCs w:val="28"/>
          <w:lang w:val="uk-UA"/>
        </w:rPr>
        <w:t>льбум</w:t>
      </w:r>
      <w:r>
        <w:rPr>
          <w:rFonts w:ascii="Times New Roman" w:hAnsi="Times New Roman" w:cs="Times New Roman"/>
          <w:sz w:val="28"/>
          <w:szCs w:val="28"/>
          <w:lang w:val="en-US"/>
        </w:rPr>
        <w:t>i</w:t>
      </w:r>
      <w:r w:rsidR="007824EA">
        <w:rPr>
          <w:rFonts w:ascii="Times New Roman" w:hAnsi="Times New Roman" w:cs="Times New Roman"/>
          <w:sz w:val="28"/>
          <w:szCs w:val="28"/>
          <w:lang w:val="uk-UA"/>
        </w:rPr>
        <w:t>нурія</w:t>
      </w:r>
      <w:r w:rsidR="004621EA">
        <w:rPr>
          <w:rFonts w:ascii="Times New Roman" w:hAnsi="Times New Roman" w:cs="Times New Roman"/>
          <w:sz w:val="28"/>
          <w:szCs w:val="28"/>
          <w:lang w:val="uk-UA"/>
        </w:rPr>
        <w:t xml:space="preserve"> </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 xml:space="preserve"> г</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пертроф</w:t>
      </w:r>
      <w:r w:rsidR="004621EA">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я ЛШ є незалежними</w:t>
      </w:r>
      <w:r w:rsidR="007824EA">
        <w:rPr>
          <w:rFonts w:ascii="Times New Roman" w:hAnsi="Times New Roman" w:cs="Times New Roman"/>
          <w:sz w:val="28"/>
          <w:szCs w:val="28"/>
          <w:lang w:val="uk-UA"/>
        </w:rPr>
        <w:t xml:space="preserve"> факторами ризику розвитку ССУ у пацієнтів</w:t>
      </w:r>
      <w:r w:rsidR="004621EA">
        <w:rPr>
          <w:rFonts w:ascii="Times New Roman" w:hAnsi="Times New Roman" w:cs="Times New Roman"/>
          <w:sz w:val="28"/>
          <w:szCs w:val="28"/>
          <w:lang w:val="uk-UA"/>
        </w:rPr>
        <w:t xml:space="preserve"> </w:t>
      </w:r>
      <w:r w:rsidR="004621EA">
        <w:rPr>
          <w:rFonts w:ascii="Times New Roman" w:hAnsi="Times New Roman" w:cs="Times New Roman"/>
          <w:sz w:val="28"/>
          <w:szCs w:val="28"/>
          <w:lang w:val="en-US"/>
        </w:rPr>
        <w:t>i</w:t>
      </w:r>
      <w:r w:rsidR="004270AB" w:rsidRPr="004270AB">
        <w:rPr>
          <w:rFonts w:ascii="Times New Roman" w:hAnsi="Times New Roman" w:cs="Times New Roman"/>
          <w:sz w:val="28"/>
          <w:szCs w:val="28"/>
          <w:lang w:val="uk-UA"/>
        </w:rPr>
        <w:t>з ЦД 2-го типу [</w:t>
      </w:r>
      <w:r w:rsidR="004900D9">
        <w:rPr>
          <w:rFonts w:ascii="Times New Roman" w:hAnsi="Times New Roman" w:cs="Times New Roman"/>
          <w:sz w:val="28"/>
          <w:szCs w:val="28"/>
          <w:lang w:val="uk-UA"/>
        </w:rPr>
        <w:t>165</w:t>
      </w:r>
      <w:r w:rsidR="004165E0">
        <w:rPr>
          <w:rFonts w:ascii="Times New Roman" w:hAnsi="Times New Roman" w:cs="Times New Roman"/>
          <w:sz w:val="28"/>
          <w:szCs w:val="28"/>
          <w:lang w:val="uk-UA"/>
        </w:rPr>
        <w:t xml:space="preserve">]. </w:t>
      </w:r>
      <w:r w:rsidR="00E4653A">
        <w:rPr>
          <w:rFonts w:ascii="Times New Roman" w:hAnsi="Times New Roman" w:cs="Times New Roman"/>
          <w:sz w:val="28"/>
          <w:szCs w:val="28"/>
          <w:lang w:val="uk-UA"/>
        </w:rPr>
        <w:t>У</w:t>
      </w:r>
      <w:r w:rsidR="00E4653A" w:rsidRPr="00E4653A">
        <w:rPr>
          <w:rFonts w:ascii="Times New Roman" w:hAnsi="Times New Roman" w:cs="Times New Roman"/>
          <w:sz w:val="28"/>
          <w:szCs w:val="28"/>
          <w:lang w:val="uk-UA"/>
        </w:rPr>
        <w:t xml:space="preserve"> міру </w:t>
      </w:r>
      <w:r w:rsidR="00071A88">
        <w:rPr>
          <w:rFonts w:ascii="Times New Roman" w:hAnsi="Times New Roman" w:cs="Times New Roman"/>
          <w:sz w:val="28"/>
          <w:szCs w:val="28"/>
          <w:lang w:val="uk-UA"/>
        </w:rPr>
        <w:t xml:space="preserve">порушення функціонального стану нирок </w:t>
      </w:r>
      <w:r w:rsidR="00E4653A" w:rsidRPr="00E4653A">
        <w:rPr>
          <w:rFonts w:ascii="Times New Roman" w:hAnsi="Times New Roman" w:cs="Times New Roman"/>
          <w:sz w:val="28"/>
          <w:szCs w:val="28"/>
          <w:lang w:val="uk-UA"/>
        </w:rPr>
        <w:t>більш вираженим стає ІММЛШ, що сприя</w:t>
      </w:r>
      <w:r w:rsidR="00E4653A">
        <w:rPr>
          <w:rFonts w:ascii="Times New Roman" w:hAnsi="Times New Roman" w:cs="Times New Roman"/>
          <w:sz w:val="28"/>
          <w:szCs w:val="28"/>
          <w:lang w:val="uk-UA"/>
        </w:rPr>
        <w:t>є поглибленню діастолічної СН [</w:t>
      </w:r>
      <w:r w:rsidR="002E7A76" w:rsidRPr="004900D9">
        <w:rPr>
          <w:rFonts w:ascii="Times New Roman" w:hAnsi="Times New Roman" w:cs="Times New Roman"/>
          <w:sz w:val="28"/>
          <w:szCs w:val="28"/>
          <w:lang w:val="uk-UA"/>
        </w:rPr>
        <w:t>191</w:t>
      </w:r>
      <w:r w:rsidR="00E4653A" w:rsidRPr="00E4653A">
        <w:rPr>
          <w:rFonts w:ascii="Times New Roman" w:hAnsi="Times New Roman" w:cs="Times New Roman"/>
          <w:sz w:val="28"/>
          <w:szCs w:val="28"/>
          <w:lang w:val="uk-UA"/>
        </w:rPr>
        <w:t>].</w:t>
      </w:r>
      <w:r w:rsidR="00E4653A">
        <w:rPr>
          <w:rFonts w:ascii="Times New Roman" w:hAnsi="Times New Roman" w:cs="Times New Roman"/>
          <w:sz w:val="28"/>
          <w:szCs w:val="28"/>
          <w:lang w:val="uk-UA"/>
        </w:rPr>
        <w:t xml:space="preserve"> </w:t>
      </w:r>
      <w:r w:rsidR="004165E0">
        <w:rPr>
          <w:rFonts w:ascii="Times New Roman" w:hAnsi="Times New Roman" w:cs="Times New Roman"/>
          <w:sz w:val="28"/>
          <w:szCs w:val="28"/>
          <w:lang w:val="uk-UA"/>
        </w:rPr>
        <w:t xml:space="preserve">У нашому дослідженні установлено, </w:t>
      </w:r>
      <w:r w:rsidR="00F876EE">
        <w:rPr>
          <w:rFonts w:ascii="Times New Roman" w:hAnsi="Times New Roman" w:cs="Times New Roman"/>
          <w:sz w:val="28"/>
          <w:szCs w:val="28"/>
          <w:lang w:val="uk-UA"/>
        </w:rPr>
        <w:t xml:space="preserve">    </w:t>
      </w:r>
      <w:r w:rsidR="004165E0">
        <w:rPr>
          <w:rFonts w:ascii="Times New Roman" w:hAnsi="Times New Roman" w:cs="Times New Roman"/>
          <w:sz w:val="28"/>
          <w:szCs w:val="28"/>
          <w:lang w:val="uk-UA"/>
        </w:rPr>
        <w:t>що із збільшен</w:t>
      </w:r>
      <w:r w:rsidR="007824EA">
        <w:rPr>
          <w:rFonts w:ascii="Times New Roman" w:hAnsi="Times New Roman" w:cs="Times New Roman"/>
          <w:sz w:val="28"/>
          <w:szCs w:val="28"/>
          <w:lang w:val="uk-UA"/>
        </w:rPr>
        <w:t>н</w:t>
      </w:r>
      <w:r w:rsidR="004165E0">
        <w:rPr>
          <w:rFonts w:ascii="Times New Roman" w:hAnsi="Times New Roman" w:cs="Times New Roman"/>
          <w:sz w:val="28"/>
          <w:szCs w:val="28"/>
          <w:lang w:val="uk-UA"/>
        </w:rPr>
        <w:t xml:space="preserve">ям </w:t>
      </w:r>
      <w:r w:rsidR="004621EA">
        <w:rPr>
          <w:rFonts w:ascii="Times New Roman" w:hAnsi="Times New Roman" w:cs="Times New Roman"/>
          <w:sz w:val="28"/>
          <w:szCs w:val="28"/>
          <w:lang w:val="uk-UA"/>
        </w:rPr>
        <w:t xml:space="preserve"> </w:t>
      </w:r>
      <w:r w:rsidR="004165E0" w:rsidRPr="004165E0">
        <w:rPr>
          <w:rFonts w:ascii="Times New Roman" w:hAnsi="Times New Roman" w:cs="Times New Roman"/>
          <w:sz w:val="28"/>
          <w:szCs w:val="28"/>
          <w:lang w:val="uk-UA"/>
        </w:rPr>
        <w:t xml:space="preserve">спiввiдношенням альбумiну до креатинiну в сечi </w:t>
      </w:r>
      <w:r w:rsidR="004165E0">
        <w:rPr>
          <w:rFonts w:ascii="Times New Roman" w:hAnsi="Times New Roman" w:cs="Times New Roman"/>
          <w:sz w:val="28"/>
          <w:szCs w:val="28"/>
          <w:lang w:val="uk-UA"/>
        </w:rPr>
        <w:t>зростали значення</w:t>
      </w:r>
      <w:r w:rsidR="004621EA">
        <w:rPr>
          <w:rFonts w:ascii="Times New Roman" w:hAnsi="Times New Roman" w:cs="Times New Roman"/>
          <w:sz w:val="28"/>
          <w:szCs w:val="28"/>
          <w:lang w:val="uk-UA"/>
        </w:rPr>
        <w:t xml:space="preserve"> </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 xml:space="preserve">ММЛШ </w:t>
      </w:r>
      <w:r w:rsidR="004270AB" w:rsidRPr="004270AB">
        <w:rPr>
          <w:rFonts w:ascii="Times New Roman" w:hAnsi="Times New Roman" w:cs="Times New Roman"/>
          <w:sz w:val="28"/>
          <w:szCs w:val="28"/>
          <w:lang w:val="uk-UA"/>
        </w:rPr>
        <w:t>(r = 0,15; р = 0,1</w:t>
      </w:r>
      <w:r w:rsidR="004165E0">
        <w:rPr>
          <w:rFonts w:ascii="Times New Roman" w:hAnsi="Times New Roman" w:cs="Times New Roman"/>
          <w:sz w:val="28"/>
          <w:szCs w:val="28"/>
          <w:lang w:val="uk-UA"/>
        </w:rPr>
        <w:t>425).</w:t>
      </w:r>
      <w:r w:rsidR="004621EA">
        <w:rPr>
          <w:rFonts w:ascii="Times New Roman" w:hAnsi="Times New Roman" w:cs="Times New Roman"/>
          <w:sz w:val="28"/>
          <w:szCs w:val="28"/>
          <w:lang w:val="uk-UA"/>
        </w:rPr>
        <w:t xml:space="preserve"> </w:t>
      </w:r>
      <w:r w:rsidR="004165E0">
        <w:rPr>
          <w:rFonts w:ascii="Times New Roman" w:hAnsi="Times New Roman" w:cs="Times New Roman"/>
          <w:sz w:val="28"/>
          <w:szCs w:val="28"/>
          <w:lang w:val="uk-UA"/>
        </w:rPr>
        <w:t>Проте ця залежність виявила</w:t>
      </w:r>
      <w:r w:rsidR="004621EA">
        <w:rPr>
          <w:rFonts w:ascii="Times New Roman" w:hAnsi="Times New Roman" w:cs="Times New Roman"/>
          <w:sz w:val="28"/>
          <w:szCs w:val="28"/>
          <w:lang w:val="uk-UA"/>
        </w:rPr>
        <w:t>ся недостов</w:t>
      </w:r>
      <w:r w:rsidR="004621EA">
        <w:rPr>
          <w:rFonts w:ascii="Times New Roman" w:hAnsi="Times New Roman" w:cs="Times New Roman"/>
          <w:sz w:val="28"/>
          <w:szCs w:val="28"/>
          <w:lang w:val="en-US"/>
        </w:rPr>
        <w:t>i</w:t>
      </w:r>
      <w:r w:rsidR="004165E0">
        <w:rPr>
          <w:rFonts w:ascii="Times New Roman" w:hAnsi="Times New Roman" w:cs="Times New Roman"/>
          <w:sz w:val="28"/>
          <w:szCs w:val="28"/>
          <w:lang w:val="uk-UA"/>
        </w:rPr>
        <w:t>рною</w:t>
      </w:r>
      <w:r w:rsidR="004270AB" w:rsidRPr="004270AB">
        <w:rPr>
          <w:rFonts w:ascii="Times New Roman" w:hAnsi="Times New Roman" w:cs="Times New Roman"/>
          <w:sz w:val="28"/>
          <w:szCs w:val="28"/>
          <w:lang w:val="uk-UA"/>
        </w:rPr>
        <w:t>.</w:t>
      </w:r>
      <w:r w:rsidR="004270AB" w:rsidRPr="0020180C">
        <w:rPr>
          <w:lang w:val="uk-UA"/>
        </w:rPr>
        <w:t xml:space="preserve"> </w:t>
      </w:r>
      <w:r w:rsidR="0093040B">
        <w:rPr>
          <w:lang w:val="uk-UA"/>
        </w:rPr>
        <w:t xml:space="preserve"> </w:t>
      </w:r>
      <w:r w:rsidR="004165E0" w:rsidRPr="004165E0">
        <w:rPr>
          <w:rFonts w:ascii="Times New Roman" w:hAnsi="Times New Roman" w:cs="Times New Roman"/>
          <w:sz w:val="28"/>
          <w:szCs w:val="28"/>
          <w:lang w:val="uk-UA"/>
        </w:rPr>
        <w:t xml:space="preserve">Констатовано, </w:t>
      </w:r>
      <w:r w:rsidR="007824EA">
        <w:rPr>
          <w:rFonts w:ascii="Times New Roman" w:hAnsi="Times New Roman" w:cs="Times New Roman"/>
          <w:sz w:val="28"/>
          <w:szCs w:val="28"/>
          <w:lang w:val="uk-UA"/>
        </w:rPr>
        <w:t>що у хворих І групи</w:t>
      </w:r>
      <w:r w:rsidR="004165E0">
        <w:rPr>
          <w:lang w:val="uk-UA"/>
        </w:rPr>
        <w:t xml:space="preserve"> </w:t>
      </w:r>
      <w:r w:rsidR="004165E0">
        <w:rPr>
          <w:rFonts w:ascii="Times New Roman" w:hAnsi="Times New Roman" w:cs="Times New Roman"/>
          <w:sz w:val="28"/>
          <w:szCs w:val="28"/>
          <w:lang w:val="uk-UA"/>
        </w:rPr>
        <w:t>із з</w:t>
      </w:r>
      <w:r w:rsidR="00E71F25">
        <w:rPr>
          <w:rFonts w:ascii="Times New Roman" w:hAnsi="Times New Roman" w:cs="Times New Roman"/>
          <w:sz w:val="28"/>
          <w:szCs w:val="28"/>
          <w:lang w:val="uk-UA"/>
        </w:rPr>
        <w:t>меншенням ШКФ достовірно підвищувався</w:t>
      </w:r>
      <w:r w:rsidR="004165E0">
        <w:rPr>
          <w:rFonts w:ascii="Times New Roman" w:hAnsi="Times New Roman" w:cs="Times New Roman"/>
          <w:sz w:val="28"/>
          <w:szCs w:val="28"/>
          <w:lang w:val="uk-UA"/>
        </w:rPr>
        <w:t xml:space="preserve"> </w:t>
      </w:r>
      <w:r w:rsidR="004621EA">
        <w:rPr>
          <w:rFonts w:ascii="Times New Roman" w:hAnsi="Times New Roman" w:cs="Times New Roman"/>
          <w:sz w:val="28"/>
          <w:szCs w:val="28"/>
          <w:lang w:val="en-US"/>
        </w:rPr>
        <w:t>I</w:t>
      </w:r>
      <w:r w:rsidR="00532862">
        <w:rPr>
          <w:rFonts w:ascii="Times New Roman" w:hAnsi="Times New Roman" w:cs="Times New Roman"/>
          <w:sz w:val="28"/>
          <w:szCs w:val="28"/>
          <w:lang w:val="uk-UA"/>
        </w:rPr>
        <w:t>ММ</w:t>
      </w:r>
      <w:r w:rsidR="004165E0">
        <w:rPr>
          <w:rFonts w:ascii="Times New Roman" w:hAnsi="Times New Roman" w:cs="Times New Roman"/>
          <w:sz w:val="28"/>
          <w:szCs w:val="28"/>
          <w:lang w:val="uk-UA"/>
        </w:rPr>
        <w:t>ЛШ</w:t>
      </w:r>
      <w:r w:rsidR="00C06E4F">
        <w:rPr>
          <w:rFonts w:ascii="Times New Roman" w:hAnsi="Times New Roman" w:cs="Times New Roman"/>
          <w:sz w:val="28"/>
          <w:szCs w:val="28"/>
          <w:lang w:val="uk-UA"/>
        </w:rPr>
        <w:t xml:space="preserve"> (r = −</w:t>
      </w:r>
      <w:r w:rsidR="007824EA">
        <w:rPr>
          <w:rFonts w:ascii="Times New Roman" w:hAnsi="Times New Roman" w:cs="Times New Roman"/>
          <w:sz w:val="28"/>
          <w:szCs w:val="28"/>
          <w:lang w:val="uk-UA"/>
        </w:rPr>
        <w:t xml:space="preserve"> </w:t>
      </w:r>
      <w:r w:rsidR="004270AB" w:rsidRPr="004270AB">
        <w:rPr>
          <w:rFonts w:ascii="Times New Roman" w:hAnsi="Times New Roman" w:cs="Times New Roman"/>
          <w:sz w:val="28"/>
          <w:szCs w:val="28"/>
          <w:lang w:val="uk-UA"/>
        </w:rPr>
        <w:t>0,39; р &lt; 0,0001)</w:t>
      </w:r>
      <w:r w:rsidR="004270AB">
        <w:rPr>
          <w:rFonts w:ascii="Times New Roman" w:hAnsi="Times New Roman" w:cs="Times New Roman"/>
          <w:sz w:val="28"/>
          <w:szCs w:val="28"/>
          <w:lang w:val="uk-UA"/>
        </w:rPr>
        <w:t>.</w:t>
      </w:r>
      <w:r w:rsidR="0020180C">
        <w:rPr>
          <w:rFonts w:ascii="Times New Roman" w:hAnsi="Times New Roman" w:cs="Times New Roman"/>
          <w:sz w:val="28"/>
          <w:szCs w:val="28"/>
          <w:lang w:val="uk-UA"/>
        </w:rPr>
        <w:t xml:space="preserve"> </w:t>
      </w:r>
      <w:r w:rsidR="00DD4BEF">
        <w:rPr>
          <w:rFonts w:ascii="Times New Roman" w:hAnsi="Times New Roman" w:cs="Times New Roman"/>
          <w:sz w:val="28"/>
          <w:szCs w:val="28"/>
          <w:lang w:val="uk-UA"/>
        </w:rPr>
        <w:t>До того ж, у разі поєднання АГ і ЦД 2-го типу діастолічна СН зустріча</w:t>
      </w:r>
      <w:r w:rsidR="00E71F25">
        <w:rPr>
          <w:rFonts w:ascii="Times New Roman" w:hAnsi="Times New Roman" w:cs="Times New Roman"/>
          <w:sz w:val="28"/>
          <w:szCs w:val="28"/>
          <w:lang w:val="uk-UA"/>
        </w:rPr>
        <w:t>ла</w:t>
      </w:r>
      <w:r w:rsidR="00DD4BEF">
        <w:rPr>
          <w:rFonts w:ascii="Times New Roman" w:hAnsi="Times New Roman" w:cs="Times New Roman"/>
          <w:sz w:val="28"/>
          <w:szCs w:val="28"/>
          <w:lang w:val="uk-UA"/>
        </w:rPr>
        <w:t>ся із більшою частотою [</w:t>
      </w:r>
      <w:r w:rsidR="002E7A76" w:rsidRPr="004900D9">
        <w:rPr>
          <w:rFonts w:ascii="Times New Roman" w:hAnsi="Times New Roman" w:cs="Times New Roman"/>
          <w:sz w:val="28"/>
          <w:szCs w:val="28"/>
          <w:lang w:val="uk-UA"/>
        </w:rPr>
        <w:t>192</w:t>
      </w:r>
      <w:r w:rsidR="00DD4BEF" w:rsidRPr="00DD4BEF">
        <w:rPr>
          <w:rFonts w:ascii="Times New Roman" w:hAnsi="Times New Roman" w:cs="Times New Roman"/>
          <w:sz w:val="28"/>
          <w:szCs w:val="28"/>
          <w:lang w:val="uk-UA"/>
        </w:rPr>
        <w:t>].</w:t>
      </w:r>
    </w:p>
    <w:p w:rsidR="004270AB" w:rsidRPr="002A524D" w:rsidRDefault="00913E7E" w:rsidP="00913E7E">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4621EA">
        <w:rPr>
          <w:rFonts w:ascii="Times New Roman" w:hAnsi="Times New Roman" w:cs="Times New Roman"/>
          <w:sz w:val="28"/>
          <w:szCs w:val="28"/>
          <w:lang w:val="uk-UA"/>
        </w:rPr>
        <w:t>б</w:t>
      </w:r>
      <w:r w:rsidR="004621EA">
        <w:rPr>
          <w:rFonts w:ascii="Times New Roman" w:hAnsi="Times New Roman" w:cs="Times New Roman"/>
          <w:sz w:val="28"/>
          <w:szCs w:val="28"/>
          <w:lang w:val="en-US"/>
        </w:rPr>
        <w:t>i</w:t>
      </w:r>
      <w:r w:rsidR="00E71F25">
        <w:rPr>
          <w:rFonts w:ascii="Times New Roman" w:hAnsi="Times New Roman" w:cs="Times New Roman"/>
          <w:sz w:val="28"/>
          <w:szCs w:val="28"/>
          <w:lang w:val="uk-UA"/>
        </w:rPr>
        <w:t>льшення вмісту</w:t>
      </w:r>
      <w:r w:rsidRPr="00093D3C">
        <w:rPr>
          <w:rFonts w:ascii="Times New Roman" w:hAnsi="Times New Roman" w:cs="Times New Roman"/>
          <w:sz w:val="28"/>
          <w:szCs w:val="28"/>
          <w:lang w:val="uk-UA"/>
        </w:rPr>
        <w:t xml:space="preserve"> ЕТ-1 сприяє ремоделюванню</w:t>
      </w:r>
      <w:r w:rsidR="004621EA">
        <w:rPr>
          <w:rFonts w:ascii="Times New Roman" w:hAnsi="Times New Roman" w:cs="Times New Roman"/>
          <w:sz w:val="28"/>
          <w:szCs w:val="28"/>
          <w:lang w:val="uk-UA"/>
        </w:rPr>
        <w:t xml:space="preserve"> серця, стимулює г</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пертроф</w:t>
      </w:r>
      <w:r w:rsidR="004621EA">
        <w:rPr>
          <w:rFonts w:ascii="Times New Roman" w:hAnsi="Times New Roman" w:cs="Times New Roman"/>
          <w:sz w:val="28"/>
          <w:szCs w:val="28"/>
          <w:lang w:val="en-US"/>
        </w:rPr>
        <w:t>i</w:t>
      </w:r>
      <w:r w:rsidRPr="00093D3C">
        <w:rPr>
          <w:rFonts w:ascii="Times New Roman" w:hAnsi="Times New Roman" w:cs="Times New Roman"/>
          <w:sz w:val="28"/>
          <w:szCs w:val="28"/>
          <w:lang w:val="uk-UA"/>
        </w:rPr>
        <w:t>ю ЛШ, порушує</w:t>
      </w:r>
      <w:r w:rsidR="004621EA">
        <w:rPr>
          <w:rFonts w:ascii="Times New Roman" w:hAnsi="Times New Roman" w:cs="Times New Roman"/>
          <w:sz w:val="28"/>
          <w:szCs w:val="28"/>
          <w:lang w:val="uk-UA"/>
        </w:rPr>
        <w:t xml:space="preserve"> процеси утворення колагену у м</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окард</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 xml:space="preserve"> та </w:t>
      </w:r>
      <w:r w:rsidR="004621EA">
        <w:rPr>
          <w:rFonts w:ascii="Times New Roman" w:hAnsi="Times New Roman" w:cs="Times New Roman"/>
          <w:sz w:val="28"/>
          <w:szCs w:val="28"/>
          <w:lang w:val="en-US"/>
        </w:rPr>
        <w:t>i</w:t>
      </w:r>
      <w:r w:rsidRPr="00093D3C">
        <w:rPr>
          <w:rFonts w:ascii="Times New Roman" w:hAnsi="Times New Roman" w:cs="Times New Roman"/>
          <w:sz w:val="28"/>
          <w:szCs w:val="28"/>
          <w:lang w:val="uk-UA"/>
        </w:rPr>
        <w:t xml:space="preserve">ндукує </w:t>
      </w:r>
      <w:r w:rsidRPr="00093D3C">
        <w:rPr>
          <w:rFonts w:ascii="Times New Roman" w:hAnsi="Times New Roman" w:cs="Times New Roman"/>
          <w:sz w:val="28"/>
          <w:szCs w:val="28"/>
          <w:lang w:val="uk-UA"/>
        </w:rPr>
        <w:lastRenderedPageBreak/>
        <w:t>розвиток апо</w:t>
      </w:r>
      <w:r w:rsidR="004621EA">
        <w:rPr>
          <w:rFonts w:ascii="Times New Roman" w:hAnsi="Times New Roman" w:cs="Times New Roman"/>
          <w:sz w:val="28"/>
          <w:szCs w:val="28"/>
          <w:lang w:val="uk-UA"/>
        </w:rPr>
        <w:t>птозу кард</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ом</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оцит</w:t>
      </w:r>
      <w:r w:rsidR="004621EA">
        <w:rPr>
          <w:rFonts w:ascii="Times New Roman" w:hAnsi="Times New Roman" w:cs="Times New Roman"/>
          <w:sz w:val="28"/>
          <w:szCs w:val="28"/>
          <w:lang w:val="en-US"/>
        </w:rPr>
        <w:t>i</w:t>
      </w:r>
      <w:r>
        <w:rPr>
          <w:rFonts w:ascii="Times New Roman" w:hAnsi="Times New Roman" w:cs="Times New Roman"/>
          <w:sz w:val="28"/>
          <w:szCs w:val="28"/>
          <w:lang w:val="uk-UA"/>
        </w:rPr>
        <w:t xml:space="preserve">в </w:t>
      </w:r>
      <w:r w:rsidRPr="00093D3C">
        <w:rPr>
          <w:rFonts w:ascii="Times New Roman" w:hAnsi="Times New Roman" w:cs="Times New Roman"/>
          <w:sz w:val="28"/>
          <w:szCs w:val="28"/>
          <w:lang w:val="uk-UA"/>
        </w:rPr>
        <w:t>[</w:t>
      </w:r>
      <w:r w:rsidR="004900D9">
        <w:rPr>
          <w:rFonts w:ascii="Times New Roman" w:hAnsi="Times New Roman" w:cs="Times New Roman"/>
          <w:sz w:val="28"/>
          <w:szCs w:val="28"/>
          <w:lang w:val="uk-UA"/>
        </w:rPr>
        <w:t>167</w:t>
      </w:r>
      <w:r w:rsidRPr="00093D3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E71F25">
        <w:rPr>
          <w:rFonts w:ascii="Times New Roman" w:hAnsi="Times New Roman" w:cs="Times New Roman"/>
          <w:sz w:val="28"/>
          <w:szCs w:val="28"/>
          <w:lang w:val="uk-UA"/>
        </w:rPr>
        <w:t>Н</w:t>
      </w:r>
      <w:r w:rsidR="004621EA">
        <w:rPr>
          <w:rFonts w:ascii="Times New Roman" w:hAnsi="Times New Roman" w:cs="Times New Roman"/>
          <w:sz w:val="28"/>
          <w:szCs w:val="28"/>
          <w:lang w:val="uk-UA"/>
        </w:rPr>
        <w:t>ауковц</w:t>
      </w:r>
      <w:r w:rsidR="004621EA">
        <w:rPr>
          <w:rFonts w:ascii="Times New Roman" w:hAnsi="Times New Roman" w:cs="Times New Roman"/>
          <w:sz w:val="28"/>
          <w:szCs w:val="28"/>
          <w:lang w:val="en-US"/>
        </w:rPr>
        <w:t>i</w:t>
      </w:r>
      <w:r w:rsidR="00E71F25">
        <w:rPr>
          <w:rFonts w:ascii="Times New Roman" w:hAnsi="Times New Roman" w:cs="Times New Roman"/>
          <w:sz w:val="28"/>
          <w:szCs w:val="28"/>
          <w:lang w:val="uk-UA"/>
        </w:rPr>
        <w:t xml:space="preserve"> у</w:t>
      </w:r>
      <w:r w:rsidR="00C06E4F">
        <w:rPr>
          <w:rFonts w:ascii="Times New Roman" w:hAnsi="Times New Roman" w:cs="Times New Roman"/>
          <w:sz w:val="28"/>
          <w:szCs w:val="28"/>
          <w:lang w:val="uk-UA"/>
        </w:rPr>
        <w:t>становили</w:t>
      </w:r>
      <w:r w:rsidR="00093D3C" w:rsidRPr="00093D3C">
        <w:rPr>
          <w:rFonts w:ascii="Times New Roman" w:hAnsi="Times New Roman" w:cs="Times New Roman"/>
          <w:sz w:val="28"/>
          <w:szCs w:val="28"/>
          <w:lang w:val="uk-UA"/>
        </w:rPr>
        <w:t xml:space="preserve">, що </w:t>
      </w:r>
      <w:r w:rsidR="004621EA">
        <w:rPr>
          <w:rFonts w:ascii="Times New Roman" w:hAnsi="Times New Roman" w:cs="Times New Roman"/>
          <w:sz w:val="28"/>
          <w:szCs w:val="28"/>
          <w:lang w:val="uk-UA"/>
        </w:rPr>
        <w:t>ступ</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нь вираженост</w:t>
      </w:r>
      <w:r w:rsidR="004621EA">
        <w:rPr>
          <w:rFonts w:ascii="Times New Roman" w:hAnsi="Times New Roman" w:cs="Times New Roman"/>
          <w:sz w:val="28"/>
          <w:szCs w:val="28"/>
          <w:lang w:val="en-US"/>
        </w:rPr>
        <w:t>i</w:t>
      </w:r>
      <w:r w:rsidR="004621EA">
        <w:rPr>
          <w:rFonts w:ascii="Times New Roman" w:hAnsi="Times New Roman" w:cs="Times New Roman"/>
          <w:sz w:val="28"/>
          <w:szCs w:val="28"/>
          <w:lang w:val="uk-UA"/>
        </w:rPr>
        <w:t xml:space="preserve"> ЕД ч</w:t>
      </w:r>
      <w:r w:rsidR="004621EA">
        <w:rPr>
          <w:rFonts w:ascii="Times New Roman" w:hAnsi="Times New Roman" w:cs="Times New Roman"/>
          <w:sz w:val="28"/>
          <w:szCs w:val="28"/>
          <w:lang w:val="en-US"/>
        </w:rPr>
        <w:t>i</w:t>
      </w:r>
      <w:r w:rsidR="00C06E4F">
        <w:rPr>
          <w:rFonts w:ascii="Times New Roman" w:hAnsi="Times New Roman" w:cs="Times New Roman"/>
          <w:sz w:val="28"/>
          <w:szCs w:val="28"/>
          <w:lang w:val="uk-UA"/>
        </w:rPr>
        <w:t>тко залежи</w:t>
      </w:r>
      <w:r w:rsidR="004621EA">
        <w:rPr>
          <w:rFonts w:ascii="Times New Roman" w:hAnsi="Times New Roman" w:cs="Times New Roman"/>
          <w:sz w:val="28"/>
          <w:szCs w:val="28"/>
          <w:lang w:val="uk-UA"/>
        </w:rPr>
        <w:t>ть в</w:t>
      </w:r>
      <w:r w:rsidR="004621EA">
        <w:rPr>
          <w:rFonts w:ascii="Times New Roman" w:hAnsi="Times New Roman" w:cs="Times New Roman"/>
          <w:sz w:val="28"/>
          <w:szCs w:val="28"/>
          <w:lang w:val="en-US"/>
        </w:rPr>
        <w:t>i</w:t>
      </w:r>
      <w:r w:rsidR="00AF43CC">
        <w:rPr>
          <w:rFonts w:ascii="Times New Roman" w:hAnsi="Times New Roman" w:cs="Times New Roman"/>
          <w:sz w:val="28"/>
          <w:szCs w:val="28"/>
          <w:lang w:val="uk-UA"/>
        </w:rPr>
        <w:t xml:space="preserve">д </w:t>
      </w:r>
      <w:r w:rsidR="00093D3C" w:rsidRPr="00093D3C">
        <w:rPr>
          <w:rFonts w:ascii="Times New Roman" w:hAnsi="Times New Roman" w:cs="Times New Roman"/>
          <w:sz w:val="28"/>
          <w:szCs w:val="28"/>
          <w:lang w:val="uk-UA"/>
        </w:rPr>
        <w:t>ФК ХСН (r</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w:t>
      </w:r>
      <w:r w:rsidR="00E71F25">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0,73; p</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&lt;</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0,05) та ФВ</w:t>
      </w:r>
      <w:r w:rsidR="00C91BC0">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 xml:space="preserve">ЛШ </w:t>
      </w:r>
      <w:r w:rsidR="00E71F25">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(r</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w:t>
      </w:r>
      <w:r w:rsidR="00FC202B">
        <w:rPr>
          <w:rFonts w:ascii="Times New Roman" w:hAnsi="Times New Roman" w:cs="Times New Roman"/>
          <w:sz w:val="28"/>
          <w:szCs w:val="28"/>
          <w:lang w:val="uk-UA"/>
        </w:rPr>
        <w:t xml:space="preserve"> </w:t>
      </w:r>
      <w:r w:rsidR="00C06E4F">
        <w:rPr>
          <w:rFonts w:ascii="Times New Roman" w:hAnsi="Times New Roman" w:cs="Times New Roman"/>
          <w:sz w:val="28"/>
          <w:szCs w:val="28"/>
          <w:lang w:val="uk-UA"/>
        </w:rPr>
        <w:t>−</w:t>
      </w:r>
      <w:r w:rsidR="00E71F25">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0,81; p</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&lt;</w:t>
      </w:r>
      <w:r w:rsidR="00FC202B">
        <w:rPr>
          <w:rFonts w:ascii="Times New Roman" w:hAnsi="Times New Roman" w:cs="Times New Roman"/>
          <w:sz w:val="28"/>
          <w:szCs w:val="28"/>
          <w:lang w:val="uk-UA"/>
        </w:rPr>
        <w:t xml:space="preserve"> </w:t>
      </w:r>
      <w:r w:rsidR="00093D3C" w:rsidRPr="00093D3C">
        <w:rPr>
          <w:rFonts w:ascii="Times New Roman" w:hAnsi="Times New Roman" w:cs="Times New Roman"/>
          <w:sz w:val="28"/>
          <w:szCs w:val="28"/>
          <w:lang w:val="uk-UA"/>
        </w:rPr>
        <w:t xml:space="preserve">0,05) </w:t>
      </w:r>
      <w:r w:rsidR="00110918" w:rsidRPr="00110918">
        <w:rPr>
          <w:rFonts w:ascii="Times New Roman" w:hAnsi="Times New Roman" w:cs="Times New Roman"/>
          <w:sz w:val="28"/>
          <w:szCs w:val="28"/>
          <w:lang w:val="uk-UA"/>
        </w:rPr>
        <w:t>[</w:t>
      </w:r>
      <w:r w:rsidR="002E7A76" w:rsidRPr="004900D9">
        <w:rPr>
          <w:rFonts w:ascii="Times New Roman" w:hAnsi="Times New Roman" w:cs="Times New Roman"/>
          <w:sz w:val="28"/>
          <w:szCs w:val="28"/>
          <w:lang w:val="uk-UA"/>
        </w:rPr>
        <w:t>193</w:t>
      </w:r>
      <w:r w:rsidR="00C06E4F" w:rsidRPr="004900D9">
        <w:rPr>
          <w:rFonts w:ascii="Times New Roman" w:hAnsi="Times New Roman" w:cs="Times New Roman"/>
          <w:sz w:val="28"/>
          <w:szCs w:val="28"/>
          <w:lang w:val="uk-UA"/>
        </w:rPr>
        <w:t>]</w:t>
      </w:r>
      <w:r w:rsidR="00C06E4F">
        <w:rPr>
          <w:rFonts w:ascii="Times New Roman" w:hAnsi="Times New Roman" w:cs="Times New Roman"/>
          <w:sz w:val="28"/>
          <w:szCs w:val="28"/>
          <w:lang w:val="uk-UA"/>
        </w:rPr>
        <w:t xml:space="preserve">. </w:t>
      </w:r>
      <w:r w:rsidR="00AF43CC">
        <w:rPr>
          <w:rFonts w:ascii="Times New Roman" w:hAnsi="Times New Roman" w:cs="Times New Roman"/>
          <w:sz w:val="28"/>
          <w:szCs w:val="28"/>
          <w:lang w:val="uk-UA"/>
        </w:rPr>
        <w:t>Проте у нашому досл</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дженн</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 xml:space="preserve"> зв’язку м</w:t>
      </w:r>
      <w:r w:rsidR="00AF43CC">
        <w:rPr>
          <w:rFonts w:ascii="Times New Roman" w:hAnsi="Times New Roman" w:cs="Times New Roman"/>
          <w:sz w:val="28"/>
          <w:szCs w:val="28"/>
          <w:lang w:val="en-US"/>
        </w:rPr>
        <w:t>i</w:t>
      </w:r>
      <w:r w:rsidR="004A5906">
        <w:rPr>
          <w:rFonts w:ascii="Times New Roman" w:hAnsi="Times New Roman" w:cs="Times New Roman"/>
          <w:sz w:val="28"/>
          <w:szCs w:val="28"/>
          <w:lang w:val="uk-UA"/>
        </w:rPr>
        <w:t xml:space="preserve">ж </w:t>
      </w:r>
      <w:r w:rsidR="00C91BC0">
        <w:rPr>
          <w:rFonts w:ascii="Times New Roman" w:hAnsi="Times New Roman" w:cs="Times New Roman"/>
          <w:sz w:val="28"/>
          <w:szCs w:val="28"/>
          <w:lang w:val="uk-UA"/>
        </w:rPr>
        <w:t xml:space="preserve">вмістом ЕТ-1 </w:t>
      </w:r>
      <w:r w:rsidR="004A5906">
        <w:rPr>
          <w:rFonts w:ascii="Times New Roman" w:hAnsi="Times New Roman" w:cs="Times New Roman"/>
          <w:sz w:val="28"/>
          <w:szCs w:val="28"/>
          <w:lang w:val="uk-UA"/>
        </w:rPr>
        <w:t>та ФВ</w:t>
      </w:r>
      <w:r w:rsidR="00E71F25">
        <w:rPr>
          <w:rFonts w:ascii="Times New Roman" w:hAnsi="Times New Roman" w:cs="Times New Roman"/>
          <w:sz w:val="28"/>
          <w:szCs w:val="28"/>
          <w:lang w:val="uk-UA"/>
        </w:rPr>
        <w:t xml:space="preserve"> </w:t>
      </w:r>
      <w:r w:rsidR="004A5906">
        <w:rPr>
          <w:rFonts w:ascii="Times New Roman" w:hAnsi="Times New Roman" w:cs="Times New Roman"/>
          <w:sz w:val="28"/>
          <w:szCs w:val="28"/>
          <w:lang w:val="uk-UA"/>
        </w:rPr>
        <w:t>ЛШ</w:t>
      </w:r>
      <w:r w:rsidR="004A5906" w:rsidRPr="004A5906">
        <w:rPr>
          <w:rFonts w:ascii="Times New Roman" w:hAnsi="Times New Roman" w:cs="Times New Roman"/>
          <w:sz w:val="28"/>
          <w:szCs w:val="28"/>
          <w:lang w:val="uk-UA"/>
        </w:rPr>
        <w:t xml:space="preserve"> констатовано не було</w:t>
      </w:r>
      <w:r w:rsidR="004A5906">
        <w:rPr>
          <w:rFonts w:ascii="Times New Roman" w:hAnsi="Times New Roman" w:cs="Times New Roman"/>
          <w:sz w:val="28"/>
          <w:szCs w:val="28"/>
          <w:lang w:val="uk-UA"/>
        </w:rPr>
        <w:t xml:space="preserve">, що можна пояснити </w:t>
      </w:r>
      <w:r w:rsidR="00D834A5">
        <w:rPr>
          <w:rFonts w:ascii="Times New Roman" w:hAnsi="Times New Roman" w:cs="Times New Roman"/>
          <w:sz w:val="28"/>
          <w:szCs w:val="28"/>
          <w:lang w:val="uk-UA"/>
        </w:rPr>
        <w:t xml:space="preserve">тим, </w:t>
      </w:r>
      <w:r w:rsidR="00D834A5" w:rsidRPr="00D834A5">
        <w:rPr>
          <w:rFonts w:ascii="Times New Roman" w:hAnsi="Times New Roman" w:cs="Times New Roman"/>
          <w:sz w:val="28"/>
          <w:szCs w:val="28"/>
          <w:lang w:val="uk-UA"/>
        </w:rPr>
        <w:t>що саме СН зі збереженою ФВ ЛШ є характерною ознакою порушення функціонального стану серця для хворих на АГ як за наявності, так і за відсутності супутнього ЦД 2-го типу</w:t>
      </w:r>
      <w:r>
        <w:rPr>
          <w:rFonts w:ascii="Times New Roman" w:hAnsi="Times New Roman" w:cs="Times New Roman"/>
          <w:sz w:val="28"/>
          <w:szCs w:val="28"/>
          <w:lang w:val="uk-UA"/>
        </w:rPr>
        <w:t xml:space="preserve">. Але </w:t>
      </w:r>
      <w:r w:rsidRPr="00913E7E">
        <w:rPr>
          <w:rFonts w:ascii="Times New Roman" w:hAnsi="Times New Roman" w:cs="Times New Roman"/>
          <w:sz w:val="28"/>
          <w:szCs w:val="28"/>
          <w:lang w:val="uk-UA"/>
        </w:rPr>
        <w:t>у</w:t>
      </w:r>
      <w:r w:rsidR="00C06E4F" w:rsidRPr="00913E7E">
        <w:rPr>
          <w:rFonts w:ascii="Times New Roman" w:hAnsi="Times New Roman" w:cs="Times New Roman"/>
          <w:sz w:val="28"/>
          <w:szCs w:val="28"/>
          <w:lang w:val="uk-UA"/>
        </w:rPr>
        <w:t xml:space="preserve">становлено, що </w:t>
      </w:r>
      <w:r w:rsidR="00E71F25">
        <w:rPr>
          <w:rFonts w:ascii="Times New Roman" w:hAnsi="Times New Roman" w:cs="Times New Roman"/>
          <w:sz w:val="28"/>
          <w:szCs w:val="28"/>
          <w:lang w:val="uk-UA"/>
        </w:rPr>
        <w:t xml:space="preserve">у пацієнтів </w:t>
      </w:r>
      <w:r w:rsidR="00AF43CC">
        <w:rPr>
          <w:rFonts w:ascii="Times New Roman" w:hAnsi="Times New Roman" w:cs="Times New Roman"/>
          <w:sz w:val="28"/>
          <w:szCs w:val="28"/>
          <w:lang w:val="en-US"/>
        </w:rPr>
        <w:t>i</w:t>
      </w:r>
      <w:r w:rsidR="00093D3C" w:rsidRPr="00913E7E">
        <w:rPr>
          <w:rFonts w:ascii="Times New Roman" w:hAnsi="Times New Roman" w:cs="Times New Roman"/>
          <w:sz w:val="28"/>
          <w:szCs w:val="28"/>
          <w:lang w:val="uk-UA"/>
        </w:rPr>
        <w:t xml:space="preserve">з </w:t>
      </w:r>
      <w:r w:rsidR="00AF43CC">
        <w:rPr>
          <w:rFonts w:ascii="Times New Roman" w:hAnsi="Times New Roman" w:cs="Times New Roman"/>
          <w:sz w:val="28"/>
          <w:szCs w:val="28"/>
          <w:lang w:val="uk-UA"/>
        </w:rPr>
        <w:t>зазначеною коморб</w:t>
      </w:r>
      <w:r w:rsidR="00AF43CC">
        <w:rPr>
          <w:rFonts w:ascii="Times New Roman" w:hAnsi="Times New Roman" w:cs="Times New Roman"/>
          <w:sz w:val="28"/>
          <w:szCs w:val="28"/>
          <w:lang w:val="en-US"/>
        </w:rPr>
        <w:t>i</w:t>
      </w:r>
      <w:r>
        <w:rPr>
          <w:rFonts w:ascii="Times New Roman" w:hAnsi="Times New Roman" w:cs="Times New Roman"/>
          <w:sz w:val="28"/>
          <w:szCs w:val="28"/>
          <w:lang w:val="uk-UA"/>
        </w:rPr>
        <w:t>дною па</w:t>
      </w:r>
      <w:r w:rsidR="00AF43CC">
        <w:rPr>
          <w:rFonts w:ascii="Times New Roman" w:hAnsi="Times New Roman" w:cs="Times New Roman"/>
          <w:sz w:val="28"/>
          <w:szCs w:val="28"/>
          <w:lang w:val="uk-UA"/>
        </w:rPr>
        <w:t>толог</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 xml:space="preserve">єю </w:t>
      </w:r>
      <w:r w:rsidR="00AF43CC">
        <w:rPr>
          <w:rFonts w:ascii="Times New Roman" w:hAnsi="Times New Roman" w:cs="Times New Roman"/>
          <w:sz w:val="28"/>
          <w:szCs w:val="28"/>
          <w:lang w:val="en-US"/>
        </w:rPr>
        <w:t>i</w:t>
      </w:r>
      <w:r>
        <w:rPr>
          <w:rFonts w:ascii="Times New Roman" w:hAnsi="Times New Roman" w:cs="Times New Roman"/>
          <w:sz w:val="28"/>
          <w:szCs w:val="28"/>
          <w:lang w:val="uk-UA"/>
        </w:rPr>
        <w:t xml:space="preserve"> </w:t>
      </w:r>
      <w:r w:rsidR="00093D3C" w:rsidRPr="00913E7E">
        <w:rPr>
          <w:rFonts w:ascii="Times New Roman" w:hAnsi="Times New Roman" w:cs="Times New Roman"/>
          <w:sz w:val="28"/>
          <w:szCs w:val="28"/>
          <w:lang w:val="uk-UA"/>
        </w:rPr>
        <w:t>І</w:t>
      </w:r>
      <w:r w:rsidR="004B55B2" w:rsidRPr="00913E7E">
        <w:rPr>
          <w:rFonts w:ascii="Times New Roman" w:hAnsi="Times New Roman" w:cs="Times New Roman"/>
          <w:sz w:val="28"/>
          <w:szCs w:val="28"/>
          <w:lang w:val="uk-UA"/>
        </w:rPr>
        <w:t>І</w:t>
      </w:r>
      <w:r w:rsidR="00AF43CC">
        <w:rPr>
          <w:rFonts w:ascii="Times New Roman" w:hAnsi="Times New Roman" w:cs="Times New Roman"/>
          <w:sz w:val="28"/>
          <w:szCs w:val="28"/>
          <w:lang w:val="uk-UA"/>
        </w:rPr>
        <w:t xml:space="preserve"> ФК ХСН </w:t>
      </w:r>
      <w:r w:rsidR="00E71F25">
        <w:rPr>
          <w:rFonts w:ascii="Times New Roman" w:hAnsi="Times New Roman" w:cs="Times New Roman"/>
          <w:sz w:val="28"/>
          <w:szCs w:val="28"/>
          <w:lang w:val="uk-UA"/>
        </w:rPr>
        <w:t xml:space="preserve">вміст </w:t>
      </w:r>
      <w:r w:rsidR="00AF43CC">
        <w:rPr>
          <w:rFonts w:ascii="Times New Roman" w:hAnsi="Times New Roman" w:cs="Times New Roman"/>
          <w:sz w:val="28"/>
          <w:szCs w:val="28"/>
          <w:lang w:val="uk-UA"/>
        </w:rPr>
        <w:t>ЕТ-1 достов</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рно менший, н</w:t>
      </w:r>
      <w:r w:rsidR="00AF43CC">
        <w:rPr>
          <w:rFonts w:ascii="Times New Roman" w:hAnsi="Times New Roman" w:cs="Times New Roman"/>
          <w:sz w:val="28"/>
          <w:szCs w:val="28"/>
          <w:lang w:val="en-US"/>
        </w:rPr>
        <w:t>i</w:t>
      </w:r>
      <w:r w:rsidR="00E71F25">
        <w:rPr>
          <w:rFonts w:ascii="Times New Roman" w:hAnsi="Times New Roman" w:cs="Times New Roman"/>
          <w:sz w:val="28"/>
          <w:szCs w:val="28"/>
          <w:lang w:val="uk-UA"/>
        </w:rPr>
        <w:t>ж у хворих</w:t>
      </w:r>
      <w:r w:rsidR="00AF43CC">
        <w:rPr>
          <w:rFonts w:ascii="Times New Roman" w:hAnsi="Times New Roman" w:cs="Times New Roman"/>
          <w:sz w:val="28"/>
          <w:szCs w:val="28"/>
          <w:lang w:val="uk-UA"/>
        </w:rPr>
        <w:t xml:space="preserve"> </w:t>
      </w:r>
      <w:r w:rsidR="00AF43CC">
        <w:rPr>
          <w:rFonts w:ascii="Times New Roman" w:hAnsi="Times New Roman" w:cs="Times New Roman"/>
          <w:sz w:val="28"/>
          <w:szCs w:val="28"/>
          <w:lang w:val="en-US"/>
        </w:rPr>
        <w:t>i</w:t>
      </w:r>
      <w:r w:rsidR="00093D3C" w:rsidRPr="00913E7E">
        <w:rPr>
          <w:rFonts w:ascii="Times New Roman" w:hAnsi="Times New Roman" w:cs="Times New Roman"/>
          <w:sz w:val="28"/>
          <w:szCs w:val="28"/>
          <w:lang w:val="uk-UA"/>
        </w:rPr>
        <w:t xml:space="preserve">з </w:t>
      </w:r>
      <w:r w:rsidR="004B55B2" w:rsidRPr="00913E7E">
        <w:rPr>
          <w:rFonts w:ascii="Times New Roman" w:hAnsi="Times New Roman" w:cs="Times New Roman"/>
          <w:sz w:val="28"/>
          <w:szCs w:val="28"/>
          <w:lang w:val="uk-UA"/>
        </w:rPr>
        <w:t>III ФК ХСН (р = 0,0476</w:t>
      </w:r>
      <w:r w:rsidR="002A524D" w:rsidRPr="00913E7E">
        <w:rPr>
          <w:rFonts w:ascii="Times New Roman" w:hAnsi="Times New Roman" w:cs="Times New Roman"/>
          <w:sz w:val="28"/>
          <w:szCs w:val="28"/>
          <w:lang w:val="uk-UA"/>
        </w:rPr>
        <w:t>)</w:t>
      </w:r>
      <w:r w:rsidR="00EA6F81" w:rsidRPr="00EA6F81">
        <w:rPr>
          <w:rFonts w:ascii="Times New Roman" w:hAnsi="Times New Roman" w:cs="Times New Roman"/>
          <w:sz w:val="28"/>
          <w:szCs w:val="28"/>
          <w:lang w:val="uk-UA"/>
        </w:rPr>
        <w:t xml:space="preserve"> </w:t>
      </w:r>
      <w:r w:rsidR="00D0196D" w:rsidRPr="00D0196D">
        <w:rPr>
          <w:rFonts w:ascii="Times New Roman" w:hAnsi="Times New Roman" w:cs="Times New Roman"/>
          <w:sz w:val="28"/>
          <w:szCs w:val="28"/>
          <w:lang w:val="uk-UA"/>
        </w:rPr>
        <w:t>[</w:t>
      </w:r>
      <w:r w:rsidR="00D0196D" w:rsidRPr="004900D9">
        <w:rPr>
          <w:rFonts w:ascii="Times New Roman" w:hAnsi="Times New Roman" w:cs="Times New Roman"/>
          <w:sz w:val="28"/>
          <w:szCs w:val="28"/>
          <w:lang w:val="uk-UA"/>
        </w:rPr>
        <w:t>194</w:t>
      </w:r>
      <w:r w:rsidR="00EA6F81" w:rsidRPr="00D0196D">
        <w:rPr>
          <w:rFonts w:ascii="Times New Roman" w:hAnsi="Times New Roman" w:cs="Times New Roman"/>
          <w:sz w:val="28"/>
          <w:szCs w:val="28"/>
          <w:lang w:val="uk-UA"/>
        </w:rPr>
        <w:t>]</w:t>
      </w:r>
      <w:r w:rsidR="002A524D" w:rsidRPr="00D0196D">
        <w:rPr>
          <w:rFonts w:ascii="Times New Roman" w:hAnsi="Times New Roman" w:cs="Times New Roman"/>
          <w:sz w:val="28"/>
          <w:szCs w:val="28"/>
          <w:lang w:val="uk-UA"/>
        </w:rPr>
        <w:t>.</w:t>
      </w:r>
      <w:r w:rsidR="00093D3C" w:rsidRPr="00093D3C">
        <w:rPr>
          <w:rFonts w:ascii="Times New Roman" w:hAnsi="Times New Roman" w:cs="Times New Roman"/>
          <w:sz w:val="28"/>
          <w:szCs w:val="28"/>
          <w:lang w:val="uk-UA"/>
        </w:rPr>
        <w:t xml:space="preserve"> Саме тому </w:t>
      </w:r>
      <w:r w:rsidR="00AF43CC">
        <w:rPr>
          <w:rFonts w:ascii="Times New Roman" w:hAnsi="Times New Roman" w:cs="Times New Roman"/>
          <w:sz w:val="28"/>
          <w:szCs w:val="28"/>
          <w:lang w:val="uk-UA"/>
        </w:rPr>
        <w:t>корекц</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 xml:space="preserve">я </w:t>
      </w:r>
      <w:r w:rsidR="00F31415">
        <w:rPr>
          <w:rFonts w:ascii="Times New Roman" w:hAnsi="Times New Roman" w:cs="Times New Roman"/>
          <w:sz w:val="28"/>
          <w:szCs w:val="28"/>
          <w:lang w:val="uk-UA"/>
        </w:rPr>
        <w:t>функціонального стану</w:t>
      </w:r>
      <w:r w:rsidR="00AF43CC">
        <w:rPr>
          <w:rFonts w:ascii="Times New Roman" w:hAnsi="Times New Roman" w:cs="Times New Roman"/>
          <w:sz w:val="28"/>
          <w:szCs w:val="28"/>
          <w:lang w:val="uk-UA"/>
        </w:rPr>
        <w:t xml:space="preserve"> ендотел</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ю шляхом призначення антиг</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пертензивних препарат</w:t>
      </w:r>
      <w:r w:rsidR="00AF43CC">
        <w:rPr>
          <w:rFonts w:ascii="Times New Roman" w:hAnsi="Times New Roman" w:cs="Times New Roman"/>
          <w:sz w:val="28"/>
          <w:szCs w:val="28"/>
          <w:lang w:val="en-US"/>
        </w:rPr>
        <w:t>i</w:t>
      </w:r>
      <w:r w:rsidR="00AF43CC">
        <w:rPr>
          <w:rFonts w:ascii="Times New Roman" w:hAnsi="Times New Roman" w:cs="Times New Roman"/>
          <w:sz w:val="28"/>
          <w:szCs w:val="28"/>
          <w:lang w:val="uk-UA"/>
        </w:rPr>
        <w:t>в, як</w:t>
      </w:r>
      <w:r w:rsidR="00AF43CC">
        <w:rPr>
          <w:rFonts w:ascii="Times New Roman" w:hAnsi="Times New Roman" w:cs="Times New Roman"/>
          <w:sz w:val="28"/>
          <w:szCs w:val="28"/>
          <w:lang w:val="en-US"/>
        </w:rPr>
        <w:t>i</w:t>
      </w:r>
      <w:r w:rsidR="002A524D">
        <w:rPr>
          <w:rFonts w:ascii="Times New Roman" w:hAnsi="Times New Roman" w:cs="Times New Roman"/>
          <w:sz w:val="28"/>
          <w:szCs w:val="28"/>
          <w:lang w:val="uk-UA"/>
        </w:rPr>
        <w:t xml:space="preserve"> б знижували </w:t>
      </w:r>
      <w:r w:rsidR="00E71F25">
        <w:rPr>
          <w:rFonts w:ascii="Times New Roman" w:hAnsi="Times New Roman" w:cs="Times New Roman"/>
          <w:sz w:val="28"/>
          <w:szCs w:val="28"/>
          <w:lang w:val="uk-UA"/>
        </w:rPr>
        <w:t xml:space="preserve">вміст </w:t>
      </w:r>
      <w:r w:rsidR="002A524D">
        <w:rPr>
          <w:rFonts w:ascii="Times New Roman" w:hAnsi="Times New Roman" w:cs="Times New Roman"/>
          <w:sz w:val="28"/>
          <w:szCs w:val="28"/>
          <w:lang w:val="uk-UA"/>
        </w:rPr>
        <w:t>ЕТ-1</w:t>
      </w:r>
      <w:r w:rsidR="00E71F25">
        <w:rPr>
          <w:rFonts w:ascii="Times New Roman" w:hAnsi="Times New Roman" w:cs="Times New Roman"/>
          <w:sz w:val="28"/>
          <w:szCs w:val="28"/>
          <w:lang w:val="uk-UA"/>
        </w:rPr>
        <w:t>, є важливим елементом лiкування</w:t>
      </w:r>
      <w:r w:rsidR="00E71F25" w:rsidRPr="00E71F25">
        <w:rPr>
          <w:rFonts w:ascii="Times New Roman" w:hAnsi="Times New Roman" w:cs="Times New Roman"/>
          <w:sz w:val="28"/>
          <w:szCs w:val="28"/>
          <w:lang w:val="uk-UA"/>
        </w:rPr>
        <w:t xml:space="preserve"> пацiєнтiв із АГ та ЦД 2-го типу</w:t>
      </w:r>
      <w:r w:rsidR="002A524D">
        <w:rPr>
          <w:rFonts w:ascii="Times New Roman" w:hAnsi="Times New Roman" w:cs="Times New Roman"/>
          <w:sz w:val="28"/>
          <w:szCs w:val="28"/>
          <w:lang w:val="uk-UA"/>
        </w:rPr>
        <w:t>.</w:t>
      </w:r>
    </w:p>
    <w:p w:rsidR="003D1723" w:rsidRDefault="00E71F25" w:rsidP="00D4347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96FC1">
        <w:rPr>
          <w:rFonts w:ascii="Times New Roman" w:hAnsi="Times New Roman" w:cs="Times New Roman"/>
          <w:sz w:val="28"/>
          <w:szCs w:val="28"/>
          <w:lang w:val="uk-UA"/>
        </w:rPr>
        <w:t>плив урикем</w:t>
      </w:r>
      <w:r w:rsidR="00596FC1">
        <w:rPr>
          <w:rFonts w:ascii="Times New Roman" w:hAnsi="Times New Roman" w:cs="Times New Roman"/>
          <w:sz w:val="28"/>
          <w:szCs w:val="28"/>
          <w:lang w:val="en-US"/>
        </w:rPr>
        <w:t>i</w:t>
      </w:r>
      <w:r w:rsidR="00551BEB" w:rsidRPr="002A524D">
        <w:rPr>
          <w:rFonts w:ascii="Times New Roman" w:hAnsi="Times New Roman" w:cs="Times New Roman"/>
          <w:sz w:val="28"/>
          <w:szCs w:val="28"/>
          <w:lang w:val="uk-UA"/>
        </w:rPr>
        <w:t>ї на ІММЛШ</w:t>
      </w:r>
      <w:r>
        <w:rPr>
          <w:rFonts w:ascii="Times New Roman" w:hAnsi="Times New Roman" w:cs="Times New Roman"/>
          <w:sz w:val="28"/>
          <w:szCs w:val="28"/>
          <w:lang w:val="uk-UA"/>
        </w:rPr>
        <w:t xml:space="preserve"> має </w:t>
      </w:r>
      <w:r w:rsidRPr="00E71F25">
        <w:rPr>
          <w:rFonts w:ascii="Times New Roman" w:hAnsi="Times New Roman" w:cs="Times New Roman"/>
          <w:sz w:val="28"/>
          <w:szCs w:val="28"/>
          <w:lang w:val="uk-UA"/>
        </w:rPr>
        <w:t>суперечливий характер</w:t>
      </w:r>
      <w:r w:rsidR="0048150D">
        <w:rPr>
          <w:rFonts w:ascii="Times New Roman" w:hAnsi="Times New Roman" w:cs="Times New Roman"/>
          <w:sz w:val="28"/>
          <w:szCs w:val="28"/>
          <w:lang w:val="uk-UA"/>
        </w:rPr>
        <w:t xml:space="preserve">. </w:t>
      </w:r>
      <w:r w:rsidR="00551BEB" w:rsidRPr="002A524D">
        <w:rPr>
          <w:rFonts w:ascii="Times New Roman" w:hAnsi="Times New Roman" w:cs="Times New Roman"/>
          <w:sz w:val="28"/>
          <w:szCs w:val="28"/>
          <w:lang w:val="uk-UA"/>
        </w:rPr>
        <w:t xml:space="preserve">Так, </w:t>
      </w:r>
      <w:r w:rsidR="00113A8F">
        <w:rPr>
          <w:rFonts w:ascii="Times New Roman" w:hAnsi="Times New Roman" w:cs="Times New Roman"/>
          <w:sz w:val="28"/>
          <w:szCs w:val="28"/>
          <w:lang w:val="uk-UA"/>
        </w:rPr>
        <w:t xml:space="preserve">              </w:t>
      </w:r>
      <w:r w:rsidR="005D0848">
        <w:rPr>
          <w:rFonts w:ascii="Times New Roman" w:hAnsi="Times New Roman" w:cs="Times New Roman"/>
          <w:sz w:val="28"/>
          <w:szCs w:val="28"/>
          <w:lang w:val="uk-UA"/>
        </w:rPr>
        <w:t xml:space="preserve"> </w:t>
      </w:r>
      <w:r w:rsidR="001F1EFA">
        <w:rPr>
          <w:rFonts w:ascii="Times New Roman" w:hAnsi="Times New Roman" w:cs="Times New Roman"/>
          <w:sz w:val="28"/>
          <w:szCs w:val="28"/>
          <w:lang w:val="uk-UA"/>
        </w:rPr>
        <w:t xml:space="preserve">японським </w:t>
      </w:r>
      <w:r w:rsidR="005D0848">
        <w:rPr>
          <w:rFonts w:ascii="Times New Roman" w:hAnsi="Times New Roman" w:cs="Times New Roman"/>
          <w:sz w:val="28"/>
          <w:szCs w:val="28"/>
          <w:lang w:val="uk-UA"/>
        </w:rPr>
        <w:t>дослідниками</w:t>
      </w:r>
      <w:r w:rsidR="00596FC1">
        <w:rPr>
          <w:rFonts w:ascii="Times New Roman" w:hAnsi="Times New Roman" w:cs="Times New Roman"/>
          <w:sz w:val="28"/>
          <w:szCs w:val="28"/>
          <w:lang w:val="uk-UA"/>
        </w:rPr>
        <w:t xml:space="preserve"> виявлена достов</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рна незалежна асоц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ац</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я м</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ж </w:t>
      </w:r>
      <w:r>
        <w:rPr>
          <w:rFonts w:ascii="Times New Roman" w:hAnsi="Times New Roman" w:cs="Times New Roman"/>
          <w:sz w:val="28"/>
          <w:szCs w:val="28"/>
          <w:lang w:val="uk-UA"/>
        </w:rPr>
        <w:t xml:space="preserve">вмістом </w:t>
      </w:r>
      <w:r w:rsidR="00551BEB" w:rsidRPr="002A524D">
        <w:rPr>
          <w:rFonts w:ascii="Times New Roman" w:hAnsi="Times New Roman" w:cs="Times New Roman"/>
          <w:sz w:val="28"/>
          <w:szCs w:val="28"/>
          <w:lang w:val="uk-UA"/>
        </w:rPr>
        <w:t xml:space="preserve">сечової кислоти та </w:t>
      </w:r>
      <w:r w:rsidR="00596FC1">
        <w:rPr>
          <w:rFonts w:ascii="Times New Roman" w:hAnsi="Times New Roman" w:cs="Times New Roman"/>
          <w:sz w:val="28"/>
          <w:szCs w:val="28"/>
          <w:lang w:val="en-US"/>
        </w:rPr>
        <w:t>I</w:t>
      </w:r>
      <w:r w:rsidR="003D1535" w:rsidRPr="002A524D">
        <w:rPr>
          <w:rFonts w:ascii="Times New Roman" w:hAnsi="Times New Roman" w:cs="Times New Roman"/>
          <w:sz w:val="28"/>
          <w:szCs w:val="28"/>
          <w:lang w:val="uk-UA"/>
        </w:rPr>
        <w:t>ММЛШ у хворих на АГ</w:t>
      </w:r>
      <w:r w:rsidR="001F1EFA">
        <w:rPr>
          <w:rFonts w:ascii="Times New Roman" w:hAnsi="Times New Roman" w:cs="Times New Roman"/>
          <w:sz w:val="28"/>
          <w:szCs w:val="28"/>
          <w:lang w:val="uk-UA"/>
        </w:rPr>
        <w:t xml:space="preserve"> </w:t>
      </w:r>
      <w:r w:rsidR="00CF0188">
        <w:rPr>
          <w:rFonts w:ascii="Times New Roman" w:hAnsi="Times New Roman" w:cs="Times New Roman"/>
          <w:sz w:val="28"/>
          <w:szCs w:val="28"/>
          <w:lang w:val="uk-UA"/>
        </w:rPr>
        <w:t>[</w:t>
      </w:r>
      <w:r w:rsidR="00D0196D" w:rsidRPr="004900D9">
        <w:rPr>
          <w:rFonts w:ascii="Times New Roman" w:hAnsi="Times New Roman" w:cs="Times New Roman"/>
          <w:sz w:val="28"/>
          <w:szCs w:val="28"/>
        </w:rPr>
        <w:t>195</w:t>
      </w:r>
      <w:r w:rsidR="001F1EFA" w:rsidRPr="00994159">
        <w:rPr>
          <w:rFonts w:ascii="Times New Roman" w:hAnsi="Times New Roman" w:cs="Times New Roman"/>
          <w:sz w:val="28"/>
          <w:szCs w:val="28"/>
          <w:lang w:val="uk-UA"/>
        </w:rPr>
        <w:t>]</w:t>
      </w:r>
      <w:r w:rsidR="000C4F37" w:rsidRPr="00994159">
        <w:rPr>
          <w:rFonts w:ascii="Times New Roman" w:hAnsi="Times New Roman" w:cs="Times New Roman"/>
          <w:sz w:val="28"/>
          <w:szCs w:val="28"/>
          <w:lang w:val="uk-UA"/>
        </w:rPr>
        <w:t>.</w:t>
      </w:r>
      <w:r w:rsidR="000C4F37" w:rsidRPr="000C4F37">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5D0848">
        <w:rPr>
          <w:rFonts w:ascii="Times New Roman" w:hAnsi="Times New Roman" w:cs="Times New Roman"/>
          <w:sz w:val="28"/>
          <w:szCs w:val="28"/>
          <w:lang w:val="uk-UA"/>
        </w:rPr>
        <w:t xml:space="preserve">а даними </w:t>
      </w:r>
      <w:r w:rsidR="000C4F37">
        <w:rPr>
          <w:rFonts w:ascii="Times New Roman" w:hAnsi="Times New Roman" w:cs="Times New Roman"/>
          <w:sz w:val="28"/>
          <w:szCs w:val="28"/>
          <w:lang w:val="uk-UA"/>
        </w:rPr>
        <w:t xml:space="preserve">інших </w:t>
      </w:r>
      <w:r w:rsidR="005D0848">
        <w:rPr>
          <w:rFonts w:ascii="Times New Roman" w:hAnsi="Times New Roman" w:cs="Times New Roman"/>
          <w:sz w:val="28"/>
          <w:szCs w:val="28"/>
          <w:lang w:val="uk-UA"/>
        </w:rPr>
        <w:t>науковців</w:t>
      </w:r>
      <w:r w:rsidR="00113A8F">
        <w:rPr>
          <w:rFonts w:ascii="Times New Roman" w:hAnsi="Times New Roman" w:cs="Times New Roman"/>
          <w:sz w:val="28"/>
          <w:szCs w:val="28"/>
          <w:lang w:val="uk-UA"/>
        </w:rPr>
        <w:t>,</w:t>
      </w:r>
      <w:r w:rsidR="00A5467B" w:rsidRPr="002A524D">
        <w:rPr>
          <w:rFonts w:ascii="Times New Roman" w:hAnsi="Times New Roman" w:cs="Times New Roman"/>
          <w:sz w:val="28"/>
          <w:szCs w:val="28"/>
          <w:lang w:val="uk-UA"/>
        </w:rPr>
        <w:t xml:space="preserve"> </w:t>
      </w:r>
      <w:r w:rsidR="00551BEB" w:rsidRPr="002A524D">
        <w:rPr>
          <w:rFonts w:ascii="Times New Roman" w:hAnsi="Times New Roman" w:cs="Times New Roman"/>
          <w:sz w:val="28"/>
          <w:szCs w:val="28"/>
          <w:lang w:val="uk-UA"/>
        </w:rPr>
        <w:t>вираже</w:t>
      </w:r>
      <w:r w:rsidR="00596FC1">
        <w:rPr>
          <w:rFonts w:ascii="Times New Roman" w:hAnsi="Times New Roman" w:cs="Times New Roman"/>
          <w:sz w:val="28"/>
          <w:szCs w:val="28"/>
          <w:lang w:val="uk-UA"/>
        </w:rPr>
        <w:t>н</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сть урикем</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ї не в</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дпов</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дає ступеню зб</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льшення </w:t>
      </w:r>
      <w:r w:rsidR="00596FC1">
        <w:rPr>
          <w:rFonts w:ascii="Times New Roman" w:hAnsi="Times New Roman" w:cs="Times New Roman"/>
          <w:sz w:val="28"/>
          <w:szCs w:val="28"/>
          <w:lang w:val="en-US"/>
        </w:rPr>
        <w:t>I</w:t>
      </w:r>
      <w:r w:rsidR="003D1535" w:rsidRPr="002A524D">
        <w:rPr>
          <w:rFonts w:ascii="Times New Roman" w:hAnsi="Times New Roman" w:cs="Times New Roman"/>
          <w:sz w:val="28"/>
          <w:szCs w:val="28"/>
          <w:lang w:val="uk-UA"/>
        </w:rPr>
        <w:t>ММЛШ [</w:t>
      </w:r>
      <w:r w:rsidR="002E7A76" w:rsidRPr="004900D9">
        <w:rPr>
          <w:rFonts w:ascii="Times New Roman" w:hAnsi="Times New Roman" w:cs="Times New Roman"/>
          <w:sz w:val="28"/>
          <w:szCs w:val="28"/>
          <w:lang w:val="uk-UA"/>
        </w:rPr>
        <w:t>186</w:t>
      </w:r>
      <w:r w:rsidR="00551BEB" w:rsidRPr="004900D9">
        <w:rPr>
          <w:rFonts w:ascii="Times New Roman" w:hAnsi="Times New Roman" w:cs="Times New Roman"/>
          <w:sz w:val="28"/>
          <w:szCs w:val="28"/>
          <w:lang w:val="uk-UA"/>
        </w:rPr>
        <w:t>].</w:t>
      </w:r>
      <w:r>
        <w:rPr>
          <w:rFonts w:ascii="Arial" w:hAnsi="Arial" w:cs="Arial"/>
          <w:color w:val="222222"/>
          <w:sz w:val="20"/>
          <w:szCs w:val="20"/>
          <w:lang w:val="uk-UA"/>
        </w:rPr>
        <w:t xml:space="preserve"> </w:t>
      </w:r>
      <w:r>
        <w:rPr>
          <w:rFonts w:ascii="Times New Roman" w:hAnsi="Times New Roman" w:cs="Times New Roman"/>
          <w:sz w:val="28"/>
          <w:szCs w:val="28"/>
          <w:lang w:val="uk-UA"/>
        </w:rPr>
        <w:t>П</w:t>
      </w:r>
      <w:r w:rsidR="00596FC1">
        <w:rPr>
          <w:rFonts w:ascii="Times New Roman" w:hAnsi="Times New Roman" w:cs="Times New Roman"/>
          <w:sz w:val="28"/>
          <w:szCs w:val="28"/>
          <w:lang w:val="uk-UA"/>
        </w:rPr>
        <w:t>ряму асоц</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ац</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ю м</w:t>
      </w:r>
      <w:r w:rsidR="00596FC1">
        <w:rPr>
          <w:rFonts w:ascii="Times New Roman" w:hAnsi="Times New Roman" w:cs="Times New Roman"/>
          <w:sz w:val="28"/>
          <w:szCs w:val="28"/>
          <w:lang w:val="en-US"/>
        </w:rPr>
        <w:t>i</w:t>
      </w:r>
      <w:r w:rsidR="00551BEB" w:rsidRPr="002A524D">
        <w:rPr>
          <w:rFonts w:ascii="Times New Roman" w:hAnsi="Times New Roman" w:cs="Times New Roman"/>
          <w:sz w:val="28"/>
          <w:szCs w:val="28"/>
          <w:lang w:val="uk-UA"/>
        </w:rPr>
        <w:t xml:space="preserve">ж сироватковим </w:t>
      </w:r>
      <w:r w:rsidR="00596FC1">
        <w:rPr>
          <w:rFonts w:ascii="Times New Roman" w:hAnsi="Times New Roman" w:cs="Times New Roman"/>
          <w:sz w:val="28"/>
          <w:szCs w:val="28"/>
          <w:lang w:val="uk-UA"/>
        </w:rPr>
        <w:t>вм</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стом сечової кислоти та </w:t>
      </w:r>
      <w:r w:rsidR="005A3A16">
        <w:rPr>
          <w:rFonts w:ascii="Times New Roman" w:hAnsi="Times New Roman" w:cs="Times New Roman"/>
          <w:sz w:val="28"/>
          <w:szCs w:val="28"/>
          <w:lang w:val="en-US"/>
        </w:rPr>
        <w:t>I</w:t>
      </w:r>
      <w:r w:rsidR="00551BEB" w:rsidRPr="002A524D">
        <w:rPr>
          <w:rFonts w:ascii="Times New Roman" w:hAnsi="Times New Roman" w:cs="Times New Roman"/>
          <w:sz w:val="28"/>
          <w:szCs w:val="28"/>
          <w:lang w:val="uk-UA"/>
        </w:rPr>
        <w:t>ММЛШ (</w:t>
      </w:r>
      <w:r w:rsidR="00551BEB" w:rsidRPr="002A524D">
        <w:rPr>
          <w:rFonts w:ascii="Times New Roman" w:hAnsi="Times New Roman" w:cs="Times New Roman"/>
          <w:sz w:val="28"/>
          <w:szCs w:val="28"/>
        </w:rPr>
        <w:t>ρ</w:t>
      </w:r>
      <w:r w:rsidR="00551BEB" w:rsidRPr="002A524D">
        <w:rPr>
          <w:rFonts w:ascii="Times New Roman" w:hAnsi="Times New Roman" w:cs="Times New Roman"/>
          <w:sz w:val="28"/>
          <w:szCs w:val="28"/>
          <w:lang w:val="uk-UA"/>
        </w:rPr>
        <w:t xml:space="preserve"> = 0,41; р &lt; 0,001) </w:t>
      </w:r>
      <w:r w:rsidRPr="00E71F25">
        <w:rPr>
          <w:rFonts w:ascii="Times New Roman" w:hAnsi="Times New Roman" w:cs="Times New Roman"/>
          <w:sz w:val="28"/>
          <w:szCs w:val="28"/>
          <w:lang w:val="uk-UA"/>
        </w:rPr>
        <w:t>у пацієнтів із АГ</w:t>
      </w:r>
      <w:r>
        <w:rPr>
          <w:rFonts w:ascii="Times New Roman" w:hAnsi="Times New Roman" w:cs="Times New Roman"/>
          <w:sz w:val="28"/>
          <w:szCs w:val="28"/>
          <w:lang w:val="uk-UA"/>
        </w:rPr>
        <w:t xml:space="preserve"> констатовано українськими дослідниками</w:t>
      </w:r>
      <w:r w:rsidRPr="00E71F25">
        <w:rPr>
          <w:rFonts w:ascii="Times New Roman" w:hAnsi="Times New Roman" w:cs="Times New Roman"/>
          <w:sz w:val="28"/>
          <w:szCs w:val="28"/>
          <w:lang w:val="uk-UA"/>
        </w:rPr>
        <w:t xml:space="preserve"> </w:t>
      </w:r>
      <w:r w:rsidR="00551BEB" w:rsidRPr="002A524D">
        <w:rPr>
          <w:rFonts w:ascii="Times New Roman" w:hAnsi="Times New Roman" w:cs="Times New Roman"/>
          <w:sz w:val="28"/>
          <w:szCs w:val="28"/>
          <w:lang w:val="uk-UA"/>
        </w:rPr>
        <w:t>[</w:t>
      </w:r>
      <w:r w:rsidR="00D0196D" w:rsidRPr="004900D9">
        <w:rPr>
          <w:rFonts w:ascii="Times New Roman" w:hAnsi="Times New Roman" w:cs="Times New Roman"/>
          <w:sz w:val="28"/>
          <w:szCs w:val="28"/>
          <w:lang w:val="uk-UA"/>
        </w:rPr>
        <w:t>196</w:t>
      </w:r>
      <w:r w:rsidR="00551BEB" w:rsidRPr="004900D9">
        <w:rPr>
          <w:rFonts w:ascii="Times New Roman" w:hAnsi="Times New Roman" w:cs="Times New Roman"/>
          <w:sz w:val="28"/>
          <w:szCs w:val="28"/>
          <w:lang w:val="uk-UA"/>
        </w:rPr>
        <w:t>].</w:t>
      </w:r>
      <w:r w:rsidR="003D1535" w:rsidRPr="002A524D">
        <w:rPr>
          <w:rFonts w:ascii="Times New Roman" w:hAnsi="Times New Roman" w:cs="Times New Roman"/>
          <w:sz w:val="28"/>
          <w:szCs w:val="28"/>
          <w:lang w:val="uk-UA"/>
        </w:rPr>
        <w:t xml:space="preserve"> </w:t>
      </w:r>
    </w:p>
    <w:p w:rsidR="00551BEB" w:rsidRDefault="00913E7E" w:rsidP="00D43478">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установлено</w:t>
      </w:r>
      <w:r w:rsidR="0009455C">
        <w:rPr>
          <w:rFonts w:ascii="Times New Roman" w:hAnsi="Times New Roman" w:cs="Times New Roman"/>
          <w:sz w:val="28"/>
          <w:szCs w:val="28"/>
          <w:lang w:val="uk-UA"/>
        </w:rPr>
        <w:t xml:space="preserve">, що із збільшенням вмісту </w:t>
      </w:r>
      <w:r w:rsidR="00596FC1">
        <w:rPr>
          <w:rFonts w:ascii="Times New Roman" w:hAnsi="Times New Roman" w:cs="Times New Roman"/>
          <w:sz w:val="28"/>
          <w:szCs w:val="28"/>
          <w:lang w:val="uk-UA"/>
        </w:rPr>
        <w:t>сечової кислоти сироватки кров</w:t>
      </w:r>
      <w:r w:rsidR="005A3A16">
        <w:rPr>
          <w:rFonts w:ascii="Times New Roman" w:hAnsi="Times New Roman" w:cs="Times New Roman"/>
          <w:sz w:val="28"/>
          <w:szCs w:val="28"/>
          <w:lang w:val="en-US"/>
        </w:rPr>
        <w:t>i</w:t>
      </w:r>
      <w:r w:rsidR="0009455C">
        <w:rPr>
          <w:rFonts w:ascii="Times New Roman" w:hAnsi="Times New Roman" w:cs="Times New Roman"/>
          <w:sz w:val="28"/>
          <w:szCs w:val="28"/>
          <w:lang w:val="uk-UA"/>
        </w:rPr>
        <w:t xml:space="preserve"> зростав </w:t>
      </w:r>
      <w:r w:rsidR="005A3A16">
        <w:rPr>
          <w:rFonts w:ascii="Times New Roman" w:hAnsi="Times New Roman" w:cs="Times New Roman"/>
          <w:sz w:val="28"/>
          <w:szCs w:val="28"/>
          <w:lang w:val="en-US"/>
        </w:rPr>
        <w:t>I</w:t>
      </w:r>
      <w:r>
        <w:rPr>
          <w:rFonts w:ascii="Times New Roman" w:hAnsi="Times New Roman" w:cs="Times New Roman"/>
          <w:sz w:val="28"/>
          <w:szCs w:val="28"/>
          <w:lang w:val="uk-UA"/>
        </w:rPr>
        <w:t>М</w:t>
      </w:r>
      <w:r w:rsidR="0009455C">
        <w:rPr>
          <w:rFonts w:ascii="Times New Roman" w:hAnsi="Times New Roman" w:cs="Times New Roman"/>
          <w:sz w:val="28"/>
          <w:szCs w:val="28"/>
          <w:lang w:val="uk-UA"/>
        </w:rPr>
        <w:t>МЛШ (r = 0,27; р = 0,0075) у пацієнтів</w:t>
      </w:r>
      <w:r>
        <w:rPr>
          <w:rFonts w:ascii="Times New Roman" w:hAnsi="Times New Roman" w:cs="Times New Roman"/>
          <w:sz w:val="28"/>
          <w:szCs w:val="28"/>
          <w:lang w:val="uk-UA"/>
        </w:rPr>
        <w:t xml:space="preserve"> не лише</w:t>
      </w:r>
      <w:r w:rsidRPr="00913E7E">
        <w:rPr>
          <w:rFonts w:ascii="Times New Roman" w:hAnsi="Times New Roman" w:cs="Times New Roman"/>
          <w:sz w:val="28"/>
          <w:szCs w:val="28"/>
          <w:lang w:val="uk-UA"/>
        </w:rPr>
        <w:t xml:space="preserve"> </w:t>
      </w:r>
      <w:r w:rsidR="002810B2">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 xml:space="preserve">з АГ, а й </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з супутн</w:t>
      </w:r>
      <w:r w:rsidR="005A3A16">
        <w:rPr>
          <w:rFonts w:ascii="Times New Roman" w:hAnsi="Times New Roman" w:cs="Times New Roman"/>
          <w:sz w:val="28"/>
          <w:szCs w:val="28"/>
          <w:lang w:val="en-US"/>
        </w:rPr>
        <w:t>i</w:t>
      </w:r>
      <w:r>
        <w:rPr>
          <w:rFonts w:ascii="Times New Roman" w:hAnsi="Times New Roman" w:cs="Times New Roman"/>
          <w:sz w:val="28"/>
          <w:szCs w:val="28"/>
          <w:lang w:val="uk-UA"/>
        </w:rPr>
        <w:t>м ЦД 2-го типу</w:t>
      </w:r>
      <w:r w:rsidR="00FB2458">
        <w:rPr>
          <w:rFonts w:ascii="Times New Roman" w:hAnsi="Times New Roman" w:cs="Times New Roman"/>
          <w:sz w:val="28"/>
          <w:szCs w:val="28"/>
          <w:lang w:val="uk-UA"/>
        </w:rPr>
        <w:t xml:space="preserve"> [</w:t>
      </w:r>
      <w:r w:rsidR="00D0196D" w:rsidRPr="004900D9">
        <w:rPr>
          <w:rFonts w:ascii="Times New Roman" w:hAnsi="Times New Roman" w:cs="Times New Roman"/>
          <w:sz w:val="28"/>
          <w:szCs w:val="28"/>
          <w:lang w:val="uk-UA"/>
        </w:rPr>
        <w:t>197</w:t>
      </w:r>
      <w:r w:rsidR="00FB2458" w:rsidRPr="004900D9">
        <w:rPr>
          <w:rFonts w:ascii="Times New Roman" w:hAnsi="Times New Roman" w:cs="Times New Roman"/>
          <w:sz w:val="28"/>
          <w:szCs w:val="28"/>
          <w:lang w:val="uk-UA"/>
        </w:rPr>
        <w:t>]</w:t>
      </w:r>
      <w:r w:rsidRPr="004900D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43478" w:rsidRDefault="0009455C" w:rsidP="00570483">
      <w:pPr>
        <w:tabs>
          <w:tab w:val="left" w:pos="6667"/>
        </w:tabs>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пацієнтів</w:t>
      </w:r>
      <w:r w:rsidR="00596FC1">
        <w:rPr>
          <w:rFonts w:ascii="Times New Roman" w:hAnsi="Times New Roman" w:cs="Times New Roman"/>
          <w:sz w:val="28"/>
          <w:szCs w:val="28"/>
          <w:lang w:val="uk-UA"/>
        </w:rPr>
        <w:t xml:space="preserve"> І групи вм</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ст ФНП-α був у 6 разів б</w:t>
      </w:r>
      <w:r w:rsidR="005A3A16">
        <w:rPr>
          <w:rFonts w:ascii="Times New Roman" w:hAnsi="Times New Roman" w:cs="Times New Roman"/>
          <w:sz w:val="28"/>
          <w:szCs w:val="28"/>
          <w:lang w:val="en-US"/>
        </w:rPr>
        <w:t>i</w:t>
      </w:r>
      <w:r w:rsidR="00D43478" w:rsidRPr="00D43478">
        <w:rPr>
          <w:rFonts w:ascii="Times New Roman" w:hAnsi="Times New Roman" w:cs="Times New Roman"/>
          <w:sz w:val="28"/>
          <w:szCs w:val="28"/>
          <w:lang w:val="uk-UA"/>
        </w:rPr>
        <w:t xml:space="preserve">льшим (р &lt; 0,0001), </w:t>
      </w:r>
      <w:r w:rsidR="002810B2">
        <w:rPr>
          <w:rFonts w:ascii="Times New Roman" w:hAnsi="Times New Roman" w:cs="Times New Roman"/>
          <w:sz w:val="28"/>
          <w:szCs w:val="28"/>
          <w:lang w:val="uk-UA"/>
        </w:rPr>
        <w:t xml:space="preserve">     </w:t>
      </w:r>
      <w:r w:rsidR="00D43478" w:rsidRPr="00D43478">
        <w:rPr>
          <w:rFonts w:ascii="Times New Roman" w:hAnsi="Times New Roman" w:cs="Times New Roman"/>
          <w:sz w:val="28"/>
          <w:szCs w:val="28"/>
          <w:lang w:val="uk-UA"/>
        </w:rPr>
        <w:t>ІІ</w:t>
      </w:r>
      <w:r w:rsidR="002810B2">
        <w:rPr>
          <w:rFonts w:ascii="Times New Roman" w:hAnsi="Times New Roman" w:cs="Times New Roman"/>
          <w:sz w:val="28"/>
          <w:szCs w:val="28"/>
          <w:lang w:val="uk-UA"/>
        </w:rPr>
        <w:t xml:space="preserve"> групи</w:t>
      </w:r>
      <w:r w:rsidR="00D43478" w:rsidRPr="00D43478">
        <w:rPr>
          <w:rFonts w:ascii="Times New Roman" w:hAnsi="Times New Roman" w:cs="Times New Roman"/>
          <w:sz w:val="28"/>
          <w:szCs w:val="28"/>
          <w:lang w:val="uk-UA"/>
        </w:rPr>
        <w:t xml:space="preserve"> – у 5 ра</w:t>
      </w:r>
      <w:r w:rsidR="00596FC1">
        <w:rPr>
          <w:rFonts w:ascii="Times New Roman" w:hAnsi="Times New Roman" w:cs="Times New Roman"/>
          <w:sz w:val="28"/>
          <w:szCs w:val="28"/>
          <w:lang w:val="uk-UA"/>
        </w:rPr>
        <w:t>з</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в б</w:t>
      </w:r>
      <w:r w:rsidR="005A3A16">
        <w:rPr>
          <w:rFonts w:ascii="Times New Roman" w:hAnsi="Times New Roman" w:cs="Times New Roman"/>
          <w:sz w:val="28"/>
          <w:szCs w:val="28"/>
          <w:lang w:val="en-US"/>
        </w:rPr>
        <w:t>i</w:t>
      </w:r>
      <w:r w:rsidR="00570483">
        <w:rPr>
          <w:rFonts w:ascii="Times New Roman" w:hAnsi="Times New Roman" w:cs="Times New Roman"/>
          <w:sz w:val="28"/>
          <w:szCs w:val="28"/>
          <w:lang w:val="uk-UA"/>
        </w:rPr>
        <w:t xml:space="preserve">льшим (р &lt; 0,0001), </w:t>
      </w:r>
      <w:r w:rsidR="00596FC1">
        <w:rPr>
          <w:rFonts w:ascii="Times New Roman" w:hAnsi="Times New Roman" w:cs="Times New Roman"/>
          <w:sz w:val="28"/>
          <w:szCs w:val="28"/>
          <w:lang w:val="uk-UA"/>
        </w:rPr>
        <w:t>н</w:t>
      </w:r>
      <w:r w:rsidR="005A3A16">
        <w:rPr>
          <w:rFonts w:ascii="Times New Roman" w:hAnsi="Times New Roman" w:cs="Times New Roman"/>
          <w:sz w:val="28"/>
          <w:szCs w:val="28"/>
          <w:lang w:val="en-US"/>
        </w:rPr>
        <w:t>i</w:t>
      </w:r>
      <w:r w:rsidR="00113A8F">
        <w:rPr>
          <w:rFonts w:ascii="Times New Roman" w:hAnsi="Times New Roman" w:cs="Times New Roman"/>
          <w:sz w:val="28"/>
          <w:szCs w:val="28"/>
          <w:lang w:val="uk-UA"/>
        </w:rPr>
        <w:t>ж в</w:t>
      </w:r>
      <w:r w:rsidR="00D43478" w:rsidRPr="00D43478">
        <w:rPr>
          <w:rFonts w:ascii="Times New Roman" w:hAnsi="Times New Roman" w:cs="Times New Roman"/>
          <w:sz w:val="28"/>
          <w:szCs w:val="28"/>
          <w:lang w:val="uk-UA"/>
        </w:rPr>
        <w:t xml:space="preserve"> умовно</w:t>
      </w:r>
      <w:r w:rsidR="00596FC1">
        <w:rPr>
          <w:rFonts w:ascii="Times New Roman" w:hAnsi="Times New Roman" w:cs="Times New Roman"/>
          <w:sz w:val="28"/>
          <w:szCs w:val="28"/>
          <w:lang w:val="uk-UA"/>
        </w:rPr>
        <w:t xml:space="preserve"> здорових ос</w:t>
      </w:r>
      <w:r w:rsidR="005A3A16">
        <w:rPr>
          <w:rFonts w:ascii="Times New Roman" w:hAnsi="Times New Roman" w:cs="Times New Roman"/>
          <w:sz w:val="28"/>
          <w:szCs w:val="28"/>
          <w:lang w:val="en-US"/>
        </w:rPr>
        <w:t>i</w:t>
      </w:r>
      <w:r w:rsidR="00570483">
        <w:rPr>
          <w:rFonts w:ascii="Times New Roman" w:hAnsi="Times New Roman" w:cs="Times New Roman"/>
          <w:sz w:val="28"/>
          <w:szCs w:val="28"/>
          <w:lang w:val="uk-UA"/>
        </w:rPr>
        <w:t xml:space="preserve">б.                      </w:t>
      </w:r>
      <w:r w:rsidR="00596FC1">
        <w:rPr>
          <w:rFonts w:ascii="Times New Roman" w:hAnsi="Times New Roman" w:cs="Times New Roman"/>
          <w:sz w:val="28"/>
          <w:szCs w:val="28"/>
          <w:lang w:val="uk-UA"/>
        </w:rPr>
        <w:t>За результатами</w:t>
      </w:r>
      <w:r>
        <w:rPr>
          <w:rFonts w:ascii="Times New Roman" w:hAnsi="Times New Roman" w:cs="Times New Roman"/>
          <w:sz w:val="28"/>
          <w:szCs w:val="28"/>
          <w:lang w:val="uk-UA"/>
        </w:rPr>
        <w:t xml:space="preserve"> науковців</w:t>
      </w:r>
      <w:r w:rsidR="00596FC1">
        <w:rPr>
          <w:rFonts w:ascii="Times New Roman" w:hAnsi="Times New Roman" w:cs="Times New Roman"/>
          <w:sz w:val="28"/>
          <w:szCs w:val="28"/>
          <w:lang w:val="uk-UA"/>
        </w:rPr>
        <w:t>, концентрац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я досл</w:t>
      </w:r>
      <w:r w:rsidR="005A3A16">
        <w:rPr>
          <w:rFonts w:ascii="Times New Roman" w:hAnsi="Times New Roman" w:cs="Times New Roman"/>
          <w:sz w:val="28"/>
          <w:szCs w:val="28"/>
          <w:lang w:val="en-US"/>
        </w:rPr>
        <w:t>i</w:t>
      </w:r>
      <w:r w:rsidR="00D43478" w:rsidRPr="00D43478">
        <w:rPr>
          <w:rFonts w:ascii="Times New Roman" w:hAnsi="Times New Roman" w:cs="Times New Roman"/>
          <w:sz w:val="28"/>
          <w:szCs w:val="28"/>
          <w:lang w:val="uk-UA"/>
        </w:rPr>
        <w:t>джуваног</w:t>
      </w:r>
      <w:r w:rsidR="00113A8F">
        <w:rPr>
          <w:rFonts w:ascii="Times New Roman" w:hAnsi="Times New Roman" w:cs="Times New Roman"/>
          <w:sz w:val="28"/>
          <w:szCs w:val="28"/>
          <w:lang w:val="uk-UA"/>
        </w:rPr>
        <w:t>о цит</w:t>
      </w:r>
      <w:r w:rsidR="00596FC1">
        <w:rPr>
          <w:rFonts w:ascii="Times New Roman" w:hAnsi="Times New Roman" w:cs="Times New Roman"/>
          <w:sz w:val="28"/>
          <w:szCs w:val="28"/>
          <w:lang w:val="uk-UA"/>
        </w:rPr>
        <w:t>ок</w:t>
      </w:r>
      <w:r w:rsidR="005A3A16">
        <w:rPr>
          <w:rFonts w:ascii="Times New Roman" w:hAnsi="Times New Roman" w:cs="Times New Roman"/>
          <w:sz w:val="28"/>
          <w:szCs w:val="28"/>
          <w:lang w:val="en-US"/>
        </w:rPr>
        <w:t>i</w:t>
      </w:r>
      <w:r w:rsidR="00113A8F">
        <w:rPr>
          <w:rFonts w:ascii="Times New Roman" w:hAnsi="Times New Roman" w:cs="Times New Roman"/>
          <w:sz w:val="28"/>
          <w:szCs w:val="28"/>
          <w:lang w:val="uk-UA"/>
        </w:rPr>
        <w:t>ну в</w:t>
      </w:r>
      <w:r w:rsidR="00596FC1">
        <w:rPr>
          <w:rFonts w:ascii="Times New Roman" w:hAnsi="Times New Roman" w:cs="Times New Roman"/>
          <w:sz w:val="28"/>
          <w:szCs w:val="28"/>
          <w:lang w:val="uk-UA"/>
        </w:rPr>
        <w:t xml:space="preserve"> кров</w:t>
      </w:r>
      <w:r w:rsidR="005A3A16">
        <w:rPr>
          <w:rFonts w:ascii="Times New Roman" w:hAnsi="Times New Roman" w:cs="Times New Roman"/>
          <w:sz w:val="28"/>
          <w:szCs w:val="28"/>
          <w:lang w:val="en-US"/>
        </w:rPr>
        <w:t>i</w:t>
      </w:r>
      <w:r>
        <w:rPr>
          <w:rFonts w:ascii="Times New Roman" w:hAnsi="Times New Roman" w:cs="Times New Roman"/>
          <w:sz w:val="28"/>
          <w:szCs w:val="28"/>
          <w:lang w:val="uk-UA"/>
        </w:rPr>
        <w:t xml:space="preserve"> хворих</w:t>
      </w:r>
      <w:r w:rsidR="00596FC1">
        <w:rPr>
          <w:rFonts w:ascii="Times New Roman" w:hAnsi="Times New Roman" w:cs="Times New Roman"/>
          <w:sz w:val="28"/>
          <w:szCs w:val="28"/>
          <w:lang w:val="uk-UA"/>
        </w:rPr>
        <w:t xml:space="preserve"> </w:t>
      </w:r>
      <w:r>
        <w:rPr>
          <w:rFonts w:ascii="Times New Roman" w:hAnsi="Times New Roman" w:cs="Times New Roman"/>
          <w:sz w:val="28"/>
          <w:szCs w:val="28"/>
          <w:lang w:val="uk-UA"/>
        </w:rPr>
        <w:t>на</w:t>
      </w:r>
      <w:r w:rsidR="00596FC1">
        <w:rPr>
          <w:rFonts w:ascii="Times New Roman" w:hAnsi="Times New Roman" w:cs="Times New Roman"/>
          <w:sz w:val="28"/>
          <w:szCs w:val="28"/>
          <w:lang w:val="uk-UA"/>
        </w:rPr>
        <w:t xml:space="preserve"> ЦД в</w:t>
      </w:r>
      <w:r w:rsidR="005A3A16">
        <w:rPr>
          <w:rFonts w:ascii="Times New Roman" w:hAnsi="Times New Roman" w:cs="Times New Roman"/>
          <w:sz w:val="28"/>
          <w:szCs w:val="28"/>
          <w:lang w:val="en-US"/>
        </w:rPr>
        <w:t>i</w:t>
      </w:r>
      <w:r w:rsidR="00D43478" w:rsidRPr="00D43478">
        <w:rPr>
          <w:rFonts w:ascii="Times New Roman" w:hAnsi="Times New Roman" w:cs="Times New Roman"/>
          <w:sz w:val="28"/>
          <w:szCs w:val="28"/>
          <w:lang w:val="uk-UA"/>
        </w:rPr>
        <w:t>ком (40,2</w:t>
      </w:r>
      <w:r w:rsidR="00113A8F">
        <w:rPr>
          <w:rFonts w:ascii="Times New Roman" w:hAnsi="Times New Roman" w:cs="Times New Roman"/>
          <w:sz w:val="28"/>
          <w:szCs w:val="28"/>
          <w:lang w:val="uk-UA"/>
        </w:rPr>
        <w:t xml:space="preserve"> </w:t>
      </w:r>
      <w:r w:rsidR="00D43478" w:rsidRPr="00D43478">
        <w:rPr>
          <w:rFonts w:ascii="Times New Roman" w:hAnsi="Times New Roman" w:cs="Times New Roman"/>
          <w:sz w:val="28"/>
          <w:szCs w:val="28"/>
          <w:lang w:val="uk-UA"/>
        </w:rPr>
        <w:t>±</w:t>
      </w:r>
      <w:r w:rsidR="00113A8F">
        <w:rPr>
          <w:rFonts w:ascii="Times New Roman" w:hAnsi="Times New Roman" w:cs="Times New Roman"/>
          <w:sz w:val="28"/>
          <w:szCs w:val="28"/>
          <w:lang w:val="uk-UA"/>
        </w:rPr>
        <w:t xml:space="preserve"> 1,23) року була у 3,8 раза</w:t>
      </w:r>
      <w:r w:rsidR="00596FC1">
        <w:rPr>
          <w:rFonts w:ascii="Times New Roman" w:hAnsi="Times New Roman" w:cs="Times New Roman"/>
          <w:sz w:val="28"/>
          <w:szCs w:val="28"/>
          <w:lang w:val="uk-UA"/>
        </w:rPr>
        <w:t xml:space="preserve"> б</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льшою, н</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ж </w:t>
      </w:r>
      <w:r w:rsidR="00570483">
        <w:rPr>
          <w:rFonts w:ascii="Times New Roman" w:hAnsi="Times New Roman" w:cs="Times New Roman"/>
          <w:sz w:val="28"/>
          <w:szCs w:val="28"/>
          <w:lang w:val="uk-UA"/>
        </w:rPr>
        <w:t xml:space="preserve">                 у здорових </w:t>
      </w:r>
      <w:r w:rsidR="00596FC1">
        <w:rPr>
          <w:rFonts w:ascii="Times New Roman" w:hAnsi="Times New Roman" w:cs="Times New Roman"/>
          <w:sz w:val="28"/>
          <w:szCs w:val="28"/>
          <w:lang w:val="uk-UA"/>
        </w:rPr>
        <w:t>ос</w:t>
      </w:r>
      <w:r w:rsidR="005A3A16">
        <w:rPr>
          <w:rFonts w:ascii="Times New Roman" w:hAnsi="Times New Roman" w:cs="Times New Roman"/>
          <w:sz w:val="28"/>
          <w:szCs w:val="28"/>
          <w:lang w:val="en-US"/>
        </w:rPr>
        <w:t>i</w:t>
      </w:r>
      <w:r w:rsidR="00570483">
        <w:rPr>
          <w:rFonts w:ascii="Times New Roman" w:hAnsi="Times New Roman" w:cs="Times New Roman"/>
          <w:sz w:val="28"/>
          <w:szCs w:val="28"/>
          <w:lang w:val="uk-UA"/>
        </w:rPr>
        <w:t xml:space="preserve">б </w:t>
      </w:r>
      <w:r w:rsidR="00D43478" w:rsidRPr="00D43478">
        <w:rPr>
          <w:rFonts w:ascii="Times New Roman" w:hAnsi="Times New Roman" w:cs="Times New Roman"/>
          <w:sz w:val="28"/>
          <w:szCs w:val="28"/>
          <w:lang w:val="uk-UA"/>
        </w:rPr>
        <w:t>[</w:t>
      </w:r>
      <w:r w:rsidR="002E7A76" w:rsidRPr="004900D9">
        <w:rPr>
          <w:rFonts w:ascii="Times New Roman" w:hAnsi="Times New Roman" w:cs="Times New Roman"/>
          <w:sz w:val="28"/>
          <w:szCs w:val="28"/>
        </w:rPr>
        <w:t>168</w:t>
      </w:r>
      <w:r w:rsidR="00D43478" w:rsidRPr="004900D9">
        <w:rPr>
          <w:rFonts w:ascii="Times New Roman" w:hAnsi="Times New Roman" w:cs="Times New Roman"/>
          <w:sz w:val="28"/>
          <w:szCs w:val="28"/>
          <w:lang w:val="uk-UA"/>
        </w:rPr>
        <w:t>]</w:t>
      </w:r>
      <w:r w:rsidR="00D43478" w:rsidRPr="00D43478">
        <w:rPr>
          <w:rFonts w:ascii="Times New Roman" w:hAnsi="Times New Roman" w:cs="Times New Roman"/>
          <w:sz w:val="28"/>
          <w:szCs w:val="28"/>
          <w:lang w:val="uk-UA"/>
        </w:rPr>
        <w:t>.</w:t>
      </w:r>
      <w:r w:rsidR="00D43478" w:rsidRPr="00D43478">
        <w:t xml:space="preserve"> </w:t>
      </w:r>
      <w:r>
        <w:rPr>
          <w:rFonts w:ascii="Times New Roman" w:hAnsi="Times New Roman" w:cs="Times New Roman"/>
          <w:sz w:val="28"/>
          <w:szCs w:val="28"/>
          <w:lang w:val="uk-UA"/>
        </w:rPr>
        <w:t xml:space="preserve">Дослідниками виявлене </w:t>
      </w:r>
      <w:r w:rsidR="00596FC1">
        <w:rPr>
          <w:rFonts w:ascii="Times New Roman" w:hAnsi="Times New Roman" w:cs="Times New Roman"/>
          <w:sz w:val="28"/>
          <w:szCs w:val="28"/>
          <w:lang w:val="uk-UA"/>
        </w:rPr>
        <w:t>п</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двищення </w:t>
      </w:r>
      <w:r w:rsidR="00570483">
        <w:rPr>
          <w:rFonts w:ascii="Times New Roman" w:hAnsi="Times New Roman" w:cs="Times New Roman"/>
          <w:sz w:val="28"/>
          <w:szCs w:val="28"/>
          <w:lang w:val="uk-UA"/>
        </w:rPr>
        <w:t xml:space="preserve">вмісту </w:t>
      </w:r>
      <w:r w:rsidR="00596FC1">
        <w:rPr>
          <w:rFonts w:ascii="Times New Roman" w:hAnsi="Times New Roman" w:cs="Times New Roman"/>
          <w:sz w:val="28"/>
          <w:szCs w:val="28"/>
          <w:lang w:val="uk-UA"/>
        </w:rPr>
        <w:t>адипоциток</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н</w:t>
      </w:r>
      <w:r w:rsidR="005A3A16">
        <w:rPr>
          <w:rFonts w:ascii="Times New Roman" w:hAnsi="Times New Roman" w:cs="Times New Roman"/>
          <w:sz w:val="28"/>
          <w:szCs w:val="28"/>
          <w:lang w:val="en-US"/>
        </w:rPr>
        <w:t>i</w:t>
      </w:r>
      <w:r w:rsidR="00113A8F">
        <w:rPr>
          <w:rFonts w:ascii="Times New Roman" w:hAnsi="Times New Roman" w:cs="Times New Roman"/>
          <w:sz w:val="28"/>
          <w:szCs w:val="28"/>
          <w:lang w:val="uk-UA"/>
        </w:rPr>
        <w:t>в, зокрема</w:t>
      </w:r>
      <w:r w:rsidR="00D43478" w:rsidRPr="00D43478">
        <w:rPr>
          <w:rFonts w:ascii="Times New Roman" w:hAnsi="Times New Roman" w:cs="Times New Roman"/>
          <w:sz w:val="28"/>
          <w:szCs w:val="28"/>
          <w:lang w:val="uk-UA"/>
        </w:rPr>
        <w:t xml:space="preserve"> ФНП-α </w:t>
      </w:r>
      <w:r w:rsidR="00596FC1">
        <w:rPr>
          <w:rFonts w:ascii="Times New Roman" w:hAnsi="Times New Roman" w:cs="Times New Roman"/>
          <w:sz w:val="28"/>
          <w:szCs w:val="28"/>
          <w:lang w:val="uk-UA"/>
        </w:rPr>
        <w:t xml:space="preserve">при ЦД 2-го типу, що пов’язане </w:t>
      </w:r>
      <w:r w:rsidR="00FA6106">
        <w:rPr>
          <w:rFonts w:ascii="Times New Roman" w:hAnsi="Times New Roman" w:cs="Times New Roman"/>
          <w:sz w:val="28"/>
          <w:szCs w:val="28"/>
          <w:lang w:val="uk-UA"/>
        </w:rPr>
        <w:t xml:space="preserve">                     </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з спов</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льненням метабол</w:t>
      </w:r>
      <w:r w:rsidR="005A3A16">
        <w:rPr>
          <w:rFonts w:ascii="Times New Roman" w:hAnsi="Times New Roman" w:cs="Times New Roman"/>
          <w:sz w:val="28"/>
          <w:szCs w:val="28"/>
          <w:lang w:val="en-US"/>
        </w:rPr>
        <w:t>i</w:t>
      </w:r>
      <w:r w:rsidR="00D43478" w:rsidRPr="00D43478">
        <w:rPr>
          <w:rFonts w:ascii="Times New Roman" w:hAnsi="Times New Roman" w:cs="Times New Roman"/>
          <w:sz w:val="28"/>
          <w:szCs w:val="28"/>
          <w:lang w:val="uk-UA"/>
        </w:rPr>
        <w:t xml:space="preserve">зму </w:t>
      </w:r>
      <w:r w:rsidR="00570483">
        <w:rPr>
          <w:rFonts w:ascii="Times New Roman" w:hAnsi="Times New Roman" w:cs="Times New Roman"/>
          <w:sz w:val="28"/>
          <w:szCs w:val="28"/>
          <w:lang w:val="uk-UA"/>
        </w:rPr>
        <w:t xml:space="preserve">і </w:t>
      </w:r>
      <w:r w:rsidR="00D43478" w:rsidRPr="00D43478">
        <w:rPr>
          <w:rFonts w:ascii="Times New Roman" w:hAnsi="Times New Roman" w:cs="Times New Roman"/>
          <w:sz w:val="28"/>
          <w:szCs w:val="28"/>
          <w:lang w:val="uk-UA"/>
        </w:rPr>
        <w:t>сприя</w:t>
      </w:r>
      <w:r w:rsidR="00596FC1">
        <w:rPr>
          <w:rFonts w:ascii="Times New Roman" w:hAnsi="Times New Roman" w:cs="Times New Roman"/>
          <w:sz w:val="28"/>
          <w:szCs w:val="28"/>
          <w:lang w:val="uk-UA"/>
        </w:rPr>
        <w:t>є розвитку та поглибленню п</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зн</w:t>
      </w:r>
      <w:r w:rsidR="005A3A16">
        <w:rPr>
          <w:rFonts w:ascii="Times New Roman" w:hAnsi="Times New Roman" w:cs="Times New Roman"/>
          <w:sz w:val="28"/>
          <w:szCs w:val="28"/>
          <w:lang w:val="en-US"/>
        </w:rPr>
        <w:t>i</w:t>
      </w:r>
      <w:r w:rsidR="00D43478" w:rsidRPr="00D43478">
        <w:rPr>
          <w:rFonts w:ascii="Times New Roman" w:hAnsi="Times New Roman" w:cs="Times New Roman"/>
          <w:sz w:val="28"/>
          <w:szCs w:val="28"/>
          <w:lang w:val="uk-UA"/>
        </w:rPr>
        <w:t xml:space="preserve">х </w:t>
      </w:r>
      <w:r w:rsidR="00D43478" w:rsidRPr="00D43478">
        <w:rPr>
          <w:rFonts w:ascii="Times New Roman" w:hAnsi="Times New Roman" w:cs="Times New Roman"/>
          <w:sz w:val="28"/>
          <w:szCs w:val="28"/>
          <w:lang w:val="uk-UA"/>
        </w:rPr>
        <w:lastRenderedPageBreak/>
        <w:t>ускладнень [</w:t>
      </w:r>
      <w:r w:rsidR="00D0196D" w:rsidRPr="004900D9">
        <w:rPr>
          <w:rFonts w:ascii="Times New Roman" w:hAnsi="Times New Roman" w:cs="Times New Roman"/>
          <w:sz w:val="28"/>
          <w:szCs w:val="28"/>
        </w:rPr>
        <w:t>198</w:t>
      </w:r>
      <w:r w:rsidR="00D43478" w:rsidRPr="004900D9">
        <w:rPr>
          <w:rFonts w:ascii="Times New Roman" w:hAnsi="Times New Roman" w:cs="Times New Roman"/>
          <w:sz w:val="28"/>
          <w:szCs w:val="28"/>
          <w:lang w:val="uk-UA"/>
        </w:rPr>
        <w:t>]</w:t>
      </w:r>
      <w:r w:rsidR="00D43478" w:rsidRPr="00D43478">
        <w:rPr>
          <w:rFonts w:ascii="Times New Roman" w:hAnsi="Times New Roman" w:cs="Times New Roman"/>
          <w:sz w:val="28"/>
          <w:szCs w:val="28"/>
          <w:lang w:val="uk-UA"/>
        </w:rPr>
        <w:t>.</w:t>
      </w:r>
      <w:r w:rsidR="00596FC1">
        <w:rPr>
          <w:rFonts w:ascii="Times New Roman" w:hAnsi="Times New Roman" w:cs="Times New Roman"/>
          <w:sz w:val="28"/>
          <w:szCs w:val="28"/>
          <w:lang w:val="uk-UA"/>
        </w:rPr>
        <w:t xml:space="preserve"> Але ми констатували п</w:t>
      </w:r>
      <w:r w:rsidR="005A3A16">
        <w:rPr>
          <w:rFonts w:ascii="Times New Roman" w:hAnsi="Times New Roman" w:cs="Times New Roman"/>
          <w:sz w:val="28"/>
          <w:szCs w:val="28"/>
          <w:lang w:val="en-US"/>
        </w:rPr>
        <w:t>i</w:t>
      </w:r>
      <w:r w:rsidR="005A3A16">
        <w:rPr>
          <w:rFonts w:ascii="Times New Roman" w:hAnsi="Times New Roman" w:cs="Times New Roman"/>
          <w:sz w:val="28"/>
          <w:szCs w:val="28"/>
          <w:lang w:val="uk-UA"/>
        </w:rPr>
        <w:t>двищення вм</w:t>
      </w:r>
      <w:r w:rsidR="005A3A16">
        <w:rPr>
          <w:rFonts w:ascii="Times New Roman" w:hAnsi="Times New Roman" w:cs="Times New Roman"/>
          <w:sz w:val="28"/>
          <w:szCs w:val="28"/>
          <w:lang w:val="en-US"/>
        </w:rPr>
        <w:t>i</w:t>
      </w:r>
      <w:r w:rsidR="00242D24">
        <w:rPr>
          <w:rFonts w:ascii="Times New Roman" w:hAnsi="Times New Roman" w:cs="Times New Roman"/>
          <w:sz w:val="28"/>
          <w:szCs w:val="28"/>
          <w:lang w:val="uk-UA"/>
        </w:rPr>
        <w:t xml:space="preserve">сту </w:t>
      </w:r>
      <w:r w:rsidR="00242D24" w:rsidRPr="00D43478">
        <w:rPr>
          <w:rFonts w:ascii="Times New Roman" w:hAnsi="Times New Roman" w:cs="Times New Roman"/>
          <w:sz w:val="28"/>
          <w:szCs w:val="28"/>
          <w:lang w:val="uk-UA"/>
        </w:rPr>
        <w:t>ФНП-α</w:t>
      </w:r>
      <w:r w:rsidR="00596FC1">
        <w:rPr>
          <w:rFonts w:ascii="Times New Roman" w:hAnsi="Times New Roman" w:cs="Times New Roman"/>
          <w:sz w:val="28"/>
          <w:szCs w:val="28"/>
          <w:lang w:val="uk-UA"/>
        </w:rPr>
        <w:t xml:space="preserve"> саме </w:t>
      </w:r>
      <w:r w:rsidR="006E7E65">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при коморб</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дн</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й патолог</w:t>
      </w:r>
      <w:r w:rsidR="005A3A16">
        <w:rPr>
          <w:rFonts w:ascii="Times New Roman" w:hAnsi="Times New Roman" w:cs="Times New Roman"/>
          <w:sz w:val="28"/>
          <w:szCs w:val="28"/>
          <w:lang w:val="en-US"/>
        </w:rPr>
        <w:t>i</w:t>
      </w:r>
      <w:r w:rsidR="00242D24">
        <w:rPr>
          <w:rFonts w:ascii="Times New Roman" w:hAnsi="Times New Roman" w:cs="Times New Roman"/>
          <w:sz w:val="28"/>
          <w:szCs w:val="28"/>
          <w:lang w:val="uk-UA"/>
        </w:rPr>
        <w:t>ї – АГ та супутньому ЦД 2-го типу.</w:t>
      </w:r>
    </w:p>
    <w:p w:rsidR="00F72A40" w:rsidRDefault="00570483" w:rsidP="00202C37">
      <w:pPr>
        <w:tabs>
          <w:tab w:val="left" w:pos="6667"/>
        </w:tabs>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Вміст </w:t>
      </w:r>
      <w:r w:rsidR="00113A8F" w:rsidRPr="00737C38">
        <w:rPr>
          <w:rFonts w:ascii="Times New Roman" w:hAnsi="Times New Roman" w:cs="Times New Roman"/>
          <w:sz w:val="28"/>
          <w:szCs w:val="28"/>
          <w:lang w:val="uk-UA"/>
        </w:rPr>
        <w:t>ФНП-</w:t>
      </w:r>
      <w:r w:rsidR="001D3A66" w:rsidRPr="00737C38">
        <w:rPr>
          <w:rFonts w:ascii="Times New Roman" w:hAnsi="Times New Roman" w:cs="Times New Roman"/>
          <w:sz w:val="28"/>
          <w:szCs w:val="28"/>
          <w:lang w:val="uk-UA"/>
        </w:rPr>
        <w:t>α був</w:t>
      </w:r>
      <w:r w:rsidR="00596FC1">
        <w:rPr>
          <w:rFonts w:ascii="Times New Roman" w:hAnsi="Times New Roman" w:cs="Times New Roman"/>
          <w:sz w:val="28"/>
          <w:szCs w:val="28"/>
          <w:lang w:val="uk-UA"/>
        </w:rPr>
        <w:t xml:space="preserve"> меншим</w:t>
      </w:r>
      <w:r>
        <w:rPr>
          <w:rFonts w:ascii="Times New Roman" w:hAnsi="Times New Roman" w:cs="Times New Roman"/>
          <w:sz w:val="28"/>
          <w:szCs w:val="28"/>
          <w:lang w:val="uk-UA"/>
        </w:rPr>
        <w:t xml:space="preserve"> у </w:t>
      </w:r>
      <w:r w:rsidRPr="00570483">
        <w:rPr>
          <w:rFonts w:ascii="Times New Roman" w:hAnsi="Times New Roman" w:cs="Times New Roman"/>
          <w:sz w:val="28"/>
          <w:szCs w:val="28"/>
          <w:lang w:val="uk-UA"/>
        </w:rPr>
        <w:t>пацієнтів із ІІ ФК ХСН</w:t>
      </w:r>
      <w:r>
        <w:rPr>
          <w:rFonts w:ascii="Times New Roman" w:hAnsi="Times New Roman" w:cs="Times New Roman"/>
          <w:sz w:val="28"/>
          <w:szCs w:val="28"/>
          <w:lang w:val="uk-UA"/>
        </w:rPr>
        <w:t xml:space="preserve"> порівняно з</w:t>
      </w:r>
      <w:r w:rsidR="002A524D" w:rsidRPr="00737C38">
        <w:rPr>
          <w:rFonts w:ascii="Times New Roman" w:hAnsi="Times New Roman" w:cs="Times New Roman"/>
          <w:sz w:val="28"/>
          <w:szCs w:val="28"/>
          <w:lang w:val="uk-UA"/>
        </w:rPr>
        <w:t xml:space="preserve"> ІІІ ФК ХСН</w:t>
      </w:r>
      <w:r w:rsidR="00D43478" w:rsidRPr="00737C38">
        <w:rPr>
          <w:rFonts w:ascii="Times New Roman" w:hAnsi="Times New Roman" w:cs="Times New Roman"/>
          <w:sz w:val="28"/>
          <w:szCs w:val="28"/>
          <w:lang w:val="uk-UA"/>
        </w:rPr>
        <w:t xml:space="preserve"> (р </w:t>
      </w:r>
      <w:r w:rsidR="001D3A66" w:rsidRPr="00737C38">
        <w:rPr>
          <w:rFonts w:ascii="Times New Roman" w:hAnsi="Times New Roman" w:cs="Times New Roman"/>
          <w:sz w:val="28"/>
          <w:szCs w:val="28"/>
          <w:lang w:val="uk-UA"/>
        </w:rPr>
        <w:t>= 0,0485</w:t>
      </w:r>
      <w:r w:rsidR="00D43478" w:rsidRPr="00737C38">
        <w:rPr>
          <w:rFonts w:ascii="Times New Roman" w:hAnsi="Times New Roman" w:cs="Times New Roman"/>
          <w:sz w:val="28"/>
          <w:szCs w:val="28"/>
          <w:lang w:val="uk-UA"/>
        </w:rPr>
        <w:t>)</w:t>
      </w:r>
      <w:r w:rsidR="00D0196D" w:rsidRPr="00D0196D">
        <w:rPr>
          <w:rFonts w:ascii="Times New Roman" w:hAnsi="Times New Roman" w:cs="Times New Roman"/>
          <w:sz w:val="28"/>
          <w:szCs w:val="28"/>
          <w:lang w:val="uk-UA"/>
        </w:rPr>
        <w:t xml:space="preserve"> </w:t>
      </w:r>
      <w:r w:rsidR="00EA6F81" w:rsidRPr="00D0196D">
        <w:rPr>
          <w:rFonts w:ascii="Times New Roman" w:hAnsi="Times New Roman" w:cs="Times New Roman"/>
          <w:sz w:val="28"/>
          <w:szCs w:val="28"/>
          <w:lang w:val="uk-UA"/>
        </w:rPr>
        <w:t>[</w:t>
      </w:r>
      <w:r w:rsidR="00D0196D" w:rsidRPr="004900D9">
        <w:rPr>
          <w:rFonts w:ascii="Times New Roman" w:hAnsi="Times New Roman" w:cs="Times New Roman"/>
          <w:sz w:val="28"/>
          <w:szCs w:val="28"/>
          <w:lang w:val="uk-UA"/>
        </w:rPr>
        <w:t>199</w:t>
      </w:r>
      <w:r w:rsidR="00EA6F81" w:rsidRPr="00D0196D">
        <w:rPr>
          <w:rFonts w:ascii="Times New Roman" w:hAnsi="Times New Roman" w:cs="Times New Roman"/>
          <w:sz w:val="28"/>
          <w:szCs w:val="28"/>
          <w:lang w:val="uk-UA"/>
        </w:rPr>
        <w:t>]</w:t>
      </w:r>
      <w:r w:rsidR="002A524D" w:rsidRPr="00D0196D">
        <w:rPr>
          <w:rFonts w:ascii="Times New Roman" w:hAnsi="Times New Roman" w:cs="Times New Roman"/>
          <w:sz w:val="28"/>
          <w:szCs w:val="28"/>
          <w:lang w:val="uk-UA"/>
        </w:rPr>
        <w:t>.</w:t>
      </w:r>
      <w:r w:rsidR="002A524D">
        <w:rPr>
          <w:rFonts w:ascii="Times New Roman" w:hAnsi="Times New Roman" w:cs="Times New Roman"/>
          <w:sz w:val="28"/>
          <w:szCs w:val="28"/>
          <w:lang w:val="uk-UA"/>
        </w:rPr>
        <w:t xml:space="preserve"> Таким чином,</w:t>
      </w:r>
      <w:r w:rsidR="00D43478" w:rsidRPr="00D4347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зростання вмісту </w:t>
      </w:r>
      <w:r w:rsidRPr="00570483">
        <w:rPr>
          <w:rFonts w:ascii="Times New Roman" w:hAnsi="Times New Roman" w:cs="Times New Roman"/>
          <w:sz w:val="28"/>
          <w:szCs w:val="28"/>
          <w:lang w:val="uk-UA"/>
        </w:rPr>
        <w:t xml:space="preserve">ФНП-α </w:t>
      </w:r>
      <w:r w:rsidR="006E7E65">
        <w:rPr>
          <w:rFonts w:ascii="Times New Roman" w:hAnsi="Times New Roman" w:cs="Times New Roman"/>
          <w:sz w:val="28"/>
          <w:szCs w:val="28"/>
          <w:lang w:val="uk-UA"/>
        </w:rPr>
        <w:t xml:space="preserve">                      </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з прогресуванням ХСН св</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дчить про активац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ю процес</w:t>
      </w:r>
      <w:r w:rsidR="005A3A16">
        <w:rPr>
          <w:rFonts w:ascii="Times New Roman" w:hAnsi="Times New Roman" w:cs="Times New Roman"/>
          <w:sz w:val="28"/>
          <w:szCs w:val="28"/>
          <w:lang w:val="en-US"/>
        </w:rPr>
        <w:t>i</w:t>
      </w:r>
      <w:r w:rsidR="002A524D" w:rsidRPr="002A524D">
        <w:rPr>
          <w:rFonts w:ascii="Times New Roman" w:hAnsi="Times New Roman" w:cs="Times New Roman"/>
          <w:sz w:val="28"/>
          <w:szCs w:val="28"/>
          <w:lang w:val="uk-UA"/>
        </w:rPr>
        <w:t>в запален</w:t>
      </w:r>
      <w:r w:rsidR="00113A8F">
        <w:rPr>
          <w:rFonts w:ascii="Times New Roman" w:hAnsi="Times New Roman" w:cs="Times New Roman"/>
          <w:sz w:val="28"/>
          <w:szCs w:val="28"/>
          <w:lang w:val="uk-UA"/>
        </w:rPr>
        <w:t>ня</w:t>
      </w:r>
      <w:r w:rsidR="00596FC1">
        <w:rPr>
          <w:rFonts w:ascii="Times New Roman" w:hAnsi="Times New Roman" w:cs="Times New Roman"/>
          <w:sz w:val="28"/>
          <w:szCs w:val="28"/>
          <w:lang w:val="uk-UA"/>
        </w:rPr>
        <w:t xml:space="preserve"> пропорц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йно до тяжкост</w:t>
      </w:r>
      <w:r w:rsidR="005A3A16">
        <w:rPr>
          <w:rFonts w:ascii="Times New Roman" w:hAnsi="Times New Roman" w:cs="Times New Roman"/>
          <w:sz w:val="28"/>
          <w:szCs w:val="28"/>
          <w:lang w:val="en-US"/>
        </w:rPr>
        <w:t>i</w:t>
      </w:r>
      <w:r w:rsidR="00143487">
        <w:rPr>
          <w:rFonts w:ascii="Times New Roman" w:hAnsi="Times New Roman" w:cs="Times New Roman"/>
          <w:sz w:val="28"/>
          <w:szCs w:val="28"/>
          <w:lang w:val="uk-UA"/>
        </w:rPr>
        <w:t xml:space="preserve"> ХСН</w:t>
      </w:r>
      <w:r w:rsidR="00113A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хворих на </w:t>
      </w:r>
      <w:r w:rsidR="002A524D" w:rsidRPr="002A524D">
        <w:rPr>
          <w:rFonts w:ascii="Times New Roman" w:hAnsi="Times New Roman" w:cs="Times New Roman"/>
          <w:sz w:val="28"/>
          <w:szCs w:val="28"/>
          <w:lang w:val="uk-UA"/>
        </w:rPr>
        <w:t>АГ та ЦД 2-го типу.</w:t>
      </w:r>
      <w:r w:rsidR="00D43478" w:rsidRPr="00D43478">
        <w:rPr>
          <w:rFonts w:ascii="Times New Roman" w:hAnsi="Times New Roman" w:cs="Times New Roman"/>
          <w:sz w:val="28"/>
          <w:szCs w:val="28"/>
          <w:lang w:val="uk-UA"/>
        </w:rPr>
        <w:t xml:space="preserve"> </w:t>
      </w:r>
      <w:r w:rsidR="00A7698E">
        <w:rPr>
          <w:rFonts w:ascii="Times New Roman" w:hAnsi="Times New Roman" w:cs="Times New Roman"/>
          <w:sz w:val="28"/>
          <w:szCs w:val="28"/>
          <w:lang w:val="uk-UA"/>
        </w:rPr>
        <w:t>П</w:t>
      </w:r>
      <w:r w:rsidR="00596FC1">
        <w:rPr>
          <w:rFonts w:ascii="Times New Roman" w:hAnsi="Times New Roman" w:cs="Times New Roman"/>
          <w:sz w:val="28"/>
          <w:szCs w:val="28"/>
          <w:lang w:val="uk-UA"/>
        </w:rPr>
        <w:t>ац</w:t>
      </w:r>
      <w:r w:rsidR="005A3A16">
        <w:rPr>
          <w:rFonts w:ascii="Times New Roman" w:hAnsi="Times New Roman" w:cs="Times New Roman"/>
          <w:sz w:val="28"/>
          <w:szCs w:val="28"/>
          <w:lang w:val="en-US"/>
        </w:rPr>
        <w:t>i</w:t>
      </w:r>
      <w:r w:rsidR="00532862">
        <w:rPr>
          <w:rFonts w:ascii="Times New Roman" w:hAnsi="Times New Roman" w:cs="Times New Roman"/>
          <w:sz w:val="28"/>
          <w:szCs w:val="28"/>
          <w:lang w:val="uk-UA"/>
        </w:rPr>
        <w:t>єнтам</w:t>
      </w:r>
      <w:r w:rsidR="00A7698E">
        <w:rPr>
          <w:rFonts w:ascii="Times New Roman" w:hAnsi="Times New Roman" w:cs="Times New Roman"/>
          <w:sz w:val="28"/>
          <w:szCs w:val="28"/>
          <w:lang w:val="uk-UA"/>
        </w:rPr>
        <w:t xml:space="preserve"> </w:t>
      </w:r>
      <w:r w:rsidR="006E7E65">
        <w:rPr>
          <w:rFonts w:ascii="Times New Roman" w:hAnsi="Times New Roman" w:cs="Times New Roman"/>
          <w:sz w:val="28"/>
          <w:szCs w:val="28"/>
          <w:lang w:val="uk-UA"/>
        </w:rPr>
        <w:t xml:space="preserve">    </w:t>
      </w:r>
      <w:r w:rsidR="00A7698E">
        <w:rPr>
          <w:rFonts w:ascii="Times New Roman" w:hAnsi="Times New Roman" w:cs="Times New Roman"/>
          <w:sz w:val="28"/>
          <w:szCs w:val="28"/>
          <w:lang w:val="uk-UA"/>
        </w:rPr>
        <w:t>із зазначеною коморбідною патологією</w:t>
      </w:r>
      <w:r w:rsidR="00532862">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доц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льним є призначення препарат</w:t>
      </w:r>
      <w:r w:rsidR="005A3A16">
        <w:rPr>
          <w:rFonts w:ascii="Times New Roman" w:hAnsi="Times New Roman" w:cs="Times New Roman"/>
          <w:sz w:val="28"/>
          <w:szCs w:val="28"/>
          <w:lang w:val="en-US"/>
        </w:rPr>
        <w:t>i</w:t>
      </w:r>
      <w:r w:rsidR="00300BB8">
        <w:rPr>
          <w:rFonts w:ascii="Times New Roman" w:hAnsi="Times New Roman" w:cs="Times New Roman"/>
          <w:sz w:val="28"/>
          <w:szCs w:val="28"/>
          <w:lang w:val="uk-UA"/>
        </w:rPr>
        <w:t>в</w:t>
      </w:r>
      <w:r w:rsidR="00300BB8" w:rsidRPr="00300BB8">
        <w:rPr>
          <w:rFonts w:ascii="Times New Roman" w:hAnsi="Times New Roman" w:cs="Times New Roman"/>
          <w:sz w:val="28"/>
          <w:szCs w:val="28"/>
          <w:lang w:val="uk-UA"/>
        </w:rPr>
        <w:t>, додатковим ефектом яких бу</w:t>
      </w:r>
      <w:r w:rsidR="00A7698E">
        <w:rPr>
          <w:rFonts w:ascii="Times New Roman" w:hAnsi="Times New Roman" w:cs="Times New Roman"/>
          <w:sz w:val="28"/>
          <w:szCs w:val="28"/>
          <w:lang w:val="uk-UA"/>
        </w:rPr>
        <w:t xml:space="preserve">ла б </w:t>
      </w:r>
      <w:r w:rsidR="00596FC1">
        <w:rPr>
          <w:rFonts w:ascii="Times New Roman" w:hAnsi="Times New Roman" w:cs="Times New Roman"/>
          <w:sz w:val="28"/>
          <w:szCs w:val="28"/>
          <w:lang w:val="uk-UA"/>
        </w:rPr>
        <w:t>здатн</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сть зменшувати </w:t>
      </w:r>
      <w:r>
        <w:rPr>
          <w:rFonts w:ascii="Times New Roman" w:hAnsi="Times New Roman" w:cs="Times New Roman"/>
          <w:sz w:val="28"/>
          <w:szCs w:val="28"/>
          <w:lang w:val="uk-UA"/>
        </w:rPr>
        <w:t>вміст</w:t>
      </w:r>
      <w:r w:rsidR="00300BB8" w:rsidRPr="00300BB8">
        <w:rPr>
          <w:rFonts w:ascii="Times New Roman" w:hAnsi="Times New Roman" w:cs="Times New Roman"/>
          <w:sz w:val="28"/>
          <w:szCs w:val="28"/>
          <w:lang w:val="uk-UA"/>
        </w:rPr>
        <w:t xml:space="preserve"> ФНП-α</w:t>
      </w:r>
      <w:r w:rsidR="00113A8F">
        <w:rPr>
          <w:rFonts w:ascii="Times New Roman" w:hAnsi="Times New Roman" w:cs="Times New Roman"/>
          <w:sz w:val="28"/>
          <w:szCs w:val="28"/>
          <w:lang w:val="uk-UA"/>
        </w:rPr>
        <w:t xml:space="preserve">. </w:t>
      </w:r>
      <w:r w:rsidR="00242D24">
        <w:rPr>
          <w:rFonts w:ascii="Times New Roman" w:hAnsi="Times New Roman" w:cs="Times New Roman"/>
          <w:sz w:val="28"/>
          <w:szCs w:val="28"/>
          <w:lang w:val="uk-UA"/>
        </w:rPr>
        <w:t>Доведено</w:t>
      </w:r>
      <w:r w:rsidR="00300BB8" w:rsidRPr="00300BB8">
        <w:rPr>
          <w:rFonts w:ascii="Times New Roman" w:hAnsi="Times New Roman" w:cs="Times New Roman"/>
          <w:sz w:val="28"/>
          <w:szCs w:val="28"/>
          <w:lang w:val="uk-UA"/>
        </w:rPr>
        <w:t>, що такий плейотропний ефект властивий аторвастатину</w:t>
      </w:r>
      <w:r w:rsidR="00300BB8">
        <w:rPr>
          <w:rFonts w:ascii="Times New Roman" w:hAnsi="Times New Roman" w:cs="Times New Roman"/>
          <w:sz w:val="28"/>
          <w:szCs w:val="28"/>
          <w:lang w:val="uk-UA"/>
        </w:rPr>
        <w:t xml:space="preserve"> </w:t>
      </w:r>
      <w:r w:rsidR="00232885" w:rsidRPr="00232885">
        <w:rPr>
          <w:rFonts w:ascii="Times New Roman" w:hAnsi="Times New Roman" w:cs="Times New Roman"/>
          <w:sz w:val="28"/>
          <w:szCs w:val="28"/>
          <w:lang w:val="uk-UA"/>
        </w:rPr>
        <w:t>[</w:t>
      </w:r>
      <w:r w:rsidR="002E7A76" w:rsidRPr="00403225">
        <w:rPr>
          <w:rFonts w:ascii="Times New Roman" w:hAnsi="Times New Roman" w:cs="Times New Roman"/>
          <w:sz w:val="28"/>
          <w:szCs w:val="28"/>
          <w:lang w:val="uk-UA"/>
        </w:rPr>
        <w:t>169</w:t>
      </w:r>
      <w:r w:rsidR="00232885" w:rsidRPr="00AC0052">
        <w:rPr>
          <w:rFonts w:ascii="Times New Roman" w:hAnsi="Times New Roman" w:cs="Times New Roman"/>
          <w:sz w:val="28"/>
          <w:szCs w:val="28"/>
          <w:lang w:val="uk-UA"/>
        </w:rPr>
        <w:t>]</w:t>
      </w:r>
      <w:r w:rsidR="00300BB8" w:rsidRPr="00AC0052">
        <w:rPr>
          <w:rFonts w:ascii="Times New Roman" w:hAnsi="Times New Roman" w:cs="Times New Roman"/>
          <w:sz w:val="28"/>
          <w:szCs w:val="28"/>
          <w:lang w:val="uk-UA"/>
        </w:rPr>
        <w:t>.</w:t>
      </w:r>
    </w:p>
    <w:p w:rsidR="00830ECE" w:rsidRPr="00830ECE" w:rsidRDefault="00BA1079" w:rsidP="00830ECE">
      <w:pPr>
        <w:autoSpaceDE w:val="0"/>
        <w:autoSpaceDN w:val="0"/>
        <w:adjustRightInd w:val="0"/>
        <w:spacing w:after="0" w:line="360" w:lineRule="auto"/>
        <w:ind w:firstLine="708"/>
        <w:jc w:val="both"/>
        <w:rPr>
          <w:rFonts w:ascii="Times New Roman" w:hAnsi="Times New Roman" w:cs="Times New Roman"/>
          <w:sz w:val="28"/>
          <w:szCs w:val="28"/>
          <w:lang w:val="uk-UA"/>
        </w:rPr>
      </w:pPr>
      <w:r w:rsidRPr="00830ECE">
        <w:rPr>
          <w:rFonts w:ascii="Times New Roman" w:hAnsi="Times New Roman" w:cs="Times New Roman"/>
          <w:sz w:val="28"/>
          <w:szCs w:val="28"/>
          <w:lang w:val="uk-UA"/>
        </w:rPr>
        <w:t>У</w:t>
      </w:r>
      <w:r w:rsidR="00830ECE" w:rsidRPr="00EB41B9">
        <w:rPr>
          <w:rFonts w:ascii="Times New Roman" w:hAnsi="Times New Roman" w:cs="Times New Roman"/>
          <w:sz w:val="28"/>
          <w:szCs w:val="28"/>
          <w:lang w:val="uk-UA"/>
        </w:rPr>
        <w:t xml:space="preserve"> нашому досл</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дженн</w:t>
      </w:r>
      <w:r w:rsidR="005A3A16">
        <w:rPr>
          <w:rFonts w:ascii="Times New Roman" w:hAnsi="Times New Roman" w:cs="Times New Roman"/>
          <w:sz w:val="28"/>
          <w:szCs w:val="28"/>
          <w:lang w:val="en-US"/>
        </w:rPr>
        <w:t>i</w:t>
      </w:r>
      <w:r w:rsidR="00113A8F">
        <w:rPr>
          <w:rFonts w:ascii="Times New Roman" w:hAnsi="Times New Roman" w:cs="Times New Roman"/>
          <w:sz w:val="28"/>
          <w:szCs w:val="28"/>
          <w:lang w:val="uk-UA"/>
        </w:rPr>
        <w:t xml:space="preserve"> </w:t>
      </w:r>
      <w:r w:rsidR="00570483">
        <w:rPr>
          <w:rFonts w:ascii="Times New Roman" w:hAnsi="Times New Roman" w:cs="Times New Roman"/>
          <w:sz w:val="28"/>
          <w:szCs w:val="28"/>
          <w:lang w:val="uk-UA"/>
        </w:rPr>
        <w:t>у пацієнтів і</w:t>
      </w:r>
      <w:r w:rsidRPr="00830ECE">
        <w:rPr>
          <w:rFonts w:ascii="Times New Roman" w:hAnsi="Times New Roman" w:cs="Times New Roman"/>
          <w:sz w:val="28"/>
          <w:szCs w:val="28"/>
          <w:lang w:val="uk-UA"/>
        </w:rPr>
        <w:t xml:space="preserve">з </w:t>
      </w:r>
      <w:r w:rsidR="00532862">
        <w:rPr>
          <w:rFonts w:ascii="Times New Roman" w:hAnsi="Times New Roman" w:cs="Times New Roman"/>
          <w:sz w:val="28"/>
          <w:szCs w:val="28"/>
          <w:lang w:val="uk-UA"/>
        </w:rPr>
        <w:t xml:space="preserve">АГ та </w:t>
      </w:r>
      <w:r w:rsidR="00596FC1">
        <w:rPr>
          <w:rFonts w:ascii="Times New Roman" w:hAnsi="Times New Roman" w:cs="Times New Roman"/>
          <w:sz w:val="28"/>
          <w:szCs w:val="28"/>
          <w:lang w:val="uk-UA"/>
        </w:rPr>
        <w:t xml:space="preserve">ЦД 2-го типу через </w:t>
      </w:r>
      <w:r w:rsidR="006E7E65">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6 м</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сяц</w:t>
      </w:r>
      <w:r w:rsidR="00596FC1">
        <w:rPr>
          <w:rFonts w:ascii="Times New Roman" w:hAnsi="Times New Roman" w:cs="Times New Roman"/>
          <w:sz w:val="28"/>
          <w:szCs w:val="28"/>
          <w:lang w:val="en-US"/>
        </w:rPr>
        <w:t>i</w:t>
      </w:r>
      <w:r w:rsidR="00596FC1">
        <w:rPr>
          <w:rFonts w:ascii="Times New Roman" w:hAnsi="Times New Roman" w:cs="Times New Roman"/>
          <w:sz w:val="28"/>
          <w:szCs w:val="28"/>
          <w:lang w:val="uk-UA"/>
        </w:rPr>
        <w:t>в л</w:t>
      </w:r>
      <w:r w:rsidR="005A3A16">
        <w:rPr>
          <w:rFonts w:ascii="Times New Roman" w:hAnsi="Times New Roman" w:cs="Times New Roman"/>
          <w:sz w:val="28"/>
          <w:szCs w:val="28"/>
          <w:lang w:val="en-US"/>
        </w:rPr>
        <w:t>i</w:t>
      </w:r>
      <w:r w:rsidR="00113A8F">
        <w:rPr>
          <w:rFonts w:ascii="Times New Roman" w:hAnsi="Times New Roman" w:cs="Times New Roman"/>
          <w:sz w:val="28"/>
          <w:szCs w:val="28"/>
          <w:lang w:val="uk-UA"/>
        </w:rPr>
        <w:t>кування аторвастатином (10−</w:t>
      </w:r>
      <w:r w:rsidR="008A5711">
        <w:rPr>
          <w:rFonts w:ascii="Times New Roman" w:hAnsi="Times New Roman" w:cs="Times New Roman"/>
          <w:sz w:val="28"/>
          <w:szCs w:val="28"/>
          <w:lang w:val="uk-UA"/>
        </w:rPr>
        <w:t>20</w:t>
      </w:r>
      <w:r w:rsidR="008A5711" w:rsidRPr="008A5711">
        <w:rPr>
          <w:rFonts w:ascii="Times New Roman" w:hAnsi="Times New Roman" w:cs="Times New Roman"/>
          <w:sz w:val="28"/>
          <w:szCs w:val="28"/>
          <w:lang w:val="uk-UA"/>
        </w:rPr>
        <w:t>−</w:t>
      </w:r>
      <w:r w:rsidR="00875AE8" w:rsidRPr="00830ECE">
        <w:rPr>
          <w:rFonts w:ascii="Times New Roman" w:hAnsi="Times New Roman" w:cs="Times New Roman"/>
          <w:sz w:val="28"/>
          <w:szCs w:val="28"/>
          <w:lang w:val="uk-UA"/>
        </w:rPr>
        <w:t>4</w:t>
      </w:r>
      <w:r w:rsidR="00596FC1">
        <w:rPr>
          <w:rFonts w:ascii="Times New Roman" w:hAnsi="Times New Roman" w:cs="Times New Roman"/>
          <w:sz w:val="28"/>
          <w:szCs w:val="28"/>
          <w:lang w:val="uk-UA"/>
        </w:rPr>
        <w:t>0 мг/добу) 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льового </w:t>
      </w:r>
      <w:r w:rsidR="00570483">
        <w:rPr>
          <w:rFonts w:ascii="Times New Roman" w:hAnsi="Times New Roman" w:cs="Times New Roman"/>
          <w:sz w:val="28"/>
          <w:szCs w:val="28"/>
          <w:lang w:val="uk-UA"/>
        </w:rPr>
        <w:t xml:space="preserve">вмісту </w:t>
      </w:r>
      <w:r w:rsidR="00113A8F">
        <w:rPr>
          <w:rFonts w:ascii="Times New Roman" w:hAnsi="Times New Roman" w:cs="Times New Roman"/>
          <w:sz w:val="28"/>
          <w:szCs w:val="28"/>
          <w:lang w:val="uk-UA"/>
        </w:rPr>
        <w:t>ЗХС у</w:t>
      </w:r>
      <w:r w:rsidRPr="00830ECE">
        <w:rPr>
          <w:rFonts w:ascii="Times New Roman" w:hAnsi="Times New Roman" w:cs="Times New Roman"/>
          <w:sz w:val="28"/>
          <w:szCs w:val="28"/>
          <w:lang w:val="uk-UA"/>
        </w:rPr>
        <w:t xml:space="preserve">далося досягти </w:t>
      </w:r>
      <w:r w:rsidR="00113A8F">
        <w:rPr>
          <w:rFonts w:ascii="Times New Roman" w:hAnsi="Times New Roman" w:cs="Times New Roman"/>
          <w:sz w:val="28"/>
          <w:szCs w:val="28"/>
          <w:lang w:val="uk-UA"/>
        </w:rPr>
        <w:t xml:space="preserve">в </w:t>
      </w:r>
      <w:r w:rsidR="00596FC1">
        <w:rPr>
          <w:rFonts w:ascii="Times New Roman" w:hAnsi="Times New Roman" w:cs="Times New Roman"/>
          <w:sz w:val="28"/>
          <w:szCs w:val="28"/>
          <w:lang w:val="uk-UA"/>
        </w:rPr>
        <w:t>30 ос</w:t>
      </w:r>
      <w:r w:rsidR="005A3A16">
        <w:rPr>
          <w:rFonts w:ascii="Times New Roman" w:hAnsi="Times New Roman" w:cs="Times New Roman"/>
          <w:sz w:val="28"/>
          <w:szCs w:val="28"/>
          <w:lang w:val="en-US"/>
        </w:rPr>
        <w:t>i</w:t>
      </w:r>
      <w:r w:rsidR="00830ECE" w:rsidRPr="00830ECE">
        <w:rPr>
          <w:rFonts w:ascii="Times New Roman" w:hAnsi="Times New Roman" w:cs="Times New Roman"/>
          <w:sz w:val="28"/>
          <w:szCs w:val="28"/>
          <w:lang w:val="uk-UA"/>
        </w:rPr>
        <w:t>б (31,91</w:t>
      </w:r>
      <w:r w:rsidR="00113A8F">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 xml:space="preserve">%), </w:t>
      </w:r>
      <w:r w:rsidR="00570483">
        <w:rPr>
          <w:rFonts w:ascii="Times New Roman" w:hAnsi="Times New Roman" w:cs="Times New Roman"/>
          <w:sz w:val="28"/>
          <w:szCs w:val="28"/>
          <w:lang w:val="uk-UA"/>
        </w:rPr>
        <w:t xml:space="preserve">ХС </w:t>
      </w:r>
      <w:r w:rsidR="00596FC1">
        <w:rPr>
          <w:rFonts w:ascii="Times New Roman" w:hAnsi="Times New Roman" w:cs="Times New Roman"/>
          <w:sz w:val="28"/>
          <w:szCs w:val="28"/>
          <w:lang w:val="uk-UA"/>
        </w:rPr>
        <w:t>ЛПНЩ – у 10 ос</w:t>
      </w:r>
      <w:r w:rsidR="00596FC1">
        <w:rPr>
          <w:rFonts w:ascii="Times New Roman" w:hAnsi="Times New Roman" w:cs="Times New Roman"/>
          <w:sz w:val="28"/>
          <w:szCs w:val="28"/>
          <w:lang w:val="en-US"/>
        </w:rPr>
        <w:t>i</w:t>
      </w:r>
      <w:r w:rsidR="00830ECE" w:rsidRPr="00830ECE">
        <w:rPr>
          <w:rFonts w:ascii="Times New Roman" w:hAnsi="Times New Roman" w:cs="Times New Roman"/>
          <w:sz w:val="28"/>
          <w:szCs w:val="28"/>
          <w:lang w:val="uk-UA"/>
        </w:rPr>
        <w:t>б (10,64</w:t>
      </w:r>
      <w:r w:rsidR="00113A8F">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 xml:space="preserve">%), </w:t>
      </w:r>
      <w:r w:rsidR="006E7E65">
        <w:rPr>
          <w:rFonts w:ascii="Times New Roman" w:hAnsi="Times New Roman" w:cs="Times New Roman"/>
          <w:sz w:val="28"/>
          <w:szCs w:val="28"/>
          <w:lang w:val="uk-UA"/>
        </w:rPr>
        <w:t xml:space="preserve">  </w:t>
      </w:r>
      <w:r w:rsidR="00570483">
        <w:rPr>
          <w:rFonts w:ascii="Times New Roman" w:hAnsi="Times New Roman" w:cs="Times New Roman"/>
          <w:sz w:val="28"/>
          <w:szCs w:val="28"/>
          <w:lang w:val="uk-UA"/>
        </w:rPr>
        <w:t xml:space="preserve">ХС </w:t>
      </w:r>
      <w:r w:rsidR="00596FC1">
        <w:rPr>
          <w:rFonts w:ascii="Times New Roman" w:hAnsi="Times New Roman" w:cs="Times New Roman"/>
          <w:sz w:val="28"/>
          <w:szCs w:val="28"/>
          <w:lang w:val="uk-UA"/>
        </w:rPr>
        <w:t>ЛПВЩ – у 26 ос</w:t>
      </w:r>
      <w:r w:rsidR="00596FC1">
        <w:rPr>
          <w:rFonts w:ascii="Times New Roman" w:hAnsi="Times New Roman" w:cs="Times New Roman"/>
          <w:sz w:val="28"/>
          <w:szCs w:val="28"/>
          <w:lang w:val="en-US"/>
        </w:rPr>
        <w:t>i</w:t>
      </w:r>
      <w:r w:rsidR="00830ECE" w:rsidRPr="00830ECE">
        <w:rPr>
          <w:rFonts w:ascii="Times New Roman" w:hAnsi="Times New Roman" w:cs="Times New Roman"/>
          <w:sz w:val="28"/>
          <w:szCs w:val="28"/>
          <w:lang w:val="uk-UA"/>
        </w:rPr>
        <w:t>б (27,66</w:t>
      </w:r>
      <w:r w:rsidR="00113A8F">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 ТГ – у 34 ос</w:t>
      </w:r>
      <w:r w:rsidR="00596FC1">
        <w:rPr>
          <w:rFonts w:ascii="Times New Roman" w:hAnsi="Times New Roman" w:cs="Times New Roman"/>
          <w:sz w:val="28"/>
          <w:szCs w:val="28"/>
          <w:lang w:val="en-US"/>
        </w:rPr>
        <w:t>i</w:t>
      </w:r>
      <w:r w:rsidR="00830ECE" w:rsidRPr="00830ECE">
        <w:rPr>
          <w:rFonts w:ascii="Times New Roman" w:hAnsi="Times New Roman" w:cs="Times New Roman"/>
          <w:sz w:val="28"/>
          <w:szCs w:val="28"/>
          <w:lang w:val="uk-UA"/>
        </w:rPr>
        <w:t>б (</w:t>
      </w:r>
      <w:r w:rsidR="00830ECE">
        <w:rPr>
          <w:rFonts w:ascii="Times New Roman" w:hAnsi="Times New Roman" w:cs="Times New Roman"/>
          <w:sz w:val="28"/>
          <w:szCs w:val="28"/>
          <w:lang w:val="uk-UA"/>
        </w:rPr>
        <w:t>36,17</w:t>
      </w:r>
      <w:r w:rsidR="00113A8F">
        <w:rPr>
          <w:rFonts w:ascii="Times New Roman" w:hAnsi="Times New Roman" w:cs="Times New Roman"/>
          <w:sz w:val="28"/>
          <w:szCs w:val="28"/>
          <w:lang w:val="uk-UA"/>
        </w:rPr>
        <w:t xml:space="preserve"> </w:t>
      </w:r>
      <w:r w:rsidR="00830ECE">
        <w:rPr>
          <w:rFonts w:ascii="Times New Roman" w:hAnsi="Times New Roman" w:cs="Times New Roman"/>
          <w:sz w:val="28"/>
          <w:szCs w:val="28"/>
          <w:lang w:val="uk-UA"/>
        </w:rPr>
        <w:t>%)</w:t>
      </w:r>
      <w:r w:rsidR="00830ECE" w:rsidRPr="00830ECE">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що св</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 xml:space="preserve">дчить </w:t>
      </w:r>
      <w:r w:rsidR="006E7E65">
        <w:rPr>
          <w:rFonts w:ascii="Times New Roman" w:hAnsi="Times New Roman" w:cs="Times New Roman"/>
          <w:sz w:val="28"/>
          <w:szCs w:val="28"/>
          <w:lang w:val="uk-UA"/>
        </w:rPr>
        <w:t xml:space="preserve">       </w:t>
      </w:r>
      <w:r w:rsidR="00596FC1">
        <w:rPr>
          <w:rFonts w:ascii="Times New Roman" w:hAnsi="Times New Roman" w:cs="Times New Roman"/>
          <w:sz w:val="28"/>
          <w:szCs w:val="28"/>
          <w:lang w:val="uk-UA"/>
        </w:rPr>
        <w:t>про доц</w:t>
      </w:r>
      <w:r w:rsidR="005A3A16">
        <w:rPr>
          <w:rFonts w:ascii="Times New Roman" w:hAnsi="Times New Roman" w:cs="Times New Roman"/>
          <w:sz w:val="28"/>
          <w:szCs w:val="28"/>
          <w:lang w:val="en-US"/>
        </w:rPr>
        <w:t>i</w:t>
      </w:r>
      <w:r w:rsidR="00596FC1">
        <w:rPr>
          <w:rFonts w:ascii="Times New Roman" w:hAnsi="Times New Roman" w:cs="Times New Roman"/>
          <w:sz w:val="28"/>
          <w:szCs w:val="28"/>
          <w:lang w:val="uk-UA"/>
        </w:rPr>
        <w:t>льн</w:t>
      </w:r>
      <w:r w:rsidR="005A3A16">
        <w:rPr>
          <w:rFonts w:ascii="Times New Roman" w:hAnsi="Times New Roman" w:cs="Times New Roman"/>
          <w:sz w:val="28"/>
          <w:szCs w:val="28"/>
          <w:lang w:val="en-US"/>
        </w:rPr>
        <w:t>i</w:t>
      </w:r>
      <w:r w:rsidRPr="00830ECE">
        <w:rPr>
          <w:rFonts w:ascii="Times New Roman" w:hAnsi="Times New Roman" w:cs="Times New Roman"/>
          <w:sz w:val="28"/>
          <w:szCs w:val="28"/>
          <w:lang w:val="uk-UA"/>
        </w:rPr>
        <w:t xml:space="preserve">сть </w:t>
      </w:r>
      <w:r w:rsidR="00596FC1">
        <w:rPr>
          <w:rFonts w:ascii="Times New Roman" w:hAnsi="Times New Roman" w:cs="Times New Roman"/>
          <w:sz w:val="28"/>
          <w:szCs w:val="28"/>
          <w:lang w:val="uk-UA"/>
        </w:rPr>
        <w:t>його призначення з метою корекц</w:t>
      </w:r>
      <w:r w:rsidR="005A3A16">
        <w:rPr>
          <w:rFonts w:ascii="Times New Roman" w:hAnsi="Times New Roman" w:cs="Times New Roman"/>
          <w:sz w:val="28"/>
          <w:szCs w:val="28"/>
          <w:lang w:val="en-US"/>
        </w:rPr>
        <w:t>i</w:t>
      </w:r>
      <w:r w:rsidR="00B10AE7">
        <w:rPr>
          <w:rFonts w:ascii="Times New Roman" w:hAnsi="Times New Roman" w:cs="Times New Roman"/>
          <w:sz w:val="28"/>
          <w:szCs w:val="28"/>
          <w:lang w:val="uk-UA"/>
        </w:rPr>
        <w:t>ї дисл</w:t>
      </w:r>
      <w:r w:rsidR="005A3A16">
        <w:rPr>
          <w:rFonts w:ascii="Times New Roman" w:hAnsi="Times New Roman" w:cs="Times New Roman"/>
          <w:sz w:val="28"/>
          <w:szCs w:val="28"/>
          <w:lang w:val="en-US"/>
        </w:rPr>
        <w:t>i</w:t>
      </w:r>
      <w:r w:rsidR="00B10AE7">
        <w:rPr>
          <w:rFonts w:ascii="Times New Roman" w:hAnsi="Times New Roman" w:cs="Times New Roman"/>
          <w:sz w:val="28"/>
          <w:szCs w:val="28"/>
          <w:lang w:val="uk-UA"/>
        </w:rPr>
        <w:t>п</w:t>
      </w:r>
      <w:r w:rsidR="005A3A16">
        <w:rPr>
          <w:rFonts w:ascii="Times New Roman" w:hAnsi="Times New Roman" w:cs="Times New Roman"/>
          <w:sz w:val="28"/>
          <w:szCs w:val="28"/>
          <w:lang w:val="en-US"/>
        </w:rPr>
        <w:t>i</w:t>
      </w:r>
      <w:r w:rsidR="00B10AE7">
        <w:rPr>
          <w:rFonts w:ascii="Times New Roman" w:hAnsi="Times New Roman" w:cs="Times New Roman"/>
          <w:sz w:val="28"/>
          <w:szCs w:val="28"/>
          <w:lang w:val="uk-UA"/>
        </w:rPr>
        <w:t>дем</w:t>
      </w:r>
      <w:r w:rsidR="005A3A16">
        <w:rPr>
          <w:rFonts w:ascii="Times New Roman" w:hAnsi="Times New Roman" w:cs="Times New Roman"/>
          <w:sz w:val="28"/>
          <w:szCs w:val="28"/>
          <w:lang w:val="en-US"/>
        </w:rPr>
        <w:t>i</w:t>
      </w:r>
      <w:r w:rsidR="00AC0052" w:rsidRPr="00830ECE">
        <w:rPr>
          <w:rFonts w:ascii="Times New Roman" w:hAnsi="Times New Roman" w:cs="Times New Roman"/>
          <w:sz w:val="28"/>
          <w:szCs w:val="28"/>
          <w:lang w:val="uk-UA"/>
        </w:rPr>
        <w:t xml:space="preserve">ї </w:t>
      </w:r>
      <w:r w:rsidR="006E7E65">
        <w:rPr>
          <w:rFonts w:ascii="Times New Roman" w:hAnsi="Times New Roman" w:cs="Times New Roman"/>
          <w:sz w:val="28"/>
          <w:szCs w:val="28"/>
          <w:lang w:val="uk-UA"/>
        </w:rPr>
        <w:t xml:space="preserve">                     </w:t>
      </w:r>
      <w:r w:rsidR="00AC0052" w:rsidRPr="00830ECE">
        <w:rPr>
          <w:rFonts w:ascii="Times New Roman" w:hAnsi="Times New Roman" w:cs="Times New Roman"/>
          <w:sz w:val="28"/>
          <w:szCs w:val="28"/>
          <w:lang w:val="uk-UA"/>
        </w:rPr>
        <w:t>у комор</w:t>
      </w:r>
      <w:r w:rsidR="005A3A16">
        <w:rPr>
          <w:rFonts w:ascii="Times New Roman" w:hAnsi="Times New Roman" w:cs="Times New Roman"/>
          <w:sz w:val="28"/>
          <w:szCs w:val="28"/>
          <w:lang w:val="uk-UA"/>
        </w:rPr>
        <w:t>б</w:t>
      </w:r>
      <w:r w:rsidR="005A3A16">
        <w:rPr>
          <w:rFonts w:ascii="Times New Roman" w:hAnsi="Times New Roman" w:cs="Times New Roman"/>
          <w:sz w:val="28"/>
          <w:szCs w:val="28"/>
          <w:lang w:val="en-US"/>
        </w:rPr>
        <w:t>i</w:t>
      </w:r>
      <w:r w:rsidRPr="00830ECE">
        <w:rPr>
          <w:rFonts w:ascii="Times New Roman" w:hAnsi="Times New Roman" w:cs="Times New Roman"/>
          <w:sz w:val="28"/>
          <w:szCs w:val="28"/>
          <w:lang w:val="uk-UA"/>
        </w:rPr>
        <w:t>дних хворих.</w:t>
      </w:r>
      <w:r w:rsidRPr="00BA1079">
        <w:rPr>
          <w:rFonts w:ascii="Times New Roman" w:hAnsi="Times New Roman" w:cs="Times New Roman"/>
          <w:sz w:val="28"/>
          <w:szCs w:val="28"/>
          <w:lang w:val="uk-UA"/>
        </w:rPr>
        <w:t xml:space="preserve"> </w:t>
      </w:r>
    </w:p>
    <w:p w:rsidR="0067026C" w:rsidRDefault="00A220D0" w:rsidP="0067026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5A3A16">
        <w:rPr>
          <w:rFonts w:ascii="Times New Roman" w:hAnsi="Times New Roman" w:cs="Times New Roman"/>
          <w:sz w:val="28"/>
          <w:szCs w:val="28"/>
          <w:lang w:val="uk-UA"/>
        </w:rPr>
        <w:t>ауковц</w:t>
      </w:r>
      <w:r w:rsidR="005A3A16">
        <w:rPr>
          <w:rFonts w:ascii="Times New Roman" w:hAnsi="Times New Roman" w:cs="Times New Roman"/>
          <w:sz w:val="28"/>
          <w:szCs w:val="28"/>
          <w:lang w:val="en-US"/>
        </w:rPr>
        <w:t>i</w:t>
      </w:r>
      <w:r w:rsidR="00EC779A" w:rsidRPr="00EC779A">
        <w:rPr>
          <w:rFonts w:ascii="Times New Roman" w:hAnsi="Times New Roman" w:cs="Times New Roman"/>
          <w:sz w:val="28"/>
          <w:szCs w:val="28"/>
          <w:lang w:val="uk-UA"/>
        </w:rPr>
        <w:t xml:space="preserve"> довели,</w:t>
      </w:r>
      <w:r w:rsidR="005A3A16">
        <w:rPr>
          <w:rFonts w:ascii="Times New Roman" w:hAnsi="Times New Roman" w:cs="Times New Roman"/>
          <w:sz w:val="28"/>
          <w:szCs w:val="28"/>
          <w:lang w:val="uk-UA"/>
        </w:rPr>
        <w:t xml:space="preserve"> що застосування телм</w:t>
      </w:r>
      <w:r w:rsidR="005A3A16">
        <w:rPr>
          <w:rFonts w:ascii="Times New Roman" w:hAnsi="Times New Roman" w:cs="Times New Roman"/>
          <w:sz w:val="28"/>
          <w:szCs w:val="28"/>
          <w:lang w:val="en-US"/>
        </w:rPr>
        <w:t>i</w:t>
      </w:r>
      <w:r w:rsidR="00113A8F">
        <w:rPr>
          <w:rFonts w:ascii="Times New Roman" w:hAnsi="Times New Roman" w:cs="Times New Roman"/>
          <w:sz w:val="28"/>
          <w:szCs w:val="28"/>
          <w:lang w:val="uk-UA"/>
        </w:rPr>
        <w:t>сартану дозою</w:t>
      </w:r>
      <w:r w:rsidR="00EC779A" w:rsidRPr="00EC779A">
        <w:rPr>
          <w:rFonts w:ascii="Times New Roman" w:hAnsi="Times New Roman" w:cs="Times New Roman"/>
          <w:sz w:val="28"/>
          <w:szCs w:val="28"/>
          <w:lang w:val="uk-UA"/>
        </w:rPr>
        <w:t xml:space="preserve"> 20</w:t>
      </w:r>
      <w:r w:rsidR="00113A8F">
        <w:rPr>
          <w:rFonts w:ascii="Times New Roman" w:hAnsi="Times New Roman" w:cs="Times New Roman"/>
          <w:sz w:val="28"/>
          <w:szCs w:val="28"/>
          <w:lang w:val="uk-UA"/>
        </w:rPr>
        <w:t>−40−80 мг упродовж</w:t>
      </w:r>
      <w:r w:rsidR="005A3A16">
        <w:rPr>
          <w:rFonts w:ascii="Times New Roman" w:hAnsi="Times New Roman" w:cs="Times New Roman"/>
          <w:sz w:val="28"/>
          <w:szCs w:val="28"/>
          <w:lang w:val="uk-UA"/>
        </w:rPr>
        <w:t xml:space="preserve"> шести тижн</w:t>
      </w:r>
      <w:r w:rsidR="005A3A16">
        <w:rPr>
          <w:rFonts w:ascii="Times New Roman" w:hAnsi="Times New Roman" w:cs="Times New Roman"/>
          <w:sz w:val="28"/>
          <w:szCs w:val="28"/>
          <w:lang w:val="en-US"/>
        </w:rPr>
        <w:t>i</w:t>
      </w:r>
      <w:r w:rsidR="005A3A16">
        <w:rPr>
          <w:rFonts w:ascii="Times New Roman" w:hAnsi="Times New Roman" w:cs="Times New Roman"/>
          <w:sz w:val="28"/>
          <w:szCs w:val="28"/>
          <w:lang w:val="uk-UA"/>
        </w:rPr>
        <w:t>в у пац</w:t>
      </w:r>
      <w:r w:rsidR="005A3A16">
        <w:rPr>
          <w:rFonts w:ascii="Times New Roman" w:hAnsi="Times New Roman" w:cs="Times New Roman"/>
          <w:sz w:val="28"/>
          <w:szCs w:val="28"/>
          <w:lang w:val="en-US"/>
        </w:rPr>
        <w:t>i</w:t>
      </w:r>
      <w:r w:rsidR="005A3A16">
        <w:rPr>
          <w:rFonts w:ascii="Times New Roman" w:hAnsi="Times New Roman" w:cs="Times New Roman"/>
          <w:sz w:val="28"/>
          <w:szCs w:val="28"/>
          <w:lang w:val="uk-UA"/>
        </w:rPr>
        <w:t>єнт</w:t>
      </w:r>
      <w:r w:rsidR="005A3A16">
        <w:rPr>
          <w:rFonts w:ascii="Times New Roman" w:hAnsi="Times New Roman" w:cs="Times New Roman"/>
          <w:sz w:val="28"/>
          <w:szCs w:val="28"/>
          <w:lang w:val="en-US"/>
        </w:rPr>
        <w:t>i</w:t>
      </w:r>
      <w:r w:rsidR="00532862">
        <w:rPr>
          <w:rFonts w:ascii="Times New Roman" w:hAnsi="Times New Roman" w:cs="Times New Roman"/>
          <w:sz w:val="28"/>
          <w:szCs w:val="28"/>
          <w:lang w:val="uk-UA"/>
        </w:rPr>
        <w:t xml:space="preserve">в </w:t>
      </w:r>
      <w:r>
        <w:rPr>
          <w:rFonts w:ascii="Times New Roman" w:hAnsi="Times New Roman" w:cs="Times New Roman"/>
          <w:sz w:val="28"/>
          <w:szCs w:val="28"/>
          <w:lang w:val="uk-UA"/>
        </w:rPr>
        <w:t>і</w:t>
      </w:r>
      <w:r w:rsidR="005A3A16">
        <w:rPr>
          <w:rFonts w:ascii="Times New Roman" w:hAnsi="Times New Roman" w:cs="Times New Roman"/>
          <w:sz w:val="28"/>
          <w:szCs w:val="28"/>
          <w:lang w:val="uk-UA"/>
        </w:rPr>
        <w:t>з АГ І, ІІ, ІІІ стад</w:t>
      </w:r>
      <w:r w:rsidR="005A3A16">
        <w:rPr>
          <w:rFonts w:ascii="Times New Roman" w:hAnsi="Times New Roman" w:cs="Times New Roman"/>
          <w:sz w:val="28"/>
          <w:szCs w:val="28"/>
          <w:lang w:val="en-US"/>
        </w:rPr>
        <w:t>i</w:t>
      </w:r>
      <w:r w:rsidR="00EC779A" w:rsidRPr="00EC779A">
        <w:rPr>
          <w:rFonts w:ascii="Times New Roman" w:hAnsi="Times New Roman" w:cs="Times New Roman"/>
          <w:sz w:val="28"/>
          <w:szCs w:val="28"/>
          <w:lang w:val="uk-UA"/>
        </w:rPr>
        <w:t xml:space="preserve">й без </w:t>
      </w:r>
      <w:r>
        <w:rPr>
          <w:rFonts w:ascii="Times New Roman" w:hAnsi="Times New Roman" w:cs="Times New Roman"/>
          <w:sz w:val="28"/>
          <w:szCs w:val="28"/>
          <w:lang w:val="uk-UA"/>
        </w:rPr>
        <w:t xml:space="preserve">супутнього </w:t>
      </w:r>
      <w:r w:rsidR="006E7E65">
        <w:rPr>
          <w:rFonts w:ascii="Times New Roman" w:hAnsi="Times New Roman" w:cs="Times New Roman"/>
          <w:sz w:val="28"/>
          <w:szCs w:val="28"/>
          <w:lang w:val="uk-UA"/>
        </w:rPr>
        <w:t xml:space="preserve">      </w:t>
      </w:r>
      <w:r w:rsidR="00EC779A" w:rsidRPr="00EC779A">
        <w:rPr>
          <w:rFonts w:ascii="Times New Roman" w:hAnsi="Times New Roman" w:cs="Times New Roman"/>
          <w:sz w:val="28"/>
          <w:szCs w:val="28"/>
          <w:lang w:val="uk-UA"/>
        </w:rPr>
        <w:t>ЦД 2-го тип</w:t>
      </w:r>
      <w:r w:rsidR="005A3A16">
        <w:rPr>
          <w:rFonts w:ascii="Times New Roman" w:hAnsi="Times New Roman" w:cs="Times New Roman"/>
          <w:sz w:val="28"/>
          <w:szCs w:val="28"/>
          <w:lang w:val="uk-UA"/>
        </w:rPr>
        <w:t>у призводить до зниження альбум</w:t>
      </w:r>
      <w:r w:rsidR="005A3A16">
        <w:rPr>
          <w:rFonts w:ascii="Times New Roman" w:hAnsi="Times New Roman" w:cs="Times New Roman"/>
          <w:sz w:val="28"/>
          <w:szCs w:val="28"/>
          <w:lang w:val="en-US"/>
        </w:rPr>
        <w:t>i</w:t>
      </w:r>
      <w:r w:rsidR="005A3A16">
        <w:rPr>
          <w:rFonts w:ascii="Times New Roman" w:hAnsi="Times New Roman" w:cs="Times New Roman"/>
          <w:sz w:val="28"/>
          <w:szCs w:val="28"/>
          <w:lang w:val="uk-UA"/>
        </w:rPr>
        <w:t>нур</w:t>
      </w:r>
      <w:r w:rsidR="005A3A16">
        <w:rPr>
          <w:rFonts w:ascii="Times New Roman" w:hAnsi="Times New Roman" w:cs="Times New Roman"/>
          <w:sz w:val="28"/>
          <w:szCs w:val="28"/>
          <w:lang w:val="en-US"/>
        </w:rPr>
        <w:t>i</w:t>
      </w:r>
      <w:r w:rsidR="00EC779A" w:rsidRPr="00EC779A">
        <w:rPr>
          <w:rFonts w:ascii="Times New Roman" w:hAnsi="Times New Roman" w:cs="Times New Roman"/>
          <w:sz w:val="28"/>
          <w:szCs w:val="28"/>
          <w:lang w:val="uk-UA"/>
        </w:rPr>
        <w:t>ї на 14 % [</w:t>
      </w:r>
      <w:r w:rsidR="002E7A76" w:rsidRPr="004900D9">
        <w:rPr>
          <w:rFonts w:ascii="Times New Roman" w:hAnsi="Times New Roman" w:cs="Times New Roman"/>
          <w:sz w:val="28"/>
          <w:szCs w:val="28"/>
          <w:lang w:val="uk-UA"/>
        </w:rPr>
        <w:t>120</w:t>
      </w:r>
      <w:r w:rsidR="00EC779A" w:rsidRPr="004900D9">
        <w:rPr>
          <w:rFonts w:ascii="Times New Roman" w:hAnsi="Times New Roman" w:cs="Times New Roman"/>
          <w:sz w:val="28"/>
          <w:szCs w:val="28"/>
          <w:lang w:val="uk-UA"/>
        </w:rPr>
        <w:t>]</w:t>
      </w:r>
      <w:r w:rsidR="00EC779A" w:rsidRPr="00EC779A">
        <w:rPr>
          <w:rFonts w:ascii="Times New Roman" w:hAnsi="Times New Roman" w:cs="Times New Roman"/>
          <w:sz w:val="28"/>
          <w:szCs w:val="28"/>
          <w:lang w:val="uk-UA"/>
        </w:rPr>
        <w:t>.</w:t>
      </w:r>
      <w:r w:rsidR="005A3A16">
        <w:rPr>
          <w:rFonts w:ascii="Times New Roman" w:hAnsi="Times New Roman" w:cs="Times New Roman"/>
          <w:sz w:val="28"/>
          <w:szCs w:val="28"/>
          <w:lang w:val="uk-UA"/>
        </w:rPr>
        <w:t xml:space="preserve"> </w:t>
      </w:r>
      <w:r w:rsidR="006E7E65">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A220D0">
        <w:rPr>
          <w:rFonts w:ascii="Times New Roman" w:hAnsi="Times New Roman" w:cs="Times New Roman"/>
          <w:sz w:val="28"/>
          <w:szCs w:val="28"/>
          <w:lang w:val="uk-UA"/>
        </w:rPr>
        <w:t>а результатами нашого дослідження</w:t>
      </w:r>
      <w:r>
        <w:rPr>
          <w:rFonts w:ascii="Times New Roman" w:hAnsi="Times New Roman" w:cs="Times New Roman"/>
          <w:sz w:val="28"/>
          <w:szCs w:val="28"/>
          <w:lang w:val="uk-UA"/>
        </w:rPr>
        <w:t>,</w:t>
      </w:r>
      <w:r w:rsidRPr="00A220D0">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концентрація</w:t>
      </w:r>
      <w:r w:rsidR="00A701C8" w:rsidRPr="00496950">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t>альбум</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нур</w:t>
      </w:r>
      <w:r w:rsidR="00C47916">
        <w:rPr>
          <w:rFonts w:ascii="Times New Roman" w:hAnsi="Times New Roman" w:cs="Times New Roman"/>
          <w:sz w:val="28"/>
          <w:szCs w:val="28"/>
          <w:lang w:val="en-US"/>
        </w:rPr>
        <w:t>i</w:t>
      </w:r>
      <w:r>
        <w:rPr>
          <w:rFonts w:ascii="Times New Roman" w:hAnsi="Times New Roman" w:cs="Times New Roman"/>
          <w:sz w:val="28"/>
          <w:szCs w:val="28"/>
          <w:lang w:val="uk-UA"/>
        </w:rPr>
        <w:t>ї знизилася</w:t>
      </w:r>
      <w:r w:rsidR="00C47916">
        <w:rPr>
          <w:rFonts w:ascii="Times New Roman" w:hAnsi="Times New Roman" w:cs="Times New Roman"/>
          <w:sz w:val="28"/>
          <w:szCs w:val="28"/>
          <w:lang w:val="uk-UA"/>
        </w:rPr>
        <w:t xml:space="preserve"> </w:t>
      </w:r>
      <w:r w:rsidR="00A701C8" w:rsidRPr="00496950">
        <w:rPr>
          <w:rFonts w:ascii="Times New Roman" w:hAnsi="Times New Roman" w:cs="Times New Roman"/>
          <w:sz w:val="28"/>
          <w:szCs w:val="28"/>
          <w:lang w:val="uk-UA"/>
        </w:rPr>
        <w:t>на 7 %</w:t>
      </w:r>
      <w:r>
        <w:rPr>
          <w:rFonts w:ascii="Times New Roman" w:hAnsi="Times New Roman" w:cs="Times New Roman"/>
          <w:sz w:val="28"/>
          <w:szCs w:val="28"/>
          <w:lang w:val="uk-UA"/>
        </w:rPr>
        <w:t xml:space="preserve"> </w:t>
      </w:r>
      <w:r w:rsidRPr="00A220D0">
        <w:rPr>
          <w:rFonts w:ascii="Times New Roman" w:hAnsi="Times New Roman" w:cs="Times New Roman"/>
          <w:sz w:val="28"/>
          <w:szCs w:val="28"/>
          <w:lang w:val="uk-UA"/>
        </w:rPr>
        <w:t>у хворих, якi приймали телмiсартан</w:t>
      </w:r>
      <w:r>
        <w:rPr>
          <w:rFonts w:ascii="Times New Roman" w:hAnsi="Times New Roman" w:cs="Times New Roman"/>
          <w:sz w:val="28"/>
          <w:szCs w:val="28"/>
          <w:lang w:val="uk-UA"/>
        </w:rPr>
        <w:t xml:space="preserve">. </w:t>
      </w:r>
      <w:r w:rsidR="00532862">
        <w:rPr>
          <w:rFonts w:ascii="Times New Roman" w:hAnsi="Times New Roman" w:cs="Times New Roman"/>
          <w:sz w:val="28"/>
          <w:szCs w:val="28"/>
          <w:lang w:val="uk-UA"/>
        </w:rPr>
        <w:t xml:space="preserve">Таким чином, у </w:t>
      </w:r>
      <w:r>
        <w:rPr>
          <w:rFonts w:ascii="Times New Roman" w:hAnsi="Times New Roman" w:cs="Times New Roman"/>
          <w:sz w:val="28"/>
          <w:szCs w:val="28"/>
          <w:lang w:val="uk-UA"/>
        </w:rPr>
        <w:t>пацієнтів і</w:t>
      </w:r>
      <w:r w:rsidR="00C47916">
        <w:rPr>
          <w:rFonts w:ascii="Times New Roman" w:hAnsi="Times New Roman" w:cs="Times New Roman"/>
          <w:sz w:val="28"/>
          <w:szCs w:val="28"/>
          <w:lang w:val="uk-UA"/>
        </w:rPr>
        <w:t xml:space="preserve">з АГ </w:t>
      </w:r>
      <w:r w:rsidR="006E7E65">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t>за наявност</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 супутнього ЦД 2-го типу п</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 впливом л</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кування телм</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сартаном в</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дсоток зниження альбум</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нур</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ї є меншим, н</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ж </w:t>
      </w:r>
      <w:r>
        <w:rPr>
          <w:rFonts w:ascii="Times New Roman" w:hAnsi="Times New Roman" w:cs="Times New Roman"/>
          <w:sz w:val="28"/>
          <w:szCs w:val="28"/>
          <w:lang w:val="uk-UA"/>
        </w:rPr>
        <w:t xml:space="preserve">у хворих на </w:t>
      </w:r>
      <w:r w:rsidR="0067026C">
        <w:rPr>
          <w:rFonts w:ascii="Times New Roman" w:hAnsi="Times New Roman" w:cs="Times New Roman"/>
          <w:sz w:val="28"/>
          <w:szCs w:val="28"/>
          <w:lang w:val="uk-UA"/>
        </w:rPr>
        <w:t>АГ, щ</w:t>
      </w:r>
      <w:r w:rsidR="00C47916">
        <w:rPr>
          <w:rFonts w:ascii="Times New Roman" w:hAnsi="Times New Roman" w:cs="Times New Roman"/>
          <w:sz w:val="28"/>
          <w:szCs w:val="28"/>
          <w:lang w:val="uk-UA"/>
        </w:rPr>
        <w:t>о св</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дчить про б</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льш глибок</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 порушення функц</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ї нирок </w:t>
      </w:r>
      <w:r>
        <w:rPr>
          <w:rFonts w:ascii="Times New Roman" w:hAnsi="Times New Roman" w:cs="Times New Roman"/>
          <w:sz w:val="28"/>
          <w:szCs w:val="28"/>
          <w:lang w:val="uk-UA"/>
        </w:rPr>
        <w:t xml:space="preserve">за наявності </w:t>
      </w:r>
      <w:r w:rsidR="00C47916">
        <w:rPr>
          <w:rFonts w:ascii="Times New Roman" w:hAnsi="Times New Roman" w:cs="Times New Roman"/>
          <w:sz w:val="28"/>
          <w:szCs w:val="28"/>
          <w:lang w:val="uk-UA"/>
        </w:rPr>
        <w:t>коморб</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дн</w:t>
      </w:r>
      <w:r>
        <w:rPr>
          <w:rFonts w:ascii="Times New Roman" w:hAnsi="Times New Roman" w:cs="Times New Roman"/>
          <w:sz w:val="28"/>
          <w:szCs w:val="28"/>
          <w:lang w:val="uk-UA"/>
        </w:rPr>
        <w:t>ої</w:t>
      </w:r>
      <w:r w:rsidR="00C47916">
        <w:rPr>
          <w:rFonts w:ascii="Times New Roman" w:hAnsi="Times New Roman" w:cs="Times New Roman"/>
          <w:sz w:val="28"/>
          <w:szCs w:val="28"/>
          <w:lang w:val="uk-UA"/>
        </w:rPr>
        <w:t xml:space="preserve"> патолог</w:t>
      </w:r>
      <w:r w:rsidR="00C47916">
        <w:rPr>
          <w:rFonts w:ascii="Times New Roman" w:hAnsi="Times New Roman" w:cs="Times New Roman"/>
          <w:sz w:val="28"/>
          <w:szCs w:val="28"/>
          <w:lang w:val="en-US"/>
        </w:rPr>
        <w:t>i</w:t>
      </w:r>
      <w:r w:rsidR="0067026C">
        <w:rPr>
          <w:rFonts w:ascii="Times New Roman" w:hAnsi="Times New Roman" w:cs="Times New Roman"/>
          <w:sz w:val="28"/>
          <w:szCs w:val="28"/>
          <w:lang w:val="uk-UA"/>
        </w:rPr>
        <w:t>ї.</w:t>
      </w:r>
      <w:r w:rsidR="00113A8F">
        <w:rPr>
          <w:rFonts w:ascii="Times New Roman" w:hAnsi="Times New Roman" w:cs="Times New Roman"/>
          <w:sz w:val="28"/>
          <w:szCs w:val="28"/>
          <w:lang w:val="uk-UA"/>
        </w:rPr>
        <w:t xml:space="preserve">        </w:t>
      </w:r>
    </w:p>
    <w:p w:rsidR="00A701C8" w:rsidRDefault="00A220D0" w:rsidP="0067026C">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Концентрація </w:t>
      </w:r>
      <w:r w:rsidR="00C47916">
        <w:rPr>
          <w:rFonts w:ascii="Times New Roman" w:hAnsi="Times New Roman" w:cs="Times New Roman"/>
          <w:sz w:val="28"/>
          <w:szCs w:val="28"/>
          <w:lang w:val="uk-UA"/>
        </w:rPr>
        <w:t>альбум</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ну, вид</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леного </w:t>
      </w:r>
      <w:r w:rsidR="00C47916">
        <w:rPr>
          <w:rFonts w:ascii="Times New Roman" w:hAnsi="Times New Roman" w:cs="Times New Roman"/>
          <w:sz w:val="28"/>
          <w:szCs w:val="28"/>
          <w:lang w:val="en-US"/>
        </w:rPr>
        <w:t>i</w:t>
      </w:r>
      <w:r>
        <w:rPr>
          <w:rFonts w:ascii="Times New Roman" w:hAnsi="Times New Roman" w:cs="Times New Roman"/>
          <w:sz w:val="28"/>
          <w:szCs w:val="28"/>
          <w:lang w:val="uk-UA"/>
        </w:rPr>
        <w:t>з сечею, знизила</w:t>
      </w:r>
      <w:r w:rsidR="00C47916">
        <w:rPr>
          <w:rFonts w:ascii="Times New Roman" w:hAnsi="Times New Roman" w:cs="Times New Roman"/>
          <w:sz w:val="28"/>
          <w:szCs w:val="28"/>
          <w:lang w:val="uk-UA"/>
        </w:rPr>
        <w:t xml:space="preserve">ся </w:t>
      </w:r>
      <w:r w:rsidR="00C47916">
        <w:rPr>
          <w:rFonts w:ascii="Times New Roman" w:hAnsi="Times New Roman" w:cs="Times New Roman"/>
          <w:sz w:val="28"/>
          <w:szCs w:val="28"/>
          <w:lang w:val="en-US"/>
        </w:rPr>
        <w:t>i</w:t>
      </w:r>
      <w:r w:rsidR="00A701C8" w:rsidRPr="00496950">
        <w:rPr>
          <w:rFonts w:ascii="Times New Roman" w:hAnsi="Times New Roman" w:cs="Times New Roman"/>
          <w:sz w:val="28"/>
          <w:szCs w:val="28"/>
          <w:lang w:val="uk-UA"/>
        </w:rPr>
        <w:t>з (</w:t>
      </w:r>
      <w:r w:rsidR="00A701C8" w:rsidRPr="00513D4C">
        <w:rPr>
          <w:rFonts w:ascii="Times New Roman" w:hAnsi="Times New Roman" w:cs="Times New Roman"/>
          <w:sz w:val="28"/>
          <w:szCs w:val="28"/>
          <w:lang w:val="uk-UA"/>
        </w:rPr>
        <w:t>58,87</w:t>
      </w:r>
      <w:r w:rsidR="00113A8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A701C8" w:rsidRPr="00496950">
        <w:rPr>
          <w:rFonts w:ascii="Times New Roman" w:hAnsi="Times New Roman" w:cs="Times New Roman"/>
          <w:sz w:val="28"/>
          <w:szCs w:val="28"/>
          <w:lang w:val="uk-UA"/>
        </w:rPr>
        <w:t>±</w:t>
      </w:r>
      <w:r w:rsidR="00113A8F">
        <w:rPr>
          <w:rFonts w:ascii="Times New Roman" w:hAnsi="Times New Roman" w:cs="Times New Roman"/>
          <w:sz w:val="28"/>
          <w:szCs w:val="28"/>
          <w:lang w:val="uk-UA"/>
        </w:rPr>
        <w:t xml:space="preserve"> 1,24)</w:t>
      </w:r>
      <w:r w:rsidR="00496950" w:rsidRPr="00496950">
        <w:rPr>
          <w:rFonts w:ascii="Times New Roman" w:hAnsi="Times New Roman" w:cs="Times New Roman"/>
          <w:sz w:val="28"/>
          <w:szCs w:val="28"/>
          <w:lang w:val="uk-UA"/>
        </w:rPr>
        <w:t xml:space="preserve"> до (55,04</w:t>
      </w:r>
      <w:r w:rsidR="00113A8F">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w:t>
      </w:r>
      <w:r w:rsidR="00113A8F">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1,4) мг/л</w:t>
      </w:r>
      <w:r>
        <w:rPr>
          <w:rFonts w:ascii="Times New Roman" w:hAnsi="Times New Roman" w:cs="Times New Roman"/>
          <w:sz w:val="28"/>
          <w:szCs w:val="28"/>
          <w:lang w:val="uk-UA"/>
        </w:rPr>
        <w:t xml:space="preserve"> у </w:t>
      </w:r>
      <w:r w:rsidRPr="00A220D0">
        <w:rPr>
          <w:rFonts w:ascii="Times New Roman" w:hAnsi="Times New Roman" w:cs="Times New Roman"/>
          <w:sz w:val="28"/>
          <w:szCs w:val="28"/>
          <w:lang w:val="uk-UA"/>
        </w:rPr>
        <w:t>пацiєнтiв, якi приймали лiзиноприл</w:t>
      </w:r>
      <w:r w:rsidR="00496950" w:rsidRPr="0049695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96950" w:rsidRPr="00496950">
        <w:rPr>
          <w:rFonts w:ascii="Times New Roman" w:hAnsi="Times New Roman" w:cs="Times New Roman"/>
          <w:sz w:val="28"/>
          <w:szCs w:val="28"/>
          <w:lang w:val="uk-UA"/>
        </w:rPr>
        <w:t>p = 0,0439</w:t>
      </w:r>
      <w:r>
        <w:rPr>
          <w:rFonts w:ascii="Times New Roman" w:hAnsi="Times New Roman" w:cs="Times New Roman"/>
          <w:sz w:val="28"/>
          <w:szCs w:val="28"/>
          <w:lang w:val="uk-UA"/>
        </w:rPr>
        <w:t>)</w:t>
      </w:r>
      <w:r w:rsidR="00A701C8" w:rsidRPr="00496950">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Вміст HbA1с зменшився</w:t>
      </w:r>
      <w:r w:rsidR="00496950" w:rsidRPr="00496950">
        <w:rPr>
          <w:rFonts w:ascii="Times New Roman" w:hAnsi="Times New Roman" w:cs="Times New Roman"/>
          <w:sz w:val="28"/>
          <w:szCs w:val="28"/>
          <w:lang w:val="uk-UA"/>
        </w:rPr>
        <w:t xml:space="preserve"> із (8,8</w:t>
      </w:r>
      <w:r w:rsidR="00113A8F">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w:t>
      </w:r>
      <w:r w:rsidR="00113A8F">
        <w:rPr>
          <w:rFonts w:ascii="Times New Roman" w:hAnsi="Times New Roman" w:cs="Times New Roman"/>
          <w:sz w:val="28"/>
          <w:szCs w:val="28"/>
          <w:lang w:val="uk-UA"/>
        </w:rPr>
        <w:t xml:space="preserve"> </w:t>
      </w:r>
      <w:r w:rsidR="00762219">
        <w:rPr>
          <w:rFonts w:ascii="Times New Roman" w:hAnsi="Times New Roman" w:cs="Times New Roman"/>
          <w:sz w:val="28"/>
          <w:szCs w:val="28"/>
          <w:lang w:val="uk-UA"/>
        </w:rPr>
        <w:t xml:space="preserve">0,18) </w:t>
      </w:r>
      <w:r>
        <w:rPr>
          <w:rFonts w:ascii="Times New Roman" w:hAnsi="Times New Roman" w:cs="Times New Roman"/>
          <w:sz w:val="28"/>
          <w:szCs w:val="28"/>
          <w:lang w:val="uk-UA"/>
        </w:rPr>
        <w:t>до (8,32 ±</w:t>
      </w:r>
      <w:r w:rsidR="00FA6106">
        <w:rPr>
          <w:rFonts w:ascii="Times New Roman" w:hAnsi="Times New Roman" w:cs="Times New Roman"/>
          <w:sz w:val="28"/>
          <w:szCs w:val="28"/>
          <w:lang w:val="uk-UA"/>
        </w:rPr>
        <w:t xml:space="preserve"> 0</w:t>
      </w:r>
      <w:r>
        <w:rPr>
          <w:rFonts w:ascii="Times New Roman" w:hAnsi="Times New Roman" w:cs="Times New Roman"/>
          <w:sz w:val="28"/>
          <w:szCs w:val="28"/>
          <w:lang w:val="uk-UA"/>
        </w:rPr>
        <w:t xml:space="preserve">,04) % у хворих, </w:t>
      </w:r>
      <w:r w:rsidR="00FA6106">
        <w:rPr>
          <w:rFonts w:ascii="Times New Roman" w:hAnsi="Times New Roman" w:cs="Times New Roman"/>
          <w:sz w:val="28"/>
          <w:szCs w:val="28"/>
          <w:lang w:val="uk-UA"/>
        </w:rPr>
        <w:t xml:space="preserve">               </w:t>
      </w:r>
      <w:r>
        <w:rPr>
          <w:rFonts w:ascii="Times New Roman" w:hAnsi="Times New Roman" w:cs="Times New Roman"/>
          <w:sz w:val="28"/>
          <w:szCs w:val="28"/>
          <w:lang w:val="uk-UA"/>
        </w:rPr>
        <w:t>якi вживали</w:t>
      </w:r>
      <w:r w:rsidRPr="00A220D0">
        <w:rPr>
          <w:rFonts w:ascii="Times New Roman" w:hAnsi="Times New Roman" w:cs="Times New Roman"/>
          <w:sz w:val="28"/>
          <w:szCs w:val="28"/>
          <w:lang w:val="uk-UA"/>
        </w:rPr>
        <w:t xml:space="preserve"> телмiсартан</w:t>
      </w:r>
      <w:r>
        <w:rPr>
          <w:rFonts w:ascii="Times New Roman" w:hAnsi="Times New Roman" w:cs="Times New Roman"/>
          <w:sz w:val="28"/>
          <w:szCs w:val="28"/>
          <w:lang w:val="uk-UA"/>
        </w:rPr>
        <w:t xml:space="preserve"> (</w:t>
      </w:r>
      <w:r w:rsidRPr="00A220D0">
        <w:rPr>
          <w:rFonts w:ascii="Times New Roman" w:hAnsi="Times New Roman" w:cs="Times New Roman"/>
          <w:sz w:val="28"/>
          <w:szCs w:val="28"/>
          <w:lang w:val="uk-UA"/>
        </w:rPr>
        <w:t>p = 0,0106</w:t>
      </w:r>
      <w:r>
        <w:rPr>
          <w:rFonts w:ascii="Times New Roman" w:hAnsi="Times New Roman" w:cs="Times New Roman"/>
          <w:sz w:val="28"/>
          <w:szCs w:val="28"/>
          <w:lang w:val="uk-UA"/>
        </w:rPr>
        <w:t>)</w:t>
      </w:r>
      <w:r w:rsidR="00380F75">
        <w:rPr>
          <w:rFonts w:ascii="Times New Roman" w:hAnsi="Times New Roman" w:cs="Times New Roman"/>
          <w:sz w:val="28"/>
          <w:szCs w:val="28"/>
          <w:lang w:val="uk-UA"/>
        </w:rPr>
        <w:t>. Вміст</w:t>
      </w:r>
      <w:r w:rsidR="00C47916">
        <w:rPr>
          <w:rFonts w:ascii="Times New Roman" w:hAnsi="Times New Roman" w:cs="Times New Roman"/>
          <w:sz w:val="28"/>
          <w:szCs w:val="28"/>
          <w:lang w:val="uk-UA"/>
        </w:rPr>
        <w:t xml:space="preserve">  HbA1с знизився </w:t>
      </w:r>
      <w:r w:rsidR="006E7E65">
        <w:rPr>
          <w:rFonts w:ascii="Times New Roman" w:hAnsi="Times New Roman" w:cs="Times New Roman"/>
          <w:sz w:val="28"/>
          <w:szCs w:val="28"/>
          <w:lang w:val="uk-UA"/>
        </w:rPr>
        <w:t xml:space="preserve">                           </w:t>
      </w:r>
      <w:r w:rsidR="00C47916">
        <w:rPr>
          <w:rFonts w:ascii="Times New Roman" w:hAnsi="Times New Roman" w:cs="Times New Roman"/>
          <w:sz w:val="28"/>
          <w:szCs w:val="28"/>
          <w:lang w:val="en-US"/>
        </w:rPr>
        <w:t>i</w:t>
      </w:r>
      <w:r w:rsidR="006E7E65">
        <w:rPr>
          <w:rFonts w:ascii="Times New Roman" w:hAnsi="Times New Roman" w:cs="Times New Roman"/>
          <w:sz w:val="28"/>
          <w:szCs w:val="28"/>
          <w:lang w:val="uk-UA"/>
        </w:rPr>
        <w:t xml:space="preserve">з </w:t>
      </w:r>
      <w:r w:rsidR="00496950" w:rsidRPr="00496950">
        <w:rPr>
          <w:rFonts w:ascii="Times New Roman" w:hAnsi="Times New Roman" w:cs="Times New Roman"/>
          <w:sz w:val="28"/>
          <w:szCs w:val="28"/>
          <w:lang w:val="uk-UA"/>
        </w:rPr>
        <w:t>(8,35</w:t>
      </w:r>
      <w:r w:rsidR="00762219">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w:t>
      </w:r>
      <w:r w:rsidR="00762219">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0,05) % до (8,1</w:t>
      </w:r>
      <w:r w:rsidR="00762219">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w:t>
      </w:r>
      <w:r w:rsidR="00762219">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0,08) %</w:t>
      </w:r>
      <w:r w:rsidR="00380F75">
        <w:rPr>
          <w:rFonts w:ascii="Times New Roman" w:hAnsi="Times New Roman" w:cs="Times New Roman"/>
          <w:sz w:val="28"/>
          <w:szCs w:val="28"/>
          <w:lang w:val="uk-UA"/>
        </w:rPr>
        <w:t xml:space="preserve"> на фоні прийому лізиноприлу (</w:t>
      </w:r>
      <w:r w:rsidR="00496950" w:rsidRPr="00496950">
        <w:rPr>
          <w:rFonts w:ascii="Times New Roman" w:hAnsi="Times New Roman" w:cs="Times New Roman"/>
          <w:sz w:val="28"/>
          <w:szCs w:val="28"/>
          <w:lang w:val="uk-UA"/>
        </w:rPr>
        <w:t>p = 0,0097</w:t>
      </w:r>
      <w:r w:rsidR="00380F75">
        <w:rPr>
          <w:rFonts w:ascii="Times New Roman" w:hAnsi="Times New Roman" w:cs="Times New Roman"/>
          <w:sz w:val="28"/>
          <w:szCs w:val="28"/>
          <w:lang w:val="uk-UA"/>
        </w:rPr>
        <w:t>).</w:t>
      </w:r>
      <w:r w:rsidR="00496950">
        <w:rPr>
          <w:rFonts w:ascii="Times New Roman" w:hAnsi="Times New Roman" w:cs="Times New Roman"/>
          <w:sz w:val="28"/>
          <w:szCs w:val="28"/>
          <w:lang w:val="uk-UA"/>
        </w:rPr>
        <w:t xml:space="preserve"> Таким ч</w:t>
      </w:r>
      <w:r w:rsidR="00C47916">
        <w:rPr>
          <w:rFonts w:ascii="Times New Roman" w:hAnsi="Times New Roman" w:cs="Times New Roman"/>
          <w:sz w:val="28"/>
          <w:szCs w:val="28"/>
          <w:lang w:val="uk-UA"/>
        </w:rPr>
        <w:t>ином, телм</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сартан не поступається л</w:t>
      </w:r>
      <w:r w:rsidR="00C47916">
        <w:rPr>
          <w:rFonts w:ascii="Times New Roman" w:hAnsi="Times New Roman" w:cs="Times New Roman"/>
          <w:sz w:val="28"/>
          <w:szCs w:val="28"/>
          <w:lang w:val="en-US"/>
        </w:rPr>
        <w:t>i</w:t>
      </w:r>
      <w:r w:rsidR="00496950">
        <w:rPr>
          <w:rFonts w:ascii="Times New Roman" w:hAnsi="Times New Roman" w:cs="Times New Roman"/>
          <w:sz w:val="28"/>
          <w:szCs w:val="28"/>
          <w:lang w:val="uk-UA"/>
        </w:rPr>
        <w:t>з</w:t>
      </w:r>
      <w:r w:rsidR="00C47916">
        <w:rPr>
          <w:rFonts w:ascii="Times New Roman" w:hAnsi="Times New Roman" w:cs="Times New Roman"/>
          <w:sz w:val="28"/>
          <w:szCs w:val="28"/>
          <w:lang w:val="uk-UA"/>
        </w:rPr>
        <w:t xml:space="preserve">иноприлу </w:t>
      </w:r>
      <w:r w:rsidR="006E7E65">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lastRenderedPageBreak/>
        <w:t>за нефропротекторною д</w:t>
      </w:r>
      <w:r w:rsidR="00C47916">
        <w:rPr>
          <w:rFonts w:ascii="Times New Roman" w:hAnsi="Times New Roman" w:cs="Times New Roman"/>
          <w:sz w:val="28"/>
          <w:szCs w:val="28"/>
          <w:lang w:val="en-US"/>
        </w:rPr>
        <w:t>i</w:t>
      </w:r>
      <w:r w:rsidR="00496950">
        <w:rPr>
          <w:rFonts w:ascii="Times New Roman" w:hAnsi="Times New Roman" w:cs="Times New Roman"/>
          <w:sz w:val="28"/>
          <w:szCs w:val="28"/>
          <w:lang w:val="uk-UA"/>
        </w:rPr>
        <w:t>єю</w:t>
      </w:r>
      <w:r w:rsidR="00E562E5" w:rsidRPr="00D5566C">
        <w:rPr>
          <w:rFonts w:ascii="Times New Roman" w:hAnsi="Times New Roman" w:cs="Times New Roman"/>
          <w:sz w:val="28"/>
          <w:szCs w:val="28"/>
          <w:lang w:val="uk-UA"/>
        </w:rPr>
        <w:t xml:space="preserve"> [</w:t>
      </w:r>
      <w:r w:rsidR="00D0196D" w:rsidRPr="004900D9">
        <w:rPr>
          <w:rFonts w:ascii="Times New Roman" w:hAnsi="Times New Roman" w:cs="Times New Roman"/>
          <w:sz w:val="28"/>
          <w:szCs w:val="28"/>
          <w:lang w:val="uk-UA"/>
        </w:rPr>
        <w:t>200</w:t>
      </w:r>
      <w:r w:rsidR="00E562E5" w:rsidRPr="004900D9">
        <w:rPr>
          <w:rFonts w:ascii="Times New Roman" w:hAnsi="Times New Roman" w:cs="Times New Roman"/>
          <w:sz w:val="28"/>
          <w:szCs w:val="28"/>
          <w:lang w:val="uk-UA"/>
        </w:rPr>
        <w:t>]</w:t>
      </w:r>
      <w:r w:rsidR="00496950" w:rsidRPr="004900D9">
        <w:rPr>
          <w:rFonts w:ascii="Times New Roman" w:hAnsi="Times New Roman" w:cs="Times New Roman"/>
          <w:sz w:val="28"/>
          <w:szCs w:val="28"/>
          <w:lang w:val="uk-UA"/>
        </w:rPr>
        <w:t>.</w:t>
      </w:r>
      <w:r w:rsidR="00A61C69" w:rsidRPr="00A61C69">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t>У досл</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дженн</w:t>
      </w:r>
      <w:r w:rsidR="00C47916">
        <w:rPr>
          <w:rFonts w:ascii="Times New Roman" w:hAnsi="Times New Roman" w:cs="Times New Roman"/>
          <w:sz w:val="28"/>
          <w:szCs w:val="28"/>
          <w:lang w:val="en-US"/>
        </w:rPr>
        <w:t>i</w:t>
      </w:r>
      <w:r w:rsidR="00A61C69" w:rsidRPr="0067026C">
        <w:rPr>
          <w:rFonts w:ascii="Times New Roman" w:hAnsi="Times New Roman" w:cs="Times New Roman"/>
          <w:sz w:val="28"/>
          <w:szCs w:val="28"/>
          <w:lang w:val="uk-UA"/>
        </w:rPr>
        <w:t xml:space="preserve"> </w:t>
      </w:r>
      <w:r w:rsidR="00A61C69" w:rsidRPr="0067026C">
        <w:rPr>
          <w:rFonts w:ascii="Times New Roman" w:hAnsi="Times New Roman" w:cs="Times New Roman"/>
          <w:sz w:val="28"/>
          <w:szCs w:val="28"/>
          <w:lang w:val="en-US"/>
        </w:rPr>
        <w:t>INNOVATION</w:t>
      </w:r>
      <w:r w:rsidR="00A61C69" w:rsidRPr="0067026C">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t>зазначена наявн</w:t>
      </w:r>
      <w:r w:rsidR="00C47916">
        <w:rPr>
          <w:rFonts w:ascii="Times New Roman" w:hAnsi="Times New Roman" w:cs="Times New Roman"/>
          <w:sz w:val="28"/>
          <w:szCs w:val="28"/>
          <w:lang w:val="en-US"/>
        </w:rPr>
        <w:t>i</w:t>
      </w:r>
      <w:r w:rsidR="0067026C" w:rsidRPr="0067026C">
        <w:rPr>
          <w:rFonts w:ascii="Times New Roman" w:hAnsi="Times New Roman" w:cs="Times New Roman"/>
          <w:sz w:val="28"/>
          <w:szCs w:val="28"/>
          <w:lang w:val="uk-UA"/>
        </w:rPr>
        <w:t>сть додаткових</w:t>
      </w:r>
      <w:r w:rsidR="00A61C69" w:rsidRPr="0067026C">
        <w:rPr>
          <w:rFonts w:ascii="Times New Roman" w:hAnsi="Times New Roman" w:cs="Times New Roman"/>
          <w:sz w:val="28"/>
          <w:szCs w:val="28"/>
          <w:lang w:val="uk-UA"/>
        </w:rPr>
        <w:t xml:space="preserve"> нефропро</w:t>
      </w:r>
      <w:r w:rsidR="00C47916">
        <w:rPr>
          <w:rFonts w:ascii="Times New Roman" w:hAnsi="Times New Roman" w:cs="Times New Roman"/>
          <w:sz w:val="28"/>
          <w:szCs w:val="28"/>
          <w:lang w:val="uk-UA"/>
        </w:rPr>
        <w:t>текторних механ</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змів д</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ї телм</w:t>
      </w:r>
      <w:r w:rsidR="00C47916">
        <w:rPr>
          <w:rFonts w:ascii="Times New Roman" w:hAnsi="Times New Roman" w:cs="Times New Roman"/>
          <w:sz w:val="28"/>
          <w:szCs w:val="28"/>
          <w:lang w:val="en-US"/>
        </w:rPr>
        <w:t>i</w:t>
      </w:r>
      <w:r w:rsidR="001143A7">
        <w:rPr>
          <w:rFonts w:ascii="Times New Roman" w:hAnsi="Times New Roman" w:cs="Times New Roman"/>
          <w:sz w:val="28"/>
          <w:szCs w:val="28"/>
          <w:lang w:val="uk-UA"/>
        </w:rPr>
        <w:t>сарт</w:t>
      </w:r>
      <w:r w:rsidR="0067026C" w:rsidRPr="0067026C">
        <w:rPr>
          <w:rFonts w:ascii="Times New Roman" w:hAnsi="Times New Roman" w:cs="Times New Roman"/>
          <w:sz w:val="28"/>
          <w:szCs w:val="28"/>
          <w:lang w:val="uk-UA"/>
        </w:rPr>
        <w:t xml:space="preserve">ану, </w:t>
      </w:r>
      <w:r w:rsidR="006E7E65">
        <w:rPr>
          <w:rFonts w:ascii="Times New Roman" w:hAnsi="Times New Roman" w:cs="Times New Roman"/>
          <w:sz w:val="28"/>
          <w:szCs w:val="28"/>
          <w:lang w:val="uk-UA"/>
        </w:rPr>
        <w:t xml:space="preserve">          </w:t>
      </w:r>
      <w:r w:rsidR="0067026C" w:rsidRPr="0067026C">
        <w:rPr>
          <w:rFonts w:ascii="Times New Roman" w:hAnsi="Times New Roman" w:cs="Times New Roman"/>
          <w:sz w:val="28"/>
          <w:szCs w:val="28"/>
          <w:lang w:val="uk-UA"/>
        </w:rPr>
        <w:t>не пов’язаних</w:t>
      </w:r>
      <w:r w:rsidR="00C47916">
        <w:rPr>
          <w:rFonts w:ascii="Times New Roman" w:hAnsi="Times New Roman" w:cs="Times New Roman"/>
          <w:sz w:val="28"/>
          <w:szCs w:val="28"/>
          <w:lang w:val="uk-UA"/>
        </w:rPr>
        <w:t xml:space="preserve"> безпосередньо з його г</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потензивною д</w:t>
      </w:r>
      <w:r w:rsidR="00C47916">
        <w:rPr>
          <w:rFonts w:ascii="Times New Roman" w:hAnsi="Times New Roman" w:cs="Times New Roman"/>
          <w:sz w:val="28"/>
          <w:szCs w:val="28"/>
          <w:lang w:val="en-US"/>
        </w:rPr>
        <w:t>i</w:t>
      </w:r>
      <w:r w:rsidR="00D5566C">
        <w:rPr>
          <w:rFonts w:ascii="Times New Roman" w:hAnsi="Times New Roman" w:cs="Times New Roman"/>
          <w:sz w:val="28"/>
          <w:szCs w:val="28"/>
          <w:lang w:val="uk-UA"/>
        </w:rPr>
        <w:t>єю [</w:t>
      </w:r>
      <w:r w:rsidR="002E7A76" w:rsidRPr="004900D9">
        <w:rPr>
          <w:rFonts w:ascii="Times New Roman" w:hAnsi="Times New Roman" w:cs="Times New Roman"/>
          <w:sz w:val="28"/>
          <w:szCs w:val="28"/>
          <w:lang w:val="uk-UA"/>
        </w:rPr>
        <w:t>188</w:t>
      </w:r>
      <w:r w:rsidR="00A61C69" w:rsidRPr="004900D9">
        <w:rPr>
          <w:rFonts w:ascii="Times New Roman" w:hAnsi="Times New Roman" w:cs="Times New Roman"/>
          <w:sz w:val="28"/>
          <w:szCs w:val="28"/>
          <w:lang w:val="uk-UA"/>
        </w:rPr>
        <w:t>]</w:t>
      </w:r>
      <w:r w:rsidR="00A61C69" w:rsidRPr="0067026C">
        <w:rPr>
          <w:rFonts w:ascii="Times New Roman" w:hAnsi="Times New Roman" w:cs="Times New Roman"/>
          <w:sz w:val="28"/>
          <w:szCs w:val="28"/>
          <w:lang w:val="uk-UA"/>
        </w:rPr>
        <w:t>.</w:t>
      </w:r>
      <w:r w:rsidR="00A61C69">
        <w:rPr>
          <w:rFonts w:ascii="Times New Roman" w:hAnsi="Times New Roman" w:cs="Times New Roman"/>
          <w:sz w:val="28"/>
          <w:szCs w:val="28"/>
          <w:lang w:val="uk-UA"/>
        </w:rPr>
        <w:t xml:space="preserve"> </w:t>
      </w:r>
    </w:p>
    <w:p w:rsidR="00E2465B" w:rsidRDefault="00D96915" w:rsidP="005C186D">
      <w:pPr>
        <w:autoSpaceDE w:val="0"/>
        <w:autoSpaceDN w:val="0"/>
        <w:adjustRightInd w:val="0"/>
        <w:spacing w:after="0" w:line="360" w:lineRule="auto"/>
        <w:ind w:firstLine="708"/>
        <w:jc w:val="both"/>
        <w:rPr>
          <w:rFonts w:ascii="Times New Roman" w:hAnsi="Times New Roman" w:cs="Times New Roman"/>
          <w:sz w:val="28"/>
          <w:szCs w:val="28"/>
          <w:lang w:val="uk-UA"/>
        </w:rPr>
      </w:pPr>
      <w:r w:rsidRPr="0067026C">
        <w:rPr>
          <w:rFonts w:ascii="Times New Roman" w:hAnsi="Times New Roman" w:cs="Times New Roman"/>
          <w:sz w:val="28"/>
          <w:szCs w:val="28"/>
          <w:lang w:val="uk-UA"/>
        </w:rPr>
        <w:t>Доведено, що застос</w:t>
      </w:r>
      <w:r w:rsidR="00C47916">
        <w:rPr>
          <w:rFonts w:ascii="Times New Roman" w:hAnsi="Times New Roman" w:cs="Times New Roman"/>
          <w:sz w:val="28"/>
          <w:szCs w:val="28"/>
          <w:lang w:val="uk-UA"/>
        </w:rPr>
        <w:t xml:space="preserve">ування </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АПФ/БРА </w:t>
      </w:r>
      <w:r w:rsidR="00380F75">
        <w:rPr>
          <w:rFonts w:ascii="Times New Roman" w:hAnsi="Times New Roman" w:cs="Times New Roman"/>
          <w:sz w:val="28"/>
          <w:szCs w:val="28"/>
          <w:lang w:val="uk-UA"/>
        </w:rPr>
        <w:t>у пацієнтів і</w:t>
      </w:r>
      <w:r w:rsidR="003B17A5">
        <w:rPr>
          <w:rFonts w:ascii="Times New Roman" w:hAnsi="Times New Roman" w:cs="Times New Roman"/>
          <w:sz w:val="28"/>
          <w:szCs w:val="28"/>
          <w:lang w:val="uk-UA"/>
        </w:rPr>
        <w:t>з ЦД 2-го типу та ДН</w:t>
      </w:r>
      <w:r w:rsidR="00C47916">
        <w:rPr>
          <w:rFonts w:ascii="Times New Roman" w:hAnsi="Times New Roman" w:cs="Times New Roman"/>
          <w:sz w:val="28"/>
          <w:szCs w:val="28"/>
          <w:lang w:val="uk-UA"/>
        </w:rPr>
        <w:t xml:space="preserve"> сприяє зниженню </w:t>
      </w:r>
      <w:r w:rsidR="00C47916">
        <w:rPr>
          <w:rFonts w:ascii="Times New Roman" w:hAnsi="Times New Roman" w:cs="Times New Roman"/>
          <w:sz w:val="28"/>
          <w:szCs w:val="28"/>
          <w:lang w:val="en-US"/>
        </w:rPr>
        <w:t>I</w:t>
      </w:r>
      <w:r w:rsidR="003B17A5">
        <w:rPr>
          <w:rFonts w:ascii="Times New Roman" w:hAnsi="Times New Roman" w:cs="Times New Roman"/>
          <w:sz w:val="28"/>
          <w:szCs w:val="28"/>
          <w:lang w:val="uk-UA"/>
        </w:rPr>
        <w:t>ММЛШ [</w:t>
      </w:r>
      <w:r w:rsidR="00D0196D" w:rsidRPr="004900D9">
        <w:rPr>
          <w:rFonts w:ascii="Times New Roman" w:hAnsi="Times New Roman" w:cs="Times New Roman"/>
          <w:sz w:val="28"/>
          <w:szCs w:val="28"/>
        </w:rPr>
        <w:t>201</w:t>
      </w:r>
      <w:r w:rsidR="004E5650">
        <w:rPr>
          <w:rFonts w:ascii="Times New Roman" w:hAnsi="Times New Roman" w:cs="Times New Roman"/>
          <w:sz w:val="28"/>
          <w:szCs w:val="28"/>
          <w:lang w:val="uk-UA"/>
        </w:rPr>
        <w:t>]</w:t>
      </w:r>
      <w:r w:rsidRPr="0067026C">
        <w:rPr>
          <w:rFonts w:ascii="Times New Roman" w:hAnsi="Times New Roman" w:cs="Times New Roman"/>
          <w:sz w:val="28"/>
          <w:szCs w:val="28"/>
          <w:lang w:val="uk-UA"/>
        </w:rPr>
        <w:t>.</w:t>
      </w:r>
      <w:r w:rsidR="004E5650">
        <w:rPr>
          <w:rFonts w:ascii="Times New Roman" w:hAnsi="Times New Roman" w:cs="Times New Roman"/>
          <w:sz w:val="28"/>
          <w:szCs w:val="28"/>
          <w:lang w:val="uk-UA"/>
        </w:rPr>
        <w:t xml:space="preserve"> </w:t>
      </w:r>
      <w:r w:rsidR="00380F75">
        <w:rPr>
          <w:rFonts w:ascii="Times New Roman" w:hAnsi="Times New Roman" w:cs="Times New Roman"/>
          <w:sz w:val="28"/>
          <w:szCs w:val="28"/>
          <w:lang w:val="uk-UA"/>
        </w:rPr>
        <w:t xml:space="preserve">Дослідниками установлено </w:t>
      </w:r>
      <w:r w:rsidR="00C47916">
        <w:rPr>
          <w:rFonts w:ascii="Times New Roman" w:hAnsi="Times New Roman" w:cs="Times New Roman"/>
          <w:sz w:val="28"/>
          <w:szCs w:val="28"/>
          <w:lang w:val="uk-UA"/>
        </w:rPr>
        <w:t xml:space="preserve">зменшення </w:t>
      </w:r>
      <w:r w:rsidR="00C47916">
        <w:rPr>
          <w:rFonts w:ascii="Times New Roman" w:hAnsi="Times New Roman" w:cs="Times New Roman"/>
          <w:sz w:val="28"/>
          <w:szCs w:val="28"/>
          <w:lang w:val="en-US"/>
        </w:rPr>
        <w:t>I</w:t>
      </w:r>
      <w:r w:rsidR="006D7F0E">
        <w:rPr>
          <w:rFonts w:ascii="Times New Roman" w:hAnsi="Times New Roman" w:cs="Times New Roman"/>
          <w:sz w:val="28"/>
          <w:szCs w:val="28"/>
          <w:lang w:val="uk-UA"/>
        </w:rPr>
        <w:t>ММ</w:t>
      </w:r>
      <w:r>
        <w:rPr>
          <w:rFonts w:ascii="Times New Roman" w:hAnsi="Times New Roman" w:cs="Times New Roman"/>
          <w:sz w:val="28"/>
          <w:szCs w:val="28"/>
          <w:lang w:val="uk-UA"/>
        </w:rPr>
        <w:t xml:space="preserve">ЛШ </w:t>
      </w:r>
      <w:r w:rsidR="00C47916">
        <w:rPr>
          <w:rFonts w:ascii="Times New Roman" w:hAnsi="Times New Roman" w:cs="Times New Roman"/>
          <w:sz w:val="28"/>
          <w:szCs w:val="28"/>
          <w:lang w:val="uk-UA"/>
        </w:rPr>
        <w:t>на фон</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 xml:space="preserve"> три</w:t>
      </w:r>
      <w:r w:rsidR="00E2465B" w:rsidRPr="00E2465B">
        <w:rPr>
          <w:rFonts w:ascii="Times New Roman" w:hAnsi="Times New Roman" w:cs="Times New Roman"/>
          <w:sz w:val="28"/>
          <w:szCs w:val="28"/>
          <w:lang w:val="uk-UA"/>
        </w:rPr>
        <w:t>м</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ся</w:t>
      </w:r>
      <w:r w:rsidR="00C47916">
        <w:rPr>
          <w:rFonts w:ascii="Times New Roman" w:hAnsi="Times New Roman" w:cs="Times New Roman"/>
          <w:sz w:val="28"/>
          <w:szCs w:val="28"/>
          <w:lang w:val="uk-UA"/>
        </w:rPr>
        <w:t>чної терап</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ї телм</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сартаном дозою</w:t>
      </w:r>
      <w:r w:rsidR="00E2465B" w:rsidRPr="00E2465B">
        <w:rPr>
          <w:rFonts w:ascii="Times New Roman" w:hAnsi="Times New Roman" w:cs="Times New Roman"/>
          <w:sz w:val="28"/>
          <w:szCs w:val="28"/>
          <w:lang w:val="uk-UA"/>
        </w:rPr>
        <w:t xml:space="preserve"> 80 мг/добу </w:t>
      </w:r>
      <w:r w:rsidR="006E7E65">
        <w:rPr>
          <w:rFonts w:ascii="Times New Roman" w:hAnsi="Times New Roman" w:cs="Times New Roman"/>
          <w:sz w:val="28"/>
          <w:szCs w:val="28"/>
          <w:lang w:val="uk-UA"/>
        </w:rPr>
        <w:t xml:space="preserve">          </w:t>
      </w:r>
      <w:r w:rsidR="00E2465B" w:rsidRPr="00E2465B">
        <w:rPr>
          <w:rFonts w:ascii="Times New Roman" w:hAnsi="Times New Roman" w:cs="Times New Roman"/>
          <w:sz w:val="28"/>
          <w:szCs w:val="28"/>
          <w:lang w:val="uk-UA"/>
        </w:rPr>
        <w:t>на 6,8</w:t>
      </w:r>
      <w:r>
        <w:rPr>
          <w:rFonts w:ascii="Times New Roman" w:hAnsi="Times New Roman" w:cs="Times New Roman"/>
          <w:sz w:val="28"/>
          <w:szCs w:val="28"/>
          <w:lang w:val="uk-UA"/>
        </w:rPr>
        <w:t xml:space="preserve"> % </w:t>
      </w:r>
      <w:r w:rsidR="00380F75">
        <w:rPr>
          <w:rFonts w:ascii="Times New Roman" w:hAnsi="Times New Roman" w:cs="Times New Roman"/>
          <w:sz w:val="28"/>
          <w:szCs w:val="28"/>
          <w:lang w:val="uk-UA"/>
        </w:rPr>
        <w:t>(</w:t>
      </w:r>
      <w:r w:rsidR="00A762D8">
        <w:rPr>
          <w:rFonts w:ascii="Times New Roman" w:hAnsi="Times New Roman" w:cs="Times New Roman"/>
          <w:sz w:val="28"/>
          <w:szCs w:val="28"/>
          <w:lang w:val="uk-UA"/>
        </w:rPr>
        <w:t>p</w:t>
      </w:r>
      <w:r>
        <w:rPr>
          <w:rFonts w:ascii="Times New Roman" w:hAnsi="Times New Roman" w:cs="Times New Roman"/>
          <w:sz w:val="28"/>
          <w:szCs w:val="28"/>
          <w:lang w:val="uk-UA"/>
        </w:rPr>
        <w:t xml:space="preserve"> </w:t>
      </w:r>
      <w:r w:rsidR="00E2465B" w:rsidRPr="00E2465B">
        <w:rPr>
          <w:rFonts w:ascii="Times New Roman" w:hAnsi="Times New Roman" w:cs="Times New Roman"/>
          <w:sz w:val="28"/>
          <w:szCs w:val="28"/>
          <w:lang w:val="uk-UA"/>
        </w:rPr>
        <w:t xml:space="preserve">&lt; 0,05) у </w:t>
      </w:r>
      <w:r w:rsidR="00C47916">
        <w:rPr>
          <w:rFonts w:ascii="Times New Roman" w:hAnsi="Times New Roman" w:cs="Times New Roman"/>
          <w:sz w:val="28"/>
          <w:szCs w:val="28"/>
          <w:lang w:val="uk-UA"/>
        </w:rPr>
        <w:t>пац</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 xml:space="preserve">єнтів </w:t>
      </w:r>
      <w:r w:rsidR="00C47916">
        <w:rPr>
          <w:rFonts w:ascii="Times New Roman" w:hAnsi="Times New Roman" w:cs="Times New Roman"/>
          <w:sz w:val="28"/>
          <w:szCs w:val="28"/>
          <w:lang w:val="en-US"/>
        </w:rPr>
        <w:t>i</w:t>
      </w:r>
      <w:r w:rsidR="00110918">
        <w:rPr>
          <w:rFonts w:ascii="Times New Roman" w:hAnsi="Times New Roman" w:cs="Times New Roman"/>
          <w:sz w:val="28"/>
          <w:szCs w:val="28"/>
          <w:lang w:val="uk-UA"/>
        </w:rPr>
        <w:t xml:space="preserve">з АГ </w:t>
      </w:r>
      <w:r w:rsidR="00E2465B" w:rsidRPr="00E2465B">
        <w:rPr>
          <w:rFonts w:ascii="Times New Roman" w:hAnsi="Times New Roman" w:cs="Times New Roman"/>
          <w:sz w:val="28"/>
          <w:szCs w:val="28"/>
          <w:lang w:val="uk-UA"/>
        </w:rPr>
        <w:t>[</w:t>
      </w:r>
      <w:r w:rsidR="00D0196D" w:rsidRPr="006E7E65">
        <w:rPr>
          <w:rFonts w:ascii="Times New Roman" w:hAnsi="Times New Roman" w:cs="Times New Roman"/>
          <w:sz w:val="28"/>
          <w:szCs w:val="28"/>
          <w:lang w:val="uk-UA"/>
        </w:rPr>
        <w:t>202</w:t>
      </w:r>
      <w:r w:rsidR="00C47916">
        <w:rPr>
          <w:rFonts w:ascii="Times New Roman" w:hAnsi="Times New Roman" w:cs="Times New Roman"/>
          <w:sz w:val="28"/>
          <w:szCs w:val="28"/>
          <w:lang w:val="uk-UA"/>
        </w:rPr>
        <w:t xml:space="preserve">]. </w:t>
      </w:r>
      <w:r w:rsidR="007E0D0B">
        <w:rPr>
          <w:rFonts w:ascii="Times New Roman" w:hAnsi="Times New Roman" w:cs="Times New Roman"/>
          <w:sz w:val="28"/>
          <w:szCs w:val="28"/>
          <w:lang w:val="uk-UA"/>
        </w:rPr>
        <w:t>Але нами було визначено динаміку</w:t>
      </w:r>
      <w:r w:rsidR="007E0D0B" w:rsidRPr="007E0D0B">
        <w:t xml:space="preserve"> </w:t>
      </w:r>
      <w:r w:rsidR="007E0D0B" w:rsidRPr="007E0D0B">
        <w:rPr>
          <w:rFonts w:ascii="Times New Roman" w:hAnsi="Times New Roman" w:cs="Times New Roman"/>
          <w:sz w:val="28"/>
          <w:szCs w:val="28"/>
          <w:lang w:val="uk-UA"/>
        </w:rPr>
        <w:t>IММЛШ</w:t>
      </w:r>
      <w:r w:rsidR="007E0D0B">
        <w:rPr>
          <w:rFonts w:ascii="Times New Roman" w:hAnsi="Times New Roman" w:cs="Times New Roman"/>
          <w:sz w:val="28"/>
          <w:szCs w:val="28"/>
          <w:lang w:val="uk-UA"/>
        </w:rPr>
        <w:t xml:space="preserve"> під впливом лікування зазначеним БРА саме при коморбідній патології. </w:t>
      </w:r>
      <w:r w:rsidR="00380F75">
        <w:rPr>
          <w:rFonts w:ascii="Times New Roman" w:hAnsi="Times New Roman" w:cs="Times New Roman"/>
          <w:sz w:val="28"/>
          <w:szCs w:val="28"/>
          <w:lang w:val="uk-UA"/>
        </w:rPr>
        <w:t xml:space="preserve">Виявлене </w:t>
      </w:r>
      <w:r w:rsidR="00C47916">
        <w:rPr>
          <w:rFonts w:ascii="Times New Roman" w:hAnsi="Times New Roman" w:cs="Times New Roman"/>
          <w:sz w:val="28"/>
          <w:szCs w:val="28"/>
          <w:lang w:val="uk-UA"/>
        </w:rPr>
        <w:t xml:space="preserve">зниження </w:t>
      </w:r>
      <w:r w:rsidR="00C47916">
        <w:rPr>
          <w:rFonts w:ascii="Times New Roman" w:hAnsi="Times New Roman" w:cs="Times New Roman"/>
          <w:sz w:val="28"/>
          <w:szCs w:val="28"/>
          <w:lang w:val="en-US"/>
        </w:rPr>
        <w:t>I</w:t>
      </w:r>
      <w:r>
        <w:rPr>
          <w:rFonts w:ascii="Times New Roman" w:hAnsi="Times New Roman" w:cs="Times New Roman"/>
          <w:sz w:val="28"/>
          <w:szCs w:val="28"/>
          <w:lang w:val="uk-UA"/>
        </w:rPr>
        <w:t xml:space="preserve">ММЛШ </w:t>
      </w:r>
      <w:r w:rsidR="00380F75">
        <w:rPr>
          <w:rFonts w:ascii="Times New Roman" w:hAnsi="Times New Roman" w:cs="Times New Roman"/>
          <w:sz w:val="28"/>
          <w:szCs w:val="28"/>
          <w:lang w:val="uk-UA"/>
        </w:rPr>
        <w:t xml:space="preserve">на </w:t>
      </w:r>
      <w:r w:rsidR="00380F75" w:rsidRPr="00380F75">
        <w:rPr>
          <w:rFonts w:ascii="Times New Roman" w:hAnsi="Times New Roman" w:cs="Times New Roman"/>
          <w:sz w:val="28"/>
          <w:szCs w:val="28"/>
          <w:lang w:val="uk-UA"/>
        </w:rPr>
        <w:t>5,96 % (p = 0,0082</w:t>
      </w:r>
      <w:r w:rsidR="00380F75">
        <w:rPr>
          <w:rFonts w:ascii="Times New Roman" w:hAnsi="Times New Roman" w:cs="Times New Roman"/>
          <w:sz w:val="28"/>
          <w:szCs w:val="28"/>
          <w:lang w:val="uk-UA"/>
        </w:rPr>
        <w:t xml:space="preserve">) </w:t>
      </w:r>
      <w:r w:rsidR="00E2465B" w:rsidRPr="00E2465B">
        <w:rPr>
          <w:rFonts w:ascii="Times New Roman" w:hAnsi="Times New Roman" w:cs="Times New Roman"/>
          <w:sz w:val="28"/>
          <w:szCs w:val="28"/>
          <w:lang w:val="uk-UA"/>
        </w:rPr>
        <w:t xml:space="preserve">у </w:t>
      </w:r>
      <w:r w:rsidR="00762219">
        <w:rPr>
          <w:rFonts w:ascii="Times New Roman" w:hAnsi="Times New Roman" w:cs="Times New Roman"/>
          <w:sz w:val="28"/>
          <w:szCs w:val="28"/>
          <w:lang w:val="uk-UA"/>
        </w:rPr>
        <w:t>хворих</w:t>
      </w:r>
      <w:r w:rsidR="00C47916">
        <w:rPr>
          <w:rFonts w:ascii="Times New Roman" w:hAnsi="Times New Roman" w:cs="Times New Roman"/>
          <w:sz w:val="28"/>
          <w:szCs w:val="28"/>
          <w:lang w:val="uk-UA"/>
        </w:rPr>
        <w:t xml:space="preserve"> </w:t>
      </w:r>
      <w:r w:rsidR="00380F75">
        <w:rPr>
          <w:rFonts w:ascii="Times New Roman" w:hAnsi="Times New Roman" w:cs="Times New Roman"/>
          <w:sz w:val="28"/>
          <w:szCs w:val="28"/>
          <w:lang w:val="uk-UA"/>
        </w:rPr>
        <w:t>на</w:t>
      </w:r>
      <w:r w:rsidR="00532862">
        <w:rPr>
          <w:rFonts w:ascii="Times New Roman" w:hAnsi="Times New Roman" w:cs="Times New Roman"/>
          <w:sz w:val="28"/>
          <w:szCs w:val="28"/>
          <w:lang w:val="uk-UA"/>
        </w:rPr>
        <w:t xml:space="preserve"> АГ та ЦД 2-го типу</w:t>
      </w:r>
      <w:r w:rsidR="00380F75">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t>на фон</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 xml:space="preserve"> приймання 40−</w:t>
      </w:r>
      <w:r w:rsidR="00C47916">
        <w:rPr>
          <w:rFonts w:ascii="Times New Roman" w:hAnsi="Times New Roman" w:cs="Times New Roman"/>
          <w:sz w:val="28"/>
          <w:szCs w:val="28"/>
          <w:lang w:val="uk-UA"/>
        </w:rPr>
        <w:t>80 мг телм</w:t>
      </w:r>
      <w:r w:rsidR="00C47916">
        <w:rPr>
          <w:rFonts w:ascii="Times New Roman" w:hAnsi="Times New Roman" w:cs="Times New Roman"/>
          <w:sz w:val="28"/>
          <w:szCs w:val="28"/>
          <w:lang w:val="en-US"/>
        </w:rPr>
        <w:t>i</w:t>
      </w:r>
      <w:r w:rsidR="00E2465B" w:rsidRPr="00E2465B">
        <w:rPr>
          <w:rFonts w:ascii="Times New Roman" w:hAnsi="Times New Roman" w:cs="Times New Roman"/>
          <w:sz w:val="28"/>
          <w:szCs w:val="28"/>
          <w:lang w:val="uk-UA"/>
        </w:rPr>
        <w:t>с</w:t>
      </w:r>
      <w:r w:rsidR="00830ECE">
        <w:rPr>
          <w:rFonts w:ascii="Times New Roman" w:hAnsi="Times New Roman" w:cs="Times New Roman"/>
          <w:sz w:val="28"/>
          <w:szCs w:val="28"/>
          <w:lang w:val="uk-UA"/>
        </w:rPr>
        <w:t>артану</w:t>
      </w:r>
      <w:r w:rsidR="00380F75">
        <w:rPr>
          <w:rFonts w:ascii="Times New Roman" w:hAnsi="Times New Roman" w:cs="Times New Roman"/>
          <w:sz w:val="28"/>
          <w:szCs w:val="28"/>
          <w:lang w:val="uk-UA"/>
        </w:rPr>
        <w:t xml:space="preserve">. </w:t>
      </w:r>
      <w:r w:rsidR="00C47916">
        <w:rPr>
          <w:rFonts w:ascii="Times New Roman" w:hAnsi="Times New Roman" w:cs="Times New Roman"/>
          <w:sz w:val="28"/>
          <w:szCs w:val="28"/>
          <w:lang w:val="uk-UA"/>
        </w:rPr>
        <w:t>В</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дсоток</w:t>
      </w:r>
      <w:r w:rsidR="00C47916">
        <w:rPr>
          <w:rFonts w:ascii="Times New Roman" w:hAnsi="Times New Roman" w:cs="Times New Roman"/>
          <w:sz w:val="28"/>
          <w:szCs w:val="28"/>
          <w:lang w:val="uk-UA"/>
        </w:rPr>
        <w:t xml:space="preserve"> зниження </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ММ</w:t>
      </w:r>
      <w:r w:rsidR="00502385">
        <w:rPr>
          <w:rFonts w:ascii="Times New Roman" w:hAnsi="Times New Roman" w:cs="Times New Roman"/>
          <w:sz w:val="28"/>
          <w:szCs w:val="28"/>
          <w:lang w:val="uk-UA"/>
        </w:rPr>
        <w:t>ЛШ</w:t>
      </w:r>
      <w:r w:rsidR="00C47916">
        <w:rPr>
          <w:rFonts w:ascii="Times New Roman" w:hAnsi="Times New Roman" w:cs="Times New Roman"/>
          <w:sz w:val="28"/>
          <w:szCs w:val="28"/>
          <w:lang w:val="uk-UA"/>
        </w:rPr>
        <w:t xml:space="preserve"> у пац</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єнт</w:t>
      </w:r>
      <w:r w:rsidR="00C47916">
        <w:rPr>
          <w:rFonts w:ascii="Times New Roman" w:hAnsi="Times New Roman" w:cs="Times New Roman"/>
          <w:sz w:val="28"/>
          <w:szCs w:val="28"/>
          <w:lang w:val="en-US"/>
        </w:rPr>
        <w:t>i</w:t>
      </w:r>
      <w:r w:rsidR="00E2465B" w:rsidRPr="00E2465B">
        <w:rPr>
          <w:rFonts w:ascii="Times New Roman" w:hAnsi="Times New Roman" w:cs="Times New Roman"/>
          <w:sz w:val="28"/>
          <w:szCs w:val="28"/>
          <w:lang w:val="uk-UA"/>
        </w:rPr>
        <w:t xml:space="preserve">в </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з супутн</w:t>
      </w:r>
      <w:r w:rsidR="00C47916">
        <w:rPr>
          <w:rFonts w:ascii="Times New Roman" w:hAnsi="Times New Roman" w:cs="Times New Roman"/>
          <w:sz w:val="28"/>
          <w:szCs w:val="28"/>
          <w:lang w:val="en-US"/>
        </w:rPr>
        <w:t>i</w:t>
      </w:r>
      <w:r w:rsidR="00502385">
        <w:rPr>
          <w:rFonts w:ascii="Times New Roman" w:hAnsi="Times New Roman" w:cs="Times New Roman"/>
          <w:sz w:val="28"/>
          <w:szCs w:val="28"/>
          <w:lang w:val="uk-UA"/>
        </w:rPr>
        <w:t>м ЦД 2-го типу</w:t>
      </w:r>
      <w:r w:rsidR="00E2465B" w:rsidRPr="00E2465B">
        <w:rPr>
          <w:rFonts w:ascii="Times New Roman" w:hAnsi="Times New Roman" w:cs="Times New Roman"/>
          <w:sz w:val="28"/>
          <w:szCs w:val="28"/>
          <w:lang w:val="uk-UA"/>
        </w:rPr>
        <w:t xml:space="preserve"> </w:t>
      </w:r>
      <w:r w:rsidR="00801829">
        <w:rPr>
          <w:rFonts w:ascii="Times New Roman" w:hAnsi="Times New Roman" w:cs="Times New Roman"/>
          <w:sz w:val="28"/>
          <w:szCs w:val="28"/>
          <w:lang w:val="uk-UA"/>
        </w:rPr>
        <w:t xml:space="preserve">був на </w:t>
      </w:r>
      <w:r w:rsidR="00E2465B" w:rsidRPr="00801829">
        <w:rPr>
          <w:rFonts w:ascii="Times New Roman" w:hAnsi="Times New Roman" w:cs="Times New Roman"/>
          <w:sz w:val="28"/>
          <w:szCs w:val="28"/>
          <w:lang w:val="uk-UA"/>
        </w:rPr>
        <w:t>2,8</w:t>
      </w:r>
      <w:r w:rsidR="006D7F0E" w:rsidRPr="00801829">
        <w:rPr>
          <w:rFonts w:ascii="Times New Roman" w:hAnsi="Times New Roman" w:cs="Times New Roman"/>
          <w:sz w:val="28"/>
          <w:szCs w:val="28"/>
          <w:lang w:val="uk-UA"/>
        </w:rPr>
        <w:t xml:space="preserve"> </w:t>
      </w:r>
      <w:r w:rsidR="00C47916" w:rsidRPr="00801829">
        <w:rPr>
          <w:rFonts w:ascii="Times New Roman" w:hAnsi="Times New Roman" w:cs="Times New Roman"/>
          <w:sz w:val="28"/>
          <w:szCs w:val="28"/>
          <w:lang w:val="uk-UA"/>
        </w:rPr>
        <w:t>% менший</w:t>
      </w:r>
      <w:r w:rsidR="00C47916">
        <w:rPr>
          <w:rFonts w:ascii="Times New Roman" w:hAnsi="Times New Roman" w:cs="Times New Roman"/>
          <w:sz w:val="28"/>
          <w:szCs w:val="28"/>
          <w:lang w:val="uk-UA"/>
        </w:rPr>
        <w:t>, н</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 xml:space="preserve">ж </w:t>
      </w:r>
      <w:r w:rsidR="00801829">
        <w:rPr>
          <w:rFonts w:ascii="Times New Roman" w:hAnsi="Times New Roman" w:cs="Times New Roman"/>
          <w:sz w:val="28"/>
          <w:szCs w:val="28"/>
          <w:lang w:val="uk-UA"/>
        </w:rPr>
        <w:t xml:space="preserve">у хворих на </w:t>
      </w:r>
      <w:r>
        <w:rPr>
          <w:rFonts w:ascii="Times New Roman" w:hAnsi="Times New Roman" w:cs="Times New Roman"/>
          <w:sz w:val="28"/>
          <w:szCs w:val="28"/>
          <w:lang w:val="uk-UA"/>
        </w:rPr>
        <w:t xml:space="preserve">АГ, </w:t>
      </w:r>
      <w:r w:rsidR="00C47916">
        <w:rPr>
          <w:rFonts w:ascii="Times New Roman" w:hAnsi="Times New Roman" w:cs="Times New Roman"/>
          <w:sz w:val="28"/>
          <w:szCs w:val="28"/>
          <w:lang w:val="uk-UA"/>
        </w:rPr>
        <w:t>що св</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дчить про меншу в</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дпов</w:t>
      </w:r>
      <w:r w:rsidR="00C47916">
        <w:rPr>
          <w:rFonts w:ascii="Times New Roman" w:hAnsi="Times New Roman" w:cs="Times New Roman"/>
          <w:sz w:val="28"/>
          <w:szCs w:val="28"/>
          <w:lang w:val="en-US"/>
        </w:rPr>
        <w:t>i</w:t>
      </w:r>
      <w:r w:rsidR="00E2465B" w:rsidRPr="00E2465B">
        <w:rPr>
          <w:rFonts w:ascii="Times New Roman" w:hAnsi="Times New Roman" w:cs="Times New Roman"/>
          <w:sz w:val="28"/>
          <w:szCs w:val="28"/>
          <w:lang w:val="uk-UA"/>
        </w:rPr>
        <w:t xml:space="preserve">дь на </w:t>
      </w:r>
      <w:r w:rsidR="00C47916">
        <w:rPr>
          <w:rFonts w:ascii="Times New Roman" w:hAnsi="Times New Roman" w:cs="Times New Roman"/>
          <w:sz w:val="28"/>
          <w:szCs w:val="28"/>
          <w:lang w:val="uk-UA"/>
        </w:rPr>
        <w:t>телм</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сартан та про б</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льш виражен</w:t>
      </w:r>
      <w:r w:rsidR="00C47916">
        <w:rPr>
          <w:rFonts w:ascii="Times New Roman" w:hAnsi="Times New Roman" w:cs="Times New Roman"/>
          <w:sz w:val="28"/>
          <w:szCs w:val="28"/>
          <w:lang w:val="en-US"/>
        </w:rPr>
        <w:t>i</w:t>
      </w:r>
      <w:r w:rsidR="00E2465B" w:rsidRPr="00E2465B">
        <w:rPr>
          <w:rFonts w:ascii="Times New Roman" w:hAnsi="Times New Roman" w:cs="Times New Roman"/>
          <w:sz w:val="28"/>
          <w:szCs w:val="28"/>
          <w:lang w:val="uk-UA"/>
        </w:rPr>
        <w:t xml:space="preserve"> пр</w:t>
      </w:r>
      <w:r w:rsidR="00C47916">
        <w:rPr>
          <w:rFonts w:ascii="Times New Roman" w:hAnsi="Times New Roman" w:cs="Times New Roman"/>
          <w:sz w:val="28"/>
          <w:szCs w:val="28"/>
          <w:lang w:val="uk-UA"/>
        </w:rPr>
        <w:t>оцеси ремоделювання при поєднан</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й патолог</w:t>
      </w:r>
      <w:r w:rsidR="00C47916">
        <w:rPr>
          <w:rFonts w:ascii="Times New Roman" w:hAnsi="Times New Roman" w:cs="Times New Roman"/>
          <w:sz w:val="28"/>
          <w:szCs w:val="28"/>
          <w:lang w:val="en-US"/>
        </w:rPr>
        <w:t>i</w:t>
      </w:r>
      <w:r w:rsidR="00E2465B" w:rsidRPr="00E2465B">
        <w:rPr>
          <w:rFonts w:ascii="Times New Roman" w:hAnsi="Times New Roman" w:cs="Times New Roman"/>
          <w:sz w:val="28"/>
          <w:szCs w:val="28"/>
          <w:lang w:val="uk-UA"/>
        </w:rPr>
        <w:t>ї.</w:t>
      </w:r>
      <w:r w:rsidR="00F55CBA" w:rsidRPr="00801829">
        <w:rPr>
          <w:lang w:val="uk-UA"/>
        </w:rPr>
        <w:t xml:space="preserve"> </w:t>
      </w:r>
      <w:r w:rsidR="00C47916">
        <w:rPr>
          <w:rFonts w:ascii="Times New Roman" w:hAnsi="Times New Roman" w:cs="Times New Roman"/>
          <w:sz w:val="28"/>
          <w:szCs w:val="28"/>
          <w:lang w:val="uk-UA"/>
        </w:rPr>
        <w:t xml:space="preserve">Таким чином, </w:t>
      </w:r>
      <w:r w:rsidR="00F55CBA" w:rsidRPr="00F55CBA">
        <w:rPr>
          <w:rFonts w:ascii="Times New Roman" w:hAnsi="Times New Roman" w:cs="Times New Roman"/>
          <w:sz w:val="28"/>
          <w:szCs w:val="28"/>
          <w:lang w:val="uk-UA"/>
        </w:rPr>
        <w:t>призн</w:t>
      </w:r>
      <w:r w:rsidR="00C47916">
        <w:rPr>
          <w:rFonts w:ascii="Times New Roman" w:hAnsi="Times New Roman" w:cs="Times New Roman"/>
          <w:sz w:val="28"/>
          <w:szCs w:val="28"/>
          <w:lang w:val="uk-UA"/>
        </w:rPr>
        <w:t>ачення телм</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 xml:space="preserve">сартану </w:t>
      </w:r>
      <w:r w:rsidR="00801829">
        <w:rPr>
          <w:rFonts w:ascii="Times New Roman" w:hAnsi="Times New Roman" w:cs="Times New Roman"/>
          <w:sz w:val="28"/>
          <w:szCs w:val="28"/>
          <w:lang w:val="uk-UA"/>
        </w:rPr>
        <w:t xml:space="preserve">є доцільним з метою </w:t>
      </w:r>
      <w:r w:rsidR="00C47916">
        <w:rPr>
          <w:rFonts w:ascii="Times New Roman" w:hAnsi="Times New Roman" w:cs="Times New Roman"/>
          <w:sz w:val="28"/>
          <w:szCs w:val="28"/>
          <w:lang w:val="uk-UA"/>
        </w:rPr>
        <w:t>кард</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опротекц</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 xml:space="preserve">ї </w:t>
      </w:r>
      <w:r w:rsidR="00801829">
        <w:rPr>
          <w:rFonts w:ascii="Times New Roman" w:hAnsi="Times New Roman" w:cs="Times New Roman"/>
          <w:sz w:val="28"/>
          <w:szCs w:val="28"/>
          <w:lang w:val="uk-UA"/>
        </w:rPr>
        <w:t>у пацієнтів і</w:t>
      </w:r>
      <w:r w:rsidR="00F55CBA" w:rsidRPr="00F55CBA">
        <w:rPr>
          <w:rFonts w:ascii="Times New Roman" w:hAnsi="Times New Roman" w:cs="Times New Roman"/>
          <w:sz w:val="28"/>
          <w:szCs w:val="28"/>
          <w:lang w:val="uk-UA"/>
        </w:rPr>
        <w:t xml:space="preserve">з </w:t>
      </w:r>
      <w:r w:rsidR="00532862">
        <w:rPr>
          <w:rFonts w:ascii="Times New Roman" w:hAnsi="Times New Roman" w:cs="Times New Roman"/>
          <w:sz w:val="28"/>
          <w:szCs w:val="28"/>
          <w:lang w:val="uk-UA"/>
        </w:rPr>
        <w:t>АГ та ЦД 2-го типу</w:t>
      </w:r>
      <w:r w:rsidR="00E562E5">
        <w:rPr>
          <w:rFonts w:ascii="Times New Roman" w:hAnsi="Times New Roman" w:cs="Times New Roman"/>
          <w:sz w:val="28"/>
          <w:szCs w:val="28"/>
          <w:lang w:val="uk-UA"/>
        </w:rPr>
        <w:t xml:space="preserve"> </w:t>
      </w:r>
      <w:r w:rsidR="00E562E5" w:rsidRPr="00E562E5">
        <w:rPr>
          <w:rFonts w:ascii="Times New Roman" w:hAnsi="Times New Roman" w:cs="Times New Roman"/>
          <w:sz w:val="28"/>
          <w:szCs w:val="28"/>
        </w:rPr>
        <w:t>[</w:t>
      </w:r>
      <w:r w:rsidR="00D0196D" w:rsidRPr="004900D9">
        <w:rPr>
          <w:rFonts w:ascii="Times New Roman" w:hAnsi="Times New Roman" w:cs="Times New Roman"/>
          <w:sz w:val="28"/>
          <w:szCs w:val="28"/>
        </w:rPr>
        <w:t>203</w:t>
      </w:r>
      <w:r w:rsidR="00E562E5" w:rsidRPr="004900D9">
        <w:rPr>
          <w:rFonts w:ascii="Times New Roman" w:hAnsi="Times New Roman" w:cs="Times New Roman"/>
          <w:sz w:val="28"/>
          <w:szCs w:val="28"/>
        </w:rPr>
        <w:t>]</w:t>
      </w:r>
      <w:r w:rsidR="00F55CBA" w:rsidRPr="004900D9">
        <w:rPr>
          <w:rFonts w:ascii="Times New Roman" w:hAnsi="Times New Roman" w:cs="Times New Roman"/>
          <w:sz w:val="28"/>
          <w:szCs w:val="28"/>
          <w:lang w:val="uk-UA"/>
        </w:rPr>
        <w:t>.</w:t>
      </w:r>
    </w:p>
    <w:p w:rsidR="00FD6EA1" w:rsidRDefault="007E0D0B" w:rsidP="00496950">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Доведено, що т</w:t>
      </w:r>
      <w:r w:rsidR="00C47916">
        <w:rPr>
          <w:rFonts w:ascii="Times New Roman" w:hAnsi="Times New Roman" w:cs="Times New Roman"/>
          <w:sz w:val="28"/>
          <w:szCs w:val="28"/>
          <w:lang w:val="uk-UA"/>
        </w:rPr>
        <w:t>елм</w:t>
      </w:r>
      <w:r w:rsidR="00C47916">
        <w:rPr>
          <w:rFonts w:ascii="Times New Roman" w:hAnsi="Times New Roman" w:cs="Times New Roman"/>
          <w:sz w:val="28"/>
          <w:szCs w:val="28"/>
          <w:lang w:val="en-US"/>
        </w:rPr>
        <w:t>i</w:t>
      </w:r>
      <w:r w:rsidR="00762219">
        <w:rPr>
          <w:rFonts w:ascii="Times New Roman" w:hAnsi="Times New Roman" w:cs="Times New Roman"/>
          <w:sz w:val="28"/>
          <w:szCs w:val="28"/>
          <w:lang w:val="uk-UA"/>
        </w:rPr>
        <w:t>сартан може</w:t>
      </w:r>
      <w:r w:rsidR="00C47916">
        <w:rPr>
          <w:rFonts w:ascii="Times New Roman" w:hAnsi="Times New Roman" w:cs="Times New Roman"/>
          <w:sz w:val="28"/>
          <w:szCs w:val="28"/>
          <w:lang w:val="uk-UA"/>
        </w:rPr>
        <w:t xml:space="preserve"> чинити анг</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опротекторну д</w:t>
      </w:r>
      <w:r w:rsidR="00C47916">
        <w:rPr>
          <w:rFonts w:ascii="Times New Roman" w:hAnsi="Times New Roman" w:cs="Times New Roman"/>
          <w:sz w:val="28"/>
          <w:szCs w:val="28"/>
          <w:lang w:val="en-US"/>
        </w:rPr>
        <w:t>i</w:t>
      </w:r>
      <w:r w:rsidR="00F55CBA" w:rsidRPr="004016E5">
        <w:rPr>
          <w:rFonts w:ascii="Times New Roman" w:hAnsi="Times New Roman" w:cs="Times New Roman"/>
          <w:sz w:val="28"/>
          <w:szCs w:val="28"/>
          <w:lang w:val="uk-UA"/>
        </w:rPr>
        <w:t>ю, опосередковану блокадою рецепт</w:t>
      </w:r>
      <w:r w:rsidR="00C47916">
        <w:rPr>
          <w:rFonts w:ascii="Times New Roman" w:hAnsi="Times New Roman" w:cs="Times New Roman"/>
          <w:sz w:val="28"/>
          <w:szCs w:val="28"/>
          <w:lang w:val="uk-UA"/>
        </w:rPr>
        <w:t>ор</w:t>
      </w:r>
      <w:r w:rsidR="00C47916">
        <w:rPr>
          <w:rFonts w:ascii="Times New Roman" w:hAnsi="Times New Roman" w:cs="Times New Roman"/>
          <w:sz w:val="28"/>
          <w:szCs w:val="28"/>
          <w:lang w:val="en-US"/>
        </w:rPr>
        <w:t>i</w:t>
      </w:r>
      <w:r w:rsidR="00C47916">
        <w:rPr>
          <w:rFonts w:ascii="Times New Roman" w:hAnsi="Times New Roman" w:cs="Times New Roman"/>
          <w:sz w:val="28"/>
          <w:szCs w:val="28"/>
          <w:lang w:val="uk-UA"/>
        </w:rPr>
        <w:t>в до ЕТ-1, запоб</w:t>
      </w:r>
      <w:r w:rsidR="00C47916">
        <w:rPr>
          <w:rFonts w:ascii="Times New Roman" w:hAnsi="Times New Roman" w:cs="Times New Roman"/>
          <w:sz w:val="28"/>
          <w:szCs w:val="28"/>
          <w:lang w:val="en-US"/>
        </w:rPr>
        <w:t>i</w:t>
      </w:r>
      <w:r w:rsidR="005C684F">
        <w:rPr>
          <w:rFonts w:ascii="Times New Roman" w:hAnsi="Times New Roman" w:cs="Times New Roman"/>
          <w:sz w:val="28"/>
          <w:szCs w:val="28"/>
          <w:lang w:val="uk-UA"/>
        </w:rPr>
        <w:t>гаючи його активац</w:t>
      </w:r>
      <w:r w:rsidR="005C684F">
        <w:rPr>
          <w:rFonts w:ascii="Times New Roman" w:hAnsi="Times New Roman" w:cs="Times New Roman"/>
          <w:sz w:val="28"/>
          <w:szCs w:val="28"/>
          <w:lang w:val="en-US"/>
        </w:rPr>
        <w:t>i</w:t>
      </w:r>
      <w:r w:rsidR="00F55CBA" w:rsidRPr="004016E5">
        <w:rPr>
          <w:rFonts w:ascii="Times New Roman" w:hAnsi="Times New Roman" w:cs="Times New Roman"/>
          <w:sz w:val="28"/>
          <w:szCs w:val="28"/>
          <w:lang w:val="uk-UA"/>
        </w:rPr>
        <w:t xml:space="preserve">ї та вазоспастичному ефекту </w:t>
      </w:r>
      <w:r w:rsidR="00F55CBA" w:rsidRPr="004900D9">
        <w:rPr>
          <w:rFonts w:ascii="Times New Roman" w:hAnsi="Times New Roman" w:cs="Times New Roman"/>
          <w:sz w:val="28"/>
          <w:szCs w:val="28"/>
          <w:lang w:val="uk-UA"/>
        </w:rPr>
        <w:t>[</w:t>
      </w:r>
      <w:r w:rsidR="002E7A76" w:rsidRPr="004900D9">
        <w:rPr>
          <w:rFonts w:ascii="Times New Roman" w:hAnsi="Times New Roman" w:cs="Times New Roman"/>
          <w:sz w:val="28"/>
          <w:szCs w:val="28"/>
        </w:rPr>
        <w:t>173</w:t>
      </w:r>
      <w:r w:rsidR="00F55CBA" w:rsidRPr="004900D9">
        <w:rPr>
          <w:rFonts w:ascii="Times New Roman" w:hAnsi="Times New Roman" w:cs="Times New Roman"/>
          <w:sz w:val="28"/>
          <w:szCs w:val="28"/>
          <w:lang w:val="uk-UA"/>
        </w:rPr>
        <w:t>].</w:t>
      </w:r>
      <w:r w:rsidR="00496950">
        <w:rPr>
          <w:rFonts w:ascii="Times New Roman" w:hAnsi="Times New Roman" w:cs="Times New Roman"/>
          <w:sz w:val="28"/>
          <w:szCs w:val="28"/>
          <w:lang w:val="uk-UA"/>
        </w:rPr>
        <w:t xml:space="preserve"> </w:t>
      </w:r>
      <w:r w:rsidR="005C684F">
        <w:rPr>
          <w:rFonts w:ascii="Times New Roman" w:hAnsi="Times New Roman" w:cs="Times New Roman"/>
          <w:sz w:val="28"/>
          <w:szCs w:val="28"/>
          <w:lang w:val="uk-UA"/>
        </w:rPr>
        <w:t>Пац</w:t>
      </w:r>
      <w:r w:rsidR="005C684F">
        <w:rPr>
          <w:rFonts w:ascii="Times New Roman" w:hAnsi="Times New Roman" w:cs="Times New Roman"/>
          <w:sz w:val="28"/>
          <w:szCs w:val="28"/>
          <w:lang w:val="en-US"/>
        </w:rPr>
        <w:t>i</w:t>
      </w:r>
      <w:r w:rsidR="00532862">
        <w:rPr>
          <w:rFonts w:ascii="Times New Roman" w:hAnsi="Times New Roman" w:cs="Times New Roman"/>
          <w:sz w:val="28"/>
          <w:szCs w:val="28"/>
          <w:lang w:val="uk-UA"/>
        </w:rPr>
        <w:t xml:space="preserve">єнтам </w:t>
      </w:r>
      <w:r w:rsidR="00801829">
        <w:rPr>
          <w:rFonts w:ascii="Times New Roman" w:hAnsi="Times New Roman" w:cs="Times New Roman"/>
          <w:sz w:val="28"/>
          <w:szCs w:val="28"/>
          <w:lang w:val="uk-UA"/>
        </w:rPr>
        <w:t>і</w:t>
      </w:r>
      <w:r w:rsidR="00F55CBA" w:rsidRPr="00F55CBA">
        <w:rPr>
          <w:rFonts w:ascii="Times New Roman" w:hAnsi="Times New Roman" w:cs="Times New Roman"/>
          <w:sz w:val="28"/>
          <w:szCs w:val="28"/>
          <w:lang w:val="uk-UA"/>
        </w:rPr>
        <w:t xml:space="preserve">з </w:t>
      </w:r>
      <w:r w:rsidR="00532862">
        <w:rPr>
          <w:rFonts w:ascii="Times New Roman" w:hAnsi="Times New Roman" w:cs="Times New Roman"/>
          <w:sz w:val="28"/>
          <w:szCs w:val="28"/>
          <w:lang w:val="uk-UA"/>
        </w:rPr>
        <w:t xml:space="preserve">АГ та ЦД 2-го типу </w:t>
      </w:r>
      <w:r w:rsidR="005C684F">
        <w:rPr>
          <w:rFonts w:ascii="Times New Roman" w:hAnsi="Times New Roman" w:cs="Times New Roman"/>
          <w:sz w:val="28"/>
          <w:szCs w:val="28"/>
          <w:lang w:val="en-US"/>
        </w:rPr>
        <w:t>i</w:t>
      </w:r>
      <w:r w:rsidR="00F55CBA" w:rsidRPr="00F55CBA">
        <w:rPr>
          <w:rFonts w:ascii="Times New Roman" w:hAnsi="Times New Roman" w:cs="Times New Roman"/>
          <w:sz w:val="28"/>
          <w:szCs w:val="28"/>
          <w:lang w:val="uk-UA"/>
        </w:rPr>
        <w:t xml:space="preserve">з меншим </w:t>
      </w:r>
      <w:r w:rsidR="00801829">
        <w:rPr>
          <w:rFonts w:ascii="Times New Roman" w:hAnsi="Times New Roman" w:cs="Times New Roman"/>
          <w:sz w:val="28"/>
          <w:szCs w:val="28"/>
          <w:lang w:val="uk-UA"/>
        </w:rPr>
        <w:t xml:space="preserve">  </w:t>
      </w:r>
      <w:r w:rsidR="00F55CBA" w:rsidRPr="00F55CBA">
        <w:rPr>
          <w:rFonts w:ascii="Times New Roman" w:hAnsi="Times New Roman" w:cs="Times New Roman"/>
          <w:sz w:val="28"/>
          <w:szCs w:val="28"/>
          <w:lang w:val="uk-UA"/>
        </w:rPr>
        <w:t>за 10 пг</w:t>
      </w:r>
      <w:r w:rsidR="005C684F">
        <w:rPr>
          <w:rFonts w:ascii="Times New Roman" w:hAnsi="Times New Roman" w:cs="Times New Roman"/>
          <w:sz w:val="28"/>
          <w:szCs w:val="28"/>
          <w:lang w:val="uk-UA"/>
        </w:rPr>
        <w:t xml:space="preserve">/мл </w:t>
      </w:r>
      <w:r w:rsidR="00801829">
        <w:rPr>
          <w:rFonts w:ascii="Times New Roman" w:hAnsi="Times New Roman" w:cs="Times New Roman"/>
          <w:sz w:val="28"/>
          <w:szCs w:val="28"/>
          <w:lang w:val="uk-UA"/>
        </w:rPr>
        <w:t xml:space="preserve">вмістом </w:t>
      </w:r>
      <w:r w:rsidR="005F10EC">
        <w:rPr>
          <w:rFonts w:ascii="Times New Roman" w:hAnsi="Times New Roman" w:cs="Times New Roman"/>
          <w:sz w:val="28"/>
          <w:szCs w:val="28"/>
          <w:lang w:val="uk-UA"/>
        </w:rPr>
        <w:t xml:space="preserve">ЕТ-1 було призначено </w:t>
      </w:r>
      <w:r w:rsidR="005C684F">
        <w:rPr>
          <w:rFonts w:ascii="Times New Roman" w:hAnsi="Times New Roman" w:cs="Times New Roman"/>
          <w:sz w:val="28"/>
          <w:szCs w:val="28"/>
          <w:lang w:val="uk-UA"/>
        </w:rPr>
        <w:t>40 мг/добу телм</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сартану, а</w:t>
      </w:r>
      <w:r w:rsidR="00801829">
        <w:rPr>
          <w:rFonts w:ascii="Times New Roman" w:hAnsi="Times New Roman" w:cs="Times New Roman"/>
          <w:sz w:val="28"/>
          <w:szCs w:val="28"/>
          <w:lang w:val="uk-UA"/>
        </w:rPr>
        <w:t xml:space="preserve">             у хворих</w:t>
      </w:r>
      <w:r w:rsidR="005C684F">
        <w:rPr>
          <w:rFonts w:ascii="Times New Roman" w:hAnsi="Times New Roman" w:cs="Times New Roman"/>
          <w:sz w:val="28"/>
          <w:szCs w:val="28"/>
          <w:lang w:val="uk-UA"/>
        </w:rPr>
        <w:t xml:space="preserve">, </w:t>
      </w:r>
      <w:r w:rsidR="00801829">
        <w:rPr>
          <w:rFonts w:ascii="Times New Roman" w:hAnsi="Times New Roman" w:cs="Times New Roman"/>
          <w:sz w:val="28"/>
          <w:szCs w:val="28"/>
          <w:lang w:val="uk-UA"/>
        </w:rPr>
        <w:t xml:space="preserve">вміст </w:t>
      </w:r>
      <w:r w:rsidR="005C684F">
        <w:rPr>
          <w:rFonts w:ascii="Times New Roman" w:hAnsi="Times New Roman" w:cs="Times New Roman"/>
          <w:sz w:val="28"/>
          <w:szCs w:val="28"/>
          <w:lang w:val="uk-UA"/>
        </w:rPr>
        <w:t>ЕТ-1 яких був б</w:t>
      </w:r>
      <w:r w:rsidR="005C684F">
        <w:rPr>
          <w:rFonts w:ascii="Times New Roman" w:hAnsi="Times New Roman" w:cs="Times New Roman"/>
          <w:sz w:val="28"/>
          <w:szCs w:val="28"/>
          <w:lang w:val="en-US"/>
        </w:rPr>
        <w:t>i</w:t>
      </w:r>
      <w:r w:rsidR="00F55CBA" w:rsidRPr="00F55CBA">
        <w:rPr>
          <w:rFonts w:ascii="Times New Roman" w:hAnsi="Times New Roman" w:cs="Times New Roman"/>
          <w:sz w:val="28"/>
          <w:szCs w:val="28"/>
          <w:lang w:val="uk-UA"/>
        </w:rPr>
        <w:t>льшим за 10</w:t>
      </w:r>
      <w:r w:rsidR="00801829">
        <w:rPr>
          <w:rFonts w:ascii="Times New Roman" w:hAnsi="Times New Roman" w:cs="Times New Roman"/>
          <w:sz w:val="28"/>
          <w:szCs w:val="28"/>
          <w:lang w:val="uk-UA"/>
        </w:rPr>
        <w:t xml:space="preserve"> п</w:t>
      </w:r>
      <w:r w:rsidR="005C684F">
        <w:rPr>
          <w:rFonts w:ascii="Times New Roman" w:hAnsi="Times New Roman" w:cs="Times New Roman"/>
          <w:sz w:val="28"/>
          <w:szCs w:val="28"/>
          <w:lang w:val="uk-UA"/>
        </w:rPr>
        <w:t>г/мл, доза телм</w:t>
      </w:r>
      <w:r w:rsidR="005C684F">
        <w:rPr>
          <w:rFonts w:ascii="Times New Roman" w:hAnsi="Times New Roman" w:cs="Times New Roman"/>
          <w:sz w:val="28"/>
          <w:szCs w:val="28"/>
          <w:lang w:val="en-US"/>
        </w:rPr>
        <w:t>i</w:t>
      </w:r>
      <w:r w:rsidR="00762219">
        <w:rPr>
          <w:rFonts w:ascii="Times New Roman" w:hAnsi="Times New Roman" w:cs="Times New Roman"/>
          <w:sz w:val="28"/>
          <w:szCs w:val="28"/>
          <w:lang w:val="uk-UA"/>
        </w:rPr>
        <w:t>сартану становила</w:t>
      </w:r>
      <w:r w:rsidR="00F55CBA" w:rsidRPr="00F55CBA">
        <w:rPr>
          <w:rFonts w:ascii="Times New Roman" w:hAnsi="Times New Roman" w:cs="Times New Roman"/>
          <w:sz w:val="28"/>
          <w:szCs w:val="28"/>
          <w:lang w:val="uk-UA"/>
        </w:rPr>
        <w:t xml:space="preserve"> 80 мг/добу.</w:t>
      </w:r>
      <w:r w:rsidR="00496950">
        <w:rPr>
          <w:rFonts w:ascii="Times New Roman" w:hAnsi="Times New Roman" w:cs="Times New Roman"/>
          <w:sz w:val="28"/>
          <w:szCs w:val="28"/>
          <w:lang w:val="uk-UA"/>
        </w:rPr>
        <w:t xml:space="preserve"> </w:t>
      </w:r>
      <w:r w:rsidR="005C684F">
        <w:rPr>
          <w:rFonts w:ascii="Times New Roman" w:hAnsi="Times New Roman" w:cs="Times New Roman"/>
          <w:sz w:val="28"/>
          <w:szCs w:val="28"/>
          <w:lang w:val="uk-UA"/>
        </w:rPr>
        <w:t>П</w:t>
      </w:r>
      <w:r w:rsidR="005C684F">
        <w:rPr>
          <w:rFonts w:ascii="Times New Roman" w:hAnsi="Times New Roman" w:cs="Times New Roman"/>
          <w:sz w:val="28"/>
          <w:szCs w:val="28"/>
          <w:lang w:val="en-US"/>
        </w:rPr>
        <w:t>i</w:t>
      </w:r>
      <w:r w:rsidR="00496950" w:rsidRPr="00496950">
        <w:rPr>
          <w:rFonts w:ascii="Times New Roman" w:hAnsi="Times New Roman" w:cs="Times New Roman"/>
          <w:sz w:val="28"/>
          <w:szCs w:val="28"/>
          <w:lang w:val="uk-UA"/>
        </w:rPr>
        <w:t>д в</w:t>
      </w:r>
      <w:r w:rsidR="005C684F">
        <w:rPr>
          <w:rFonts w:ascii="Times New Roman" w:hAnsi="Times New Roman" w:cs="Times New Roman"/>
          <w:sz w:val="28"/>
          <w:szCs w:val="28"/>
          <w:lang w:val="uk-UA"/>
        </w:rPr>
        <w:t>пливом л</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кування телм</w:t>
      </w:r>
      <w:r w:rsidR="005C684F">
        <w:rPr>
          <w:rFonts w:ascii="Times New Roman" w:hAnsi="Times New Roman" w:cs="Times New Roman"/>
          <w:sz w:val="28"/>
          <w:szCs w:val="28"/>
          <w:lang w:val="en-US"/>
        </w:rPr>
        <w:t>i</w:t>
      </w:r>
      <w:r w:rsidR="00762219">
        <w:rPr>
          <w:rFonts w:ascii="Times New Roman" w:hAnsi="Times New Roman" w:cs="Times New Roman"/>
          <w:sz w:val="28"/>
          <w:szCs w:val="28"/>
          <w:lang w:val="uk-UA"/>
        </w:rPr>
        <w:t>сартаном дозою</w:t>
      </w:r>
      <w:r w:rsidR="00801829">
        <w:rPr>
          <w:rFonts w:ascii="Times New Roman" w:hAnsi="Times New Roman" w:cs="Times New Roman"/>
          <w:sz w:val="28"/>
          <w:szCs w:val="28"/>
          <w:lang w:val="uk-UA"/>
        </w:rPr>
        <w:t xml:space="preserve"> </w:t>
      </w:r>
      <w:r w:rsidR="00392489">
        <w:rPr>
          <w:rFonts w:ascii="Times New Roman" w:hAnsi="Times New Roman" w:cs="Times New Roman"/>
          <w:sz w:val="28"/>
          <w:szCs w:val="28"/>
          <w:lang w:val="uk-UA"/>
        </w:rPr>
        <w:t xml:space="preserve">               </w:t>
      </w:r>
      <w:r w:rsidR="00801829">
        <w:rPr>
          <w:rFonts w:ascii="Times New Roman" w:hAnsi="Times New Roman" w:cs="Times New Roman"/>
          <w:sz w:val="28"/>
          <w:szCs w:val="28"/>
          <w:lang w:val="uk-UA"/>
        </w:rPr>
        <w:t>40 мг/добу у пацієнтів</w:t>
      </w:r>
      <w:r w:rsidR="00532862">
        <w:rPr>
          <w:rFonts w:ascii="Times New Roman" w:hAnsi="Times New Roman" w:cs="Times New Roman"/>
          <w:sz w:val="28"/>
          <w:szCs w:val="28"/>
          <w:lang w:val="uk-UA"/>
        </w:rPr>
        <w:t xml:space="preserve"> </w:t>
      </w:r>
      <w:r w:rsidR="00801829">
        <w:rPr>
          <w:rFonts w:ascii="Times New Roman" w:hAnsi="Times New Roman" w:cs="Times New Roman"/>
          <w:sz w:val="28"/>
          <w:szCs w:val="28"/>
          <w:lang w:val="uk-UA"/>
        </w:rPr>
        <w:t>і</w:t>
      </w:r>
      <w:r w:rsidR="005C684F">
        <w:rPr>
          <w:rFonts w:ascii="Times New Roman" w:hAnsi="Times New Roman" w:cs="Times New Roman"/>
          <w:sz w:val="28"/>
          <w:szCs w:val="28"/>
          <w:lang w:val="uk-UA"/>
        </w:rPr>
        <w:t xml:space="preserve">з АГ та ЦД 2-го типу </w:t>
      </w:r>
      <w:r w:rsidR="005C684F">
        <w:rPr>
          <w:rFonts w:ascii="Times New Roman" w:hAnsi="Times New Roman" w:cs="Times New Roman"/>
          <w:sz w:val="28"/>
          <w:szCs w:val="28"/>
          <w:lang w:val="en-US"/>
        </w:rPr>
        <w:t>i</w:t>
      </w:r>
      <w:r w:rsidR="00496950" w:rsidRPr="00496950">
        <w:rPr>
          <w:rFonts w:ascii="Times New Roman" w:hAnsi="Times New Roman" w:cs="Times New Roman"/>
          <w:sz w:val="28"/>
          <w:szCs w:val="28"/>
          <w:lang w:val="uk-UA"/>
        </w:rPr>
        <w:t xml:space="preserve"> менш</w:t>
      </w:r>
      <w:r w:rsidR="00801829">
        <w:rPr>
          <w:rFonts w:ascii="Times New Roman" w:hAnsi="Times New Roman" w:cs="Times New Roman"/>
          <w:sz w:val="28"/>
          <w:szCs w:val="28"/>
          <w:lang w:val="uk-UA"/>
        </w:rPr>
        <w:t>им за 10 пг/мл вмістом ЕТ-1</w:t>
      </w:r>
      <w:r w:rsidR="00496950" w:rsidRPr="00496950">
        <w:rPr>
          <w:rFonts w:ascii="Times New Roman" w:hAnsi="Times New Roman" w:cs="Times New Roman"/>
          <w:sz w:val="28"/>
          <w:szCs w:val="28"/>
          <w:lang w:val="uk-UA"/>
        </w:rPr>
        <w:t xml:space="preserve"> </w:t>
      </w:r>
      <w:r w:rsidR="005C684F">
        <w:rPr>
          <w:rFonts w:ascii="Times New Roman" w:hAnsi="Times New Roman" w:cs="Times New Roman"/>
          <w:sz w:val="28"/>
          <w:szCs w:val="28"/>
          <w:lang w:val="uk-UA"/>
        </w:rPr>
        <w:t>альбум</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нур</w:t>
      </w:r>
      <w:r w:rsidR="005C684F">
        <w:rPr>
          <w:rFonts w:ascii="Times New Roman" w:hAnsi="Times New Roman" w:cs="Times New Roman"/>
          <w:sz w:val="28"/>
          <w:szCs w:val="28"/>
          <w:lang w:val="en-US"/>
        </w:rPr>
        <w:t>i</w:t>
      </w:r>
      <w:r w:rsidR="00801829">
        <w:rPr>
          <w:rFonts w:ascii="Times New Roman" w:hAnsi="Times New Roman" w:cs="Times New Roman"/>
          <w:sz w:val="28"/>
          <w:szCs w:val="28"/>
          <w:lang w:val="uk-UA"/>
        </w:rPr>
        <w:t>я</w:t>
      </w:r>
      <w:r w:rsidR="005F10EC">
        <w:rPr>
          <w:rFonts w:ascii="Times New Roman" w:hAnsi="Times New Roman" w:cs="Times New Roman"/>
          <w:sz w:val="28"/>
          <w:szCs w:val="28"/>
          <w:lang w:val="uk-UA"/>
        </w:rPr>
        <w:t xml:space="preserve"> зменшився на 9,7 % </w:t>
      </w:r>
      <w:r w:rsidR="005C684F">
        <w:rPr>
          <w:rFonts w:ascii="Times New Roman" w:hAnsi="Times New Roman" w:cs="Times New Roman"/>
          <w:sz w:val="28"/>
          <w:szCs w:val="28"/>
          <w:lang w:val="uk-UA"/>
        </w:rPr>
        <w:t xml:space="preserve">(p = 0,0328), а </w:t>
      </w:r>
      <w:r w:rsidR="005C684F">
        <w:rPr>
          <w:rFonts w:ascii="Times New Roman" w:hAnsi="Times New Roman" w:cs="Times New Roman"/>
          <w:sz w:val="28"/>
          <w:szCs w:val="28"/>
          <w:lang w:val="en-US"/>
        </w:rPr>
        <w:t>I</w:t>
      </w:r>
      <w:r w:rsidR="00496950" w:rsidRPr="00496950">
        <w:rPr>
          <w:rFonts w:ascii="Times New Roman" w:hAnsi="Times New Roman" w:cs="Times New Roman"/>
          <w:sz w:val="28"/>
          <w:szCs w:val="28"/>
          <w:lang w:val="uk-UA"/>
        </w:rPr>
        <w:t xml:space="preserve">ММЛШ – на 6,7 % </w:t>
      </w:r>
      <w:r w:rsidR="00801829">
        <w:rPr>
          <w:rFonts w:ascii="Times New Roman" w:hAnsi="Times New Roman" w:cs="Times New Roman"/>
          <w:sz w:val="28"/>
          <w:szCs w:val="28"/>
          <w:lang w:val="uk-UA"/>
        </w:rPr>
        <w:t xml:space="preserve">              </w:t>
      </w:r>
      <w:r w:rsidR="00496950" w:rsidRPr="00496950">
        <w:rPr>
          <w:rFonts w:ascii="Times New Roman" w:hAnsi="Times New Roman" w:cs="Times New Roman"/>
          <w:sz w:val="28"/>
          <w:szCs w:val="28"/>
          <w:lang w:val="uk-UA"/>
        </w:rPr>
        <w:t xml:space="preserve">(p = 0,0007). </w:t>
      </w:r>
      <w:r w:rsidR="00801829">
        <w:rPr>
          <w:rFonts w:ascii="Times New Roman" w:hAnsi="Times New Roman" w:cs="Times New Roman"/>
          <w:sz w:val="28"/>
          <w:szCs w:val="28"/>
          <w:lang w:val="uk-UA"/>
        </w:rPr>
        <w:t>У хворих</w:t>
      </w:r>
      <w:r w:rsidR="005C684F">
        <w:rPr>
          <w:rFonts w:ascii="Times New Roman" w:hAnsi="Times New Roman" w:cs="Times New Roman"/>
          <w:sz w:val="28"/>
          <w:szCs w:val="28"/>
          <w:lang w:val="uk-UA"/>
        </w:rPr>
        <w:t xml:space="preserve"> І групи </w:t>
      </w:r>
      <w:r w:rsidR="005C684F">
        <w:rPr>
          <w:rFonts w:ascii="Times New Roman" w:hAnsi="Times New Roman" w:cs="Times New Roman"/>
          <w:sz w:val="28"/>
          <w:szCs w:val="28"/>
          <w:lang w:val="en-US"/>
        </w:rPr>
        <w:t>i</w:t>
      </w:r>
      <w:r w:rsidR="00496950" w:rsidRPr="00496950">
        <w:rPr>
          <w:rFonts w:ascii="Times New Roman" w:hAnsi="Times New Roman" w:cs="Times New Roman"/>
          <w:sz w:val="28"/>
          <w:szCs w:val="28"/>
          <w:lang w:val="uk-UA"/>
        </w:rPr>
        <w:t>з</w:t>
      </w:r>
      <w:r w:rsidR="005C684F">
        <w:rPr>
          <w:rFonts w:ascii="Times New Roman" w:hAnsi="Times New Roman" w:cs="Times New Roman"/>
          <w:sz w:val="28"/>
          <w:szCs w:val="28"/>
          <w:lang w:val="uk-UA"/>
        </w:rPr>
        <w:t xml:space="preserve"> б</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 xml:space="preserve">льшим за 10 пг/мл </w:t>
      </w:r>
      <w:r w:rsidR="00801829">
        <w:rPr>
          <w:rFonts w:ascii="Times New Roman" w:hAnsi="Times New Roman" w:cs="Times New Roman"/>
          <w:sz w:val="28"/>
          <w:szCs w:val="28"/>
          <w:lang w:val="uk-UA"/>
        </w:rPr>
        <w:t xml:space="preserve">вмістом </w:t>
      </w:r>
      <w:r w:rsidR="005C684F">
        <w:rPr>
          <w:rFonts w:ascii="Times New Roman" w:hAnsi="Times New Roman" w:cs="Times New Roman"/>
          <w:sz w:val="28"/>
          <w:szCs w:val="28"/>
          <w:lang w:val="uk-UA"/>
        </w:rPr>
        <w:t xml:space="preserve">ЕТ-1, </w:t>
      </w:r>
      <w:r w:rsidR="00D970CA">
        <w:rPr>
          <w:rFonts w:ascii="Times New Roman" w:hAnsi="Times New Roman" w:cs="Times New Roman"/>
          <w:sz w:val="28"/>
          <w:szCs w:val="28"/>
          <w:lang w:val="uk-UA"/>
        </w:rPr>
        <w:t xml:space="preserve">              </w:t>
      </w:r>
      <w:r w:rsidR="005C684F">
        <w:rPr>
          <w:rFonts w:ascii="Times New Roman" w:hAnsi="Times New Roman" w:cs="Times New Roman"/>
          <w:sz w:val="28"/>
          <w:szCs w:val="28"/>
          <w:lang w:val="uk-UA"/>
        </w:rPr>
        <w:t>як</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 xml:space="preserve"> отримували 80 мг/добу телм</w:t>
      </w:r>
      <w:r w:rsidR="005C684F">
        <w:rPr>
          <w:rFonts w:ascii="Times New Roman" w:hAnsi="Times New Roman" w:cs="Times New Roman"/>
          <w:sz w:val="28"/>
          <w:szCs w:val="28"/>
          <w:lang w:val="en-US"/>
        </w:rPr>
        <w:t>i</w:t>
      </w:r>
      <w:r w:rsidR="00801829">
        <w:rPr>
          <w:rFonts w:ascii="Times New Roman" w:hAnsi="Times New Roman" w:cs="Times New Roman"/>
          <w:sz w:val="28"/>
          <w:szCs w:val="28"/>
          <w:lang w:val="uk-UA"/>
        </w:rPr>
        <w:t>сартану,</w:t>
      </w:r>
      <w:r w:rsidR="005C684F">
        <w:rPr>
          <w:rFonts w:ascii="Times New Roman" w:hAnsi="Times New Roman" w:cs="Times New Roman"/>
          <w:sz w:val="28"/>
          <w:szCs w:val="28"/>
          <w:lang w:val="uk-UA"/>
        </w:rPr>
        <w:t xml:space="preserve"> альбум</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нур</w:t>
      </w:r>
      <w:r w:rsidR="005C684F">
        <w:rPr>
          <w:rFonts w:ascii="Times New Roman" w:hAnsi="Times New Roman" w:cs="Times New Roman"/>
          <w:sz w:val="28"/>
          <w:szCs w:val="28"/>
          <w:lang w:val="en-US"/>
        </w:rPr>
        <w:t>i</w:t>
      </w:r>
      <w:r w:rsidR="00801829">
        <w:rPr>
          <w:rFonts w:ascii="Times New Roman" w:hAnsi="Times New Roman" w:cs="Times New Roman"/>
          <w:sz w:val="28"/>
          <w:szCs w:val="28"/>
          <w:lang w:val="uk-UA"/>
        </w:rPr>
        <w:t>я</w:t>
      </w:r>
      <w:r w:rsidR="00496950" w:rsidRPr="00496950">
        <w:rPr>
          <w:rFonts w:ascii="Times New Roman" w:hAnsi="Times New Roman" w:cs="Times New Roman"/>
          <w:sz w:val="28"/>
          <w:szCs w:val="28"/>
          <w:lang w:val="uk-UA"/>
        </w:rPr>
        <w:t xml:space="preserve"> змен</w:t>
      </w:r>
      <w:r w:rsidR="005C684F">
        <w:rPr>
          <w:rFonts w:ascii="Times New Roman" w:hAnsi="Times New Roman" w:cs="Times New Roman"/>
          <w:sz w:val="28"/>
          <w:szCs w:val="28"/>
          <w:lang w:val="uk-UA"/>
        </w:rPr>
        <w:t xml:space="preserve">шився на 4,9 % </w:t>
      </w:r>
      <w:r w:rsidR="00801829">
        <w:rPr>
          <w:rFonts w:ascii="Times New Roman" w:hAnsi="Times New Roman" w:cs="Times New Roman"/>
          <w:sz w:val="28"/>
          <w:szCs w:val="28"/>
          <w:lang w:val="uk-UA"/>
        </w:rPr>
        <w:t xml:space="preserve">        </w:t>
      </w:r>
      <w:r w:rsidR="005C684F">
        <w:rPr>
          <w:rFonts w:ascii="Times New Roman" w:hAnsi="Times New Roman" w:cs="Times New Roman"/>
          <w:sz w:val="28"/>
          <w:szCs w:val="28"/>
          <w:lang w:val="uk-UA"/>
        </w:rPr>
        <w:t xml:space="preserve">(p = 0,0435), а </w:t>
      </w:r>
      <w:r w:rsidR="005C684F">
        <w:rPr>
          <w:rFonts w:ascii="Times New Roman" w:hAnsi="Times New Roman" w:cs="Times New Roman"/>
          <w:sz w:val="28"/>
          <w:szCs w:val="28"/>
          <w:lang w:val="en-US"/>
        </w:rPr>
        <w:t>I</w:t>
      </w:r>
      <w:r w:rsidR="00496950" w:rsidRPr="00496950">
        <w:rPr>
          <w:rFonts w:ascii="Times New Roman" w:hAnsi="Times New Roman" w:cs="Times New Roman"/>
          <w:sz w:val="28"/>
          <w:szCs w:val="28"/>
          <w:lang w:val="uk-UA"/>
        </w:rPr>
        <w:t>ММЛШ – на 3,1 % (p &lt; 0,0001).</w:t>
      </w:r>
      <w:r w:rsidR="004C0AD0">
        <w:rPr>
          <w:rFonts w:ascii="Times New Roman" w:hAnsi="Times New Roman" w:cs="Times New Roman"/>
          <w:sz w:val="28"/>
          <w:szCs w:val="28"/>
          <w:lang w:val="uk-UA"/>
        </w:rPr>
        <w:t xml:space="preserve"> </w:t>
      </w:r>
      <w:r w:rsidR="005C684F">
        <w:rPr>
          <w:rFonts w:ascii="Times New Roman" w:hAnsi="Times New Roman" w:cs="Times New Roman"/>
          <w:sz w:val="28"/>
          <w:szCs w:val="28"/>
          <w:lang w:val="uk-UA"/>
        </w:rPr>
        <w:t xml:space="preserve"> </w:t>
      </w:r>
    </w:p>
    <w:p w:rsidR="00A7698E" w:rsidRPr="001143A7" w:rsidRDefault="004C0AD0" w:rsidP="001143A7">
      <w:pPr>
        <w:autoSpaceDE w:val="0"/>
        <w:autoSpaceDN w:val="0"/>
        <w:adjustRightInd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w:t>
      </w:r>
      <w:r w:rsidR="00801829">
        <w:rPr>
          <w:rFonts w:ascii="Times New Roman" w:hAnsi="Times New Roman" w:cs="Times New Roman"/>
          <w:sz w:val="28"/>
          <w:szCs w:val="28"/>
          <w:lang w:val="uk-UA"/>
        </w:rPr>
        <w:t xml:space="preserve">у пацієнтів </w:t>
      </w:r>
      <w:r w:rsidR="00FD6EA1">
        <w:rPr>
          <w:rFonts w:ascii="Times New Roman" w:hAnsi="Times New Roman" w:cs="Times New Roman"/>
          <w:sz w:val="28"/>
          <w:szCs w:val="28"/>
          <w:lang w:val="uk-UA"/>
        </w:rPr>
        <w:t xml:space="preserve">із АГ та супутнім ЦД 2-го типу з метою досягнення нефро- та кардіопротекторного ефекту </w:t>
      </w:r>
      <w:r w:rsidR="005C684F">
        <w:rPr>
          <w:rFonts w:ascii="Times New Roman" w:hAnsi="Times New Roman" w:cs="Times New Roman"/>
          <w:sz w:val="28"/>
          <w:szCs w:val="28"/>
          <w:lang w:val="uk-UA"/>
        </w:rPr>
        <w:t>доц</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льн</w:t>
      </w:r>
      <w:r>
        <w:rPr>
          <w:rFonts w:ascii="Times New Roman" w:hAnsi="Times New Roman" w:cs="Times New Roman"/>
          <w:sz w:val="28"/>
          <w:szCs w:val="28"/>
          <w:lang w:val="uk-UA"/>
        </w:rPr>
        <w:t>им є</w:t>
      </w:r>
      <w:r w:rsidR="005C684F">
        <w:rPr>
          <w:rFonts w:ascii="Times New Roman" w:hAnsi="Times New Roman" w:cs="Times New Roman"/>
          <w:sz w:val="28"/>
          <w:szCs w:val="28"/>
          <w:lang w:val="uk-UA"/>
        </w:rPr>
        <w:t xml:space="preserve"> диференц</w:t>
      </w:r>
      <w:r w:rsidR="005C684F">
        <w:rPr>
          <w:rFonts w:ascii="Times New Roman" w:hAnsi="Times New Roman" w:cs="Times New Roman"/>
          <w:sz w:val="28"/>
          <w:szCs w:val="28"/>
          <w:lang w:val="en-US"/>
        </w:rPr>
        <w:t>i</w:t>
      </w:r>
      <w:r>
        <w:rPr>
          <w:rFonts w:ascii="Times New Roman" w:hAnsi="Times New Roman" w:cs="Times New Roman"/>
          <w:sz w:val="28"/>
          <w:szCs w:val="28"/>
          <w:lang w:val="uk-UA"/>
        </w:rPr>
        <w:t>йований</w:t>
      </w:r>
      <w:r w:rsidR="005C684F">
        <w:rPr>
          <w:rFonts w:ascii="Times New Roman" w:hAnsi="Times New Roman" w:cs="Times New Roman"/>
          <w:sz w:val="28"/>
          <w:szCs w:val="28"/>
          <w:lang w:val="uk-UA"/>
        </w:rPr>
        <w:t xml:space="preserve"> п</w:t>
      </w:r>
      <w:r w:rsidR="005C684F">
        <w:rPr>
          <w:rFonts w:ascii="Times New Roman" w:hAnsi="Times New Roman" w:cs="Times New Roman"/>
          <w:sz w:val="28"/>
          <w:szCs w:val="28"/>
          <w:lang w:val="en-US"/>
        </w:rPr>
        <w:t>i</w:t>
      </w:r>
      <w:r>
        <w:rPr>
          <w:rFonts w:ascii="Times New Roman" w:hAnsi="Times New Roman" w:cs="Times New Roman"/>
          <w:sz w:val="28"/>
          <w:szCs w:val="28"/>
          <w:lang w:val="uk-UA"/>
        </w:rPr>
        <w:t>дхід</w:t>
      </w:r>
      <w:r w:rsidR="005C684F">
        <w:rPr>
          <w:rFonts w:ascii="Times New Roman" w:hAnsi="Times New Roman" w:cs="Times New Roman"/>
          <w:sz w:val="28"/>
          <w:szCs w:val="28"/>
          <w:lang w:val="uk-UA"/>
        </w:rPr>
        <w:t xml:space="preserve"> до призначення телм</w:t>
      </w:r>
      <w:r w:rsidR="005C684F">
        <w:rPr>
          <w:rFonts w:ascii="Times New Roman" w:hAnsi="Times New Roman" w:cs="Times New Roman"/>
          <w:sz w:val="28"/>
          <w:szCs w:val="28"/>
          <w:lang w:val="en-US"/>
        </w:rPr>
        <w:t>i</w:t>
      </w:r>
      <w:r w:rsidR="00762219">
        <w:rPr>
          <w:rFonts w:ascii="Times New Roman" w:hAnsi="Times New Roman" w:cs="Times New Roman"/>
          <w:sz w:val="28"/>
          <w:szCs w:val="28"/>
          <w:lang w:val="uk-UA"/>
        </w:rPr>
        <w:t>сартану залежно</w:t>
      </w:r>
      <w:r w:rsidR="005C684F">
        <w:rPr>
          <w:rFonts w:ascii="Times New Roman" w:hAnsi="Times New Roman" w:cs="Times New Roman"/>
          <w:sz w:val="28"/>
          <w:szCs w:val="28"/>
          <w:lang w:val="uk-UA"/>
        </w:rPr>
        <w:t xml:space="preserve"> в</w:t>
      </w:r>
      <w:r w:rsidR="005C684F">
        <w:rPr>
          <w:rFonts w:ascii="Times New Roman" w:hAnsi="Times New Roman" w:cs="Times New Roman"/>
          <w:sz w:val="28"/>
          <w:szCs w:val="28"/>
          <w:lang w:val="en-US"/>
        </w:rPr>
        <w:t>i</w:t>
      </w:r>
      <w:r w:rsidR="005C684F">
        <w:rPr>
          <w:rFonts w:ascii="Times New Roman" w:hAnsi="Times New Roman" w:cs="Times New Roman"/>
          <w:sz w:val="28"/>
          <w:szCs w:val="28"/>
          <w:lang w:val="uk-UA"/>
        </w:rPr>
        <w:t xml:space="preserve">д </w:t>
      </w:r>
      <w:r w:rsidR="00801829">
        <w:rPr>
          <w:rFonts w:ascii="Times New Roman" w:hAnsi="Times New Roman" w:cs="Times New Roman"/>
          <w:sz w:val="28"/>
          <w:szCs w:val="28"/>
          <w:lang w:val="uk-UA"/>
        </w:rPr>
        <w:t xml:space="preserve">вмісту </w:t>
      </w:r>
      <w:r w:rsidR="00496950">
        <w:rPr>
          <w:rFonts w:ascii="Times New Roman" w:hAnsi="Times New Roman" w:cs="Times New Roman"/>
          <w:sz w:val="28"/>
          <w:szCs w:val="28"/>
          <w:lang w:val="uk-UA"/>
        </w:rPr>
        <w:t>ЕТ-1</w:t>
      </w:r>
      <w:r w:rsidR="00801829">
        <w:rPr>
          <w:rFonts w:ascii="Times New Roman" w:hAnsi="Times New Roman" w:cs="Times New Roman"/>
          <w:sz w:val="28"/>
          <w:szCs w:val="28"/>
          <w:lang w:val="uk-UA"/>
        </w:rPr>
        <w:t xml:space="preserve"> </w:t>
      </w:r>
      <w:r w:rsidRPr="00FD6EA1">
        <w:rPr>
          <w:rFonts w:ascii="Times New Roman" w:hAnsi="Times New Roman" w:cs="Times New Roman"/>
          <w:sz w:val="28"/>
          <w:szCs w:val="28"/>
          <w:lang w:val="uk-UA"/>
        </w:rPr>
        <w:t>[</w:t>
      </w:r>
      <w:r w:rsidR="00D0196D" w:rsidRPr="004900D9">
        <w:rPr>
          <w:rFonts w:ascii="Times New Roman" w:hAnsi="Times New Roman" w:cs="Times New Roman"/>
          <w:sz w:val="28"/>
          <w:szCs w:val="28"/>
          <w:lang w:val="uk-UA"/>
        </w:rPr>
        <w:t>204</w:t>
      </w:r>
      <w:r w:rsidR="00FB2458" w:rsidRPr="004900D9">
        <w:rPr>
          <w:rFonts w:ascii="Times New Roman" w:hAnsi="Times New Roman" w:cs="Times New Roman"/>
          <w:sz w:val="28"/>
          <w:szCs w:val="28"/>
          <w:lang w:val="uk-UA"/>
        </w:rPr>
        <w:t>, 20</w:t>
      </w:r>
      <w:r w:rsidR="00D0196D" w:rsidRPr="004900D9">
        <w:rPr>
          <w:rFonts w:ascii="Times New Roman" w:hAnsi="Times New Roman" w:cs="Times New Roman"/>
          <w:sz w:val="28"/>
          <w:szCs w:val="28"/>
          <w:lang w:val="uk-UA"/>
        </w:rPr>
        <w:t>5</w:t>
      </w:r>
      <w:r w:rsidRPr="004900D9">
        <w:rPr>
          <w:rFonts w:ascii="Times New Roman" w:hAnsi="Times New Roman" w:cs="Times New Roman"/>
          <w:sz w:val="28"/>
          <w:szCs w:val="28"/>
          <w:lang w:val="uk-UA"/>
        </w:rPr>
        <w:t>]</w:t>
      </w:r>
      <w:r w:rsidR="00496950" w:rsidRPr="004900D9">
        <w:rPr>
          <w:rFonts w:ascii="Times New Roman" w:hAnsi="Times New Roman" w:cs="Times New Roman"/>
          <w:sz w:val="28"/>
          <w:szCs w:val="28"/>
          <w:lang w:val="uk-UA"/>
        </w:rPr>
        <w:t>.</w:t>
      </w:r>
    </w:p>
    <w:p w:rsidR="00AF38E1" w:rsidRDefault="00023195" w:rsidP="00296E85">
      <w:pPr>
        <w:tabs>
          <w:tab w:val="left" w:pos="2880"/>
        </w:tabs>
        <w:spacing w:after="0" w:line="360" w:lineRule="auto"/>
        <w:jc w:val="center"/>
        <w:rPr>
          <w:rFonts w:ascii="Times New Roman" w:hAnsi="Times New Roman" w:cs="Times New Roman"/>
          <w:b/>
          <w:sz w:val="28"/>
          <w:szCs w:val="28"/>
          <w:lang w:val="uk-UA"/>
        </w:rPr>
      </w:pPr>
      <w:r w:rsidRPr="00FF4AD2">
        <w:rPr>
          <w:rFonts w:ascii="Times New Roman" w:hAnsi="Times New Roman" w:cs="Times New Roman"/>
          <w:b/>
          <w:sz w:val="28"/>
          <w:szCs w:val="28"/>
          <w:lang w:val="uk-UA"/>
        </w:rPr>
        <w:lastRenderedPageBreak/>
        <w:t>ВИСНОВКИ</w:t>
      </w:r>
    </w:p>
    <w:p w:rsidR="00D47B05" w:rsidRPr="00D47B05" w:rsidRDefault="00FF4AD2" w:rsidP="00D47B0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33A44">
        <w:rPr>
          <w:rFonts w:ascii="Times New Roman" w:hAnsi="Times New Roman" w:cs="Times New Roman"/>
          <w:sz w:val="28"/>
          <w:szCs w:val="28"/>
          <w:lang w:val="uk-UA"/>
        </w:rPr>
        <w:t xml:space="preserve"> </w:t>
      </w:r>
      <w:r w:rsidR="00D47B05" w:rsidRPr="00D47B05">
        <w:rPr>
          <w:rFonts w:ascii="Times New Roman" w:hAnsi="Times New Roman" w:cs="Times New Roman"/>
          <w:sz w:val="28"/>
          <w:szCs w:val="28"/>
          <w:lang w:val="uk-UA"/>
        </w:rPr>
        <w:t>1. У ди</w:t>
      </w:r>
      <w:r w:rsidR="004F7853">
        <w:rPr>
          <w:rFonts w:ascii="Times New Roman" w:hAnsi="Times New Roman" w:cs="Times New Roman"/>
          <w:sz w:val="28"/>
          <w:szCs w:val="28"/>
          <w:lang w:val="uk-UA"/>
        </w:rPr>
        <w:t>сертацiйнiй роботi запропоновано</w:t>
      </w:r>
      <w:r w:rsidR="00D47B05" w:rsidRPr="00D47B05">
        <w:rPr>
          <w:rFonts w:ascii="Times New Roman" w:hAnsi="Times New Roman" w:cs="Times New Roman"/>
          <w:sz w:val="28"/>
          <w:szCs w:val="28"/>
          <w:lang w:val="uk-UA"/>
        </w:rPr>
        <w:t xml:space="preserve"> нове вирiшення актуальної проблеми внутрiшньої медицини – у хворих на артерiальну гiпертензiю та супутнiй цукровий дiабет 2-го типу удосконалено діагностику</w:t>
      </w:r>
      <w:r w:rsidR="00EC0DCD">
        <w:rPr>
          <w:rFonts w:ascii="Times New Roman" w:hAnsi="Times New Roman" w:cs="Times New Roman"/>
          <w:sz w:val="28"/>
          <w:szCs w:val="28"/>
          <w:lang w:val="uk-UA"/>
        </w:rPr>
        <w:t xml:space="preserve"> та лiкування шляхом розробки</w:t>
      </w:r>
      <w:r w:rsidR="00D47B05" w:rsidRPr="00D47B05">
        <w:rPr>
          <w:rFonts w:ascii="Times New Roman" w:hAnsi="Times New Roman" w:cs="Times New Roman"/>
          <w:sz w:val="28"/>
          <w:szCs w:val="28"/>
          <w:lang w:val="uk-UA"/>
        </w:rPr>
        <w:t xml:space="preserve"> нового диференцiйованого пiдходу до призначення антигiпертензивного препарату з метою органопротекцiї на пiдставi комплексного вивчення зв’язку між показниками функціонального стану ендотелію, нирок, серця, маркерами імунного запалення, урикемією, проатерогенною спрямованістю після визначення типів дисліпідемії, вмісту атерогенних та антиатерогенних ліпопротеїдів, оцінки геометрії лівого шлуночка.</w:t>
      </w:r>
    </w:p>
    <w:p w:rsidR="00D47B05" w:rsidRPr="00D47B05"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sz w:val="28"/>
          <w:szCs w:val="28"/>
          <w:lang w:val="uk-UA"/>
        </w:rPr>
        <w:t xml:space="preserve">         2. У пацiєнтiв із артерiальною гiпертензiєю та супутнiм цукровим дiабетом 2-го типу відзначаються достовiрно вищі значення атерогенних, нижчі – антиатерогенних ліпопротеїдів; комбiнований тип дислiпiдемiї, що характеризується пiдвищенням вмісту загального холестерину, холестерину лiпопротеїдiв низької щiльностi, триглiцеридiв, зниженням – холестерину ліпопротеїдiв високої щiльностi.     </w:t>
      </w:r>
    </w:p>
    <w:p w:rsidR="00D47B05" w:rsidRPr="00D47B05"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sz w:val="28"/>
          <w:szCs w:val="28"/>
          <w:lang w:val="uk-UA"/>
        </w:rPr>
        <w:t xml:space="preserve">          3. Для хворих на артерiальну гiпертензiю та цукровий діабет 2-го типу, якi мають глiкозильований гемоглобiн, вищий за 8,0 %, порівняно                      з пацієнтами з глiкозильованим гемоглобiном, меншим за 8,0 %, характерні достовiрно бiльші значення триглiцеридiв (р = 0,0018),  нижчi – холестерину лiпопротеїдiв високої щiльностi (p = 0,0367).</w:t>
      </w:r>
    </w:p>
    <w:p w:rsidR="00D47B05" w:rsidRPr="00D47B05"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sz w:val="28"/>
          <w:szCs w:val="28"/>
          <w:lang w:val="uk-UA"/>
        </w:rPr>
        <w:t xml:space="preserve">           4. У хворих на артерiальну гiпертензiю та цукровий дiабет 2-го типу    із зростанням вмісту розчинної форми молекули адгезiї судинного ендотелiю 1-го типу збiльшується коефiцiєнт атерогенностi (р = 0,0495).</w:t>
      </w:r>
    </w:p>
    <w:p w:rsidR="00D47B05" w:rsidRPr="00D47B05"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sz w:val="28"/>
          <w:szCs w:val="28"/>
          <w:lang w:val="uk-UA"/>
        </w:rPr>
        <w:t xml:space="preserve">           5. У пацієнтів із артерiальною гiпертензiєю та ц</w:t>
      </w:r>
      <w:r w:rsidR="004F7853">
        <w:rPr>
          <w:rFonts w:ascii="Times New Roman" w:hAnsi="Times New Roman" w:cs="Times New Roman"/>
          <w:sz w:val="28"/>
          <w:szCs w:val="28"/>
          <w:lang w:val="uk-UA"/>
        </w:rPr>
        <w:t>укровим дiабетом 2-го типу відзна</w:t>
      </w:r>
      <w:r w:rsidRPr="00D47B05">
        <w:rPr>
          <w:rFonts w:ascii="Times New Roman" w:hAnsi="Times New Roman" w:cs="Times New Roman"/>
          <w:sz w:val="28"/>
          <w:szCs w:val="28"/>
          <w:lang w:val="uk-UA"/>
        </w:rPr>
        <w:t xml:space="preserve">чається зростання вмісту ендотелiну-1 (р &lt; 0,0001), розчинної форми молекули адгезiї судинного ендотелiю 1-го типу (p = 0,0003)                зі збільшенням альбумінурії; підвищення сечової кислоти зі зменшенням швидкості клубочкової фільтрації (р = 0,0495). </w:t>
      </w:r>
    </w:p>
    <w:p w:rsidR="00D47B05" w:rsidRPr="00D47B05"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sz w:val="28"/>
          <w:szCs w:val="28"/>
          <w:lang w:val="uk-UA"/>
        </w:rPr>
        <w:lastRenderedPageBreak/>
        <w:t xml:space="preserve">           6. Для хворих на артерiальну гiпертензiю та супутній цукровий дiабет    2-го типу характерні вищi значення iндексу маси мiокарда лiвого шлуночка     (p = 0,0017), менше спiввiдношення Е/А (p = 0,0173), збiльшення у вiдсотках пацієнтів із ексцентричною та концентричною гіпертрофією; зростання вмісту фактора некрозу пухлин-α (р = 0,0485), ендотелiну-1 (р = 0,0476)                       із прогресуванням функцiональної недостатностi</w:t>
      </w:r>
      <w:r w:rsidR="00587E83">
        <w:rPr>
          <w:rFonts w:ascii="Times New Roman" w:hAnsi="Times New Roman" w:cs="Times New Roman"/>
          <w:sz w:val="28"/>
          <w:szCs w:val="28"/>
          <w:lang w:val="uk-UA"/>
        </w:rPr>
        <w:t xml:space="preserve"> серця</w:t>
      </w:r>
      <w:r w:rsidRPr="00D47B05">
        <w:rPr>
          <w:rFonts w:ascii="Times New Roman" w:hAnsi="Times New Roman" w:cs="Times New Roman"/>
          <w:sz w:val="28"/>
          <w:szCs w:val="28"/>
          <w:lang w:val="uk-UA"/>
        </w:rPr>
        <w:t>.</w:t>
      </w:r>
    </w:p>
    <w:p w:rsidR="00D47B05" w:rsidRPr="00A72E54"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sz w:val="28"/>
          <w:szCs w:val="28"/>
          <w:lang w:val="uk-UA"/>
        </w:rPr>
        <w:t xml:space="preserve">          7. У хворих на артерiальну гiпертензiю та цукровий дiабет 2-го типу доцiльним є призначення телмісартану дозою 40 мг/добу, якщо вміст ендотелiну-1 не перевищує 10 пг/мл, та 80 мг/добу, якщо вміст ендотелiну-1 є бiльшим за 10 пг/мл</w:t>
      </w:r>
      <w:r w:rsidR="00445541">
        <w:rPr>
          <w:rFonts w:ascii="Times New Roman" w:hAnsi="Times New Roman" w:cs="Times New Roman"/>
          <w:sz w:val="28"/>
          <w:szCs w:val="28"/>
          <w:lang w:val="uk-UA"/>
        </w:rPr>
        <w:t>,</w:t>
      </w:r>
      <w:r w:rsidRPr="00D47B05">
        <w:rPr>
          <w:rFonts w:ascii="Times New Roman" w:hAnsi="Times New Roman" w:cs="Times New Roman"/>
          <w:sz w:val="28"/>
          <w:szCs w:val="28"/>
          <w:lang w:val="uk-UA"/>
        </w:rPr>
        <w:t xml:space="preserve"> з метою кардiо- та ренопротекцiї, що виявляються у достовiрному зниженнi альбумiнурiї, iндексу маси мiокарда лiвого шлуночка.</w:t>
      </w:r>
    </w:p>
    <w:p w:rsidR="00110918" w:rsidRDefault="00D47B05" w:rsidP="00D47B05">
      <w:pPr>
        <w:tabs>
          <w:tab w:val="left" w:pos="2880"/>
        </w:tabs>
        <w:spacing w:after="0" w:line="360" w:lineRule="auto"/>
        <w:jc w:val="both"/>
        <w:rPr>
          <w:rFonts w:ascii="Times New Roman" w:hAnsi="Times New Roman" w:cs="Times New Roman"/>
          <w:b/>
          <w:sz w:val="28"/>
          <w:szCs w:val="28"/>
          <w:lang w:val="uk-UA"/>
        </w:rPr>
      </w:pPr>
      <w:r w:rsidRPr="00A72E54">
        <w:rPr>
          <w:rFonts w:ascii="Times New Roman" w:hAnsi="Times New Roman" w:cs="Times New Roman"/>
          <w:sz w:val="28"/>
          <w:szCs w:val="28"/>
          <w:lang w:val="uk-UA"/>
        </w:rPr>
        <w:tab/>
      </w: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110918" w:rsidRDefault="00110918"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47186" w:rsidRDefault="00A47186" w:rsidP="00EB239E">
      <w:pPr>
        <w:tabs>
          <w:tab w:val="left" w:pos="2880"/>
        </w:tabs>
        <w:spacing w:after="0" w:line="360" w:lineRule="auto"/>
        <w:jc w:val="center"/>
        <w:rPr>
          <w:rFonts w:ascii="Times New Roman" w:hAnsi="Times New Roman" w:cs="Times New Roman"/>
          <w:b/>
          <w:sz w:val="28"/>
          <w:szCs w:val="28"/>
          <w:lang w:val="uk-UA"/>
        </w:rPr>
      </w:pPr>
    </w:p>
    <w:p w:rsidR="00A7698E" w:rsidRPr="00A72E54" w:rsidRDefault="00A7698E" w:rsidP="00D47B05">
      <w:pPr>
        <w:tabs>
          <w:tab w:val="left" w:pos="2880"/>
        </w:tabs>
        <w:spacing w:after="0" w:line="360" w:lineRule="auto"/>
        <w:rPr>
          <w:rFonts w:ascii="Times New Roman" w:hAnsi="Times New Roman" w:cs="Times New Roman"/>
          <w:b/>
          <w:sz w:val="28"/>
          <w:szCs w:val="28"/>
          <w:lang w:val="uk-UA"/>
        </w:rPr>
      </w:pPr>
    </w:p>
    <w:p w:rsidR="00C13FF6" w:rsidRPr="00315211" w:rsidRDefault="00C13FF6" w:rsidP="00EB239E">
      <w:pPr>
        <w:tabs>
          <w:tab w:val="left" w:pos="2880"/>
        </w:tabs>
        <w:spacing w:after="0" w:line="360" w:lineRule="auto"/>
        <w:jc w:val="center"/>
        <w:rPr>
          <w:rFonts w:ascii="Times New Roman" w:hAnsi="Times New Roman" w:cs="Times New Roman"/>
          <w:b/>
          <w:sz w:val="28"/>
          <w:szCs w:val="28"/>
          <w:lang w:val="uk-UA"/>
        </w:rPr>
      </w:pPr>
      <w:r w:rsidRPr="00315211">
        <w:rPr>
          <w:rFonts w:ascii="Times New Roman" w:hAnsi="Times New Roman" w:cs="Times New Roman"/>
          <w:b/>
          <w:sz w:val="28"/>
          <w:szCs w:val="28"/>
          <w:lang w:val="uk-UA"/>
        </w:rPr>
        <w:lastRenderedPageBreak/>
        <w:t>ПРАКТИЧНІ РЕКОМЕНДАЦІЇ</w:t>
      </w:r>
    </w:p>
    <w:p w:rsidR="00D47B05" w:rsidRPr="00522C77" w:rsidRDefault="00D47B05" w:rsidP="00D47B05">
      <w:pPr>
        <w:spacing w:after="0" w:line="360" w:lineRule="auto"/>
        <w:ind w:firstLine="708"/>
        <w:jc w:val="both"/>
        <w:rPr>
          <w:rFonts w:ascii="Times New Roman" w:hAnsi="Times New Roman" w:cs="Times New Roman"/>
          <w:bCs/>
          <w:sz w:val="28"/>
          <w:szCs w:val="28"/>
          <w:lang w:val="uk-UA"/>
        </w:rPr>
      </w:pPr>
      <w:r w:rsidRPr="00522C77">
        <w:rPr>
          <w:rFonts w:ascii="Times New Roman" w:hAnsi="Times New Roman" w:cs="Times New Roman"/>
          <w:bCs/>
          <w:sz w:val="28"/>
          <w:szCs w:val="28"/>
          <w:lang w:val="uk-UA"/>
        </w:rPr>
        <w:t>1. Пацієнтам із АГ та ЦД 2-го типу рекомендується призначати 40 мг/добу телмiсартану, якщо вміст ЕТ-1 не перевищує 10 пг/мл, та 80 мг/добу вiдповiдного препарату, якщо вміст ЕТ-1 є бiльшим за 10 пг/мл</w:t>
      </w:r>
      <w:r w:rsidR="003F3D70">
        <w:rPr>
          <w:rFonts w:ascii="Times New Roman" w:hAnsi="Times New Roman" w:cs="Times New Roman"/>
          <w:bCs/>
          <w:sz w:val="28"/>
          <w:szCs w:val="28"/>
          <w:lang w:val="uk-UA"/>
        </w:rPr>
        <w:t>,</w:t>
      </w:r>
      <w:r w:rsidRPr="00522C77">
        <w:rPr>
          <w:rFonts w:ascii="Times New Roman" w:hAnsi="Times New Roman" w:cs="Times New Roman"/>
          <w:bCs/>
          <w:sz w:val="28"/>
          <w:szCs w:val="28"/>
          <w:lang w:val="uk-UA"/>
        </w:rPr>
        <w:t xml:space="preserve"> iз метою кардiо- та ренопротекцiї з урахуванням АТ.</w:t>
      </w:r>
    </w:p>
    <w:p w:rsidR="00D47B05" w:rsidRPr="00522C77" w:rsidRDefault="00D47B05" w:rsidP="00D47B05">
      <w:pPr>
        <w:spacing w:after="0" w:line="360" w:lineRule="auto"/>
        <w:ind w:firstLine="708"/>
        <w:jc w:val="both"/>
        <w:rPr>
          <w:rFonts w:ascii="Times New Roman" w:hAnsi="Times New Roman" w:cs="Times New Roman"/>
          <w:bCs/>
          <w:sz w:val="28"/>
          <w:szCs w:val="28"/>
          <w:lang w:val="uk-UA"/>
        </w:rPr>
      </w:pPr>
      <w:r w:rsidRPr="00522C77">
        <w:rPr>
          <w:rFonts w:ascii="Times New Roman" w:hAnsi="Times New Roman" w:cs="Times New Roman"/>
          <w:bCs/>
          <w:sz w:val="28"/>
          <w:szCs w:val="28"/>
          <w:lang w:val="uk-UA"/>
        </w:rPr>
        <w:t xml:space="preserve">2. У хворих на АГ для дiагностики </w:t>
      </w:r>
      <w:r>
        <w:rPr>
          <w:rFonts w:ascii="Times New Roman" w:hAnsi="Times New Roman" w:cs="Times New Roman"/>
          <w:bCs/>
          <w:sz w:val="28"/>
          <w:szCs w:val="28"/>
          <w:lang w:val="uk-UA"/>
        </w:rPr>
        <w:t xml:space="preserve">функціонального стану нирок </w:t>
      </w:r>
      <w:r w:rsidRPr="00522C77">
        <w:rPr>
          <w:rFonts w:ascii="Times New Roman" w:hAnsi="Times New Roman" w:cs="Times New Roman"/>
          <w:bCs/>
          <w:sz w:val="28"/>
          <w:szCs w:val="28"/>
          <w:lang w:val="uk-UA"/>
        </w:rPr>
        <w:t xml:space="preserve">рекомендується визначати спiввiдношення альбумiну до креатинiну </w:t>
      </w:r>
      <w:r w:rsidRPr="00A2050C">
        <w:rPr>
          <w:rFonts w:ascii="Times New Roman" w:hAnsi="Times New Roman" w:cs="Times New Roman"/>
          <w:bCs/>
          <w:sz w:val="28"/>
          <w:szCs w:val="28"/>
          <w:lang w:val="uk-UA"/>
        </w:rPr>
        <w:t xml:space="preserve">               </w:t>
      </w:r>
      <w:r w:rsidRPr="00522C77">
        <w:rPr>
          <w:rFonts w:ascii="Times New Roman" w:hAnsi="Times New Roman" w:cs="Times New Roman"/>
          <w:bCs/>
          <w:sz w:val="28"/>
          <w:szCs w:val="28"/>
          <w:lang w:val="uk-UA"/>
        </w:rPr>
        <w:t xml:space="preserve">в одноразовiй ранковiй порцiї сечi, зважаючи на бiльшу точнiсть цього методу порiвняно з пiдрахунком однiєї лише альбумiнурiї, враховуючи, </w:t>
      </w:r>
      <w:r w:rsidRPr="00A2050C">
        <w:rPr>
          <w:rFonts w:ascii="Times New Roman" w:hAnsi="Times New Roman" w:cs="Times New Roman"/>
          <w:bCs/>
          <w:sz w:val="28"/>
          <w:szCs w:val="28"/>
          <w:lang w:val="uk-UA"/>
        </w:rPr>
        <w:t xml:space="preserve">      </w:t>
      </w:r>
      <w:r w:rsidRPr="00522C77">
        <w:rPr>
          <w:rFonts w:ascii="Times New Roman" w:hAnsi="Times New Roman" w:cs="Times New Roman"/>
          <w:bCs/>
          <w:sz w:val="28"/>
          <w:szCs w:val="28"/>
          <w:lang w:val="uk-UA"/>
        </w:rPr>
        <w:t>що вміст видiленого iз сечею креатинiну не завжди дорiвнює 1,0 г i залежить вiд вiку, статi, IМТ.</w:t>
      </w:r>
    </w:p>
    <w:p w:rsidR="00D47B05" w:rsidRPr="00522C77" w:rsidRDefault="00D47B05" w:rsidP="00D47B05">
      <w:pPr>
        <w:spacing w:after="0" w:line="360" w:lineRule="auto"/>
        <w:ind w:firstLine="708"/>
        <w:jc w:val="both"/>
        <w:rPr>
          <w:rFonts w:ascii="Times New Roman" w:hAnsi="Times New Roman" w:cs="Times New Roman"/>
          <w:bCs/>
          <w:sz w:val="28"/>
          <w:szCs w:val="28"/>
          <w:lang w:val="uk-UA"/>
        </w:rPr>
      </w:pPr>
      <w:r w:rsidRPr="00522C77">
        <w:rPr>
          <w:rFonts w:ascii="Times New Roman" w:hAnsi="Times New Roman" w:cs="Times New Roman"/>
          <w:bCs/>
          <w:sz w:val="28"/>
          <w:szCs w:val="28"/>
          <w:lang w:val="uk-UA"/>
        </w:rPr>
        <w:t xml:space="preserve">3. Пацієнтам із АГ та ЦД 2-го типу, зважаючи на наявнiсть супутнього ожирiння чи надмiрної ваги тiла, для розрахунку IММЛШ рекомендується обчислювати спiввiдношення ММЛШ до зросту в степенi 2,7 з метою оптимiзацiї виявлення та уникнення гiподiагностики гiпертрофiї ЛШ. </w:t>
      </w:r>
    </w:p>
    <w:p w:rsidR="00FF4AD2" w:rsidRPr="00D47B05" w:rsidRDefault="00D47B05" w:rsidP="00D47B05">
      <w:pPr>
        <w:tabs>
          <w:tab w:val="left" w:pos="2880"/>
        </w:tabs>
        <w:spacing w:after="0" w:line="360" w:lineRule="auto"/>
        <w:jc w:val="both"/>
        <w:rPr>
          <w:rFonts w:ascii="Times New Roman" w:hAnsi="Times New Roman" w:cs="Times New Roman"/>
          <w:sz w:val="28"/>
          <w:szCs w:val="28"/>
          <w:lang w:val="uk-UA"/>
        </w:rPr>
      </w:pPr>
      <w:r w:rsidRPr="00D47B05">
        <w:rPr>
          <w:rFonts w:ascii="Times New Roman" w:hAnsi="Times New Roman" w:cs="Times New Roman"/>
          <w:bCs/>
          <w:sz w:val="28"/>
          <w:szCs w:val="28"/>
          <w:lang w:val="uk-UA"/>
        </w:rPr>
        <w:t xml:space="preserve">           </w:t>
      </w:r>
      <w:r w:rsidRPr="00522C77">
        <w:rPr>
          <w:rFonts w:ascii="Times New Roman" w:hAnsi="Times New Roman" w:cs="Times New Roman"/>
          <w:bCs/>
          <w:sz w:val="28"/>
          <w:szCs w:val="28"/>
          <w:lang w:val="uk-UA"/>
        </w:rPr>
        <w:t xml:space="preserve">4. У хворих на АГ та ЦД 2-го типу з метою корекцiї дислiпiдемiї рекомендується застосовувати 10−20−40 мг/добу аторвастатину, зважаючи </w:t>
      </w:r>
      <w:r w:rsidRPr="00A2050C">
        <w:rPr>
          <w:rFonts w:ascii="Times New Roman" w:hAnsi="Times New Roman" w:cs="Times New Roman"/>
          <w:bCs/>
          <w:sz w:val="28"/>
          <w:szCs w:val="28"/>
          <w:lang w:val="uk-UA"/>
        </w:rPr>
        <w:t xml:space="preserve">  </w:t>
      </w:r>
      <w:r w:rsidRPr="00522C77">
        <w:rPr>
          <w:rFonts w:ascii="Times New Roman" w:hAnsi="Times New Roman" w:cs="Times New Roman"/>
          <w:bCs/>
          <w:sz w:val="28"/>
          <w:szCs w:val="28"/>
          <w:lang w:val="uk-UA"/>
        </w:rPr>
        <w:t>на його здатність знижувати вміст атерогенних та підвищувати антиатерогенних ліпопротеїдів, запобiгаючи прогресуванню порушень функції нирок та серця.</w:t>
      </w:r>
    </w:p>
    <w:p w:rsidR="00AA792B" w:rsidRPr="0087303D" w:rsidRDefault="0087303D" w:rsidP="00D47B0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792B" w:rsidRPr="00055833" w:rsidRDefault="00AA792B" w:rsidP="00184AAF">
      <w:pPr>
        <w:tabs>
          <w:tab w:val="left" w:pos="2880"/>
        </w:tabs>
        <w:spacing w:after="0" w:line="360" w:lineRule="auto"/>
        <w:jc w:val="both"/>
        <w:rPr>
          <w:rFonts w:ascii="Times New Roman" w:hAnsi="Times New Roman" w:cs="Times New Roman"/>
          <w:b/>
          <w:sz w:val="28"/>
          <w:szCs w:val="28"/>
          <w:lang w:val="uk-UA"/>
        </w:rPr>
      </w:pPr>
    </w:p>
    <w:p w:rsidR="0063002F" w:rsidRDefault="0063002F" w:rsidP="00392FF2">
      <w:pPr>
        <w:tabs>
          <w:tab w:val="left" w:pos="2880"/>
        </w:tabs>
        <w:spacing w:line="360" w:lineRule="auto"/>
        <w:jc w:val="center"/>
        <w:rPr>
          <w:rFonts w:ascii="Times New Roman" w:hAnsi="Times New Roman" w:cs="Times New Roman"/>
          <w:b/>
          <w:sz w:val="28"/>
          <w:szCs w:val="28"/>
          <w:lang w:val="uk-UA"/>
        </w:rPr>
      </w:pPr>
    </w:p>
    <w:p w:rsidR="00026574" w:rsidRPr="002A5187" w:rsidRDefault="00026574" w:rsidP="00392FF2">
      <w:pPr>
        <w:tabs>
          <w:tab w:val="left" w:pos="2880"/>
        </w:tabs>
        <w:spacing w:line="360" w:lineRule="auto"/>
        <w:jc w:val="center"/>
        <w:rPr>
          <w:rFonts w:ascii="Times New Roman" w:hAnsi="Times New Roman" w:cs="Times New Roman"/>
          <w:b/>
          <w:sz w:val="28"/>
          <w:szCs w:val="28"/>
          <w:lang w:val="uk-UA"/>
        </w:rPr>
      </w:pPr>
    </w:p>
    <w:p w:rsidR="00026574" w:rsidRPr="002A5187" w:rsidRDefault="00026574" w:rsidP="00392FF2">
      <w:pPr>
        <w:tabs>
          <w:tab w:val="left" w:pos="2880"/>
        </w:tabs>
        <w:spacing w:line="360" w:lineRule="auto"/>
        <w:jc w:val="center"/>
        <w:rPr>
          <w:rFonts w:ascii="Times New Roman" w:hAnsi="Times New Roman" w:cs="Times New Roman"/>
          <w:b/>
          <w:sz w:val="28"/>
          <w:szCs w:val="28"/>
          <w:lang w:val="uk-UA"/>
        </w:rPr>
      </w:pPr>
    </w:p>
    <w:p w:rsidR="00A96A0F" w:rsidRDefault="00A96A0F" w:rsidP="00102EFE">
      <w:pPr>
        <w:tabs>
          <w:tab w:val="left" w:pos="2880"/>
        </w:tabs>
        <w:spacing w:line="360" w:lineRule="auto"/>
        <w:jc w:val="center"/>
        <w:rPr>
          <w:rFonts w:ascii="Times New Roman" w:hAnsi="Times New Roman" w:cs="Times New Roman"/>
          <w:b/>
          <w:sz w:val="28"/>
          <w:szCs w:val="28"/>
          <w:lang w:val="uk-UA"/>
        </w:rPr>
      </w:pPr>
    </w:p>
    <w:p w:rsidR="00A96A0F" w:rsidRDefault="00A96A0F" w:rsidP="00102EFE">
      <w:pPr>
        <w:tabs>
          <w:tab w:val="left" w:pos="2880"/>
        </w:tabs>
        <w:spacing w:line="360" w:lineRule="auto"/>
        <w:jc w:val="center"/>
        <w:rPr>
          <w:rFonts w:ascii="Times New Roman" w:hAnsi="Times New Roman" w:cs="Times New Roman"/>
          <w:b/>
          <w:sz w:val="28"/>
          <w:szCs w:val="28"/>
          <w:lang w:val="uk-UA"/>
        </w:rPr>
      </w:pPr>
    </w:p>
    <w:p w:rsidR="00BB627A" w:rsidRPr="00A72E54" w:rsidRDefault="00BB627A" w:rsidP="00D47B05">
      <w:pPr>
        <w:tabs>
          <w:tab w:val="left" w:pos="2880"/>
        </w:tabs>
        <w:spacing w:line="360" w:lineRule="auto"/>
        <w:rPr>
          <w:rFonts w:ascii="Times New Roman" w:hAnsi="Times New Roman" w:cs="Times New Roman"/>
          <w:b/>
          <w:sz w:val="28"/>
          <w:szCs w:val="28"/>
          <w:lang w:val="uk-UA"/>
        </w:rPr>
      </w:pPr>
    </w:p>
    <w:p w:rsidR="00DB030D" w:rsidRDefault="00DB030D" w:rsidP="00102EFE">
      <w:pPr>
        <w:tabs>
          <w:tab w:val="left" w:pos="2880"/>
        </w:tabs>
        <w:spacing w:line="360" w:lineRule="auto"/>
        <w:jc w:val="center"/>
        <w:rPr>
          <w:rFonts w:ascii="Times New Roman" w:hAnsi="Times New Roman" w:cs="Times New Roman"/>
          <w:b/>
          <w:sz w:val="28"/>
          <w:szCs w:val="28"/>
          <w:lang w:val="uk-UA"/>
        </w:rPr>
      </w:pPr>
      <w:r w:rsidRPr="00DB030D">
        <w:rPr>
          <w:rFonts w:ascii="Times New Roman" w:hAnsi="Times New Roman" w:cs="Times New Roman"/>
          <w:b/>
          <w:sz w:val="28"/>
          <w:szCs w:val="28"/>
          <w:lang w:val="uk-UA"/>
        </w:rPr>
        <w:lastRenderedPageBreak/>
        <w:t>СПИСОК ВИКОРИСТАНИХ ДЖЕРЕЛ</w:t>
      </w:r>
    </w:p>
    <w:p w:rsidR="006D0E3C" w:rsidRPr="002B600D" w:rsidRDefault="000756FE" w:rsidP="006D0E3C">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 Фадєєнко ГД, Гріднєв</w:t>
      </w:r>
      <w:r w:rsidR="00BF2786" w:rsidRPr="00BF2786">
        <w:rPr>
          <w:rFonts w:ascii="Times New Roman" w:hAnsi="Times New Roman" w:cs="Times New Roman"/>
          <w:sz w:val="28"/>
          <w:szCs w:val="28"/>
        </w:rPr>
        <w:t xml:space="preserve"> </w:t>
      </w:r>
      <w:r w:rsidR="006D0E3C" w:rsidRPr="006D0E3C">
        <w:rPr>
          <w:rFonts w:ascii="Times New Roman" w:hAnsi="Times New Roman" w:cs="Times New Roman"/>
          <w:sz w:val="28"/>
          <w:szCs w:val="28"/>
        </w:rPr>
        <w:t xml:space="preserve">ОЄ, Несен АО, Чернишов ВА, Грунченко ММ,  Шкапо ВЛ. Коморбідність і високий кардіоваскулярний ризик − ключові питання сучасної медицини. Український терапевтичний журнал [Інтернет]. </w:t>
      </w:r>
      <w:r w:rsidR="006D0E3C" w:rsidRPr="002B600D">
        <w:rPr>
          <w:rFonts w:ascii="Times New Roman" w:hAnsi="Times New Roman" w:cs="Times New Roman"/>
          <w:sz w:val="28"/>
          <w:szCs w:val="28"/>
        </w:rPr>
        <w:t xml:space="preserve">2013;1:102-7. Доступно на: </w:t>
      </w:r>
    </w:p>
    <w:p w:rsidR="006D0E3C" w:rsidRDefault="006D0E3C" w:rsidP="006D0E3C">
      <w:pPr>
        <w:tabs>
          <w:tab w:val="left" w:pos="2880"/>
        </w:tabs>
        <w:spacing w:after="0" w:line="360" w:lineRule="auto"/>
        <w:jc w:val="both"/>
        <w:rPr>
          <w:rFonts w:ascii="Times New Roman" w:hAnsi="Times New Roman" w:cs="Times New Roman"/>
          <w:sz w:val="28"/>
          <w:szCs w:val="28"/>
          <w:lang w:val="uk-UA"/>
        </w:rPr>
      </w:pPr>
      <w:r w:rsidRPr="006D0E3C">
        <w:rPr>
          <w:rFonts w:ascii="Times New Roman" w:hAnsi="Times New Roman" w:cs="Times New Roman"/>
          <w:sz w:val="28"/>
          <w:szCs w:val="28"/>
          <w:lang w:val="en-US"/>
        </w:rPr>
        <w:t>http</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www</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vitapol</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com</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ua</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user</w:t>
      </w:r>
      <w:r w:rsidRPr="002B600D">
        <w:rPr>
          <w:rFonts w:ascii="Times New Roman" w:hAnsi="Times New Roman" w:cs="Times New Roman"/>
          <w:sz w:val="28"/>
          <w:szCs w:val="28"/>
        </w:rPr>
        <w:t>_</w:t>
      </w:r>
      <w:r w:rsidRPr="006D0E3C">
        <w:rPr>
          <w:rFonts w:ascii="Times New Roman" w:hAnsi="Times New Roman" w:cs="Times New Roman"/>
          <w:sz w:val="28"/>
          <w:szCs w:val="28"/>
          <w:lang w:val="en-US"/>
        </w:rPr>
        <w:t>files</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pdfs</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utj</w:t>
      </w:r>
      <w:r w:rsidRPr="002B600D">
        <w:rPr>
          <w:rFonts w:ascii="Times New Roman" w:hAnsi="Times New Roman" w:cs="Times New Roman"/>
          <w:sz w:val="28"/>
          <w:szCs w:val="28"/>
        </w:rPr>
        <w:t>/</w:t>
      </w:r>
      <w:r w:rsidRPr="006D0E3C">
        <w:rPr>
          <w:rFonts w:ascii="Times New Roman" w:hAnsi="Times New Roman" w:cs="Times New Roman"/>
          <w:sz w:val="28"/>
          <w:szCs w:val="28"/>
          <w:lang w:val="en-US"/>
        </w:rPr>
        <w:t>utj</w:t>
      </w:r>
      <w:r w:rsidRPr="002B600D">
        <w:rPr>
          <w:rFonts w:ascii="Times New Roman" w:hAnsi="Times New Roman" w:cs="Times New Roman"/>
          <w:sz w:val="28"/>
          <w:szCs w:val="28"/>
        </w:rPr>
        <w:t>36</w:t>
      </w:r>
      <w:r w:rsidRPr="006D0E3C">
        <w:rPr>
          <w:rFonts w:ascii="Times New Roman" w:hAnsi="Times New Roman" w:cs="Times New Roman"/>
          <w:sz w:val="28"/>
          <w:szCs w:val="28"/>
          <w:lang w:val="en-US"/>
        </w:rPr>
        <w:t>itherapyi</w:t>
      </w:r>
      <w:r w:rsidRPr="002B600D">
        <w:rPr>
          <w:rFonts w:ascii="Times New Roman" w:hAnsi="Times New Roman" w:cs="Times New Roman"/>
          <w:sz w:val="28"/>
          <w:szCs w:val="28"/>
        </w:rPr>
        <w:t>1</w:t>
      </w:r>
      <w:r w:rsidRPr="006D0E3C">
        <w:rPr>
          <w:rFonts w:ascii="Times New Roman" w:hAnsi="Times New Roman" w:cs="Times New Roman"/>
          <w:sz w:val="28"/>
          <w:szCs w:val="28"/>
          <w:lang w:val="en-US"/>
        </w:rPr>
        <w:t>i</w:t>
      </w:r>
      <w:r w:rsidRPr="002B600D">
        <w:rPr>
          <w:rFonts w:ascii="Times New Roman" w:hAnsi="Times New Roman" w:cs="Times New Roman"/>
          <w:sz w:val="28"/>
          <w:szCs w:val="28"/>
        </w:rPr>
        <w:t>2013</w:t>
      </w:r>
      <w:r w:rsidRPr="006D0E3C">
        <w:rPr>
          <w:rFonts w:ascii="Times New Roman" w:hAnsi="Times New Roman" w:cs="Times New Roman"/>
          <w:sz w:val="28"/>
          <w:szCs w:val="28"/>
          <w:lang w:val="en-US"/>
        </w:rPr>
        <w:t>i</w:t>
      </w:r>
      <w:r w:rsidRPr="002B600D">
        <w:rPr>
          <w:rFonts w:ascii="Times New Roman" w:hAnsi="Times New Roman" w:cs="Times New Roman"/>
          <w:sz w:val="28"/>
          <w:szCs w:val="28"/>
        </w:rPr>
        <w:t>17.</w:t>
      </w:r>
      <w:r w:rsidRPr="006D0E3C">
        <w:rPr>
          <w:rFonts w:ascii="Times New Roman" w:hAnsi="Times New Roman" w:cs="Times New Roman"/>
          <w:sz w:val="28"/>
          <w:szCs w:val="28"/>
          <w:lang w:val="en-US"/>
        </w:rPr>
        <w:t>pdf</w:t>
      </w:r>
    </w:p>
    <w:p w:rsidR="00577F28" w:rsidRPr="008A0A69" w:rsidRDefault="0068244A" w:rsidP="00577F28">
      <w:pPr>
        <w:tabs>
          <w:tab w:val="left" w:pos="993"/>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uk-UA"/>
        </w:rPr>
        <w:t>2</w:t>
      </w:r>
      <w:r w:rsidR="00577F28">
        <w:rPr>
          <w:rFonts w:ascii="Times New Roman" w:hAnsi="Times New Roman" w:cs="Times New Roman"/>
          <w:bCs/>
          <w:sz w:val="28"/>
          <w:szCs w:val="28"/>
          <w:lang w:val="uk-UA"/>
        </w:rPr>
        <w:t xml:space="preserve">. </w:t>
      </w:r>
      <w:r w:rsidR="00577F28" w:rsidRPr="00470587">
        <w:rPr>
          <w:rFonts w:ascii="Times New Roman" w:hAnsi="Times New Roman" w:cs="Times New Roman"/>
          <w:bCs/>
          <w:sz w:val="28"/>
          <w:szCs w:val="28"/>
          <w:lang w:val="uk-UA"/>
        </w:rPr>
        <w:t>2018 ESC/ESH Guidelines for themanagement</w:t>
      </w:r>
      <w:r w:rsidR="00577F28">
        <w:rPr>
          <w:rFonts w:ascii="Times New Roman" w:hAnsi="Times New Roman" w:cs="Times New Roman"/>
          <w:bCs/>
          <w:sz w:val="28"/>
          <w:szCs w:val="28"/>
          <w:lang w:val="uk-UA"/>
        </w:rPr>
        <w:t xml:space="preserve"> </w:t>
      </w:r>
      <w:r w:rsidR="00577F28" w:rsidRPr="00470587">
        <w:rPr>
          <w:rFonts w:ascii="Times New Roman" w:hAnsi="Times New Roman" w:cs="Times New Roman"/>
          <w:bCs/>
          <w:sz w:val="28"/>
          <w:szCs w:val="28"/>
          <w:lang w:val="uk-UA"/>
        </w:rPr>
        <w:t>of arterial hypertension</w:t>
      </w:r>
      <w:r w:rsidR="00577F28">
        <w:rPr>
          <w:rFonts w:ascii="Times New Roman" w:hAnsi="Times New Roman" w:cs="Times New Roman"/>
          <w:bCs/>
          <w:sz w:val="28"/>
          <w:szCs w:val="28"/>
          <w:lang w:val="uk-UA"/>
        </w:rPr>
        <w:t xml:space="preserve">. </w:t>
      </w:r>
      <w:r w:rsidR="00577F28" w:rsidRPr="00470587">
        <w:rPr>
          <w:rFonts w:ascii="Times New Roman" w:hAnsi="Times New Roman" w:cs="Times New Roman"/>
          <w:bCs/>
          <w:sz w:val="28"/>
          <w:szCs w:val="28"/>
          <w:lang w:val="uk-UA"/>
        </w:rPr>
        <w:t xml:space="preserve">The Task Force for the management </w:t>
      </w:r>
      <w:r w:rsidR="00577F28">
        <w:rPr>
          <w:rFonts w:ascii="Times New Roman" w:hAnsi="Times New Roman" w:cs="Times New Roman"/>
          <w:bCs/>
          <w:sz w:val="28"/>
          <w:szCs w:val="28"/>
          <w:lang w:val="uk-UA"/>
        </w:rPr>
        <w:t xml:space="preserve">of arterial hypertension of the </w:t>
      </w:r>
      <w:r w:rsidR="00577F28" w:rsidRPr="00470587">
        <w:rPr>
          <w:rFonts w:ascii="Times New Roman" w:hAnsi="Times New Roman" w:cs="Times New Roman"/>
          <w:bCs/>
          <w:sz w:val="28"/>
          <w:szCs w:val="28"/>
          <w:lang w:val="uk-UA"/>
        </w:rPr>
        <w:t>European Society of Cardiology (ESC) and the</w:t>
      </w:r>
      <w:r w:rsidR="00577F28">
        <w:rPr>
          <w:rFonts w:ascii="Times New Roman" w:hAnsi="Times New Roman" w:cs="Times New Roman"/>
          <w:bCs/>
          <w:sz w:val="28"/>
          <w:szCs w:val="28"/>
          <w:lang w:val="uk-UA"/>
        </w:rPr>
        <w:t xml:space="preserve"> European Society of </w:t>
      </w:r>
      <w:r w:rsidR="00577F28" w:rsidRPr="00470587">
        <w:rPr>
          <w:rFonts w:ascii="Times New Roman" w:hAnsi="Times New Roman" w:cs="Times New Roman"/>
          <w:bCs/>
          <w:sz w:val="28"/>
          <w:szCs w:val="28"/>
          <w:lang w:val="uk-UA"/>
        </w:rPr>
        <w:t>Hypertension (ESH)</w:t>
      </w:r>
      <w:r w:rsidR="00577F28">
        <w:rPr>
          <w:rFonts w:ascii="Times New Roman" w:hAnsi="Times New Roman" w:cs="Times New Roman"/>
          <w:bCs/>
          <w:sz w:val="28"/>
          <w:szCs w:val="28"/>
          <w:lang w:val="uk-UA"/>
        </w:rPr>
        <w:tab/>
        <w:t>. European Heart Journal [Internet]. 2018;1-</w:t>
      </w:r>
      <w:r w:rsidR="00577F28" w:rsidRPr="00470587">
        <w:rPr>
          <w:rFonts w:ascii="Times New Roman" w:hAnsi="Times New Roman" w:cs="Times New Roman"/>
          <w:bCs/>
          <w:sz w:val="28"/>
          <w:szCs w:val="28"/>
          <w:lang w:val="uk-UA"/>
        </w:rPr>
        <w:t>98</w:t>
      </w:r>
      <w:r w:rsidR="00577F28">
        <w:rPr>
          <w:rFonts w:ascii="Times New Roman" w:hAnsi="Times New Roman" w:cs="Times New Roman"/>
          <w:bCs/>
          <w:sz w:val="28"/>
          <w:szCs w:val="28"/>
          <w:lang w:val="uk-UA"/>
        </w:rPr>
        <w:t xml:space="preserve">. </w:t>
      </w:r>
      <w:r w:rsidR="00577F28" w:rsidRPr="008A0A69">
        <w:rPr>
          <w:rFonts w:ascii="Times New Roman" w:hAnsi="Times New Roman" w:cs="Times New Roman"/>
          <w:bCs/>
          <w:sz w:val="28"/>
          <w:szCs w:val="28"/>
          <w:lang w:val="uk-UA"/>
        </w:rPr>
        <w:t>Available from:</w:t>
      </w:r>
      <w:r w:rsidR="00577F28">
        <w:rPr>
          <w:rFonts w:ascii="Times New Roman" w:hAnsi="Times New Roman" w:cs="Times New Roman"/>
          <w:bCs/>
          <w:sz w:val="28"/>
          <w:szCs w:val="28"/>
          <w:lang w:val="uk-UA"/>
        </w:rPr>
        <w:t xml:space="preserve"> </w:t>
      </w:r>
      <w:r w:rsidR="00577F28" w:rsidRPr="008A0A69">
        <w:rPr>
          <w:rFonts w:ascii="Times New Roman" w:hAnsi="Times New Roman" w:cs="Times New Roman"/>
          <w:bCs/>
          <w:sz w:val="28"/>
          <w:szCs w:val="28"/>
          <w:lang w:val="uk-UA"/>
        </w:rPr>
        <w:t>doi:10.1093/eurheartj/ehy339</w:t>
      </w:r>
      <w:r w:rsidR="00577F28">
        <w:rPr>
          <w:rFonts w:ascii="Times New Roman" w:hAnsi="Times New Roman" w:cs="Times New Roman"/>
          <w:bCs/>
          <w:sz w:val="28"/>
          <w:szCs w:val="28"/>
          <w:lang w:val="en-US"/>
        </w:rPr>
        <w:t xml:space="preserve"> DOI</w:t>
      </w:r>
      <w:r w:rsidR="00577F28" w:rsidRPr="008A0A69">
        <w:rPr>
          <w:rFonts w:ascii="Times New Roman" w:hAnsi="Times New Roman" w:cs="Times New Roman"/>
          <w:bCs/>
          <w:sz w:val="28"/>
          <w:szCs w:val="28"/>
          <w:lang w:val="uk-UA"/>
        </w:rPr>
        <w:t>:10.1093/eurheartj/ehy339</w:t>
      </w:r>
      <w:r w:rsidR="00577F28">
        <w:rPr>
          <w:rFonts w:ascii="Times New Roman" w:hAnsi="Times New Roman" w:cs="Times New Roman"/>
          <w:bCs/>
          <w:sz w:val="28"/>
          <w:szCs w:val="28"/>
          <w:lang w:val="en-US"/>
        </w:rPr>
        <w:t xml:space="preserve"> </w:t>
      </w:r>
    </w:p>
    <w:p w:rsidR="006D0E3C" w:rsidRDefault="0068244A" w:rsidP="00B323DB">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3</w:t>
      </w:r>
      <w:r w:rsidR="006D0E3C" w:rsidRPr="006D0E3C">
        <w:rPr>
          <w:rFonts w:ascii="Times New Roman" w:hAnsi="Times New Roman" w:cs="Times New Roman"/>
          <w:sz w:val="28"/>
          <w:szCs w:val="28"/>
          <w:lang w:val="en-US"/>
        </w:rPr>
        <w:t>. World Health Organization 2013. A global brief on Hypertension [Internet].  Geneva, 2013;40 p. Available from: global_brief_hypertension.pdf</w:t>
      </w:r>
    </w:p>
    <w:p w:rsidR="006D0E3C" w:rsidRPr="006D0E3C" w:rsidRDefault="0068244A" w:rsidP="00B323DB">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6D0E3C" w:rsidRPr="0068244A">
        <w:rPr>
          <w:rFonts w:ascii="Times New Roman" w:hAnsi="Times New Roman" w:cs="Times New Roman"/>
          <w:sz w:val="28"/>
          <w:szCs w:val="28"/>
          <w:lang w:val="en-US"/>
        </w:rPr>
        <w:t xml:space="preserve">. </w:t>
      </w:r>
      <w:r w:rsidR="006D0E3C" w:rsidRPr="0068244A">
        <w:rPr>
          <w:rFonts w:ascii="Times New Roman" w:hAnsi="Times New Roman" w:cs="Times New Roman"/>
          <w:sz w:val="28"/>
          <w:szCs w:val="28"/>
        </w:rPr>
        <w:t>Кочуева</w:t>
      </w:r>
      <w:r w:rsidR="006D0E3C" w:rsidRPr="0068244A">
        <w:rPr>
          <w:rFonts w:ascii="Times New Roman" w:hAnsi="Times New Roman" w:cs="Times New Roman"/>
          <w:sz w:val="28"/>
          <w:szCs w:val="28"/>
          <w:lang w:val="en-US"/>
        </w:rPr>
        <w:t xml:space="preserve"> </w:t>
      </w:r>
      <w:r w:rsidR="006D0E3C" w:rsidRPr="0068244A">
        <w:rPr>
          <w:rFonts w:ascii="Times New Roman" w:hAnsi="Times New Roman" w:cs="Times New Roman"/>
          <w:sz w:val="28"/>
          <w:szCs w:val="28"/>
        </w:rPr>
        <w:t>МН</w:t>
      </w:r>
      <w:r w:rsidR="006D0E3C" w:rsidRPr="0068244A">
        <w:rPr>
          <w:rFonts w:ascii="Times New Roman" w:hAnsi="Times New Roman" w:cs="Times New Roman"/>
          <w:sz w:val="28"/>
          <w:szCs w:val="28"/>
          <w:lang w:val="en-US"/>
        </w:rPr>
        <w:t xml:space="preserve">. </w:t>
      </w:r>
      <w:r w:rsidR="006D0E3C" w:rsidRPr="006D0E3C">
        <w:rPr>
          <w:rFonts w:ascii="Times New Roman" w:hAnsi="Times New Roman" w:cs="Times New Roman"/>
          <w:sz w:val="28"/>
          <w:szCs w:val="28"/>
        </w:rPr>
        <w:t xml:space="preserve">Пути повышения приверженности к антигипертензивной терапии. Ліки України. [Интернет]. 2016;7-8(203-204):23-26. Доступно на: </w:t>
      </w:r>
      <w:r w:rsidR="006D0E3C" w:rsidRPr="006D0E3C">
        <w:rPr>
          <w:rFonts w:ascii="Times New Roman" w:hAnsi="Times New Roman" w:cs="Times New Roman"/>
          <w:sz w:val="28"/>
          <w:szCs w:val="28"/>
          <w:lang w:val="en-US"/>
        </w:rPr>
        <w:t>http</w:t>
      </w:r>
      <w:r w:rsidR="006D0E3C" w:rsidRPr="006D0E3C">
        <w:rPr>
          <w:rFonts w:ascii="Times New Roman" w:hAnsi="Times New Roman" w:cs="Times New Roman"/>
          <w:sz w:val="28"/>
          <w:szCs w:val="28"/>
        </w:rPr>
        <w:t>://</w:t>
      </w:r>
      <w:r w:rsidR="006D0E3C" w:rsidRPr="006D0E3C">
        <w:rPr>
          <w:rFonts w:ascii="Times New Roman" w:hAnsi="Times New Roman" w:cs="Times New Roman"/>
          <w:sz w:val="28"/>
          <w:szCs w:val="28"/>
          <w:lang w:val="en-US"/>
        </w:rPr>
        <w:t>www</w:t>
      </w:r>
      <w:r w:rsidR="006D0E3C" w:rsidRPr="006D0E3C">
        <w:rPr>
          <w:rFonts w:ascii="Times New Roman" w:hAnsi="Times New Roman" w:cs="Times New Roman"/>
          <w:sz w:val="28"/>
          <w:szCs w:val="28"/>
        </w:rPr>
        <w:t>.</w:t>
      </w:r>
      <w:r w:rsidR="006D0E3C" w:rsidRPr="006D0E3C">
        <w:rPr>
          <w:rFonts w:ascii="Times New Roman" w:hAnsi="Times New Roman" w:cs="Times New Roman"/>
          <w:sz w:val="28"/>
          <w:szCs w:val="28"/>
          <w:lang w:val="en-US"/>
        </w:rPr>
        <w:t>health</w:t>
      </w:r>
      <w:r w:rsidR="006D0E3C" w:rsidRPr="006D0E3C">
        <w:rPr>
          <w:rFonts w:ascii="Times New Roman" w:hAnsi="Times New Roman" w:cs="Times New Roman"/>
          <w:sz w:val="28"/>
          <w:szCs w:val="28"/>
        </w:rPr>
        <w:t>-</w:t>
      </w:r>
      <w:r w:rsidR="006D0E3C" w:rsidRPr="006D0E3C">
        <w:rPr>
          <w:rFonts w:ascii="Times New Roman" w:hAnsi="Times New Roman" w:cs="Times New Roman"/>
          <w:sz w:val="28"/>
          <w:szCs w:val="28"/>
          <w:lang w:val="en-US"/>
        </w:rPr>
        <w:t>medix</w:t>
      </w:r>
      <w:r w:rsidR="006D0E3C" w:rsidRPr="006D0E3C">
        <w:rPr>
          <w:rFonts w:ascii="Times New Roman" w:hAnsi="Times New Roman" w:cs="Times New Roman"/>
          <w:sz w:val="28"/>
          <w:szCs w:val="28"/>
        </w:rPr>
        <w:t>.</w:t>
      </w:r>
      <w:r w:rsidR="006D0E3C" w:rsidRPr="006D0E3C">
        <w:rPr>
          <w:rFonts w:ascii="Times New Roman" w:hAnsi="Times New Roman" w:cs="Times New Roman"/>
          <w:sz w:val="28"/>
          <w:szCs w:val="28"/>
          <w:lang w:val="en-US"/>
        </w:rPr>
        <w:t>com</w:t>
      </w:r>
      <w:r w:rsidR="006D0E3C" w:rsidRPr="006D0E3C">
        <w:rPr>
          <w:rFonts w:ascii="Times New Roman" w:hAnsi="Times New Roman" w:cs="Times New Roman"/>
          <w:sz w:val="28"/>
          <w:szCs w:val="28"/>
        </w:rPr>
        <w:t>/</w:t>
      </w:r>
      <w:r w:rsidR="006D0E3C" w:rsidRPr="006D0E3C">
        <w:rPr>
          <w:rFonts w:ascii="Times New Roman" w:hAnsi="Times New Roman" w:cs="Times New Roman"/>
          <w:sz w:val="28"/>
          <w:szCs w:val="28"/>
          <w:lang w:val="en-US"/>
        </w:rPr>
        <w:t>articles</w:t>
      </w:r>
      <w:r w:rsidR="006D0E3C" w:rsidRPr="006D0E3C">
        <w:rPr>
          <w:rFonts w:ascii="Times New Roman" w:hAnsi="Times New Roman" w:cs="Times New Roman"/>
          <w:sz w:val="28"/>
          <w:szCs w:val="28"/>
        </w:rPr>
        <w:t>/</w:t>
      </w:r>
      <w:r w:rsidR="006D0E3C" w:rsidRPr="006D0E3C">
        <w:rPr>
          <w:rFonts w:ascii="Times New Roman" w:hAnsi="Times New Roman" w:cs="Times New Roman"/>
          <w:sz w:val="28"/>
          <w:szCs w:val="28"/>
          <w:lang w:val="en-US"/>
        </w:rPr>
        <w:t>liki</w:t>
      </w:r>
      <w:r w:rsidR="006D0E3C" w:rsidRPr="006D0E3C">
        <w:rPr>
          <w:rFonts w:ascii="Times New Roman" w:hAnsi="Times New Roman" w:cs="Times New Roman"/>
          <w:sz w:val="28"/>
          <w:szCs w:val="28"/>
        </w:rPr>
        <w:t>_</w:t>
      </w:r>
      <w:r w:rsidR="006D0E3C" w:rsidRPr="006D0E3C">
        <w:rPr>
          <w:rFonts w:ascii="Times New Roman" w:hAnsi="Times New Roman" w:cs="Times New Roman"/>
          <w:sz w:val="28"/>
          <w:szCs w:val="28"/>
          <w:lang w:val="en-US"/>
        </w:rPr>
        <w:t>ukr</w:t>
      </w:r>
      <w:r w:rsidR="006D0E3C" w:rsidRPr="006D0E3C">
        <w:rPr>
          <w:rFonts w:ascii="Times New Roman" w:hAnsi="Times New Roman" w:cs="Times New Roman"/>
          <w:sz w:val="28"/>
          <w:szCs w:val="28"/>
        </w:rPr>
        <w:t>/2016-09-09/5.</w:t>
      </w:r>
      <w:r w:rsidR="006D0E3C" w:rsidRPr="006D0E3C">
        <w:rPr>
          <w:rFonts w:ascii="Times New Roman" w:hAnsi="Times New Roman" w:cs="Times New Roman"/>
          <w:sz w:val="28"/>
          <w:szCs w:val="28"/>
          <w:lang w:val="en-US"/>
        </w:rPr>
        <w:t>pdf</w:t>
      </w:r>
    </w:p>
    <w:p w:rsidR="006D0E3C" w:rsidRPr="006D0E3C" w:rsidRDefault="0068244A" w:rsidP="00B323DB">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5</w:t>
      </w:r>
      <w:r w:rsidR="006D0E3C" w:rsidRPr="006D0E3C">
        <w:rPr>
          <w:rFonts w:ascii="Times New Roman" w:hAnsi="Times New Roman" w:cs="Times New Roman"/>
          <w:sz w:val="28"/>
          <w:szCs w:val="28"/>
          <w:lang w:val="en-US"/>
        </w:rPr>
        <w:t>. IDF Diabetes atlas. Eighth edition 2017. International Diabetes Federation. [Internet]. 2017;150 p. Available from: IDF_DA_8e-EN-final.pdf</w:t>
      </w:r>
    </w:p>
    <w:p w:rsidR="006D0E3C" w:rsidRPr="006D0E3C" w:rsidRDefault="0068244A" w:rsidP="006D0E3C">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w:t>
      </w:r>
      <w:r w:rsidR="006D0E3C" w:rsidRPr="006D0E3C">
        <w:rPr>
          <w:rFonts w:ascii="Times New Roman" w:hAnsi="Times New Roman" w:cs="Times New Roman"/>
          <w:sz w:val="28"/>
          <w:szCs w:val="28"/>
          <w:lang w:val="en-US"/>
        </w:rPr>
        <w:t xml:space="preserve">. Horr S, Nissen S. Managing hypertension in type 2 diabetes mellitus. Clinical endocrinology and metabolism [Internet]. 2016 Jun;30(3):445-54. Available from:   </w:t>
      </w:r>
    </w:p>
    <w:p w:rsidR="006D0E3C" w:rsidRPr="006D0E3C" w:rsidRDefault="006D0E3C" w:rsidP="006D0E3C">
      <w:pPr>
        <w:tabs>
          <w:tab w:val="left" w:pos="2880"/>
        </w:tabs>
        <w:spacing w:after="0" w:line="360" w:lineRule="auto"/>
        <w:jc w:val="both"/>
        <w:rPr>
          <w:rFonts w:ascii="Times New Roman" w:hAnsi="Times New Roman" w:cs="Times New Roman"/>
          <w:sz w:val="28"/>
          <w:szCs w:val="28"/>
          <w:lang w:val="en-US"/>
        </w:rPr>
      </w:pPr>
      <w:r w:rsidRPr="006D0E3C">
        <w:rPr>
          <w:rFonts w:ascii="Times New Roman" w:hAnsi="Times New Roman" w:cs="Times New Roman"/>
          <w:sz w:val="28"/>
          <w:szCs w:val="28"/>
          <w:lang w:val="en-US"/>
        </w:rPr>
        <w:t>https://www.bprcem.com/article/S1521-690X(16)30018-5/fulltext</w:t>
      </w:r>
    </w:p>
    <w:p w:rsidR="006D0E3C" w:rsidRPr="006D0E3C" w:rsidRDefault="006D0E3C" w:rsidP="00B323DB">
      <w:pPr>
        <w:tabs>
          <w:tab w:val="left" w:pos="2880"/>
        </w:tabs>
        <w:spacing w:after="0" w:line="360" w:lineRule="auto"/>
        <w:jc w:val="both"/>
        <w:rPr>
          <w:rFonts w:ascii="Times New Roman" w:hAnsi="Times New Roman" w:cs="Times New Roman"/>
          <w:sz w:val="28"/>
          <w:szCs w:val="28"/>
          <w:lang w:val="en-US"/>
        </w:rPr>
      </w:pPr>
      <w:r w:rsidRPr="006D0E3C">
        <w:rPr>
          <w:rFonts w:ascii="Times New Roman" w:hAnsi="Times New Roman" w:cs="Times New Roman"/>
          <w:sz w:val="28"/>
          <w:szCs w:val="28"/>
          <w:lang w:val="en-US"/>
        </w:rPr>
        <w:t>DOI: https://doi.org/10.1016/j.beem.2016.06.001</w:t>
      </w:r>
    </w:p>
    <w:p w:rsidR="00EB31F9" w:rsidRDefault="0068244A" w:rsidP="001905C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323DB" w:rsidRPr="00527388">
        <w:rPr>
          <w:rFonts w:ascii="Times New Roman" w:hAnsi="Times New Roman" w:cs="Times New Roman"/>
          <w:sz w:val="28"/>
          <w:szCs w:val="28"/>
          <w:lang w:val="en-US"/>
        </w:rPr>
        <w:t>.</w:t>
      </w:r>
      <w:r w:rsidR="00B323DB">
        <w:rPr>
          <w:rFonts w:ascii="Times New Roman" w:hAnsi="Times New Roman" w:cs="Times New Roman"/>
          <w:sz w:val="28"/>
          <w:szCs w:val="28"/>
          <w:lang w:val="en-US"/>
        </w:rPr>
        <w:t xml:space="preserve"> </w:t>
      </w:r>
      <w:r w:rsidR="001905C2" w:rsidRPr="001905C2">
        <w:rPr>
          <w:rFonts w:ascii="Times New Roman" w:hAnsi="Times New Roman" w:cs="Times New Roman"/>
          <w:sz w:val="28"/>
          <w:szCs w:val="28"/>
          <w:lang w:val="en-US"/>
        </w:rPr>
        <w:t xml:space="preserve">American Diabetes Association. Standards of Medical Care in Diabetes – 2017. Diabetes Care [Internet]. 2017 Jan;40(1)1-142. Available from: </w:t>
      </w:r>
    </w:p>
    <w:p w:rsidR="000756FE" w:rsidRDefault="001905C2" w:rsidP="00CF2DB5">
      <w:pPr>
        <w:tabs>
          <w:tab w:val="left" w:pos="2880"/>
        </w:tabs>
        <w:spacing w:after="0" w:line="360" w:lineRule="auto"/>
        <w:jc w:val="both"/>
        <w:rPr>
          <w:rFonts w:ascii="Times New Roman" w:hAnsi="Times New Roman" w:cs="Times New Roman"/>
          <w:sz w:val="28"/>
          <w:szCs w:val="28"/>
          <w:lang w:val="uk-UA"/>
        </w:rPr>
      </w:pPr>
      <w:r w:rsidRPr="001905C2">
        <w:rPr>
          <w:rFonts w:ascii="Times New Roman" w:hAnsi="Times New Roman" w:cs="Times New Roman"/>
          <w:sz w:val="28"/>
          <w:szCs w:val="28"/>
          <w:lang w:val="en-US"/>
        </w:rPr>
        <w:t>http://care.diabetesjournals.org/content/diacare/suppl/2016/12/15/40.Supplement_1.DC1/DC_40_S1_final.pdf. DOI: 10.2337/dc17-S005.</w:t>
      </w:r>
    </w:p>
    <w:p w:rsidR="00577F28" w:rsidRPr="00030212" w:rsidRDefault="0068244A" w:rsidP="00577F28">
      <w:pPr>
        <w:tabs>
          <w:tab w:val="left" w:pos="993"/>
        </w:tabs>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577F28">
        <w:rPr>
          <w:rFonts w:ascii="Times New Roman" w:hAnsi="Times New Roman" w:cs="Times New Roman"/>
          <w:bCs/>
          <w:sz w:val="28"/>
          <w:szCs w:val="28"/>
          <w:lang w:val="en-US"/>
        </w:rPr>
        <w:t xml:space="preserve"> </w:t>
      </w:r>
      <w:r w:rsidR="00577F28" w:rsidRPr="005037FD">
        <w:rPr>
          <w:rFonts w:ascii="Times New Roman" w:hAnsi="Times New Roman" w:cs="Times New Roman"/>
          <w:bCs/>
          <w:sz w:val="28"/>
          <w:szCs w:val="28"/>
          <w:lang w:val="en-US"/>
        </w:rPr>
        <w:t>2016 ESC/EAS Guidelines for t</w:t>
      </w:r>
      <w:r w:rsidR="00577F28">
        <w:rPr>
          <w:rFonts w:ascii="Times New Roman" w:hAnsi="Times New Roman" w:cs="Times New Roman"/>
          <w:bCs/>
          <w:sz w:val="28"/>
          <w:szCs w:val="28"/>
          <w:lang w:val="en-US"/>
        </w:rPr>
        <w:t>he Management of Dyslipidaemias</w:t>
      </w:r>
      <w:r w:rsidR="00577F28">
        <w:rPr>
          <w:rFonts w:ascii="Times New Roman" w:hAnsi="Times New Roman" w:cs="Times New Roman"/>
          <w:bCs/>
          <w:sz w:val="28"/>
          <w:szCs w:val="28"/>
          <w:lang w:val="uk-UA"/>
        </w:rPr>
        <w:t xml:space="preserve">. </w:t>
      </w:r>
      <w:r w:rsidR="00577F28" w:rsidRPr="00030212">
        <w:rPr>
          <w:rFonts w:ascii="Times New Roman" w:hAnsi="Times New Roman" w:cs="Times New Roman"/>
          <w:bCs/>
          <w:sz w:val="28"/>
          <w:szCs w:val="28"/>
          <w:lang w:val="uk-UA"/>
        </w:rPr>
        <w:t>The Task Force for the management of arterial hypertension of the European Society of Cardiology (ESC) and the European Society of Hypertension (ESH)</w:t>
      </w:r>
      <w:r w:rsidR="00577F28" w:rsidRPr="00030212">
        <w:rPr>
          <w:rFonts w:ascii="Times New Roman" w:hAnsi="Times New Roman" w:cs="Times New Roman"/>
          <w:bCs/>
          <w:sz w:val="28"/>
          <w:szCs w:val="28"/>
          <w:lang w:val="uk-UA"/>
        </w:rPr>
        <w:tab/>
        <w:t>.</w:t>
      </w:r>
      <w:r w:rsidR="00577F28">
        <w:rPr>
          <w:rFonts w:ascii="Times New Roman" w:hAnsi="Times New Roman" w:cs="Times New Roman"/>
          <w:bCs/>
          <w:sz w:val="28"/>
          <w:szCs w:val="28"/>
          <w:lang w:val="uk-UA"/>
        </w:rPr>
        <w:t xml:space="preserve"> </w:t>
      </w:r>
      <w:r w:rsidR="00577F28" w:rsidRPr="005037FD">
        <w:rPr>
          <w:rFonts w:ascii="Times New Roman" w:hAnsi="Times New Roman" w:cs="Times New Roman"/>
          <w:bCs/>
          <w:sz w:val="28"/>
          <w:szCs w:val="28"/>
          <w:lang w:val="en-US"/>
        </w:rPr>
        <w:t xml:space="preserve">European </w:t>
      </w:r>
      <w:r w:rsidR="00577F28" w:rsidRPr="005037FD">
        <w:rPr>
          <w:rFonts w:ascii="Times New Roman" w:hAnsi="Times New Roman" w:cs="Times New Roman"/>
          <w:bCs/>
          <w:sz w:val="28"/>
          <w:szCs w:val="28"/>
          <w:lang w:val="en-US"/>
        </w:rPr>
        <w:lastRenderedPageBreak/>
        <w:t>Heart Journal</w:t>
      </w:r>
      <w:r w:rsidR="00577F28">
        <w:rPr>
          <w:rFonts w:ascii="Times New Roman" w:hAnsi="Times New Roman" w:cs="Times New Roman"/>
          <w:bCs/>
          <w:sz w:val="28"/>
          <w:szCs w:val="28"/>
          <w:lang w:val="uk-UA"/>
        </w:rPr>
        <w:t xml:space="preserve"> </w:t>
      </w:r>
      <w:r w:rsidR="00577F28" w:rsidRPr="00030212">
        <w:rPr>
          <w:rFonts w:ascii="Times New Roman" w:hAnsi="Times New Roman" w:cs="Times New Roman"/>
          <w:bCs/>
          <w:sz w:val="28"/>
          <w:szCs w:val="28"/>
          <w:lang w:val="uk-UA"/>
        </w:rPr>
        <w:t>[Internet]</w:t>
      </w:r>
      <w:r w:rsidR="00577F28">
        <w:rPr>
          <w:rFonts w:ascii="Times New Roman" w:hAnsi="Times New Roman" w:cs="Times New Roman"/>
          <w:bCs/>
          <w:sz w:val="28"/>
          <w:szCs w:val="28"/>
          <w:lang w:val="uk-UA"/>
        </w:rPr>
        <w:t>. 2016 Ос</w:t>
      </w:r>
      <w:r w:rsidR="00577F28">
        <w:rPr>
          <w:rFonts w:ascii="Times New Roman" w:hAnsi="Times New Roman" w:cs="Times New Roman"/>
          <w:bCs/>
          <w:sz w:val="28"/>
          <w:szCs w:val="28"/>
          <w:lang w:val="en-US"/>
        </w:rPr>
        <w:t>t</w:t>
      </w:r>
      <w:r w:rsidR="00577F28">
        <w:rPr>
          <w:rFonts w:ascii="Times New Roman" w:hAnsi="Times New Roman" w:cs="Times New Roman"/>
          <w:bCs/>
          <w:sz w:val="28"/>
          <w:szCs w:val="28"/>
          <w:lang w:val="uk-UA"/>
        </w:rPr>
        <w:t>;</w:t>
      </w:r>
      <w:r w:rsidR="00577F28" w:rsidRPr="00AF2010">
        <w:rPr>
          <w:rFonts w:ascii="Times New Roman" w:hAnsi="Times New Roman" w:cs="Times New Roman"/>
          <w:bCs/>
          <w:sz w:val="28"/>
          <w:szCs w:val="28"/>
          <w:lang w:val="en-US"/>
        </w:rPr>
        <w:t xml:space="preserve">37(39), 2999–3058. Available from: </w:t>
      </w:r>
      <w:r w:rsidR="00577F28" w:rsidRPr="005037FD">
        <w:rPr>
          <w:rFonts w:ascii="Times New Roman" w:hAnsi="Times New Roman" w:cs="Times New Roman"/>
          <w:bCs/>
          <w:sz w:val="28"/>
          <w:szCs w:val="28"/>
          <w:lang w:val="en-US"/>
        </w:rPr>
        <w:t>https</w:t>
      </w:r>
      <w:r w:rsidR="00577F28" w:rsidRPr="00AF2010">
        <w:rPr>
          <w:rFonts w:ascii="Times New Roman" w:hAnsi="Times New Roman" w:cs="Times New Roman"/>
          <w:bCs/>
          <w:sz w:val="28"/>
          <w:szCs w:val="28"/>
          <w:lang w:val="en-US"/>
        </w:rPr>
        <w:t>://</w:t>
      </w:r>
      <w:r w:rsidR="00577F28" w:rsidRPr="005037FD">
        <w:rPr>
          <w:rFonts w:ascii="Times New Roman" w:hAnsi="Times New Roman" w:cs="Times New Roman"/>
          <w:bCs/>
          <w:sz w:val="28"/>
          <w:szCs w:val="28"/>
          <w:lang w:val="en-US"/>
        </w:rPr>
        <w:t>doi</w:t>
      </w:r>
      <w:r w:rsidR="00577F28" w:rsidRPr="00AF2010">
        <w:rPr>
          <w:rFonts w:ascii="Times New Roman" w:hAnsi="Times New Roman" w:cs="Times New Roman"/>
          <w:bCs/>
          <w:sz w:val="28"/>
          <w:szCs w:val="28"/>
          <w:lang w:val="en-US"/>
        </w:rPr>
        <w:t>.</w:t>
      </w:r>
      <w:r w:rsidR="00577F28" w:rsidRPr="005037FD">
        <w:rPr>
          <w:rFonts w:ascii="Times New Roman" w:hAnsi="Times New Roman" w:cs="Times New Roman"/>
          <w:bCs/>
          <w:sz w:val="28"/>
          <w:szCs w:val="28"/>
          <w:lang w:val="en-US"/>
        </w:rPr>
        <w:t>org</w:t>
      </w:r>
      <w:r w:rsidR="00577F28" w:rsidRPr="00AF2010">
        <w:rPr>
          <w:rFonts w:ascii="Times New Roman" w:hAnsi="Times New Roman" w:cs="Times New Roman"/>
          <w:bCs/>
          <w:sz w:val="28"/>
          <w:szCs w:val="28"/>
          <w:lang w:val="en-US"/>
        </w:rPr>
        <w:t>/10.1093/</w:t>
      </w:r>
      <w:r w:rsidR="00577F28" w:rsidRPr="005037FD">
        <w:rPr>
          <w:rFonts w:ascii="Times New Roman" w:hAnsi="Times New Roman" w:cs="Times New Roman"/>
          <w:bCs/>
          <w:sz w:val="28"/>
          <w:szCs w:val="28"/>
          <w:lang w:val="en-US"/>
        </w:rPr>
        <w:t>eurheartj</w:t>
      </w:r>
      <w:r w:rsidR="00577F28" w:rsidRPr="00AF2010">
        <w:rPr>
          <w:rFonts w:ascii="Times New Roman" w:hAnsi="Times New Roman" w:cs="Times New Roman"/>
          <w:bCs/>
          <w:sz w:val="28"/>
          <w:szCs w:val="28"/>
          <w:lang w:val="en-US"/>
        </w:rPr>
        <w:t>/</w:t>
      </w:r>
      <w:r w:rsidR="00577F28" w:rsidRPr="005037FD">
        <w:rPr>
          <w:rFonts w:ascii="Times New Roman" w:hAnsi="Times New Roman" w:cs="Times New Roman"/>
          <w:bCs/>
          <w:sz w:val="28"/>
          <w:szCs w:val="28"/>
          <w:lang w:val="en-US"/>
        </w:rPr>
        <w:t>ehw</w:t>
      </w:r>
      <w:r w:rsidR="00577F28" w:rsidRPr="00AF2010">
        <w:rPr>
          <w:rFonts w:ascii="Times New Roman" w:hAnsi="Times New Roman" w:cs="Times New Roman"/>
          <w:bCs/>
          <w:sz w:val="28"/>
          <w:szCs w:val="28"/>
          <w:lang w:val="en-US"/>
        </w:rPr>
        <w:t>272</w:t>
      </w:r>
    </w:p>
    <w:p w:rsidR="008E1245" w:rsidRDefault="0068244A" w:rsidP="003A3961">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9</w:t>
      </w:r>
      <w:r w:rsidR="008E1245">
        <w:rPr>
          <w:rFonts w:ascii="Times New Roman" w:hAnsi="Times New Roman" w:cs="Times New Roman"/>
          <w:sz w:val="28"/>
          <w:szCs w:val="28"/>
          <w:lang w:val="uk-UA"/>
        </w:rPr>
        <w:t>.</w:t>
      </w:r>
      <w:r w:rsidR="003A3961">
        <w:rPr>
          <w:rFonts w:ascii="Times New Roman" w:hAnsi="Times New Roman" w:cs="Times New Roman"/>
          <w:sz w:val="28"/>
          <w:szCs w:val="28"/>
          <w:lang w:val="uk-UA"/>
        </w:rPr>
        <w:t xml:space="preserve"> </w:t>
      </w:r>
      <w:r w:rsidR="00D11DD4" w:rsidRPr="00D11DD4">
        <w:rPr>
          <w:rFonts w:ascii="Times New Roman" w:hAnsi="Times New Roman" w:cs="Times New Roman"/>
          <w:sz w:val="28"/>
          <w:szCs w:val="28"/>
          <w:lang w:val="uk-UA"/>
        </w:rPr>
        <w:t>Romano</w:t>
      </w:r>
      <w:r w:rsidR="00D11DD4">
        <w:rPr>
          <w:rFonts w:ascii="Times New Roman" w:hAnsi="Times New Roman" w:cs="Times New Roman"/>
          <w:sz w:val="28"/>
          <w:szCs w:val="28"/>
          <w:lang w:val="uk-UA"/>
        </w:rPr>
        <w:t xml:space="preserve"> </w:t>
      </w:r>
      <w:r w:rsidR="00D11DD4">
        <w:rPr>
          <w:rFonts w:ascii="Times New Roman" w:hAnsi="Times New Roman" w:cs="Times New Roman"/>
          <w:sz w:val="28"/>
          <w:szCs w:val="28"/>
          <w:lang w:val="en-US"/>
        </w:rPr>
        <w:t>S</w:t>
      </w:r>
      <w:r w:rsidR="00D11DD4" w:rsidRPr="000756FE">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uk-UA"/>
        </w:rPr>
        <w:t>Mauro</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MD</w:t>
      </w:r>
      <w:r w:rsidR="00D11DD4">
        <w:rPr>
          <w:rFonts w:ascii="Times New Roman" w:hAnsi="Times New Roman" w:cs="Times New Roman"/>
          <w:sz w:val="28"/>
          <w:szCs w:val="28"/>
          <w:lang w:val="uk-UA"/>
        </w:rPr>
        <w:t xml:space="preserve">, </w:t>
      </w:r>
      <w:r w:rsidR="00D11DD4" w:rsidRPr="00D11DD4">
        <w:rPr>
          <w:rFonts w:ascii="Times New Roman" w:hAnsi="Times New Roman" w:cs="Times New Roman"/>
          <w:sz w:val="28"/>
          <w:szCs w:val="28"/>
          <w:lang w:val="uk-UA"/>
        </w:rPr>
        <w:t>Fratini</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S</w:t>
      </w:r>
      <w:r w:rsidR="00D11DD4">
        <w:rPr>
          <w:rFonts w:ascii="Times New Roman" w:hAnsi="Times New Roman" w:cs="Times New Roman"/>
          <w:sz w:val="28"/>
          <w:szCs w:val="28"/>
          <w:lang w:val="uk-UA"/>
        </w:rPr>
        <w:t>,</w:t>
      </w:r>
      <w:r w:rsidR="00D11DD4" w:rsidRPr="00D11DD4">
        <w:rPr>
          <w:rFonts w:ascii="Times New Roman" w:hAnsi="Times New Roman" w:cs="Times New Roman"/>
          <w:sz w:val="28"/>
          <w:szCs w:val="28"/>
          <w:lang w:val="uk-UA"/>
        </w:rPr>
        <w:t xml:space="preserve"> Guarracini</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L</w:t>
      </w:r>
      <w:r w:rsidR="00D11DD4">
        <w:rPr>
          <w:rFonts w:ascii="Times New Roman" w:hAnsi="Times New Roman" w:cs="Times New Roman"/>
          <w:sz w:val="28"/>
          <w:szCs w:val="28"/>
          <w:lang w:val="uk-UA"/>
        </w:rPr>
        <w:t xml:space="preserve">, </w:t>
      </w:r>
      <w:r w:rsidR="00D11DD4" w:rsidRPr="00D11DD4">
        <w:rPr>
          <w:rFonts w:ascii="Times New Roman" w:hAnsi="Times New Roman" w:cs="Times New Roman"/>
          <w:sz w:val="28"/>
          <w:szCs w:val="28"/>
          <w:lang w:val="uk-UA"/>
        </w:rPr>
        <w:t>Guarracini</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F</w:t>
      </w:r>
      <w:r w:rsidR="00D11DD4">
        <w:rPr>
          <w:rFonts w:ascii="Times New Roman" w:hAnsi="Times New Roman" w:cs="Times New Roman"/>
          <w:sz w:val="28"/>
          <w:szCs w:val="28"/>
          <w:lang w:val="uk-UA"/>
        </w:rPr>
        <w:t xml:space="preserve">, </w:t>
      </w:r>
      <w:r w:rsidR="00D11DD4" w:rsidRPr="00D11DD4">
        <w:rPr>
          <w:rFonts w:ascii="Times New Roman" w:hAnsi="Times New Roman" w:cs="Times New Roman"/>
          <w:sz w:val="28"/>
          <w:szCs w:val="28"/>
          <w:lang w:val="uk-UA"/>
        </w:rPr>
        <w:t>Poccia</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G</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et</w:t>
      </w:r>
      <w:r w:rsidR="00D11DD4" w:rsidRPr="000756FE">
        <w:rPr>
          <w:rFonts w:ascii="Times New Roman" w:hAnsi="Times New Roman" w:cs="Times New Roman"/>
          <w:sz w:val="28"/>
          <w:szCs w:val="28"/>
          <w:lang w:val="en-US"/>
        </w:rPr>
        <w:t xml:space="preserve"> </w:t>
      </w:r>
      <w:r w:rsidR="00D11DD4">
        <w:rPr>
          <w:rFonts w:ascii="Times New Roman" w:hAnsi="Times New Roman" w:cs="Times New Roman"/>
          <w:sz w:val="28"/>
          <w:szCs w:val="28"/>
          <w:lang w:val="en-US"/>
        </w:rPr>
        <w:t>al</w:t>
      </w:r>
      <w:r w:rsidR="00D11DD4" w:rsidRPr="000756FE">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en-US"/>
        </w:rPr>
        <w:t>Early</w:t>
      </w:r>
      <w:r w:rsidR="00D11DD4" w:rsidRPr="00163BE8">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en-US"/>
        </w:rPr>
        <w:t>diagnosis of left ventricular diastolic dysfunction in diabetic patients: a possible role for natriuretic peptides</w:t>
      </w:r>
      <w:r w:rsidR="00D11DD4">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en-US"/>
        </w:rPr>
        <w:t>Cardiovascular Diabetology</w:t>
      </w:r>
      <w:r w:rsidR="00D11DD4">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en-US"/>
        </w:rPr>
        <w:t>[Internet].</w:t>
      </w:r>
      <w:r w:rsidR="00D11DD4">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en-US"/>
        </w:rPr>
        <w:t>2010</w:t>
      </w:r>
      <w:r w:rsidR="00D11DD4">
        <w:rPr>
          <w:rFonts w:ascii="Times New Roman" w:hAnsi="Times New Roman" w:cs="Times New Roman"/>
          <w:sz w:val="28"/>
          <w:szCs w:val="28"/>
          <w:lang w:val="en-US"/>
        </w:rPr>
        <w:t>;</w:t>
      </w:r>
      <w:r w:rsidR="00D11DD4" w:rsidRPr="00D11DD4">
        <w:rPr>
          <w:rFonts w:ascii="Times New Roman" w:hAnsi="Times New Roman" w:cs="Times New Roman"/>
          <w:sz w:val="28"/>
          <w:szCs w:val="28"/>
          <w:lang w:val="en-US"/>
        </w:rPr>
        <w:t>9:89</w:t>
      </w:r>
      <w:r w:rsidR="00D11DD4">
        <w:rPr>
          <w:rFonts w:ascii="Times New Roman" w:hAnsi="Times New Roman" w:cs="Times New Roman"/>
          <w:sz w:val="28"/>
          <w:szCs w:val="28"/>
          <w:lang w:val="en-US"/>
        </w:rPr>
        <w:t xml:space="preserve">. </w:t>
      </w:r>
      <w:r w:rsidR="00D11DD4" w:rsidRPr="00D11DD4">
        <w:rPr>
          <w:rFonts w:ascii="Times New Roman" w:hAnsi="Times New Roman" w:cs="Times New Roman"/>
          <w:sz w:val="28"/>
          <w:szCs w:val="28"/>
          <w:lang w:val="en-US"/>
        </w:rPr>
        <w:t>Available from:</w:t>
      </w:r>
      <w:r w:rsidR="00D11DD4">
        <w:rPr>
          <w:rFonts w:ascii="Times New Roman" w:hAnsi="Times New Roman" w:cs="Times New Roman"/>
          <w:sz w:val="28"/>
          <w:szCs w:val="28"/>
          <w:lang w:val="en-US"/>
        </w:rPr>
        <w:t xml:space="preserve"> </w:t>
      </w:r>
      <w:hyperlink r:id="rId28" w:history="1">
        <w:r w:rsidR="00D11DD4" w:rsidRPr="00D11DD4">
          <w:rPr>
            <w:rStyle w:val="a9"/>
            <w:rFonts w:ascii="Times New Roman" w:hAnsi="Times New Roman" w:cs="Times New Roman"/>
            <w:color w:val="auto"/>
            <w:sz w:val="28"/>
            <w:szCs w:val="28"/>
            <w:u w:val="none"/>
            <w:lang w:val="en-US"/>
          </w:rPr>
          <w:t>https://doi.org/10.1186/1475-2840-9-89</w:t>
        </w:r>
      </w:hyperlink>
    </w:p>
    <w:p w:rsidR="00272C76" w:rsidRPr="00713B0E" w:rsidRDefault="000756FE" w:rsidP="00713B0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w:t>
      </w:r>
      <w:r w:rsidR="00272C76">
        <w:rPr>
          <w:rFonts w:ascii="Times New Roman" w:hAnsi="Times New Roman" w:cs="Times New Roman"/>
          <w:sz w:val="28"/>
          <w:szCs w:val="28"/>
          <w:lang w:val="uk-UA"/>
        </w:rPr>
        <w:t>.</w:t>
      </w:r>
      <w:r w:rsidR="00713B0E">
        <w:rPr>
          <w:rFonts w:ascii="Times New Roman" w:hAnsi="Times New Roman" w:cs="Times New Roman"/>
          <w:sz w:val="28"/>
          <w:szCs w:val="28"/>
          <w:lang w:val="en-US"/>
        </w:rPr>
        <w:t xml:space="preserve"> 2016 ESC/EAS Guidelines for the management of Dyslipidaemias.</w:t>
      </w:r>
      <w:r w:rsidR="00713B0E" w:rsidRPr="00713B0E">
        <w:rPr>
          <w:lang w:val="en-US"/>
        </w:rPr>
        <w:t xml:space="preserve"> </w:t>
      </w:r>
      <w:r w:rsidR="00713B0E" w:rsidRPr="00713B0E">
        <w:rPr>
          <w:rFonts w:ascii="Times New Roman" w:hAnsi="Times New Roman" w:cs="Times New Roman"/>
          <w:sz w:val="28"/>
          <w:szCs w:val="28"/>
          <w:lang w:val="en-US"/>
        </w:rPr>
        <w:t>The Task Force for the Mana</w:t>
      </w:r>
      <w:r w:rsidR="00713B0E">
        <w:rPr>
          <w:rFonts w:ascii="Times New Roman" w:hAnsi="Times New Roman" w:cs="Times New Roman"/>
          <w:sz w:val="28"/>
          <w:szCs w:val="28"/>
          <w:lang w:val="en-US"/>
        </w:rPr>
        <w:t xml:space="preserve">gement of Dyslipidaemias of the </w:t>
      </w:r>
      <w:r w:rsidR="00713B0E" w:rsidRPr="00713B0E">
        <w:rPr>
          <w:rFonts w:ascii="Times New Roman" w:hAnsi="Times New Roman" w:cs="Times New Roman"/>
          <w:sz w:val="28"/>
          <w:szCs w:val="28"/>
          <w:lang w:val="en-US"/>
        </w:rPr>
        <w:t>European Society of Cardiology (ES</w:t>
      </w:r>
      <w:r w:rsidR="00713B0E">
        <w:rPr>
          <w:rFonts w:ascii="Times New Roman" w:hAnsi="Times New Roman" w:cs="Times New Roman"/>
          <w:sz w:val="28"/>
          <w:szCs w:val="28"/>
          <w:lang w:val="en-US"/>
        </w:rPr>
        <w:t>C) and European Atherosclerosis Society (EAS</w:t>
      </w:r>
      <w:r w:rsidR="00713B0E" w:rsidRPr="00713B0E">
        <w:rPr>
          <w:rFonts w:ascii="Times New Roman" w:hAnsi="Times New Roman" w:cs="Times New Roman"/>
          <w:sz w:val="28"/>
          <w:szCs w:val="28"/>
          <w:lang w:val="en-US"/>
        </w:rPr>
        <w:t>)</w:t>
      </w:r>
      <w:r w:rsidR="00713B0E">
        <w:rPr>
          <w:rFonts w:ascii="Times New Roman" w:hAnsi="Times New Roman" w:cs="Times New Roman"/>
          <w:sz w:val="28"/>
          <w:szCs w:val="28"/>
          <w:lang w:val="en-US"/>
        </w:rPr>
        <w:t xml:space="preserve">. </w:t>
      </w:r>
      <w:r w:rsidR="00713B0E" w:rsidRPr="00713B0E">
        <w:rPr>
          <w:rFonts w:ascii="Times New Roman" w:hAnsi="Times New Roman" w:cs="Times New Roman"/>
          <w:sz w:val="28"/>
          <w:szCs w:val="28"/>
          <w:lang w:val="en-US"/>
        </w:rPr>
        <w:t>European Heart Journal</w:t>
      </w:r>
      <w:r w:rsidR="00713B0E">
        <w:rPr>
          <w:rFonts w:ascii="Times New Roman" w:hAnsi="Times New Roman" w:cs="Times New Roman"/>
          <w:sz w:val="28"/>
          <w:szCs w:val="28"/>
          <w:lang w:val="en-US"/>
        </w:rPr>
        <w:t xml:space="preserve"> </w:t>
      </w:r>
      <w:r w:rsidR="00713B0E" w:rsidRPr="00713B0E">
        <w:rPr>
          <w:rFonts w:ascii="Times New Roman" w:hAnsi="Times New Roman" w:cs="Times New Roman"/>
          <w:sz w:val="28"/>
          <w:szCs w:val="28"/>
          <w:lang w:val="en-US"/>
        </w:rPr>
        <w:t>[Internet]</w:t>
      </w:r>
      <w:r w:rsidR="00713B0E">
        <w:rPr>
          <w:rFonts w:ascii="Times New Roman" w:hAnsi="Times New Roman" w:cs="Times New Roman"/>
          <w:sz w:val="28"/>
          <w:szCs w:val="28"/>
          <w:lang w:val="en-US"/>
        </w:rPr>
        <w:t>. 2016;37:2999-</w:t>
      </w:r>
      <w:r w:rsidR="00713B0E" w:rsidRPr="00713B0E">
        <w:rPr>
          <w:rFonts w:ascii="Times New Roman" w:hAnsi="Times New Roman" w:cs="Times New Roman"/>
          <w:sz w:val="28"/>
          <w:szCs w:val="28"/>
          <w:lang w:val="en-US"/>
        </w:rPr>
        <w:t>3058</w:t>
      </w:r>
      <w:r w:rsidR="00713B0E">
        <w:rPr>
          <w:rFonts w:ascii="Times New Roman" w:hAnsi="Times New Roman" w:cs="Times New Roman"/>
          <w:sz w:val="28"/>
          <w:szCs w:val="28"/>
          <w:lang w:val="en-US"/>
        </w:rPr>
        <w:t xml:space="preserve">. </w:t>
      </w:r>
      <w:r w:rsidR="00713B0E" w:rsidRPr="00713B0E">
        <w:rPr>
          <w:rFonts w:ascii="Times New Roman" w:hAnsi="Times New Roman" w:cs="Times New Roman"/>
          <w:sz w:val="28"/>
          <w:szCs w:val="28"/>
          <w:lang w:val="en-US"/>
        </w:rPr>
        <w:t>Available from:</w:t>
      </w:r>
      <w:r w:rsidR="00713B0E">
        <w:rPr>
          <w:rFonts w:ascii="Times New Roman" w:hAnsi="Times New Roman" w:cs="Times New Roman"/>
          <w:sz w:val="28"/>
          <w:szCs w:val="28"/>
          <w:lang w:val="en-US"/>
        </w:rPr>
        <w:t xml:space="preserve"> </w:t>
      </w:r>
      <w:r w:rsidR="00713B0E" w:rsidRPr="00713B0E">
        <w:rPr>
          <w:rFonts w:ascii="Times New Roman" w:hAnsi="Times New Roman" w:cs="Times New Roman"/>
          <w:sz w:val="28"/>
          <w:szCs w:val="28"/>
          <w:lang w:val="en-US"/>
        </w:rPr>
        <w:t>ESC-EAS Guidelines for the management of dyslipidaemias</w:t>
      </w:r>
      <w:r w:rsidR="007653A6">
        <w:rPr>
          <w:rFonts w:ascii="Times New Roman" w:hAnsi="Times New Roman" w:cs="Times New Roman"/>
          <w:sz w:val="28"/>
          <w:szCs w:val="28"/>
          <w:lang w:val="en-US"/>
        </w:rPr>
        <w:t>.pdf</w:t>
      </w:r>
    </w:p>
    <w:p w:rsidR="007653A6" w:rsidRDefault="000756FE" w:rsidP="00272C76">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7653A6">
        <w:rPr>
          <w:rFonts w:ascii="Times New Roman" w:hAnsi="Times New Roman" w:cs="Times New Roman"/>
          <w:sz w:val="28"/>
          <w:szCs w:val="28"/>
          <w:lang w:val="en-US"/>
        </w:rPr>
        <w:t>.</w:t>
      </w:r>
      <w:r w:rsidR="000110E9">
        <w:rPr>
          <w:rFonts w:ascii="Times New Roman" w:hAnsi="Times New Roman" w:cs="Times New Roman"/>
          <w:sz w:val="28"/>
          <w:szCs w:val="28"/>
          <w:lang w:val="en-US"/>
        </w:rPr>
        <w:t xml:space="preserve"> </w:t>
      </w:r>
      <w:r w:rsidR="000110E9" w:rsidRPr="000110E9">
        <w:rPr>
          <w:rFonts w:ascii="Times New Roman" w:hAnsi="Times New Roman" w:cs="Times New Roman"/>
          <w:sz w:val="28"/>
          <w:szCs w:val="28"/>
          <w:lang w:val="en-US"/>
        </w:rPr>
        <w:t>Cheng</w:t>
      </w:r>
      <w:r w:rsidR="000110E9">
        <w:rPr>
          <w:rFonts w:ascii="Times New Roman" w:hAnsi="Times New Roman" w:cs="Times New Roman"/>
          <w:sz w:val="28"/>
          <w:szCs w:val="28"/>
          <w:lang w:val="en-US"/>
        </w:rPr>
        <w:t xml:space="preserve"> H,</w:t>
      </w:r>
      <w:r w:rsidR="000110E9" w:rsidRPr="000110E9">
        <w:rPr>
          <w:rFonts w:ascii="Times New Roman" w:hAnsi="Times New Roman" w:cs="Times New Roman"/>
          <w:sz w:val="28"/>
          <w:szCs w:val="28"/>
          <w:lang w:val="en-US"/>
        </w:rPr>
        <w:t xml:space="preserve"> Harris</w:t>
      </w:r>
      <w:r w:rsidR="000110E9">
        <w:rPr>
          <w:rFonts w:ascii="Times New Roman" w:hAnsi="Times New Roman" w:cs="Times New Roman"/>
          <w:sz w:val="28"/>
          <w:szCs w:val="28"/>
          <w:lang w:val="en-US"/>
        </w:rPr>
        <w:t xml:space="preserve"> RC. </w:t>
      </w:r>
      <w:r w:rsidR="000110E9" w:rsidRPr="000110E9">
        <w:rPr>
          <w:rFonts w:ascii="Times New Roman" w:hAnsi="Times New Roman" w:cs="Times New Roman"/>
          <w:sz w:val="28"/>
          <w:szCs w:val="28"/>
          <w:lang w:val="en-US"/>
        </w:rPr>
        <w:t>Renal Endothelial Dysfunction in Diabetic Nephropathy</w:t>
      </w:r>
      <w:r w:rsidR="000110E9">
        <w:rPr>
          <w:rFonts w:ascii="Times New Roman" w:hAnsi="Times New Roman" w:cs="Times New Roman"/>
          <w:sz w:val="28"/>
          <w:szCs w:val="28"/>
          <w:lang w:val="en-US"/>
        </w:rPr>
        <w:t xml:space="preserve">. </w:t>
      </w:r>
      <w:r w:rsidR="000110E9" w:rsidRPr="000110E9">
        <w:rPr>
          <w:rFonts w:ascii="Times New Roman" w:hAnsi="Times New Roman" w:cs="Times New Roman"/>
          <w:sz w:val="28"/>
          <w:szCs w:val="28"/>
          <w:lang w:val="en-US"/>
        </w:rPr>
        <w:t>Cardiovasc Hematol Disord Drug Targets</w:t>
      </w:r>
      <w:r w:rsidR="000110E9">
        <w:rPr>
          <w:rFonts w:ascii="Times New Roman" w:hAnsi="Times New Roman" w:cs="Times New Roman"/>
          <w:sz w:val="28"/>
          <w:szCs w:val="28"/>
          <w:lang w:val="en-US"/>
        </w:rPr>
        <w:t xml:space="preserve"> </w:t>
      </w:r>
      <w:r w:rsidR="000110E9" w:rsidRPr="000110E9">
        <w:rPr>
          <w:rFonts w:ascii="Times New Roman" w:hAnsi="Times New Roman" w:cs="Times New Roman"/>
          <w:sz w:val="28"/>
          <w:szCs w:val="28"/>
          <w:lang w:val="en-US"/>
        </w:rPr>
        <w:t>[Internet]</w:t>
      </w:r>
      <w:r w:rsidR="000110E9">
        <w:rPr>
          <w:rFonts w:ascii="Times New Roman" w:hAnsi="Times New Roman" w:cs="Times New Roman"/>
          <w:sz w:val="28"/>
          <w:szCs w:val="28"/>
          <w:lang w:val="en-US"/>
        </w:rPr>
        <w:t>. 2014;14(1):22-</w:t>
      </w:r>
      <w:r w:rsidR="000110E9" w:rsidRPr="000110E9">
        <w:rPr>
          <w:rFonts w:ascii="Times New Roman" w:hAnsi="Times New Roman" w:cs="Times New Roman"/>
          <w:sz w:val="28"/>
          <w:szCs w:val="28"/>
          <w:lang w:val="en-US"/>
        </w:rPr>
        <w:t>3.</w:t>
      </w:r>
      <w:r w:rsidR="000110E9">
        <w:rPr>
          <w:rFonts w:ascii="Times New Roman" w:hAnsi="Times New Roman" w:cs="Times New Roman"/>
          <w:sz w:val="28"/>
          <w:szCs w:val="28"/>
          <w:lang w:val="en-US"/>
        </w:rPr>
        <w:t xml:space="preserve"> </w:t>
      </w:r>
      <w:r w:rsidR="000110E9" w:rsidRPr="000110E9">
        <w:rPr>
          <w:rFonts w:ascii="Times New Roman" w:hAnsi="Times New Roman" w:cs="Times New Roman"/>
          <w:sz w:val="28"/>
          <w:szCs w:val="28"/>
          <w:lang w:val="en-US"/>
        </w:rPr>
        <w:t>Available from:</w:t>
      </w:r>
      <w:r w:rsidR="000110E9">
        <w:rPr>
          <w:rFonts w:ascii="Times New Roman" w:hAnsi="Times New Roman" w:cs="Times New Roman"/>
          <w:sz w:val="28"/>
          <w:szCs w:val="28"/>
          <w:lang w:val="en-US"/>
        </w:rPr>
        <w:t xml:space="preserve"> </w:t>
      </w:r>
      <w:r w:rsidR="000110E9" w:rsidRPr="000110E9">
        <w:rPr>
          <w:rFonts w:ascii="Times New Roman" w:hAnsi="Times New Roman" w:cs="Times New Roman"/>
          <w:sz w:val="28"/>
          <w:szCs w:val="28"/>
          <w:lang w:val="en-US"/>
        </w:rPr>
        <w:t>https://www.ncbi.nlm.nih.gov/pmc/articles/PMC4657140/</w:t>
      </w:r>
    </w:p>
    <w:p w:rsidR="002D4B0C" w:rsidRDefault="007653A6" w:rsidP="00272C76">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756FE">
        <w:rPr>
          <w:rFonts w:ascii="Times New Roman" w:hAnsi="Times New Roman" w:cs="Times New Roman"/>
          <w:sz w:val="28"/>
          <w:szCs w:val="28"/>
          <w:lang w:val="en-US"/>
        </w:rPr>
        <w:t>2</w:t>
      </w:r>
      <w:r w:rsidR="00272C76">
        <w:rPr>
          <w:rFonts w:ascii="Times New Roman" w:hAnsi="Times New Roman" w:cs="Times New Roman"/>
          <w:sz w:val="28"/>
          <w:szCs w:val="28"/>
          <w:lang w:val="uk-UA"/>
        </w:rPr>
        <w:t xml:space="preserve">. </w:t>
      </w:r>
      <w:r w:rsidR="00272C76" w:rsidRPr="00272C76">
        <w:rPr>
          <w:rFonts w:ascii="Times New Roman" w:hAnsi="Times New Roman" w:cs="Times New Roman"/>
          <w:sz w:val="28"/>
          <w:szCs w:val="28"/>
          <w:lang w:val="uk-UA"/>
        </w:rPr>
        <w:t>Чопей</w:t>
      </w:r>
      <w:r w:rsidR="00272C76">
        <w:rPr>
          <w:rFonts w:ascii="Times New Roman" w:hAnsi="Times New Roman" w:cs="Times New Roman"/>
          <w:sz w:val="28"/>
          <w:szCs w:val="28"/>
          <w:lang w:val="uk-UA"/>
        </w:rPr>
        <w:t xml:space="preserve"> ІВ,</w:t>
      </w:r>
      <w:r w:rsidR="00272C76" w:rsidRPr="00272C76">
        <w:rPr>
          <w:rFonts w:ascii="Times New Roman" w:hAnsi="Times New Roman" w:cs="Times New Roman"/>
          <w:sz w:val="28"/>
          <w:szCs w:val="28"/>
          <w:lang w:val="uk-UA"/>
        </w:rPr>
        <w:t xml:space="preserve"> Росул</w:t>
      </w:r>
      <w:r w:rsidR="00272C76">
        <w:rPr>
          <w:rFonts w:ascii="Times New Roman" w:hAnsi="Times New Roman" w:cs="Times New Roman"/>
          <w:sz w:val="28"/>
          <w:szCs w:val="28"/>
          <w:lang w:val="uk-UA"/>
        </w:rPr>
        <w:t xml:space="preserve"> ММ, Г</w:t>
      </w:r>
      <w:r w:rsidR="00272C76" w:rsidRPr="00272C76">
        <w:rPr>
          <w:rFonts w:ascii="Times New Roman" w:hAnsi="Times New Roman" w:cs="Times New Roman"/>
          <w:sz w:val="28"/>
          <w:szCs w:val="28"/>
          <w:lang w:val="uk-UA"/>
        </w:rPr>
        <w:t>ечко</w:t>
      </w:r>
      <w:r w:rsidR="00272C76">
        <w:rPr>
          <w:rFonts w:ascii="Times New Roman" w:hAnsi="Times New Roman" w:cs="Times New Roman"/>
          <w:sz w:val="28"/>
          <w:szCs w:val="28"/>
          <w:lang w:val="uk-UA"/>
        </w:rPr>
        <w:t xml:space="preserve"> ММ, </w:t>
      </w:r>
      <w:r w:rsidR="00272C76" w:rsidRPr="00272C76">
        <w:rPr>
          <w:rFonts w:ascii="Times New Roman" w:hAnsi="Times New Roman" w:cs="Times New Roman"/>
          <w:sz w:val="28"/>
          <w:szCs w:val="28"/>
          <w:lang w:val="uk-UA"/>
        </w:rPr>
        <w:t>Чубiрко</w:t>
      </w:r>
      <w:r w:rsidR="00272C76">
        <w:rPr>
          <w:rFonts w:ascii="Times New Roman" w:hAnsi="Times New Roman" w:cs="Times New Roman"/>
          <w:sz w:val="28"/>
          <w:szCs w:val="28"/>
          <w:lang w:val="uk-UA"/>
        </w:rPr>
        <w:t xml:space="preserve"> КІ, Корабельщ</w:t>
      </w:r>
      <w:r w:rsidR="00272C76" w:rsidRPr="00272C76">
        <w:rPr>
          <w:rFonts w:ascii="Times New Roman" w:hAnsi="Times New Roman" w:cs="Times New Roman"/>
          <w:sz w:val="28"/>
          <w:szCs w:val="28"/>
          <w:lang w:val="uk-UA"/>
        </w:rPr>
        <w:t>икова</w:t>
      </w:r>
      <w:r w:rsidR="00272C76">
        <w:rPr>
          <w:rFonts w:ascii="Times New Roman" w:hAnsi="Times New Roman" w:cs="Times New Roman"/>
          <w:sz w:val="28"/>
          <w:szCs w:val="28"/>
          <w:lang w:val="uk-UA"/>
        </w:rPr>
        <w:t xml:space="preserve"> МО, Іваньo НВ. С</w:t>
      </w:r>
      <w:r w:rsidR="002D4B0C">
        <w:rPr>
          <w:rFonts w:ascii="Times New Roman" w:hAnsi="Times New Roman" w:cs="Times New Roman"/>
          <w:sz w:val="28"/>
          <w:szCs w:val="28"/>
          <w:lang w:val="uk-UA"/>
        </w:rPr>
        <w:t>ерцево-</w:t>
      </w:r>
      <w:r w:rsidR="002D4B0C">
        <w:rPr>
          <w:rFonts w:ascii="Times New Roman" w:hAnsi="Times New Roman" w:cs="Times New Roman"/>
          <w:sz w:val="28"/>
          <w:szCs w:val="28"/>
          <w:lang w:val="en-US"/>
        </w:rPr>
        <w:t>c</w:t>
      </w:r>
      <w:r w:rsidR="00272C76" w:rsidRPr="00272C76">
        <w:rPr>
          <w:rFonts w:ascii="Times New Roman" w:hAnsi="Times New Roman" w:cs="Times New Roman"/>
          <w:sz w:val="28"/>
          <w:szCs w:val="28"/>
          <w:lang w:val="uk-UA"/>
        </w:rPr>
        <w:t>yдинний контину</w:t>
      </w:r>
      <w:r w:rsidR="00272C76">
        <w:rPr>
          <w:rFonts w:ascii="Times New Roman" w:hAnsi="Times New Roman" w:cs="Times New Roman"/>
          <w:sz w:val="28"/>
          <w:szCs w:val="28"/>
          <w:lang w:val="uk-UA"/>
        </w:rPr>
        <w:t>ум: роль сiмейного лiкаря в проф</w:t>
      </w:r>
      <w:r w:rsidR="00272C76" w:rsidRPr="00272C76">
        <w:rPr>
          <w:rFonts w:ascii="Times New Roman" w:hAnsi="Times New Roman" w:cs="Times New Roman"/>
          <w:sz w:val="28"/>
          <w:szCs w:val="28"/>
          <w:lang w:val="uk-UA"/>
        </w:rPr>
        <w:t>iлактицi</w:t>
      </w:r>
      <w:r w:rsidR="00272C76">
        <w:rPr>
          <w:rFonts w:ascii="Times New Roman" w:hAnsi="Times New Roman" w:cs="Times New Roman"/>
          <w:sz w:val="28"/>
          <w:szCs w:val="28"/>
          <w:lang w:val="uk-UA"/>
        </w:rPr>
        <w:t xml:space="preserve"> серцево-сyдинн</w:t>
      </w:r>
      <w:r w:rsidR="00272C76" w:rsidRPr="00272C76">
        <w:rPr>
          <w:rFonts w:ascii="Times New Roman" w:hAnsi="Times New Roman" w:cs="Times New Roman"/>
          <w:sz w:val="28"/>
          <w:szCs w:val="28"/>
          <w:lang w:val="uk-UA"/>
        </w:rPr>
        <w:t>их захворювань</w:t>
      </w:r>
      <w:r w:rsidR="00272C76">
        <w:rPr>
          <w:rFonts w:ascii="Times New Roman" w:hAnsi="Times New Roman" w:cs="Times New Roman"/>
          <w:sz w:val="28"/>
          <w:szCs w:val="28"/>
          <w:lang w:val="uk-UA"/>
        </w:rPr>
        <w:t xml:space="preserve">. </w:t>
      </w:r>
      <w:r w:rsidR="002D4B0C">
        <w:rPr>
          <w:rFonts w:ascii="Times New Roman" w:hAnsi="Times New Roman" w:cs="Times New Roman"/>
          <w:sz w:val="28"/>
          <w:szCs w:val="28"/>
          <w:lang w:val="uk-UA"/>
        </w:rPr>
        <w:t>Wiad Lek</w:t>
      </w:r>
      <w:r w:rsidR="00272C76">
        <w:rPr>
          <w:rFonts w:ascii="Times New Roman" w:hAnsi="Times New Roman" w:cs="Times New Roman"/>
          <w:sz w:val="28"/>
          <w:szCs w:val="28"/>
          <w:lang w:val="uk-UA"/>
        </w:rPr>
        <w:t xml:space="preserve"> </w:t>
      </w:r>
      <w:r w:rsidR="00272C76" w:rsidRPr="00272C76">
        <w:rPr>
          <w:rFonts w:ascii="Times New Roman" w:hAnsi="Times New Roman" w:cs="Times New Roman"/>
          <w:sz w:val="28"/>
          <w:szCs w:val="28"/>
          <w:lang w:val="uk-UA"/>
        </w:rPr>
        <w:t>[Iнтернет].</w:t>
      </w:r>
      <w:r w:rsidR="00272C76">
        <w:rPr>
          <w:rFonts w:ascii="Times New Roman" w:hAnsi="Times New Roman" w:cs="Times New Roman"/>
          <w:sz w:val="28"/>
          <w:szCs w:val="28"/>
          <w:lang w:val="uk-UA"/>
        </w:rPr>
        <w:t xml:space="preserve"> </w:t>
      </w:r>
      <w:r w:rsidR="002D4B0C">
        <w:rPr>
          <w:rFonts w:ascii="Times New Roman" w:hAnsi="Times New Roman" w:cs="Times New Roman"/>
          <w:sz w:val="28"/>
          <w:szCs w:val="28"/>
          <w:lang w:val="uk-UA"/>
        </w:rPr>
        <w:t>2014</w:t>
      </w:r>
      <w:r w:rsidR="002D4B0C" w:rsidRPr="002D4B0C">
        <w:rPr>
          <w:rFonts w:ascii="Times New Roman" w:hAnsi="Times New Roman" w:cs="Times New Roman"/>
          <w:sz w:val="28"/>
          <w:szCs w:val="28"/>
          <w:lang w:val="uk-UA"/>
        </w:rPr>
        <w:t>;67(</w:t>
      </w:r>
      <w:r w:rsidR="00272C76" w:rsidRPr="00272C76">
        <w:rPr>
          <w:rFonts w:ascii="Times New Roman" w:hAnsi="Times New Roman" w:cs="Times New Roman"/>
          <w:sz w:val="28"/>
          <w:szCs w:val="28"/>
          <w:lang w:val="uk-UA"/>
        </w:rPr>
        <w:t>2</w:t>
      </w:r>
      <w:r w:rsidR="002D4B0C" w:rsidRPr="002D4B0C">
        <w:rPr>
          <w:rFonts w:ascii="Times New Roman" w:hAnsi="Times New Roman" w:cs="Times New Roman"/>
          <w:sz w:val="28"/>
          <w:szCs w:val="28"/>
          <w:lang w:val="uk-UA"/>
        </w:rPr>
        <w:t>):</w:t>
      </w:r>
      <w:r w:rsidR="002D4B0C">
        <w:rPr>
          <w:rFonts w:ascii="Times New Roman" w:hAnsi="Times New Roman" w:cs="Times New Roman"/>
          <w:sz w:val="28"/>
          <w:szCs w:val="28"/>
          <w:lang w:val="en-US"/>
        </w:rPr>
        <w:t>cz</w:t>
      </w:r>
      <w:r w:rsidR="002D4B0C" w:rsidRPr="002D4B0C">
        <w:rPr>
          <w:rFonts w:ascii="Times New Roman" w:hAnsi="Times New Roman" w:cs="Times New Roman"/>
          <w:sz w:val="28"/>
          <w:szCs w:val="28"/>
          <w:lang w:val="uk-UA"/>
        </w:rPr>
        <w:t>.11:243-7. Доступно на:</w:t>
      </w:r>
      <w:r w:rsidR="002D4B0C">
        <w:rPr>
          <w:rFonts w:ascii="Times New Roman" w:hAnsi="Times New Roman" w:cs="Times New Roman"/>
          <w:sz w:val="28"/>
          <w:szCs w:val="28"/>
          <w:lang w:val="uk-UA"/>
        </w:rPr>
        <w:t xml:space="preserve"> </w:t>
      </w:r>
    </w:p>
    <w:p w:rsidR="002D4B0C" w:rsidRDefault="000A6805" w:rsidP="00272C76">
      <w:pPr>
        <w:tabs>
          <w:tab w:val="left" w:pos="2880"/>
        </w:tabs>
        <w:spacing w:after="0" w:line="360" w:lineRule="auto"/>
        <w:jc w:val="both"/>
        <w:rPr>
          <w:rFonts w:ascii="Times New Roman" w:hAnsi="Times New Roman" w:cs="Times New Roman"/>
          <w:color w:val="000000" w:themeColor="text1"/>
          <w:sz w:val="28"/>
          <w:szCs w:val="28"/>
          <w:lang w:val="uk-UA"/>
        </w:rPr>
      </w:pPr>
      <w:hyperlink r:id="rId29" w:history="1">
        <w:r w:rsidR="002D4B0C" w:rsidRPr="002D4B0C">
          <w:rPr>
            <w:rStyle w:val="a9"/>
            <w:rFonts w:ascii="Times New Roman" w:hAnsi="Times New Roman" w:cs="Times New Roman"/>
            <w:color w:val="000000" w:themeColor="text1"/>
            <w:sz w:val="28"/>
            <w:szCs w:val="28"/>
            <w:u w:val="none"/>
            <w:lang w:val="uk-UA"/>
          </w:rPr>
          <w:t>https://dspace.uzhnu.edu.ua/jspui/bitstream/lib/1710/1/%D1%81%D1%82%D0%B0%D1%82%D1%82%D1%8F.pdf</w:t>
        </w:r>
      </w:hyperlink>
    </w:p>
    <w:p w:rsidR="001234E1" w:rsidRDefault="000756FE" w:rsidP="00272C76">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en-US"/>
        </w:rPr>
        <w:t>3</w:t>
      </w:r>
      <w:r w:rsidR="002D4B0C">
        <w:rPr>
          <w:rFonts w:ascii="Times New Roman" w:hAnsi="Times New Roman" w:cs="Times New Roman"/>
          <w:color w:val="000000" w:themeColor="text1"/>
          <w:sz w:val="28"/>
          <w:szCs w:val="28"/>
          <w:lang w:val="uk-UA"/>
        </w:rPr>
        <w:t>.</w:t>
      </w:r>
      <w:r w:rsidR="00A1787A">
        <w:rPr>
          <w:rFonts w:ascii="Times New Roman" w:hAnsi="Times New Roman" w:cs="Times New Roman"/>
          <w:color w:val="000000" w:themeColor="text1"/>
          <w:sz w:val="28"/>
          <w:szCs w:val="28"/>
          <w:lang w:val="en-US"/>
        </w:rPr>
        <w:t xml:space="preserve"> </w:t>
      </w:r>
      <w:r w:rsidR="002D4B0C">
        <w:rPr>
          <w:rFonts w:ascii="Times New Roman" w:hAnsi="Times New Roman" w:cs="Times New Roman"/>
          <w:color w:val="000000" w:themeColor="text1"/>
          <w:sz w:val="28"/>
          <w:szCs w:val="28"/>
          <w:lang w:val="uk-UA"/>
        </w:rPr>
        <w:t xml:space="preserve"> </w:t>
      </w:r>
      <w:r w:rsidR="001234E1">
        <w:rPr>
          <w:rFonts w:ascii="Times New Roman" w:hAnsi="Times New Roman" w:cs="Times New Roman"/>
          <w:color w:val="000000" w:themeColor="text1"/>
          <w:sz w:val="28"/>
          <w:szCs w:val="28"/>
          <w:lang w:val="uk-UA"/>
        </w:rPr>
        <w:t>Stefano</w:t>
      </w:r>
      <w:r w:rsidR="00A1787A">
        <w:rPr>
          <w:rFonts w:ascii="Times New Roman" w:hAnsi="Times New Roman" w:cs="Times New Roman"/>
          <w:color w:val="000000" w:themeColor="text1"/>
          <w:sz w:val="28"/>
          <w:szCs w:val="28"/>
          <w:lang w:val="uk-UA"/>
        </w:rPr>
        <w:t xml:space="preserve"> Т</w:t>
      </w:r>
      <w:r w:rsidR="001234E1">
        <w:rPr>
          <w:rFonts w:ascii="Times New Roman" w:hAnsi="Times New Roman" w:cs="Times New Roman"/>
          <w:color w:val="000000" w:themeColor="text1"/>
          <w:sz w:val="28"/>
          <w:szCs w:val="28"/>
          <w:lang w:val="en-US"/>
        </w:rPr>
        <w:t xml:space="preserve">, </w:t>
      </w:r>
      <w:r w:rsidR="001234E1">
        <w:rPr>
          <w:rFonts w:ascii="Times New Roman" w:hAnsi="Times New Roman" w:cs="Times New Roman"/>
          <w:color w:val="000000" w:themeColor="text1"/>
          <w:sz w:val="28"/>
          <w:szCs w:val="28"/>
          <w:lang w:val="uk-UA"/>
        </w:rPr>
        <w:t>Maria</w:t>
      </w:r>
      <w:r w:rsidR="00A1787A">
        <w:rPr>
          <w:rFonts w:ascii="Times New Roman" w:hAnsi="Times New Roman" w:cs="Times New Roman"/>
          <w:color w:val="000000" w:themeColor="text1"/>
          <w:sz w:val="28"/>
          <w:szCs w:val="28"/>
          <w:lang w:val="uk-UA"/>
        </w:rPr>
        <w:t xml:space="preserve"> </w:t>
      </w:r>
      <w:r w:rsidR="001234E1">
        <w:rPr>
          <w:rFonts w:ascii="Times New Roman" w:hAnsi="Times New Roman" w:cs="Times New Roman"/>
          <w:color w:val="000000" w:themeColor="text1"/>
          <w:sz w:val="28"/>
          <w:szCs w:val="28"/>
          <w:lang w:val="en-US"/>
        </w:rPr>
        <w:t xml:space="preserve">BR. </w:t>
      </w:r>
      <w:r w:rsidR="001234E1" w:rsidRPr="001234E1">
        <w:rPr>
          <w:rFonts w:ascii="Times New Roman" w:hAnsi="Times New Roman" w:cs="Times New Roman"/>
          <w:color w:val="000000" w:themeColor="text1"/>
          <w:sz w:val="28"/>
          <w:szCs w:val="28"/>
          <w:lang w:val="en-US"/>
        </w:rPr>
        <w:t>Endothelial dysfunction in hypertension: implications for treatment</w:t>
      </w:r>
      <w:r w:rsidR="001234E1">
        <w:rPr>
          <w:rFonts w:ascii="Times New Roman" w:hAnsi="Times New Roman" w:cs="Times New Roman"/>
          <w:color w:val="000000" w:themeColor="text1"/>
          <w:sz w:val="28"/>
          <w:szCs w:val="28"/>
          <w:lang w:val="en-US"/>
        </w:rPr>
        <w:t xml:space="preserve">. </w:t>
      </w:r>
      <w:r w:rsidR="001234E1" w:rsidRPr="001234E1">
        <w:rPr>
          <w:rFonts w:ascii="Times New Roman" w:hAnsi="Times New Roman" w:cs="Times New Roman"/>
          <w:color w:val="000000" w:themeColor="text1"/>
          <w:sz w:val="28"/>
          <w:szCs w:val="28"/>
          <w:lang w:val="en-US"/>
        </w:rPr>
        <w:t>Journal of Hypertension</w:t>
      </w:r>
      <w:r w:rsidR="001234E1">
        <w:rPr>
          <w:rFonts w:ascii="Times New Roman" w:hAnsi="Times New Roman" w:cs="Times New Roman"/>
          <w:color w:val="000000" w:themeColor="text1"/>
          <w:sz w:val="28"/>
          <w:szCs w:val="28"/>
          <w:lang w:val="en-US"/>
        </w:rPr>
        <w:t xml:space="preserve"> </w:t>
      </w:r>
      <w:r w:rsidR="001234E1" w:rsidRPr="001234E1">
        <w:rPr>
          <w:rFonts w:ascii="Times New Roman" w:hAnsi="Times New Roman" w:cs="Times New Roman"/>
          <w:color w:val="000000" w:themeColor="text1"/>
          <w:sz w:val="28"/>
          <w:szCs w:val="28"/>
          <w:lang w:val="en-US"/>
        </w:rPr>
        <w:t>[Internet].</w:t>
      </w:r>
      <w:r w:rsidR="001234E1">
        <w:rPr>
          <w:rFonts w:ascii="Times New Roman" w:hAnsi="Times New Roman" w:cs="Times New Roman"/>
          <w:color w:val="000000" w:themeColor="text1"/>
          <w:sz w:val="28"/>
          <w:szCs w:val="28"/>
          <w:lang w:val="en-US"/>
        </w:rPr>
        <w:t xml:space="preserve"> 2015 Jun;33(</w:t>
      </w:r>
      <w:r w:rsidR="001234E1" w:rsidRPr="001234E1">
        <w:rPr>
          <w:rFonts w:ascii="Times New Roman" w:hAnsi="Times New Roman" w:cs="Times New Roman"/>
          <w:color w:val="000000" w:themeColor="text1"/>
          <w:sz w:val="28"/>
          <w:szCs w:val="28"/>
          <w:lang w:val="en-US"/>
        </w:rPr>
        <w:t>6</w:t>
      </w:r>
      <w:r w:rsidR="001234E1">
        <w:rPr>
          <w:rFonts w:ascii="Times New Roman" w:hAnsi="Times New Roman" w:cs="Times New Roman"/>
          <w:color w:val="000000" w:themeColor="text1"/>
          <w:sz w:val="28"/>
          <w:szCs w:val="28"/>
          <w:lang w:val="en-US"/>
        </w:rPr>
        <w:t>):1137-</w:t>
      </w:r>
      <w:r w:rsidR="001234E1" w:rsidRPr="001234E1">
        <w:rPr>
          <w:rFonts w:ascii="Times New Roman" w:hAnsi="Times New Roman" w:cs="Times New Roman"/>
          <w:color w:val="000000" w:themeColor="text1"/>
          <w:sz w:val="28"/>
          <w:szCs w:val="28"/>
          <w:lang w:val="en-US"/>
        </w:rPr>
        <w:t>8</w:t>
      </w:r>
      <w:r w:rsidR="001234E1">
        <w:rPr>
          <w:rFonts w:ascii="Times New Roman" w:hAnsi="Times New Roman" w:cs="Times New Roman"/>
          <w:color w:val="000000" w:themeColor="text1"/>
          <w:sz w:val="28"/>
          <w:szCs w:val="28"/>
          <w:lang w:val="en-US"/>
        </w:rPr>
        <w:t xml:space="preserve">. </w:t>
      </w:r>
    </w:p>
    <w:p w:rsidR="001234E1" w:rsidRDefault="001234E1" w:rsidP="00272C76">
      <w:pPr>
        <w:tabs>
          <w:tab w:val="left" w:pos="2880"/>
        </w:tabs>
        <w:spacing w:after="0" w:line="360" w:lineRule="auto"/>
        <w:jc w:val="both"/>
        <w:rPr>
          <w:rFonts w:ascii="Times New Roman" w:hAnsi="Times New Roman" w:cs="Times New Roman"/>
          <w:color w:val="000000" w:themeColor="text1"/>
          <w:sz w:val="28"/>
          <w:szCs w:val="28"/>
          <w:lang w:val="en-US"/>
        </w:rPr>
      </w:pPr>
      <w:r w:rsidRPr="001234E1">
        <w:rPr>
          <w:rFonts w:ascii="Times New Roman" w:hAnsi="Times New Roman" w:cs="Times New Roman"/>
          <w:color w:val="000000" w:themeColor="text1"/>
          <w:sz w:val="28"/>
          <w:szCs w:val="28"/>
          <w:lang w:val="en-US"/>
        </w:rPr>
        <w:t>Available from:</w:t>
      </w:r>
      <w:r>
        <w:rPr>
          <w:rFonts w:ascii="Times New Roman" w:hAnsi="Times New Roman" w:cs="Times New Roman"/>
          <w:color w:val="000000" w:themeColor="text1"/>
          <w:sz w:val="28"/>
          <w:szCs w:val="28"/>
          <w:lang w:val="en-US"/>
        </w:rPr>
        <w:t xml:space="preserve"> </w:t>
      </w:r>
      <w:r w:rsidRPr="001234E1">
        <w:rPr>
          <w:rFonts w:ascii="Times New Roman" w:hAnsi="Times New Roman" w:cs="Times New Roman"/>
          <w:color w:val="000000" w:themeColor="text1"/>
          <w:sz w:val="28"/>
          <w:szCs w:val="28"/>
          <w:lang w:val="en-US"/>
        </w:rPr>
        <w:t>Endothelial_dysfunction_in_hypertension__.4.pdf</w:t>
      </w:r>
      <w:r>
        <w:rPr>
          <w:rFonts w:ascii="Times New Roman" w:hAnsi="Times New Roman" w:cs="Times New Roman"/>
          <w:color w:val="000000" w:themeColor="text1"/>
          <w:sz w:val="28"/>
          <w:szCs w:val="28"/>
          <w:lang w:val="en-US"/>
        </w:rPr>
        <w:t xml:space="preserve"> </w:t>
      </w:r>
    </w:p>
    <w:p w:rsidR="002D4B0C" w:rsidRPr="00A1787A" w:rsidRDefault="001234E1" w:rsidP="00272C76">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DOI: </w:t>
      </w:r>
      <w:r w:rsidRPr="001234E1">
        <w:rPr>
          <w:rFonts w:ascii="Times New Roman" w:hAnsi="Times New Roman" w:cs="Times New Roman"/>
          <w:color w:val="000000" w:themeColor="text1"/>
          <w:sz w:val="28"/>
          <w:szCs w:val="28"/>
          <w:lang w:val="en-US"/>
        </w:rPr>
        <w:t>10.1097/HJH.0000000000000609</w:t>
      </w:r>
    </w:p>
    <w:p w:rsidR="00163BE8" w:rsidRPr="000406ED" w:rsidRDefault="000756FE" w:rsidP="000406ED">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1</w:t>
      </w:r>
      <w:r>
        <w:rPr>
          <w:rFonts w:ascii="Times New Roman" w:hAnsi="Times New Roman" w:cs="Times New Roman"/>
          <w:color w:val="000000" w:themeColor="text1"/>
          <w:sz w:val="28"/>
          <w:szCs w:val="28"/>
          <w:lang w:val="en-US"/>
        </w:rPr>
        <w:t>4</w:t>
      </w:r>
      <w:r w:rsidR="000406ED">
        <w:rPr>
          <w:rFonts w:ascii="Times New Roman" w:hAnsi="Times New Roman" w:cs="Times New Roman"/>
          <w:color w:val="000000" w:themeColor="text1"/>
          <w:sz w:val="28"/>
          <w:szCs w:val="28"/>
          <w:lang w:val="uk-UA"/>
        </w:rPr>
        <w:t xml:space="preserve">. </w:t>
      </w:r>
      <w:r w:rsidR="000406ED" w:rsidRPr="000406ED">
        <w:rPr>
          <w:rFonts w:ascii="Times New Roman" w:hAnsi="Times New Roman" w:cs="Times New Roman"/>
          <w:color w:val="000000" w:themeColor="text1"/>
          <w:sz w:val="28"/>
          <w:szCs w:val="28"/>
          <w:lang w:val="uk-UA"/>
        </w:rPr>
        <w:t>Shenouda</w:t>
      </w:r>
      <w:r w:rsidR="000406ED">
        <w:rPr>
          <w:rFonts w:ascii="Times New Roman" w:hAnsi="Times New Roman" w:cs="Times New Roman"/>
          <w:color w:val="000000" w:themeColor="text1"/>
          <w:sz w:val="28"/>
          <w:szCs w:val="28"/>
          <w:lang w:val="uk-UA"/>
        </w:rPr>
        <w:t xml:space="preserve"> </w:t>
      </w:r>
      <w:r w:rsidR="000406ED">
        <w:rPr>
          <w:rFonts w:ascii="Times New Roman" w:hAnsi="Times New Roman" w:cs="Times New Roman"/>
          <w:color w:val="000000" w:themeColor="text1"/>
          <w:sz w:val="28"/>
          <w:szCs w:val="28"/>
          <w:lang w:val="en-US"/>
        </w:rPr>
        <w:t>SM</w:t>
      </w:r>
      <w:r w:rsidR="000406ED">
        <w:rPr>
          <w:rFonts w:ascii="Times New Roman" w:hAnsi="Times New Roman" w:cs="Times New Roman"/>
          <w:color w:val="000000" w:themeColor="text1"/>
          <w:sz w:val="28"/>
          <w:szCs w:val="28"/>
          <w:lang w:val="uk-UA"/>
        </w:rPr>
        <w:t xml:space="preserve">, </w:t>
      </w:r>
      <w:r w:rsidR="000406ED" w:rsidRPr="000406ED">
        <w:rPr>
          <w:rFonts w:ascii="Times New Roman" w:hAnsi="Times New Roman" w:cs="Times New Roman"/>
          <w:color w:val="000000" w:themeColor="text1"/>
          <w:sz w:val="28"/>
          <w:szCs w:val="28"/>
          <w:lang w:val="uk-UA"/>
        </w:rPr>
        <w:t>Widlansky</w:t>
      </w:r>
      <w:r w:rsidR="000406ED">
        <w:rPr>
          <w:rFonts w:ascii="Times New Roman" w:hAnsi="Times New Roman" w:cs="Times New Roman"/>
          <w:color w:val="000000" w:themeColor="text1"/>
          <w:sz w:val="28"/>
          <w:szCs w:val="28"/>
          <w:lang w:val="en-US"/>
        </w:rPr>
        <w:t xml:space="preserve"> ME</w:t>
      </w:r>
      <w:r w:rsidR="000406ED">
        <w:rPr>
          <w:rFonts w:ascii="Times New Roman" w:hAnsi="Times New Roman" w:cs="Times New Roman"/>
          <w:color w:val="000000" w:themeColor="text1"/>
          <w:sz w:val="28"/>
          <w:szCs w:val="28"/>
          <w:lang w:val="uk-UA"/>
        </w:rPr>
        <w:t xml:space="preserve">, </w:t>
      </w:r>
      <w:r w:rsidR="000406ED" w:rsidRPr="000406ED">
        <w:rPr>
          <w:rFonts w:ascii="Times New Roman" w:hAnsi="Times New Roman" w:cs="Times New Roman"/>
          <w:color w:val="000000" w:themeColor="text1"/>
          <w:sz w:val="28"/>
          <w:szCs w:val="28"/>
          <w:lang w:val="uk-UA"/>
        </w:rPr>
        <w:t>Chen</w:t>
      </w:r>
      <w:r w:rsidR="000406ED">
        <w:rPr>
          <w:rFonts w:ascii="Times New Roman" w:hAnsi="Times New Roman" w:cs="Times New Roman"/>
          <w:color w:val="000000" w:themeColor="text1"/>
          <w:sz w:val="28"/>
          <w:szCs w:val="28"/>
          <w:lang w:val="en-US"/>
        </w:rPr>
        <w:t xml:space="preserve"> K</w:t>
      </w:r>
      <w:r w:rsidR="000406ED">
        <w:rPr>
          <w:rFonts w:ascii="Times New Roman" w:hAnsi="Times New Roman" w:cs="Times New Roman"/>
          <w:color w:val="000000" w:themeColor="text1"/>
          <w:sz w:val="28"/>
          <w:szCs w:val="28"/>
          <w:lang w:val="uk-UA"/>
        </w:rPr>
        <w:t xml:space="preserve">, </w:t>
      </w:r>
      <w:r w:rsidR="000406ED" w:rsidRPr="000406ED">
        <w:rPr>
          <w:rFonts w:ascii="Times New Roman" w:hAnsi="Times New Roman" w:cs="Times New Roman"/>
          <w:color w:val="000000" w:themeColor="text1"/>
          <w:sz w:val="28"/>
          <w:szCs w:val="28"/>
          <w:lang w:val="uk-UA"/>
        </w:rPr>
        <w:t>Xu</w:t>
      </w:r>
      <w:r w:rsidR="000406ED">
        <w:rPr>
          <w:rFonts w:ascii="Times New Roman" w:hAnsi="Times New Roman" w:cs="Times New Roman"/>
          <w:color w:val="000000" w:themeColor="text1"/>
          <w:sz w:val="28"/>
          <w:szCs w:val="28"/>
          <w:lang w:val="en-US"/>
        </w:rPr>
        <w:t xml:space="preserve"> G</w:t>
      </w:r>
      <w:r w:rsidR="000406ED">
        <w:rPr>
          <w:rFonts w:ascii="Times New Roman" w:hAnsi="Times New Roman" w:cs="Times New Roman"/>
          <w:color w:val="000000" w:themeColor="text1"/>
          <w:sz w:val="28"/>
          <w:szCs w:val="28"/>
          <w:lang w:val="uk-UA"/>
        </w:rPr>
        <w:t>,</w:t>
      </w:r>
      <w:r w:rsidR="000406ED">
        <w:rPr>
          <w:rFonts w:ascii="Times New Roman" w:hAnsi="Times New Roman" w:cs="Times New Roman"/>
          <w:color w:val="000000" w:themeColor="text1"/>
          <w:sz w:val="28"/>
          <w:szCs w:val="28"/>
          <w:lang w:val="en-US"/>
        </w:rPr>
        <w:t xml:space="preserve"> </w:t>
      </w:r>
      <w:r w:rsidR="000406ED" w:rsidRPr="000406ED">
        <w:rPr>
          <w:rFonts w:ascii="Times New Roman" w:hAnsi="Times New Roman" w:cs="Times New Roman"/>
          <w:color w:val="000000" w:themeColor="text1"/>
          <w:sz w:val="28"/>
          <w:szCs w:val="28"/>
          <w:lang w:val="uk-UA"/>
        </w:rPr>
        <w:t>Holbrook</w:t>
      </w:r>
      <w:r w:rsidR="000406ED">
        <w:rPr>
          <w:rFonts w:ascii="Times New Roman" w:hAnsi="Times New Roman" w:cs="Times New Roman"/>
          <w:color w:val="000000" w:themeColor="text1"/>
          <w:sz w:val="28"/>
          <w:szCs w:val="28"/>
          <w:lang w:val="en-US"/>
        </w:rPr>
        <w:t xml:space="preserve"> M</w:t>
      </w:r>
      <w:r w:rsidR="000406ED">
        <w:rPr>
          <w:rFonts w:ascii="Times New Roman" w:hAnsi="Times New Roman" w:cs="Times New Roman"/>
          <w:color w:val="000000" w:themeColor="text1"/>
          <w:sz w:val="28"/>
          <w:szCs w:val="28"/>
          <w:lang w:val="uk-UA"/>
        </w:rPr>
        <w:t>,</w:t>
      </w:r>
      <w:r w:rsidR="000406ED" w:rsidRPr="000406ED">
        <w:rPr>
          <w:rFonts w:ascii="Times New Roman" w:hAnsi="Times New Roman" w:cs="Times New Roman"/>
          <w:color w:val="000000" w:themeColor="text1"/>
          <w:sz w:val="28"/>
          <w:szCs w:val="28"/>
          <w:lang w:val="uk-UA"/>
        </w:rPr>
        <w:t xml:space="preserve"> Tabit</w:t>
      </w:r>
      <w:r w:rsidR="000406ED">
        <w:rPr>
          <w:rFonts w:ascii="Times New Roman" w:hAnsi="Times New Roman" w:cs="Times New Roman"/>
          <w:color w:val="000000" w:themeColor="text1"/>
          <w:sz w:val="28"/>
          <w:szCs w:val="28"/>
          <w:lang w:val="en-US"/>
        </w:rPr>
        <w:t xml:space="preserve"> CE, et al. </w:t>
      </w:r>
      <w:r w:rsidR="000406ED" w:rsidRPr="000406ED">
        <w:rPr>
          <w:rFonts w:ascii="Times New Roman" w:hAnsi="Times New Roman" w:cs="Times New Roman"/>
          <w:color w:val="000000" w:themeColor="text1"/>
          <w:sz w:val="28"/>
          <w:szCs w:val="28"/>
          <w:lang w:val="en-US"/>
        </w:rPr>
        <w:t>Altered Mitochondrial Dyna</w:t>
      </w:r>
      <w:r w:rsidR="000406ED">
        <w:rPr>
          <w:rFonts w:ascii="Times New Roman" w:hAnsi="Times New Roman" w:cs="Times New Roman"/>
          <w:color w:val="000000" w:themeColor="text1"/>
          <w:sz w:val="28"/>
          <w:szCs w:val="28"/>
          <w:lang w:val="en-US"/>
        </w:rPr>
        <w:t xml:space="preserve">mics Contributes to Endothelial </w:t>
      </w:r>
      <w:r w:rsidR="000406ED" w:rsidRPr="000406ED">
        <w:rPr>
          <w:rFonts w:ascii="Times New Roman" w:hAnsi="Times New Roman" w:cs="Times New Roman"/>
          <w:color w:val="000000" w:themeColor="text1"/>
          <w:sz w:val="28"/>
          <w:szCs w:val="28"/>
          <w:lang w:val="en-US"/>
        </w:rPr>
        <w:t>Dysfunction in Diabetes Mellitus</w:t>
      </w:r>
      <w:r w:rsidR="000406ED">
        <w:rPr>
          <w:rFonts w:ascii="Times New Roman" w:hAnsi="Times New Roman" w:cs="Times New Roman"/>
          <w:color w:val="000000" w:themeColor="text1"/>
          <w:sz w:val="28"/>
          <w:szCs w:val="28"/>
          <w:lang w:val="en-US"/>
        </w:rPr>
        <w:t xml:space="preserve">. Circulation </w:t>
      </w:r>
      <w:r w:rsidR="000406ED" w:rsidRPr="000406ED">
        <w:rPr>
          <w:rFonts w:ascii="Times New Roman" w:hAnsi="Times New Roman" w:cs="Times New Roman"/>
          <w:color w:val="000000" w:themeColor="text1"/>
          <w:sz w:val="28"/>
          <w:szCs w:val="28"/>
          <w:lang w:val="en-US"/>
        </w:rPr>
        <w:t>[Internet].</w:t>
      </w:r>
      <w:r w:rsidR="001E1653">
        <w:rPr>
          <w:rFonts w:ascii="Times New Roman" w:hAnsi="Times New Roman" w:cs="Times New Roman"/>
          <w:color w:val="000000" w:themeColor="text1"/>
          <w:sz w:val="28"/>
          <w:szCs w:val="28"/>
          <w:lang w:val="en-US"/>
        </w:rPr>
        <w:t xml:space="preserve"> 2011;124:444-</w:t>
      </w:r>
      <w:r w:rsidR="001E1653" w:rsidRPr="001E1653">
        <w:rPr>
          <w:rFonts w:ascii="Times New Roman" w:hAnsi="Times New Roman" w:cs="Times New Roman"/>
          <w:color w:val="000000" w:themeColor="text1"/>
          <w:sz w:val="28"/>
          <w:szCs w:val="28"/>
          <w:lang w:val="en-US"/>
        </w:rPr>
        <w:t>53.</w:t>
      </w:r>
      <w:r w:rsidR="001E1653">
        <w:rPr>
          <w:rFonts w:ascii="Times New Roman" w:hAnsi="Times New Roman" w:cs="Times New Roman"/>
          <w:color w:val="000000" w:themeColor="text1"/>
          <w:sz w:val="28"/>
          <w:szCs w:val="28"/>
          <w:lang w:val="en-US"/>
        </w:rPr>
        <w:t xml:space="preserve"> </w:t>
      </w:r>
      <w:r w:rsidR="001E1653" w:rsidRPr="001E1653">
        <w:rPr>
          <w:rFonts w:ascii="Times New Roman" w:hAnsi="Times New Roman" w:cs="Times New Roman"/>
          <w:color w:val="000000" w:themeColor="text1"/>
          <w:sz w:val="28"/>
          <w:szCs w:val="28"/>
          <w:lang w:val="en-US"/>
        </w:rPr>
        <w:t>Available from:</w:t>
      </w:r>
      <w:r w:rsidR="001E1653">
        <w:rPr>
          <w:rFonts w:ascii="Times New Roman" w:hAnsi="Times New Roman" w:cs="Times New Roman"/>
          <w:color w:val="000000" w:themeColor="text1"/>
          <w:sz w:val="28"/>
          <w:szCs w:val="28"/>
          <w:lang w:val="en-US"/>
        </w:rPr>
        <w:t xml:space="preserve"> </w:t>
      </w:r>
      <w:r w:rsidR="00A1787A" w:rsidRPr="00A1787A">
        <w:rPr>
          <w:rFonts w:ascii="Times New Roman" w:hAnsi="Times New Roman" w:cs="Times New Roman"/>
          <w:color w:val="000000" w:themeColor="text1"/>
          <w:sz w:val="28"/>
          <w:szCs w:val="28"/>
          <w:lang w:val="en-US"/>
        </w:rPr>
        <w:t xml:space="preserve">444.full.pdf </w:t>
      </w:r>
      <w:r w:rsidR="001E1653">
        <w:rPr>
          <w:rFonts w:ascii="Times New Roman" w:hAnsi="Times New Roman" w:cs="Times New Roman"/>
          <w:color w:val="000000" w:themeColor="text1"/>
          <w:sz w:val="28"/>
          <w:szCs w:val="28"/>
          <w:lang w:val="en-US"/>
        </w:rPr>
        <w:t xml:space="preserve">DOI: </w:t>
      </w:r>
      <w:r w:rsidR="001E1653" w:rsidRPr="001E1653">
        <w:rPr>
          <w:rFonts w:ascii="Times New Roman" w:hAnsi="Times New Roman" w:cs="Times New Roman"/>
          <w:color w:val="000000" w:themeColor="text1"/>
          <w:sz w:val="28"/>
          <w:szCs w:val="28"/>
          <w:lang w:val="en-US"/>
        </w:rPr>
        <w:t>https://doi.org/10.1161/CIRCULATIONAHA.110.014506</w:t>
      </w:r>
    </w:p>
    <w:p w:rsidR="00527388" w:rsidRDefault="000756FE" w:rsidP="00272C76">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lastRenderedPageBreak/>
        <w:t>1</w:t>
      </w:r>
      <w:r>
        <w:rPr>
          <w:rFonts w:ascii="Times New Roman" w:hAnsi="Times New Roman" w:cs="Times New Roman"/>
          <w:color w:val="000000" w:themeColor="text1"/>
          <w:sz w:val="28"/>
          <w:szCs w:val="28"/>
          <w:lang w:val="en-US"/>
        </w:rPr>
        <w:t>5</w:t>
      </w:r>
      <w:r w:rsidR="004E4944">
        <w:rPr>
          <w:rFonts w:ascii="Times New Roman" w:hAnsi="Times New Roman" w:cs="Times New Roman"/>
          <w:color w:val="000000" w:themeColor="text1"/>
          <w:sz w:val="28"/>
          <w:szCs w:val="28"/>
          <w:lang w:val="uk-UA"/>
        </w:rPr>
        <w:t xml:space="preserve">. </w:t>
      </w:r>
      <w:r w:rsidR="004E4944" w:rsidRPr="004E4944">
        <w:rPr>
          <w:rFonts w:ascii="Times New Roman" w:hAnsi="Times New Roman" w:cs="Times New Roman"/>
          <w:color w:val="000000" w:themeColor="text1"/>
          <w:sz w:val="28"/>
          <w:szCs w:val="28"/>
          <w:lang w:val="uk-UA"/>
        </w:rPr>
        <w:t xml:space="preserve">Meigs JB, Hu FB, Rifai N, Manson JE. Biomarkers of endothelial dysfunction and risk of type 2 diabetes </w:t>
      </w:r>
      <w:r w:rsidR="00527388">
        <w:rPr>
          <w:rFonts w:ascii="Times New Roman" w:hAnsi="Times New Roman" w:cs="Times New Roman"/>
          <w:color w:val="000000" w:themeColor="text1"/>
          <w:sz w:val="28"/>
          <w:szCs w:val="28"/>
          <w:lang w:val="uk-UA"/>
        </w:rPr>
        <w:t>mellitus. JAMA [Internet]. 2004;291:1978-</w:t>
      </w:r>
      <w:r w:rsidR="004E4944" w:rsidRPr="004E4944">
        <w:rPr>
          <w:rFonts w:ascii="Times New Roman" w:hAnsi="Times New Roman" w:cs="Times New Roman"/>
          <w:color w:val="000000" w:themeColor="text1"/>
          <w:sz w:val="28"/>
          <w:szCs w:val="28"/>
          <w:lang w:val="uk-UA"/>
        </w:rPr>
        <w:t>86.</w:t>
      </w:r>
      <w:r w:rsidR="00527388">
        <w:rPr>
          <w:rFonts w:ascii="Times New Roman" w:hAnsi="Times New Roman" w:cs="Times New Roman"/>
          <w:color w:val="000000" w:themeColor="text1"/>
          <w:sz w:val="28"/>
          <w:szCs w:val="28"/>
          <w:lang w:val="uk-UA"/>
        </w:rPr>
        <w:t xml:space="preserve"> </w:t>
      </w:r>
      <w:r w:rsidR="00527388" w:rsidRPr="00527388">
        <w:rPr>
          <w:rFonts w:ascii="Times New Roman" w:hAnsi="Times New Roman" w:cs="Times New Roman"/>
          <w:color w:val="000000" w:themeColor="text1"/>
          <w:sz w:val="28"/>
          <w:szCs w:val="28"/>
          <w:lang w:val="uk-UA"/>
        </w:rPr>
        <w:t>Available from:</w:t>
      </w:r>
      <w:r w:rsidR="00527388">
        <w:rPr>
          <w:rFonts w:ascii="Times New Roman" w:hAnsi="Times New Roman" w:cs="Times New Roman"/>
          <w:color w:val="000000" w:themeColor="text1"/>
          <w:sz w:val="28"/>
          <w:szCs w:val="28"/>
          <w:lang w:val="uk-UA"/>
        </w:rPr>
        <w:t xml:space="preserve"> </w:t>
      </w:r>
      <w:hyperlink r:id="rId30" w:history="1">
        <w:r w:rsidR="00527388" w:rsidRPr="00527388">
          <w:rPr>
            <w:rStyle w:val="a9"/>
            <w:rFonts w:ascii="Times New Roman" w:hAnsi="Times New Roman" w:cs="Times New Roman"/>
            <w:color w:val="auto"/>
            <w:sz w:val="28"/>
            <w:szCs w:val="28"/>
            <w:u w:val="none"/>
            <w:lang w:val="uk-UA"/>
          </w:rPr>
          <w:t>https://www.ncbi.nlm.nih.gov/pubmed/15113816</w:t>
        </w:r>
      </w:hyperlink>
      <w:r w:rsidR="00527388">
        <w:rPr>
          <w:rFonts w:ascii="Times New Roman" w:hAnsi="Times New Roman" w:cs="Times New Roman"/>
          <w:color w:val="000000" w:themeColor="text1"/>
          <w:sz w:val="28"/>
          <w:szCs w:val="28"/>
          <w:lang w:val="uk-UA"/>
        </w:rPr>
        <w:t xml:space="preserve"> </w:t>
      </w:r>
    </w:p>
    <w:p w:rsidR="00163BE8" w:rsidRDefault="00527388" w:rsidP="00272C76">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DOI: </w:t>
      </w:r>
      <w:r w:rsidRPr="00527388">
        <w:rPr>
          <w:rFonts w:ascii="Times New Roman" w:hAnsi="Times New Roman" w:cs="Times New Roman"/>
          <w:color w:val="000000" w:themeColor="text1"/>
          <w:sz w:val="28"/>
          <w:szCs w:val="28"/>
          <w:lang w:val="en-US"/>
        </w:rPr>
        <w:t>10.1001/jama.291.16.1978</w:t>
      </w:r>
    </w:p>
    <w:p w:rsidR="002078AC" w:rsidRDefault="000756FE" w:rsidP="00272C76">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r w:rsidR="00527388">
        <w:rPr>
          <w:rFonts w:ascii="Times New Roman" w:hAnsi="Times New Roman" w:cs="Times New Roman"/>
          <w:color w:val="000000" w:themeColor="text1"/>
          <w:sz w:val="28"/>
          <w:szCs w:val="28"/>
          <w:lang w:val="en-US"/>
        </w:rPr>
        <w:t xml:space="preserve">. </w:t>
      </w:r>
      <w:r w:rsidR="002078AC" w:rsidRPr="002078AC">
        <w:rPr>
          <w:rFonts w:ascii="Times New Roman" w:hAnsi="Times New Roman" w:cs="Times New Roman"/>
          <w:color w:val="000000" w:themeColor="text1"/>
          <w:sz w:val="28"/>
          <w:szCs w:val="28"/>
          <w:lang w:val="en-US"/>
        </w:rPr>
        <w:t>Price</w:t>
      </w:r>
      <w:r w:rsidR="002078AC">
        <w:rPr>
          <w:rFonts w:ascii="Times New Roman" w:hAnsi="Times New Roman" w:cs="Times New Roman"/>
          <w:color w:val="000000" w:themeColor="text1"/>
          <w:sz w:val="28"/>
          <w:szCs w:val="28"/>
          <w:lang w:val="en-US"/>
        </w:rPr>
        <w:t xml:space="preserve"> DT, </w:t>
      </w:r>
      <w:r w:rsidR="002078AC" w:rsidRPr="002078AC">
        <w:rPr>
          <w:rFonts w:ascii="Times New Roman" w:hAnsi="Times New Roman" w:cs="Times New Roman"/>
          <w:color w:val="000000" w:themeColor="text1"/>
          <w:sz w:val="28"/>
          <w:szCs w:val="28"/>
          <w:lang w:val="en-US"/>
        </w:rPr>
        <w:t>Loscalzo</w:t>
      </w:r>
      <w:r w:rsidR="002078AC">
        <w:rPr>
          <w:rFonts w:ascii="Times New Roman" w:hAnsi="Times New Roman" w:cs="Times New Roman"/>
          <w:color w:val="000000" w:themeColor="text1"/>
          <w:sz w:val="28"/>
          <w:szCs w:val="28"/>
          <w:lang w:val="en-US"/>
        </w:rPr>
        <w:t xml:space="preserve"> J. </w:t>
      </w:r>
      <w:r w:rsidR="002078AC" w:rsidRPr="002078AC">
        <w:rPr>
          <w:rFonts w:ascii="Times New Roman" w:hAnsi="Times New Roman" w:cs="Times New Roman"/>
          <w:color w:val="000000" w:themeColor="text1"/>
          <w:sz w:val="28"/>
          <w:szCs w:val="28"/>
          <w:lang w:val="en-US"/>
        </w:rPr>
        <w:t>Cellular adhesion molecules and atherogenesis</w:t>
      </w:r>
      <w:r w:rsidR="002078AC">
        <w:rPr>
          <w:rFonts w:ascii="Times New Roman" w:hAnsi="Times New Roman" w:cs="Times New Roman"/>
          <w:color w:val="000000" w:themeColor="text1"/>
          <w:sz w:val="28"/>
          <w:szCs w:val="28"/>
          <w:lang w:val="en-US"/>
        </w:rPr>
        <w:t xml:space="preserve">. </w:t>
      </w:r>
      <w:r w:rsidR="002078AC" w:rsidRPr="002078AC">
        <w:rPr>
          <w:rFonts w:ascii="Times New Roman" w:hAnsi="Times New Roman" w:cs="Times New Roman"/>
          <w:color w:val="000000" w:themeColor="text1"/>
          <w:sz w:val="28"/>
          <w:szCs w:val="28"/>
          <w:lang w:val="en-US"/>
        </w:rPr>
        <w:t>Am J Med</w:t>
      </w:r>
      <w:r w:rsidR="002078AC">
        <w:rPr>
          <w:rFonts w:ascii="Times New Roman" w:hAnsi="Times New Roman" w:cs="Times New Roman"/>
          <w:color w:val="000000" w:themeColor="text1"/>
          <w:sz w:val="28"/>
          <w:szCs w:val="28"/>
          <w:lang w:val="en-US"/>
        </w:rPr>
        <w:t xml:space="preserve"> [Internet]</w:t>
      </w:r>
      <w:r w:rsidR="002078AC" w:rsidRPr="002078AC">
        <w:rPr>
          <w:rFonts w:ascii="Times New Roman" w:hAnsi="Times New Roman" w:cs="Times New Roman"/>
          <w:color w:val="000000" w:themeColor="text1"/>
          <w:sz w:val="28"/>
          <w:szCs w:val="28"/>
          <w:lang w:val="en-US"/>
        </w:rPr>
        <w:t>. 1999 Jul;107(1):85-97.</w:t>
      </w:r>
      <w:r w:rsidR="002078AC">
        <w:rPr>
          <w:rFonts w:ascii="Times New Roman" w:hAnsi="Times New Roman" w:cs="Times New Roman"/>
          <w:color w:val="000000" w:themeColor="text1"/>
          <w:sz w:val="28"/>
          <w:szCs w:val="28"/>
          <w:lang w:val="en-US"/>
        </w:rPr>
        <w:t xml:space="preserve"> </w:t>
      </w:r>
      <w:r w:rsidR="00527388">
        <w:rPr>
          <w:rFonts w:ascii="Times New Roman" w:hAnsi="Times New Roman" w:cs="Times New Roman"/>
          <w:color w:val="000000" w:themeColor="text1"/>
          <w:sz w:val="28"/>
          <w:szCs w:val="28"/>
          <w:lang w:val="en-US"/>
        </w:rPr>
        <w:t xml:space="preserve"> </w:t>
      </w:r>
      <w:r w:rsidR="002078AC" w:rsidRPr="002078AC">
        <w:rPr>
          <w:rFonts w:ascii="Times New Roman" w:hAnsi="Times New Roman" w:cs="Times New Roman"/>
          <w:color w:val="000000" w:themeColor="text1"/>
          <w:sz w:val="28"/>
          <w:szCs w:val="28"/>
          <w:lang w:val="en-US"/>
        </w:rPr>
        <w:t>Available from:</w:t>
      </w:r>
      <w:r w:rsidR="002078AC">
        <w:rPr>
          <w:rFonts w:ascii="Times New Roman" w:hAnsi="Times New Roman" w:cs="Times New Roman"/>
          <w:color w:val="000000" w:themeColor="text1"/>
          <w:sz w:val="28"/>
          <w:szCs w:val="28"/>
          <w:lang w:val="en-US"/>
        </w:rPr>
        <w:t xml:space="preserve"> </w:t>
      </w:r>
    </w:p>
    <w:p w:rsidR="002078AC" w:rsidRDefault="000A6805" w:rsidP="00272C76">
      <w:pPr>
        <w:tabs>
          <w:tab w:val="left" w:pos="2880"/>
        </w:tabs>
        <w:spacing w:after="0" w:line="360" w:lineRule="auto"/>
        <w:jc w:val="both"/>
        <w:rPr>
          <w:rFonts w:ascii="Times New Roman" w:hAnsi="Times New Roman" w:cs="Times New Roman"/>
          <w:color w:val="000000" w:themeColor="text1"/>
          <w:sz w:val="28"/>
          <w:szCs w:val="28"/>
          <w:lang w:val="en-US"/>
        </w:rPr>
      </w:pPr>
      <w:hyperlink r:id="rId31" w:history="1">
        <w:r w:rsidR="002078AC" w:rsidRPr="002078AC">
          <w:rPr>
            <w:rStyle w:val="a9"/>
            <w:rFonts w:ascii="Times New Roman" w:hAnsi="Times New Roman" w:cs="Times New Roman"/>
            <w:color w:val="auto"/>
            <w:sz w:val="28"/>
            <w:szCs w:val="28"/>
            <w:u w:val="none"/>
            <w:lang w:val="en-US"/>
          </w:rPr>
          <w:t>https://www.ncbi.nlm.nih.gov/pubmed/10403357</w:t>
        </w:r>
      </w:hyperlink>
      <w:r w:rsidR="002078AC">
        <w:rPr>
          <w:rFonts w:ascii="Times New Roman" w:hAnsi="Times New Roman" w:cs="Times New Roman"/>
          <w:color w:val="000000" w:themeColor="text1"/>
          <w:sz w:val="28"/>
          <w:szCs w:val="28"/>
          <w:lang w:val="en-US"/>
        </w:rPr>
        <w:t xml:space="preserve"> </w:t>
      </w:r>
    </w:p>
    <w:p w:rsidR="00527388" w:rsidRDefault="002078AC" w:rsidP="00272C76">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DOI: </w:t>
      </w:r>
      <w:hyperlink r:id="rId32" w:history="1">
        <w:r w:rsidRPr="002078AC">
          <w:rPr>
            <w:rStyle w:val="a9"/>
            <w:rFonts w:ascii="Times New Roman" w:hAnsi="Times New Roman" w:cs="Times New Roman"/>
            <w:color w:val="auto"/>
            <w:sz w:val="28"/>
            <w:szCs w:val="28"/>
            <w:u w:val="none"/>
            <w:lang w:val="en-US"/>
          </w:rPr>
          <w:t>https://doi.org/10.1016/S0002-9343(99)00153-9</w:t>
        </w:r>
      </w:hyperlink>
    </w:p>
    <w:p w:rsidR="004E4944" w:rsidRDefault="000756FE" w:rsidP="00163BE8">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17</w:t>
      </w:r>
      <w:r w:rsidR="002078AC">
        <w:rPr>
          <w:rFonts w:ascii="Times New Roman" w:hAnsi="Times New Roman" w:cs="Times New Roman"/>
          <w:color w:val="000000" w:themeColor="text1"/>
          <w:sz w:val="28"/>
          <w:szCs w:val="28"/>
          <w:lang w:val="en-US"/>
        </w:rPr>
        <w:t>.</w:t>
      </w:r>
      <w:r w:rsidR="00063315">
        <w:rPr>
          <w:rFonts w:ascii="Times New Roman" w:hAnsi="Times New Roman" w:cs="Times New Roman"/>
          <w:color w:val="000000" w:themeColor="text1"/>
          <w:sz w:val="28"/>
          <w:szCs w:val="28"/>
          <w:lang w:val="uk-UA"/>
        </w:rPr>
        <w:t xml:space="preserve"> </w:t>
      </w:r>
      <w:r w:rsidR="00063315" w:rsidRPr="00063315">
        <w:rPr>
          <w:rFonts w:ascii="Times New Roman" w:hAnsi="Times New Roman" w:cs="Times New Roman"/>
          <w:color w:val="000000" w:themeColor="text1"/>
          <w:sz w:val="28"/>
          <w:szCs w:val="28"/>
          <w:lang w:val="uk-UA"/>
        </w:rPr>
        <w:t>Сіренко</w:t>
      </w:r>
      <w:r w:rsidR="00063315">
        <w:rPr>
          <w:rFonts w:ascii="Times New Roman" w:hAnsi="Times New Roman" w:cs="Times New Roman"/>
          <w:color w:val="000000" w:themeColor="text1"/>
          <w:sz w:val="28"/>
          <w:szCs w:val="28"/>
          <w:lang w:val="uk-UA"/>
        </w:rPr>
        <w:t xml:space="preserve"> ЮМ. </w:t>
      </w:r>
      <w:r w:rsidR="00063315" w:rsidRPr="00063315">
        <w:rPr>
          <w:rFonts w:ascii="Times New Roman" w:hAnsi="Times New Roman" w:cs="Times New Roman"/>
          <w:color w:val="000000" w:themeColor="text1"/>
          <w:sz w:val="28"/>
          <w:szCs w:val="28"/>
          <w:lang w:val="uk-UA"/>
        </w:rPr>
        <w:t>Лікування хворих на артеріальну гіпертензію та цукровий діабет 2 типу</w:t>
      </w:r>
      <w:r w:rsidR="00063315">
        <w:rPr>
          <w:rFonts w:ascii="Times New Roman" w:hAnsi="Times New Roman" w:cs="Times New Roman"/>
          <w:color w:val="000000" w:themeColor="text1"/>
          <w:sz w:val="28"/>
          <w:szCs w:val="28"/>
          <w:lang w:val="uk-UA"/>
        </w:rPr>
        <w:t xml:space="preserve">. Практична ангіологія </w:t>
      </w:r>
      <w:r w:rsidR="00063315" w:rsidRPr="00063315">
        <w:rPr>
          <w:rFonts w:ascii="Times New Roman" w:hAnsi="Times New Roman" w:cs="Times New Roman"/>
          <w:color w:val="000000" w:themeColor="text1"/>
          <w:sz w:val="28"/>
          <w:szCs w:val="28"/>
        </w:rPr>
        <w:t>[</w:t>
      </w:r>
      <w:r w:rsidR="00063315">
        <w:rPr>
          <w:rFonts w:ascii="Times New Roman" w:hAnsi="Times New Roman" w:cs="Times New Roman"/>
          <w:color w:val="000000" w:themeColor="text1"/>
          <w:sz w:val="28"/>
          <w:szCs w:val="28"/>
          <w:lang w:val="uk-UA"/>
        </w:rPr>
        <w:t>Інтернет</w:t>
      </w:r>
      <w:r w:rsidR="00063315" w:rsidRPr="00063315">
        <w:rPr>
          <w:rFonts w:ascii="Times New Roman" w:hAnsi="Times New Roman" w:cs="Times New Roman"/>
          <w:color w:val="000000" w:themeColor="text1"/>
          <w:sz w:val="28"/>
          <w:szCs w:val="28"/>
        </w:rPr>
        <w:t>]</w:t>
      </w:r>
      <w:r w:rsidR="00063315">
        <w:rPr>
          <w:rFonts w:ascii="Times New Roman" w:hAnsi="Times New Roman" w:cs="Times New Roman"/>
          <w:color w:val="000000" w:themeColor="text1"/>
          <w:sz w:val="28"/>
          <w:szCs w:val="28"/>
          <w:lang w:val="uk-UA"/>
        </w:rPr>
        <w:t>. 2006</w:t>
      </w:r>
      <w:r w:rsidR="00063315" w:rsidRPr="00063315">
        <w:rPr>
          <w:rFonts w:ascii="Times New Roman" w:hAnsi="Times New Roman" w:cs="Times New Roman"/>
          <w:color w:val="000000" w:themeColor="text1"/>
          <w:sz w:val="28"/>
          <w:szCs w:val="28"/>
        </w:rPr>
        <w:t xml:space="preserve">;1(2): Доступно на: </w:t>
      </w:r>
      <w:r w:rsidR="00063315" w:rsidRPr="00063315">
        <w:rPr>
          <w:rFonts w:ascii="Times New Roman" w:hAnsi="Times New Roman" w:cs="Times New Roman"/>
          <w:color w:val="000000" w:themeColor="text1"/>
          <w:sz w:val="28"/>
          <w:szCs w:val="28"/>
          <w:lang w:val="en-US"/>
        </w:rPr>
        <w:t>https</w:t>
      </w:r>
      <w:r w:rsidR="00063315" w:rsidRPr="00063315">
        <w:rPr>
          <w:rFonts w:ascii="Times New Roman" w:hAnsi="Times New Roman" w:cs="Times New Roman"/>
          <w:color w:val="000000" w:themeColor="text1"/>
          <w:sz w:val="28"/>
          <w:szCs w:val="28"/>
        </w:rPr>
        <w:t>://</w:t>
      </w:r>
      <w:r w:rsidR="00063315" w:rsidRPr="00063315">
        <w:rPr>
          <w:rFonts w:ascii="Times New Roman" w:hAnsi="Times New Roman" w:cs="Times New Roman"/>
          <w:color w:val="000000" w:themeColor="text1"/>
          <w:sz w:val="28"/>
          <w:szCs w:val="28"/>
          <w:lang w:val="en-US"/>
        </w:rPr>
        <w:t>angiology</w:t>
      </w:r>
      <w:r w:rsidR="00063315" w:rsidRPr="00063315">
        <w:rPr>
          <w:rFonts w:ascii="Times New Roman" w:hAnsi="Times New Roman" w:cs="Times New Roman"/>
          <w:color w:val="000000" w:themeColor="text1"/>
          <w:sz w:val="28"/>
          <w:szCs w:val="28"/>
        </w:rPr>
        <w:t>.</w:t>
      </w:r>
      <w:r w:rsidR="00063315" w:rsidRPr="00063315">
        <w:rPr>
          <w:rFonts w:ascii="Times New Roman" w:hAnsi="Times New Roman" w:cs="Times New Roman"/>
          <w:color w:val="000000" w:themeColor="text1"/>
          <w:sz w:val="28"/>
          <w:szCs w:val="28"/>
          <w:lang w:val="en-US"/>
        </w:rPr>
        <w:t>com</w:t>
      </w:r>
      <w:r w:rsidR="00063315" w:rsidRPr="00063315">
        <w:rPr>
          <w:rFonts w:ascii="Times New Roman" w:hAnsi="Times New Roman" w:cs="Times New Roman"/>
          <w:color w:val="000000" w:themeColor="text1"/>
          <w:sz w:val="28"/>
          <w:szCs w:val="28"/>
        </w:rPr>
        <w:t>.</w:t>
      </w:r>
      <w:r w:rsidR="00063315" w:rsidRPr="00063315">
        <w:rPr>
          <w:rFonts w:ascii="Times New Roman" w:hAnsi="Times New Roman" w:cs="Times New Roman"/>
          <w:color w:val="000000" w:themeColor="text1"/>
          <w:sz w:val="28"/>
          <w:szCs w:val="28"/>
          <w:lang w:val="en-US"/>
        </w:rPr>
        <w:t>ua</w:t>
      </w:r>
      <w:r w:rsidR="00063315" w:rsidRPr="00063315">
        <w:rPr>
          <w:rFonts w:ascii="Times New Roman" w:hAnsi="Times New Roman" w:cs="Times New Roman"/>
          <w:color w:val="000000" w:themeColor="text1"/>
          <w:sz w:val="28"/>
          <w:szCs w:val="28"/>
        </w:rPr>
        <w:t>/</w:t>
      </w:r>
      <w:r w:rsidR="00063315" w:rsidRPr="00063315">
        <w:rPr>
          <w:rFonts w:ascii="Times New Roman" w:hAnsi="Times New Roman" w:cs="Times New Roman"/>
          <w:color w:val="000000" w:themeColor="text1"/>
          <w:sz w:val="28"/>
          <w:szCs w:val="28"/>
          <w:lang w:val="en-US"/>
        </w:rPr>
        <w:t>ua</w:t>
      </w:r>
      <w:r w:rsidR="00063315" w:rsidRPr="00063315">
        <w:rPr>
          <w:rFonts w:ascii="Times New Roman" w:hAnsi="Times New Roman" w:cs="Times New Roman"/>
          <w:color w:val="000000" w:themeColor="text1"/>
          <w:sz w:val="28"/>
          <w:szCs w:val="28"/>
        </w:rPr>
        <w:t>-</w:t>
      </w:r>
      <w:r w:rsidR="00063315" w:rsidRPr="00063315">
        <w:rPr>
          <w:rFonts w:ascii="Times New Roman" w:hAnsi="Times New Roman" w:cs="Times New Roman"/>
          <w:color w:val="000000" w:themeColor="text1"/>
          <w:sz w:val="28"/>
          <w:szCs w:val="28"/>
          <w:lang w:val="en-US"/>
        </w:rPr>
        <w:t>issue</w:t>
      </w:r>
      <w:r w:rsidR="00063315" w:rsidRPr="00063315">
        <w:rPr>
          <w:rFonts w:ascii="Times New Roman" w:hAnsi="Times New Roman" w:cs="Times New Roman"/>
          <w:color w:val="000000" w:themeColor="text1"/>
          <w:sz w:val="28"/>
          <w:szCs w:val="28"/>
        </w:rPr>
        <w:t>-</w:t>
      </w:r>
      <w:r w:rsidR="00063315" w:rsidRPr="00063315">
        <w:rPr>
          <w:rFonts w:ascii="Times New Roman" w:hAnsi="Times New Roman" w:cs="Times New Roman"/>
          <w:color w:val="000000" w:themeColor="text1"/>
          <w:sz w:val="28"/>
          <w:szCs w:val="28"/>
          <w:lang w:val="en-US"/>
        </w:rPr>
        <w:t>article</w:t>
      </w:r>
      <w:r w:rsidR="00063315" w:rsidRPr="00063315">
        <w:rPr>
          <w:rFonts w:ascii="Times New Roman" w:hAnsi="Times New Roman" w:cs="Times New Roman"/>
          <w:color w:val="000000" w:themeColor="text1"/>
          <w:sz w:val="28"/>
          <w:szCs w:val="28"/>
        </w:rPr>
        <w:t>-24</w:t>
      </w:r>
    </w:p>
    <w:p w:rsidR="000756FE" w:rsidRDefault="0068244A" w:rsidP="002575B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18</w:t>
      </w:r>
      <w:r w:rsidR="0061165F">
        <w:rPr>
          <w:rFonts w:ascii="Times New Roman" w:hAnsi="Times New Roman" w:cs="Times New Roman"/>
          <w:color w:val="000000" w:themeColor="text1"/>
          <w:sz w:val="28"/>
          <w:szCs w:val="28"/>
          <w:lang w:val="uk-UA"/>
        </w:rPr>
        <w:t xml:space="preserve">. </w:t>
      </w:r>
      <w:r w:rsidR="0061165F" w:rsidRPr="0061165F">
        <w:rPr>
          <w:rFonts w:ascii="Times New Roman" w:hAnsi="Times New Roman" w:cs="Times New Roman"/>
          <w:color w:val="000000" w:themeColor="text1"/>
          <w:sz w:val="28"/>
          <w:szCs w:val="28"/>
          <w:lang w:val="uk-UA"/>
        </w:rPr>
        <w:t>Жердьова НМ.  Індивідуальний підхід до лікування хворих на цукровий діабет 2-го типу. Український медичний часопис. 2013;6(98):53−4.</w:t>
      </w:r>
    </w:p>
    <w:p w:rsidR="00577F28" w:rsidRDefault="00AB3943" w:rsidP="00577F28">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577F28" w:rsidRPr="00577F28">
        <w:rPr>
          <w:rFonts w:ascii="Times New Roman" w:hAnsi="Times New Roman" w:cs="Times New Roman"/>
          <w:sz w:val="28"/>
          <w:szCs w:val="28"/>
          <w:lang w:val="uk-UA"/>
        </w:rPr>
        <w:t xml:space="preserve">. Ілляш </w:t>
      </w:r>
      <w:r w:rsidR="00577F28" w:rsidRPr="00D179D9">
        <w:rPr>
          <w:rFonts w:ascii="Times New Roman" w:hAnsi="Times New Roman" w:cs="Times New Roman"/>
          <w:sz w:val="28"/>
          <w:szCs w:val="28"/>
          <w:lang w:val="en-US"/>
        </w:rPr>
        <w:t>M</w:t>
      </w:r>
      <w:r w:rsidR="00577F28" w:rsidRPr="00577F28">
        <w:rPr>
          <w:rFonts w:ascii="Times New Roman" w:hAnsi="Times New Roman" w:cs="Times New Roman"/>
          <w:sz w:val="28"/>
          <w:szCs w:val="28"/>
          <w:lang w:val="uk-UA"/>
        </w:rPr>
        <w:t>Г, Базика</w:t>
      </w:r>
      <w:r w:rsidR="00577F28">
        <w:rPr>
          <w:rFonts w:ascii="Times New Roman" w:hAnsi="Times New Roman" w:cs="Times New Roman"/>
          <w:sz w:val="28"/>
          <w:szCs w:val="28"/>
          <w:lang w:val="uk-UA"/>
        </w:rPr>
        <w:t xml:space="preserve"> </w:t>
      </w:r>
      <w:r w:rsidR="00577F28" w:rsidRPr="00577F28">
        <w:rPr>
          <w:rFonts w:ascii="Times New Roman" w:hAnsi="Times New Roman" w:cs="Times New Roman"/>
          <w:sz w:val="28"/>
          <w:szCs w:val="28"/>
          <w:lang w:val="uk-UA"/>
        </w:rPr>
        <w:t xml:space="preserve">ОЄ, Довганич НВ, Яринкіна ОА, Старшова ОС. Артеріальна гіпертензія та цукровий діабет: сучасні аспекти лікування. </w:t>
      </w:r>
      <w:r w:rsidR="00577F28">
        <w:rPr>
          <w:rFonts w:ascii="Times New Roman" w:hAnsi="Times New Roman" w:cs="Times New Roman"/>
          <w:sz w:val="28"/>
          <w:szCs w:val="28"/>
        </w:rPr>
        <w:t>Практикуючий</w:t>
      </w:r>
      <w:r w:rsidR="00577F28" w:rsidRPr="0083391B">
        <w:rPr>
          <w:rFonts w:ascii="Times New Roman" w:hAnsi="Times New Roman" w:cs="Times New Roman"/>
          <w:sz w:val="28"/>
          <w:szCs w:val="28"/>
        </w:rPr>
        <w:t xml:space="preserve"> </w:t>
      </w:r>
      <w:r w:rsidR="00577F28">
        <w:rPr>
          <w:rFonts w:ascii="Times New Roman" w:hAnsi="Times New Roman" w:cs="Times New Roman"/>
          <w:sz w:val="28"/>
          <w:szCs w:val="28"/>
        </w:rPr>
        <w:t>лікар</w:t>
      </w:r>
      <w:r w:rsidR="00577F28" w:rsidRPr="0083391B">
        <w:rPr>
          <w:rFonts w:ascii="Times New Roman" w:hAnsi="Times New Roman" w:cs="Times New Roman"/>
          <w:sz w:val="28"/>
          <w:szCs w:val="28"/>
        </w:rPr>
        <w:t xml:space="preserve"> [</w:t>
      </w:r>
      <w:r w:rsidR="00577F28">
        <w:rPr>
          <w:rFonts w:ascii="Times New Roman" w:hAnsi="Times New Roman" w:cs="Times New Roman"/>
          <w:sz w:val="28"/>
          <w:szCs w:val="28"/>
          <w:lang w:val="en-US"/>
        </w:rPr>
        <w:t>I</w:t>
      </w:r>
      <w:r w:rsidR="00577F28">
        <w:rPr>
          <w:rFonts w:ascii="Times New Roman" w:hAnsi="Times New Roman" w:cs="Times New Roman"/>
          <w:sz w:val="28"/>
          <w:szCs w:val="28"/>
          <w:lang w:val="uk-UA"/>
        </w:rPr>
        <w:t>нтернет</w:t>
      </w:r>
      <w:r w:rsidR="00577F28" w:rsidRPr="0083391B">
        <w:rPr>
          <w:rFonts w:ascii="Times New Roman" w:hAnsi="Times New Roman" w:cs="Times New Roman"/>
          <w:sz w:val="28"/>
          <w:szCs w:val="28"/>
        </w:rPr>
        <w:t>]</w:t>
      </w:r>
      <w:r w:rsidR="00577F28">
        <w:rPr>
          <w:rFonts w:ascii="Times New Roman" w:hAnsi="Times New Roman" w:cs="Times New Roman"/>
          <w:sz w:val="28"/>
          <w:szCs w:val="28"/>
          <w:lang w:val="uk-UA"/>
        </w:rPr>
        <w:t>.</w:t>
      </w:r>
      <w:r w:rsidR="00577F28" w:rsidRPr="0083391B">
        <w:rPr>
          <w:rFonts w:ascii="Times New Roman" w:hAnsi="Times New Roman" w:cs="Times New Roman"/>
          <w:sz w:val="28"/>
          <w:szCs w:val="28"/>
        </w:rPr>
        <w:t xml:space="preserve"> 2016;5(2):5-9.</w:t>
      </w:r>
      <w:r w:rsidR="00577F28">
        <w:rPr>
          <w:rFonts w:ascii="Times New Roman" w:hAnsi="Times New Roman" w:cs="Times New Roman"/>
          <w:sz w:val="28"/>
          <w:szCs w:val="28"/>
          <w:lang w:val="uk-UA"/>
        </w:rPr>
        <w:t xml:space="preserve"> </w:t>
      </w:r>
      <w:r w:rsidR="00577F28" w:rsidRPr="008E1245">
        <w:rPr>
          <w:rFonts w:ascii="Times New Roman" w:hAnsi="Times New Roman" w:cs="Times New Roman"/>
          <w:sz w:val="28"/>
          <w:szCs w:val="28"/>
          <w:lang w:val="uk-UA"/>
        </w:rPr>
        <w:t>Доступно на:</w:t>
      </w:r>
    </w:p>
    <w:p w:rsidR="00577F28" w:rsidRDefault="00577F28" w:rsidP="00577F28">
      <w:pPr>
        <w:tabs>
          <w:tab w:val="left" w:pos="2880"/>
        </w:tabs>
        <w:spacing w:after="0" w:line="360" w:lineRule="auto"/>
        <w:jc w:val="both"/>
        <w:rPr>
          <w:rFonts w:ascii="Times New Roman" w:hAnsi="Times New Roman" w:cs="Times New Roman"/>
          <w:sz w:val="28"/>
          <w:szCs w:val="28"/>
          <w:lang w:val="uk-UA"/>
        </w:rPr>
      </w:pPr>
      <w:r w:rsidRPr="008E1245">
        <w:rPr>
          <w:rFonts w:ascii="Times New Roman" w:hAnsi="Times New Roman" w:cs="Times New Roman"/>
          <w:sz w:val="28"/>
          <w:szCs w:val="28"/>
          <w:lang w:val="uk-UA"/>
        </w:rPr>
        <w:t>PraktLik_2016_5_2_3.pdf</w:t>
      </w:r>
    </w:p>
    <w:p w:rsidR="002575B2" w:rsidRPr="002575B2" w:rsidRDefault="00730F4E" w:rsidP="002575B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AB3943">
        <w:rPr>
          <w:rFonts w:ascii="Times New Roman" w:hAnsi="Times New Roman" w:cs="Times New Roman"/>
          <w:color w:val="000000" w:themeColor="text1"/>
          <w:sz w:val="28"/>
          <w:szCs w:val="28"/>
          <w:lang w:val="uk-UA"/>
        </w:rPr>
        <w:t>0</w:t>
      </w:r>
      <w:r w:rsidR="00A84D61">
        <w:rPr>
          <w:rFonts w:ascii="Times New Roman" w:hAnsi="Times New Roman" w:cs="Times New Roman"/>
          <w:color w:val="000000" w:themeColor="text1"/>
          <w:sz w:val="28"/>
          <w:szCs w:val="28"/>
          <w:lang w:val="uk-UA"/>
        </w:rPr>
        <w:t xml:space="preserve">. </w:t>
      </w:r>
      <w:r w:rsidR="002575B2">
        <w:rPr>
          <w:rFonts w:ascii="Times New Roman" w:hAnsi="Times New Roman" w:cs="Times New Roman"/>
          <w:color w:val="000000" w:themeColor="text1"/>
          <w:sz w:val="28"/>
          <w:szCs w:val="28"/>
          <w:lang w:val="uk-UA"/>
        </w:rPr>
        <w:t xml:space="preserve">Пивоваров ОВ. </w:t>
      </w:r>
      <w:r w:rsidR="002575B2" w:rsidRPr="002575B2">
        <w:rPr>
          <w:rFonts w:ascii="Times New Roman" w:hAnsi="Times New Roman" w:cs="Times New Roman"/>
          <w:color w:val="000000" w:themeColor="text1"/>
          <w:sz w:val="28"/>
          <w:szCs w:val="28"/>
          <w:lang w:val="uk-UA"/>
        </w:rPr>
        <w:t>Місце інсуліноподібного фактора росту-1 серед критеріїв</w:t>
      </w:r>
    </w:p>
    <w:p w:rsidR="002575B2" w:rsidRDefault="002575B2" w:rsidP="002575B2">
      <w:pPr>
        <w:tabs>
          <w:tab w:val="left" w:pos="2880"/>
        </w:tabs>
        <w:spacing w:after="0" w:line="360" w:lineRule="auto"/>
        <w:jc w:val="both"/>
        <w:rPr>
          <w:rFonts w:ascii="Times New Roman" w:hAnsi="Times New Roman" w:cs="Times New Roman"/>
          <w:color w:val="000000" w:themeColor="text1"/>
          <w:sz w:val="28"/>
          <w:szCs w:val="28"/>
          <w:lang w:val="uk-UA"/>
        </w:rPr>
      </w:pPr>
      <w:r w:rsidRPr="002575B2">
        <w:rPr>
          <w:rFonts w:ascii="Times New Roman" w:hAnsi="Times New Roman" w:cs="Times New Roman"/>
          <w:color w:val="000000" w:themeColor="text1"/>
          <w:sz w:val="28"/>
          <w:szCs w:val="28"/>
          <w:lang w:val="uk-UA"/>
        </w:rPr>
        <w:t>прогнозування розви</w:t>
      </w:r>
      <w:r>
        <w:rPr>
          <w:rFonts w:ascii="Times New Roman" w:hAnsi="Times New Roman" w:cs="Times New Roman"/>
          <w:color w:val="000000" w:themeColor="text1"/>
          <w:sz w:val="28"/>
          <w:szCs w:val="28"/>
          <w:lang w:val="uk-UA"/>
        </w:rPr>
        <w:t xml:space="preserve">тку цукрового діабету 2-го типу </w:t>
      </w:r>
      <w:r w:rsidRPr="002575B2">
        <w:rPr>
          <w:rFonts w:ascii="Times New Roman" w:hAnsi="Times New Roman" w:cs="Times New Roman"/>
          <w:color w:val="000000" w:themeColor="text1"/>
          <w:sz w:val="28"/>
          <w:szCs w:val="28"/>
          <w:lang w:val="uk-UA"/>
        </w:rPr>
        <w:t>у хворих на артеріальну гіпертензію</w:t>
      </w:r>
      <w:r>
        <w:rPr>
          <w:rFonts w:ascii="Times New Roman" w:hAnsi="Times New Roman" w:cs="Times New Roman"/>
          <w:color w:val="000000" w:themeColor="text1"/>
          <w:sz w:val="28"/>
          <w:szCs w:val="28"/>
          <w:lang w:val="uk-UA"/>
        </w:rPr>
        <w:t xml:space="preserve">. Ліки України </w:t>
      </w:r>
      <w:r w:rsidRPr="002575B2">
        <w:rPr>
          <w:rFonts w:ascii="Times New Roman" w:hAnsi="Times New Roman" w:cs="Times New Roman"/>
          <w:color w:val="000000" w:themeColor="text1"/>
          <w:sz w:val="28"/>
          <w:szCs w:val="28"/>
          <w:lang w:val="uk-UA"/>
        </w:rPr>
        <w:t>[Інтернет].</w:t>
      </w:r>
      <w:r>
        <w:rPr>
          <w:rFonts w:ascii="Times New Roman" w:hAnsi="Times New Roman" w:cs="Times New Roman"/>
          <w:color w:val="000000" w:themeColor="text1"/>
          <w:sz w:val="28"/>
          <w:szCs w:val="28"/>
          <w:lang w:val="uk-UA"/>
        </w:rPr>
        <w:t xml:space="preserve"> 2016</w:t>
      </w:r>
      <w:r w:rsidRPr="002575B2">
        <w:rPr>
          <w:rFonts w:ascii="Times New Roman" w:hAnsi="Times New Roman" w:cs="Times New Roman"/>
          <w:color w:val="000000" w:themeColor="text1"/>
          <w:sz w:val="28"/>
          <w:szCs w:val="28"/>
          <w:lang w:val="uk-UA"/>
        </w:rPr>
        <w:t xml:space="preserve">;2(27):41-4. </w:t>
      </w:r>
      <w:r>
        <w:rPr>
          <w:rFonts w:ascii="Times New Roman" w:hAnsi="Times New Roman" w:cs="Times New Roman"/>
          <w:color w:val="000000" w:themeColor="text1"/>
          <w:sz w:val="28"/>
          <w:szCs w:val="28"/>
          <w:lang w:val="uk-UA"/>
        </w:rPr>
        <w:t xml:space="preserve">Доступно на: </w:t>
      </w:r>
    </w:p>
    <w:p w:rsidR="00A84D61" w:rsidRPr="002575B2" w:rsidRDefault="000A6805" w:rsidP="002575B2">
      <w:pPr>
        <w:tabs>
          <w:tab w:val="left" w:pos="2880"/>
        </w:tabs>
        <w:spacing w:after="0" w:line="360" w:lineRule="auto"/>
        <w:jc w:val="both"/>
        <w:rPr>
          <w:rFonts w:ascii="Times New Roman" w:hAnsi="Times New Roman" w:cs="Times New Roman"/>
          <w:sz w:val="28"/>
          <w:szCs w:val="28"/>
          <w:lang w:val="uk-UA"/>
        </w:rPr>
      </w:pPr>
      <w:hyperlink r:id="rId33" w:history="1">
        <w:r w:rsidR="002575B2" w:rsidRPr="002575B2">
          <w:rPr>
            <w:rStyle w:val="a9"/>
            <w:rFonts w:ascii="Times New Roman" w:hAnsi="Times New Roman" w:cs="Times New Roman"/>
            <w:color w:val="auto"/>
            <w:sz w:val="28"/>
            <w:szCs w:val="28"/>
            <w:u w:val="none"/>
            <w:lang w:val="uk-UA"/>
          </w:rPr>
          <w:t>http://www.health-medix.com/articles/liki_ukr_plus/2016-05-05/6.pdf</w:t>
        </w:r>
      </w:hyperlink>
    </w:p>
    <w:p w:rsidR="002575B2" w:rsidRDefault="00730F4E" w:rsidP="002575B2">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2</w:t>
      </w:r>
      <w:r w:rsidR="00AB3943">
        <w:rPr>
          <w:rFonts w:ascii="Times New Roman" w:hAnsi="Times New Roman" w:cs="Times New Roman"/>
          <w:color w:val="000000" w:themeColor="text1"/>
          <w:sz w:val="28"/>
          <w:szCs w:val="28"/>
          <w:lang w:val="uk-UA"/>
        </w:rPr>
        <w:t>1</w:t>
      </w:r>
      <w:r w:rsidR="002575B2">
        <w:rPr>
          <w:rFonts w:ascii="Times New Roman" w:hAnsi="Times New Roman" w:cs="Times New Roman"/>
          <w:color w:val="000000" w:themeColor="text1"/>
          <w:sz w:val="28"/>
          <w:szCs w:val="28"/>
          <w:lang w:val="uk-UA"/>
        </w:rPr>
        <w:t xml:space="preserve">. </w:t>
      </w:r>
      <w:r w:rsidR="008C155B" w:rsidRPr="008C155B">
        <w:rPr>
          <w:rFonts w:ascii="Times New Roman" w:hAnsi="Times New Roman" w:cs="Times New Roman"/>
          <w:color w:val="000000" w:themeColor="text1"/>
          <w:sz w:val="28"/>
          <w:szCs w:val="28"/>
          <w:lang w:val="uk-UA"/>
        </w:rPr>
        <w:t>Schofield</w:t>
      </w:r>
      <w:r w:rsidR="008C155B">
        <w:rPr>
          <w:rFonts w:ascii="Times New Roman" w:hAnsi="Times New Roman" w:cs="Times New Roman"/>
          <w:color w:val="000000" w:themeColor="text1"/>
          <w:sz w:val="28"/>
          <w:szCs w:val="28"/>
          <w:lang w:val="uk-UA"/>
        </w:rPr>
        <w:t xml:space="preserve"> </w:t>
      </w:r>
      <w:r w:rsidR="008C155B">
        <w:rPr>
          <w:rFonts w:ascii="Times New Roman" w:hAnsi="Times New Roman" w:cs="Times New Roman"/>
          <w:color w:val="000000" w:themeColor="text1"/>
          <w:sz w:val="28"/>
          <w:szCs w:val="28"/>
          <w:lang w:val="en-US"/>
        </w:rPr>
        <w:t>JD</w:t>
      </w:r>
      <w:r w:rsidR="008C155B" w:rsidRPr="008C155B">
        <w:rPr>
          <w:rFonts w:ascii="Times New Roman" w:hAnsi="Times New Roman" w:cs="Times New Roman"/>
          <w:color w:val="000000" w:themeColor="text1"/>
          <w:sz w:val="28"/>
          <w:szCs w:val="28"/>
          <w:lang w:val="uk-UA"/>
        </w:rPr>
        <w:t>,</w:t>
      </w:r>
      <w:r w:rsidR="008C155B">
        <w:rPr>
          <w:rFonts w:ascii="Times New Roman" w:hAnsi="Times New Roman" w:cs="Times New Roman"/>
          <w:color w:val="000000" w:themeColor="text1"/>
          <w:sz w:val="28"/>
          <w:szCs w:val="28"/>
          <w:lang w:val="en-US"/>
        </w:rPr>
        <w:t xml:space="preserve"> </w:t>
      </w:r>
      <w:r w:rsidR="008C155B" w:rsidRPr="008C155B">
        <w:rPr>
          <w:rFonts w:ascii="Times New Roman" w:hAnsi="Times New Roman" w:cs="Times New Roman"/>
          <w:color w:val="000000" w:themeColor="text1"/>
          <w:sz w:val="28"/>
          <w:szCs w:val="28"/>
          <w:lang w:val="uk-UA"/>
        </w:rPr>
        <w:t>Liu</w:t>
      </w:r>
      <w:r w:rsidR="008C155B">
        <w:rPr>
          <w:rFonts w:ascii="Times New Roman" w:hAnsi="Times New Roman" w:cs="Times New Roman"/>
          <w:color w:val="000000" w:themeColor="text1"/>
          <w:sz w:val="28"/>
          <w:szCs w:val="28"/>
          <w:lang w:val="en-US"/>
        </w:rPr>
        <w:t xml:space="preserve"> Y</w:t>
      </w:r>
      <w:r w:rsidR="005D047A">
        <w:rPr>
          <w:rFonts w:ascii="Times New Roman" w:hAnsi="Times New Roman" w:cs="Times New Roman"/>
          <w:color w:val="000000" w:themeColor="text1"/>
          <w:sz w:val="28"/>
          <w:szCs w:val="28"/>
          <w:lang w:val="uk-UA"/>
        </w:rPr>
        <w:t xml:space="preserve">, </w:t>
      </w:r>
      <w:r w:rsidR="008C155B" w:rsidRPr="008C155B">
        <w:rPr>
          <w:rFonts w:ascii="Times New Roman" w:hAnsi="Times New Roman" w:cs="Times New Roman"/>
          <w:color w:val="000000" w:themeColor="text1"/>
          <w:sz w:val="28"/>
          <w:szCs w:val="28"/>
          <w:lang w:val="uk-UA"/>
        </w:rPr>
        <w:t>Rao-Balakrishna</w:t>
      </w:r>
      <w:r w:rsidR="005D047A">
        <w:rPr>
          <w:rFonts w:ascii="Times New Roman" w:hAnsi="Times New Roman" w:cs="Times New Roman"/>
          <w:color w:val="000000" w:themeColor="text1"/>
          <w:sz w:val="28"/>
          <w:szCs w:val="28"/>
          <w:lang w:val="en-US"/>
        </w:rPr>
        <w:t xml:space="preserve"> P</w:t>
      </w:r>
      <w:r w:rsidR="005D047A">
        <w:rPr>
          <w:rFonts w:ascii="Times New Roman" w:hAnsi="Times New Roman" w:cs="Times New Roman"/>
          <w:color w:val="000000" w:themeColor="text1"/>
          <w:sz w:val="28"/>
          <w:szCs w:val="28"/>
          <w:lang w:val="uk-UA"/>
        </w:rPr>
        <w:t xml:space="preserve">, </w:t>
      </w:r>
      <w:r w:rsidR="008C155B" w:rsidRPr="008C155B">
        <w:rPr>
          <w:rFonts w:ascii="Times New Roman" w:hAnsi="Times New Roman" w:cs="Times New Roman"/>
          <w:color w:val="000000" w:themeColor="text1"/>
          <w:sz w:val="28"/>
          <w:szCs w:val="28"/>
          <w:lang w:val="uk-UA"/>
        </w:rPr>
        <w:t>Malik</w:t>
      </w:r>
      <w:r w:rsidR="005D047A">
        <w:rPr>
          <w:rFonts w:ascii="Times New Roman" w:hAnsi="Times New Roman" w:cs="Times New Roman"/>
          <w:color w:val="000000" w:themeColor="text1"/>
          <w:sz w:val="28"/>
          <w:szCs w:val="28"/>
          <w:lang w:val="en-US"/>
        </w:rPr>
        <w:t xml:space="preserve"> RA</w:t>
      </w:r>
      <w:r w:rsidR="005D047A">
        <w:rPr>
          <w:rFonts w:ascii="Times New Roman" w:hAnsi="Times New Roman" w:cs="Times New Roman"/>
          <w:color w:val="000000" w:themeColor="text1"/>
          <w:sz w:val="28"/>
          <w:szCs w:val="28"/>
          <w:lang w:val="uk-UA"/>
        </w:rPr>
        <w:t xml:space="preserve">, </w:t>
      </w:r>
      <w:r w:rsidR="008C155B" w:rsidRPr="008C155B">
        <w:rPr>
          <w:rFonts w:ascii="Times New Roman" w:hAnsi="Times New Roman" w:cs="Times New Roman"/>
          <w:color w:val="000000" w:themeColor="text1"/>
          <w:sz w:val="28"/>
          <w:szCs w:val="28"/>
          <w:lang w:val="uk-UA"/>
        </w:rPr>
        <w:t>Soran</w:t>
      </w:r>
      <w:r w:rsidR="005D047A">
        <w:rPr>
          <w:rFonts w:ascii="Times New Roman" w:hAnsi="Times New Roman" w:cs="Times New Roman"/>
          <w:color w:val="000000" w:themeColor="text1"/>
          <w:sz w:val="28"/>
          <w:szCs w:val="28"/>
          <w:lang w:val="en-US"/>
        </w:rPr>
        <w:t xml:space="preserve"> H. </w:t>
      </w:r>
      <w:r w:rsidR="005D047A" w:rsidRPr="005D047A">
        <w:rPr>
          <w:rFonts w:ascii="Times New Roman" w:hAnsi="Times New Roman" w:cs="Times New Roman"/>
          <w:color w:val="000000" w:themeColor="text1"/>
          <w:sz w:val="28"/>
          <w:szCs w:val="28"/>
          <w:lang w:val="en-US"/>
        </w:rPr>
        <w:t>Diabetes Dyslipidemia</w:t>
      </w:r>
      <w:r w:rsidR="005D047A">
        <w:rPr>
          <w:rFonts w:ascii="Times New Roman" w:hAnsi="Times New Roman" w:cs="Times New Roman"/>
          <w:color w:val="000000" w:themeColor="text1"/>
          <w:sz w:val="28"/>
          <w:szCs w:val="28"/>
          <w:lang w:val="en-US"/>
        </w:rPr>
        <w:t xml:space="preserve">. </w:t>
      </w:r>
      <w:r w:rsidR="005D047A" w:rsidRPr="005D047A">
        <w:rPr>
          <w:rFonts w:ascii="Times New Roman" w:hAnsi="Times New Roman" w:cs="Times New Roman"/>
          <w:color w:val="000000" w:themeColor="text1"/>
          <w:sz w:val="28"/>
          <w:szCs w:val="28"/>
          <w:lang w:val="en-US"/>
        </w:rPr>
        <w:t>Diabetes Ther</w:t>
      </w:r>
      <w:r w:rsidR="005D047A">
        <w:rPr>
          <w:rFonts w:ascii="Times New Roman" w:hAnsi="Times New Roman" w:cs="Times New Roman"/>
          <w:color w:val="000000" w:themeColor="text1"/>
          <w:sz w:val="28"/>
          <w:szCs w:val="28"/>
          <w:lang w:val="en-US"/>
        </w:rPr>
        <w:t xml:space="preserve"> </w:t>
      </w:r>
      <w:r w:rsidR="005D047A" w:rsidRPr="005D047A">
        <w:rPr>
          <w:rFonts w:ascii="Times New Roman" w:hAnsi="Times New Roman" w:cs="Times New Roman"/>
          <w:color w:val="000000" w:themeColor="text1"/>
          <w:sz w:val="28"/>
          <w:szCs w:val="28"/>
          <w:lang w:val="en-US"/>
        </w:rPr>
        <w:t>[Internet].</w:t>
      </w:r>
      <w:r w:rsidR="005D047A">
        <w:rPr>
          <w:rFonts w:ascii="Times New Roman" w:hAnsi="Times New Roman" w:cs="Times New Roman"/>
          <w:color w:val="000000" w:themeColor="text1"/>
          <w:sz w:val="28"/>
          <w:szCs w:val="28"/>
          <w:lang w:val="en-US"/>
        </w:rPr>
        <w:t xml:space="preserve"> 2016 Jun;7(2):203-</w:t>
      </w:r>
      <w:r w:rsidR="005D047A" w:rsidRPr="005D047A">
        <w:rPr>
          <w:rFonts w:ascii="Times New Roman" w:hAnsi="Times New Roman" w:cs="Times New Roman"/>
          <w:color w:val="000000" w:themeColor="text1"/>
          <w:sz w:val="28"/>
          <w:szCs w:val="28"/>
          <w:lang w:val="en-US"/>
        </w:rPr>
        <w:t>19.</w:t>
      </w:r>
      <w:r w:rsidR="005D047A">
        <w:rPr>
          <w:rFonts w:ascii="Times New Roman" w:hAnsi="Times New Roman" w:cs="Times New Roman"/>
          <w:color w:val="000000" w:themeColor="text1"/>
          <w:sz w:val="28"/>
          <w:szCs w:val="28"/>
          <w:lang w:val="en-US"/>
        </w:rPr>
        <w:t xml:space="preserve"> </w:t>
      </w:r>
      <w:r w:rsidR="005D047A" w:rsidRPr="005D047A">
        <w:rPr>
          <w:rFonts w:ascii="Times New Roman" w:hAnsi="Times New Roman" w:cs="Times New Roman"/>
          <w:color w:val="000000" w:themeColor="text1"/>
          <w:sz w:val="28"/>
          <w:szCs w:val="28"/>
          <w:lang w:val="en-US"/>
        </w:rPr>
        <w:t>Available from:</w:t>
      </w:r>
      <w:r w:rsidR="005D047A">
        <w:rPr>
          <w:rFonts w:ascii="Times New Roman" w:hAnsi="Times New Roman" w:cs="Times New Roman"/>
          <w:color w:val="000000" w:themeColor="text1"/>
          <w:sz w:val="28"/>
          <w:szCs w:val="28"/>
          <w:lang w:val="en-US"/>
        </w:rPr>
        <w:t xml:space="preserve"> </w:t>
      </w:r>
      <w:hyperlink r:id="rId34" w:history="1">
        <w:r w:rsidR="005D047A" w:rsidRPr="005D047A">
          <w:rPr>
            <w:rStyle w:val="a9"/>
            <w:rFonts w:ascii="Times New Roman" w:hAnsi="Times New Roman" w:cs="Times New Roman"/>
            <w:color w:val="auto"/>
            <w:sz w:val="28"/>
            <w:szCs w:val="28"/>
            <w:u w:val="none"/>
            <w:lang w:val="en-US"/>
          </w:rPr>
          <w:t>https://www.ncbi.nlm.nih.gov/pmc/articles/PMC4900977/</w:t>
        </w:r>
      </w:hyperlink>
    </w:p>
    <w:p w:rsidR="005D047A" w:rsidRDefault="005D047A" w:rsidP="002575B2">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DOI: </w:t>
      </w:r>
      <w:r w:rsidRPr="005D047A">
        <w:rPr>
          <w:rFonts w:ascii="Times New Roman" w:hAnsi="Times New Roman" w:cs="Times New Roman"/>
          <w:color w:val="000000" w:themeColor="text1"/>
          <w:sz w:val="28"/>
          <w:szCs w:val="28"/>
          <w:lang w:val="en-US"/>
        </w:rPr>
        <w:t>10.1007/s13300-016-0167-x</w:t>
      </w:r>
    </w:p>
    <w:p w:rsidR="009249E1" w:rsidRDefault="00730F4E" w:rsidP="009249E1">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2</w:t>
      </w:r>
      <w:r w:rsidR="00AB3943">
        <w:rPr>
          <w:rFonts w:ascii="Times New Roman" w:hAnsi="Times New Roman" w:cs="Times New Roman"/>
          <w:color w:val="000000" w:themeColor="text1"/>
          <w:sz w:val="28"/>
          <w:szCs w:val="28"/>
          <w:lang w:val="uk-UA"/>
        </w:rPr>
        <w:t>2</w:t>
      </w:r>
      <w:r w:rsidR="009249E1">
        <w:rPr>
          <w:rFonts w:ascii="Times New Roman" w:hAnsi="Times New Roman" w:cs="Times New Roman"/>
          <w:color w:val="000000" w:themeColor="text1"/>
          <w:sz w:val="28"/>
          <w:szCs w:val="28"/>
          <w:lang w:val="uk-UA"/>
        </w:rPr>
        <w:t xml:space="preserve">. </w:t>
      </w:r>
      <w:r w:rsidR="009249E1" w:rsidRPr="009249E1">
        <w:rPr>
          <w:rFonts w:ascii="Times New Roman" w:hAnsi="Times New Roman" w:cs="Times New Roman"/>
          <w:color w:val="000000" w:themeColor="text1"/>
          <w:sz w:val="28"/>
          <w:szCs w:val="28"/>
          <w:lang w:val="uk-UA"/>
        </w:rPr>
        <w:t>Drapkina O.M., Luishuta A.S. T</w:t>
      </w:r>
      <w:r w:rsidR="009249E1">
        <w:rPr>
          <w:rFonts w:ascii="Times New Roman" w:hAnsi="Times New Roman" w:cs="Times New Roman"/>
          <w:color w:val="000000" w:themeColor="text1"/>
          <w:sz w:val="28"/>
          <w:szCs w:val="28"/>
          <w:lang w:val="en-US"/>
        </w:rPr>
        <w:t>reatment of arterial hypertension and dyslipidemia in real clinical practice. The synergy study.</w:t>
      </w:r>
      <w:r w:rsidR="009249E1" w:rsidRPr="009249E1">
        <w:rPr>
          <w:rFonts w:ascii="Times New Roman" w:hAnsi="Times New Roman" w:cs="Times New Roman"/>
          <w:color w:val="000000" w:themeColor="text1"/>
          <w:sz w:val="28"/>
          <w:szCs w:val="28"/>
          <w:lang w:val="uk-UA"/>
        </w:rPr>
        <w:t xml:space="preserve"> Part 2. Rational Pharmacotherapy</w:t>
      </w:r>
      <w:r w:rsidR="009249E1">
        <w:rPr>
          <w:rFonts w:ascii="Times New Roman" w:hAnsi="Times New Roman" w:cs="Times New Roman"/>
          <w:color w:val="000000" w:themeColor="text1"/>
          <w:sz w:val="28"/>
          <w:szCs w:val="28"/>
          <w:lang w:val="uk-UA"/>
        </w:rPr>
        <w:t xml:space="preserve"> in Cardiology. 2017;13(3):309-</w:t>
      </w:r>
      <w:r w:rsidR="009249E1" w:rsidRPr="009249E1">
        <w:rPr>
          <w:rFonts w:ascii="Times New Roman" w:hAnsi="Times New Roman" w:cs="Times New Roman"/>
          <w:color w:val="000000" w:themeColor="text1"/>
          <w:sz w:val="28"/>
          <w:szCs w:val="28"/>
          <w:lang w:val="uk-UA"/>
        </w:rPr>
        <w:t>16.</w:t>
      </w:r>
      <w:r w:rsidR="009249E1">
        <w:rPr>
          <w:rFonts w:ascii="Times New Roman" w:hAnsi="Times New Roman" w:cs="Times New Roman"/>
          <w:color w:val="000000" w:themeColor="text1"/>
          <w:sz w:val="28"/>
          <w:szCs w:val="28"/>
          <w:lang w:val="en-US"/>
        </w:rPr>
        <w:t xml:space="preserve"> </w:t>
      </w:r>
      <w:r w:rsidR="009249E1" w:rsidRPr="009249E1">
        <w:rPr>
          <w:rFonts w:ascii="Times New Roman" w:hAnsi="Times New Roman" w:cs="Times New Roman"/>
          <w:color w:val="000000" w:themeColor="text1"/>
          <w:sz w:val="28"/>
          <w:szCs w:val="28"/>
          <w:lang w:val="en-US"/>
        </w:rPr>
        <w:t>Available from:</w:t>
      </w:r>
      <w:r w:rsidR="009249E1">
        <w:rPr>
          <w:rFonts w:ascii="Times New Roman" w:hAnsi="Times New Roman" w:cs="Times New Roman"/>
          <w:color w:val="000000" w:themeColor="text1"/>
          <w:sz w:val="28"/>
          <w:szCs w:val="28"/>
          <w:lang w:val="en-US"/>
        </w:rPr>
        <w:t xml:space="preserve">  </w:t>
      </w:r>
      <w:r w:rsidR="009249E1" w:rsidRPr="009249E1">
        <w:rPr>
          <w:rFonts w:ascii="Times New Roman" w:hAnsi="Times New Roman" w:cs="Times New Roman"/>
          <w:color w:val="000000" w:themeColor="text1"/>
          <w:sz w:val="28"/>
          <w:szCs w:val="28"/>
          <w:lang w:val="uk-UA"/>
        </w:rPr>
        <w:t xml:space="preserve"> </w:t>
      </w:r>
    </w:p>
    <w:p w:rsidR="009249E1" w:rsidRPr="009249E1" w:rsidRDefault="009249E1" w:rsidP="009249E1">
      <w:pPr>
        <w:tabs>
          <w:tab w:val="left" w:pos="2880"/>
        </w:tabs>
        <w:spacing w:after="0" w:line="360" w:lineRule="auto"/>
        <w:jc w:val="both"/>
        <w:rPr>
          <w:rFonts w:ascii="Times New Roman" w:hAnsi="Times New Roman" w:cs="Times New Roman"/>
          <w:color w:val="000000" w:themeColor="text1"/>
          <w:sz w:val="28"/>
          <w:szCs w:val="28"/>
          <w:lang w:val="en-US"/>
        </w:rPr>
      </w:pPr>
      <w:r w:rsidRPr="009249E1">
        <w:rPr>
          <w:rFonts w:ascii="Times New Roman" w:hAnsi="Times New Roman" w:cs="Times New Roman"/>
          <w:color w:val="000000" w:themeColor="text1"/>
          <w:sz w:val="28"/>
          <w:szCs w:val="28"/>
          <w:lang w:val="uk-UA"/>
        </w:rPr>
        <w:t>https://doi.org/10.20996/1819-6446-2017-13-3-309-316</w:t>
      </w:r>
    </w:p>
    <w:p w:rsidR="005D047A" w:rsidRDefault="009249E1" w:rsidP="002575B2">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2</w:t>
      </w:r>
      <w:r w:rsidR="00AB3943">
        <w:rPr>
          <w:rFonts w:ascii="Times New Roman" w:hAnsi="Times New Roman" w:cs="Times New Roman"/>
          <w:color w:val="000000" w:themeColor="text1"/>
          <w:sz w:val="28"/>
          <w:szCs w:val="28"/>
          <w:lang w:val="uk-UA"/>
        </w:rPr>
        <w:t>3</w:t>
      </w:r>
      <w:r w:rsidR="005D047A">
        <w:rPr>
          <w:rFonts w:ascii="Times New Roman" w:hAnsi="Times New Roman" w:cs="Times New Roman"/>
          <w:color w:val="000000" w:themeColor="text1"/>
          <w:sz w:val="28"/>
          <w:szCs w:val="28"/>
          <w:lang w:val="en-US"/>
        </w:rPr>
        <w:t xml:space="preserve">. </w:t>
      </w:r>
      <w:r w:rsidR="001B53C5" w:rsidRPr="001B53C5">
        <w:rPr>
          <w:rFonts w:ascii="Times New Roman" w:hAnsi="Times New Roman" w:cs="Times New Roman"/>
          <w:color w:val="000000" w:themeColor="text1"/>
          <w:sz w:val="28"/>
          <w:szCs w:val="28"/>
          <w:lang w:val="en-US"/>
        </w:rPr>
        <w:t>ESH/ESC 2013 Guidelines for the management of arterial hypertension. The Task Force for the management of arterial hypertension of the European Society of Hypertension (ESH) and of the European Society of Card</w:t>
      </w:r>
      <w:r w:rsidR="001B53C5">
        <w:rPr>
          <w:rFonts w:ascii="Times New Roman" w:hAnsi="Times New Roman" w:cs="Times New Roman"/>
          <w:color w:val="000000" w:themeColor="text1"/>
          <w:sz w:val="28"/>
          <w:szCs w:val="28"/>
          <w:lang w:val="en-US"/>
        </w:rPr>
        <w:t>iology (ESC) // Eur. Heart J</w:t>
      </w:r>
      <w:r w:rsidR="001B53C5">
        <w:rPr>
          <w:rFonts w:ascii="Times New Roman" w:hAnsi="Times New Roman" w:cs="Times New Roman"/>
          <w:color w:val="000000" w:themeColor="text1"/>
          <w:sz w:val="28"/>
          <w:szCs w:val="28"/>
          <w:lang w:val="uk-UA"/>
        </w:rPr>
        <w:t xml:space="preserve"> </w:t>
      </w:r>
      <w:r w:rsidR="001B53C5" w:rsidRPr="001B53C5">
        <w:rPr>
          <w:rFonts w:ascii="Times New Roman" w:hAnsi="Times New Roman" w:cs="Times New Roman"/>
          <w:color w:val="000000" w:themeColor="text1"/>
          <w:sz w:val="28"/>
          <w:szCs w:val="28"/>
          <w:lang w:val="uk-UA"/>
        </w:rPr>
        <w:t xml:space="preserve">[Internet]. </w:t>
      </w:r>
      <w:r w:rsidR="001B53C5">
        <w:rPr>
          <w:rFonts w:ascii="Times New Roman" w:hAnsi="Times New Roman" w:cs="Times New Roman"/>
          <w:color w:val="000000" w:themeColor="text1"/>
          <w:sz w:val="28"/>
          <w:szCs w:val="28"/>
          <w:lang w:val="en-US"/>
        </w:rPr>
        <w:t>2013;</w:t>
      </w:r>
      <w:r w:rsidR="001B53C5" w:rsidRPr="001B53C5">
        <w:rPr>
          <w:rFonts w:ascii="Times New Roman" w:hAnsi="Times New Roman" w:cs="Times New Roman"/>
          <w:color w:val="000000" w:themeColor="text1"/>
          <w:sz w:val="28"/>
          <w:szCs w:val="28"/>
          <w:lang w:val="en-US"/>
        </w:rPr>
        <w:t>34</w:t>
      </w:r>
      <w:r w:rsidR="001B53C5">
        <w:rPr>
          <w:rFonts w:ascii="Times New Roman" w:hAnsi="Times New Roman" w:cs="Times New Roman"/>
          <w:color w:val="000000" w:themeColor="text1"/>
          <w:sz w:val="28"/>
          <w:szCs w:val="28"/>
          <w:lang w:val="en-US"/>
        </w:rPr>
        <w:t>(28):2159-</w:t>
      </w:r>
      <w:r w:rsidR="001B53C5" w:rsidRPr="001B53C5">
        <w:rPr>
          <w:rFonts w:ascii="Times New Roman" w:hAnsi="Times New Roman" w:cs="Times New Roman"/>
          <w:color w:val="000000" w:themeColor="text1"/>
          <w:sz w:val="28"/>
          <w:szCs w:val="28"/>
          <w:lang w:val="en-US"/>
        </w:rPr>
        <w:t>219.</w:t>
      </w:r>
      <w:r w:rsidR="001B53C5">
        <w:rPr>
          <w:rFonts w:ascii="Times New Roman" w:hAnsi="Times New Roman" w:cs="Times New Roman"/>
          <w:color w:val="000000" w:themeColor="text1"/>
          <w:sz w:val="28"/>
          <w:szCs w:val="28"/>
          <w:lang w:val="en-US"/>
        </w:rPr>
        <w:t xml:space="preserve"> </w:t>
      </w:r>
      <w:r w:rsidR="001B53C5" w:rsidRPr="001B53C5">
        <w:rPr>
          <w:rFonts w:ascii="Times New Roman" w:hAnsi="Times New Roman" w:cs="Times New Roman"/>
          <w:color w:val="000000" w:themeColor="text1"/>
          <w:sz w:val="28"/>
          <w:szCs w:val="28"/>
          <w:lang w:val="en-US"/>
        </w:rPr>
        <w:t>Available from:</w:t>
      </w:r>
      <w:r w:rsidR="001B53C5">
        <w:rPr>
          <w:rFonts w:ascii="Times New Roman" w:hAnsi="Times New Roman" w:cs="Times New Roman"/>
          <w:color w:val="000000" w:themeColor="text1"/>
          <w:sz w:val="28"/>
          <w:szCs w:val="28"/>
          <w:lang w:val="en-US"/>
        </w:rPr>
        <w:t xml:space="preserve"> </w:t>
      </w:r>
    </w:p>
    <w:p w:rsidR="001B53C5" w:rsidRPr="001B53C5" w:rsidRDefault="000A6805" w:rsidP="002575B2">
      <w:pPr>
        <w:tabs>
          <w:tab w:val="left" w:pos="2880"/>
        </w:tabs>
        <w:spacing w:after="0" w:line="360" w:lineRule="auto"/>
        <w:jc w:val="both"/>
        <w:rPr>
          <w:rFonts w:ascii="Times New Roman" w:hAnsi="Times New Roman" w:cs="Times New Roman"/>
          <w:sz w:val="28"/>
          <w:szCs w:val="28"/>
          <w:lang w:val="en-US"/>
        </w:rPr>
      </w:pPr>
      <w:hyperlink r:id="rId35" w:history="1">
        <w:r w:rsidR="001B53C5" w:rsidRPr="001B53C5">
          <w:rPr>
            <w:rStyle w:val="a9"/>
            <w:rFonts w:ascii="Times New Roman" w:hAnsi="Times New Roman" w:cs="Times New Roman"/>
            <w:color w:val="auto"/>
            <w:sz w:val="28"/>
            <w:szCs w:val="28"/>
            <w:u w:val="none"/>
            <w:lang w:val="en-US"/>
          </w:rPr>
          <w:t>https://sfcardio.fr/sites/default/files/pdf/arterial_hypertension.pdf</w:t>
        </w:r>
      </w:hyperlink>
    </w:p>
    <w:p w:rsidR="001B53C5" w:rsidRDefault="001B53C5" w:rsidP="002575B2">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DOI: </w:t>
      </w:r>
      <w:r w:rsidRPr="001B53C5">
        <w:rPr>
          <w:rFonts w:ascii="Times New Roman" w:hAnsi="Times New Roman" w:cs="Times New Roman"/>
          <w:color w:val="000000" w:themeColor="text1"/>
          <w:sz w:val="28"/>
          <w:szCs w:val="28"/>
          <w:lang w:val="en-US"/>
        </w:rPr>
        <w:t>10.1093/eurheartj/eht151</w:t>
      </w:r>
    </w:p>
    <w:p w:rsidR="009249E1" w:rsidRDefault="00AB3943" w:rsidP="002575B2">
      <w:pPr>
        <w:tabs>
          <w:tab w:val="left" w:pos="2880"/>
        </w:tabs>
        <w:spacing w:after="0" w:line="360" w:lineRule="auto"/>
        <w:jc w:val="both"/>
        <w:rPr>
          <w:rFonts w:ascii="Times New Roman" w:hAnsi="Times New Roman" w:cs="Times New Roman"/>
          <w:color w:val="000000" w:themeColor="text1"/>
          <w:sz w:val="28"/>
          <w:szCs w:val="28"/>
          <w:lang w:val="uk-UA"/>
        </w:rPr>
      </w:pPr>
      <w:r w:rsidRPr="00AB3943">
        <w:rPr>
          <w:rFonts w:ascii="Times New Roman" w:hAnsi="Times New Roman" w:cs="Times New Roman"/>
          <w:color w:val="000000" w:themeColor="text1"/>
          <w:sz w:val="28"/>
          <w:szCs w:val="28"/>
          <w:lang w:val="en-US"/>
        </w:rPr>
        <w:t>2</w:t>
      </w:r>
      <w:r>
        <w:rPr>
          <w:rFonts w:ascii="Times New Roman" w:hAnsi="Times New Roman" w:cs="Times New Roman"/>
          <w:color w:val="000000" w:themeColor="text1"/>
          <w:sz w:val="28"/>
          <w:szCs w:val="28"/>
          <w:lang w:val="uk-UA"/>
        </w:rPr>
        <w:t>4</w:t>
      </w:r>
      <w:r w:rsidR="009249E1" w:rsidRPr="00AB3943">
        <w:rPr>
          <w:rFonts w:ascii="Times New Roman" w:hAnsi="Times New Roman" w:cs="Times New Roman"/>
          <w:color w:val="000000" w:themeColor="text1"/>
          <w:sz w:val="28"/>
          <w:szCs w:val="28"/>
          <w:lang w:val="en-US"/>
        </w:rPr>
        <w:t>.</w:t>
      </w:r>
      <w:r w:rsidR="00CA5453">
        <w:rPr>
          <w:rFonts w:ascii="Times New Roman" w:hAnsi="Times New Roman" w:cs="Times New Roman"/>
          <w:color w:val="000000" w:themeColor="text1"/>
          <w:sz w:val="28"/>
          <w:szCs w:val="28"/>
          <w:lang w:val="uk-UA"/>
        </w:rPr>
        <w:t xml:space="preserve"> </w:t>
      </w:r>
      <w:r w:rsidR="00433AF0" w:rsidRPr="00433AF0">
        <w:rPr>
          <w:rFonts w:ascii="Times New Roman" w:hAnsi="Times New Roman" w:cs="Times New Roman"/>
          <w:color w:val="000000" w:themeColor="text1"/>
          <w:sz w:val="28"/>
          <w:szCs w:val="28"/>
          <w:lang w:val="uk-UA"/>
        </w:rPr>
        <w:t>Протасов КВ. Атерогенная дислипидемия при сахарном диабете. Сообщение 1: патогенез, клиническая и прогностическая значимость, показатели контроля липидного обмена. Сибирский медицинский журнал. 2012;5:5-9.</w:t>
      </w:r>
    </w:p>
    <w:p w:rsidR="004C78B6" w:rsidRPr="004C78B6" w:rsidRDefault="00730F4E" w:rsidP="004C78B6">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AB3943">
        <w:rPr>
          <w:rFonts w:ascii="Times New Roman" w:hAnsi="Times New Roman" w:cs="Times New Roman"/>
          <w:color w:val="000000" w:themeColor="text1"/>
          <w:sz w:val="28"/>
          <w:szCs w:val="28"/>
          <w:lang w:val="uk-UA"/>
        </w:rPr>
        <w:t>5</w:t>
      </w:r>
      <w:r w:rsidR="00CA5453">
        <w:rPr>
          <w:rFonts w:ascii="Times New Roman" w:hAnsi="Times New Roman" w:cs="Times New Roman"/>
          <w:color w:val="000000" w:themeColor="text1"/>
          <w:sz w:val="28"/>
          <w:szCs w:val="28"/>
          <w:lang w:val="uk-UA"/>
        </w:rPr>
        <w:t xml:space="preserve">. </w:t>
      </w:r>
      <w:r w:rsidR="004C78B6" w:rsidRPr="004C78B6">
        <w:rPr>
          <w:rFonts w:ascii="Times New Roman" w:hAnsi="Times New Roman" w:cs="Times New Roman"/>
          <w:color w:val="000000" w:themeColor="text1"/>
          <w:sz w:val="28"/>
          <w:szCs w:val="28"/>
          <w:lang w:val="uk-UA"/>
        </w:rPr>
        <w:t xml:space="preserve">Tehrani DM, Zhao Y, Blaha MJ, Mora S, Mackey RH, Michos ED, et al. Discordance of Low-Density Lipoprotein and High-Density Lipoprotein Cholesterol Particle Versus Cholesterol Concentration for the Prediction of Cardiovascular Disease in Patients With Metabolic Syndrome and Diabetes Mellitus (from the Multi-Ethnic Study of Atherosclerosis [MESA]). Am J Cardiol  [Internet]. 2016 Jun 15;117(12):1921-7. Available from: </w:t>
      </w:r>
    </w:p>
    <w:p w:rsidR="004C78B6" w:rsidRPr="004C78B6" w:rsidRDefault="004C78B6" w:rsidP="004C78B6">
      <w:pPr>
        <w:tabs>
          <w:tab w:val="left" w:pos="2880"/>
        </w:tabs>
        <w:spacing w:after="0" w:line="360" w:lineRule="auto"/>
        <w:jc w:val="both"/>
        <w:rPr>
          <w:rFonts w:ascii="Times New Roman" w:hAnsi="Times New Roman" w:cs="Times New Roman"/>
          <w:color w:val="000000" w:themeColor="text1"/>
          <w:sz w:val="28"/>
          <w:szCs w:val="28"/>
          <w:lang w:val="uk-UA"/>
        </w:rPr>
      </w:pPr>
      <w:r w:rsidRPr="004C78B6">
        <w:rPr>
          <w:rFonts w:ascii="Times New Roman" w:hAnsi="Times New Roman" w:cs="Times New Roman"/>
          <w:color w:val="000000" w:themeColor="text1"/>
          <w:sz w:val="28"/>
          <w:szCs w:val="28"/>
          <w:lang w:val="uk-UA"/>
        </w:rPr>
        <w:t xml:space="preserve">https://www.ncbi.nlm.nih.gov/pubmed/27156827 </w:t>
      </w:r>
    </w:p>
    <w:p w:rsidR="00CA5453" w:rsidRDefault="004C78B6" w:rsidP="004C78B6">
      <w:pPr>
        <w:tabs>
          <w:tab w:val="left" w:pos="2880"/>
        </w:tabs>
        <w:spacing w:after="0" w:line="360" w:lineRule="auto"/>
        <w:jc w:val="both"/>
        <w:rPr>
          <w:rFonts w:ascii="Times New Roman" w:hAnsi="Times New Roman" w:cs="Times New Roman"/>
          <w:color w:val="000000" w:themeColor="text1"/>
          <w:sz w:val="28"/>
          <w:szCs w:val="28"/>
          <w:lang w:val="uk-UA"/>
        </w:rPr>
      </w:pPr>
      <w:r w:rsidRPr="004C78B6">
        <w:rPr>
          <w:rFonts w:ascii="Times New Roman" w:hAnsi="Times New Roman" w:cs="Times New Roman"/>
          <w:color w:val="000000" w:themeColor="text1"/>
          <w:sz w:val="28"/>
          <w:szCs w:val="28"/>
          <w:lang w:val="uk-UA"/>
        </w:rPr>
        <w:t>DOI: 10.1016/j.amjcard.2016.03.040.</w:t>
      </w:r>
    </w:p>
    <w:p w:rsidR="004C78B6" w:rsidRPr="004C78B6" w:rsidRDefault="00730F4E" w:rsidP="004C78B6">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2</w:t>
      </w:r>
      <w:r w:rsidR="00AB3943">
        <w:rPr>
          <w:rFonts w:ascii="Times New Roman" w:hAnsi="Times New Roman" w:cs="Times New Roman"/>
          <w:color w:val="000000" w:themeColor="text1"/>
          <w:sz w:val="28"/>
          <w:szCs w:val="28"/>
          <w:lang w:val="uk-UA"/>
        </w:rPr>
        <w:t>6</w:t>
      </w:r>
      <w:r w:rsidR="004C78B6">
        <w:rPr>
          <w:rFonts w:ascii="Times New Roman" w:hAnsi="Times New Roman" w:cs="Times New Roman"/>
          <w:color w:val="000000" w:themeColor="text1"/>
          <w:sz w:val="28"/>
          <w:szCs w:val="28"/>
          <w:lang w:val="uk-UA"/>
        </w:rPr>
        <w:t xml:space="preserve">. </w:t>
      </w:r>
      <w:r w:rsidR="004C78B6" w:rsidRPr="004C78B6">
        <w:rPr>
          <w:rFonts w:ascii="Times New Roman" w:hAnsi="Times New Roman" w:cs="Times New Roman"/>
          <w:color w:val="000000" w:themeColor="text1"/>
          <w:sz w:val="28"/>
          <w:szCs w:val="28"/>
          <w:lang w:val="uk-UA"/>
        </w:rPr>
        <w:t xml:space="preserve">Eliasson B, Gudbjörnsdottir S, Zethelius B, Eeg-Olofsson K, Cederholm J. LDL-cholesterol versus non-HDL-to-HDL-cholesterol ratio and risk for coronary heart disease in type 2 diabetes. Eur J Prev Cardiol [Internet]. 2014 Nov; </w:t>
      </w:r>
      <w:r w:rsidR="00202C37">
        <w:rPr>
          <w:rFonts w:ascii="Times New Roman" w:hAnsi="Times New Roman" w:cs="Times New Roman"/>
          <w:color w:val="000000" w:themeColor="text1"/>
          <w:sz w:val="28"/>
          <w:szCs w:val="28"/>
          <w:lang w:val="uk-UA"/>
        </w:rPr>
        <w:t xml:space="preserve">21(11):1420-8. Available from: </w:t>
      </w:r>
      <w:r w:rsidR="004C78B6" w:rsidRPr="004C78B6">
        <w:rPr>
          <w:rFonts w:ascii="Times New Roman" w:hAnsi="Times New Roman" w:cs="Times New Roman"/>
          <w:color w:val="000000" w:themeColor="text1"/>
          <w:sz w:val="28"/>
          <w:szCs w:val="28"/>
          <w:lang w:val="uk-UA"/>
        </w:rPr>
        <w:t>https://www.ncbi.nlm.nih.gov/pubmed/23774274</w:t>
      </w:r>
    </w:p>
    <w:p w:rsidR="004C78B6" w:rsidRDefault="00C84D6E" w:rsidP="004C78B6">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DOI</w:t>
      </w:r>
      <w:r w:rsidR="004C78B6" w:rsidRPr="004C78B6">
        <w:rPr>
          <w:rFonts w:ascii="Times New Roman" w:hAnsi="Times New Roman" w:cs="Times New Roman"/>
          <w:color w:val="000000" w:themeColor="text1"/>
          <w:sz w:val="28"/>
          <w:szCs w:val="28"/>
          <w:lang w:val="uk-UA"/>
        </w:rPr>
        <w:t>: 10.1177/2047487313494292</w:t>
      </w:r>
    </w:p>
    <w:p w:rsidR="00C82289" w:rsidRDefault="00730F4E" w:rsidP="00A14AAF">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2</w:t>
      </w:r>
      <w:r w:rsidR="00AB3943">
        <w:rPr>
          <w:rFonts w:ascii="Times New Roman" w:hAnsi="Times New Roman" w:cs="Times New Roman"/>
          <w:color w:val="000000" w:themeColor="text1"/>
          <w:sz w:val="28"/>
          <w:szCs w:val="28"/>
          <w:lang w:val="uk-UA"/>
        </w:rPr>
        <w:t>7</w:t>
      </w:r>
      <w:r w:rsidR="004C78B6">
        <w:rPr>
          <w:rFonts w:ascii="Times New Roman" w:hAnsi="Times New Roman" w:cs="Times New Roman"/>
          <w:color w:val="000000" w:themeColor="text1"/>
          <w:sz w:val="28"/>
          <w:szCs w:val="28"/>
          <w:lang w:val="uk-UA"/>
        </w:rPr>
        <w:t xml:space="preserve">. </w:t>
      </w:r>
      <w:r w:rsidR="00A14AAF">
        <w:rPr>
          <w:rFonts w:ascii="Times New Roman" w:hAnsi="Times New Roman" w:cs="Times New Roman"/>
          <w:color w:val="000000" w:themeColor="text1"/>
          <w:sz w:val="28"/>
          <w:szCs w:val="28"/>
          <w:lang w:val="uk-UA"/>
        </w:rPr>
        <w:t>P</w:t>
      </w:r>
      <w:r w:rsidR="00A14AAF">
        <w:rPr>
          <w:rFonts w:ascii="Times New Roman" w:hAnsi="Times New Roman" w:cs="Times New Roman"/>
          <w:color w:val="000000" w:themeColor="text1"/>
          <w:sz w:val="28"/>
          <w:szCs w:val="28"/>
          <w:lang w:val="en-US"/>
        </w:rPr>
        <w:t>itha J</w:t>
      </w:r>
      <w:r w:rsidR="00A14AAF">
        <w:rPr>
          <w:rFonts w:ascii="Times New Roman" w:hAnsi="Times New Roman" w:cs="Times New Roman"/>
          <w:color w:val="000000" w:themeColor="text1"/>
          <w:sz w:val="28"/>
          <w:szCs w:val="28"/>
          <w:lang w:val="uk-UA"/>
        </w:rPr>
        <w:t>, K</w:t>
      </w:r>
      <w:r w:rsidR="00A14AAF">
        <w:rPr>
          <w:rFonts w:ascii="Times New Roman" w:hAnsi="Times New Roman" w:cs="Times New Roman"/>
          <w:color w:val="000000" w:themeColor="text1"/>
          <w:sz w:val="28"/>
          <w:szCs w:val="28"/>
          <w:lang w:val="en-US"/>
        </w:rPr>
        <w:t>ovar J</w:t>
      </w:r>
      <w:r w:rsidR="00A14AAF">
        <w:rPr>
          <w:rFonts w:ascii="Times New Roman" w:hAnsi="Times New Roman" w:cs="Times New Roman"/>
          <w:color w:val="000000" w:themeColor="text1"/>
          <w:sz w:val="28"/>
          <w:szCs w:val="28"/>
          <w:lang w:val="uk-UA"/>
        </w:rPr>
        <w:t xml:space="preserve">, </w:t>
      </w:r>
      <w:r w:rsidR="00A14AAF" w:rsidRPr="00A14AAF">
        <w:rPr>
          <w:rFonts w:ascii="Times New Roman" w:hAnsi="Times New Roman" w:cs="Times New Roman"/>
          <w:color w:val="000000" w:themeColor="text1"/>
          <w:sz w:val="28"/>
          <w:szCs w:val="28"/>
          <w:lang w:val="uk-UA"/>
        </w:rPr>
        <w:t>B</w:t>
      </w:r>
      <w:r w:rsidR="00A14AAF">
        <w:rPr>
          <w:rFonts w:ascii="Times New Roman" w:hAnsi="Times New Roman" w:cs="Times New Roman"/>
          <w:color w:val="000000" w:themeColor="text1"/>
          <w:sz w:val="28"/>
          <w:szCs w:val="28"/>
          <w:lang w:val="en-US"/>
        </w:rPr>
        <w:t xml:space="preserve">lanova T. </w:t>
      </w:r>
      <w:r w:rsidR="00A14AAF" w:rsidRPr="00A14AAF">
        <w:rPr>
          <w:rFonts w:ascii="Times New Roman" w:hAnsi="Times New Roman" w:cs="Times New Roman"/>
          <w:color w:val="000000" w:themeColor="text1"/>
          <w:sz w:val="28"/>
          <w:szCs w:val="28"/>
          <w:lang w:val="en-US"/>
        </w:rPr>
        <w:t>Fasting and Nonfasting Triglyceri</w:t>
      </w:r>
      <w:r w:rsidR="00A14AAF">
        <w:rPr>
          <w:rFonts w:ascii="Times New Roman" w:hAnsi="Times New Roman" w:cs="Times New Roman"/>
          <w:color w:val="000000" w:themeColor="text1"/>
          <w:sz w:val="28"/>
          <w:szCs w:val="28"/>
          <w:lang w:val="en-US"/>
        </w:rPr>
        <w:t xml:space="preserve">des in Cardiovascular and Other </w:t>
      </w:r>
      <w:r w:rsidR="00A14AAF" w:rsidRPr="00A14AAF">
        <w:rPr>
          <w:rFonts w:ascii="Times New Roman" w:hAnsi="Times New Roman" w:cs="Times New Roman"/>
          <w:color w:val="000000" w:themeColor="text1"/>
          <w:sz w:val="28"/>
          <w:szCs w:val="28"/>
          <w:lang w:val="en-US"/>
        </w:rPr>
        <w:t>Diseases</w:t>
      </w:r>
      <w:r w:rsidR="00A14AAF">
        <w:rPr>
          <w:rFonts w:ascii="Times New Roman" w:hAnsi="Times New Roman" w:cs="Times New Roman"/>
          <w:color w:val="000000" w:themeColor="text1"/>
          <w:sz w:val="28"/>
          <w:szCs w:val="28"/>
          <w:lang w:val="en-US"/>
        </w:rPr>
        <w:t xml:space="preserve">. </w:t>
      </w:r>
      <w:r w:rsidR="00A14AAF" w:rsidRPr="00A14AAF">
        <w:rPr>
          <w:rFonts w:ascii="Times New Roman" w:hAnsi="Times New Roman" w:cs="Times New Roman"/>
          <w:color w:val="000000" w:themeColor="text1"/>
          <w:sz w:val="28"/>
          <w:szCs w:val="28"/>
          <w:lang w:val="en-US"/>
        </w:rPr>
        <w:t>Physiol. Res</w:t>
      </w:r>
      <w:r w:rsidR="00A14AAF">
        <w:rPr>
          <w:rFonts w:ascii="Times New Roman" w:hAnsi="Times New Roman" w:cs="Times New Roman"/>
          <w:color w:val="000000" w:themeColor="text1"/>
          <w:sz w:val="28"/>
          <w:szCs w:val="28"/>
          <w:lang w:val="en-US"/>
        </w:rPr>
        <w:t xml:space="preserve"> </w:t>
      </w:r>
      <w:r w:rsidR="00A14AAF" w:rsidRPr="00A14AAF">
        <w:rPr>
          <w:rFonts w:ascii="Times New Roman" w:hAnsi="Times New Roman" w:cs="Times New Roman"/>
          <w:color w:val="000000" w:themeColor="text1"/>
          <w:sz w:val="28"/>
          <w:szCs w:val="28"/>
          <w:lang w:val="en-US"/>
        </w:rPr>
        <w:t>[Internet].</w:t>
      </w:r>
      <w:r w:rsidR="00A14AAF">
        <w:rPr>
          <w:rFonts w:ascii="Times New Roman" w:hAnsi="Times New Roman" w:cs="Times New Roman"/>
          <w:color w:val="000000" w:themeColor="text1"/>
          <w:sz w:val="28"/>
          <w:szCs w:val="28"/>
          <w:lang w:val="en-US"/>
        </w:rPr>
        <w:t xml:space="preserve"> 2015;64(3):</w:t>
      </w:r>
      <w:r w:rsidR="00C82289">
        <w:rPr>
          <w:rFonts w:ascii="Times New Roman" w:hAnsi="Times New Roman" w:cs="Times New Roman"/>
          <w:color w:val="000000" w:themeColor="text1"/>
          <w:sz w:val="28"/>
          <w:szCs w:val="28"/>
          <w:lang w:val="en-US"/>
        </w:rPr>
        <w:t xml:space="preserve">323-30. </w:t>
      </w:r>
      <w:r w:rsidR="00C82289" w:rsidRPr="00C82289">
        <w:rPr>
          <w:rFonts w:ascii="Times New Roman" w:hAnsi="Times New Roman" w:cs="Times New Roman"/>
          <w:color w:val="000000" w:themeColor="text1"/>
          <w:sz w:val="28"/>
          <w:szCs w:val="28"/>
          <w:lang w:val="en-US"/>
        </w:rPr>
        <w:t>Available from:</w:t>
      </w:r>
      <w:r w:rsidR="00C82289">
        <w:rPr>
          <w:rFonts w:ascii="Times New Roman" w:hAnsi="Times New Roman" w:cs="Times New Roman"/>
          <w:color w:val="000000" w:themeColor="text1"/>
          <w:sz w:val="28"/>
          <w:szCs w:val="28"/>
          <w:lang w:val="en-US"/>
        </w:rPr>
        <w:t xml:space="preserve"> </w:t>
      </w:r>
    </w:p>
    <w:p w:rsidR="004C78B6" w:rsidRDefault="000A6805" w:rsidP="00A14AAF">
      <w:pPr>
        <w:tabs>
          <w:tab w:val="left" w:pos="2880"/>
        </w:tabs>
        <w:spacing w:after="0" w:line="360" w:lineRule="auto"/>
        <w:jc w:val="both"/>
        <w:rPr>
          <w:rFonts w:ascii="Times New Roman" w:hAnsi="Times New Roman" w:cs="Times New Roman"/>
          <w:sz w:val="28"/>
          <w:szCs w:val="28"/>
          <w:lang w:val="en-US"/>
        </w:rPr>
      </w:pPr>
      <w:hyperlink r:id="rId36" w:history="1">
        <w:r w:rsidR="00C82289" w:rsidRPr="00C82289">
          <w:rPr>
            <w:rStyle w:val="a9"/>
            <w:rFonts w:ascii="Times New Roman" w:hAnsi="Times New Roman" w:cs="Times New Roman"/>
            <w:color w:val="auto"/>
            <w:sz w:val="28"/>
            <w:szCs w:val="28"/>
            <w:u w:val="none"/>
            <w:lang w:val="en-US"/>
          </w:rPr>
          <w:t>https://www.biomed.cas.cz/physiolres/pdf/64%20Suppl%203/64_S323.pdf</w:t>
        </w:r>
      </w:hyperlink>
    </w:p>
    <w:p w:rsidR="00C82289" w:rsidRPr="00730EE0" w:rsidRDefault="00730F4E" w:rsidP="00A14AAF">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AB3943">
        <w:rPr>
          <w:rFonts w:ascii="Times New Roman" w:hAnsi="Times New Roman" w:cs="Times New Roman"/>
          <w:sz w:val="28"/>
          <w:szCs w:val="28"/>
          <w:lang w:val="uk-UA"/>
        </w:rPr>
        <w:t>8</w:t>
      </w:r>
      <w:r w:rsidR="00C82289" w:rsidRPr="00D82328">
        <w:rPr>
          <w:rFonts w:ascii="Times New Roman" w:hAnsi="Times New Roman" w:cs="Times New Roman"/>
          <w:sz w:val="28"/>
          <w:szCs w:val="28"/>
        </w:rPr>
        <w:t xml:space="preserve">. </w:t>
      </w:r>
      <w:r w:rsidR="00D82328" w:rsidRPr="00D82328">
        <w:rPr>
          <w:rFonts w:ascii="Times New Roman" w:hAnsi="Times New Roman" w:cs="Times New Roman"/>
          <w:sz w:val="28"/>
          <w:szCs w:val="28"/>
        </w:rPr>
        <w:t xml:space="preserve">Скибчик ВА, Булак ОВ, Войтович МО, Фастушок НВ, Онищук ЮІ. Зміни ліпідного спектру крові у пацієнтів з нестабільною стенокардією та цукровим </w:t>
      </w:r>
      <w:r w:rsidR="00D82328" w:rsidRPr="00D82328">
        <w:rPr>
          <w:rFonts w:ascii="Times New Roman" w:hAnsi="Times New Roman" w:cs="Times New Roman"/>
          <w:sz w:val="28"/>
          <w:szCs w:val="28"/>
        </w:rPr>
        <w:lastRenderedPageBreak/>
        <w:t xml:space="preserve">діабетом 2 типу. </w:t>
      </w:r>
      <w:r w:rsidR="00D82328" w:rsidRPr="00730EE0">
        <w:rPr>
          <w:rFonts w:ascii="Times New Roman" w:hAnsi="Times New Roman" w:cs="Times New Roman"/>
          <w:sz w:val="28"/>
          <w:szCs w:val="28"/>
        </w:rPr>
        <w:t>Вісник проблем біології і медицини [</w:t>
      </w:r>
      <w:r w:rsidR="00D82328">
        <w:rPr>
          <w:rFonts w:ascii="Times New Roman" w:hAnsi="Times New Roman" w:cs="Times New Roman"/>
          <w:sz w:val="28"/>
          <w:szCs w:val="28"/>
          <w:lang w:val="en-US"/>
        </w:rPr>
        <w:t>Internet</w:t>
      </w:r>
      <w:r w:rsidR="00D82328" w:rsidRPr="00730EE0">
        <w:rPr>
          <w:rFonts w:ascii="Times New Roman" w:hAnsi="Times New Roman" w:cs="Times New Roman"/>
          <w:sz w:val="28"/>
          <w:szCs w:val="28"/>
        </w:rPr>
        <w:t xml:space="preserve">]. 2013;2;2 (101):151−2. Доступно на: </w:t>
      </w:r>
      <w:r w:rsidR="00D82328" w:rsidRPr="00D82328">
        <w:rPr>
          <w:rFonts w:ascii="Times New Roman" w:hAnsi="Times New Roman" w:cs="Times New Roman"/>
          <w:sz w:val="28"/>
          <w:szCs w:val="28"/>
          <w:lang w:val="en-US"/>
        </w:rPr>
        <w:t>Vpbm</w:t>
      </w:r>
      <w:r w:rsidR="00D82328" w:rsidRPr="00730EE0">
        <w:rPr>
          <w:rFonts w:ascii="Times New Roman" w:hAnsi="Times New Roman" w:cs="Times New Roman"/>
          <w:sz w:val="28"/>
          <w:szCs w:val="28"/>
        </w:rPr>
        <w:t>_2013_3(2)__1.</w:t>
      </w:r>
      <w:r w:rsidR="00D82328" w:rsidRPr="00D82328">
        <w:rPr>
          <w:rFonts w:ascii="Times New Roman" w:hAnsi="Times New Roman" w:cs="Times New Roman"/>
          <w:sz w:val="28"/>
          <w:szCs w:val="28"/>
          <w:lang w:val="en-US"/>
        </w:rPr>
        <w:t>pdf</w:t>
      </w:r>
    </w:p>
    <w:p w:rsidR="001F16F1" w:rsidRDefault="00AB3943" w:rsidP="00A14AAF">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29</w:t>
      </w:r>
      <w:r w:rsidR="00D82328" w:rsidRPr="00730EE0">
        <w:rPr>
          <w:rFonts w:ascii="Times New Roman" w:hAnsi="Times New Roman" w:cs="Times New Roman"/>
          <w:sz w:val="28"/>
          <w:szCs w:val="28"/>
        </w:rPr>
        <w:t xml:space="preserve">. </w:t>
      </w:r>
      <w:r w:rsidR="00730EE0" w:rsidRPr="00730EE0">
        <w:rPr>
          <w:rFonts w:ascii="Times New Roman" w:hAnsi="Times New Roman" w:cs="Times New Roman"/>
          <w:sz w:val="28"/>
          <w:szCs w:val="28"/>
        </w:rPr>
        <w:t xml:space="preserve">Российская ассоциация эндокринологов ФГБУ Эндокринологический научный центр. Клинические рекомендации. Алгоритмы специализированной медицинской помощи больным сахарным диабетом. 7-й выпуск. </w:t>
      </w:r>
      <w:r w:rsidR="00730EE0" w:rsidRPr="001F16F1">
        <w:rPr>
          <w:rFonts w:ascii="Times New Roman" w:hAnsi="Times New Roman" w:cs="Times New Roman"/>
          <w:sz w:val="28"/>
          <w:szCs w:val="28"/>
        </w:rPr>
        <w:t xml:space="preserve">Москва: Дедов ИИ, Шестакова МВ; </w:t>
      </w:r>
      <w:r w:rsidR="001F16F1" w:rsidRPr="001F16F1">
        <w:rPr>
          <w:rFonts w:ascii="Times New Roman" w:hAnsi="Times New Roman" w:cs="Times New Roman"/>
          <w:sz w:val="28"/>
          <w:szCs w:val="28"/>
        </w:rPr>
        <w:t>[</w:t>
      </w:r>
      <w:r w:rsidR="001F16F1">
        <w:rPr>
          <w:rFonts w:ascii="Times New Roman" w:hAnsi="Times New Roman" w:cs="Times New Roman"/>
          <w:sz w:val="28"/>
          <w:szCs w:val="28"/>
        </w:rPr>
        <w:t>Интернет</w:t>
      </w:r>
      <w:r w:rsidR="001F16F1" w:rsidRPr="001F16F1">
        <w:rPr>
          <w:rFonts w:ascii="Times New Roman" w:hAnsi="Times New Roman" w:cs="Times New Roman"/>
          <w:sz w:val="28"/>
          <w:szCs w:val="28"/>
        </w:rPr>
        <w:t>]</w:t>
      </w:r>
      <w:r w:rsidR="001F16F1">
        <w:rPr>
          <w:rFonts w:ascii="Times New Roman" w:hAnsi="Times New Roman" w:cs="Times New Roman"/>
          <w:sz w:val="28"/>
          <w:szCs w:val="28"/>
        </w:rPr>
        <w:t xml:space="preserve"> 2015. </w:t>
      </w:r>
      <w:r w:rsidR="00730EE0" w:rsidRPr="001F16F1">
        <w:rPr>
          <w:rFonts w:ascii="Times New Roman" w:hAnsi="Times New Roman" w:cs="Times New Roman"/>
          <w:sz w:val="28"/>
          <w:szCs w:val="28"/>
        </w:rPr>
        <w:t>112с.</w:t>
      </w:r>
      <w:r w:rsidR="001F16F1" w:rsidRPr="001F16F1">
        <w:rPr>
          <w:rFonts w:ascii="Times New Roman" w:hAnsi="Times New Roman" w:cs="Times New Roman"/>
          <w:sz w:val="28"/>
          <w:szCs w:val="28"/>
        </w:rPr>
        <w:t xml:space="preserve"> </w:t>
      </w:r>
    </w:p>
    <w:p w:rsidR="00D82328" w:rsidRDefault="001F16F1" w:rsidP="00A14AAF">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Доступно на:</w:t>
      </w:r>
      <w:r w:rsidRPr="001F16F1">
        <w:rPr>
          <w:rFonts w:ascii="Times New Roman" w:hAnsi="Times New Roman" w:cs="Times New Roman"/>
          <w:sz w:val="28"/>
          <w:szCs w:val="28"/>
        </w:rPr>
        <w:t xml:space="preserve"> </w:t>
      </w:r>
      <w:hyperlink r:id="rId37" w:history="1">
        <w:r w:rsidRPr="001F16F1">
          <w:rPr>
            <w:rStyle w:val="a9"/>
            <w:rFonts w:ascii="Times New Roman" w:hAnsi="Times New Roman" w:cs="Times New Roman"/>
            <w:color w:val="auto"/>
            <w:sz w:val="28"/>
            <w:szCs w:val="28"/>
            <w:u w:val="none"/>
            <w:lang w:val="en-US"/>
          </w:rPr>
          <w:t>https</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minzdrav</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gov</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murman</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ru</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documents</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poryadki</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okazaniya</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meditsinskoy</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pomoshchi</w:t>
        </w:r>
        <w:r w:rsidRPr="001F16F1">
          <w:rPr>
            <w:rStyle w:val="a9"/>
            <w:rFonts w:ascii="Times New Roman" w:hAnsi="Times New Roman" w:cs="Times New Roman"/>
            <w:color w:val="auto"/>
            <w:sz w:val="28"/>
            <w:szCs w:val="28"/>
            <w:u w:val="none"/>
          </w:rPr>
          <w:t>/</w:t>
        </w:r>
        <w:r w:rsidRPr="001F16F1">
          <w:rPr>
            <w:rStyle w:val="a9"/>
            <w:rFonts w:ascii="Times New Roman" w:hAnsi="Times New Roman" w:cs="Times New Roman"/>
            <w:color w:val="auto"/>
            <w:sz w:val="28"/>
            <w:szCs w:val="28"/>
            <w:u w:val="none"/>
            <w:lang w:val="en-US"/>
          </w:rPr>
          <w:t>CD</w:t>
        </w:r>
        <w:r w:rsidRPr="001F16F1">
          <w:rPr>
            <w:rStyle w:val="a9"/>
            <w:rFonts w:ascii="Times New Roman" w:hAnsi="Times New Roman" w:cs="Times New Roman"/>
            <w:color w:val="auto"/>
            <w:sz w:val="28"/>
            <w:szCs w:val="28"/>
            <w:u w:val="none"/>
          </w:rPr>
          <w:t>7.</w:t>
        </w:r>
        <w:r w:rsidRPr="001F16F1">
          <w:rPr>
            <w:rStyle w:val="a9"/>
            <w:rFonts w:ascii="Times New Roman" w:hAnsi="Times New Roman" w:cs="Times New Roman"/>
            <w:color w:val="auto"/>
            <w:sz w:val="28"/>
            <w:szCs w:val="28"/>
            <w:u w:val="none"/>
            <w:lang w:val="en-US"/>
          </w:rPr>
          <w:t>pdf</w:t>
        </w:r>
      </w:hyperlink>
    </w:p>
    <w:p w:rsidR="00336778" w:rsidRPr="00336778" w:rsidRDefault="00730F4E" w:rsidP="00D90FB9">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3</w:t>
      </w:r>
      <w:r w:rsidR="00AB3943">
        <w:rPr>
          <w:rFonts w:ascii="Times New Roman" w:hAnsi="Times New Roman" w:cs="Times New Roman"/>
          <w:sz w:val="28"/>
          <w:szCs w:val="28"/>
          <w:lang w:val="uk-UA"/>
        </w:rPr>
        <w:t>0</w:t>
      </w:r>
      <w:r w:rsidR="001F16F1" w:rsidRPr="00D17E01">
        <w:rPr>
          <w:rFonts w:ascii="Times New Roman" w:hAnsi="Times New Roman" w:cs="Times New Roman"/>
          <w:sz w:val="28"/>
          <w:szCs w:val="28"/>
        </w:rPr>
        <w:t xml:space="preserve">. </w:t>
      </w:r>
      <w:r w:rsidR="00336778" w:rsidRPr="00336778">
        <w:rPr>
          <w:rFonts w:ascii="Times New Roman" w:hAnsi="Times New Roman" w:cs="Times New Roman"/>
          <w:sz w:val="28"/>
          <w:szCs w:val="28"/>
          <w:lang w:val="uk-UA"/>
        </w:rPr>
        <w:t>Кравчун ПП. Клініко-патогенетичні та діагностично-терапевтичні аспекти прогресування хронічної серцевої недостатності у хворих на постінфарктний кардіосклероз у поєднанні з цукровим діабетом 2 типу й ожирінням [дисертація]. Харків: Харків. нац. медичний ун-т; 2017. 415 с.</w:t>
      </w:r>
    </w:p>
    <w:p w:rsidR="00D10973" w:rsidRPr="00D10973" w:rsidRDefault="00730F4E" w:rsidP="00D1097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B3943">
        <w:rPr>
          <w:rFonts w:ascii="Times New Roman" w:hAnsi="Times New Roman" w:cs="Times New Roman"/>
          <w:sz w:val="28"/>
          <w:szCs w:val="28"/>
          <w:lang w:val="uk-UA"/>
        </w:rPr>
        <w:t>1</w:t>
      </w:r>
      <w:r w:rsidR="00D10973">
        <w:rPr>
          <w:rFonts w:ascii="Times New Roman" w:hAnsi="Times New Roman" w:cs="Times New Roman"/>
          <w:sz w:val="28"/>
          <w:szCs w:val="28"/>
          <w:lang w:val="uk-UA"/>
        </w:rPr>
        <w:t xml:space="preserve">. </w:t>
      </w:r>
      <w:r w:rsidR="00D10973" w:rsidRPr="00D10973">
        <w:rPr>
          <w:rFonts w:ascii="Times New Roman" w:hAnsi="Times New Roman" w:cs="Times New Roman"/>
          <w:sz w:val="28"/>
          <w:szCs w:val="28"/>
          <w:lang w:val="uk-UA"/>
        </w:rPr>
        <w:t>Uydu HA, Bostan M, Atak M, Yılmaz A, Demir A, Akçan B, et al. Cholesterol Forms and Traditional Lipid Profile for Projection of Atherogenic Dyslipidemia: Lipoprotein Subfractions and Erythrocyte Membrane Cholesterol. J Membr Biol [Internet]. 2014 Feb;247(2):127-34. Available from:</w:t>
      </w:r>
    </w:p>
    <w:p w:rsidR="00D10973" w:rsidRPr="00D10973" w:rsidRDefault="00D10973" w:rsidP="00D10973">
      <w:pPr>
        <w:tabs>
          <w:tab w:val="left" w:pos="2880"/>
        </w:tabs>
        <w:spacing w:after="0" w:line="360" w:lineRule="auto"/>
        <w:jc w:val="both"/>
        <w:rPr>
          <w:rFonts w:ascii="Times New Roman" w:hAnsi="Times New Roman" w:cs="Times New Roman"/>
          <w:sz w:val="28"/>
          <w:szCs w:val="28"/>
          <w:lang w:val="uk-UA"/>
        </w:rPr>
      </w:pPr>
      <w:r w:rsidRPr="00D10973">
        <w:rPr>
          <w:rFonts w:ascii="Times New Roman" w:hAnsi="Times New Roman" w:cs="Times New Roman"/>
          <w:sz w:val="28"/>
          <w:szCs w:val="28"/>
          <w:lang w:val="uk-UA"/>
        </w:rPr>
        <w:t xml:space="preserve">https://www.ncbi.nlm.nih.gov/pubmed/24240543 </w:t>
      </w:r>
    </w:p>
    <w:p w:rsidR="001F16F1" w:rsidRDefault="00D10973" w:rsidP="00D10973">
      <w:pPr>
        <w:tabs>
          <w:tab w:val="left" w:pos="2880"/>
        </w:tabs>
        <w:spacing w:after="0" w:line="360" w:lineRule="auto"/>
        <w:jc w:val="both"/>
        <w:rPr>
          <w:rFonts w:ascii="Times New Roman" w:hAnsi="Times New Roman" w:cs="Times New Roman"/>
          <w:sz w:val="28"/>
          <w:szCs w:val="28"/>
          <w:lang w:val="uk-UA"/>
        </w:rPr>
      </w:pPr>
      <w:r w:rsidRPr="00D10973">
        <w:rPr>
          <w:rFonts w:ascii="Times New Roman" w:hAnsi="Times New Roman" w:cs="Times New Roman"/>
          <w:sz w:val="28"/>
          <w:szCs w:val="28"/>
          <w:lang w:val="uk-UA"/>
        </w:rPr>
        <w:t>DOI: 10.1007/s00232-013-9611-2.</w:t>
      </w:r>
    </w:p>
    <w:p w:rsidR="00D10973" w:rsidRPr="00D10973" w:rsidRDefault="00730F4E" w:rsidP="00D1097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B3943">
        <w:rPr>
          <w:rFonts w:ascii="Times New Roman" w:hAnsi="Times New Roman" w:cs="Times New Roman"/>
          <w:sz w:val="28"/>
          <w:szCs w:val="28"/>
          <w:lang w:val="uk-UA"/>
        </w:rPr>
        <w:t>2</w:t>
      </w:r>
      <w:r w:rsidR="00D10973">
        <w:rPr>
          <w:rFonts w:ascii="Times New Roman" w:hAnsi="Times New Roman" w:cs="Times New Roman"/>
          <w:sz w:val="28"/>
          <w:szCs w:val="28"/>
          <w:lang w:val="uk-UA"/>
        </w:rPr>
        <w:t>. Нгуен Зань Хань</w:t>
      </w:r>
      <w:r w:rsidR="00D10973" w:rsidRPr="00D10973">
        <w:rPr>
          <w:rFonts w:ascii="Times New Roman" w:hAnsi="Times New Roman" w:cs="Times New Roman"/>
          <w:sz w:val="28"/>
          <w:szCs w:val="28"/>
          <w:lang w:val="uk-UA"/>
        </w:rPr>
        <w:t>. Липидный обмен при сахарном диабете и его осложнениях [диссертация в Интернете]. Москва: Российский нац. исследовательский медицинский ун-т им. Н.И. Пирогова; 2015. Доступно на:</w:t>
      </w:r>
    </w:p>
    <w:p w:rsidR="00D10973" w:rsidRPr="00D10973" w:rsidRDefault="000A6805" w:rsidP="00D10973">
      <w:pPr>
        <w:tabs>
          <w:tab w:val="left" w:pos="2880"/>
        </w:tabs>
        <w:spacing w:after="0" w:line="360" w:lineRule="auto"/>
        <w:jc w:val="both"/>
        <w:rPr>
          <w:rFonts w:ascii="Times New Roman" w:hAnsi="Times New Roman" w:cs="Times New Roman"/>
          <w:sz w:val="28"/>
          <w:szCs w:val="28"/>
          <w:lang w:val="uk-UA"/>
        </w:rPr>
      </w:pPr>
      <w:hyperlink r:id="rId38" w:history="1">
        <w:r w:rsidR="00D10973" w:rsidRPr="00D10973">
          <w:rPr>
            <w:rStyle w:val="a9"/>
            <w:rFonts w:ascii="Times New Roman" w:hAnsi="Times New Roman" w:cs="Times New Roman"/>
            <w:color w:val="auto"/>
            <w:sz w:val="28"/>
            <w:szCs w:val="28"/>
            <w:u w:val="none"/>
            <w:lang w:val="uk-UA"/>
          </w:rPr>
          <w:t>http://rsmu.ru/fileadmin/rsmu/img/about_rsmu/disser/14/d_nguen_zan_han.pdf</w:t>
        </w:r>
      </w:hyperlink>
    </w:p>
    <w:p w:rsidR="00D17E01" w:rsidRPr="00D17E01" w:rsidRDefault="00730F4E" w:rsidP="00D17E0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AB3943">
        <w:rPr>
          <w:rFonts w:ascii="Times New Roman" w:hAnsi="Times New Roman" w:cs="Times New Roman"/>
          <w:sz w:val="28"/>
          <w:szCs w:val="28"/>
          <w:lang w:val="uk-UA"/>
        </w:rPr>
        <w:t>3</w:t>
      </w:r>
      <w:r w:rsidR="00D10973">
        <w:rPr>
          <w:rFonts w:ascii="Times New Roman" w:hAnsi="Times New Roman" w:cs="Times New Roman"/>
          <w:sz w:val="28"/>
          <w:szCs w:val="28"/>
          <w:lang w:val="uk-UA"/>
        </w:rPr>
        <w:t xml:space="preserve">. </w:t>
      </w:r>
      <w:r w:rsidR="00D17E01" w:rsidRPr="00D17E01">
        <w:rPr>
          <w:rFonts w:ascii="Times New Roman" w:hAnsi="Times New Roman" w:cs="Times New Roman"/>
          <w:sz w:val="28"/>
          <w:szCs w:val="28"/>
          <w:lang w:val="uk-UA"/>
        </w:rPr>
        <w:t xml:space="preserve">Маньковский БН. Лечение атерогенной дислипидемии у пациентов с сахарным диабетом 2 типа: место фенофибрата. Здоров’я України [Інтернет]. 2014 Лист;22-3. Доступно на: </w:t>
      </w:r>
    </w:p>
    <w:p w:rsidR="00D10973" w:rsidRPr="00D17E01" w:rsidRDefault="000A6805" w:rsidP="00D17E01">
      <w:pPr>
        <w:tabs>
          <w:tab w:val="left" w:pos="2880"/>
        </w:tabs>
        <w:spacing w:after="0" w:line="360" w:lineRule="auto"/>
        <w:jc w:val="both"/>
        <w:rPr>
          <w:rFonts w:ascii="Times New Roman" w:hAnsi="Times New Roman" w:cs="Times New Roman"/>
          <w:sz w:val="28"/>
          <w:szCs w:val="28"/>
          <w:lang w:val="uk-UA"/>
        </w:rPr>
      </w:pPr>
      <w:hyperlink r:id="rId39" w:history="1">
        <w:r w:rsidR="00D17E01" w:rsidRPr="00D17E01">
          <w:rPr>
            <w:rStyle w:val="a9"/>
            <w:rFonts w:ascii="Times New Roman" w:hAnsi="Times New Roman" w:cs="Times New Roman"/>
            <w:color w:val="auto"/>
            <w:sz w:val="28"/>
            <w:szCs w:val="28"/>
            <w:u w:val="none"/>
            <w:lang w:val="uk-UA"/>
          </w:rPr>
          <w:t>http://health-ua.com/pics/pdf/ZU_2014_Cardio_5/22-23.pdf</w:t>
        </w:r>
      </w:hyperlink>
    </w:p>
    <w:p w:rsidR="00D17E01" w:rsidRDefault="00730F4E" w:rsidP="00D17E01">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3</w:t>
      </w:r>
      <w:r w:rsidR="007924D9">
        <w:rPr>
          <w:rFonts w:ascii="Times New Roman" w:hAnsi="Times New Roman" w:cs="Times New Roman"/>
          <w:sz w:val="28"/>
          <w:szCs w:val="28"/>
          <w:lang w:val="uk-UA"/>
        </w:rPr>
        <w:t>4</w:t>
      </w:r>
      <w:r w:rsidR="00D17E01">
        <w:rPr>
          <w:rFonts w:ascii="Times New Roman" w:hAnsi="Times New Roman" w:cs="Times New Roman"/>
          <w:sz w:val="28"/>
          <w:szCs w:val="28"/>
          <w:lang w:val="uk-UA"/>
        </w:rPr>
        <w:t>.</w:t>
      </w:r>
      <w:r w:rsidR="00485AFA">
        <w:rPr>
          <w:rFonts w:ascii="Times New Roman" w:hAnsi="Times New Roman" w:cs="Times New Roman"/>
          <w:sz w:val="28"/>
          <w:szCs w:val="28"/>
          <w:lang w:val="uk-UA"/>
        </w:rPr>
        <w:t xml:space="preserve"> </w:t>
      </w:r>
      <w:r w:rsidR="00485AFA" w:rsidRPr="00485AFA">
        <w:rPr>
          <w:rFonts w:ascii="Times New Roman" w:hAnsi="Times New Roman" w:cs="Times New Roman"/>
          <w:sz w:val="28"/>
          <w:szCs w:val="28"/>
          <w:lang w:val="uk-UA"/>
        </w:rPr>
        <w:t>Sena</w:t>
      </w:r>
      <w:r w:rsidR="00485AFA">
        <w:rPr>
          <w:rFonts w:ascii="Times New Roman" w:hAnsi="Times New Roman" w:cs="Times New Roman"/>
          <w:sz w:val="28"/>
          <w:szCs w:val="28"/>
          <w:lang w:val="uk-UA"/>
        </w:rPr>
        <w:t xml:space="preserve"> С</w:t>
      </w:r>
      <w:r w:rsidR="00485AFA">
        <w:rPr>
          <w:rFonts w:ascii="Times New Roman" w:hAnsi="Times New Roman" w:cs="Times New Roman"/>
          <w:sz w:val="28"/>
          <w:szCs w:val="28"/>
          <w:lang w:val="en-US"/>
        </w:rPr>
        <w:t xml:space="preserve">M, </w:t>
      </w:r>
      <w:r w:rsidR="00485AFA" w:rsidRPr="00485AFA">
        <w:rPr>
          <w:rFonts w:ascii="Times New Roman" w:hAnsi="Times New Roman" w:cs="Times New Roman"/>
          <w:sz w:val="28"/>
          <w:szCs w:val="28"/>
          <w:lang w:val="uk-UA"/>
        </w:rPr>
        <w:t>Pereira</w:t>
      </w:r>
      <w:r w:rsidR="00485AFA">
        <w:rPr>
          <w:rFonts w:ascii="Times New Roman" w:hAnsi="Times New Roman" w:cs="Times New Roman"/>
          <w:sz w:val="28"/>
          <w:szCs w:val="28"/>
          <w:lang w:val="en-US"/>
        </w:rPr>
        <w:t xml:space="preserve"> AM, </w:t>
      </w:r>
      <w:r w:rsidR="00485AFA" w:rsidRPr="00485AFA">
        <w:rPr>
          <w:rFonts w:ascii="Times New Roman" w:hAnsi="Times New Roman" w:cs="Times New Roman"/>
          <w:sz w:val="28"/>
          <w:szCs w:val="28"/>
          <w:lang w:val="uk-UA"/>
        </w:rPr>
        <w:t>Seiça</w:t>
      </w:r>
      <w:r w:rsidR="00485AFA">
        <w:rPr>
          <w:rFonts w:ascii="Times New Roman" w:hAnsi="Times New Roman" w:cs="Times New Roman"/>
          <w:sz w:val="28"/>
          <w:szCs w:val="28"/>
          <w:lang w:val="en-US"/>
        </w:rPr>
        <w:t xml:space="preserve"> R. Endothelial dysfunction — a</w:t>
      </w:r>
      <w:r w:rsidR="00485AFA" w:rsidRPr="00485AFA">
        <w:rPr>
          <w:rFonts w:ascii="Times New Roman" w:hAnsi="Times New Roman" w:cs="Times New Roman"/>
          <w:sz w:val="28"/>
          <w:szCs w:val="28"/>
          <w:lang w:val="en-US"/>
        </w:rPr>
        <w:t xml:space="preserve"> major mediator of diabetic vascular disease</w:t>
      </w:r>
      <w:r w:rsidR="00485AFA">
        <w:rPr>
          <w:rFonts w:ascii="Times New Roman" w:hAnsi="Times New Roman" w:cs="Times New Roman"/>
          <w:sz w:val="28"/>
          <w:szCs w:val="28"/>
          <w:lang w:val="en-US"/>
        </w:rPr>
        <w:t>. Biochimica et Biophysica Acta BBA</w:t>
      </w:r>
      <w:r w:rsidR="00485AFA" w:rsidRPr="00485AFA">
        <w:rPr>
          <w:rFonts w:ascii="Times New Roman" w:hAnsi="Times New Roman" w:cs="Times New Roman"/>
          <w:sz w:val="28"/>
          <w:szCs w:val="28"/>
          <w:lang w:val="en-US"/>
        </w:rPr>
        <w:t xml:space="preserve"> - Molecular Basis of Disease</w:t>
      </w:r>
      <w:r w:rsidR="00A00087">
        <w:rPr>
          <w:rFonts w:ascii="Times New Roman" w:hAnsi="Times New Roman" w:cs="Times New Roman"/>
          <w:sz w:val="28"/>
          <w:szCs w:val="28"/>
          <w:lang w:val="en-US"/>
        </w:rPr>
        <w:t xml:space="preserve"> </w:t>
      </w:r>
      <w:r w:rsidR="00A00087" w:rsidRPr="00A00087">
        <w:rPr>
          <w:rFonts w:ascii="Times New Roman" w:hAnsi="Times New Roman" w:cs="Times New Roman"/>
          <w:sz w:val="28"/>
          <w:szCs w:val="28"/>
          <w:lang w:val="en-US"/>
        </w:rPr>
        <w:t>[Internet].</w:t>
      </w:r>
      <w:r w:rsidR="00A00087">
        <w:rPr>
          <w:rFonts w:ascii="Times New Roman" w:hAnsi="Times New Roman" w:cs="Times New Roman"/>
          <w:sz w:val="28"/>
          <w:szCs w:val="28"/>
          <w:lang w:val="en-US"/>
        </w:rPr>
        <w:t xml:space="preserve"> 2013 Dec;1832(</w:t>
      </w:r>
      <w:r w:rsidR="00A00087" w:rsidRPr="00A00087">
        <w:rPr>
          <w:rFonts w:ascii="Times New Roman" w:hAnsi="Times New Roman" w:cs="Times New Roman"/>
          <w:sz w:val="28"/>
          <w:szCs w:val="28"/>
          <w:lang w:val="en-US"/>
        </w:rPr>
        <w:t>12</w:t>
      </w:r>
      <w:r w:rsidR="00A00087">
        <w:rPr>
          <w:rFonts w:ascii="Times New Roman" w:hAnsi="Times New Roman" w:cs="Times New Roman"/>
          <w:sz w:val="28"/>
          <w:szCs w:val="28"/>
          <w:lang w:val="en-US"/>
        </w:rPr>
        <w:t>):2216-</w:t>
      </w:r>
      <w:r w:rsidR="00A00087" w:rsidRPr="00A00087">
        <w:rPr>
          <w:rFonts w:ascii="Times New Roman" w:hAnsi="Times New Roman" w:cs="Times New Roman"/>
          <w:sz w:val="28"/>
          <w:szCs w:val="28"/>
          <w:lang w:val="en-US"/>
        </w:rPr>
        <w:t>31</w:t>
      </w:r>
      <w:r w:rsidR="00A00087">
        <w:rPr>
          <w:rFonts w:ascii="Times New Roman" w:hAnsi="Times New Roman" w:cs="Times New Roman"/>
          <w:sz w:val="28"/>
          <w:szCs w:val="28"/>
          <w:lang w:val="en-US"/>
        </w:rPr>
        <w:t xml:space="preserve">. </w:t>
      </w:r>
      <w:r w:rsidR="00A00087" w:rsidRPr="00A00087">
        <w:rPr>
          <w:rFonts w:ascii="Times New Roman" w:hAnsi="Times New Roman" w:cs="Times New Roman"/>
          <w:sz w:val="28"/>
          <w:szCs w:val="28"/>
          <w:lang w:val="en-US"/>
        </w:rPr>
        <w:t>Available from:</w:t>
      </w:r>
    </w:p>
    <w:p w:rsidR="00730F4E" w:rsidRDefault="000A6805" w:rsidP="008648EE">
      <w:pPr>
        <w:tabs>
          <w:tab w:val="left" w:pos="2880"/>
        </w:tabs>
        <w:spacing w:after="0" w:line="360" w:lineRule="auto"/>
        <w:jc w:val="both"/>
        <w:rPr>
          <w:rFonts w:ascii="Times New Roman" w:hAnsi="Times New Roman" w:cs="Times New Roman"/>
          <w:sz w:val="28"/>
          <w:szCs w:val="28"/>
          <w:lang w:val="en-US"/>
        </w:rPr>
      </w:pPr>
      <w:hyperlink r:id="rId40" w:history="1">
        <w:r w:rsidR="00A00087" w:rsidRPr="00A00087">
          <w:rPr>
            <w:rStyle w:val="a9"/>
            <w:rFonts w:ascii="Times New Roman" w:hAnsi="Times New Roman" w:cs="Times New Roman"/>
            <w:color w:val="auto"/>
            <w:sz w:val="28"/>
            <w:szCs w:val="28"/>
            <w:u w:val="none"/>
            <w:lang w:val="en-US"/>
          </w:rPr>
          <w:t>https://www.sciencedirect.com/science/article/pii/S0925443913002718</w:t>
        </w:r>
      </w:hyperlink>
    </w:p>
    <w:p w:rsidR="008648EE" w:rsidRPr="008648EE" w:rsidRDefault="007924D9" w:rsidP="008648E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Pr>
          <w:rFonts w:ascii="Times New Roman" w:hAnsi="Times New Roman" w:cs="Times New Roman"/>
          <w:sz w:val="28"/>
          <w:szCs w:val="28"/>
          <w:lang w:val="uk-UA"/>
        </w:rPr>
        <w:t>5</w:t>
      </w:r>
      <w:r w:rsidR="00A00087">
        <w:rPr>
          <w:rFonts w:ascii="Times New Roman" w:hAnsi="Times New Roman" w:cs="Times New Roman"/>
          <w:sz w:val="28"/>
          <w:szCs w:val="28"/>
          <w:lang w:val="en-US"/>
        </w:rPr>
        <w:t>.</w:t>
      </w:r>
      <w:r w:rsidR="008648EE">
        <w:rPr>
          <w:rFonts w:ascii="Times New Roman" w:hAnsi="Times New Roman" w:cs="Times New Roman"/>
          <w:sz w:val="28"/>
          <w:szCs w:val="28"/>
          <w:lang w:val="en-US"/>
        </w:rPr>
        <w:t xml:space="preserve"> </w:t>
      </w:r>
      <w:r w:rsidR="008648EE" w:rsidRPr="008648EE">
        <w:rPr>
          <w:rFonts w:ascii="Times New Roman" w:hAnsi="Times New Roman" w:cs="Times New Roman"/>
          <w:sz w:val="28"/>
          <w:szCs w:val="28"/>
          <w:lang w:val="en-US"/>
        </w:rPr>
        <w:t>Weber MA, Schiffrin EL, White WB, Mann S, Lindholm LH, Kenerson JG, et al. Clinical practice guidelines for the management of hypertension in the community a statement by the American Society of Hypertension and the International Society of Hypertension. J Clin Hypertens [Internet] 2014 Jan;16(1):14-26. Available from:</w:t>
      </w:r>
    </w:p>
    <w:p w:rsidR="008648EE" w:rsidRDefault="000A6805" w:rsidP="008648EE">
      <w:pPr>
        <w:tabs>
          <w:tab w:val="left" w:pos="2880"/>
        </w:tabs>
        <w:spacing w:after="0" w:line="360" w:lineRule="auto"/>
        <w:jc w:val="both"/>
        <w:rPr>
          <w:rFonts w:ascii="Times New Roman" w:hAnsi="Times New Roman" w:cs="Times New Roman"/>
          <w:sz w:val="28"/>
          <w:szCs w:val="28"/>
          <w:lang w:val="en-US"/>
        </w:rPr>
      </w:pPr>
      <w:hyperlink r:id="rId41" w:history="1">
        <w:r w:rsidR="00791714" w:rsidRPr="00791714">
          <w:rPr>
            <w:rStyle w:val="a9"/>
            <w:rFonts w:ascii="Times New Roman" w:hAnsi="Times New Roman" w:cs="Times New Roman"/>
            <w:color w:val="auto"/>
            <w:sz w:val="28"/>
            <w:szCs w:val="28"/>
            <w:u w:val="none"/>
            <w:lang w:val="en-US"/>
          </w:rPr>
          <w:t>https://www.ncbi.nlm.nih.gov/pubmed/24341872</w:t>
        </w:r>
      </w:hyperlink>
      <w:r w:rsidR="00791714">
        <w:rPr>
          <w:rFonts w:ascii="Times New Roman" w:hAnsi="Times New Roman" w:cs="Times New Roman"/>
          <w:sz w:val="28"/>
          <w:szCs w:val="28"/>
          <w:lang w:val="uk-UA"/>
        </w:rPr>
        <w:t xml:space="preserve"> </w:t>
      </w:r>
      <w:r w:rsidR="008648EE" w:rsidRPr="008648EE">
        <w:rPr>
          <w:rFonts w:ascii="Times New Roman" w:hAnsi="Times New Roman" w:cs="Times New Roman"/>
          <w:sz w:val="28"/>
          <w:szCs w:val="28"/>
          <w:lang w:val="en-US"/>
        </w:rPr>
        <w:t>DOI: 10.1111/jch.12237</w:t>
      </w:r>
    </w:p>
    <w:p w:rsidR="002E54BA" w:rsidRDefault="00A15585" w:rsidP="00791714">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924D9">
        <w:rPr>
          <w:rFonts w:ascii="Times New Roman" w:hAnsi="Times New Roman" w:cs="Times New Roman"/>
          <w:sz w:val="28"/>
          <w:szCs w:val="28"/>
          <w:lang w:val="uk-UA"/>
        </w:rPr>
        <w:t>6</w:t>
      </w:r>
      <w:r w:rsidR="00791714">
        <w:rPr>
          <w:rFonts w:ascii="Times New Roman" w:hAnsi="Times New Roman" w:cs="Times New Roman"/>
          <w:sz w:val="28"/>
          <w:szCs w:val="28"/>
          <w:lang w:val="uk-UA"/>
        </w:rPr>
        <w:t xml:space="preserve">. </w:t>
      </w:r>
      <w:r w:rsidR="00791714" w:rsidRPr="00791714">
        <w:rPr>
          <w:rFonts w:ascii="Times New Roman" w:hAnsi="Times New Roman" w:cs="Times New Roman"/>
          <w:sz w:val="28"/>
          <w:szCs w:val="28"/>
          <w:lang w:val="uk-UA"/>
        </w:rPr>
        <w:t>Ярмола</w:t>
      </w:r>
      <w:r w:rsidR="00791714">
        <w:rPr>
          <w:rFonts w:ascii="Times New Roman" w:hAnsi="Times New Roman" w:cs="Times New Roman"/>
          <w:sz w:val="28"/>
          <w:szCs w:val="28"/>
          <w:lang w:val="uk-UA"/>
        </w:rPr>
        <w:t xml:space="preserve"> ТІ, </w:t>
      </w:r>
      <w:r w:rsidR="00791714" w:rsidRPr="00791714">
        <w:rPr>
          <w:rFonts w:ascii="Times New Roman" w:hAnsi="Times New Roman" w:cs="Times New Roman"/>
          <w:sz w:val="28"/>
          <w:szCs w:val="28"/>
          <w:lang w:val="uk-UA"/>
        </w:rPr>
        <w:t>Ткаченко</w:t>
      </w:r>
      <w:r w:rsidR="00791714">
        <w:rPr>
          <w:rFonts w:ascii="Times New Roman" w:hAnsi="Times New Roman" w:cs="Times New Roman"/>
          <w:sz w:val="28"/>
          <w:szCs w:val="28"/>
          <w:lang w:val="uk-UA"/>
        </w:rPr>
        <w:t xml:space="preserve"> ЛА, </w:t>
      </w:r>
      <w:r w:rsidR="00791714" w:rsidRPr="00791714">
        <w:rPr>
          <w:rFonts w:ascii="Times New Roman" w:hAnsi="Times New Roman" w:cs="Times New Roman"/>
          <w:sz w:val="28"/>
          <w:szCs w:val="28"/>
          <w:lang w:val="uk-UA"/>
        </w:rPr>
        <w:t>Пустовойт</w:t>
      </w:r>
      <w:r w:rsidR="00791714">
        <w:rPr>
          <w:rFonts w:ascii="Times New Roman" w:hAnsi="Times New Roman" w:cs="Times New Roman"/>
          <w:sz w:val="28"/>
          <w:szCs w:val="28"/>
          <w:lang w:val="uk-UA"/>
        </w:rPr>
        <w:t xml:space="preserve"> ГЛ, </w:t>
      </w:r>
      <w:r w:rsidR="00791714" w:rsidRPr="00791714">
        <w:rPr>
          <w:rFonts w:ascii="Times New Roman" w:hAnsi="Times New Roman" w:cs="Times New Roman"/>
          <w:sz w:val="28"/>
          <w:szCs w:val="28"/>
          <w:lang w:val="uk-UA"/>
        </w:rPr>
        <w:t>Мохначов</w:t>
      </w:r>
      <w:r w:rsidR="00791714">
        <w:rPr>
          <w:rFonts w:ascii="Times New Roman" w:hAnsi="Times New Roman" w:cs="Times New Roman"/>
          <w:sz w:val="28"/>
          <w:szCs w:val="28"/>
          <w:lang w:val="uk-UA"/>
        </w:rPr>
        <w:t xml:space="preserve"> ОВ. </w:t>
      </w:r>
      <w:r w:rsidR="00791714" w:rsidRPr="00791714">
        <w:rPr>
          <w:rFonts w:ascii="Times New Roman" w:hAnsi="Times New Roman" w:cs="Times New Roman"/>
          <w:sz w:val="28"/>
          <w:szCs w:val="28"/>
          <w:lang w:val="uk-UA"/>
        </w:rPr>
        <w:t xml:space="preserve">Особливості ведення </w:t>
      </w:r>
      <w:r w:rsidR="00791714">
        <w:rPr>
          <w:rFonts w:ascii="Times New Roman" w:hAnsi="Times New Roman" w:cs="Times New Roman"/>
          <w:sz w:val="28"/>
          <w:szCs w:val="28"/>
          <w:lang w:val="uk-UA"/>
        </w:rPr>
        <w:t xml:space="preserve">хворих на діабетичну нефропатію </w:t>
      </w:r>
      <w:r w:rsidR="00791714" w:rsidRPr="00791714">
        <w:rPr>
          <w:rFonts w:ascii="Times New Roman" w:hAnsi="Times New Roman" w:cs="Times New Roman"/>
          <w:sz w:val="28"/>
          <w:szCs w:val="28"/>
          <w:lang w:val="uk-UA"/>
        </w:rPr>
        <w:t>з вторинною арт</w:t>
      </w:r>
      <w:r w:rsidR="00791714">
        <w:rPr>
          <w:rFonts w:ascii="Times New Roman" w:hAnsi="Times New Roman" w:cs="Times New Roman"/>
          <w:sz w:val="28"/>
          <w:szCs w:val="28"/>
          <w:lang w:val="uk-UA"/>
        </w:rPr>
        <w:t xml:space="preserve">еріальною гіпертензією лікарями </w:t>
      </w:r>
      <w:r w:rsidR="00791714" w:rsidRPr="00791714">
        <w:rPr>
          <w:rFonts w:ascii="Times New Roman" w:hAnsi="Times New Roman" w:cs="Times New Roman"/>
          <w:sz w:val="28"/>
          <w:szCs w:val="28"/>
          <w:lang w:val="uk-UA"/>
        </w:rPr>
        <w:t>загальної практики–сімейної медицини</w:t>
      </w:r>
      <w:r w:rsidR="00791714">
        <w:rPr>
          <w:rFonts w:ascii="Times New Roman" w:hAnsi="Times New Roman" w:cs="Times New Roman"/>
          <w:sz w:val="28"/>
          <w:szCs w:val="28"/>
          <w:lang w:val="uk-UA"/>
        </w:rPr>
        <w:t>. Семейная медицина [Інтернет]. 2016</w:t>
      </w:r>
      <w:r w:rsidR="00791714" w:rsidRPr="002E54BA">
        <w:rPr>
          <w:rFonts w:ascii="Times New Roman" w:hAnsi="Times New Roman" w:cs="Times New Roman"/>
          <w:sz w:val="28"/>
          <w:szCs w:val="28"/>
          <w:lang w:val="uk-UA"/>
        </w:rPr>
        <w:t>;1(63):49-51</w:t>
      </w:r>
      <w:r w:rsidR="002E54BA" w:rsidRPr="002E54BA">
        <w:rPr>
          <w:rFonts w:ascii="Times New Roman" w:hAnsi="Times New Roman" w:cs="Times New Roman"/>
          <w:sz w:val="28"/>
          <w:szCs w:val="28"/>
          <w:lang w:val="uk-UA"/>
        </w:rPr>
        <w:t xml:space="preserve">. </w:t>
      </w:r>
      <w:r w:rsidR="002E54BA">
        <w:rPr>
          <w:rFonts w:ascii="Times New Roman" w:hAnsi="Times New Roman" w:cs="Times New Roman"/>
          <w:sz w:val="28"/>
          <w:szCs w:val="28"/>
          <w:lang w:val="uk-UA"/>
        </w:rPr>
        <w:t xml:space="preserve">Доступно на: </w:t>
      </w:r>
    </w:p>
    <w:p w:rsidR="00791714" w:rsidRDefault="002E54BA" w:rsidP="00791714">
      <w:pPr>
        <w:tabs>
          <w:tab w:val="left" w:pos="2880"/>
        </w:tabs>
        <w:spacing w:after="0" w:line="360" w:lineRule="auto"/>
        <w:jc w:val="both"/>
        <w:rPr>
          <w:rFonts w:ascii="Times New Roman" w:hAnsi="Times New Roman" w:cs="Times New Roman"/>
          <w:sz w:val="28"/>
          <w:szCs w:val="28"/>
          <w:lang w:val="uk-UA"/>
        </w:rPr>
      </w:pPr>
      <w:r w:rsidRPr="002E54BA">
        <w:rPr>
          <w:rFonts w:ascii="Times New Roman" w:hAnsi="Times New Roman" w:cs="Times New Roman"/>
          <w:sz w:val="28"/>
          <w:szCs w:val="28"/>
          <w:lang w:val="uk-UA"/>
        </w:rPr>
        <w:t>http://elib.umsa.edu.ua/bitstream/umsa/3942/1/simmed_2016_1_11.pdf</w:t>
      </w:r>
    </w:p>
    <w:p w:rsidR="0033689E" w:rsidRPr="007924D9" w:rsidRDefault="00791714" w:rsidP="0033689E">
      <w:pPr>
        <w:tabs>
          <w:tab w:val="left" w:pos="2880"/>
        </w:tabs>
        <w:spacing w:after="0" w:line="360" w:lineRule="auto"/>
        <w:jc w:val="both"/>
        <w:rPr>
          <w:rFonts w:ascii="Times New Roman" w:hAnsi="Times New Roman" w:cs="Times New Roman"/>
          <w:sz w:val="28"/>
          <w:szCs w:val="28"/>
          <w:lang w:val="uk-UA"/>
        </w:rPr>
      </w:pPr>
      <w:r w:rsidRPr="00791714">
        <w:rPr>
          <w:rFonts w:ascii="Times New Roman" w:hAnsi="Times New Roman" w:cs="Times New Roman"/>
          <w:sz w:val="28"/>
          <w:szCs w:val="28"/>
          <w:lang w:val="uk-UA"/>
        </w:rPr>
        <w:t>3</w:t>
      </w:r>
      <w:r w:rsidR="007924D9">
        <w:rPr>
          <w:rFonts w:ascii="Times New Roman" w:hAnsi="Times New Roman" w:cs="Times New Roman"/>
          <w:sz w:val="28"/>
          <w:szCs w:val="28"/>
          <w:lang w:val="uk-UA"/>
        </w:rPr>
        <w:t>7</w:t>
      </w:r>
      <w:r w:rsidR="008648EE" w:rsidRPr="00791714">
        <w:rPr>
          <w:rFonts w:ascii="Times New Roman" w:hAnsi="Times New Roman" w:cs="Times New Roman"/>
          <w:sz w:val="28"/>
          <w:szCs w:val="28"/>
          <w:lang w:val="uk-UA"/>
        </w:rPr>
        <w:t xml:space="preserve">. </w:t>
      </w:r>
      <w:r w:rsidR="0033689E" w:rsidRPr="002E54BA">
        <w:rPr>
          <w:rFonts w:ascii="Times New Roman" w:hAnsi="Times New Roman" w:cs="Times New Roman"/>
          <w:sz w:val="28"/>
          <w:szCs w:val="28"/>
          <w:lang w:val="uk-UA"/>
        </w:rPr>
        <w:t xml:space="preserve">Рекомендації Української Асоціації Кардіологів, Української асоціації Ендокринних Хірургів, Асоціації Нефрологів України </w:t>
      </w:r>
      <w:r w:rsidR="0033689E" w:rsidRPr="00522156">
        <w:rPr>
          <w:rFonts w:ascii="Times New Roman" w:hAnsi="Times New Roman" w:cs="Times New Roman"/>
          <w:sz w:val="28"/>
          <w:szCs w:val="28"/>
          <w:lang w:val="uk-UA"/>
        </w:rPr>
        <w:t xml:space="preserve">з диференціальної діагностики артеріальних гіпертензій 2014р. </w:t>
      </w:r>
      <w:r w:rsidR="0033689E" w:rsidRPr="0033689E">
        <w:rPr>
          <w:rFonts w:ascii="Times New Roman" w:hAnsi="Times New Roman" w:cs="Times New Roman"/>
          <w:sz w:val="28"/>
          <w:szCs w:val="28"/>
          <w:lang w:val="en-US"/>
        </w:rPr>
        <w:t>International</w:t>
      </w:r>
      <w:r w:rsidR="0033689E" w:rsidRPr="007924D9">
        <w:rPr>
          <w:rFonts w:ascii="Times New Roman" w:hAnsi="Times New Roman" w:cs="Times New Roman"/>
          <w:sz w:val="28"/>
          <w:szCs w:val="28"/>
          <w:lang w:val="uk-UA"/>
        </w:rPr>
        <w:t xml:space="preserve"> </w:t>
      </w:r>
      <w:r w:rsidR="0033689E" w:rsidRPr="0033689E">
        <w:rPr>
          <w:rFonts w:ascii="Times New Roman" w:hAnsi="Times New Roman" w:cs="Times New Roman"/>
          <w:sz w:val="28"/>
          <w:szCs w:val="28"/>
          <w:lang w:val="en-US"/>
        </w:rPr>
        <w:t>journal</w:t>
      </w:r>
      <w:r w:rsidR="0033689E" w:rsidRPr="007924D9">
        <w:rPr>
          <w:rFonts w:ascii="Times New Roman" w:hAnsi="Times New Roman" w:cs="Times New Roman"/>
          <w:sz w:val="28"/>
          <w:szCs w:val="28"/>
          <w:lang w:val="uk-UA"/>
        </w:rPr>
        <w:t xml:space="preserve"> </w:t>
      </w:r>
      <w:r w:rsidR="0033689E" w:rsidRPr="0033689E">
        <w:rPr>
          <w:rFonts w:ascii="Times New Roman" w:hAnsi="Times New Roman" w:cs="Times New Roman"/>
          <w:sz w:val="28"/>
          <w:szCs w:val="28"/>
          <w:lang w:val="en-US"/>
        </w:rPr>
        <w:t>of</w:t>
      </w:r>
      <w:r w:rsidR="0033689E" w:rsidRPr="007924D9">
        <w:rPr>
          <w:rFonts w:ascii="Times New Roman" w:hAnsi="Times New Roman" w:cs="Times New Roman"/>
          <w:sz w:val="28"/>
          <w:szCs w:val="28"/>
          <w:lang w:val="uk-UA"/>
        </w:rPr>
        <w:t xml:space="preserve"> </w:t>
      </w:r>
      <w:r w:rsidR="0033689E" w:rsidRPr="0033689E">
        <w:rPr>
          <w:rFonts w:ascii="Times New Roman" w:hAnsi="Times New Roman" w:cs="Times New Roman"/>
          <w:sz w:val="28"/>
          <w:szCs w:val="28"/>
          <w:lang w:val="en-US"/>
        </w:rPr>
        <w:t>endocrinology</w:t>
      </w:r>
      <w:r w:rsidR="0033689E" w:rsidRPr="007924D9">
        <w:rPr>
          <w:rFonts w:ascii="Times New Roman" w:hAnsi="Times New Roman" w:cs="Times New Roman"/>
          <w:sz w:val="28"/>
          <w:szCs w:val="28"/>
          <w:lang w:val="uk-UA"/>
        </w:rPr>
        <w:t xml:space="preserve"> [</w:t>
      </w:r>
      <w:r w:rsidR="0033689E" w:rsidRPr="0033689E">
        <w:rPr>
          <w:rFonts w:ascii="Times New Roman" w:hAnsi="Times New Roman" w:cs="Times New Roman"/>
          <w:sz w:val="28"/>
          <w:szCs w:val="28"/>
          <w:lang w:val="en-US"/>
        </w:rPr>
        <w:t>Internet</w:t>
      </w:r>
      <w:r w:rsidR="0033689E" w:rsidRPr="007924D9">
        <w:rPr>
          <w:rFonts w:ascii="Times New Roman" w:hAnsi="Times New Roman" w:cs="Times New Roman"/>
          <w:sz w:val="28"/>
          <w:szCs w:val="28"/>
          <w:lang w:val="uk-UA"/>
        </w:rPr>
        <w:t xml:space="preserve">]. 2014;8(64):125-54. </w:t>
      </w:r>
      <w:r w:rsidR="0033689E" w:rsidRPr="0033689E">
        <w:rPr>
          <w:rFonts w:ascii="Times New Roman" w:hAnsi="Times New Roman" w:cs="Times New Roman"/>
          <w:sz w:val="28"/>
          <w:szCs w:val="28"/>
          <w:lang w:val="en-US"/>
        </w:rPr>
        <w:t>Available</w:t>
      </w:r>
      <w:r w:rsidR="0033689E" w:rsidRPr="007924D9">
        <w:rPr>
          <w:rFonts w:ascii="Times New Roman" w:hAnsi="Times New Roman" w:cs="Times New Roman"/>
          <w:sz w:val="28"/>
          <w:szCs w:val="28"/>
          <w:lang w:val="uk-UA"/>
        </w:rPr>
        <w:t xml:space="preserve"> </w:t>
      </w:r>
      <w:r w:rsidR="0033689E" w:rsidRPr="0033689E">
        <w:rPr>
          <w:rFonts w:ascii="Times New Roman" w:hAnsi="Times New Roman" w:cs="Times New Roman"/>
          <w:sz w:val="28"/>
          <w:szCs w:val="28"/>
          <w:lang w:val="en-US"/>
        </w:rPr>
        <w:t>from</w:t>
      </w:r>
      <w:r w:rsidR="0033689E" w:rsidRPr="007924D9">
        <w:rPr>
          <w:rFonts w:ascii="Times New Roman" w:hAnsi="Times New Roman" w:cs="Times New Roman"/>
          <w:sz w:val="28"/>
          <w:szCs w:val="28"/>
          <w:lang w:val="uk-UA"/>
        </w:rPr>
        <w:t>:</w:t>
      </w:r>
    </w:p>
    <w:p w:rsidR="00A00087" w:rsidRPr="00A00087" w:rsidRDefault="0033689E" w:rsidP="0033689E">
      <w:pPr>
        <w:tabs>
          <w:tab w:val="left" w:pos="2880"/>
        </w:tabs>
        <w:spacing w:after="0" w:line="360" w:lineRule="auto"/>
        <w:jc w:val="both"/>
        <w:rPr>
          <w:rFonts w:ascii="Times New Roman" w:hAnsi="Times New Roman" w:cs="Times New Roman"/>
          <w:sz w:val="28"/>
          <w:szCs w:val="28"/>
          <w:lang w:val="en-US"/>
        </w:rPr>
      </w:pPr>
      <w:r w:rsidRPr="0033689E">
        <w:rPr>
          <w:rFonts w:ascii="Times New Roman" w:hAnsi="Times New Roman" w:cs="Times New Roman"/>
          <w:sz w:val="28"/>
          <w:szCs w:val="28"/>
          <w:lang w:val="en-US"/>
        </w:rPr>
        <w:t>rekomendatsiyi-ukrayinskoyi-asotsiatsiyi-kardiologiv-ukrayinskoyi-asotsiatsiyi-endokrinnih-hirurgiv-asotsiatsiyi-nefrologiv.pdf</w:t>
      </w:r>
    </w:p>
    <w:p w:rsidR="00C84D6E" w:rsidRPr="00C84D6E" w:rsidRDefault="007924D9" w:rsidP="00C84D6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uk-UA"/>
        </w:rPr>
        <w:t>8</w:t>
      </w:r>
      <w:r w:rsidR="00C84D6E">
        <w:rPr>
          <w:rFonts w:ascii="Times New Roman" w:hAnsi="Times New Roman" w:cs="Times New Roman"/>
          <w:sz w:val="28"/>
          <w:szCs w:val="28"/>
          <w:lang w:val="en-US"/>
        </w:rPr>
        <w:t xml:space="preserve">. </w:t>
      </w:r>
      <w:r w:rsidR="00C84D6E" w:rsidRPr="00C84D6E">
        <w:rPr>
          <w:rFonts w:ascii="Times New Roman" w:hAnsi="Times New Roman" w:cs="Times New Roman"/>
          <w:sz w:val="28"/>
          <w:szCs w:val="28"/>
          <w:lang w:val="en-US"/>
        </w:rPr>
        <w:t>Kumar S, Aneja GK, Trivedi A, Atam V, Shankhwar SN, Panwar A, et al. Correlation of Diabetic Nephropathy and HbA1C in Newly Diagnosed Type 2 Diabetic Patients of Western UP. International Journal of Scientific and Research Publications [Internet]. 2014 Dec;4(12): ISSN 2250-3153. Available from:</w:t>
      </w:r>
    </w:p>
    <w:p w:rsidR="00A00087" w:rsidRPr="00C84D6E" w:rsidRDefault="000A6805" w:rsidP="00C84D6E">
      <w:pPr>
        <w:tabs>
          <w:tab w:val="left" w:pos="2880"/>
        </w:tabs>
        <w:spacing w:after="0" w:line="360" w:lineRule="auto"/>
        <w:jc w:val="both"/>
        <w:rPr>
          <w:rFonts w:ascii="Times New Roman" w:hAnsi="Times New Roman" w:cs="Times New Roman"/>
          <w:sz w:val="28"/>
          <w:szCs w:val="28"/>
          <w:lang w:val="en-US"/>
        </w:rPr>
      </w:pPr>
      <w:hyperlink r:id="rId42" w:history="1">
        <w:r w:rsidR="00C84D6E" w:rsidRPr="00C84D6E">
          <w:rPr>
            <w:rStyle w:val="a9"/>
            <w:rFonts w:ascii="Times New Roman" w:hAnsi="Times New Roman" w:cs="Times New Roman"/>
            <w:color w:val="auto"/>
            <w:sz w:val="28"/>
            <w:szCs w:val="28"/>
            <w:u w:val="none"/>
            <w:lang w:val="en-US"/>
          </w:rPr>
          <w:t>http://www.ijsrp.org/research-paper-1214/ijsrp-p3658.pdf</w:t>
        </w:r>
      </w:hyperlink>
    </w:p>
    <w:p w:rsidR="00C84D6E" w:rsidRPr="00485AFA" w:rsidRDefault="007924D9" w:rsidP="00C84D6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39</w:t>
      </w:r>
      <w:r w:rsidR="00C84D6E" w:rsidRPr="004A49EF">
        <w:rPr>
          <w:rFonts w:ascii="Times New Roman" w:hAnsi="Times New Roman" w:cs="Times New Roman"/>
          <w:sz w:val="28"/>
          <w:szCs w:val="28"/>
        </w:rPr>
        <w:t xml:space="preserve">. </w:t>
      </w:r>
      <w:r w:rsidR="004A49EF" w:rsidRPr="004A49EF">
        <w:rPr>
          <w:rFonts w:ascii="Times New Roman" w:hAnsi="Times New Roman" w:cs="Times New Roman"/>
          <w:sz w:val="28"/>
          <w:szCs w:val="28"/>
        </w:rPr>
        <w:t xml:space="preserve">Пиріг ЛА, Іванов ДД. Нефрологія. Донецьк: Видавець Заславський О.Ю., 2014. </w:t>
      </w:r>
      <w:r w:rsidR="004A49EF" w:rsidRPr="004A49EF">
        <w:rPr>
          <w:rFonts w:ascii="Times New Roman" w:hAnsi="Times New Roman" w:cs="Times New Roman"/>
          <w:sz w:val="28"/>
          <w:szCs w:val="28"/>
          <w:lang w:val="en-US"/>
        </w:rPr>
        <w:t>292 с.</w:t>
      </w:r>
    </w:p>
    <w:p w:rsidR="00A1738D" w:rsidRDefault="007924D9" w:rsidP="00A14AAF">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r>
        <w:rPr>
          <w:rFonts w:ascii="Times New Roman" w:hAnsi="Times New Roman" w:cs="Times New Roman"/>
          <w:color w:val="000000" w:themeColor="text1"/>
          <w:sz w:val="28"/>
          <w:szCs w:val="28"/>
          <w:lang w:val="uk-UA"/>
        </w:rPr>
        <w:t>0</w:t>
      </w:r>
      <w:r w:rsidR="00A1738D">
        <w:rPr>
          <w:rFonts w:ascii="Times New Roman" w:hAnsi="Times New Roman" w:cs="Times New Roman"/>
          <w:color w:val="000000" w:themeColor="text1"/>
          <w:sz w:val="28"/>
          <w:szCs w:val="28"/>
          <w:lang w:val="en-US"/>
        </w:rPr>
        <w:t xml:space="preserve">. </w:t>
      </w:r>
      <w:r w:rsidR="00A1738D" w:rsidRPr="00A1738D">
        <w:rPr>
          <w:rFonts w:ascii="Times New Roman" w:hAnsi="Times New Roman" w:cs="Times New Roman"/>
          <w:color w:val="000000" w:themeColor="text1"/>
          <w:sz w:val="28"/>
          <w:szCs w:val="28"/>
          <w:lang w:val="en-US"/>
        </w:rPr>
        <w:t xml:space="preserve">Wu MY, Li CJ, Hou MF, Chu PY. New Insights into the Role of Inflammation in the Pathogenesis of Atherosclerosis. Int. J. Mol. Sci [Internet]. 2017 Sept 22;18:2034. Available from: </w:t>
      </w:r>
      <w:hyperlink r:id="rId43" w:history="1">
        <w:r w:rsidR="00A1738D" w:rsidRPr="00A1738D">
          <w:rPr>
            <w:rStyle w:val="a9"/>
            <w:rFonts w:ascii="Times New Roman" w:hAnsi="Times New Roman" w:cs="Times New Roman"/>
            <w:color w:val="auto"/>
            <w:sz w:val="28"/>
            <w:szCs w:val="28"/>
            <w:u w:val="none"/>
            <w:lang w:val="en-US"/>
          </w:rPr>
          <w:t>https://doi.org/10.3390/ijms18102034</w:t>
        </w:r>
      </w:hyperlink>
      <w:r w:rsidR="00A1738D" w:rsidRPr="00A1738D">
        <w:rPr>
          <w:rFonts w:ascii="Times New Roman" w:hAnsi="Times New Roman" w:cs="Times New Roman"/>
          <w:color w:val="000000" w:themeColor="text1"/>
          <w:sz w:val="28"/>
          <w:szCs w:val="28"/>
          <w:lang w:val="en-US"/>
        </w:rPr>
        <w:t xml:space="preserve"> </w:t>
      </w:r>
    </w:p>
    <w:p w:rsidR="00C82289" w:rsidRDefault="00A1738D" w:rsidP="00A14AAF">
      <w:pPr>
        <w:tabs>
          <w:tab w:val="left" w:pos="2880"/>
        </w:tabs>
        <w:spacing w:after="0" w:line="360" w:lineRule="auto"/>
        <w:jc w:val="both"/>
        <w:rPr>
          <w:rFonts w:ascii="Times New Roman" w:hAnsi="Times New Roman" w:cs="Times New Roman"/>
          <w:color w:val="000000" w:themeColor="text1"/>
          <w:sz w:val="28"/>
          <w:szCs w:val="28"/>
          <w:lang w:val="en-US"/>
        </w:rPr>
      </w:pPr>
      <w:r w:rsidRPr="00A1738D">
        <w:rPr>
          <w:rFonts w:ascii="Times New Roman" w:hAnsi="Times New Roman" w:cs="Times New Roman"/>
          <w:color w:val="000000" w:themeColor="text1"/>
          <w:sz w:val="28"/>
          <w:szCs w:val="28"/>
          <w:lang w:val="en-US"/>
        </w:rPr>
        <w:t>DOI: 10.3390/ijms18102034</w:t>
      </w:r>
    </w:p>
    <w:p w:rsidR="00667752" w:rsidRPr="00667752" w:rsidRDefault="007924D9" w:rsidP="00667752">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lastRenderedPageBreak/>
        <w:t>4</w:t>
      </w:r>
      <w:r>
        <w:rPr>
          <w:rFonts w:ascii="Times New Roman" w:hAnsi="Times New Roman" w:cs="Times New Roman"/>
          <w:color w:val="000000" w:themeColor="text1"/>
          <w:sz w:val="28"/>
          <w:szCs w:val="28"/>
          <w:lang w:val="uk-UA"/>
        </w:rPr>
        <w:t>1</w:t>
      </w:r>
      <w:r w:rsidR="00A1738D">
        <w:rPr>
          <w:rFonts w:ascii="Times New Roman" w:hAnsi="Times New Roman" w:cs="Times New Roman"/>
          <w:color w:val="000000" w:themeColor="text1"/>
          <w:sz w:val="28"/>
          <w:szCs w:val="28"/>
          <w:lang w:val="en-US"/>
        </w:rPr>
        <w:t xml:space="preserve">. </w:t>
      </w:r>
      <w:r w:rsidR="00667752" w:rsidRPr="00667752">
        <w:rPr>
          <w:rFonts w:ascii="Times New Roman" w:hAnsi="Times New Roman" w:cs="Times New Roman"/>
          <w:color w:val="000000" w:themeColor="text1"/>
          <w:sz w:val="28"/>
          <w:szCs w:val="28"/>
          <w:lang w:val="en-US"/>
        </w:rPr>
        <w:t xml:space="preserve">Rao PP, Sujatha C, Latha NM, Kumar JP, Deepa M. Assotiation between microalbuminuria and oxidative stress in diabetic nephropathy. Int J Clin and Biomed Res [Internet]. 2015;1(2):96-98. Available from: </w:t>
      </w:r>
    </w:p>
    <w:p w:rsidR="00667752" w:rsidRPr="00667752" w:rsidRDefault="00667752" w:rsidP="00667752">
      <w:pPr>
        <w:tabs>
          <w:tab w:val="left" w:pos="2880"/>
        </w:tabs>
        <w:spacing w:after="0" w:line="360" w:lineRule="auto"/>
        <w:jc w:val="both"/>
        <w:rPr>
          <w:rFonts w:ascii="Times New Roman" w:hAnsi="Times New Roman" w:cs="Times New Roman"/>
          <w:color w:val="000000" w:themeColor="text1"/>
          <w:sz w:val="28"/>
          <w:szCs w:val="28"/>
          <w:lang w:val="en-US"/>
        </w:rPr>
      </w:pPr>
      <w:r w:rsidRPr="00667752">
        <w:rPr>
          <w:rFonts w:ascii="Times New Roman" w:hAnsi="Times New Roman" w:cs="Times New Roman"/>
          <w:color w:val="000000" w:themeColor="text1"/>
          <w:sz w:val="28"/>
          <w:szCs w:val="28"/>
          <w:lang w:val="en-US"/>
        </w:rPr>
        <w:t xml:space="preserve">http://sumathipublications.com/index.php/ijcbr/article/view/61/88 </w:t>
      </w:r>
    </w:p>
    <w:p w:rsidR="00667752" w:rsidRDefault="00A15585" w:rsidP="0066775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7924D9">
        <w:rPr>
          <w:rFonts w:ascii="Times New Roman" w:hAnsi="Times New Roman" w:cs="Times New Roman"/>
          <w:color w:val="000000" w:themeColor="text1"/>
          <w:sz w:val="28"/>
          <w:szCs w:val="28"/>
          <w:lang w:val="uk-UA"/>
        </w:rPr>
        <w:t>2</w:t>
      </w:r>
      <w:r w:rsidR="00667752">
        <w:rPr>
          <w:rFonts w:ascii="Times New Roman" w:hAnsi="Times New Roman" w:cs="Times New Roman"/>
          <w:color w:val="000000" w:themeColor="text1"/>
          <w:sz w:val="28"/>
          <w:szCs w:val="28"/>
          <w:lang w:val="en-US"/>
        </w:rPr>
        <w:t>.</w:t>
      </w:r>
      <w:r w:rsidR="00667752">
        <w:rPr>
          <w:rFonts w:ascii="Times New Roman" w:hAnsi="Times New Roman" w:cs="Times New Roman"/>
          <w:color w:val="000000" w:themeColor="text1"/>
          <w:sz w:val="28"/>
          <w:szCs w:val="28"/>
          <w:lang w:val="uk-UA"/>
        </w:rPr>
        <w:t xml:space="preserve"> </w:t>
      </w:r>
      <w:r w:rsidR="00667752" w:rsidRPr="00667752">
        <w:rPr>
          <w:rFonts w:ascii="Times New Roman" w:hAnsi="Times New Roman" w:cs="Times New Roman"/>
          <w:color w:val="000000" w:themeColor="text1"/>
          <w:sz w:val="28"/>
          <w:szCs w:val="28"/>
          <w:lang w:val="en-US"/>
        </w:rPr>
        <w:t>Memon MY, Mughal MA, Memon SH, Rahu AA, Karira K. Correlation of Microalbuminuria with Glycated</w:t>
      </w:r>
      <w:r w:rsidR="00667752">
        <w:rPr>
          <w:rFonts w:ascii="Times New Roman" w:hAnsi="Times New Roman" w:cs="Times New Roman"/>
          <w:color w:val="000000" w:themeColor="text1"/>
          <w:sz w:val="28"/>
          <w:szCs w:val="28"/>
          <w:lang w:val="en-US"/>
        </w:rPr>
        <w:t xml:space="preserve"> Hemoglobin, Blood Pressure and</w:t>
      </w:r>
      <w:r w:rsidR="00667752">
        <w:rPr>
          <w:rFonts w:ascii="Times New Roman" w:hAnsi="Times New Roman" w:cs="Times New Roman"/>
          <w:color w:val="000000" w:themeColor="text1"/>
          <w:sz w:val="28"/>
          <w:szCs w:val="28"/>
          <w:lang w:val="uk-UA"/>
        </w:rPr>
        <w:t xml:space="preserve"> </w:t>
      </w:r>
      <w:r w:rsidR="00667752" w:rsidRPr="00667752">
        <w:rPr>
          <w:rFonts w:ascii="Times New Roman" w:hAnsi="Times New Roman" w:cs="Times New Roman"/>
          <w:color w:val="000000" w:themeColor="text1"/>
          <w:sz w:val="28"/>
          <w:szCs w:val="28"/>
          <w:lang w:val="en-US"/>
        </w:rPr>
        <w:t xml:space="preserve">Duration of Diabetes. J Diabetes Res Endocrinol [Internet]. 2017;1:7. Available from: </w:t>
      </w:r>
    </w:p>
    <w:p w:rsidR="00A1738D" w:rsidRPr="00326873" w:rsidRDefault="000A6805" w:rsidP="00667752">
      <w:pPr>
        <w:tabs>
          <w:tab w:val="left" w:pos="2880"/>
        </w:tabs>
        <w:spacing w:after="0" w:line="360" w:lineRule="auto"/>
        <w:jc w:val="both"/>
        <w:rPr>
          <w:rFonts w:ascii="Times New Roman" w:hAnsi="Times New Roman" w:cs="Times New Roman"/>
          <w:sz w:val="28"/>
          <w:szCs w:val="28"/>
          <w:lang w:val="uk-UA"/>
        </w:rPr>
      </w:pPr>
      <w:hyperlink r:id="rId44" w:history="1">
        <w:r w:rsidR="00326873" w:rsidRPr="00326873">
          <w:rPr>
            <w:rStyle w:val="a9"/>
            <w:rFonts w:ascii="Times New Roman" w:hAnsi="Times New Roman" w:cs="Times New Roman"/>
            <w:color w:val="auto"/>
            <w:sz w:val="28"/>
            <w:szCs w:val="28"/>
            <w:u w:val="none"/>
            <w:lang w:val="en-US"/>
          </w:rPr>
          <w:t>http</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www</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imedpub</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com</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articles</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correlation</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of</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microalbuminuria</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with</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glycated</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hemoglobin</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blood</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pressure</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and</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duration</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of</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diabetes</w:t>
        </w:r>
        <w:r w:rsidR="00326873" w:rsidRPr="00326873">
          <w:rPr>
            <w:rStyle w:val="a9"/>
            <w:rFonts w:ascii="Times New Roman" w:hAnsi="Times New Roman" w:cs="Times New Roman"/>
            <w:color w:val="auto"/>
            <w:sz w:val="28"/>
            <w:szCs w:val="28"/>
            <w:u w:val="none"/>
            <w:lang w:val="uk-UA"/>
          </w:rPr>
          <w:t>.</w:t>
        </w:r>
        <w:r w:rsidR="00326873" w:rsidRPr="00326873">
          <w:rPr>
            <w:rStyle w:val="a9"/>
            <w:rFonts w:ascii="Times New Roman" w:hAnsi="Times New Roman" w:cs="Times New Roman"/>
            <w:color w:val="auto"/>
            <w:sz w:val="28"/>
            <w:szCs w:val="28"/>
            <w:u w:val="none"/>
            <w:lang w:val="en-US"/>
          </w:rPr>
          <w:t>pdf</w:t>
        </w:r>
      </w:hyperlink>
    </w:p>
    <w:p w:rsidR="00326873" w:rsidRPr="00326873" w:rsidRDefault="00A15585" w:rsidP="00326873">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7924D9">
        <w:rPr>
          <w:rFonts w:ascii="Times New Roman" w:hAnsi="Times New Roman" w:cs="Times New Roman"/>
          <w:color w:val="000000" w:themeColor="text1"/>
          <w:sz w:val="28"/>
          <w:szCs w:val="28"/>
          <w:lang w:val="uk-UA"/>
        </w:rPr>
        <w:t>3</w:t>
      </w:r>
      <w:r w:rsidR="00326873">
        <w:rPr>
          <w:rFonts w:ascii="Times New Roman" w:hAnsi="Times New Roman" w:cs="Times New Roman"/>
          <w:color w:val="000000" w:themeColor="text1"/>
          <w:sz w:val="28"/>
          <w:szCs w:val="28"/>
          <w:lang w:val="uk-UA"/>
        </w:rPr>
        <w:t xml:space="preserve">. </w:t>
      </w:r>
      <w:r w:rsidR="00326873" w:rsidRPr="00326873">
        <w:rPr>
          <w:rFonts w:ascii="Times New Roman" w:hAnsi="Times New Roman" w:cs="Times New Roman"/>
          <w:color w:val="000000" w:themeColor="text1"/>
          <w:sz w:val="28"/>
          <w:szCs w:val="28"/>
          <w:lang w:val="uk-UA"/>
        </w:rPr>
        <w:t>Gore MO, Mc Guire DK. A Test in Context: Hemoglobin A1c and Cardiovascular Disease. JACC [Internet]. 2016 Dec;68(22):2479-86. Available from: https://www.sciencedirect.com/science/article/pii/S0735109716364221</w:t>
      </w:r>
    </w:p>
    <w:p w:rsidR="00326873" w:rsidRPr="00326873" w:rsidRDefault="00A15585" w:rsidP="00326873">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7924D9">
        <w:rPr>
          <w:rFonts w:ascii="Times New Roman" w:hAnsi="Times New Roman" w:cs="Times New Roman"/>
          <w:color w:val="000000" w:themeColor="text1"/>
          <w:sz w:val="28"/>
          <w:szCs w:val="28"/>
          <w:lang w:val="uk-UA"/>
        </w:rPr>
        <w:t>4</w:t>
      </w:r>
      <w:r w:rsidR="00326873" w:rsidRPr="00326873">
        <w:rPr>
          <w:rFonts w:ascii="Times New Roman" w:hAnsi="Times New Roman" w:cs="Times New Roman"/>
          <w:color w:val="000000" w:themeColor="text1"/>
          <w:sz w:val="28"/>
          <w:szCs w:val="28"/>
          <w:lang w:val="uk-UA"/>
        </w:rPr>
        <w:t xml:space="preserve">. Zhao W, Katzmarzyk PT, Horswell R, Wang Y, Johnson J, Hu G. HbA1c and Coronary Heart Disease Risk Among Diabetic Patients. Diabetes Care [Internet]. 2014 Feb;37(2):428−35. Available from: </w:t>
      </w:r>
    </w:p>
    <w:p w:rsidR="00326873" w:rsidRPr="00326873" w:rsidRDefault="00326873" w:rsidP="00326873">
      <w:pPr>
        <w:tabs>
          <w:tab w:val="left" w:pos="2880"/>
        </w:tabs>
        <w:spacing w:after="0" w:line="360" w:lineRule="auto"/>
        <w:jc w:val="both"/>
        <w:rPr>
          <w:rFonts w:ascii="Times New Roman" w:hAnsi="Times New Roman" w:cs="Times New Roman"/>
          <w:color w:val="000000" w:themeColor="text1"/>
          <w:sz w:val="28"/>
          <w:szCs w:val="28"/>
          <w:lang w:val="uk-UA"/>
        </w:rPr>
      </w:pPr>
      <w:r w:rsidRPr="00326873">
        <w:rPr>
          <w:rFonts w:ascii="Times New Roman" w:hAnsi="Times New Roman" w:cs="Times New Roman"/>
          <w:color w:val="000000" w:themeColor="text1"/>
          <w:sz w:val="28"/>
          <w:szCs w:val="28"/>
          <w:lang w:val="uk-UA"/>
        </w:rPr>
        <w:t>https://www.ncbi.nlm.nih.gov/pubmed/24130365. DOI: 10.2337/dc13-1525.</w:t>
      </w:r>
    </w:p>
    <w:p w:rsidR="001B53C5" w:rsidRDefault="00A15585" w:rsidP="002575B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7924D9">
        <w:rPr>
          <w:rFonts w:ascii="Times New Roman" w:hAnsi="Times New Roman" w:cs="Times New Roman"/>
          <w:color w:val="000000" w:themeColor="text1"/>
          <w:sz w:val="28"/>
          <w:szCs w:val="28"/>
          <w:lang w:val="uk-UA"/>
        </w:rPr>
        <w:t>5</w:t>
      </w:r>
      <w:r w:rsidR="00522156">
        <w:rPr>
          <w:rFonts w:ascii="Times New Roman" w:hAnsi="Times New Roman" w:cs="Times New Roman"/>
          <w:color w:val="000000" w:themeColor="text1"/>
          <w:sz w:val="28"/>
          <w:szCs w:val="28"/>
          <w:lang w:val="uk-UA"/>
        </w:rPr>
        <w:t xml:space="preserve">. </w:t>
      </w:r>
      <w:r w:rsidR="00522156" w:rsidRPr="00522156">
        <w:rPr>
          <w:rFonts w:ascii="Times New Roman" w:hAnsi="Times New Roman" w:cs="Times New Roman"/>
          <w:color w:val="000000" w:themeColor="text1"/>
          <w:sz w:val="28"/>
          <w:szCs w:val="28"/>
          <w:lang w:val="uk-UA"/>
        </w:rPr>
        <w:t>Беловол АН, Крапивко СА, Кравчун ПП. Гипомагниемия как предиктор декомпенсации хронической сердечной недостаточности у больных с сахарным диабетом 2-го типа. А</w:t>
      </w:r>
      <w:r w:rsidR="00AE3176">
        <w:rPr>
          <w:rFonts w:ascii="Times New Roman" w:hAnsi="Times New Roman" w:cs="Times New Roman"/>
          <w:color w:val="000000" w:themeColor="text1"/>
          <w:sz w:val="28"/>
          <w:szCs w:val="28"/>
          <w:lang w:val="uk-UA"/>
        </w:rPr>
        <w:t>ртериальная гипертензия. 2013;4</w:t>
      </w:r>
      <w:r w:rsidR="00522156" w:rsidRPr="00522156">
        <w:rPr>
          <w:rFonts w:ascii="Times New Roman" w:hAnsi="Times New Roman" w:cs="Times New Roman"/>
          <w:color w:val="000000" w:themeColor="text1"/>
          <w:sz w:val="28"/>
          <w:szCs w:val="28"/>
          <w:lang w:val="uk-UA"/>
        </w:rPr>
        <w:t>(30):14-20.</w:t>
      </w:r>
    </w:p>
    <w:p w:rsidR="00522156" w:rsidRDefault="00A15585" w:rsidP="002575B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sidR="007924D9">
        <w:rPr>
          <w:rFonts w:ascii="Times New Roman" w:hAnsi="Times New Roman" w:cs="Times New Roman"/>
          <w:color w:val="000000" w:themeColor="text1"/>
          <w:sz w:val="28"/>
          <w:szCs w:val="28"/>
          <w:lang w:val="uk-UA"/>
        </w:rPr>
        <w:t>6</w:t>
      </w:r>
      <w:r w:rsidR="00522156">
        <w:rPr>
          <w:rFonts w:ascii="Times New Roman" w:hAnsi="Times New Roman" w:cs="Times New Roman"/>
          <w:color w:val="000000" w:themeColor="text1"/>
          <w:sz w:val="28"/>
          <w:szCs w:val="28"/>
          <w:lang w:val="uk-UA"/>
        </w:rPr>
        <w:t xml:space="preserve">. </w:t>
      </w:r>
      <w:r w:rsidR="00522156" w:rsidRPr="00522156">
        <w:rPr>
          <w:rFonts w:ascii="Times New Roman" w:hAnsi="Times New Roman" w:cs="Times New Roman"/>
          <w:color w:val="000000" w:themeColor="text1"/>
          <w:sz w:val="28"/>
          <w:szCs w:val="28"/>
          <w:lang w:val="uk-UA"/>
        </w:rPr>
        <w:t xml:space="preserve">Hoque S, Muttalib MA, Islam MI, Khanam PA, Akter N, Akber T, et al. Prevalence of Nephropathy with Evaluation of HbA1c Level and other Associated Risk Factors in Type 2 Diabetic Patients in a Tertiary Level Hospital. KYAMC Journal [Internet]. 2017 July;8(1):21-6. Available from: </w:t>
      </w:r>
    </w:p>
    <w:p w:rsidR="00522156" w:rsidRDefault="000A6805" w:rsidP="002575B2">
      <w:pPr>
        <w:tabs>
          <w:tab w:val="left" w:pos="2880"/>
        </w:tabs>
        <w:spacing w:after="0" w:line="360" w:lineRule="auto"/>
        <w:jc w:val="both"/>
        <w:rPr>
          <w:rStyle w:val="a9"/>
          <w:rFonts w:ascii="Times New Roman" w:hAnsi="Times New Roman" w:cs="Times New Roman"/>
          <w:color w:val="auto"/>
          <w:sz w:val="28"/>
          <w:szCs w:val="28"/>
          <w:u w:val="none"/>
          <w:lang w:val="uk-UA"/>
        </w:rPr>
      </w:pPr>
      <w:hyperlink r:id="rId45" w:history="1">
        <w:r w:rsidR="00522156" w:rsidRPr="00522156">
          <w:rPr>
            <w:rStyle w:val="a9"/>
            <w:rFonts w:ascii="Times New Roman" w:hAnsi="Times New Roman" w:cs="Times New Roman"/>
            <w:color w:val="auto"/>
            <w:sz w:val="28"/>
            <w:szCs w:val="28"/>
            <w:u w:val="none"/>
            <w:lang w:val="uk-UA"/>
          </w:rPr>
          <w:t>https://www.banglajol.info/index.php/KYAMCJ/article/view/33868/22844</w:t>
        </w:r>
      </w:hyperlink>
    </w:p>
    <w:p w:rsidR="00577F28" w:rsidRDefault="007924D9" w:rsidP="00577F28">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47</w:t>
      </w:r>
      <w:r w:rsidR="00577F28">
        <w:rPr>
          <w:rFonts w:ascii="Times New Roman" w:hAnsi="Times New Roman" w:cs="Times New Roman"/>
          <w:color w:val="000000" w:themeColor="text1"/>
          <w:sz w:val="28"/>
          <w:szCs w:val="28"/>
          <w:lang w:val="uk-UA"/>
        </w:rPr>
        <w:t xml:space="preserve">. </w:t>
      </w:r>
      <w:r w:rsidR="00577F28" w:rsidRPr="00063315">
        <w:rPr>
          <w:rFonts w:ascii="Times New Roman" w:hAnsi="Times New Roman" w:cs="Times New Roman"/>
          <w:color w:val="000000" w:themeColor="text1"/>
          <w:sz w:val="28"/>
          <w:szCs w:val="28"/>
          <w:lang w:val="uk-UA"/>
        </w:rPr>
        <w:t>Радзішевська ЯК. Оксидантні механізми порушень стану магістральних судин і серця у хворих на гіпертонічну хворобу у поєднанні з цукровим діабетом 2-го типу та їх корекція [дисертація]. Харків: Харківська медична академія післядипломної освіти; 2016. 193 с.</w:t>
      </w:r>
    </w:p>
    <w:p w:rsidR="00CD1FEA" w:rsidRDefault="00A15585" w:rsidP="002575B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4</w:t>
      </w:r>
      <w:r w:rsidRPr="002B600D">
        <w:rPr>
          <w:rFonts w:ascii="Times New Roman" w:hAnsi="Times New Roman" w:cs="Times New Roman"/>
          <w:color w:val="000000" w:themeColor="text1"/>
          <w:sz w:val="28"/>
          <w:szCs w:val="28"/>
        </w:rPr>
        <w:t>8</w:t>
      </w:r>
      <w:r w:rsidR="00522156">
        <w:rPr>
          <w:rFonts w:ascii="Times New Roman" w:hAnsi="Times New Roman" w:cs="Times New Roman"/>
          <w:color w:val="000000" w:themeColor="text1"/>
          <w:sz w:val="28"/>
          <w:szCs w:val="28"/>
          <w:lang w:val="uk-UA"/>
        </w:rPr>
        <w:t>.</w:t>
      </w:r>
      <w:r w:rsidR="009D0F47">
        <w:rPr>
          <w:rFonts w:ascii="Times New Roman" w:hAnsi="Times New Roman" w:cs="Times New Roman"/>
          <w:color w:val="000000" w:themeColor="text1"/>
          <w:sz w:val="28"/>
          <w:szCs w:val="28"/>
          <w:lang w:val="uk-UA"/>
        </w:rPr>
        <w:t xml:space="preserve"> </w:t>
      </w:r>
      <w:r w:rsidR="009D0F47" w:rsidRPr="009D0F47">
        <w:rPr>
          <w:rFonts w:ascii="Times New Roman" w:hAnsi="Times New Roman" w:cs="Times New Roman"/>
          <w:color w:val="000000" w:themeColor="text1"/>
          <w:sz w:val="28"/>
          <w:szCs w:val="28"/>
          <w:lang w:val="uk-UA"/>
        </w:rPr>
        <w:t>Дидушко ОН. Некоторые вопросы ведения пациентов с диабетической нефропатией. Международный эндокринологический журнал</w:t>
      </w:r>
      <w:r w:rsidR="00CD1FEA">
        <w:rPr>
          <w:rFonts w:ascii="Times New Roman" w:hAnsi="Times New Roman" w:cs="Times New Roman"/>
          <w:color w:val="000000" w:themeColor="text1"/>
          <w:sz w:val="28"/>
          <w:szCs w:val="28"/>
          <w:lang w:val="uk-UA"/>
        </w:rPr>
        <w:t xml:space="preserve"> </w:t>
      </w:r>
      <w:r w:rsidR="00CD1FEA" w:rsidRPr="00CD1FEA">
        <w:rPr>
          <w:rFonts w:ascii="Times New Roman" w:hAnsi="Times New Roman" w:cs="Times New Roman"/>
          <w:color w:val="000000" w:themeColor="text1"/>
          <w:sz w:val="28"/>
          <w:szCs w:val="28"/>
        </w:rPr>
        <w:t>[</w:t>
      </w:r>
      <w:r w:rsidR="00CD1FEA">
        <w:rPr>
          <w:rFonts w:ascii="Times New Roman" w:hAnsi="Times New Roman" w:cs="Times New Roman"/>
          <w:color w:val="000000" w:themeColor="text1"/>
          <w:sz w:val="28"/>
          <w:szCs w:val="28"/>
        </w:rPr>
        <w:t>Интернет</w:t>
      </w:r>
      <w:r w:rsidR="00CD1FEA" w:rsidRPr="00CD1FEA">
        <w:rPr>
          <w:rFonts w:ascii="Times New Roman" w:hAnsi="Times New Roman" w:cs="Times New Roman"/>
          <w:color w:val="000000" w:themeColor="text1"/>
          <w:sz w:val="28"/>
          <w:szCs w:val="28"/>
        </w:rPr>
        <w:t>]</w:t>
      </w:r>
      <w:r w:rsidR="009D0F47" w:rsidRPr="009D0F47">
        <w:rPr>
          <w:rFonts w:ascii="Times New Roman" w:hAnsi="Times New Roman" w:cs="Times New Roman"/>
          <w:color w:val="000000" w:themeColor="text1"/>
          <w:sz w:val="28"/>
          <w:szCs w:val="28"/>
          <w:lang w:val="uk-UA"/>
        </w:rPr>
        <w:t>. 2014;8(64):35-7.</w:t>
      </w:r>
      <w:r w:rsidR="00CD1FEA" w:rsidRPr="00CD1FEA">
        <w:t xml:space="preserve"> </w:t>
      </w:r>
      <w:r w:rsidR="00CD1FEA">
        <w:rPr>
          <w:lang w:val="uk-UA"/>
        </w:rPr>
        <w:t xml:space="preserve"> </w:t>
      </w:r>
      <w:r w:rsidR="00CD1FEA" w:rsidRPr="00CD1FEA">
        <w:rPr>
          <w:rFonts w:ascii="Times New Roman" w:hAnsi="Times New Roman" w:cs="Times New Roman"/>
          <w:sz w:val="28"/>
          <w:szCs w:val="28"/>
          <w:lang w:val="uk-UA"/>
        </w:rPr>
        <w:t>Доступно на</w:t>
      </w:r>
      <w:r w:rsidR="00CD1FEA">
        <w:rPr>
          <w:rFonts w:ascii="Times New Roman" w:hAnsi="Times New Roman" w:cs="Times New Roman"/>
          <w:color w:val="000000" w:themeColor="text1"/>
          <w:sz w:val="28"/>
          <w:szCs w:val="28"/>
          <w:lang w:val="uk-UA"/>
        </w:rPr>
        <w:t>:</w:t>
      </w:r>
      <w:r w:rsidR="00CD1FEA" w:rsidRPr="00CD1FEA">
        <w:rPr>
          <w:rFonts w:ascii="Times New Roman" w:hAnsi="Times New Roman" w:cs="Times New Roman"/>
          <w:color w:val="000000" w:themeColor="text1"/>
          <w:sz w:val="28"/>
          <w:szCs w:val="28"/>
          <w:lang w:val="uk-UA"/>
        </w:rPr>
        <w:t xml:space="preserve"> </w:t>
      </w:r>
    </w:p>
    <w:p w:rsidR="00522156" w:rsidRDefault="00CD1FEA" w:rsidP="002575B2">
      <w:pPr>
        <w:tabs>
          <w:tab w:val="left" w:pos="2880"/>
        </w:tabs>
        <w:spacing w:after="0" w:line="360" w:lineRule="auto"/>
        <w:jc w:val="both"/>
        <w:rPr>
          <w:rFonts w:ascii="Times New Roman" w:hAnsi="Times New Roman" w:cs="Times New Roman"/>
          <w:color w:val="000000" w:themeColor="text1"/>
          <w:sz w:val="28"/>
          <w:szCs w:val="28"/>
          <w:lang w:val="uk-UA"/>
        </w:rPr>
      </w:pPr>
      <w:r w:rsidRPr="00CD1FEA">
        <w:rPr>
          <w:rFonts w:ascii="Times New Roman" w:hAnsi="Times New Roman" w:cs="Times New Roman"/>
          <w:color w:val="000000" w:themeColor="text1"/>
          <w:sz w:val="28"/>
          <w:szCs w:val="28"/>
          <w:lang w:val="uk-UA"/>
        </w:rPr>
        <w:t>http://iej.zaslavsky.com.ua/article/viewFile/77860/73665</w:t>
      </w:r>
    </w:p>
    <w:p w:rsidR="0083121A" w:rsidRPr="0083121A" w:rsidRDefault="00A15585" w:rsidP="0083121A">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r>
        <w:rPr>
          <w:rFonts w:ascii="Times New Roman" w:hAnsi="Times New Roman" w:cs="Times New Roman"/>
          <w:color w:val="000000" w:themeColor="text1"/>
          <w:sz w:val="28"/>
          <w:szCs w:val="28"/>
          <w:lang w:val="en-US"/>
        </w:rPr>
        <w:t>9</w:t>
      </w:r>
      <w:r w:rsidR="00CD1FEA">
        <w:rPr>
          <w:rFonts w:ascii="Times New Roman" w:hAnsi="Times New Roman" w:cs="Times New Roman"/>
          <w:color w:val="000000" w:themeColor="text1"/>
          <w:sz w:val="28"/>
          <w:szCs w:val="28"/>
          <w:lang w:val="uk-UA"/>
        </w:rPr>
        <w:t xml:space="preserve">. </w:t>
      </w:r>
      <w:r w:rsidR="0083121A" w:rsidRPr="0083121A">
        <w:rPr>
          <w:rFonts w:ascii="Times New Roman" w:hAnsi="Times New Roman" w:cs="Times New Roman"/>
          <w:color w:val="000000" w:themeColor="text1"/>
          <w:sz w:val="28"/>
          <w:szCs w:val="28"/>
          <w:lang w:val="uk-UA"/>
        </w:rPr>
        <w:t>Taslıpınar A, Yaman H, Yılmaz MI, Demirbas S, Saglam M, Taslıpınar MY, et al. The relationship between inflammation, endothelial dysfunction and proteinuria in patients with diabetic nephropathy. Scandinavian Journal of Clinical and Laboratory Investigations [Internet]. 2011 Aug;71(7):606-12. Available from: https://doi.org/10.3109/00365513.2011.598944</w:t>
      </w:r>
    </w:p>
    <w:p w:rsidR="0083121A" w:rsidRPr="0083121A" w:rsidRDefault="00A15585" w:rsidP="0083121A">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50</w:t>
      </w:r>
      <w:r w:rsidR="0083121A" w:rsidRPr="0083121A">
        <w:rPr>
          <w:rFonts w:ascii="Times New Roman" w:hAnsi="Times New Roman" w:cs="Times New Roman"/>
          <w:color w:val="000000" w:themeColor="text1"/>
          <w:sz w:val="28"/>
          <w:szCs w:val="28"/>
          <w:lang w:val="uk-UA"/>
        </w:rPr>
        <w:t xml:space="preserve">. Coresh J, Turin TC, Matsushita K, Sang Y, Ballew SH, Appel LJ, et al. CKD Prognosis Consortium. Decline in estimated glomerular filtration rate and subsequent risk of end-stage renal disease and mortality. JAMA [Internet]. 2014 Jun 25;311(24):2518-31. Available from: </w:t>
      </w:r>
    </w:p>
    <w:p w:rsidR="00CD1FEA" w:rsidRDefault="0083121A" w:rsidP="0083121A">
      <w:pPr>
        <w:tabs>
          <w:tab w:val="left" w:pos="2880"/>
        </w:tabs>
        <w:spacing w:after="0" w:line="360" w:lineRule="auto"/>
        <w:jc w:val="both"/>
        <w:rPr>
          <w:rFonts w:ascii="Times New Roman" w:hAnsi="Times New Roman" w:cs="Times New Roman"/>
          <w:color w:val="000000" w:themeColor="text1"/>
          <w:sz w:val="28"/>
          <w:szCs w:val="28"/>
          <w:lang w:val="uk-UA"/>
        </w:rPr>
      </w:pPr>
      <w:r w:rsidRPr="0083121A">
        <w:rPr>
          <w:rFonts w:ascii="Times New Roman" w:hAnsi="Times New Roman" w:cs="Times New Roman"/>
          <w:color w:val="000000" w:themeColor="text1"/>
          <w:sz w:val="28"/>
          <w:szCs w:val="28"/>
          <w:lang w:val="uk-UA"/>
        </w:rPr>
        <w:t>https://www.ncbi.nlm.nih.gov/pubmed/24892770 DOI: 10.1001/jama.2014.6634.</w:t>
      </w:r>
    </w:p>
    <w:p w:rsidR="009D0F47" w:rsidRDefault="00A15585" w:rsidP="002575B2">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en-US"/>
        </w:rPr>
        <w:t>1</w:t>
      </w:r>
      <w:r w:rsidR="00232113">
        <w:rPr>
          <w:rFonts w:ascii="Times New Roman" w:hAnsi="Times New Roman" w:cs="Times New Roman"/>
          <w:color w:val="000000" w:themeColor="text1"/>
          <w:sz w:val="28"/>
          <w:szCs w:val="28"/>
          <w:lang w:val="uk-UA"/>
        </w:rPr>
        <w:t xml:space="preserve">. </w:t>
      </w:r>
      <w:r w:rsidR="00232113" w:rsidRPr="00232113">
        <w:rPr>
          <w:rFonts w:ascii="Times New Roman" w:hAnsi="Times New Roman" w:cs="Times New Roman"/>
          <w:color w:val="000000" w:themeColor="text1"/>
          <w:sz w:val="28"/>
          <w:szCs w:val="28"/>
          <w:lang w:val="uk-UA"/>
        </w:rPr>
        <w:t>Bakris GL, Molitch M. Microalbuminuria as a risk predictor in diabetes: the continuing saga. Diabetes Care [Internet]. 2014 Mar;37(3):867-75. Available from: https://doi.org/10.2337/dc13-1870 DOI: 10.2337/dc13-1870</w:t>
      </w:r>
    </w:p>
    <w:p w:rsidR="00E273FC" w:rsidRPr="00E273FC" w:rsidRDefault="00A15585" w:rsidP="00E273FC">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en-US"/>
        </w:rPr>
        <w:t>2</w:t>
      </w:r>
      <w:r w:rsidR="00232113">
        <w:rPr>
          <w:rFonts w:ascii="Times New Roman" w:hAnsi="Times New Roman" w:cs="Times New Roman"/>
          <w:color w:val="000000" w:themeColor="text1"/>
          <w:sz w:val="28"/>
          <w:szCs w:val="28"/>
          <w:lang w:val="uk-UA"/>
        </w:rPr>
        <w:t>.</w:t>
      </w:r>
      <w:r w:rsidR="00EF0ED9">
        <w:rPr>
          <w:rFonts w:ascii="Times New Roman" w:hAnsi="Times New Roman" w:cs="Times New Roman"/>
          <w:color w:val="000000" w:themeColor="text1"/>
          <w:sz w:val="28"/>
          <w:szCs w:val="28"/>
          <w:lang w:val="uk-UA"/>
        </w:rPr>
        <w:t xml:space="preserve"> </w:t>
      </w:r>
      <w:r w:rsidR="00E273FC" w:rsidRPr="00E273FC">
        <w:rPr>
          <w:rFonts w:ascii="Times New Roman" w:hAnsi="Times New Roman" w:cs="Times New Roman"/>
          <w:color w:val="000000" w:themeColor="text1"/>
          <w:sz w:val="28"/>
          <w:szCs w:val="28"/>
          <w:lang w:val="uk-UA"/>
        </w:rPr>
        <w:t xml:space="preserve">Kalaitzidis RG, Karasavvidou DP, Tatsioni A, Pappas K, Katatsis G, Liontos A, et al. Albuminuria as a marker of arterial stiffness in chronic kidney disease patients. World J Nephrol [Internet]. 2015 Jul 6;4(3):406-14. Available from: https://www.ncbi.nlm.nih.gov/pmc/articles/PMC4491932/ </w:t>
      </w:r>
    </w:p>
    <w:p w:rsidR="00232113" w:rsidRDefault="00E273FC" w:rsidP="00E273FC">
      <w:pPr>
        <w:tabs>
          <w:tab w:val="left" w:pos="2880"/>
        </w:tabs>
        <w:spacing w:after="0" w:line="360" w:lineRule="auto"/>
        <w:jc w:val="both"/>
        <w:rPr>
          <w:rFonts w:ascii="Times New Roman" w:hAnsi="Times New Roman" w:cs="Times New Roman"/>
          <w:color w:val="000000" w:themeColor="text1"/>
          <w:sz w:val="28"/>
          <w:szCs w:val="28"/>
          <w:lang w:val="uk-UA"/>
        </w:rPr>
      </w:pPr>
      <w:r w:rsidRPr="00E273FC">
        <w:rPr>
          <w:rFonts w:ascii="Times New Roman" w:hAnsi="Times New Roman" w:cs="Times New Roman"/>
          <w:color w:val="000000" w:themeColor="text1"/>
          <w:sz w:val="28"/>
          <w:szCs w:val="28"/>
          <w:lang w:val="uk-UA"/>
        </w:rPr>
        <w:t>DOI: 10.5527/wjn.v4.i3.406</w:t>
      </w:r>
    </w:p>
    <w:p w:rsidR="005F67BA" w:rsidRPr="005F67BA" w:rsidRDefault="00A15585" w:rsidP="005F67BA">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r>
        <w:rPr>
          <w:rFonts w:ascii="Times New Roman" w:hAnsi="Times New Roman" w:cs="Times New Roman"/>
          <w:color w:val="000000" w:themeColor="text1"/>
          <w:sz w:val="28"/>
          <w:szCs w:val="28"/>
          <w:lang w:val="en-US"/>
        </w:rPr>
        <w:t>3</w:t>
      </w:r>
      <w:r w:rsidR="005F67BA">
        <w:rPr>
          <w:rFonts w:ascii="Times New Roman" w:hAnsi="Times New Roman" w:cs="Times New Roman"/>
          <w:color w:val="000000" w:themeColor="text1"/>
          <w:sz w:val="28"/>
          <w:szCs w:val="28"/>
          <w:lang w:val="uk-UA"/>
        </w:rPr>
        <w:t xml:space="preserve">. </w:t>
      </w:r>
      <w:r w:rsidR="005F67BA" w:rsidRPr="005F67BA">
        <w:rPr>
          <w:rFonts w:ascii="Times New Roman" w:hAnsi="Times New Roman" w:cs="Times New Roman"/>
          <w:color w:val="000000" w:themeColor="text1"/>
          <w:sz w:val="28"/>
          <w:szCs w:val="28"/>
          <w:lang w:val="uk-UA"/>
        </w:rPr>
        <w:t xml:space="preserve">Wu HY, Peng YS, Chiang CK, Huang JW, Hung KY, Wu KD, et al. Diagnostic Performance of Random Urine Samples Using Albumin  Concentration vs Ratio of Albumin to Creatinine for Microalbuminuria Screening in Patients with Diabetes Mellitus: a systematic review and meta-analysis. JAMA Intern Med [Internet]. 2014 Jul;174(7):1108-15. Available from: </w:t>
      </w:r>
    </w:p>
    <w:p w:rsidR="005F67BA" w:rsidRPr="005F67BA" w:rsidRDefault="005F67BA" w:rsidP="005F67BA">
      <w:pPr>
        <w:tabs>
          <w:tab w:val="left" w:pos="2880"/>
        </w:tabs>
        <w:spacing w:after="0" w:line="360" w:lineRule="auto"/>
        <w:jc w:val="both"/>
        <w:rPr>
          <w:rFonts w:ascii="Times New Roman" w:hAnsi="Times New Roman" w:cs="Times New Roman"/>
          <w:color w:val="000000" w:themeColor="text1"/>
          <w:sz w:val="28"/>
          <w:szCs w:val="28"/>
          <w:lang w:val="uk-UA"/>
        </w:rPr>
      </w:pPr>
      <w:r w:rsidRPr="005F67BA">
        <w:rPr>
          <w:rFonts w:ascii="Times New Roman" w:hAnsi="Times New Roman" w:cs="Times New Roman"/>
          <w:color w:val="000000" w:themeColor="text1"/>
          <w:sz w:val="28"/>
          <w:szCs w:val="28"/>
          <w:lang w:val="uk-UA"/>
        </w:rPr>
        <w:t xml:space="preserve">https://www.ncbi.nlm.nih.gov/pubmed/24798807 </w:t>
      </w:r>
    </w:p>
    <w:p w:rsidR="005F67BA" w:rsidRDefault="005F67BA" w:rsidP="005F67BA">
      <w:pPr>
        <w:tabs>
          <w:tab w:val="left" w:pos="2880"/>
        </w:tabs>
        <w:spacing w:after="0" w:line="360" w:lineRule="auto"/>
        <w:jc w:val="both"/>
        <w:rPr>
          <w:rFonts w:ascii="Times New Roman" w:hAnsi="Times New Roman" w:cs="Times New Roman"/>
          <w:color w:val="000000" w:themeColor="text1"/>
          <w:sz w:val="28"/>
          <w:szCs w:val="28"/>
          <w:lang w:val="uk-UA"/>
        </w:rPr>
      </w:pPr>
      <w:r w:rsidRPr="005F67BA">
        <w:rPr>
          <w:rFonts w:ascii="Times New Roman" w:hAnsi="Times New Roman" w:cs="Times New Roman"/>
          <w:color w:val="000000" w:themeColor="text1"/>
          <w:sz w:val="28"/>
          <w:szCs w:val="28"/>
          <w:lang w:val="uk-UA"/>
        </w:rPr>
        <w:t>DOI: 10.1001/jamainternmed.2014.1363.</w:t>
      </w:r>
    </w:p>
    <w:p w:rsidR="005F67BA" w:rsidRPr="005F67BA" w:rsidRDefault="00A15585" w:rsidP="005F67BA">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5</w:t>
      </w:r>
      <w:r>
        <w:rPr>
          <w:rFonts w:ascii="Times New Roman" w:hAnsi="Times New Roman" w:cs="Times New Roman"/>
          <w:color w:val="000000" w:themeColor="text1"/>
          <w:sz w:val="28"/>
          <w:szCs w:val="28"/>
          <w:lang w:val="en-US"/>
        </w:rPr>
        <w:t>4</w:t>
      </w:r>
      <w:r w:rsidR="005F67BA">
        <w:rPr>
          <w:rFonts w:ascii="Times New Roman" w:hAnsi="Times New Roman" w:cs="Times New Roman"/>
          <w:color w:val="000000" w:themeColor="text1"/>
          <w:sz w:val="28"/>
          <w:szCs w:val="28"/>
          <w:lang w:val="uk-UA"/>
        </w:rPr>
        <w:t xml:space="preserve">. </w:t>
      </w:r>
      <w:r w:rsidR="005F67BA" w:rsidRPr="005F67BA">
        <w:rPr>
          <w:rFonts w:ascii="Times New Roman" w:hAnsi="Times New Roman" w:cs="Times New Roman"/>
          <w:color w:val="000000" w:themeColor="text1"/>
          <w:sz w:val="28"/>
          <w:szCs w:val="28"/>
          <w:lang w:val="uk-UA"/>
        </w:rPr>
        <w:t>National Kidney Foundation. KDIGO 2012 clinical practice guideline for the evaluation and management of chronic kidney disease. Kidney Interna</w:t>
      </w:r>
      <w:r w:rsidR="00AB2B5A">
        <w:rPr>
          <w:rFonts w:ascii="Times New Roman" w:hAnsi="Times New Roman" w:cs="Times New Roman"/>
          <w:color w:val="000000" w:themeColor="text1"/>
          <w:sz w:val="28"/>
          <w:szCs w:val="28"/>
          <w:lang w:val="uk-UA"/>
        </w:rPr>
        <w:t>tional  Supplements [Internet].</w:t>
      </w:r>
      <w:r w:rsidR="005F67BA" w:rsidRPr="005F67BA">
        <w:rPr>
          <w:rFonts w:ascii="Times New Roman" w:hAnsi="Times New Roman" w:cs="Times New Roman"/>
          <w:color w:val="000000" w:themeColor="text1"/>
          <w:sz w:val="28"/>
          <w:szCs w:val="28"/>
          <w:lang w:val="uk-UA"/>
        </w:rPr>
        <w:t xml:space="preserve"> 2013 Jan;3(1)1-150. Available from:  </w:t>
      </w:r>
    </w:p>
    <w:p w:rsidR="005F67BA" w:rsidRDefault="000A6805" w:rsidP="005F67BA">
      <w:pPr>
        <w:tabs>
          <w:tab w:val="left" w:pos="2880"/>
        </w:tabs>
        <w:spacing w:after="0" w:line="360" w:lineRule="auto"/>
        <w:jc w:val="both"/>
        <w:rPr>
          <w:rFonts w:ascii="Times New Roman" w:hAnsi="Times New Roman" w:cs="Times New Roman"/>
          <w:sz w:val="28"/>
          <w:szCs w:val="28"/>
          <w:lang w:val="uk-UA"/>
        </w:rPr>
      </w:pPr>
      <w:hyperlink r:id="rId46" w:history="1">
        <w:r w:rsidR="005F67BA" w:rsidRPr="005F67BA">
          <w:rPr>
            <w:rStyle w:val="a9"/>
            <w:rFonts w:ascii="Times New Roman" w:hAnsi="Times New Roman" w:cs="Times New Roman"/>
            <w:color w:val="auto"/>
            <w:sz w:val="28"/>
            <w:szCs w:val="28"/>
            <w:u w:val="none"/>
            <w:lang w:val="uk-UA"/>
          </w:rPr>
          <w:t>http://www.kdigo.org/clinical_practice_guidelines/pdf/CKD/KDIGO_2012_CKD_GL.pdf</w:t>
        </w:r>
      </w:hyperlink>
    </w:p>
    <w:p w:rsidR="00AB2B5A" w:rsidRDefault="00A15585" w:rsidP="005F67BA">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5</w:t>
      </w:r>
      <w:r>
        <w:rPr>
          <w:rFonts w:ascii="Times New Roman" w:hAnsi="Times New Roman" w:cs="Times New Roman"/>
          <w:sz w:val="28"/>
          <w:szCs w:val="28"/>
          <w:lang w:val="en-US"/>
        </w:rPr>
        <w:t>5</w:t>
      </w:r>
      <w:r w:rsidR="005F67BA">
        <w:rPr>
          <w:rFonts w:ascii="Times New Roman" w:hAnsi="Times New Roman" w:cs="Times New Roman"/>
          <w:sz w:val="28"/>
          <w:szCs w:val="28"/>
          <w:lang w:val="uk-UA"/>
        </w:rPr>
        <w:t xml:space="preserve">. </w:t>
      </w:r>
      <w:r w:rsidR="00AE3176">
        <w:rPr>
          <w:rFonts w:ascii="Times New Roman" w:hAnsi="Times New Roman" w:cs="Times New Roman"/>
          <w:sz w:val="28"/>
          <w:szCs w:val="28"/>
          <w:lang w:val="en-US"/>
        </w:rPr>
        <w:t xml:space="preserve">Geetha P, Shanmugasundaram P. Correlation of microalbuminuria with age, duration, glycated hemoglobin, blood sugar levels, blood pressure and renal parameters of type 2 diabetes patients. Asian Journal of Pharmaceutical and Clinical </w:t>
      </w:r>
      <w:r w:rsidR="00AB2B5A">
        <w:rPr>
          <w:rFonts w:ascii="Times New Roman" w:hAnsi="Times New Roman" w:cs="Times New Roman"/>
          <w:sz w:val="28"/>
          <w:szCs w:val="28"/>
          <w:lang w:val="en-US"/>
        </w:rPr>
        <w:t xml:space="preserve">Research </w:t>
      </w:r>
      <w:r w:rsidR="00AB2B5A" w:rsidRPr="00AB2B5A">
        <w:rPr>
          <w:rFonts w:ascii="Times New Roman" w:hAnsi="Times New Roman" w:cs="Times New Roman"/>
          <w:sz w:val="28"/>
          <w:szCs w:val="28"/>
          <w:lang w:val="en-US"/>
        </w:rPr>
        <w:t>[Internet].</w:t>
      </w:r>
      <w:r w:rsidR="00AB2B5A">
        <w:rPr>
          <w:rFonts w:ascii="Times New Roman" w:hAnsi="Times New Roman" w:cs="Times New Roman"/>
          <w:sz w:val="28"/>
          <w:szCs w:val="28"/>
          <w:lang w:val="en-US"/>
        </w:rPr>
        <w:t xml:space="preserve"> 2017;10(11):397-400. </w:t>
      </w:r>
      <w:r w:rsidR="00AB2B5A" w:rsidRPr="00AB2B5A">
        <w:rPr>
          <w:rFonts w:ascii="Times New Roman" w:hAnsi="Times New Roman" w:cs="Times New Roman"/>
          <w:sz w:val="28"/>
          <w:szCs w:val="28"/>
          <w:lang w:val="en-US"/>
        </w:rPr>
        <w:t>Available from:</w:t>
      </w:r>
      <w:r w:rsidR="00AB2B5A">
        <w:rPr>
          <w:rFonts w:ascii="Times New Roman" w:hAnsi="Times New Roman" w:cs="Times New Roman"/>
          <w:sz w:val="28"/>
          <w:szCs w:val="28"/>
          <w:lang w:val="en-US"/>
        </w:rPr>
        <w:t xml:space="preserve"> </w:t>
      </w:r>
    </w:p>
    <w:p w:rsidR="005F67BA" w:rsidRPr="00AB2B5A" w:rsidRDefault="000A6805" w:rsidP="005F67BA">
      <w:pPr>
        <w:tabs>
          <w:tab w:val="left" w:pos="2880"/>
        </w:tabs>
        <w:spacing w:after="0" w:line="360" w:lineRule="auto"/>
        <w:jc w:val="both"/>
        <w:rPr>
          <w:rFonts w:ascii="Times New Roman" w:hAnsi="Times New Roman" w:cs="Times New Roman"/>
          <w:sz w:val="28"/>
          <w:szCs w:val="28"/>
          <w:lang w:val="en-US"/>
        </w:rPr>
      </w:pPr>
      <w:hyperlink r:id="rId47" w:history="1">
        <w:r w:rsidR="00AB2B5A" w:rsidRPr="00AB2B5A">
          <w:rPr>
            <w:rStyle w:val="a9"/>
            <w:rFonts w:ascii="Times New Roman" w:hAnsi="Times New Roman" w:cs="Times New Roman"/>
            <w:color w:val="auto"/>
            <w:sz w:val="28"/>
            <w:szCs w:val="28"/>
            <w:u w:val="none"/>
            <w:lang w:val="en-US"/>
          </w:rPr>
          <w:t>https://innovareacademics.in/journals/index.php/ajpcr/article/viewFile/21015/13069</w:t>
        </w:r>
      </w:hyperlink>
    </w:p>
    <w:p w:rsidR="00AB2B5A" w:rsidRPr="00AB2B5A" w:rsidRDefault="00A15585" w:rsidP="00AB2B5A">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56</w:t>
      </w:r>
      <w:r w:rsidR="00AB2B5A">
        <w:rPr>
          <w:rFonts w:ascii="Times New Roman" w:hAnsi="Times New Roman" w:cs="Times New Roman"/>
          <w:sz w:val="28"/>
          <w:szCs w:val="28"/>
          <w:lang w:val="en-US"/>
        </w:rPr>
        <w:t xml:space="preserve">. </w:t>
      </w:r>
      <w:r w:rsidR="00AB2B5A" w:rsidRPr="00AB2B5A">
        <w:rPr>
          <w:rFonts w:ascii="Times New Roman" w:hAnsi="Times New Roman" w:cs="Times New Roman"/>
          <w:sz w:val="28"/>
          <w:szCs w:val="28"/>
          <w:lang w:val="en-US"/>
        </w:rPr>
        <w:t xml:space="preserve">Anwarullah A, Waheed U, Ansari A, Farooq N. Association of HbA1C with Microalbuminuria in Type 2 Diabetes. Ann. Pak. Inst. Med. Sci.  [Internet]. 2014;10(1):93-6. Available from: </w:t>
      </w:r>
    </w:p>
    <w:p w:rsidR="00AB2B5A" w:rsidRDefault="000A6805" w:rsidP="00AB2B5A">
      <w:pPr>
        <w:tabs>
          <w:tab w:val="left" w:pos="2880"/>
        </w:tabs>
        <w:spacing w:after="0" w:line="360" w:lineRule="auto"/>
        <w:jc w:val="both"/>
        <w:rPr>
          <w:rFonts w:ascii="Times New Roman" w:hAnsi="Times New Roman" w:cs="Times New Roman"/>
          <w:sz w:val="28"/>
          <w:szCs w:val="28"/>
          <w:lang w:val="en-US"/>
        </w:rPr>
      </w:pPr>
      <w:hyperlink r:id="rId48" w:history="1">
        <w:r w:rsidR="004944BA" w:rsidRPr="004944BA">
          <w:rPr>
            <w:rStyle w:val="a9"/>
            <w:rFonts w:ascii="Times New Roman" w:hAnsi="Times New Roman" w:cs="Times New Roman"/>
            <w:color w:val="auto"/>
            <w:sz w:val="28"/>
            <w:szCs w:val="28"/>
            <w:u w:val="none"/>
            <w:lang w:val="en-US"/>
          </w:rPr>
          <w:t>http://citeseerx.ist.psu.edu/viewdoc/download?doi=10.1.1.682.2998&amp;rep=rep1&amp;type=pdf</w:t>
        </w:r>
      </w:hyperlink>
    </w:p>
    <w:p w:rsidR="00C50C19" w:rsidRPr="00C50C19" w:rsidRDefault="00A15585" w:rsidP="00C50C19">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57</w:t>
      </w:r>
      <w:r w:rsidR="004944BA">
        <w:rPr>
          <w:rFonts w:ascii="Times New Roman" w:hAnsi="Times New Roman" w:cs="Times New Roman"/>
          <w:sz w:val="28"/>
          <w:szCs w:val="28"/>
          <w:lang w:val="en-US"/>
        </w:rPr>
        <w:t xml:space="preserve">. </w:t>
      </w:r>
      <w:r w:rsidR="00C50C19" w:rsidRPr="00C50C19">
        <w:rPr>
          <w:rFonts w:ascii="Times New Roman" w:hAnsi="Times New Roman" w:cs="Times New Roman"/>
          <w:sz w:val="28"/>
          <w:szCs w:val="28"/>
          <w:lang w:val="en-US"/>
        </w:rPr>
        <w:t xml:space="preserve">Seliger SL, Salimi S, Pierre V, Giffuni J, Katzel L, Parsa A, et al. Microvascular endothelial dysfunction is associated with albuminuria and CKD in older adults. BMC Nephrol [Internet]. 2016 Jul;17:82. Available from:  </w:t>
      </w:r>
    </w:p>
    <w:p w:rsidR="00C50C19" w:rsidRPr="00C50C19" w:rsidRDefault="00C50C19" w:rsidP="00C50C19">
      <w:pPr>
        <w:tabs>
          <w:tab w:val="left" w:pos="2880"/>
        </w:tabs>
        <w:spacing w:after="0" w:line="360" w:lineRule="auto"/>
        <w:jc w:val="both"/>
        <w:rPr>
          <w:rFonts w:ascii="Times New Roman" w:hAnsi="Times New Roman" w:cs="Times New Roman"/>
          <w:sz w:val="28"/>
          <w:szCs w:val="28"/>
          <w:lang w:val="en-US"/>
        </w:rPr>
      </w:pPr>
      <w:r w:rsidRPr="00C50C19">
        <w:rPr>
          <w:rFonts w:ascii="Times New Roman" w:hAnsi="Times New Roman" w:cs="Times New Roman"/>
          <w:sz w:val="28"/>
          <w:szCs w:val="28"/>
          <w:lang w:val="en-US"/>
        </w:rPr>
        <w:t xml:space="preserve">https://www.ncbi.nlm.nih.gov/pmc/articles/PMC4944235/ </w:t>
      </w:r>
    </w:p>
    <w:p w:rsidR="004944BA" w:rsidRDefault="00C50C19" w:rsidP="00C50C19">
      <w:pPr>
        <w:tabs>
          <w:tab w:val="left" w:pos="2880"/>
        </w:tabs>
        <w:spacing w:after="0" w:line="360" w:lineRule="auto"/>
        <w:jc w:val="both"/>
        <w:rPr>
          <w:rFonts w:ascii="Times New Roman" w:hAnsi="Times New Roman" w:cs="Times New Roman"/>
          <w:sz w:val="28"/>
          <w:szCs w:val="28"/>
          <w:lang w:val="uk-UA"/>
        </w:rPr>
      </w:pPr>
      <w:r w:rsidRPr="00C50C19">
        <w:rPr>
          <w:rFonts w:ascii="Times New Roman" w:hAnsi="Times New Roman" w:cs="Times New Roman"/>
          <w:sz w:val="28"/>
          <w:szCs w:val="28"/>
          <w:lang w:val="en-US"/>
        </w:rPr>
        <w:t>DOI</w:t>
      </w:r>
      <w:r w:rsidRPr="00EB52B3">
        <w:rPr>
          <w:rFonts w:ascii="Times New Roman" w:hAnsi="Times New Roman" w:cs="Times New Roman"/>
          <w:sz w:val="28"/>
          <w:szCs w:val="28"/>
          <w:lang w:val="en-US"/>
        </w:rPr>
        <w:t>: 10.1186/</w:t>
      </w:r>
      <w:r w:rsidRPr="00C50C19">
        <w:rPr>
          <w:rFonts w:ascii="Times New Roman" w:hAnsi="Times New Roman" w:cs="Times New Roman"/>
          <w:sz w:val="28"/>
          <w:szCs w:val="28"/>
          <w:lang w:val="en-US"/>
        </w:rPr>
        <w:t>s</w:t>
      </w:r>
      <w:r w:rsidRPr="00EB52B3">
        <w:rPr>
          <w:rFonts w:ascii="Times New Roman" w:hAnsi="Times New Roman" w:cs="Times New Roman"/>
          <w:sz w:val="28"/>
          <w:szCs w:val="28"/>
          <w:lang w:val="en-US"/>
        </w:rPr>
        <w:t>12882-016-0303-</w:t>
      </w:r>
      <w:r w:rsidRPr="00C50C19">
        <w:rPr>
          <w:rFonts w:ascii="Times New Roman" w:hAnsi="Times New Roman" w:cs="Times New Roman"/>
          <w:sz w:val="28"/>
          <w:szCs w:val="28"/>
          <w:lang w:val="en-US"/>
        </w:rPr>
        <w:t>x</w:t>
      </w:r>
    </w:p>
    <w:p w:rsidR="0003563A" w:rsidRDefault="00A15585" w:rsidP="00C50C19">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8B77A1">
        <w:rPr>
          <w:rFonts w:ascii="Times New Roman" w:hAnsi="Times New Roman" w:cs="Times New Roman"/>
          <w:sz w:val="28"/>
          <w:szCs w:val="28"/>
          <w:lang w:val="en-US"/>
        </w:rPr>
        <w:t>8</w:t>
      </w:r>
      <w:r w:rsidR="00C50C19">
        <w:rPr>
          <w:rFonts w:ascii="Times New Roman" w:hAnsi="Times New Roman" w:cs="Times New Roman"/>
          <w:sz w:val="28"/>
          <w:szCs w:val="28"/>
          <w:lang w:val="uk-UA"/>
        </w:rPr>
        <w:t xml:space="preserve">. </w:t>
      </w:r>
      <w:r w:rsidR="0003563A" w:rsidRPr="0003563A">
        <w:rPr>
          <w:rFonts w:ascii="Times New Roman" w:hAnsi="Times New Roman" w:cs="Times New Roman"/>
          <w:sz w:val="28"/>
          <w:szCs w:val="28"/>
          <w:lang w:val="uk-UA"/>
        </w:rPr>
        <w:t>Жypaвльова ЛВ, Моїсеєнко ТА. Показники кардіогемодинаміки у хворих на цукровий діабет 2-го типу. Ліки України</w:t>
      </w:r>
      <w:r w:rsidR="0003563A">
        <w:rPr>
          <w:rFonts w:ascii="Times New Roman" w:hAnsi="Times New Roman" w:cs="Times New Roman"/>
          <w:sz w:val="28"/>
          <w:szCs w:val="28"/>
          <w:lang w:val="uk-UA"/>
        </w:rPr>
        <w:t xml:space="preserve"> </w:t>
      </w:r>
      <w:r w:rsidR="0003563A" w:rsidRPr="00EB52B3">
        <w:rPr>
          <w:rFonts w:ascii="Times New Roman" w:hAnsi="Times New Roman" w:cs="Times New Roman"/>
          <w:sz w:val="28"/>
          <w:szCs w:val="28"/>
        </w:rPr>
        <w:t>[</w:t>
      </w:r>
      <w:r w:rsidR="0003563A">
        <w:rPr>
          <w:rFonts w:ascii="Times New Roman" w:hAnsi="Times New Roman" w:cs="Times New Roman"/>
          <w:sz w:val="28"/>
          <w:szCs w:val="28"/>
          <w:lang w:val="uk-UA"/>
        </w:rPr>
        <w:t>Інтернет</w:t>
      </w:r>
      <w:r w:rsidR="0003563A" w:rsidRPr="00EB52B3">
        <w:rPr>
          <w:rFonts w:ascii="Times New Roman" w:hAnsi="Times New Roman" w:cs="Times New Roman"/>
          <w:sz w:val="28"/>
          <w:szCs w:val="28"/>
        </w:rPr>
        <w:t>]</w:t>
      </w:r>
      <w:r w:rsidR="0003563A" w:rsidRPr="0003563A">
        <w:rPr>
          <w:rFonts w:ascii="Times New Roman" w:hAnsi="Times New Roman" w:cs="Times New Roman"/>
          <w:sz w:val="28"/>
          <w:szCs w:val="28"/>
          <w:lang w:val="uk-UA"/>
        </w:rPr>
        <w:t xml:space="preserve">. 2013;9-10(175-176):62-6. </w:t>
      </w:r>
      <w:r w:rsidR="0003563A">
        <w:rPr>
          <w:rFonts w:ascii="Times New Roman" w:hAnsi="Times New Roman" w:cs="Times New Roman"/>
          <w:sz w:val="28"/>
          <w:szCs w:val="28"/>
          <w:lang w:val="uk-UA"/>
        </w:rPr>
        <w:t xml:space="preserve">Доступно на: </w:t>
      </w:r>
    </w:p>
    <w:p w:rsidR="00A15585" w:rsidRPr="009F5B0C" w:rsidRDefault="000A6805" w:rsidP="00ED3CD2">
      <w:pPr>
        <w:tabs>
          <w:tab w:val="left" w:pos="2880"/>
        </w:tabs>
        <w:spacing w:after="0" w:line="360" w:lineRule="auto"/>
        <w:jc w:val="both"/>
        <w:rPr>
          <w:rFonts w:ascii="Times New Roman" w:hAnsi="Times New Roman" w:cs="Times New Roman"/>
          <w:sz w:val="28"/>
          <w:szCs w:val="28"/>
          <w:lang w:val="uk-UA"/>
        </w:rPr>
      </w:pPr>
      <w:hyperlink r:id="rId49" w:history="1">
        <w:r w:rsidR="0003563A" w:rsidRPr="0003563A">
          <w:rPr>
            <w:rStyle w:val="a9"/>
            <w:rFonts w:ascii="Times New Roman" w:hAnsi="Times New Roman" w:cs="Times New Roman"/>
            <w:color w:val="auto"/>
            <w:sz w:val="28"/>
            <w:szCs w:val="28"/>
            <w:u w:val="none"/>
            <w:lang w:val="uk-UA"/>
          </w:rPr>
          <w:t>http://vnmed3.kharkiv.ua/wp-content/uploads/2015/05/likukr_2013_9-10_15.pdf</w:t>
        </w:r>
      </w:hyperlink>
    </w:p>
    <w:p w:rsidR="00ED3CD2" w:rsidRPr="00ED3CD2" w:rsidRDefault="009F5B0C" w:rsidP="00ED3CD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en-US"/>
        </w:rPr>
        <w:t>9</w:t>
      </w:r>
      <w:r w:rsidR="0003563A">
        <w:rPr>
          <w:rFonts w:ascii="Times New Roman" w:hAnsi="Times New Roman" w:cs="Times New Roman"/>
          <w:sz w:val="28"/>
          <w:szCs w:val="28"/>
          <w:lang w:val="uk-UA"/>
        </w:rPr>
        <w:t xml:space="preserve">. </w:t>
      </w:r>
      <w:r w:rsidR="00ED3CD2" w:rsidRPr="00ED3CD2">
        <w:rPr>
          <w:rFonts w:ascii="Times New Roman" w:hAnsi="Times New Roman" w:cs="Times New Roman"/>
          <w:sz w:val="28"/>
          <w:szCs w:val="28"/>
          <w:lang w:val="uk-UA"/>
        </w:rPr>
        <w:t xml:space="preserve">Emdin CA, Rahimi K, Neal B, Callender T, Perkovic V, Patel A, et al. Blood pressure lowering in type 2 diabetes: a systematic review and meta-analysis. JAMA [Internet]. 2015 Feb 10;313(6):603-15. Available from: </w:t>
      </w:r>
    </w:p>
    <w:p w:rsidR="0003563A" w:rsidRDefault="00ED3CD2" w:rsidP="00ED3CD2">
      <w:pPr>
        <w:tabs>
          <w:tab w:val="left" w:pos="2880"/>
        </w:tabs>
        <w:spacing w:after="0" w:line="360" w:lineRule="auto"/>
        <w:jc w:val="both"/>
        <w:rPr>
          <w:rFonts w:ascii="Times New Roman" w:hAnsi="Times New Roman" w:cs="Times New Roman"/>
          <w:sz w:val="28"/>
          <w:szCs w:val="28"/>
          <w:lang w:val="uk-UA"/>
        </w:rPr>
      </w:pPr>
      <w:r w:rsidRPr="00ED3CD2">
        <w:rPr>
          <w:rFonts w:ascii="Times New Roman" w:hAnsi="Times New Roman" w:cs="Times New Roman"/>
          <w:sz w:val="28"/>
          <w:szCs w:val="28"/>
          <w:lang w:val="uk-UA"/>
        </w:rPr>
        <w:t>https://www.ncbi.nlm.nih.gov/pubmed/25668264 DOI: 10.1001/jama.2014.18574</w:t>
      </w:r>
    </w:p>
    <w:p w:rsidR="00ED3CD2" w:rsidRPr="00ED3CD2" w:rsidRDefault="009F5B0C" w:rsidP="00ED3CD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lastRenderedPageBreak/>
        <w:t>60</w:t>
      </w:r>
      <w:r w:rsidR="00ED3CD2">
        <w:rPr>
          <w:rFonts w:ascii="Times New Roman" w:hAnsi="Times New Roman" w:cs="Times New Roman"/>
          <w:sz w:val="28"/>
          <w:szCs w:val="28"/>
          <w:lang w:val="uk-UA"/>
        </w:rPr>
        <w:t xml:space="preserve">. </w:t>
      </w:r>
      <w:r w:rsidR="00ED3CD2" w:rsidRPr="00ED3CD2">
        <w:rPr>
          <w:rFonts w:ascii="Times New Roman" w:hAnsi="Times New Roman" w:cs="Times New Roman"/>
          <w:sz w:val="28"/>
          <w:szCs w:val="28"/>
          <w:lang w:val="uk-UA"/>
        </w:rPr>
        <w:t xml:space="preserve">Matsuzawa Y, Guddeti RR, Kwon TG, Lerman LO, Lerman A, et al. Secondary prevention strategy of cardiovascular disease using endothelial function testing. Circ J [Internet]. 2015;79(4):685-94. Available from: </w:t>
      </w:r>
    </w:p>
    <w:p w:rsidR="00ED3CD2" w:rsidRDefault="00ED3CD2" w:rsidP="00ED3CD2">
      <w:pPr>
        <w:tabs>
          <w:tab w:val="left" w:pos="2880"/>
        </w:tabs>
        <w:spacing w:after="0" w:line="360" w:lineRule="auto"/>
        <w:jc w:val="both"/>
        <w:rPr>
          <w:rFonts w:ascii="Times New Roman" w:hAnsi="Times New Roman" w:cs="Times New Roman"/>
          <w:sz w:val="28"/>
          <w:szCs w:val="28"/>
          <w:lang w:val="uk-UA"/>
        </w:rPr>
      </w:pPr>
      <w:r w:rsidRPr="00ED3CD2">
        <w:rPr>
          <w:rFonts w:ascii="Times New Roman" w:hAnsi="Times New Roman" w:cs="Times New Roman"/>
          <w:sz w:val="28"/>
          <w:szCs w:val="28"/>
          <w:lang w:val="uk-UA"/>
        </w:rPr>
        <w:t>https://www.ncbi.nlm.nih.gov/pubmed/25740088 DOI: 10.1253/circj.CJ-15-0068</w:t>
      </w:r>
    </w:p>
    <w:p w:rsidR="00ED3CD2" w:rsidRDefault="009F5B0C" w:rsidP="00ED3CD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1</w:t>
      </w:r>
      <w:r w:rsidR="00ED3CD2">
        <w:rPr>
          <w:rFonts w:ascii="Times New Roman" w:hAnsi="Times New Roman" w:cs="Times New Roman"/>
          <w:sz w:val="28"/>
          <w:szCs w:val="28"/>
          <w:lang w:val="uk-UA"/>
        </w:rPr>
        <w:t xml:space="preserve">. </w:t>
      </w:r>
      <w:r w:rsidR="00BE3BED">
        <w:rPr>
          <w:rFonts w:ascii="Times New Roman" w:hAnsi="Times New Roman" w:cs="Times New Roman"/>
          <w:sz w:val="28"/>
          <w:szCs w:val="28"/>
          <w:lang w:val="uk-UA"/>
        </w:rPr>
        <w:t>Contreras F</w:t>
      </w:r>
      <w:r w:rsidR="00BE3BED" w:rsidRPr="00BE3BED">
        <w:rPr>
          <w:rFonts w:ascii="Times New Roman" w:hAnsi="Times New Roman" w:cs="Times New Roman"/>
          <w:sz w:val="28"/>
          <w:szCs w:val="28"/>
          <w:lang w:val="uk-UA"/>
        </w:rPr>
        <w:t>, Rivera M, Vásquez J, De la Parte MA, Velasco M.</w:t>
      </w:r>
      <w:r w:rsidR="00BE3BED">
        <w:rPr>
          <w:rFonts w:ascii="Times New Roman" w:hAnsi="Times New Roman" w:cs="Times New Roman"/>
          <w:sz w:val="28"/>
          <w:szCs w:val="28"/>
          <w:lang w:val="uk-UA"/>
        </w:rPr>
        <w:t xml:space="preserve"> </w:t>
      </w:r>
      <w:r w:rsidR="00BE3BED" w:rsidRPr="00BE3BED">
        <w:rPr>
          <w:rFonts w:ascii="Times New Roman" w:hAnsi="Times New Roman" w:cs="Times New Roman"/>
          <w:sz w:val="28"/>
          <w:szCs w:val="28"/>
          <w:lang w:val="uk-UA"/>
        </w:rPr>
        <w:t>Endothelial dysfunction in arterial hypertension.</w:t>
      </w:r>
      <w:r w:rsidR="00BE3BED">
        <w:rPr>
          <w:rFonts w:ascii="Times New Roman" w:hAnsi="Times New Roman" w:cs="Times New Roman"/>
          <w:sz w:val="28"/>
          <w:szCs w:val="28"/>
          <w:lang w:val="uk-UA"/>
        </w:rPr>
        <w:t xml:space="preserve"> </w:t>
      </w:r>
      <w:r w:rsidR="00BE3BED" w:rsidRPr="00BE3BED">
        <w:rPr>
          <w:rFonts w:ascii="Times New Roman" w:hAnsi="Times New Roman" w:cs="Times New Roman"/>
          <w:sz w:val="28"/>
          <w:szCs w:val="28"/>
          <w:lang w:val="uk-UA"/>
        </w:rPr>
        <w:t>J Hum Hypertens</w:t>
      </w:r>
      <w:r w:rsidR="00BE3BED">
        <w:rPr>
          <w:rFonts w:ascii="Times New Roman" w:hAnsi="Times New Roman" w:cs="Times New Roman"/>
          <w:sz w:val="28"/>
          <w:szCs w:val="28"/>
          <w:lang w:val="uk-UA"/>
        </w:rPr>
        <w:t xml:space="preserve"> </w:t>
      </w:r>
      <w:r w:rsidR="00BE3BED" w:rsidRPr="00BE3BED">
        <w:rPr>
          <w:rFonts w:ascii="Times New Roman" w:hAnsi="Times New Roman" w:cs="Times New Roman"/>
          <w:sz w:val="28"/>
          <w:szCs w:val="28"/>
          <w:lang w:val="uk-UA"/>
        </w:rPr>
        <w:t>[Internet].</w:t>
      </w:r>
      <w:r w:rsidR="00BE3BED">
        <w:rPr>
          <w:rFonts w:ascii="Times New Roman" w:hAnsi="Times New Roman" w:cs="Times New Roman"/>
          <w:sz w:val="28"/>
          <w:szCs w:val="28"/>
          <w:lang w:val="uk-UA"/>
        </w:rPr>
        <w:t xml:space="preserve"> 2000 Apr;14 (</w:t>
      </w:r>
      <w:r w:rsidR="00BE3BED" w:rsidRPr="00BE3BED">
        <w:rPr>
          <w:rFonts w:ascii="Times New Roman" w:hAnsi="Times New Roman" w:cs="Times New Roman"/>
          <w:sz w:val="28"/>
          <w:szCs w:val="28"/>
          <w:lang w:val="uk-UA"/>
        </w:rPr>
        <w:t>1</w:t>
      </w:r>
      <w:r w:rsidR="00BE3BED">
        <w:rPr>
          <w:rFonts w:ascii="Times New Roman" w:hAnsi="Times New Roman" w:cs="Times New Roman"/>
          <w:sz w:val="28"/>
          <w:szCs w:val="28"/>
          <w:lang w:val="uk-UA"/>
        </w:rPr>
        <w:t>):</w:t>
      </w:r>
      <w:r w:rsidR="00BE3BED" w:rsidRPr="00BE3BED">
        <w:rPr>
          <w:rFonts w:ascii="Times New Roman" w:hAnsi="Times New Roman" w:cs="Times New Roman"/>
          <w:sz w:val="28"/>
          <w:szCs w:val="28"/>
          <w:lang w:val="uk-UA"/>
        </w:rPr>
        <w:t>20-5.</w:t>
      </w:r>
      <w:r w:rsidR="00BE3BED">
        <w:rPr>
          <w:rFonts w:ascii="Times New Roman" w:hAnsi="Times New Roman" w:cs="Times New Roman"/>
          <w:sz w:val="28"/>
          <w:szCs w:val="28"/>
          <w:lang w:val="uk-UA"/>
        </w:rPr>
        <w:t xml:space="preserve"> </w:t>
      </w:r>
      <w:r w:rsidR="00BE3BED" w:rsidRPr="00BE3BED">
        <w:rPr>
          <w:rFonts w:ascii="Times New Roman" w:hAnsi="Times New Roman" w:cs="Times New Roman"/>
          <w:sz w:val="28"/>
          <w:szCs w:val="28"/>
          <w:lang w:val="uk-UA"/>
        </w:rPr>
        <w:t>Available from:</w:t>
      </w:r>
      <w:r w:rsidR="00BE3BED">
        <w:rPr>
          <w:rFonts w:ascii="Times New Roman" w:hAnsi="Times New Roman" w:cs="Times New Roman"/>
          <w:sz w:val="28"/>
          <w:szCs w:val="28"/>
          <w:lang w:val="uk-UA"/>
        </w:rPr>
        <w:t xml:space="preserve"> </w:t>
      </w:r>
      <w:hyperlink r:id="rId50" w:history="1">
        <w:r w:rsidR="00BE3BED" w:rsidRPr="00BE3BED">
          <w:rPr>
            <w:rStyle w:val="a9"/>
            <w:rFonts w:ascii="Times New Roman" w:hAnsi="Times New Roman" w:cs="Times New Roman"/>
            <w:color w:val="auto"/>
            <w:sz w:val="28"/>
            <w:szCs w:val="28"/>
            <w:u w:val="none"/>
            <w:lang w:val="uk-UA"/>
          </w:rPr>
          <w:t>https://www.ncbi.nlm.nih.gov/pubmed/10854076/</w:t>
        </w:r>
      </w:hyperlink>
    </w:p>
    <w:p w:rsidR="00A81E5B" w:rsidRDefault="009F5B0C" w:rsidP="00ED3CD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2</w:t>
      </w:r>
      <w:r w:rsidR="00A81E5B">
        <w:rPr>
          <w:rFonts w:ascii="Times New Roman" w:hAnsi="Times New Roman" w:cs="Times New Roman"/>
          <w:sz w:val="28"/>
          <w:szCs w:val="28"/>
          <w:lang w:val="uk-UA"/>
        </w:rPr>
        <w:t>.</w:t>
      </w:r>
      <w:r w:rsidR="00A81E5B" w:rsidRPr="00A81E5B">
        <w:rPr>
          <w:rFonts w:ascii="Times New Roman" w:hAnsi="Times New Roman" w:cs="Times New Roman"/>
          <w:sz w:val="28"/>
          <w:szCs w:val="28"/>
          <w:lang w:val="uk-UA"/>
        </w:rPr>
        <w:t xml:space="preserve"> Chen C, Gao JL, Liu MY, Li SL, Xuan XC, Zhang XZ, et al. Mitochondrial Fission Inhibitors Suppress Endothelin-1-Induced Artery Constriction. Cell Physiol Biochem [Internet]. 2017;42:1802-11. Available from: </w:t>
      </w:r>
    </w:p>
    <w:p w:rsidR="00A81E5B" w:rsidRPr="00A81E5B" w:rsidRDefault="000A6805" w:rsidP="00ED3CD2">
      <w:pPr>
        <w:tabs>
          <w:tab w:val="left" w:pos="2880"/>
        </w:tabs>
        <w:spacing w:after="0" w:line="360" w:lineRule="auto"/>
        <w:jc w:val="both"/>
        <w:rPr>
          <w:rFonts w:ascii="Times New Roman" w:hAnsi="Times New Roman" w:cs="Times New Roman"/>
          <w:sz w:val="28"/>
          <w:szCs w:val="28"/>
          <w:lang w:val="uk-UA"/>
        </w:rPr>
      </w:pPr>
      <w:hyperlink r:id="rId51" w:history="1">
        <w:r w:rsidR="00A81E5B" w:rsidRPr="00A81E5B">
          <w:rPr>
            <w:rStyle w:val="a9"/>
            <w:rFonts w:ascii="Times New Roman" w:hAnsi="Times New Roman" w:cs="Times New Roman"/>
            <w:color w:val="auto"/>
            <w:sz w:val="28"/>
            <w:szCs w:val="28"/>
            <w:u w:val="none"/>
            <w:lang w:val="uk-UA"/>
          </w:rPr>
          <w:t>https://doi.org/10.1159/000479536</w:t>
        </w:r>
      </w:hyperlink>
    </w:p>
    <w:p w:rsidR="00A81E5B" w:rsidRPr="00A81E5B" w:rsidRDefault="009F5B0C" w:rsidP="00A81E5B">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3</w:t>
      </w:r>
      <w:r w:rsidR="00A81E5B">
        <w:rPr>
          <w:rFonts w:ascii="Times New Roman" w:hAnsi="Times New Roman" w:cs="Times New Roman"/>
          <w:sz w:val="28"/>
          <w:szCs w:val="28"/>
          <w:lang w:val="uk-UA"/>
        </w:rPr>
        <w:t xml:space="preserve">. </w:t>
      </w:r>
      <w:r w:rsidR="00A81E5B" w:rsidRPr="00A81E5B">
        <w:rPr>
          <w:rFonts w:ascii="Times New Roman" w:hAnsi="Times New Roman" w:cs="Times New Roman"/>
          <w:sz w:val="28"/>
          <w:szCs w:val="28"/>
          <w:lang w:val="uk-UA"/>
        </w:rPr>
        <w:t xml:space="preserve">Rahman A, Jesmin S, Mowa CN, Sohael F, Kamiyama J, Habib AA, et al. Assessment of Circulatory Levels of Endothelin-1 in Diabetic Subjects Screened Through a Cross Sectional Study from Rural Women in Bangladesh. Int J Diabetes Clin Res [Internet]. 2015, 2:1. Available from: </w:t>
      </w:r>
    </w:p>
    <w:p w:rsidR="00A81E5B" w:rsidRPr="00177ACD" w:rsidRDefault="000A6805" w:rsidP="00A81E5B">
      <w:pPr>
        <w:tabs>
          <w:tab w:val="left" w:pos="2880"/>
        </w:tabs>
        <w:spacing w:after="0" w:line="360" w:lineRule="auto"/>
        <w:jc w:val="both"/>
        <w:rPr>
          <w:rFonts w:ascii="Times New Roman" w:hAnsi="Times New Roman" w:cs="Times New Roman"/>
          <w:sz w:val="28"/>
          <w:szCs w:val="28"/>
          <w:lang w:val="uk-UA"/>
        </w:rPr>
      </w:pPr>
      <w:hyperlink r:id="rId52" w:history="1">
        <w:r w:rsidR="00177ACD" w:rsidRPr="00177ACD">
          <w:rPr>
            <w:rStyle w:val="a9"/>
            <w:rFonts w:ascii="Times New Roman" w:hAnsi="Times New Roman" w:cs="Times New Roman"/>
            <w:color w:val="auto"/>
            <w:sz w:val="28"/>
            <w:szCs w:val="28"/>
            <w:u w:val="none"/>
            <w:lang w:val="uk-UA"/>
          </w:rPr>
          <w:t>https://www.clinmedjournals.org/articles/ijdcr/ijdcr-2-024.pdf</w:t>
        </w:r>
      </w:hyperlink>
    </w:p>
    <w:p w:rsidR="00177ACD" w:rsidRPr="00177ACD" w:rsidRDefault="009F5B0C" w:rsidP="00177ACD">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4</w:t>
      </w:r>
      <w:r w:rsidR="00177ACD">
        <w:rPr>
          <w:rFonts w:ascii="Times New Roman" w:hAnsi="Times New Roman" w:cs="Times New Roman"/>
          <w:sz w:val="28"/>
          <w:szCs w:val="28"/>
          <w:lang w:val="uk-UA"/>
        </w:rPr>
        <w:t xml:space="preserve">. </w:t>
      </w:r>
      <w:r w:rsidR="00177ACD" w:rsidRPr="00177ACD">
        <w:rPr>
          <w:rFonts w:ascii="Times New Roman" w:hAnsi="Times New Roman" w:cs="Times New Roman"/>
          <w:sz w:val="28"/>
          <w:szCs w:val="28"/>
          <w:lang w:val="uk-UA"/>
        </w:rPr>
        <w:t xml:space="preserve">Davies JC, Bain SC, Kanamarlapudi V. ADP-ribosylation factor 6 regulates endothelin-1-induced lipolysis in adipocytes. Biochem Pharmacol [Internet]. 2014 Aug 15;90(4):406-13. Available from: </w:t>
      </w:r>
    </w:p>
    <w:p w:rsidR="00177ACD" w:rsidRDefault="00177ACD" w:rsidP="00177ACD">
      <w:pPr>
        <w:tabs>
          <w:tab w:val="left" w:pos="2880"/>
        </w:tabs>
        <w:spacing w:after="0" w:line="360" w:lineRule="auto"/>
        <w:jc w:val="both"/>
        <w:rPr>
          <w:rFonts w:ascii="Times New Roman" w:hAnsi="Times New Roman" w:cs="Times New Roman"/>
          <w:sz w:val="28"/>
          <w:szCs w:val="28"/>
          <w:lang w:val="uk-UA"/>
        </w:rPr>
      </w:pPr>
      <w:r w:rsidRPr="00177ACD">
        <w:rPr>
          <w:rFonts w:ascii="Times New Roman" w:hAnsi="Times New Roman" w:cs="Times New Roman"/>
          <w:sz w:val="28"/>
          <w:szCs w:val="28"/>
          <w:lang w:val="uk-UA"/>
        </w:rPr>
        <w:t>https://www.ncbi.nlm.nih.gov/pubmed/24955982 DOI: 10.1016/j.bcp.2014.06.012</w:t>
      </w:r>
    </w:p>
    <w:p w:rsidR="00177ACD" w:rsidRDefault="009F5B0C" w:rsidP="00177ACD">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en-US"/>
        </w:rPr>
        <w:t>5</w:t>
      </w:r>
      <w:r w:rsidR="00177ACD">
        <w:rPr>
          <w:rFonts w:ascii="Times New Roman" w:hAnsi="Times New Roman" w:cs="Times New Roman"/>
          <w:sz w:val="28"/>
          <w:szCs w:val="28"/>
          <w:lang w:val="uk-UA"/>
        </w:rPr>
        <w:t xml:space="preserve">. </w:t>
      </w:r>
      <w:r w:rsidR="00177ACD" w:rsidRPr="00177ACD">
        <w:rPr>
          <w:rFonts w:ascii="Times New Roman" w:hAnsi="Times New Roman" w:cs="Times New Roman"/>
          <w:sz w:val="28"/>
          <w:szCs w:val="28"/>
          <w:lang w:val="uk-UA"/>
        </w:rPr>
        <w:t xml:space="preserve">Nasser SA, El-Mas MM. Endothelin ETA receptor antagonism in cardiovascular disease. European Journal of Pharmacology [Internet]. 2014 Aug 15;737:210-3. Available from: </w:t>
      </w:r>
      <w:hyperlink r:id="rId53" w:history="1">
        <w:r w:rsidR="00177ACD" w:rsidRPr="00177ACD">
          <w:rPr>
            <w:rStyle w:val="a9"/>
            <w:rFonts w:ascii="Times New Roman" w:hAnsi="Times New Roman" w:cs="Times New Roman"/>
            <w:color w:val="auto"/>
            <w:sz w:val="28"/>
            <w:szCs w:val="28"/>
            <w:u w:val="none"/>
            <w:lang w:val="uk-UA"/>
          </w:rPr>
          <w:t>https://doi.org/10.1016/j.ejphar.2014.05.046</w:t>
        </w:r>
      </w:hyperlink>
    </w:p>
    <w:p w:rsidR="007D1B46" w:rsidRPr="007D1B46" w:rsidRDefault="009F5B0C" w:rsidP="007D1B46">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2B600D">
        <w:rPr>
          <w:rFonts w:ascii="Times New Roman" w:hAnsi="Times New Roman" w:cs="Times New Roman"/>
          <w:sz w:val="28"/>
          <w:szCs w:val="28"/>
          <w:lang w:val="uk-UA"/>
        </w:rPr>
        <w:t>6</w:t>
      </w:r>
      <w:r w:rsidR="00177ACD">
        <w:rPr>
          <w:rFonts w:ascii="Times New Roman" w:hAnsi="Times New Roman" w:cs="Times New Roman"/>
          <w:sz w:val="28"/>
          <w:szCs w:val="28"/>
          <w:lang w:val="uk-UA"/>
        </w:rPr>
        <w:t xml:space="preserve">. </w:t>
      </w:r>
      <w:r w:rsidR="007D1B46" w:rsidRPr="007D1B46">
        <w:rPr>
          <w:rFonts w:ascii="Times New Roman" w:hAnsi="Times New Roman" w:cs="Times New Roman"/>
          <w:sz w:val="28"/>
          <w:szCs w:val="28"/>
          <w:lang w:val="uk-UA"/>
        </w:rPr>
        <w:t xml:space="preserve">Перцева НО. Оцінка </w:t>
      </w:r>
      <w:r w:rsidR="007D1B46">
        <w:rPr>
          <w:rFonts w:ascii="Times New Roman" w:hAnsi="Times New Roman" w:cs="Times New Roman"/>
          <w:sz w:val="28"/>
          <w:szCs w:val="28"/>
          <w:lang w:val="uk-UA"/>
        </w:rPr>
        <w:t>взаємо</w:t>
      </w:r>
      <w:r w:rsidR="007D1B46" w:rsidRPr="007D1B46">
        <w:rPr>
          <w:rFonts w:ascii="Times New Roman" w:hAnsi="Times New Roman" w:cs="Times New Roman"/>
          <w:sz w:val="28"/>
          <w:szCs w:val="28"/>
          <w:lang w:val="uk-UA"/>
        </w:rPr>
        <w:t>зв’язку ендотеліальної функції та судинно-тромбоцитарного гемостазу у хворих із доброю компенсацією цукрового діабету 2 типу та артеріальною гіпертонією.</w:t>
      </w:r>
      <w:r w:rsidR="007D1B46">
        <w:rPr>
          <w:rFonts w:ascii="Times New Roman" w:hAnsi="Times New Roman" w:cs="Times New Roman"/>
          <w:sz w:val="28"/>
          <w:szCs w:val="28"/>
          <w:lang w:val="uk-UA"/>
        </w:rPr>
        <w:t xml:space="preserve"> </w:t>
      </w:r>
      <w:r w:rsidR="007D1B46" w:rsidRPr="007D1B46">
        <w:rPr>
          <w:rFonts w:ascii="Times New Roman" w:hAnsi="Times New Roman" w:cs="Times New Roman"/>
          <w:sz w:val="28"/>
          <w:szCs w:val="28"/>
          <w:lang w:val="uk-UA"/>
        </w:rPr>
        <w:t>Актуальні питання фармацевтичної і медичної н</w:t>
      </w:r>
      <w:r w:rsidR="007D1B46">
        <w:rPr>
          <w:rFonts w:ascii="Times New Roman" w:hAnsi="Times New Roman" w:cs="Times New Roman"/>
          <w:sz w:val="28"/>
          <w:szCs w:val="28"/>
          <w:lang w:val="uk-UA"/>
        </w:rPr>
        <w:t xml:space="preserve">ауки та практики </w:t>
      </w:r>
      <w:r w:rsidR="007D1B46" w:rsidRPr="007D1B46">
        <w:rPr>
          <w:rFonts w:ascii="Times New Roman" w:hAnsi="Times New Roman" w:cs="Times New Roman"/>
          <w:sz w:val="28"/>
          <w:szCs w:val="28"/>
        </w:rPr>
        <w:t>[</w:t>
      </w:r>
      <w:r w:rsidR="007D1B46">
        <w:rPr>
          <w:rFonts w:ascii="Times New Roman" w:hAnsi="Times New Roman" w:cs="Times New Roman"/>
          <w:sz w:val="28"/>
          <w:szCs w:val="28"/>
          <w:lang w:val="uk-UA"/>
        </w:rPr>
        <w:t>Інтернет</w:t>
      </w:r>
      <w:r w:rsidR="007D1B46" w:rsidRPr="007D1B46">
        <w:rPr>
          <w:rFonts w:ascii="Times New Roman" w:hAnsi="Times New Roman" w:cs="Times New Roman"/>
          <w:sz w:val="28"/>
          <w:szCs w:val="28"/>
        </w:rPr>
        <w:t>]</w:t>
      </w:r>
      <w:r w:rsidR="007D1B46">
        <w:rPr>
          <w:rFonts w:ascii="Times New Roman" w:hAnsi="Times New Roman" w:cs="Times New Roman"/>
          <w:sz w:val="28"/>
          <w:szCs w:val="28"/>
          <w:lang w:val="uk-UA"/>
        </w:rPr>
        <w:t>. 2015;1(17):82-8</w:t>
      </w:r>
      <w:r w:rsidR="007D1B46" w:rsidRPr="007D1B46">
        <w:rPr>
          <w:rFonts w:ascii="Times New Roman" w:hAnsi="Times New Roman" w:cs="Times New Roman"/>
          <w:sz w:val="28"/>
          <w:szCs w:val="28"/>
          <w:lang w:val="uk-UA"/>
        </w:rPr>
        <w:t>.</w:t>
      </w:r>
      <w:r w:rsidR="007D1B46">
        <w:rPr>
          <w:rFonts w:ascii="Times New Roman" w:hAnsi="Times New Roman" w:cs="Times New Roman"/>
          <w:sz w:val="28"/>
          <w:szCs w:val="28"/>
          <w:lang w:val="uk-UA"/>
        </w:rPr>
        <w:t xml:space="preserve"> </w:t>
      </w:r>
      <w:r w:rsidR="007D1B46" w:rsidRPr="007D1B46">
        <w:rPr>
          <w:rFonts w:ascii="Times New Roman" w:hAnsi="Times New Roman" w:cs="Times New Roman"/>
          <w:sz w:val="28"/>
          <w:szCs w:val="28"/>
          <w:lang w:val="uk-UA"/>
        </w:rPr>
        <w:t>Доступно на:</w:t>
      </w:r>
      <w:r w:rsidR="007D1B46">
        <w:rPr>
          <w:rFonts w:ascii="Times New Roman" w:hAnsi="Times New Roman" w:cs="Times New Roman"/>
          <w:sz w:val="28"/>
          <w:szCs w:val="28"/>
          <w:lang w:val="uk-UA"/>
        </w:rPr>
        <w:t xml:space="preserve"> </w:t>
      </w:r>
      <w:r w:rsidR="007D1B46" w:rsidRPr="007D1B46">
        <w:rPr>
          <w:rFonts w:ascii="Times New Roman" w:hAnsi="Times New Roman" w:cs="Times New Roman"/>
          <w:sz w:val="28"/>
          <w:szCs w:val="28"/>
          <w:lang w:val="uk-UA"/>
        </w:rPr>
        <w:t>http://pharmed.zsmu.edu.ua/article/viewFile/41652/38121</w:t>
      </w:r>
    </w:p>
    <w:p w:rsidR="007D1B46" w:rsidRPr="007D1B46" w:rsidRDefault="007D1B46" w:rsidP="007D1B46">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F5B0C" w:rsidRPr="002B600D">
        <w:rPr>
          <w:rFonts w:ascii="Times New Roman" w:hAnsi="Times New Roman" w:cs="Times New Roman"/>
          <w:sz w:val="28"/>
          <w:szCs w:val="28"/>
          <w:lang w:val="uk-UA"/>
        </w:rPr>
        <w:t>7</w:t>
      </w:r>
      <w:r w:rsidRPr="007D1B46">
        <w:rPr>
          <w:rFonts w:ascii="Times New Roman" w:hAnsi="Times New Roman" w:cs="Times New Roman"/>
          <w:sz w:val="28"/>
          <w:szCs w:val="28"/>
          <w:lang w:val="uk-UA"/>
        </w:rPr>
        <w:t xml:space="preserve">. Перцева НО. Функція ендотелію та тромбоцитарний гемостаз у хворих цукровим діабетом 2-го типу з різним рівнем компенсації та артеріальною </w:t>
      </w:r>
      <w:r w:rsidRPr="007D1B46">
        <w:rPr>
          <w:rFonts w:ascii="Times New Roman" w:hAnsi="Times New Roman" w:cs="Times New Roman"/>
          <w:sz w:val="28"/>
          <w:szCs w:val="28"/>
          <w:lang w:val="uk-UA"/>
        </w:rPr>
        <w:lastRenderedPageBreak/>
        <w:t xml:space="preserve">гіпертензією [дисертація в Інтернеті]. Дніпропетровськ: Дніпропетровська медична академія; 2015. Доступно на: </w:t>
      </w:r>
    </w:p>
    <w:p w:rsidR="00177ACD" w:rsidRPr="007D1B46" w:rsidRDefault="000A6805" w:rsidP="007D1B46">
      <w:pPr>
        <w:tabs>
          <w:tab w:val="left" w:pos="2880"/>
        </w:tabs>
        <w:spacing w:after="0" w:line="360" w:lineRule="auto"/>
        <w:jc w:val="both"/>
        <w:rPr>
          <w:rFonts w:ascii="Times New Roman" w:hAnsi="Times New Roman" w:cs="Times New Roman"/>
          <w:sz w:val="28"/>
          <w:szCs w:val="28"/>
          <w:lang w:val="uk-UA"/>
        </w:rPr>
      </w:pPr>
      <w:hyperlink r:id="rId54" w:history="1">
        <w:r w:rsidR="007D1B46" w:rsidRPr="007D1B46">
          <w:rPr>
            <w:rStyle w:val="a9"/>
            <w:rFonts w:ascii="Times New Roman" w:hAnsi="Times New Roman" w:cs="Times New Roman"/>
            <w:color w:val="auto"/>
            <w:sz w:val="28"/>
            <w:szCs w:val="28"/>
            <w:u w:val="none"/>
            <w:lang w:val="uk-UA"/>
          </w:rPr>
          <w:t>http://www.ipep.com.ua/dis/perceva/dis.pdf</w:t>
        </w:r>
      </w:hyperlink>
    </w:p>
    <w:p w:rsidR="00054E3E" w:rsidRPr="005C015B" w:rsidRDefault="009F5B0C" w:rsidP="007D1B46">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6</w:t>
      </w:r>
      <w:r w:rsidRPr="002B600D">
        <w:rPr>
          <w:rFonts w:ascii="Times New Roman" w:hAnsi="Times New Roman" w:cs="Times New Roman"/>
          <w:sz w:val="28"/>
          <w:szCs w:val="28"/>
        </w:rPr>
        <w:t>8</w:t>
      </w:r>
      <w:r w:rsidR="007D1B46">
        <w:rPr>
          <w:rFonts w:ascii="Times New Roman" w:hAnsi="Times New Roman" w:cs="Times New Roman"/>
          <w:sz w:val="28"/>
          <w:szCs w:val="28"/>
          <w:lang w:val="uk-UA"/>
        </w:rPr>
        <w:t>.</w:t>
      </w:r>
      <w:r w:rsidR="00722272" w:rsidRPr="00B04BB7">
        <w:rPr>
          <w:rFonts w:ascii="Times New Roman" w:hAnsi="Times New Roman" w:cs="Times New Roman"/>
          <w:sz w:val="28"/>
          <w:szCs w:val="28"/>
        </w:rPr>
        <w:t xml:space="preserve"> </w:t>
      </w:r>
      <w:r w:rsidR="00054E3E">
        <w:rPr>
          <w:rFonts w:ascii="Times New Roman" w:hAnsi="Times New Roman" w:cs="Times New Roman"/>
          <w:sz w:val="28"/>
          <w:szCs w:val="28"/>
          <w:lang w:val="uk-UA"/>
        </w:rPr>
        <w:t xml:space="preserve">Кочуева МН, </w:t>
      </w:r>
      <w:r w:rsidR="00054E3E" w:rsidRPr="00054E3E">
        <w:rPr>
          <w:rFonts w:ascii="Times New Roman" w:hAnsi="Times New Roman" w:cs="Times New Roman"/>
          <w:sz w:val="28"/>
          <w:szCs w:val="28"/>
          <w:lang w:val="uk-UA"/>
        </w:rPr>
        <w:t>Гаврилюк</w:t>
      </w:r>
      <w:r w:rsidR="00054E3E">
        <w:rPr>
          <w:rFonts w:ascii="Times New Roman" w:hAnsi="Times New Roman" w:cs="Times New Roman"/>
          <w:sz w:val="28"/>
          <w:szCs w:val="28"/>
          <w:lang w:val="uk-UA"/>
        </w:rPr>
        <w:t xml:space="preserve"> ВА.</w:t>
      </w:r>
      <w:r w:rsidR="00054E3E" w:rsidRPr="00054E3E">
        <w:rPr>
          <w:rFonts w:ascii="Times New Roman" w:hAnsi="Times New Roman" w:cs="Times New Roman"/>
          <w:sz w:val="28"/>
          <w:szCs w:val="28"/>
          <w:lang w:val="uk-UA"/>
        </w:rPr>
        <w:t xml:space="preserve"> Нейроэндокринные механизмы развития нефропатии у больных эссенциальной артериальной гипертенз</w:t>
      </w:r>
      <w:r w:rsidR="00054E3E">
        <w:rPr>
          <w:rFonts w:ascii="Times New Roman" w:hAnsi="Times New Roman" w:cs="Times New Roman"/>
          <w:sz w:val="28"/>
          <w:szCs w:val="28"/>
          <w:lang w:val="uk-UA"/>
        </w:rPr>
        <w:t>ией с ожирением.</w:t>
      </w:r>
      <w:r w:rsidR="00054E3E" w:rsidRPr="00054E3E">
        <w:rPr>
          <w:rFonts w:ascii="Times New Roman" w:hAnsi="Times New Roman" w:cs="Times New Roman"/>
          <w:sz w:val="28"/>
          <w:szCs w:val="28"/>
          <w:lang w:val="uk-UA"/>
        </w:rPr>
        <w:t xml:space="preserve"> Схiдноєвропейський журнал вну</w:t>
      </w:r>
      <w:r w:rsidR="00054E3E">
        <w:rPr>
          <w:rFonts w:ascii="Times New Roman" w:hAnsi="Times New Roman" w:cs="Times New Roman"/>
          <w:sz w:val="28"/>
          <w:szCs w:val="28"/>
          <w:lang w:val="uk-UA"/>
        </w:rPr>
        <w:t>трiшньої та сiмейної медицини [Інтернет]. 2014</w:t>
      </w:r>
      <w:r w:rsidR="00054E3E" w:rsidRPr="00054E3E">
        <w:rPr>
          <w:rFonts w:ascii="Times New Roman" w:hAnsi="Times New Roman" w:cs="Times New Roman"/>
          <w:sz w:val="28"/>
          <w:szCs w:val="28"/>
        </w:rPr>
        <w:t>;</w:t>
      </w:r>
      <w:r w:rsidR="00054E3E">
        <w:rPr>
          <w:rFonts w:ascii="Times New Roman" w:hAnsi="Times New Roman" w:cs="Times New Roman"/>
          <w:sz w:val="28"/>
          <w:szCs w:val="28"/>
          <w:lang w:val="uk-UA"/>
        </w:rPr>
        <w:t>1</w:t>
      </w:r>
      <w:r w:rsidR="00054E3E" w:rsidRPr="00054E3E">
        <w:rPr>
          <w:rFonts w:ascii="Times New Roman" w:hAnsi="Times New Roman" w:cs="Times New Roman"/>
          <w:sz w:val="28"/>
          <w:szCs w:val="28"/>
        </w:rPr>
        <w:t>:</w:t>
      </w:r>
      <w:r w:rsidR="00054E3E">
        <w:rPr>
          <w:rFonts w:ascii="Times New Roman" w:hAnsi="Times New Roman" w:cs="Times New Roman"/>
          <w:sz w:val="28"/>
          <w:szCs w:val="28"/>
          <w:lang w:val="uk-UA"/>
        </w:rPr>
        <w:t>43</w:t>
      </w:r>
      <w:r w:rsidR="00054E3E" w:rsidRPr="00054E3E">
        <w:rPr>
          <w:rFonts w:ascii="Times New Roman" w:hAnsi="Times New Roman" w:cs="Times New Roman"/>
          <w:sz w:val="28"/>
          <w:szCs w:val="28"/>
        </w:rPr>
        <w:t>-</w:t>
      </w:r>
      <w:r w:rsidR="00054E3E" w:rsidRPr="00054E3E">
        <w:rPr>
          <w:rFonts w:ascii="Times New Roman" w:hAnsi="Times New Roman" w:cs="Times New Roman"/>
          <w:sz w:val="28"/>
          <w:szCs w:val="28"/>
          <w:lang w:val="uk-UA"/>
        </w:rPr>
        <w:t>50.</w:t>
      </w:r>
      <w:r w:rsidR="007D1B46">
        <w:rPr>
          <w:rFonts w:ascii="Times New Roman" w:hAnsi="Times New Roman" w:cs="Times New Roman"/>
          <w:sz w:val="28"/>
          <w:szCs w:val="28"/>
          <w:lang w:val="uk-UA"/>
        </w:rPr>
        <w:t xml:space="preserve"> </w:t>
      </w:r>
      <w:r w:rsidR="00054E3E" w:rsidRPr="00054E3E">
        <w:rPr>
          <w:rFonts w:ascii="Times New Roman" w:hAnsi="Times New Roman" w:cs="Times New Roman"/>
          <w:sz w:val="28"/>
          <w:szCs w:val="28"/>
          <w:lang w:val="uk-UA"/>
        </w:rPr>
        <w:t>Доступно на:</w:t>
      </w:r>
      <w:r w:rsidR="00054E3E" w:rsidRPr="00054E3E">
        <w:rPr>
          <w:rFonts w:ascii="Times New Roman" w:hAnsi="Times New Roman" w:cs="Times New Roman"/>
          <w:sz w:val="28"/>
          <w:szCs w:val="28"/>
        </w:rPr>
        <w:t xml:space="preserve"> </w:t>
      </w:r>
    </w:p>
    <w:p w:rsidR="00BE3BED" w:rsidRPr="005C015B" w:rsidRDefault="000A6805" w:rsidP="00ED3CD2">
      <w:pPr>
        <w:tabs>
          <w:tab w:val="left" w:pos="2880"/>
        </w:tabs>
        <w:spacing w:after="0" w:line="360" w:lineRule="auto"/>
        <w:jc w:val="both"/>
        <w:rPr>
          <w:rFonts w:ascii="Times New Roman" w:hAnsi="Times New Roman" w:cs="Times New Roman"/>
          <w:sz w:val="28"/>
          <w:szCs w:val="28"/>
        </w:rPr>
      </w:pPr>
      <w:hyperlink r:id="rId55" w:history="1">
        <w:r w:rsidR="00AF3288" w:rsidRPr="00AF3288">
          <w:rPr>
            <w:rStyle w:val="a9"/>
            <w:rFonts w:ascii="Times New Roman" w:hAnsi="Times New Roman" w:cs="Times New Roman"/>
            <w:color w:val="auto"/>
            <w:sz w:val="28"/>
            <w:szCs w:val="28"/>
            <w:u w:val="none"/>
            <w:lang w:val="uk-UA"/>
          </w:rPr>
          <w:t>http://www.internalmed-journal.in.ua/wp-content/uploads/2015/08/%D0%96%D1%83%D1%80%D0%BD%D0%B0%D0%BB_1_2014_43-50.pdf</w:t>
        </w:r>
      </w:hyperlink>
    </w:p>
    <w:p w:rsidR="00F2244C" w:rsidRDefault="009F5B0C" w:rsidP="00ED3CD2">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6</w:t>
      </w:r>
      <w:r>
        <w:rPr>
          <w:rFonts w:ascii="Times New Roman" w:hAnsi="Times New Roman" w:cs="Times New Roman"/>
          <w:sz w:val="28"/>
          <w:szCs w:val="28"/>
          <w:lang w:val="en-US"/>
        </w:rPr>
        <w:t>9</w:t>
      </w:r>
      <w:r w:rsidR="00F2244C">
        <w:rPr>
          <w:rFonts w:ascii="Times New Roman" w:hAnsi="Times New Roman" w:cs="Times New Roman"/>
          <w:sz w:val="28"/>
          <w:szCs w:val="28"/>
          <w:lang w:val="uk-UA"/>
        </w:rPr>
        <w:t>.</w:t>
      </w:r>
      <w:r w:rsidR="00F2244C" w:rsidRPr="00F2244C">
        <w:rPr>
          <w:rFonts w:ascii="Times New Roman" w:hAnsi="Times New Roman" w:cs="Times New Roman"/>
          <w:sz w:val="28"/>
          <w:szCs w:val="28"/>
          <w:lang w:val="uk-UA"/>
        </w:rPr>
        <w:t xml:space="preserve"> Kahn</w:t>
      </w:r>
      <w:r w:rsidR="00F2244C">
        <w:rPr>
          <w:rFonts w:ascii="Times New Roman" w:hAnsi="Times New Roman" w:cs="Times New Roman"/>
          <w:sz w:val="28"/>
          <w:szCs w:val="28"/>
          <w:lang w:val="uk-UA"/>
        </w:rPr>
        <w:t xml:space="preserve"> </w:t>
      </w:r>
      <w:r w:rsidR="00F2244C">
        <w:rPr>
          <w:rFonts w:ascii="Times New Roman" w:hAnsi="Times New Roman" w:cs="Times New Roman"/>
          <w:sz w:val="28"/>
          <w:szCs w:val="28"/>
          <w:lang w:val="en-US"/>
        </w:rPr>
        <w:t>HA</w:t>
      </w:r>
      <w:r w:rsidR="00F2244C">
        <w:rPr>
          <w:rFonts w:ascii="Times New Roman" w:hAnsi="Times New Roman" w:cs="Times New Roman"/>
          <w:sz w:val="28"/>
          <w:szCs w:val="28"/>
          <w:lang w:val="uk-UA"/>
        </w:rPr>
        <w:t>,</w:t>
      </w:r>
      <w:r w:rsidR="00F2244C" w:rsidRPr="00F2244C">
        <w:rPr>
          <w:rFonts w:ascii="Times New Roman" w:hAnsi="Times New Roman" w:cs="Times New Roman"/>
          <w:sz w:val="28"/>
          <w:szCs w:val="28"/>
          <w:lang w:val="uk-UA"/>
        </w:rPr>
        <w:t xml:space="preserve"> Medalie</w:t>
      </w:r>
      <w:r w:rsidR="00F2244C" w:rsidRPr="00F2244C">
        <w:rPr>
          <w:rFonts w:ascii="Times New Roman" w:hAnsi="Times New Roman" w:cs="Times New Roman"/>
          <w:sz w:val="28"/>
          <w:szCs w:val="28"/>
          <w:lang w:val="en-US"/>
        </w:rPr>
        <w:t xml:space="preserve"> </w:t>
      </w:r>
      <w:r w:rsidR="00F2244C">
        <w:rPr>
          <w:rFonts w:ascii="Times New Roman" w:hAnsi="Times New Roman" w:cs="Times New Roman"/>
          <w:sz w:val="28"/>
          <w:szCs w:val="28"/>
          <w:lang w:val="en-US"/>
        </w:rPr>
        <w:t>JH</w:t>
      </w:r>
      <w:r w:rsidR="00F2244C">
        <w:rPr>
          <w:rFonts w:ascii="Times New Roman" w:hAnsi="Times New Roman" w:cs="Times New Roman"/>
          <w:sz w:val="28"/>
          <w:szCs w:val="28"/>
          <w:lang w:val="uk-UA"/>
        </w:rPr>
        <w:t>,</w:t>
      </w:r>
      <w:r w:rsidR="00F2244C" w:rsidRPr="00F2244C">
        <w:rPr>
          <w:rFonts w:ascii="Times New Roman" w:hAnsi="Times New Roman" w:cs="Times New Roman"/>
          <w:sz w:val="28"/>
          <w:szCs w:val="28"/>
          <w:lang w:val="uk-UA"/>
        </w:rPr>
        <w:t xml:space="preserve"> Neufeld</w:t>
      </w:r>
      <w:r w:rsidR="00F2244C" w:rsidRPr="00F2244C">
        <w:rPr>
          <w:rFonts w:ascii="Times New Roman" w:hAnsi="Times New Roman" w:cs="Times New Roman"/>
          <w:sz w:val="28"/>
          <w:szCs w:val="28"/>
          <w:lang w:val="en-US"/>
        </w:rPr>
        <w:t xml:space="preserve"> </w:t>
      </w:r>
      <w:r w:rsidR="00F2244C">
        <w:rPr>
          <w:rFonts w:ascii="Times New Roman" w:hAnsi="Times New Roman" w:cs="Times New Roman"/>
          <w:sz w:val="28"/>
          <w:szCs w:val="28"/>
          <w:lang w:val="en-US"/>
        </w:rPr>
        <w:t>HN</w:t>
      </w:r>
      <w:r w:rsidR="00F2244C">
        <w:rPr>
          <w:rFonts w:ascii="Times New Roman" w:hAnsi="Times New Roman" w:cs="Times New Roman"/>
          <w:sz w:val="28"/>
          <w:szCs w:val="28"/>
          <w:lang w:val="uk-UA"/>
        </w:rPr>
        <w:t>,</w:t>
      </w:r>
      <w:r w:rsidR="00F2244C" w:rsidRPr="00F2244C">
        <w:rPr>
          <w:rFonts w:ascii="Times New Roman" w:hAnsi="Times New Roman" w:cs="Times New Roman"/>
          <w:sz w:val="28"/>
          <w:szCs w:val="28"/>
          <w:lang w:val="uk-UA"/>
        </w:rPr>
        <w:t xml:space="preserve"> Riss</w:t>
      </w:r>
      <w:r w:rsidR="00F2244C">
        <w:rPr>
          <w:rFonts w:ascii="Times New Roman" w:hAnsi="Times New Roman" w:cs="Times New Roman"/>
          <w:sz w:val="28"/>
          <w:szCs w:val="28"/>
          <w:lang w:val="en-US"/>
        </w:rPr>
        <w:t xml:space="preserve"> E</w:t>
      </w:r>
      <w:r w:rsidR="00F2244C" w:rsidRPr="00F2244C">
        <w:rPr>
          <w:rFonts w:ascii="Times New Roman" w:hAnsi="Times New Roman" w:cs="Times New Roman"/>
          <w:sz w:val="28"/>
          <w:szCs w:val="28"/>
          <w:lang w:val="uk-UA"/>
        </w:rPr>
        <w:t>, Uri Goldbourt</w:t>
      </w:r>
      <w:r w:rsidR="00F2244C">
        <w:rPr>
          <w:rFonts w:ascii="Times New Roman" w:hAnsi="Times New Roman" w:cs="Times New Roman"/>
          <w:sz w:val="28"/>
          <w:szCs w:val="28"/>
          <w:lang w:val="en-US"/>
        </w:rPr>
        <w:t xml:space="preserve"> U. </w:t>
      </w:r>
      <w:r w:rsidR="00F2244C" w:rsidRPr="00F2244C">
        <w:rPr>
          <w:rFonts w:ascii="Times New Roman" w:hAnsi="Times New Roman" w:cs="Times New Roman"/>
          <w:sz w:val="28"/>
          <w:szCs w:val="28"/>
          <w:lang w:val="en-US"/>
        </w:rPr>
        <w:t>The incidence of hypertension and associated factors: The Israel ischemic heart disease study</w:t>
      </w:r>
      <w:r w:rsidR="00F2244C">
        <w:rPr>
          <w:rFonts w:ascii="Times New Roman" w:hAnsi="Times New Roman" w:cs="Times New Roman"/>
          <w:sz w:val="28"/>
          <w:szCs w:val="28"/>
          <w:lang w:val="en-US"/>
        </w:rPr>
        <w:t xml:space="preserve">. AHJ </w:t>
      </w:r>
      <w:r w:rsidR="00F2244C" w:rsidRPr="00F2244C">
        <w:rPr>
          <w:rFonts w:ascii="Times New Roman" w:hAnsi="Times New Roman" w:cs="Times New Roman"/>
          <w:sz w:val="28"/>
          <w:szCs w:val="28"/>
          <w:lang w:val="en-US"/>
        </w:rPr>
        <w:t>[Internet].</w:t>
      </w:r>
      <w:r w:rsidR="00F2244C">
        <w:rPr>
          <w:rFonts w:ascii="Times New Roman" w:hAnsi="Times New Roman" w:cs="Times New Roman"/>
          <w:sz w:val="28"/>
          <w:szCs w:val="28"/>
          <w:lang w:val="en-US"/>
        </w:rPr>
        <w:t xml:space="preserve"> 1972;84(</w:t>
      </w:r>
      <w:r w:rsidR="00F2244C" w:rsidRPr="00F2244C">
        <w:rPr>
          <w:rFonts w:ascii="Times New Roman" w:hAnsi="Times New Roman" w:cs="Times New Roman"/>
          <w:sz w:val="28"/>
          <w:szCs w:val="28"/>
          <w:lang w:val="en-US"/>
        </w:rPr>
        <w:t>2</w:t>
      </w:r>
      <w:r w:rsidR="00F2244C">
        <w:rPr>
          <w:rFonts w:ascii="Times New Roman" w:hAnsi="Times New Roman" w:cs="Times New Roman"/>
          <w:sz w:val="28"/>
          <w:szCs w:val="28"/>
          <w:lang w:val="en-US"/>
        </w:rPr>
        <w:t>):171-</w:t>
      </w:r>
      <w:r w:rsidR="00F2244C" w:rsidRPr="00F2244C">
        <w:rPr>
          <w:rFonts w:ascii="Times New Roman" w:hAnsi="Times New Roman" w:cs="Times New Roman"/>
          <w:sz w:val="28"/>
          <w:szCs w:val="28"/>
          <w:lang w:val="en-US"/>
        </w:rPr>
        <w:t>82</w:t>
      </w:r>
      <w:r w:rsidR="00F2244C">
        <w:rPr>
          <w:rFonts w:ascii="Times New Roman" w:hAnsi="Times New Roman" w:cs="Times New Roman"/>
          <w:sz w:val="28"/>
          <w:szCs w:val="28"/>
          <w:lang w:val="en-US"/>
        </w:rPr>
        <w:t xml:space="preserve">. </w:t>
      </w:r>
      <w:r w:rsidR="00F2244C" w:rsidRPr="00F2244C">
        <w:rPr>
          <w:rFonts w:ascii="Times New Roman" w:hAnsi="Times New Roman" w:cs="Times New Roman"/>
          <w:sz w:val="28"/>
          <w:szCs w:val="28"/>
          <w:lang w:val="en-US"/>
        </w:rPr>
        <w:t>Available from:</w:t>
      </w:r>
      <w:r w:rsidR="00F2244C">
        <w:rPr>
          <w:rFonts w:ascii="Times New Roman" w:hAnsi="Times New Roman" w:cs="Times New Roman"/>
          <w:sz w:val="28"/>
          <w:szCs w:val="28"/>
          <w:lang w:val="en-US"/>
        </w:rPr>
        <w:t xml:space="preserve"> </w:t>
      </w:r>
    </w:p>
    <w:p w:rsidR="00F2244C" w:rsidRPr="00F2244C" w:rsidRDefault="000A6805" w:rsidP="00ED3CD2">
      <w:pPr>
        <w:tabs>
          <w:tab w:val="left" w:pos="2880"/>
        </w:tabs>
        <w:spacing w:after="0" w:line="360" w:lineRule="auto"/>
        <w:jc w:val="both"/>
        <w:rPr>
          <w:rFonts w:ascii="Times New Roman" w:hAnsi="Times New Roman" w:cs="Times New Roman"/>
          <w:sz w:val="28"/>
          <w:szCs w:val="28"/>
          <w:lang w:val="en-US"/>
        </w:rPr>
      </w:pPr>
      <w:hyperlink r:id="rId56" w:history="1">
        <w:r w:rsidR="00F2244C" w:rsidRPr="00F2244C">
          <w:rPr>
            <w:rStyle w:val="a9"/>
            <w:rFonts w:ascii="Times New Roman" w:hAnsi="Times New Roman" w:cs="Times New Roman"/>
            <w:color w:val="auto"/>
            <w:sz w:val="28"/>
            <w:szCs w:val="28"/>
            <w:u w:val="none"/>
            <w:lang w:val="en-US"/>
          </w:rPr>
          <w:t>https://www.ahjonline.com/article/0002-8703(72)90331-6/fulltext</w:t>
        </w:r>
      </w:hyperlink>
      <w:r w:rsidR="00F2244C" w:rsidRPr="00F2244C">
        <w:rPr>
          <w:rFonts w:ascii="Times New Roman" w:hAnsi="Times New Roman" w:cs="Times New Roman"/>
          <w:sz w:val="28"/>
          <w:szCs w:val="28"/>
          <w:lang w:val="en-US"/>
        </w:rPr>
        <w:t xml:space="preserve"> </w:t>
      </w:r>
    </w:p>
    <w:p w:rsidR="00F2244C" w:rsidRPr="00F2244C" w:rsidRDefault="00F2244C" w:rsidP="00ED3CD2">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604D32">
        <w:rPr>
          <w:lang w:val="en-US"/>
        </w:rPr>
        <w:t xml:space="preserve"> </w:t>
      </w:r>
      <w:r w:rsidRPr="00F2244C">
        <w:rPr>
          <w:rFonts w:ascii="Times New Roman" w:hAnsi="Times New Roman" w:cs="Times New Roman"/>
          <w:sz w:val="28"/>
          <w:szCs w:val="28"/>
          <w:lang w:val="en-US"/>
        </w:rPr>
        <w:t>https://doi.org/10.1016/0002-8703(72)90331-6</w:t>
      </w:r>
    </w:p>
    <w:p w:rsidR="009F5B0C" w:rsidRDefault="009F5B0C" w:rsidP="009F5B0C">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70</w:t>
      </w:r>
      <w:r w:rsidRPr="002247C5">
        <w:rPr>
          <w:rFonts w:ascii="Times New Roman" w:hAnsi="Times New Roman" w:cs="Times New Roman"/>
          <w:sz w:val="28"/>
          <w:szCs w:val="28"/>
          <w:lang w:val="en-US"/>
        </w:rPr>
        <w:t xml:space="preserve">. Nagendra. </w:t>
      </w:r>
      <w:r w:rsidRPr="00C6368B">
        <w:rPr>
          <w:rFonts w:ascii="Times New Roman" w:hAnsi="Times New Roman" w:cs="Times New Roman"/>
          <w:sz w:val="28"/>
          <w:szCs w:val="28"/>
          <w:lang w:val="en-US"/>
        </w:rPr>
        <w:t>S, Kashin</w:t>
      </w:r>
      <w:r>
        <w:rPr>
          <w:rFonts w:ascii="Times New Roman" w:hAnsi="Times New Roman" w:cs="Times New Roman"/>
          <w:sz w:val="28"/>
          <w:szCs w:val="28"/>
          <w:lang w:val="en-US"/>
        </w:rPr>
        <w:t xml:space="preserve">ath RT, Srinivas S. </w:t>
      </w:r>
      <w:r w:rsidRPr="00C6368B">
        <w:rPr>
          <w:rFonts w:ascii="Times New Roman" w:hAnsi="Times New Roman" w:cs="Times New Roman"/>
          <w:sz w:val="28"/>
          <w:szCs w:val="28"/>
          <w:lang w:val="en-US"/>
        </w:rPr>
        <w:t>Hyperuricemia in Type 2 Diabetes Mellitus</w:t>
      </w:r>
      <w:r>
        <w:rPr>
          <w:rFonts w:ascii="Times New Roman" w:hAnsi="Times New Roman" w:cs="Times New Roman"/>
          <w:sz w:val="28"/>
          <w:szCs w:val="28"/>
          <w:lang w:val="en-US"/>
        </w:rPr>
        <w:t xml:space="preserve">. </w:t>
      </w:r>
      <w:r w:rsidRPr="00C6368B">
        <w:rPr>
          <w:rFonts w:ascii="Times New Roman" w:hAnsi="Times New Roman" w:cs="Times New Roman"/>
          <w:sz w:val="28"/>
          <w:szCs w:val="28"/>
          <w:lang w:val="en-US"/>
        </w:rPr>
        <w:t>Global Journal of Medical Research</w:t>
      </w:r>
      <w:r>
        <w:rPr>
          <w:rFonts w:ascii="Times New Roman" w:hAnsi="Times New Roman" w:cs="Times New Roman"/>
          <w:sz w:val="28"/>
          <w:szCs w:val="28"/>
          <w:lang w:val="en-US"/>
        </w:rPr>
        <w:t xml:space="preserve"> </w:t>
      </w:r>
      <w:r w:rsidRPr="00C6368B">
        <w:rPr>
          <w:rFonts w:ascii="Times New Roman" w:hAnsi="Times New Roman" w:cs="Times New Roman"/>
          <w:sz w:val="28"/>
          <w:szCs w:val="28"/>
          <w:lang w:val="en-US"/>
        </w:rPr>
        <w:t>[Internet].</w:t>
      </w:r>
      <w:r>
        <w:rPr>
          <w:rFonts w:ascii="Times New Roman" w:hAnsi="Times New Roman" w:cs="Times New Roman"/>
          <w:sz w:val="28"/>
          <w:szCs w:val="28"/>
          <w:lang w:val="en-US"/>
        </w:rPr>
        <w:t xml:space="preserve"> 2014;14(3):19-24. </w:t>
      </w:r>
      <w:r w:rsidRPr="00C6368B">
        <w:rPr>
          <w:rFonts w:ascii="Times New Roman" w:hAnsi="Times New Roman" w:cs="Times New Roman"/>
          <w:sz w:val="28"/>
          <w:szCs w:val="28"/>
          <w:lang w:val="en-US"/>
        </w:rPr>
        <w:t>Available from:</w:t>
      </w:r>
      <w:r>
        <w:rPr>
          <w:rFonts w:ascii="Times New Roman" w:hAnsi="Times New Roman" w:cs="Times New Roman"/>
          <w:sz w:val="28"/>
          <w:szCs w:val="28"/>
          <w:lang w:val="en-US"/>
        </w:rPr>
        <w:t xml:space="preserve"> </w:t>
      </w:r>
    </w:p>
    <w:p w:rsidR="009F5B0C" w:rsidRDefault="000A6805" w:rsidP="00ED3CD2">
      <w:pPr>
        <w:tabs>
          <w:tab w:val="left" w:pos="2880"/>
        </w:tabs>
        <w:spacing w:after="0" w:line="360" w:lineRule="auto"/>
        <w:jc w:val="both"/>
        <w:rPr>
          <w:rFonts w:ascii="Times New Roman" w:hAnsi="Times New Roman" w:cs="Times New Roman"/>
          <w:sz w:val="28"/>
          <w:szCs w:val="28"/>
          <w:lang w:val="en-US"/>
        </w:rPr>
      </w:pPr>
      <w:hyperlink r:id="rId57" w:history="1">
        <w:r w:rsidR="009F5B0C" w:rsidRPr="00C6368B">
          <w:rPr>
            <w:rStyle w:val="a9"/>
            <w:rFonts w:ascii="Times New Roman" w:hAnsi="Times New Roman" w:cs="Times New Roman"/>
            <w:color w:val="auto"/>
            <w:sz w:val="28"/>
            <w:szCs w:val="28"/>
            <w:u w:val="none"/>
            <w:lang w:val="en-US"/>
          </w:rPr>
          <w:t>https://pdfs.semanticscholar.org/ff2b/3fb699d6b4b60c6727dacff0dcfbbbbc5849.pdf</w:t>
        </w:r>
      </w:hyperlink>
    </w:p>
    <w:p w:rsidR="00505D5F" w:rsidRDefault="009F5B0C" w:rsidP="00ED3CD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71</w:t>
      </w:r>
      <w:r w:rsidR="00AF3288">
        <w:rPr>
          <w:rFonts w:ascii="Times New Roman" w:hAnsi="Times New Roman" w:cs="Times New Roman"/>
          <w:sz w:val="28"/>
          <w:szCs w:val="28"/>
          <w:lang w:val="en-US"/>
        </w:rPr>
        <w:t xml:space="preserve">. </w:t>
      </w:r>
      <w:r w:rsidR="00604D32" w:rsidRPr="00604D32">
        <w:rPr>
          <w:rFonts w:ascii="Times New Roman" w:hAnsi="Times New Roman" w:cs="Times New Roman"/>
          <w:sz w:val="28"/>
          <w:szCs w:val="28"/>
          <w:lang w:val="en-US"/>
        </w:rPr>
        <w:t xml:space="preserve">Fouad M. Serum uric acid and its association with hypertension, early nephropathy and chronic kidney disease in type 2 diabetic patients. J Bras Nefrol </w:t>
      </w:r>
      <w:r w:rsidR="00604D32">
        <w:rPr>
          <w:rFonts w:ascii="Times New Roman" w:hAnsi="Times New Roman" w:cs="Times New Roman"/>
          <w:sz w:val="28"/>
          <w:szCs w:val="28"/>
          <w:lang w:val="uk-UA"/>
        </w:rPr>
        <w:t xml:space="preserve"> </w:t>
      </w:r>
      <w:r w:rsidR="00604D32" w:rsidRPr="00604D32">
        <w:rPr>
          <w:rFonts w:ascii="Times New Roman" w:hAnsi="Times New Roman" w:cs="Times New Roman"/>
          <w:sz w:val="28"/>
          <w:szCs w:val="28"/>
          <w:lang w:val="uk-UA"/>
        </w:rPr>
        <w:t xml:space="preserve">[Internet]. </w:t>
      </w:r>
      <w:r w:rsidR="00604D32" w:rsidRPr="00604D32">
        <w:rPr>
          <w:rFonts w:ascii="Times New Roman" w:hAnsi="Times New Roman" w:cs="Times New Roman"/>
          <w:sz w:val="28"/>
          <w:szCs w:val="28"/>
          <w:lang w:val="en-US"/>
        </w:rPr>
        <w:t>2016;38:403-10</w:t>
      </w:r>
      <w:r w:rsidR="00505D5F">
        <w:rPr>
          <w:rFonts w:ascii="Times New Roman" w:hAnsi="Times New Roman" w:cs="Times New Roman"/>
          <w:sz w:val="28"/>
          <w:szCs w:val="28"/>
          <w:lang w:val="uk-UA"/>
        </w:rPr>
        <w:t xml:space="preserve">. </w:t>
      </w:r>
      <w:r w:rsidR="00505D5F" w:rsidRPr="00505D5F">
        <w:rPr>
          <w:rFonts w:ascii="Times New Roman" w:hAnsi="Times New Roman" w:cs="Times New Roman"/>
          <w:sz w:val="28"/>
          <w:szCs w:val="28"/>
          <w:lang w:val="uk-UA"/>
        </w:rPr>
        <w:t>Available from:</w:t>
      </w:r>
      <w:r w:rsidR="00505D5F">
        <w:rPr>
          <w:rFonts w:ascii="Times New Roman" w:hAnsi="Times New Roman" w:cs="Times New Roman"/>
          <w:sz w:val="28"/>
          <w:szCs w:val="28"/>
          <w:lang w:val="uk-UA"/>
        </w:rPr>
        <w:t xml:space="preserve"> </w:t>
      </w:r>
    </w:p>
    <w:p w:rsidR="00AF3288" w:rsidRDefault="000A6805" w:rsidP="00ED3CD2">
      <w:pPr>
        <w:tabs>
          <w:tab w:val="left" w:pos="2880"/>
        </w:tabs>
        <w:spacing w:after="0" w:line="360" w:lineRule="auto"/>
        <w:jc w:val="both"/>
        <w:rPr>
          <w:rFonts w:ascii="Times New Roman" w:hAnsi="Times New Roman" w:cs="Times New Roman"/>
          <w:sz w:val="28"/>
          <w:szCs w:val="28"/>
          <w:lang w:val="uk-UA"/>
        </w:rPr>
      </w:pPr>
      <w:hyperlink r:id="rId58" w:history="1">
        <w:r w:rsidR="00505D5F" w:rsidRPr="00505D5F">
          <w:rPr>
            <w:rStyle w:val="a9"/>
            <w:rFonts w:ascii="Times New Roman" w:hAnsi="Times New Roman" w:cs="Times New Roman"/>
            <w:color w:val="auto"/>
            <w:sz w:val="28"/>
            <w:szCs w:val="28"/>
            <w:u w:val="none"/>
            <w:lang w:val="uk-UA"/>
          </w:rPr>
          <w:t>http://dx.doi.org/10.5935/0101-2800.20160065</w:t>
        </w:r>
      </w:hyperlink>
    </w:p>
    <w:p w:rsidR="003F40F6" w:rsidRDefault="009F5B0C" w:rsidP="00ED3CD2">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7</w:t>
      </w:r>
      <w:r>
        <w:rPr>
          <w:rFonts w:ascii="Times New Roman" w:hAnsi="Times New Roman" w:cs="Times New Roman"/>
          <w:sz w:val="28"/>
          <w:szCs w:val="28"/>
          <w:lang w:val="en-US"/>
        </w:rPr>
        <w:t>2</w:t>
      </w:r>
      <w:r w:rsidR="00505D5F">
        <w:rPr>
          <w:rFonts w:ascii="Times New Roman" w:hAnsi="Times New Roman" w:cs="Times New Roman"/>
          <w:sz w:val="28"/>
          <w:szCs w:val="28"/>
          <w:lang w:val="uk-UA"/>
        </w:rPr>
        <w:t xml:space="preserve">. </w:t>
      </w:r>
      <w:r w:rsidR="00A74FDF">
        <w:rPr>
          <w:rFonts w:ascii="Times New Roman" w:hAnsi="Times New Roman" w:cs="Times New Roman"/>
          <w:sz w:val="28"/>
          <w:szCs w:val="28"/>
          <w:lang w:val="uk-UA"/>
        </w:rPr>
        <w:t xml:space="preserve">Filiopoulos V, </w:t>
      </w:r>
      <w:r w:rsidR="00A74FDF" w:rsidRPr="00A74FDF">
        <w:rPr>
          <w:rFonts w:ascii="Times New Roman" w:hAnsi="Times New Roman" w:cs="Times New Roman"/>
          <w:sz w:val="28"/>
          <w:szCs w:val="28"/>
          <w:lang w:val="uk-UA"/>
        </w:rPr>
        <w:t>Hadjiyannakos</w:t>
      </w:r>
      <w:r w:rsidR="00A74FDF">
        <w:rPr>
          <w:rFonts w:ascii="Times New Roman" w:hAnsi="Times New Roman" w:cs="Times New Roman"/>
          <w:sz w:val="28"/>
          <w:szCs w:val="28"/>
          <w:lang w:val="uk-UA"/>
        </w:rPr>
        <w:t xml:space="preserve"> </w:t>
      </w:r>
      <w:r w:rsidR="00A74FDF">
        <w:rPr>
          <w:rFonts w:ascii="Times New Roman" w:hAnsi="Times New Roman" w:cs="Times New Roman"/>
          <w:sz w:val="28"/>
          <w:szCs w:val="28"/>
          <w:lang w:val="en-US"/>
        </w:rPr>
        <w:t>D</w:t>
      </w:r>
      <w:r w:rsidR="003F40F6">
        <w:rPr>
          <w:rFonts w:ascii="Times New Roman" w:hAnsi="Times New Roman" w:cs="Times New Roman"/>
          <w:sz w:val="28"/>
          <w:szCs w:val="28"/>
          <w:lang w:val="uk-UA"/>
        </w:rPr>
        <w:t>,</w:t>
      </w:r>
      <w:r w:rsidR="003F40F6">
        <w:rPr>
          <w:rFonts w:ascii="Times New Roman" w:hAnsi="Times New Roman" w:cs="Times New Roman"/>
          <w:sz w:val="28"/>
          <w:szCs w:val="28"/>
          <w:lang w:val="en-US"/>
        </w:rPr>
        <w:t xml:space="preserve"> </w:t>
      </w:r>
      <w:r w:rsidR="00A74FDF" w:rsidRPr="00A74FDF">
        <w:rPr>
          <w:rFonts w:ascii="Times New Roman" w:hAnsi="Times New Roman" w:cs="Times New Roman"/>
          <w:sz w:val="28"/>
          <w:szCs w:val="28"/>
          <w:lang w:val="uk-UA"/>
        </w:rPr>
        <w:t>Vlassopoulos</w:t>
      </w:r>
      <w:r w:rsidR="003F40F6">
        <w:rPr>
          <w:rFonts w:ascii="Times New Roman" w:hAnsi="Times New Roman" w:cs="Times New Roman"/>
          <w:sz w:val="28"/>
          <w:szCs w:val="28"/>
          <w:lang w:val="en-US"/>
        </w:rPr>
        <w:t xml:space="preserve"> D.</w:t>
      </w:r>
      <w:r w:rsidR="00A74FDF" w:rsidRPr="00A74FDF">
        <w:rPr>
          <w:rFonts w:ascii="Times New Roman" w:hAnsi="Times New Roman" w:cs="Times New Roman"/>
          <w:sz w:val="28"/>
          <w:szCs w:val="28"/>
          <w:lang w:val="uk-UA"/>
        </w:rPr>
        <w:t xml:space="preserve"> New insights into uric acid effects on the progression and prognosis of chronic kidney disease</w:t>
      </w:r>
      <w:r w:rsidR="003F40F6">
        <w:rPr>
          <w:rFonts w:ascii="Times New Roman" w:hAnsi="Times New Roman" w:cs="Times New Roman"/>
          <w:sz w:val="28"/>
          <w:szCs w:val="28"/>
          <w:lang w:val="en-US"/>
        </w:rPr>
        <w:t xml:space="preserve">. </w:t>
      </w:r>
      <w:r w:rsidR="003F40F6">
        <w:rPr>
          <w:rFonts w:ascii="Times New Roman" w:hAnsi="Times New Roman" w:cs="Times New Roman"/>
          <w:sz w:val="28"/>
          <w:szCs w:val="28"/>
          <w:lang w:val="uk-UA"/>
        </w:rPr>
        <w:t>Ren Fail</w:t>
      </w:r>
      <w:r w:rsidR="003F40F6">
        <w:rPr>
          <w:rFonts w:ascii="Times New Roman" w:hAnsi="Times New Roman" w:cs="Times New Roman"/>
          <w:sz w:val="28"/>
          <w:szCs w:val="28"/>
          <w:lang w:val="en-US"/>
        </w:rPr>
        <w:t xml:space="preserve"> [Internet].</w:t>
      </w:r>
      <w:r w:rsidR="003F40F6">
        <w:rPr>
          <w:rFonts w:ascii="Times New Roman" w:hAnsi="Times New Roman" w:cs="Times New Roman"/>
          <w:sz w:val="28"/>
          <w:szCs w:val="28"/>
          <w:lang w:val="uk-UA"/>
        </w:rPr>
        <w:t xml:space="preserve"> 2012</w:t>
      </w:r>
      <w:r w:rsidR="003F40F6">
        <w:rPr>
          <w:rFonts w:ascii="Times New Roman" w:hAnsi="Times New Roman" w:cs="Times New Roman"/>
          <w:sz w:val="28"/>
          <w:szCs w:val="28"/>
          <w:lang w:val="en-US"/>
        </w:rPr>
        <w:t>;</w:t>
      </w:r>
      <w:r w:rsidR="003F40F6">
        <w:rPr>
          <w:rFonts w:ascii="Times New Roman" w:hAnsi="Times New Roman" w:cs="Times New Roman"/>
          <w:sz w:val="28"/>
          <w:szCs w:val="28"/>
          <w:lang w:val="uk-UA"/>
        </w:rPr>
        <w:t>34(4)</w:t>
      </w:r>
      <w:r w:rsidR="003F40F6">
        <w:rPr>
          <w:rFonts w:ascii="Times New Roman" w:hAnsi="Times New Roman" w:cs="Times New Roman"/>
          <w:sz w:val="28"/>
          <w:szCs w:val="28"/>
          <w:lang w:val="en-US"/>
        </w:rPr>
        <w:t>:</w:t>
      </w:r>
      <w:r w:rsidR="003F40F6">
        <w:rPr>
          <w:rFonts w:ascii="Times New Roman" w:hAnsi="Times New Roman" w:cs="Times New Roman"/>
          <w:sz w:val="28"/>
          <w:szCs w:val="28"/>
          <w:lang w:val="uk-UA"/>
        </w:rPr>
        <w:t>510</w:t>
      </w:r>
      <w:r w:rsidR="003F40F6">
        <w:rPr>
          <w:rFonts w:ascii="Times New Roman" w:hAnsi="Times New Roman" w:cs="Times New Roman"/>
          <w:sz w:val="28"/>
          <w:szCs w:val="28"/>
          <w:lang w:val="en-US"/>
        </w:rPr>
        <w:t>-</w:t>
      </w:r>
      <w:r w:rsidR="00A74FDF" w:rsidRPr="00A74FDF">
        <w:rPr>
          <w:rFonts w:ascii="Times New Roman" w:hAnsi="Times New Roman" w:cs="Times New Roman"/>
          <w:sz w:val="28"/>
          <w:szCs w:val="28"/>
          <w:lang w:val="uk-UA"/>
        </w:rPr>
        <w:t>20.</w:t>
      </w:r>
      <w:r w:rsidR="003F40F6">
        <w:rPr>
          <w:rFonts w:ascii="Times New Roman" w:hAnsi="Times New Roman" w:cs="Times New Roman"/>
          <w:sz w:val="28"/>
          <w:szCs w:val="28"/>
          <w:lang w:val="en-US"/>
        </w:rPr>
        <w:t xml:space="preserve"> </w:t>
      </w:r>
      <w:r w:rsidR="003F40F6" w:rsidRPr="003F40F6">
        <w:rPr>
          <w:rFonts w:ascii="Times New Roman" w:hAnsi="Times New Roman" w:cs="Times New Roman"/>
          <w:sz w:val="28"/>
          <w:szCs w:val="28"/>
          <w:lang w:val="en-US"/>
        </w:rPr>
        <w:t>Available from:</w:t>
      </w:r>
      <w:r w:rsidR="003F40F6">
        <w:rPr>
          <w:rFonts w:ascii="Times New Roman" w:hAnsi="Times New Roman" w:cs="Times New Roman"/>
          <w:sz w:val="28"/>
          <w:szCs w:val="28"/>
          <w:lang w:val="en-US"/>
        </w:rPr>
        <w:t xml:space="preserve"> </w:t>
      </w:r>
    </w:p>
    <w:p w:rsidR="003F40F6" w:rsidRDefault="000A6805" w:rsidP="00ED3CD2">
      <w:pPr>
        <w:tabs>
          <w:tab w:val="left" w:pos="2880"/>
        </w:tabs>
        <w:spacing w:after="0" w:line="360" w:lineRule="auto"/>
        <w:jc w:val="both"/>
        <w:rPr>
          <w:rFonts w:ascii="Times New Roman" w:hAnsi="Times New Roman" w:cs="Times New Roman"/>
          <w:sz w:val="28"/>
          <w:szCs w:val="28"/>
          <w:lang w:val="en-US"/>
        </w:rPr>
      </w:pPr>
      <w:hyperlink r:id="rId59" w:history="1">
        <w:r w:rsidR="003F40F6" w:rsidRPr="003F40F6">
          <w:rPr>
            <w:rStyle w:val="a9"/>
            <w:rFonts w:ascii="Times New Roman" w:hAnsi="Times New Roman" w:cs="Times New Roman"/>
            <w:color w:val="auto"/>
            <w:sz w:val="28"/>
            <w:szCs w:val="28"/>
            <w:u w:val="none"/>
            <w:lang w:val="en-US"/>
          </w:rPr>
          <w:t>https://doi.org/10.3109/0886022X.2011.653753</w:t>
        </w:r>
      </w:hyperlink>
      <w:r w:rsidR="003F40F6">
        <w:rPr>
          <w:rFonts w:ascii="Times New Roman" w:hAnsi="Times New Roman" w:cs="Times New Roman"/>
          <w:sz w:val="28"/>
          <w:szCs w:val="28"/>
          <w:lang w:val="en-US"/>
        </w:rPr>
        <w:t xml:space="preserve"> </w:t>
      </w:r>
    </w:p>
    <w:p w:rsidR="00505D5F" w:rsidRDefault="003F40F6" w:rsidP="00ED3CD2">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3F40F6">
        <w:rPr>
          <w:rFonts w:ascii="Times New Roman" w:hAnsi="Times New Roman" w:cs="Times New Roman"/>
          <w:sz w:val="28"/>
          <w:szCs w:val="28"/>
          <w:lang w:val="en-US"/>
        </w:rPr>
        <w:t xml:space="preserve"> 10.3109/0886022X.2011.653753</w:t>
      </w:r>
    </w:p>
    <w:p w:rsidR="00C6368B" w:rsidRPr="002247C5" w:rsidRDefault="009F5B0C" w:rsidP="00ED3CD2">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lastRenderedPageBreak/>
        <w:t>73</w:t>
      </w:r>
      <w:r w:rsidR="003F40F6">
        <w:rPr>
          <w:rFonts w:ascii="Times New Roman" w:hAnsi="Times New Roman" w:cs="Times New Roman"/>
          <w:sz w:val="28"/>
          <w:szCs w:val="28"/>
          <w:lang w:val="en-US"/>
        </w:rPr>
        <w:t xml:space="preserve">. </w:t>
      </w:r>
      <w:r w:rsidR="00DC2841">
        <w:rPr>
          <w:rFonts w:ascii="Times New Roman" w:hAnsi="Times New Roman" w:cs="Times New Roman"/>
          <w:sz w:val="28"/>
          <w:szCs w:val="28"/>
          <w:lang w:val="en-US"/>
        </w:rPr>
        <w:t>Коломієць М</w:t>
      </w:r>
      <w:r w:rsidR="00DC2841" w:rsidRPr="00DC2841">
        <w:rPr>
          <w:rFonts w:ascii="Times New Roman" w:hAnsi="Times New Roman" w:cs="Times New Roman"/>
          <w:sz w:val="28"/>
          <w:szCs w:val="28"/>
          <w:lang w:val="en-US"/>
        </w:rPr>
        <w:t>В. Оптимізація діагностики та лікування хворих хронічною серцевою недостатністю із супутньою хронічною хворобою нирок на підставі вивчення особливостей порушень обміну ксантинів [дисертація в Інтернеті]</w:t>
      </w:r>
      <w:r w:rsidR="00DC2841">
        <w:rPr>
          <w:rFonts w:ascii="Times New Roman" w:hAnsi="Times New Roman" w:cs="Times New Roman"/>
          <w:sz w:val="28"/>
          <w:szCs w:val="28"/>
          <w:lang w:val="en-US"/>
        </w:rPr>
        <w:t>.</w:t>
      </w:r>
      <w:r w:rsidR="00DC2841" w:rsidRPr="00DC2841">
        <w:rPr>
          <w:rFonts w:ascii="Times New Roman" w:hAnsi="Times New Roman" w:cs="Times New Roman"/>
          <w:sz w:val="28"/>
          <w:szCs w:val="28"/>
          <w:lang w:val="en-US"/>
        </w:rPr>
        <w:t xml:space="preserve"> </w:t>
      </w:r>
      <w:r w:rsidR="00DC2841" w:rsidRPr="00DC2841">
        <w:rPr>
          <w:rFonts w:ascii="Times New Roman" w:hAnsi="Times New Roman" w:cs="Times New Roman"/>
          <w:sz w:val="28"/>
          <w:szCs w:val="28"/>
        </w:rPr>
        <w:t xml:space="preserve">Харків: Харківська медична академія післядипломної освіти; 2015. </w:t>
      </w:r>
    </w:p>
    <w:p w:rsidR="009F5B0C" w:rsidRPr="002B600D" w:rsidRDefault="00DC2841" w:rsidP="00C6368B">
      <w:pPr>
        <w:tabs>
          <w:tab w:val="left" w:pos="2880"/>
        </w:tabs>
        <w:spacing w:after="0" w:line="360" w:lineRule="auto"/>
        <w:jc w:val="both"/>
        <w:rPr>
          <w:rFonts w:ascii="Times New Roman" w:hAnsi="Times New Roman" w:cs="Times New Roman"/>
          <w:sz w:val="28"/>
          <w:szCs w:val="28"/>
        </w:rPr>
      </w:pPr>
      <w:r w:rsidRPr="00DC2841">
        <w:rPr>
          <w:rFonts w:ascii="Times New Roman" w:hAnsi="Times New Roman" w:cs="Times New Roman"/>
          <w:sz w:val="28"/>
          <w:szCs w:val="28"/>
        </w:rPr>
        <w:t xml:space="preserve">Доступно на: </w:t>
      </w:r>
      <w:hyperlink r:id="rId60" w:history="1">
        <w:r w:rsidRPr="00DC2841">
          <w:rPr>
            <w:rStyle w:val="a9"/>
            <w:rFonts w:ascii="Times New Roman" w:hAnsi="Times New Roman" w:cs="Times New Roman"/>
            <w:color w:val="auto"/>
            <w:sz w:val="28"/>
            <w:szCs w:val="28"/>
            <w:u w:val="none"/>
            <w:lang w:val="en-US"/>
          </w:rPr>
          <w:t>http</w:t>
        </w:r>
        <w:r w:rsidRPr="00DC2841">
          <w:rPr>
            <w:rStyle w:val="a9"/>
            <w:rFonts w:ascii="Times New Roman" w:hAnsi="Times New Roman" w:cs="Times New Roman"/>
            <w:color w:val="auto"/>
            <w:sz w:val="28"/>
            <w:szCs w:val="28"/>
            <w:u w:val="none"/>
          </w:rPr>
          <w:t>://</w:t>
        </w:r>
        <w:r w:rsidRPr="00DC2841">
          <w:rPr>
            <w:rStyle w:val="a9"/>
            <w:rFonts w:ascii="Times New Roman" w:hAnsi="Times New Roman" w:cs="Times New Roman"/>
            <w:color w:val="auto"/>
            <w:sz w:val="28"/>
            <w:szCs w:val="28"/>
            <w:u w:val="none"/>
            <w:lang w:val="en-US"/>
          </w:rPr>
          <w:t>repo</w:t>
        </w:r>
        <w:r w:rsidRPr="00DC2841">
          <w:rPr>
            <w:rStyle w:val="a9"/>
            <w:rFonts w:ascii="Times New Roman" w:hAnsi="Times New Roman" w:cs="Times New Roman"/>
            <w:color w:val="auto"/>
            <w:sz w:val="28"/>
            <w:szCs w:val="28"/>
            <w:u w:val="none"/>
          </w:rPr>
          <w:t>.</w:t>
        </w:r>
        <w:r w:rsidRPr="00DC2841">
          <w:rPr>
            <w:rStyle w:val="a9"/>
            <w:rFonts w:ascii="Times New Roman" w:hAnsi="Times New Roman" w:cs="Times New Roman"/>
            <w:color w:val="auto"/>
            <w:sz w:val="28"/>
            <w:szCs w:val="28"/>
            <w:u w:val="none"/>
            <w:lang w:val="en-US"/>
          </w:rPr>
          <w:t>knmu</w:t>
        </w:r>
        <w:r w:rsidRPr="00DC2841">
          <w:rPr>
            <w:rStyle w:val="a9"/>
            <w:rFonts w:ascii="Times New Roman" w:hAnsi="Times New Roman" w:cs="Times New Roman"/>
            <w:color w:val="auto"/>
            <w:sz w:val="28"/>
            <w:szCs w:val="28"/>
            <w:u w:val="none"/>
          </w:rPr>
          <w:t>.</w:t>
        </w:r>
        <w:r w:rsidRPr="00DC2841">
          <w:rPr>
            <w:rStyle w:val="a9"/>
            <w:rFonts w:ascii="Times New Roman" w:hAnsi="Times New Roman" w:cs="Times New Roman"/>
            <w:color w:val="auto"/>
            <w:sz w:val="28"/>
            <w:szCs w:val="28"/>
            <w:u w:val="none"/>
            <w:lang w:val="en-US"/>
          </w:rPr>
          <w:t>edu</w:t>
        </w:r>
        <w:r w:rsidRPr="00DC2841">
          <w:rPr>
            <w:rStyle w:val="a9"/>
            <w:rFonts w:ascii="Times New Roman" w:hAnsi="Times New Roman" w:cs="Times New Roman"/>
            <w:color w:val="auto"/>
            <w:sz w:val="28"/>
            <w:szCs w:val="28"/>
            <w:u w:val="none"/>
          </w:rPr>
          <w:t>.</w:t>
        </w:r>
        <w:r w:rsidRPr="00DC2841">
          <w:rPr>
            <w:rStyle w:val="a9"/>
            <w:rFonts w:ascii="Times New Roman" w:hAnsi="Times New Roman" w:cs="Times New Roman"/>
            <w:color w:val="auto"/>
            <w:sz w:val="28"/>
            <w:szCs w:val="28"/>
            <w:u w:val="none"/>
            <w:lang w:val="en-US"/>
          </w:rPr>
          <w:t>ua</w:t>
        </w:r>
        <w:r w:rsidRPr="00DC2841">
          <w:rPr>
            <w:rStyle w:val="a9"/>
            <w:rFonts w:ascii="Times New Roman" w:hAnsi="Times New Roman" w:cs="Times New Roman"/>
            <w:color w:val="auto"/>
            <w:sz w:val="28"/>
            <w:szCs w:val="28"/>
            <w:u w:val="none"/>
          </w:rPr>
          <w:t>/</w:t>
        </w:r>
        <w:r w:rsidRPr="00DC2841">
          <w:rPr>
            <w:rStyle w:val="a9"/>
            <w:rFonts w:ascii="Times New Roman" w:hAnsi="Times New Roman" w:cs="Times New Roman"/>
            <w:color w:val="auto"/>
            <w:sz w:val="28"/>
            <w:szCs w:val="28"/>
            <w:u w:val="none"/>
            <w:lang w:val="en-US"/>
          </w:rPr>
          <w:t>handle</w:t>
        </w:r>
        <w:r w:rsidRPr="00DC2841">
          <w:rPr>
            <w:rStyle w:val="a9"/>
            <w:rFonts w:ascii="Times New Roman" w:hAnsi="Times New Roman" w:cs="Times New Roman"/>
            <w:color w:val="auto"/>
            <w:sz w:val="28"/>
            <w:szCs w:val="28"/>
            <w:u w:val="none"/>
          </w:rPr>
          <w:t>/123456789/17485</w:t>
        </w:r>
      </w:hyperlink>
    </w:p>
    <w:p w:rsidR="002646A4" w:rsidRDefault="002B600D" w:rsidP="00C6368B">
      <w:pPr>
        <w:tabs>
          <w:tab w:val="left" w:pos="2880"/>
        </w:tabs>
        <w:spacing w:after="0" w:line="360" w:lineRule="auto"/>
        <w:jc w:val="both"/>
        <w:rPr>
          <w:lang w:val="en-US"/>
        </w:rPr>
      </w:pPr>
      <w:r>
        <w:rPr>
          <w:rFonts w:ascii="Times New Roman" w:hAnsi="Times New Roman" w:cs="Times New Roman"/>
          <w:sz w:val="28"/>
          <w:szCs w:val="28"/>
          <w:lang w:val="en-US"/>
        </w:rPr>
        <w:t>74</w:t>
      </w:r>
      <w:r w:rsidR="00C6368B">
        <w:rPr>
          <w:rFonts w:ascii="Times New Roman" w:hAnsi="Times New Roman" w:cs="Times New Roman"/>
          <w:sz w:val="28"/>
          <w:szCs w:val="28"/>
          <w:lang w:val="en-US"/>
        </w:rPr>
        <w:t xml:space="preserve">. </w:t>
      </w:r>
      <w:r w:rsidR="002646A4">
        <w:rPr>
          <w:rFonts w:ascii="Times New Roman" w:hAnsi="Times New Roman" w:cs="Times New Roman"/>
          <w:sz w:val="28"/>
          <w:szCs w:val="28"/>
          <w:lang w:val="en-US"/>
        </w:rPr>
        <w:t xml:space="preserve">Neki NS, </w:t>
      </w:r>
      <w:r w:rsidR="002646A4" w:rsidRPr="002646A4">
        <w:rPr>
          <w:rFonts w:ascii="Times New Roman" w:hAnsi="Times New Roman" w:cs="Times New Roman"/>
          <w:sz w:val="28"/>
          <w:szCs w:val="28"/>
          <w:lang w:val="en-US"/>
        </w:rPr>
        <w:t>Gupta</w:t>
      </w:r>
      <w:r w:rsidR="002646A4">
        <w:rPr>
          <w:rFonts w:ascii="Times New Roman" w:hAnsi="Times New Roman" w:cs="Times New Roman"/>
          <w:sz w:val="28"/>
          <w:szCs w:val="28"/>
          <w:lang w:val="en-US"/>
        </w:rPr>
        <w:t xml:space="preserve"> H, </w:t>
      </w:r>
      <w:r w:rsidR="002646A4" w:rsidRPr="002646A4">
        <w:rPr>
          <w:rFonts w:ascii="Times New Roman" w:hAnsi="Times New Roman" w:cs="Times New Roman"/>
          <w:sz w:val="28"/>
          <w:szCs w:val="28"/>
          <w:lang w:val="en-US"/>
        </w:rPr>
        <w:t>MEeena</w:t>
      </w:r>
      <w:r w:rsidR="002646A4">
        <w:rPr>
          <w:rFonts w:ascii="Times New Roman" w:hAnsi="Times New Roman" w:cs="Times New Roman"/>
          <w:sz w:val="28"/>
          <w:szCs w:val="28"/>
          <w:lang w:val="en-US"/>
        </w:rPr>
        <w:t xml:space="preserve"> R, </w:t>
      </w:r>
      <w:r w:rsidR="002646A4" w:rsidRPr="002646A4">
        <w:rPr>
          <w:rFonts w:ascii="Times New Roman" w:hAnsi="Times New Roman" w:cs="Times New Roman"/>
          <w:sz w:val="28"/>
          <w:szCs w:val="28"/>
          <w:lang w:val="en-US"/>
        </w:rPr>
        <w:t>Mani</w:t>
      </w:r>
      <w:r w:rsidR="002646A4">
        <w:rPr>
          <w:rFonts w:ascii="Times New Roman" w:hAnsi="Times New Roman" w:cs="Times New Roman"/>
          <w:sz w:val="28"/>
          <w:szCs w:val="28"/>
          <w:lang w:val="en-US"/>
        </w:rPr>
        <w:t xml:space="preserve"> T. </w:t>
      </w:r>
      <w:r w:rsidR="00201134" w:rsidRPr="00201134">
        <w:rPr>
          <w:rFonts w:ascii="Times New Roman" w:hAnsi="Times New Roman" w:cs="Times New Roman"/>
          <w:sz w:val="28"/>
          <w:szCs w:val="28"/>
          <w:lang w:val="en-US"/>
        </w:rPr>
        <w:t>A Study of Association of Hyperuricemia with P</w:t>
      </w:r>
      <w:r w:rsidR="002646A4">
        <w:rPr>
          <w:rFonts w:ascii="Times New Roman" w:hAnsi="Times New Roman" w:cs="Times New Roman"/>
          <w:sz w:val="28"/>
          <w:szCs w:val="28"/>
          <w:lang w:val="en-US"/>
        </w:rPr>
        <w:t xml:space="preserve">rogressive Diabetec Nephropathy. </w:t>
      </w:r>
      <w:r w:rsidR="00201134" w:rsidRPr="00201134">
        <w:rPr>
          <w:rFonts w:ascii="Times New Roman" w:hAnsi="Times New Roman" w:cs="Times New Roman"/>
          <w:sz w:val="28"/>
          <w:szCs w:val="28"/>
          <w:lang w:val="en-US"/>
        </w:rPr>
        <w:t xml:space="preserve">JIMSA </w:t>
      </w:r>
      <w:r w:rsidR="002646A4" w:rsidRPr="002646A4">
        <w:rPr>
          <w:rFonts w:ascii="Times New Roman" w:hAnsi="Times New Roman" w:cs="Times New Roman"/>
          <w:sz w:val="28"/>
          <w:szCs w:val="28"/>
          <w:lang w:val="en-US"/>
        </w:rPr>
        <w:t xml:space="preserve">[Internet]. </w:t>
      </w:r>
      <w:r w:rsidR="002646A4">
        <w:rPr>
          <w:rFonts w:ascii="Times New Roman" w:hAnsi="Times New Roman" w:cs="Times New Roman"/>
          <w:sz w:val="28"/>
          <w:szCs w:val="28"/>
          <w:lang w:val="en-US"/>
        </w:rPr>
        <w:t>2015 Jan. - Mar.;28(1):11-</w:t>
      </w:r>
      <w:r w:rsidR="00201134" w:rsidRPr="00201134">
        <w:rPr>
          <w:rFonts w:ascii="Times New Roman" w:hAnsi="Times New Roman" w:cs="Times New Roman"/>
          <w:sz w:val="28"/>
          <w:szCs w:val="28"/>
          <w:lang w:val="en-US"/>
        </w:rPr>
        <w:t>2.</w:t>
      </w:r>
      <w:r w:rsidR="002646A4">
        <w:rPr>
          <w:rFonts w:ascii="Times New Roman" w:hAnsi="Times New Roman" w:cs="Times New Roman"/>
          <w:sz w:val="28"/>
          <w:szCs w:val="28"/>
          <w:lang w:val="en-US"/>
        </w:rPr>
        <w:t xml:space="preserve"> </w:t>
      </w:r>
      <w:r w:rsidR="002646A4" w:rsidRPr="002646A4">
        <w:rPr>
          <w:rFonts w:ascii="Times New Roman" w:hAnsi="Times New Roman" w:cs="Times New Roman"/>
          <w:sz w:val="28"/>
          <w:szCs w:val="28"/>
          <w:lang w:val="en-US"/>
        </w:rPr>
        <w:t>Available from:</w:t>
      </w:r>
      <w:r w:rsidR="002646A4" w:rsidRPr="002646A4">
        <w:rPr>
          <w:lang w:val="en-US"/>
        </w:rPr>
        <w:t xml:space="preserve"> </w:t>
      </w:r>
    </w:p>
    <w:p w:rsidR="0028043D" w:rsidRDefault="000A6805" w:rsidP="00C6368B">
      <w:pPr>
        <w:tabs>
          <w:tab w:val="left" w:pos="2880"/>
        </w:tabs>
        <w:spacing w:after="0" w:line="360" w:lineRule="auto"/>
        <w:jc w:val="both"/>
        <w:rPr>
          <w:rFonts w:ascii="Times New Roman" w:hAnsi="Times New Roman" w:cs="Times New Roman"/>
          <w:sz w:val="28"/>
          <w:szCs w:val="28"/>
          <w:lang w:val="uk-UA"/>
        </w:rPr>
      </w:pPr>
      <w:hyperlink r:id="rId61" w:history="1">
        <w:r w:rsidR="002646A4" w:rsidRPr="002646A4">
          <w:rPr>
            <w:rStyle w:val="a9"/>
            <w:rFonts w:ascii="Times New Roman" w:hAnsi="Times New Roman" w:cs="Times New Roman"/>
            <w:color w:val="auto"/>
            <w:sz w:val="28"/>
            <w:szCs w:val="28"/>
            <w:u w:val="none"/>
            <w:lang w:val="en-US"/>
          </w:rPr>
          <w:t>http://medind.nic.in/jav/t15/i1/javt15i1p11.pdf</w:t>
        </w:r>
      </w:hyperlink>
    </w:p>
    <w:p w:rsidR="00ED34E7" w:rsidRPr="00D4567E" w:rsidRDefault="002B600D" w:rsidP="00C6368B">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7</w:t>
      </w:r>
      <w:r w:rsidRPr="00EA6F81">
        <w:rPr>
          <w:rFonts w:ascii="Times New Roman" w:hAnsi="Times New Roman" w:cs="Times New Roman"/>
          <w:sz w:val="28"/>
          <w:szCs w:val="28"/>
          <w:lang w:val="uk-UA"/>
        </w:rPr>
        <w:t>5</w:t>
      </w:r>
      <w:r w:rsidR="002247C5" w:rsidRPr="00D4567E">
        <w:rPr>
          <w:rFonts w:ascii="Times New Roman" w:hAnsi="Times New Roman" w:cs="Times New Roman"/>
          <w:sz w:val="28"/>
          <w:szCs w:val="28"/>
          <w:lang w:val="uk-UA"/>
        </w:rPr>
        <w:t>.</w:t>
      </w:r>
      <w:r w:rsidR="002247C5">
        <w:rPr>
          <w:rFonts w:ascii="Times New Roman" w:hAnsi="Times New Roman" w:cs="Times New Roman"/>
          <w:sz w:val="28"/>
          <w:szCs w:val="28"/>
          <w:lang w:val="uk-UA"/>
        </w:rPr>
        <w:t xml:space="preserve"> </w:t>
      </w:r>
      <w:r w:rsidR="002247C5" w:rsidRPr="00D4567E">
        <w:rPr>
          <w:rFonts w:ascii="Times New Roman" w:hAnsi="Times New Roman" w:cs="Times New Roman"/>
          <w:sz w:val="28"/>
          <w:szCs w:val="28"/>
          <w:lang w:val="uk-UA"/>
        </w:rPr>
        <w:t>Оспанова ТС</w:t>
      </w:r>
      <w:r w:rsidR="002247C5">
        <w:rPr>
          <w:rFonts w:ascii="Times New Roman" w:hAnsi="Times New Roman" w:cs="Times New Roman"/>
          <w:sz w:val="28"/>
          <w:szCs w:val="28"/>
          <w:lang w:val="uk-UA"/>
        </w:rPr>
        <w:t>, Заозерська НВ.</w:t>
      </w:r>
      <w:r w:rsidR="002247C5" w:rsidRPr="00D4567E">
        <w:rPr>
          <w:rFonts w:ascii="Times New Roman" w:hAnsi="Times New Roman" w:cs="Times New Roman"/>
          <w:sz w:val="28"/>
          <w:szCs w:val="28"/>
          <w:lang w:val="uk-UA"/>
        </w:rPr>
        <w:t xml:space="preserve"> Експресія поверхнев</w:t>
      </w:r>
      <w:r w:rsidR="002247C5">
        <w:rPr>
          <w:rFonts w:ascii="Times New Roman" w:hAnsi="Times New Roman" w:cs="Times New Roman"/>
          <w:sz w:val="28"/>
          <w:szCs w:val="28"/>
          <w:lang w:val="uk-UA"/>
        </w:rPr>
        <w:t>ої</w:t>
      </w:r>
      <w:r w:rsidR="002247C5" w:rsidRPr="00D4567E">
        <w:rPr>
          <w:rFonts w:ascii="Times New Roman" w:hAnsi="Times New Roman" w:cs="Times New Roman"/>
          <w:sz w:val="28"/>
          <w:szCs w:val="28"/>
          <w:lang w:val="uk-UA"/>
        </w:rPr>
        <w:t xml:space="preserve"> молекул</w:t>
      </w:r>
      <w:r w:rsidR="002247C5">
        <w:rPr>
          <w:rFonts w:ascii="Times New Roman" w:hAnsi="Times New Roman" w:cs="Times New Roman"/>
          <w:sz w:val="28"/>
          <w:szCs w:val="28"/>
          <w:lang w:val="uk-UA"/>
        </w:rPr>
        <w:t>и</w:t>
      </w:r>
      <w:r w:rsidR="002247C5" w:rsidRPr="00D4567E">
        <w:rPr>
          <w:rFonts w:ascii="Times New Roman" w:hAnsi="Times New Roman" w:cs="Times New Roman"/>
          <w:sz w:val="28"/>
          <w:szCs w:val="28"/>
          <w:lang w:val="uk-UA"/>
        </w:rPr>
        <w:t xml:space="preserve"> адгезії </w:t>
      </w:r>
      <w:r w:rsidR="002247C5" w:rsidRPr="002247C5">
        <w:rPr>
          <w:rFonts w:ascii="Times New Roman" w:hAnsi="Times New Roman" w:cs="Times New Roman"/>
          <w:sz w:val="28"/>
          <w:szCs w:val="28"/>
          <w:lang w:val="en-US"/>
        </w:rPr>
        <w:t>sVC</w:t>
      </w:r>
      <w:r w:rsidR="002247C5">
        <w:rPr>
          <w:rFonts w:ascii="Times New Roman" w:hAnsi="Times New Roman" w:cs="Times New Roman"/>
          <w:sz w:val="28"/>
          <w:szCs w:val="28"/>
          <w:lang w:val="en-US"/>
        </w:rPr>
        <w:t>AM</w:t>
      </w:r>
      <w:r w:rsidR="002247C5" w:rsidRPr="00D4567E">
        <w:rPr>
          <w:rFonts w:ascii="Times New Roman" w:hAnsi="Times New Roman" w:cs="Times New Roman"/>
          <w:sz w:val="28"/>
          <w:szCs w:val="28"/>
          <w:lang w:val="uk-UA"/>
        </w:rPr>
        <w:t>-1 при діабетичній нефропатії</w:t>
      </w:r>
      <w:r w:rsidR="002247C5">
        <w:rPr>
          <w:rFonts w:ascii="Times New Roman" w:hAnsi="Times New Roman" w:cs="Times New Roman"/>
          <w:sz w:val="28"/>
          <w:szCs w:val="28"/>
          <w:lang w:val="uk-UA"/>
        </w:rPr>
        <w:t xml:space="preserve">. </w:t>
      </w:r>
      <w:r w:rsidR="002247C5" w:rsidRPr="00F117FD">
        <w:rPr>
          <w:rFonts w:ascii="Times New Roman" w:hAnsi="Times New Roman" w:cs="Times New Roman"/>
          <w:sz w:val="28"/>
          <w:szCs w:val="28"/>
        </w:rPr>
        <w:t xml:space="preserve">Вісник СумДУ. </w:t>
      </w:r>
      <w:r w:rsidR="002247C5" w:rsidRPr="002247C5">
        <w:rPr>
          <w:rFonts w:ascii="Times New Roman" w:hAnsi="Times New Roman" w:cs="Times New Roman"/>
          <w:sz w:val="28"/>
          <w:szCs w:val="28"/>
        </w:rPr>
        <w:t>Серія</w:t>
      </w:r>
      <w:r w:rsidR="00F15397">
        <w:rPr>
          <w:rFonts w:ascii="Times New Roman" w:hAnsi="Times New Roman" w:cs="Times New Roman"/>
          <w:sz w:val="28"/>
          <w:szCs w:val="28"/>
        </w:rPr>
        <w:t xml:space="preserve"> </w:t>
      </w:r>
      <w:r w:rsidR="002247C5" w:rsidRPr="002247C5">
        <w:rPr>
          <w:rFonts w:ascii="Times New Roman" w:hAnsi="Times New Roman" w:cs="Times New Roman"/>
          <w:sz w:val="28"/>
          <w:szCs w:val="28"/>
        </w:rPr>
        <w:t>«Медицина»</w:t>
      </w:r>
      <w:r w:rsidR="002247C5">
        <w:rPr>
          <w:rFonts w:ascii="Times New Roman" w:hAnsi="Times New Roman" w:cs="Times New Roman"/>
          <w:sz w:val="28"/>
          <w:szCs w:val="28"/>
          <w:lang w:val="uk-UA"/>
        </w:rPr>
        <w:t xml:space="preserve"> </w:t>
      </w:r>
      <w:r w:rsidR="002247C5" w:rsidRPr="002247C5">
        <w:rPr>
          <w:rFonts w:ascii="Times New Roman" w:hAnsi="Times New Roman" w:cs="Times New Roman"/>
          <w:sz w:val="28"/>
          <w:szCs w:val="28"/>
        </w:rPr>
        <w:t xml:space="preserve">[Інтернет]. 2012;2:84-7. </w:t>
      </w:r>
      <w:r w:rsidR="002247C5">
        <w:rPr>
          <w:rFonts w:ascii="Times New Roman" w:hAnsi="Times New Roman" w:cs="Times New Roman"/>
          <w:sz w:val="28"/>
          <w:szCs w:val="28"/>
          <w:lang w:val="uk-UA"/>
        </w:rPr>
        <w:t xml:space="preserve">Доступно на: </w:t>
      </w:r>
    </w:p>
    <w:p w:rsidR="002646A4" w:rsidRPr="00ED34E7" w:rsidRDefault="000A6805" w:rsidP="00C6368B">
      <w:pPr>
        <w:tabs>
          <w:tab w:val="left" w:pos="2880"/>
        </w:tabs>
        <w:spacing w:after="0" w:line="360" w:lineRule="auto"/>
        <w:jc w:val="both"/>
        <w:rPr>
          <w:rFonts w:ascii="Times New Roman" w:hAnsi="Times New Roman" w:cs="Times New Roman"/>
          <w:sz w:val="28"/>
          <w:szCs w:val="28"/>
          <w:lang w:val="uk-UA"/>
        </w:rPr>
      </w:pPr>
      <w:hyperlink r:id="rId62" w:history="1">
        <w:r w:rsidR="00ED34E7" w:rsidRPr="00ED34E7">
          <w:rPr>
            <w:rStyle w:val="a9"/>
            <w:rFonts w:ascii="Times New Roman" w:hAnsi="Times New Roman" w:cs="Times New Roman"/>
            <w:color w:val="auto"/>
            <w:sz w:val="28"/>
            <w:szCs w:val="28"/>
            <w:u w:val="none"/>
            <w:lang w:val="uk-UA"/>
          </w:rPr>
          <w:t>http://www.essuir.sumdu.edu.ua/bitstream/123456789/30421/1/Ospanova%20T.S.%20Ekspersiia.pdf</w:t>
        </w:r>
      </w:hyperlink>
    </w:p>
    <w:p w:rsidR="00ED34E7" w:rsidRDefault="00F42FA9" w:rsidP="00C6368B">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7</w:t>
      </w:r>
      <w:r w:rsidRPr="00F42FA9">
        <w:rPr>
          <w:rFonts w:ascii="Times New Roman" w:hAnsi="Times New Roman" w:cs="Times New Roman"/>
          <w:sz w:val="28"/>
          <w:szCs w:val="28"/>
        </w:rPr>
        <w:t>6</w:t>
      </w:r>
      <w:r w:rsidR="00ED34E7">
        <w:rPr>
          <w:rFonts w:ascii="Times New Roman" w:hAnsi="Times New Roman" w:cs="Times New Roman"/>
          <w:sz w:val="28"/>
          <w:szCs w:val="28"/>
          <w:lang w:val="uk-UA"/>
        </w:rPr>
        <w:t xml:space="preserve">. Шпагина ЛА, </w:t>
      </w:r>
      <w:r w:rsidR="00ED34E7" w:rsidRPr="00ED34E7">
        <w:rPr>
          <w:rFonts w:ascii="Times New Roman" w:hAnsi="Times New Roman" w:cs="Times New Roman"/>
          <w:sz w:val="28"/>
          <w:szCs w:val="28"/>
          <w:lang w:val="uk-UA"/>
        </w:rPr>
        <w:t xml:space="preserve">Герасименко </w:t>
      </w:r>
      <w:r w:rsidR="00ED34E7">
        <w:rPr>
          <w:rFonts w:ascii="Times New Roman" w:hAnsi="Times New Roman" w:cs="Times New Roman"/>
          <w:sz w:val="28"/>
          <w:szCs w:val="28"/>
          <w:lang w:val="uk-UA"/>
        </w:rPr>
        <w:t xml:space="preserve">ОН, </w:t>
      </w:r>
      <w:r w:rsidR="00ED34E7" w:rsidRPr="00ED34E7">
        <w:rPr>
          <w:rFonts w:ascii="Times New Roman" w:hAnsi="Times New Roman" w:cs="Times New Roman"/>
          <w:sz w:val="28"/>
          <w:szCs w:val="28"/>
          <w:lang w:val="uk-UA"/>
        </w:rPr>
        <w:t>Дробышев</w:t>
      </w:r>
      <w:r w:rsidR="00ED34E7">
        <w:rPr>
          <w:rFonts w:ascii="Times New Roman" w:hAnsi="Times New Roman" w:cs="Times New Roman"/>
          <w:sz w:val="28"/>
          <w:szCs w:val="28"/>
          <w:lang w:val="uk-UA"/>
        </w:rPr>
        <w:t xml:space="preserve"> ВА,</w:t>
      </w:r>
      <w:r w:rsidR="00ED34E7" w:rsidRPr="00ED34E7">
        <w:rPr>
          <w:rFonts w:ascii="Times New Roman" w:hAnsi="Times New Roman" w:cs="Times New Roman"/>
          <w:sz w:val="28"/>
          <w:szCs w:val="28"/>
          <w:lang w:val="uk-UA"/>
        </w:rPr>
        <w:t xml:space="preserve"> </w:t>
      </w:r>
      <w:r w:rsidR="00ED34E7">
        <w:rPr>
          <w:rFonts w:ascii="Times New Roman" w:hAnsi="Times New Roman" w:cs="Times New Roman"/>
          <w:sz w:val="28"/>
          <w:szCs w:val="28"/>
          <w:lang w:val="uk-UA"/>
        </w:rPr>
        <w:t xml:space="preserve">Чачибая ЗК. </w:t>
      </w:r>
      <w:r w:rsidR="00ED34E7" w:rsidRPr="00ED34E7">
        <w:rPr>
          <w:rFonts w:ascii="Times New Roman" w:hAnsi="Times New Roman" w:cs="Times New Roman"/>
          <w:sz w:val="28"/>
          <w:szCs w:val="28"/>
          <w:lang w:val="uk-UA"/>
        </w:rPr>
        <w:t>Клеточно-молекулярные маркеры эндотелиальной дисфункции и системного гемостаза при вибрационной болезни в сочетании с артериальной гипертензией</w:t>
      </w:r>
      <w:r w:rsidR="00ED34E7">
        <w:rPr>
          <w:rFonts w:ascii="Times New Roman" w:hAnsi="Times New Roman" w:cs="Times New Roman"/>
          <w:sz w:val="28"/>
          <w:szCs w:val="28"/>
          <w:lang w:val="uk-UA"/>
        </w:rPr>
        <w:t xml:space="preserve">. </w:t>
      </w:r>
      <w:r w:rsidR="00BF762A" w:rsidRPr="00BF762A">
        <w:rPr>
          <w:rFonts w:ascii="Times New Roman" w:hAnsi="Times New Roman" w:cs="Times New Roman"/>
          <w:sz w:val="28"/>
          <w:szCs w:val="28"/>
          <w:lang w:val="uk-UA"/>
        </w:rPr>
        <w:t xml:space="preserve">Journal of Siberian Medical Sciences </w:t>
      </w:r>
      <w:r w:rsidR="00ED34E7">
        <w:rPr>
          <w:rFonts w:ascii="Times New Roman" w:hAnsi="Times New Roman" w:cs="Times New Roman"/>
          <w:sz w:val="28"/>
          <w:szCs w:val="28"/>
          <w:lang w:val="uk-UA"/>
        </w:rPr>
        <w:t>[И</w:t>
      </w:r>
      <w:r w:rsidR="00ED34E7" w:rsidRPr="00ED34E7">
        <w:rPr>
          <w:rFonts w:ascii="Times New Roman" w:hAnsi="Times New Roman" w:cs="Times New Roman"/>
          <w:sz w:val="28"/>
          <w:szCs w:val="28"/>
          <w:lang w:val="uk-UA"/>
        </w:rPr>
        <w:t xml:space="preserve">нтернет]. </w:t>
      </w:r>
      <w:r w:rsidR="00ED34E7">
        <w:rPr>
          <w:rFonts w:ascii="Times New Roman" w:hAnsi="Times New Roman" w:cs="Times New Roman"/>
          <w:sz w:val="28"/>
          <w:szCs w:val="28"/>
          <w:lang w:val="uk-UA"/>
        </w:rPr>
        <w:t>2014</w:t>
      </w:r>
      <w:r w:rsidR="00ED34E7" w:rsidRPr="00BF762A">
        <w:rPr>
          <w:rFonts w:ascii="Times New Roman" w:hAnsi="Times New Roman" w:cs="Times New Roman"/>
          <w:sz w:val="28"/>
          <w:szCs w:val="28"/>
          <w:lang w:val="en-US"/>
        </w:rPr>
        <w:t>;</w:t>
      </w:r>
      <w:r w:rsidR="00ED34E7">
        <w:rPr>
          <w:rFonts w:ascii="Times New Roman" w:hAnsi="Times New Roman" w:cs="Times New Roman"/>
          <w:sz w:val="28"/>
          <w:szCs w:val="28"/>
          <w:lang w:val="uk-UA"/>
        </w:rPr>
        <w:t>6</w:t>
      </w:r>
      <w:r w:rsidR="00ED34E7" w:rsidRPr="00BF762A">
        <w:rPr>
          <w:rFonts w:ascii="Times New Roman" w:hAnsi="Times New Roman" w:cs="Times New Roman"/>
          <w:sz w:val="28"/>
          <w:szCs w:val="28"/>
          <w:lang w:val="en-US"/>
        </w:rPr>
        <w:t>:</w:t>
      </w:r>
      <w:r w:rsidR="00ED34E7">
        <w:rPr>
          <w:rFonts w:ascii="Times New Roman" w:hAnsi="Times New Roman" w:cs="Times New Roman"/>
          <w:sz w:val="28"/>
          <w:szCs w:val="28"/>
          <w:lang w:val="uk-UA"/>
        </w:rPr>
        <w:t>12</w:t>
      </w:r>
      <w:r w:rsidR="00ED34E7" w:rsidRPr="00BF762A">
        <w:rPr>
          <w:rFonts w:ascii="Times New Roman" w:hAnsi="Times New Roman" w:cs="Times New Roman"/>
          <w:sz w:val="28"/>
          <w:szCs w:val="28"/>
          <w:lang w:val="en-US"/>
        </w:rPr>
        <w:t>-</w:t>
      </w:r>
      <w:r w:rsidR="00ED34E7" w:rsidRPr="00ED34E7">
        <w:rPr>
          <w:rFonts w:ascii="Times New Roman" w:hAnsi="Times New Roman" w:cs="Times New Roman"/>
          <w:sz w:val="28"/>
          <w:szCs w:val="28"/>
          <w:lang w:val="uk-UA"/>
        </w:rPr>
        <w:t>5.</w:t>
      </w:r>
      <w:r w:rsidR="00ED34E7" w:rsidRPr="00BF762A">
        <w:rPr>
          <w:lang w:val="en-US"/>
        </w:rPr>
        <w:t xml:space="preserve"> </w:t>
      </w:r>
      <w:r w:rsidR="00ED34E7" w:rsidRPr="00ED34E7">
        <w:rPr>
          <w:rFonts w:ascii="Times New Roman" w:hAnsi="Times New Roman" w:cs="Times New Roman"/>
          <w:sz w:val="28"/>
          <w:szCs w:val="28"/>
          <w:lang w:val="uk-UA"/>
        </w:rPr>
        <w:t xml:space="preserve">Доступно на: </w:t>
      </w:r>
      <w:r w:rsidR="00BF762A" w:rsidRPr="00BF762A">
        <w:rPr>
          <w:rFonts w:ascii="Times New Roman" w:hAnsi="Times New Roman" w:cs="Times New Roman"/>
          <w:sz w:val="28"/>
          <w:szCs w:val="28"/>
          <w:lang w:val="en-US"/>
        </w:rPr>
        <w:t>kletochno-molekulyarnye-markery-endotelialnoy-disfunktsii-i-sistemnogo-gemostaza-pri-vibratsionnoy-bolezni-</w:t>
      </w:r>
      <w:r w:rsidR="00BF762A">
        <w:rPr>
          <w:rFonts w:ascii="Times New Roman" w:hAnsi="Times New Roman" w:cs="Times New Roman"/>
          <w:sz w:val="28"/>
          <w:szCs w:val="28"/>
          <w:lang w:val="en-US"/>
        </w:rPr>
        <w:t>v-sochetanii-s-arterialnoy%20</w:t>
      </w:r>
      <w:r w:rsidR="00BF762A" w:rsidRPr="00BF762A">
        <w:rPr>
          <w:rFonts w:ascii="Times New Roman" w:hAnsi="Times New Roman" w:cs="Times New Roman"/>
          <w:sz w:val="28"/>
          <w:szCs w:val="28"/>
          <w:lang w:val="en-US"/>
        </w:rPr>
        <w:t>.pdf</w:t>
      </w:r>
    </w:p>
    <w:p w:rsidR="00F117FD" w:rsidRPr="00D9659C" w:rsidRDefault="00F42FA9" w:rsidP="00C6368B">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7</w:t>
      </w:r>
      <w:r w:rsidRPr="00F42FA9">
        <w:rPr>
          <w:rFonts w:ascii="Times New Roman" w:hAnsi="Times New Roman" w:cs="Times New Roman"/>
          <w:sz w:val="28"/>
          <w:szCs w:val="28"/>
        </w:rPr>
        <w:t>7</w:t>
      </w:r>
      <w:r w:rsidR="00BF762A" w:rsidRPr="00F117FD">
        <w:rPr>
          <w:rFonts w:ascii="Times New Roman" w:hAnsi="Times New Roman" w:cs="Times New Roman"/>
          <w:sz w:val="28"/>
          <w:szCs w:val="28"/>
        </w:rPr>
        <w:t xml:space="preserve">. </w:t>
      </w:r>
      <w:r w:rsidR="00F117FD" w:rsidRPr="00F117FD">
        <w:rPr>
          <w:rFonts w:ascii="Times New Roman" w:hAnsi="Times New Roman" w:cs="Times New Roman"/>
          <w:sz w:val="28"/>
          <w:szCs w:val="28"/>
        </w:rPr>
        <w:t>Закирова</w:t>
      </w:r>
      <w:r w:rsidR="00F117FD">
        <w:rPr>
          <w:rFonts w:ascii="Times New Roman" w:hAnsi="Times New Roman" w:cs="Times New Roman"/>
          <w:sz w:val="28"/>
          <w:szCs w:val="28"/>
          <w:lang w:val="uk-UA"/>
        </w:rPr>
        <w:t xml:space="preserve"> АН</w:t>
      </w:r>
      <w:r w:rsidR="00F117FD">
        <w:rPr>
          <w:rFonts w:ascii="Times New Roman" w:hAnsi="Times New Roman" w:cs="Times New Roman"/>
          <w:sz w:val="28"/>
          <w:szCs w:val="28"/>
        </w:rPr>
        <w:t xml:space="preserve">, </w:t>
      </w:r>
      <w:r w:rsidR="00F117FD" w:rsidRPr="00F117FD">
        <w:rPr>
          <w:rFonts w:ascii="Times New Roman" w:hAnsi="Times New Roman" w:cs="Times New Roman"/>
          <w:sz w:val="28"/>
          <w:szCs w:val="28"/>
        </w:rPr>
        <w:t>Абдюкова</w:t>
      </w:r>
      <w:r w:rsidR="00F117FD">
        <w:rPr>
          <w:rFonts w:ascii="Times New Roman" w:hAnsi="Times New Roman" w:cs="Times New Roman"/>
          <w:sz w:val="28"/>
          <w:szCs w:val="28"/>
          <w:lang w:val="uk-UA"/>
        </w:rPr>
        <w:t xml:space="preserve"> </w:t>
      </w:r>
      <w:r w:rsidR="00F117FD" w:rsidRPr="00F117FD">
        <w:rPr>
          <w:rFonts w:ascii="Times New Roman" w:hAnsi="Times New Roman" w:cs="Times New Roman"/>
          <w:sz w:val="28"/>
          <w:szCs w:val="28"/>
          <w:lang w:val="uk-UA"/>
        </w:rPr>
        <w:t>ЭР</w:t>
      </w:r>
      <w:r w:rsidR="00F117FD">
        <w:rPr>
          <w:rFonts w:ascii="Times New Roman" w:hAnsi="Times New Roman" w:cs="Times New Roman"/>
          <w:sz w:val="28"/>
          <w:szCs w:val="28"/>
        </w:rPr>
        <w:t xml:space="preserve">, </w:t>
      </w:r>
      <w:r w:rsidR="00F117FD" w:rsidRPr="00F117FD">
        <w:rPr>
          <w:rFonts w:ascii="Times New Roman" w:hAnsi="Times New Roman" w:cs="Times New Roman"/>
          <w:sz w:val="28"/>
          <w:szCs w:val="28"/>
        </w:rPr>
        <w:t>Закирова</w:t>
      </w:r>
      <w:r w:rsidR="00F117FD">
        <w:rPr>
          <w:rFonts w:ascii="Times New Roman" w:hAnsi="Times New Roman" w:cs="Times New Roman"/>
          <w:sz w:val="28"/>
          <w:szCs w:val="28"/>
          <w:lang w:val="uk-UA"/>
        </w:rPr>
        <w:t xml:space="preserve"> </w:t>
      </w:r>
      <w:r w:rsidR="00F117FD" w:rsidRPr="00F117FD">
        <w:rPr>
          <w:rFonts w:ascii="Times New Roman" w:hAnsi="Times New Roman" w:cs="Times New Roman"/>
          <w:sz w:val="28"/>
          <w:szCs w:val="28"/>
          <w:lang w:val="uk-UA"/>
        </w:rPr>
        <w:t>НЭ</w:t>
      </w:r>
      <w:r w:rsidR="00F117FD">
        <w:rPr>
          <w:rFonts w:ascii="Times New Roman" w:hAnsi="Times New Roman" w:cs="Times New Roman"/>
          <w:sz w:val="28"/>
          <w:szCs w:val="28"/>
          <w:lang w:val="uk-UA"/>
        </w:rPr>
        <w:t xml:space="preserve">. </w:t>
      </w:r>
      <w:r w:rsidR="00F117FD" w:rsidRPr="00F117FD">
        <w:rPr>
          <w:rFonts w:ascii="Times New Roman" w:hAnsi="Times New Roman" w:cs="Times New Roman"/>
          <w:sz w:val="28"/>
          <w:szCs w:val="28"/>
          <w:lang w:val="uk-UA"/>
        </w:rPr>
        <w:t>Состояние адгезивной функции эндотелия у больных ишемической болезньою сердца, осложненной хронической сердечной недостаточностью и фибрилляцией предсердий</w:t>
      </w:r>
      <w:r w:rsidR="00F117FD">
        <w:rPr>
          <w:rFonts w:ascii="Times New Roman" w:hAnsi="Times New Roman" w:cs="Times New Roman"/>
          <w:sz w:val="28"/>
          <w:szCs w:val="28"/>
          <w:lang w:val="uk-UA"/>
        </w:rPr>
        <w:t xml:space="preserve">. </w:t>
      </w:r>
      <w:r w:rsidR="00F117FD" w:rsidRPr="00F117FD">
        <w:rPr>
          <w:rFonts w:ascii="Times New Roman" w:hAnsi="Times New Roman" w:cs="Times New Roman"/>
          <w:sz w:val="28"/>
          <w:szCs w:val="28"/>
          <w:lang w:val="uk-UA"/>
        </w:rPr>
        <w:t>Рациональная Фармакотерапия в Кардиологии</w:t>
      </w:r>
      <w:r w:rsidR="00F117FD">
        <w:rPr>
          <w:rFonts w:ascii="Times New Roman" w:hAnsi="Times New Roman" w:cs="Times New Roman"/>
          <w:sz w:val="28"/>
          <w:szCs w:val="28"/>
          <w:lang w:val="uk-UA"/>
        </w:rPr>
        <w:t xml:space="preserve"> </w:t>
      </w:r>
      <w:r w:rsidR="00F117FD" w:rsidRPr="00F117FD">
        <w:rPr>
          <w:rFonts w:ascii="Times New Roman" w:hAnsi="Times New Roman" w:cs="Times New Roman"/>
          <w:sz w:val="28"/>
          <w:szCs w:val="28"/>
          <w:lang w:val="uk-UA"/>
        </w:rPr>
        <w:t>[Интернет].</w:t>
      </w:r>
      <w:r w:rsidR="00F117FD">
        <w:rPr>
          <w:rFonts w:ascii="Times New Roman" w:hAnsi="Times New Roman" w:cs="Times New Roman"/>
          <w:sz w:val="28"/>
          <w:szCs w:val="28"/>
          <w:lang w:val="uk-UA"/>
        </w:rPr>
        <w:t xml:space="preserve"> </w:t>
      </w:r>
      <w:r w:rsidR="00F117FD" w:rsidRPr="00F117FD">
        <w:rPr>
          <w:rFonts w:ascii="Times New Roman" w:hAnsi="Times New Roman" w:cs="Times New Roman"/>
          <w:sz w:val="28"/>
          <w:szCs w:val="28"/>
          <w:lang w:val="uk-UA"/>
        </w:rPr>
        <w:t>2013;9(1)</w:t>
      </w:r>
      <w:r w:rsidR="00F117FD" w:rsidRPr="00D9659C">
        <w:rPr>
          <w:rFonts w:ascii="Times New Roman" w:hAnsi="Times New Roman" w:cs="Times New Roman"/>
          <w:sz w:val="28"/>
          <w:szCs w:val="28"/>
          <w:lang w:val="uk-UA"/>
        </w:rPr>
        <w:t xml:space="preserve">:35-9. Доступно на: </w:t>
      </w:r>
    </w:p>
    <w:p w:rsidR="00BF762A" w:rsidRPr="00D9659C" w:rsidRDefault="00F117FD" w:rsidP="00C6368B">
      <w:pPr>
        <w:tabs>
          <w:tab w:val="left" w:pos="2880"/>
        </w:tabs>
        <w:spacing w:after="0" w:line="360" w:lineRule="auto"/>
        <w:jc w:val="both"/>
        <w:rPr>
          <w:rFonts w:ascii="Times New Roman" w:hAnsi="Times New Roman" w:cs="Times New Roman"/>
          <w:sz w:val="28"/>
          <w:szCs w:val="28"/>
          <w:lang w:val="uk-UA"/>
        </w:rPr>
      </w:pPr>
      <w:r w:rsidRPr="00F117FD">
        <w:rPr>
          <w:rFonts w:ascii="Times New Roman" w:hAnsi="Times New Roman" w:cs="Times New Roman"/>
          <w:sz w:val="28"/>
          <w:szCs w:val="28"/>
          <w:lang w:val="en-US"/>
        </w:rPr>
        <w:t>sostoyanie</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adgezivnoy</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funktsii</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endoteliya</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u</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bolnyh</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ishemicheskoy</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boleznyu</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serdtsa</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oslozhnennoy</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hronicheskoy</w:t>
      </w:r>
      <w:r w:rsidRPr="00D9659C">
        <w:rPr>
          <w:rFonts w:ascii="Times New Roman" w:hAnsi="Times New Roman" w:cs="Times New Roman"/>
          <w:sz w:val="28"/>
          <w:szCs w:val="28"/>
          <w:lang w:val="uk-UA"/>
        </w:rPr>
        <w:t>-</w:t>
      </w:r>
      <w:r w:rsidRPr="00F117FD">
        <w:rPr>
          <w:rFonts w:ascii="Times New Roman" w:hAnsi="Times New Roman" w:cs="Times New Roman"/>
          <w:sz w:val="28"/>
          <w:szCs w:val="28"/>
          <w:lang w:val="en-US"/>
        </w:rPr>
        <w:t>serdechnoy</w:t>
      </w:r>
      <w:r w:rsidRPr="00D9659C">
        <w:rPr>
          <w:rFonts w:ascii="Times New Roman" w:hAnsi="Times New Roman" w:cs="Times New Roman"/>
          <w:sz w:val="28"/>
          <w:szCs w:val="28"/>
          <w:lang w:val="uk-UA"/>
        </w:rPr>
        <w:t>%20.</w:t>
      </w:r>
      <w:r w:rsidRPr="00F117FD">
        <w:rPr>
          <w:rFonts w:ascii="Times New Roman" w:hAnsi="Times New Roman" w:cs="Times New Roman"/>
          <w:sz w:val="28"/>
          <w:szCs w:val="28"/>
          <w:lang w:val="en-US"/>
        </w:rPr>
        <w:t>pdf</w:t>
      </w:r>
    </w:p>
    <w:p w:rsidR="00B24806" w:rsidRPr="00D9659C" w:rsidRDefault="00F42FA9" w:rsidP="00C6368B">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EA6F81">
        <w:rPr>
          <w:rFonts w:ascii="Times New Roman" w:hAnsi="Times New Roman" w:cs="Times New Roman"/>
          <w:sz w:val="28"/>
          <w:szCs w:val="28"/>
        </w:rPr>
        <w:t>8</w:t>
      </w:r>
      <w:r w:rsidR="00F117FD" w:rsidRPr="00B24806">
        <w:rPr>
          <w:rFonts w:ascii="Times New Roman" w:hAnsi="Times New Roman" w:cs="Times New Roman"/>
          <w:sz w:val="28"/>
          <w:szCs w:val="28"/>
        </w:rPr>
        <w:t xml:space="preserve">. </w:t>
      </w:r>
      <w:r w:rsidR="00B24806">
        <w:rPr>
          <w:rFonts w:ascii="Times New Roman" w:hAnsi="Times New Roman" w:cs="Times New Roman"/>
          <w:sz w:val="28"/>
          <w:szCs w:val="28"/>
        </w:rPr>
        <w:t>Драпкина ОМ</w:t>
      </w:r>
      <w:r w:rsidR="00B24806" w:rsidRPr="00B24806">
        <w:rPr>
          <w:rFonts w:ascii="Times New Roman" w:hAnsi="Times New Roman" w:cs="Times New Roman"/>
          <w:sz w:val="28"/>
          <w:szCs w:val="28"/>
        </w:rPr>
        <w:t>, Гегенава ББ. Фиброз миокарда у больных с сахарным диа</w:t>
      </w:r>
      <w:r w:rsidR="00B24806">
        <w:rPr>
          <w:rFonts w:ascii="Times New Roman" w:hAnsi="Times New Roman" w:cs="Times New Roman"/>
          <w:sz w:val="28"/>
          <w:szCs w:val="28"/>
        </w:rPr>
        <w:t>бетом</w:t>
      </w:r>
      <w:r w:rsidR="00B24806" w:rsidRPr="00B24806">
        <w:rPr>
          <w:rFonts w:ascii="Times New Roman" w:hAnsi="Times New Roman" w:cs="Times New Roman"/>
          <w:sz w:val="28"/>
          <w:szCs w:val="28"/>
        </w:rPr>
        <w:t xml:space="preserve">. Рациональная </w:t>
      </w:r>
      <w:r w:rsidR="00B24806">
        <w:rPr>
          <w:rFonts w:ascii="Times New Roman" w:hAnsi="Times New Roman" w:cs="Times New Roman"/>
          <w:sz w:val="28"/>
          <w:szCs w:val="28"/>
        </w:rPr>
        <w:t xml:space="preserve">Фармакотерапия в Кардиологии. </w:t>
      </w:r>
      <w:r w:rsidR="00B24806" w:rsidRPr="00B24806">
        <w:rPr>
          <w:rFonts w:ascii="Times New Roman" w:hAnsi="Times New Roman" w:cs="Times New Roman"/>
          <w:sz w:val="28"/>
          <w:szCs w:val="28"/>
        </w:rPr>
        <w:t>[Интернет].</w:t>
      </w:r>
      <w:r w:rsidR="00B24806">
        <w:rPr>
          <w:rFonts w:ascii="Times New Roman" w:hAnsi="Times New Roman" w:cs="Times New Roman"/>
          <w:sz w:val="28"/>
          <w:szCs w:val="28"/>
        </w:rPr>
        <w:t xml:space="preserve"> 2013</w:t>
      </w:r>
      <w:r w:rsidR="00B24806" w:rsidRPr="00B24806">
        <w:rPr>
          <w:rFonts w:ascii="Times New Roman" w:hAnsi="Times New Roman" w:cs="Times New Roman"/>
          <w:sz w:val="28"/>
          <w:szCs w:val="28"/>
        </w:rPr>
        <w:t>;</w:t>
      </w:r>
      <w:r w:rsidR="00B24806">
        <w:rPr>
          <w:rFonts w:ascii="Times New Roman" w:hAnsi="Times New Roman" w:cs="Times New Roman"/>
          <w:sz w:val="28"/>
          <w:szCs w:val="28"/>
        </w:rPr>
        <w:t xml:space="preserve"> 9(1)</w:t>
      </w:r>
      <w:r w:rsidR="00B24806" w:rsidRPr="00B24806">
        <w:rPr>
          <w:rFonts w:ascii="Times New Roman" w:hAnsi="Times New Roman" w:cs="Times New Roman"/>
          <w:sz w:val="28"/>
          <w:szCs w:val="28"/>
        </w:rPr>
        <w:t>:</w:t>
      </w:r>
      <w:r w:rsidR="00B24806">
        <w:rPr>
          <w:rFonts w:ascii="Times New Roman" w:hAnsi="Times New Roman" w:cs="Times New Roman"/>
          <w:sz w:val="28"/>
          <w:szCs w:val="28"/>
        </w:rPr>
        <w:t>62</w:t>
      </w:r>
      <w:r w:rsidR="00B24806" w:rsidRPr="00B24806">
        <w:rPr>
          <w:rFonts w:ascii="Times New Roman" w:hAnsi="Times New Roman" w:cs="Times New Roman"/>
          <w:sz w:val="28"/>
          <w:szCs w:val="28"/>
        </w:rPr>
        <w:t xml:space="preserve">-5. Доступно на: </w:t>
      </w:r>
    </w:p>
    <w:p w:rsidR="00F117FD" w:rsidRPr="00D9659C" w:rsidRDefault="000A6805" w:rsidP="00C6368B">
      <w:pPr>
        <w:tabs>
          <w:tab w:val="left" w:pos="2880"/>
        </w:tabs>
        <w:spacing w:after="0" w:line="360" w:lineRule="auto"/>
        <w:jc w:val="both"/>
        <w:rPr>
          <w:rFonts w:ascii="Times New Roman" w:hAnsi="Times New Roman" w:cs="Times New Roman"/>
          <w:sz w:val="28"/>
          <w:szCs w:val="28"/>
        </w:rPr>
      </w:pPr>
      <w:hyperlink r:id="rId63" w:history="1">
        <w:r w:rsidR="00B24806" w:rsidRPr="00B24806">
          <w:rPr>
            <w:rStyle w:val="a9"/>
            <w:rFonts w:ascii="Times New Roman" w:hAnsi="Times New Roman" w:cs="Times New Roman"/>
            <w:color w:val="auto"/>
            <w:sz w:val="28"/>
            <w:szCs w:val="28"/>
            <w:u w:val="none"/>
            <w:lang w:val="en-US"/>
          </w:rPr>
          <w:t>https</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cyberleninka</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ru</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article</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n</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fibroz</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miokarda</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u</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bolnyh</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saharnym</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diabetom</w:t>
        </w:r>
        <w:r w:rsidR="00B24806" w:rsidRPr="00D9659C">
          <w:rPr>
            <w:rStyle w:val="a9"/>
            <w:rFonts w:ascii="Times New Roman" w:hAnsi="Times New Roman" w:cs="Times New Roman"/>
            <w:color w:val="auto"/>
            <w:sz w:val="28"/>
            <w:szCs w:val="28"/>
            <w:u w:val="none"/>
          </w:rPr>
          <w:t>.</w:t>
        </w:r>
        <w:r w:rsidR="00B24806" w:rsidRPr="00B24806">
          <w:rPr>
            <w:rStyle w:val="a9"/>
            <w:rFonts w:ascii="Times New Roman" w:hAnsi="Times New Roman" w:cs="Times New Roman"/>
            <w:color w:val="auto"/>
            <w:sz w:val="28"/>
            <w:szCs w:val="28"/>
            <w:u w:val="none"/>
            <w:lang w:val="en-US"/>
          </w:rPr>
          <w:t>pdf</w:t>
        </w:r>
      </w:hyperlink>
    </w:p>
    <w:p w:rsidR="004858C1" w:rsidRDefault="00F42FA9" w:rsidP="00C6368B">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79</w:t>
      </w:r>
      <w:r w:rsidR="00B24806">
        <w:rPr>
          <w:rFonts w:ascii="Times New Roman" w:hAnsi="Times New Roman" w:cs="Times New Roman"/>
          <w:sz w:val="28"/>
          <w:szCs w:val="28"/>
          <w:lang w:val="en-US"/>
        </w:rPr>
        <w:t xml:space="preserve">. </w:t>
      </w:r>
      <w:r w:rsidR="00FD5D76">
        <w:rPr>
          <w:rFonts w:ascii="Times New Roman" w:hAnsi="Times New Roman" w:cs="Times New Roman"/>
          <w:sz w:val="28"/>
          <w:szCs w:val="28"/>
          <w:lang w:val="en-US"/>
        </w:rPr>
        <w:t>Phillips RA</w:t>
      </w:r>
      <w:r w:rsidR="00FD5D76">
        <w:rPr>
          <w:rFonts w:ascii="Times New Roman" w:hAnsi="Times New Roman" w:cs="Times New Roman"/>
          <w:sz w:val="28"/>
          <w:szCs w:val="28"/>
          <w:lang w:val="uk-UA"/>
        </w:rPr>
        <w:t>,</w:t>
      </w:r>
      <w:r w:rsidR="004858C1" w:rsidRPr="004858C1">
        <w:rPr>
          <w:rFonts w:ascii="Times New Roman" w:hAnsi="Times New Roman" w:cs="Times New Roman"/>
          <w:sz w:val="28"/>
          <w:szCs w:val="28"/>
          <w:lang w:val="uk-UA"/>
        </w:rPr>
        <w:t xml:space="preserve"> Krakoff LR, Dunaif A, Finegood DT, Gorlin R, Shimabukuro S.</w:t>
      </w:r>
      <w:r w:rsidR="00FD5D76">
        <w:rPr>
          <w:rFonts w:ascii="Times New Roman" w:hAnsi="Times New Roman" w:cs="Times New Roman"/>
          <w:sz w:val="28"/>
          <w:szCs w:val="28"/>
          <w:lang w:val="uk-UA"/>
        </w:rPr>
        <w:t xml:space="preserve"> </w:t>
      </w:r>
      <w:r w:rsidR="00FD5D76" w:rsidRPr="00FD5D76">
        <w:rPr>
          <w:rFonts w:ascii="Times New Roman" w:hAnsi="Times New Roman" w:cs="Times New Roman"/>
          <w:sz w:val="28"/>
          <w:szCs w:val="28"/>
          <w:lang w:val="en-US"/>
        </w:rPr>
        <w:t xml:space="preserve"> Relation among left ventricular mass, insulin resistance, and bloo</w:t>
      </w:r>
      <w:r w:rsidR="004858C1">
        <w:rPr>
          <w:rFonts w:ascii="Times New Roman" w:hAnsi="Times New Roman" w:cs="Times New Roman"/>
          <w:sz w:val="28"/>
          <w:szCs w:val="28"/>
          <w:lang w:val="en-US"/>
        </w:rPr>
        <w:t>d pressure in nonobese subjects</w:t>
      </w:r>
      <w:r w:rsidR="004858C1">
        <w:rPr>
          <w:rFonts w:ascii="Times New Roman" w:hAnsi="Times New Roman" w:cs="Times New Roman"/>
          <w:sz w:val="28"/>
          <w:szCs w:val="28"/>
          <w:lang w:val="uk-UA"/>
        </w:rPr>
        <w:t xml:space="preserve">. </w:t>
      </w:r>
      <w:r w:rsidR="004858C1">
        <w:rPr>
          <w:rFonts w:ascii="Times New Roman" w:hAnsi="Times New Roman" w:cs="Times New Roman"/>
          <w:sz w:val="28"/>
          <w:szCs w:val="28"/>
          <w:lang w:val="en-US"/>
        </w:rPr>
        <w:t>J</w:t>
      </w:r>
      <w:r w:rsidR="004858C1" w:rsidRPr="004858C1">
        <w:rPr>
          <w:rFonts w:ascii="Times New Roman" w:hAnsi="Times New Roman" w:cs="Times New Roman"/>
          <w:sz w:val="28"/>
          <w:szCs w:val="28"/>
          <w:lang w:val="uk-UA"/>
        </w:rPr>
        <w:t xml:space="preserve">. </w:t>
      </w:r>
      <w:r w:rsidR="004858C1">
        <w:rPr>
          <w:rFonts w:ascii="Times New Roman" w:hAnsi="Times New Roman" w:cs="Times New Roman"/>
          <w:sz w:val="28"/>
          <w:szCs w:val="28"/>
          <w:lang w:val="en-US"/>
        </w:rPr>
        <w:t>Clin</w:t>
      </w:r>
      <w:r w:rsidR="004858C1" w:rsidRPr="004858C1">
        <w:rPr>
          <w:rFonts w:ascii="Times New Roman" w:hAnsi="Times New Roman" w:cs="Times New Roman"/>
          <w:sz w:val="28"/>
          <w:szCs w:val="28"/>
          <w:lang w:val="uk-UA"/>
        </w:rPr>
        <w:t xml:space="preserve">. </w:t>
      </w:r>
      <w:r w:rsidR="004858C1">
        <w:rPr>
          <w:rFonts w:ascii="Times New Roman" w:hAnsi="Times New Roman" w:cs="Times New Roman"/>
          <w:sz w:val="28"/>
          <w:szCs w:val="28"/>
          <w:lang w:val="en-US"/>
        </w:rPr>
        <w:t>Endocrinol</w:t>
      </w:r>
      <w:r w:rsidR="004858C1" w:rsidRPr="004858C1">
        <w:rPr>
          <w:rFonts w:ascii="Times New Roman" w:hAnsi="Times New Roman" w:cs="Times New Roman"/>
          <w:sz w:val="28"/>
          <w:szCs w:val="28"/>
          <w:lang w:val="uk-UA"/>
        </w:rPr>
        <w:t xml:space="preserve"> </w:t>
      </w:r>
      <w:r w:rsidR="004858C1">
        <w:rPr>
          <w:rFonts w:ascii="Times New Roman" w:hAnsi="Times New Roman" w:cs="Times New Roman"/>
          <w:sz w:val="28"/>
          <w:szCs w:val="28"/>
          <w:lang w:val="en-US"/>
        </w:rPr>
        <w:t>Metab</w:t>
      </w:r>
      <w:r w:rsidR="004858C1">
        <w:rPr>
          <w:rFonts w:ascii="Times New Roman" w:hAnsi="Times New Roman" w:cs="Times New Roman"/>
          <w:sz w:val="28"/>
          <w:szCs w:val="28"/>
          <w:lang w:val="uk-UA"/>
        </w:rPr>
        <w:t xml:space="preserve"> </w:t>
      </w:r>
      <w:r w:rsidR="004858C1" w:rsidRPr="004858C1">
        <w:rPr>
          <w:rFonts w:ascii="Times New Roman" w:hAnsi="Times New Roman" w:cs="Times New Roman"/>
          <w:sz w:val="28"/>
          <w:szCs w:val="28"/>
          <w:lang w:val="uk-UA"/>
        </w:rPr>
        <w:t>[</w:t>
      </w:r>
      <w:r w:rsidR="004858C1">
        <w:rPr>
          <w:rFonts w:ascii="Times New Roman" w:hAnsi="Times New Roman" w:cs="Times New Roman"/>
          <w:sz w:val="28"/>
          <w:szCs w:val="28"/>
          <w:lang w:val="en-US"/>
        </w:rPr>
        <w:t>Internet</w:t>
      </w:r>
      <w:r w:rsidR="004858C1" w:rsidRPr="004858C1">
        <w:rPr>
          <w:rFonts w:ascii="Times New Roman" w:hAnsi="Times New Roman" w:cs="Times New Roman"/>
          <w:sz w:val="28"/>
          <w:szCs w:val="28"/>
          <w:lang w:val="uk-UA"/>
        </w:rPr>
        <w:t>].</w:t>
      </w:r>
      <w:r w:rsidR="004858C1">
        <w:rPr>
          <w:rFonts w:ascii="Times New Roman" w:hAnsi="Times New Roman" w:cs="Times New Roman"/>
          <w:sz w:val="28"/>
          <w:szCs w:val="28"/>
          <w:lang w:val="uk-UA"/>
        </w:rPr>
        <w:t xml:space="preserve"> </w:t>
      </w:r>
      <w:r w:rsidR="00FD5D76" w:rsidRPr="004858C1">
        <w:rPr>
          <w:rFonts w:ascii="Times New Roman" w:hAnsi="Times New Roman" w:cs="Times New Roman"/>
          <w:sz w:val="28"/>
          <w:szCs w:val="28"/>
          <w:lang w:val="uk-UA"/>
        </w:rPr>
        <w:t>1998</w:t>
      </w:r>
      <w:r w:rsidR="004858C1">
        <w:rPr>
          <w:rFonts w:ascii="Times New Roman" w:hAnsi="Times New Roman" w:cs="Times New Roman"/>
          <w:sz w:val="28"/>
          <w:szCs w:val="28"/>
          <w:lang w:val="uk-UA"/>
        </w:rPr>
        <w:t xml:space="preserve"> </w:t>
      </w:r>
      <w:r w:rsidR="004858C1" w:rsidRPr="004858C1">
        <w:rPr>
          <w:rFonts w:ascii="Times New Roman" w:hAnsi="Times New Roman" w:cs="Times New Roman"/>
          <w:sz w:val="28"/>
          <w:szCs w:val="28"/>
          <w:lang w:val="uk-UA"/>
        </w:rPr>
        <w:t>Dec;83(12):4284-8</w:t>
      </w:r>
      <w:r w:rsidR="004858C1">
        <w:rPr>
          <w:rFonts w:ascii="Times New Roman" w:hAnsi="Times New Roman" w:cs="Times New Roman"/>
          <w:sz w:val="28"/>
          <w:szCs w:val="28"/>
          <w:lang w:val="uk-UA"/>
        </w:rPr>
        <w:t xml:space="preserve">. </w:t>
      </w:r>
      <w:r w:rsidR="004858C1" w:rsidRPr="004858C1">
        <w:rPr>
          <w:rFonts w:ascii="Times New Roman" w:hAnsi="Times New Roman" w:cs="Times New Roman"/>
          <w:sz w:val="28"/>
          <w:szCs w:val="28"/>
          <w:lang w:val="uk-UA"/>
        </w:rPr>
        <w:t xml:space="preserve">Available from: </w:t>
      </w:r>
      <w:hyperlink r:id="rId64" w:history="1">
        <w:r w:rsidR="004858C1" w:rsidRPr="004858C1">
          <w:rPr>
            <w:rStyle w:val="a9"/>
            <w:rFonts w:ascii="Times New Roman" w:hAnsi="Times New Roman" w:cs="Times New Roman"/>
            <w:color w:val="auto"/>
            <w:sz w:val="28"/>
            <w:szCs w:val="28"/>
            <w:u w:val="none"/>
            <w:lang w:val="uk-UA"/>
          </w:rPr>
          <w:t>https://www.ncbi.nlm.nih.gov/pubmed/9851765</w:t>
        </w:r>
      </w:hyperlink>
      <w:r w:rsidR="004858C1">
        <w:rPr>
          <w:rFonts w:ascii="Times New Roman" w:hAnsi="Times New Roman" w:cs="Times New Roman"/>
          <w:sz w:val="28"/>
          <w:szCs w:val="28"/>
          <w:lang w:val="uk-UA"/>
        </w:rPr>
        <w:t xml:space="preserve"> </w:t>
      </w:r>
    </w:p>
    <w:p w:rsidR="00B24806" w:rsidRDefault="004858C1" w:rsidP="00C6368B">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4858C1">
        <w:rPr>
          <w:rFonts w:ascii="Times New Roman" w:hAnsi="Times New Roman" w:cs="Times New Roman"/>
          <w:sz w:val="28"/>
          <w:szCs w:val="28"/>
          <w:lang w:val="en-US"/>
        </w:rPr>
        <w:t>10.1210/jcem.83.12.5331</w:t>
      </w:r>
    </w:p>
    <w:p w:rsidR="00124685" w:rsidRDefault="00DC132C" w:rsidP="0012468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80</w:t>
      </w:r>
      <w:r w:rsidR="004858C1">
        <w:rPr>
          <w:rFonts w:ascii="Times New Roman" w:hAnsi="Times New Roman" w:cs="Times New Roman"/>
          <w:sz w:val="28"/>
          <w:szCs w:val="28"/>
          <w:lang w:val="en-US"/>
        </w:rPr>
        <w:t xml:space="preserve">. </w:t>
      </w:r>
      <w:r w:rsidR="00124685" w:rsidRPr="00124685">
        <w:rPr>
          <w:rFonts w:ascii="Times New Roman" w:hAnsi="Times New Roman" w:cs="Times New Roman"/>
          <w:sz w:val="28"/>
          <w:szCs w:val="28"/>
          <w:lang w:val="en-US"/>
        </w:rPr>
        <w:t xml:space="preserve">Aljaroudi W, Alraies MC, Halley C, Rodriguez </w:t>
      </w:r>
      <w:r w:rsidR="00124685">
        <w:rPr>
          <w:rFonts w:ascii="Times New Roman" w:hAnsi="Times New Roman" w:cs="Times New Roman"/>
          <w:sz w:val="28"/>
          <w:szCs w:val="28"/>
          <w:lang w:val="en-US"/>
        </w:rPr>
        <w:t>L, Grimm RA, Thomas JD, et al</w:t>
      </w:r>
      <w:r w:rsidR="00124685" w:rsidRPr="00124685">
        <w:rPr>
          <w:rFonts w:ascii="Times New Roman" w:hAnsi="Times New Roman" w:cs="Times New Roman"/>
          <w:sz w:val="28"/>
          <w:szCs w:val="28"/>
          <w:lang w:val="en-US"/>
        </w:rPr>
        <w:t>.Impact of progression of diastolic dysfunction on mortality in patient</w:t>
      </w:r>
      <w:r w:rsidR="00124685">
        <w:rPr>
          <w:rFonts w:ascii="Times New Roman" w:hAnsi="Times New Roman" w:cs="Times New Roman"/>
          <w:sz w:val="28"/>
          <w:szCs w:val="28"/>
          <w:lang w:val="en-US"/>
        </w:rPr>
        <w:t xml:space="preserve">s with normal ejection fraction. Circulation </w:t>
      </w:r>
      <w:r w:rsidR="00193F4A">
        <w:rPr>
          <w:rFonts w:ascii="Times New Roman" w:hAnsi="Times New Roman" w:cs="Times New Roman"/>
          <w:sz w:val="28"/>
          <w:szCs w:val="28"/>
          <w:lang w:val="en-US"/>
        </w:rPr>
        <w:t>[Internet].</w:t>
      </w:r>
      <w:r w:rsidR="00193F4A">
        <w:rPr>
          <w:rFonts w:ascii="Times New Roman" w:hAnsi="Times New Roman" w:cs="Times New Roman"/>
          <w:sz w:val="28"/>
          <w:szCs w:val="28"/>
          <w:lang w:val="uk-UA"/>
        </w:rPr>
        <w:t xml:space="preserve"> </w:t>
      </w:r>
      <w:r w:rsidR="00124685" w:rsidRPr="00124685">
        <w:rPr>
          <w:rFonts w:ascii="Times New Roman" w:hAnsi="Times New Roman" w:cs="Times New Roman"/>
          <w:sz w:val="28"/>
          <w:szCs w:val="28"/>
          <w:lang w:val="en-US"/>
        </w:rPr>
        <w:t>2012 Feb 14;125(6):782-8.</w:t>
      </w:r>
      <w:r w:rsidR="00124685">
        <w:rPr>
          <w:rFonts w:ascii="Times New Roman" w:hAnsi="Times New Roman" w:cs="Times New Roman"/>
          <w:sz w:val="28"/>
          <w:szCs w:val="28"/>
          <w:lang w:val="en-US"/>
        </w:rPr>
        <w:t xml:space="preserve"> </w:t>
      </w:r>
      <w:r w:rsidR="00124685" w:rsidRPr="00124685">
        <w:rPr>
          <w:rFonts w:ascii="Times New Roman" w:hAnsi="Times New Roman" w:cs="Times New Roman"/>
          <w:sz w:val="28"/>
          <w:szCs w:val="28"/>
          <w:lang w:val="en-US"/>
        </w:rPr>
        <w:t xml:space="preserve">Available from: </w:t>
      </w:r>
      <w:hyperlink r:id="rId65" w:history="1">
        <w:r w:rsidR="00124685" w:rsidRPr="00124685">
          <w:rPr>
            <w:rStyle w:val="a9"/>
            <w:rFonts w:ascii="Times New Roman" w:hAnsi="Times New Roman" w:cs="Times New Roman"/>
            <w:color w:val="auto"/>
            <w:sz w:val="28"/>
            <w:szCs w:val="28"/>
            <w:u w:val="none"/>
            <w:lang w:val="en-US"/>
          </w:rPr>
          <w:t>https://www.ncbi.nlm.nih.gov/pubmed/22261198</w:t>
        </w:r>
      </w:hyperlink>
      <w:r w:rsidR="00124685" w:rsidRPr="00124685">
        <w:rPr>
          <w:rFonts w:ascii="Times New Roman" w:hAnsi="Times New Roman" w:cs="Times New Roman"/>
          <w:sz w:val="28"/>
          <w:szCs w:val="28"/>
          <w:lang w:val="en-US"/>
        </w:rPr>
        <w:t xml:space="preserve"> </w:t>
      </w:r>
    </w:p>
    <w:p w:rsidR="00124685" w:rsidRDefault="00124685" w:rsidP="0012468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124685">
        <w:rPr>
          <w:rFonts w:ascii="Times New Roman" w:hAnsi="Times New Roman" w:cs="Times New Roman"/>
          <w:sz w:val="28"/>
          <w:szCs w:val="28"/>
          <w:lang w:val="en-US"/>
        </w:rPr>
        <w:t>: 10.1161/CIRCULATIONAHA.111.066423.</w:t>
      </w:r>
    </w:p>
    <w:p w:rsidR="005B752C" w:rsidRDefault="00DC132C" w:rsidP="0012468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81</w:t>
      </w:r>
      <w:r w:rsidR="00124685" w:rsidRPr="00193F4A">
        <w:rPr>
          <w:rFonts w:ascii="Times New Roman" w:hAnsi="Times New Roman" w:cs="Times New Roman"/>
          <w:sz w:val="28"/>
          <w:szCs w:val="28"/>
          <w:lang w:val="en-US"/>
        </w:rPr>
        <w:t>.</w:t>
      </w:r>
      <w:r w:rsidR="00193F4A">
        <w:rPr>
          <w:rFonts w:ascii="Times New Roman" w:hAnsi="Times New Roman" w:cs="Times New Roman"/>
          <w:sz w:val="28"/>
          <w:szCs w:val="28"/>
          <w:lang w:val="uk-UA"/>
        </w:rPr>
        <w:t xml:space="preserve"> </w:t>
      </w:r>
      <w:r w:rsidR="00193F4A" w:rsidRPr="00193F4A">
        <w:rPr>
          <w:rFonts w:ascii="Times New Roman" w:hAnsi="Times New Roman" w:cs="Times New Roman"/>
          <w:sz w:val="28"/>
          <w:szCs w:val="28"/>
          <w:lang w:val="uk-UA"/>
        </w:rPr>
        <w:t>Koren MJ, Devereux RB, Casale PN, Savage DD, Laragh JH: Relation of left ventricular mass and geometry to morbidity and mortality in uncomplicated essenti</w:t>
      </w:r>
      <w:r w:rsidR="00193F4A">
        <w:rPr>
          <w:rFonts w:ascii="Times New Roman" w:hAnsi="Times New Roman" w:cs="Times New Roman"/>
          <w:sz w:val="28"/>
          <w:szCs w:val="28"/>
          <w:lang w:val="uk-UA"/>
        </w:rPr>
        <w:t>al hypertension. Ann Intern Med [Internet]. 1991</w:t>
      </w:r>
      <w:r w:rsidR="00193F4A">
        <w:rPr>
          <w:rFonts w:ascii="Times New Roman" w:hAnsi="Times New Roman" w:cs="Times New Roman"/>
          <w:sz w:val="28"/>
          <w:szCs w:val="28"/>
          <w:lang w:val="en-US"/>
        </w:rPr>
        <w:t>;</w:t>
      </w:r>
      <w:r w:rsidR="00193F4A">
        <w:rPr>
          <w:rFonts w:ascii="Times New Roman" w:hAnsi="Times New Roman" w:cs="Times New Roman"/>
          <w:sz w:val="28"/>
          <w:szCs w:val="28"/>
          <w:lang w:val="uk-UA"/>
        </w:rPr>
        <w:t>114(5):345-</w:t>
      </w:r>
      <w:r w:rsidR="00193F4A" w:rsidRPr="00193F4A">
        <w:rPr>
          <w:rFonts w:ascii="Times New Roman" w:hAnsi="Times New Roman" w:cs="Times New Roman"/>
          <w:sz w:val="28"/>
          <w:szCs w:val="28"/>
          <w:lang w:val="uk-UA"/>
        </w:rPr>
        <w:t xml:space="preserve">52. </w:t>
      </w:r>
    </w:p>
    <w:p w:rsidR="00C31576" w:rsidRPr="00193F4A" w:rsidRDefault="00193F4A" w:rsidP="0012468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DOI:</w:t>
      </w:r>
      <w:r w:rsidRPr="00193F4A">
        <w:rPr>
          <w:rFonts w:ascii="Times New Roman" w:hAnsi="Times New Roman" w:cs="Times New Roman"/>
          <w:sz w:val="28"/>
          <w:szCs w:val="28"/>
          <w:lang w:val="uk-UA"/>
        </w:rPr>
        <w:t>10.7326/0003-4819-114-5-345.</w:t>
      </w:r>
    </w:p>
    <w:p w:rsidR="00C31576" w:rsidRDefault="00DC132C" w:rsidP="00C31576">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Pr>
          <w:rFonts w:ascii="Times New Roman" w:hAnsi="Times New Roman" w:cs="Times New Roman"/>
          <w:sz w:val="28"/>
          <w:szCs w:val="28"/>
          <w:lang w:val="en-US"/>
        </w:rPr>
        <w:t>2</w:t>
      </w:r>
      <w:r w:rsidR="00193F4A">
        <w:rPr>
          <w:rFonts w:ascii="Times New Roman" w:hAnsi="Times New Roman" w:cs="Times New Roman"/>
          <w:sz w:val="28"/>
          <w:szCs w:val="28"/>
          <w:lang w:val="uk-UA"/>
        </w:rPr>
        <w:t>.</w:t>
      </w:r>
      <w:r w:rsidR="004D76CD">
        <w:rPr>
          <w:rFonts w:ascii="Times New Roman" w:hAnsi="Times New Roman" w:cs="Times New Roman"/>
          <w:sz w:val="28"/>
          <w:szCs w:val="28"/>
          <w:lang w:val="en-US"/>
        </w:rPr>
        <w:t xml:space="preserve"> </w:t>
      </w:r>
      <w:r w:rsidR="00C31576" w:rsidRPr="00C31576">
        <w:rPr>
          <w:rFonts w:ascii="Times New Roman" w:hAnsi="Times New Roman" w:cs="Times New Roman"/>
          <w:sz w:val="28"/>
          <w:szCs w:val="28"/>
          <w:lang w:val="uk-UA"/>
        </w:rPr>
        <w:t xml:space="preserve">Devereux RB, Dahlof B, </w:t>
      </w:r>
      <w:r w:rsidR="00C31576">
        <w:rPr>
          <w:rFonts w:ascii="Times New Roman" w:hAnsi="Times New Roman" w:cs="Times New Roman"/>
          <w:sz w:val="28"/>
          <w:szCs w:val="28"/>
          <w:lang w:val="uk-UA"/>
        </w:rPr>
        <w:t xml:space="preserve">Gerdts E, Boman K, Nieminen MS, </w:t>
      </w:r>
      <w:r w:rsidR="00C31576" w:rsidRPr="00C31576">
        <w:rPr>
          <w:rFonts w:ascii="Times New Roman" w:hAnsi="Times New Roman" w:cs="Times New Roman"/>
          <w:sz w:val="28"/>
          <w:szCs w:val="28"/>
          <w:lang w:val="uk-UA"/>
        </w:rPr>
        <w:t>Papademetriou V, et al. Regression of hypertensi</w:t>
      </w:r>
      <w:r w:rsidR="00C31576">
        <w:rPr>
          <w:rFonts w:ascii="Times New Roman" w:hAnsi="Times New Roman" w:cs="Times New Roman"/>
          <w:sz w:val="28"/>
          <w:szCs w:val="28"/>
          <w:lang w:val="uk-UA"/>
        </w:rPr>
        <w:t xml:space="preserve">ve left ventricular hypertrophy </w:t>
      </w:r>
      <w:r w:rsidR="00C31576" w:rsidRPr="00C31576">
        <w:rPr>
          <w:rFonts w:ascii="Times New Roman" w:hAnsi="Times New Roman" w:cs="Times New Roman"/>
          <w:sz w:val="28"/>
          <w:szCs w:val="28"/>
          <w:lang w:val="uk-UA"/>
        </w:rPr>
        <w:t>by losartan compared with atenolol</w:t>
      </w:r>
      <w:r w:rsidR="00C31576">
        <w:rPr>
          <w:rFonts w:ascii="Times New Roman" w:hAnsi="Times New Roman" w:cs="Times New Roman"/>
          <w:sz w:val="28"/>
          <w:szCs w:val="28"/>
          <w:lang w:val="uk-UA"/>
        </w:rPr>
        <w:t xml:space="preserve">: the Losartan Intervention for </w:t>
      </w:r>
      <w:r w:rsidR="00C31576" w:rsidRPr="00C31576">
        <w:rPr>
          <w:rFonts w:ascii="Times New Roman" w:hAnsi="Times New Roman" w:cs="Times New Roman"/>
          <w:sz w:val="28"/>
          <w:szCs w:val="28"/>
          <w:lang w:val="uk-UA"/>
        </w:rPr>
        <w:t>Endpoint Reduction in Hypertension (LIF</w:t>
      </w:r>
      <w:r w:rsidR="00C31576">
        <w:rPr>
          <w:rFonts w:ascii="Times New Roman" w:hAnsi="Times New Roman" w:cs="Times New Roman"/>
          <w:sz w:val="28"/>
          <w:szCs w:val="28"/>
          <w:lang w:val="uk-UA"/>
        </w:rPr>
        <w:t>E) trial. Circulation [Internet]. 2004;110:</w:t>
      </w:r>
      <w:r w:rsidR="00C31576" w:rsidRPr="00C31576">
        <w:rPr>
          <w:rFonts w:ascii="Times New Roman" w:hAnsi="Times New Roman" w:cs="Times New Roman"/>
          <w:sz w:val="28"/>
          <w:szCs w:val="28"/>
          <w:lang w:val="uk-UA"/>
        </w:rPr>
        <w:t>1456-62.</w:t>
      </w:r>
      <w:r w:rsidR="00124685" w:rsidRPr="00C31576">
        <w:rPr>
          <w:rFonts w:ascii="Times New Roman" w:hAnsi="Times New Roman" w:cs="Times New Roman"/>
          <w:sz w:val="28"/>
          <w:szCs w:val="28"/>
          <w:lang w:val="uk-UA"/>
        </w:rPr>
        <w:t xml:space="preserve"> </w:t>
      </w:r>
      <w:r w:rsidR="00C31576" w:rsidRPr="00C31576">
        <w:rPr>
          <w:rFonts w:ascii="Times New Roman" w:hAnsi="Times New Roman" w:cs="Times New Roman"/>
          <w:sz w:val="28"/>
          <w:szCs w:val="28"/>
          <w:lang w:val="uk-UA"/>
        </w:rPr>
        <w:t xml:space="preserve">Available from: </w:t>
      </w:r>
      <w:hyperlink r:id="rId66" w:history="1">
        <w:r w:rsidR="00C31576" w:rsidRPr="00C31576">
          <w:rPr>
            <w:rStyle w:val="a9"/>
            <w:rFonts w:ascii="Times New Roman" w:hAnsi="Times New Roman" w:cs="Times New Roman"/>
            <w:color w:val="auto"/>
            <w:sz w:val="28"/>
            <w:szCs w:val="28"/>
            <w:u w:val="none"/>
            <w:lang w:val="uk-UA"/>
          </w:rPr>
          <w:t>https://www.ncbi.nlm.nih.gov/pubmed/15326072</w:t>
        </w:r>
      </w:hyperlink>
      <w:r w:rsidR="00C31576" w:rsidRPr="00C31576">
        <w:rPr>
          <w:rFonts w:ascii="Times New Roman" w:hAnsi="Times New Roman" w:cs="Times New Roman"/>
          <w:sz w:val="28"/>
          <w:szCs w:val="28"/>
          <w:lang w:val="uk-UA"/>
        </w:rPr>
        <w:t xml:space="preserve"> </w:t>
      </w:r>
      <w:r w:rsidR="00124685" w:rsidRPr="00C31576">
        <w:rPr>
          <w:rFonts w:ascii="Times New Roman" w:hAnsi="Times New Roman" w:cs="Times New Roman"/>
          <w:sz w:val="28"/>
          <w:szCs w:val="28"/>
          <w:lang w:val="uk-UA"/>
        </w:rPr>
        <w:t xml:space="preserve"> </w:t>
      </w:r>
    </w:p>
    <w:p w:rsidR="004858C1" w:rsidRDefault="00C31576" w:rsidP="00C31576">
      <w:pPr>
        <w:tabs>
          <w:tab w:val="left" w:pos="2880"/>
        </w:tabs>
        <w:spacing w:after="0" w:line="360" w:lineRule="auto"/>
        <w:jc w:val="both"/>
        <w:rPr>
          <w:rFonts w:ascii="Times New Roman" w:hAnsi="Times New Roman" w:cs="Times New Roman"/>
          <w:sz w:val="28"/>
          <w:szCs w:val="28"/>
          <w:lang w:val="uk-UA"/>
        </w:rPr>
      </w:pPr>
      <w:r w:rsidRPr="00C31576">
        <w:rPr>
          <w:rFonts w:ascii="Times New Roman" w:hAnsi="Times New Roman" w:cs="Times New Roman"/>
          <w:sz w:val="28"/>
          <w:szCs w:val="28"/>
          <w:lang w:val="uk-UA"/>
        </w:rPr>
        <w:t>DOI:</w:t>
      </w:r>
      <w:r>
        <w:rPr>
          <w:rFonts w:ascii="Times New Roman" w:hAnsi="Times New Roman" w:cs="Times New Roman"/>
          <w:sz w:val="28"/>
          <w:szCs w:val="28"/>
          <w:lang w:val="uk-UA"/>
        </w:rPr>
        <w:t xml:space="preserve"> </w:t>
      </w:r>
      <w:r w:rsidRPr="00C31576">
        <w:rPr>
          <w:rFonts w:ascii="Times New Roman" w:hAnsi="Times New Roman" w:cs="Times New Roman"/>
          <w:sz w:val="28"/>
          <w:szCs w:val="28"/>
          <w:lang w:val="uk-UA"/>
        </w:rPr>
        <w:t>10.1161/01.CIR.0000141573.44737.5A</w:t>
      </w:r>
    </w:p>
    <w:p w:rsidR="00C31576" w:rsidRPr="00D9659C" w:rsidRDefault="00193F4A" w:rsidP="00C31576">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8</w:t>
      </w:r>
      <w:r w:rsidR="00DC132C" w:rsidRPr="00EA6F81">
        <w:rPr>
          <w:rFonts w:ascii="Times New Roman" w:hAnsi="Times New Roman" w:cs="Times New Roman"/>
          <w:sz w:val="28"/>
          <w:szCs w:val="28"/>
          <w:lang w:val="uk-UA"/>
        </w:rPr>
        <w:t>3</w:t>
      </w:r>
      <w:r>
        <w:rPr>
          <w:rFonts w:ascii="Times New Roman" w:hAnsi="Times New Roman" w:cs="Times New Roman"/>
          <w:sz w:val="28"/>
          <w:szCs w:val="28"/>
          <w:lang w:val="uk-UA"/>
        </w:rPr>
        <w:t>.</w:t>
      </w:r>
      <w:r w:rsidRPr="00193F4A">
        <w:rPr>
          <w:rFonts w:ascii="Times New Roman" w:hAnsi="Times New Roman" w:cs="Times New Roman"/>
          <w:sz w:val="28"/>
          <w:szCs w:val="28"/>
          <w:lang w:val="uk-UA"/>
        </w:rPr>
        <w:t xml:space="preserve"> </w:t>
      </w:r>
      <w:r>
        <w:rPr>
          <w:rFonts w:ascii="Times New Roman" w:hAnsi="Times New Roman" w:cs="Times New Roman"/>
          <w:sz w:val="28"/>
          <w:szCs w:val="28"/>
          <w:lang w:val="uk-UA"/>
        </w:rPr>
        <w:t>Алтуніна Н</w:t>
      </w:r>
      <w:r w:rsidRPr="00193F4A">
        <w:rPr>
          <w:rFonts w:ascii="Times New Roman" w:hAnsi="Times New Roman" w:cs="Times New Roman"/>
          <w:sz w:val="28"/>
          <w:szCs w:val="28"/>
          <w:lang w:val="uk-UA"/>
        </w:rPr>
        <w:t>В. Порушення діастолічної функції серця в постінфарктних хворих із цукровим діа</w:t>
      </w:r>
      <w:r>
        <w:rPr>
          <w:rFonts w:ascii="Times New Roman" w:hAnsi="Times New Roman" w:cs="Times New Roman"/>
          <w:sz w:val="28"/>
          <w:szCs w:val="28"/>
          <w:lang w:val="uk-UA"/>
        </w:rPr>
        <w:t>бетом 2 типу</w:t>
      </w:r>
      <w:r w:rsidRPr="00193F4A">
        <w:rPr>
          <w:rFonts w:ascii="Times New Roman" w:hAnsi="Times New Roman" w:cs="Times New Roman"/>
          <w:sz w:val="28"/>
          <w:szCs w:val="28"/>
          <w:lang w:val="uk-UA"/>
        </w:rPr>
        <w:t>.</w:t>
      </w:r>
      <w:r>
        <w:rPr>
          <w:rFonts w:ascii="Times New Roman" w:hAnsi="Times New Roman" w:cs="Times New Roman"/>
          <w:sz w:val="28"/>
          <w:szCs w:val="28"/>
          <w:lang w:val="uk-UA"/>
        </w:rPr>
        <w:t xml:space="preserve"> Ендокринологія. 2014</w:t>
      </w:r>
      <w:r w:rsidRPr="00193F4A">
        <w:rPr>
          <w:rFonts w:ascii="Times New Roman" w:hAnsi="Times New Roman" w:cs="Times New Roman"/>
          <w:sz w:val="28"/>
          <w:szCs w:val="28"/>
          <w:lang w:val="uk-UA"/>
        </w:rPr>
        <w:t>;</w:t>
      </w:r>
      <w:r>
        <w:rPr>
          <w:rFonts w:ascii="Times New Roman" w:hAnsi="Times New Roman" w:cs="Times New Roman"/>
          <w:sz w:val="28"/>
          <w:szCs w:val="28"/>
          <w:lang w:val="uk-UA"/>
        </w:rPr>
        <w:t>19</w:t>
      </w:r>
      <w:r w:rsidRPr="00193F4A">
        <w:rPr>
          <w:rFonts w:ascii="Times New Roman" w:hAnsi="Times New Roman" w:cs="Times New Roman"/>
          <w:sz w:val="28"/>
          <w:szCs w:val="28"/>
          <w:lang w:val="uk-UA"/>
        </w:rPr>
        <w:t>(3)</w:t>
      </w:r>
      <w:r w:rsidRPr="00D9659C">
        <w:rPr>
          <w:rFonts w:ascii="Times New Roman" w:hAnsi="Times New Roman" w:cs="Times New Roman"/>
          <w:sz w:val="28"/>
          <w:szCs w:val="28"/>
        </w:rPr>
        <w:t>:</w:t>
      </w:r>
      <w:r>
        <w:rPr>
          <w:rFonts w:ascii="Times New Roman" w:hAnsi="Times New Roman" w:cs="Times New Roman"/>
          <w:sz w:val="28"/>
          <w:szCs w:val="28"/>
          <w:lang w:val="uk-UA"/>
        </w:rPr>
        <w:t>1466</w:t>
      </w:r>
      <w:r w:rsidRPr="00D9659C">
        <w:rPr>
          <w:rFonts w:ascii="Times New Roman" w:hAnsi="Times New Roman" w:cs="Times New Roman"/>
          <w:sz w:val="28"/>
          <w:szCs w:val="28"/>
        </w:rPr>
        <w:t>-</w:t>
      </w:r>
      <w:r w:rsidRPr="00193F4A">
        <w:rPr>
          <w:rFonts w:ascii="Times New Roman" w:hAnsi="Times New Roman" w:cs="Times New Roman"/>
          <w:sz w:val="28"/>
          <w:szCs w:val="28"/>
          <w:lang w:val="uk-UA"/>
        </w:rPr>
        <w:t>80.</w:t>
      </w:r>
    </w:p>
    <w:p w:rsidR="00956225" w:rsidRDefault="00DC132C" w:rsidP="00C31576">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8</w:t>
      </w:r>
      <w:r w:rsidRPr="00EA6F81">
        <w:rPr>
          <w:rFonts w:ascii="Times New Roman" w:hAnsi="Times New Roman" w:cs="Times New Roman"/>
          <w:sz w:val="28"/>
          <w:szCs w:val="28"/>
        </w:rPr>
        <w:t>4</w:t>
      </w:r>
      <w:r w:rsidR="00193F4A" w:rsidRPr="00D9659C">
        <w:rPr>
          <w:rFonts w:ascii="Times New Roman" w:hAnsi="Times New Roman" w:cs="Times New Roman"/>
          <w:sz w:val="28"/>
          <w:szCs w:val="28"/>
        </w:rPr>
        <w:t xml:space="preserve">. </w:t>
      </w:r>
      <w:r w:rsidR="00D9659C">
        <w:rPr>
          <w:rFonts w:ascii="Times New Roman" w:hAnsi="Times New Roman" w:cs="Times New Roman"/>
          <w:sz w:val="28"/>
          <w:szCs w:val="28"/>
        </w:rPr>
        <w:t>Березикова Е</w:t>
      </w:r>
      <w:r w:rsidR="00D9659C" w:rsidRPr="00D9659C">
        <w:rPr>
          <w:rFonts w:ascii="Times New Roman" w:hAnsi="Times New Roman" w:cs="Times New Roman"/>
          <w:sz w:val="28"/>
          <w:szCs w:val="28"/>
        </w:rPr>
        <w:t>Н. Клинико-генетические и нейрогормональные механизмы развития ишемического ремоделирования, апоптоза миокарда и сердечной недостаточности: инновационная стратегия персонализированной диагностики, профилактики и лечения</w:t>
      </w:r>
      <w:r w:rsidR="00D9659C">
        <w:rPr>
          <w:rFonts w:ascii="Times New Roman" w:hAnsi="Times New Roman" w:cs="Times New Roman"/>
          <w:sz w:val="28"/>
          <w:szCs w:val="28"/>
          <w:lang w:val="uk-UA"/>
        </w:rPr>
        <w:t xml:space="preserve"> </w:t>
      </w:r>
      <w:r w:rsidR="00D9659C" w:rsidRPr="00D9659C">
        <w:rPr>
          <w:rFonts w:ascii="Times New Roman" w:hAnsi="Times New Roman" w:cs="Times New Roman"/>
          <w:sz w:val="28"/>
          <w:szCs w:val="28"/>
        </w:rPr>
        <w:t>[</w:t>
      </w:r>
      <w:r w:rsidR="00D9659C">
        <w:rPr>
          <w:rFonts w:ascii="Times New Roman" w:hAnsi="Times New Roman" w:cs="Times New Roman"/>
          <w:sz w:val="28"/>
          <w:szCs w:val="28"/>
        </w:rPr>
        <w:t>диссертация в Интернете</w:t>
      </w:r>
      <w:r w:rsidR="00D9659C" w:rsidRPr="00D9659C">
        <w:rPr>
          <w:rFonts w:ascii="Times New Roman" w:hAnsi="Times New Roman" w:cs="Times New Roman"/>
          <w:sz w:val="28"/>
          <w:szCs w:val="28"/>
        </w:rPr>
        <w:t>]</w:t>
      </w:r>
      <w:r w:rsidR="00D9659C">
        <w:rPr>
          <w:rFonts w:ascii="Times New Roman" w:hAnsi="Times New Roman" w:cs="Times New Roman"/>
          <w:sz w:val="28"/>
          <w:szCs w:val="28"/>
        </w:rPr>
        <w:t>. Томск:</w:t>
      </w:r>
      <w:r w:rsidR="00D9659C" w:rsidRPr="00D9659C">
        <w:t xml:space="preserve"> </w:t>
      </w:r>
      <w:r w:rsidR="00D9659C" w:rsidRPr="00D9659C">
        <w:rPr>
          <w:rFonts w:ascii="Times New Roman" w:hAnsi="Times New Roman" w:cs="Times New Roman"/>
          <w:sz w:val="28"/>
          <w:szCs w:val="28"/>
        </w:rPr>
        <w:t>Федеральное государственное бюджетное учреждение «Научно-исследовательский институт кардиологии» Сибирского отделения Российской академии медицинских наук;</w:t>
      </w:r>
      <w:r w:rsidR="00D9659C">
        <w:rPr>
          <w:rFonts w:ascii="Times New Roman" w:hAnsi="Times New Roman" w:cs="Times New Roman"/>
          <w:sz w:val="28"/>
          <w:szCs w:val="28"/>
        </w:rPr>
        <w:t xml:space="preserve"> 2014. Доступно на: </w:t>
      </w:r>
    </w:p>
    <w:p w:rsidR="00193F4A" w:rsidRPr="00956225" w:rsidRDefault="000A6805" w:rsidP="00C31576">
      <w:pPr>
        <w:tabs>
          <w:tab w:val="left" w:pos="2880"/>
        </w:tabs>
        <w:spacing w:after="0" w:line="360" w:lineRule="auto"/>
        <w:jc w:val="both"/>
        <w:rPr>
          <w:rFonts w:ascii="Times New Roman" w:hAnsi="Times New Roman" w:cs="Times New Roman"/>
          <w:sz w:val="28"/>
          <w:szCs w:val="28"/>
          <w:lang w:val="uk-UA"/>
        </w:rPr>
      </w:pPr>
      <w:hyperlink r:id="rId67" w:history="1">
        <w:r w:rsidR="00D9659C" w:rsidRPr="00D9659C">
          <w:rPr>
            <w:rStyle w:val="a9"/>
            <w:rFonts w:ascii="Times New Roman" w:hAnsi="Times New Roman" w:cs="Times New Roman"/>
            <w:color w:val="auto"/>
            <w:sz w:val="28"/>
            <w:szCs w:val="28"/>
            <w:u w:val="none"/>
          </w:rPr>
          <w:t>http</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www</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dslib</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net</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kardiologia</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kliniko</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geneticheskie</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i</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nejrogormonalnye</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mehanizmy</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razvitija</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ishemicheskogo</w:t>
        </w:r>
        <w:r w:rsidR="00D9659C" w:rsidRPr="00956225">
          <w:rPr>
            <w:rStyle w:val="a9"/>
            <w:rFonts w:ascii="Times New Roman" w:hAnsi="Times New Roman" w:cs="Times New Roman"/>
            <w:color w:val="auto"/>
            <w:sz w:val="28"/>
            <w:szCs w:val="28"/>
            <w:u w:val="none"/>
            <w:lang w:val="uk-UA"/>
          </w:rPr>
          <w:t>.</w:t>
        </w:r>
        <w:r w:rsidR="00D9659C" w:rsidRPr="00D9659C">
          <w:rPr>
            <w:rStyle w:val="a9"/>
            <w:rFonts w:ascii="Times New Roman" w:hAnsi="Times New Roman" w:cs="Times New Roman"/>
            <w:color w:val="auto"/>
            <w:sz w:val="28"/>
            <w:szCs w:val="28"/>
            <w:u w:val="none"/>
          </w:rPr>
          <w:t>html</w:t>
        </w:r>
      </w:hyperlink>
    </w:p>
    <w:p w:rsidR="00F90BD3"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EA6F81">
        <w:rPr>
          <w:rFonts w:ascii="Times New Roman" w:hAnsi="Times New Roman" w:cs="Times New Roman"/>
          <w:sz w:val="28"/>
          <w:szCs w:val="28"/>
        </w:rPr>
        <w:t>5</w:t>
      </w:r>
      <w:r w:rsidR="00D9659C">
        <w:rPr>
          <w:rFonts w:ascii="Times New Roman" w:hAnsi="Times New Roman" w:cs="Times New Roman"/>
          <w:sz w:val="28"/>
          <w:szCs w:val="28"/>
        </w:rPr>
        <w:t xml:space="preserve">. </w:t>
      </w:r>
      <w:r w:rsidR="00F90BD3">
        <w:rPr>
          <w:rFonts w:ascii="Times New Roman" w:hAnsi="Times New Roman" w:cs="Times New Roman"/>
          <w:sz w:val="28"/>
          <w:szCs w:val="28"/>
        </w:rPr>
        <w:t>Шакарьянц Г</w:t>
      </w:r>
      <w:r w:rsidR="00F90BD3" w:rsidRPr="00F90BD3">
        <w:rPr>
          <w:rFonts w:ascii="Times New Roman" w:hAnsi="Times New Roman" w:cs="Times New Roman"/>
          <w:sz w:val="28"/>
          <w:szCs w:val="28"/>
        </w:rPr>
        <w:t xml:space="preserve">А. Изучение факторов, влияющих на ендотелиальную функцию у больных гипертрофической кардиомиопатией с различными </w:t>
      </w:r>
      <w:r w:rsidR="00F90BD3">
        <w:rPr>
          <w:rFonts w:ascii="Times New Roman" w:hAnsi="Times New Roman" w:cs="Times New Roman"/>
          <w:sz w:val="28"/>
          <w:szCs w:val="28"/>
        </w:rPr>
        <w:t xml:space="preserve">клиническими вариантами течения </w:t>
      </w:r>
      <w:r w:rsidR="00F90BD3" w:rsidRPr="00F90BD3">
        <w:rPr>
          <w:rFonts w:ascii="Times New Roman" w:hAnsi="Times New Roman" w:cs="Times New Roman"/>
          <w:sz w:val="28"/>
          <w:szCs w:val="28"/>
        </w:rPr>
        <w:t>[автореферат диссертации</w:t>
      </w:r>
      <w:r w:rsidR="00F90BD3">
        <w:rPr>
          <w:rFonts w:ascii="Times New Roman" w:hAnsi="Times New Roman" w:cs="Times New Roman"/>
          <w:sz w:val="28"/>
          <w:szCs w:val="28"/>
        </w:rPr>
        <w:t xml:space="preserve"> в Интернете</w:t>
      </w:r>
      <w:r w:rsidR="00F90BD3" w:rsidRPr="00F90BD3">
        <w:rPr>
          <w:rFonts w:ascii="Times New Roman" w:hAnsi="Times New Roman" w:cs="Times New Roman"/>
          <w:sz w:val="28"/>
          <w:szCs w:val="28"/>
        </w:rPr>
        <w:t>]</w:t>
      </w:r>
      <w:r w:rsidR="00F90BD3">
        <w:rPr>
          <w:rFonts w:ascii="Times New Roman" w:hAnsi="Times New Roman" w:cs="Times New Roman"/>
          <w:sz w:val="28"/>
          <w:szCs w:val="28"/>
        </w:rPr>
        <w:t xml:space="preserve">. </w:t>
      </w:r>
      <w:r w:rsidR="00F90BD3" w:rsidRPr="00F90BD3">
        <w:rPr>
          <w:rFonts w:ascii="Times New Roman" w:hAnsi="Times New Roman" w:cs="Times New Roman"/>
          <w:sz w:val="28"/>
          <w:szCs w:val="28"/>
        </w:rPr>
        <w:t xml:space="preserve"> </w:t>
      </w:r>
      <w:r w:rsidR="00F90BD3">
        <w:rPr>
          <w:rFonts w:ascii="Times New Roman" w:hAnsi="Times New Roman" w:cs="Times New Roman"/>
          <w:sz w:val="28"/>
          <w:szCs w:val="28"/>
        </w:rPr>
        <w:t xml:space="preserve">Москва: </w:t>
      </w:r>
      <w:r w:rsidR="00F90BD3" w:rsidRPr="00F90BD3">
        <w:rPr>
          <w:rFonts w:ascii="Times New Roman" w:hAnsi="Times New Roman" w:cs="Times New Roman"/>
          <w:sz w:val="28"/>
          <w:szCs w:val="28"/>
        </w:rPr>
        <w:t>Первый Московский государственный медицинский университет имени И.М. Сеченова</w:t>
      </w:r>
      <w:r w:rsidR="00F90BD3">
        <w:rPr>
          <w:rFonts w:ascii="Times New Roman" w:hAnsi="Times New Roman" w:cs="Times New Roman"/>
          <w:sz w:val="28"/>
          <w:szCs w:val="28"/>
        </w:rPr>
        <w:t xml:space="preserve">; 2014. Доступно на: </w:t>
      </w:r>
    </w:p>
    <w:p w:rsidR="00F90BD3" w:rsidRPr="00F90BD3" w:rsidRDefault="000A6805" w:rsidP="00F90BD3">
      <w:pPr>
        <w:tabs>
          <w:tab w:val="left" w:pos="2880"/>
        </w:tabs>
        <w:spacing w:after="0" w:line="360" w:lineRule="auto"/>
        <w:jc w:val="both"/>
        <w:rPr>
          <w:rFonts w:ascii="Times New Roman" w:hAnsi="Times New Roman" w:cs="Times New Roman"/>
          <w:sz w:val="28"/>
          <w:szCs w:val="28"/>
        </w:rPr>
      </w:pPr>
      <w:hyperlink r:id="rId68" w:history="1">
        <w:r w:rsidR="00F90BD3" w:rsidRPr="00F90BD3">
          <w:rPr>
            <w:rStyle w:val="a9"/>
            <w:rFonts w:ascii="Times New Roman" w:hAnsi="Times New Roman" w:cs="Times New Roman"/>
            <w:color w:val="auto"/>
            <w:sz w:val="28"/>
            <w:szCs w:val="28"/>
            <w:u w:val="none"/>
          </w:rPr>
          <w:t>http://medical-diss.com/medicina/izuchenie-faktorov-vliyayuschih-na-endotelialnuyu-funktsiyu-u-bolnyh-gipertroficheskoy-kardiomiopatiey-s-razlichnymi-klin</w:t>
        </w:r>
      </w:hyperlink>
    </w:p>
    <w:p w:rsidR="005A49EB" w:rsidRDefault="00DC132C"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86</w:t>
      </w:r>
      <w:r w:rsidR="00F90BD3" w:rsidRPr="002D3953">
        <w:rPr>
          <w:rFonts w:ascii="Times New Roman" w:hAnsi="Times New Roman" w:cs="Times New Roman"/>
          <w:sz w:val="28"/>
          <w:szCs w:val="28"/>
          <w:lang w:val="en-US"/>
        </w:rPr>
        <w:t xml:space="preserve">. </w:t>
      </w:r>
      <w:r w:rsidR="002D3953">
        <w:rPr>
          <w:rFonts w:ascii="Times New Roman" w:hAnsi="Times New Roman" w:cs="Times New Roman"/>
          <w:sz w:val="28"/>
          <w:szCs w:val="28"/>
          <w:lang w:val="en-US"/>
        </w:rPr>
        <w:t>Nagueh SF,</w:t>
      </w:r>
      <w:r w:rsidR="002D3953" w:rsidRPr="002D3953">
        <w:rPr>
          <w:rFonts w:ascii="Times New Roman" w:hAnsi="Times New Roman" w:cs="Times New Roman"/>
          <w:sz w:val="28"/>
          <w:szCs w:val="28"/>
          <w:lang w:val="en-US"/>
        </w:rPr>
        <w:t xml:space="preserve"> Smiseth </w:t>
      </w:r>
      <w:r w:rsidR="002D3953">
        <w:rPr>
          <w:rFonts w:ascii="Times New Roman" w:hAnsi="Times New Roman" w:cs="Times New Roman"/>
          <w:sz w:val="28"/>
          <w:szCs w:val="28"/>
        </w:rPr>
        <w:t>ОА</w:t>
      </w:r>
      <w:r w:rsidR="002D3953" w:rsidRPr="002D3953">
        <w:rPr>
          <w:rFonts w:ascii="Times New Roman" w:hAnsi="Times New Roman" w:cs="Times New Roman"/>
          <w:sz w:val="28"/>
          <w:szCs w:val="28"/>
          <w:lang w:val="en-US"/>
        </w:rPr>
        <w:t xml:space="preserve">, Appleton </w:t>
      </w:r>
      <w:r w:rsidR="002D3953">
        <w:rPr>
          <w:rFonts w:ascii="Times New Roman" w:hAnsi="Times New Roman" w:cs="Times New Roman"/>
          <w:sz w:val="28"/>
          <w:szCs w:val="28"/>
        </w:rPr>
        <w:t>СР</w:t>
      </w:r>
      <w:r w:rsidR="002D3953" w:rsidRPr="002D3953">
        <w:rPr>
          <w:rFonts w:ascii="Times New Roman" w:hAnsi="Times New Roman" w:cs="Times New Roman"/>
          <w:sz w:val="28"/>
          <w:szCs w:val="28"/>
          <w:lang w:val="en-US"/>
        </w:rPr>
        <w:t xml:space="preserve">, Byrd </w:t>
      </w:r>
      <w:r w:rsidR="002D3953">
        <w:rPr>
          <w:rFonts w:ascii="Times New Roman" w:hAnsi="Times New Roman" w:cs="Times New Roman"/>
          <w:sz w:val="28"/>
          <w:szCs w:val="28"/>
        </w:rPr>
        <w:t>В</w:t>
      </w:r>
      <w:r w:rsidR="002D3953">
        <w:rPr>
          <w:rFonts w:ascii="Times New Roman" w:hAnsi="Times New Roman" w:cs="Times New Roman"/>
          <w:sz w:val="28"/>
          <w:szCs w:val="28"/>
          <w:lang w:val="en-US"/>
        </w:rPr>
        <w:t xml:space="preserve">F, </w:t>
      </w:r>
      <w:r w:rsidR="002D3953" w:rsidRPr="002D3953">
        <w:rPr>
          <w:rFonts w:ascii="Times New Roman" w:hAnsi="Times New Roman" w:cs="Times New Roman"/>
          <w:sz w:val="28"/>
          <w:szCs w:val="28"/>
          <w:lang w:val="en-US"/>
        </w:rPr>
        <w:t>Dokainish</w:t>
      </w:r>
      <w:r w:rsidR="002D3953">
        <w:rPr>
          <w:rFonts w:ascii="Times New Roman" w:hAnsi="Times New Roman" w:cs="Times New Roman"/>
          <w:sz w:val="28"/>
          <w:szCs w:val="28"/>
          <w:lang w:val="en-US"/>
        </w:rPr>
        <w:t xml:space="preserve"> H, </w:t>
      </w:r>
      <w:r w:rsidR="002D3953" w:rsidRPr="002D3953">
        <w:rPr>
          <w:rFonts w:ascii="Times New Roman" w:hAnsi="Times New Roman" w:cs="Times New Roman"/>
          <w:sz w:val="28"/>
          <w:szCs w:val="28"/>
          <w:lang w:val="en-US"/>
        </w:rPr>
        <w:t>Edvardsen</w:t>
      </w:r>
      <w:r w:rsidR="002D3953">
        <w:rPr>
          <w:rFonts w:ascii="Times New Roman" w:hAnsi="Times New Roman" w:cs="Times New Roman"/>
          <w:sz w:val="28"/>
          <w:szCs w:val="28"/>
          <w:lang w:val="en-US"/>
        </w:rPr>
        <w:t xml:space="preserve"> T, et al.</w:t>
      </w:r>
      <w:r w:rsidR="002D3953" w:rsidRPr="002D3953">
        <w:rPr>
          <w:rFonts w:ascii="Times New Roman" w:hAnsi="Times New Roman" w:cs="Times New Roman"/>
          <w:sz w:val="28"/>
          <w:szCs w:val="28"/>
          <w:lang w:val="en-US"/>
        </w:rPr>
        <w:t xml:space="preserve"> Recommendations for the Evaluation of Left Ventricular Diastolic Function by Echocardiography: An Update from the American Society of Echocardiography and the European Association of Cardiovascular Imaging</w:t>
      </w:r>
      <w:r w:rsidR="002D3953">
        <w:rPr>
          <w:rFonts w:ascii="Times New Roman" w:hAnsi="Times New Roman" w:cs="Times New Roman"/>
          <w:sz w:val="28"/>
          <w:szCs w:val="28"/>
          <w:lang w:val="en-US"/>
        </w:rPr>
        <w:t xml:space="preserve">. </w:t>
      </w:r>
      <w:r w:rsidR="002D3953" w:rsidRPr="002D3953">
        <w:rPr>
          <w:rFonts w:ascii="Times New Roman" w:hAnsi="Times New Roman" w:cs="Times New Roman"/>
          <w:sz w:val="28"/>
          <w:szCs w:val="28"/>
          <w:lang w:val="en-US"/>
        </w:rPr>
        <w:t>Journal of the American Society of Echocardiography</w:t>
      </w:r>
      <w:r w:rsidR="002D3953">
        <w:rPr>
          <w:rFonts w:ascii="Times New Roman" w:hAnsi="Times New Roman" w:cs="Times New Roman"/>
          <w:sz w:val="28"/>
          <w:szCs w:val="28"/>
          <w:lang w:val="en-US"/>
        </w:rPr>
        <w:t xml:space="preserve"> [Internet]. </w:t>
      </w:r>
      <w:r w:rsidR="002D3953" w:rsidRPr="002D3953">
        <w:rPr>
          <w:rFonts w:ascii="Times New Roman" w:hAnsi="Times New Roman" w:cs="Times New Roman"/>
          <w:sz w:val="28"/>
          <w:szCs w:val="28"/>
          <w:lang w:val="en-US"/>
        </w:rPr>
        <w:t>April 2016</w:t>
      </w:r>
      <w:r w:rsidR="002D3953">
        <w:rPr>
          <w:rFonts w:ascii="Times New Roman" w:hAnsi="Times New Roman" w:cs="Times New Roman"/>
          <w:sz w:val="28"/>
          <w:szCs w:val="28"/>
          <w:lang w:val="en-US"/>
        </w:rPr>
        <w:t xml:space="preserve"> Apr;29(</w:t>
      </w:r>
      <w:r w:rsidR="002D3953" w:rsidRPr="002D3953">
        <w:rPr>
          <w:rFonts w:ascii="Times New Roman" w:hAnsi="Times New Roman" w:cs="Times New Roman"/>
          <w:sz w:val="28"/>
          <w:szCs w:val="28"/>
          <w:lang w:val="en-US"/>
        </w:rPr>
        <w:t>4</w:t>
      </w:r>
      <w:r w:rsidR="002D3953">
        <w:rPr>
          <w:rFonts w:ascii="Times New Roman" w:hAnsi="Times New Roman" w:cs="Times New Roman"/>
          <w:sz w:val="28"/>
          <w:szCs w:val="28"/>
          <w:lang w:val="en-US"/>
        </w:rPr>
        <w:t>):277-</w:t>
      </w:r>
      <w:r w:rsidR="002D3953" w:rsidRPr="002D3953">
        <w:rPr>
          <w:rFonts w:ascii="Times New Roman" w:hAnsi="Times New Roman" w:cs="Times New Roman"/>
          <w:sz w:val="28"/>
          <w:szCs w:val="28"/>
          <w:lang w:val="en-US"/>
        </w:rPr>
        <w:t>314</w:t>
      </w:r>
      <w:r w:rsidR="002D3953">
        <w:rPr>
          <w:rFonts w:ascii="Times New Roman" w:hAnsi="Times New Roman" w:cs="Times New Roman"/>
          <w:sz w:val="28"/>
          <w:szCs w:val="28"/>
          <w:lang w:val="en-US"/>
        </w:rPr>
        <w:t xml:space="preserve">. </w:t>
      </w:r>
      <w:r w:rsidR="002D3953" w:rsidRPr="002D3953">
        <w:rPr>
          <w:rFonts w:ascii="Times New Roman" w:hAnsi="Times New Roman" w:cs="Times New Roman"/>
          <w:sz w:val="28"/>
          <w:szCs w:val="28"/>
          <w:lang w:val="en-US"/>
        </w:rPr>
        <w:t>Available from:</w:t>
      </w:r>
      <w:r w:rsidR="002D3953">
        <w:rPr>
          <w:rFonts w:ascii="Times New Roman" w:hAnsi="Times New Roman" w:cs="Times New Roman"/>
          <w:sz w:val="28"/>
          <w:szCs w:val="28"/>
          <w:lang w:val="en-US"/>
        </w:rPr>
        <w:t xml:space="preserve"> </w:t>
      </w:r>
      <w:hyperlink r:id="rId69" w:history="1">
        <w:r w:rsidR="005A49EB" w:rsidRPr="005A49EB">
          <w:rPr>
            <w:rStyle w:val="a9"/>
            <w:rFonts w:ascii="Times New Roman" w:hAnsi="Times New Roman" w:cs="Times New Roman"/>
            <w:color w:val="auto"/>
            <w:sz w:val="28"/>
            <w:szCs w:val="28"/>
            <w:u w:val="none"/>
            <w:lang w:val="en-US"/>
          </w:rPr>
          <w:t>https://www.onlinejase.com/article/S0894-7317(16)00044-4/fulltext</w:t>
        </w:r>
      </w:hyperlink>
    </w:p>
    <w:p w:rsidR="00F90BD3" w:rsidRDefault="005A49EB"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002D3953">
        <w:rPr>
          <w:rFonts w:ascii="Times New Roman" w:hAnsi="Times New Roman" w:cs="Times New Roman"/>
          <w:sz w:val="28"/>
          <w:szCs w:val="28"/>
          <w:lang w:val="en-US"/>
        </w:rPr>
        <w:t xml:space="preserve"> </w:t>
      </w:r>
      <w:hyperlink r:id="rId70" w:history="1">
        <w:r w:rsidRPr="005A49EB">
          <w:rPr>
            <w:rStyle w:val="a9"/>
            <w:rFonts w:ascii="Times New Roman" w:hAnsi="Times New Roman" w:cs="Times New Roman"/>
            <w:color w:val="auto"/>
            <w:sz w:val="28"/>
            <w:szCs w:val="28"/>
            <w:u w:val="none"/>
            <w:lang w:val="en-US"/>
          </w:rPr>
          <w:t>https://doi.org/10.1016/j.echo.2016.01.011</w:t>
        </w:r>
      </w:hyperlink>
    </w:p>
    <w:p w:rsidR="004148EF" w:rsidRDefault="00DC132C"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87</w:t>
      </w:r>
      <w:r w:rsidR="005A49EB">
        <w:rPr>
          <w:rFonts w:ascii="Times New Roman" w:hAnsi="Times New Roman" w:cs="Times New Roman"/>
          <w:sz w:val="28"/>
          <w:szCs w:val="28"/>
          <w:lang w:val="en-US"/>
        </w:rPr>
        <w:t xml:space="preserve">. </w:t>
      </w:r>
      <w:r w:rsidR="004148EF" w:rsidRPr="004148EF">
        <w:rPr>
          <w:rFonts w:ascii="Times New Roman" w:hAnsi="Times New Roman" w:cs="Times New Roman"/>
          <w:sz w:val="28"/>
          <w:szCs w:val="28"/>
          <w:lang w:val="en-US"/>
        </w:rPr>
        <w:t>Rockey DC, Bell PD, Hill JA.</w:t>
      </w:r>
      <w:r w:rsidR="004148EF">
        <w:rPr>
          <w:rFonts w:ascii="Times New Roman" w:hAnsi="Times New Roman" w:cs="Times New Roman"/>
          <w:sz w:val="28"/>
          <w:szCs w:val="28"/>
          <w:lang w:val="uk-UA"/>
        </w:rPr>
        <w:t xml:space="preserve"> </w:t>
      </w:r>
      <w:r w:rsidR="004148EF" w:rsidRPr="004148EF">
        <w:rPr>
          <w:rFonts w:ascii="Times New Roman" w:hAnsi="Times New Roman" w:cs="Times New Roman"/>
          <w:sz w:val="28"/>
          <w:szCs w:val="28"/>
          <w:lang w:val="uk-UA"/>
        </w:rPr>
        <w:t>Fibrosis--a common pathway to organ injury and failure.</w:t>
      </w:r>
      <w:r w:rsidR="004148EF">
        <w:rPr>
          <w:rFonts w:ascii="Times New Roman" w:hAnsi="Times New Roman" w:cs="Times New Roman"/>
          <w:sz w:val="28"/>
          <w:szCs w:val="28"/>
          <w:lang w:val="uk-UA"/>
        </w:rPr>
        <w:t xml:space="preserve"> N Engl J Med </w:t>
      </w:r>
      <w:r w:rsidR="004148EF" w:rsidRPr="004148EF">
        <w:rPr>
          <w:rFonts w:ascii="Times New Roman" w:hAnsi="Times New Roman" w:cs="Times New Roman"/>
          <w:sz w:val="28"/>
          <w:szCs w:val="28"/>
          <w:lang w:val="uk-UA"/>
        </w:rPr>
        <w:t>[Internet].</w:t>
      </w:r>
      <w:r w:rsidR="004148EF">
        <w:rPr>
          <w:rFonts w:ascii="Times New Roman" w:hAnsi="Times New Roman" w:cs="Times New Roman"/>
          <w:sz w:val="28"/>
          <w:szCs w:val="28"/>
          <w:lang w:val="uk-UA"/>
        </w:rPr>
        <w:t xml:space="preserve"> </w:t>
      </w:r>
      <w:r w:rsidR="004148EF" w:rsidRPr="004148EF">
        <w:rPr>
          <w:rFonts w:ascii="Times New Roman" w:hAnsi="Times New Roman" w:cs="Times New Roman"/>
          <w:sz w:val="28"/>
          <w:szCs w:val="28"/>
          <w:lang w:val="uk-UA"/>
        </w:rPr>
        <w:t>2015 Mar 19;372(12):1138-49.</w:t>
      </w:r>
      <w:r w:rsidR="004148EF">
        <w:rPr>
          <w:rFonts w:ascii="Times New Roman" w:hAnsi="Times New Roman" w:cs="Times New Roman"/>
          <w:sz w:val="28"/>
          <w:szCs w:val="28"/>
          <w:lang w:val="uk-UA"/>
        </w:rPr>
        <w:t xml:space="preserve"> </w:t>
      </w:r>
      <w:r w:rsidR="004148EF" w:rsidRPr="004148EF">
        <w:rPr>
          <w:rFonts w:ascii="Times New Roman" w:hAnsi="Times New Roman" w:cs="Times New Roman"/>
          <w:sz w:val="28"/>
          <w:szCs w:val="28"/>
          <w:lang w:val="uk-UA"/>
        </w:rPr>
        <w:t>Available from:</w:t>
      </w:r>
      <w:r w:rsidR="004148EF">
        <w:rPr>
          <w:rFonts w:ascii="Times New Roman" w:hAnsi="Times New Roman" w:cs="Times New Roman"/>
          <w:sz w:val="28"/>
          <w:szCs w:val="28"/>
          <w:lang w:val="uk-UA"/>
        </w:rPr>
        <w:t xml:space="preserve"> </w:t>
      </w:r>
      <w:hyperlink r:id="rId71" w:history="1">
        <w:r w:rsidR="004148EF" w:rsidRPr="004148EF">
          <w:rPr>
            <w:rStyle w:val="a9"/>
            <w:rFonts w:ascii="Times New Roman" w:hAnsi="Times New Roman" w:cs="Times New Roman"/>
            <w:color w:val="auto"/>
            <w:sz w:val="28"/>
            <w:szCs w:val="28"/>
            <w:u w:val="none"/>
            <w:lang w:val="uk-UA"/>
          </w:rPr>
          <w:t>https://www.nejm.org/doi/10.1056/NEJMra1300575</w:t>
        </w:r>
      </w:hyperlink>
      <w:r w:rsidR="004148EF">
        <w:rPr>
          <w:rFonts w:ascii="Times New Roman" w:hAnsi="Times New Roman" w:cs="Times New Roman"/>
          <w:sz w:val="28"/>
          <w:szCs w:val="28"/>
          <w:lang w:val="uk-UA"/>
        </w:rPr>
        <w:t xml:space="preserve"> </w:t>
      </w:r>
    </w:p>
    <w:p w:rsidR="00F90BD3" w:rsidRDefault="004148EF" w:rsidP="00F90BD3">
      <w:pPr>
        <w:tabs>
          <w:tab w:val="left" w:pos="2880"/>
        </w:tabs>
        <w:spacing w:after="0" w:line="360" w:lineRule="auto"/>
        <w:jc w:val="both"/>
        <w:rPr>
          <w:rFonts w:ascii="Times New Roman" w:hAnsi="Times New Roman" w:cs="Times New Roman"/>
          <w:sz w:val="28"/>
          <w:szCs w:val="28"/>
          <w:lang w:val="uk-UA"/>
        </w:rPr>
      </w:pPr>
      <w:r w:rsidRPr="004148EF">
        <w:rPr>
          <w:rFonts w:ascii="Times New Roman" w:hAnsi="Times New Roman" w:cs="Times New Roman"/>
          <w:sz w:val="28"/>
          <w:szCs w:val="28"/>
          <w:lang w:val="uk-UA"/>
        </w:rPr>
        <w:t xml:space="preserve">DOI: </w:t>
      </w:r>
      <w:r>
        <w:rPr>
          <w:rFonts w:ascii="Times New Roman" w:hAnsi="Times New Roman" w:cs="Times New Roman"/>
          <w:sz w:val="28"/>
          <w:szCs w:val="28"/>
          <w:lang w:val="uk-UA"/>
        </w:rPr>
        <w:t>10.1056/NEJMra1300575</w:t>
      </w:r>
    </w:p>
    <w:p w:rsidR="00657D40" w:rsidRDefault="00DC132C"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8</w:t>
      </w:r>
      <w:r>
        <w:rPr>
          <w:rFonts w:ascii="Times New Roman" w:hAnsi="Times New Roman" w:cs="Times New Roman"/>
          <w:sz w:val="28"/>
          <w:szCs w:val="28"/>
          <w:lang w:val="en-US"/>
        </w:rPr>
        <w:t>8</w:t>
      </w:r>
      <w:r w:rsidR="004148EF">
        <w:rPr>
          <w:rFonts w:ascii="Times New Roman" w:hAnsi="Times New Roman" w:cs="Times New Roman"/>
          <w:sz w:val="28"/>
          <w:szCs w:val="28"/>
          <w:lang w:val="uk-UA"/>
        </w:rPr>
        <w:t xml:space="preserve">. </w:t>
      </w:r>
      <w:r w:rsidR="00657D40" w:rsidRPr="00657D40">
        <w:rPr>
          <w:rFonts w:ascii="Times New Roman" w:hAnsi="Times New Roman" w:cs="Times New Roman"/>
          <w:sz w:val="28"/>
          <w:szCs w:val="28"/>
          <w:lang w:val="uk-UA"/>
        </w:rPr>
        <w:t>Araz</w:t>
      </w:r>
      <w:r w:rsidR="00657D40">
        <w:rPr>
          <w:rFonts w:ascii="Times New Roman" w:hAnsi="Times New Roman" w:cs="Times New Roman"/>
          <w:sz w:val="28"/>
          <w:szCs w:val="28"/>
          <w:lang w:val="uk-UA"/>
        </w:rPr>
        <w:t xml:space="preserve"> </w:t>
      </w:r>
      <w:r w:rsidR="00657D40">
        <w:rPr>
          <w:rFonts w:ascii="Times New Roman" w:hAnsi="Times New Roman" w:cs="Times New Roman"/>
          <w:sz w:val="28"/>
          <w:szCs w:val="28"/>
          <w:lang w:val="en-US"/>
        </w:rPr>
        <w:t>M</w:t>
      </w:r>
      <w:r w:rsidR="00657D40">
        <w:rPr>
          <w:rFonts w:ascii="Times New Roman" w:hAnsi="Times New Roman" w:cs="Times New Roman"/>
          <w:sz w:val="28"/>
          <w:szCs w:val="28"/>
          <w:lang w:val="uk-UA"/>
        </w:rPr>
        <w:t>,</w:t>
      </w:r>
      <w:r w:rsidR="00657D40">
        <w:rPr>
          <w:rFonts w:ascii="Times New Roman" w:hAnsi="Times New Roman" w:cs="Times New Roman"/>
          <w:sz w:val="28"/>
          <w:szCs w:val="28"/>
          <w:lang w:val="en-US"/>
        </w:rPr>
        <w:t xml:space="preserve"> </w:t>
      </w:r>
      <w:r w:rsidR="00657D40" w:rsidRPr="00657D40">
        <w:rPr>
          <w:rFonts w:ascii="Times New Roman" w:hAnsi="Times New Roman" w:cs="Times New Roman"/>
          <w:sz w:val="28"/>
          <w:szCs w:val="28"/>
          <w:lang w:val="uk-UA"/>
        </w:rPr>
        <w:t>Bayrac</w:t>
      </w:r>
      <w:r w:rsidR="00657D40">
        <w:rPr>
          <w:rFonts w:ascii="Times New Roman" w:hAnsi="Times New Roman" w:cs="Times New Roman"/>
          <w:sz w:val="28"/>
          <w:szCs w:val="28"/>
          <w:lang w:val="en-US"/>
        </w:rPr>
        <w:t xml:space="preserve"> A</w:t>
      </w:r>
      <w:r w:rsidR="00657D40">
        <w:rPr>
          <w:rFonts w:ascii="Times New Roman" w:hAnsi="Times New Roman" w:cs="Times New Roman"/>
          <w:sz w:val="28"/>
          <w:szCs w:val="28"/>
          <w:lang w:val="uk-UA"/>
        </w:rPr>
        <w:t>,</w:t>
      </w:r>
      <w:r w:rsidR="00657D40" w:rsidRPr="00657D40">
        <w:rPr>
          <w:rFonts w:ascii="Times New Roman" w:hAnsi="Times New Roman" w:cs="Times New Roman"/>
          <w:sz w:val="28"/>
          <w:szCs w:val="28"/>
          <w:lang w:val="uk-UA"/>
        </w:rPr>
        <w:t xml:space="preserve"> Ciftci</w:t>
      </w:r>
      <w:r w:rsidR="00657D40">
        <w:rPr>
          <w:rFonts w:ascii="Times New Roman" w:hAnsi="Times New Roman" w:cs="Times New Roman"/>
          <w:sz w:val="28"/>
          <w:szCs w:val="28"/>
          <w:lang w:val="en-US"/>
        </w:rPr>
        <w:t xml:space="preserve"> H. </w:t>
      </w:r>
      <w:r w:rsidR="00657D40" w:rsidRPr="00657D40">
        <w:rPr>
          <w:rFonts w:ascii="Times New Roman" w:hAnsi="Times New Roman" w:cs="Times New Roman"/>
          <w:sz w:val="28"/>
          <w:szCs w:val="28"/>
          <w:lang w:val="en-US"/>
        </w:rPr>
        <w:t>The impact of diabetes on left ventricular diastolic function in patients with arterial hypertension</w:t>
      </w:r>
      <w:r w:rsidR="00657D40">
        <w:rPr>
          <w:rFonts w:ascii="Times New Roman" w:hAnsi="Times New Roman" w:cs="Times New Roman"/>
          <w:sz w:val="28"/>
          <w:szCs w:val="28"/>
          <w:lang w:val="en-US"/>
        </w:rPr>
        <w:t xml:space="preserve">. </w:t>
      </w:r>
      <w:r w:rsidR="00657D40" w:rsidRPr="00657D40">
        <w:rPr>
          <w:rFonts w:ascii="Times New Roman" w:hAnsi="Times New Roman" w:cs="Times New Roman"/>
          <w:sz w:val="28"/>
          <w:szCs w:val="28"/>
          <w:lang w:val="en-US"/>
        </w:rPr>
        <w:t>North Clin Istanb</w:t>
      </w:r>
      <w:r w:rsidR="00657D40">
        <w:rPr>
          <w:rFonts w:ascii="Times New Roman" w:hAnsi="Times New Roman" w:cs="Times New Roman"/>
          <w:sz w:val="28"/>
          <w:szCs w:val="28"/>
          <w:lang w:val="en-US"/>
        </w:rPr>
        <w:t xml:space="preserve"> </w:t>
      </w:r>
      <w:r w:rsidR="00657D40" w:rsidRPr="00657D40">
        <w:rPr>
          <w:rFonts w:ascii="Times New Roman" w:hAnsi="Times New Roman" w:cs="Times New Roman"/>
          <w:sz w:val="28"/>
          <w:szCs w:val="28"/>
          <w:lang w:val="en-US"/>
        </w:rPr>
        <w:t>[Internet].</w:t>
      </w:r>
      <w:r w:rsidR="00657D40">
        <w:rPr>
          <w:rFonts w:ascii="Times New Roman" w:hAnsi="Times New Roman" w:cs="Times New Roman"/>
          <w:sz w:val="28"/>
          <w:szCs w:val="28"/>
          <w:lang w:val="en-US"/>
        </w:rPr>
        <w:t xml:space="preserve"> </w:t>
      </w:r>
      <w:r w:rsidR="00657D40" w:rsidRPr="00657D40">
        <w:rPr>
          <w:rFonts w:ascii="Times New Roman" w:hAnsi="Times New Roman" w:cs="Times New Roman"/>
          <w:sz w:val="28"/>
          <w:szCs w:val="28"/>
          <w:lang w:val="en-US"/>
        </w:rPr>
        <w:t>2015</w:t>
      </w:r>
      <w:r w:rsidR="00657D40">
        <w:rPr>
          <w:rFonts w:ascii="Times New Roman" w:hAnsi="Times New Roman" w:cs="Times New Roman"/>
          <w:sz w:val="28"/>
          <w:szCs w:val="28"/>
          <w:lang w:val="en-US"/>
        </w:rPr>
        <w:t xml:space="preserve"> Dec;2(3):177-</w:t>
      </w:r>
      <w:r w:rsidR="00657D40" w:rsidRPr="00657D40">
        <w:rPr>
          <w:rFonts w:ascii="Times New Roman" w:hAnsi="Times New Roman" w:cs="Times New Roman"/>
          <w:sz w:val="28"/>
          <w:szCs w:val="28"/>
          <w:lang w:val="en-US"/>
        </w:rPr>
        <w:t>81.</w:t>
      </w:r>
      <w:r w:rsidR="00657D40">
        <w:rPr>
          <w:rFonts w:ascii="Times New Roman" w:hAnsi="Times New Roman" w:cs="Times New Roman"/>
          <w:sz w:val="28"/>
          <w:szCs w:val="28"/>
          <w:lang w:val="en-US"/>
        </w:rPr>
        <w:t xml:space="preserve"> </w:t>
      </w:r>
      <w:r w:rsidR="00657D40" w:rsidRPr="00657D40">
        <w:rPr>
          <w:rFonts w:ascii="Times New Roman" w:hAnsi="Times New Roman" w:cs="Times New Roman"/>
          <w:sz w:val="28"/>
          <w:szCs w:val="28"/>
          <w:lang w:val="en-US"/>
        </w:rPr>
        <w:t>Available from:</w:t>
      </w:r>
      <w:r w:rsidR="00657D40">
        <w:rPr>
          <w:rFonts w:ascii="Times New Roman" w:hAnsi="Times New Roman" w:cs="Times New Roman"/>
          <w:sz w:val="28"/>
          <w:szCs w:val="28"/>
          <w:lang w:val="en-US"/>
        </w:rPr>
        <w:t xml:space="preserve"> </w:t>
      </w:r>
    </w:p>
    <w:p w:rsidR="004148EF" w:rsidRPr="00657D40" w:rsidRDefault="000A6805" w:rsidP="00F90BD3">
      <w:pPr>
        <w:tabs>
          <w:tab w:val="left" w:pos="2880"/>
        </w:tabs>
        <w:spacing w:after="0" w:line="360" w:lineRule="auto"/>
        <w:jc w:val="both"/>
        <w:rPr>
          <w:rFonts w:ascii="Times New Roman" w:hAnsi="Times New Roman" w:cs="Times New Roman"/>
          <w:sz w:val="28"/>
          <w:szCs w:val="28"/>
          <w:lang w:val="en-US"/>
        </w:rPr>
      </w:pPr>
      <w:hyperlink r:id="rId72" w:history="1">
        <w:r w:rsidR="00657D40" w:rsidRPr="00657D40">
          <w:rPr>
            <w:rStyle w:val="a9"/>
            <w:rFonts w:ascii="Times New Roman" w:hAnsi="Times New Roman" w:cs="Times New Roman"/>
            <w:color w:val="auto"/>
            <w:sz w:val="28"/>
            <w:szCs w:val="28"/>
            <w:u w:val="none"/>
            <w:lang w:val="en-US"/>
          </w:rPr>
          <w:t>https://www.ncbi.nlm.nih.gov/pmc/articles/PMC5175103/</w:t>
        </w:r>
      </w:hyperlink>
    </w:p>
    <w:p w:rsidR="00657D40" w:rsidRDefault="00657D40"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657D40">
        <w:rPr>
          <w:rFonts w:ascii="Times New Roman" w:hAnsi="Times New Roman" w:cs="Times New Roman"/>
          <w:sz w:val="28"/>
          <w:szCs w:val="28"/>
          <w:lang w:val="en-US"/>
        </w:rPr>
        <w:t>10.14744/nci.2015.55477</w:t>
      </w:r>
    </w:p>
    <w:p w:rsidR="00F051A4" w:rsidRDefault="00DC132C"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89</w:t>
      </w:r>
      <w:r w:rsidR="00657D40">
        <w:rPr>
          <w:rFonts w:ascii="Times New Roman" w:hAnsi="Times New Roman" w:cs="Times New Roman"/>
          <w:sz w:val="28"/>
          <w:szCs w:val="28"/>
          <w:lang w:val="en-US"/>
        </w:rPr>
        <w:t>.</w:t>
      </w:r>
      <w:r w:rsidR="00F051A4">
        <w:rPr>
          <w:rFonts w:ascii="Times New Roman" w:hAnsi="Times New Roman" w:cs="Times New Roman"/>
          <w:sz w:val="28"/>
          <w:szCs w:val="28"/>
          <w:lang w:val="uk-UA"/>
        </w:rPr>
        <w:t xml:space="preserve"> Dodiyi-Manuel ST</w:t>
      </w:r>
      <w:r w:rsidR="00F051A4" w:rsidRPr="00F051A4">
        <w:rPr>
          <w:rFonts w:ascii="Times New Roman" w:hAnsi="Times New Roman" w:cs="Times New Roman"/>
          <w:sz w:val="28"/>
          <w:szCs w:val="28"/>
          <w:lang w:val="uk-UA"/>
        </w:rPr>
        <w:t>, Akpa MR, Odia OJ.</w:t>
      </w:r>
      <w:r w:rsidR="00F051A4">
        <w:rPr>
          <w:rFonts w:ascii="Times New Roman" w:hAnsi="Times New Roman" w:cs="Times New Roman"/>
          <w:sz w:val="28"/>
          <w:szCs w:val="28"/>
          <w:lang w:val="uk-UA"/>
        </w:rPr>
        <w:t xml:space="preserve"> </w:t>
      </w:r>
      <w:r w:rsidR="00F051A4" w:rsidRPr="00F051A4">
        <w:rPr>
          <w:rFonts w:ascii="Times New Roman" w:hAnsi="Times New Roman" w:cs="Times New Roman"/>
          <w:sz w:val="28"/>
          <w:szCs w:val="28"/>
          <w:lang w:val="uk-UA"/>
        </w:rPr>
        <w:t>Left ventricular dysfunction in normotensive type II diabetic patients in Port Harcourt, Nigeria.</w:t>
      </w:r>
      <w:r w:rsidR="00F051A4">
        <w:rPr>
          <w:rFonts w:ascii="Times New Roman" w:hAnsi="Times New Roman" w:cs="Times New Roman"/>
          <w:sz w:val="28"/>
          <w:szCs w:val="28"/>
          <w:lang w:val="uk-UA"/>
        </w:rPr>
        <w:t xml:space="preserve"> </w:t>
      </w:r>
      <w:r w:rsidR="00F051A4" w:rsidRPr="00F051A4">
        <w:rPr>
          <w:rFonts w:ascii="Times New Roman" w:hAnsi="Times New Roman" w:cs="Times New Roman"/>
          <w:sz w:val="28"/>
          <w:szCs w:val="28"/>
          <w:lang w:val="uk-UA"/>
        </w:rPr>
        <w:t>Vasc Health Risk Manag</w:t>
      </w:r>
      <w:r w:rsidR="00657D40">
        <w:rPr>
          <w:rFonts w:ascii="Times New Roman" w:hAnsi="Times New Roman" w:cs="Times New Roman"/>
          <w:sz w:val="28"/>
          <w:szCs w:val="28"/>
          <w:lang w:val="en-US"/>
        </w:rPr>
        <w:t xml:space="preserve"> </w:t>
      </w:r>
      <w:r w:rsidR="00F051A4" w:rsidRPr="00F051A4">
        <w:rPr>
          <w:rFonts w:ascii="Times New Roman" w:hAnsi="Times New Roman" w:cs="Times New Roman"/>
          <w:sz w:val="28"/>
          <w:szCs w:val="28"/>
          <w:lang w:val="en-US"/>
        </w:rPr>
        <w:t>[Internet].</w:t>
      </w:r>
      <w:r w:rsidR="00F051A4">
        <w:rPr>
          <w:rFonts w:ascii="Times New Roman" w:hAnsi="Times New Roman" w:cs="Times New Roman"/>
          <w:sz w:val="28"/>
          <w:szCs w:val="28"/>
          <w:lang w:val="uk-UA"/>
        </w:rPr>
        <w:t xml:space="preserve"> </w:t>
      </w:r>
      <w:r w:rsidR="00F051A4" w:rsidRPr="00F051A4">
        <w:rPr>
          <w:rFonts w:ascii="Times New Roman" w:hAnsi="Times New Roman" w:cs="Times New Roman"/>
          <w:sz w:val="28"/>
          <w:szCs w:val="28"/>
          <w:lang w:val="uk-UA"/>
        </w:rPr>
        <w:t>2013;9:529-33.</w:t>
      </w:r>
      <w:r w:rsidR="00F051A4">
        <w:rPr>
          <w:rFonts w:ascii="Times New Roman" w:hAnsi="Times New Roman" w:cs="Times New Roman"/>
          <w:sz w:val="28"/>
          <w:szCs w:val="28"/>
          <w:lang w:val="uk-UA"/>
        </w:rPr>
        <w:t xml:space="preserve"> </w:t>
      </w:r>
      <w:r w:rsidR="00F051A4" w:rsidRPr="00F051A4">
        <w:rPr>
          <w:rFonts w:ascii="Times New Roman" w:hAnsi="Times New Roman" w:cs="Times New Roman"/>
          <w:sz w:val="28"/>
          <w:szCs w:val="28"/>
          <w:lang w:val="uk-UA"/>
        </w:rPr>
        <w:t>Available from:</w:t>
      </w:r>
      <w:r w:rsidR="00F051A4">
        <w:rPr>
          <w:rFonts w:ascii="Times New Roman" w:hAnsi="Times New Roman" w:cs="Times New Roman"/>
          <w:sz w:val="28"/>
          <w:szCs w:val="28"/>
          <w:lang w:val="uk-UA"/>
        </w:rPr>
        <w:t xml:space="preserve"> </w:t>
      </w:r>
    </w:p>
    <w:p w:rsidR="00657D40" w:rsidRDefault="000A6805" w:rsidP="00F90BD3">
      <w:pPr>
        <w:tabs>
          <w:tab w:val="left" w:pos="2880"/>
        </w:tabs>
        <w:spacing w:after="0" w:line="360" w:lineRule="auto"/>
        <w:jc w:val="both"/>
        <w:rPr>
          <w:rFonts w:ascii="Times New Roman" w:hAnsi="Times New Roman" w:cs="Times New Roman"/>
          <w:sz w:val="28"/>
          <w:szCs w:val="28"/>
          <w:lang w:val="en-US"/>
        </w:rPr>
      </w:pPr>
      <w:hyperlink r:id="rId73" w:history="1">
        <w:r w:rsidR="00F051A4" w:rsidRPr="00F051A4">
          <w:rPr>
            <w:rStyle w:val="a9"/>
            <w:rFonts w:ascii="Times New Roman" w:hAnsi="Times New Roman" w:cs="Times New Roman"/>
            <w:color w:val="auto"/>
            <w:sz w:val="28"/>
            <w:szCs w:val="28"/>
            <w:u w:val="none"/>
            <w:lang w:val="uk-UA"/>
          </w:rPr>
          <w:t>https://www.ncbi.nlm.nih.gov/pubmed/24109188</w:t>
        </w:r>
      </w:hyperlink>
      <w:r w:rsidR="00F051A4">
        <w:rPr>
          <w:rFonts w:ascii="Times New Roman" w:hAnsi="Times New Roman" w:cs="Times New Roman"/>
          <w:sz w:val="28"/>
          <w:szCs w:val="28"/>
          <w:lang w:val="uk-UA"/>
        </w:rPr>
        <w:t xml:space="preserve"> </w:t>
      </w:r>
      <w:r w:rsidR="00F051A4">
        <w:rPr>
          <w:rFonts w:ascii="Times New Roman" w:hAnsi="Times New Roman" w:cs="Times New Roman"/>
          <w:sz w:val="28"/>
          <w:szCs w:val="28"/>
          <w:lang w:val="en-US"/>
        </w:rPr>
        <w:t>DOI:</w:t>
      </w:r>
      <w:r w:rsidR="00F051A4" w:rsidRPr="00F051A4">
        <w:rPr>
          <w:rFonts w:ascii="Times New Roman" w:hAnsi="Times New Roman" w:cs="Times New Roman"/>
          <w:sz w:val="28"/>
          <w:szCs w:val="28"/>
          <w:lang w:val="uk-UA"/>
        </w:rPr>
        <w:t>10.2147/VHRM.S44540.</w:t>
      </w:r>
    </w:p>
    <w:p w:rsidR="00826FD7" w:rsidRDefault="00DC132C"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90</w:t>
      </w:r>
      <w:r w:rsidR="00FA5AD2">
        <w:rPr>
          <w:rFonts w:ascii="Times New Roman" w:hAnsi="Times New Roman" w:cs="Times New Roman"/>
          <w:sz w:val="28"/>
          <w:szCs w:val="28"/>
          <w:lang w:val="en-US"/>
        </w:rPr>
        <w:t xml:space="preserve">. </w:t>
      </w:r>
      <w:r w:rsidR="00FA5AD2" w:rsidRPr="00FA5AD2">
        <w:rPr>
          <w:rFonts w:ascii="Times New Roman" w:hAnsi="Times New Roman" w:cs="Times New Roman"/>
          <w:sz w:val="28"/>
          <w:szCs w:val="28"/>
          <w:lang w:val="en-US"/>
        </w:rPr>
        <w:t>Neu</w:t>
      </w:r>
      <w:r w:rsidR="00FA5AD2">
        <w:rPr>
          <w:rFonts w:ascii="Times New Roman" w:hAnsi="Times New Roman" w:cs="Times New Roman"/>
          <w:sz w:val="28"/>
          <w:szCs w:val="28"/>
          <w:lang w:val="en-US"/>
        </w:rPr>
        <w:t>pane</w:t>
      </w:r>
      <w:r w:rsidR="00FA5AD2">
        <w:rPr>
          <w:rFonts w:ascii="Times New Roman" w:hAnsi="Times New Roman" w:cs="Times New Roman"/>
          <w:sz w:val="28"/>
          <w:szCs w:val="28"/>
          <w:lang w:val="uk-UA"/>
        </w:rPr>
        <w:t xml:space="preserve"> </w:t>
      </w:r>
      <w:r w:rsidR="00FA5AD2">
        <w:rPr>
          <w:rFonts w:ascii="Times New Roman" w:hAnsi="Times New Roman" w:cs="Times New Roman"/>
          <w:sz w:val="28"/>
          <w:szCs w:val="28"/>
          <w:lang w:val="en-US"/>
        </w:rPr>
        <w:t xml:space="preserve">S, </w:t>
      </w:r>
      <w:r w:rsidR="00FA5AD2" w:rsidRPr="00FA5AD2">
        <w:rPr>
          <w:rFonts w:ascii="Times New Roman" w:hAnsi="Times New Roman" w:cs="Times New Roman"/>
          <w:sz w:val="28"/>
          <w:szCs w:val="28"/>
          <w:lang w:val="en-US"/>
        </w:rPr>
        <w:t>Dubey</w:t>
      </w:r>
      <w:r w:rsidR="00FA5AD2">
        <w:rPr>
          <w:rFonts w:ascii="Times New Roman" w:hAnsi="Times New Roman" w:cs="Times New Roman"/>
          <w:sz w:val="28"/>
          <w:szCs w:val="28"/>
          <w:lang w:val="en-US"/>
        </w:rPr>
        <w:t xml:space="preserve"> RK, </w:t>
      </w:r>
      <w:r w:rsidR="00FA5AD2" w:rsidRPr="00FA5AD2">
        <w:rPr>
          <w:rFonts w:ascii="Times New Roman" w:hAnsi="Times New Roman" w:cs="Times New Roman"/>
          <w:sz w:val="28"/>
          <w:szCs w:val="28"/>
          <w:lang w:val="en-US"/>
        </w:rPr>
        <w:t>Gautam</w:t>
      </w:r>
      <w:r w:rsidR="00FA5AD2">
        <w:rPr>
          <w:rFonts w:ascii="Times New Roman" w:hAnsi="Times New Roman" w:cs="Times New Roman"/>
          <w:sz w:val="28"/>
          <w:szCs w:val="28"/>
          <w:lang w:val="en-US"/>
        </w:rPr>
        <w:t xml:space="preserve"> N,</w:t>
      </w:r>
      <w:r w:rsidR="00FA5AD2" w:rsidRPr="00FA5AD2">
        <w:rPr>
          <w:rFonts w:ascii="Times New Roman" w:hAnsi="Times New Roman" w:cs="Times New Roman"/>
          <w:sz w:val="28"/>
          <w:szCs w:val="28"/>
          <w:lang w:val="en-US"/>
        </w:rPr>
        <w:t xml:space="preserve"> Agrawal</w:t>
      </w:r>
      <w:r w:rsidR="00FA5AD2">
        <w:rPr>
          <w:rFonts w:ascii="Times New Roman" w:hAnsi="Times New Roman" w:cs="Times New Roman"/>
          <w:sz w:val="28"/>
          <w:szCs w:val="28"/>
          <w:lang w:val="en-US"/>
        </w:rPr>
        <w:t xml:space="preserve"> KK</w:t>
      </w:r>
      <w:r w:rsidR="00F251E4">
        <w:rPr>
          <w:rFonts w:ascii="Times New Roman" w:hAnsi="Times New Roman" w:cs="Times New Roman"/>
          <w:sz w:val="28"/>
          <w:szCs w:val="28"/>
          <w:lang w:val="en-US"/>
        </w:rPr>
        <w:t xml:space="preserve">, </w:t>
      </w:r>
      <w:r w:rsidR="00FA5AD2" w:rsidRPr="00FA5AD2">
        <w:rPr>
          <w:rFonts w:ascii="Times New Roman" w:hAnsi="Times New Roman" w:cs="Times New Roman"/>
          <w:sz w:val="28"/>
          <w:szCs w:val="28"/>
          <w:lang w:val="en-US"/>
        </w:rPr>
        <w:t>Jayan</w:t>
      </w:r>
      <w:r w:rsidR="00F251E4">
        <w:rPr>
          <w:rFonts w:ascii="Times New Roman" w:hAnsi="Times New Roman" w:cs="Times New Roman"/>
          <w:sz w:val="28"/>
          <w:szCs w:val="28"/>
          <w:lang w:val="en-US"/>
        </w:rPr>
        <w:t xml:space="preserve"> A, </w:t>
      </w:r>
      <w:r w:rsidR="00FA5AD2" w:rsidRPr="00FA5AD2">
        <w:rPr>
          <w:rFonts w:ascii="Times New Roman" w:hAnsi="Times New Roman" w:cs="Times New Roman"/>
          <w:sz w:val="28"/>
          <w:szCs w:val="28"/>
          <w:lang w:val="en-US"/>
        </w:rPr>
        <w:t>Shrestha</w:t>
      </w:r>
      <w:r w:rsidR="00F251E4">
        <w:rPr>
          <w:rFonts w:ascii="Times New Roman" w:hAnsi="Times New Roman" w:cs="Times New Roman"/>
          <w:sz w:val="28"/>
          <w:szCs w:val="28"/>
          <w:lang w:val="en-US"/>
        </w:rPr>
        <w:t xml:space="preserve"> S</w:t>
      </w:r>
      <w:r w:rsidR="00FA5AD2" w:rsidRPr="00FA5AD2">
        <w:rPr>
          <w:rFonts w:ascii="Times New Roman" w:hAnsi="Times New Roman" w:cs="Times New Roman"/>
          <w:sz w:val="28"/>
          <w:szCs w:val="28"/>
          <w:lang w:val="en-US"/>
        </w:rPr>
        <w:t>,</w:t>
      </w:r>
      <w:r w:rsidR="00F251E4">
        <w:rPr>
          <w:rFonts w:ascii="Times New Roman" w:hAnsi="Times New Roman" w:cs="Times New Roman"/>
          <w:sz w:val="28"/>
          <w:szCs w:val="28"/>
          <w:lang w:val="en-US"/>
        </w:rPr>
        <w:t xml:space="preserve"> et al. </w:t>
      </w:r>
      <w:r w:rsidR="00F251E4" w:rsidRPr="00F251E4">
        <w:rPr>
          <w:rFonts w:ascii="Times New Roman" w:hAnsi="Times New Roman" w:cs="Times New Roman"/>
          <w:sz w:val="28"/>
          <w:szCs w:val="28"/>
          <w:lang w:val="en-US"/>
        </w:rPr>
        <w:t>Association between serum uric acid, urinary albumin excretion, and glycated hemoglobin in Type 2 diabetic patient</w:t>
      </w:r>
      <w:r w:rsidR="00F251E4">
        <w:rPr>
          <w:rFonts w:ascii="Times New Roman" w:hAnsi="Times New Roman" w:cs="Times New Roman"/>
          <w:sz w:val="28"/>
          <w:szCs w:val="28"/>
          <w:lang w:val="en-US"/>
        </w:rPr>
        <w:t xml:space="preserve">. Nigerian medical journal </w:t>
      </w:r>
      <w:r w:rsidR="00F251E4" w:rsidRPr="00F251E4">
        <w:rPr>
          <w:rFonts w:ascii="Times New Roman" w:hAnsi="Times New Roman" w:cs="Times New Roman"/>
          <w:sz w:val="28"/>
          <w:szCs w:val="28"/>
          <w:lang w:val="en-US"/>
        </w:rPr>
        <w:t>[Internet].</w:t>
      </w:r>
      <w:r w:rsidR="00F251E4">
        <w:rPr>
          <w:rFonts w:ascii="Times New Roman" w:hAnsi="Times New Roman" w:cs="Times New Roman"/>
          <w:sz w:val="28"/>
          <w:szCs w:val="28"/>
          <w:lang w:val="en-US"/>
        </w:rPr>
        <w:t xml:space="preserve"> 2016;57(2):119-23. </w:t>
      </w:r>
      <w:r w:rsidR="00F251E4" w:rsidRPr="00F251E4">
        <w:rPr>
          <w:rFonts w:ascii="Times New Roman" w:hAnsi="Times New Roman" w:cs="Times New Roman"/>
          <w:sz w:val="28"/>
          <w:szCs w:val="28"/>
          <w:lang w:val="en-US"/>
        </w:rPr>
        <w:t>Available from:</w:t>
      </w:r>
      <w:r w:rsidR="00F251E4">
        <w:rPr>
          <w:rFonts w:ascii="Times New Roman" w:hAnsi="Times New Roman" w:cs="Times New Roman"/>
          <w:sz w:val="28"/>
          <w:szCs w:val="28"/>
          <w:lang w:val="en-US"/>
        </w:rPr>
        <w:t xml:space="preserve"> </w:t>
      </w:r>
    </w:p>
    <w:p w:rsidR="00F051A4" w:rsidRDefault="00826FD7" w:rsidP="00F90BD3">
      <w:pPr>
        <w:tabs>
          <w:tab w:val="left" w:pos="2880"/>
        </w:tabs>
        <w:spacing w:after="0" w:line="360" w:lineRule="auto"/>
        <w:jc w:val="both"/>
        <w:rPr>
          <w:rFonts w:ascii="Times New Roman" w:hAnsi="Times New Roman" w:cs="Times New Roman"/>
          <w:sz w:val="28"/>
          <w:szCs w:val="28"/>
          <w:lang w:val="en-US"/>
        </w:rPr>
      </w:pPr>
      <w:r w:rsidRPr="00826FD7">
        <w:rPr>
          <w:rFonts w:ascii="Times New Roman" w:hAnsi="Times New Roman" w:cs="Times New Roman"/>
          <w:sz w:val="28"/>
          <w:szCs w:val="28"/>
          <w:lang w:val="en-US"/>
        </w:rPr>
        <w:t>http://www.nigeriamedj.com/article.asp?issn=0300-1652;year=2016;volume=57;issue=2;spage=119;epage=123;aulast=Neupane</w:t>
      </w:r>
    </w:p>
    <w:p w:rsidR="00F251E4" w:rsidRDefault="00F251E4"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F251E4">
        <w:rPr>
          <w:rFonts w:ascii="Times New Roman" w:hAnsi="Times New Roman" w:cs="Times New Roman"/>
          <w:sz w:val="28"/>
          <w:szCs w:val="28"/>
          <w:lang w:val="en-US"/>
        </w:rPr>
        <w:t>10.4103/0300-1652.182074</w:t>
      </w:r>
    </w:p>
    <w:p w:rsidR="007A51F8" w:rsidRDefault="00DC132C"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91</w:t>
      </w:r>
      <w:r w:rsidR="00826FD7" w:rsidRPr="007A51F8">
        <w:rPr>
          <w:rFonts w:ascii="Times New Roman" w:hAnsi="Times New Roman" w:cs="Times New Roman"/>
          <w:sz w:val="28"/>
          <w:szCs w:val="28"/>
          <w:lang w:val="en-US"/>
        </w:rPr>
        <w:t xml:space="preserve">. </w:t>
      </w:r>
      <w:r w:rsidR="007A51F8" w:rsidRPr="007A51F8">
        <w:rPr>
          <w:rFonts w:ascii="Times New Roman" w:hAnsi="Times New Roman" w:cs="Times New Roman"/>
          <w:sz w:val="28"/>
          <w:szCs w:val="28"/>
        </w:rPr>
        <w:t>Каджарян</w:t>
      </w:r>
      <w:r w:rsidR="007A51F8" w:rsidRPr="007A51F8">
        <w:rPr>
          <w:rFonts w:ascii="Times New Roman" w:hAnsi="Times New Roman" w:cs="Times New Roman"/>
          <w:sz w:val="28"/>
          <w:szCs w:val="28"/>
          <w:lang w:val="en-US"/>
        </w:rPr>
        <w:t xml:space="preserve"> </w:t>
      </w:r>
      <w:r w:rsidR="007A51F8" w:rsidRPr="007A51F8">
        <w:rPr>
          <w:rFonts w:ascii="Times New Roman" w:hAnsi="Times New Roman" w:cs="Times New Roman"/>
          <w:sz w:val="28"/>
          <w:szCs w:val="28"/>
        </w:rPr>
        <w:t>В</w:t>
      </w:r>
      <w:r w:rsidR="007A51F8">
        <w:rPr>
          <w:rFonts w:ascii="Times New Roman" w:hAnsi="Times New Roman" w:cs="Times New Roman"/>
          <w:sz w:val="28"/>
          <w:szCs w:val="28"/>
        </w:rPr>
        <w:t>Г</w:t>
      </w:r>
      <w:r w:rsidR="007A51F8" w:rsidRPr="007A51F8">
        <w:rPr>
          <w:rFonts w:ascii="Times New Roman" w:hAnsi="Times New Roman" w:cs="Times New Roman"/>
          <w:sz w:val="28"/>
          <w:szCs w:val="28"/>
          <w:lang w:val="en-US"/>
        </w:rPr>
        <w:t xml:space="preserve">, </w:t>
      </w:r>
      <w:r w:rsidR="007A51F8">
        <w:rPr>
          <w:rFonts w:ascii="Times New Roman" w:hAnsi="Times New Roman" w:cs="Times New Roman"/>
          <w:sz w:val="28"/>
          <w:szCs w:val="28"/>
        </w:rPr>
        <w:t>Капшитар</w:t>
      </w:r>
      <w:r w:rsidR="007A51F8" w:rsidRPr="007A51F8">
        <w:rPr>
          <w:rFonts w:ascii="Times New Roman" w:hAnsi="Times New Roman" w:cs="Times New Roman"/>
          <w:sz w:val="28"/>
          <w:szCs w:val="28"/>
          <w:lang w:val="en-US"/>
        </w:rPr>
        <w:t xml:space="preserve"> </w:t>
      </w:r>
      <w:r w:rsidR="007A51F8">
        <w:rPr>
          <w:rFonts w:ascii="Times New Roman" w:hAnsi="Times New Roman" w:cs="Times New Roman"/>
          <w:sz w:val="28"/>
          <w:szCs w:val="28"/>
        </w:rPr>
        <w:t>Н</w:t>
      </w:r>
      <w:r w:rsidR="007A51F8" w:rsidRPr="007A51F8">
        <w:rPr>
          <w:rFonts w:ascii="Times New Roman" w:hAnsi="Times New Roman" w:cs="Times New Roman"/>
          <w:sz w:val="28"/>
          <w:szCs w:val="28"/>
        </w:rPr>
        <w:t>І</w:t>
      </w:r>
      <w:r w:rsidR="007A51F8" w:rsidRPr="007A51F8">
        <w:rPr>
          <w:rFonts w:ascii="Times New Roman" w:hAnsi="Times New Roman" w:cs="Times New Roman"/>
          <w:sz w:val="28"/>
          <w:szCs w:val="28"/>
          <w:lang w:val="en-US"/>
        </w:rPr>
        <w:t>.</w:t>
      </w:r>
      <w:r w:rsidR="007A51F8">
        <w:rPr>
          <w:rFonts w:ascii="Times New Roman" w:hAnsi="Times New Roman" w:cs="Times New Roman"/>
          <w:sz w:val="28"/>
          <w:szCs w:val="28"/>
          <w:lang w:val="uk-UA"/>
        </w:rPr>
        <w:t xml:space="preserve"> Безсимптомна гіперурикемія на тлі цукрового діабету 2 типу: вплив на клініко-анамнестичні, біохімічні показники та результати ехокардіоскопії. </w:t>
      </w:r>
      <w:r w:rsidR="007A51F8" w:rsidRPr="007A51F8">
        <w:rPr>
          <w:rFonts w:ascii="Times New Roman" w:hAnsi="Times New Roman" w:cs="Times New Roman"/>
          <w:sz w:val="28"/>
          <w:szCs w:val="28"/>
          <w:lang w:val="uk-UA"/>
        </w:rPr>
        <w:t>Молодий вчений</w:t>
      </w:r>
      <w:r w:rsidR="007A51F8">
        <w:rPr>
          <w:rFonts w:ascii="Times New Roman" w:hAnsi="Times New Roman" w:cs="Times New Roman"/>
          <w:sz w:val="28"/>
          <w:szCs w:val="28"/>
          <w:lang w:val="uk-UA"/>
        </w:rPr>
        <w:t xml:space="preserve"> </w:t>
      </w:r>
      <w:r w:rsidR="007A51F8" w:rsidRPr="007A51F8">
        <w:rPr>
          <w:rFonts w:ascii="Times New Roman" w:hAnsi="Times New Roman" w:cs="Times New Roman"/>
          <w:sz w:val="28"/>
          <w:szCs w:val="28"/>
        </w:rPr>
        <w:t>[</w:t>
      </w:r>
      <w:r w:rsidR="007A51F8">
        <w:rPr>
          <w:rFonts w:ascii="Times New Roman" w:hAnsi="Times New Roman" w:cs="Times New Roman"/>
          <w:sz w:val="28"/>
          <w:szCs w:val="28"/>
          <w:lang w:val="uk-UA"/>
        </w:rPr>
        <w:t>Інтернет</w:t>
      </w:r>
      <w:r w:rsidR="007A51F8" w:rsidRPr="007A51F8">
        <w:rPr>
          <w:rFonts w:ascii="Times New Roman" w:hAnsi="Times New Roman" w:cs="Times New Roman"/>
          <w:sz w:val="28"/>
          <w:szCs w:val="28"/>
        </w:rPr>
        <w:t>].</w:t>
      </w:r>
      <w:r w:rsidR="007A51F8">
        <w:rPr>
          <w:rFonts w:ascii="Times New Roman" w:hAnsi="Times New Roman" w:cs="Times New Roman"/>
          <w:sz w:val="28"/>
          <w:szCs w:val="28"/>
          <w:lang w:val="uk-UA"/>
        </w:rPr>
        <w:t xml:space="preserve"> 2015</w:t>
      </w:r>
      <w:r w:rsidR="007A51F8" w:rsidRPr="007A51F8">
        <w:rPr>
          <w:rFonts w:ascii="Times New Roman" w:hAnsi="Times New Roman" w:cs="Times New Roman"/>
          <w:sz w:val="28"/>
          <w:szCs w:val="28"/>
        </w:rPr>
        <w:t>;2(17):177-80.</w:t>
      </w:r>
      <w:r w:rsidR="007A51F8" w:rsidRPr="00281893">
        <w:rPr>
          <w:rFonts w:ascii="Times New Roman" w:hAnsi="Times New Roman" w:cs="Times New Roman"/>
          <w:sz w:val="28"/>
          <w:szCs w:val="28"/>
        </w:rPr>
        <w:t xml:space="preserve"> </w:t>
      </w:r>
      <w:r w:rsidR="007A51F8">
        <w:rPr>
          <w:rFonts w:ascii="Times New Roman" w:hAnsi="Times New Roman" w:cs="Times New Roman"/>
          <w:sz w:val="28"/>
          <w:szCs w:val="28"/>
          <w:lang w:val="uk-UA"/>
        </w:rPr>
        <w:t xml:space="preserve">Доступно на: </w:t>
      </w:r>
    </w:p>
    <w:p w:rsidR="007A51F8" w:rsidRPr="007A51F8" w:rsidRDefault="000A6805" w:rsidP="00F90BD3">
      <w:pPr>
        <w:tabs>
          <w:tab w:val="left" w:pos="2880"/>
        </w:tabs>
        <w:spacing w:after="0" w:line="360" w:lineRule="auto"/>
        <w:jc w:val="both"/>
        <w:rPr>
          <w:rFonts w:ascii="Times New Roman" w:hAnsi="Times New Roman" w:cs="Times New Roman"/>
          <w:color w:val="000000" w:themeColor="text1"/>
          <w:sz w:val="28"/>
          <w:szCs w:val="28"/>
          <w:lang w:val="uk-UA"/>
        </w:rPr>
      </w:pPr>
      <w:hyperlink r:id="rId74" w:history="1">
        <w:r w:rsidR="007A51F8" w:rsidRPr="007A51F8">
          <w:rPr>
            <w:rStyle w:val="a9"/>
            <w:rFonts w:ascii="Times New Roman" w:hAnsi="Times New Roman" w:cs="Times New Roman"/>
            <w:color w:val="000000" w:themeColor="text1"/>
            <w:sz w:val="28"/>
            <w:szCs w:val="28"/>
            <w:u w:val="none"/>
            <w:lang w:val="uk-UA"/>
          </w:rPr>
          <w:t>http://molodyvcheny.in.ua/files/journal/2015/2/216.pdf</w:t>
        </w:r>
      </w:hyperlink>
    </w:p>
    <w:p w:rsidR="00F251E4" w:rsidRPr="00D4567E"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Pr="00DC132C">
        <w:rPr>
          <w:rFonts w:ascii="Times New Roman" w:hAnsi="Times New Roman" w:cs="Times New Roman"/>
          <w:sz w:val="28"/>
          <w:szCs w:val="28"/>
          <w:lang w:val="uk-UA"/>
        </w:rPr>
        <w:t>2</w:t>
      </w:r>
      <w:r w:rsidR="00453D44">
        <w:rPr>
          <w:rFonts w:ascii="Times New Roman" w:hAnsi="Times New Roman" w:cs="Times New Roman"/>
          <w:sz w:val="28"/>
          <w:szCs w:val="28"/>
          <w:lang w:val="uk-UA"/>
        </w:rPr>
        <w:t xml:space="preserve">. </w:t>
      </w:r>
      <w:r w:rsidR="00453D44" w:rsidRPr="00453D44">
        <w:rPr>
          <w:rFonts w:ascii="Times New Roman" w:hAnsi="Times New Roman" w:cs="Times New Roman"/>
          <w:sz w:val="28"/>
          <w:szCs w:val="28"/>
          <w:lang w:val="uk-UA"/>
        </w:rPr>
        <w:t>Балабан</w:t>
      </w:r>
      <w:r w:rsidR="00453D44">
        <w:rPr>
          <w:rFonts w:ascii="Times New Roman" w:hAnsi="Times New Roman" w:cs="Times New Roman"/>
          <w:sz w:val="28"/>
          <w:szCs w:val="28"/>
          <w:lang w:val="uk-UA"/>
        </w:rPr>
        <w:t xml:space="preserve"> АІ, </w:t>
      </w:r>
      <w:r w:rsidR="00453D44" w:rsidRPr="00453D44">
        <w:rPr>
          <w:rFonts w:ascii="Times New Roman" w:hAnsi="Times New Roman" w:cs="Times New Roman"/>
          <w:sz w:val="28"/>
          <w:szCs w:val="28"/>
          <w:lang w:val="uk-UA"/>
        </w:rPr>
        <w:t>Радецька</w:t>
      </w:r>
      <w:r w:rsidR="00453D44">
        <w:rPr>
          <w:rFonts w:ascii="Times New Roman" w:hAnsi="Times New Roman" w:cs="Times New Roman"/>
          <w:sz w:val="28"/>
          <w:szCs w:val="28"/>
          <w:lang w:val="uk-UA"/>
        </w:rPr>
        <w:t xml:space="preserve"> ЛВ, Боб ОО,</w:t>
      </w:r>
      <w:r w:rsidR="00453D44" w:rsidRPr="00453D44">
        <w:rPr>
          <w:rFonts w:ascii="Times New Roman" w:hAnsi="Times New Roman" w:cs="Times New Roman"/>
          <w:sz w:val="28"/>
          <w:szCs w:val="28"/>
          <w:lang w:val="uk-UA"/>
        </w:rPr>
        <w:t xml:space="preserve"> Боб</w:t>
      </w:r>
      <w:r w:rsidR="00453D44">
        <w:rPr>
          <w:rFonts w:ascii="Times New Roman" w:hAnsi="Times New Roman" w:cs="Times New Roman"/>
          <w:sz w:val="28"/>
          <w:szCs w:val="28"/>
          <w:lang w:val="uk-UA"/>
        </w:rPr>
        <w:t xml:space="preserve"> АО,</w:t>
      </w:r>
      <w:r w:rsidR="00453D44" w:rsidRPr="00453D44">
        <w:rPr>
          <w:rFonts w:ascii="Times New Roman" w:hAnsi="Times New Roman" w:cs="Times New Roman"/>
          <w:sz w:val="28"/>
          <w:szCs w:val="28"/>
          <w:lang w:val="uk-UA"/>
        </w:rPr>
        <w:t xml:space="preserve"> Наумова</w:t>
      </w:r>
      <w:r w:rsidR="00453D44">
        <w:rPr>
          <w:rFonts w:ascii="Times New Roman" w:hAnsi="Times New Roman" w:cs="Times New Roman"/>
          <w:sz w:val="28"/>
          <w:szCs w:val="28"/>
          <w:lang w:val="uk-UA"/>
        </w:rPr>
        <w:t xml:space="preserve"> ЛВ.</w:t>
      </w:r>
      <w:r w:rsidR="00453D44" w:rsidRPr="00453D44">
        <w:rPr>
          <w:rFonts w:ascii="Times New Roman" w:hAnsi="Times New Roman" w:cs="Times New Roman"/>
          <w:sz w:val="28"/>
          <w:szCs w:val="28"/>
          <w:lang w:val="uk-UA"/>
        </w:rPr>
        <w:t xml:space="preserve"> Вплив комбінованої антигіпертензивної терапії із застосуванням кандесартану або лізиноприлу на діастолічну функцію лівого шлуночка у хворих на стабільну ІХС із супутнім цукровим діабетом 2 типу</w:t>
      </w:r>
      <w:r w:rsidR="00453D44">
        <w:rPr>
          <w:rFonts w:ascii="Times New Roman" w:hAnsi="Times New Roman" w:cs="Times New Roman"/>
          <w:sz w:val="28"/>
          <w:szCs w:val="28"/>
          <w:lang w:val="uk-UA"/>
        </w:rPr>
        <w:t xml:space="preserve">. </w:t>
      </w:r>
      <w:r w:rsidR="00453D44" w:rsidRPr="00453D44">
        <w:rPr>
          <w:rFonts w:ascii="Times New Roman" w:hAnsi="Times New Roman" w:cs="Times New Roman"/>
          <w:sz w:val="28"/>
          <w:szCs w:val="28"/>
          <w:lang w:val="uk-UA"/>
        </w:rPr>
        <w:t>Вісник наукових досліджень</w:t>
      </w:r>
      <w:r w:rsidR="00453D44">
        <w:rPr>
          <w:rFonts w:ascii="Times New Roman" w:hAnsi="Times New Roman" w:cs="Times New Roman"/>
          <w:sz w:val="28"/>
          <w:szCs w:val="28"/>
          <w:lang w:val="uk-UA"/>
        </w:rPr>
        <w:t>. 2016</w:t>
      </w:r>
      <w:r w:rsidR="00453D44" w:rsidRPr="00D4567E">
        <w:rPr>
          <w:rFonts w:ascii="Times New Roman" w:hAnsi="Times New Roman" w:cs="Times New Roman"/>
          <w:sz w:val="28"/>
          <w:szCs w:val="28"/>
        </w:rPr>
        <w:t>;</w:t>
      </w:r>
      <w:r w:rsidR="00453D44">
        <w:rPr>
          <w:rFonts w:ascii="Times New Roman" w:hAnsi="Times New Roman" w:cs="Times New Roman"/>
          <w:sz w:val="28"/>
          <w:szCs w:val="28"/>
          <w:lang w:val="uk-UA"/>
        </w:rPr>
        <w:t>1</w:t>
      </w:r>
      <w:r w:rsidR="00453D44" w:rsidRPr="00D4567E">
        <w:rPr>
          <w:rFonts w:ascii="Times New Roman" w:hAnsi="Times New Roman" w:cs="Times New Roman"/>
          <w:sz w:val="28"/>
          <w:szCs w:val="28"/>
        </w:rPr>
        <w:t>:</w:t>
      </w:r>
      <w:r w:rsidR="00453D44">
        <w:rPr>
          <w:rFonts w:ascii="Times New Roman" w:hAnsi="Times New Roman" w:cs="Times New Roman"/>
          <w:sz w:val="28"/>
          <w:szCs w:val="28"/>
          <w:lang w:val="uk-UA"/>
        </w:rPr>
        <w:t>18</w:t>
      </w:r>
      <w:r w:rsidR="00453D44" w:rsidRPr="00D4567E">
        <w:rPr>
          <w:rFonts w:ascii="Times New Roman" w:hAnsi="Times New Roman" w:cs="Times New Roman"/>
          <w:sz w:val="28"/>
          <w:szCs w:val="28"/>
        </w:rPr>
        <w:t>-</w:t>
      </w:r>
      <w:r w:rsidR="00453D44" w:rsidRPr="00453D44">
        <w:rPr>
          <w:rFonts w:ascii="Times New Roman" w:hAnsi="Times New Roman" w:cs="Times New Roman"/>
          <w:sz w:val="28"/>
          <w:szCs w:val="28"/>
          <w:lang w:val="uk-UA"/>
        </w:rPr>
        <w:t>20.</w:t>
      </w:r>
      <w:r w:rsidR="007A51F8" w:rsidRPr="007A51F8">
        <w:rPr>
          <w:rFonts w:ascii="Times New Roman" w:hAnsi="Times New Roman" w:cs="Times New Roman"/>
          <w:sz w:val="28"/>
          <w:szCs w:val="28"/>
          <w:lang w:val="uk-UA"/>
        </w:rPr>
        <w:t xml:space="preserve"> </w:t>
      </w:r>
    </w:p>
    <w:p w:rsidR="004D62DE" w:rsidRPr="00D4567E"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DC132C">
        <w:rPr>
          <w:rFonts w:ascii="Times New Roman" w:hAnsi="Times New Roman" w:cs="Times New Roman"/>
          <w:sz w:val="28"/>
          <w:szCs w:val="28"/>
        </w:rPr>
        <w:t>3</w:t>
      </w:r>
      <w:r w:rsidR="00FE2B01" w:rsidRPr="003B1ECA">
        <w:rPr>
          <w:rFonts w:ascii="Times New Roman" w:hAnsi="Times New Roman" w:cs="Times New Roman"/>
          <w:sz w:val="28"/>
          <w:szCs w:val="28"/>
        </w:rPr>
        <w:t xml:space="preserve">. </w:t>
      </w:r>
      <w:r w:rsidR="004D62DE">
        <w:rPr>
          <w:rFonts w:ascii="Times New Roman" w:hAnsi="Times New Roman" w:cs="Times New Roman"/>
          <w:sz w:val="28"/>
          <w:szCs w:val="28"/>
        </w:rPr>
        <w:t>Кочуева МН</w:t>
      </w:r>
      <w:r w:rsidR="004D62DE">
        <w:rPr>
          <w:rFonts w:ascii="Times New Roman" w:hAnsi="Times New Roman" w:cs="Times New Roman"/>
          <w:sz w:val="28"/>
          <w:szCs w:val="28"/>
          <w:lang w:val="uk-UA"/>
        </w:rPr>
        <w:t xml:space="preserve">, </w:t>
      </w:r>
      <w:r w:rsidR="004D62DE" w:rsidRPr="004D62DE">
        <w:rPr>
          <w:rFonts w:ascii="Times New Roman" w:hAnsi="Times New Roman" w:cs="Times New Roman"/>
          <w:sz w:val="28"/>
          <w:szCs w:val="28"/>
          <w:lang w:val="uk-UA"/>
        </w:rPr>
        <w:t>Кочуев</w:t>
      </w:r>
      <w:r w:rsidR="004D62DE">
        <w:rPr>
          <w:rFonts w:ascii="Times New Roman" w:hAnsi="Times New Roman" w:cs="Times New Roman"/>
          <w:sz w:val="28"/>
          <w:szCs w:val="28"/>
          <w:lang w:val="uk-UA"/>
        </w:rPr>
        <w:t xml:space="preserve"> ГИ, </w:t>
      </w:r>
      <w:r w:rsidR="004D62DE" w:rsidRPr="004D62DE">
        <w:rPr>
          <w:rFonts w:ascii="Times New Roman" w:hAnsi="Times New Roman" w:cs="Times New Roman"/>
          <w:sz w:val="28"/>
          <w:szCs w:val="28"/>
          <w:lang w:val="uk-UA"/>
        </w:rPr>
        <w:t>Корж</w:t>
      </w:r>
      <w:r w:rsidR="004D62DE">
        <w:rPr>
          <w:rFonts w:ascii="Times New Roman" w:hAnsi="Times New Roman" w:cs="Times New Roman"/>
          <w:sz w:val="28"/>
          <w:szCs w:val="28"/>
          <w:lang w:val="uk-UA"/>
        </w:rPr>
        <w:t xml:space="preserve"> АН,</w:t>
      </w:r>
      <w:r w:rsidR="004D62DE" w:rsidRPr="004D62DE">
        <w:rPr>
          <w:rFonts w:ascii="Times New Roman" w:hAnsi="Times New Roman" w:cs="Times New Roman"/>
          <w:sz w:val="28"/>
          <w:szCs w:val="28"/>
          <w:lang w:val="uk-UA"/>
        </w:rPr>
        <w:t xml:space="preserve"> Шалимова</w:t>
      </w:r>
      <w:r w:rsidR="004D62DE">
        <w:rPr>
          <w:rFonts w:ascii="Times New Roman" w:hAnsi="Times New Roman" w:cs="Times New Roman"/>
          <w:sz w:val="28"/>
          <w:szCs w:val="28"/>
          <w:lang w:val="uk-UA"/>
        </w:rPr>
        <w:t xml:space="preserve"> АС.</w:t>
      </w:r>
      <w:r w:rsidR="003B1ECA" w:rsidRPr="003B1ECA">
        <w:rPr>
          <w:rFonts w:ascii="Times New Roman" w:hAnsi="Times New Roman" w:cs="Times New Roman"/>
          <w:sz w:val="28"/>
          <w:szCs w:val="28"/>
        </w:rPr>
        <w:t xml:space="preserve"> Клинические, гемодинамические  и метаболические эффекты милдроната  </w:t>
      </w:r>
      <w:r w:rsidR="003B1ECA" w:rsidRPr="003B1ECA">
        <w:rPr>
          <w:rFonts w:ascii="Times New Roman" w:hAnsi="Times New Roman" w:cs="Times New Roman"/>
          <w:sz w:val="28"/>
          <w:szCs w:val="28"/>
          <w:lang w:val="en-US"/>
        </w:rPr>
        <w:t>GX</w:t>
      </w:r>
      <w:r w:rsidR="003B1ECA" w:rsidRPr="003B1ECA">
        <w:rPr>
          <w:rFonts w:ascii="Times New Roman" w:hAnsi="Times New Roman" w:cs="Times New Roman"/>
          <w:sz w:val="28"/>
          <w:szCs w:val="28"/>
        </w:rPr>
        <w:t xml:space="preserve"> у больных с хронической сердечной недостаточностью на ф</w:t>
      </w:r>
      <w:r w:rsidR="004D62DE">
        <w:rPr>
          <w:rFonts w:ascii="Times New Roman" w:hAnsi="Times New Roman" w:cs="Times New Roman"/>
          <w:sz w:val="28"/>
          <w:szCs w:val="28"/>
        </w:rPr>
        <w:t>оне сахарного диабета 2-го типа</w:t>
      </w:r>
      <w:r w:rsidR="004D62DE">
        <w:rPr>
          <w:rFonts w:ascii="Times New Roman" w:hAnsi="Times New Roman" w:cs="Times New Roman"/>
          <w:sz w:val="28"/>
          <w:szCs w:val="28"/>
          <w:lang w:val="uk-UA"/>
        </w:rPr>
        <w:t>. Семейная медицина [И</w:t>
      </w:r>
      <w:r w:rsidR="004D62DE" w:rsidRPr="004D62DE">
        <w:rPr>
          <w:rFonts w:ascii="Times New Roman" w:hAnsi="Times New Roman" w:cs="Times New Roman"/>
          <w:sz w:val="28"/>
          <w:szCs w:val="28"/>
          <w:lang w:val="uk-UA"/>
        </w:rPr>
        <w:t>нтернет]</w:t>
      </w:r>
      <w:r w:rsidR="004D62DE">
        <w:rPr>
          <w:rFonts w:ascii="Times New Roman" w:hAnsi="Times New Roman" w:cs="Times New Roman"/>
          <w:sz w:val="28"/>
          <w:szCs w:val="28"/>
          <w:lang w:val="uk-UA"/>
        </w:rPr>
        <w:t>.</w:t>
      </w:r>
      <w:r w:rsidR="004D62DE">
        <w:rPr>
          <w:rFonts w:ascii="Times New Roman" w:hAnsi="Times New Roman" w:cs="Times New Roman"/>
          <w:sz w:val="28"/>
          <w:szCs w:val="28"/>
        </w:rPr>
        <w:t xml:space="preserve"> 2013</w:t>
      </w:r>
      <w:r w:rsidR="004D62DE" w:rsidRPr="00D4567E">
        <w:rPr>
          <w:rFonts w:ascii="Times New Roman" w:hAnsi="Times New Roman" w:cs="Times New Roman"/>
          <w:sz w:val="28"/>
          <w:szCs w:val="28"/>
        </w:rPr>
        <w:t xml:space="preserve">;1:33-9. Доступно на: </w:t>
      </w:r>
    </w:p>
    <w:p w:rsidR="00FE2B01" w:rsidRPr="00D4567E" w:rsidRDefault="004D62DE" w:rsidP="00F90BD3">
      <w:pPr>
        <w:tabs>
          <w:tab w:val="left" w:pos="2880"/>
        </w:tabs>
        <w:spacing w:after="0" w:line="360" w:lineRule="auto"/>
        <w:jc w:val="both"/>
        <w:rPr>
          <w:rFonts w:ascii="Times New Roman" w:hAnsi="Times New Roman" w:cs="Times New Roman"/>
          <w:sz w:val="28"/>
          <w:szCs w:val="28"/>
        </w:rPr>
      </w:pPr>
      <w:r w:rsidRPr="004D62DE">
        <w:rPr>
          <w:rFonts w:ascii="Times New Roman" w:hAnsi="Times New Roman" w:cs="Times New Roman"/>
          <w:sz w:val="28"/>
          <w:szCs w:val="28"/>
          <w:lang w:val="en-US"/>
        </w:rPr>
        <w:t>simmed</w:t>
      </w:r>
      <w:r w:rsidRPr="00D4567E">
        <w:rPr>
          <w:rFonts w:ascii="Times New Roman" w:hAnsi="Times New Roman" w:cs="Times New Roman"/>
          <w:sz w:val="28"/>
          <w:szCs w:val="28"/>
        </w:rPr>
        <w:t>_2013_1_9.</w:t>
      </w:r>
      <w:r w:rsidRPr="004D62DE">
        <w:rPr>
          <w:rFonts w:ascii="Times New Roman" w:hAnsi="Times New Roman" w:cs="Times New Roman"/>
          <w:sz w:val="28"/>
          <w:szCs w:val="28"/>
          <w:lang w:val="en-US"/>
        </w:rPr>
        <w:t>pdf</w:t>
      </w:r>
    </w:p>
    <w:p w:rsidR="00C73B1F" w:rsidRPr="0028043D"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DC132C">
        <w:rPr>
          <w:rFonts w:ascii="Times New Roman" w:hAnsi="Times New Roman" w:cs="Times New Roman"/>
          <w:sz w:val="28"/>
          <w:szCs w:val="28"/>
        </w:rPr>
        <w:t>4</w:t>
      </w:r>
      <w:r w:rsidR="00442FBC" w:rsidRPr="00442FBC">
        <w:rPr>
          <w:rFonts w:ascii="Times New Roman" w:hAnsi="Times New Roman" w:cs="Times New Roman"/>
          <w:sz w:val="28"/>
          <w:szCs w:val="28"/>
        </w:rPr>
        <w:t xml:space="preserve">. Болотських </w:t>
      </w:r>
      <w:r w:rsidR="00442FBC">
        <w:rPr>
          <w:rFonts w:ascii="Times New Roman" w:hAnsi="Times New Roman" w:cs="Times New Roman"/>
          <w:sz w:val="28"/>
          <w:szCs w:val="28"/>
          <w:lang w:val="uk-UA"/>
        </w:rPr>
        <w:t>ГВ</w:t>
      </w:r>
      <w:r w:rsidR="00442FBC" w:rsidRPr="00442FBC">
        <w:rPr>
          <w:rFonts w:ascii="Times New Roman" w:hAnsi="Times New Roman" w:cs="Times New Roman"/>
          <w:sz w:val="28"/>
          <w:szCs w:val="28"/>
        </w:rPr>
        <w:t>, Рудик</w:t>
      </w:r>
      <w:r w:rsidR="00442FBC">
        <w:rPr>
          <w:rFonts w:ascii="Times New Roman" w:hAnsi="Times New Roman" w:cs="Times New Roman"/>
          <w:sz w:val="28"/>
          <w:szCs w:val="28"/>
          <w:lang w:val="uk-UA"/>
        </w:rPr>
        <w:t xml:space="preserve"> ЮС</w:t>
      </w:r>
      <w:r w:rsidR="00442FBC" w:rsidRPr="00442FBC">
        <w:rPr>
          <w:rFonts w:ascii="Times New Roman" w:hAnsi="Times New Roman" w:cs="Times New Roman"/>
          <w:sz w:val="28"/>
          <w:szCs w:val="28"/>
        </w:rPr>
        <w:t>, Пивовар</w:t>
      </w:r>
      <w:r w:rsidR="00442FBC">
        <w:rPr>
          <w:rFonts w:ascii="Times New Roman" w:hAnsi="Times New Roman" w:cs="Times New Roman"/>
          <w:sz w:val="28"/>
          <w:szCs w:val="28"/>
          <w:lang w:val="uk-UA"/>
        </w:rPr>
        <w:t xml:space="preserve"> СМ.</w:t>
      </w:r>
      <w:r w:rsidR="00442FBC" w:rsidRPr="00442FBC">
        <w:rPr>
          <w:rFonts w:ascii="Times New Roman" w:hAnsi="Times New Roman" w:cs="Times New Roman"/>
          <w:sz w:val="28"/>
          <w:szCs w:val="28"/>
        </w:rPr>
        <w:t xml:space="preserve"> Роль інсулінорезистентності у хворих із серцевою недостатністю зі збереженою систо</w:t>
      </w:r>
      <w:r w:rsidR="00442FBC">
        <w:rPr>
          <w:rFonts w:ascii="Times New Roman" w:hAnsi="Times New Roman" w:cs="Times New Roman"/>
          <w:sz w:val="28"/>
          <w:szCs w:val="28"/>
        </w:rPr>
        <w:t>лічною функцією лівого шлуночка</w:t>
      </w:r>
      <w:r w:rsidR="00442FBC">
        <w:rPr>
          <w:rFonts w:ascii="Times New Roman" w:hAnsi="Times New Roman" w:cs="Times New Roman"/>
          <w:sz w:val="28"/>
          <w:szCs w:val="28"/>
          <w:lang w:val="uk-UA"/>
        </w:rPr>
        <w:t xml:space="preserve">. </w:t>
      </w:r>
      <w:r w:rsidR="00442FBC" w:rsidRPr="00442FBC">
        <w:rPr>
          <w:rFonts w:ascii="Times New Roman" w:hAnsi="Times New Roman" w:cs="Times New Roman"/>
          <w:sz w:val="28"/>
          <w:szCs w:val="28"/>
          <w:lang w:val="uk-UA"/>
        </w:rPr>
        <w:t>Клінічна фармація</w:t>
      </w:r>
      <w:r w:rsidR="00442FBC">
        <w:rPr>
          <w:rFonts w:ascii="Times New Roman" w:hAnsi="Times New Roman" w:cs="Times New Roman"/>
          <w:sz w:val="28"/>
          <w:szCs w:val="28"/>
          <w:lang w:val="uk-UA"/>
        </w:rPr>
        <w:t xml:space="preserve"> </w:t>
      </w:r>
      <w:r w:rsidR="00442FBC" w:rsidRPr="00442FBC">
        <w:rPr>
          <w:rFonts w:ascii="Times New Roman" w:hAnsi="Times New Roman" w:cs="Times New Roman"/>
          <w:sz w:val="28"/>
          <w:szCs w:val="28"/>
          <w:lang w:val="uk-UA"/>
        </w:rPr>
        <w:t>[Інтернет].</w:t>
      </w:r>
      <w:r w:rsidR="00442FBC">
        <w:rPr>
          <w:rFonts w:ascii="Times New Roman" w:hAnsi="Times New Roman" w:cs="Times New Roman"/>
          <w:sz w:val="28"/>
          <w:szCs w:val="28"/>
          <w:lang w:val="uk-UA"/>
        </w:rPr>
        <w:t xml:space="preserve"> 2014</w:t>
      </w:r>
      <w:r w:rsidR="00442FBC" w:rsidRPr="00442FBC">
        <w:rPr>
          <w:rFonts w:ascii="Times New Roman" w:hAnsi="Times New Roman" w:cs="Times New Roman"/>
          <w:sz w:val="28"/>
          <w:szCs w:val="28"/>
          <w:lang w:val="uk-UA"/>
        </w:rPr>
        <w:t>;</w:t>
      </w:r>
      <w:r w:rsidR="00442FBC">
        <w:rPr>
          <w:rFonts w:ascii="Times New Roman" w:hAnsi="Times New Roman" w:cs="Times New Roman"/>
          <w:sz w:val="28"/>
          <w:szCs w:val="28"/>
          <w:lang w:val="uk-UA"/>
        </w:rPr>
        <w:t>18</w:t>
      </w:r>
      <w:r w:rsidR="00442FBC" w:rsidRPr="00442FBC">
        <w:rPr>
          <w:rFonts w:ascii="Times New Roman" w:hAnsi="Times New Roman" w:cs="Times New Roman"/>
          <w:sz w:val="28"/>
          <w:szCs w:val="28"/>
          <w:lang w:val="uk-UA"/>
        </w:rPr>
        <w:t>(4):</w:t>
      </w:r>
      <w:r w:rsidR="00442FBC">
        <w:rPr>
          <w:rFonts w:ascii="Times New Roman" w:hAnsi="Times New Roman" w:cs="Times New Roman"/>
          <w:sz w:val="28"/>
          <w:szCs w:val="28"/>
          <w:lang w:val="uk-UA"/>
        </w:rPr>
        <w:t>16</w:t>
      </w:r>
      <w:r w:rsidR="00442FBC" w:rsidRPr="00442FBC">
        <w:rPr>
          <w:rFonts w:ascii="Times New Roman" w:hAnsi="Times New Roman" w:cs="Times New Roman"/>
          <w:sz w:val="28"/>
          <w:szCs w:val="28"/>
          <w:lang w:val="uk-UA"/>
        </w:rPr>
        <w:t>-21.</w:t>
      </w:r>
      <w:r w:rsidR="00C73B1F" w:rsidRPr="0028043D">
        <w:rPr>
          <w:rFonts w:ascii="Times New Roman" w:hAnsi="Times New Roman" w:cs="Times New Roman"/>
          <w:sz w:val="28"/>
          <w:szCs w:val="28"/>
        </w:rPr>
        <w:t xml:space="preserve"> Доступно на: </w:t>
      </w:r>
      <w:r w:rsidR="00C73B1F" w:rsidRPr="00C73B1F">
        <w:rPr>
          <w:rFonts w:ascii="Times New Roman" w:hAnsi="Times New Roman" w:cs="Times New Roman"/>
          <w:sz w:val="28"/>
          <w:szCs w:val="28"/>
          <w:lang w:val="en-US"/>
        </w:rPr>
        <w:t>KF</w:t>
      </w:r>
      <w:r w:rsidR="00C73B1F" w:rsidRPr="0028043D">
        <w:rPr>
          <w:rFonts w:ascii="Times New Roman" w:hAnsi="Times New Roman" w:cs="Times New Roman"/>
          <w:sz w:val="28"/>
          <w:szCs w:val="28"/>
        </w:rPr>
        <w:t>4-14_16-22.</w:t>
      </w:r>
      <w:r w:rsidR="00C73B1F" w:rsidRPr="00C73B1F">
        <w:rPr>
          <w:rFonts w:ascii="Times New Roman" w:hAnsi="Times New Roman" w:cs="Times New Roman"/>
          <w:sz w:val="28"/>
          <w:szCs w:val="28"/>
          <w:lang w:val="en-US"/>
        </w:rPr>
        <w:t>pdf</w:t>
      </w:r>
    </w:p>
    <w:p w:rsidR="0028043D" w:rsidRPr="00D47B05"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EA6F81">
        <w:rPr>
          <w:rFonts w:ascii="Times New Roman" w:hAnsi="Times New Roman" w:cs="Times New Roman"/>
          <w:sz w:val="28"/>
          <w:szCs w:val="28"/>
        </w:rPr>
        <w:t>5</w:t>
      </w:r>
      <w:r w:rsidR="00C73B1F" w:rsidRPr="00C73B1F">
        <w:rPr>
          <w:rFonts w:ascii="Times New Roman" w:hAnsi="Times New Roman" w:cs="Times New Roman"/>
          <w:sz w:val="28"/>
          <w:szCs w:val="28"/>
        </w:rPr>
        <w:t>.</w:t>
      </w:r>
      <w:r w:rsidR="0028043D">
        <w:rPr>
          <w:rFonts w:ascii="Times New Roman" w:hAnsi="Times New Roman" w:cs="Times New Roman"/>
          <w:sz w:val="28"/>
          <w:szCs w:val="28"/>
          <w:lang w:val="uk-UA"/>
        </w:rPr>
        <w:t xml:space="preserve"> </w:t>
      </w:r>
      <w:r w:rsidR="0028043D" w:rsidRPr="0028043D">
        <w:rPr>
          <w:rFonts w:ascii="Times New Roman" w:hAnsi="Times New Roman" w:cs="Times New Roman"/>
          <w:sz w:val="28"/>
          <w:szCs w:val="28"/>
        </w:rPr>
        <w:t>Голухова</w:t>
      </w:r>
      <w:r w:rsidR="0028043D">
        <w:rPr>
          <w:rFonts w:ascii="Times New Roman" w:hAnsi="Times New Roman" w:cs="Times New Roman"/>
          <w:sz w:val="28"/>
          <w:szCs w:val="28"/>
          <w:lang w:val="uk-UA"/>
        </w:rPr>
        <w:t xml:space="preserve"> </w:t>
      </w:r>
      <w:r w:rsidR="0028043D" w:rsidRPr="0028043D">
        <w:rPr>
          <w:rFonts w:ascii="Times New Roman" w:hAnsi="Times New Roman" w:cs="Times New Roman"/>
          <w:sz w:val="28"/>
          <w:szCs w:val="28"/>
          <w:lang w:val="uk-UA"/>
        </w:rPr>
        <w:t>ЕЗ</w:t>
      </w:r>
      <w:r w:rsidR="0028043D">
        <w:rPr>
          <w:rFonts w:ascii="Times New Roman" w:hAnsi="Times New Roman" w:cs="Times New Roman"/>
          <w:sz w:val="28"/>
          <w:szCs w:val="28"/>
        </w:rPr>
        <w:t xml:space="preserve">, </w:t>
      </w:r>
      <w:r w:rsidR="0028043D" w:rsidRPr="0028043D">
        <w:rPr>
          <w:rFonts w:ascii="Times New Roman" w:hAnsi="Times New Roman" w:cs="Times New Roman"/>
          <w:sz w:val="28"/>
          <w:szCs w:val="28"/>
        </w:rPr>
        <w:t>Мустафаева</w:t>
      </w:r>
      <w:r w:rsidR="0028043D">
        <w:rPr>
          <w:rFonts w:ascii="Times New Roman" w:hAnsi="Times New Roman" w:cs="Times New Roman"/>
          <w:sz w:val="28"/>
          <w:szCs w:val="28"/>
          <w:lang w:val="uk-UA"/>
        </w:rPr>
        <w:t xml:space="preserve"> </w:t>
      </w:r>
      <w:r w:rsidR="0028043D" w:rsidRPr="0028043D">
        <w:rPr>
          <w:rFonts w:ascii="Times New Roman" w:hAnsi="Times New Roman" w:cs="Times New Roman"/>
          <w:sz w:val="28"/>
          <w:szCs w:val="28"/>
          <w:lang w:val="uk-UA"/>
        </w:rPr>
        <w:t>АЗ</w:t>
      </w:r>
      <w:r w:rsidR="0028043D">
        <w:rPr>
          <w:rFonts w:ascii="Times New Roman" w:hAnsi="Times New Roman" w:cs="Times New Roman"/>
          <w:sz w:val="28"/>
          <w:szCs w:val="28"/>
          <w:lang w:val="uk-UA"/>
        </w:rPr>
        <w:t>.</w:t>
      </w:r>
      <w:r w:rsidR="0028043D" w:rsidRPr="0028043D">
        <w:rPr>
          <w:rFonts w:ascii="Times New Roman" w:hAnsi="Times New Roman" w:cs="Times New Roman"/>
          <w:sz w:val="28"/>
          <w:szCs w:val="28"/>
          <w:lang w:val="uk-UA"/>
        </w:rPr>
        <w:t xml:space="preserve"> </w:t>
      </w:r>
      <w:r w:rsidR="0028043D" w:rsidRPr="0028043D">
        <w:rPr>
          <w:rFonts w:ascii="Times New Roman" w:hAnsi="Times New Roman" w:cs="Times New Roman"/>
          <w:sz w:val="28"/>
          <w:szCs w:val="28"/>
        </w:rPr>
        <w:t xml:space="preserve">Влияние сахарного диабета </w:t>
      </w:r>
      <w:r w:rsidR="0028043D" w:rsidRPr="0028043D">
        <w:rPr>
          <w:rFonts w:ascii="Times New Roman" w:hAnsi="Times New Roman" w:cs="Times New Roman"/>
          <w:sz w:val="28"/>
          <w:szCs w:val="28"/>
          <w:lang w:val="en-US"/>
        </w:rPr>
        <w:t>II</w:t>
      </w:r>
      <w:r w:rsidR="0028043D" w:rsidRPr="0028043D">
        <w:rPr>
          <w:rFonts w:ascii="Times New Roman" w:hAnsi="Times New Roman" w:cs="Times New Roman"/>
          <w:sz w:val="28"/>
          <w:szCs w:val="28"/>
        </w:rPr>
        <w:t xml:space="preserve"> типа на диастолическую функцию миокарда левого желудочка у больны</w:t>
      </w:r>
      <w:r w:rsidR="0028043D">
        <w:rPr>
          <w:rFonts w:ascii="Times New Roman" w:hAnsi="Times New Roman" w:cs="Times New Roman"/>
          <w:sz w:val="28"/>
          <w:szCs w:val="28"/>
        </w:rPr>
        <w:t>х с ишемической болезнью сердца</w:t>
      </w:r>
      <w:r w:rsidR="0028043D">
        <w:rPr>
          <w:rFonts w:ascii="Times New Roman" w:hAnsi="Times New Roman" w:cs="Times New Roman"/>
          <w:sz w:val="28"/>
          <w:szCs w:val="28"/>
          <w:lang w:val="uk-UA"/>
        </w:rPr>
        <w:t xml:space="preserve">. </w:t>
      </w:r>
      <w:r w:rsidR="0028043D" w:rsidRPr="0028043D">
        <w:rPr>
          <w:rFonts w:ascii="Times New Roman" w:hAnsi="Times New Roman" w:cs="Times New Roman"/>
          <w:sz w:val="28"/>
          <w:szCs w:val="28"/>
        </w:rPr>
        <w:t xml:space="preserve">Креативная кардиология </w:t>
      </w:r>
      <w:r w:rsidR="0028043D">
        <w:rPr>
          <w:rFonts w:ascii="Times New Roman" w:hAnsi="Times New Roman" w:cs="Times New Roman"/>
          <w:sz w:val="28"/>
          <w:szCs w:val="28"/>
        </w:rPr>
        <w:t>[</w:t>
      </w:r>
      <w:r w:rsidR="0028043D">
        <w:rPr>
          <w:rFonts w:ascii="Times New Roman" w:hAnsi="Times New Roman" w:cs="Times New Roman"/>
          <w:sz w:val="28"/>
          <w:szCs w:val="28"/>
          <w:lang w:val="uk-UA"/>
        </w:rPr>
        <w:t>И</w:t>
      </w:r>
      <w:r w:rsidR="0028043D" w:rsidRPr="0028043D">
        <w:rPr>
          <w:rFonts w:ascii="Times New Roman" w:hAnsi="Times New Roman" w:cs="Times New Roman"/>
          <w:sz w:val="28"/>
          <w:szCs w:val="28"/>
        </w:rPr>
        <w:t xml:space="preserve">нтернет]. </w:t>
      </w:r>
      <w:r w:rsidR="0028043D">
        <w:rPr>
          <w:rFonts w:ascii="Times New Roman" w:hAnsi="Times New Roman" w:cs="Times New Roman"/>
          <w:sz w:val="28"/>
          <w:szCs w:val="28"/>
        </w:rPr>
        <w:t>2013</w:t>
      </w:r>
      <w:r w:rsidR="0028043D" w:rsidRPr="0028043D">
        <w:rPr>
          <w:rFonts w:ascii="Times New Roman" w:hAnsi="Times New Roman" w:cs="Times New Roman"/>
          <w:sz w:val="28"/>
          <w:szCs w:val="28"/>
        </w:rPr>
        <w:t>;</w:t>
      </w:r>
      <w:r w:rsidR="0028043D">
        <w:rPr>
          <w:rFonts w:ascii="Times New Roman" w:hAnsi="Times New Roman" w:cs="Times New Roman"/>
          <w:sz w:val="28"/>
          <w:szCs w:val="28"/>
        </w:rPr>
        <w:t>2</w:t>
      </w:r>
      <w:r w:rsidR="0028043D" w:rsidRPr="0028043D">
        <w:rPr>
          <w:rFonts w:ascii="Times New Roman" w:hAnsi="Times New Roman" w:cs="Times New Roman"/>
          <w:sz w:val="28"/>
          <w:szCs w:val="28"/>
        </w:rPr>
        <w:t>:</w:t>
      </w:r>
      <w:r w:rsidR="0028043D">
        <w:rPr>
          <w:rFonts w:ascii="Times New Roman" w:hAnsi="Times New Roman" w:cs="Times New Roman"/>
          <w:sz w:val="28"/>
          <w:szCs w:val="28"/>
        </w:rPr>
        <w:t>46</w:t>
      </w:r>
      <w:r w:rsidR="0028043D" w:rsidRPr="0028043D">
        <w:rPr>
          <w:rFonts w:ascii="Times New Roman" w:hAnsi="Times New Roman" w:cs="Times New Roman"/>
          <w:sz w:val="28"/>
          <w:szCs w:val="28"/>
        </w:rPr>
        <w:t>-52.</w:t>
      </w:r>
      <w:r w:rsidR="00442FBC" w:rsidRPr="00442FBC">
        <w:rPr>
          <w:rFonts w:ascii="Times New Roman" w:hAnsi="Times New Roman" w:cs="Times New Roman"/>
          <w:sz w:val="28"/>
          <w:szCs w:val="28"/>
          <w:lang w:val="uk-UA"/>
        </w:rPr>
        <w:t xml:space="preserve"> </w:t>
      </w:r>
      <w:r w:rsidR="0028043D" w:rsidRPr="0028043D">
        <w:rPr>
          <w:rFonts w:ascii="Times New Roman" w:hAnsi="Times New Roman" w:cs="Times New Roman"/>
          <w:sz w:val="28"/>
          <w:szCs w:val="28"/>
          <w:lang w:val="uk-UA"/>
        </w:rPr>
        <w:t>Доступно на:</w:t>
      </w:r>
      <w:r w:rsidR="0028043D" w:rsidRPr="00D47B05">
        <w:rPr>
          <w:rFonts w:ascii="Times New Roman" w:hAnsi="Times New Roman" w:cs="Times New Roman"/>
          <w:sz w:val="28"/>
          <w:szCs w:val="28"/>
        </w:rPr>
        <w:t xml:space="preserve"> </w:t>
      </w:r>
    </w:p>
    <w:p w:rsidR="004D62DE" w:rsidRPr="00D47B05" w:rsidRDefault="000A6805" w:rsidP="00F90BD3">
      <w:pPr>
        <w:tabs>
          <w:tab w:val="left" w:pos="2880"/>
        </w:tabs>
        <w:spacing w:after="0" w:line="360" w:lineRule="auto"/>
        <w:jc w:val="both"/>
        <w:rPr>
          <w:rFonts w:ascii="Times New Roman" w:hAnsi="Times New Roman" w:cs="Times New Roman"/>
          <w:sz w:val="28"/>
          <w:szCs w:val="28"/>
        </w:rPr>
      </w:pPr>
      <w:hyperlink r:id="rId75" w:history="1">
        <w:r w:rsidR="0028043D" w:rsidRPr="0028043D">
          <w:rPr>
            <w:rStyle w:val="a9"/>
            <w:rFonts w:ascii="Times New Roman" w:hAnsi="Times New Roman" w:cs="Times New Roman"/>
            <w:color w:val="auto"/>
            <w:sz w:val="28"/>
            <w:szCs w:val="28"/>
            <w:u w:val="none"/>
            <w:lang w:val="en-US"/>
          </w:rPr>
          <w:t>http</w:t>
        </w:r>
        <w:r w:rsidR="0028043D" w:rsidRPr="00D47B05">
          <w:rPr>
            <w:rStyle w:val="a9"/>
            <w:rFonts w:ascii="Times New Roman" w:hAnsi="Times New Roman" w:cs="Times New Roman"/>
            <w:color w:val="auto"/>
            <w:sz w:val="28"/>
            <w:szCs w:val="28"/>
            <w:u w:val="none"/>
          </w:rPr>
          <w:t>://</w:t>
        </w:r>
        <w:r w:rsidR="0028043D" w:rsidRPr="0028043D">
          <w:rPr>
            <w:rStyle w:val="a9"/>
            <w:rFonts w:ascii="Times New Roman" w:hAnsi="Times New Roman" w:cs="Times New Roman"/>
            <w:color w:val="auto"/>
            <w:sz w:val="28"/>
            <w:szCs w:val="28"/>
            <w:u w:val="none"/>
            <w:lang w:val="en-US"/>
          </w:rPr>
          <w:t>heart</w:t>
        </w:r>
        <w:r w:rsidR="0028043D" w:rsidRPr="00D47B05">
          <w:rPr>
            <w:rStyle w:val="a9"/>
            <w:rFonts w:ascii="Times New Roman" w:hAnsi="Times New Roman" w:cs="Times New Roman"/>
            <w:color w:val="auto"/>
            <w:sz w:val="28"/>
            <w:szCs w:val="28"/>
            <w:u w:val="none"/>
          </w:rPr>
          <w:t>-</w:t>
        </w:r>
        <w:r w:rsidR="0028043D" w:rsidRPr="0028043D">
          <w:rPr>
            <w:rStyle w:val="a9"/>
            <w:rFonts w:ascii="Times New Roman" w:hAnsi="Times New Roman" w:cs="Times New Roman"/>
            <w:color w:val="auto"/>
            <w:sz w:val="28"/>
            <w:szCs w:val="28"/>
            <w:u w:val="none"/>
            <w:lang w:val="en-US"/>
          </w:rPr>
          <w:t>master</w:t>
        </w:r>
        <w:r w:rsidR="0028043D" w:rsidRPr="00D47B05">
          <w:rPr>
            <w:rStyle w:val="a9"/>
            <w:rFonts w:ascii="Times New Roman" w:hAnsi="Times New Roman" w:cs="Times New Roman"/>
            <w:color w:val="auto"/>
            <w:sz w:val="28"/>
            <w:szCs w:val="28"/>
            <w:u w:val="none"/>
          </w:rPr>
          <w:t>.</w:t>
        </w:r>
        <w:r w:rsidR="0028043D" w:rsidRPr="0028043D">
          <w:rPr>
            <w:rStyle w:val="a9"/>
            <w:rFonts w:ascii="Times New Roman" w:hAnsi="Times New Roman" w:cs="Times New Roman"/>
            <w:color w:val="auto"/>
            <w:sz w:val="28"/>
            <w:szCs w:val="28"/>
            <w:u w:val="none"/>
            <w:lang w:val="en-US"/>
          </w:rPr>
          <w:t>com</w:t>
        </w:r>
        <w:r w:rsidR="0028043D" w:rsidRPr="00D47B05">
          <w:rPr>
            <w:rStyle w:val="a9"/>
            <w:rFonts w:ascii="Times New Roman" w:hAnsi="Times New Roman" w:cs="Times New Roman"/>
            <w:color w:val="auto"/>
            <w:sz w:val="28"/>
            <w:szCs w:val="28"/>
            <w:u w:val="none"/>
          </w:rPr>
          <w:t>/</w:t>
        </w:r>
        <w:r w:rsidR="0028043D" w:rsidRPr="0028043D">
          <w:rPr>
            <w:rStyle w:val="a9"/>
            <w:rFonts w:ascii="Times New Roman" w:hAnsi="Times New Roman" w:cs="Times New Roman"/>
            <w:color w:val="auto"/>
            <w:sz w:val="28"/>
            <w:szCs w:val="28"/>
            <w:u w:val="none"/>
            <w:lang w:val="en-US"/>
          </w:rPr>
          <w:t>wp</w:t>
        </w:r>
        <w:r w:rsidR="0028043D" w:rsidRPr="00D47B05">
          <w:rPr>
            <w:rStyle w:val="a9"/>
            <w:rFonts w:ascii="Times New Roman" w:hAnsi="Times New Roman" w:cs="Times New Roman"/>
            <w:color w:val="auto"/>
            <w:sz w:val="28"/>
            <w:szCs w:val="28"/>
            <w:u w:val="none"/>
          </w:rPr>
          <w:t>-</w:t>
        </w:r>
        <w:r w:rsidR="0028043D" w:rsidRPr="0028043D">
          <w:rPr>
            <w:rStyle w:val="a9"/>
            <w:rFonts w:ascii="Times New Roman" w:hAnsi="Times New Roman" w:cs="Times New Roman"/>
            <w:color w:val="auto"/>
            <w:sz w:val="28"/>
            <w:szCs w:val="28"/>
            <w:u w:val="none"/>
            <w:lang w:val="en-US"/>
          </w:rPr>
          <w:t>content</w:t>
        </w:r>
        <w:r w:rsidR="0028043D" w:rsidRPr="00D47B05">
          <w:rPr>
            <w:rStyle w:val="a9"/>
            <w:rFonts w:ascii="Times New Roman" w:hAnsi="Times New Roman" w:cs="Times New Roman"/>
            <w:color w:val="auto"/>
            <w:sz w:val="28"/>
            <w:szCs w:val="28"/>
            <w:u w:val="none"/>
          </w:rPr>
          <w:t>/</w:t>
        </w:r>
        <w:r w:rsidR="0028043D" w:rsidRPr="0028043D">
          <w:rPr>
            <w:rStyle w:val="a9"/>
            <w:rFonts w:ascii="Times New Roman" w:hAnsi="Times New Roman" w:cs="Times New Roman"/>
            <w:color w:val="auto"/>
            <w:sz w:val="28"/>
            <w:szCs w:val="28"/>
            <w:u w:val="none"/>
            <w:lang w:val="en-US"/>
          </w:rPr>
          <w:t>uploads</w:t>
        </w:r>
        <w:r w:rsidR="0028043D" w:rsidRPr="00D47B05">
          <w:rPr>
            <w:rStyle w:val="a9"/>
            <w:rFonts w:ascii="Times New Roman" w:hAnsi="Times New Roman" w:cs="Times New Roman"/>
            <w:color w:val="auto"/>
            <w:sz w:val="28"/>
            <w:szCs w:val="28"/>
            <w:u w:val="none"/>
          </w:rPr>
          <w:t>/2014/05/2013_02_46-52.</w:t>
        </w:r>
        <w:r w:rsidR="0028043D" w:rsidRPr="0028043D">
          <w:rPr>
            <w:rStyle w:val="a9"/>
            <w:rFonts w:ascii="Times New Roman" w:hAnsi="Times New Roman" w:cs="Times New Roman"/>
            <w:color w:val="auto"/>
            <w:sz w:val="28"/>
            <w:szCs w:val="28"/>
            <w:u w:val="none"/>
            <w:lang w:val="en-US"/>
          </w:rPr>
          <w:t>pdf</w:t>
        </w:r>
      </w:hyperlink>
    </w:p>
    <w:p w:rsidR="0028043D" w:rsidRDefault="00DC132C"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96</w:t>
      </w:r>
      <w:r w:rsidR="0028043D">
        <w:rPr>
          <w:rFonts w:ascii="Times New Roman" w:hAnsi="Times New Roman" w:cs="Times New Roman"/>
          <w:sz w:val="28"/>
          <w:szCs w:val="28"/>
          <w:lang w:val="en-US"/>
        </w:rPr>
        <w:t xml:space="preserve">. </w:t>
      </w:r>
      <w:r w:rsidR="00AC2FCE" w:rsidRPr="00AC2FCE">
        <w:rPr>
          <w:rFonts w:ascii="Times New Roman" w:hAnsi="Times New Roman" w:cs="Times New Roman"/>
          <w:sz w:val="28"/>
          <w:szCs w:val="28"/>
          <w:lang w:val="en-US"/>
        </w:rPr>
        <w:t>Xie</w:t>
      </w:r>
      <w:r w:rsidR="00AC2FCE">
        <w:rPr>
          <w:rFonts w:ascii="Times New Roman" w:hAnsi="Times New Roman" w:cs="Times New Roman"/>
          <w:sz w:val="28"/>
          <w:szCs w:val="28"/>
          <w:lang w:val="en-US"/>
        </w:rPr>
        <w:t xml:space="preserve"> M, </w:t>
      </w:r>
      <w:r w:rsidR="00AC2FCE" w:rsidRPr="00AC2FCE">
        <w:rPr>
          <w:rFonts w:ascii="Times New Roman" w:hAnsi="Times New Roman" w:cs="Times New Roman"/>
          <w:sz w:val="28"/>
          <w:szCs w:val="28"/>
          <w:lang w:val="en-US"/>
        </w:rPr>
        <w:t>Burchfield</w:t>
      </w:r>
      <w:r w:rsidR="00AC2FCE">
        <w:rPr>
          <w:rFonts w:ascii="Times New Roman" w:hAnsi="Times New Roman" w:cs="Times New Roman"/>
          <w:sz w:val="28"/>
          <w:szCs w:val="28"/>
          <w:lang w:val="en-US"/>
        </w:rPr>
        <w:t xml:space="preserve"> JS, </w:t>
      </w:r>
      <w:r w:rsidR="00AC2FCE" w:rsidRPr="00AC2FCE">
        <w:rPr>
          <w:rFonts w:ascii="Times New Roman" w:hAnsi="Times New Roman" w:cs="Times New Roman"/>
          <w:sz w:val="28"/>
          <w:szCs w:val="28"/>
          <w:lang w:val="en-US"/>
        </w:rPr>
        <w:t>Hill</w:t>
      </w:r>
      <w:r w:rsidR="00AC2FCE">
        <w:rPr>
          <w:rFonts w:ascii="Times New Roman" w:hAnsi="Times New Roman" w:cs="Times New Roman"/>
          <w:sz w:val="28"/>
          <w:szCs w:val="28"/>
          <w:lang w:val="en-US"/>
        </w:rPr>
        <w:t xml:space="preserve"> JA. </w:t>
      </w:r>
      <w:r w:rsidR="00AC2FCE" w:rsidRPr="00AC2FCE">
        <w:rPr>
          <w:rFonts w:ascii="Times New Roman" w:hAnsi="Times New Roman" w:cs="Times New Roman"/>
          <w:sz w:val="28"/>
          <w:szCs w:val="28"/>
          <w:lang w:val="en-US"/>
        </w:rPr>
        <w:t>Pathological Ventricular Remodeling: Mechanisms: Part 1 of 2</w:t>
      </w:r>
      <w:r w:rsidR="00AC2FCE">
        <w:rPr>
          <w:rFonts w:ascii="Times New Roman" w:hAnsi="Times New Roman" w:cs="Times New Roman"/>
          <w:sz w:val="28"/>
          <w:szCs w:val="28"/>
          <w:lang w:val="en-US"/>
        </w:rPr>
        <w:t xml:space="preserve">. </w:t>
      </w:r>
      <w:r w:rsidR="00AC2FCE" w:rsidRPr="00AC2FCE">
        <w:rPr>
          <w:rFonts w:ascii="Times New Roman" w:hAnsi="Times New Roman" w:cs="Times New Roman"/>
          <w:sz w:val="28"/>
          <w:szCs w:val="28"/>
          <w:lang w:val="en-US"/>
        </w:rPr>
        <w:t>Circulation</w:t>
      </w:r>
      <w:r w:rsidR="00AC2FCE">
        <w:rPr>
          <w:rFonts w:ascii="Times New Roman" w:hAnsi="Times New Roman" w:cs="Times New Roman"/>
          <w:sz w:val="28"/>
          <w:szCs w:val="28"/>
          <w:lang w:val="en-US"/>
        </w:rPr>
        <w:t xml:space="preserve"> </w:t>
      </w:r>
      <w:r w:rsidR="00AC2FCE" w:rsidRPr="00AC2FCE">
        <w:rPr>
          <w:rFonts w:ascii="Times New Roman" w:hAnsi="Times New Roman" w:cs="Times New Roman"/>
          <w:sz w:val="28"/>
          <w:szCs w:val="28"/>
          <w:lang w:val="en-US"/>
        </w:rPr>
        <w:t>[Internet].</w:t>
      </w:r>
      <w:r w:rsidR="00AC2FCE">
        <w:rPr>
          <w:rFonts w:ascii="Times New Roman" w:hAnsi="Times New Roman" w:cs="Times New Roman"/>
          <w:sz w:val="28"/>
          <w:szCs w:val="28"/>
          <w:lang w:val="en-US"/>
        </w:rPr>
        <w:t xml:space="preserve"> 2013 Jul 23;128(4):388-</w:t>
      </w:r>
      <w:r w:rsidR="00AC2FCE" w:rsidRPr="00AC2FCE">
        <w:rPr>
          <w:rFonts w:ascii="Times New Roman" w:hAnsi="Times New Roman" w:cs="Times New Roman"/>
          <w:sz w:val="28"/>
          <w:szCs w:val="28"/>
          <w:lang w:val="en-US"/>
        </w:rPr>
        <w:t>400.</w:t>
      </w:r>
      <w:r w:rsidR="00AC2FCE">
        <w:rPr>
          <w:rFonts w:ascii="Times New Roman" w:hAnsi="Times New Roman" w:cs="Times New Roman"/>
          <w:sz w:val="28"/>
          <w:szCs w:val="28"/>
          <w:lang w:val="en-US"/>
        </w:rPr>
        <w:t xml:space="preserve">  </w:t>
      </w:r>
      <w:r w:rsidR="00AC2FCE" w:rsidRPr="00AC2FCE">
        <w:rPr>
          <w:rFonts w:ascii="Times New Roman" w:hAnsi="Times New Roman" w:cs="Times New Roman"/>
          <w:sz w:val="28"/>
          <w:szCs w:val="28"/>
          <w:lang w:val="en-US"/>
        </w:rPr>
        <w:t>Available from:</w:t>
      </w:r>
      <w:r w:rsidR="00AC2FCE">
        <w:rPr>
          <w:rFonts w:ascii="Times New Roman" w:hAnsi="Times New Roman" w:cs="Times New Roman"/>
          <w:sz w:val="28"/>
          <w:szCs w:val="28"/>
          <w:lang w:val="en-US"/>
        </w:rPr>
        <w:t xml:space="preserve"> </w:t>
      </w:r>
      <w:hyperlink r:id="rId76" w:history="1">
        <w:r w:rsidR="00AC2FCE" w:rsidRPr="00AC2FCE">
          <w:rPr>
            <w:rStyle w:val="a9"/>
            <w:rFonts w:ascii="Times New Roman" w:hAnsi="Times New Roman" w:cs="Times New Roman"/>
            <w:color w:val="auto"/>
            <w:sz w:val="28"/>
            <w:szCs w:val="28"/>
            <w:u w:val="none"/>
            <w:lang w:val="en-US"/>
          </w:rPr>
          <w:t>https://www.ncbi.nlm.nih.gov/pmc/articles/PMC3801217/</w:t>
        </w:r>
      </w:hyperlink>
    </w:p>
    <w:p w:rsidR="00AC2FCE" w:rsidRDefault="00AC2FCE"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AC2FCE">
        <w:rPr>
          <w:rFonts w:ascii="Times New Roman" w:hAnsi="Times New Roman" w:cs="Times New Roman"/>
          <w:sz w:val="28"/>
          <w:szCs w:val="28"/>
          <w:lang w:val="en-US"/>
        </w:rPr>
        <w:t>10.1161/CIRCULATIONAHA.113.001878</w:t>
      </w:r>
    </w:p>
    <w:p w:rsidR="00DA5736" w:rsidRPr="00D4567E"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97</w:t>
      </w:r>
      <w:r w:rsidR="00AC2FCE" w:rsidRPr="00D4567E">
        <w:rPr>
          <w:rFonts w:ascii="Times New Roman" w:hAnsi="Times New Roman" w:cs="Times New Roman"/>
          <w:sz w:val="28"/>
          <w:szCs w:val="28"/>
          <w:lang w:val="en-US"/>
        </w:rPr>
        <w:t>.</w:t>
      </w:r>
      <w:r w:rsidR="008C2CC2">
        <w:rPr>
          <w:rFonts w:ascii="Times New Roman" w:hAnsi="Times New Roman" w:cs="Times New Roman"/>
          <w:sz w:val="28"/>
          <w:szCs w:val="28"/>
          <w:lang w:val="uk-UA"/>
        </w:rPr>
        <w:t xml:space="preserve"> Коваль СН, </w:t>
      </w:r>
      <w:r w:rsidR="008C2CC2" w:rsidRPr="008C2CC2">
        <w:rPr>
          <w:rFonts w:ascii="Times New Roman" w:hAnsi="Times New Roman" w:cs="Times New Roman"/>
          <w:sz w:val="28"/>
          <w:szCs w:val="28"/>
          <w:lang w:val="uk-UA"/>
        </w:rPr>
        <w:t>Старченко</w:t>
      </w:r>
      <w:r w:rsidR="008C2CC2">
        <w:rPr>
          <w:rFonts w:ascii="Times New Roman" w:hAnsi="Times New Roman" w:cs="Times New Roman"/>
          <w:sz w:val="28"/>
          <w:szCs w:val="28"/>
          <w:lang w:val="uk-UA"/>
        </w:rPr>
        <w:t xml:space="preserve"> ТГ.</w:t>
      </w:r>
      <w:r w:rsidR="008C2CC2" w:rsidRPr="008C2CC2">
        <w:rPr>
          <w:rFonts w:ascii="Times New Roman" w:hAnsi="Times New Roman" w:cs="Times New Roman"/>
          <w:sz w:val="28"/>
          <w:szCs w:val="28"/>
          <w:lang w:val="uk-UA"/>
        </w:rPr>
        <w:t xml:space="preserve"> Особенности ремоделирования левог желудочка сердца у больных гипертонической болезнью, ассоциированной с </w:t>
      </w:r>
      <w:r w:rsidR="008C2CC2">
        <w:rPr>
          <w:rFonts w:ascii="Times New Roman" w:hAnsi="Times New Roman" w:cs="Times New Roman"/>
          <w:sz w:val="28"/>
          <w:szCs w:val="28"/>
          <w:lang w:val="uk-UA"/>
        </w:rPr>
        <w:t xml:space="preserve">сахарным диабетом 2-типа. </w:t>
      </w:r>
      <w:r w:rsidR="008C2CC2" w:rsidRPr="008C2CC2">
        <w:rPr>
          <w:rFonts w:ascii="Times New Roman" w:hAnsi="Times New Roman" w:cs="Times New Roman"/>
          <w:sz w:val="28"/>
          <w:szCs w:val="28"/>
          <w:lang w:val="uk-UA"/>
        </w:rPr>
        <w:t>Укра</w:t>
      </w:r>
      <w:r w:rsidR="008C2CC2">
        <w:rPr>
          <w:rFonts w:ascii="Times New Roman" w:hAnsi="Times New Roman" w:cs="Times New Roman"/>
          <w:sz w:val="28"/>
          <w:szCs w:val="28"/>
          <w:lang w:val="uk-UA"/>
        </w:rPr>
        <w:t>їнський терапевтичний журнал</w:t>
      </w:r>
      <w:r w:rsidR="008C2CC2" w:rsidRPr="00DA5736">
        <w:rPr>
          <w:rFonts w:ascii="Times New Roman" w:hAnsi="Times New Roman" w:cs="Times New Roman"/>
          <w:sz w:val="28"/>
          <w:szCs w:val="28"/>
        </w:rPr>
        <w:t xml:space="preserve"> [Інтернет]</w:t>
      </w:r>
      <w:r w:rsidR="008C2CC2">
        <w:rPr>
          <w:rFonts w:ascii="Times New Roman" w:hAnsi="Times New Roman" w:cs="Times New Roman"/>
          <w:sz w:val="28"/>
          <w:szCs w:val="28"/>
          <w:lang w:val="uk-UA"/>
        </w:rPr>
        <w:t>. 2010</w:t>
      </w:r>
      <w:r w:rsidR="008C2CC2" w:rsidRPr="008C2CC2">
        <w:rPr>
          <w:rFonts w:ascii="Times New Roman" w:hAnsi="Times New Roman" w:cs="Times New Roman"/>
          <w:sz w:val="28"/>
          <w:szCs w:val="28"/>
        </w:rPr>
        <w:t>;</w:t>
      </w:r>
      <w:r w:rsidR="008C2CC2">
        <w:rPr>
          <w:rFonts w:ascii="Times New Roman" w:hAnsi="Times New Roman" w:cs="Times New Roman"/>
          <w:sz w:val="28"/>
          <w:szCs w:val="28"/>
          <w:lang w:val="uk-UA"/>
        </w:rPr>
        <w:t>1</w:t>
      </w:r>
      <w:r w:rsidR="008C2CC2" w:rsidRPr="00DA5736">
        <w:rPr>
          <w:rFonts w:ascii="Times New Roman" w:hAnsi="Times New Roman" w:cs="Times New Roman"/>
          <w:sz w:val="28"/>
          <w:szCs w:val="28"/>
        </w:rPr>
        <w:t>:</w:t>
      </w:r>
      <w:r w:rsidR="008C2CC2">
        <w:rPr>
          <w:rFonts w:ascii="Times New Roman" w:hAnsi="Times New Roman" w:cs="Times New Roman"/>
          <w:sz w:val="28"/>
          <w:szCs w:val="28"/>
          <w:lang w:val="uk-UA"/>
        </w:rPr>
        <w:t>68</w:t>
      </w:r>
      <w:r w:rsidR="008C2CC2" w:rsidRPr="00DA5736">
        <w:rPr>
          <w:rFonts w:ascii="Times New Roman" w:hAnsi="Times New Roman" w:cs="Times New Roman"/>
          <w:sz w:val="28"/>
          <w:szCs w:val="28"/>
        </w:rPr>
        <w:t>-</w:t>
      </w:r>
      <w:r w:rsidR="008C2CC2" w:rsidRPr="008C2CC2">
        <w:rPr>
          <w:rFonts w:ascii="Times New Roman" w:hAnsi="Times New Roman" w:cs="Times New Roman"/>
          <w:sz w:val="28"/>
          <w:szCs w:val="28"/>
          <w:lang w:val="uk-UA"/>
        </w:rPr>
        <w:t>72</w:t>
      </w:r>
      <w:r w:rsidR="008C2CC2" w:rsidRPr="00DA5736">
        <w:rPr>
          <w:rFonts w:ascii="Times New Roman" w:hAnsi="Times New Roman" w:cs="Times New Roman"/>
          <w:sz w:val="28"/>
          <w:szCs w:val="28"/>
        </w:rPr>
        <w:t xml:space="preserve">. Доступно на: </w:t>
      </w:r>
    </w:p>
    <w:p w:rsidR="00AC2FCE" w:rsidRPr="00D4567E" w:rsidRDefault="000A6805" w:rsidP="00F90BD3">
      <w:pPr>
        <w:tabs>
          <w:tab w:val="left" w:pos="2880"/>
        </w:tabs>
        <w:spacing w:after="0" w:line="360" w:lineRule="auto"/>
        <w:jc w:val="both"/>
        <w:rPr>
          <w:rFonts w:ascii="Times New Roman" w:hAnsi="Times New Roman" w:cs="Times New Roman"/>
          <w:sz w:val="28"/>
          <w:szCs w:val="28"/>
        </w:rPr>
      </w:pPr>
      <w:hyperlink r:id="rId77" w:history="1">
        <w:r w:rsidR="00DA5736" w:rsidRPr="00DA5736">
          <w:rPr>
            <w:rStyle w:val="a9"/>
            <w:rFonts w:ascii="Times New Roman" w:hAnsi="Times New Roman" w:cs="Times New Roman"/>
            <w:color w:val="auto"/>
            <w:sz w:val="28"/>
            <w:szCs w:val="28"/>
            <w:u w:val="none"/>
            <w:lang w:val="en-US"/>
          </w:rPr>
          <w:t>http</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www</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vitapol</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com</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ua</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user</w:t>
        </w:r>
        <w:r w:rsidR="00DA5736" w:rsidRPr="00D4567E">
          <w:rPr>
            <w:rStyle w:val="a9"/>
            <w:rFonts w:ascii="Times New Roman" w:hAnsi="Times New Roman" w:cs="Times New Roman"/>
            <w:color w:val="auto"/>
            <w:sz w:val="28"/>
            <w:szCs w:val="28"/>
            <w:u w:val="none"/>
          </w:rPr>
          <w:t>_</w:t>
        </w:r>
        <w:r w:rsidR="00DA5736" w:rsidRPr="00DA5736">
          <w:rPr>
            <w:rStyle w:val="a9"/>
            <w:rFonts w:ascii="Times New Roman" w:hAnsi="Times New Roman" w:cs="Times New Roman"/>
            <w:color w:val="auto"/>
            <w:sz w:val="28"/>
            <w:szCs w:val="28"/>
            <w:u w:val="none"/>
            <w:lang w:val="en-US"/>
          </w:rPr>
          <w:t>files</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pdfs</w:t>
        </w:r>
        <w:r w:rsidR="00DA5736" w:rsidRPr="00D4567E">
          <w:rPr>
            <w:rStyle w:val="a9"/>
            <w:rFonts w:ascii="Times New Roman" w:hAnsi="Times New Roman" w:cs="Times New Roman"/>
            <w:color w:val="auto"/>
            <w:sz w:val="28"/>
            <w:szCs w:val="28"/>
            <w:u w:val="none"/>
          </w:rPr>
          <w:t>/</w:t>
        </w:r>
        <w:r w:rsidR="00DA5736" w:rsidRPr="00DA5736">
          <w:rPr>
            <w:rStyle w:val="a9"/>
            <w:rFonts w:ascii="Times New Roman" w:hAnsi="Times New Roman" w:cs="Times New Roman"/>
            <w:color w:val="auto"/>
            <w:sz w:val="28"/>
            <w:szCs w:val="28"/>
            <w:u w:val="none"/>
            <w:lang w:val="en-US"/>
          </w:rPr>
          <w:t>utj</w:t>
        </w:r>
        <w:r w:rsidR="00DA5736" w:rsidRPr="00D4567E">
          <w:rPr>
            <w:rStyle w:val="a9"/>
            <w:rFonts w:ascii="Times New Roman" w:hAnsi="Times New Roman" w:cs="Times New Roman"/>
            <w:color w:val="auto"/>
            <w:sz w:val="28"/>
            <w:szCs w:val="28"/>
            <w:u w:val="none"/>
          </w:rPr>
          <w:t>/494180905979057_06062010124759.</w:t>
        </w:r>
        <w:r w:rsidR="00DA5736" w:rsidRPr="00DA5736">
          <w:rPr>
            <w:rStyle w:val="a9"/>
            <w:rFonts w:ascii="Times New Roman" w:hAnsi="Times New Roman" w:cs="Times New Roman"/>
            <w:color w:val="auto"/>
            <w:sz w:val="28"/>
            <w:szCs w:val="28"/>
            <w:u w:val="none"/>
            <w:lang w:val="en-US"/>
          </w:rPr>
          <w:t>pdf</w:t>
        </w:r>
      </w:hyperlink>
      <w:r w:rsidR="00DA5736" w:rsidRPr="00D4567E">
        <w:rPr>
          <w:rFonts w:ascii="Times New Roman" w:hAnsi="Times New Roman" w:cs="Times New Roman"/>
          <w:sz w:val="28"/>
          <w:szCs w:val="28"/>
        </w:rPr>
        <w:t xml:space="preserve"> </w:t>
      </w:r>
    </w:p>
    <w:p w:rsidR="00DA5736" w:rsidRDefault="00DC132C"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9</w:t>
      </w:r>
      <w:r w:rsidRPr="00EA6F81">
        <w:rPr>
          <w:rFonts w:ascii="Times New Roman" w:hAnsi="Times New Roman" w:cs="Times New Roman"/>
          <w:sz w:val="28"/>
          <w:szCs w:val="28"/>
        </w:rPr>
        <w:t>8</w:t>
      </w:r>
      <w:r w:rsidR="00DA5736" w:rsidRPr="00D4567E">
        <w:rPr>
          <w:rFonts w:ascii="Times New Roman" w:hAnsi="Times New Roman" w:cs="Times New Roman"/>
          <w:sz w:val="28"/>
          <w:szCs w:val="28"/>
        </w:rPr>
        <w:t>.</w:t>
      </w:r>
      <w:r w:rsidR="00722272" w:rsidRPr="00B04BB7">
        <w:rPr>
          <w:rFonts w:ascii="Times New Roman" w:hAnsi="Times New Roman" w:cs="Times New Roman"/>
          <w:sz w:val="28"/>
          <w:szCs w:val="28"/>
        </w:rPr>
        <w:t xml:space="preserve"> </w:t>
      </w:r>
      <w:r w:rsidR="00D4567E">
        <w:rPr>
          <w:rFonts w:ascii="Times New Roman" w:hAnsi="Times New Roman" w:cs="Times New Roman"/>
          <w:sz w:val="28"/>
          <w:szCs w:val="28"/>
          <w:lang w:val="uk-UA"/>
        </w:rPr>
        <w:t>Кочуева М</w:t>
      </w:r>
      <w:r w:rsidR="00D4567E" w:rsidRPr="00D4567E">
        <w:rPr>
          <w:rFonts w:ascii="Times New Roman" w:hAnsi="Times New Roman" w:cs="Times New Roman"/>
          <w:sz w:val="28"/>
          <w:szCs w:val="28"/>
          <w:lang w:val="uk-UA"/>
        </w:rPr>
        <w:t>Н. Артериальная гипертензия с ожирением: кардиоваскулярный риск и подх</w:t>
      </w:r>
      <w:r w:rsidR="00D4567E">
        <w:rPr>
          <w:rFonts w:ascii="Times New Roman" w:hAnsi="Times New Roman" w:cs="Times New Roman"/>
          <w:sz w:val="28"/>
          <w:szCs w:val="28"/>
          <w:lang w:val="uk-UA"/>
        </w:rPr>
        <w:t>оды к лечению.</w:t>
      </w:r>
      <w:r w:rsidR="00F57EEB">
        <w:rPr>
          <w:rFonts w:ascii="Times New Roman" w:hAnsi="Times New Roman" w:cs="Times New Roman"/>
          <w:sz w:val="28"/>
          <w:szCs w:val="28"/>
          <w:lang w:val="uk-UA"/>
        </w:rPr>
        <w:t xml:space="preserve"> Здоров’я України</w:t>
      </w:r>
      <w:r w:rsidR="00F57EEB" w:rsidRPr="009465F9">
        <w:rPr>
          <w:rFonts w:ascii="Times New Roman" w:hAnsi="Times New Roman" w:cs="Times New Roman"/>
          <w:sz w:val="28"/>
          <w:szCs w:val="28"/>
          <w:lang w:val="uk-UA"/>
        </w:rPr>
        <w:t xml:space="preserve"> [</w:t>
      </w:r>
      <w:r w:rsidR="00F57EEB">
        <w:rPr>
          <w:rFonts w:ascii="Times New Roman" w:hAnsi="Times New Roman" w:cs="Times New Roman"/>
          <w:sz w:val="28"/>
          <w:szCs w:val="28"/>
          <w:lang w:val="uk-UA"/>
        </w:rPr>
        <w:t>Інтернет</w:t>
      </w:r>
      <w:r w:rsidR="00F57EEB" w:rsidRPr="009465F9">
        <w:rPr>
          <w:rFonts w:ascii="Times New Roman" w:hAnsi="Times New Roman" w:cs="Times New Roman"/>
          <w:sz w:val="28"/>
          <w:szCs w:val="28"/>
          <w:lang w:val="uk-UA"/>
        </w:rPr>
        <w:t>]</w:t>
      </w:r>
      <w:r w:rsidR="00F57EEB">
        <w:rPr>
          <w:rFonts w:ascii="Times New Roman" w:hAnsi="Times New Roman" w:cs="Times New Roman"/>
          <w:sz w:val="28"/>
          <w:szCs w:val="28"/>
          <w:lang w:val="uk-UA"/>
        </w:rPr>
        <w:t xml:space="preserve">. </w:t>
      </w:r>
      <w:r w:rsidR="00D4567E" w:rsidRPr="00D4567E">
        <w:rPr>
          <w:rFonts w:ascii="Times New Roman" w:hAnsi="Times New Roman" w:cs="Times New Roman"/>
          <w:sz w:val="28"/>
          <w:szCs w:val="28"/>
          <w:lang w:val="uk-UA"/>
        </w:rPr>
        <w:t>2016</w:t>
      </w:r>
      <w:r w:rsidR="00F57EEB" w:rsidRPr="009465F9">
        <w:rPr>
          <w:rFonts w:ascii="Times New Roman" w:hAnsi="Times New Roman" w:cs="Times New Roman"/>
          <w:sz w:val="28"/>
          <w:szCs w:val="28"/>
          <w:lang w:val="uk-UA"/>
        </w:rPr>
        <w:t>;</w:t>
      </w:r>
      <w:r w:rsidR="00F57EEB">
        <w:rPr>
          <w:rFonts w:ascii="Times New Roman" w:hAnsi="Times New Roman" w:cs="Times New Roman"/>
          <w:sz w:val="28"/>
          <w:szCs w:val="28"/>
          <w:lang w:val="uk-UA"/>
        </w:rPr>
        <w:t>(3)376</w:t>
      </w:r>
      <w:r w:rsidR="00F57EEB" w:rsidRPr="009465F9">
        <w:rPr>
          <w:rFonts w:ascii="Times New Roman" w:hAnsi="Times New Roman" w:cs="Times New Roman"/>
          <w:sz w:val="28"/>
          <w:szCs w:val="28"/>
          <w:lang w:val="uk-UA"/>
        </w:rPr>
        <w:t xml:space="preserve">:10-1. Доступно на: </w:t>
      </w:r>
      <w:r w:rsidR="00F57EEB" w:rsidRPr="00F57EEB">
        <w:rPr>
          <w:rFonts w:ascii="Times New Roman" w:hAnsi="Times New Roman" w:cs="Times New Roman"/>
          <w:sz w:val="28"/>
          <w:szCs w:val="28"/>
          <w:lang w:val="en-US"/>
        </w:rPr>
        <w:t>Book</w:t>
      </w:r>
      <w:r w:rsidR="00F57EEB" w:rsidRPr="009465F9">
        <w:rPr>
          <w:rFonts w:ascii="Times New Roman" w:hAnsi="Times New Roman" w:cs="Times New Roman"/>
          <w:sz w:val="28"/>
          <w:szCs w:val="28"/>
          <w:lang w:val="uk-UA"/>
        </w:rPr>
        <w:t>_</w:t>
      </w:r>
      <w:r w:rsidR="00F57EEB" w:rsidRPr="00F57EEB">
        <w:rPr>
          <w:rFonts w:ascii="Times New Roman" w:hAnsi="Times New Roman" w:cs="Times New Roman"/>
          <w:sz w:val="28"/>
          <w:szCs w:val="28"/>
          <w:lang w:val="en-US"/>
        </w:rPr>
        <w:t>ZU</w:t>
      </w:r>
      <w:r w:rsidR="00F57EEB" w:rsidRPr="009465F9">
        <w:rPr>
          <w:rFonts w:ascii="Times New Roman" w:hAnsi="Times New Roman" w:cs="Times New Roman"/>
          <w:sz w:val="28"/>
          <w:szCs w:val="28"/>
          <w:lang w:val="uk-UA"/>
        </w:rPr>
        <w:t>_03_2016_</w:t>
      </w:r>
      <w:r w:rsidR="00F57EEB" w:rsidRPr="00F57EEB">
        <w:rPr>
          <w:rFonts w:ascii="Times New Roman" w:hAnsi="Times New Roman" w:cs="Times New Roman"/>
          <w:sz w:val="28"/>
          <w:szCs w:val="28"/>
          <w:lang w:val="en-US"/>
        </w:rPr>
        <w:t>for</w:t>
      </w:r>
      <w:r w:rsidR="00F57EEB" w:rsidRPr="009465F9">
        <w:rPr>
          <w:rFonts w:ascii="Times New Roman" w:hAnsi="Times New Roman" w:cs="Times New Roman"/>
          <w:sz w:val="28"/>
          <w:szCs w:val="28"/>
          <w:lang w:val="uk-UA"/>
        </w:rPr>
        <w:t>_</w:t>
      </w:r>
      <w:r w:rsidR="00F57EEB" w:rsidRPr="00F57EEB">
        <w:rPr>
          <w:rFonts w:ascii="Times New Roman" w:hAnsi="Times New Roman" w:cs="Times New Roman"/>
          <w:sz w:val="28"/>
          <w:szCs w:val="28"/>
          <w:lang w:val="en-US"/>
        </w:rPr>
        <w:t>site</w:t>
      </w:r>
      <w:r w:rsidR="00F57EEB" w:rsidRPr="009465F9">
        <w:rPr>
          <w:rFonts w:ascii="Times New Roman" w:hAnsi="Times New Roman" w:cs="Times New Roman"/>
          <w:sz w:val="28"/>
          <w:szCs w:val="28"/>
          <w:lang w:val="uk-UA"/>
        </w:rPr>
        <w:t>_</w:t>
      </w:r>
      <w:r w:rsidR="00F57EEB" w:rsidRPr="00F57EEB">
        <w:rPr>
          <w:rFonts w:ascii="Times New Roman" w:hAnsi="Times New Roman" w:cs="Times New Roman"/>
          <w:sz w:val="28"/>
          <w:szCs w:val="28"/>
          <w:lang w:val="en-US"/>
        </w:rPr>
        <w:t>opt</w:t>
      </w:r>
      <w:r w:rsidR="00F57EEB" w:rsidRPr="009465F9">
        <w:rPr>
          <w:rFonts w:ascii="Times New Roman" w:hAnsi="Times New Roman" w:cs="Times New Roman"/>
          <w:sz w:val="28"/>
          <w:szCs w:val="28"/>
          <w:lang w:val="uk-UA"/>
        </w:rPr>
        <w:t>.</w:t>
      </w:r>
      <w:r w:rsidR="00F57EEB" w:rsidRPr="00F57EEB">
        <w:rPr>
          <w:rFonts w:ascii="Times New Roman" w:hAnsi="Times New Roman" w:cs="Times New Roman"/>
          <w:sz w:val="28"/>
          <w:szCs w:val="28"/>
          <w:lang w:val="en-US"/>
        </w:rPr>
        <w:t>pdf</w:t>
      </w:r>
    </w:p>
    <w:p w:rsidR="00375E29" w:rsidRPr="009465F9" w:rsidRDefault="00DC132C"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9</w:t>
      </w:r>
      <w:r w:rsidRPr="00EA6F81">
        <w:rPr>
          <w:rFonts w:ascii="Times New Roman" w:hAnsi="Times New Roman" w:cs="Times New Roman"/>
          <w:sz w:val="28"/>
          <w:szCs w:val="28"/>
        </w:rPr>
        <w:t>9</w:t>
      </w:r>
      <w:r w:rsidR="00F57EEB">
        <w:rPr>
          <w:rFonts w:ascii="Times New Roman" w:hAnsi="Times New Roman" w:cs="Times New Roman"/>
          <w:sz w:val="28"/>
          <w:szCs w:val="28"/>
          <w:lang w:val="uk-UA"/>
        </w:rPr>
        <w:t>.</w:t>
      </w:r>
      <w:r w:rsidR="00375E29" w:rsidRPr="00375E29">
        <w:rPr>
          <w:rFonts w:ascii="Times New Roman" w:hAnsi="Times New Roman" w:cs="Times New Roman"/>
          <w:sz w:val="28"/>
          <w:szCs w:val="28"/>
          <w:lang w:val="uk-UA"/>
        </w:rPr>
        <w:t xml:space="preserve"> Скибчик</w:t>
      </w:r>
      <w:r w:rsidR="00375E29">
        <w:rPr>
          <w:rFonts w:ascii="Times New Roman" w:hAnsi="Times New Roman" w:cs="Times New Roman"/>
          <w:sz w:val="28"/>
          <w:szCs w:val="28"/>
          <w:lang w:val="uk-UA"/>
        </w:rPr>
        <w:t xml:space="preserve"> ВА,</w:t>
      </w:r>
      <w:r w:rsidR="00375E29" w:rsidRPr="00375E29">
        <w:rPr>
          <w:rFonts w:ascii="Times New Roman" w:hAnsi="Times New Roman" w:cs="Times New Roman"/>
          <w:sz w:val="28"/>
          <w:szCs w:val="28"/>
          <w:lang w:val="uk-UA"/>
        </w:rPr>
        <w:t xml:space="preserve"> Молчко</w:t>
      </w:r>
      <w:r w:rsidR="00375E29">
        <w:rPr>
          <w:rFonts w:ascii="Times New Roman" w:hAnsi="Times New Roman" w:cs="Times New Roman"/>
          <w:sz w:val="28"/>
          <w:szCs w:val="28"/>
          <w:lang w:val="uk-UA"/>
        </w:rPr>
        <w:t xml:space="preserve"> ОЮ.</w:t>
      </w:r>
      <w:r w:rsidR="00375E29" w:rsidRPr="00375E29">
        <w:rPr>
          <w:rFonts w:ascii="Times New Roman" w:hAnsi="Times New Roman" w:cs="Times New Roman"/>
          <w:sz w:val="28"/>
          <w:szCs w:val="28"/>
          <w:lang w:val="uk-UA"/>
        </w:rPr>
        <w:t xml:space="preserve"> Сучасні підходи до лікування хворих на діастолічну серцеву недостатність та цукровий діабет</w:t>
      </w:r>
      <w:r w:rsidR="00375E29">
        <w:rPr>
          <w:rFonts w:ascii="Times New Roman" w:hAnsi="Times New Roman" w:cs="Times New Roman"/>
          <w:sz w:val="28"/>
          <w:szCs w:val="28"/>
          <w:lang w:val="uk-UA"/>
        </w:rPr>
        <w:t>. Ліки України</w:t>
      </w:r>
      <w:r w:rsidR="00375E29" w:rsidRPr="00375E29">
        <w:rPr>
          <w:rFonts w:ascii="Times New Roman" w:hAnsi="Times New Roman" w:cs="Times New Roman"/>
          <w:sz w:val="28"/>
          <w:szCs w:val="28"/>
        </w:rPr>
        <w:t xml:space="preserve"> </w:t>
      </w:r>
      <w:r w:rsidR="00375E29" w:rsidRPr="00375E29">
        <w:rPr>
          <w:rFonts w:ascii="Times New Roman" w:hAnsi="Times New Roman" w:cs="Times New Roman"/>
          <w:sz w:val="28"/>
          <w:szCs w:val="28"/>
          <w:lang w:val="uk-UA"/>
        </w:rPr>
        <w:t>[Інтернет]</w:t>
      </w:r>
      <w:r w:rsidR="00375E29">
        <w:rPr>
          <w:rFonts w:ascii="Times New Roman" w:hAnsi="Times New Roman" w:cs="Times New Roman"/>
          <w:sz w:val="28"/>
          <w:szCs w:val="28"/>
          <w:lang w:val="uk-UA"/>
        </w:rPr>
        <w:t>. 2015</w:t>
      </w:r>
      <w:r w:rsidR="00375E29" w:rsidRPr="00375E29">
        <w:rPr>
          <w:rFonts w:ascii="Times New Roman" w:hAnsi="Times New Roman" w:cs="Times New Roman"/>
          <w:sz w:val="28"/>
          <w:szCs w:val="28"/>
        </w:rPr>
        <w:t>;</w:t>
      </w:r>
      <w:r w:rsidR="00375E29">
        <w:rPr>
          <w:rFonts w:ascii="Times New Roman" w:hAnsi="Times New Roman" w:cs="Times New Roman"/>
          <w:sz w:val="28"/>
          <w:szCs w:val="28"/>
          <w:lang w:val="uk-UA"/>
        </w:rPr>
        <w:t>9</w:t>
      </w:r>
      <w:r w:rsidR="00375E29" w:rsidRPr="00375E29">
        <w:rPr>
          <w:rFonts w:ascii="Times New Roman" w:hAnsi="Times New Roman" w:cs="Times New Roman"/>
          <w:sz w:val="28"/>
          <w:szCs w:val="28"/>
        </w:rPr>
        <w:t>-</w:t>
      </w:r>
      <w:r w:rsidR="00375E29">
        <w:rPr>
          <w:rFonts w:ascii="Times New Roman" w:hAnsi="Times New Roman" w:cs="Times New Roman"/>
          <w:sz w:val="28"/>
          <w:szCs w:val="28"/>
          <w:lang w:val="uk-UA"/>
        </w:rPr>
        <w:t>10(195</w:t>
      </w:r>
      <w:r w:rsidR="00375E29" w:rsidRPr="00375E29">
        <w:rPr>
          <w:rFonts w:ascii="Times New Roman" w:hAnsi="Times New Roman" w:cs="Times New Roman"/>
          <w:sz w:val="28"/>
          <w:szCs w:val="28"/>
        </w:rPr>
        <w:t>-</w:t>
      </w:r>
      <w:r w:rsidR="00375E29">
        <w:rPr>
          <w:rFonts w:ascii="Times New Roman" w:hAnsi="Times New Roman" w:cs="Times New Roman"/>
          <w:sz w:val="28"/>
          <w:szCs w:val="28"/>
          <w:lang w:val="uk-UA"/>
        </w:rPr>
        <w:t>196)</w:t>
      </w:r>
      <w:r w:rsidR="00375E29" w:rsidRPr="00375E29">
        <w:rPr>
          <w:rFonts w:ascii="Times New Roman" w:hAnsi="Times New Roman" w:cs="Times New Roman"/>
          <w:sz w:val="28"/>
          <w:szCs w:val="28"/>
        </w:rPr>
        <w:t>:</w:t>
      </w:r>
      <w:r w:rsidR="00375E29">
        <w:rPr>
          <w:rFonts w:ascii="Times New Roman" w:hAnsi="Times New Roman" w:cs="Times New Roman"/>
          <w:sz w:val="28"/>
          <w:szCs w:val="28"/>
          <w:lang w:val="uk-UA"/>
        </w:rPr>
        <w:t>5</w:t>
      </w:r>
      <w:r w:rsidR="00375E29" w:rsidRPr="00375E29">
        <w:rPr>
          <w:rFonts w:ascii="Times New Roman" w:hAnsi="Times New Roman" w:cs="Times New Roman"/>
          <w:sz w:val="28"/>
          <w:szCs w:val="28"/>
        </w:rPr>
        <w:t>-</w:t>
      </w:r>
      <w:r w:rsidR="00375E29" w:rsidRPr="00375E29">
        <w:rPr>
          <w:rFonts w:ascii="Times New Roman" w:hAnsi="Times New Roman" w:cs="Times New Roman"/>
          <w:sz w:val="28"/>
          <w:szCs w:val="28"/>
          <w:lang w:val="uk-UA"/>
        </w:rPr>
        <w:t>9.</w:t>
      </w:r>
      <w:r w:rsidR="00375E29" w:rsidRPr="00375E29">
        <w:rPr>
          <w:rFonts w:ascii="Times New Roman" w:hAnsi="Times New Roman" w:cs="Times New Roman"/>
          <w:sz w:val="28"/>
          <w:szCs w:val="28"/>
        </w:rPr>
        <w:t xml:space="preserve"> Доступно на: </w:t>
      </w:r>
    </w:p>
    <w:p w:rsidR="00F57EEB" w:rsidRPr="009465F9" w:rsidRDefault="000A6805" w:rsidP="00F90BD3">
      <w:pPr>
        <w:tabs>
          <w:tab w:val="left" w:pos="2880"/>
        </w:tabs>
        <w:spacing w:after="0" w:line="360" w:lineRule="auto"/>
        <w:jc w:val="both"/>
        <w:rPr>
          <w:rFonts w:ascii="Times New Roman" w:hAnsi="Times New Roman" w:cs="Times New Roman"/>
          <w:sz w:val="28"/>
          <w:szCs w:val="28"/>
        </w:rPr>
      </w:pPr>
      <w:hyperlink r:id="rId78" w:history="1">
        <w:r w:rsidR="00375E29" w:rsidRPr="00375E29">
          <w:rPr>
            <w:rStyle w:val="a9"/>
            <w:rFonts w:ascii="Times New Roman" w:hAnsi="Times New Roman" w:cs="Times New Roman"/>
            <w:color w:val="auto"/>
            <w:sz w:val="28"/>
            <w:szCs w:val="28"/>
            <w:u w:val="none"/>
            <w:lang w:val="en-US"/>
          </w:rPr>
          <w:t>http</w:t>
        </w:r>
        <w:r w:rsidR="00375E29" w:rsidRPr="009465F9">
          <w:rPr>
            <w:rStyle w:val="a9"/>
            <w:rFonts w:ascii="Times New Roman" w:hAnsi="Times New Roman" w:cs="Times New Roman"/>
            <w:color w:val="auto"/>
            <w:sz w:val="28"/>
            <w:szCs w:val="28"/>
            <w:u w:val="none"/>
          </w:rPr>
          <w:t>://</w:t>
        </w:r>
        <w:r w:rsidR="00375E29" w:rsidRPr="00375E29">
          <w:rPr>
            <w:rStyle w:val="a9"/>
            <w:rFonts w:ascii="Times New Roman" w:hAnsi="Times New Roman" w:cs="Times New Roman"/>
            <w:color w:val="auto"/>
            <w:sz w:val="28"/>
            <w:szCs w:val="28"/>
            <w:u w:val="none"/>
            <w:lang w:val="en-US"/>
          </w:rPr>
          <w:t>www</w:t>
        </w:r>
        <w:r w:rsidR="00375E29" w:rsidRPr="009465F9">
          <w:rPr>
            <w:rStyle w:val="a9"/>
            <w:rFonts w:ascii="Times New Roman" w:hAnsi="Times New Roman" w:cs="Times New Roman"/>
            <w:color w:val="auto"/>
            <w:sz w:val="28"/>
            <w:szCs w:val="28"/>
            <w:u w:val="none"/>
          </w:rPr>
          <w:t>.</w:t>
        </w:r>
        <w:r w:rsidR="00375E29" w:rsidRPr="00375E29">
          <w:rPr>
            <w:rStyle w:val="a9"/>
            <w:rFonts w:ascii="Times New Roman" w:hAnsi="Times New Roman" w:cs="Times New Roman"/>
            <w:color w:val="auto"/>
            <w:sz w:val="28"/>
            <w:szCs w:val="28"/>
            <w:u w:val="none"/>
            <w:lang w:val="en-US"/>
          </w:rPr>
          <w:t>health</w:t>
        </w:r>
        <w:r w:rsidR="00375E29" w:rsidRPr="009465F9">
          <w:rPr>
            <w:rStyle w:val="a9"/>
            <w:rFonts w:ascii="Times New Roman" w:hAnsi="Times New Roman" w:cs="Times New Roman"/>
            <w:color w:val="auto"/>
            <w:sz w:val="28"/>
            <w:szCs w:val="28"/>
            <w:u w:val="none"/>
          </w:rPr>
          <w:t>-</w:t>
        </w:r>
        <w:r w:rsidR="00375E29" w:rsidRPr="00375E29">
          <w:rPr>
            <w:rStyle w:val="a9"/>
            <w:rFonts w:ascii="Times New Roman" w:hAnsi="Times New Roman" w:cs="Times New Roman"/>
            <w:color w:val="auto"/>
            <w:sz w:val="28"/>
            <w:szCs w:val="28"/>
            <w:u w:val="none"/>
            <w:lang w:val="en-US"/>
          </w:rPr>
          <w:t>medix</w:t>
        </w:r>
        <w:r w:rsidR="00375E29" w:rsidRPr="009465F9">
          <w:rPr>
            <w:rStyle w:val="a9"/>
            <w:rFonts w:ascii="Times New Roman" w:hAnsi="Times New Roman" w:cs="Times New Roman"/>
            <w:color w:val="auto"/>
            <w:sz w:val="28"/>
            <w:szCs w:val="28"/>
            <w:u w:val="none"/>
          </w:rPr>
          <w:t>.</w:t>
        </w:r>
        <w:r w:rsidR="00375E29" w:rsidRPr="00375E29">
          <w:rPr>
            <w:rStyle w:val="a9"/>
            <w:rFonts w:ascii="Times New Roman" w:hAnsi="Times New Roman" w:cs="Times New Roman"/>
            <w:color w:val="auto"/>
            <w:sz w:val="28"/>
            <w:szCs w:val="28"/>
            <w:u w:val="none"/>
            <w:lang w:val="en-US"/>
          </w:rPr>
          <w:t>com</w:t>
        </w:r>
        <w:r w:rsidR="00375E29" w:rsidRPr="009465F9">
          <w:rPr>
            <w:rStyle w:val="a9"/>
            <w:rFonts w:ascii="Times New Roman" w:hAnsi="Times New Roman" w:cs="Times New Roman"/>
            <w:color w:val="auto"/>
            <w:sz w:val="28"/>
            <w:szCs w:val="28"/>
            <w:u w:val="none"/>
          </w:rPr>
          <w:t>/</w:t>
        </w:r>
        <w:r w:rsidR="00375E29" w:rsidRPr="00375E29">
          <w:rPr>
            <w:rStyle w:val="a9"/>
            <w:rFonts w:ascii="Times New Roman" w:hAnsi="Times New Roman" w:cs="Times New Roman"/>
            <w:color w:val="auto"/>
            <w:sz w:val="28"/>
            <w:szCs w:val="28"/>
            <w:u w:val="none"/>
            <w:lang w:val="en-US"/>
          </w:rPr>
          <w:t>articles</w:t>
        </w:r>
        <w:r w:rsidR="00375E29" w:rsidRPr="009465F9">
          <w:rPr>
            <w:rStyle w:val="a9"/>
            <w:rFonts w:ascii="Times New Roman" w:hAnsi="Times New Roman" w:cs="Times New Roman"/>
            <w:color w:val="auto"/>
            <w:sz w:val="28"/>
            <w:szCs w:val="28"/>
            <w:u w:val="none"/>
          </w:rPr>
          <w:t>/</w:t>
        </w:r>
        <w:r w:rsidR="00375E29" w:rsidRPr="00375E29">
          <w:rPr>
            <w:rStyle w:val="a9"/>
            <w:rFonts w:ascii="Times New Roman" w:hAnsi="Times New Roman" w:cs="Times New Roman"/>
            <w:color w:val="auto"/>
            <w:sz w:val="28"/>
            <w:szCs w:val="28"/>
            <w:u w:val="none"/>
            <w:lang w:val="en-US"/>
          </w:rPr>
          <w:t>liki</w:t>
        </w:r>
        <w:r w:rsidR="00375E29" w:rsidRPr="009465F9">
          <w:rPr>
            <w:rStyle w:val="a9"/>
            <w:rFonts w:ascii="Times New Roman" w:hAnsi="Times New Roman" w:cs="Times New Roman"/>
            <w:color w:val="auto"/>
            <w:sz w:val="28"/>
            <w:szCs w:val="28"/>
            <w:u w:val="none"/>
          </w:rPr>
          <w:t>_</w:t>
        </w:r>
        <w:r w:rsidR="00375E29" w:rsidRPr="00375E29">
          <w:rPr>
            <w:rStyle w:val="a9"/>
            <w:rFonts w:ascii="Times New Roman" w:hAnsi="Times New Roman" w:cs="Times New Roman"/>
            <w:color w:val="auto"/>
            <w:sz w:val="28"/>
            <w:szCs w:val="28"/>
            <w:u w:val="none"/>
            <w:lang w:val="en-US"/>
          </w:rPr>
          <w:t>ukr</w:t>
        </w:r>
        <w:r w:rsidR="00375E29" w:rsidRPr="009465F9">
          <w:rPr>
            <w:rStyle w:val="a9"/>
            <w:rFonts w:ascii="Times New Roman" w:hAnsi="Times New Roman" w:cs="Times New Roman"/>
            <w:color w:val="auto"/>
            <w:sz w:val="28"/>
            <w:szCs w:val="28"/>
            <w:u w:val="none"/>
          </w:rPr>
          <w:t>/2015-12-02/3.</w:t>
        </w:r>
        <w:r w:rsidR="00375E29" w:rsidRPr="00375E29">
          <w:rPr>
            <w:rStyle w:val="a9"/>
            <w:rFonts w:ascii="Times New Roman" w:hAnsi="Times New Roman" w:cs="Times New Roman"/>
            <w:color w:val="auto"/>
            <w:sz w:val="28"/>
            <w:szCs w:val="28"/>
            <w:u w:val="none"/>
            <w:lang w:val="en-US"/>
          </w:rPr>
          <w:t>pdf</w:t>
        </w:r>
      </w:hyperlink>
    </w:p>
    <w:p w:rsidR="00957C6C" w:rsidRDefault="00DC132C" w:rsidP="00F90BD3">
      <w:pPr>
        <w:tabs>
          <w:tab w:val="left" w:pos="2880"/>
        </w:tabs>
        <w:spacing w:after="0" w:line="360" w:lineRule="auto"/>
        <w:jc w:val="both"/>
        <w:rPr>
          <w:rFonts w:ascii="Times New Roman" w:hAnsi="Times New Roman" w:cs="Times New Roman"/>
          <w:sz w:val="28"/>
          <w:szCs w:val="28"/>
          <w:lang w:val="uk-UA"/>
        </w:rPr>
      </w:pPr>
      <w:r w:rsidRPr="00EA6F81">
        <w:rPr>
          <w:rFonts w:ascii="Times New Roman" w:hAnsi="Times New Roman" w:cs="Times New Roman"/>
          <w:sz w:val="28"/>
          <w:szCs w:val="28"/>
        </w:rPr>
        <w:t>100</w:t>
      </w:r>
      <w:r w:rsidR="00375E29" w:rsidRPr="009465F9">
        <w:rPr>
          <w:rFonts w:ascii="Times New Roman" w:hAnsi="Times New Roman" w:cs="Times New Roman"/>
          <w:sz w:val="28"/>
          <w:szCs w:val="28"/>
        </w:rPr>
        <w:t>. Шалімова АС. Роль генетичних, кардіогемодинамічних і метаболічних  механізмів у розвитку коморбідної патології – гіпертонічної хвороби та цукрового діабету 2 типу</w:t>
      </w:r>
      <w:r w:rsidR="00957C6C" w:rsidRPr="009465F9">
        <w:rPr>
          <w:rFonts w:ascii="Times New Roman" w:hAnsi="Times New Roman" w:cs="Times New Roman"/>
          <w:sz w:val="28"/>
          <w:szCs w:val="28"/>
        </w:rPr>
        <w:t xml:space="preserve"> [</w:t>
      </w:r>
      <w:r w:rsidR="00957C6C">
        <w:rPr>
          <w:rFonts w:ascii="Times New Roman" w:hAnsi="Times New Roman" w:cs="Times New Roman"/>
          <w:sz w:val="28"/>
          <w:szCs w:val="28"/>
          <w:lang w:val="uk-UA"/>
        </w:rPr>
        <w:t>дисертація в Інтернеті</w:t>
      </w:r>
      <w:r w:rsidR="00957C6C" w:rsidRPr="009465F9">
        <w:rPr>
          <w:rFonts w:ascii="Times New Roman" w:hAnsi="Times New Roman" w:cs="Times New Roman"/>
          <w:sz w:val="28"/>
          <w:szCs w:val="28"/>
        </w:rPr>
        <w:t>]. Харків</w:t>
      </w:r>
      <w:r w:rsidR="00957C6C">
        <w:rPr>
          <w:rFonts w:ascii="Times New Roman" w:hAnsi="Times New Roman" w:cs="Times New Roman"/>
          <w:sz w:val="28"/>
          <w:szCs w:val="28"/>
          <w:lang w:val="uk-UA"/>
        </w:rPr>
        <w:t>:</w:t>
      </w:r>
      <w:r w:rsidR="00375E29" w:rsidRPr="009465F9">
        <w:rPr>
          <w:rFonts w:ascii="Times New Roman" w:hAnsi="Times New Roman" w:cs="Times New Roman"/>
          <w:sz w:val="28"/>
          <w:szCs w:val="28"/>
        </w:rPr>
        <w:t xml:space="preserve"> </w:t>
      </w:r>
      <w:r w:rsidR="00957C6C">
        <w:rPr>
          <w:rFonts w:ascii="Times New Roman" w:hAnsi="Times New Roman" w:cs="Times New Roman"/>
          <w:sz w:val="28"/>
          <w:szCs w:val="28"/>
          <w:lang w:val="uk-UA"/>
        </w:rPr>
        <w:t xml:space="preserve">Харківська медична академія післядипломної освіти; </w:t>
      </w:r>
      <w:r w:rsidR="00957C6C" w:rsidRPr="009465F9">
        <w:rPr>
          <w:rFonts w:ascii="Times New Roman" w:hAnsi="Times New Roman" w:cs="Times New Roman"/>
          <w:sz w:val="28"/>
          <w:szCs w:val="28"/>
        </w:rPr>
        <w:t xml:space="preserve">2016. </w:t>
      </w:r>
      <w:r w:rsidR="00957C6C">
        <w:rPr>
          <w:rFonts w:ascii="Times New Roman" w:hAnsi="Times New Roman" w:cs="Times New Roman"/>
          <w:sz w:val="28"/>
          <w:szCs w:val="28"/>
          <w:lang w:val="uk-UA"/>
        </w:rPr>
        <w:t xml:space="preserve">Доступно на: </w:t>
      </w:r>
    </w:p>
    <w:p w:rsidR="00375E29" w:rsidRDefault="00957C6C" w:rsidP="00F90BD3">
      <w:pPr>
        <w:tabs>
          <w:tab w:val="left" w:pos="2880"/>
        </w:tabs>
        <w:spacing w:after="0" w:line="360" w:lineRule="auto"/>
        <w:jc w:val="both"/>
        <w:rPr>
          <w:rFonts w:ascii="Times New Roman" w:hAnsi="Times New Roman" w:cs="Times New Roman"/>
          <w:sz w:val="28"/>
          <w:szCs w:val="28"/>
          <w:lang w:val="uk-UA"/>
        </w:rPr>
      </w:pPr>
      <w:r w:rsidRPr="00957C6C">
        <w:rPr>
          <w:rFonts w:ascii="Times New Roman" w:hAnsi="Times New Roman" w:cs="Times New Roman"/>
          <w:sz w:val="28"/>
          <w:szCs w:val="28"/>
          <w:lang w:val="uk-UA"/>
        </w:rPr>
        <w:t>80.249.234.44:8181/upload/redakt/diser_roboty/shalimova_diser_.doc</w:t>
      </w:r>
    </w:p>
    <w:p w:rsidR="00D842DD" w:rsidRDefault="00DC132C"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Pr="00EA6F81">
        <w:rPr>
          <w:rFonts w:ascii="Times New Roman" w:hAnsi="Times New Roman" w:cs="Times New Roman"/>
          <w:sz w:val="28"/>
          <w:szCs w:val="28"/>
        </w:rPr>
        <w:t>1</w:t>
      </w:r>
      <w:r w:rsidR="00D842DD">
        <w:rPr>
          <w:rFonts w:ascii="Times New Roman" w:hAnsi="Times New Roman" w:cs="Times New Roman"/>
          <w:sz w:val="28"/>
          <w:szCs w:val="28"/>
          <w:lang w:val="uk-UA"/>
        </w:rPr>
        <w:t>. Серебрякова О</w:t>
      </w:r>
      <w:r w:rsidR="00D842DD" w:rsidRPr="00D842DD">
        <w:rPr>
          <w:rFonts w:ascii="Times New Roman" w:hAnsi="Times New Roman" w:cs="Times New Roman"/>
          <w:sz w:val="28"/>
          <w:szCs w:val="28"/>
          <w:lang w:val="uk-UA"/>
        </w:rPr>
        <w:t>Е. Взаимосвязь полиморфизма гена фактора некроза опухоли альфа с риском развития метаболического синдрома и атеросклероза</w:t>
      </w:r>
      <w:r w:rsidR="00D842DD">
        <w:rPr>
          <w:rFonts w:ascii="Times New Roman" w:hAnsi="Times New Roman" w:cs="Times New Roman"/>
          <w:sz w:val="28"/>
          <w:szCs w:val="28"/>
          <w:lang w:val="uk-UA"/>
        </w:rPr>
        <w:t xml:space="preserve"> </w:t>
      </w:r>
      <w:r w:rsidR="00D842DD" w:rsidRPr="00D842DD">
        <w:rPr>
          <w:rFonts w:ascii="Times New Roman" w:hAnsi="Times New Roman" w:cs="Times New Roman"/>
          <w:sz w:val="28"/>
          <w:szCs w:val="28"/>
          <w:lang w:val="uk-UA"/>
        </w:rPr>
        <w:t>[дис</w:t>
      </w:r>
      <w:r w:rsidR="00D842DD">
        <w:rPr>
          <w:rFonts w:ascii="Times New Roman" w:hAnsi="Times New Roman" w:cs="Times New Roman"/>
          <w:sz w:val="28"/>
          <w:szCs w:val="28"/>
          <w:lang w:val="uk-UA"/>
        </w:rPr>
        <w:t>сертация в Интернете</w:t>
      </w:r>
      <w:r w:rsidR="00D842DD" w:rsidRPr="00D842DD">
        <w:rPr>
          <w:rFonts w:ascii="Times New Roman" w:hAnsi="Times New Roman" w:cs="Times New Roman"/>
          <w:sz w:val="28"/>
          <w:szCs w:val="28"/>
          <w:lang w:val="uk-UA"/>
        </w:rPr>
        <w:t xml:space="preserve">]. </w:t>
      </w:r>
      <w:r w:rsidR="00D842DD">
        <w:rPr>
          <w:rFonts w:ascii="Times New Roman" w:hAnsi="Times New Roman" w:cs="Times New Roman"/>
          <w:sz w:val="28"/>
          <w:szCs w:val="28"/>
          <w:lang w:val="uk-UA"/>
        </w:rPr>
        <w:t xml:space="preserve">Москва: Российский </w:t>
      </w:r>
      <w:r w:rsidR="00D842DD">
        <w:rPr>
          <w:rFonts w:ascii="Times New Roman" w:hAnsi="Times New Roman" w:cs="Times New Roman"/>
          <w:sz w:val="28"/>
          <w:szCs w:val="28"/>
        </w:rPr>
        <w:t>национальный исследовательский медицинский университет имени Н.И. Пирогова</w:t>
      </w:r>
      <w:r w:rsidR="00D842DD">
        <w:rPr>
          <w:rFonts w:ascii="Times New Roman" w:hAnsi="Times New Roman" w:cs="Times New Roman"/>
          <w:sz w:val="28"/>
          <w:szCs w:val="28"/>
          <w:lang w:val="uk-UA"/>
        </w:rPr>
        <w:t xml:space="preserve">; </w:t>
      </w:r>
      <w:r w:rsidR="00D842DD" w:rsidRPr="00D842DD">
        <w:rPr>
          <w:rFonts w:ascii="Times New Roman" w:hAnsi="Times New Roman" w:cs="Times New Roman"/>
          <w:sz w:val="28"/>
          <w:szCs w:val="28"/>
          <w:lang w:val="uk-UA"/>
        </w:rPr>
        <w:t>2014. Доступно на:</w:t>
      </w:r>
      <w:r w:rsidR="00D842DD">
        <w:rPr>
          <w:rFonts w:ascii="Times New Roman" w:hAnsi="Times New Roman" w:cs="Times New Roman"/>
          <w:sz w:val="28"/>
          <w:szCs w:val="28"/>
          <w:lang w:val="uk-UA"/>
        </w:rPr>
        <w:t xml:space="preserve"> </w:t>
      </w:r>
    </w:p>
    <w:p w:rsidR="00957C6C" w:rsidRPr="00D842DD" w:rsidRDefault="000A6805" w:rsidP="00F90BD3">
      <w:pPr>
        <w:tabs>
          <w:tab w:val="left" w:pos="2880"/>
        </w:tabs>
        <w:spacing w:after="0" w:line="360" w:lineRule="auto"/>
        <w:jc w:val="both"/>
        <w:rPr>
          <w:rFonts w:ascii="Times New Roman" w:hAnsi="Times New Roman" w:cs="Times New Roman"/>
          <w:sz w:val="28"/>
          <w:szCs w:val="28"/>
          <w:lang w:val="uk-UA"/>
        </w:rPr>
      </w:pPr>
      <w:hyperlink r:id="rId79" w:history="1">
        <w:r w:rsidR="00D842DD" w:rsidRPr="00D842DD">
          <w:rPr>
            <w:rStyle w:val="a9"/>
            <w:rFonts w:ascii="Times New Roman" w:hAnsi="Times New Roman" w:cs="Times New Roman"/>
            <w:color w:val="auto"/>
            <w:sz w:val="28"/>
            <w:szCs w:val="28"/>
            <w:u w:val="none"/>
            <w:lang w:val="uk-UA"/>
          </w:rPr>
          <w:t>http://rsmu.ru/fileadmin/rsmu/img/about_rsmu/disser/8/d_serebrjakova_oe.pdf</w:t>
        </w:r>
      </w:hyperlink>
    </w:p>
    <w:p w:rsidR="00D842DD" w:rsidRDefault="00DC132C"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Pr="00EA6F81">
        <w:rPr>
          <w:rFonts w:ascii="Times New Roman" w:hAnsi="Times New Roman" w:cs="Times New Roman"/>
          <w:sz w:val="28"/>
          <w:szCs w:val="28"/>
        </w:rPr>
        <w:t>2</w:t>
      </w:r>
      <w:r w:rsidR="00956225">
        <w:rPr>
          <w:rFonts w:ascii="Times New Roman" w:hAnsi="Times New Roman" w:cs="Times New Roman"/>
          <w:sz w:val="28"/>
          <w:szCs w:val="28"/>
          <w:lang w:val="uk-UA"/>
        </w:rPr>
        <w:t>. Соколова Л</w:t>
      </w:r>
      <w:r w:rsidR="00956225" w:rsidRPr="00956225">
        <w:rPr>
          <w:rFonts w:ascii="Times New Roman" w:hAnsi="Times New Roman" w:cs="Times New Roman"/>
          <w:sz w:val="28"/>
          <w:szCs w:val="28"/>
          <w:lang w:val="uk-UA"/>
        </w:rPr>
        <w:t>К. Содержание цитокинов и показатели инсулинорезистентности у больных сахарным диабетом 2-го тип</w:t>
      </w:r>
      <w:r w:rsidR="00956225">
        <w:rPr>
          <w:rFonts w:ascii="Times New Roman" w:hAnsi="Times New Roman" w:cs="Times New Roman"/>
          <w:sz w:val="28"/>
          <w:szCs w:val="28"/>
          <w:lang w:val="uk-UA"/>
        </w:rPr>
        <w:t>а и ишемической болезнью сердца. Медицинские новости [Интернет]. 2013</w:t>
      </w:r>
      <w:r w:rsidR="00956225" w:rsidRPr="00956225">
        <w:rPr>
          <w:rFonts w:ascii="Times New Roman" w:hAnsi="Times New Roman" w:cs="Times New Roman"/>
          <w:sz w:val="28"/>
          <w:szCs w:val="28"/>
        </w:rPr>
        <w:t>;</w:t>
      </w:r>
      <w:r w:rsidR="00956225">
        <w:rPr>
          <w:rFonts w:ascii="Times New Roman" w:hAnsi="Times New Roman" w:cs="Times New Roman"/>
          <w:sz w:val="28"/>
          <w:szCs w:val="28"/>
          <w:lang w:val="uk-UA"/>
        </w:rPr>
        <w:t>6</w:t>
      </w:r>
      <w:r w:rsidR="00956225" w:rsidRPr="00956225">
        <w:rPr>
          <w:rFonts w:ascii="Times New Roman" w:hAnsi="Times New Roman" w:cs="Times New Roman"/>
          <w:sz w:val="28"/>
          <w:szCs w:val="28"/>
        </w:rPr>
        <w:t>:</w:t>
      </w:r>
      <w:r w:rsidR="00956225">
        <w:rPr>
          <w:rFonts w:ascii="Times New Roman" w:hAnsi="Times New Roman" w:cs="Times New Roman"/>
          <w:sz w:val="28"/>
          <w:szCs w:val="28"/>
          <w:lang w:val="uk-UA"/>
        </w:rPr>
        <w:t>101</w:t>
      </w:r>
      <w:r w:rsidR="00956225" w:rsidRPr="00956225">
        <w:rPr>
          <w:rFonts w:ascii="Times New Roman" w:hAnsi="Times New Roman" w:cs="Times New Roman"/>
          <w:sz w:val="28"/>
          <w:szCs w:val="28"/>
        </w:rPr>
        <w:t>-</w:t>
      </w:r>
      <w:r w:rsidR="00956225" w:rsidRPr="00956225">
        <w:rPr>
          <w:rFonts w:ascii="Times New Roman" w:hAnsi="Times New Roman" w:cs="Times New Roman"/>
          <w:sz w:val="28"/>
          <w:szCs w:val="28"/>
          <w:lang w:val="uk-UA"/>
        </w:rPr>
        <w:t>4.</w:t>
      </w:r>
      <w:r w:rsidR="00956225" w:rsidRPr="00956225">
        <w:rPr>
          <w:rFonts w:ascii="Times New Roman" w:hAnsi="Times New Roman" w:cs="Times New Roman"/>
          <w:sz w:val="28"/>
          <w:szCs w:val="28"/>
        </w:rPr>
        <w:t xml:space="preserve"> </w:t>
      </w:r>
      <w:r w:rsidR="00956225">
        <w:rPr>
          <w:rFonts w:ascii="Times New Roman" w:hAnsi="Times New Roman" w:cs="Times New Roman"/>
          <w:sz w:val="28"/>
          <w:szCs w:val="28"/>
          <w:lang w:val="uk-UA"/>
        </w:rPr>
        <w:t xml:space="preserve">Доступно на: </w:t>
      </w:r>
      <w:hyperlink r:id="rId80" w:history="1">
        <w:r w:rsidR="00956225" w:rsidRPr="00956225">
          <w:rPr>
            <w:rStyle w:val="a9"/>
            <w:rFonts w:ascii="Times New Roman" w:hAnsi="Times New Roman" w:cs="Times New Roman"/>
            <w:color w:val="auto"/>
            <w:sz w:val="28"/>
            <w:szCs w:val="28"/>
            <w:u w:val="none"/>
            <w:lang w:val="en-US"/>
          </w:rPr>
          <w:t>http</w:t>
        </w:r>
        <w:r w:rsidR="00956225" w:rsidRPr="00AE437A">
          <w:rPr>
            <w:rStyle w:val="a9"/>
            <w:rFonts w:ascii="Times New Roman" w:hAnsi="Times New Roman" w:cs="Times New Roman"/>
            <w:color w:val="auto"/>
            <w:sz w:val="28"/>
            <w:szCs w:val="28"/>
            <w:u w:val="none"/>
          </w:rPr>
          <w:t>://</w:t>
        </w:r>
        <w:r w:rsidR="00956225" w:rsidRPr="00956225">
          <w:rPr>
            <w:rStyle w:val="a9"/>
            <w:rFonts w:ascii="Times New Roman" w:hAnsi="Times New Roman" w:cs="Times New Roman"/>
            <w:color w:val="auto"/>
            <w:sz w:val="28"/>
            <w:szCs w:val="28"/>
            <w:u w:val="none"/>
            <w:lang w:val="en-US"/>
          </w:rPr>
          <w:t>www</w:t>
        </w:r>
        <w:r w:rsidR="00956225" w:rsidRPr="00AE437A">
          <w:rPr>
            <w:rStyle w:val="a9"/>
            <w:rFonts w:ascii="Times New Roman" w:hAnsi="Times New Roman" w:cs="Times New Roman"/>
            <w:color w:val="auto"/>
            <w:sz w:val="28"/>
            <w:szCs w:val="28"/>
            <w:u w:val="none"/>
          </w:rPr>
          <w:t>.</w:t>
        </w:r>
        <w:r w:rsidR="00956225" w:rsidRPr="00956225">
          <w:rPr>
            <w:rStyle w:val="a9"/>
            <w:rFonts w:ascii="Times New Roman" w:hAnsi="Times New Roman" w:cs="Times New Roman"/>
            <w:color w:val="auto"/>
            <w:sz w:val="28"/>
            <w:szCs w:val="28"/>
            <w:u w:val="none"/>
            <w:lang w:val="en-US"/>
          </w:rPr>
          <w:t>mednovosti</w:t>
        </w:r>
        <w:r w:rsidR="00956225" w:rsidRPr="00AE437A">
          <w:rPr>
            <w:rStyle w:val="a9"/>
            <w:rFonts w:ascii="Times New Roman" w:hAnsi="Times New Roman" w:cs="Times New Roman"/>
            <w:color w:val="auto"/>
            <w:sz w:val="28"/>
            <w:szCs w:val="28"/>
            <w:u w:val="none"/>
          </w:rPr>
          <w:t>.</w:t>
        </w:r>
        <w:r w:rsidR="00956225" w:rsidRPr="00956225">
          <w:rPr>
            <w:rStyle w:val="a9"/>
            <w:rFonts w:ascii="Times New Roman" w:hAnsi="Times New Roman" w:cs="Times New Roman"/>
            <w:color w:val="auto"/>
            <w:sz w:val="28"/>
            <w:szCs w:val="28"/>
            <w:u w:val="none"/>
            <w:lang w:val="en-US"/>
          </w:rPr>
          <w:t>by</w:t>
        </w:r>
        <w:r w:rsidR="00956225" w:rsidRPr="00AE437A">
          <w:rPr>
            <w:rStyle w:val="a9"/>
            <w:rFonts w:ascii="Times New Roman" w:hAnsi="Times New Roman" w:cs="Times New Roman"/>
            <w:color w:val="auto"/>
            <w:sz w:val="28"/>
            <w:szCs w:val="28"/>
            <w:u w:val="none"/>
          </w:rPr>
          <w:t>/</w:t>
        </w:r>
        <w:r w:rsidR="00956225" w:rsidRPr="00956225">
          <w:rPr>
            <w:rStyle w:val="a9"/>
            <w:rFonts w:ascii="Times New Roman" w:hAnsi="Times New Roman" w:cs="Times New Roman"/>
            <w:color w:val="auto"/>
            <w:sz w:val="28"/>
            <w:szCs w:val="28"/>
            <w:u w:val="none"/>
            <w:lang w:val="en-US"/>
          </w:rPr>
          <w:t>journal</w:t>
        </w:r>
        <w:r w:rsidR="00956225" w:rsidRPr="00AE437A">
          <w:rPr>
            <w:rStyle w:val="a9"/>
            <w:rFonts w:ascii="Times New Roman" w:hAnsi="Times New Roman" w:cs="Times New Roman"/>
            <w:color w:val="auto"/>
            <w:sz w:val="28"/>
            <w:szCs w:val="28"/>
            <w:u w:val="none"/>
          </w:rPr>
          <w:t>.</w:t>
        </w:r>
        <w:r w:rsidR="00956225" w:rsidRPr="00956225">
          <w:rPr>
            <w:rStyle w:val="a9"/>
            <w:rFonts w:ascii="Times New Roman" w:hAnsi="Times New Roman" w:cs="Times New Roman"/>
            <w:color w:val="auto"/>
            <w:sz w:val="28"/>
            <w:szCs w:val="28"/>
            <w:u w:val="none"/>
            <w:lang w:val="en-US"/>
          </w:rPr>
          <w:t>aspx</w:t>
        </w:r>
        <w:r w:rsidR="00956225" w:rsidRPr="00AE437A">
          <w:rPr>
            <w:rStyle w:val="a9"/>
            <w:rFonts w:ascii="Times New Roman" w:hAnsi="Times New Roman" w:cs="Times New Roman"/>
            <w:color w:val="auto"/>
            <w:sz w:val="28"/>
            <w:szCs w:val="28"/>
            <w:u w:val="none"/>
          </w:rPr>
          <w:t>?</w:t>
        </w:r>
        <w:r w:rsidR="00956225" w:rsidRPr="00956225">
          <w:rPr>
            <w:rStyle w:val="a9"/>
            <w:rFonts w:ascii="Times New Roman" w:hAnsi="Times New Roman" w:cs="Times New Roman"/>
            <w:color w:val="auto"/>
            <w:sz w:val="28"/>
            <w:szCs w:val="28"/>
            <w:u w:val="none"/>
            <w:lang w:val="en-US"/>
          </w:rPr>
          <w:t>article</w:t>
        </w:r>
        <w:r w:rsidR="00956225" w:rsidRPr="00AE437A">
          <w:rPr>
            <w:rStyle w:val="a9"/>
            <w:rFonts w:ascii="Times New Roman" w:hAnsi="Times New Roman" w:cs="Times New Roman"/>
            <w:color w:val="auto"/>
            <w:sz w:val="28"/>
            <w:szCs w:val="28"/>
            <w:u w:val="none"/>
          </w:rPr>
          <w:t>=5579</w:t>
        </w:r>
      </w:hyperlink>
    </w:p>
    <w:p w:rsidR="00FE348D" w:rsidRDefault="00956225"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10</w:t>
      </w:r>
      <w:r w:rsidR="00DC132C">
        <w:rPr>
          <w:rFonts w:ascii="Times New Roman" w:hAnsi="Times New Roman" w:cs="Times New Roman"/>
          <w:sz w:val="28"/>
          <w:szCs w:val="28"/>
          <w:lang w:val="en-US"/>
        </w:rPr>
        <w:t>3</w:t>
      </w:r>
      <w:r>
        <w:rPr>
          <w:rFonts w:ascii="Times New Roman" w:hAnsi="Times New Roman" w:cs="Times New Roman"/>
          <w:sz w:val="28"/>
          <w:szCs w:val="28"/>
          <w:lang w:val="uk-UA"/>
        </w:rPr>
        <w:t xml:space="preserve">. </w:t>
      </w:r>
      <w:r w:rsidR="00B72104" w:rsidRPr="00B72104">
        <w:rPr>
          <w:rFonts w:ascii="Times New Roman" w:hAnsi="Times New Roman" w:cs="Times New Roman"/>
          <w:sz w:val="28"/>
          <w:szCs w:val="28"/>
          <w:lang w:val="uk-UA"/>
        </w:rPr>
        <w:t>Buse JB, Bigger JT, Byington RP, Cooper LS, Cushman WC, Friedewald WT,</w:t>
      </w:r>
      <w:r w:rsidR="00B72104">
        <w:rPr>
          <w:rFonts w:ascii="Times New Roman" w:hAnsi="Times New Roman" w:cs="Times New Roman"/>
          <w:sz w:val="28"/>
          <w:szCs w:val="28"/>
          <w:lang w:val="uk-UA"/>
        </w:rPr>
        <w:t xml:space="preserve"> </w:t>
      </w:r>
      <w:r w:rsidR="00B72104">
        <w:rPr>
          <w:rFonts w:ascii="Times New Roman" w:hAnsi="Times New Roman" w:cs="Times New Roman"/>
          <w:sz w:val="28"/>
          <w:szCs w:val="28"/>
          <w:lang w:val="en-US"/>
        </w:rPr>
        <w:t xml:space="preserve">et al. </w:t>
      </w:r>
      <w:r w:rsidR="00FE348D" w:rsidRPr="00FE348D">
        <w:rPr>
          <w:rFonts w:ascii="Times New Roman" w:hAnsi="Times New Roman" w:cs="Times New Roman"/>
          <w:sz w:val="28"/>
          <w:szCs w:val="28"/>
          <w:lang w:val="en-US"/>
        </w:rPr>
        <w:t>Action to Control Cardiovascular Risk in Diabetes (ACCORD) trial: design and methods.</w:t>
      </w:r>
      <w:r w:rsidR="00FE348D">
        <w:rPr>
          <w:rFonts w:ascii="Times New Roman" w:hAnsi="Times New Roman" w:cs="Times New Roman"/>
          <w:sz w:val="28"/>
          <w:szCs w:val="28"/>
          <w:lang w:val="en-US"/>
        </w:rPr>
        <w:t xml:space="preserve"> </w:t>
      </w:r>
      <w:r w:rsidR="00FE348D" w:rsidRPr="00FE348D">
        <w:rPr>
          <w:rFonts w:ascii="Times New Roman" w:hAnsi="Times New Roman" w:cs="Times New Roman"/>
          <w:sz w:val="28"/>
          <w:szCs w:val="28"/>
          <w:lang w:val="en-US"/>
        </w:rPr>
        <w:t>Am J Cardiol</w:t>
      </w:r>
      <w:r w:rsidR="00FE348D">
        <w:rPr>
          <w:rFonts w:ascii="Times New Roman" w:hAnsi="Times New Roman" w:cs="Times New Roman"/>
          <w:sz w:val="28"/>
          <w:szCs w:val="28"/>
          <w:lang w:val="en-US"/>
        </w:rPr>
        <w:t xml:space="preserve"> </w:t>
      </w:r>
      <w:r w:rsidR="00FE348D" w:rsidRPr="00FE348D">
        <w:rPr>
          <w:rFonts w:ascii="Times New Roman" w:hAnsi="Times New Roman" w:cs="Times New Roman"/>
          <w:sz w:val="28"/>
          <w:szCs w:val="28"/>
          <w:lang w:val="en-US"/>
        </w:rPr>
        <w:t>[Internet].</w:t>
      </w:r>
      <w:r w:rsidR="00FE348D">
        <w:rPr>
          <w:rFonts w:ascii="Times New Roman" w:hAnsi="Times New Roman" w:cs="Times New Roman"/>
          <w:sz w:val="28"/>
          <w:szCs w:val="28"/>
          <w:lang w:val="en-US"/>
        </w:rPr>
        <w:t xml:space="preserve"> </w:t>
      </w:r>
      <w:r w:rsidR="00FE348D" w:rsidRPr="00FE348D">
        <w:rPr>
          <w:rFonts w:ascii="Times New Roman" w:hAnsi="Times New Roman" w:cs="Times New Roman"/>
          <w:sz w:val="28"/>
          <w:szCs w:val="28"/>
          <w:lang w:val="en-US"/>
        </w:rPr>
        <w:t>2007 Jun 18;99(12A):21i-33i.</w:t>
      </w:r>
      <w:r w:rsidR="00FE348D">
        <w:rPr>
          <w:rFonts w:ascii="Times New Roman" w:hAnsi="Times New Roman" w:cs="Times New Roman"/>
          <w:sz w:val="28"/>
          <w:szCs w:val="28"/>
          <w:lang w:val="en-US"/>
        </w:rPr>
        <w:t xml:space="preserve"> </w:t>
      </w:r>
    </w:p>
    <w:p w:rsidR="00FE348D" w:rsidRDefault="00FE348D" w:rsidP="00F90BD3">
      <w:pPr>
        <w:tabs>
          <w:tab w:val="left" w:pos="2880"/>
        </w:tabs>
        <w:spacing w:after="0" w:line="360" w:lineRule="auto"/>
        <w:jc w:val="both"/>
        <w:rPr>
          <w:rFonts w:ascii="Times New Roman" w:hAnsi="Times New Roman" w:cs="Times New Roman"/>
          <w:sz w:val="28"/>
          <w:szCs w:val="28"/>
          <w:lang w:val="en-US"/>
        </w:rPr>
      </w:pPr>
      <w:r w:rsidRPr="00FE348D">
        <w:rPr>
          <w:rFonts w:ascii="Times New Roman" w:hAnsi="Times New Roman" w:cs="Times New Roman"/>
          <w:sz w:val="28"/>
          <w:szCs w:val="28"/>
          <w:lang w:val="en-US"/>
        </w:rPr>
        <w:t>Available from:</w:t>
      </w:r>
      <w:r>
        <w:rPr>
          <w:rFonts w:ascii="Times New Roman" w:hAnsi="Times New Roman" w:cs="Times New Roman"/>
          <w:sz w:val="28"/>
          <w:szCs w:val="28"/>
          <w:lang w:val="en-US"/>
        </w:rPr>
        <w:t xml:space="preserve"> </w:t>
      </w:r>
      <w:hyperlink r:id="rId81" w:history="1">
        <w:r w:rsidRPr="00FE348D">
          <w:rPr>
            <w:rStyle w:val="a9"/>
            <w:rFonts w:ascii="Times New Roman" w:hAnsi="Times New Roman" w:cs="Times New Roman"/>
            <w:color w:val="auto"/>
            <w:sz w:val="28"/>
            <w:szCs w:val="28"/>
            <w:u w:val="none"/>
            <w:lang w:val="en-US"/>
          </w:rPr>
          <w:t>https://www.ncbi.nlm.nih.gov/pubmed/17599422</w:t>
        </w:r>
      </w:hyperlink>
      <w:r>
        <w:rPr>
          <w:rFonts w:ascii="Times New Roman" w:hAnsi="Times New Roman" w:cs="Times New Roman"/>
          <w:sz w:val="28"/>
          <w:szCs w:val="28"/>
          <w:lang w:val="en-US"/>
        </w:rPr>
        <w:t xml:space="preserve"> </w:t>
      </w:r>
    </w:p>
    <w:p w:rsidR="00DC132C" w:rsidRDefault="00FE348D"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FE348D">
        <w:rPr>
          <w:rFonts w:ascii="Times New Roman" w:hAnsi="Times New Roman" w:cs="Times New Roman"/>
          <w:sz w:val="28"/>
          <w:szCs w:val="28"/>
          <w:lang w:val="en-US"/>
        </w:rPr>
        <w:t>10.1016/j.amjcard.2007.03.003</w:t>
      </w:r>
    </w:p>
    <w:p w:rsidR="00C47187" w:rsidRDefault="008F15A1"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104</w:t>
      </w:r>
      <w:r w:rsidR="00FE348D" w:rsidRPr="00C852D5">
        <w:rPr>
          <w:rFonts w:ascii="Times New Roman" w:hAnsi="Times New Roman" w:cs="Times New Roman"/>
          <w:sz w:val="28"/>
          <w:szCs w:val="28"/>
          <w:lang w:val="en-US"/>
        </w:rPr>
        <w:t xml:space="preserve">. </w:t>
      </w:r>
      <w:r w:rsidR="00C852D5" w:rsidRPr="00C852D5">
        <w:rPr>
          <w:rFonts w:ascii="Times New Roman" w:hAnsi="Times New Roman" w:cs="Times New Roman"/>
          <w:sz w:val="28"/>
          <w:szCs w:val="28"/>
          <w:lang w:val="en-US"/>
        </w:rPr>
        <w:t>American Diabetes Association. Standards of</w:t>
      </w:r>
      <w:r w:rsidR="00C852D5">
        <w:rPr>
          <w:rFonts w:ascii="Times New Roman" w:hAnsi="Times New Roman" w:cs="Times New Roman"/>
          <w:sz w:val="28"/>
          <w:szCs w:val="28"/>
          <w:lang w:val="en-US"/>
        </w:rPr>
        <w:t xml:space="preserve"> Medical Care in Diabetes – 201</w:t>
      </w:r>
      <w:r w:rsidR="00C852D5">
        <w:rPr>
          <w:rFonts w:ascii="Times New Roman" w:hAnsi="Times New Roman" w:cs="Times New Roman"/>
          <w:sz w:val="28"/>
          <w:szCs w:val="28"/>
          <w:lang w:val="uk-UA"/>
        </w:rPr>
        <w:t>4</w:t>
      </w:r>
      <w:r w:rsidR="00C852D5" w:rsidRPr="00C852D5">
        <w:rPr>
          <w:rFonts w:ascii="Times New Roman" w:hAnsi="Times New Roman" w:cs="Times New Roman"/>
          <w:sz w:val="28"/>
          <w:szCs w:val="28"/>
          <w:lang w:val="en-US"/>
        </w:rPr>
        <w:t>.</w:t>
      </w:r>
      <w:r w:rsidR="00C852D5">
        <w:rPr>
          <w:rFonts w:ascii="Times New Roman" w:hAnsi="Times New Roman" w:cs="Times New Roman"/>
          <w:sz w:val="28"/>
          <w:szCs w:val="28"/>
          <w:lang w:val="uk-UA"/>
        </w:rPr>
        <w:t xml:space="preserve"> </w:t>
      </w:r>
      <w:r w:rsidR="00C852D5" w:rsidRPr="00C852D5">
        <w:rPr>
          <w:rFonts w:ascii="Times New Roman" w:hAnsi="Times New Roman" w:cs="Times New Roman"/>
          <w:sz w:val="28"/>
          <w:szCs w:val="28"/>
          <w:lang w:val="uk-UA"/>
        </w:rPr>
        <w:t>Diabetes Care [Internet].</w:t>
      </w:r>
      <w:r w:rsidR="00C852D5">
        <w:rPr>
          <w:rFonts w:ascii="Times New Roman" w:hAnsi="Times New Roman" w:cs="Times New Roman"/>
          <w:sz w:val="28"/>
          <w:szCs w:val="28"/>
          <w:lang w:val="uk-UA"/>
        </w:rPr>
        <w:t xml:space="preserve"> </w:t>
      </w:r>
      <w:r w:rsidR="00C47187">
        <w:rPr>
          <w:rFonts w:ascii="Times New Roman" w:hAnsi="Times New Roman" w:cs="Times New Roman"/>
          <w:sz w:val="28"/>
          <w:szCs w:val="28"/>
          <w:lang w:val="uk-UA"/>
        </w:rPr>
        <w:t>2014 Jan;37(</w:t>
      </w:r>
      <w:r w:rsidR="00C47187" w:rsidRPr="00C47187">
        <w:rPr>
          <w:rFonts w:ascii="Times New Roman" w:hAnsi="Times New Roman" w:cs="Times New Roman"/>
          <w:sz w:val="28"/>
          <w:szCs w:val="28"/>
          <w:lang w:val="uk-UA"/>
        </w:rPr>
        <w:t>1</w:t>
      </w:r>
      <w:r w:rsidR="00C47187">
        <w:rPr>
          <w:rFonts w:ascii="Times New Roman" w:hAnsi="Times New Roman" w:cs="Times New Roman"/>
          <w:sz w:val="28"/>
          <w:szCs w:val="28"/>
          <w:lang w:val="uk-UA"/>
        </w:rPr>
        <w:t>):</w:t>
      </w:r>
      <w:r w:rsidR="00C47187" w:rsidRPr="00C47187">
        <w:rPr>
          <w:rFonts w:ascii="Times New Roman" w:hAnsi="Times New Roman" w:cs="Times New Roman"/>
          <w:sz w:val="28"/>
          <w:szCs w:val="28"/>
          <w:lang w:val="uk-UA"/>
        </w:rPr>
        <w:t>14-80.</w:t>
      </w:r>
      <w:r w:rsidR="00C47187">
        <w:rPr>
          <w:rFonts w:ascii="Times New Roman" w:hAnsi="Times New Roman" w:cs="Times New Roman"/>
          <w:sz w:val="28"/>
          <w:szCs w:val="28"/>
          <w:lang w:val="uk-UA"/>
        </w:rPr>
        <w:t xml:space="preserve"> </w:t>
      </w:r>
      <w:r w:rsidR="00C47187" w:rsidRPr="00C47187">
        <w:rPr>
          <w:rFonts w:ascii="Times New Roman" w:hAnsi="Times New Roman" w:cs="Times New Roman"/>
          <w:sz w:val="28"/>
          <w:szCs w:val="28"/>
          <w:lang w:val="uk-UA"/>
        </w:rPr>
        <w:t>Available from:</w:t>
      </w:r>
      <w:r w:rsidR="00C47187">
        <w:rPr>
          <w:rFonts w:ascii="Times New Roman" w:hAnsi="Times New Roman" w:cs="Times New Roman"/>
          <w:sz w:val="28"/>
          <w:szCs w:val="28"/>
          <w:lang w:val="uk-UA"/>
        </w:rPr>
        <w:t xml:space="preserve"> </w:t>
      </w:r>
    </w:p>
    <w:p w:rsidR="00FE348D" w:rsidRDefault="000A6805" w:rsidP="00F90BD3">
      <w:pPr>
        <w:tabs>
          <w:tab w:val="left" w:pos="2880"/>
        </w:tabs>
        <w:spacing w:after="0" w:line="360" w:lineRule="auto"/>
        <w:jc w:val="both"/>
        <w:rPr>
          <w:rFonts w:ascii="Times New Roman" w:hAnsi="Times New Roman" w:cs="Times New Roman"/>
          <w:sz w:val="28"/>
          <w:szCs w:val="28"/>
          <w:lang w:val="uk-UA"/>
        </w:rPr>
      </w:pPr>
      <w:hyperlink r:id="rId82" w:history="1">
        <w:r w:rsidR="00C47187" w:rsidRPr="00C47187">
          <w:rPr>
            <w:rStyle w:val="a9"/>
            <w:rFonts w:ascii="Times New Roman" w:hAnsi="Times New Roman" w:cs="Times New Roman"/>
            <w:color w:val="auto"/>
            <w:sz w:val="28"/>
            <w:szCs w:val="28"/>
            <w:u w:val="none"/>
            <w:lang w:val="uk-UA"/>
          </w:rPr>
          <w:t>http://care.diabetesjournals.org/content/37/Supplement_1/S14.full-text.pdf</w:t>
        </w:r>
      </w:hyperlink>
    </w:p>
    <w:p w:rsidR="00C47187" w:rsidRDefault="00C47187"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hyperlink r:id="rId83" w:history="1">
        <w:r w:rsidRPr="00C47187">
          <w:rPr>
            <w:rStyle w:val="a9"/>
            <w:rFonts w:ascii="Times New Roman" w:hAnsi="Times New Roman" w:cs="Times New Roman"/>
            <w:color w:val="auto"/>
            <w:sz w:val="28"/>
            <w:szCs w:val="28"/>
            <w:u w:val="none"/>
            <w:lang w:val="en-US"/>
          </w:rPr>
          <w:t>https://doi.org/10.2337/dc14-S014</w:t>
        </w:r>
      </w:hyperlink>
    </w:p>
    <w:p w:rsidR="00A43D21" w:rsidRPr="00AE437A" w:rsidRDefault="008F15A1"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Pr="00EA6F81">
        <w:rPr>
          <w:rFonts w:ascii="Times New Roman" w:hAnsi="Times New Roman" w:cs="Times New Roman"/>
          <w:sz w:val="28"/>
          <w:szCs w:val="28"/>
        </w:rPr>
        <w:t>5</w:t>
      </w:r>
      <w:r w:rsidR="00A43D21">
        <w:rPr>
          <w:rFonts w:ascii="Times New Roman" w:hAnsi="Times New Roman" w:cs="Times New Roman"/>
          <w:sz w:val="28"/>
          <w:szCs w:val="28"/>
        </w:rPr>
        <w:t>.</w:t>
      </w:r>
      <w:r w:rsidR="00A43D21">
        <w:rPr>
          <w:rFonts w:ascii="Times New Roman" w:hAnsi="Times New Roman" w:cs="Times New Roman"/>
          <w:sz w:val="28"/>
          <w:szCs w:val="28"/>
          <w:lang w:val="uk-UA"/>
        </w:rPr>
        <w:t xml:space="preserve"> </w:t>
      </w:r>
      <w:r w:rsidR="00A43D21">
        <w:rPr>
          <w:rFonts w:ascii="Times New Roman" w:hAnsi="Times New Roman" w:cs="Times New Roman"/>
          <w:sz w:val="28"/>
          <w:szCs w:val="28"/>
        </w:rPr>
        <w:t>Мельник А</w:t>
      </w:r>
      <w:r w:rsidR="00A43D21" w:rsidRPr="00A43D21">
        <w:rPr>
          <w:rFonts w:ascii="Times New Roman" w:hAnsi="Times New Roman" w:cs="Times New Roman"/>
          <w:sz w:val="28"/>
          <w:szCs w:val="28"/>
        </w:rPr>
        <w:t>А. Кардиоренальны</w:t>
      </w:r>
      <w:r w:rsidR="00A43D21">
        <w:rPr>
          <w:rFonts w:ascii="Times New Roman" w:hAnsi="Times New Roman" w:cs="Times New Roman"/>
          <w:sz w:val="28"/>
          <w:szCs w:val="28"/>
        </w:rPr>
        <w:t>й синдром: диагносика и лечение</w:t>
      </w:r>
      <w:r w:rsidR="00A43D21">
        <w:rPr>
          <w:rFonts w:ascii="Times New Roman" w:hAnsi="Times New Roman" w:cs="Times New Roman"/>
          <w:sz w:val="28"/>
          <w:szCs w:val="28"/>
          <w:lang w:val="uk-UA"/>
        </w:rPr>
        <w:t xml:space="preserve">. </w:t>
      </w:r>
      <w:r w:rsidR="00A43D21" w:rsidRPr="00A43D21">
        <w:rPr>
          <w:rFonts w:ascii="Times New Roman" w:hAnsi="Times New Roman" w:cs="Times New Roman"/>
          <w:sz w:val="28"/>
          <w:szCs w:val="28"/>
        </w:rPr>
        <w:t>Почки</w:t>
      </w:r>
      <w:r w:rsidR="00A43D21">
        <w:rPr>
          <w:rFonts w:ascii="Times New Roman" w:hAnsi="Times New Roman" w:cs="Times New Roman"/>
          <w:sz w:val="28"/>
          <w:szCs w:val="28"/>
          <w:lang w:val="uk-UA"/>
        </w:rPr>
        <w:t xml:space="preserve"> </w:t>
      </w:r>
      <w:r w:rsidR="00A43D21" w:rsidRPr="00A43D21">
        <w:rPr>
          <w:rFonts w:ascii="Times New Roman" w:hAnsi="Times New Roman" w:cs="Times New Roman"/>
          <w:sz w:val="28"/>
          <w:szCs w:val="28"/>
        </w:rPr>
        <w:t>[</w:t>
      </w:r>
      <w:r w:rsidR="00A43D21">
        <w:rPr>
          <w:rFonts w:ascii="Times New Roman" w:hAnsi="Times New Roman" w:cs="Times New Roman"/>
          <w:sz w:val="28"/>
          <w:szCs w:val="28"/>
        </w:rPr>
        <w:t>Интернет</w:t>
      </w:r>
      <w:r w:rsidR="00A43D21" w:rsidRPr="00A43D21">
        <w:rPr>
          <w:rFonts w:ascii="Times New Roman" w:hAnsi="Times New Roman" w:cs="Times New Roman"/>
          <w:sz w:val="28"/>
          <w:szCs w:val="28"/>
        </w:rPr>
        <w:t>]</w:t>
      </w:r>
      <w:r w:rsidR="00A43D21">
        <w:rPr>
          <w:rFonts w:ascii="Times New Roman" w:hAnsi="Times New Roman" w:cs="Times New Roman"/>
          <w:sz w:val="28"/>
          <w:szCs w:val="28"/>
        </w:rPr>
        <w:t>. 2017</w:t>
      </w:r>
      <w:r w:rsidR="00A43D21" w:rsidRPr="00A43D21">
        <w:rPr>
          <w:rFonts w:ascii="Times New Roman" w:hAnsi="Times New Roman" w:cs="Times New Roman"/>
          <w:sz w:val="28"/>
          <w:szCs w:val="28"/>
        </w:rPr>
        <w:t>;</w:t>
      </w:r>
      <w:r w:rsidR="00A43D21">
        <w:rPr>
          <w:rFonts w:ascii="Times New Roman" w:hAnsi="Times New Roman" w:cs="Times New Roman"/>
          <w:sz w:val="28"/>
          <w:szCs w:val="28"/>
        </w:rPr>
        <w:t>6</w:t>
      </w:r>
      <w:r w:rsidR="00A43D21" w:rsidRPr="00A43D21">
        <w:rPr>
          <w:rFonts w:ascii="Times New Roman" w:hAnsi="Times New Roman" w:cs="Times New Roman"/>
          <w:sz w:val="28"/>
          <w:szCs w:val="28"/>
        </w:rPr>
        <w:t xml:space="preserve">(2):2-14. Доступно на: </w:t>
      </w:r>
    </w:p>
    <w:p w:rsidR="00A43D21" w:rsidRPr="00AE437A" w:rsidRDefault="000A6805" w:rsidP="00F90BD3">
      <w:pPr>
        <w:tabs>
          <w:tab w:val="left" w:pos="2880"/>
        </w:tabs>
        <w:spacing w:after="0" w:line="360" w:lineRule="auto"/>
        <w:jc w:val="both"/>
        <w:rPr>
          <w:rFonts w:ascii="Times New Roman" w:hAnsi="Times New Roman" w:cs="Times New Roman"/>
          <w:sz w:val="28"/>
          <w:szCs w:val="28"/>
        </w:rPr>
      </w:pPr>
      <w:hyperlink r:id="rId84" w:history="1">
        <w:r w:rsidR="00A43D21" w:rsidRPr="00A43D21">
          <w:rPr>
            <w:rStyle w:val="a9"/>
            <w:rFonts w:ascii="Times New Roman" w:hAnsi="Times New Roman" w:cs="Times New Roman"/>
            <w:color w:val="auto"/>
            <w:sz w:val="28"/>
            <w:szCs w:val="28"/>
            <w:u w:val="none"/>
            <w:lang w:val="en-US"/>
          </w:rPr>
          <w:t>http</w:t>
        </w:r>
        <w:r w:rsidR="00A43D21" w:rsidRPr="00AE437A">
          <w:rPr>
            <w:rStyle w:val="a9"/>
            <w:rFonts w:ascii="Times New Roman" w:hAnsi="Times New Roman" w:cs="Times New Roman"/>
            <w:color w:val="auto"/>
            <w:sz w:val="28"/>
            <w:szCs w:val="28"/>
            <w:u w:val="none"/>
          </w:rPr>
          <w:t>://</w:t>
        </w:r>
        <w:r w:rsidR="00A43D21" w:rsidRPr="00A43D21">
          <w:rPr>
            <w:rStyle w:val="a9"/>
            <w:rFonts w:ascii="Times New Roman" w:hAnsi="Times New Roman" w:cs="Times New Roman"/>
            <w:color w:val="auto"/>
            <w:sz w:val="28"/>
            <w:szCs w:val="28"/>
            <w:u w:val="none"/>
            <w:lang w:val="en-US"/>
          </w:rPr>
          <w:t>oaji</w:t>
        </w:r>
        <w:r w:rsidR="00A43D21" w:rsidRPr="00AE437A">
          <w:rPr>
            <w:rStyle w:val="a9"/>
            <w:rFonts w:ascii="Times New Roman" w:hAnsi="Times New Roman" w:cs="Times New Roman"/>
            <w:color w:val="auto"/>
            <w:sz w:val="28"/>
            <w:szCs w:val="28"/>
            <w:u w:val="none"/>
          </w:rPr>
          <w:t>.</w:t>
        </w:r>
        <w:r w:rsidR="00A43D21" w:rsidRPr="00A43D21">
          <w:rPr>
            <w:rStyle w:val="a9"/>
            <w:rFonts w:ascii="Times New Roman" w:hAnsi="Times New Roman" w:cs="Times New Roman"/>
            <w:color w:val="auto"/>
            <w:sz w:val="28"/>
            <w:szCs w:val="28"/>
            <w:u w:val="none"/>
            <w:lang w:val="en-US"/>
          </w:rPr>
          <w:t>net</w:t>
        </w:r>
        <w:r w:rsidR="00A43D21" w:rsidRPr="00AE437A">
          <w:rPr>
            <w:rStyle w:val="a9"/>
            <w:rFonts w:ascii="Times New Roman" w:hAnsi="Times New Roman" w:cs="Times New Roman"/>
            <w:color w:val="auto"/>
            <w:sz w:val="28"/>
            <w:szCs w:val="28"/>
            <w:u w:val="none"/>
          </w:rPr>
          <w:t>/</w:t>
        </w:r>
        <w:r w:rsidR="00A43D21" w:rsidRPr="00A43D21">
          <w:rPr>
            <w:rStyle w:val="a9"/>
            <w:rFonts w:ascii="Times New Roman" w:hAnsi="Times New Roman" w:cs="Times New Roman"/>
            <w:color w:val="auto"/>
            <w:sz w:val="28"/>
            <w:szCs w:val="28"/>
            <w:u w:val="none"/>
            <w:lang w:val="en-US"/>
          </w:rPr>
          <w:t>articles</w:t>
        </w:r>
        <w:r w:rsidR="00A43D21" w:rsidRPr="00AE437A">
          <w:rPr>
            <w:rStyle w:val="a9"/>
            <w:rFonts w:ascii="Times New Roman" w:hAnsi="Times New Roman" w:cs="Times New Roman"/>
            <w:color w:val="auto"/>
            <w:sz w:val="28"/>
            <w:szCs w:val="28"/>
            <w:u w:val="none"/>
          </w:rPr>
          <w:t>/2017/4681-1496825778.</w:t>
        </w:r>
        <w:r w:rsidR="00A43D21" w:rsidRPr="00A43D21">
          <w:rPr>
            <w:rStyle w:val="a9"/>
            <w:rFonts w:ascii="Times New Roman" w:hAnsi="Times New Roman" w:cs="Times New Roman"/>
            <w:color w:val="auto"/>
            <w:sz w:val="28"/>
            <w:szCs w:val="28"/>
            <w:u w:val="none"/>
            <w:lang w:val="en-US"/>
          </w:rPr>
          <w:t>pdf</w:t>
        </w:r>
      </w:hyperlink>
      <w:r w:rsidR="00A43D21" w:rsidRPr="00AE437A">
        <w:rPr>
          <w:rFonts w:ascii="Times New Roman" w:hAnsi="Times New Roman" w:cs="Times New Roman"/>
          <w:sz w:val="28"/>
          <w:szCs w:val="28"/>
        </w:rPr>
        <w:t xml:space="preserve"> </w:t>
      </w:r>
    </w:p>
    <w:p w:rsidR="00A43D21" w:rsidRPr="005D325C" w:rsidRDefault="00A43D21" w:rsidP="00F90BD3">
      <w:pPr>
        <w:tabs>
          <w:tab w:val="left" w:pos="2880"/>
        </w:tabs>
        <w:spacing w:after="0" w:line="360" w:lineRule="auto"/>
        <w:jc w:val="both"/>
        <w:rPr>
          <w:rFonts w:ascii="Times New Roman" w:hAnsi="Times New Roman" w:cs="Times New Roman"/>
          <w:sz w:val="28"/>
          <w:szCs w:val="28"/>
        </w:rPr>
      </w:pPr>
      <w:r w:rsidRPr="00A43D21">
        <w:rPr>
          <w:rFonts w:ascii="Times New Roman" w:hAnsi="Times New Roman" w:cs="Times New Roman"/>
          <w:sz w:val="28"/>
          <w:szCs w:val="28"/>
          <w:lang w:val="en-US"/>
        </w:rPr>
        <w:t>DOI</w:t>
      </w:r>
      <w:r w:rsidRPr="005D325C">
        <w:rPr>
          <w:rFonts w:ascii="Times New Roman" w:hAnsi="Times New Roman" w:cs="Times New Roman"/>
          <w:sz w:val="28"/>
          <w:szCs w:val="28"/>
        </w:rPr>
        <w:t>: 10.22141/2307-1257.6.1.2017.93777</w:t>
      </w:r>
    </w:p>
    <w:p w:rsidR="008C7703" w:rsidRPr="00C70210" w:rsidRDefault="008F15A1"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10</w:t>
      </w:r>
      <w:r w:rsidRPr="00EA6F81">
        <w:rPr>
          <w:rFonts w:ascii="Times New Roman" w:hAnsi="Times New Roman" w:cs="Times New Roman"/>
          <w:sz w:val="28"/>
          <w:szCs w:val="28"/>
        </w:rPr>
        <w:t>6</w:t>
      </w:r>
      <w:r w:rsidR="00A43D21" w:rsidRPr="00AE437A">
        <w:rPr>
          <w:rFonts w:ascii="Times New Roman" w:hAnsi="Times New Roman" w:cs="Times New Roman"/>
          <w:sz w:val="28"/>
          <w:szCs w:val="28"/>
        </w:rPr>
        <w:t xml:space="preserve">. </w:t>
      </w:r>
      <w:r w:rsidR="008C7703">
        <w:rPr>
          <w:rFonts w:ascii="Times New Roman" w:hAnsi="Times New Roman" w:cs="Times New Roman"/>
          <w:sz w:val="28"/>
          <w:szCs w:val="28"/>
        </w:rPr>
        <w:t>Сіренко</w:t>
      </w:r>
      <w:r w:rsidR="008C7703" w:rsidRPr="00AE437A">
        <w:rPr>
          <w:rFonts w:ascii="Times New Roman" w:hAnsi="Times New Roman" w:cs="Times New Roman"/>
          <w:sz w:val="28"/>
          <w:szCs w:val="28"/>
        </w:rPr>
        <w:t xml:space="preserve"> </w:t>
      </w:r>
      <w:r w:rsidR="008C7703">
        <w:rPr>
          <w:rFonts w:ascii="Times New Roman" w:hAnsi="Times New Roman" w:cs="Times New Roman"/>
          <w:sz w:val="28"/>
          <w:szCs w:val="28"/>
        </w:rPr>
        <w:t>ЮМ</w:t>
      </w:r>
      <w:r w:rsidR="008C7703" w:rsidRPr="00AE437A">
        <w:rPr>
          <w:rFonts w:ascii="Times New Roman" w:hAnsi="Times New Roman" w:cs="Times New Roman"/>
          <w:sz w:val="28"/>
          <w:szCs w:val="28"/>
        </w:rPr>
        <w:t xml:space="preserve">, Рековець </w:t>
      </w:r>
      <w:r w:rsidR="008C7703">
        <w:rPr>
          <w:rFonts w:ascii="Times New Roman" w:hAnsi="Times New Roman" w:cs="Times New Roman"/>
          <w:sz w:val="28"/>
          <w:szCs w:val="28"/>
          <w:lang w:val="uk-UA"/>
        </w:rPr>
        <w:t>ОЛ.</w:t>
      </w:r>
      <w:r w:rsidR="008C7703" w:rsidRPr="00AE437A">
        <w:rPr>
          <w:rFonts w:ascii="Times New Roman" w:hAnsi="Times New Roman" w:cs="Times New Roman"/>
          <w:sz w:val="28"/>
          <w:szCs w:val="28"/>
        </w:rPr>
        <w:t xml:space="preserve"> </w:t>
      </w:r>
      <w:r w:rsidR="008C7703" w:rsidRPr="008C7703">
        <w:rPr>
          <w:rFonts w:ascii="Times New Roman" w:hAnsi="Times New Roman" w:cs="Times New Roman"/>
          <w:sz w:val="28"/>
          <w:szCs w:val="28"/>
        </w:rPr>
        <w:t>Артеріальна гіпертензія та застосування статинів у світлі нових досліджень та рекомендацій</w:t>
      </w:r>
      <w:r w:rsidR="008C7703">
        <w:rPr>
          <w:rFonts w:ascii="Times New Roman" w:hAnsi="Times New Roman" w:cs="Times New Roman"/>
          <w:sz w:val="28"/>
          <w:szCs w:val="28"/>
          <w:lang w:val="uk-UA"/>
        </w:rPr>
        <w:t xml:space="preserve">. </w:t>
      </w:r>
      <w:r w:rsidR="008C7703" w:rsidRPr="00C70210">
        <w:rPr>
          <w:rFonts w:ascii="Times New Roman" w:hAnsi="Times New Roman" w:cs="Times New Roman"/>
          <w:sz w:val="28"/>
          <w:szCs w:val="28"/>
          <w:lang w:val="uk-UA"/>
        </w:rPr>
        <w:t xml:space="preserve">Артериальная гипертензия [Интернет]. 2015;2(40):2-10. Доступно на: </w:t>
      </w:r>
    </w:p>
    <w:p w:rsidR="00A43D21" w:rsidRPr="00C70210" w:rsidRDefault="008C7703" w:rsidP="00F90BD3">
      <w:pPr>
        <w:tabs>
          <w:tab w:val="left" w:pos="2880"/>
        </w:tabs>
        <w:spacing w:after="0" w:line="360" w:lineRule="auto"/>
        <w:jc w:val="both"/>
        <w:rPr>
          <w:rFonts w:ascii="Times New Roman" w:hAnsi="Times New Roman" w:cs="Times New Roman"/>
          <w:sz w:val="28"/>
          <w:szCs w:val="28"/>
          <w:lang w:val="uk-UA"/>
        </w:rPr>
      </w:pPr>
      <w:r w:rsidRPr="008C7703">
        <w:rPr>
          <w:rFonts w:ascii="Times New Roman" w:hAnsi="Times New Roman" w:cs="Times New Roman"/>
          <w:sz w:val="28"/>
          <w:szCs w:val="28"/>
          <w:lang w:val="en-US"/>
        </w:rPr>
        <w:t>ReprintWUKLIP</w:t>
      </w:r>
      <w:r w:rsidRPr="00C70210">
        <w:rPr>
          <w:rFonts w:ascii="Times New Roman" w:hAnsi="Times New Roman" w:cs="Times New Roman"/>
          <w:sz w:val="28"/>
          <w:szCs w:val="28"/>
          <w:lang w:val="uk-UA"/>
        </w:rPr>
        <w:t>2715053.</w:t>
      </w:r>
      <w:r w:rsidRPr="008C7703">
        <w:rPr>
          <w:rFonts w:ascii="Times New Roman" w:hAnsi="Times New Roman" w:cs="Times New Roman"/>
          <w:sz w:val="28"/>
          <w:szCs w:val="28"/>
          <w:lang w:val="en-US"/>
        </w:rPr>
        <w:t>pdf</w:t>
      </w:r>
    </w:p>
    <w:p w:rsidR="00B15AF9" w:rsidRDefault="008F15A1" w:rsidP="00B15AF9">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10</w:t>
      </w:r>
      <w:r w:rsidRPr="00EA6F81">
        <w:rPr>
          <w:rFonts w:ascii="Times New Roman" w:hAnsi="Times New Roman" w:cs="Times New Roman"/>
          <w:sz w:val="28"/>
          <w:szCs w:val="28"/>
          <w:lang w:val="uk-UA"/>
        </w:rPr>
        <w:t>7</w:t>
      </w:r>
      <w:r w:rsidR="008C7703" w:rsidRPr="00C70210">
        <w:rPr>
          <w:rFonts w:ascii="Times New Roman" w:hAnsi="Times New Roman" w:cs="Times New Roman"/>
          <w:sz w:val="28"/>
          <w:szCs w:val="28"/>
          <w:lang w:val="uk-UA"/>
        </w:rPr>
        <w:t xml:space="preserve">. </w:t>
      </w:r>
      <w:r w:rsidR="00C70210" w:rsidRPr="00C70210">
        <w:rPr>
          <w:rFonts w:ascii="Times New Roman" w:hAnsi="Times New Roman" w:cs="Times New Roman"/>
          <w:sz w:val="28"/>
          <w:szCs w:val="28"/>
          <w:lang w:val="en-US"/>
        </w:rPr>
        <w:t>Wright</w:t>
      </w:r>
      <w:r w:rsidR="00C70210">
        <w:rPr>
          <w:rFonts w:ascii="Times New Roman" w:hAnsi="Times New Roman" w:cs="Times New Roman"/>
          <w:sz w:val="28"/>
          <w:szCs w:val="28"/>
          <w:lang w:val="uk-UA"/>
        </w:rPr>
        <w:t xml:space="preserve"> </w:t>
      </w:r>
      <w:r w:rsidR="00C70210">
        <w:rPr>
          <w:rFonts w:ascii="Times New Roman" w:hAnsi="Times New Roman" w:cs="Times New Roman"/>
          <w:sz w:val="28"/>
          <w:szCs w:val="28"/>
          <w:lang w:val="en-US"/>
        </w:rPr>
        <w:t>JT</w:t>
      </w:r>
      <w:r w:rsidR="00C70210" w:rsidRPr="00C70210">
        <w:rPr>
          <w:rFonts w:ascii="Times New Roman" w:hAnsi="Times New Roman" w:cs="Times New Roman"/>
          <w:sz w:val="28"/>
          <w:szCs w:val="28"/>
          <w:lang w:val="uk-UA"/>
        </w:rPr>
        <w:t xml:space="preserve">, </w:t>
      </w:r>
      <w:r w:rsidR="00C70210" w:rsidRPr="00C70210">
        <w:rPr>
          <w:rFonts w:ascii="Times New Roman" w:hAnsi="Times New Roman" w:cs="Times New Roman"/>
          <w:sz w:val="28"/>
          <w:szCs w:val="28"/>
          <w:lang w:val="en-US"/>
        </w:rPr>
        <w:t>Williamson</w:t>
      </w:r>
      <w:r w:rsidR="00C70210" w:rsidRPr="00C70210">
        <w:rPr>
          <w:rFonts w:ascii="Times New Roman" w:hAnsi="Times New Roman" w:cs="Times New Roman"/>
          <w:sz w:val="28"/>
          <w:szCs w:val="28"/>
          <w:lang w:val="uk-UA"/>
        </w:rPr>
        <w:t xml:space="preserve"> </w:t>
      </w:r>
      <w:r w:rsidR="00C70210">
        <w:rPr>
          <w:rFonts w:ascii="Times New Roman" w:hAnsi="Times New Roman" w:cs="Times New Roman"/>
          <w:sz w:val="28"/>
          <w:szCs w:val="28"/>
          <w:lang w:val="en-US"/>
        </w:rPr>
        <w:t>JD</w:t>
      </w:r>
      <w:r w:rsidR="00C70210" w:rsidRPr="00C70210">
        <w:rPr>
          <w:rFonts w:ascii="Times New Roman" w:hAnsi="Times New Roman" w:cs="Times New Roman"/>
          <w:sz w:val="28"/>
          <w:szCs w:val="28"/>
          <w:lang w:val="uk-UA"/>
        </w:rPr>
        <w:t xml:space="preserve">, </w:t>
      </w:r>
      <w:r w:rsidR="00C70210" w:rsidRPr="00C70210">
        <w:rPr>
          <w:rFonts w:ascii="Times New Roman" w:hAnsi="Times New Roman" w:cs="Times New Roman"/>
          <w:sz w:val="28"/>
          <w:szCs w:val="28"/>
          <w:lang w:val="en-US"/>
        </w:rPr>
        <w:t>Whelton</w:t>
      </w:r>
      <w:r w:rsidR="00C70210" w:rsidRPr="00B15AF9">
        <w:rPr>
          <w:rFonts w:ascii="Times New Roman" w:hAnsi="Times New Roman" w:cs="Times New Roman"/>
          <w:sz w:val="28"/>
          <w:szCs w:val="28"/>
          <w:lang w:val="uk-UA"/>
        </w:rPr>
        <w:t xml:space="preserve"> </w:t>
      </w:r>
      <w:r w:rsidR="00C70210">
        <w:rPr>
          <w:rFonts w:ascii="Times New Roman" w:hAnsi="Times New Roman" w:cs="Times New Roman"/>
          <w:sz w:val="28"/>
          <w:szCs w:val="28"/>
          <w:lang w:val="en-US"/>
        </w:rPr>
        <w:t>PK</w:t>
      </w:r>
      <w:r w:rsidR="00C70210">
        <w:rPr>
          <w:rFonts w:ascii="Times New Roman" w:hAnsi="Times New Roman" w:cs="Times New Roman"/>
          <w:sz w:val="28"/>
          <w:szCs w:val="28"/>
          <w:lang w:val="uk-UA"/>
        </w:rPr>
        <w:t>,</w:t>
      </w:r>
      <w:r w:rsidR="00C70210" w:rsidRPr="00C70210">
        <w:rPr>
          <w:rFonts w:ascii="Times New Roman" w:hAnsi="Times New Roman" w:cs="Times New Roman"/>
          <w:sz w:val="28"/>
          <w:szCs w:val="28"/>
          <w:lang w:val="uk-UA"/>
        </w:rPr>
        <w:t xml:space="preserve"> </w:t>
      </w:r>
      <w:r w:rsidR="00C70210" w:rsidRPr="00C70210">
        <w:rPr>
          <w:rFonts w:ascii="Times New Roman" w:hAnsi="Times New Roman" w:cs="Times New Roman"/>
          <w:sz w:val="28"/>
          <w:szCs w:val="28"/>
          <w:lang w:val="en-US"/>
        </w:rPr>
        <w:t>Snyder</w:t>
      </w:r>
      <w:r w:rsidR="00C70210" w:rsidRPr="00B15AF9">
        <w:rPr>
          <w:rFonts w:ascii="Times New Roman" w:hAnsi="Times New Roman" w:cs="Times New Roman"/>
          <w:sz w:val="28"/>
          <w:szCs w:val="28"/>
          <w:lang w:val="uk-UA"/>
        </w:rPr>
        <w:t xml:space="preserve"> </w:t>
      </w:r>
      <w:r w:rsidR="00C70210">
        <w:rPr>
          <w:rFonts w:ascii="Times New Roman" w:hAnsi="Times New Roman" w:cs="Times New Roman"/>
          <w:sz w:val="28"/>
          <w:szCs w:val="28"/>
          <w:lang w:val="en-US"/>
        </w:rPr>
        <w:t>JK</w:t>
      </w:r>
      <w:r w:rsidR="00C70210">
        <w:rPr>
          <w:rFonts w:ascii="Times New Roman" w:hAnsi="Times New Roman" w:cs="Times New Roman"/>
          <w:sz w:val="28"/>
          <w:szCs w:val="28"/>
          <w:lang w:val="uk-UA"/>
        </w:rPr>
        <w:t>,</w:t>
      </w:r>
      <w:r w:rsidR="00C70210" w:rsidRPr="00B15AF9">
        <w:rPr>
          <w:rFonts w:ascii="Times New Roman" w:hAnsi="Times New Roman" w:cs="Times New Roman"/>
          <w:sz w:val="28"/>
          <w:szCs w:val="28"/>
          <w:lang w:val="uk-UA"/>
        </w:rPr>
        <w:t xml:space="preserve"> </w:t>
      </w:r>
      <w:r w:rsidR="00C70210" w:rsidRPr="00C70210">
        <w:rPr>
          <w:rFonts w:ascii="Times New Roman" w:hAnsi="Times New Roman" w:cs="Times New Roman"/>
          <w:sz w:val="28"/>
          <w:szCs w:val="28"/>
          <w:lang w:val="en-US"/>
        </w:rPr>
        <w:t>Sink</w:t>
      </w:r>
      <w:r w:rsidR="00C70210" w:rsidRPr="00B15AF9">
        <w:rPr>
          <w:rFonts w:ascii="Times New Roman" w:hAnsi="Times New Roman" w:cs="Times New Roman"/>
          <w:sz w:val="28"/>
          <w:szCs w:val="28"/>
          <w:lang w:val="uk-UA"/>
        </w:rPr>
        <w:t xml:space="preserve"> </w:t>
      </w:r>
      <w:r w:rsidR="00C70210">
        <w:rPr>
          <w:rFonts w:ascii="Times New Roman" w:hAnsi="Times New Roman" w:cs="Times New Roman"/>
          <w:sz w:val="28"/>
          <w:szCs w:val="28"/>
          <w:lang w:val="en-US"/>
        </w:rPr>
        <w:t>KM</w:t>
      </w:r>
      <w:r w:rsidR="00C70210" w:rsidRPr="00C70210">
        <w:rPr>
          <w:rFonts w:ascii="Times New Roman" w:hAnsi="Times New Roman" w:cs="Times New Roman"/>
          <w:sz w:val="28"/>
          <w:szCs w:val="28"/>
          <w:lang w:val="uk-UA"/>
        </w:rPr>
        <w:t xml:space="preserve">, </w:t>
      </w:r>
      <w:r w:rsidR="00C70210" w:rsidRPr="00C70210">
        <w:rPr>
          <w:rFonts w:ascii="Times New Roman" w:hAnsi="Times New Roman" w:cs="Times New Roman"/>
          <w:sz w:val="28"/>
          <w:szCs w:val="28"/>
          <w:lang w:val="en-US"/>
        </w:rPr>
        <w:t>Rocco</w:t>
      </w:r>
      <w:r w:rsidR="00C70210" w:rsidRPr="00B15AF9">
        <w:rPr>
          <w:rFonts w:ascii="Times New Roman" w:hAnsi="Times New Roman" w:cs="Times New Roman"/>
          <w:sz w:val="28"/>
          <w:szCs w:val="28"/>
          <w:lang w:val="uk-UA"/>
        </w:rPr>
        <w:t xml:space="preserve"> </w:t>
      </w:r>
      <w:r w:rsidR="00C70210">
        <w:rPr>
          <w:rFonts w:ascii="Times New Roman" w:hAnsi="Times New Roman" w:cs="Times New Roman"/>
          <w:sz w:val="28"/>
          <w:szCs w:val="28"/>
          <w:lang w:val="en-US"/>
        </w:rPr>
        <w:t>MV</w:t>
      </w:r>
      <w:r w:rsidR="00C70210" w:rsidRPr="00B15AF9">
        <w:rPr>
          <w:rFonts w:ascii="Times New Roman" w:hAnsi="Times New Roman" w:cs="Times New Roman"/>
          <w:sz w:val="28"/>
          <w:szCs w:val="28"/>
          <w:lang w:val="uk-UA"/>
        </w:rPr>
        <w:t xml:space="preserve">, </w:t>
      </w:r>
      <w:r w:rsidR="00B15AF9">
        <w:rPr>
          <w:rFonts w:ascii="Times New Roman" w:hAnsi="Times New Roman" w:cs="Times New Roman"/>
          <w:sz w:val="28"/>
          <w:szCs w:val="28"/>
          <w:lang w:val="en-US"/>
        </w:rPr>
        <w:t>et</w:t>
      </w:r>
      <w:r w:rsidR="00B15AF9" w:rsidRPr="00E941CA">
        <w:rPr>
          <w:rFonts w:ascii="Times New Roman" w:hAnsi="Times New Roman" w:cs="Times New Roman"/>
          <w:sz w:val="28"/>
          <w:szCs w:val="28"/>
          <w:lang w:val="uk-UA"/>
        </w:rPr>
        <w:t xml:space="preserve"> </w:t>
      </w:r>
      <w:r w:rsidR="00B15AF9">
        <w:rPr>
          <w:rFonts w:ascii="Times New Roman" w:hAnsi="Times New Roman" w:cs="Times New Roman"/>
          <w:sz w:val="28"/>
          <w:szCs w:val="28"/>
          <w:lang w:val="en-US"/>
        </w:rPr>
        <w:t>al</w:t>
      </w:r>
      <w:r w:rsidR="00B15AF9" w:rsidRPr="00E941CA">
        <w:rPr>
          <w:rFonts w:ascii="Times New Roman" w:hAnsi="Times New Roman" w:cs="Times New Roman"/>
          <w:sz w:val="28"/>
          <w:szCs w:val="28"/>
          <w:lang w:val="uk-UA"/>
        </w:rPr>
        <w:t xml:space="preserve">. </w:t>
      </w:r>
      <w:r w:rsidR="00B15AF9" w:rsidRPr="00B15AF9">
        <w:rPr>
          <w:rFonts w:ascii="Times New Roman" w:hAnsi="Times New Roman" w:cs="Times New Roman"/>
          <w:sz w:val="28"/>
          <w:szCs w:val="28"/>
          <w:lang w:val="en-US"/>
        </w:rPr>
        <w:t>A Rando</w:t>
      </w:r>
      <w:r w:rsidR="00B15AF9">
        <w:rPr>
          <w:rFonts w:ascii="Times New Roman" w:hAnsi="Times New Roman" w:cs="Times New Roman"/>
          <w:sz w:val="28"/>
          <w:szCs w:val="28"/>
          <w:lang w:val="en-US"/>
        </w:rPr>
        <w:t xml:space="preserve">mized Trial of Intensive versus </w:t>
      </w:r>
      <w:r w:rsidR="00B15AF9" w:rsidRPr="00B15AF9">
        <w:rPr>
          <w:rFonts w:ascii="Times New Roman" w:hAnsi="Times New Roman" w:cs="Times New Roman"/>
          <w:sz w:val="28"/>
          <w:szCs w:val="28"/>
          <w:lang w:val="en-US"/>
        </w:rPr>
        <w:t>Standard Blood-Pressure Control</w:t>
      </w:r>
      <w:r w:rsidR="00B15AF9">
        <w:rPr>
          <w:rFonts w:ascii="Times New Roman" w:hAnsi="Times New Roman" w:cs="Times New Roman"/>
          <w:sz w:val="28"/>
          <w:szCs w:val="28"/>
          <w:lang w:val="en-US"/>
        </w:rPr>
        <w:t xml:space="preserve">. The N Engl J Med </w:t>
      </w:r>
      <w:r w:rsidR="00B15AF9" w:rsidRPr="00B15AF9">
        <w:rPr>
          <w:rFonts w:ascii="Times New Roman" w:hAnsi="Times New Roman" w:cs="Times New Roman"/>
          <w:sz w:val="28"/>
          <w:szCs w:val="28"/>
          <w:lang w:val="en-US"/>
        </w:rPr>
        <w:t xml:space="preserve">[Internet]. </w:t>
      </w:r>
      <w:r w:rsidR="00B15AF9">
        <w:rPr>
          <w:rFonts w:ascii="Times New Roman" w:hAnsi="Times New Roman" w:cs="Times New Roman"/>
          <w:sz w:val="28"/>
          <w:szCs w:val="28"/>
          <w:lang w:val="en-US"/>
        </w:rPr>
        <w:t>2015 Nov</w:t>
      </w:r>
      <w:r w:rsidR="00B15AF9" w:rsidRPr="00B15AF9">
        <w:rPr>
          <w:rFonts w:ascii="Times New Roman" w:hAnsi="Times New Roman" w:cs="Times New Roman"/>
          <w:sz w:val="28"/>
          <w:szCs w:val="28"/>
          <w:lang w:val="en-US"/>
        </w:rPr>
        <w:t>;373:2103-16.</w:t>
      </w:r>
      <w:r w:rsidR="00B15AF9">
        <w:rPr>
          <w:rFonts w:ascii="Times New Roman" w:hAnsi="Times New Roman" w:cs="Times New Roman"/>
          <w:sz w:val="28"/>
          <w:szCs w:val="28"/>
          <w:lang w:val="en-US"/>
        </w:rPr>
        <w:t xml:space="preserve"> </w:t>
      </w:r>
      <w:r w:rsidR="00B15AF9" w:rsidRPr="00B15AF9">
        <w:rPr>
          <w:rFonts w:ascii="Times New Roman" w:hAnsi="Times New Roman" w:cs="Times New Roman"/>
          <w:sz w:val="28"/>
          <w:szCs w:val="28"/>
          <w:lang w:val="en-US"/>
        </w:rPr>
        <w:t>Available from:</w:t>
      </w:r>
      <w:r w:rsidR="00B15AF9">
        <w:rPr>
          <w:rFonts w:ascii="Times New Roman" w:hAnsi="Times New Roman" w:cs="Times New Roman"/>
          <w:sz w:val="28"/>
          <w:szCs w:val="28"/>
          <w:lang w:val="en-US"/>
        </w:rPr>
        <w:t xml:space="preserve"> </w:t>
      </w:r>
    </w:p>
    <w:p w:rsidR="008C7703" w:rsidRPr="00B15AF9" w:rsidRDefault="000A6805" w:rsidP="00B15AF9">
      <w:pPr>
        <w:tabs>
          <w:tab w:val="left" w:pos="2880"/>
        </w:tabs>
        <w:spacing w:after="0" w:line="360" w:lineRule="auto"/>
        <w:jc w:val="both"/>
        <w:rPr>
          <w:rFonts w:ascii="Times New Roman" w:hAnsi="Times New Roman" w:cs="Times New Roman"/>
          <w:sz w:val="28"/>
          <w:szCs w:val="28"/>
          <w:lang w:val="en-US"/>
        </w:rPr>
      </w:pPr>
      <w:hyperlink r:id="rId85" w:history="1">
        <w:r w:rsidR="00B15AF9" w:rsidRPr="00B15AF9">
          <w:rPr>
            <w:rStyle w:val="a9"/>
            <w:rFonts w:ascii="Times New Roman" w:hAnsi="Times New Roman" w:cs="Times New Roman"/>
            <w:color w:val="auto"/>
            <w:sz w:val="28"/>
            <w:szCs w:val="28"/>
            <w:u w:val="none"/>
            <w:lang w:val="en-US"/>
          </w:rPr>
          <w:t>https://www.nejm.org/doi/full/10.1056/nejmoa1511939</w:t>
        </w:r>
      </w:hyperlink>
    </w:p>
    <w:p w:rsidR="00B15AF9" w:rsidRDefault="00B15AF9" w:rsidP="00B15AF9">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B15AF9">
        <w:rPr>
          <w:rFonts w:ascii="Times New Roman" w:hAnsi="Times New Roman" w:cs="Times New Roman"/>
          <w:sz w:val="28"/>
          <w:szCs w:val="28"/>
          <w:lang w:val="en-US"/>
        </w:rPr>
        <w:t>10.1056/NEJMoa1511939</w:t>
      </w:r>
    </w:p>
    <w:p w:rsidR="008F15A1" w:rsidRPr="008F15A1" w:rsidRDefault="008F15A1" w:rsidP="001F5E25">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w:t>
      </w:r>
      <w:r w:rsidRPr="00EA6F81">
        <w:rPr>
          <w:rFonts w:ascii="Times New Roman" w:hAnsi="Times New Roman" w:cs="Times New Roman"/>
          <w:sz w:val="28"/>
          <w:szCs w:val="28"/>
          <w:lang w:val="en-US"/>
        </w:rPr>
        <w:t>08</w:t>
      </w:r>
      <w:r>
        <w:rPr>
          <w:rFonts w:ascii="Times New Roman" w:hAnsi="Times New Roman" w:cs="Times New Roman"/>
          <w:sz w:val="28"/>
          <w:szCs w:val="28"/>
          <w:lang w:val="uk-UA"/>
        </w:rPr>
        <w:t xml:space="preserve">. </w:t>
      </w:r>
      <w:r w:rsidRPr="00F953A3">
        <w:rPr>
          <w:rFonts w:ascii="Times New Roman" w:hAnsi="Times New Roman" w:cs="Times New Roman"/>
          <w:sz w:val="28"/>
          <w:szCs w:val="28"/>
          <w:lang w:val="uk-UA"/>
        </w:rPr>
        <w:t>Про затвердження та впровадження медико-технологічних документів зі стан</w:t>
      </w:r>
      <w:r>
        <w:rPr>
          <w:rFonts w:ascii="Times New Roman" w:hAnsi="Times New Roman" w:cs="Times New Roman"/>
          <w:sz w:val="28"/>
          <w:szCs w:val="28"/>
          <w:lang w:val="uk-UA"/>
        </w:rPr>
        <w:t xml:space="preserve">дартизації </w:t>
      </w:r>
      <w:r w:rsidRPr="00F953A3">
        <w:rPr>
          <w:rFonts w:ascii="Times New Roman" w:hAnsi="Times New Roman" w:cs="Times New Roman"/>
          <w:sz w:val="28"/>
          <w:szCs w:val="28"/>
          <w:lang w:val="uk-UA"/>
        </w:rPr>
        <w:t>медичної допомоги при артеріальній</w:t>
      </w:r>
      <w:r>
        <w:rPr>
          <w:rFonts w:ascii="Times New Roman" w:hAnsi="Times New Roman" w:cs="Times New Roman"/>
          <w:sz w:val="28"/>
          <w:szCs w:val="28"/>
          <w:lang w:val="uk-UA"/>
        </w:rPr>
        <w:t xml:space="preserve"> гіпертензії [Інтернет]: Наказ Міністерства </w:t>
      </w:r>
      <w:r w:rsidRPr="00F953A3">
        <w:rPr>
          <w:rFonts w:ascii="Times New Roman" w:hAnsi="Times New Roman" w:cs="Times New Roman"/>
          <w:sz w:val="28"/>
          <w:szCs w:val="28"/>
          <w:lang w:val="uk-UA"/>
        </w:rPr>
        <w:t xml:space="preserve">охорони </w:t>
      </w:r>
      <w:r>
        <w:rPr>
          <w:rFonts w:ascii="Times New Roman" w:hAnsi="Times New Roman" w:cs="Times New Roman"/>
          <w:sz w:val="28"/>
          <w:szCs w:val="28"/>
          <w:lang w:val="uk-UA"/>
        </w:rPr>
        <w:t xml:space="preserve">здоровʼя від 24.05.2012 №384. Доступно на: </w:t>
      </w:r>
      <w:hyperlink r:id="rId86" w:history="1">
        <w:r w:rsidRPr="00F953A3">
          <w:rPr>
            <w:rStyle w:val="a9"/>
            <w:rFonts w:ascii="Times New Roman" w:hAnsi="Times New Roman" w:cs="Times New Roman"/>
            <w:color w:val="auto"/>
            <w:sz w:val="28"/>
            <w:szCs w:val="28"/>
            <w:u w:val="none"/>
            <w:lang w:val="uk-UA"/>
          </w:rPr>
          <w:t>http://old.moz.gov.ua/ua/portal/dn_20120524_384.html</w:t>
        </w:r>
      </w:hyperlink>
      <w:r w:rsidRPr="00F953A3">
        <w:rPr>
          <w:rFonts w:ascii="Times New Roman" w:hAnsi="Times New Roman" w:cs="Times New Roman"/>
          <w:sz w:val="28"/>
          <w:szCs w:val="28"/>
          <w:lang w:val="uk-UA"/>
        </w:rPr>
        <w:t>.</w:t>
      </w:r>
    </w:p>
    <w:p w:rsidR="0042509E" w:rsidRDefault="005218F2" w:rsidP="001F5E25">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10</w:t>
      </w:r>
      <w:r w:rsidRPr="005218F2">
        <w:rPr>
          <w:rFonts w:ascii="Times New Roman" w:hAnsi="Times New Roman" w:cs="Times New Roman"/>
          <w:sz w:val="28"/>
          <w:szCs w:val="28"/>
        </w:rPr>
        <w:t>9</w:t>
      </w:r>
      <w:r w:rsidR="00785B95">
        <w:rPr>
          <w:rFonts w:ascii="Times New Roman" w:hAnsi="Times New Roman" w:cs="Times New Roman"/>
          <w:sz w:val="28"/>
          <w:szCs w:val="28"/>
        </w:rPr>
        <w:t>.</w:t>
      </w:r>
      <w:r w:rsidR="00785B95">
        <w:rPr>
          <w:rFonts w:ascii="Times New Roman" w:hAnsi="Times New Roman" w:cs="Times New Roman"/>
          <w:sz w:val="28"/>
          <w:szCs w:val="28"/>
          <w:lang w:val="uk-UA"/>
        </w:rPr>
        <w:t xml:space="preserve"> </w:t>
      </w:r>
      <w:r w:rsidR="00561D09">
        <w:rPr>
          <w:rFonts w:ascii="Times New Roman" w:hAnsi="Times New Roman" w:cs="Times New Roman"/>
          <w:sz w:val="28"/>
          <w:szCs w:val="28"/>
        </w:rPr>
        <w:t>Чукаева ИИ</w:t>
      </w:r>
      <w:r w:rsidR="00561D09">
        <w:rPr>
          <w:rFonts w:ascii="Times New Roman" w:hAnsi="Times New Roman" w:cs="Times New Roman"/>
          <w:sz w:val="28"/>
          <w:szCs w:val="28"/>
          <w:lang w:val="uk-UA"/>
        </w:rPr>
        <w:t xml:space="preserve">, </w:t>
      </w:r>
      <w:r w:rsidR="00785B95" w:rsidRPr="00785B95">
        <w:rPr>
          <w:rFonts w:ascii="Times New Roman" w:hAnsi="Times New Roman" w:cs="Times New Roman"/>
          <w:sz w:val="28"/>
          <w:szCs w:val="28"/>
        </w:rPr>
        <w:t xml:space="preserve"> </w:t>
      </w:r>
      <w:r w:rsidR="00561D09" w:rsidRPr="00561D09">
        <w:rPr>
          <w:rFonts w:ascii="Times New Roman" w:hAnsi="Times New Roman" w:cs="Times New Roman"/>
          <w:sz w:val="28"/>
          <w:szCs w:val="28"/>
        </w:rPr>
        <w:t xml:space="preserve">Спирякина </w:t>
      </w:r>
      <w:r w:rsidR="00561D09">
        <w:rPr>
          <w:rFonts w:ascii="Times New Roman" w:hAnsi="Times New Roman" w:cs="Times New Roman"/>
          <w:sz w:val="28"/>
          <w:szCs w:val="28"/>
          <w:lang w:val="uk-UA"/>
        </w:rPr>
        <w:t xml:space="preserve">ЯГ, </w:t>
      </w:r>
      <w:r w:rsidR="00561D09" w:rsidRPr="00561D09">
        <w:rPr>
          <w:rFonts w:ascii="Times New Roman" w:hAnsi="Times New Roman" w:cs="Times New Roman"/>
          <w:sz w:val="28"/>
          <w:szCs w:val="28"/>
          <w:lang w:val="uk-UA"/>
        </w:rPr>
        <w:t xml:space="preserve">Грибанов </w:t>
      </w:r>
      <w:r w:rsidR="00561D09">
        <w:rPr>
          <w:rFonts w:ascii="Times New Roman" w:hAnsi="Times New Roman" w:cs="Times New Roman"/>
          <w:sz w:val="28"/>
          <w:szCs w:val="28"/>
          <w:lang w:val="uk-UA"/>
        </w:rPr>
        <w:t xml:space="preserve">ВП. </w:t>
      </w:r>
      <w:r w:rsidR="00785B95" w:rsidRPr="00785B95">
        <w:rPr>
          <w:rFonts w:ascii="Times New Roman" w:hAnsi="Times New Roman" w:cs="Times New Roman"/>
          <w:sz w:val="28"/>
          <w:szCs w:val="28"/>
        </w:rPr>
        <w:t>Нефропротекция у пациентов с артериальной гипертензией – возможности полнодозовых фиксированных комбинаций</w:t>
      </w:r>
      <w:r w:rsidR="00561D09">
        <w:rPr>
          <w:rFonts w:ascii="Times New Roman" w:hAnsi="Times New Roman" w:cs="Times New Roman"/>
          <w:sz w:val="28"/>
          <w:szCs w:val="28"/>
        </w:rPr>
        <w:t xml:space="preserve">. Русский медицинский журнал </w:t>
      </w:r>
      <w:r w:rsidR="00785B95" w:rsidRPr="00785B95">
        <w:rPr>
          <w:rFonts w:ascii="Times New Roman" w:hAnsi="Times New Roman" w:cs="Times New Roman"/>
          <w:sz w:val="28"/>
          <w:szCs w:val="28"/>
        </w:rPr>
        <w:t xml:space="preserve"> </w:t>
      </w:r>
      <w:r w:rsidR="00561D09" w:rsidRPr="00561D09">
        <w:rPr>
          <w:rFonts w:ascii="Times New Roman" w:hAnsi="Times New Roman" w:cs="Times New Roman"/>
          <w:sz w:val="28"/>
          <w:szCs w:val="28"/>
        </w:rPr>
        <w:t xml:space="preserve">[Интернет]. </w:t>
      </w:r>
      <w:r w:rsidR="0042509E">
        <w:rPr>
          <w:rFonts w:ascii="Times New Roman" w:hAnsi="Times New Roman" w:cs="Times New Roman"/>
          <w:sz w:val="28"/>
          <w:szCs w:val="28"/>
        </w:rPr>
        <w:t>2014;23:1699-</w:t>
      </w:r>
      <w:r w:rsidR="00785B95" w:rsidRPr="00785B95">
        <w:rPr>
          <w:rFonts w:ascii="Times New Roman" w:hAnsi="Times New Roman" w:cs="Times New Roman"/>
          <w:sz w:val="28"/>
          <w:szCs w:val="28"/>
        </w:rPr>
        <w:t>704.</w:t>
      </w:r>
      <w:r w:rsidR="0042509E">
        <w:rPr>
          <w:rFonts w:ascii="Times New Roman" w:hAnsi="Times New Roman" w:cs="Times New Roman"/>
          <w:sz w:val="28"/>
          <w:szCs w:val="28"/>
        </w:rPr>
        <w:t xml:space="preserve"> </w:t>
      </w:r>
      <w:r w:rsidR="0042509E" w:rsidRPr="0042509E">
        <w:rPr>
          <w:rFonts w:ascii="Times New Roman" w:hAnsi="Times New Roman" w:cs="Times New Roman"/>
          <w:sz w:val="28"/>
          <w:szCs w:val="28"/>
        </w:rPr>
        <w:t>Доступно на:</w:t>
      </w:r>
      <w:r w:rsidR="0042509E">
        <w:rPr>
          <w:rFonts w:ascii="Times New Roman" w:hAnsi="Times New Roman" w:cs="Times New Roman"/>
          <w:sz w:val="28"/>
          <w:szCs w:val="28"/>
        </w:rPr>
        <w:t xml:space="preserve"> </w:t>
      </w:r>
    </w:p>
    <w:p w:rsidR="00B22AA8" w:rsidRPr="0042509E" w:rsidRDefault="000A6805" w:rsidP="001F5E25">
      <w:pPr>
        <w:tabs>
          <w:tab w:val="left" w:pos="2880"/>
        </w:tabs>
        <w:spacing w:after="0" w:line="360" w:lineRule="auto"/>
        <w:jc w:val="both"/>
        <w:rPr>
          <w:rFonts w:ascii="Times New Roman" w:hAnsi="Times New Roman" w:cs="Times New Roman"/>
          <w:sz w:val="28"/>
          <w:szCs w:val="28"/>
        </w:rPr>
      </w:pPr>
      <w:hyperlink r:id="rId87" w:history="1">
        <w:r w:rsidR="0042509E" w:rsidRPr="0042509E">
          <w:rPr>
            <w:rStyle w:val="a9"/>
            <w:rFonts w:ascii="Times New Roman" w:hAnsi="Times New Roman" w:cs="Times New Roman"/>
            <w:color w:val="auto"/>
            <w:sz w:val="28"/>
            <w:szCs w:val="28"/>
            <w:u w:val="none"/>
          </w:rPr>
          <w:t>https://www.rmj.ru/articles/kardiologiya/Nefroprotekciya_u_pacientov_s_arterialynoy_gipertenziey__vozmoghnosti_polnodozovyh_fiksirovannyh_kombinaciy/</w:t>
        </w:r>
      </w:hyperlink>
    </w:p>
    <w:p w:rsidR="00CC758C" w:rsidRDefault="005218F2" w:rsidP="001F5E2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1</w:t>
      </w:r>
      <w:r w:rsidRPr="005218F2">
        <w:rPr>
          <w:rFonts w:ascii="Times New Roman" w:hAnsi="Times New Roman" w:cs="Times New Roman"/>
          <w:sz w:val="28"/>
          <w:szCs w:val="28"/>
        </w:rPr>
        <w:t>10</w:t>
      </w:r>
      <w:r w:rsidR="0042509E" w:rsidRPr="00A85453">
        <w:rPr>
          <w:rFonts w:ascii="Times New Roman" w:hAnsi="Times New Roman" w:cs="Times New Roman"/>
          <w:sz w:val="28"/>
          <w:szCs w:val="28"/>
        </w:rPr>
        <w:t>.</w:t>
      </w:r>
      <w:r w:rsidR="00CC758C" w:rsidRPr="00CC758C">
        <w:t xml:space="preserve"> </w:t>
      </w:r>
      <w:r w:rsidR="00CC758C">
        <w:rPr>
          <w:rFonts w:ascii="Times New Roman" w:hAnsi="Times New Roman" w:cs="Times New Roman"/>
          <w:sz w:val="28"/>
          <w:szCs w:val="28"/>
        </w:rPr>
        <w:t>Joseph JJ, Echouffo-Tcheugui JB, Kalyani RR, Yeh HC, Bertoni AG, Effoe VS</w:t>
      </w:r>
      <w:r w:rsidR="00A85453" w:rsidRPr="00A85453">
        <w:rPr>
          <w:rFonts w:ascii="Times New Roman" w:hAnsi="Times New Roman" w:cs="Times New Roman"/>
          <w:sz w:val="28"/>
          <w:szCs w:val="28"/>
        </w:rPr>
        <w:t xml:space="preserve">, </w:t>
      </w:r>
      <w:r w:rsidR="00A85453">
        <w:rPr>
          <w:rFonts w:ascii="Times New Roman" w:hAnsi="Times New Roman" w:cs="Times New Roman"/>
          <w:sz w:val="28"/>
          <w:szCs w:val="28"/>
          <w:lang w:val="en-US"/>
        </w:rPr>
        <w:t>et</w:t>
      </w:r>
      <w:r w:rsidR="00A85453" w:rsidRPr="00A85453">
        <w:rPr>
          <w:rFonts w:ascii="Times New Roman" w:hAnsi="Times New Roman" w:cs="Times New Roman"/>
          <w:sz w:val="28"/>
          <w:szCs w:val="28"/>
        </w:rPr>
        <w:t xml:space="preserve"> </w:t>
      </w:r>
      <w:r w:rsidR="00A85453">
        <w:rPr>
          <w:rFonts w:ascii="Times New Roman" w:hAnsi="Times New Roman" w:cs="Times New Roman"/>
          <w:sz w:val="28"/>
          <w:szCs w:val="28"/>
          <w:lang w:val="en-US"/>
        </w:rPr>
        <w:t>al</w:t>
      </w:r>
      <w:r w:rsidR="00A85453">
        <w:rPr>
          <w:rFonts w:ascii="Times New Roman" w:hAnsi="Times New Roman" w:cs="Times New Roman"/>
          <w:sz w:val="28"/>
          <w:szCs w:val="28"/>
        </w:rPr>
        <w:t>.</w:t>
      </w:r>
      <w:r w:rsidR="00A85453" w:rsidRPr="00A85453">
        <w:rPr>
          <w:rFonts w:ascii="Times New Roman" w:hAnsi="Times New Roman" w:cs="Times New Roman"/>
          <w:sz w:val="28"/>
          <w:szCs w:val="28"/>
        </w:rPr>
        <w:t xml:space="preserve"> </w:t>
      </w:r>
      <w:r w:rsidR="00A85453" w:rsidRPr="00A85453">
        <w:rPr>
          <w:rFonts w:ascii="Times New Roman" w:hAnsi="Times New Roman" w:cs="Times New Roman"/>
          <w:sz w:val="28"/>
          <w:szCs w:val="28"/>
          <w:lang w:val="en-US"/>
        </w:rPr>
        <w:t>Aldosterone, Renin, and Diabetes Mellitus in African Ame</w:t>
      </w:r>
      <w:r w:rsidR="00A85453">
        <w:rPr>
          <w:rFonts w:ascii="Times New Roman" w:hAnsi="Times New Roman" w:cs="Times New Roman"/>
          <w:sz w:val="28"/>
          <w:szCs w:val="28"/>
          <w:lang w:val="en-US"/>
        </w:rPr>
        <w:t xml:space="preserve">ricans: The Jackson Heart Study. </w:t>
      </w:r>
      <w:r w:rsidR="00CC758C" w:rsidRPr="00CC758C">
        <w:rPr>
          <w:rFonts w:ascii="Times New Roman" w:hAnsi="Times New Roman" w:cs="Times New Roman"/>
          <w:sz w:val="28"/>
          <w:szCs w:val="28"/>
          <w:lang w:val="en-US"/>
        </w:rPr>
        <w:t>J Clin Endocrinol Metab</w:t>
      </w:r>
      <w:r w:rsidR="00CC758C">
        <w:rPr>
          <w:rFonts w:ascii="Times New Roman" w:hAnsi="Times New Roman" w:cs="Times New Roman"/>
          <w:sz w:val="28"/>
          <w:szCs w:val="28"/>
          <w:lang w:val="en-US"/>
        </w:rPr>
        <w:t xml:space="preserve"> </w:t>
      </w:r>
      <w:r w:rsidR="00CC758C" w:rsidRPr="00CC758C">
        <w:rPr>
          <w:rFonts w:ascii="Times New Roman" w:hAnsi="Times New Roman" w:cs="Times New Roman"/>
          <w:sz w:val="28"/>
          <w:szCs w:val="28"/>
          <w:lang w:val="en-US"/>
        </w:rPr>
        <w:t>[Internet]. 2016 Apr;101(4):1770-8.</w:t>
      </w:r>
      <w:r w:rsidR="00CC758C">
        <w:rPr>
          <w:rFonts w:ascii="Times New Roman" w:hAnsi="Times New Roman" w:cs="Times New Roman"/>
          <w:sz w:val="28"/>
          <w:szCs w:val="28"/>
          <w:lang w:val="en-US"/>
        </w:rPr>
        <w:t xml:space="preserve"> </w:t>
      </w:r>
      <w:r w:rsidR="00CC758C" w:rsidRPr="00CC758C">
        <w:rPr>
          <w:rFonts w:ascii="Times New Roman" w:hAnsi="Times New Roman" w:cs="Times New Roman"/>
          <w:sz w:val="28"/>
          <w:szCs w:val="28"/>
          <w:lang w:val="en-US"/>
        </w:rPr>
        <w:t>Available from:</w:t>
      </w:r>
      <w:r w:rsidR="00CC758C">
        <w:rPr>
          <w:rFonts w:ascii="Times New Roman" w:hAnsi="Times New Roman" w:cs="Times New Roman"/>
          <w:sz w:val="28"/>
          <w:szCs w:val="28"/>
          <w:lang w:val="en-US"/>
        </w:rPr>
        <w:t xml:space="preserve"> </w:t>
      </w:r>
      <w:hyperlink r:id="rId88" w:history="1">
        <w:r w:rsidR="00CC758C" w:rsidRPr="00CC758C">
          <w:rPr>
            <w:rStyle w:val="a9"/>
            <w:rFonts w:ascii="Times New Roman" w:hAnsi="Times New Roman" w:cs="Times New Roman"/>
            <w:color w:val="auto"/>
            <w:sz w:val="28"/>
            <w:szCs w:val="28"/>
            <w:u w:val="none"/>
            <w:lang w:val="en-US"/>
          </w:rPr>
          <w:t>https://www.ncbi.nlm.nih.gov/pubmed/26908112</w:t>
        </w:r>
      </w:hyperlink>
      <w:r w:rsidR="00CC758C">
        <w:rPr>
          <w:rFonts w:ascii="Times New Roman" w:hAnsi="Times New Roman" w:cs="Times New Roman"/>
          <w:sz w:val="28"/>
          <w:szCs w:val="28"/>
          <w:lang w:val="en-US"/>
        </w:rPr>
        <w:t xml:space="preserve"> </w:t>
      </w:r>
    </w:p>
    <w:p w:rsidR="00A85453" w:rsidRDefault="00CC758C" w:rsidP="001F5E2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DOI: </w:t>
      </w:r>
      <w:r w:rsidRPr="00CC758C">
        <w:rPr>
          <w:rFonts w:ascii="Times New Roman" w:hAnsi="Times New Roman" w:cs="Times New Roman"/>
          <w:sz w:val="28"/>
          <w:szCs w:val="28"/>
          <w:lang w:val="en-US"/>
        </w:rPr>
        <w:t>10.1210/jc.2016-1002</w:t>
      </w:r>
      <w:r>
        <w:rPr>
          <w:rFonts w:ascii="Times New Roman" w:hAnsi="Times New Roman" w:cs="Times New Roman"/>
          <w:sz w:val="28"/>
          <w:szCs w:val="28"/>
          <w:lang w:val="en-US"/>
        </w:rPr>
        <w:t xml:space="preserve"> </w:t>
      </w:r>
    </w:p>
    <w:p w:rsidR="00CC758C" w:rsidRDefault="005218F2" w:rsidP="001F5E2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11</w:t>
      </w:r>
      <w:r>
        <w:rPr>
          <w:rFonts w:ascii="Times New Roman" w:hAnsi="Times New Roman" w:cs="Times New Roman"/>
          <w:sz w:val="28"/>
          <w:szCs w:val="28"/>
          <w:lang w:val="en-US"/>
        </w:rPr>
        <w:t>1</w:t>
      </w:r>
      <w:r w:rsidR="00A85453">
        <w:rPr>
          <w:rFonts w:ascii="Times New Roman" w:hAnsi="Times New Roman" w:cs="Times New Roman"/>
          <w:sz w:val="28"/>
          <w:szCs w:val="28"/>
          <w:lang w:val="uk-UA"/>
        </w:rPr>
        <w:t xml:space="preserve">. </w:t>
      </w:r>
      <w:r w:rsidR="00CC758C">
        <w:rPr>
          <w:rFonts w:ascii="Times New Roman" w:hAnsi="Times New Roman" w:cs="Times New Roman"/>
          <w:sz w:val="28"/>
          <w:szCs w:val="28"/>
          <w:lang w:val="en-US"/>
        </w:rPr>
        <w:t xml:space="preserve">Jing F, </w:t>
      </w:r>
      <w:r w:rsidR="00CC758C" w:rsidRPr="00CC758C">
        <w:rPr>
          <w:rFonts w:ascii="Times New Roman" w:hAnsi="Times New Roman" w:cs="Times New Roman"/>
          <w:sz w:val="28"/>
          <w:szCs w:val="28"/>
          <w:lang w:val="en-US"/>
        </w:rPr>
        <w:t>Mogi</w:t>
      </w:r>
      <w:r w:rsidR="00CC758C">
        <w:rPr>
          <w:rFonts w:ascii="Times New Roman" w:hAnsi="Times New Roman" w:cs="Times New Roman"/>
          <w:sz w:val="28"/>
          <w:szCs w:val="28"/>
          <w:lang w:val="en-US"/>
        </w:rPr>
        <w:t xml:space="preserve"> M,</w:t>
      </w:r>
      <w:r w:rsidR="00CC758C" w:rsidRPr="00CC758C">
        <w:rPr>
          <w:rFonts w:ascii="Times New Roman" w:hAnsi="Times New Roman" w:cs="Times New Roman"/>
          <w:sz w:val="28"/>
          <w:szCs w:val="28"/>
          <w:lang w:val="en-US"/>
        </w:rPr>
        <w:t xml:space="preserve"> Horiuchi</w:t>
      </w:r>
      <w:r w:rsidR="00CC758C">
        <w:rPr>
          <w:rFonts w:ascii="Times New Roman" w:hAnsi="Times New Roman" w:cs="Times New Roman"/>
          <w:sz w:val="28"/>
          <w:szCs w:val="28"/>
          <w:lang w:val="en-US"/>
        </w:rPr>
        <w:t xml:space="preserve"> M.</w:t>
      </w:r>
      <w:r w:rsidR="0042509E" w:rsidRPr="0042509E">
        <w:rPr>
          <w:rFonts w:ascii="Times New Roman" w:hAnsi="Times New Roman" w:cs="Times New Roman"/>
          <w:sz w:val="28"/>
          <w:szCs w:val="28"/>
          <w:lang w:val="en-US"/>
        </w:rPr>
        <w:t xml:space="preserve"> Role of renin-angiotensin-aldocterone system in adipose tissue dysfunction</w:t>
      </w:r>
      <w:r w:rsidR="00CC758C">
        <w:rPr>
          <w:rFonts w:ascii="Times New Roman" w:hAnsi="Times New Roman" w:cs="Times New Roman"/>
          <w:sz w:val="28"/>
          <w:szCs w:val="28"/>
          <w:lang w:val="en-US"/>
        </w:rPr>
        <w:t xml:space="preserve">. </w:t>
      </w:r>
      <w:r w:rsidR="0042509E" w:rsidRPr="0042509E">
        <w:rPr>
          <w:rFonts w:ascii="Times New Roman" w:hAnsi="Times New Roman" w:cs="Times New Roman"/>
          <w:sz w:val="28"/>
          <w:szCs w:val="28"/>
          <w:lang w:val="en-US"/>
        </w:rPr>
        <w:t xml:space="preserve">Molecular </w:t>
      </w:r>
      <w:r w:rsidR="00CC758C">
        <w:rPr>
          <w:rFonts w:ascii="Times New Roman" w:hAnsi="Times New Roman" w:cs="Times New Roman"/>
          <w:sz w:val="28"/>
          <w:szCs w:val="28"/>
          <w:lang w:val="en-US"/>
        </w:rPr>
        <w:t xml:space="preserve">and </w:t>
      </w:r>
      <w:r w:rsidR="0042509E" w:rsidRPr="0042509E">
        <w:rPr>
          <w:rFonts w:ascii="Times New Roman" w:hAnsi="Times New Roman" w:cs="Times New Roman"/>
          <w:sz w:val="28"/>
          <w:szCs w:val="28"/>
          <w:lang w:val="en-US"/>
        </w:rPr>
        <w:t>Cellular Endocrinolgy</w:t>
      </w:r>
      <w:r w:rsidR="00CC758C">
        <w:rPr>
          <w:rFonts w:ascii="Times New Roman" w:hAnsi="Times New Roman" w:cs="Times New Roman"/>
          <w:sz w:val="28"/>
          <w:szCs w:val="28"/>
          <w:lang w:val="en-US"/>
        </w:rPr>
        <w:t xml:space="preserve"> </w:t>
      </w:r>
      <w:r w:rsidR="00CC758C" w:rsidRPr="00CC758C">
        <w:rPr>
          <w:rFonts w:ascii="Times New Roman" w:hAnsi="Times New Roman" w:cs="Times New Roman"/>
          <w:sz w:val="28"/>
          <w:szCs w:val="28"/>
          <w:lang w:val="en-US"/>
        </w:rPr>
        <w:t>[Internet]</w:t>
      </w:r>
      <w:r w:rsidR="00CC758C">
        <w:rPr>
          <w:rFonts w:ascii="Times New Roman" w:hAnsi="Times New Roman" w:cs="Times New Roman"/>
          <w:sz w:val="28"/>
          <w:szCs w:val="28"/>
          <w:lang w:val="en-US"/>
        </w:rPr>
        <w:t xml:space="preserve">. </w:t>
      </w:r>
      <w:r w:rsidR="0042509E" w:rsidRPr="0042509E">
        <w:rPr>
          <w:rFonts w:ascii="Times New Roman" w:hAnsi="Times New Roman" w:cs="Times New Roman"/>
          <w:sz w:val="28"/>
          <w:szCs w:val="28"/>
          <w:lang w:val="en-US"/>
        </w:rPr>
        <w:t>2013</w:t>
      </w:r>
      <w:r w:rsidR="00CC758C">
        <w:rPr>
          <w:rFonts w:ascii="Times New Roman" w:hAnsi="Times New Roman" w:cs="Times New Roman"/>
          <w:sz w:val="28"/>
          <w:szCs w:val="28"/>
          <w:lang w:val="en-US"/>
        </w:rPr>
        <w:t xml:space="preserve"> Sept;378(1-2):23-</w:t>
      </w:r>
      <w:r w:rsidR="0042509E" w:rsidRPr="0042509E">
        <w:rPr>
          <w:rFonts w:ascii="Times New Roman" w:hAnsi="Times New Roman" w:cs="Times New Roman"/>
          <w:sz w:val="28"/>
          <w:szCs w:val="28"/>
          <w:lang w:val="en-US"/>
        </w:rPr>
        <w:t>8.</w:t>
      </w:r>
      <w:r w:rsidR="00CC758C">
        <w:rPr>
          <w:rFonts w:ascii="Times New Roman" w:hAnsi="Times New Roman" w:cs="Times New Roman"/>
          <w:sz w:val="28"/>
          <w:szCs w:val="28"/>
          <w:lang w:val="en-US"/>
        </w:rPr>
        <w:t xml:space="preserve"> </w:t>
      </w:r>
      <w:r w:rsidR="00CC758C" w:rsidRPr="00CC758C">
        <w:rPr>
          <w:rFonts w:ascii="Times New Roman" w:hAnsi="Times New Roman" w:cs="Times New Roman"/>
          <w:sz w:val="28"/>
          <w:szCs w:val="28"/>
          <w:lang w:val="en-US"/>
        </w:rPr>
        <w:t xml:space="preserve">Available from: </w:t>
      </w:r>
      <w:r w:rsidR="00CC758C">
        <w:rPr>
          <w:rFonts w:ascii="Times New Roman" w:hAnsi="Times New Roman" w:cs="Times New Roman"/>
          <w:sz w:val="28"/>
          <w:szCs w:val="28"/>
          <w:lang w:val="en-US"/>
        </w:rPr>
        <w:t xml:space="preserve"> </w:t>
      </w:r>
    </w:p>
    <w:p w:rsidR="00B22AA8" w:rsidRPr="00CC758C" w:rsidRDefault="000A6805" w:rsidP="001F5E25">
      <w:pPr>
        <w:tabs>
          <w:tab w:val="left" w:pos="2880"/>
        </w:tabs>
        <w:spacing w:after="0" w:line="360" w:lineRule="auto"/>
        <w:jc w:val="both"/>
        <w:rPr>
          <w:rFonts w:ascii="Times New Roman" w:hAnsi="Times New Roman" w:cs="Times New Roman"/>
          <w:sz w:val="28"/>
          <w:szCs w:val="28"/>
          <w:lang w:val="en-US"/>
        </w:rPr>
      </w:pPr>
      <w:hyperlink r:id="rId89" w:history="1">
        <w:r w:rsidR="00CC758C" w:rsidRPr="00CC758C">
          <w:rPr>
            <w:rStyle w:val="a9"/>
            <w:rFonts w:ascii="Times New Roman" w:hAnsi="Times New Roman" w:cs="Times New Roman"/>
            <w:color w:val="auto"/>
            <w:sz w:val="28"/>
            <w:szCs w:val="28"/>
            <w:u w:val="none"/>
            <w:lang w:val="en-US"/>
          </w:rPr>
          <w:t>https://doi.org/10.1016/j.mce.2012.03.005</w:t>
        </w:r>
      </w:hyperlink>
    </w:p>
    <w:p w:rsidR="00CC758C" w:rsidRDefault="005218F2" w:rsidP="001F5E2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112</w:t>
      </w:r>
      <w:r w:rsidR="00CC758C" w:rsidRPr="00F562EE">
        <w:rPr>
          <w:rFonts w:ascii="Times New Roman" w:hAnsi="Times New Roman" w:cs="Times New Roman"/>
          <w:sz w:val="28"/>
          <w:szCs w:val="28"/>
          <w:lang w:val="en-US"/>
        </w:rPr>
        <w:t xml:space="preserve">. </w:t>
      </w:r>
      <w:r w:rsidR="00F562EE">
        <w:rPr>
          <w:rFonts w:ascii="Times New Roman" w:hAnsi="Times New Roman" w:cs="Times New Roman"/>
          <w:sz w:val="28"/>
          <w:szCs w:val="28"/>
          <w:lang w:val="en-US"/>
        </w:rPr>
        <w:t>Peter WL</w:t>
      </w:r>
      <w:r w:rsidR="00F562EE" w:rsidRPr="00F562EE">
        <w:rPr>
          <w:rFonts w:ascii="Times New Roman" w:hAnsi="Times New Roman" w:cs="Times New Roman"/>
          <w:sz w:val="28"/>
          <w:szCs w:val="28"/>
          <w:lang w:val="en-US"/>
        </w:rPr>
        <w:t>, Odum LE, Whaley-Connell AT. To RAS or not to RAS? The evidence for and cautions with renin-angiotensin system inhibition in patien</w:t>
      </w:r>
      <w:r w:rsidR="00F562EE">
        <w:rPr>
          <w:rFonts w:ascii="Times New Roman" w:hAnsi="Times New Roman" w:cs="Times New Roman"/>
          <w:sz w:val="28"/>
          <w:szCs w:val="28"/>
          <w:lang w:val="en-US"/>
        </w:rPr>
        <w:t>ts with diabetic kidney disease</w:t>
      </w:r>
      <w:r w:rsidR="00F562EE">
        <w:rPr>
          <w:rFonts w:ascii="Times New Roman" w:hAnsi="Times New Roman" w:cs="Times New Roman"/>
          <w:sz w:val="28"/>
          <w:szCs w:val="28"/>
          <w:lang w:val="uk-UA"/>
        </w:rPr>
        <w:t xml:space="preserve">. </w:t>
      </w:r>
      <w:r w:rsidR="00F562EE" w:rsidRPr="00F562EE">
        <w:rPr>
          <w:rFonts w:ascii="Times New Roman" w:hAnsi="Times New Roman" w:cs="Times New Roman"/>
          <w:sz w:val="28"/>
          <w:szCs w:val="28"/>
          <w:lang w:val="uk-UA"/>
        </w:rPr>
        <w:t>Pharmacotherapy</w:t>
      </w:r>
      <w:r w:rsidR="00F562EE">
        <w:rPr>
          <w:rFonts w:ascii="Times New Roman" w:hAnsi="Times New Roman" w:cs="Times New Roman"/>
          <w:sz w:val="28"/>
          <w:szCs w:val="28"/>
          <w:lang w:val="uk-UA"/>
        </w:rPr>
        <w:t xml:space="preserve"> [Internet]</w:t>
      </w:r>
      <w:r w:rsidR="00F562EE" w:rsidRPr="00F562EE">
        <w:rPr>
          <w:rFonts w:ascii="Times New Roman" w:hAnsi="Times New Roman" w:cs="Times New Roman"/>
          <w:sz w:val="28"/>
          <w:szCs w:val="28"/>
          <w:lang w:val="uk-UA"/>
        </w:rPr>
        <w:t>. 2013 May;33(5):496-514. Available from:</w:t>
      </w:r>
      <w:r w:rsidR="00F562EE">
        <w:rPr>
          <w:rFonts w:ascii="Times New Roman" w:hAnsi="Times New Roman" w:cs="Times New Roman"/>
          <w:sz w:val="28"/>
          <w:szCs w:val="28"/>
          <w:lang w:val="uk-UA"/>
        </w:rPr>
        <w:t xml:space="preserve"> </w:t>
      </w:r>
      <w:hyperlink r:id="rId90" w:history="1">
        <w:r w:rsidR="00F562EE" w:rsidRPr="00F562EE">
          <w:rPr>
            <w:rStyle w:val="a9"/>
            <w:rFonts w:ascii="Times New Roman" w:hAnsi="Times New Roman" w:cs="Times New Roman"/>
            <w:color w:val="auto"/>
            <w:sz w:val="28"/>
            <w:szCs w:val="28"/>
            <w:u w:val="none"/>
            <w:lang w:val="uk-UA"/>
          </w:rPr>
          <w:t>https://www.ncbi.nlm.nih.gov/pubmed/23576066</w:t>
        </w:r>
      </w:hyperlink>
    </w:p>
    <w:p w:rsidR="00F562EE" w:rsidRPr="004C3CB4" w:rsidRDefault="00F562EE" w:rsidP="001F5E2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DOI</w:t>
      </w:r>
      <w:r w:rsidRPr="004C3CB4">
        <w:rPr>
          <w:rFonts w:ascii="Times New Roman" w:hAnsi="Times New Roman" w:cs="Times New Roman"/>
          <w:sz w:val="28"/>
          <w:szCs w:val="28"/>
          <w:lang w:val="uk-UA"/>
        </w:rPr>
        <w:t>: 10.1002/</w:t>
      </w:r>
      <w:r w:rsidRPr="00F562EE">
        <w:rPr>
          <w:rFonts w:ascii="Times New Roman" w:hAnsi="Times New Roman" w:cs="Times New Roman"/>
          <w:sz w:val="28"/>
          <w:szCs w:val="28"/>
          <w:lang w:val="en-US"/>
        </w:rPr>
        <w:t>phar</w:t>
      </w:r>
      <w:r w:rsidRPr="004C3CB4">
        <w:rPr>
          <w:rFonts w:ascii="Times New Roman" w:hAnsi="Times New Roman" w:cs="Times New Roman"/>
          <w:sz w:val="28"/>
          <w:szCs w:val="28"/>
          <w:lang w:val="uk-UA"/>
        </w:rPr>
        <w:t>.1232.</w:t>
      </w:r>
    </w:p>
    <w:p w:rsidR="00360B82" w:rsidRDefault="005218F2" w:rsidP="001F5E25">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EA6F81">
        <w:rPr>
          <w:rFonts w:ascii="Times New Roman" w:hAnsi="Times New Roman" w:cs="Times New Roman"/>
          <w:sz w:val="28"/>
          <w:szCs w:val="28"/>
          <w:lang w:val="uk-UA"/>
        </w:rPr>
        <w:t>3</w:t>
      </w:r>
      <w:r w:rsidR="00360B82">
        <w:rPr>
          <w:rFonts w:ascii="Times New Roman" w:hAnsi="Times New Roman" w:cs="Times New Roman"/>
          <w:sz w:val="28"/>
          <w:szCs w:val="28"/>
          <w:lang w:val="uk-UA"/>
        </w:rPr>
        <w:t xml:space="preserve">. </w:t>
      </w:r>
      <w:r w:rsidR="00360B82" w:rsidRPr="00360B82">
        <w:rPr>
          <w:rFonts w:ascii="Times New Roman" w:hAnsi="Times New Roman" w:cs="Times New Roman"/>
          <w:sz w:val="28"/>
          <w:szCs w:val="28"/>
          <w:lang w:val="uk-UA"/>
        </w:rPr>
        <w:t>Кисляк</w:t>
      </w:r>
      <w:r w:rsidR="00360B82">
        <w:rPr>
          <w:rFonts w:ascii="Times New Roman" w:hAnsi="Times New Roman" w:cs="Times New Roman"/>
          <w:sz w:val="28"/>
          <w:szCs w:val="28"/>
          <w:lang w:val="uk-UA"/>
        </w:rPr>
        <w:t xml:space="preserve"> ОА, </w:t>
      </w:r>
      <w:r w:rsidR="00360B82" w:rsidRPr="00360B82">
        <w:rPr>
          <w:rFonts w:ascii="Times New Roman" w:hAnsi="Times New Roman" w:cs="Times New Roman"/>
          <w:sz w:val="28"/>
          <w:szCs w:val="28"/>
          <w:lang w:val="uk-UA"/>
        </w:rPr>
        <w:t>Лабутин</w:t>
      </w:r>
      <w:r w:rsidR="00360B82">
        <w:rPr>
          <w:rFonts w:ascii="Times New Roman" w:hAnsi="Times New Roman" w:cs="Times New Roman"/>
          <w:sz w:val="28"/>
          <w:szCs w:val="28"/>
          <w:lang w:val="uk-UA"/>
        </w:rPr>
        <w:t xml:space="preserve"> АВ,</w:t>
      </w:r>
      <w:r w:rsidR="00360B82" w:rsidRPr="00360B82">
        <w:rPr>
          <w:rFonts w:ascii="Times New Roman" w:hAnsi="Times New Roman" w:cs="Times New Roman"/>
          <w:sz w:val="28"/>
          <w:szCs w:val="28"/>
          <w:lang w:val="uk-UA"/>
        </w:rPr>
        <w:t xml:space="preserve"> Похильченко</w:t>
      </w:r>
      <w:r w:rsidR="00360B82">
        <w:rPr>
          <w:rFonts w:ascii="Times New Roman" w:hAnsi="Times New Roman" w:cs="Times New Roman"/>
          <w:sz w:val="28"/>
          <w:szCs w:val="28"/>
          <w:lang w:val="uk-UA"/>
        </w:rPr>
        <w:t xml:space="preserve"> МВ, </w:t>
      </w:r>
      <w:r w:rsidR="00360B82" w:rsidRPr="00360B82">
        <w:rPr>
          <w:rFonts w:ascii="Times New Roman" w:hAnsi="Times New Roman" w:cs="Times New Roman"/>
          <w:sz w:val="28"/>
          <w:szCs w:val="28"/>
          <w:lang w:val="uk-UA"/>
        </w:rPr>
        <w:t>Латышев</w:t>
      </w:r>
      <w:r w:rsidR="00360B82">
        <w:rPr>
          <w:rFonts w:ascii="Times New Roman" w:hAnsi="Times New Roman" w:cs="Times New Roman"/>
          <w:sz w:val="28"/>
          <w:szCs w:val="28"/>
          <w:lang w:val="uk-UA"/>
        </w:rPr>
        <w:t xml:space="preserve"> ТВ. </w:t>
      </w:r>
      <w:r w:rsidR="00360B82" w:rsidRPr="00360B82">
        <w:rPr>
          <w:rFonts w:ascii="Times New Roman" w:hAnsi="Times New Roman" w:cs="Times New Roman"/>
          <w:sz w:val="28"/>
          <w:szCs w:val="28"/>
          <w:lang w:val="uk-UA"/>
        </w:rPr>
        <w:t>Выбор комбинированной терапии для лечения артериальной гипертензии у пациентов высокого риска</w:t>
      </w:r>
      <w:r w:rsidR="00360B82">
        <w:rPr>
          <w:rFonts w:ascii="Times New Roman" w:hAnsi="Times New Roman" w:cs="Times New Roman"/>
          <w:sz w:val="28"/>
          <w:szCs w:val="28"/>
          <w:lang w:val="uk-UA"/>
        </w:rPr>
        <w:t xml:space="preserve">. Лечебное дело. </w:t>
      </w:r>
      <w:r w:rsidR="0023359F">
        <w:rPr>
          <w:rFonts w:ascii="Times New Roman" w:hAnsi="Times New Roman" w:cs="Times New Roman"/>
          <w:sz w:val="28"/>
          <w:szCs w:val="28"/>
          <w:lang w:val="uk-UA"/>
        </w:rPr>
        <w:t>2012</w:t>
      </w:r>
      <w:r w:rsidR="0023359F">
        <w:rPr>
          <w:rFonts w:ascii="Times New Roman" w:hAnsi="Times New Roman" w:cs="Times New Roman"/>
          <w:sz w:val="28"/>
          <w:szCs w:val="28"/>
          <w:lang w:val="en-US"/>
        </w:rPr>
        <w:t>;</w:t>
      </w:r>
      <w:r w:rsidR="0023359F">
        <w:rPr>
          <w:rFonts w:ascii="Times New Roman" w:hAnsi="Times New Roman" w:cs="Times New Roman"/>
          <w:sz w:val="28"/>
          <w:szCs w:val="28"/>
          <w:lang w:val="uk-UA"/>
        </w:rPr>
        <w:t>1</w:t>
      </w:r>
      <w:r w:rsidR="0023359F">
        <w:rPr>
          <w:rFonts w:ascii="Times New Roman" w:hAnsi="Times New Roman" w:cs="Times New Roman"/>
          <w:sz w:val="28"/>
          <w:szCs w:val="28"/>
          <w:lang w:val="en-US"/>
        </w:rPr>
        <w:t>:</w:t>
      </w:r>
      <w:r w:rsidR="0023359F">
        <w:rPr>
          <w:rFonts w:ascii="Times New Roman" w:hAnsi="Times New Roman" w:cs="Times New Roman"/>
          <w:sz w:val="28"/>
          <w:szCs w:val="28"/>
          <w:lang w:val="uk-UA"/>
        </w:rPr>
        <w:t>29-</w:t>
      </w:r>
      <w:r w:rsidR="00360B82" w:rsidRPr="00360B82">
        <w:rPr>
          <w:rFonts w:ascii="Times New Roman" w:hAnsi="Times New Roman" w:cs="Times New Roman"/>
          <w:sz w:val="28"/>
          <w:szCs w:val="28"/>
          <w:lang w:val="uk-UA"/>
        </w:rPr>
        <w:t>34.</w:t>
      </w:r>
    </w:p>
    <w:p w:rsidR="00AB1952" w:rsidRDefault="00360B82" w:rsidP="001F5E2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w:t>
      </w:r>
      <w:r w:rsidR="005218F2">
        <w:rPr>
          <w:rFonts w:ascii="Times New Roman" w:hAnsi="Times New Roman" w:cs="Times New Roman"/>
          <w:sz w:val="28"/>
          <w:szCs w:val="28"/>
          <w:lang w:val="en-US"/>
        </w:rPr>
        <w:t>4</w:t>
      </w:r>
      <w:r w:rsidR="00F562EE">
        <w:rPr>
          <w:rFonts w:ascii="Times New Roman" w:hAnsi="Times New Roman" w:cs="Times New Roman"/>
          <w:sz w:val="28"/>
          <w:szCs w:val="28"/>
          <w:lang w:val="en-US"/>
        </w:rPr>
        <w:t xml:space="preserve">. </w:t>
      </w:r>
      <w:r w:rsidR="00AB1952" w:rsidRPr="00AB1952">
        <w:rPr>
          <w:rFonts w:ascii="Times New Roman" w:hAnsi="Times New Roman" w:cs="Times New Roman"/>
          <w:sz w:val="28"/>
          <w:szCs w:val="28"/>
          <w:lang w:val="en-US"/>
        </w:rPr>
        <w:t>Xu</w:t>
      </w:r>
      <w:r w:rsidR="00AB1952">
        <w:rPr>
          <w:rFonts w:ascii="Times New Roman" w:hAnsi="Times New Roman" w:cs="Times New Roman"/>
          <w:sz w:val="28"/>
          <w:szCs w:val="28"/>
          <w:lang w:val="uk-UA"/>
        </w:rPr>
        <w:t xml:space="preserve"> </w:t>
      </w:r>
      <w:r w:rsidR="00AB1952">
        <w:rPr>
          <w:rFonts w:ascii="Times New Roman" w:hAnsi="Times New Roman" w:cs="Times New Roman"/>
          <w:sz w:val="28"/>
          <w:szCs w:val="28"/>
          <w:lang w:val="en-US"/>
        </w:rPr>
        <w:t xml:space="preserve">R, </w:t>
      </w:r>
      <w:r w:rsidR="00AB1952" w:rsidRPr="00AB1952">
        <w:rPr>
          <w:rFonts w:ascii="Times New Roman" w:hAnsi="Times New Roman" w:cs="Times New Roman"/>
          <w:sz w:val="28"/>
          <w:szCs w:val="28"/>
          <w:lang w:val="en-US"/>
        </w:rPr>
        <w:t>Sun</w:t>
      </w:r>
      <w:r w:rsidR="00AB1952">
        <w:rPr>
          <w:rFonts w:ascii="Times New Roman" w:hAnsi="Times New Roman" w:cs="Times New Roman"/>
          <w:sz w:val="28"/>
          <w:szCs w:val="28"/>
          <w:lang w:val="en-US"/>
        </w:rPr>
        <w:t xml:space="preserve"> S, </w:t>
      </w:r>
      <w:r w:rsidR="00AB1952" w:rsidRPr="00AB1952">
        <w:rPr>
          <w:rFonts w:ascii="Times New Roman" w:hAnsi="Times New Roman" w:cs="Times New Roman"/>
          <w:sz w:val="28"/>
          <w:szCs w:val="28"/>
          <w:lang w:val="en-US"/>
        </w:rPr>
        <w:t>Huo</w:t>
      </w:r>
      <w:r w:rsidR="00AB1952">
        <w:rPr>
          <w:rFonts w:ascii="Times New Roman" w:hAnsi="Times New Roman" w:cs="Times New Roman"/>
          <w:sz w:val="28"/>
          <w:szCs w:val="28"/>
          <w:lang w:val="en-US"/>
        </w:rPr>
        <w:t xml:space="preserve"> Y, </w:t>
      </w:r>
      <w:r w:rsidR="00AB1952" w:rsidRPr="00AB1952">
        <w:rPr>
          <w:rFonts w:ascii="Times New Roman" w:hAnsi="Times New Roman" w:cs="Times New Roman"/>
          <w:sz w:val="28"/>
          <w:szCs w:val="28"/>
          <w:lang w:val="en-US"/>
        </w:rPr>
        <w:t>Yun</w:t>
      </w:r>
      <w:r w:rsidR="00AB1952">
        <w:rPr>
          <w:rFonts w:ascii="Times New Roman" w:hAnsi="Times New Roman" w:cs="Times New Roman"/>
          <w:sz w:val="28"/>
          <w:szCs w:val="28"/>
          <w:lang w:val="en-US"/>
        </w:rPr>
        <w:t xml:space="preserve"> L</w:t>
      </w:r>
      <w:r w:rsidR="00AB1952" w:rsidRPr="00AB1952">
        <w:rPr>
          <w:rFonts w:ascii="Times New Roman" w:hAnsi="Times New Roman" w:cs="Times New Roman"/>
          <w:sz w:val="28"/>
          <w:szCs w:val="28"/>
          <w:lang w:val="en-US"/>
        </w:rPr>
        <w:t>, Huang</w:t>
      </w:r>
      <w:r w:rsidR="00AB1952">
        <w:rPr>
          <w:rFonts w:ascii="Times New Roman" w:hAnsi="Times New Roman" w:cs="Times New Roman"/>
          <w:sz w:val="28"/>
          <w:szCs w:val="28"/>
          <w:lang w:val="en-US"/>
        </w:rPr>
        <w:t xml:space="preserve"> S,</w:t>
      </w:r>
      <w:r w:rsidR="00AB1952" w:rsidRPr="00AB1952">
        <w:rPr>
          <w:rFonts w:ascii="Times New Roman" w:hAnsi="Times New Roman" w:cs="Times New Roman"/>
          <w:sz w:val="28"/>
          <w:szCs w:val="28"/>
          <w:lang w:val="en-US"/>
        </w:rPr>
        <w:t xml:space="preserve"> Li</w:t>
      </w:r>
      <w:r w:rsidR="00AB1952">
        <w:rPr>
          <w:rFonts w:ascii="Times New Roman" w:hAnsi="Times New Roman" w:cs="Times New Roman"/>
          <w:sz w:val="28"/>
          <w:szCs w:val="28"/>
          <w:lang w:val="en-US"/>
        </w:rPr>
        <w:t xml:space="preserve"> G, et al. </w:t>
      </w:r>
      <w:r w:rsidR="00AB1952" w:rsidRPr="00AB1952">
        <w:rPr>
          <w:rFonts w:ascii="Times New Roman" w:hAnsi="Times New Roman" w:cs="Times New Roman"/>
          <w:sz w:val="28"/>
          <w:szCs w:val="28"/>
          <w:lang w:val="en-US"/>
        </w:rPr>
        <w:t>Effects of ACEIs Versus ARBs on Proteinuria or Albuminuria in Primary Hypertension</w:t>
      </w:r>
      <w:r w:rsidR="00AB1952">
        <w:rPr>
          <w:rFonts w:ascii="Times New Roman" w:hAnsi="Times New Roman" w:cs="Times New Roman"/>
          <w:sz w:val="28"/>
          <w:szCs w:val="28"/>
          <w:lang w:val="en-US"/>
        </w:rPr>
        <w:t xml:space="preserve">. </w:t>
      </w:r>
      <w:r w:rsidR="00AB1952" w:rsidRPr="00AB1952">
        <w:rPr>
          <w:rFonts w:ascii="Times New Roman" w:hAnsi="Times New Roman" w:cs="Times New Roman"/>
          <w:sz w:val="28"/>
          <w:szCs w:val="28"/>
          <w:lang w:val="en-US"/>
        </w:rPr>
        <w:t>Medicine (Baltimore)</w:t>
      </w:r>
      <w:r w:rsidR="00AB1952">
        <w:rPr>
          <w:rFonts w:ascii="Times New Roman" w:hAnsi="Times New Roman" w:cs="Times New Roman"/>
          <w:sz w:val="28"/>
          <w:szCs w:val="28"/>
          <w:lang w:val="en-US"/>
        </w:rPr>
        <w:t xml:space="preserve"> [Internet]. 2015 Sep;94(39):</w:t>
      </w:r>
      <w:r w:rsidR="00AB1952" w:rsidRPr="00AB1952">
        <w:rPr>
          <w:rFonts w:ascii="Times New Roman" w:hAnsi="Times New Roman" w:cs="Times New Roman"/>
          <w:sz w:val="28"/>
          <w:szCs w:val="28"/>
          <w:lang w:val="en-US"/>
        </w:rPr>
        <w:t>e1560.</w:t>
      </w:r>
      <w:r w:rsidR="00AB1952">
        <w:rPr>
          <w:rFonts w:ascii="Times New Roman" w:hAnsi="Times New Roman" w:cs="Times New Roman"/>
          <w:sz w:val="28"/>
          <w:szCs w:val="28"/>
          <w:lang w:val="en-US"/>
        </w:rPr>
        <w:t xml:space="preserve"> </w:t>
      </w:r>
      <w:r w:rsidR="00AB1952" w:rsidRPr="00AB1952">
        <w:rPr>
          <w:rFonts w:ascii="Times New Roman" w:hAnsi="Times New Roman" w:cs="Times New Roman"/>
          <w:sz w:val="28"/>
          <w:szCs w:val="28"/>
          <w:lang w:val="en-US"/>
        </w:rPr>
        <w:t>Available from:</w:t>
      </w:r>
      <w:r w:rsidR="00AB1952">
        <w:rPr>
          <w:rFonts w:ascii="Times New Roman" w:hAnsi="Times New Roman" w:cs="Times New Roman"/>
          <w:sz w:val="28"/>
          <w:szCs w:val="28"/>
          <w:lang w:val="en-US"/>
        </w:rPr>
        <w:t xml:space="preserve"> </w:t>
      </w:r>
    </w:p>
    <w:p w:rsidR="00F562EE" w:rsidRPr="00904DCD" w:rsidRDefault="000A6805" w:rsidP="001F5E25">
      <w:pPr>
        <w:tabs>
          <w:tab w:val="left" w:pos="2880"/>
        </w:tabs>
        <w:spacing w:after="0" w:line="360" w:lineRule="auto"/>
        <w:jc w:val="both"/>
        <w:rPr>
          <w:rFonts w:ascii="Times New Roman" w:hAnsi="Times New Roman" w:cs="Times New Roman"/>
          <w:sz w:val="28"/>
          <w:szCs w:val="28"/>
          <w:lang w:val="en-US"/>
        </w:rPr>
      </w:pPr>
      <w:hyperlink r:id="rId91" w:history="1">
        <w:r w:rsidR="00AB1952" w:rsidRPr="00904DCD">
          <w:rPr>
            <w:rStyle w:val="a9"/>
            <w:rFonts w:ascii="Times New Roman" w:hAnsi="Times New Roman" w:cs="Times New Roman"/>
            <w:color w:val="auto"/>
            <w:sz w:val="28"/>
            <w:szCs w:val="28"/>
            <w:u w:val="none"/>
            <w:lang w:val="en-US"/>
          </w:rPr>
          <w:t>https://www.ncbi.nlm.nih.gov/pmc/articles/PMC4616860/</w:t>
        </w:r>
      </w:hyperlink>
    </w:p>
    <w:p w:rsidR="00AB1952" w:rsidRDefault="00904DCD" w:rsidP="001F5E2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5D325C">
        <w:rPr>
          <w:rFonts w:ascii="Times New Roman" w:hAnsi="Times New Roman" w:cs="Times New Roman"/>
          <w:sz w:val="28"/>
          <w:szCs w:val="28"/>
          <w:lang w:val="en-US"/>
        </w:rPr>
        <w:t>: 10.1097/</w:t>
      </w:r>
      <w:r w:rsidRPr="00904DCD">
        <w:rPr>
          <w:rFonts w:ascii="Times New Roman" w:hAnsi="Times New Roman" w:cs="Times New Roman"/>
          <w:sz w:val="28"/>
          <w:szCs w:val="28"/>
          <w:lang w:val="en-US"/>
        </w:rPr>
        <w:t>MD</w:t>
      </w:r>
      <w:r w:rsidRPr="005D325C">
        <w:rPr>
          <w:rFonts w:ascii="Times New Roman" w:hAnsi="Times New Roman" w:cs="Times New Roman"/>
          <w:sz w:val="28"/>
          <w:szCs w:val="28"/>
          <w:lang w:val="en-US"/>
        </w:rPr>
        <w:t>.0000000000001560</w:t>
      </w:r>
    </w:p>
    <w:p w:rsidR="003E28F4" w:rsidRDefault="005218F2" w:rsidP="001F5E2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115</w:t>
      </w:r>
      <w:r w:rsidR="0023359F">
        <w:rPr>
          <w:rFonts w:ascii="Times New Roman" w:hAnsi="Times New Roman" w:cs="Times New Roman"/>
          <w:sz w:val="28"/>
          <w:szCs w:val="28"/>
          <w:lang w:val="en-US"/>
        </w:rPr>
        <w:t xml:space="preserve">. </w:t>
      </w:r>
      <w:r w:rsidR="003E28F4">
        <w:rPr>
          <w:rFonts w:ascii="Times New Roman" w:hAnsi="Times New Roman" w:cs="Times New Roman"/>
          <w:sz w:val="28"/>
          <w:szCs w:val="28"/>
          <w:lang w:val="en-US"/>
        </w:rPr>
        <w:t>Zenteno-Castillo P, Muñoz-López DB, Merino-Reyes B, Vega-Sánchez Á, Preciado-Puga M, González-Yebra AL</w:t>
      </w:r>
      <w:r w:rsidR="003E28F4" w:rsidRPr="003E28F4">
        <w:rPr>
          <w:rFonts w:ascii="Times New Roman" w:hAnsi="Times New Roman" w:cs="Times New Roman"/>
          <w:sz w:val="28"/>
          <w:szCs w:val="28"/>
          <w:lang w:val="en-US"/>
        </w:rPr>
        <w:t>,</w:t>
      </w:r>
      <w:r w:rsidR="003E28F4">
        <w:rPr>
          <w:rFonts w:ascii="Times New Roman" w:hAnsi="Times New Roman" w:cs="Times New Roman"/>
          <w:sz w:val="28"/>
          <w:szCs w:val="28"/>
          <w:lang w:val="en-US"/>
        </w:rPr>
        <w:t xml:space="preserve"> et al. </w:t>
      </w:r>
      <w:r w:rsidR="003E28F4" w:rsidRPr="003E28F4">
        <w:rPr>
          <w:rFonts w:ascii="Times New Roman" w:hAnsi="Times New Roman" w:cs="Times New Roman"/>
          <w:sz w:val="28"/>
          <w:szCs w:val="28"/>
          <w:lang w:val="en-US"/>
        </w:rPr>
        <w:t xml:space="preserve">Prevalence of diabetic nephropathy </w:t>
      </w:r>
      <w:r w:rsidR="003E28F4" w:rsidRPr="003E28F4">
        <w:rPr>
          <w:rFonts w:ascii="Times New Roman" w:hAnsi="Times New Roman" w:cs="Times New Roman"/>
          <w:sz w:val="28"/>
          <w:szCs w:val="28"/>
          <w:lang w:val="en-US"/>
        </w:rPr>
        <w:lastRenderedPageBreak/>
        <w:t>in Type 2 Diabetes Mellitus in rural communities of Guanajuato, Mexico. Effect after 6 months of Telmisartan treatment</w:t>
      </w:r>
      <w:r w:rsidR="003E28F4">
        <w:rPr>
          <w:rFonts w:ascii="Times New Roman" w:hAnsi="Times New Roman" w:cs="Times New Roman"/>
          <w:sz w:val="28"/>
          <w:szCs w:val="28"/>
          <w:lang w:val="en-US"/>
        </w:rPr>
        <w:t xml:space="preserve">. </w:t>
      </w:r>
      <w:r w:rsidR="003E28F4" w:rsidRPr="003E28F4">
        <w:rPr>
          <w:rFonts w:ascii="Times New Roman" w:hAnsi="Times New Roman" w:cs="Times New Roman"/>
          <w:sz w:val="28"/>
          <w:szCs w:val="28"/>
          <w:lang w:val="en-US"/>
        </w:rPr>
        <w:t>J Clin Transl Endocrinol</w:t>
      </w:r>
      <w:r w:rsidR="003E28F4">
        <w:rPr>
          <w:rFonts w:ascii="Times New Roman" w:hAnsi="Times New Roman" w:cs="Times New Roman"/>
          <w:sz w:val="28"/>
          <w:szCs w:val="28"/>
          <w:lang w:val="en-US"/>
        </w:rPr>
        <w:t xml:space="preserve"> [Internet]. 2015 Aug 18;2(4):125-</w:t>
      </w:r>
      <w:r w:rsidR="003E28F4" w:rsidRPr="003E28F4">
        <w:rPr>
          <w:rFonts w:ascii="Times New Roman" w:hAnsi="Times New Roman" w:cs="Times New Roman"/>
          <w:sz w:val="28"/>
          <w:szCs w:val="28"/>
          <w:lang w:val="en-US"/>
        </w:rPr>
        <w:t>8.</w:t>
      </w:r>
      <w:r w:rsidR="003E28F4">
        <w:rPr>
          <w:rFonts w:ascii="Times New Roman" w:hAnsi="Times New Roman" w:cs="Times New Roman"/>
          <w:sz w:val="28"/>
          <w:szCs w:val="28"/>
          <w:lang w:val="en-US"/>
        </w:rPr>
        <w:t xml:space="preserve"> </w:t>
      </w:r>
      <w:r w:rsidR="003E28F4" w:rsidRPr="003E28F4">
        <w:rPr>
          <w:rFonts w:ascii="Times New Roman" w:hAnsi="Times New Roman" w:cs="Times New Roman"/>
          <w:sz w:val="28"/>
          <w:szCs w:val="28"/>
          <w:lang w:val="en-US"/>
        </w:rPr>
        <w:t>Available from:</w:t>
      </w:r>
      <w:r w:rsidR="003E28F4">
        <w:rPr>
          <w:rFonts w:ascii="Times New Roman" w:hAnsi="Times New Roman" w:cs="Times New Roman"/>
          <w:sz w:val="28"/>
          <w:szCs w:val="28"/>
          <w:lang w:val="en-US"/>
        </w:rPr>
        <w:t xml:space="preserve"> </w:t>
      </w:r>
    </w:p>
    <w:p w:rsidR="0023359F" w:rsidRPr="0023359F" w:rsidRDefault="003E28F4" w:rsidP="001F5E25">
      <w:pPr>
        <w:tabs>
          <w:tab w:val="left" w:pos="2880"/>
        </w:tabs>
        <w:spacing w:after="0" w:line="360" w:lineRule="auto"/>
        <w:jc w:val="both"/>
        <w:rPr>
          <w:rFonts w:ascii="Times New Roman" w:hAnsi="Times New Roman" w:cs="Times New Roman"/>
          <w:sz w:val="28"/>
          <w:szCs w:val="28"/>
          <w:lang w:val="en-US"/>
        </w:rPr>
      </w:pPr>
      <w:r w:rsidRPr="003E28F4">
        <w:rPr>
          <w:rFonts w:ascii="Times New Roman" w:hAnsi="Times New Roman" w:cs="Times New Roman"/>
          <w:sz w:val="28"/>
          <w:szCs w:val="28"/>
          <w:lang w:val="en-US"/>
        </w:rPr>
        <w:t>https://www.ncbi.nlm.nih.gov/pmc/articles/PMC5685013/</w:t>
      </w:r>
    </w:p>
    <w:p w:rsidR="00957C6C" w:rsidRPr="00957C6C" w:rsidRDefault="003E28F4"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DOI: </w:t>
      </w:r>
      <w:r w:rsidRPr="003E28F4">
        <w:rPr>
          <w:rFonts w:ascii="Times New Roman" w:hAnsi="Times New Roman" w:cs="Times New Roman"/>
          <w:sz w:val="28"/>
          <w:szCs w:val="28"/>
          <w:lang w:val="uk-UA"/>
        </w:rPr>
        <w:t>10.1016/j.jcte.2015.08.001.</w:t>
      </w:r>
    </w:p>
    <w:p w:rsidR="00F57EEB" w:rsidRPr="004C3CB4" w:rsidRDefault="005218F2"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11</w:t>
      </w:r>
      <w:r>
        <w:rPr>
          <w:rFonts w:ascii="Times New Roman" w:hAnsi="Times New Roman" w:cs="Times New Roman"/>
          <w:sz w:val="28"/>
          <w:szCs w:val="28"/>
          <w:lang w:val="en-US"/>
        </w:rPr>
        <w:t>6</w:t>
      </w:r>
      <w:r w:rsidR="003E28F4" w:rsidRPr="004C3CB4">
        <w:rPr>
          <w:rFonts w:ascii="Times New Roman" w:hAnsi="Times New Roman" w:cs="Times New Roman"/>
          <w:sz w:val="28"/>
          <w:szCs w:val="28"/>
          <w:lang w:val="uk-UA"/>
        </w:rPr>
        <w:t xml:space="preserve">. </w:t>
      </w:r>
      <w:r w:rsidR="004C3CB4">
        <w:rPr>
          <w:rFonts w:ascii="Times New Roman" w:hAnsi="Times New Roman" w:cs="Times New Roman"/>
          <w:sz w:val="28"/>
          <w:szCs w:val="28"/>
          <w:lang w:val="en-US"/>
        </w:rPr>
        <w:t>Ram</w:t>
      </w:r>
      <w:r w:rsidR="004C3CB4" w:rsidRPr="004C3CB4">
        <w:rPr>
          <w:rFonts w:ascii="Times New Roman" w:hAnsi="Times New Roman" w:cs="Times New Roman"/>
          <w:sz w:val="28"/>
          <w:szCs w:val="28"/>
          <w:lang w:val="uk-UA"/>
        </w:rPr>
        <w:t xml:space="preserve"> </w:t>
      </w:r>
      <w:r w:rsidR="004C3CB4">
        <w:rPr>
          <w:rFonts w:ascii="Times New Roman" w:hAnsi="Times New Roman" w:cs="Times New Roman"/>
          <w:sz w:val="28"/>
          <w:szCs w:val="28"/>
          <w:lang w:val="en-US"/>
        </w:rPr>
        <w:t>CVS</w:t>
      </w:r>
      <w:r w:rsidR="004C3CB4" w:rsidRPr="004C3CB4">
        <w:rPr>
          <w:rFonts w:ascii="Times New Roman" w:hAnsi="Times New Roman" w:cs="Times New Roman"/>
          <w:sz w:val="28"/>
          <w:szCs w:val="28"/>
          <w:lang w:val="uk-UA"/>
        </w:rPr>
        <w:t xml:space="preserve">, </w:t>
      </w:r>
      <w:r w:rsidR="004C3CB4" w:rsidRPr="004C3CB4">
        <w:rPr>
          <w:rFonts w:ascii="Times New Roman" w:hAnsi="Times New Roman" w:cs="Times New Roman"/>
          <w:sz w:val="28"/>
          <w:szCs w:val="28"/>
          <w:lang w:val="en-US"/>
        </w:rPr>
        <w:t>A</w:t>
      </w:r>
      <w:r w:rsidR="004C3CB4">
        <w:rPr>
          <w:rFonts w:ascii="Times New Roman" w:hAnsi="Times New Roman" w:cs="Times New Roman"/>
          <w:sz w:val="28"/>
          <w:szCs w:val="28"/>
          <w:lang w:val="en-US"/>
        </w:rPr>
        <w:t>ggarwal</w:t>
      </w:r>
      <w:r w:rsidR="004C3CB4" w:rsidRPr="004C3CB4">
        <w:rPr>
          <w:rFonts w:ascii="Times New Roman" w:hAnsi="Times New Roman" w:cs="Times New Roman"/>
          <w:sz w:val="28"/>
          <w:szCs w:val="28"/>
          <w:lang w:val="uk-UA"/>
        </w:rPr>
        <w:t xml:space="preserve"> </w:t>
      </w:r>
      <w:r w:rsidR="004C3CB4">
        <w:rPr>
          <w:rFonts w:ascii="Times New Roman" w:hAnsi="Times New Roman" w:cs="Times New Roman"/>
          <w:sz w:val="28"/>
          <w:szCs w:val="28"/>
          <w:lang w:val="en-US"/>
        </w:rPr>
        <w:t>KK</w:t>
      </w:r>
      <w:r w:rsidR="004C3CB4" w:rsidRPr="004C3CB4">
        <w:rPr>
          <w:rFonts w:ascii="Times New Roman" w:hAnsi="Times New Roman" w:cs="Times New Roman"/>
          <w:sz w:val="28"/>
          <w:szCs w:val="28"/>
          <w:lang w:val="uk-UA"/>
        </w:rPr>
        <w:t>.</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High</w:t>
      </w:r>
      <w:r w:rsidR="001D5DEA" w:rsidRPr="004C3CB4">
        <w:rPr>
          <w:rFonts w:ascii="Times New Roman" w:hAnsi="Times New Roman" w:cs="Times New Roman"/>
          <w:sz w:val="28"/>
          <w:szCs w:val="28"/>
          <w:lang w:val="uk-UA"/>
        </w:rPr>
        <w:t>-</w:t>
      </w:r>
      <w:r w:rsidR="001D5DEA" w:rsidRPr="001D5DEA">
        <w:rPr>
          <w:rFonts w:ascii="Times New Roman" w:hAnsi="Times New Roman" w:cs="Times New Roman"/>
          <w:sz w:val="28"/>
          <w:szCs w:val="28"/>
          <w:lang w:val="en-US"/>
        </w:rPr>
        <w:t>risk</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Hypertension</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and</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Its</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Clinical</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Implications</w:t>
      </w:r>
      <w:r w:rsidR="004C3CB4">
        <w:rPr>
          <w:rFonts w:ascii="Times New Roman" w:hAnsi="Times New Roman" w:cs="Times New Roman"/>
          <w:sz w:val="28"/>
          <w:szCs w:val="28"/>
          <w:lang w:val="en-US"/>
        </w:rPr>
        <w:t xml:space="preserve">. </w:t>
      </w:r>
      <w:r w:rsidR="001D5DEA" w:rsidRPr="001D5DEA">
        <w:rPr>
          <w:rFonts w:ascii="Times New Roman" w:hAnsi="Times New Roman" w:cs="Times New Roman"/>
          <w:sz w:val="28"/>
          <w:szCs w:val="28"/>
          <w:lang w:val="en-US"/>
        </w:rPr>
        <w:t>Indian</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Journal</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of</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Clinical</w:t>
      </w:r>
      <w:r w:rsidR="001D5DEA" w:rsidRPr="004C3CB4">
        <w:rPr>
          <w:rFonts w:ascii="Times New Roman" w:hAnsi="Times New Roman" w:cs="Times New Roman"/>
          <w:sz w:val="28"/>
          <w:szCs w:val="28"/>
          <w:lang w:val="uk-UA"/>
        </w:rPr>
        <w:t xml:space="preserve"> </w:t>
      </w:r>
      <w:r w:rsidR="001D5DEA" w:rsidRPr="001D5DEA">
        <w:rPr>
          <w:rFonts w:ascii="Times New Roman" w:hAnsi="Times New Roman" w:cs="Times New Roman"/>
          <w:sz w:val="28"/>
          <w:szCs w:val="28"/>
          <w:lang w:val="en-US"/>
        </w:rPr>
        <w:t>Practice</w:t>
      </w:r>
      <w:r w:rsidR="004C3CB4">
        <w:rPr>
          <w:rFonts w:ascii="Times New Roman" w:hAnsi="Times New Roman" w:cs="Times New Roman"/>
          <w:sz w:val="28"/>
          <w:szCs w:val="28"/>
          <w:lang w:val="en-US"/>
        </w:rPr>
        <w:t xml:space="preserve"> </w:t>
      </w:r>
      <w:r w:rsidR="004C3CB4" w:rsidRPr="004C3CB4">
        <w:rPr>
          <w:rFonts w:ascii="Times New Roman" w:hAnsi="Times New Roman" w:cs="Times New Roman"/>
          <w:sz w:val="28"/>
          <w:szCs w:val="28"/>
          <w:lang w:val="en-US"/>
        </w:rPr>
        <w:t>[Internet].</w:t>
      </w:r>
      <w:r w:rsidR="004C3CB4">
        <w:rPr>
          <w:rFonts w:ascii="Times New Roman" w:hAnsi="Times New Roman" w:cs="Times New Roman"/>
          <w:sz w:val="28"/>
          <w:szCs w:val="28"/>
          <w:lang w:val="en-US"/>
        </w:rPr>
        <w:t xml:space="preserve"> </w:t>
      </w:r>
      <w:r w:rsidR="004C3CB4">
        <w:rPr>
          <w:rFonts w:ascii="Times New Roman" w:hAnsi="Times New Roman" w:cs="Times New Roman"/>
          <w:sz w:val="28"/>
          <w:szCs w:val="28"/>
          <w:lang w:val="uk-UA"/>
        </w:rPr>
        <w:t>2014</w:t>
      </w:r>
      <w:r w:rsidR="004C3CB4">
        <w:rPr>
          <w:rFonts w:ascii="Times New Roman" w:hAnsi="Times New Roman" w:cs="Times New Roman"/>
          <w:sz w:val="28"/>
          <w:szCs w:val="28"/>
          <w:lang w:val="en-US"/>
        </w:rPr>
        <w:t xml:space="preserve"> Nov;6(</w:t>
      </w:r>
      <w:r w:rsidR="001D5DEA" w:rsidRPr="004C3CB4">
        <w:rPr>
          <w:rFonts w:ascii="Times New Roman" w:hAnsi="Times New Roman" w:cs="Times New Roman"/>
          <w:sz w:val="28"/>
          <w:szCs w:val="28"/>
          <w:lang w:val="uk-UA"/>
        </w:rPr>
        <w:t>25</w:t>
      </w:r>
      <w:r w:rsidR="004C3CB4">
        <w:rPr>
          <w:rFonts w:ascii="Times New Roman" w:hAnsi="Times New Roman" w:cs="Times New Roman"/>
          <w:sz w:val="28"/>
          <w:szCs w:val="28"/>
          <w:lang w:val="en-US"/>
        </w:rPr>
        <w:t>):</w:t>
      </w:r>
      <w:r w:rsidR="004C3CB4">
        <w:rPr>
          <w:rFonts w:ascii="Times New Roman" w:hAnsi="Times New Roman" w:cs="Times New Roman"/>
          <w:sz w:val="28"/>
          <w:szCs w:val="28"/>
          <w:lang w:val="uk-UA"/>
        </w:rPr>
        <w:t xml:space="preserve"> 522</w:t>
      </w:r>
      <w:r w:rsidR="004C3CB4">
        <w:rPr>
          <w:rFonts w:ascii="Times New Roman" w:hAnsi="Times New Roman" w:cs="Times New Roman"/>
          <w:sz w:val="28"/>
          <w:szCs w:val="28"/>
          <w:lang w:val="en-US"/>
        </w:rPr>
        <w:t>-</w:t>
      </w:r>
      <w:r w:rsidR="001D5DEA" w:rsidRPr="004C3CB4">
        <w:rPr>
          <w:rFonts w:ascii="Times New Roman" w:hAnsi="Times New Roman" w:cs="Times New Roman"/>
          <w:sz w:val="28"/>
          <w:szCs w:val="28"/>
          <w:lang w:val="uk-UA"/>
        </w:rPr>
        <w:t>6.</w:t>
      </w:r>
      <w:r w:rsidR="004C3CB4">
        <w:rPr>
          <w:rFonts w:ascii="Times New Roman" w:hAnsi="Times New Roman" w:cs="Times New Roman"/>
          <w:sz w:val="28"/>
          <w:szCs w:val="28"/>
          <w:lang w:val="en-US"/>
        </w:rPr>
        <w:t xml:space="preserve"> </w:t>
      </w:r>
    </w:p>
    <w:p w:rsidR="0028043D" w:rsidRDefault="004C3CB4" w:rsidP="00F90BD3">
      <w:pPr>
        <w:tabs>
          <w:tab w:val="left" w:pos="2880"/>
        </w:tabs>
        <w:spacing w:after="0" w:line="360" w:lineRule="auto"/>
        <w:jc w:val="both"/>
        <w:rPr>
          <w:rFonts w:ascii="Times New Roman" w:hAnsi="Times New Roman" w:cs="Times New Roman"/>
          <w:sz w:val="28"/>
          <w:szCs w:val="28"/>
          <w:lang w:val="en-US"/>
        </w:rPr>
      </w:pPr>
      <w:r w:rsidRPr="004C3CB4">
        <w:rPr>
          <w:rFonts w:ascii="Times New Roman" w:hAnsi="Times New Roman" w:cs="Times New Roman"/>
          <w:sz w:val="28"/>
          <w:szCs w:val="28"/>
          <w:lang w:val="uk-UA"/>
        </w:rPr>
        <w:t>Available from:</w:t>
      </w:r>
      <w:r>
        <w:rPr>
          <w:rFonts w:ascii="Times New Roman" w:hAnsi="Times New Roman" w:cs="Times New Roman"/>
          <w:sz w:val="28"/>
          <w:szCs w:val="28"/>
          <w:lang w:val="en-US"/>
        </w:rPr>
        <w:t xml:space="preserve"> </w:t>
      </w:r>
      <w:hyperlink r:id="rId92" w:history="1">
        <w:r w:rsidRPr="004C3CB4">
          <w:rPr>
            <w:rStyle w:val="a9"/>
            <w:rFonts w:ascii="Times New Roman" w:hAnsi="Times New Roman" w:cs="Times New Roman"/>
            <w:color w:val="auto"/>
            <w:sz w:val="28"/>
            <w:szCs w:val="28"/>
            <w:u w:val="none"/>
            <w:lang w:val="en-US"/>
          </w:rPr>
          <w:t>http://medind.nic.in/iaa/t14/i11/iaat14i11p522.pdf</w:t>
        </w:r>
      </w:hyperlink>
    </w:p>
    <w:p w:rsidR="00CC10E6" w:rsidRDefault="005218F2" w:rsidP="00EC0C2A">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117</w:t>
      </w:r>
      <w:r w:rsidR="004C3CB4">
        <w:rPr>
          <w:rFonts w:ascii="Times New Roman" w:hAnsi="Times New Roman" w:cs="Times New Roman"/>
          <w:sz w:val="28"/>
          <w:szCs w:val="28"/>
          <w:lang w:val="en-US"/>
        </w:rPr>
        <w:t xml:space="preserve">. </w:t>
      </w:r>
      <w:r w:rsidR="00EC0C2A" w:rsidRPr="00EC0C2A">
        <w:rPr>
          <w:rFonts w:ascii="Times New Roman" w:hAnsi="Times New Roman" w:cs="Times New Roman"/>
          <w:sz w:val="28"/>
          <w:szCs w:val="28"/>
          <w:lang w:val="en-US"/>
        </w:rPr>
        <w:t>Rippin</w:t>
      </w:r>
      <w:r w:rsidR="00EC0C2A">
        <w:rPr>
          <w:rFonts w:ascii="Times New Roman" w:hAnsi="Times New Roman" w:cs="Times New Roman"/>
          <w:sz w:val="28"/>
          <w:szCs w:val="28"/>
          <w:lang w:val="en-US"/>
        </w:rPr>
        <w:t xml:space="preserve"> J, </w:t>
      </w:r>
      <w:r w:rsidR="00EC0C2A" w:rsidRPr="00EC0C2A">
        <w:rPr>
          <w:rFonts w:ascii="Times New Roman" w:hAnsi="Times New Roman" w:cs="Times New Roman"/>
          <w:sz w:val="28"/>
          <w:szCs w:val="28"/>
          <w:lang w:val="en-US"/>
        </w:rPr>
        <w:t>Bain</w:t>
      </w:r>
      <w:r w:rsidR="00EC0C2A">
        <w:rPr>
          <w:rFonts w:ascii="Times New Roman" w:hAnsi="Times New Roman" w:cs="Times New Roman"/>
          <w:sz w:val="28"/>
          <w:szCs w:val="28"/>
          <w:lang w:val="en-US"/>
        </w:rPr>
        <w:t xml:space="preserve"> SC, </w:t>
      </w:r>
      <w:r w:rsidR="00EC0C2A" w:rsidRPr="00EC0C2A">
        <w:rPr>
          <w:rFonts w:ascii="Times New Roman" w:hAnsi="Times New Roman" w:cs="Times New Roman"/>
          <w:sz w:val="28"/>
          <w:szCs w:val="28"/>
          <w:lang w:val="en-US"/>
        </w:rPr>
        <w:t>Barnett</w:t>
      </w:r>
      <w:r w:rsidR="00EC0C2A">
        <w:rPr>
          <w:rFonts w:ascii="Times New Roman" w:hAnsi="Times New Roman" w:cs="Times New Roman"/>
          <w:sz w:val="28"/>
          <w:szCs w:val="28"/>
          <w:lang w:val="en-US"/>
        </w:rPr>
        <w:t xml:space="preserve"> AH. </w:t>
      </w:r>
      <w:r w:rsidR="00EC0C2A" w:rsidRPr="00EC0C2A">
        <w:rPr>
          <w:rFonts w:ascii="Times New Roman" w:hAnsi="Times New Roman" w:cs="Times New Roman"/>
          <w:sz w:val="28"/>
          <w:szCs w:val="28"/>
          <w:lang w:val="en-US"/>
        </w:rPr>
        <w:t>Rationale and design of diabetics exposed to telmisartan and enalapril (DETAIL) study</w:t>
      </w:r>
      <w:r w:rsidR="00EC0C2A">
        <w:rPr>
          <w:rFonts w:ascii="Times New Roman" w:hAnsi="Times New Roman" w:cs="Times New Roman"/>
          <w:sz w:val="28"/>
          <w:szCs w:val="28"/>
          <w:lang w:val="en-US"/>
        </w:rPr>
        <w:t xml:space="preserve">. </w:t>
      </w:r>
      <w:r w:rsidR="00EC0C2A" w:rsidRPr="00EC0C2A">
        <w:rPr>
          <w:rFonts w:ascii="Times New Roman" w:hAnsi="Times New Roman" w:cs="Times New Roman"/>
          <w:sz w:val="28"/>
          <w:szCs w:val="28"/>
          <w:lang w:val="en-US"/>
        </w:rPr>
        <w:t>Journal of</w:t>
      </w:r>
      <w:r w:rsidR="00EC0C2A">
        <w:rPr>
          <w:rFonts w:ascii="Times New Roman" w:hAnsi="Times New Roman" w:cs="Times New Roman"/>
          <w:sz w:val="28"/>
          <w:szCs w:val="28"/>
          <w:lang w:val="en-US"/>
        </w:rPr>
        <w:t xml:space="preserve"> Diabetes and its Complications </w:t>
      </w:r>
      <w:r w:rsidR="00EC0C2A" w:rsidRPr="00EC0C2A">
        <w:rPr>
          <w:rFonts w:ascii="Times New Roman" w:hAnsi="Times New Roman" w:cs="Times New Roman"/>
          <w:sz w:val="28"/>
          <w:szCs w:val="28"/>
          <w:lang w:val="en-US"/>
        </w:rPr>
        <w:t xml:space="preserve">[Internet]. </w:t>
      </w:r>
      <w:r w:rsidR="00EC0C2A">
        <w:rPr>
          <w:rFonts w:ascii="Times New Roman" w:hAnsi="Times New Roman" w:cs="Times New Roman"/>
          <w:sz w:val="28"/>
          <w:szCs w:val="28"/>
          <w:lang w:val="en-US"/>
        </w:rPr>
        <w:t>2002 May–June;16(</w:t>
      </w:r>
      <w:r w:rsidR="00EC0C2A" w:rsidRPr="00EC0C2A">
        <w:rPr>
          <w:rFonts w:ascii="Times New Roman" w:hAnsi="Times New Roman" w:cs="Times New Roman"/>
          <w:sz w:val="28"/>
          <w:szCs w:val="28"/>
          <w:lang w:val="en-US"/>
        </w:rPr>
        <w:t>3</w:t>
      </w:r>
      <w:r w:rsidR="00EC0C2A">
        <w:rPr>
          <w:rFonts w:ascii="Times New Roman" w:hAnsi="Times New Roman" w:cs="Times New Roman"/>
          <w:sz w:val="28"/>
          <w:szCs w:val="28"/>
          <w:lang w:val="en-US"/>
        </w:rPr>
        <w:t>):</w:t>
      </w:r>
      <w:r w:rsidR="00EC0C2A" w:rsidRPr="00EC0C2A">
        <w:rPr>
          <w:rFonts w:ascii="Times New Roman" w:hAnsi="Times New Roman" w:cs="Times New Roman"/>
          <w:sz w:val="28"/>
          <w:szCs w:val="28"/>
          <w:lang w:val="en-US"/>
        </w:rPr>
        <w:t>195-200</w:t>
      </w:r>
      <w:r w:rsidR="00EC0C2A">
        <w:rPr>
          <w:rFonts w:ascii="Times New Roman" w:hAnsi="Times New Roman" w:cs="Times New Roman"/>
          <w:sz w:val="28"/>
          <w:szCs w:val="28"/>
          <w:lang w:val="en-US"/>
        </w:rPr>
        <w:t xml:space="preserve">. </w:t>
      </w:r>
      <w:r w:rsidR="00EC0C2A" w:rsidRPr="00EC0C2A">
        <w:rPr>
          <w:rFonts w:ascii="Times New Roman" w:hAnsi="Times New Roman" w:cs="Times New Roman"/>
          <w:sz w:val="28"/>
          <w:szCs w:val="28"/>
          <w:lang w:val="en-US"/>
        </w:rPr>
        <w:t>Available from:</w:t>
      </w:r>
      <w:r w:rsidR="00EC0C2A">
        <w:rPr>
          <w:rFonts w:ascii="Times New Roman" w:hAnsi="Times New Roman" w:cs="Times New Roman"/>
          <w:sz w:val="28"/>
          <w:szCs w:val="28"/>
          <w:lang w:val="en-US"/>
        </w:rPr>
        <w:t xml:space="preserve"> </w:t>
      </w:r>
    </w:p>
    <w:p w:rsidR="004C3CB4" w:rsidRPr="00DE5F87" w:rsidRDefault="000A6805" w:rsidP="00EC0C2A">
      <w:pPr>
        <w:tabs>
          <w:tab w:val="left" w:pos="2880"/>
        </w:tabs>
        <w:spacing w:after="0" w:line="360" w:lineRule="auto"/>
        <w:jc w:val="both"/>
        <w:rPr>
          <w:rFonts w:ascii="Times New Roman" w:hAnsi="Times New Roman" w:cs="Times New Roman"/>
          <w:sz w:val="28"/>
          <w:szCs w:val="28"/>
        </w:rPr>
      </w:pPr>
      <w:hyperlink r:id="rId93" w:history="1">
        <w:r w:rsidR="0049015B" w:rsidRPr="0049015B">
          <w:rPr>
            <w:rStyle w:val="a9"/>
            <w:rFonts w:ascii="Times New Roman" w:hAnsi="Times New Roman" w:cs="Times New Roman"/>
            <w:color w:val="auto"/>
            <w:sz w:val="28"/>
            <w:szCs w:val="28"/>
            <w:u w:val="none"/>
            <w:lang w:val="en-US"/>
          </w:rPr>
          <w:t>https</w:t>
        </w:r>
        <w:r w:rsidR="0049015B" w:rsidRPr="00DE5F87">
          <w:rPr>
            <w:rStyle w:val="a9"/>
            <w:rFonts w:ascii="Times New Roman" w:hAnsi="Times New Roman" w:cs="Times New Roman"/>
            <w:color w:val="auto"/>
            <w:sz w:val="28"/>
            <w:szCs w:val="28"/>
            <w:u w:val="none"/>
          </w:rPr>
          <w:t>://</w:t>
        </w:r>
        <w:r w:rsidR="0049015B" w:rsidRPr="0049015B">
          <w:rPr>
            <w:rStyle w:val="a9"/>
            <w:rFonts w:ascii="Times New Roman" w:hAnsi="Times New Roman" w:cs="Times New Roman"/>
            <w:color w:val="auto"/>
            <w:sz w:val="28"/>
            <w:szCs w:val="28"/>
            <w:u w:val="none"/>
            <w:lang w:val="en-US"/>
          </w:rPr>
          <w:t>doi</w:t>
        </w:r>
        <w:r w:rsidR="0049015B" w:rsidRPr="00DE5F87">
          <w:rPr>
            <w:rStyle w:val="a9"/>
            <w:rFonts w:ascii="Times New Roman" w:hAnsi="Times New Roman" w:cs="Times New Roman"/>
            <w:color w:val="auto"/>
            <w:sz w:val="28"/>
            <w:szCs w:val="28"/>
            <w:u w:val="none"/>
          </w:rPr>
          <w:t>.</w:t>
        </w:r>
        <w:r w:rsidR="0049015B" w:rsidRPr="0049015B">
          <w:rPr>
            <w:rStyle w:val="a9"/>
            <w:rFonts w:ascii="Times New Roman" w:hAnsi="Times New Roman" w:cs="Times New Roman"/>
            <w:color w:val="auto"/>
            <w:sz w:val="28"/>
            <w:szCs w:val="28"/>
            <w:u w:val="none"/>
            <w:lang w:val="en-US"/>
          </w:rPr>
          <w:t>org</w:t>
        </w:r>
        <w:r w:rsidR="0049015B" w:rsidRPr="00DE5F87">
          <w:rPr>
            <w:rStyle w:val="a9"/>
            <w:rFonts w:ascii="Times New Roman" w:hAnsi="Times New Roman" w:cs="Times New Roman"/>
            <w:color w:val="auto"/>
            <w:sz w:val="28"/>
            <w:szCs w:val="28"/>
            <w:u w:val="none"/>
          </w:rPr>
          <w:t>/10.1016/</w:t>
        </w:r>
        <w:r w:rsidR="0049015B" w:rsidRPr="0049015B">
          <w:rPr>
            <w:rStyle w:val="a9"/>
            <w:rFonts w:ascii="Times New Roman" w:hAnsi="Times New Roman" w:cs="Times New Roman"/>
            <w:color w:val="auto"/>
            <w:sz w:val="28"/>
            <w:szCs w:val="28"/>
            <w:u w:val="none"/>
            <w:lang w:val="en-US"/>
          </w:rPr>
          <w:t>S</w:t>
        </w:r>
        <w:r w:rsidR="0049015B" w:rsidRPr="00DE5F87">
          <w:rPr>
            <w:rStyle w:val="a9"/>
            <w:rFonts w:ascii="Times New Roman" w:hAnsi="Times New Roman" w:cs="Times New Roman"/>
            <w:color w:val="auto"/>
            <w:sz w:val="28"/>
            <w:szCs w:val="28"/>
            <w:u w:val="none"/>
          </w:rPr>
          <w:t>1056-8727(01)00165-9</w:t>
        </w:r>
      </w:hyperlink>
    </w:p>
    <w:p w:rsidR="0049015B" w:rsidRPr="005D325C" w:rsidRDefault="005218F2" w:rsidP="00FD0589">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11</w:t>
      </w:r>
      <w:r w:rsidRPr="005218F2">
        <w:rPr>
          <w:rFonts w:ascii="Times New Roman" w:hAnsi="Times New Roman" w:cs="Times New Roman"/>
          <w:sz w:val="28"/>
          <w:szCs w:val="28"/>
        </w:rPr>
        <w:t>8</w:t>
      </w:r>
      <w:r w:rsidR="0049015B" w:rsidRPr="00FD0589">
        <w:rPr>
          <w:rFonts w:ascii="Times New Roman" w:hAnsi="Times New Roman" w:cs="Times New Roman"/>
          <w:sz w:val="28"/>
          <w:szCs w:val="28"/>
        </w:rPr>
        <w:t xml:space="preserve">. </w:t>
      </w:r>
      <w:r w:rsidR="00FD0589">
        <w:rPr>
          <w:rFonts w:ascii="Times New Roman" w:hAnsi="Times New Roman" w:cs="Times New Roman"/>
          <w:sz w:val="28"/>
          <w:szCs w:val="28"/>
          <w:lang w:val="uk-UA"/>
        </w:rPr>
        <w:t xml:space="preserve">Біловол ОМ, Шалімова АС, Кочуєва ММ. Коморбідність гіпертонічної хвороби та цукрового діабету 2 типу </w:t>
      </w:r>
      <w:r w:rsidR="00FD0589" w:rsidRPr="00FD0589">
        <w:rPr>
          <w:rFonts w:ascii="Times New Roman" w:hAnsi="Times New Roman" w:cs="Times New Roman"/>
          <w:sz w:val="28"/>
          <w:szCs w:val="28"/>
          <w:lang w:val="uk-UA"/>
        </w:rPr>
        <w:t>–</w:t>
      </w:r>
      <w:r w:rsidR="00FD0589">
        <w:rPr>
          <w:rFonts w:ascii="Times New Roman" w:hAnsi="Times New Roman" w:cs="Times New Roman"/>
          <w:sz w:val="28"/>
          <w:szCs w:val="28"/>
          <w:lang w:val="uk-UA"/>
        </w:rPr>
        <w:t xml:space="preserve"> актуальна проблема сучасної медицини. Український терапевтичний журнал. 2014</w:t>
      </w:r>
      <w:r w:rsidR="00FD0589" w:rsidRPr="005D325C">
        <w:rPr>
          <w:rFonts w:ascii="Times New Roman" w:hAnsi="Times New Roman" w:cs="Times New Roman"/>
          <w:sz w:val="28"/>
          <w:szCs w:val="28"/>
          <w:lang w:val="en-US"/>
        </w:rPr>
        <w:t>;1:11-7.</w:t>
      </w:r>
    </w:p>
    <w:p w:rsidR="00CC10E6" w:rsidRDefault="005218F2" w:rsidP="00FD0589">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119</w:t>
      </w:r>
      <w:r w:rsidR="006B4F64" w:rsidRPr="00DE5F87">
        <w:rPr>
          <w:rFonts w:ascii="Times New Roman" w:hAnsi="Times New Roman" w:cs="Times New Roman"/>
          <w:sz w:val="28"/>
          <w:szCs w:val="28"/>
          <w:lang w:val="en-US"/>
        </w:rPr>
        <w:t xml:space="preserve">. </w:t>
      </w:r>
      <w:r w:rsidR="006B4F64" w:rsidRPr="006B4F64">
        <w:rPr>
          <w:rFonts w:ascii="Times New Roman" w:hAnsi="Times New Roman" w:cs="Times New Roman"/>
          <w:sz w:val="28"/>
          <w:szCs w:val="28"/>
          <w:lang w:val="en-US"/>
        </w:rPr>
        <w:t>P</w:t>
      </w:r>
      <w:r w:rsidR="006B4F64">
        <w:rPr>
          <w:rFonts w:ascii="Times New Roman" w:hAnsi="Times New Roman" w:cs="Times New Roman"/>
          <w:sz w:val="28"/>
          <w:szCs w:val="28"/>
          <w:lang w:val="en-US"/>
        </w:rPr>
        <w:t>erodayn</w:t>
      </w:r>
      <w:r w:rsidR="006B4F64" w:rsidRPr="00DE5F87">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NA</w:t>
      </w:r>
      <w:r w:rsidR="006B4F64" w:rsidRPr="00DE5F87">
        <w:rPr>
          <w:rFonts w:ascii="Times New Roman" w:hAnsi="Times New Roman" w:cs="Times New Roman"/>
          <w:sz w:val="28"/>
          <w:szCs w:val="28"/>
          <w:lang w:val="en-US"/>
        </w:rPr>
        <w:t xml:space="preserve">, </w:t>
      </w:r>
      <w:r w:rsidR="006B4F64" w:rsidRPr="006B4F64">
        <w:rPr>
          <w:rFonts w:ascii="Times New Roman" w:hAnsi="Times New Roman" w:cs="Times New Roman"/>
          <w:sz w:val="28"/>
          <w:szCs w:val="28"/>
          <w:lang w:val="en-US"/>
        </w:rPr>
        <w:t>S</w:t>
      </w:r>
      <w:r w:rsidR="006B4F64">
        <w:rPr>
          <w:rFonts w:ascii="Times New Roman" w:hAnsi="Times New Roman" w:cs="Times New Roman"/>
          <w:sz w:val="28"/>
          <w:szCs w:val="28"/>
          <w:lang w:val="en-US"/>
        </w:rPr>
        <w:t>huvalova</w:t>
      </w:r>
      <w:r w:rsidR="006B4F64" w:rsidRPr="00DE5F87">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NV</w:t>
      </w:r>
      <w:r w:rsidR="006B4F64" w:rsidRPr="00DE5F87">
        <w:rPr>
          <w:rFonts w:ascii="Times New Roman" w:hAnsi="Times New Roman" w:cs="Times New Roman"/>
          <w:sz w:val="28"/>
          <w:szCs w:val="28"/>
          <w:lang w:val="en-US"/>
        </w:rPr>
        <w:t xml:space="preserve">. </w:t>
      </w:r>
      <w:r w:rsidR="006B4F64" w:rsidRPr="006B4F64">
        <w:rPr>
          <w:rFonts w:ascii="Times New Roman" w:hAnsi="Times New Roman" w:cs="Times New Roman"/>
          <w:sz w:val="28"/>
          <w:szCs w:val="28"/>
          <w:lang w:val="en-US"/>
        </w:rPr>
        <w:t xml:space="preserve">PPAR </w:t>
      </w:r>
      <w:r w:rsidR="006B4F64">
        <w:rPr>
          <w:rFonts w:ascii="Times New Roman" w:hAnsi="Times New Roman" w:cs="Times New Roman"/>
          <w:sz w:val="28"/>
          <w:szCs w:val="28"/>
          <w:lang w:val="en-US"/>
        </w:rPr>
        <w:t>receptors</w:t>
      </w:r>
      <w:r w:rsidR="006B4F64" w:rsidRPr="006B4F64">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are</w:t>
      </w:r>
      <w:r w:rsidR="006B4F64" w:rsidRPr="006B4F64">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the</w:t>
      </w:r>
      <w:r w:rsidR="006B4F64" w:rsidRPr="006B4F64">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targets</w:t>
      </w:r>
      <w:r w:rsidR="006B4F64" w:rsidRPr="006B4F64">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for</w:t>
      </w:r>
      <w:r w:rsidR="006B4F64" w:rsidRPr="006B4F64">
        <w:rPr>
          <w:rFonts w:ascii="Times New Roman" w:hAnsi="Times New Roman" w:cs="Times New Roman"/>
          <w:sz w:val="28"/>
          <w:szCs w:val="28"/>
          <w:lang w:val="en-US"/>
        </w:rPr>
        <w:t xml:space="preserve"> </w:t>
      </w:r>
      <w:r w:rsidR="006B4F64">
        <w:rPr>
          <w:rFonts w:ascii="Times New Roman" w:hAnsi="Times New Roman" w:cs="Times New Roman"/>
          <w:sz w:val="28"/>
          <w:szCs w:val="28"/>
          <w:lang w:val="en-US"/>
        </w:rPr>
        <w:t>drugs</w:t>
      </w:r>
      <w:r w:rsidR="006B4F64" w:rsidRPr="006B4F64">
        <w:rPr>
          <w:rFonts w:ascii="Times New Roman" w:hAnsi="Times New Roman" w:cs="Times New Roman"/>
          <w:sz w:val="28"/>
          <w:szCs w:val="28"/>
          <w:lang w:val="en-US"/>
        </w:rPr>
        <w:t>.</w:t>
      </w:r>
      <w:r w:rsidR="006B4F64">
        <w:rPr>
          <w:rFonts w:ascii="Times New Roman" w:hAnsi="Times New Roman" w:cs="Times New Roman"/>
          <w:sz w:val="28"/>
          <w:szCs w:val="28"/>
          <w:lang w:val="en-US"/>
        </w:rPr>
        <w:t xml:space="preserve"> Health care of Chuvashia</w:t>
      </w:r>
      <w:r w:rsidR="006B4F64" w:rsidRPr="006B4F64">
        <w:rPr>
          <w:rFonts w:ascii="Times New Roman" w:hAnsi="Times New Roman" w:cs="Times New Roman"/>
          <w:sz w:val="28"/>
          <w:szCs w:val="28"/>
          <w:lang w:val="en-US"/>
        </w:rPr>
        <w:t xml:space="preserve"> [Internet]. </w:t>
      </w:r>
      <w:r w:rsidR="006B4F64">
        <w:rPr>
          <w:rFonts w:ascii="Times New Roman" w:hAnsi="Times New Roman" w:cs="Times New Roman"/>
          <w:sz w:val="28"/>
          <w:szCs w:val="28"/>
          <w:lang w:val="en-US"/>
        </w:rPr>
        <w:t>2012;2:8-</w:t>
      </w:r>
      <w:r w:rsidR="006B4F64" w:rsidRPr="006B4F64">
        <w:rPr>
          <w:rFonts w:ascii="Times New Roman" w:hAnsi="Times New Roman" w:cs="Times New Roman"/>
          <w:sz w:val="28"/>
          <w:szCs w:val="28"/>
          <w:lang w:val="en-US"/>
        </w:rPr>
        <w:t>10.</w:t>
      </w:r>
      <w:r w:rsidR="006B4F64">
        <w:rPr>
          <w:rFonts w:ascii="Times New Roman" w:hAnsi="Times New Roman" w:cs="Times New Roman"/>
          <w:sz w:val="28"/>
          <w:szCs w:val="28"/>
          <w:lang w:val="en-US"/>
        </w:rPr>
        <w:t xml:space="preserve"> </w:t>
      </w:r>
      <w:r w:rsidR="00CC10E6" w:rsidRPr="00CC10E6">
        <w:rPr>
          <w:rFonts w:ascii="Times New Roman" w:hAnsi="Times New Roman" w:cs="Times New Roman"/>
          <w:sz w:val="28"/>
          <w:szCs w:val="28"/>
          <w:lang w:val="en-US"/>
        </w:rPr>
        <w:t>Available from:</w:t>
      </w:r>
      <w:r w:rsidR="00CC10E6">
        <w:rPr>
          <w:rFonts w:ascii="Times New Roman" w:hAnsi="Times New Roman" w:cs="Times New Roman"/>
          <w:sz w:val="28"/>
          <w:szCs w:val="28"/>
          <w:lang w:val="en-US"/>
        </w:rPr>
        <w:t xml:space="preserve"> </w:t>
      </w:r>
    </w:p>
    <w:p w:rsidR="00FD0589" w:rsidRPr="00CC10E6" w:rsidRDefault="000A6805" w:rsidP="00FD0589">
      <w:pPr>
        <w:tabs>
          <w:tab w:val="left" w:pos="2880"/>
        </w:tabs>
        <w:spacing w:after="0" w:line="360" w:lineRule="auto"/>
        <w:jc w:val="both"/>
        <w:rPr>
          <w:rFonts w:ascii="Times New Roman" w:hAnsi="Times New Roman" w:cs="Times New Roman"/>
          <w:sz w:val="28"/>
          <w:szCs w:val="28"/>
          <w:lang w:val="en-US"/>
        </w:rPr>
      </w:pPr>
      <w:hyperlink r:id="rId94" w:history="1">
        <w:r w:rsidR="00CC10E6" w:rsidRPr="00CC10E6">
          <w:rPr>
            <w:rStyle w:val="a9"/>
            <w:rFonts w:ascii="Times New Roman" w:hAnsi="Times New Roman" w:cs="Times New Roman"/>
            <w:color w:val="auto"/>
            <w:sz w:val="28"/>
            <w:szCs w:val="28"/>
            <w:u w:val="none"/>
            <w:lang w:val="en-US"/>
          </w:rPr>
          <w:t>https://giduv.com/Uploads/journal/2012/journal_2012_2_en.pdf</w:t>
        </w:r>
      </w:hyperlink>
    </w:p>
    <w:p w:rsidR="00CC10E6" w:rsidRDefault="005218F2" w:rsidP="00FD0589">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120</w:t>
      </w:r>
      <w:r w:rsidR="00CC10E6">
        <w:rPr>
          <w:rFonts w:ascii="Times New Roman" w:hAnsi="Times New Roman" w:cs="Times New Roman"/>
          <w:sz w:val="28"/>
          <w:szCs w:val="28"/>
          <w:lang w:val="en-US"/>
        </w:rPr>
        <w:t>. Vogt L</w:t>
      </w:r>
      <w:r w:rsidR="00CC10E6" w:rsidRPr="00CC10E6">
        <w:rPr>
          <w:rFonts w:ascii="Times New Roman" w:hAnsi="Times New Roman" w:cs="Times New Roman"/>
          <w:sz w:val="28"/>
          <w:szCs w:val="28"/>
          <w:lang w:val="en-US"/>
        </w:rPr>
        <w:t xml:space="preserve">, Navis G, Köster J, Manolis AJ, Reid JL, </w:t>
      </w:r>
      <w:r w:rsidR="00CC10E6">
        <w:rPr>
          <w:rFonts w:ascii="Times New Roman" w:hAnsi="Times New Roman" w:cs="Times New Roman"/>
          <w:sz w:val="28"/>
          <w:szCs w:val="28"/>
          <w:lang w:val="en-US"/>
        </w:rPr>
        <w:t xml:space="preserve">et al. </w:t>
      </w:r>
      <w:r w:rsidR="00CC10E6" w:rsidRPr="00CC10E6">
        <w:rPr>
          <w:rFonts w:ascii="Times New Roman" w:hAnsi="Times New Roman" w:cs="Times New Roman"/>
          <w:sz w:val="28"/>
          <w:szCs w:val="28"/>
          <w:lang w:val="en-US"/>
        </w:rPr>
        <w:t>The angiotensin II receptor antagonist telmisartan reduces urinary albumin excretion in patients with isolated systolic hypertension: Results of a randomized, double-</w:t>
      </w:r>
      <w:r w:rsidR="00CC10E6">
        <w:rPr>
          <w:rFonts w:ascii="Times New Roman" w:hAnsi="Times New Roman" w:cs="Times New Roman"/>
          <w:sz w:val="28"/>
          <w:szCs w:val="28"/>
          <w:lang w:val="en-US"/>
        </w:rPr>
        <w:t xml:space="preserve">blind, placebo-controlled trial. </w:t>
      </w:r>
      <w:r w:rsidR="00CC10E6" w:rsidRPr="00CC10E6">
        <w:rPr>
          <w:rFonts w:ascii="Times New Roman" w:hAnsi="Times New Roman" w:cs="Times New Roman"/>
          <w:sz w:val="28"/>
          <w:szCs w:val="28"/>
          <w:lang w:val="en-US"/>
        </w:rPr>
        <w:t>J Hypertens</w:t>
      </w:r>
      <w:r w:rsidR="00CC10E6">
        <w:rPr>
          <w:rFonts w:ascii="Times New Roman" w:hAnsi="Times New Roman" w:cs="Times New Roman"/>
          <w:sz w:val="28"/>
          <w:szCs w:val="28"/>
          <w:lang w:val="en-US"/>
        </w:rPr>
        <w:t xml:space="preserve"> [Internet]</w:t>
      </w:r>
      <w:r w:rsidR="00CC10E6" w:rsidRPr="00CC10E6">
        <w:rPr>
          <w:rFonts w:ascii="Times New Roman" w:hAnsi="Times New Roman" w:cs="Times New Roman"/>
          <w:sz w:val="28"/>
          <w:szCs w:val="28"/>
          <w:lang w:val="en-US"/>
        </w:rPr>
        <w:t>. 2005 Nov;23(11):2055-61.</w:t>
      </w:r>
      <w:r w:rsidR="00CC10E6">
        <w:rPr>
          <w:rFonts w:ascii="Times New Roman" w:hAnsi="Times New Roman" w:cs="Times New Roman"/>
          <w:sz w:val="28"/>
          <w:szCs w:val="28"/>
          <w:lang w:val="en-US"/>
        </w:rPr>
        <w:t xml:space="preserve"> </w:t>
      </w:r>
      <w:r w:rsidR="00CC10E6" w:rsidRPr="00CC10E6">
        <w:rPr>
          <w:rFonts w:ascii="Times New Roman" w:hAnsi="Times New Roman" w:cs="Times New Roman"/>
          <w:sz w:val="28"/>
          <w:szCs w:val="28"/>
          <w:lang w:val="en-US"/>
        </w:rPr>
        <w:t>Available from:</w:t>
      </w:r>
    </w:p>
    <w:p w:rsidR="00CC10E6" w:rsidRPr="00CC10E6" w:rsidRDefault="00CC10E6" w:rsidP="00FD0589">
      <w:pPr>
        <w:tabs>
          <w:tab w:val="left" w:pos="2880"/>
        </w:tabs>
        <w:spacing w:after="0" w:line="360" w:lineRule="auto"/>
        <w:jc w:val="both"/>
        <w:rPr>
          <w:rFonts w:ascii="Times New Roman" w:hAnsi="Times New Roman" w:cs="Times New Roman"/>
          <w:sz w:val="28"/>
          <w:szCs w:val="28"/>
          <w:lang w:val="en-US"/>
        </w:rPr>
      </w:pPr>
      <w:r w:rsidRPr="00CC10E6">
        <w:rPr>
          <w:rFonts w:ascii="Times New Roman" w:hAnsi="Times New Roman" w:cs="Times New Roman"/>
          <w:sz w:val="28"/>
          <w:szCs w:val="28"/>
          <w:lang w:val="en-US"/>
        </w:rPr>
        <w:t xml:space="preserve">https://www.ncbi.nlm.nih.gov/pubmed/16208149 </w:t>
      </w:r>
    </w:p>
    <w:p w:rsidR="00CC10E6" w:rsidRDefault="005218F2" w:rsidP="00FD0589">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121</w:t>
      </w:r>
      <w:r w:rsidR="00CC10E6" w:rsidRPr="0048611B">
        <w:rPr>
          <w:rFonts w:ascii="Times New Roman" w:hAnsi="Times New Roman" w:cs="Times New Roman"/>
          <w:sz w:val="28"/>
          <w:szCs w:val="28"/>
          <w:lang w:val="en-US"/>
        </w:rPr>
        <w:t>.</w:t>
      </w:r>
      <w:r w:rsidR="00CC10E6">
        <w:rPr>
          <w:rFonts w:ascii="Times New Roman" w:hAnsi="Times New Roman" w:cs="Times New Roman"/>
          <w:sz w:val="28"/>
          <w:szCs w:val="28"/>
          <w:lang w:val="en-US"/>
        </w:rPr>
        <w:t xml:space="preserve"> </w:t>
      </w:r>
      <w:r w:rsidR="0048611B">
        <w:rPr>
          <w:rFonts w:ascii="Times New Roman" w:hAnsi="Times New Roman" w:cs="Times New Roman"/>
          <w:sz w:val="28"/>
          <w:szCs w:val="28"/>
          <w:lang w:val="en-US"/>
        </w:rPr>
        <w:t>Ucciferri C</w:t>
      </w:r>
      <w:r w:rsidR="0048611B" w:rsidRPr="0048611B">
        <w:rPr>
          <w:rFonts w:ascii="Times New Roman" w:hAnsi="Times New Roman" w:cs="Times New Roman"/>
          <w:sz w:val="28"/>
          <w:szCs w:val="28"/>
          <w:lang w:val="en-US"/>
        </w:rPr>
        <w:t>, Falasca K, Mancino P, Di Iorio A, Vecchiet J. Microalbuminuria and hypertension in HIV-infected patients: a p</w:t>
      </w:r>
      <w:r w:rsidR="0048611B">
        <w:rPr>
          <w:rFonts w:ascii="Times New Roman" w:hAnsi="Times New Roman" w:cs="Times New Roman"/>
          <w:sz w:val="28"/>
          <w:szCs w:val="28"/>
          <w:lang w:val="en-US"/>
        </w:rPr>
        <w:t>reliminary study of telmisartan</w:t>
      </w:r>
      <w:r w:rsidR="0048611B">
        <w:rPr>
          <w:rFonts w:ascii="Times New Roman" w:hAnsi="Times New Roman" w:cs="Times New Roman"/>
          <w:sz w:val="28"/>
          <w:szCs w:val="28"/>
          <w:lang w:val="uk-UA"/>
        </w:rPr>
        <w:t xml:space="preserve">. </w:t>
      </w:r>
      <w:r w:rsidR="0048611B" w:rsidRPr="0048611B">
        <w:rPr>
          <w:rFonts w:ascii="Times New Roman" w:hAnsi="Times New Roman" w:cs="Times New Roman"/>
          <w:sz w:val="28"/>
          <w:szCs w:val="28"/>
          <w:lang w:val="uk-UA"/>
        </w:rPr>
        <w:t>Eur Rev Med Pharmacol Sci</w:t>
      </w:r>
      <w:r w:rsidR="0048611B">
        <w:rPr>
          <w:rFonts w:ascii="Times New Roman" w:hAnsi="Times New Roman" w:cs="Times New Roman"/>
          <w:sz w:val="28"/>
          <w:szCs w:val="28"/>
          <w:lang w:val="uk-UA"/>
        </w:rPr>
        <w:t xml:space="preserve"> [Internet]</w:t>
      </w:r>
      <w:r w:rsidR="0048611B" w:rsidRPr="0048611B">
        <w:rPr>
          <w:rFonts w:ascii="Times New Roman" w:hAnsi="Times New Roman" w:cs="Times New Roman"/>
          <w:sz w:val="28"/>
          <w:szCs w:val="28"/>
          <w:lang w:val="uk-UA"/>
        </w:rPr>
        <w:t>. 2012 Apr;16(4):491-8. Available from:</w:t>
      </w:r>
      <w:r w:rsidR="0048611B">
        <w:rPr>
          <w:rFonts w:ascii="Times New Roman" w:hAnsi="Times New Roman" w:cs="Times New Roman"/>
          <w:sz w:val="28"/>
          <w:szCs w:val="28"/>
          <w:lang w:val="uk-UA"/>
        </w:rPr>
        <w:t xml:space="preserve"> </w:t>
      </w:r>
      <w:r w:rsidR="0048611B" w:rsidRPr="0048611B">
        <w:rPr>
          <w:rFonts w:ascii="Times New Roman" w:hAnsi="Times New Roman" w:cs="Times New Roman"/>
          <w:sz w:val="28"/>
          <w:szCs w:val="28"/>
          <w:lang w:val="uk-UA"/>
        </w:rPr>
        <w:t>https://www.europeanreview.org/wp/wp-content/uploads/1188.pdf</w:t>
      </w:r>
    </w:p>
    <w:p w:rsidR="00F953A3" w:rsidRDefault="005218F2" w:rsidP="00FD0589">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5218F2">
        <w:rPr>
          <w:rFonts w:ascii="Times New Roman" w:hAnsi="Times New Roman" w:cs="Times New Roman"/>
          <w:sz w:val="28"/>
          <w:szCs w:val="28"/>
          <w:lang w:val="uk-UA"/>
        </w:rPr>
        <w:t>2</w:t>
      </w:r>
      <w:r w:rsidR="00D85BC5">
        <w:rPr>
          <w:rFonts w:ascii="Times New Roman" w:hAnsi="Times New Roman" w:cs="Times New Roman"/>
          <w:sz w:val="28"/>
          <w:szCs w:val="28"/>
          <w:lang w:val="uk-UA"/>
        </w:rPr>
        <w:t>.</w:t>
      </w:r>
      <w:r w:rsidR="00F953A3">
        <w:rPr>
          <w:rFonts w:ascii="Times New Roman" w:hAnsi="Times New Roman" w:cs="Times New Roman"/>
          <w:sz w:val="28"/>
          <w:szCs w:val="28"/>
          <w:lang w:val="uk-UA"/>
        </w:rPr>
        <w:t xml:space="preserve"> </w:t>
      </w:r>
      <w:r w:rsidR="00F953A3" w:rsidRPr="00F953A3">
        <w:rPr>
          <w:rFonts w:ascii="Times New Roman" w:hAnsi="Times New Roman" w:cs="Times New Roman"/>
          <w:sz w:val="28"/>
          <w:szCs w:val="28"/>
          <w:lang w:val="uk-UA"/>
        </w:rPr>
        <w:t>Уніфікований клінічний протокол первинної та вторинної (спеціалізованої) медичної допомоги «Цукровий діабет 2 типу» : Наказ Міністерства охорони зд</w:t>
      </w:r>
      <w:r w:rsidR="00F953A3">
        <w:rPr>
          <w:rFonts w:ascii="Times New Roman" w:hAnsi="Times New Roman" w:cs="Times New Roman"/>
          <w:sz w:val="28"/>
          <w:szCs w:val="28"/>
          <w:lang w:val="uk-UA"/>
        </w:rPr>
        <w:t xml:space="preserve">оров'я від 21.12.2012 № 1118. </w:t>
      </w:r>
      <w:r w:rsidR="00F953A3" w:rsidRPr="00F953A3">
        <w:rPr>
          <w:rFonts w:ascii="Times New Roman" w:hAnsi="Times New Roman" w:cs="Times New Roman"/>
          <w:sz w:val="28"/>
          <w:szCs w:val="28"/>
          <w:lang w:val="uk-UA"/>
        </w:rPr>
        <w:t>118 с.</w:t>
      </w:r>
    </w:p>
    <w:p w:rsidR="00577F28" w:rsidRDefault="00577F28" w:rsidP="00577F28">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1</w:t>
      </w:r>
      <w:r w:rsidR="00A41939">
        <w:rPr>
          <w:rFonts w:ascii="Times New Roman" w:hAnsi="Times New Roman" w:cs="Times New Roman"/>
          <w:color w:val="000000" w:themeColor="text1"/>
          <w:sz w:val="28"/>
          <w:szCs w:val="28"/>
          <w:lang w:val="uk-UA"/>
        </w:rPr>
        <w:t>23</w:t>
      </w:r>
      <w:r w:rsidRPr="000406ED">
        <w:rPr>
          <w:rFonts w:ascii="Times New Roman" w:hAnsi="Times New Roman" w:cs="Times New Roman"/>
          <w:color w:val="000000" w:themeColor="text1"/>
          <w:sz w:val="28"/>
          <w:szCs w:val="28"/>
          <w:lang w:val="uk-UA"/>
        </w:rPr>
        <w:t xml:space="preserve">. Мітченко </w:t>
      </w:r>
      <w:r>
        <w:rPr>
          <w:rFonts w:ascii="Times New Roman" w:hAnsi="Times New Roman" w:cs="Times New Roman"/>
          <w:color w:val="000000" w:themeColor="text1"/>
          <w:sz w:val="28"/>
          <w:szCs w:val="28"/>
          <w:lang w:val="uk-UA"/>
        </w:rPr>
        <w:t>ОІ</w:t>
      </w:r>
      <w:r w:rsidRPr="000406ED">
        <w:rPr>
          <w:rFonts w:ascii="Times New Roman" w:hAnsi="Times New Roman" w:cs="Times New Roman"/>
          <w:color w:val="000000" w:themeColor="text1"/>
          <w:sz w:val="28"/>
          <w:szCs w:val="28"/>
          <w:lang w:val="uk-UA"/>
        </w:rPr>
        <w:t>, Лутай</w:t>
      </w:r>
      <w:r>
        <w:rPr>
          <w:rFonts w:ascii="Times New Roman" w:hAnsi="Times New Roman" w:cs="Times New Roman"/>
          <w:color w:val="000000" w:themeColor="text1"/>
          <w:sz w:val="28"/>
          <w:szCs w:val="28"/>
          <w:lang w:val="uk-UA"/>
        </w:rPr>
        <w:t xml:space="preserve"> МІ. Дисліпідемії: діагностика, профілактика та лікування. Методичні рекомендації Асоціації кардіологів України. Київ</w:t>
      </w:r>
      <w:r w:rsidRPr="003A7804">
        <w:rPr>
          <w:rFonts w:ascii="Times New Roman" w:hAnsi="Times New Roman" w:cs="Times New Roman"/>
          <w:color w:val="000000" w:themeColor="text1"/>
          <w:sz w:val="28"/>
          <w:szCs w:val="28"/>
          <w:lang w:val="uk-UA"/>
        </w:rPr>
        <w:t>;</w:t>
      </w:r>
      <w:r w:rsidRPr="00FF244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2011</w:t>
      </w:r>
      <w:r w:rsidRPr="003A7804">
        <w:rPr>
          <w:rFonts w:ascii="Times New Roman" w:hAnsi="Times New Roman" w:cs="Times New Roman"/>
          <w:color w:val="000000" w:themeColor="text1"/>
          <w:sz w:val="28"/>
          <w:szCs w:val="28"/>
          <w:lang w:val="uk-UA"/>
        </w:rPr>
        <w:t xml:space="preserve">. 29 </w:t>
      </w:r>
      <w:r>
        <w:rPr>
          <w:rFonts w:ascii="Times New Roman" w:hAnsi="Times New Roman" w:cs="Times New Roman"/>
          <w:color w:val="000000" w:themeColor="text1"/>
          <w:sz w:val="28"/>
          <w:szCs w:val="28"/>
          <w:lang w:val="en-US"/>
        </w:rPr>
        <w:t>c</w:t>
      </w:r>
      <w:r w:rsidRPr="003A7804">
        <w:rPr>
          <w:rFonts w:ascii="Times New Roman" w:hAnsi="Times New Roman" w:cs="Times New Roman"/>
          <w:color w:val="000000" w:themeColor="text1"/>
          <w:sz w:val="28"/>
          <w:szCs w:val="28"/>
          <w:lang w:val="uk-UA"/>
        </w:rPr>
        <w:t>.</w:t>
      </w:r>
    </w:p>
    <w:p w:rsidR="002746C2" w:rsidRPr="002746C2" w:rsidRDefault="00A41939" w:rsidP="00F953A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124</w:t>
      </w:r>
      <w:r w:rsidR="002746C2">
        <w:rPr>
          <w:rFonts w:ascii="Times New Roman" w:hAnsi="Times New Roman" w:cs="Times New Roman"/>
          <w:sz w:val="28"/>
          <w:szCs w:val="28"/>
          <w:lang w:val="uk-UA"/>
        </w:rPr>
        <w:t>.</w:t>
      </w:r>
      <w:r w:rsidR="002746C2" w:rsidRPr="00F953A3">
        <w:rPr>
          <w:rFonts w:ascii="Times New Roman" w:hAnsi="Times New Roman" w:cs="Times New Roman"/>
          <w:sz w:val="28"/>
          <w:szCs w:val="28"/>
          <w:lang w:val="uk-UA"/>
        </w:rPr>
        <w:t xml:space="preserve"> </w:t>
      </w:r>
      <w:r w:rsidR="002746C2" w:rsidRPr="006A0E60">
        <w:rPr>
          <w:rFonts w:ascii="Times New Roman" w:hAnsi="Times New Roman" w:cs="Times New Roman"/>
          <w:sz w:val="28"/>
          <w:szCs w:val="28"/>
          <w:lang w:val="uk-UA"/>
        </w:rPr>
        <w:t>Рекомендації Асоціації кардіологів України з діагностики та лікування хро</w:t>
      </w:r>
      <w:r w:rsidR="002746C2">
        <w:rPr>
          <w:rFonts w:ascii="Times New Roman" w:hAnsi="Times New Roman" w:cs="Times New Roman"/>
          <w:sz w:val="28"/>
          <w:szCs w:val="28"/>
          <w:lang w:val="uk-UA"/>
        </w:rPr>
        <w:t xml:space="preserve">нічної серцевої недостатності. </w:t>
      </w:r>
      <w:r w:rsidR="002746C2" w:rsidRPr="006A0E60">
        <w:rPr>
          <w:rFonts w:ascii="Times New Roman" w:hAnsi="Times New Roman" w:cs="Times New Roman"/>
          <w:sz w:val="28"/>
          <w:szCs w:val="28"/>
          <w:lang w:val="uk-UA"/>
        </w:rPr>
        <w:t>Асоціація кардіологів України, Українська асоціація фахівців із ц</w:t>
      </w:r>
      <w:r w:rsidR="002746C2">
        <w:rPr>
          <w:rFonts w:ascii="Times New Roman" w:hAnsi="Times New Roman" w:cs="Times New Roman"/>
          <w:sz w:val="28"/>
          <w:szCs w:val="28"/>
          <w:lang w:val="uk-UA"/>
        </w:rPr>
        <w:t xml:space="preserve">ерцевої недостатності </w:t>
      </w:r>
      <w:r w:rsidR="002746C2" w:rsidRPr="00DE5F87">
        <w:rPr>
          <w:rFonts w:ascii="Times New Roman" w:hAnsi="Times New Roman" w:cs="Times New Roman"/>
          <w:sz w:val="28"/>
          <w:szCs w:val="28"/>
          <w:lang w:val="uk-UA"/>
        </w:rPr>
        <w:t>[</w:t>
      </w:r>
      <w:r w:rsidR="002746C2">
        <w:rPr>
          <w:rFonts w:ascii="Times New Roman" w:hAnsi="Times New Roman" w:cs="Times New Roman"/>
          <w:sz w:val="28"/>
          <w:szCs w:val="28"/>
          <w:lang w:val="uk-UA"/>
        </w:rPr>
        <w:t>Інтернет</w:t>
      </w:r>
      <w:r w:rsidR="002746C2" w:rsidRPr="00DE5F87">
        <w:rPr>
          <w:rFonts w:ascii="Times New Roman" w:hAnsi="Times New Roman" w:cs="Times New Roman"/>
          <w:sz w:val="28"/>
          <w:szCs w:val="28"/>
          <w:lang w:val="uk-UA"/>
        </w:rPr>
        <w:t>]</w:t>
      </w:r>
      <w:r w:rsidR="002746C2">
        <w:rPr>
          <w:rFonts w:ascii="Times New Roman" w:hAnsi="Times New Roman" w:cs="Times New Roman"/>
          <w:sz w:val="28"/>
          <w:szCs w:val="28"/>
          <w:lang w:val="uk-UA"/>
        </w:rPr>
        <w:t>. Київ</w:t>
      </w:r>
      <w:r w:rsidR="002746C2" w:rsidRPr="006A0E60">
        <w:rPr>
          <w:rFonts w:ascii="Times New Roman" w:hAnsi="Times New Roman" w:cs="Times New Roman"/>
          <w:sz w:val="28"/>
          <w:szCs w:val="28"/>
          <w:lang w:val="uk-UA"/>
        </w:rPr>
        <w:t>: 2017.</w:t>
      </w:r>
      <w:r w:rsidR="002746C2">
        <w:rPr>
          <w:rFonts w:ascii="Times New Roman" w:hAnsi="Times New Roman" w:cs="Times New Roman"/>
          <w:sz w:val="28"/>
          <w:szCs w:val="28"/>
          <w:lang w:val="uk-UA"/>
        </w:rPr>
        <w:t xml:space="preserve"> 65 с. Доступно на: </w:t>
      </w:r>
      <w:r w:rsidR="002746C2" w:rsidRPr="00DE5F87">
        <w:rPr>
          <w:rFonts w:ascii="Times New Roman" w:hAnsi="Times New Roman" w:cs="Times New Roman"/>
          <w:sz w:val="28"/>
          <w:szCs w:val="28"/>
          <w:lang w:val="uk-UA"/>
        </w:rPr>
        <w:t>http://strazhesko.org.ua/upload/rekomendaciyi-hsn-a6-ost.pdf</w:t>
      </w:r>
    </w:p>
    <w:p w:rsidR="005218F2" w:rsidRDefault="00A41939" w:rsidP="00F953A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uk-UA"/>
        </w:rPr>
        <w:t>5</w:t>
      </w:r>
      <w:r w:rsidR="005218F2" w:rsidRPr="005218F2">
        <w:rPr>
          <w:rFonts w:ascii="Times New Roman" w:hAnsi="Times New Roman" w:cs="Times New Roman"/>
          <w:sz w:val="28"/>
          <w:szCs w:val="28"/>
          <w:lang w:val="en-US"/>
        </w:rPr>
        <w:t>. Criteria Committee, New York Heart Association , Inc. Diseases of the Heart and Blood Vessels. Nomenclature and Criteria for diagnosis, 6th edition Boston, Little, Brown and Co. 1964;114 р.</w:t>
      </w:r>
    </w:p>
    <w:p w:rsidR="006A0E60" w:rsidRDefault="002746C2" w:rsidP="001131E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sidR="00A41939">
        <w:rPr>
          <w:rFonts w:ascii="Times New Roman" w:hAnsi="Times New Roman" w:cs="Times New Roman"/>
          <w:sz w:val="28"/>
          <w:szCs w:val="28"/>
          <w:lang w:val="uk-UA"/>
        </w:rPr>
        <w:t>6</w:t>
      </w:r>
      <w:r w:rsidR="00DE5F87">
        <w:rPr>
          <w:rFonts w:ascii="Times New Roman" w:hAnsi="Times New Roman" w:cs="Times New Roman"/>
          <w:sz w:val="28"/>
          <w:szCs w:val="28"/>
          <w:lang w:val="en-US"/>
        </w:rPr>
        <w:t>.</w:t>
      </w:r>
      <w:r w:rsidR="00DE5F87">
        <w:rPr>
          <w:rFonts w:ascii="Times New Roman" w:hAnsi="Times New Roman" w:cs="Times New Roman"/>
          <w:sz w:val="28"/>
          <w:szCs w:val="28"/>
          <w:lang w:val="uk-UA"/>
        </w:rPr>
        <w:t xml:space="preserve"> </w:t>
      </w:r>
      <w:r w:rsidR="00DE5F87" w:rsidRPr="00DE5F87">
        <w:rPr>
          <w:rFonts w:ascii="Times New Roman" w:hAnsi="Times New Roman" w:cs="Times New Roman"/>
          <w:sz w:val="28"/>
          <w:szCs w:val="28"/>
          <w:lang w:val="en-US"/>
        </w:rPr>
        <w:t>World Health Organization 2000. Obesity: preventing a</w:t>
      </w:r>
      <w:r w:rsidR="001131EE">
        <w:rPr>
          <w:rFonts w:ascii="Times New Roman" w:hAnsi="Times New Roman" w:cs="Times New Roman"/>
          <w:sz w:val="28"/>
          <w:szCs w:val="28"/>
          <w:lang w:val="en-US"/>
        </w:rPr>
        <w:t>nd managing the global epidemic</w:t>
      </w:r>
      <w:r w:rsidR="00DE5F87" w:rsidRPr="00DE5F87">
        <w:rPr>
          <w:rFonts w:ascii="Times New Roman" w:hAnsi="Times New Roman" w:cs="Times New Roman"/>
          <w:sz w:val="28"/>
          <w:szCs w:val="28"/>
          <w:lang w:val="en-US"/>
        </w:rPr>
        <w:t xml:space="preserve"> </w:t>
      </w:r>
      <w:r w:rsidR="001131EE" w:rsidRPr="001131EE">
        <w:rPr>
          <w:rFonts w:ascii="Times New Roman" w:hAnsi="Times New Roman" w:cs="Times New Roman"/>
          <w:sz w:val="28"/>
          <w:szCs w:val="28"/>
          <w:lang w:val="en-US"/>
        </w:rPr>
        <w:t>[Internet].</w:t>
      </w:r>
      <w:r w:rsidR="001131EE">
        <w:rPr>
          <w:rFonts w:ascii="Times New Roman" w:hAnsi="Times New Roman" w:cs="Times New Roman"/>
          <w:sz w:val="28"/>
          <w:szCs w:val="28"/>
          <w:lang w:val="en-US"/>
        </w:rPr>
        <w:t xml:space="preserve"> </w:t>
      </w:r>
      <w:r w:rsidR="00DE5F87" w:rsidRPr="001131EE">
        <w:rPr>
          <w:rFonts w:ascii="Times New Roman" w:hAnsi="Times New Roman" w:cs="Times New Roman"/>
          <w:sz w:val="28"/>
          <w:szCs w:val="28"/>
          <w:lang w:val="en-US"/>
        </w:rPr>
        <w:t>Geneva: 2000. 268 p</w:t>
      </w:r>
      <w:r w:rsidR="001131EE" w:rsidRPr="001131EE">
        <w:rPr>
          <w:rFonts w:ascii="Times New Roman" w:hAnsi="Times New Roman" w:cs="Times New Roman"/>
          <w:sz w:val="28"/>
          <w:szCs w:val="28"/>
          <w:lang w:val="en-US"/>
        </w:rPr>
        <w:t>. Report of a</w:t>
      </w:r>
      <w:r w:rsidR="001131EE">
        <w:rPr>
          <w:rFonts w:ascii="Times New Roman" w:hAnsi="Times New Roman" w:cs="Times New Roman"/>
          <w:sz w:val="28"/>
          <w:szCs w:val="28"/>
          <w:lang w:val="en-US"/>
        </w:rPr>
        <w:t xml:space="preserve"> </w:t>
      </w:r>
      <w:r w:rsidR="001131EE" w:rsidRPr="001131EE">
        <w:rPr>
          <w:rFonts w:ascii="Times New Roman" w:hAnsi="Times New Roman" w:cs="Times New Roman"/>
          <w:sz w:val="28"/>
          <w:szCs w:val="28"/>
          <w:lang w:val="en-US"/>
        </w:rPr>
        <w:t>WHO Consultation</w:t>
      </w:r>
      <w:r w:rsidR="001131EE">
        <w:rPr>
          <w:rFonts w:ascii="Times New Roman" w:hAnsi="Times New Roman" w:cs="Times New Roman"/>
          <w:sz w:val="28"/>
          <w:szCs w:val="28"/>
          <w:lang w:val="en-US"/>
        </w:rPr>
        <w:t xml:space="preserve">. </w:t>
      </w:r>
      <w:r w:rsidR="001131EE" w:rsidRPr="001131EE">
        <w:rPr>
          <w:rFonts w:ascii="Times New Roman" w:hAnsi="Times New Roman" w:cs="Times New Roman"/>
          <w:sz w:val="28"/>
          <w:szCs w:val="28"/>
          <w:lang w:val="en-US"/>
        </w:rPr>
        <w:t>Available from:</w:t>
      </w:r>
      <w:r w:rsidR="001131EE">
        <w:rPr>
          <w:rFonts w:ascii="Times New Roman" w:hAnsi="Times New Roman" w:cs="Times New Roman"/>
          <w:sz w:val="28"/>
          <w:szCs w:val="28"/>
          <w:lang w:val="en-US"/>
        </w:rPr>
        <w:t xml:space="preserve"> </w:t>
      </w:r>
      <w:r w:rsidR="001131EE" w:rsidRPr="001131EE">
        <w:rPr>
          <w:rFonts w:ascii="Times New Roman" w:hAnsi="Times New Roman" w:cs="Times New Roman"/>
          <w:sz w:val="28"/>
          <w:szCs w:val="28"/>
          <w:lang w:val="en-US"/>
        </w:rPr>
        <w:t>WHO_TRS_894.pdf</w:t>
      </w:r>
    </w:p>
    <w:p w:rsidR="005D325C" w:rsidRDefault="002746C2" w:rsidP="001131E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12</w:t>
      </w:r>
      <w:r w:rsidR="00A41939">
        <w:rPr>
          <w:rFonts w:ascii="Times New Roman" w:hAnsi="Times New Roman" w:cs="Times New Roman"/>
          <w:sz w:val="28"/>
          <w:szCs w:val="28"/>
          <w:lang w:val="uk-UA"/>
        </w:rPr>
        <w:t>7</w:t>
      </w:r>
      <w:r w:rsidR="005D325C">
        <w:rPr>
          <w:rFonts w:ascii="Times New Roman" w:hAnsi="Times New Roman" w:cs="Times New Roman"/>
          <w:sz w:val="28"/>
          <w:szCs w:val="28"/>
          <w:lang w:val="uk-UA"/>
        </w:rPr>
        <w:t>. Mosteller R</w:t>
      </w:r>
      <w:r w:rsidR="005D325C" w:rsidRPr="005D325C">
        <w:rPr>
          <w:rFonts w:ascii="Times New Roman" w:hAnsi="Times New Roman" w:cs="Times New Roman"/>
          <w:sz w:val="28"/>
          <w:szCs w:val="28"/>
          <w:lang w:val="uk-UA"/>
        </w:rPr>
        <w:t>D. Simplified ca</w:t>
      </w:r>
      <w:r w:rsidR="005D325C">
        <w:rPr>
          <w:rFonts w:ascii="Times New Roman" w:hAnsi="Times New Roman" w:cs="Times New Roman"/>
          <w:sz w:val="28"/>
          <w:szCs w:val="28"/>
          <w:lang w:val="uk-UA"/>
        </w:rPr>
        <w:t xml:space="preserve">lculation of body-surface area. </w:t>
      </w:r>
      <w:r w:rsidR="005D325C" w:rsidRPr="005D325C">
        <w:rPr>
          <w:rFonts w:ascii="Times New Roman" w:hAnsi="Times New Roman" w:cs="Times New Roman"/>
          <w:sz w:val="28"/>
          <w:szCs w:val="28"/>
          <w:lang w:val="uk-UA"/>
        </w:rPr>
        <w:t>N Engl J Med</w:t>
      </w:r>
      <w:r w:rsidR="005D325C">
        <w:rPr>
          <w:rFonts w:ascii="Times New Roman" w:hAnsi="Times New Roman" w:cs="Times New Roman"/>
          <w:sz w:val="28"/>
          <w:szCs w:val="28"/>
          <w:lang w:val="uk-UA"/>
        </w:rPr>
        <w:t xml:space="preserve"> [Internet]</w:t>
      </w:r>
      <w:r w:rsidR="005D325C" w:rsidRPr="005D325C">
        <w:rPr>
          <w:rFonts w:ascii="Times New Roman" w:hAnsi="Times New Roman" w:cs="Times New Roman"/>
          <w:sz w:val="28"/>
          <w:szCs w:val="28"/>
          <w:lang w:val="uk-UA"/>
        </w:rPr>
        <w:t>. 1987 Oct 22;317(17):1098.</w:t>
      </w:r>
      <w:r w:rsidR="005D325C">
        <w:rPr>
          <w:rFonts w:ascii="Times New Roman" w:hAnsi="Times New Roman" w:cs="Times New Roman"/>
          <w:sz w:val="28"/>
          <w:szCs w:val="28"/>
          <w:lang w:val="uk-UA"/>
        </w:rPr>
        <w:t xml:space="preserve"> </w:t>
      </w:r>
      <w:r w:rsidR="005D325C" w:rsidRPr="005D325C">
        <w:rPr>
          <w:rFonts w:ascii="Times New Roman" w:hAnsi="Times New Roman" w:cs="Times New Roman"/>
          <w:sz w:val="28"/>
          <w:szCs w:val="28"/>
          <w:lang w:val="uk-UA"/>
        </w:rPr>
        <w:t>Available from:</w:t>
      </w:r>
      <w:r w:rsidR="005D325C">
        <w:rPr>
          <w:rFonts w:ascii="Times New Roman" w:hAnsi="Times New Roman" w:cs="Times New Roman"/>
          <w:sz w:val="28"/>
          <w:szCs w:val="28"/>
          <w:lang w:val="uk-UA"/>
        </w:rPr>
        <w:t xml:space="preserve"> </w:t>
      </w:r>
    </w:p>
    <w:p w:rsidR="001131EE" w:rsidRDefault="005D325C" w:rsidP="001131EE">
      <w:pPr>
        <w:tabs>
          <w:tab w:val="left" w:pos="2880"/>
        </w:tabs>
        <w:spacing w:after="0" w:line="360" w:lineRule="auto"/>
        <w:jc w:val="both"/>
        <w:rPr>
          <w:rFonts w:ascii="Times New Roman" w:hAnsi="Times New Roman" w:cs="Times New Roman"/>
          <w:sz w:val="28"/>
          <w:szCs w:val="28"/>
          <w:lang w:val="uk-UA"/>
        </w:rPr>
      </w:pPr>
      <w:r w:rsidRPr="005D325C">
        <w:rPr>
          <w:rFonts w:ascii="Times New Roman" w:hAnsi="Times New Roman" w:cs="Times New Roman"/>
          <w:sz w:val="28"/>
          <w:szCs w:val="28"/>
          <w:lang w:val="uk-UA"/>
        </w:rPr>
        <w:t>https://www.nejm.org/doi/full/10.1056/NEJM198710223171717</w:t>
      </w:r>
    </w:p>
    <w:p w:rsidR="005D325C" w:rsidRPr="005D325C" w:rsidRDefault="005D325C" w:rsidP="001131E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5D325C">
        <w:rPr>
          <w:rFonts w:ascii="Times New Roman" w:hAnsi="Times New Roman" w:cs="Times New Roman"/>
          <w:sz w:val="28"/>
          <w:szCs w:val="28"/>
          <w:lang w:val="en-US"/>
        </w:rPr>
        <w:t>10.1056/NEJM198710223171717</w:t>
      </w:r>
    </w:p>
    <w:p w:rsidR="004C3CB4" w:rsidRDefault="002746C2"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12</w:t>
      </w:r>
      <w:r w:rsidR="00A41939">
        <w:rPr>
          <w:rFonts w:ascii="Times New Roman" w:hAnsi="Times New Roman" w:cs="Times New Roman"/>
          <w:sz w:val="28"/>
          <w:szCs w:val="28"/>
          <w:lang w:val="uk-UA"/>
        </w:rPr>
        <w:t>8</w:t>
      </w:r>
      <w:r w:rsidR="00FA2BBB">
        <w:rPr>
          <w:rFonts w:ascii="Times New Roman" w:hAnsi="Times New Roman" w:cs="Times New Roman"/>
          <w:sz w:val="28"/>
          <w:szCs w:val="28"/>
        </w:rPr>
        <w:t>.</w:t>
      </w:r>
      <w:r w:rsidR="00FA2BBB" w:rsidRPr="00FA2BBB">
        <w:rPr>
          <w:rFonts w:ascii="Times New Roman" w:hAnsi="Times New Roman" w:cs="Times New Roman"/>
          <w:sz w:val="28"/>
          <w:szCs w:val="28"/>
        </w:rPr>
        <w:t xml:space="preserve"> </w:t>
      </w:r>
      <w:r w:rsidR="00FA2BBB">
        <w:rPr>
          <w:rFonts w:ascii="Times New Roman" w:hAnsi="Times New Roman" w:cs="Times New Roman"/>
          <w:sz w:val="28"/>
          <w:szCs w:val="28"/>
        </w:rPr>
        <w:t>Иванов А</w:t>
      </w:r>
      <w:r w:rsidR="00FA2BBB" w:rsidRPr="00FA2BBB">
        <w:rPr>
          <w:rFonts w:ascii="Times New Roman" w:hAnsi="Times New Roman" w:cs="Times New Roman"/>
          <w:sz w:val="28"/>
          <w:szCs w:val="28"/>
        </w:rPr>
        <w:t>С. Клиническая биохимия, методы диагностики и стан</w:t>
      </w:r>
      <w:r w:rsidR="00FA2BBB">
        <w:rPr>
          <w:rFonts w:ascii="Times New Roman" w:hAnsi="Times New Roman" w:cs="Times New Roman"/>
          <w:sz w:val="28"/>
          <w:szCs w:val="28"/>
        </w:rPr>
        <w:t xml:space="preserve">дартизции. Биомедицинская химия </w:t>
      </w:r>
      <w:r w:rsidR="00FA2BBB" w:rsidRPr="00FA2BBB">
        <w:rPr>
          <w:rFonts w:ascii="Times New Roman" w:hAnsi="Times New Roman" w:cs="Times New Roman"/>
          <w:sz w:val="28"/>
          <w:szCs w:val="28"/>
        </w:rPr>
        <w:t>[</w:t>
      </w:r>
      <w:r w:rsidR="00FA2BBB">
        <w:rPr>
          <w:rFonts w:ascii="Times New Roman" w:hAnsi="Times New Roman" w:cs="Times New Roman"/>
          <w:sz w:val="28"/>
          <w:szCs w:val="28"/>
        </w:rPr>
        <w:t>И</w:t>
      </w:r>
      <w:r w:rsidR="00FA2BBB" w:rsidRPr="00FA2BBB">
        <w:rPr>
          <w:rFonts w:ascii="Times New Roman" w:hAnsi="Times New Roman" w:cs="Times New Roman"/>
          <w:sz w:val="28"/>
          <w:szCs w:val="28"/>
        </w:rPr>
        <w:t>нтернет]</w:t>
      </w:r>
      <w:r w:rsidR="00FA2BBB">
        <w:rPr>
          <w:rFonts w:ascii="Times New Roman" w:hAnsi="Times New Roman" w:cs="Times New Roman"/>
          <w:sz w:val="28"/>
          <w:szCs w:val="28"/>
        </w:rPr>
        <w:t xml:space="preserve">. Москва: </w:t>
      </w:r>
      <w:r w:rsidR="00FA2BBB" w:rsidRPr="00FA2BBB">
        <w:rPr>
          <w:rFonts w:ascii="Times New Roman" w:hAnsi="Times New Roman" w:cs="Times New Roman"/>
          <w:sz w:val="28"/>
          <w:szCs w:val="28"/>
        </w:rPr>
        <w:t>ГУ НИИ биомедицинской химии им. В.Н.</w:t>
      </w:r>
      <w:r w:rsidR="003B128E" w:rsidRPr="00FF2442">
        <w:rPr>
          <w:rFonts w:ascii="Times New Roman" w:hAnsi="Times New Roman" w:cs="Times New Roman"/>
          <w:sz w:val="28"/>
          <w:szCs w:val="28"/>
        </w:rPr>
        <w:t xml:space="preserve"> </w:t>
      </w:r>
      <w:r w:rsidR="00FA2BBB" w:rsidRPr="00FA2BBB">
        <w:rPr>
          <w:rFonts w:ascii="Times New Roman" w:hAnsi="Times New Roman" w:cs="Times New Roman"/>
          <w:sz w:val="28"/>
          <w:szCs w:val="28"/>
        </w:rPr>
        <w:t>Ореховича РАМН;</w:t>
      </w:r>
      <w:r w:rsidR="00FA2BBB">
        <w:rPr>
          <w:rFonts w:ascii="Times New Roman" w:hAnsi="Times New Roman" w:cs="Times New Roman"/>
          <w:sz w:val="28"/>
          <w:szCs w:val="28"/>
        </w:rPr>
        <w:t xml:space="preserve"> 2003</w:t>
      </w:r>
      <w:r w:rsidR="00FA2BBB" w:rsidRPr="00FA2BBB">
        <w:rPr>
          <w:rFonts w:ascii="Times New Roman" w:hAnsi="Times New Roman" w:cs="Times New Roman"/>
          <w:sz w:val="28"/>
          <w:szCs w:val="28"/>
        </w:rPr>
        <w:t>;2(49):</w:t>
      </w:r>
      <w:r w:rsidR="00FA2BBB">
        <w:rPr>
          <w:rFonts w:ascii="Times New Roman" w:hAnsi="Times New Roman" w:cs="Times New Roman"/>
          <w:sz w:val="28"/>
          <w:szCs w:val="28"/>
        </w:rPr>
        <w:t>153</w:t>
      </w:r>
      <w:r w:rsidR="00FA2BBB" w:rsidRPr="00FA2BBB">
        <w:rPr>
          <w:rFonts w:ascii="Times New Roman" w:hAnsi="Times New Roman" w:cs="Times New Roman"/>
          <w:sz w:val="28"/>
          <w:szCs w:val="28"/>
        </w:rPr>
        <w:t>-64. Доступно</w:t>
      </w:r>
      <w:r w:rsidR="00FA2BBB" w:rsidRPr="006F556B">
        <w:rPr>
          <w:rFonts w:ascii="Times New Roman" w:hAnsi="Times New Roman" w:cs="Times New Roman"/>
          <w:sz w:val="28"/>
          <w:szCs w:val="28"/>
          <w:lang w:val="en-US"/>
        </w:rPr>
        <w:t xml:space="preserve"> </w:t>
      </w:r>
      <w:r w:rsidR="00FA2BBB" w:rsidRPr="00FA2BBB">
        <w:rPr>
          <w:rFonts w:ascii="Times New Roman" w:hAnsi="Times New Roman" w:cs="Times New Roman"/>
          <w:sz w:val="28"/>
          <w:szCs w:val="28"/>
        </w:rPr>
        <w:t>на</w:t>
      </w:r>
      <w:r w:rsidR="00FA2BBB" w:rsidRPr="006F556B">
        <w:rPr>
          <w:rFonts w:ascii="Times New Roman" w:hAnsi="Times New Roman" w:cs="Times New Roman"/>
          <w:sz w:val="28"/>
          <w:szCs w:val="28"/>
          <w:lang w:val="en-US"/>
        </w:rPr>
        <w:t xml:space="preserve">: </w:t>
      </w:r>
      <w:r w:rsidR="00FA2BBB" w:rsidRPr="00FA2BBB">
        <w:rPr>
          <w:rFonts w:ascii="Times New Roman" w:hAnsi="Times New Roman" w:cs="Times New Roman"/>
          <w:sz w:val="28"/>
          <w:szCs w:val="28"/>
          <w:lang w:val="en-US"/>
        </w:rPr>
        <w:t>pbmc</w:t>
      </w:r>
      <w:r w:rsidR="00FA2BBB" w:rsidRPr="006F556B">
        <w:rPr>
          <w:rFonts w:ascii="Times New Roman" w:hAnsi="Times New Roman" w:cs="Times New Roman"/>
          <w:sz w:val="28"/>
          <w:szCs w:val="28"/>
          <w:lang w:val="en-US"/>
        </w:rPr>
        <w:t>.</w:t>
      </w:r>
      <w:r w:rsidR="00FA2BBB" w:rsidRPr="00FA2BBB">
        <w:rPr>
          <w:rFonts w:ascii="Times New Roman" w:hAnsi="Times New Roman" w:cs="Times New Roman"/>
          <w:sz w:val="28"/>
          <w:szCs w:val="28"/>
          <w:lang w:val="en-US"/>
        </w:rPr>
        <w:t>ibmc</w:t>
      </w:r>
      <w:r w:rsidR="00FA2BBB" w:rsidRPr="006F556B">
        <w:rPr>
          <w:rFonts w:ascii="Times New Roman" w:hAnsi="Times New Roman" w:cs="Times New Roman"/>
          <w:sz w:val="28"/>
          <w:szCs w:val="28"/>
          <w:lang w:val="en-US"/>
        </w:rPr>
        <w:t>.</w:t>
      </w:r>
      <w:r w:rsidR="00FA2BBB" w:rsidRPr="00FA2BBB">
        <w:rPr>
          <w:rFonts w:ascii="Times New Roman" w:hAnsi="Times New Roman" w:cs="Times New Roman"/>
          <w:sz w:val="28"/>
          <w:szCs w:val="28"/>
          <w:lang w:val="en-US"/>
        </w:rPr>
        <w:t>msk</w:t>
      </w:r>
      <w:r w:rsidR="00FA2BBB" w:rsidRPr="006F556B">
        <w:rPr>
          <w:rFonts w:ascii="Times New Roman" w:hAnsi="Times New Roman" w:cs="Times New Roman"/>
          <w:sz w:val="28"/>
          <w:szCs w:val="28"/>
          <w:lang w:val="en-US"/>
        </w:rPr>
        <w:t>.</w:t>
      </w:r>
      <w:r w:rsidR="00FA2BBB" w:rsidRPr="00FA2BBB">
        <w:rPr>
          <w:rFonts w:ascii="Times New Roman" w:hAnsi="Times New Roman" w:cs="Times New Roman"/>
          <w:sz w:val="28"/>
          <w:szCs w:val="28"/>
          <w:lang w:val="en-US"/>
        </w:rPr>
        <w:t>ru</w:t>
      </w:r>
      <w:r w:rsidR="00FA2BBB" w:rsidRPr="006F556B">
        <w:rPr>
          <w:rFonts w:ascii="Times New Roman" w:hAnsi="Times New Roman" w:cs="Times New Roman"/>
          <w:sz w:val="28"/>
          <w:szCs w:val="28"/>
          <w:lang w:val="en-US"/>
        </w:rPr>
        <w:t>/</w:t>
      </w:r>
      <w:r w:rsidR="00FA2BBB" w:rsidRPr="00FA2BBB">
        <w:rPr>
          <w:rFonts w:ascii="Times New Roman" w:hAnsi="Times New Roman" w:cs="Times New Roman"/>
          <w:sz w:val="28"/>
          <w:szCs w:val="28"/>
          <w:lang w:val="en-US"/>
        </w:rPr>
        <w:t>pdf</w:t>
      </w:r>
      <w:r w:rsidR="00FA2BBB" w:rsidRPr="006F556B">
        <w:rPr>
          <w:rFonts w:ascii="Times New Roman" w:hAnsi="Times New Roman" w:cs="Times New Roman"/>
          <w:sz w:val="28"/>
          <w:szCs w:val="28"/>
          <w:lang w:val="en-US"/>
        </w:rPr>
        <w:t>/</w:t>
      </w:r>
      <w:r w:rsidR="00FA2BBB" w:rsidRPr="00FA2BBB">
        <w:rPr>
          <w:rFonts w:ascii="Times New Roman" w:hAnsi="Times New Roman" w:cs="Times New Roman"/>
          <w:sz w:val="28"/>
          <w:szCs w:val="28"/>
          <w:lang w:val="en-US"/>
        </w:rPr>
        <w:t>PBMC</w:t>
      </w:r>
      <w:r w:rsidR="00FA2BBB" w:rsidRPr="006F556B">
        <w:rPr>
          <w:rFonts w:ascii="Times New Roman" w:hAnsi="Times New Roman" w:cs="Times New Roman"/>
          <w:sz w:val="28"/>
          <w:szCs w:val="28"/>
          <w:lang w:val="en-US"/>
        </w:rPr>
        <w:t>-2003-49-2-153-</w:t>
      </w:r>
      <w:r w:rsidR="00FA2BBB" w:rsidRPr="00FA2BBB">
        <w:rPr>
          <w:rFonts w:ascii="Times New Roman" w:hAnsi="Times New Roman" w:cs="Times New Roman"/>
          <w:sz w:val="28"/>
          <w:szCs w:val="28"/>
          <w:lang w:val="en-US"/>
        </w:rPr>
        <w:t>ru</w:t>
      </w:r>
    </w:p>
    <w:p w:rsidR="00FA2BBB" w:rsidRDefault="00A41939"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uk-UA"/>
        </w:rPr>
        <w:t>9</w:t>
      </w:r>
      <w:r w:rsidR="00FA2BBB">
        <w:rPr>
          <w:rFonts w:ascii="Times New Roman" w:hAnsi="Times New Roman" w:cs="Times New Roman"/>
          <w:sz w:val="28"/>
          <w:szCs w:val="28"/>
          <w:lang w:val="en-US"/>
        </w:rPr>
        <w:t xml:space="preserve">. </w:t>
      </w:r>
      <w:r w:rsidR="003B128E" w:rsidRPr="003B128E">
        <w:rPr>
          <w:rFonts w:ascii="Times New Roman" w:hAnsi="Times New Roman" w:cs="Times New Roman"/>
          <w:sz w:val="28"/>
          <w:szCs w:val="28"/>
          <w:lang w:val="en-US"/>
        </w:rPr>
        <w:t>Bucolo G, David H. Quantitative determination of serum triglycerides by the use of enzymes.</w:t>
      </w:r>
      <w:r w:rsidR="003B128E">
        <w:rPr>
          <w:rFonts w:ascii="Times New Roman" w:hAnsi="Times New Roman" w:cs="Times New Roman"/>
          <w:sz w:val="28"/>
          <w:szCs w:val="28"/>
          <w:lang w:val="en-US"/>
        </w:rPr>
        <w:t xml:space="preserve"> </w:t>
      </w:r>
      <w:r w:rsidR="003B128E" w:rsidRPr="003B128E">
        <w:rPr>
          <w:rFonts w:ascii="Times New Roman" w:hAnsi="Times New Roman" w:cs="Times New Roman"/>
          <w:sz w:val="28"/>
          <w:szCs w:val="28"/>
          <w:lang w:val="en-US"/>
        </w:rPr>
        <w:t>Clin Chem</w:t>
      </w:r>
      <w:r w:rsidR="003B128E">
        <w:rPr>
          <w:rFonts w:ascii="Times New Roman" w:hAnsi="Times New Roman" w:cs="Times New Roman"/>
          <w:sz w:val="28"/>
          <w:szCs w:val="28"/>
          <w:lang w:val="en-US"/>
        </w:rPr>
        <w:t xml:space="preserve"> [Internet]</w:t>
      </w:r>
      <w:r w:rsidR="003B128E" w:rsidRPr="003B128E">
        <w:rPr>
          <w:rFonts w:ascii="Times New Roman" w:hAnsi="Times New Roman" w:cs="Times New Roman"/>
          <w:sz w:val="28"/>
          <w:szCs w:val="28"/>
          <w:lang w:val="en-US"/>
        </w:rPr>
        <w:t>. 1973 May;19(5):476-82. Available from:</w:t>
      </w:r>
      <w:r w:rsidR="003B128E">
        <w:rPr>
          <w:rFonts w:ascii="Times New Roman" w:hAnsi="Times New Roman" w:cs="Times New Roman"/>
          <w:sz w:val="28"/>
          <w:szCs w:val="28"/>
          <w:lang w:val="en-US"/>
        </w:rPr>
        <w:t xml:space="preserve"> </w:t>
      </w:r>
      <w:hyperlink r:id="rId95" w:history="1">
        <w:r w:rsidR="003B128E" w:rsidRPr="003B128E">
          <w:rPr>
            <w:rStyle w:val="a9"/>
            <w:rFonts w:ascii="Times New Roman" w:hAnsi="Times New Roman" w:cs="Times New Roman"/>
            <w:color w:val="auto"/>
            <w:sz w:val="28"/>
            <w:szCs w:val="28"/>
            <w:u w:val="none"/>
            <w:lang w:val="en-US"/>
          </w:rPr>
          <w:t>http://clinchem.aaccjnls.org/content/clinchem/19/5/476.full.pdf</w:t>
        </w:r>
      </w:hyperlink>
    </w:p>
    <w:p w:rsidR="003B128E" w:rsidRDefault="00A41939"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uk-UA"/>
        </w:rPr>
        <w:t>30</w:t>
      </w:r>
      <w:r w:rsidR="003B128E" w:rsidRPr="003B128E">
        <w:rPr>
          <w:rFonts w:ascii="Times New Roman" w:hAnsi="Times New Roman" w:cs="Times New Roman"/>
          <w:sz w:val="28"/>
          <w:szCs w:val="28"/>
          <w:lang w:val="en-US"/>
        </w:rPr>
        <w:t xml:space="preserve">. Friedewald WT, Levy RI, Fredrickson DS. Estimation of the Concentration of Low-Density Lipoprotein Cholesterol in Plasma, Without Use of the Preparative Ultracentrifuge. </w:t>
      </w:r>
      <w:r w:rsidR="004D76CD">
        <w:rPr>
          <w:rFonts w:ascii="Times New Roman" w:hAnsi="Times New Roman" w:cs="Times New Roman"/>
          <w:sz w:val="28"/>
          <w:szCs w:val="28"/>
          <w:lang w:val="en-US"/>
        </w:rPr>
        <w:t>Clin Chem</w:t>
      </w:r>
      <w:r w:rsidR="003B128E">
        <w:rPr>
          <w:rFonts w:ascii="Times New Roman" w:hAnsi="Times New Roman" w:cs="Times New Roman"/>
          <w:sz w:val="28"/>
          <w:szCs w:val="28"/>
          <w:lang w:val="en-US"/>
        </w:rPr>
        <w:t xml:space="preserve"> </w:t>
      </w:r>
      <w:r w:rsidR="00EF0FB5">
        <w:rPr>
          <w:rFonts w:ascii="Times New Roman" w:hAnsi="Times New Roman" w:cs="Times New Roman"/>
          <w:sz w:val="28"/>
          <w:szCs w:val="28"/>
          <w:lang w:val="en-US"/>
        </w:rPr>
        <w:t>[Internet]</w:t>
      </w:r>
      <w:r w:rsidR="00EF0FB5" w:rsidRPr="00EF0FB5">
        <w:rPr>
          <w:rFonts w:ascii="Times New Roman" w:hAnsi="Times New Roman" w:cs="Times New Roman"/>
          <w:sz w:val="28"/>
          <w:szCs w:val="28"/>
          <w:lang w:val="en-US"/>
        </w:rPr>
        <w:t xml:space="preserve">. </w:t>
      </w:r>
      <w:r w:rsidR="004D76CD" w:rsidRPr="004D76CD">
        <w:rPr>
          <w:rFonts w:ascii="Times New Roman" w:hAnsi="Times New Roman" w:cs="Times New Roman"/>
          <w:sz w:val="28"/>
          <w:szCs w:val="28"/>
          <w:lang w:val="en-US"/>
        </w:rPr>
        <w:t>1972 Jun;18(6):499-502.</w:t>
      </w:r>
      <w:r w:rsidR="00EF0FB5" w:rsidRPr="00EF0FB5">
        <w:rPr>
          <w:rFonts w:ascii="Times New Roman" w:hAnsi="Times New Roman" w:cs="Times New Roman"/>
          <w:sz w:val="28"/>
          <w:szCs w:val="28"/>
          <w:lang w:val="en-US"/>
        </w:rPr>
        <w:t xml:space="preserve"> Available from:</w:t>
      </w:r>
      <w:r w:rsidR="00EF0FB5">
        <w:rPr>
          <w:rFonts w:ascii="Times New Roman" w:hAnsi="Times New Roman" w:cs="Times New Roman"/>
          <w:sz w:val="28"/>
          <w:szCs w:val="28"/>
          <w:lang w:val="en-US"/>
        </w:rPr>
        <w:t xml:space="preserve"> </w:t>
      </w:r>
      <w:hyperlink r:id="rId96" w:history="1">
        <w:r w:rsidR="00EF0FB5" w:rsidRPr="00EF0FB5">
          <w:rPr>
            <w:rStyle w:val="a9"/>
            <w:rFonts w:ascii="Times New Roman" w:hAnsi="Times New Roman" w:cs="Times New Roman"/>
            <w:color w:val="auto"/>
            <w:sz w:val="28"/>
            <w:szCs w:val="28"/>
            <w:u w:val="none"/>
            <w:lang w:val="en-US"/>
          </w:rPr>
          <w:t>http://clinchem.aaccjnls.org/content/clinchem/18/6/499.full.pdf</w:t>
        </w:r>
      </w:hyperlink>
    </w:p>
    <w:p w:rsidR="001B0660" w:rsidRDefault="002746C2"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A41939">
        <w:rPr>
          <w:rFonts w:ascii="Times New Roman" w:hAnsi="Times New Roman" w:cs="Times New Roman"/>
          <w:sz w:val="28"/>
          <w:szCs w:val="28"/>
        </w:rPr>
        <w:t>3</w:t>
      </w:r>
      <w:r w:rsidR="00A41939">
        <w:rPr>
          <w:rFonts w:ascii="Times New Roman" w:hAnsi="Times New Roman" w:cs="Times New Roman"/>
          <w:sz w:val="28"/>
          <w:szCs w:val="28"/>
          <w:lang w:val="uk-UA"/>
        </w:rPr>
        <w:t>1</w:t>
      </w:r>
      <w:r w:rsidR="00EF0FB5" w:rsidRPr="00FF2442">
        <w:rPr>
          <w:rFonts w:ascii="Times New Roman" w:hAnsi="Times New Roman" w:cs="Times New Roman"/>
          <w:sz w:val="28"/>
          <w:szCs w:val="28"/>
        </w:rPr>
        <w:t xml:space="preserve">. </w:t>
      </w:r>
      <w:r w:rsidR="001B0660">
        <w:rPr>
          <w:rFonts w:ascii="Times New Roman" w:hAnsi="Times New Roman" w:cs="Times New Roman"/>
          <w:sz w:val="28"/>
          <w:szCs w:val="28"/>
        </w:rPr>
        <w:t>Климов</w:t>
      </w:r>
      <w:r w:rsidR="001B0660" w:rsidRPr="00FF2442">
        <w:rPr>
          <w:rFonts w:ascii="Times New Roman" w:hAnsi="Times New Roman" w:cs="Times New Roman"/>
          <w:sz w:val="28"/>
          <w:szCs w:val="28"/>
        </w:rPr>
        <w:t xml:space="preserve"> </w:t>
      </w:r>
      <w:r w:rsidR="001B0660">
        <w:rPr>
          <w:rFonts w:ascii="Times New Roman" w:hAnsi="Times New Roman" w:cs="Times New Roman"/>
          <w:sz w:val="28"/>
          <w:szCs w:val="28"/>
        </w:rPr>
        <w:t>АН</w:t>
      </w:r>
      <w:r w:rsidR="001B0660" w:rsidRPr="00FF2442">
        <w:rPr>
          <w:rFonts w:ascii="Times New Roman" w:hAnsi="Times New Roman" w:cs="Times New Roman"/>
          <w:sz w:val="28"/>
          <w:szCs w:val="28"/>
        </w:rPr>
        <w:t xml:space="preserve">, </w:t>
      </w:r>
      <w:r w:rsidR="001B0660">
        <w:rPr>
          <w:rFonts w:ascii="Times New Roman" w:hAnsi="Times New Roman" w:cs="Times New Roman"/>
          <w:sz w:val="28"/>
          <w:szCs w:val="28"/>
        </w:rPr>
        <w:t>Никульчева</w:t>
      </w:r>
      <w:r w:rsidR="001B0660" w:rsidRPr="00FF2442">
        <w:rPr>
          <w:rFonts w:ascii="Times New Roman" w:hAnsi="Times New Roman" w:cs="Times New Roman"/>
          <w:sz w:val="28"/>
          <w:szCs w:val="28"/>
        </w:rPr>
        <w:t xml:space="preserve"> </w:t>
      </w:r>
      <w:r w:rsidR="001B0660">
        <w:rPr>
          <w:rFonts w:ascii="Times New Roman" w:hAnsi="Times New Roman" w:cs="Times New Roman"/>
          <w:sz w:val="28"/>
          <w:szCs w:val="28"/>
        </w:rPr>
        <w:t>НГ</w:t>
      </w:r>
      <w:r w:rsidR="001B0660" w:rsidRPr="00FF2442">
        <w:rPr>
          <w:rFonts w:ascii="Times New Roman" w:hAnsi="Times New Roman" w:cs="Times New Roman"/>
          <w:sz w:val="28"/>
          <w:szCs w:val="28"/>
        </w:rPr>
        <w:t xml:space="preserve">. </w:t>
      </w:r>
      <w:r w:rsidR="001B0660">
        <w:rPr>
          <w:rFonts w:ascii="Times New Roman" w:hAnsi="Times New Roman" w:cs="Times New Roman"/>
          <w:sz w:val="28"/>
          <w:szCs w:val="28"/>
        </w:rPr>
        <w:t>Обмен</w:t>
      </w:r>
      <w:r w:rsidR="001B0660" w:rsidRPr="001B0660">
        <w:rPr>
          <w:rFonts w:ascii="Times New Roman" w:hAnsi="Times New Roman" w:cs="Times New Roman"/>
          <w:sz w:val="28"/>
          <w:szCs w:val="28"/>
        </w:rPr>
        <w:t xml:space="preserve"> </w:t>
      </w:r>
      <w:r w:rsidR="001B0660">
        <w:rPr>
          <w:rFonts w:ascii="Times New Roman" w:hAnsi="Times New Roman" w:cs="Times New Roman"/>
          <w:sz w:val="28"/>
          <w:szCs w:val="28"/>
        </w:rPr>
        <w:t>липидов</w:t>
      </w:r>
      <w:r w:rsidR="001B0660" w:rsidRPr="001B0660">
        <w:rPr>
          <w:rFonts w:ascii="Times New Roman" w:hAnsi="Times New Roman" w:cs="Times New Roman"/>
          <w:sz w:val="28"/>
          <w:szCs w:val="28"/>
        </w:rPr>
        <w:t xml:space="preserve"> </w:t>
      </w:r>
      <w:r w:rsidR="001B0660">
        <w:rPr>
          <w:rFonts w:ascii="Times New Roman" w:hAnsi="Times New Roman" w:cs="Times New Roman"/>
          <w:sz w:val="28"/>
          <w:szCs w:val="28"/>
        </w:rPr>
        <w:t>и</w:t>
      </w:r>
      <w:r w:rsidR="001B0660" w:rsidRPr="001B0660">
        <w:rPr>
          <w:rFonts w:ascii="Times New Roman" w:hAnsi="Times New Roman" w:cs="Times New Roman"/>
          <w:sz w:val="28"/>
          <w:szCs w:val="28"/>
        </w:rPr>
        <w:t xml:space="preserve"> </w:t>
      </w:r>
      <w:r w:rsidR="001B0660">
        <w:rPr>
          <w:rFonts w:ascii="Times New Roman" w:hAnsi="Times New Roman" w:cs="Times New Roman"/>
          <w:sz w:val="28"/>
          <w:szCs w:val="28"/>
        </w:rPr>
        <w:t>липопротеидов</w:t>
      </w:r>
      <w:r w:rsidR="001B0660" w:rsidRPr="001B0660">
        <w:rPr>
          <w:rFonts w:ascii="Times New Roman" w:hAnsi="Times New Roman" w:cs="Times New Roman"/>
          <w:sz w:val="28"/>
          <w:szCs w:val="28"/>
        </w:rPr>
        <w:t xml:space="preserve"> </w:t>
      </w:r>
      <w:r w:rsidR="001B0660">
        <w:rPr>
          <w:rFonts w:ascii="Times New Roman" w:hAnsi="Times New Roman" w:cs="Times New Roman"/>
          <w:sz w:val="28"/>
          <w:szCs w:val="28"/>
        </w:rPr>
        <w:t>и</w:t>
      </w:r>
      <w:r w:rsidR="001B0660" w:rsidRPr="001B0660">
        <w:rPr>
          <w:rFonts w:ascii="Times New Roman" w:hAnsi="Times New Roman" w:cs="Times New Roman"/>
          <w:sz w:val="28"/>
          <w:szCs w:val="28"/>
        </w:rPr>
        <w:t xml:space="preserve"> </w:t>
      </w:r>
      <w:r w:rsidR="001B0660">
        <w:rPr>
          <w:rFonts w:ascii="Times New Roman" w:hAnsi="Times New Roman" w:cs="Times New Roman"/>
          <w:sz w:val="28"/>
          <w:szCs w:val="28"/>
        </w:rPr>
        <w:t>его</w:t>
      </w:r>
      <w:r w:rsidR="001B0660" w:rsidRPr="001B0660">
        <w:rPr>
          <w:rFonts w:ascii="Times New Roman" w:hAnsi="Times New Roman" w:cs="Times New Roman"/>
          <w:sz w:val="28"/>
          <w:szCs w:val="28"/>
        </w:rPr>
        <w:t xml:space="preserve"> </w:t>
      </w:r>
      <w:r w:rsidR="001B0660">
        <w:rPr>
          <w:rFonts w:ascii="Times New Roman" w:hAnsi="Times New Roman" w:cs="Times New Roman"/>
          <w:sz w:val="28"/>
          <w:szCs w:val="28"/>
        </w:rPr>
        <w:t>нарушения</w:t>
      </w:r>
      <w:r w:rsidR="001B0660" w:rsidRPr="001B0660">
        <w:t xml:space="preserve"> </w:t>
      </w:r>
      <w:r w:rsidR="001B0660" w:rsidRPr="001B0660">
        <w:rPr>
          <w:rFonts w:ascii="Times New Roman" w:hAnsi="Times New Roman" w:cs="Times New Roman"/>
          <w:sz w:val="28"/>
          <w:szCs w:val="28"/>
        </w:rPr>
        <w:t xml:space="preserve">[Интернет]. </w:t>
      </w:r>
      <w:r w:rsidR="001B0660">
        <w:rPr>
          <w:rFonts w:ascii="Times New Roman" w:hAnsi="Times New Roman" w:cs="Times New Roman"/>
          <w:sz w:val="28"/>
          <w:szCs w:val="28"/>
        </w:rPr>
        <w:t>СПб: Питер Ком; 1999. 512 с</w:t>
      </w:r>
      <w:r w:rsidR="001B0660" w:rsidRPr="001B0660">
        <w:rPr>
          <w:rFonts w:ascii="Times New Roman" w:hAnsi="Times New Roman" w:cs="Times New Roman"/>
          <w:sz w:val="28"/>
          <w:szCs w:val="28"/>
        </w:rPr>
        <w:t>.</w:t>
      </w:r>
      <w:r w:rsidR="001B0660">
        <w:rPr>
          <w:rFonts w:ascii="Times New Roman" w:hAnsi="Times New Roman" w:cs="Times New Roman"/>
          <w:sz w:val="28"/>
          <w:szCs w:val="28"/>
        </w:rPr>
        <w:t xml:space="preserve"> </w:t>
      </w:r>
      <w:r w:rsidR="001B0660" w:rsidRPr="001B0660">
        <w:rPr>
          <w:rFonts w:ascii="Times New Roman" w:hAnsi="Times New Roman" w:cs="Times New Roman"/>
          <w:sz w:val="28"/>
          <w:szCs w:val="28"/>
        </w:rPr>
        <w:t>Доступно на:</w:t>
      </w:r>
      <w:r w:rsidR="001B0660">
        <w:rPr>
          <w:rFonts w:ascii="Times New Roman" w:hAnsi="Times New Roman" w:cs="Times New Roman"/>
          <w:sz w:val="28"/>
          <w:szCs w:val="28"/>
        </w:rPr>
        <w:t xml:space="preserve"> </w:t>
      </w:r>
    </w:p>
    <w:p w:rsidR="00EF0FB5" w:rsidRPr="001B0660" w:rsidRDefault="000A6805" w:rsidP="00F90BD3">
      <w:pPr>
        <w:tabs>
          <w:tab w:val="left" w:pos="2880"/>
        </w:tabs>
        <w:spacing w:after="0" w:line="360" w:lineRule="auto"/>
        <w:jc w:val="both"/>
        <w:rPr>
          <w:rFonts w:ascii="Times New Roman" w:hAnsi="Times New Roman" w:cs="Times New Roman"/>
          <w:sz w:val="28"/>
          <w:szCs w:val="28"/>
        </w:rPr>
      </w:pPr>
      <w:hyperlink r:id="rId97" w:history="1">
        <w:r w:rsidR="001B0660" w:rsidRPr="001B0660">
          <w:rPr>
            <w:rStyle w:val="a9"/>
            <w:rFonts w:ascii="Times New Roman" w:hAnsi="Times New Roman" w:cs="Times New Roman"/>
            <w:color w:val="auto"/>
            <w:sz w:val="28"/>
            <w:szCs w:val="28"/>
            <w:u w:val="none"/>
          </w:rPr>
          <w:t>http://kingmed.info/knigi/Biohimia/book_3407/Obmen_lipidov_i_lipoproteidov_i_ego_narusheniya-Klimov_AN_Nikulcheva_NG-1999-djvu</w:t>
        </w:r>
      </w:hyperlink>
    </w:p>
    <w:p w:rsidR="008973DE" w:rsidRPr="00FF2442" w:rsidRDefault="00A41939"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uk-UA"/>
        </w:rPr>
        <w:t>2</w:t>
      </w:r>
      <w:r w:rsidR="001B0660" w:rsidRPr="008973DE">
        <w:rPr>
          <w:rFonts w:ascii="Times New Roman" w:hAnsi="Times New Roman" w:cs="Times New Roman"/>
          <w:sz w:val="28"/>
          <w:szCs w:val="28"/>
          <w:lang w:val="en-US"/>
        </w:rPr>
        <w:t xml:space="preserve">. </w:t>
      </w:r>
      <w:r w:rsidR="008973DE">
        <w:rPr>
          <w:rFonts w:ascii="Times New Roman" w:hAnsi="Times New Roman" w:cs="Times New Roman"/>
          <w:sz w:val="28"/>
          <w:szCs w:val="28"/>
          <w:lang w:val="en-US"/>
        </w:rPr>
        <w:t>Reitman S</w:t>
      </w:r>
      <w:r w:rsidR="008973DE" w:rsidRPr="008973DE">
        <w:rPr>
          <w:rFonts w:ascii="Times New Roman" w:hAnsi="Times New Roman" w:cs="Times New Roman"/>
          <w:sz w:val="28"/>
          <w:szCs w:val="28"/>
          <w:lang w:val="en-US"/>
        </w:rPr>
        <w:t>, Frankel S. A colorimetric method for the determination of serum glutamic oxalacetic and</w:t>
      </w:r>
      <w:r w:rsidR="008973DE">
        <w:rPr>
          <w:rFonts w:ascii="Times New Roman" w:hAnsi="Times New Roman" w:cs="Times New Roman"/>
          <w:sz w:val="28"/>
          <w:szCs w:val="28"/>
          <w:lang w:val="en-US"/>
        </w:rPr>
        <w:t xml:space="preserve"> glutamic pyruvic transaminases</w:t>
      </w:r>
      <w:r w:rsidR="008973DE" w:rsidRPr="008973DE">
        <w:rPr>
          <w:rFonts w:ascii="Times New Roman" w:hAnsi="Times New Roman" w:cs="Times New Roman"/>
          <w:sz w:val="28"/>
          <w:szCs w:val="28"/>
          <w:lang w:val="en-US"/>
        </w:rPr>
        <w:t>. Am J Clin Pathol</w:t>
      </w:r>
      <w:r w:rsidR="00FF2442">
        <w:rPr>
          <w:rFonts w:ascii="Times New Roman" w:hAnsi="Times New Roman" w:cs="Times New Roman"/>
          <w:sz w:val="28"/>
          <w:szCs w:val="28"/>
          <w:lang w:val="uk-UA"/>
        </w:rPr>
        <w:t xml:space="preserve"> </w:t>
      </w:r>
      <w:r w:rsidR="00FF2442" w:rsidRPr="00FF2442">
        <w:rPr>
          <w:rFonts w:ascii="Times New Roman" w:hAnsi="Times New Roman" w:cs="Times New Roman"/>
          <w:sz w:val="28"/>
          <w:szCs w:val="28"/>
          <w:lang w:val="uk-UA"/>
        </w:rPr>
        <w:t>[Internet]</w:t>
      </w:r>
      <w:r w:rsidR="008973DE" w:rsidRPr="008973DE">
        <w:rPr>
          <w:rFonts w:ascii="Times New Roman" w:hAnsi="Times New Roman" w:cs="Times New Roman"/>
          <w:sz w:val="28"/>
          <w:szCs w:val="28"/>
          <w:lang w:val="en-US"/>
        </w:rPr>
        <w:t xml:space="preserve">. 1957 Jul;28(1):56-63. Available from: </w:t>
      </w:r>
    </w:p>
    <w:p w:rsidR="001B0660" w:rsidRPr="00FF2442" w:rsidRDefault="000A6805" w:rsidP="00F90BD3">
      <w:pPr>
        <w:tabs>
          <w:tab w:val="left" w:pos="2880"/>
        </w:tabs>
        <w:spacing w:after="0" w:line="360" w:lineRule="auto"/>
        <w:jc w:val="both"/>
        <w:rPr>
          <w:rFonts w:ascii="Times New Roman" w:hAnsi="Times New Roman" w:cs="Times New Roman"/>
          <w:sz w:val="28"/>
          <w:szCs w:val="28"/>
          <w:lang w:val="en-US"/>
        </w:rPr>
      </w:pPr>
      <w:hyperlink r:id="rId98" w:history="1">
        <w:r w:rsidR="008973DE" w:rsidRPr="008973DE">
          <w:rPr>
            <w:rStyle w:val="a9"/>
            <w:rFonts w:ascii="Times New Roman" w:hAnsi="Times New Roman" w:cs="Times New Roman"/>
            <w:color w:val="auto"/>
            <w:sz w:val="28"/>
            <w:szCs w:val="28"/>
            <w:u w:val="none"/>
            <w:lang w:val="en-US"/>
          </w:rPr>
          <w:t>http</w:t>
        </w:r>
        <w:r w:rsidR="008973DE" w:rsidRPr="00FF2442">
          <w:rPr>
            <w:rStyle w:val="a9"/>
            <w:rFonts w:ascii="Times New Roman" w:hAnsi="Times New Roman" w:cs="Times New Roman"/>
            <w:color w:val="auto"/>
            <w:sz w:val="28"/>
            <w:szCs w:val="28"/>
            <w:u w:val="none"/>
            <w:lang w:val="en-US"/>
          </w:rPr>
          <w:t>://</w:t>
        </w:r>
        <w:r w:rsidR="008973DE" w:rsidRPr="008973DE">
          <w:rPr>
            <w:rStyle w:val="a9"/>
            <w:rFonts w:ascii="Times New Roman" w:hAnsi="Times New Roman" w:cs="Times New Roman"/>
            <w:color w:val="auto"/>
            <w:sz w:val="28"/>
            <w:szCs w:val="28"/>
            <w:u w:val="none"/>
            <w:lang w:val="en-US"/>
          </w:rPr>
          <w:t>garfield</w:t>
        </w:r>
        <w:r w:rsidR="008973DE" w:rsidRPr="00FF2442">
          <w:rPr>
            <w:rStyle w:val="a9"/>
            <w:rFonts w:ascii="Times New Roman" w:hAnsi="Times New Roman" w:cs="Times New Roman"/>
            <w:color w:val="auto"/>
            <w:sz w:val="28"/>
            <w:szCs w:val="28"/>
            <w:u w:val="none"/>
            <w:lang w:val="en-US"/>
          </w:rPr>
          <w:t>.</w:t>
        </w:r>
        <w:r w:rsidR="008973DE" w:rsidRPr="008973DE">
          <w:rPr>
            <w:rStyle w:val="a9"/>
            <w:rFonts w:ascii="Times New Roman" w:hAnsi="Times New Roman" w:cs="Times New Roman"/>
            <w:color w:val="auto"/>
            <w:sz w:val="28"/>
            <w:szCs w:val="28"/>
            <w:u w:val="none"/>
            <w:lang w:val="en-US"/>
          </w:rPr>
          <w:t>library</w:t>
        </w:r>
        <w:r w:rsidR="008973DE" w:rsidRPr="00FF2442">
          <w:rPr>
            <w:rStyle w:val="a9"/>
            <w:rFonts w:ascii="Times New Roman" w:hAnsi="Times New Roman" w:cs="Times New Roman"/>
            <w:color w:val="auto"/>
            <w:sz w:val="28"/>
            <w:szCs w:val="28"/>
            <w:u w:val="none"/>
            <w:lang w:val="en-US"/>
          </w:rPr>
          <w:t>.</w:t>
        </w:r>
        <w:r w:rsidR="008973DE" w:rsidRPr="008973DE">
          <w:rPr>
            <w:rStyle w:val="a9"/>
            <w:rFonts w:ascii="Times New Roman" w:hAnsi="Times New Roman" w:cs="Times New Roman"/>
            <w:color w:val="auto"/>
            <w:sz w:val="28"/>
            <w:szCs w:val="28"/>
            <w:u w:val="none"/>
            <w:lang w:val="en-US"/>
          </w:rPr>
          <w:t>upenn</w:t>
        </w:r>
        <w:r w:rsidR="008973DE" w:rsidRPr="00FF2442">
          <w:rPr>
            <w:rStyle w:val="a9"/>
            <w:rFonts w:ascii="Times New Roman" w:hAnsi="Times New Roman" w:cs="Times New Roman"/>
            <w:color w:val="auto"/>
            <w:sz w:val="28"/>
            <w:szCs w:val="28"/>
            <w:u w:val="none"/>
            <w:lang w:val="en-US"/>
          </w:rPr>
          <w:t>.</w:t>
        </w:r>
        <w:r w:rsidR="008973DE" w:rsidRPr="008973DE">
          <w:rPr>
            <w:rStyle w:val="a9"/>
            <w:rFonts w:ascii="Times New Roman" w:hAnsi="Times New Roman" w:cs="Times New Roman"/>
            <w:color w:val="auto"/>
            <w:sz w:val="28"/>
            <w:szCs w:val="28"/>
            <w:u w:val="none"/>
            <w:lang w:val="en-US"/>
          </w:rPr>
          <w:t>edu</w:t>
        </w:r>
        <w:r w:rsidR="008973DE" w:rsidRPr="00FF2442">
          <w:rPr>
            <w:rStyle w:val="a9"/>
            <w:rFonts w:ascii="Times New Roman" w:hAnsi="Times New Roman" w:cs="Times New Roman"/>
            <w:color w:val="auto"/>
            <w:sz w:val="28"/>
            <w:szCs w:val="28"/>
            <w:u w:val="none"/>
            <w:lang w:val="en-US"/>
          </w:rPr>
          <w:t>/</w:t>
        </w:r>
        <w:r w:rsidR="008973DE" w:rsidRPr="008973DE">
          <w:rPr>
            <w:rStyle w:val="a9"/>
            <w:rFonts w:ascii="Times New Roman" w:hAnsi="Times New Roman" w:cs="Times New Roman"/>
            <w:color w:val="auto"/>
            <w:sz w:val="28"/>
            <w:szCs w:val="28"/>
            <w:u w:val="none"/>
            <w:lang w:val="en-US"/>
          </w:rPr>
          <w:t>classics</w:t>
        </w:r>
        <w:r w:rsidR="008973DE" w:rsidRPr="00FF2442">
          <w:rPr>
            <w:rStyle w:val="a9"/>
            <w:rFonts w:ascii="Times New Roman" w:hAnsi="Times New Roman" w:cs="Times New Roman"/>
            <w:color w:val="auto"/>
            <w:sz w:val="28"/>
            <w:szCs w:val="28"/>
            <w:u w:val="none"/>
            <w:lang w:val="en-US"/>
          </w:rPr>
          <w:t>1979/</w:t>
        </w:r>
        <w:r w:rsidR="008973DE" w:rsidRPr="008973DE">
          <w:rPr>
            <w:rStyle w:val="a9"/>
            <w:rFonts w:ascii="Times New Roman" w:hAnsi="Times New Roman" w:cs="Times New Roman"/>
            <w:color w:val="auto"/>
            <w:sz w:val="28"/>
            <w:szCs w:val="28"/>
            <w:u w:val="none"/>
            <w:lang w:val="en-US"/>
          </w:rPr>
          <w:t>A</w:t>
        </w:r>
        <w:r w:rsidR="008973DE" w:rsidRPr="00FF2442">
          <w:rPr>
            <w:rStyle w:val="a9"/>
            <w:rFonts w:ascii="Times New Roman" w:hAnsi="Times New Roman" w:cs="Times New Roman"/>
            <w:color w:val="auto"/>
            <w:sz w:val="28"/>
            <w:szCs w:val="28"/>
            <w:u w:val="none"/>
            <w:lang w:val="en-US"/>
          </w:rPr>
          <w:t>1979</w:t>
        </w:r>
        <w:r w:rsidR="008973DE" w:rsidRPr="008973DE">
          <w:rPr>
            <w:rStyle w:val="a9"/>
            <w:rFonts w:ascii="Times New Roman" w:hAnsi="Times New Roman" w:cs="Times New Roman"/>
            <w:color w:val="auto"/>
            <w:sz w:val="28"/>
            <w:szCs w:val="28"/>
            <w:u w:val="none"/>
            <w:lang w:val="en-US"/>
          </w:rPr>
          <w:t>HZ</w:t>
        </w:r>
        <w:r w:rsidR="008973DE" w:rsidRPr="00FF2442">
          <w:rPr>
            <w:rStyle w:val="a9"/>
            <w:rFonts w:ascii="Times New Roman" w:hAnsi="Times New Roman" w:cs="Times New Roman"/>
            <w:color w:val="auto"/>
            <w:sz w:val="28"/>
            <w:szCs w:val="28"/>
            <w:u w:val="none"/>
            <w:lang w:val="en-US"/>
          </w:rPr>
          <w:t>21900001.</w:t>
        </w:r>
        <w:r w:rsidR="008973DE" w:rsidRPr="008973DE">
          <w:rPr>
            <w:rStyle w:val="a9"/>
            <w:rFonts w:ascii="Times New Roman" w:hAnsi="Times New Roman" w:cs="Times New Roman"/>
            <w:color w:val="auto"/>
            <w:sz w:val="28"/>
            <w:szCs w:val="28"/>
            <w:u w:val="none"/>
            <w:lang w:val="en-US"/>
          </w:rPr>
          <w:t>pdf</w:t>
        </w:r>
      </w:hyperlink>
    </w:p>
    <w:p w:rsidR="008973DE" w:rsidRDefault="00A41939"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13</w:t>
      </w:r>
      <w:r>
        <w:rPr>
          <w:rFonts w:ascii="Times New Roman" w:hAnsi="Times New Roman" w:cs="Times New Roman"/>
          <w:sz w:val="28"/>
          <w:szCs w:val="28"/>
          <w:lang w:val="uk-UA"/>
        </w:rPr>
        <w:t>3</w:t>
      </w:r>
      <w:r w:rsidR="00FF2442">
        <w:rPr>
          <w:rFonts w:ascii="Times New Roman" w:hAnsi="Times New Roman" w:cs="Times New Roman"/>
          <w:sz w:val="28"/>
          <w:szCs w:val="28"/>
          <w:lang w:val="en-US"/>
        </w:rPr>
        <w:t>.</w:t>
      </w:r>
      <w:r w:rsidR="00FF2442">
        <w:rPr>
          <w:rFonts w:ascii="Times New Roman" w:hAnsi="Times New Roman" w:cs="Times New Roman"/>
          <w:sz w:val="28"/>
          <w:szCs w:val="28"/>
          <w:lang w:val="uk-UA"/>
        </w:rPr>
        <w:t xml:space="preserve"> </w:t>
      </w:r>
      <w:r w:rsidR="00FF2442" w:rsidRPr="00FF2442">
        <w:rPr>
          <w:rFonts w:ascii="Times New Roman" w:hAnsi="Times New Roman" w:cs="Times New Roman"/>
          <w:sz w:val="28"/>
          <w:szCs w:val="28"/>
          <w:lang w:val="en-US"/>
        </w:rPr>
        <w:t>Fossati P, Prencipe L, Berti G. Use of 3,5-dichloro-2-hydroxybenzenesulfonicacid/4-aminophenazone chromogenic system in direct enzymic assay of uric acid in serum and urine. Clin Chem</w:t>
      </w:r>
      <w:r w:rsidR="00FF2442">
        <w:rPr>
          <w:rFonts w:ascii="Times New Roman" w:hAnsi="Times New Roman" w:cs="Times New Roman"/>
          <w:sz w:val="28"/>
          <w:szCs w:val="28"/>
          <w:lang w:val="uk-UA"/>
        </w:rPr>
        <w:t xml:space="preserve"> </w:t>
      </w:r>
      <w:r w:rsidR="00FF2442" w:rsidRPr="00FF2442">
        <w:rPr>
          <w:rFonts w:ascii="Times New Roman" w:hAnsi="Times New Roman" w:cs="Times New Roman"/>
          <w:sz w:val="28"/>
          <w:szCs w:val="28"/>
          <w:lang w:val="uk-UA"/>
        </w:rPr>
        <w:t>[Internet]</w:t>
      </w:r>
      <w:r w:rsidR="00F15397">
        <w:rPr>
          <w:rFonts w:ascii="Times New Roman" w:hAnsi="Times New Roman" w:cs="Times New Roman"/>
          <w:sz w:val="28"/>
          <w:szCs w:val="28"/>
          <w:lang w:val="uk-UA"/>
        </w:rPr>
        <w:t>.</w:t>
      </w:r>
      <w:r w:rsidR="00FF2442" w:rsidRPr="00FF2442">
        <w:rPr>
          <w:rFonts w:ascii="Times New Roman" w:hAnsi="Times New Roman" w:cs="Times New Roman"/>
          <w:sz w:val="28"/>
          <w:szCs w:val="28"/>
          <w:lang w:val="en-US"/>
        </w:rPr>
        <w:t xml:space="preserve"> 1980; 26</w:t>
      </w:r>
      <w:r w:rsidR="00FF2442">
        <w:rPr>
          <w:rFonts w:ascii="Times New Roman" w:hAnsi="Times New Roman" w:cs="Times New Roman"/>
          <w:sz w:val="28"/>
          <w:szCs w:val="28"/>
          <w:lang w:val="uk-UA"/>
        </w:rPr>
        <w:t>(2)</w:t>
      </w:r>
      <w:r w:rsidR="00FF2442">
        <w:rPr>
          <w:rFonts w:ascii="Times New Roman" w:hAnsi="Times New Roman" w:cs="Times New Roman"/>
          <w:sz w:val="28"/>
          <w:szCs w:val="28"/>
          <w:lang w:val="en-US"/>
        </w:rPr>
        <w:t>:227-</w:t>
      </w:r>
      <w:r w:rsidR="00FF2442" w:rsidRPr="00FF2442">
        <w:rPr>
          <w:rFonts w:ascii="Times New Roman" w:hAnsi="Times New Roman" w:cs="Times New Roman"/>
          <w:sz w:val="28"/>
          <w:szCs w:val="28"/>
          <w:lang w:val="en-US"/>
        </w:rPr>
        <w:t>31</w:t>
      </w:r>
      <w:r w:rsidR="00FF2442">
        <w:rPr>
          <w:rFonts w:ascii="Times New Roman" w:hAnsi="Times New Roman" w:cs="Times New Roman"/>
          <w:sz w:val="28"/>
          <w:szCs w:val="28"/>
          <w:lang w:val="uk-UA"/>
        </w:rPr>
        <w:t xml:space="preserve">. </w:t>
      </w:r>
      <w:r w:rsidR="00FF2442" w:rsidRPr="00FF2442">
        <w:rPr>
          <w:rFonts w:ascii="Times New Roman" w:hAnsi="Times New Roman" w:cs="Times New Roman"/>
          <w:sz w:val="28"/>
          <w:szCs w:val="28"/>
          <w:lang w:val="uk-UA"/>
        </w:rPr>
        <w:t>Available from:</w:t>
      </w:r>
      <w:r w:rsidR="00FF2442">
        <w:rPr>
          <w:rFonts w:ascii="Times New Roman" w:hAnsi="Times New Roman" w:cs="Times New Roman"/>
          <w:sz w:val="28"/>
          <w:szCs w:val="28"/>
          <w:lang w:val="uk-UA"/>
        </w:rPr>
        <w:t xml:space="preserve"> </w:t>
      </w:r>
      <w:r w:rsidR="00FF2442" w:rsidRPr="00FF2442">
        <w:rPr>
          <w:rFonts w:ascii="Times New Roman" w:hAnsi="Times New Roman" w:cs="Times New Roman"/>
          <w:sz w:val="28"/>
          <w:szCs w:val="28"/>
          <w:lang w:val="uk-UA"/>
        </w:rPr>
        <w:t>9ec2eeafe0c73b6f04c5c21db808a06169fe.pdf</w:t>
      </w:r>
    </w:p>
    <w:p w:rsidR="00FF2442" w:rsidRPr="00EA6F81" w:rsidRDefault="002746C2"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13</w:t>
      </w:r>
      <w:r w:rsidR="00A41939">
        <w:rPr>
          <w:rFonts w:ascii="Times New Roman" w:hAnsi="Times New Roman" w:cs="Times New Roman"/>
          <w:sz w:val="28"/>
          <w:szCs w:val="28"/>
          <w:lang w:val="uk-UA"/>
        </w:rPr>
        <w:t>4</w:t>
      </w:r>
      <w:r w:rsidR="00FF2442">
        <w:rPr>
          <w:rFonts w:ascii="Times New Roman" w:hAnsi="Times New Roman" w:cs="Times New Roman"/>
          <w:sz w:val="28"/>
          <w:szCs w:val="28"/>
          <w:lang w:val="uk-UA"/>
        </w:rPr>
        <w:t>. Губський Ю</w:t>
      </w:r>
      <w:r w:rsidR="00FF2442" w:rsidRPr="00FF2442">
        <w:rPr>
          <w:rFonts w:ascii="Times New Roman" w:hAnsi="Times New Roman" w:cs="Times New Roman"/>
          <w:sz w:val="28"/>
          <w:szCs w:val="28"/>
          <w:lang w:val="uk-UA"/>
        </w:rPr>
        <w:t>І. Біоло</w:t>
      </w:r>
      <w:r w:rsidR="00FF2442">
        <w:rPr>
          <w:rFonts w:ascii="Times New Roman" w:hAnsi="Times New Roman" w:cs="Times New Roman"/>
          <w:sz w:val="28"/>
          <w:szCs w:val="28"/>
          <w:lang w:val="uk-UA"/>
        </w:rPr>
        <w:t xml:space="preserve">гічна хімія. </w:t>
      </w:r>
      <w:r w:rsidR="00FF2442" w:rsidRPr="00FF2442">
        <w:rPr>
          <w:rFonts w:ascii="Times New Roman" w:hAnsi="Times New Roman" w:cs="Times New Roman"/>
          <w:sz w:val="28"/>
          <w:szCs w:val="28"/>
          <w:lang w:val="uk-UA"/>
        </w:rPr>
        <w:t>Київ</w:t>
      </w:r>
      <w:r w:rsidR="00FF2442">
        <w:rPr>
          <w:rFonts w:ascii="Times New Roman" w:hAnsi="Times New Roman" w:cs="Times New Roman"/>
          <w:sz w:val="28"/>
          <w:szCs w:val="28"/>
          <w:lang w:val="uk-UA"/>
        </w:rPr>
        <w:t>-Тернопіль: У</w:t>
      </w:r>
      <w:r w:rsidR="00DE7ADE">
        <w:rPr>
          <w:rFonts w:ascii="Times New Roman" w:hAnsi="Times New Roman" w:cs="Times New Roman"/>
          <w:sz w:val="28"/>
          <w:szCs w:val="28"/>
          <w:lang w:val="uk-UA"/>
        </w:rPr>
        <w:t>крмедкнига</w:t>
      </w:r>
      <w:r w:rsidR="00DE7ADE" w:rsidRPr="00EA6F81">
        <w:rPr>
          <w:rFonts w:ascii="Times New Roman" w:hAnsi="Times New Roman" w:cs="Times New Roman"/>
          <w:sz w:val="28"/>
          <w:szCs w:val="28"/>
          <w:lang w:val="en-US"/>
        </w:rPr>
        <w:t>;</w:t>
      </w:r>
      <w:r w:rsidR="00FF2442">
        <w:rPr>
          <w:rFonts w:ascii="Times New Roman" w:hAnsi="Times New Roman" w:cs="Times New Roman"/>
          <w:sz w:val="28"/>
          <w:szCs w:val="28"/>
          <w:lang w:val="uk-UA"/>
        </w:rPr>
        <w:t xml:space="preserve"> 2000. 508</w:t>
      </w:r>
      <w:r w:rsidR="00DE7ADE" w:rsidRPr="00EA6F81">
        <w:rPr>
          <w:rFonts w:ascii="Times New Roman" w:hAnsi="Times New Roman" w:cs="Times New Roman"/>
          <w:sz w:val="28"/>
          <w:szCs w:val="28"/>
          <w:lang w:val="en-US"/>
        </w:rPr>
        <w:t xml:space="preserve"> </w:t>
      </w:r>
      <w:r w:rsidR="00FF2442">
        <w:rPr>
          <w:rFonts w:ascii="Times New Roman" w:hAnsi="Times New Roman" w:cs="Times New Roman"/>
          <w:sz w:val="28"/>
          <w:szCs w:val="28"/>
          <w:lang w:val="uk-UA"/>
        </w:rPr>
        <w:t>с</w:t>
      </w:r>
    </w:p>
    <w:p w:rsidR="002746C2" w:rsidRPr="00EA6F81" w:rsidRDefault="00A41939"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lang w:val="en-US"/>
        </w:rPr>
        <w:t>13</w:t>
      </w:r>
      <w:r>
        <w:rPr>
          <w:rFonts w:ascii="Times New Roman" w:hAnsi="Times New Roman" w:cs="Times New Roman"/>
          <w:bCs/>
          <w:sz w:val="28"/>
          <w:szCs w:val="28"/>
          <w:lang w:val="uk-UA"/>
        </w:rPr>
        <w:t>5</w:t>
      </w:r>
      <w:r w:rsidR="002746C2">
        <w:rPr>
          <w:rFonts w:ascii="Times New Roman" w:hAnsi="Times New Roman" w:cs="Times New Roman"/>
          <w:bCs/>
          <w:sz w:val="28"/>
          <w:szCs w:val="28"/>
          <w:lang w:val="uk-UA"/>
        </w:rPr>
        <w:t xml:space="preserve">. </w:t>
      </w:r>
      <w:r w:rsidR="002746C2" w:rsidRPr="004962FB">
        <w:rPr>
          <w:rFonts w:ascii="Times New Roman" w:hAnsi="Times New Roman" w:cs="Times New Roman"/>
          <w:bCs/>
          <w:sz w:val="28"/>
          <w:szCs w:val="28"/>
          <w:lang w:val="uk-UA"/>
        </w:rPr>
        <w:t>Jaffe M. Uber den Niederschlag</w:t>
      </w:r>
      <w:r w:rsidR="002746C2">
        <w:rPr>
          <w:rFonts w:ascii="Times New Roman" w:hAnsi="Times New Roman" w:cs="Times New Roman"/>
          <w:bCs/>
          <w:sz w:val="28"/>
          <w:szCs w:val="28"/>
          <w:lang w:val="uk-UA"/>
        </w:rPr>
        <w:t xml:space="preserve">, welchen </w:t>
      </w:r>
      <w:r w:rsidR="002746C2" w:rsidRPr="004962FB">
        <w:rPr>
          <w:rFonts w:ascii="Times New Roman" w:hAnsi="Times New Roman" w:cs="Times New Roman"/>
          <w:bCs/>
          <w:sz w:val="28"/>
          <w:szCs w:val="28"/>
          <w:lang w:val="uk-UA"/>
        </w:rPr>
        <w:t>Pikrinsaaur</w:t>
      </w:r>
      <w:r w:rsidR="002746C2">
        <w:rPr>
          <w:rFonts w:ascii="Times New Roman" w:hAnsi="Times New Roman" w:cs="Times New Roman"/>
          <w:bCs/>
          <w:sz w:val="28"/>
          <w:szCs w:val="28"/>
          <w:lang w:val="uk-UA"/>
        </w:rPr>
        <w:t xml:space="preserve">e in normalem Harn erzeugt. und </w:t>
      </w:r>
      <w:r w:rsidR="002746C2" w:rsidRPr="004962FB">
        <w:rPr>
          <w:rFonts w:ascii="Times New Roman" w:hAnsi="Times New Roman" w:cs="Times New Roman"/>
          <w:bCs/>
          <w:sz w:val="28"/>
          <w:szCs w:val="28"/>
          <w:lang w:val="uk-UA"/>
        </w:rPr>
        <w:t>uber eine</w:t>
      </w:r>
      <w:r w:rsidR="002746C2">
        <w:rPr>
          <w:rFonts w:ascii="Times New Roman" w:hAnsi="Times New Roman" w:cs="Times New Roman"/>
          <w:bCs/>
          <w:sz w:val="28"/>
          <w:szCs w:val="28"/>
          <w:lang w:val="uk-UA"/>
        </w:rPr>
        <w:t xml:space="preserve"> neue Reaktion des Kreatinins. Z. Physiol. Chem. 1886;10: 391-40</w:t>
      </w:r>
      <w:r w:rsidR="002746C2" w:rsidRPr="004962FB">
        <w:rPr>
          <w:rFonts w:ascii="Times New Roman" w:hAnsi="Times New Roman" w:cs="Times New Roman"/>
          <w:bCs/>
          <w:sz w:val="28"/>
          <w:szCs w:val="28"/>
          <w:lang w:val="uk-UA"/>
        </w:rPr>
        <w:t>.</w:t>
      </w:r>
    </w:p>
    <w:p w:rsidR="00DE7ADE" w:rsidRDefault="002746C2" w:rsidP="00F90BD3">
      <w:pPr>
        <w:tabs>
          <w:tab w:val="left" w:pos="2880"/>
        </w:tabs>
        <w:spacing w:after="0" w:line="360" w:lineRule="auto"/>
        <w:jc w:val="both"/>
        <w:rPr>
          <w:rFonts w:ascii="Times New Roman" w:hAnsi="Times New Roman" w:cs="Times New Roman"/>
          <w:sz w:val="28"/>
          <w:szCs w:val="28"/>
        </w:rPr>
      </w:pPr>
      <w:r w:rsidRPr="00EA6F81">
        <w:rPr>
          <w:rFonts w:ascii="Times New Roman" w:hAnsi="Times New Roman" w:cs="Times New Roman"/>
          <w:sz w:val="28"/>
          <w:szCs w:val="28"/>
        </w:rPr>
        <w:t>13</w:t>
      </w:r>
      <w:r w:rsidR="00A41939">
        <w:rPr>
          <w:rFonts w:ascii="Times New Roman" w:hAnsi="Times New Roman" w:cs="Times New Roman"/>
          <w:sz w:val="28"/>
          <w:szCs w:val="28"/>
          <w:lang w:val="uk-UA"/>
        </w:rPr>
        <w:t>6</w:t>
      </w:r>
      <w:r w:rsidR="00DE7ADE" w:rsidRPr="00EA6F81">
        <w:rPr>
          <w:rFonts w:ascii="Times New Roman" w:hAnsi="Times New Roman" w:cs="Times New Roman"/>
          <w:sz w:val="28"/>
          <w:szCs w:val="28"/>
        </w:rPr>
        <w:t xml:space="preserve">. </w:t>
      </w:r>
      <w:r w:rsidR="004D5599">
        <w:rPr>
          <w:rFonts w:ascii="Times New Roman" w:hAnsi="Times New Roman" w:cs="Times New Roman"/>
          <w:sz w:val="28"/>
          <w:szCs w:val="28"/>
        </w:rPr>
        <w:t>Камышников</w:t>
      </w:r>
      <w:r w:rsidR="004D5599" w:rsidRPr="00EA6F81">
        <w:rPr>
          <w:rFonts w:ascii="Times New Roman" w:hAnsi="Times New Roman" w:cs="Times New Roman"/>
          <w:sz w:val="28"/>
          <w:szCs w:val="28"/>
        </w:rPr>
        <w:t xml:space="preserve"> </w:t>
      </w:r>
      <w:r w:rsidR="004D5599">
        <w:rPr>
          <w:rFonts w:ascii="Times New Roman" w:hAnsi="Times New Roman" w:cs="Times New Roman"/>
          <w:sz w:val="28"/>
          <w:szCs w:val="28"/>
        </w:rPr>
        <w:t>В</w:t>
      </w:r>
      <w:r w:rsidR="00DE7ADE" w:rsidRPr="00DE7ADE">
        <w:rPr>
          <w:rFonts w:ascii="Times New Roman" w:hAnsi="Times New Roman" w:cs="Times New Roman"/>
          <w:sz w:val="28"/>
          <w:szCs w:val="28"/>
        </w:rPr>
        <w:t>С</w:t>
      </w:r>
      <w:r w:rsidR="00DE7ADE" w:rsidRPr="00EA6F81">
        <w:rPr>
          <w:rFonts w:ascii="Times New Roman" w:hAnsi="Times New Roman" w:cs="Times New Roman"/>
          <w:sz w:val="28"/>
          <w:szCs w:val="28"/>
        </w:rPr>
        <w:t xml:space="preserve">. </w:t>
      </w:r>
      <w:r w:rsidR="00DE7ADE" w:rsidRPr="00DE7ADE">
        <w:rPr>
          <w:rFonts w:ascii="Times New Roman" w:hAnsi="Times New Roman" w:cs="Times New Roman"/>
          <w:sz w:val="28"/>
          <w:szCs w:val="28"/>
        </w:rPr>
        <w:t>Справочник</w:t>
      </w:r>
      <w:r w:rsidR="00DE7ADE" w:rsidRPr="00262892">
        <w:rPr>
          <w:rFonts w:ascii="Times New Roman" w:hAnsi="Times New Roman" w:cs="Times New Roman"/>
          <w:sz w:val="28"/>
          <w:szCs w:val="28"/>
        </w:rPr>
        <w:t xml:space="preserve"> </w:t>
      </w:r>
      <w:r w:rsidR="00DE7ADE" w:rsidRPr="00DE7ADE">
        <w:rPr>
          <w:rFonts w:ascii="Times New Roman" w:hAnsi="Times New Roman" w:cs="Times New Roman"/>
          <w:sz w:val="28"/>
          <w:szCs w:val="28"/>
        </w:rPr>
        <w:t>по</w:t>
      </w:r>
      <w:r w:rsidR="00DE7ADE" w:rsidRPr="00262892">
        <w:rPr>
          <w:rFonts w:ascii="Times New Roman" w:hAnsi="Times New Roman" w:cs="Times New Roman"/>
          <w:sz w:val="28"/>
          <w:szCs w:val="28"/>
        </w:rPr>
        <w:t xml:space="preserve"> </w:t>
      </w:r>
      <w:r w:rsidR="00DE7ADE" w:rsidRPr="00DE7ADE">
        <w:rPr>
          <w:rFonts w:ascii="Times New Roman" w:hAnsi="Times New Roman" w:cs="Times New Roman"/>
          <w:sz w:val="28"/>
          <w:szCs w:val="28"/>
        </w:rPr>
        <w:t>клинико</w:t>
      </w:r>
      <w:r w:rsidR="00DE7ADE" w:rsidRPr="00262892">
        <w:rPr>
          <w:rFonts w:ascii="Times New Roman" w:hAnsi="Times New Roman" w:cs="Times New Roman"/>
          <w:sz w:val="28"/>
          <w:szCs w:val="28"/>
        </w:rPr>
        <w:t>-</w:t>
      </w:r>
      <w:r w:rsidR="00DE7ADE" w:rsidRPr="00DE7ADE">
        <w:rPr>
          <w:rFonts w:ascii="Times New Roman" w:hAnsi="Times New Roman" w:cs="Times New Roman"/>
          <w:sz w:val="28"/>
          <w:szCs w:val="28"/>
        </w:rPr>
        <w:t>химической лабораторной диагностике</w:t>
      </w:r>
      <w:r w:rsidR="004D5599">
        <w:rPr>
          <w:rFonts w:ascii="Times New Roman" w:hAnsi="Times New Roman" w:cs="Times New Roman"/>
          <w:sz w:val="28"/>
          <w:szCs w:val="28"/>
        </w:rPr>
        <w:t>. Минс</w:t>
      </w:r>
      <w:r w:rsidR="00DE7ADE" w:rsidRPr="00DE7ADE">
        <w:rPr>
          <w:rFonts w:ascii="Times New Roman" w:hAnsi="Times New Roman" w:cs="Times New Roman"/>
          <w:sz w:val="28"/>
          <w:szCs w:val="28"/>
        </w:rPr>
        <w:t xml:space="preserve">к, 2000; </w:t>
      </w:r>
      <w:r w:rsidR="00DE7ADE" w:rsidRPr="004D5599">
        <w:rPr>
          <w:rFonts w:ascii="Times New Roman" w:hAnsi="Times New Roman" w:cs="Times New Roman"/>
          <w:sz w:val="28"/>
          <w:szCs w:val="28"/>
        </w:rPr>
        <w:t xml:space="preserve">495 </w:t>
      </w:r>
      <w:r w:rsidR="00DE7ADE">
        <w:rPr>
          <w:rFonts w:ascii="Times New Roman" w:hAnsi="Times New Roman" w:cs="Times New Roman"/>
          <w:sz w:val="28"/>
          <w:szCs w:val="28"/>
          <w:lang w:val="en-US"/>
        </w:rPr>
        <w:t>c</w:t>
      </w:r>
      <w:r w:rsidR="00DE7ADE" w:rsidRPr="004D5599">
        <w:rPr>
          <w:rFonts w:ascii="Times New Roman" w:hAnsi="Times New Roman" w:cs="Times New Roman"/>
          <w:sz w:val="28"/>
          <w:szCs w:val="28"/>
        </w:rPr>
        <w:t>.</w:t>
      </w:r>
    </w:p>
    <w:p w:rsidR="004D5599" w:rsidRPr="00F15397" w:rsidRDefault="002746C2"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13</w:t>
      </w:r>
      <w:r w:rsidR="00A41939">
        <w:rPr>
          <w:rFonts w:ascii="Times New Roman" w:hAnsi="Times New Roman" w:cs="Times New Roman"/>
          <w:sz w:val="28"/>
          <w:szCs w:val="28"/>
          <w:lang w:val="uk-UA"/>
        </w:rPr>
        <w:t>7</w:t>
      </w:r>
      <w:r w:rsidR="004D5599">
        <w:rPr>
          <w:rFonts w:ascii="Times New Roman" w:hAnsi="Times New Roman" w:cs="Times New Roman"/>
          <w:sz w:val="28"/>
          <w:szCs w:val="28"/>
        </w:rPr>
        <w:t>. Шиллер Н, Осипов М.</w:t>
      </w:r>
      <w:r w:rsidR="004D5599" w:rsidRPr="004D5599">
        <w:rPr>
          <w:rFonts w:ascii="Times New Roman" w:hAnsi="Times New Roman" w:cs="Times New Roman"/>
          <w:sz w:val="28"/>
          <w:szCs w:val="28"/>
        </w:rPr>
        <w:t xml:space="preserve"> Клиническая эхокардиография</w:t>
      </w:r>
      <w:r w:rsidR="004D5599">
        <w:rPr>
          <w:rFonts w:ascii="Times New Roman" w:hAnsi="Times New Roman" w:cs="Times New Roman"/>
          <w:sz w:val="28"/>
          <w:szCs w:val="28"/>
        </w:rPr>
        <w:t xml:space="preserve">. </w:t>
      </w:r>
      <w:r w:rsidR="004D5599" w:rsidRPr="004D5599">
        <w:rPr>
          <w:rFonts w:ascii="Times New Roman" w:hAnsi="Times New Roman" w:cs="Times New Roman"/>
          <w:sz w:val="28"/>
          <w:szCs w:val="28"/>
        </w:rPr>
        <w:t>М</w:t>
      </w:r>
      <w:r w:rsidR="004D5599">
        <w:rPr>
          <w:rFonts w:ascii="Times New Roman" w:hAnsi="Times New Roman" w:cs="Times New Roman"/>
          <w:sz w:val="28"/>
          <w:szCs w:val="28"/>
        </w:rPr>
        <w:t>осква</w:t>
      </w:r>
      <w:r w:rsidR="004D5599" w:rsidRPr="00262892">
        <w:rPr>
          <w:rFonts w:ascii="Times New Roman" w:hAnsi="Times New Roman" w:cs="Times New Roman"/>
          <w:sz w:val="28"/>
          <w:szCs w:val="28"/>
        </w:rPr>
        <w:t xml:space="preserve">: </w:t>
      </w:r>
      <w:r w:rsidR="004D5599">
        <w:rPr>
          <w:rFonts w:ascii="Times New Roman" w:hAnsi="Times New Roman" w:cs="Times New Roman"/>
          <w:sz w:val="28"/>
          <w:szCs w:val="28"/>
        </w:rPr>
        <w:t>Мир</w:t>
      </w:r>
      <w:r w:rsidR="004D5599" w:rsidRPr="00262892">
        <w:rPr>
          <w:rFonts w:ascii="Times New Roman" w:hAnsi="Times New Roman" w:cs="Times New Roman"/>
          <w:sz w:val="28"/>
          <w:szCs w:val="28"/>
        </w:rPr>
        <w:t xml:space="preserve">; 2005. </w:t>
      </w:r>
      <w:r w:rsidR="004D5599" w:rsidRPr="00F15397">
        <w:rPr>
          <w:rFonts w:ascii="Times New Roman" w:hAnsi="Times New Roman" w:cs="Times New Roman"/>
          <w:sz w:val="28"/>
          <w:szCs w:val="28"/>
          <w:lang w:val="en-US"/>
        </w:rPr>
        <w:t xml:space="preserve">344 </w:t>
      </w:r>
      <w:r w:rsidR="004D5599">
        <w:rPr>
          <w:rFonts w:ascii="Times New Roman" w:hAnsi="Times New Roman" w:cs="Times New Roman"/>
          <w:sz w:val="28"/>
          <w:szCs w:val="28"/>
        </w:rPr>
        <w:t>с</w:t>
      </w:r>
      <w:r w:rsidR="004D5599" w:rsidRPr="00F15397">
        <w:rPr>
          <w:rFonts w:ascii="Times New Roman" w:hAnsi="Times New Roman" w:cs="Times New Roman"/>
          <w:sz w:val="28"/>
          <w:szCs w:val="28"/>
          <w:lang w:val="en-US"/>
        </w:rPr>
        <w:t>.</w:t>
      </w:r>
    </w:p>
    <w:p w:rsidR="003D5F4A" w:rsidRDefault="00A41939" w:rsidP="00F15397">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13</w:t>
      </w:r>
      <w:r>
        <w:rPr>
          <w:rFonts w:ascii="Times New Roman" w:hAnsi="Times New Roman" w:cs="Times New Roman"/>
          <w:sz w:val="28"/>
          <w:szCs w:val="28"/>
          <w:lang w:val="uk-UA"/>
        </w:rPr>
        <w:t>8</w:t>
      </w:r>
      <w:r w:rsidR="00F15397">
        <w:rPr>
          <w:rFonts w:ascii="Times New Roman" w:hAnsi="Times New Roman" w:cs="Times New Roman"/>
          <w:sz w:val="28"/>
          <w:szCs w:val="28"/>
          <w:lang w:val="en-US"/>
        </w:rPr>
        <w:t>.</w:t>
      </w:r>
      <w:r w:rsidR="003D5F4A">
        <w:rPr>
          <w:rFonts w:ascii="Times New Roman" w:hAnsi="Times New Roman" w:cs="Times New Roman"/>
          <w:sz w:val="28"/>
          <w:szCs w:val="28"/>
          <w:lang w:val="en-US"/>
        </w:rPr>
        <w:t xml:space="preserve"> </w:t>
      </w:r>
      <w:r w:rsidR="00F15397" w:rsidRPr="00F15397">
        <w:rPr>
          <w:rFonts w:ascii="Times New Roman" w:hAnsi="Times New Roman" w:cs="Times New Roman"/>
          <w:sz w:val="28"/>
          <w:szCs w:val="28"/>
          <w:lang w:val="en-US"/>
        </w:rPr>
        <w:t xml:space="preserve">ASE committee recommendations. Recommendations for Chamber Quantification: A Report from the American Society of Echocardiography’s Guidelines and Standards Committee and the Chamber Quantification Writing Group, Developed in Conjunction with the European Association of Echocardiography, a Branch of the European Society of Cardiology. </w:t>
      </w:r>
      <w:r w:rsidR="003D5F4A" w:rsidRPr="003D5F4A">
        <w:rPr>
          <w:rFonts w:ascii="Times New Roman" w:hAnsi="Times New Roman" w:cs="Times New Roman"/>
          <w:sz w:val="28"/>
          <w:szCs w:val="28"/>
          <w:lang w:val="en-US"/>
        </w:rPr>
        <w:t xml:space="preserve">J Am Soc Echocardiogr </w:t>
      </w:r>
      <w:r w:rsidR="00F15397" w:rsidRPr="00F15397">
        <w:rPr>
          <w:rFonts w:ascii="Times New Roman" w:hAnsi="Times New Roman" w:cs="Times New Roman"/>
          <w:sz w:val="28"/>
          <w:szCs w:val="28"/>
          <w:lang w:val="en-US"/>
        </w:rPr>
        <w:t xml:space="preserve">[Internet]. </w:t>
      </w:r>
      <w:r w:rsidR="00F15397">
        <w:rPr>
          <w:rFonts w:ascii="Times New Roman" w:hAnsi="Times New Roman" w:cs="Times New Roman"/>
          <w:sz w:val="28"/>
          <w:szCs w:val="28"/>
          <w:lang w:val="en-US"/>
        </w:rPr>
        <w:t>2005;18(12):1440-</w:t>
      </w:r>
      <w:r w:rsidR="00F15397" w:rsidRPr="00F15397">
        <w:rPr>
          <w:rFonts w:ascii="Times New Roman" w:hAnsi="Times New Roman" w:cs="Times New Roman"/>
          <w:sz w:val="28"/>
          <w:szCs w:val="28"/>
          <w:lang w:val="en-US"/>
        </w:rPr>
        <w:t>63.</w:t>
      </w:r>
      <w:r w:rsidR="00F15397">
        <w:rPr>
          <w:rFonts w:ascii="Times New Roman" w:hAnsi="Times New Roman" w:cs="Times New Roman"/>
          <w:sz w:val="28"/>
          <w:szCs w:val="28"/>
          <w:lang w:val="en-US"/>
        </w:rPr>
        <w:t xml:space="preserve"> </w:t>
      </w:r>
    </w:p>
    <w:p w:rsidR="00F15397" w:rsidRPr="00F15397" w:rsidRDefault="00F15397" w:rsidP="00F15397">
      <w:pPr>
        <w:spacing w:after="0" w:line="360" w:lineRule="auto"/>
        <w:jc w:val="both"/>
        <w:rPr>
          <w:rFonts w:ascii="Times New Roman" w:hAnsi="Times New Roman" w:cs="Times New Roman"/>
          <w:sz w:val="28"/>
          <w:szCs w:val="28"/>
          <w:lang w:val="en-US"/>
        </w:rPr>
      </w:pPr>
      <w:r w:rsidRPr="00F15397">
        <w:rPr>
          <w:rFonts w:ascii="Times New Roman" w:hAnsi="Times New Roman" w:cs="Times New Roman"/>
          <w:sz w:val="28"/>
          <w:szCs w:val="28"/>
          <w:lang w:val="en-US"/>
        </w:rPr>
        <w:t>Available from:</w:t>
      </w:r>
      <w:r>
        <w:rPr>
          <w:rFonts w:ascii="Times New Roman" w:hAnsi="Times New Roman" w:cs="Times New Roman"/>
          <w:sz w:val="28"/>
          <w:szCs w:val="28"/>
          <w:lang w:val="en-US"/>
        </w:rPr>
        <w:t xml:space="preserve"> </w:t>
      </w:r>
      <w:r w:rsidR="003D5F4A" w:rsidRPr="003D5F4A">
        <w:rPr>
          <w:rFonts w:ascii="Times New Roman" w:hAnsi="Times New Roman" w:cs="Times New Roman"/>
          <w:sz w:val="28"/>
          <w:szCs w:val="28"/>
          <w:lang w:val="en-US"/>
        </w:rPr>
        <w:t>https://www.onlinejase.com/article/S0894-7317(05)00983-1/pdf</w:t>
      </w:r>
    </w:p>
    <w:p w:rsidR="004D5599" w:rsidRDefault="003D5F4A"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r w:rsidRPr="003D5F4A">
        <w:rPr>
          <w:rFonts w:ascii="Times New Roman" w:hAnsi="Times New Roman" w:cs="Times New Roman"/>
          <w:sz w:val="28"/>
          <w:szCs w:val="28"/>
          <w:lang w:val="en-US"/>
        </w:rPr>
        <w:t>10.1016/j.echo.2005.10.005</w:t>
      </w:r>
    </w:p>
    <w:p w:rsidR="00C014F6" w:rsidRPr="00D47B05" w:rsidRDefault="002746C2" w:rsidP="00F90BD3">
      <w:pPr>
        <w:tabs>
          <w:tab w:val="left" w:pos="2880"/>
        </w:tabs>
        <w:spacing w:after="0" w:line="360" w:lineRule="auto"/>
        <w:jc w:val="both"/>
        <w:rPr>
          <w:rFonts w:ascii="Times New Roman" w:hAnsi="Times New Roman" w:cs="Times New Roman"/>
          <w:sz w:val="28"/>
          <w:szCs w:val="28"/>
        </w:rPr>
      </w:pPr>
      <w:r w:rsidRPr="0083391B">
        <w:rPr>
          <w:rFonts w:ascii="Times New Roman" w:hAnsi="Times New Roman" w:cs="Times New Roman"/>
          <w:sz w:val="28"/>
          <w:szCs w:val="28"/>
          <w:lang w:val="en-US"/>
        </w:rPr>
        <w:t>13</w:t>
      </w:r>
      <w:r w:rsidR="00A41939">
        <w:rPr>
          <w:rFonts w:ascii="Times New Roman" w:hAnsi="Times New Roman" w:cs="Times New Roman"/>
          <w:sz w:val="28"/>
          <w:szCs w:val="28"/>
          <w:lang w:val="uk-UA"/>
        </w:rPr>
        <w:t>9</w:t>
      </w:r>
      <w:r w:rsidR="003D5F4A" w:rsidRPr="0083391B">
        <w:rPr>
          <w:rFonts w:ascii="Times New Roman" w:hAnsi="Times New Roman" w:cs="Times New Roman"/>
          <w:sz w:val="28"/>
          <w:szCs w:val="28"/>
          <w:lang w:val="en-US"/>
        </w:rPr>
        <w:t xml:space="preserve">. </w:t>
      </w:r>
      <w:r w:rsidR="00C014F6">
        <w:rPr>
          <w:rFonts w:ascii="Times New Roman" w:hAnsi="Times New Roman" w:cs="Times New Roman"/>
          <w:sz w:val="28"/>
          <w:szCs w:val="28"/>
        </w:rPr>
        <w:t>Мітченко</w:t>
      </w:r>
      <w:r w:rsidR="00C014F6" w:rsidRPr="0083391B">
        <w:rPr>
          <w:rFonts w:ascii="Times New Roman" w:hAnsi="Times New Roman" w:cs="Times New Roman"/>
          <w:sz w:val="28"/>
          <w:szCs w:val="28"/>
          <w:lang w:val="en-US"/>
        </w:rPr>
        <w:t xml:space="preserve"> </w:t>
      </w:r>
      <w:r w:rsidR="00C014F6" w:rsidRPr="00C014F6">
        <w:rPr>
          <w:rFonts w:ascii="Times New Roman" w:hAnsi="Times New Roman" w:cs="Times New Roman"/>
          <w:sz w:val="28"/>
          <w:szCs w:val="28"/>
        </w:rPr>
        <w:t>ОІ</w:t>
      </w:r>
      <w:r w:rsidR="00C014F6" w:rsidRPr="0083391B">
        <w:rPr>
          <w:rFonts w:ascii="Times New Roman" w:hAnsi="Times New Roman" w:cs="Times New Roman"/>
          <w:sz w:val="28"/>
          <w:szCs w:val="28"/>
          <w:lang w:val="en-US"/>
        </w:rPr>
        <w:t>,</w:t>
      </w:r>
      <w:r w:rsidR="00C014F6" w:rsidRPr="0083391B">
        <w:rPr>
          <w:lang w:val="en-US"/>
        </w:rPr>
        <w:t xml:space="preserve"> </w:t>
      </w:r>
      <w:r w:rsidR="00C014F6" w:rsidRPr="00C014F6">
        <w:rPr>
          <w:rFonts w:ascii="Times New Roman" w:hAnsi="Times New Roman" w:cs="Times New Roman"/>
          <w:sz w:val="28"/>
          <w:szCs w:val="28"/>
        </w:rPr>
        <w:t>Лаврик</w:t>
      </w:r>
      <w:r w:rsidR="00C014F6" w:rsidRPr="0083391B">
        <w:rPr>
          <w:rFonts w:ascii="Times New Roman" w:hAnsi="Times New Roman" w:cs="Times New Roman"/>
          <w:sz w:val="28"/>
          <w:szCs w:val="28"/>
          <w:lang w:val="en-US"/>
        </w:rPr>
        <w:t xml:space="preserve"> </w:t>
      </w:r>
      <w:r w:rsidR="00C014F6">
        <w:rPr>
          <w:rFonts w:ascii="Times New Roman" w:hAnsi="Times New Roman" w:cs="Times New Roman"/>
          <w:sz w:val="28"/>
          <w:szCs w:val="28"/>
        </w:rPr>
        <w:t>АС</w:t>
      </w:r>
      <w:r w:rsidR="00C014F6" w:rsidRPr="0083391B">
        <w:rPr>
          <w:rFonts w:ascii="Times New Roman" w:hAnsi="Times New Roman" w:cs="Times New Roman"/>
          <w:sz w:val="28"/>
          <w:szCs w:val="28"/>
          <w:lang w:val="en-US"/>
        </w:rPr>
        <w:t xml:space="preserve">, </w:t>
      </w:r>
      <w:r w:rsidR="00C014F6" w:rsidRPr="00C014F6">
        <w:rPr>
          <w:rFonts w:ascii="Times New Roman" w:hAnsi="Times New Roman" w:cs="Times New Roman"/>
          <w:sz w:val="28"/>
          <w:szCs w:val="28"/>
        </w:rPr>
        <w:t>Шкрьоба</w:t>
      </w:r>
      <w:r w:rsidR="00C014F6" w:rsidRPr="0083391B">
        <w:rPr>
          <w:rFonts w:ascii="Times New Roman" w:hAnsi="Times New Roman" w:cs="Times New Roman"/>
          <w:sz w:val="28"/>
          <w:szCs w:val="28"/>
          <w:lang w:val="en-US"/>
        </w:rPr>
        <w:t xml:space="preserve"> </w:t>
      </w:r>
      <w:r w:rsidR="00C014F6">
        <w:rPr>
          <w:rFonts w:ascii="Times New Roman" w:hAnsi="Times New Roman" w:cs="Times New Roman"/>
          <w:sz w:val="28"/>
          <w:szCs w:val="28"/>
        </w:rPr>
        <w:t>АО</w:t>
      </w:r>
      <w:r w:rsidR="00C014F6" w:rsidRPr="0083391B">
        <w:rPr>
          <w:rFonts w:ascii="Times New Roman" w:hAnsi="Times New Roman" w:cs="Times New Roman"/>
          <w:sz w:val="28"/>
          <w:szCs w:val="28"/>
          <w:lang w:val="en-US"/>
        </w:rPr>
        <w:t xml:space="preserve">, </w:t>
      </w:r>
      <w:r w:rsidR="00C014F6">
        <w:rPr>
          <w:rFonts w:ascii="Times New Roman" w:hAnsi="Times New Roman" w:cs="Times New Roman"/>
          <w:sz w:val="28"/>
          <w:szCs w:val="28"/>
        </w:rPr>
        <w:t>Романов</w:t>
      </w:r>
      <w:r w:rsidR="00C014F6" w:rsidRPr="0083391B">
        <w:rPr>
          <w:rFonts w:ascii="Times New Roman" w:hAnsi="Times New Roman" w:cs="Times New Roman"/>
          <w:sz w:val="28"/>
          <w:szCs w:val="28"/>
          <w:lang w:val="en-US"/>
        </w:rPr>
        <w:t xml:space="preserve"> </w:t>
      </w:r>
      <w:r w:rsidR="00C014F6">
        <w:rPr>
          <w:rFonts w:ascii="Times New Roman" w:hAnsi="Times New Roman" w:cs="Times New Roman"/>
          <w:sz w:val="28"/>
          <w:szCs w:val="28"/>
        </w:rPr>
        <w:t>ВЮ</w:t>
      </w:r>
      <w:r w:rsidR="00C014F6" w:rsidRPr="0083391B">
        <w:rPr>
          <w:rFonts w:ascii="Times New Roman" w:hAnsi="Times New Roman" w:cs="Times New Roman"/>
          <w:sz w:val="28"/>
          <w:szCs w:val="28"/>
          <w:lang w:val="en-US"/>
        </w:rPr>
        <w:t xml:space="preserve">. </w:t>
      </w:r>
      <w:r w:rsidR="003D5F4A" w:rsidRPr="0083391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Вплив</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консервативних</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та</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хірургічних</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методів</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лікування</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ожиріння</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на</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структурно</w:t>
      </w:r>
      <w:r w:rsidR="003D5F4A" w:rsidRPr="006F556B">
        <w:rPr>
          <w:rFonts w:ascii="Times New Roman" w:hAnsi="Times New Roman" w:cs="Times New Roman"/>
          <w:sz w:val="28"/>
          <w:szCs w:val="28"/>
          <w:lang w:val="en-US"/>
        </w:rPr>
        <w:t>-</w:t>
      </w:r>
      <w:r w:rsidR="003D5F4A" w:rsidRPr="00C014F6">
        <w:rPr>
          <w:rFonts w:ascii="Times New Roman" w:hAnsi="Times New Roman" w:cs="Times New Roman"/>
          <w:sz w:val="28"/>
          <w:szCs w:val="28"/>
        </w:rPr>
        <w:t>функціональні</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показники</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лівого</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шлуночка</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в</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пацієнтів</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з</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морбідним</w:t>
      </w:r>
      <w:r w:rsidR="003D5F4A"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lastRenderedPageBreak/>
        <w:t>ожирінн</w:t>
      </w:r>
      <w:r w:rsidR="00C014F6">
        <w:rPr>
          <w:rFonts w:ascii="Times New Roman" w:hAnsi="Times New Roman" w:cs="Times New Roman"/>
          <w:sz w:val="28"/>
          <w:szCs w:val="28"/>
        </w:rPr>
        <w:t>ям</w:t>
      </w:r>
      <w:r w:rsidR="00C014F6" w:rsidRPr="006F556B">
        <w:rPr>
          <w:rFonts w:ascii="Times New Roman" w:hAnsi="Times New Roman" w:cs="Times New Roman"/>
          <w:sz w:val="28"/>
          <w:szCs w:val="28"/>
          <w:lang w:val="en-US"/>
        </w:rPr>
        <w:t xml:space="preserve"> </w:t>
      </w:r>
      <w:r w:rsidR="00C014F6">
        <w:rPr>
          <w:rFonts w:ascii="Times New Roman" w:hAnsi="Times New Roman" w:cs="Times New Roman"/>
          <w:sz w:val="28"/>
          <w:szCs w:val="28"/>
        </w:rPr>
        <w:t>та</w:t>
      </w:r>
      <w:r w:rsidR="00C014F6" w:rsidRPr="006F556B">
        <w:rPr>
          <w:rFonts w:ascii="Times New Roman" w:hAnsi="Times New Roman" w:cs="Times New Roman"/>
          <w:sz w:val="28"/>
          <w:szCs w:val="28"/>
          <w:lang w:val="en-US"/>
        </w:rPr>
        <w:t xml:space="preserve"> </w:t>
      </w:r>
      <w:r w:rsidR="00C014F6">
        <w:rPr>
          <w:rFonts w:ascii="Times New Roman" w:hAnsi="Times New Roman" w:cs="Times New Roman"/>
          <w:sz w:val="28"/>
          <w:szCs w:val="28"/>
        </w:rPr>
        <w:t>артеріальною</w:t>
      </w:r>
      <w:r w:rsidR="00C014F6" w:rsidRPr="006F556B">
        <w:rPr>
          <w:rFonts w:ascii="Times New Roman" w:hAnsi="Times New Roman" w:cs="Times New Roman"/>
          <w:sz w:val="28"/>
          <w:szCs w:val="28"/>
          <w:lang w:val="en-US"/>
        </w:rPr>
        <w:t xml:space="preserve"> </w:t>
      </w:r>
      <w:r w:rsidR="00C014F6">
        <w:rPr>
          <w:rFonts w:ascii="Times New Roman" w:hAnsi="Times New Roman" w:cs="Times New Roman"/>
          <w:sz w:val="28"/>
          <w:szCs w:val="28"/>
        </w:rPr>
        <w:t>гіпертензією</w:t>
      </w:r>
      <w:r w:rsidR="00C014F6" w:rsidRPr="006F556B">
        <w:rPr>
          <w:rFonts w:ascii="Times New Roman" w:hAnsi="Times New Roman" w:cs="Times New Roman"/>
          <w:sz w:val="28"/>
          <w:szCs w:val="28"/>
          <w:lang w:val="en-US"/>
        </w:rPr>
        <w:t xml:space="preserve">. </w:t>
      </w:r>
      <w:r w:rsidR="003D5F4A" w:rsidRPr="00C014F6">
        <w:rPr>
          <w:rFonts w:ascii="Times New Roman" w:hAnsi="Times New Roman" w:cs="Times New Roman"/>
          <w:sz w:val="28"/>
          <w:szCs w:val="28"/>
        </w:rPr>
        <w:t>Український</w:t>
      </w:r>
      <w:r w:rsidR="003D5F4A" w:rsidRPr="00262892">
        <w:rPr>
          <w:rFonts w:ascii="Times New Roman" w:hAnsi="Times New Roman" w:cs="Times New Roman"/>
          <w:sz w:val="28"/>
          <w:szCs w:val="28"/>
        </w:rPr>
        <w:t xml:space="preserve"> </w:t>
      </w:r>
      <w:r w:rsidR="003D5F4A" w:rsidRPr="00C014F6">
        <w:rPr>
          <w:rFonts w:ascii="Times New Roman" w:hAnsi="Times New Roman" w:cs="Times New Roman"/>
          <w:sz w:val="28"/>
          <w:szCs w:val="28"/>
        </w:rPr>
        <w:t>кардіологічний</w:t>
      </w:r>
      <w:r w:rsidR="003D5F4A" w:rsidRPr="00262892">
        <w:rPr>
          <w:rFonts w:ascii="Times New Roman" w:hAnsi="Times New Roman" w:cs="Times New Roman"/>
          <w:sz w:val="28"/>
          <w:szCs w:val="28"/>
        </w:rPr>
        <w:t xml:space="preserve"> </w:t>
      </w:r>
      <w:r w:rsidR="003D5F4A" w:rsidRPr="00C014F6">
        <w:rPr>
          <w:rFonts w:ascii="Times New Roman" w:hAnsi="Times New Roman" w:cs="Times New Roman"/>
          <w:sz w:val="28"/>
          <w:szCs w:val="28"/>
        </w:rPr>
        <w:t>журнал</w:t>
      </w:r>
      <w:r w:rsidR="00C014F6" w:rsidRPr="00262892">
        <w:rPr>
          <w:rFonts w:ascii="Times New Roman" w:hAnsi="Times New Roman" w:cs="Times New Roman"/>
          <w:sz w:val="28"/>
          <w:szCs w:val="28"/>
        </w:rPr>
        <w:t xml:space="preserve"> [</w:t>
      </w:r>
      <w:r w:rsidR="00C014F6">
        <w:rPr>
          <w:rFonts w:ascii="Times New Roman" w:hAnsi="Times New Roman" w:cs="Times New Roman"/>
          <w:sz w:val="28"/>
          <w:szCs w:val="28"/>
          <w:lang w:val="uk-UA"/>
        </w:rPr>
        <w:t>Інтернет</w:t>
      </w:r>
      <w:r w:rsidR="00C014F6" w:rsidRPr="00262892">
        <w:rPr>
          <w:rFonts w:ascii="Times New Roman" w:hAnsi="Times New Roman" w:cs="Times New Roman"/>
          <w:sz w:val="28"/>
          <w:szCs w:val="28"/>
        </w:rPr>
        <w:t>]. 2014;3:22-</w:t>
      </w:r>
      <w:r w:rsidR="003D5F4A" w:rsidRPr="00262892">
        <w:rPr>
          <w:rFonts w:ascii="Times New Roman" w:hAnsi="Times New Roman" w:cs="Times New Roman"/>
          <w:sz w:val="28"/>
          <w:szCs w:val="28"/>
        </w:rPr>
        <w:t>8</w:t>
      </w:r>
      <w:r w:rsidR="00C014F6" w:rsidRPr="00262892">
        <w:rPr>
          <w:rFonts w:ascii="Times New Roman" w:hAnsi="Times New Roman" w:cs="Times New Roman"/>
          <w:sz w:val="28"/>
          <w:szCs w:val="28"/>
        </w:rPr>
        <w:t xml:space="preserve">. </w:t>
      </w:r>
      <w:r w:rsidR="00C014F6" w:rsidRPr="00C014F6">
        <w:rPr>
          <w:rFonts w:ascii="Times New Roman" w:hAnsi="Times New Roman" w:cs="Times New Roman"/>
          <w:sz w:val="28"/>
          <w:szCs w:val="28"/>
        </w:rPr>
        <w:t>Доступно</w:t>
      </w:r>
      <w:r w:rsidR="00C014F6" w:rsidRPr="00D47B05">
        <w:rPr>
          <w:rFonts w:ascii="Times New Roman" w:hAnsi="Times New Roman" w:cs="Times New Roman"/>
          <w:sz w:val="28"/>
          <w:szCs w:val="28"/>
        </w:rPr>
        <w:t xml:space="preserve"> </w:t>
      </w:r>
      <w:r w:rsidR="00C014F6" w:rsidRPr="00C014F6">
        <w:rPr>
          <w:rFonts w:ascii="Times New Roman" w:hAnsi="Times New Roman" w:cs="Times New Roman"/>
          <w:sz w:val="28"/>
          <w:szCs w:val="28"/>
        </w:rPr>
        <w:t>на</w:t>
      </w:r>
      <w:r w:rsidR="00C014F6" w:rsidRPr="00D47B05">
        <w:rPr>
          <w:rFonts w:ascii="Times New Roman" w:hAnsi="Times New Roman" w:cs="Times New Roman"/>
          <w:sz w:val="28"/>
          <w:szCs w:val="28"/>
        </w:rPr>
        <w:t xml:space="preserve">: </w:t>
      </w:r>
    </w:p>
    <w:p w:rsidR="003D5F4A" w:rsidRPr="00D47B05" w:rsidRDefault="00C014F6" w:rsidP="00F90BD3">
      <w:pPr>
        <w:tabs>
          <w:tab w:val="left" w:pos="2880"/>
        </w:tabs>
        <w:spacing w:after="0" w:line="360" w:lineRule="auto"/>
        <w:jc w:val="both"/>
        <w:rPr>
          <w:rFonts w:ascii="Times New Roman" w:hAnsi="Times New Roman" w:cs="Times New Roman"/>
          <w:sz w:val="28"/>
          <w:szCs w:val="28"/>
        </w:rPr>
      </w:pPr>
      <w:r w:rsidRPr="00C014F6">
        <w:rPr>
          <w:rFonts w:ascii="Times New Roman" w:hAnsi="Times New Roman" w:cs="Times New Roman"/>
          <w:sz w:val="28"/>
          <w:szCs w:val="28"/>
          <w:lang w:val="en-US"/>
        </w:rPr>
        <w:t>http</w:t>
      </w:r>
      <w:r w:rsidRPr="00D47B05">
        <w:rPr>
          <w:rFonts w:ascii="Times New Roman" w:hAnsi="Times New Roman" w:cs="Times New Roman"/>
          <w:sz w:val="28"/>
          <w:szCs w:val="28"/>
        </w:rPr>
        <w:t>://</w:t>
      </w:r>
      <w:r w:rsidRPr="00C014F6">
        <w:rPr>
          <w:rFonts w:ascii="Times New Roman" w:hAnsi="Times New Roman" w:cs="Times New Roman"/>
          <w:sz w:val="28"/>
          <w:szCs w:val="28"/>
          <w:lang w:val="en-US"/>
        </w:rPr>
        <w:t>journal</w:t>
      </w:r>
      <w:r w:rsidRPr="00D47B05">
        <w:rPr>
          <w:rFonts w:ascii="Times New Roman" w:hAnsi="Times New Roman" w:cs="Times New Roman"/>
          <w:sz w:val="28"/>
          <w:szCs w:val="28"/>
        </w:rPr>
        <w:t>.</w:t>
      </w:r>
      <w:r w:rsidRPr="00C014F6">
        <w:rPr>
          <w:rFonts w:ascii="Times New Roman" w:hAnsi="Times New Roman" w:cs="Times New Roman"/>
          <w:sz w:val="28"/>
          <w:szCs w:val="28"/>
          <w:lang w:val="en-US"/>
        </w:rPr>
        <w:t>ukrcardio</w:t>
      </w:r>
      <w:r w:rsidRPr="00D47B05">
        <w:rPr>
          <w:rFonts w:ascii="Times New Roman" w:hAnsi="Times New Roman" w:cs="Times New Roman"/>
          <w:sz w:val="28"/>
          <w:szCs w:val="28"/>
        </w:rPr>
        <w:t>.</w:t>
      </w:r>
      <w:r w:rsidRPr="00C014F6">
        <w:rPr>
          <w:rFonts w:ascii="Times New Roman" w:hAnsi="Times New Roman" w:cs="Times New Roman"/>
          <w:sz w:val="28"/>
          <w:szCs w:val="28"/>
          <w:lang w:val="en-US"/>
        </w:rPr>
        <w:t>org</w:t>
      </w:r>
      <w:r w:rsidRPr="00D47B05">
        <w:rPr>
          <w:rFonts w:ascii="Times New Roman" w:hAnsi="Times New Roman" w:cs="Times New Roman"/>
          <w:sz w:val="28"/>
          <w:szCs w:val="28"/>
        </w:rPr>
        <w:t>/</w:t>
      </w:r>
      <w:r w:rsidRPr="00C014F6">
        <w:rPr>
          <w:rFonts w:ascii="Times New Roman" w:hAnsi="Times New Roman" w:cs="Times New Roman"/>
          <w:sz w:val="28"/>
          <w:szCs w:val="28"/>
          <w:lang w:val="en-US"/>
        </w:rPr>
        <w:t>wp</w:t>
      </w:r>
      <w:r w:rsidRPr="00D47B05">
        <w:rPr>
          <w:rFonts w:ascii="Times New Roman" w:hAnsi="Times New Roman" w:cs="Times New Roman"/>
          <w:sz w:val="28"/>
          <w:szCs w:val="28"/>
        </w:rPr>
        <w:t>-</w:t>
      </w:r>
      <w:r w:rsidRPr="00C014F6">
        <w:rPr>
          <w:rFonts w:ascii="Times New Roman" w:hAnsi="Times New Roman" w:cs="Times New Roman"/>
          <w:sz w:val="28"/>
          <w:szCs w:val="28"/>
          <w:lang w:val="en-US"/>
        </w:rPr>
        <w:t>content</w:t>
      </w:r>
      <w:r w:rsidRPr="00D47B05">
        <w:rPr>
          <w:rFonts w:ascii="Times New Roman" w:hAnsi="Times New Roman" w:cs="Times New Roman"/>
          <w:sz w:val="28"/>
          <w:szCs w:val="28"/>
        </w:rPr>
        <w:t>/</w:t>
      </w:r>
      <w:r w:rsidRPr="00C014F6">
        <w:rPr>
          <w:rFonts w:ascii="Times New Roman" w:hAnsi="Times New Roman" w:cs="Times New Roman"/>
          <w:sz w:val="28"/>
          <w:szCs w:val="28"/>
          <w:lang w:val="en-US"/>
        </w:rPr>
        <w:t>uploads</w:t>
      </w:r>
      <w:r w:rsidRPr="00D47B05">
        <w:rPr>
          <w:rFonts w:ascii="Times New Roman" w:hAnsi="Times New Roman" w:cs="Times New Roman"/>
          <w:sz w:val="28"/>
          <w:szCs w:val="28"/>
        </w:rPr>
        <w:t>/2014/03/2_3_2014.</w:t>
      </w:r>
      <w:r w:rsidRPr="00C014F6">
        <w:rPr>
          <w:rFonts w:ascii="Times New Roman" w:hAnsi="Times New Roman" w:cs="Times New Roman"/>
          <w:sz w:val="28"/>
          <w:szCs w:val="28"/>
          <w:lang w:val="en-US"/>
        </w:rPr>
        <w:t>pdf</w:t>
      </w:r>
    </w:p>
    <w:p w:rsidR="00FF2442" w:rsidRDefault="002746C2"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A41939">
        <w:rPr>
          <w:rFonts w:ascii="Times New Roman" w:hAnsi="Times New Roman" w:cs="Times New Roman"/>
          <w:sz w:val="28"/>
          <w:szCs w:val="28"/>
          <w:lang w:val="uk-UA"/>
        </w:rPr>
        <w:t>40</w:t>
      </w:r>
      <w:r w:rsidR="003D5F4A">
        <w:rPr>
          <w:rFonts w:ascii="Times New Roman" w:hAnsi="Times New Roman" w:cs="Times New Roman"/>
          <w:sz w:val="28"/>
          <w:szCs w:val="28"/>
          <w:lang w:val="en-US"/>
        </w:rPr>
        <w:t xml:space="preserve">. </w:t>
      </w:r>
      <w:r w:rsidR="00C014F6">
        <w:rPr>
          <w:rFonts w:ascii="Times New Roman" w:hAnsi="Times New Roman" w:cs="Times New Roman"/>
          <w:sz w:val="28"/>
          <w:szCs w:val="28"/>
          <w:lang w:val="en-US"/>
        </w:rPr>
        <w:t>Armstrong AC</w:t>
      </w:r>
      <w:r w:rsidR="00C014F6" w:rsidRPr="00C014F6">
        <w:rPr>
          <w:rFonts w:ascii="Times New Roman" w:hAnsi="Times New Roman" w:cs="Times New Roman"/>
          <w:sz w:val="28"/>
          <w:szCs w:val="28"/>
          <w:lang w:val="en-US"/>
        </w:rPr>
        <w:t xml:space="preserve">, Gidding S, Gjesdal O, Wu C, Bluemke DA, Lima JA. </w:t>
      </w:r>
      <w:r w:rsidR="003D5F4A" w:rsidRPr="003D5F4A">
        <w:rPr>
          <w:rFonts w:ascii="Times New Roman" w:hAnsi="Times New Roman" w:cs="Times New Roman"/>
          <w:sz w:val="28"/>
          <w:szCs w:val="28"/>
          <w:lang w:val="en-US"/>
        </w:rPr>
        <w:t>LV mass assessed by echocardiography and CMR, cardiovascular outcomes and medical practice</w:t>
      </w:r>
      <w:r w:rsidR="00C014F6">
        <w:rPr>
          <w:rFonts w:ascii="Times New Roman" w:hAnsi="Times New Roman" w:cs="Times New Roman"/>
          <w:sz w:val="28"/>
          <w:szCs w:val="28"/>
          <w:lang w:val="en-US"/>
        </w:rPr>
        <w:t>.</w:t>
      </w:r>
      <w:r w:rsidR="00C014F6" w:rsidRPr="00C014F6">
        <w:rPr>
          <w:lang w:val="en-US"/>
        </w:rPr>
        <w:t xml:space="preserve"> </w:t>
      </w:r>
      <w:r w:rsidR="00C014F6" w:rsidRPr="00C014F6">
        <w:rPr>
          <w:rFonts w:ascii="Times New Roman" w:hAnsi="Times New Roman" w:cs="Times New Roman"/>
          <w:sz w:val="28"/>
          <w:szCs w:val="28"/>
          <w:lang w:val="en-US"/>
        </w:rPr>
        <w:t>JACC Cardiovasc Imaging</w:t>
      </w:r>
      <w:r w:rsidR="00C014F6">
        <w:rPr>
          <w:rFonts w:ascii="Times New Roman" w:hAnsi="Times New Roman" w:cs="Times New Roman"/>
          <w:sz w:val="28"/>
          <w:szCs w:val="28"/>
          <w:lang w:val="en-US"/>
        </w:rPr>
        <w:t xml:space="preserve"> [Internet]</w:t>
      </w:r>
      <w:r w:rsidR="00C014F6" w:rsidRPr="00C014F6">
        <w:rPr>
          <w:rFonts w:ascii="Times New Roman" w:hAnsi="Times New Roman" w:cs="Times New Roman"/>
          <w:sz w:val="28"/>
          <w:szCs w:val="28"/>
          <w:lang w:val="en-US"/>
        </w:rPr>
        <w:t>. 2012 Aug;5(8):837-48.</w:t>
      </w:r>
      <w:r w:rsidR="00C014F6">
        <w:rPr>
          <w:rFonts w:ascii="Times New Roman" w:hAnsi="Times New Roman" w:cs="Times New Roman"/>
          <w:sz w:val="28"/>
          <w:szCs w:val="28"/>
          <w:lang w:val="en-US"/>
        </w:rPr>
        <w:t xml:space="preserve"> </w:t>
      </w:r>
      <w:r w:rsidR="00C014F6" w:rsidRPr="00C014F6">
        <w:rPr>
          <w:rFonts w:ascii="Times New Roman" w:hAnsi="Times New Roman" w:cs="Times New Roman"/>
          <w:sz w:val="28"/>
          <w:szCs w:val="28"/>
          <w:lang w:val="en-US"/>
        </w:rPr>
        <w:t>Available from:</w:t>
      </w:r>
      <w:r w:rsidR="00C014F6">
        <w:rPr>
          <w:rFonts w:ascii="Times New Roman" w:hAnsi="Times New Roman" w:cs="Times New Roman"/>
          <w:sz w:val="28"/>
          <w:szCs w:val="28"/>
          <w:lang w:val="en-US"/>
        </w:rPr>
        <w:t xml:space="preserve"> </w:t>
      </w:r>
      <w:hyperlink r:id="rId99" w:history="1">
        <w:r w:rsidR="00C014F6" w:rsidRPr="00C014F6">
          <w:rPr>
            <w:rStyle w:val="a9"/>
            <w:rFonts w:ascii="Times New Roman" w:hAnsi="Times New Roman" w:cs="Times New Roman"/>
            <w:color w:val="auto"/>
            <w:sz w:val="28"/>
            <w:szCs w:val="28"/>
            <w:u w:val="none"/>
            <w:lang w:val="en-US"/>
          </w:rPr>
          <w:t>https://www.ncbi.nlm.nih.gov/pmc/articles/PMC3501209/</w:t>
        </w:r>
      </w:hyperlink>
    </w:p>
    <w:p w:rsidR="002746C2" w:rsidRDefault="00C014F6"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6F556B">
        <w:rPr>
          <w:rFonts w:ascii="Times New Roman" w:hAnsi="Times New Roman" w:cs="Times New Roman"/>
          <w:sz w:val="28"/>
          <w:szCs w:val="28"/>
          <w:lang w:val="en-US"/>
        </w:rPr>
        <w:t>: 10.1016/</w:t>
      </w:r>
      <w:r w:rsidRPr="00C014F6">
        <w:rPr>
          <w:rFonts w:ascii="Times New Roman" w:hAnsi="Times New Roman" w:cs="Times New Roman"/>
          <w:sz w:val="28"/>
          <w:szCs w:val="28"/>
          <w:lang w:val="en-US"/>
        </w:rPr>
        <w:t>j</w:t>
      </w:r>
      <w:r w:rsidRPr="006F556B">
        <w:rPr>
          <w:rFonts w:ascii="Times New Roman" w:hAnsi="Times New Roman" w:cs="Times New Roman"/>
          <w:sz w:val="28"/>
          <w:szCs w:val="28"/>
          <w:lang w:val="en-US"/>
        </w:rPr>
        <w:t>.</w:t>
      </w:r>
      <w:r w:rsidRPr="00C014F6">
        <w:rPr>
          <w:rFonts w:ascii="Times New Roman" w:hAnsi="Times New Roman" w:cs="Times New Roman"/>
          <w:sz w:val="28"/>
          <w:szCs w:val="28"/>
          <w:lang w:val="en-US"/>
        </w:rPr>
        <w:t>jcmg</w:t>
      </w:r>
      <w:r w:rsidR="004472C4">
        <w:rPr>
          <w:rFonts w:ascii="Times New Roman" w:hAnsi="Times New Roman" w:cs="Times New Roman"/>
          <w:sz w:val="28"/>
          <w:szCs w:val="28"/>
          <w:lang w:val="en-US"/>
        </w:rPr>
        <w:t>.2012.06.003</w:t>
      </w:r>
    </w:p>
    <w:p w:rsidR="00E80E03" w:rsidRDefault="00A41939"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Pr>
          <w:rFonts w:ascii="Times New Roman" w:hAnsi="Times New Roman" w:cs="Times New Roman"/>
          <w:sz w:val="28"/>
          <w:szCs w:val="28"/>
          <w:lang w:val="uk-UA"/>
        </w:rPr>
        <w:t>1</w:t>
      </w:r>
      <w:r w:rsidR="00623E6B">
        <w:rPr>
          <w:rFonts w:ascii="Times New Roman" w:hAnsi="Times New Roman" w:cs="Times New Roman"/>
          <w:sz w:val="28"/>
          <w:szCs w:val="28"/>
          <w:lang w:val="en-US"/>
        </w:rPr>
        <w:t>.</w:t>
      </w:r>
      <w:r w:rsidR="00623E6B">
        <w:rPr>
          <w:rFonts w:ascii="Times New Roman" w:hAnsi="Times New Roman" w:cs="Times New Roman"/>
          <w:sz w:val="28"/>
          <w:szCs w:val="28"/>
          <w:lang w:val="uk-UA"/>
        </w:rPr>
        <w:t xml:space="preserve"> </w:t>
      </w:r>
      <w:r w:rsidR="00623E6B" w:rsidRPr="00623E6B">
        <w:rPr>
          <w:rFonts w:ascii="Times New Roman" w:hAnsi="Times New Roman" w:cs="Times New Roman"/>
          <w:sz w:val="28"/>
          <w:szCs w:val="28"/>
          <w:lang w:val="uk-UA"/>
        </w:rPr>
        <w:t>Angelantonio</w:t>
      </w:r>
      <w:r w:rsidR="00623E6B">
        <w:rPr>
          <w:rFonts w:ascii="Times New Roman" w:hAnsi="Times New Roman" w:cs="Times New Roman"/>
          <w:sz w:val="28"/>
          <w:szCs w:val="28"/>
          <w:lang w:val="uk-UA"/>
        </w:rPr>
        <w:t xml:space="preserve"> Е</w:t>
      </w:r>
      <w:r w:rsidR="00623E6B">
        <w:rPr>
          <w:rFonts w:ascii="Times New Roman" w:hAnsi="Times New Roman" w:cs="Times New Roman"/>
          <w:sz w:val="28"/>
          <w:szCs w:val="28"/>
          <w:lang w:val="en-US"/>
        </w:rPr>
        <w:t>D</w:t>
      </w:r>
      <w:r w:rsidR="00623E6B">
        <w:rPr>
          <w:rFonts w:ascii="Times New Roman" w:hAnsi="Times New Roman" w:cs="Times New Roman"/>
          <w:sz w:val="28"/>
          <w:szCs w:val="28"/>
          <w:lang w:val="uk-UA"/>
        </w:rPr>
        <w:t xml:space="preserve">, </w:t>
      </w:r>
      <w:r w:rsidR="00623E6B" w:rsidRPr="00623E6B">
        <w:rPr>
          <w:rFonts w:ascii="Times New Roman" w:hAnsi="Times New Roman" w:cs="Times New Roman"/>
          <w:sz w:val="28"/>
          <w:szCs w:val="28"/>
          <w:lang w:val="uk-UA"/>
        </w:rPr>
        <w:t>Gao</w:t>
      </w:r>
      <w:r w:rsidR="00623E6B">
        <w:rPr>
          <w:rFonts w:ascii="Times New Roman" w:hAnsi="Times New Roman" w:cs="Times New Roman"/>
          <w:sz w:val="28"/>
          <w:szCs w:val="28"/>
          <w:lang w:val="en-US"/>
        </w:rPr>
        <w:t xml:space="preserve"> P</w:t>
      </w:r>
      <w:r w:rsidR="00623E6B">
        <w:rPr>
          <w:rFonts w:ascii="Times New Roman" w:hAnsi="Times New Roman" w:cs="Times New Roman"/>
          <w:sz w:val="28"/>
          <w:szCs w:val="28"/>
          <w:lang w:val="uk-UA"/>
        </w:rPr>
        <w:t xml:space="preserve">, </w:t>
      </w:r>
      <w:r w:rsidR="00623E6B" w:rsidRPr="00623E6B">
        <w:rPr>
          <w:rFonts w:ascii="Times New Roman" w:hAnsi="Times New Roman" w:cs="Times New Roman"/>
          <w:sz w:val="28"/>
          <w:szCs w:val="28"/>
          <w:lang w:val="uk-UA"/>
        </w:rPr>
        <w:t>Khan</w:t>
      </w:r>
      <w:r w:rsidR="00623E6B">
        <w:rPr>
          <w:rFonts w:ascii="Times New Roman" w:hAnsi="Times New Roman" w:cs="Times New Roman"/>
          <w:sz w:val="28"/>
          <w:szCs w:val="28"/>
          <w:lang w:val="en-US"/>
        </w:rPr>
        <w:t xml:space="preserve"> H</w:t>
      </w:r>
      <w:r w:rsidR="00623E6B">
        <w:rPr>
          <w:rFonts w:ascii="Times New Roman" w:hAnsi="Times New Roman" w:cs="Times New Roman"/>
          <w:sz w:val="28"/>
          <w:szCs w:val="28"/>
          <w:lang w:val="uk-UA"/>
        </w:rPr>
        <w:t>,</w:t>
      </w:r>
      <w:r w:rsidR="00623E6B" w:rsidRPr="00623E6B">
        <w:rPr>
          <w:rFonts w:ascii="Times New Roman" w:hAnsi="Times New Roman" w:cs="Times New Roman"/>
          <w:sz w:val="28"/>
          <w:szCs w:val="28"/>
          <w:lang w:val="uk-UA"/>
        </w:rPr>
        <w:t xml:space="preserve"> Butterworth</w:t>
      </w:r>
      <w:r w:rsidR="00623E6B">
        <w:rPr>
          <w:rFonts w:ascii="Times New Roman" w:hAnsi="Times New Roman" w:cs="Times New Roman"/>
          <w:sz w:val="28"/>
          <w:szCs w:val="28"/>
          <w:lang w:val="en-US"/>
        </w:rPr>
        <w:t xml:space="preserve"> AS</w:t>
      </w:r>
      <w:r w:rsidR="00623E6B">
        <w:rPr>
          <w:rFonts w:ascii="Times New Roman" w:hAnsi="Times New Roman" w:cs="Times New Roman"/>
          <w:sz w:val="28"/>
          <w:szCs w:val="28"/>
          <w:lang w:val="uk-UA"/>
        </w:rPr>
        <w:t xml:space="preserve">, </w:t>
      </w:r>
      <w:r w:rsidR="00623E6B" w:rsidRPr="00623E6B">
        <w:rPr>
          <w:rFonts w:ascii="Times New Roman" w:hAnsi="Times New Roman" w:cs="Times New Roman"/>
          <w:sz w:val="28"/>
          <w:szCs w:val="28"/>
          <w:lang w:val="uk-UA"/>
        </w:rPr>
        <w:t>Wormser</w:t>
      </w:r>
      <w:r w:rsidR="00623E6B">
        <w:rPr>
          <w:rFonts w:ascii="Times New Roman" w:hAnsi="Times New Roman" w:cs="Times New Roman"/>
          <w:sz w:val="28"/>
          <w:szCs w:val="28"/>
          <w:lang w:val="en-US"/>
        </w:rPr>
        <w:t xml:space="preserve"> D</w:t>
      </w:r>
      <w:r w:rsidR="00623E6B">
        <w:rPr>
          <w:rFonts w:ascii="Times New Roman" w:hAnsi="Times New Roman" w:cs="Times New Roman"/>
          <w:sz w:val="28"/>
          <w:szCs w:val="28"/>
          <w:lang w:val="uk-UA"/>
        </w:rPr>
        <w:t>,</w:t>
      </w:r>
      <w:r w:rsidR="00623E6B" w:rsidRPr="00623E6B">
        <w:rPr>
          <w:rFonts w:ascii="Times New Roman" w:hAnsi="Times New Roman" w:cs="Times New Roman"/>
          <w:sz w:val="28"/>
          <w:szCs w:val="28"/>
          <w:lang w:val="uk-UA"/>
        </w:rPr>
        <w:t xml:space="preserve"> Kaptoge</w:t>
      </w:r>
      <w:r w:rsidR="00623E6B">
        <w:rPr>
          <w:rFonts w:ascii="Times New Roman" w:hAnsi="Times New Roman" w:cs="Times New Roman"/>
          <w:sz w:val="28"/>
          <w:szCs w:val="28"/>
          <w:lang w:val="en-US"/>
        </w:rPr>
        <w:t xml:space="preserve"> S</w:t>
      </w:r>
      <w:r w:rsidR="00623E6B" w:rsidRPr="00623E6B">
        <w:rPr>
          <w:rFonts w:ascii="Times New Roman" w:hAnsi="Times New Roman" w:cs="Times New Roman"/>
          <w:sz w:val="28"/>
          <w:szCs w:val="28"/>
          <w:lang w:val="uk-UA"/>
        </w:rPr>
        <w:t xml:space="preserve">, </w:t>
      </w:r>
      <w:r w:rsidR="00623E6B">
        <w:rPr>
          <w:rFonts w:ascii="Times New Roman" w:hAnsi="Times New Roman" w:cs="Times New Roman"/>
          <w:sz w:val="28"/>
          <w:szCs w:val="28"/>
          <w:lang w:val="en-US"/>
        </w:rPr>
        <w:t xml:space="preserve">et al. </w:t>
      </w:r>
      <w:r w:rsidR="00623E6B" w:rsidRPr="00623E6B">
        <w:rPr>
          <w:rFonts w:ascii="Times New Roman" w:hAnsi="Times New Roman" w:cs="Times New Roman"/>
          <w:sz w:val="28"/>
          <w:szCs w:val="28"/>
          <w:lang w:val="en-US"/>
        </w:rPr>
        <w:t>Glycated Hemoglobin Measurement and Predict</w:t>
      </w:r>
      <w:r w:rsidR="00623E6B">
        <w:rPr>
          <w:rFonts w:ascii="Times New Roman" w:hAnsi="Times New Roman" w:cs="Times New Roman"/>
          <w:sz w:val="28"/>
          <w:szCs w:val="28"/>
          <w:lang w:val="en-US"/>
        </w:rPr>
        <w:t xml:space="preserve">ion of Cardiovascular Disease. </w:t>
      </w:r>
      <w:r w:rsidR="00623E6B" w:rsidRPr="00623E6B">
        <w:rPr>
          <w:rFonts w:ascii="Times New Roman" w:hAnsi="Times New Roman" w:cs="Times New Roman"/>
          <w:sz w:val="28"/>
          <w:szCs w:val="28"/>
          <w:lang w:val="en-US"/>
        </w:rPr>
        <w:t>JAMA</w:t>
      </w:r>
      <w:r w:rsidR="00623E6B">
        <w:rPr>
          <w:rFonts w:ascii="Times New Roman" w:hAnsi="Times New Roman" w:cs="Times New Roman"/>
          <w:sz w:val="28"/>
          <w:szCs w:val="28"/>
          <w:lang w:val="en-US"/>
        </w:rPr>
        <w:t xml:space="preserve"> </w:t>
      </w:r>
      <w:r w:rsidR="00623E6B" w:rsidRPr="00623E6B">
        <w:rPr>
          <w:rFonts w:ascii="Times New Roman" w:hAnsi="Times New Roman" w:cs="Times New Roman"/>
          <w:sz w:val="28"/>
          <w:szCs w:val="28"/>
          <w:lang w:val="en-US"/>
        </w:rPr>
        <w:t>[Internet]</w:t>
      </w:r>
      <w:r w:rsidR="00623E6B">
        <w:rPr>
          <w:rFonts w:ascii="Times New Roman" w:hAnsi="Times New Roman" w:cs="Times New Roman"/>
          <w:sz w:val="28"/>
          <w:szCs w:val="28"/>
          <w:lang w:val="en-US"/>
        </w:rPr>
        <w:t>. 2014;311(12):1225-</w:t>
      </w:r>
      <w:r w:rsidR="00623E6B" w:rsidRPr="00623E6B">
        <w:rPr>
          <w:rFonts w:ascii="Times New Roman" w:hAnsi="Times New Roman" w:cs="Times New Roman"/>
          <w:sz w:val="28"/>
          <w:szCs w:val="28"/>
          <w:lang w:val="en-US"/>
        </w:rPr>
        <w:t xml:space="preserve">33. </w:t>
      </w:r>
      <w:r w:rsidR="00E80E03" w:rsidRPr="00E80E03">
        <w:rPr>
          <w:rFonts w:ascii="Times New Roman" w:hAnsi="Times New Roman" w:cs="Times New Roman"/>
          <w:sz w:val="28"/>
          <w:szCs w:val="28"/>
          <w:lang w:val="en-US"/>
        </w:rPr>
        <w:t>Available from:</w:t>
      </w:r>
      <w:r w:rsidR="00E80E03">
        <w:rPr>
          <w:rFonts w:ascii="Times New Roman" w:hAnsi="Times New Roman" w:cs="Times New Roman"/>
          <w:sz w:val="28"/>
          <w:szCs w:val="28"/>
          <w:lang w:val="en-US"/>
        </w:rPr>
        <w:t xml:space="preserve"> </w:t>
      </w:r>
    </w:p>
    <w:p w:rsidR="00623E6B" w:rsidRDefault="00E80E03" w:rsidP="00F90BD3">
      <w:pPr>
        <w:tabs>
          <w:tab w:val="left" w:pos="2880"/>
        </w:tabs>
        <w:spacing w:after="0" w:line="360" w:lineRule="auto"/>
        <w:jc w:val="both"/>
        <w:rPr>
          <w:rFonts w:ascii="Times New Roman" w:hAnsi="Times New Roman" w:cs="Times New Roman"/>
          <w:sz w:val="28"/>
          <w:szCs w:val="28"/>
          <w:lang w:val="en-US"/>
        </w:rPr>
      </w:pPr>
      <w:r w:rsidRPr="00E80E03">
        <w:rPr>
          <w:rFonts w:ascii="Times New Roman" w:hAnsi="Times New Roman" w:cs="Times New Roman"/>
          <w:sz w:val="28"/>
          <w:szCs w:val="28"/>
          <w:lang w:val="en-US"/>
        </w:rPr>
        <w:t>https://jamanetwork.com/journals/jama/fullarticle/1852370</w:t>
      </w:r>
    </w:p>
    <w:p w:rsidR="00C014F6" w:rsidRPr="009374FB" w:rsidRDefault="00E80E03"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00623E6B" w:rsidRPr="00623E6B">
        <w:rPr>
          <w:rFonts w:ascii="Times New Roman" w:hAnsi="Times New Roman" w:cs="Times New Roman"/>
          <w:sz w:val="28"/>
          <w:szCs w:val="28"/>
          <w:lang w:val="en-US"/>
        </w:rPr>
        <w:t>:10.1001/jama.2014.1873</w:t>
      </w:r>
    </w:p>
    <w:p w:rsidR="00E80E03" w:rsidRDefault="00A41939"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uk-UA"/>
        </w:rPr>
        <w:t>42</w:t>
      </w:r>
      <w:r w:rsidR="00E80E03">
        <w:rPr>
          <w:rFonts w:ascii="Times New Roman" w:hAnsi="Times New Roman" w:cs="Times New Roman"/>
          <w:sz w:val="28"/>
          <w:szCs w:val="28"/>
          <w:lang w:val="en-US"/>
        </w:rPr>
        <w:t>. Nathan D</w:t>
      </w:r>
      <w:r w:rsidR="00E80E03" w:rsidRPr="00E80E03">
        <w:rPr>
          <w:rFonts w:ascii="Times New Roman" w:hAnsi="Times New Roman" w:cs="Times New Roman"/>
          <w:sz w:val="28"/>
          <w:szCs w:val="28"/>
          <w:lang w:val="en-US"/>
        </w:rPr>
        <w:t>M. The Diabetes Control and Complications Trial/Epidemiology of Diabetes Interventions and Complications Study at 30 Years: Overview</w:t>
      </w:r>
      <w:r w:rsidR="00E80E03">
        <w:rPr>
          <w:rFonts w:ascii="Times New Roman" w:hAnsi="Times New Roman" w:cs="Times New Roman"/>
          <w:sz w:val="28"/>
          <w:szCs w:val="28"/>
          <w:lang w:val="en-US"/>
        </w:rPr>
        <w:t xml:space="preserve">. </w:t>
      </w:r>
      <w:r w:rsidR="00E80E03" w:rsidRPr="00E80E03">
        <w:rPr>
          <w:rFonts w:ascii="Times New Roman" w:hAnsi="Times New Roman" w:cs="Times New Roman"/>
          <w:sz w:val="28"/>
          <w:szCs w:val="28"/>
          <w:lang w:val="en-US"/>
        </w:rPr>
        <w:t>Diabetes Care</w:t>
      </w:r>
      <w:r w:rsidR="00E80E03">
        <w:rPr>
          <w:rFonts w:ascii="Times New Roman" w:hAnsi="Times New Roman" w:cs="Times New Roman"/>
          <w:sz w:val="28"/>
          <w:szCs w:val="28"/>
          <w:lang w:val="en-US"/>
        </w:rPr>
        <w:t xml:space="preserve"> [Internet]. 2014 Jan;37(1):9-</w:t>
      </w:r>
      <w:r w:rsidR="00E80E03" w:rsidRPr="00E80E03">
        <w:rPr>
          <w:rFonts w:ascii="Times New Roman" w:hAnsi="Times New Roman" w:cs="Times New Roman"/>
          <w:sz w:val="28"/>
          <w:szCs w:val="28"/>
          <w:lang w:val="en-US"/>
        </w:rPr>
        <w:t>16.</w:t>
      </w:r>
      <w:r w:rsidR="00E80E03">
        <w:rPr>
          <w:rFonts w:ascii="Times New Roman" w:hAnsi="Times New Roman" w:cs="Times New Roman"/>
          <w:sz w:val="28"/>
          <w:szCs w:val="28"/>
          <w:lang w:val="en-US"/>
        </w:rPr>
        <w:t xml:space="preserve"> </w:t>
      </w:r>
      <w:r w:rsidR="00E80E03" w:rsidRPr="00E80E03">
        <w:rPr>
          <w:rFonts w:ascii="Times New Roman" w:hAnsi="Times New Roman" w:cs="Times New Roman"/>
          <w:sz w:val="28"/>
          <w:szCs w:val="28"/>
          <w:lang w:val="en-US"/>
        </w:rPr>
        <w:t>Available from:</w:t>
      </w:r>
      <w:r w:rsidR="00E80E03">
        <w:rPr>
          <w:rFonts w:ascii="Times New Roman" w:hAnsi="Times New Roman" w:cs="Times New Roman"/>
          <w:sz w:val="28"/>
          <w:szCs w:val="28"/>
          <w:lang w:val="en-US"/>
        </w:rPr>
        <w:t xml:space="preserve"> </w:t>
      </w:r>
    </w:p>
    <w:p w:rsidR="00E80E03" w:rsidRPr="00E80E03" w:rsidRDefault="000A6805" w:rsidP="00F90BD3">
      <w:pPr>
        <w:tabs>
          <w:tab w:val="left" w:pos="2880"/>
        </w:tabs>
        <w:spacing w:after="0" w:line="360" w:lineRule="auto"/>
        <w:jc w:val="both"/>
        <w:rPr>
          <w:rFonts w:ascii="Times New Roman" w:hAnsi="Times New Roman" w:cs="Times New Roman"/>
          <w:sz w:val="28"/>
          <w:szCs w:val="28"/>
          <w:lang w:val="en-US"/>
        </w:rPr>
      </w:pPr>
      <w:hyperlink r:id="rId100" w:history="1">
        <w:r w:rsidR="00E80E03" w:rsidRPr="00E80E03">
          <w:rPr>
            <w:rStyle w:val="a9"/>
            <w:rFonts w:ascii="Times New Roman" w:hAnsi="Times New Roman" w:cs="Times New Roman"/>
            <w:color w:val="auto"/>
            <w:sz w:val="28"/>
            <w:szCs w:val="28"/>
            <w:u w:val="none"/>
            <w:lang w:val="en-US"/>
          </w:rPr>
          <w:t>https://www.ncbi.nlm.nih.gov/pmc/articles/PMC3867999/</w:t>
        </w:r>
      </w:hyperlink>
    </w:p>
    <w:p w:rsidR="00657D40" w:rsidRPr="004302F8" w:rsidRDefault="00E80E03" w:rsidP="00F90BD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4302F8">
        <w:rPr>
          <w:rFonts w:ascii="Times New Roman" w:hAnsi="Times New Roman" w:cs="Times New Roman"/>
          <w:sz w:val="28"/>
          <w:szCs w:val="28"/>
          <w:lang w:val="en-US"/>
        </w:rPr>
        <w:t>: 10.2337/</w:t>
      </w:r>
      <w:r w:rsidRPr="00E80E03">
        <w:rPr>
          <w:rFonts w:ascii="Times New Roman" w:hAnsi="Times New Roman" w:cs="Times New Roman"/>
          <w:sz w:val="28"/>
          <w:szCs w:val="28"/>
          <w:lang w:val="en-US"/>
        </w:rPr>
        <w:t>dc</w:t>
      </w:r>
      <w:r w:rsidRPr="004302F8">
        <w:rPr>
          <w:rFonts w:ascii="Times New Roman" w:hAnsi="Times New Roman" w:cs="Times New Roman"/>
          <w:sz w:val="28"/>
          <w:szCs w:val="28"/>
          <w:lang w:val="en-US"/>
        </w:rPr>
        <w:t>13-2112</w:t>
      </w:r>
    </w:p>
    <w:p w:rsidR="00146815" w:rsidRPr="004472C4" w:rsidRDefault="00A41939"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14</w:t>
      </w:r>
      <w:r>
        <w:rPr>
          <w:rFonts w:ascii="Times New Roman" w:hAnsi="Times New Roman" w:cs="Times New Roman"/>
          <w:sz w:val="28"/>
          <w:szCs w:val="28"/>
          <w:lang w:val="uk-UA"/>
        </w:rPr>
        <w:t>3</w:t>
      </w:r>
      <w:r w:rsidR="00E80E03" w:rsidRPr="004302F8">
        <w:rPr>
          <w:rFonts w:ascii="Times New Roman" w:hAnsi="Times New Roman" w:cs="Times New Roman"/>
          <w:sz w:val="28"/>
          <w:szCs w:val="28"/>
          <w:lang w:val="en-US"/>
        </w:rPr>
        <w:t xml:space="preserve">. </w:t>
      </w:r>
      <w:r w:rsidR="00146815" w:rsidRPr="004472C4">
        <w:rPr>
          <w:rFonts w:ascii="Times New Roman" w:hAnsi="Times New Roman" w:cs="Times New Roman"/>
          <w:sz w:val="28"/>
          <w:szCs w:val="28"/>
          <w:lang w:val="uk-UA"/>
        </w:rPr>
        <w:t xml:space="preserve">Чернацька ОМ. Особливості ліпідного обміну в осіб з артеріальною гіпертензією і цукровим діабетом 2-го типу. J.Clin.Exp Med.Res [Internet].   2018;6(2):238-44. Available from: </w:t>
      </w:r>
    </w:p>
    <w:p w:rsidR="00E80E03" w:rsidRPr="004472C4" w:rsidRDefault="000A6805" w:rsidP="00F90BD3">
      <w:pPr>
        <w:tabs>
          <w:tab w:val="left" w:pos="2880"/>
        </w:tabs>
        <w:spacing w:after="0" w:line="360" w:lineRule="auto"/>
        <w:jc w:val="both"/>
        <w:rPr>
          <w:rFonts w:ascii="Times New Roman" w:hAnsi="Times New Roman" w:cs="Times New Roman"/>
          <w:sz w:val="28"/>
          <w:szCs w:val="28"/>
          <w:lang w:val="uk-UA"/>
        </w:rPr>
      </w:pPr>
      <w:hyperlink r:id="rId101" w:history="1">
        <w:r w:rsidR="00146815" w:rsidRPr="004472C4">
          <w:rPr>
            <w:rStyle w:val="a9"/>
            <w:rFonts w:ascii="Times New Roman" w:hAnsi="Times New Roman" w:cs="Times New Roman"/>
            <w:color w:val="auto"/>
            <w:sz w:val="28"/>
            <w:szCs w:val="28"/>
            <w:u w:val="none"/>
            <w:lang w:val="uk-UA"/>
          </w:rPr>
          <w:t>http://ujcem.med.sumdu.edu.ua/images/sampledata/2018/2/238244_2018-26.pdf</w:t>
        </w:r>
      </w:hyperlink>
    </w:p>
    <w:p w:rsidR="00146815" w:rsidRPr="004302F8" w:rsidRDefault="00146815" w:rsidP="00F90BD3">
      <w:pPr>
        <w:tabs>
          <w:tab w:val="left" w:pos="2880"/>
        </w:tabs>
        <w:spacing w:after="0" w:line="360" w:lineRule="auto"/>
        <w:jc w:val="both"/>
        <w:rPr>
          <w:rFonts w:ascii="Times New Roman" w:hAnsi="Times New Roman" w:cs="Times New Roman"/>
          <w:sz w:val="28"/>
          <w:szCs w:val="28"/>
        </w:rPr>
      </w:pPr>
      <w:r w:rsidRPr="004472C4">
        <w:rPr>
          <w:rFonts w:ascii="Times New Roman" w:hAnsi="Times New Roman" w:cs="Times New Roman"/>
          <w:sz w:val="28"/>
          <w:szCs w:val="28"/>
          <w:lang w:val="en-US"/>
        </w:rPr>
        <w:t>DOI</w:t>
      </w:r>
      <w:r w:rsidRPr="004472C4">
        <w:rPr>
          <w:rFonts w:ascii="Times New Roman" w:hAnsi="Times New Roman" w:cs="Times New Roman"/>
          <w:sz w:val="28"/>
          <w:szCs w:val="28"/>
        </w:rPr>
        <w:t>: 10.21272/</w:t>
      </w:r>
      <w:r w:rsidRPr="004472C4">
        <w:rPr>
          <w:rFonts w:ascii="Times New Roman" w:hAnsi="Times New Roman" w:cs="Times New Roman"/>
          <w:sz w:val="28"/>
          <w:szCs w:val="28"/>
          <w:lang w:val="en-US"/>
        </w:rPr>
        <w:t>jcemr</w:t>
      </w:r>
      <w:r w:rsidRPr="004472C4">
        <w:rPr>
          <w:rFonts w:ascii="Times New Roman" w:hAnsi="Times New Roman" w:cs="Times New Roman"/>
          <w:sz w:val="28"/>
          <w:szCs w:val="28"/>
        </w:rPr>
        <w:t>.2018.6(2):238–244</w:t>
      </w:r>
    </w:p>
    <w:p w:rsidR="001729BF" w:rsidRPr="001729BF" w:rsidRDefault="004472C4" w:rsidP="001729BF">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A41939">
        <w:rPr>
          <w:rFonts w:ascii="Times New Roman" w:hAnsi="Times New Roman" w:cs="Times New Roman"/>
          <w:sz w:val="28"/>
          <w:szCs w:val="28"/>
          <w:lang w:val="uk-UA"/>
        </w:rPr>
        <w:t>4</w:t>
      </w:r>
      <w:r w:rsidR="00146815" w:rsidRPr="00EE615C">
        <w:rPr>
          <w:rFonts w:ascii="Times New Roman" w:hAnsi="Times New Roman" w:cs="Times New Roman"/>
          <w:sz w:val="28"/>
          <w:szCs w:val="28"/>
        </w:rPr>
        <w:t xml:space="preserve">. </w:t>
      </w:r>
      <w:r w:rsidR="00EE615C" w:rsidRPr="00EE615C">
        <w:rPr>
          <w:rFonts w:ascii="Times New Roman" w:hAnsi="Times New Roman" w:cs="Times New Roman"/>
          <w:sz w:val="28"/>
          <w:szCs w:val="28"/>
        </w:rPr>
        <w:t>Токлуева Л. Р. Сравнительная оценка клинических, биохимических и функциональных параметров у асимптомных больных с поврежденными и неповрежденными покрышками нестабильных гемодинамически значимых атеросклеротических бля</w:t>
      </w:r>
      <w:r w:rsidR="00EE615C">
        <w:rPr>
          <w:rFonts w:ascii="Times New Roman" w:hAnsi="Times New Roman" w:cs="Times New Roman"/>
          <w:sz w:val="28"/>
          <w:szCs w:val="28"/>
        </w:rPr>
        <w:t>шек сонных артерій</w:t>
      </w:r>
      <w:r w:rsidR="00EE615C" w:rsidRPr="00EE615C">
        <w:rPr>
          <w:rFonts w:ascii="Times New Roman" w:hAnsi="Times New Roman" w:cs="Times New Roman"/>
          <w:sz w:val="28"/>
          <w:szCs w:val="28"/>
        </w:rPr>
        <w:t xml:space="preserve"> [диссертация </w:t>
      </w:r>
      <w:r w:rsidR="00EE615C">
        <w:rPr>
          <w:rFonts w:ascii="Times New Roman" w:hAnsi="Times New Roman" w:cs="Times New Roman"/>
          <w:sz w:val="28"/>
          <w:szCs w:val="28"/>
        </w:rPr>
        <w:t>в Интернете</w:t>
      </w:r>
      <w:r w:rsidR="00EE615C" w:rsidRPr="00EE615C">
        <w:rPr>
          <w:rFonts w:ascii="Times New Roman" w:hAnsi="Times New Roman" w:cs="Times New Roman"/>
          <w:sz w:val="28"/>
          <w:szCs w:val="28"/>
        </w:rPr>
        <w:t>]</w:t>
      </w:r>
      <w:r w:rsidR="00EE615C">
        <w:rPr>
          <w:rFonts w:ascii="Times New Roman" w:hAnsi="Times New Roman" w:cs="Times New Roman"/>
          <w:sz w:val="28"/>
          <w:szCs w:val="28"/>
        </w:rPr>
        <w:t xml:space="preserve">. Москва: </w:t>
      </w:r>
      <w:r w:rsidR="001729BF" w:rsidRPr="001729BF">
        <w:rPr>
          <w:rFonts w:ascii="Times New Roman" w:hAnsi="Times New Roman" w:cs="Times New Roman"/>
          <w:sz w:val="28"/>
          <w:szCs w:val="28"/>
        </w:rPr>
        <w:t>ФГБУ «Государственный научноисследовательский</w:t>
      </w:r>
    </w:p>
    <w:p w:rsidR="00146815" w:rsidRPr="001729BF" w:rsidRDefault="001729BF" w:rsidP="001729BF">
      <w:pPr>
        <w:tabs>
          <w:tab w:val="left" w:pos="2880"/>
        </w:tabs>
        <w:spacing w:after="0" w:line="360" w:lineRule="auto"/>
        <w:jc w:val="both"/>
        <w:rPr>
          <w:rFonts w:ascii="Times New Roman" w:hAnsi="Times New Roman" w:cs="Times New Roman"/>
          <w:sz w:val="28"/>
          <w:szCs w:val="28"/>
        </w:rPr>
      </w:pPr>
      <w:r w:rsidRPr="001729BF">
        <w:rPr>
          <w:rFonts w:ascii="Times New Roman" w:hAnsi="Times New Roman" w:cs="Times New Roman"/>
          <w:sz w:val="28"/>
          <w:szCs w:val="28"/>
        </w:rPr>
        <w:lastRenderedPageBreak/>
        <w:t xml:space="preserve">центр профилактической медицины» Минздрава России; </w:t>
      </w:r>
      <w:r w:rsidR="00EE615C">
        <w:rPr>
          <w:rFonts w:ascii="Times New Roman" w:hAnsi="Times New Roman" w:cs="Times New Roman"/>
          <w:sz w:val="28"/>
          <w:szCs w:val="28"/>
        </w:rPr>
        <w:t>2016. Доступно на:</w:t>
      </w:r>
      <w:r w:rsidR="0032434D" w:rsidRPr="0032434D">
        <w:t xml:space="preserve"> </w:t>
      </w:r>
      <w:r w:rsidR="0032434D" w:rsidRPr="0032434D">
        <w:rPr>
          <w:rFonts w:ascii="Times New Roman" w:hAnsi="Times New Roman" w:cs="Times New Roman"/>
          <w:sz w:val="28"/>
          <w:szCs w:val="28"/>
        </w:rPr>
        <w:t>https://www.gnicpm.ru/data/files/dictionary/1547/195/Dissertation_TokluevaLR.pdf</w:t>
      </w:r>
      <w:r w:rsidR="00EE615C">
        <w:rPr>
          <w:rFonts w:ascii="Times New Roman" w:hAnsi="Times New Roman" w:cs="Times New Roman"/>
          <w:sz w:val="28"/>
          <w:szCs w:val="28"/>
        </w:rPr>
        <w:t xml:space="preserve"> </w:t>
      </w:r>
      <w:r w:rsidRPr="001729BF">
        <w:rPr>
          <w:rFonts w:ascii="Times New Roman" w:hAnsi="Times New Roman" w:cs="Times New Roman"/>
          <w:sz w:val="28"/>
          <w:szCs w:val="28"/>
        </w:rPr>
        <w:t xml:space="preserve"> </w:t>
      </w:r>
    </w:p>
    <w:p w:rsidR="00EE615C" w:rsidRPr="006D39BB" w:rsidRDefault="004472C4"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A41939">
        <w:rPr>
          <w:rFonts w:ascii="Times New Roman" w:hAnsi="Times New Roman" w:cs="Times New Roman"/>
          <w:sz w:val="28"/>
          <w:szCs w:val="28"/>
          <w:lang w:val="uk-UA"/>
        </w:rPr>
        <w:t>5</w:t>
      </w:r>
      <w:r w:rsidR="00EE615C">
        <w:rPr>
          <w:rFonts w:ascii="Times New Roman" w:hAnsi="Times New Roman" w:cs="Times New Roman"/>
          <w:sz w:val="28"/>
          <w:szCs w:val="28"/>
          <w:lang w:val="uk-UA"/>
        </w:rPr>
        <w:t xml:space="preserve">. </w:t>
      </w:r>
      <w:r w:rsidR="001729BF" w:rsidRPr="004472C4">
        <w:rPr>
          <w:rFonts w:ascii="Times New Roman" w:hAnsi="Times New Roman" w:cs="Times New Roman"/>
          <w:sz w:val="28"/>
          <w:szCs w:val="28"/>
          <w:lang w:val="uk-UA"/>
        </w:rPr>
        <w:t>Чернацька О</w:t>
      </w:r>
      <w:r w:rsidR="00722272" w:rsidRPr="004472C4">
        <w:rPr>
          <w:rFonts w:ascii="Times New Roman" w:hAnsi="Times New Roman" w:cs="Times New Roman"/>
          <w:sz w:val="28"/>
          <w:szCs w:val="28"/>
          <w:lang w:val="uk-UA"/>
        </w:rPr>
        <w:t>М. Взаємозвʼ</w:t>
      </w:r>
      <w:r w:rsidR="001729BF" w:rsidRPr="004472C4">
        <w:rPr>
          <w:rFonts w:ascii="Times New Roman" w:hAnsi="Times New Roman" w:cs="Times New Roman"/>
          <w:sz w:val="28"/>
          <w:szCs w:val="28"/>
          <w:lang w:val="uk-UA"/>
        </w:rPr>
        <w:t>язок між коефіцієнтом атерогенності та рівнем розчинної форми молекули адгезії судинного ендотелію 1 типу в осіб з артеріальною гіпертензією і цукровим діабетом 2 типу. Проблеми безперервної медичної освіти та науки. 2018;2:82-5.</w:t>
      </w:r>
    </w:p>
    <w:p w:rsidR="006D39BB" w:rsidRDefault="004472C4"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A41939">
        <w:rPr>
          <w:rFonts w:ascii="Times New Roman" w:hAnsi="Times New Roman" w:cs="Times New Roman"/>
          <w:sz w:val="28"/>
          <w:szCs w:val="28"/>
          <w:lang w:val="uk-UA"/>
        </w:rPr>
        <w:t>6</w:t>
      </w:r>
      <w:r w:rsidR="001729BF"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Sun</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YM</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Su</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Y</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Li</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J</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Wang</w:t>
      </w:r>
      <w:r w:rsidR="006D39BB" w:rsidRPr="006D39BB">
        <w:rPr>
          <w:rFonts w:ascii="Times New Roman" w:hAnsi="Times New Roman" w:cs="Times New Roman"/>
          <w:sz w:val="28"/>
          <w:szCs w:val="28"/>
          <w:lang w:val="uk-UA"/>
        </w:rPr>
        <w:t xml:space="preserve"> </w:t>
      </w:r>
      <w:r w:rsidR="006D39BB" w:rsidRPr="006D39BB">
        <w:rPr>
          <w:rFonts w:ascii="Times New Roman" w:hAnsi="Times New Roman" w:cs="Times New Roman"/>
          <w:sz w:val="28"/>
          <w:szCs w:val="28"/>
          <w:lang w:val="en-US"/>
        </w:rPr>
        <w:t>LF</w:t>
      </w:r>
      <w:r w:rsidR="006D39BB" w:rsidRPr="006D39BB">
        <w:rPr>
          <w:rFonts w:ascii="Times New Roman" w:hAnsi="Times New Roman" w:cs="Times New Roman"/>
          <w:sz w:val="28"/>
          <w:szCs w:val="28"/>
          <w:lang w:val="uk-UA"/>
        </w:rPr>
        <w:t>.</w:t>
      </w:r>
      <w:r w:rsidR="00EC2138" w:rsidRPr="006F556B">
        <w:rPr>
          <w:rFonts w:ascii="Times New Roman" w:hAnsi="Times New Roman" w:cs="Times New Roman"/>
          <w:sz w:val="28"/>
          <w:szCs w:val="28"/>
          <w:lang w:val="uk-UA"/>
        </w:rPr>
        <w:t xml:space="preserve"> </w:t>
      </w:r>
      <w:r w:rsidR="00EC2138" w:rsidRPr="00EC2138">
        <w:rPr>
          <w:rFonts w:ascii="Times New Roman" w:hAnsi="Times New Roman" w:cs="Times New Roman"/>
          <w:sz w:val="28"/>
          <w:szCs w:val="28"/>
          <w:lang w:val="en-US"/>
        </w:rPr>
        <w:t>Recent advances in understanding the biochemical and molecular mechanism of diabetic nephropathy.</w:t>
      </w:r>
      <w:r w:rsidR="006D39BB" w:rsidRPr="006D39BB">
        <w:rPr>
          <w:lang w:val="en-US"/>
        </w:rPr>
        <w:t xml:space="preserve"> </w:t>
      </w:r>
      <w:r w:rsidR="006D39BB" w:rsidRPr="006D39BB">
        <w:rPr>
          <w:rFonts w:ascii="Times New Roman" w:hAnsi="Times New Roman" w:cs="Times New Roman"/>
          <w:sz w:val="28"/>
          <w:szCs w:val="28"/>
          <w:lang w:val="en-US"/>
        </w:rPr>
        <w:t>Biochem Biophys Res Commun</w:t>
      </w:r>
      <w:r w:rsidR="006D39BB">
        <w:rPr>
          <w:rFonts w:ascii="Times New Roman" w:hAnsi="Times New Roman" w:cs="Times New Roman"/>
          <w:sz w:val="28"/>
          <w:szCs w:val="28"/>
          <w:lang w:val="uk-UA"/>
        </w:rPr>
        <w:t xml:space="preserve"> [Internet]</w:t>
      </w:r>
      <w:r w:rsidR="006D39BB" w:rsidRPr="006D39BB">
        <w:rPr>
          <w:rFonts w:ascii="Times New Roman" w:hAnsi="Times New Roman" w:cs="Times New Roman"/>
          <w:sz w:val="28"/>
          <w:szCs w:val="28"/>
          <w:lang w:val="en-US"/>
        </w:rPr>
        <w:t>. 2013 Apr 19;433(4):359-61.</w:t>
      </w:r>
      <w:r w:rsidR="006D39BB" w:rsidRPr="006D39BB">
        <w:rPr>
          <w:lang w:val="en-US"/>
        </w:rPr>
        <w:t xml:space="preserve"> </w:t>
      </w:r>
      <w:r w:rsidR="006D39BB" w:rsidRPr="006D39BB">
        <w:rPr>
          <w:rFonts w:ascii="Times New Roman" w:hAnsi="Times New Roman" w:cs="Times New Roman"/>
          <w:sz w:val="28"/>
          <w:szCs w:val="28"/>
          <w:lang w:val="en-US"/>
        </w:rPr>
        <w:t xml:space="preserve">Available from: </w:t>
      </w:r>
    </w:p>
    <w:p w:rsidR="006D39BB" w:rsidRDefault="006D39BB" w:rsidP="00F90BD3">
      <w:pPr>
        <w:tabs>
          <w:tab w:val="left" w:pos="2880"/>
        </w:tabs>
        <w:spacing w:after="0" w:line="360" w:lineRule="auto"/>
        <w:jc w:val="both"/>
        <w:rPr>
          <w:rFonts w:ascii="Times New Roman" w:hAnsi="Times New Roman" w:cs="Times New Roman"/>
          <w:sz w:val="28"/>
          <w:szCs w:val="28"/>
          <w:lang w:val="uk-UA"/>
        </w:rPr>
      </w:pPr>
      <w:r w:rsidRPr="006D39BB">
        <w:rPr>
          <w:rFonts w:ascii="Times New Roman" w:hAnsi="Times New Roman" w:cs="Times New Roman"/>
          <w:sz w:val="28"/>
          <w:szCs w:val="28"/>
          <w:lang w:val="en-US"/>
        </w:rPr>
        <w:t>https</w:t>
      </w:r>
      <w:r w:rsidRPr="006D39BB">
        <w:rPr>
          <w:rFonts w:ascii="Times New Roman" w:hAnsi="Times New Roman" w:cs="Times New Roman"/>
          <w:sz w:val="28"/>
          <w:szCs w:val="28"/>
          <w:lang w:val="uk-UA"/>
        </w:rPr>
        <w:t>://</w:t>
      </w:r>
      <w:r w:rsidRPr="006D39BB">
        <w:rPr>
          <w:rFonts w:ascii="Times New Roman" w:hAnsi="Times New Roman" w:cs="Times New Roman"/>
          <w:sz w:val="28"/>
          <w:szCs w:val="28"/>
          <w:lang w:val="en-US"/>
        </w:rPr>
        <w:t>doi</w:t>
      </w:r>
      <w:r w:rsidRPr="006D39BB">
        <w:rPr>
          <w:rFonts w:ascii="Times New Roman" w:hAnsi="Times New Roman" w:cs="Times New Roman"/>
          <w:sz w:val="28"/>
          <w:szCs w:val="28"/>
          <w:lang w:val="uk-UA"/>
        </w:rPr>
        <w:t>.</w:t>
      </w:r>
      <w:r w:rsidRPr="006D39BB">
        <w:rPr>
          <w:rFonts w:ascii="Times New Roman" w:hAnsi="Times New Roman" w:cs="Times New Roman"/>
          <w:sz w:val="28"/>
          <w:szCs w:val="28"/>
          <w:lang w:val="en-US"/>
        </w:rPr>
        <w:t>org</w:t>
      </w:r>
      <w:r w:rsidRPr="006D39BB">
        <w:rPr>
          <w:rFonts w:ascii="Times New Roman" w:hAnsi="Times New Roman" w:cs="Times New Roman"/>
          <w:sz w:val="28"/>
          <w:szCs w:val="28"/>
          <w:lang w:val="uk-UA"/>
        </w:rPr>
        <w:t>/10.1016/</w:t>
      </w:r>
      <w:r w:rsidRPr="006D39BB">
        <w:rPr>
          <w:rFonts w:ascii="Times New Roman" w:hAnsi="Times New Roman" w:cs="Times New Roman"/>
          <w:sz w:val="28"/>
          <w:szCs w:val="28"/>
          <w:lang w:val="en-US"/>
        </w:rPr>
        <w:t>j</w:t>
      </w:r>
      <w:r w:rsidRPr="006D39BB">
        <w:rPr>
          <w:rFonts w:ascii="Times New Roman" w:hAnsi="Times New Roman" w:cs="Times New Roman"/>
          <w:sz w:val="28"/>
          <w:szCs w:val="28"/>
          <w:lang w:val="uk-UA"/>
        </w:rPr>
        <w:t>.</w:t>
      </w:r>
      <w:r w:rsidRPr="006D39BB">
        <w:rPr>
          <w:rFonts w:ascii="Times New Roman" w:hAnsi="Times New Roman" w:cs="Times New Roman"/>
          <w:sz w:val="28"/>
          <w:szCs w:val="28"/>
          <w:lang w:val="en-US"/>
        </w:rPr>
        <w:t>bbrc</w:t>
      </w:r>
      <w:r w:rsidRPr="006D39BB">
        <w:rPr>
          <w:rFonts w:ascii="Times New Roman" w:hAnsi="Times New Roman" w:cs="Times New Roman"/>
          <w:sz w:val="28"/>
          <w:szCs w:val="28"/>
          <w:lang w:val="uk-UA"/>
        </w:rPr>
        <w:t>.2013.02.120</w:t>
      </w:r>
      <w:r>
        <w:rPr>
          <w:rFonts w:ascii="Times New Roman" w:hAnsi="Times New Roman" w:cs="Times New Roman"/>
          <w:sz w:val="28"/>
          <w:szCs w:val="28"/>
          <w:lang w:val="uk-UA"/>
        </w:rPr>
        <w:t xml:space="preserve"> </w:t>
      </w:r>
      <w:r w:rsidRPr="006D39BB">
        <w:rPr>
          <w:rFonts w:ascii="Times New Roman" w:hAnsi="Times New Roman" w:cs="Times New Roman"/>
          <w:sz w:val="28"/>
          <w:szCs w:val="28"/>
          <w:lang w:val="uk-UA"/>
        </w:rPr>
        <w:t xml:space="preserve"> </w:t>
      </w:r>
    </w:p>
    <w:p w:rsidR="001729BF" w:rsidRPr="007B061A" w:rsidRDefault="006D39BB" w:rsidP="00F90BD3">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DOI</w:t>
      </w:r>
      <w:r w:rsidRPr="007B061A">
        <w:rPr>
          <w:rFonts w:ascii="Times New Roman" w:hAnsi="Times New Roman" w:cs="Times New Roman"/>
          <w:sz w:val="28"/>
          <w:szCs w:val="28"/>
        </w:rPr>
        <w:t>: 10.1016/</w:t>
      </w:r>
      <w:r w:rsidRPr="006D39BB">
        <w:rPr>
          <w:rFonts w:ascii="Times New Roman" w:hAnsi="Times New Roman" w:cs="Times New Roman"/>
          <w:sz w:val="28"/>
          <w:szCs w:val="28"/>
          <w:lang w:val="en-US"/>
        </w:rPr>
        <w:t>j</w:t>
      </w:r>
      <w:r w:rsidRPr="007B061A">
        <w:rPr>
          <w:rFonts w:ascii="Times New Roman" w:hAnsi="Times New Roman" w:cs="Times New Roman"/>
          <w:sz w:val="28"/>
          <w:szCs w:val="28"/>
        </w:rPr>
        <w:t>.</w:t>
      </w:r>
      <w:r w:rsidRPr="006D39BB">
        <w:rPr>
          <w:rFonts w:ascii="Times New Roman" w:hAnsi="Times New Roman" w:cs="Times New Roman"/>
          <w:sz w:val="28"/>
          <w:szCs w:val="28"/>
          <w:lang w:val="en-US"/>
        </w:rPr>
        <w:t>bbrc</w:t>
      </w:r>
      <w:r w:rsidRPr="007B061A">
        <w:rPr>
          <w:rFonts w:ascii="Times New Roman" w:hAnsi="Times New Roman" w:cs="Times New Roman"/>
          <w:sz w:val="28"/>
          <w:szCs w:val="28"/>
        </w:rPr>
        <w:t>.2013.02.120.</w:t>
      </w:r>
    </w:p>
    <w:p w:rsidR="00062BFD" w:rsidRDefault="004472C4" w:rsidP="00F90BD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A41939">
        <w:rPr>
          <w:rFonts w:ascii="Times New Roman" w:hAnsi="Times New Roman" w:cs="Times New Roman"/>
          <w:sz w:val="28"/>
          <w:szCs w:val="28"/>
          <w:lang w:val="uk-UA"/>
        </w:rPr>
        <w:t>7</w:t>
      </w:r>
      <w:r w:rsidR="006D39BB">
        <w:rPr>
          <w:rFonts w:ascii="Times New Roman" w:hAnsi="Times New Roman" w:cs="Times New Roman"/>
          <w:sz w:val="28"/>
          <w:szCs w:val="28"/>
          <w:lang w:val="uk-UA"/>
        </w:rPr>
        <w:t xml:space="preserve">. </w:t>
      </w:r>
      <w:r w:rsidR="00062BFD">
        <w:rPr>
          <w:rFonts w:ascii="Times New Roman" w:hAnsi="Times New Roman" w:cs="Times New Roman"/>
          <w:sz w:val="28"/>
          <w:szCs w:val="28"/>
          <w:lang w:val="uk-UA"/>
        </w:rPr>
        <w:t>Перцева Н</w:t>
      </w:r>
      <w:r w:rsidR="00617C58" w:rsidRPr="00617C58">
        <w:rPr>
          <w:rFonts w:ascii="Times New Roman" w:hAnsi="Times New Roman" w:cs="Times New Roman"/>
          <w:sz w:val="28"/>
          <w:szCs w:val="28"/>
          <w:lang w:val="uk-UA"/>
        </w:rPr>
        <w:t>О. Взаємозв’язок гіперглікемії з ендотеліальною функцією, функцією нирок, ліпідемічним профілем і морфологічними змінами формених елементів крові у хворих із недостатньою компенсацією цукрового діабету 2 т</w:t>
      </w:r>
      <w:r w:rsidR="00617C58">
        <w:rPr>
          <w:rFonts w:ascii="Times New Roman" w:hAnsi="Times New Roman" w:cs="Times New Roman"/>
          <w:sz w:val="28"/>
          <w:szCs w:val="28"/>
          <w:lang w:val="uk-UA"/>
        </w:rPr>
        <w:t>ипу з артеріальною гіпертензією</w:t>
      </w:r>
      <w:r w:rsidR="00617C58" w:rsidRPr="007B061A">
        <w:rPr>
          <w:rFonts w:ascii="Times New Roman" w:hAnsi="Times New Roman" w:cs="Times New Roman"/>
          <w:sz w:val="28"/>
          <w:szCs w:val="28"/>
          <w:lang w:val="uk-UA"/>
        </w:rPr>
        <w:t xml:space="preserve">. </w:t>
      </w:r>
      <w:r w:rsidR="00617C58" w:rsidRPr="00617C58">
        <w:rPr>
          <w:rFonts w:ascii="Times New Roman" w:hAnsi="Times New Roman" w:cs="Times New Roman"/>
          <w:sz w:val="28"/>
          <w:szCs w:val="28"/>
        </w:rPr>
        <w:t>Запорожский</w:t>
      </w:r>
      <w:r w:rsidR="00617C58" w:rsidRPr="00035521">
        <w:rPr>
          <w:rFonts w:ascii="Times New Roman" w:hAnsi="Times New Roman" w:cs="Times New Roman"/>
          <w:sz w:val="28"/>
          <w:szCs w:val="28"/>
        </w:rPr>
        <w:t xml:space="preserve"> </w:t>
      </w:r>
      <w:r w:rsidR="00617C58" w:rsidRPr="00617C58">
        <w:rPr>
          <w:rFonts w:ascii="Times New Roman" w:hAnsi="Times New Roman" w:cs="Times New Roman"/>
          <w:sz w:val="28"/>
          <w:szCs w:val="28"/>
        </w:rPr>
        <w:t>медицинский</w:t>
      </w:r>
      <w:r w:rsidR="00617C58" w:rsidRPr="00035521">
        <w:rPr>
          <w:rFonts w:ascii="Times New Roman" w:hAnsi="Times New Roman" w:cs="Times New Roman"/>
          <w:sz w:val="28"/>
          <w:szCs w:val="28"/>
        </w:rPr>
        <w:t xml:space="preserve"> </w:t>
      </w:r>
      <w:r w:rsidR="00617C58" w:rsidRPr="00617C58">
        <w:rPr>
          <w:rFonts w:ascii="Times New Roman" w:hAnsi="Times New Roman" w:cs="Times New Roman"/>
          <w:sz w:val="28"/>
          <w:szCs w:val="28"/>
        </w:rPr>
        <w:t>журнал</w:t>
      </w:r>
      <w:r w:rsidR="00617C58" w:rsidRPr="00035521">
        <w:rPr>
          <w:rFonts w:ascii="Times New Roman" w:hAnsi="Times New Roman" w:cs="Times New Roman"/>
          <w:sz w:val="28"/>
          <w:szCs w:val="28"/>
        </w:rPr>
        <w:t xml:space="preserve"> [</w:t>
      </w:r>
      <w:r w:rsidR="00617C58">
        <w:rPr>
          <w:rFonts w:ascii="Times New Roman" w:hAnsi="Times New Roman" w:cs="Times New Roman"/>
          <w:sz w:val="28"/>
          <w:szCs w:val="28"/>
        </w:rPr>
        <w:t>Интернет</w:t>
      </w:r>
      <w:r w:rsidR="00617C58" w:rsidRPr="00035521">
        <w:rPr>
          <w:rFonts w:ascii="Times New Roman" w:hAnsi="Times New Roman" w:cs="Times New Roman"/>
          <w:sz w:val="28"/>
          <w:szCs w:val="28"/>
        </w:rPr>
        <w:t xml:space="preserve">]. 2014;6(87):11-7. </w:t>
      </w:r>
      <w:r w:rsidR="00062BFD">
        <w:rPr>
          <w:rFonts w:ascii="Times New Roman" w:hAnsi="Times New Roman" w:cs="Times New Roman"/>
          <w:sz w:val="28"/>
          <w:szCs w:val="28"/>
          <w:lang w:val="uk-UA"/>
        </w:rPr>
        <w:t xml:space="preserve">Доступно на: </w:t>
      </w:r>
    </w:p>
    <w:p w:rsidR="00146815" w:rsidRPr="00062BFD" w:rsidRDefault="00062BFD" w:rsidP="00F90BD3">
      <w:pPr>
        <w:tabs>
          <w:tab w:val="left" w:pos="2880"/>
        </w:tabs>
        <w:spacing w:after="0" w:line="360" w:lineRule="auto"/>
        <w:jc w:val="both"/>
        <w:rPr>
          <w:rFonts w:ascii="Times New Roman" w:hAnsi="Times New Roman" w:cs="Times New Roman"/>
          <w:sz w:val="28"/>
          <w:szCs w:val="28"/>
          <w:lang w:val="uk-UA"/>
        </w:rPr>
      </w:pPr>
      <w:r w:rsidRPr="00062BFD">
        <w:rPr>
          <w:rFonts w:ascii="Times New Roman" w:hAnsi="Times New Roman" w:cs="Times New Roman"/>
          <w:sz w:val="28"/>
          <w:szCs w:val="28"/>
          <w:lang w:val="uk-UA"/>
        </w:rPr>
        <w:t>http://dspace.zsmu.edu.ua/bitstream/123456789/524/1/011-017.pdf</w:t>
      </w:r>
    </w:p>
    <w:p w:rsidR="00066670" w:rsidRPr="00066670" w:rsidRDefault="004472C4" w:rsidP="00066670">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14</w:t>
      </w:r>
      <w:r w:rsidR="00A41939">
        <w:rPr>
          <w:rFonts w:ascii="Times New Roman" w:hAnsi="Times New Roman" w:cs="Times New Roman"/>
          <w:sz w:val="28"/>
          <w:szCs w:val="28"/>
          <w:lang w:val="uk-UA"/>
        </w:rPr>
        <w:t>8</w:t>
      </w:r>
      <w:r w:rsidR="00222372">
        <w:rPr>
          <w:rFonts w:ascii="Times New Roman" w:hAnsi="Times New Roman" w:cs="Times New Roman"/>
          <w:sz w:val="28"/>
          <w:szCs w:val="28"/>
          <w:lang w:val="en-US"/>
        </w:rPr>
        <w:t>.</w:t>
      </w:r>
      <w:r w:rsidR="00035521">
        <w:rPr>
          <w:rFonts w:ascii="Times New Roman" w:hAnsi="Times New Roman" w:cs="Times New Roman"/>
          <w:sz w:val="28"/>
          <w:szCs w:val="28"/>
          <w:lang w:val="uk-UA"/>
        </w:rPr>
        <w:t xml:space="preserve"> </w:t>
      </w:r>
      <w:r w:rsidR="00066670">
        <w:rPr>
          <w:rFonts w:ascii="Times New Roman" w:hAnsi="Times New Roman" w:cs="Times New Roman"/>
          <w:sz w:val="28"/>
          <w:szCs w:val="28"/>
          <w:lang w:val="uk-UA"/>
        </w:rPr>
        <w:t>du Plooy CS, Martha Cornelia Mels C, Huisman HW, Kruger R</w:t>
      </w:r>
      <w:r w:rsidR="00066670" w:rsidRPr="00066670">
        <w:rPr>
          <w:rFonts w:ascii="Times New Roman" w:hAnsi="Times New Roman" w:cs="Times New Roman"/>
          <w:sz w:val="28"/>
          <w:szCs w:val="28"/>
          <w:lang w:val="uk-UA"/>
        </w:rPr>
        <w:t xml:space="preserve">. </w:t>
      </w:r>
      <w:r w:rsidR="00035521" w:rsidRPr="00035521">
        <w:rPr>
          <w:rFonts w:ascii="Times New Roman" w:hAnsi="Times New Roman" w:cs="Times New Roman"/>
          <w:sz w:val="28"/>
          <w:szCs w:val="28"/>
          <w:lang w:val="uk-UA"/>
        </w:rPr>
        <w:t>The association of endothelin-1 with markers of oxidative stress in a biethnic South African cohort: The SABPA study</w:t>
      </w:r>
      <w:r w:rsidR="00066670">
        <w:rPr>
          <w:rFonts w:ascii="Times New Roman" w:hAnsi="Times New Roman" w:cs="Times New Roman"/>
          <w:sz w:val="28"/>
          <w:szCs w:val="28"/>
          <w:lang w:val="uk-UA"/>
        </w:rPr>
        <w:t xml:space="preserve">. </w:t>
      </w:r>
      <w:r w:rsidR="00066670" w:rsidRPr="00066670">
        <w:rPr>
          <w:rFonts w:ascii="Times New Roman" w:hAnsi="Times New Roman" w:cs="Times New Roman"/>
          <w:sz w:val="28"/>
          <w:szCs w:val="28"/>
          <w:lang w:val="uk-UA"/>
        </w:rPr>
        <w:t>Hyp</w:t>
      </w:r>
      <w:r w:rsidR="00066670">
        <w:rPr>
          <w:rFonts w:ascii="Times New Roman" w:hAnsi="Times New Roman" w:cs="Times New Roman"/>
          <w:sz w:val="28"/>
          <w:szCs w:val="28"/>
          <w:lang w:val="uk-UA"/>
        </w:rPr>
        <w:t xml:space="preserve">ertens Res [Internet]. 2017 Feb;40(2):189-95. </w:t>
      </w:r>
      <w:r w:rsidR="00066670" w:rsidRPr="00066670">
        <w:rPr>
          <w:rFonts w:ascii="Times New Roman" w:hAnsi="Times New Roman" w:cs="Times New Roman"/>
          <w:sz w:val="28"/>
          <w:szCs w:val="28"/>
          <w:lang w:val="uk-UA"/>
        </w:rPr>
        <w:t>Available from:</w:t>
      </w:r>
      <w:r w:rsidR="00066670">
        <w:rPr>
          <w:rFonts w:ascii="Times New Roman" w:hAnsi="Times New Roman" w:cs="Times New Roman"/>
          <w:sz w:val="28"/>
          <w:szCs w:val="28"/>
          <w:lang w:val="en-US"/>
        </w:rPr>
        <w:t xml:space="preserve"> </w:t>
      </w:r>
      <w:r w:rsidR="00066670" w:rsidRPr="00066670">
        <w:rPr>
          <w:rFonts w:ascii="Times New Roman" w:hAnsi="Times New Roman" w:cs="Times New Roman"/>
          <w:sz w:val="28"/>
          <w:szCs w:val="28"/>
          <w:lang w:val="en-US"/>
        </w:rPr>
        <w:t>https://www.nature.com/articles/hr2016128</w:t>
      </w:r>
    </w:p>
    <w:p w:rsidR="00222372" w:rsidRDefault="00066670" w:rsidP="00066670">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Pr>
          <w:rFonts w:ascii="Times New Roman" w:hAnsi="Times New Roman" w:cs="Times New Roman"/>
          <w:sz w:val="28"/>
          <w:szCs w:val="28"/>
          <w:lang w:val="uk-UA"/>
        </w:rPr>
        <w:t>: 10.1038/hr.2016.128</w:t>
      </w:r>
    </w:p>
    <w:p w:rsidR="004472C4" w:rsidRDefault="004472C4" w:rsidP="004472C4">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14</w:t>
      </w:r>
      <w:r w:rsidR="00592E52">
        <w:rPr>
          <w:rFonts w:ascii="Times New Roman" w:hAnsi="Times New Roman" w:cs="Times New Roman"/>
          <w:sz w:val="28"/>
          <w:szCs w:val="28"/>
          <w:lang w:val="uk-UA"/>
        </w:rPr>
        <w:t>9</w:t>
      </w:r>
      <w:r>
        <w:rPr>
          <w:rFonts w:ascii="Times New Roman" w:hAnsi="Times New Roman" w:cs="Times New Roman"/>
          <w:sz w:val="28"/>
          <w:szCs w:val="28"/>
          <w:lang w:val="uk-UA"/>
        </w:rPr>
        <w:t xml:space="preserve">. Tang L, Li H, Gou R, Cheng G, Guo Y, Fang Y, </w:t>
      </w:r>
      <w:r>
        <w:rPr>
          <w:rFonts w:ascii="Times New Roman" w:hAnsi="Times New Roman" w:cs="Times New Roman"/>
          <w:sz w:val="28"/>
          <w:szCs w:val="28"/>
          <w:lang w:val="en-US"/>
        </w:rPr>
        <w:t>et al.</w:t>
      </w:r>
      <w:r>
        <w:rPr>
          <w:rFonts w:ascii="Times New Roman" w:hAnsi="Times New Roman" w:cs="Times New Roman"/>
          <w:sz w:val="28"/>
          <w:szCs w:val="28"/>
          <w:lang w:val="uk-UA"/>
        </w:rPr>
        <w:t xml:space="preserve"> </w:t>
      </w:r>
      <w:r w:rsidRPr="00462E45">
        <w:rPr>
          <w:rFonts w:ascii="Times New Roman" w:hAnsi="Times New Roman" w:cs="Times New Roman"/>
          <w:sz w:val="28"/>
          <w:szCs w:val="28"/>
          <w:lang w:val="uk-UA"/>
        </w:rPr>
        <w:t>Endothelin-1 mediated high glucose-induced epithelial–mesenchymal transition in renal tubular cells</w:t>
      </w:r>
      <w:r>
        <w:rPr>
          <w:rFonts w:ascii="Times New Roman" w:hAnsi="Times New Roman" w:cs="Times New Roman"/>
          <w:sz w:val="28"/>
          <w:szCs w:val="28"/>
          <w:lang w:val="en-US"/>
        </w:rPr>
        <w:t xml:space="preserve">. </w:t>
      </w:r>
      <w:r w:rsidRPr="00462E45">
        <w:rPr>
          <w:rFonts w:ascii="Times New Roman" w:hAnsi="Times New Roman" w:cs="Times New Roman"/>
          <w:sz w:val="28"/>
          <w:szCs w:val="28"/>
          <w:lang w:val="en-US"/>
        </w:rPr>
        <w:t>Diabetes Res Clin Pract</w:t>
      </w:r>
      <w:r>
        <w:rPr>
          <w:rFonts w:ascii="Times New Roman" w:hAnsi="Times New Roman" w:cs="Times New Roman"/>
          <w:sz w:val="28"/>
          <w:szCs w:val="28"/>
          <w:lang w:val="en-US"/>
        </w:rPr>
        <w:t xml:space="preserve"> [Internet]</w:t>
      </w:r>
      <w:r w:rsidRPr="00462E45">
        <w:rPr>
          <w:rFonts w:ascii="Times New Roman" w:hAnsi="Times New Roman" w:cs="Times New Roman"/>
          <w:sz w:val="28"/>
          <w:szCs w:val="28"/>
          <w:lang w:val="en-US"/>
        </w:rPr>
        <w:t>. 2014 Apr;104(1):176-82.</w:t>
      </w:r>
      <w:r>
        <w:rPr>
          <w:rFonts w:ascii="Times New Roman" w:hAnsi="Times New Roman" w:cs="Times New Roman"/>
          <w:sz w:val="28"/>
          <w:szCs w:val="28"/>
          <w:lang w:val="en-US"/>
        </w:rPr>
        <w:t xml:space="preserve"> </w:t>
      </w:r>
      <w:r w:rsidRPr="00462E45">
        <w:rPr>
          <w:rFonts w:ascii="Times New Roman" w:hAnsi="Times New Roman" w:cs="Times New Roman"/>
          <w:sz w:val="28"/>
          <w:szCs w:val="28"/>
          <w:lang w:val="en-US"/>
        </w:rPr>
        <w:t xml:space="preserve">Available from: </w:t>
      </w:r>
    </w:p>
    <w:p w:rsidR="004472C4" w:rsidRDefault="004472C4" w:rsidP="00BF3548">
      <w:pPr>
        <w:tabs>
          <w:tab w:val="left" w:pos="2880"/>
        </w:tabs>
        <w:spacing w:after="0" w:line="360" w:lineRule="auto"/>
        <w:jc w:val="both"/>
        <w:rPr>
          <w:rFonts w:ascii="Times New Roman" w:hAnsi="Times New Roman" w:cs="Times New Roman"/>
          <w:sz w:val="28"/>
          <w:szCs w:val="28"/>
          <w:lang w:val="en-US"/>
        </w:rPr>
      </w:pPr>
      <w:r w:rsidRPr="00462E45">
        <w:rPr>
          <w:rFonts w:ascii="Times New Roman" w:hAnsi="Times New Roman" w:cs="Times New Roman"/>
          <w:sz w:val="28"/>
          <w:szCs w:val="28"/>
          <w:lang w:val="en-US"/>
        </w:rPr>
        <w:t>https://www.diabetesresearchclinicalpractice.com/article/S0168-8227(13)00455-5/fulltext</w:t>
      </w:r>
      <w:r>
        <w:rPr>
          <w:rFonts w:ascii="Times New Roman" w:hAnsi="Times New Roman" w:cs="Times New Roman"/>
          <w:sz w:val="28"/>
          <w:szCs w:val="28"/>
          <w:lang w:val="en-US"/>
        </w:rPr>
        <w:t xml:space="preserve">  DOI: 10.1016/j.diabres.2013.12.021</w:t>
      </w:r>
    </w:p>
    <w:p w:rsidR="00AB2FA4" w:rsidRDefault="00592E52" w:rsidP="00066670">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r>
        <w:rPr>
          <w:rFonts w:ascii="Times New Roman" w:hAnsi="Times New Roman" w:cs="Times New Roman"/>
          <w:sz w:val="28"/>
          <w:szCs w:val="28"/>
          <w:lang w:val="uk-UA"/>
        </w:rPr>
        <w:t>50</w:t>
      </w:r>
      <w:r w:rsidR="00066670">
        <w:rPr>
          <w:rFonts w:ascii="Times New Roman" w:hAnsi="Times New Roman" w:cs="Times New Roman"/>
          <w:sz w:val="28"/>
          <w:szCs w:val="28"/>
          <w:lang w:val="en-US"/>
        </w:rPr>
        <w:t xml:space="preserve">. </w:t>
      </w:r>
      <w:r w:rsidR="00AB2FA4" w:rsidRPr="00AB2FA4">
        <w:rPr>
          <w:rFonts w:ascii="Times New Roman" w:hAnsi="Times New Roman" w:cs="Times New Roman"/>
          <w:sz w:val="28"/>
          <w:szCs w:val="28"/>
          <w:lang w:val="en-US"/>
        </w:rPr>
        <w:t xml:space="preserve">Pernow </w:t>
      </w:r>
      <w:r w:rsidR="00AB2FA4">
        <w:rPr>
          <w:rFonts w:ascii="Times New Roman" w:hAnsi="Times New Roman" w:cs="Times New Roman"/>
          <w:sz w:val="28"/>
          <w:szCs w:val="28"/>
          <w:lang w:val="en-US"/>
        </w:rPr>
        <w:t xml:space="preserve">J, </w:t>
      </w:r>
      <w:r w:rsidR="00AB2FA4" w:rsidRPr="00AB2FA4">
        <w:rPr>
          <w:rFonts w:ascii="Times New Roman" w:hAnsi="Times New Roman" w:cs="Times New Roman"/>
          <w:sz w:val="28"/>
          <w:szCs w:val="28"/>
          <w:lang w:val="en-US"/>
        </w:rPr>
        <w:t>Shemyakin</w:t>
      </w:r>
      <w:r w:rsidR="00AB2FA4">
        <w:rPr>
          <w:rFonts w:ascii="Times New Roman" w:hAnsi="Times New Roman" w:cs="Times New Roman"/>
          <w:sz w:val="28"/>
          <w:szCs w:val="28"/>
          <w:lang w:val="en-US"/>
        </w:rPr>
        <w:t xml:space="preserve"> A, </w:t>
      </w:r>
      <w:r w:rsidR="00AB2FA4" w:rsidRPr="00AB2FA4">
        <w:rPr>
          <w:rFonts w:ascii="Times New Roman" w:hAnsi="Times New Roman" w:cs="Times New Roman"/>
          <w:sz w:val="28"/>
          <w:szCs w:val="28"/>
          <w:lang w:val="en-US"/>
        </w:rPr>
        <w:t>Böhm</w:t>
      </w:r>
      <w:r w:rsidR="00AB2FA4">
        <w:rPr>
          <w:rFonts w:ascii="Times New Roman" w:hAnsi="Times New Roman" w:cs="Times New Roman"/>
          <w:sz w:val="28"/>
          <w:szCs w:val="28"/>
          <w:lang w:val="en-US"/>
        </w:rPr>
        <w:t xml:space="preserve"> F. </w:t>
      </w:r>
      <w:r w:rsidR="00AB2FA4" w:rsidRPr="00AB2FA4">
        <w:rPr>
          <w:rFonts w:ascii="Times New Roman" w:hAnsi="Times New Roman" w:cs="Times New Roman"/>
          <w:sz w:val="28"/>
          <w:szCs w:val="28"/>
          <w:lang w:val="en-US"/>
        </w:rPr>
        <w:t>New perspectives on endothelin-1 in atherosclerosis and diabetes mellitus</w:t>
      </w:r>
      <w:r w:rsidR="00AB2FA4">
        <w:rPr>
          <w:rFonts w:ascii="Times New Roman" w:hAnsi="Times New Roman" w:cs="Times New Roman"/>
          <w:sz w:val="28"/>
          <w:szCs w:val="28"/>
          <w:lang w:val="en-US"/>
        </w:rPr>
        <w:t xml:space="preserve">. </w:t>
      </w:r>
      <w:r w:rsidR="00EE2306" w:rsidRPr="00EE2306">
        <w:rPr>
          <w:rFonts w:ascii="Times New Roman" w:hAnsi="Times New Roman" w:cs="Times New Roman"/>
          <w:sz w:val="28"/>
          <w:szCs w:val="28"/>
          <w:lang w:val="en-US"/>
        </w:rPr>
        <w:t>Life Sci</w:t>
      </w:r>
      <w:r w:rsidR="00E21941">
        <w:rPr>
          <w:rFonts w:ascii="Times New Roman" w:hAnsi="Times New Roman" w:cs="Times New Roman"/>
          <w:sz w:val="28"/>
          <w:szCs w:val="28"/>
          <w:lang w:val="en-US"/>
        </w:rPr>
        <w:t xml:space="preserve"> [Internet]</w:t>
      </w:r>
      <w:r w:rsidR="00EE2306" w:rsidRPr="00EE2306">
        <w:rPr>
          <w:rFonts w:ascii="Times New Roman" w:hAnsi="Times New Roman" w:cs="Times New Roman"/>
          <w:sz w:val="28"/>
          <w:szCs w:val="28"/>
          <w:lang w:val="en-US"/>
        </w:rPr>
        <w:t>. 2012 Oct 15;91(13-14):507-16.</w:t>
      </w:r>
      <w:r w:rsidR="00EE2306">
        <w:rPr>
          <w:rFonts w:ascii="Times New Roman" w:hAnsi="Times New Roman" w:cs="Times New Roman"/>
          <w:sz w:val="28"/>
          <w:szCs w:val="28"/>
          <w:lang w:val="en-US"/>
        </w:rPr>
        <w:t xml:space="preserve"> </w:t>
      </w:r>
      <w:r w:rsidR="00EE2306" w:rsidRPr="00EE2306">
        <w:rPr>
          <w:rFonts w:ascii="Times New Roman" w:hAnsi="Times New Roman" w:cs="Times New Roman"/>
          <w:sz w:val="28"/>
          <w:szCs w:val="28"/>
          <w:lang w:val="en-US"/>
        </w:rPr>
        <w:t>Available from:</w:t>
      </w:r>
      <w:r w:rsidR="00EE2306">
        <w:rPr>
          <w:rFonts w:ascii="Times New Roman" w:hAnsi="Times New Roman" w:cs="Times New Roman"/>
          <w:sz w:val="28"/>
          <w:szCs w:val="28"/>
          <w:lang w:val="en-US"/>
        </w:rPr>
        <w:t xml:space="preserve"> </w:t>
      </w:r>
      <w:r w:rsidR="00EE2306" w:rsidRPr="00EE2306">
        <w:rPr>
          <w:rFonts w:ascii="Times New Roman" w:hAnsi="Times New Roman" w:cs="Times New Roman"/>
          <w:sz w:val="28"/>
          <w:szCs w:val="28"/>
          <w:lang w:val="en-US"/>
        </w:rPr>
        <w:t>https://core.ac.uk/download/pdf/82149810.pdf</w:t>
      </w:r>
    </w:p>
    <w:p w:rsidR="00066670" w:rsidRPr="007B061A" w:rsidRDefault="00AB2FA4" w:rsidP="00066670">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DOI</w:t>
      </w:r>
      <w:r w:rsidRPr="007B061A">
        <w:rPr>
          <w:rFonts w:ascii="Times New Roman" w:hAnsi="Times New Roman" w:cs="Times New Roman"/>
          <w:sz w:val="28"/>
          <w:szCs w:val="28"/>
        </w:rPr>
        <w:t>: 10.1016/</w:t>
      </w:r>
      <w:r w:rsidRPr="00AB2FA4">
        <w:rPr>
          <w:rFonts w:ascii="Times New Roman" w:hAnsi="Times New Roman" w:cs="Times New Roman"/>
          <w:sz w:val="28"/>
          <w:szCs w:val="28"/>
          <w:lang w:val="en-US"/>
        </w:rPr>
        <w:t>j</w:t>
      </w:r>
      <w:r w:rsidRPr="007B061A">
        <w:rPr>
          <w:rFonts w:ascii="Times New Roman" w:hAnsi="Times New Roman" w:cs="Times New Roman"/>
          <w:sz w:val="28"/>
          <w:szCs w:val="28"/>
        </w:rPr>
        <w:t>.</w:t>
      </w:r>
      <w:r w:rsidRPr="00AB2FA4">
        <w:rPr>
          <w:rFonts w:ascii="Times New Roman" w:hAnsi="Times New Roman" w:cs="Times New Roman"/>
          <w:sz w:val="28"/>
          <w:szCs w:val="28"/>
          <w:lang w:val="en-US"/>
        </w:rPr>
        <w:t>lfs</w:t>
      </w:r>
      <w:r w:rsidRPr="007B061A">
        <w:rPr>
          <w:rFonts w:ascii="Times New Roman" w:hAnsi="Times New Roman" w:cs="Times New Roman"/>
          <w:sz w:val="28"/>
          <w:szCs w:val="28"/>
        </w:rPr>
        <w:t>.2012.03.029</w:t>
      </w:r>
    </w:p>
    <w:p w:rsidR="00E15258" w:rsidRPr="004472C4" w:rsidRDefault="004472C4" w:rsidP="00066670">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1</w:t>
      </w:r>
      <w:r w:rsidR="00592E52">
        <w:rPr>
          <w:rFonts w:ascii="Times New Roman" w:hAnsi="Times New Roman" w:cs="Times New Roman"/>
          <w:sz w:val="28"/>
          <w:szCs w:val="28"/>
        </w:rPr>
        <w:t>5</w:t>
      </w:r>
      <w:r w:rsidR="00592E52">
        <w:rPr>
          <w:rFonts w:ascii="Times New Roman" w:hAnsi="Times New Roman" w:cs="Times New Roman"/>
          <w:sz w:val="28"/>
          <w:szCs w:val="28"/>
          <w:lang w:val="uk-UA"/>
        </w:rPr>
        <w:t>1</w:t>
      </w:r>
      <w:r w:rsidR="00EE2306" w:rsidRPr="007B061A">
        <w:rPr>
          <w:rFonts w:ascii="Times New Roman" w:hAnsi="Times New Roman" w:cs="Times New Roman"/>
          <w:sz w:val="28"/>
          <w:szCs w:val="28"/>
        </w:rPr>
        <w:t>.</w:t>
      </w:r>
      <w:r w:rsidR="00F55649" w:rsidRPr="00F55649">
        <w:rPr>
          <w:rFonts w:ascii="Times New Roman" w:hAnsi="Times New Roman" w:cs="Times New Roman"/>
          <w:sz w:val="28"/>
          <w:szCs w:val="28"/>
        </w:rPr>
        <w:t xml:space="preserve"> </w:t>
      </w:r>
      <w:r w:rsidR="00F55649" w:rsidRPr="004472C4">
        <w:rPr>
          <w:rFonts w:ascii="Times New Roman" w:hAnsi="Times New Roman" w:cs="Times New Roman"/>
          <w:sz w:val="28"/>
          <w:szCs w:val="28"/>
          <w:lang w:val="uk-UA"/>
        </w:rPr>
        <w:t xml:space="preserve">Чернацька ОМ, Деміхова НВ. Структурно-функціональні та ендотеліальні особливості діабетичної нефропатії у пацієнтів з артеріальною </w:t>
      </w:r>
    </w:p>
    <w:p w:rsidR="00E15258" w:rsidRPr="004472C4" w:rsidRDefault="00F55649" w:rsidP="00066670">
      <w:pPr>
        <w:tabs>
          <w:tab w:val="left" w:pos="2880"/>
        </w:tabs>
        <w:spacing w:after="0" w:line="360" w:lineRule="auto"/>
        <w:jc w:val="both"/>
        <w:rPr>
          <w:rFonts w:ascii="Times New Roman" w:hAnsi="Times New Roman" w:cs="Times New Roman"/>
          <w:sz w:val="28"/>
          <w:szCs w:val="28"/>
          <w:lang w:val="en-US"/>
        </w:rPr>
      </w:pPr>
      <w:r w:rsidRPr="004472C4">
        <w:rPr>
          <w:rFonts w:ascii="Times New Roman" w:hAnsi="Times New Roman" w:cs="Times New Roman"/>
          <w:sz w:val="28"/>
          <w:szCs w:val="28"/>
          <w:lang w:val="uk-UA"/>
        </w:rPr>
        <w:t>гіпертензією.</w:t>
      </w:r>
      <w:r w:rsidR="00E15258" w:rsidRPr="004472C4">
        <w:rPr>
          <w:rFonts w:ascii="Times New Roman" w:hAnsi="Times New Roman" w:cs="Times New Roman"/>
          <w:sz w:val="28"/>
          <w:szCs w:val="28"/>
          <w:lang w:val="uk-UA"/>
        </w:rPr>
        <w:t xml:space="preserve"> </w:t>
      </w:r>
      <w:r w:rsidR="00E15258" w:rsidRPr="004472C4">
        <w:rPr>
          <w:rFonts w:ascii="Times New Roman" w:hAnsi="Times New Roman" w:cs="Times New Roman"/>
          <w:sz w:val="28"/>
          <w:szCs w:val="28"/>
          <w:lang w:val="en-US"/>
        </w:rPr>
        <w:t xml:space="preserve">Ukr Journ Nephr Dial [Internet]. </w:t>
      </w:r>
      <w:r w:rsidR="00DB5F48" w:rsidRPr="004472C4">
        <w:rPr>
          <w:rFonts w:ascii="Times New Roman" w:hAnsi="Times New Roman" w:cs="Times New Roman"/>
          <w:sz w:val="28"/>
          <w:szCs w:val="28"/>
          <w:lang w:val="uk-UA"/>
        </w:rPr>
        <w:t>2018;</w:t>
      </w:r>
      <w:r w:rsidRPr="004472C4">
        <w:rPr>
          <w:rFonts w:ascii="Times New Roman" w:hAnsi="Times New Roman" w:cs="Times New Roman"/>
          <w:sz w:val="28"/>
          <w:szCs w:val="28"/>
          <w:lang w:val="uk-UA"/>
        </w:rPr>
        <w:t>2</w:t>
      </w:r>
      <w:r w:rsidR="00DB5F48" w:rsidRPr="004472C4">
        <w:rPr>
          <w:rFonts w:ascii="Times New Roman" w:hAnsi="Times New Roman" w:cs="Times New Roman"/>
          <w:sz w:val="28"/>
          <w:szCs w:val="28"/>
          <w:lang w:val="uk-UA"/>
        </w:rPr>
        <w:t>(58):</w:t>
      </w:r>
      <w:r w:rsidR="00E15258" w:rsidRPr="004472C4">
        <w:rPr>
          <w:rFonts w:ascii="Times New Roman" w:hAnsi="Times New Roman" w:cs="Times New Roman"/>
          <w:sz w:val="28"/>
          <w:szCs w:val="28"/>
          <w:lang w:val="uk-UA"/>
        </w:rPr>
        <w:t>13-</w:t>
      </w:r>
      <w:r w:rsidR="004062FC" w:rsidRPr="004472C4">
        <w:rPr>
          <w:rFonts w:ascii="Times New Roman" w:hAnsi="Times New Roman" w:cs="Times New Roman"/>
          <w:sz w:val="28"/>
          <w:szCs w:val="28"/>
          <w:lang w:val="uk-UA"/>
        </w:rPr>
        <w:t xml:space="preserve">7. </w:t>
      </w:r>
      <w:r w:rsidR="00E15258" w:rsidRPr="004472C4">
        <w:rPr>
          <w:rFonts w:ascii="Times New Roman" w:hAnsi="Times New Roman" w:cs="Times New Roman"/>
          <w:sz w:val="28"/>
          <w:szCs w:val="28"/>
          <w:lang w:val="uk-UA"/>
        </w:rPr>
        <w:t xml:space="preserve">Available from: </w:t>
      </w:r>
    </w:p>
    <w:p w:rsidR="00E15258" w:rsidRPr="004472C4" w:rsidRDefault="000A6805" w:rsidP="00066670">
      <w:pPr>
        <w:tabs>
          <w:tab w:val="left" w:pos="2880"/>
        </w:tabs>
        <w:spacing w:after="0" w:line="360" w:lineRule="auto"/>
        <w:jc w:val="both"/>
        <w:rPr>
          <w:rFonts w:ascii="Times New Roman" w:hAnsi="Times New Roman" w:cs="Times New Roman"/>
          <w:sz w:val="28"/>
          <w:szCs w:val="28"/>
          <w:lang w:val="en-US"/>
        </w:rPr>
      </w:pPr>
      <w:hyperlink r:id="rId102" w:history="1">
        <w:r w:rsidR="00E15258" w:rsidRPr="004472C4">
          <w:rPr>
            <w:rStyle w:val="a9"/>
            <w:rFonts w:ascii="Times New Roman" w:hAnsi="Times New Roman" w:cs="Times New Roman"/>
            <w:color w:val="auto"/>
            <w:sz w:val="28"/>
            <w:szCs w:val="28"/>
            <w:u w:val="none"/>
            <w:lang w:val="uk-UA"/>
          </w:rPr>
          <w:t>https://ukrjnd.com.ua/index.php/journal/issue/view/36/2-58-2018</w:t>
        </w:r>
      </w:hyperlink>
      <w:r w:rsidR="00E15258" w:rsidRPr="004472C4">
        <w:rPr>
          <w:rFonts w:ascii="Times New Roman" w:hAnsi="Times New Roman" w:cs="Times New Roman"/>
          <w:sz w:val="28"/>
          <w:szCs w:val="28"/>
          <w:lang w:val="en-US"/>
        </w:rPr>
        <w:t xml:space="preserve"> </w:t>
      </w:r>
    </w:p>
    <w:p w:rsidR="004472C4" w:rsidRPr="004472C4" w:rsidRDefault="00E15258" w:rsidP="007C026D">
      <w:pPr>
        <w:tabs>
          <w:tab w:val="left" w:pos="2880"/>
        </w:tabs>
        <w:spacing w:after="0" w:line="360" w:lineRule="auto"/>
        <w:jc w:val="both"/>
        <w:rPr>
          <w:rFonts w:ascii="Times New Roman" w:hAnsi="Times New Roman" w:cs="Times New Roman"/>
          <w:sz w:val="28"/>
          <w:szCs w:val="28"/>
          <w:lang w:val="en-US"/>
        </w:rPr>
      </w:pPr>
      <w:r w:rsidRPr="004472C4">
        <w:rPr>
          <w:rFonts w:ascii="Times New Roman" w:hAnsi="Times New Roman" w:cs="Times New Roman"/>
          <w:sz w:val="28"/>
          <w:szCs w:val="28"/>
          <w:lang w:val="uk-UA"/>
        </w:rPr>
        <w:t>DOI:</w:t>
      </w:r>
      <w:r w:rsidRPr="004472C4">
        <w:rPr>
          <w:rFonts w:ascii="Times New Roman" w:hAnsi="Times New Roman" w:cs="Times New Roman"/>
          <w:sz w:val="28"/>
          <w:szCs w:val="28"/>
          <w:lang w:val="en-US"/>
        </w:rPr>
        <w:t xml:space="preserve"> </w:t>
      </w:r>
      <w:r w:rsidRPr="004472C4">
        <w:rPr>
          <w:rFonts w:ascii="Times New Roman" w:hAnsi="Times New Roman" w:cs="Times New Roman"/>
          <w:sz w:val="28"/>
          <w:szCs w:val="28"/>
          <w:lang w:val="uk-UA"/>
        </w:rPr>
        <w:t>10.31450/ukrjnd.2(58).2018.03</w:t>
      </w:r>
      <w:r w:rsidR="00F55649" w:rsidRPr="00F55649">
        <w:rPr>
          <w:rFonts w:ascii="Times New Roman" w:hAnsi="Times New Roman" w:cs="Times New Roman"/>
          <w:sz w:val="28"/>
          <w:szCs w:val="28"/>
          <w:lang w:val="uk-UA"/>
        </w:rPr>
        <w:t xml:space="preserve"> </w:t>
      </w:r>
    </w:p>
    <w:p w:rsidR="00E21941" w:rsidRDefault="004472C4" w:rsidP="007C026D">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15</w:t>
      </w:r>
      <w:r w:rsidR="00592E52">
        <w:rPr>
          <w:rFonts w:ascii="Times New Roman" w:hAnsi="Times New Roman" w:cs="Times New Roman"/>
          <w:sz w:val="28"/>
          <w:szCs w:val="28"/>
          <w:lang w:val="uk-UA"/>
        </w:rPr>
        <w:t>2</w:t>
      </w:r>
      <w:r w:rsidR="00DB5F48" w:rsidRPr="00373DDF">
        <w:rPr>
          <w:rFonts w:ascii="Times New Roman" w:hAnsi="Times New Roman" w:cs="Times New Roman"/>
          <w:sz w:val="28"/>
          <w:szCs w:val="28"/>
          <w:lang w:val="uk-UA"/>
        </w:rPr>
        <w:t>.</w:t>
      </w:r>
      <w:r w:rsidR="007C026D" w:rsidRPr="00373DDF">
        <w:rPr>
          <w:lang w:val="uk-UA"/>
        </w:rPr>
        <w:t xml:space="preserve"> </w:t>
      </w:r>
      <w:r w:rsidR="007C026D" w:rsidRPr="007C026D">
        <w:rPr>
          <w:rFonts w:ascii="Times New Roman" w:hAnsi="Times New Roman" w:cs="Times New Roman"/>
          <w:sz w:val="28"/>
          <w:szCs w:val="28"/>
          <w:lang w:val="en-US"/>
        </w:rPr>
        <w:t>Liang</w:t>
      </w:r>
      <w:r w:rsidR="007C026D">
        <w:rPr>
          <w:rFonts w:ascii="Times New Roman" w:hAnsi="Times New Roman" w:cs="Times New Roman"/>
          <w:sz w:val="28"/>
          <w:szCs w:val="28"/>
          <w:lang w:val="uk-UA"/>
        </w:rPr>
        <w:t xml:space="preserve"> СС</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Lin</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PC</w:t>
      </w:r>
      <w:r w:rsidR="007C026D" w:rsidRPr="00373DDF">
        <w:rPr>
          <w:rFonts w:ascii="Times New Roman" w:hAnsi="Times New Roman" w:cs="Times New Roman"/>
          <w:sz w:val="28"/>
          <w:szCs w:val="28"/>
          <w:lang w:val="uk-UA"/>
        </w:rPr>
        <w:t xml:space="preserve">, </w:t>
      </w:r>
      <w:r w:rsidR="007C026D" w:rsidRPr="007C026D">
        <w:rPr>
          <w:rFonts w:ascii="Times New Roman" w:hAnsi="Times New Roman" w:cs="Times New Roman"/>
          <w:sz w:val="28"/>
          <w:szCs w:val="28"/>
          <w:lang w:val="en-US"/>
        </w:rPr>
        <w:t>Lee</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MY</w:t>
      </w:r>
      <w:r w:rsidR="007C026D" w:rsidRPr="00373DDF">
        <w:rPr>
          <w:rFonts w:ascii="Times New Roman" w:hAnsi="Times New Roman" w:cs="Times New Roman"/>
          <w:sz w:val="28"/>
          <w:szCs w:val="28"/>
          <w:lang w:val="uk-UA"/>
        </w:rPr>
        <w:t xml:space="preserve">, </w:t>
      </w:r>
      <w:r w:rsidR="007C026D" w:rsidRPr="007C026D">
        <w:rPr>
          <w:rFonts w:ascii="Times New Roman" w:hAnsi="Times New Roman" w:cs="Times New Roman"/>
          <w:sz w:val="28"/>
          <w:szCs w:val="28"/>
          <w:lang w:val="en-US"/>
        </w:rPr>
        <w:t>Chen</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SC</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Shin</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SJ</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Hsiao</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PJ</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et</w:t>
      </w:r>
      <w:r w:rsidR="007C026D" w:rsidRPr="00373DDF">
        <w:rPr>
          <w:rFonts w:ascii="Times New Roman" w:hAnsi="Times New Roman" w:cs="Times New Roman"/>
          <w:sz w:val="28"/>
          <w:szCs w:val="28"/>
          <w:lang w:val="uk-UA"/>
        </w:rPr>
        <w:t xml:space="preserve"> </w:t>
      </w:r>
      <w:r w:rsidR="007C026D">
        <w:rPr>
          <w:rFonts w:ascii="Times New Roman" w:hAnsi="Times New Roman" w:cs="Times New Roman"/>
          <w:sz w:val="28"/>
          <w:szCs w:val="28"/>
          <w:lang w:val="en-US"/>
        </w:rPr>
        <w:t>al</w:t>
      </w:r>
      <w:r w:rsidR="007C026D" w:rsidRPr="00373DDF">
        <w:rPr>
          <w:rFonts w:ascii="Times New Roman" w:hAnsi="Times New Roman" w:cs="Times New Roman"/>
          <w:sz w:val="28"/>
          <w:szCs w:val="28"/>
          <w:lang w:val="uk-UA"/>
        </w:rPr>
        <w:t xml:space="preserve">. </w:t>
      </w:r>
      <w:r w:rsidR="007C026D" w:rsidRPr="007C026D">
        <w:rPr>
          <w:rFonts w:ascii="Times New Roman" w:hAnsi="Times New Roman" w:cs="Times New Roman"/>
          <w:sz w:val="28"/>
          <w:szCs w:val="28"/>
          <w:lang w:val="en-US"/>
        </w:rPr>
        <w:t>Association of Ser</w:t>
      </w:r>
      <w:r w:rsidR="007C026D">
        <w:rPr>
          <w:rFonts w:ascii="Times New Roman" w:hAnsi="Times New Roman" w:cs="Times New Roman"/>
          <w:sz w:val="28"/>
          <w:szCs w:val="28"/>
          <w:lang w:val="en-US"/>
        </w:rPr>
        <w:t xml:space="preserve">um Uric Acid Concentration with </w:t>
      </w:r>
      <w:r w:rsidR="007C026D" w:rsidRPr="007C026D">
        <w:rPr>
          <w:rFonts w:ascii="Times New Roman" w:hAnsi="Times New Roman" w:cs="Times New Roman"/>
          <w:sz w:val="28"/>
          <w:szCs w:val="28"/>
          <w:lang w:val="en-US"/>
        </w:rPr>
        <w:t>Diabetic Retinopat</w:t>
      </w:r>
      <w:r w:rsidR="007C026D">
        <w:rPr>
          <w:rFonts w:ascii="Times New Roman" w:hAnsi="Times New Roman" w:cs="Times New Roman"/>
          <w:sz w:val="28"/>
          <w:szCs w:val="28"/>
          <w:lang w:val="en-US"/>
        </w:rPr>
        <w:t xml:space="preserve">hy and Albuminuria in Taiwanese </w:t>
      </w:r>
      <w:r w:rsidR="007C026D" w:rsidRPr="007C026D">
        <w:rPr>
          <w:rFonts w:ascii="Times New Roman" w:hAnsi="Times New Roman" w:cs="Times New Roman"/>
          <w:sz w:val="28"/>
          <w:szCs w:val="28"/>
          <w:lang w:val="en-US"/>
        </w:rPr>
        <w:t>Patients with Type 2 Diabetes Mellitus</w:t>
      </w:r>
      <w:r w:rsidR="007C026D">
        <w:rPr>
          <w:rFonts w:ascii="Times New Roman" w:hAnsi="Times New Roman" w:cs="Times New Roman"/>
          <w:sz w:val="28"/>
          <w:szCs w:val="28"/>
          <w:lang w:val="en-US"/>
        </w:rPr>
        <w:t xml:space="preserve">. </w:t>
      </w:r>
      <w:r w:rsidR="00E21941" w:rsidRPr="00E21941">
        <w:rPr>
          <w:rFonts w:ascii="Times New Roman" w:hAnsi="Times New Roman" w:cs="Times New Roman"/>
          <w:sz w:val="28"/>
          <w:szCs w:val="28"/>
          <w:lang w:val="en-US"/>
        </w:rPr>
        <w:t>Int. J. Mol. Sci</w:t>
      </w:r>
      <w:r w:rsidR="00E21941">
        <w:rPr>
          <w:rFonts w:ascii="Times New Roman" w:hAnsi="Times New Roman" w:cs="Times New Roman"/>
          <w:sz w:val="28"/>
          <w:szCs w:val="28"/>
          <w:lang w:val="en-US"/>
        </w:rPr>
        <w:t xml:space="preserve"> [Internet]. 2016;</w:t>
      </w:r>
      <w:r w:rsidR="00E21941" w:rsidRPr="00E21941">
        <w:rPr>
          <w:rFonts w:ascii="Times New Roman" w:hAnsi="Times New Roman" w:cs="Times New Roman"/>
          <w:sz w:val="28"/>
          <w:szCs w:val="28"/>
          <w:lang w:val="en-US"/>
        </w:rPr>
        <w:t xml:space="preserve"> </w:t>
      </w:r>
      <w:r w:rsidR="00E21941">
        <w:rPr>
          <w:rFonts w:ascii="Times New Roman" w:hAnsi="Times New Roman" w:cs="Times New Roman"/>
          <w:sz w:val="28"/>
          <w:szCs w:val="28"/>
          <w:lang w:val="en-US"/>
        </w:rPr>
        <w:t>(</w:t>
      </w:r>
      <w:r w:rsidR="00E21941" w:rsidRPr="00E21941">
        <w:rPr>
          <w:rFonts w:ascii="Times New Roman" w:hAnsi="Times New Roman" w:cs="Times New Roman"/>
          <w:sz w:val="28"/>
          <w:szCs w:val="28"/>
          <w:lang w:val="en-US"/>
        </w:rPr>
        <w:t>17</w:t>
      </w:r>
      <w:r w:rsidR="00E21941">
        <w:rPr>
          <w:rFonts w:ascii="Times New Roman" w:hAnsi="Times New Roman" w:cs="Times New Roman"/>
          <w:sz w:val="28"/>
          <w:szCs w:val="28"/>
          <w:lang w:val="en-US"/>
        </w:rPr>
        <w:t xml:space="preserve">):1248. </w:t>
      </w:r>
      <w:r w:rsidR="00E21941" w:rsidRPr="00E21941">
        <w:rPr>
          <w:rFonts w:ascii="Times New Roman" w:hAnsi="Times New Roman" w:cs="Times New Roman"/>
          <w:sz w:val="28"/>
          <w:szCs w:val="28"/>
          <w:lang w:val="en-US"/>
        </w:rPr>
        <w:t>Available from</w:t>
      </w:r>
      <w:r w:rsidR="00E21941">
        <w:rPr>
          <w:rFonts w:ascii="Times New Roman" w:hAnsi="Times New Roman" w:cs="Times New Roman"/>
          <w:sz w:val="28"/>
          <w:szCs w:val="28"/>
          <w:lang w:val="en-US"/>
        </w:rPr>
        <w:t xml:space="preserve">: </w:t>
      </w:r>
    </w:p>
    <w:p w:rsidR="004944BA" w:rsidRDefault="000A6805" w:rsidP="007C026D">
      <w:pPr>
        <w:tabs>
          <w:tab w:val="left" w:pos="2880"/>
        </w:tabs>
        <w:spacing w:after="0" w:line="360" w:lineRule="auto"/>
        <w:jc w:val="both"/>
        <w:rPr>
          <w:rFonts w:ascii="Times New Roman" w:hAnsi="Times New Roman" w:cs="Times New Roman"/>
          <w:sz w:val="28"/>
          <w:szCs w:val="28"/>
          <w:lang w:val="en-US"/>
        </w:rPr>
      </w:pPr>
      <w:hyperlink r:id="rId103" w:history="1">
        <w:r w:rsidR="007E0D0B" w:rsidRPr="007E0D0B">
          <w:rPr>
            <w:rStyle w:val="a9"/>
            <w:rFonts w:ascii="Times New Roman" w:hAnsi="Times New Roman" w:cs="Times New Roman"/>
            <w:color w:val="auto"/>
            <w:sz w:val="28"/>
            <w:szCs w:val="28"/>
            <w:u w:val="none"/>
            <w:lang w:val="en-US"/>
          </w:rPr>
          <w:t>https://pdfs.semanticscholar.org/ac7f/41b08d94eca177b461a00d4d890c5b2aea96.pdf</w:t>
        </w:r>
      </w:hyperlink>
      <w:r w:rsidR="007E0D0B" w:rsidRPr="007E0D0B">
        <w:rPr>
          <w:rFonts w:ascii="Times New Roman" w:hAnsi="Times New Roman" w:cs="Times New Roman"/>
          <w:sz w:val="28"/>
          <w:szCs w:val="28"/>
          <w:lang w:val="uk-UA"/>
        </w:rPr>
        <w:t xml:space="preserve">  </w:t>
      </w:r>
      <w:r w:rsidR="00E21941">
        <w:rPr>
          <w:rFonts w:ascii="Times New Roman" w:hAnsi="Times New Roman" w:cs="Times New Roman"/>
          <w:sz w:val="28"/>
          <w:szCs w:val="28"/>
          <w:lang w:val="en-US"/>
        </w:rPr>
        <w:t>DOI</w:t>
      </w:r>
      <w:r w:rsidR="00E21941" w:rsidRPr="00E21941">
        <w:rPr>
          <w:rFonts w:ascii="Times New Roman" w:hAnsi="Times New Roman" w:cs="Times New Roman"/>
          <w:sz w:val="28"/>
          <w:szCs w:val="28"/>
          <w:lang w:val="en-US"/>
        </w:rPr>
        <w:t>:</w:t>
      </w:r>
      <w:r w:rsidR="00E21941">
        <w:rPr>
          <w:rFonts w:ascii="Times New Roman" w:hAnsi="Times New Roman" w:cs="Times New Roman"/>
          <w:sz w:val="28"/>
          <w:szCs w:val="28"/>
          <w:lang w:val="en-US"/>
        </w:rPr>
        <w:t xml:space="preserve"> </w:t>
      </w:r>
      <w:r w:rsidR="00E21941" w:rsidRPr="00E21941">
        <w:rPr>
          <w:rFonts w:ascii="Times New Roman" w:hAnsi="Times New Roman" w:cs="Times New Roman"/>
          <w:sz w:val="28"/>
          <w:szCs w:val="28"/>
          <w:lang w:val="en-US"/>
        </w:rPr>
        <w:t>10.3390/ijms17081248</w:t>
      </w:r>
    </w:p>
    <w:p w:rsidR="00C60053" w:rsidRPr="00373DDF" w:rsidRDefault="00592E52" w:rsidP="007C026D">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uk-UA"/>
        </w:rPr>
        <w:t>3</w:t>
      </w:r>
      <w:r w:rsidR="00E21941" w:rsidRPr="00C60053">
        <w:rPr>
          <w:rFonts w:ascii="Times New Roman" w:hAnsi="Times New Roman" w:cs="Times New Roman"/>
          <w:sz w:val="28"/>
          <w:szCs w:val="28"/>
          <w:lang w:val="en-US"/>
        </w:rPr>
        <w:t xml:space="preserve">. </w:t>
      </w:r>
      <w:r w:rsidR="00C60053">
        <w:rPr>
          <w:rFonts w:ascii="Times New Roman" w:hAnsi="Times New Roman" w:cs="Times New Roman"/>
          <w:sz w:val="28"/>
          <w:szCs w:val="28"/>
          <w:lang w:val="en-US"/>
        </w:rPr>
        <w:t>Li C</w:t>
      </w:r>
      <w:r w:rsidR="00C60053" w:rsidRPr="00C60053">
        <w:rPr>
          <w:rFonts w:ascii="Times New Roman" w:hAnsi="Times New Roman" w:cs="Times New Roman"/>
          <w:sz w:val="28"/>
          <w:szCs w:val="28"/>
          <w:lang w:val="en-US"/>
        </w:rPr>
        <w:t>, Hsieh MC, Chang SJ.</w:t>
      </w:r>
      <w:r w:rsidR="00C60053">
        <w:rPr>
          <w:rFonts w:ascii="Times New Roman" w:hAnsi="Times New Roman" w:cs="Times New Roman"/>
          <w:sz w:val="28"/>
          <w:szCs w:val="28"/>
          <w:lang w:val="en-US"/>
        </w:rPr>
        <w:t xml:space="preserve"> </w:t>
      </w:r>
      <w:r w:rsidR="00C60053" w:rsidRPr="00C60053">
        <w:rPr>
          <w:rFonts w:ascii="Times New Roman" w:hAnsi="Times New Roman" w:cs="Times New Roman"/>
          <w:sz w:val="28"/>
          <w:szCs w:val="28"/>
          <w:lang w:val="en-US"/>
        </w:rPr>
        <w:t>Metabolic syndrome, diabetes, and hyperuricemia.</w:t>
      </w:r>
      <w:r w:rsidR="00C60053">
        <w:rPr>
          <w:rFonts w:ascii="Times New Roman" w:hAnsi="Times New Roman" w:cs="Times New Roman"/>
          <w:sz w:val="28"/>
          <w:szCs w:val="28"/>
          <w:lang w:val="en-US"/>
        </w:rPr>
        <w:t xml:space="preserve"> </w:t>
      </w:r>
      <w:r w:rsidR="00C60053" w:rsidRPr="00C60053">
        <w:rPr>
          <w:rFonts w:ascii="Times New Roman" w:hAnsi="Times New Roman" w:cs="Times New Roman"/>
          <w:sz w:val="28"/>
          <w:szCs w:val="28"/>
          <w:lang w:val="en-US"/>
        </w:rPr>
        <w:t>Curr Opin Rheumatol</w:t>
      </w:r>
      <w:r w:rsidR="00C60053">
        <w:rPr>
          <w:rFonts w:ascii="Times New Roman" w:hAnsi="Times New Roman" w:cs="Times New Roman"/>
          <w:sz w:val="28"/>
          <w:szCs w:val="28"/>
          <w:lang w:val="en-US"/>
        </w:rPr>
        <w:t xml:space="preserve"> [Internet]</w:t>
      </w:r>
      <w:r w:rsidR="00C60053" w:rsidRPr="00C60053">
        <w:rPr>
          <w:rFonts w:ascii="Times New Roman" w:hAnsi="Times New Roman" w:cs="Times New Roman"/>
          <w:sz w:val="28"/>
          <w:szCs w:val="28"/>
          <w:lang w:val="en-US"/>
        </w:rPr>
        <w:t>. 2013 Mar;25(2):210-6.</w:t>
      </w:r>
      <w:r w:rsidR="00C60053">
        <w:rPr>
          <w:rFonts w:ascii="Times New Roman" w:hAnsi="Times New Roman" w:cs="Times New Roman"/>
          <w:sz w:val="28"/>
          <w:szCs w:val="28"/>
          <w:lang w:val="en-US"/>
        </w:rPr>
        <w:t xml:space="preserve"> </w:t>
      </w:r>
      <w:r w:rsidR="00C60053" w:rsidRPr="00C60053">
        <w:rPr>
          <w:rFonts w:ascii="Times New Roman" w:hAnsi="Times New Roman" w:cs="Times New Roman"/>
          <w:sz w:val="28"/>
          <w:szCs w:val="28"/>
          <w:lang w:val="en-US"/>
        </w:rPr>
        <w:t xml:space="preserve">Available from: </w:t>
      </w:r>
      <w:hyperlink r:id="rId104" w:history="1">
        <w:r w:rsidR="00C60053" w:rsidRPr="00373DDF">
          <w:rPr>
            <w:rStyle w:val="a9"/>
            <w:rFonts w:ascii="Times New Roman" w:hAnsi="Times New Roman" w:cs="Times New Roman"/>
            <w:color w:val="auto"/>
            <w:sz w:val="28"/>
            <w:szCs w:val="28"/>
            <w:u w:val="none"/>
            <w:lang w:val="en-US"/>
          </w:rPr>
          <w:t>https://www.ncbi.nlm.nih.gov/pubmed/23370374</w:t>
        </w:r>
      </w:hyperlink>
      <w:r w:rsidR="00C60053" w:rsidRPr="00373DDF">
        <w:rPr>
          <w:rFonts w:ascii="Times New Roman" w:hAnsi="Times New Roman" w:cs="Times New Roman"/>
          <w:sz w:val="28"/>
          <w:szCs w:val="28"/>
          <w:lang w:val="en-US"/>
        </w:rPr>
        <w:t xml:space="preserve">   </w:t>
      </w:r>
    </w:p>
    <w:p w:rsidR="00E21941" w:rsidRDefault="00C60053" w:rsidP="007C026D">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C60053">
        <w:rPr>
          <w:rFonts w:ascii="Times New Roman" w:hAnsi="Times New Roman" w:cs="Times New Roman"/>
          <w:sz w:val="28"/>
          <w:szCs w:val="28"/>
          <w:lang w:val="en-US"/>
        </w:rPr>
        <w:t>: 10.1097/BOR.0b013e32835d951e.</w:t>
      </w:r>
    </w:p>
    <w:p w:rsidR="00373DDF" w:rsidRPr="004B245B" w:rsidRDefault="00592E52" w:rsidP="007C026D">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uk-UA"/>
        </w:rPr>
        <w:t>4</w:t>
      </w:r>
      <w:r w:rsidR="00C60053">
        <w:rPr>
          <w:rFonts w:ascii="Times New Roman" w:hAnsi="Times New Roman" w:cs="Times New Roman"/>
          <w:sz w:val="28"/>
          <w:szCs w:val="28"/>
          <w:lang w:val="en-US"/>
        </w:rPr>
        <w:t xml:space="preserve">. </w:t>
      </w:r>
      <w:r w:rsidR="00373DDF" w:rsidRPr="00373DDF">
        <w:rPr>
          <w:rFonts w:ascii="Times New Roman" w:hAnsi="Times New Roman" w:cs="Times New Roman"/>
          <w:sz w:val="28"/>
          <w:szCs w:val="28"/>
          <w:lang w:val="en-US"/>
        </w:rPr>
        <w:t>Chaudhary K, Malhotra K, Sowers J, Aroor A.</w:t>
      </w:r>
      <w:r w:rsidR="00373DDF">
        <w:rPr>
          <w:rFonts w:ascii="Times New Roman" w:hAnsi="Times New Roman" w:cs="Times New Roman"/>
          <w:sz w:val="28"/>
          <w:szCs w:val="28"/>
          <w:lang w:val="uk-UA"/>
        </w:rPr>
        <w:t xml:space="preserve"> </w:t>
      </w:r>
      <w:r w:rsidR="00373DDF" w:rsidRPr="00373DDF">
        <w:rPr>
          <w:rFonts w:ascii="Times New Roman" w:hAnsi="Times New Roman" w:cs="Times New Roman"/>
          <w:sz w:val="28"/>
          <w:szCs w:val="28"/>
          <w:lang w:val="uk-UA"/>
        </w:rPr>
        <w:t>Uric Acid - key ingredient in the recipe for cardiorenal metabolic syndrome.</w:t>
      </w:r>
      <w:r w:rsidR="00373DDF">
        <w:rPr>
          <w:rFonts w:ascii="Times New Roman" w:hAnsi="Times New Roman" w:cs="Times New Roman"/>
          <w:sz w:val="28"/>
          <w:szCs w:val="28"/>
          <w:lang w:val="uk-UA"/>
        </w:rPr>
        <w:t xml:space="preserve"> </w:t>
      </w:r>
      <w:r w:rsidR="00373DDF" w:rsidRPr="00373DDF">
        <w:rPr>
          <w:rFonts w:ascii="Times New Roman" w:hAnsi="Times New Roman" w:cs="Times New Roman"/>
          <w:sz w:val="28"/>
          <w:szCs w:val="28"/>
          <w:lang w:val="uk-UA"/>
        </w:rPr>
        <w:t>Cardiorenal Med</w:t>
      </w:r>
      <w:r w:rsidR="00373DDF">
        <w:rPr>
          <w:rFonts w:ascii="Times New Roman" w:hAnsi="Times New Roman" w:cs="Times New Roman"/>
          <w:sz w:val="28"/>
          <w:szCs w:val="28"/>
          <w:lang w:val="uk-UA"/>
        </w:rPr>
        <w:t xml:space="preserve"> [Internet]. 2013 Oct;3(3):208-20. </w:t>
      </w:r>
      <w:r w:rsidR="004B245B" w:rsidRPr="004B245B">
        <w:rPr>
          <w:rFonts w:ascii="Times New Roman" w:hAnsi="Times New Roman" w:cs="Times New Roman"/>
          <w:sz w:val="28"/>
          <w:szCs w:val="28"/>
          <w:lang w:val="uk-UA"/>
        </w:rPr>
        <w:t>Available from:</w:t>
      </w:r>
      <w:r w:rsidR="004B245B">
        <w:rPr>
          <w:rFonts w:ascii="Times New Roman" w:hAnsi="Times New Roman" w:cs="Times New Roman"/>
          <w:sz w:val="28"/>
          <w:szCs w:val="28"/>
          <w:lang w:val="en-US"/>
        </w:rPr>
        <w:t xml:space="preserve"> </w:t>
      </w:r>
      <w:r w:rsidR="004B245B" w:rsidRPr="004B245B">
        <w:rPr>
          <w:rFonts w:ascii="Times New Roman" w:hAnsi="Times New Roman" w:cs="Times New Roman"/>
          <w:sz w:val="28"/>
          <w:szCs w:val="28"/>
          <w:lang w:val="en-US"/>
        </w:rPr>
        <w:t>https://www.ncbi.nlm.nih.gov/pubmed/24454316</w:t>
      </w:r>
    </w:p>
    <w:p w:rsidR="00C60053" w:rsidRPr="00890AFD" w:rsidRDefault="00373DDF" w:rsidP="007C026D">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DOI</w:t>
      </w:r>
      <w:r w:rsidR="004B245B">
        <w:rPr>
          <w:rFonts w:ascii="Times New Roman" w:hAnsi="Times New Roman" w:cs="Times New Roman"/>
          <w:sz w:val="28"/>
          <w:szCs w:val="28"/>
          <w:lang w:val="uk-UA"/>
        </w:rPr>
        <w:t>: 10.1159/000355405</w:t>
      </w:r>
    </w:p>
    <w:p w:rsidR="00277D1F" w:rsidRDefault="00592E52" w:rsidP="00277D1F">
      <w:pPr>
        <w:tabs>
          <w:tab w:val="left" w:pos="993"/>
        </w:tabs>
        <w:spacing w:after="0" w:line="360" w:lineRule="auto"/>
        <w:jc w:val="both"/>
        <w:rPr>
          <w:rFonts w:ascii="Times New Roman" w:hAnsi="Times New Roman" w:cs="Times New Roman"/>
          <w:bCs/>
          <w:sz w:val="28"/>
          <w:szCs w:val="28"/>
          <w:lang w:val="uk-UA"/>
        </w:rPr>
      </w:pPr>
      <w:r>
        <w:rPr>
          <w:rFonts w:ascii="Times New Roman" w:hAnsi="Times New Roman" w:cs="Times New Roman"/>
          <w:bCs/>
          <w:sz w:val="28"/>
          <w:szCs w:val="28"/>
        </w:rPr>
        <w:t>15</w:t>
      </w:r>
      <w:r>
        <w:rPr>
          <w:rFonts w:ascii="Times New Roman" w:hAnsi="Times New Roman" w:cs="Times New Roman"/>
          <w:bCs/>
          <w:sz w:val="28"/>
          <w:szCs w:val="28"/>
          <w:lang w:val="uk-UA"/>
        </w:rPr>
        <w:t>5</w:t>
      </w:r>
      <w:r w:rsidR="00277D1F">
        <w:rPr>
          <w:rFonts w:ascii="Times New Roman" w:hAnsi="Times New Roman" w:cs="Times New Roman"/>
          <w:bCs/>
          <w:sz w:val="28"/>
          <w:szCs w:val="28"/>
          <w:lang w:val="uk-UA"/>
        </w:rPr>
        <w:t xml:space="preserve">. </w:t>
      </w:r>
      <w:r w:rsidR="00277D1F" w:rsidRPr="006D5855">
        <w:rPr>
          <w:rFonts w:ascii="Times New Roman" w:hAnsi="Times New Roman" w:cs="Times New Roman"/>
          <w:bCs/>
          <w:sz w:val="28"/>
          <w:szCs w:val="28"/>
          <w:lang w:val="uk-UA"/>
        </w:rPr>
        <w:t>Поворознюк</w:t>
      </w:r>
      <w:r w:rsidR="00277D1F">
        <w:rPr>
          <w:rFonts w:ascii="Times New Roman" w:hAnsi="Times New Roman" w:cs="Times New Roman"/>
          <w:bCs/>
          <w:sz w:val="28"/>
          <w:szCs w:val="28"/>
          <w:lang w:val="uk-UA"/>
        </w:rPr>
        <w:t xml:space="preserve"> ВВ. </w:t>
      </w:r>
      <w:r w:rsidR="00277D1F" w:rsidRPr="006D5855">
        <w:rPr>
          <w:rFonts w:ascii="Times New Roman" w:hAnsi="Times New Roman" w:cs="Times New Roman"/>
          <w:bCs/>
          <w:sz w:val="28"/>
          <w:szCs w:val="28"/>
          <w:lang w:val="uk-UA"/>
        </w:rPr>
        <w:t>Подагра: новые подходы к лечению заболевания</w:t>
      </w:r>
      <w:r w:rsidR="00277D1F">
        <w:rPr>
          <w:rFonts w:ascii="Times New Roman" w:hAnsi="Times New Roman" w:cs="Times New Roman"/>
          <w:bCs/>
          <w:sz w:val="28"/>
          <w:szCs w:val="28"/>
          <w:lang w:val="uk-UA"/>
        </w:rPr>
        <w:t>. Здоров</w:t>
      </w:r>
      <w:r w:rsidR="00277D1F" w:rsidRPr="006D5855">
        <w:rPr>
          <w:rFonts w:ascii="Times New Roman" w:hAnsi="Times New Roman" w:cs="Times New Roman"/>
          <w:bCs/>
          <w:sz w:val="28"/>
          <w:szCs w:val="28"/>
          <w:lang w:val="uk-UA"/>
        </w:rPr>
        <w:t>’</w:t>
      </w:r>
      <w:r w:rsidR="00277D1F">
        <w:rPr>
          <w:rFonts w:ascii="Times New Roman" w:hAnsi="Times New Roman" w:cs="Times New Roman"/>
          <w:bCs/>
          <w:sz w:val="28"/>
          <w:szCs w:val="28"/>
          <w:lang w:val="uk-UA"/>
        </w:rPr>
        <w:t>я України</w:t>
      </w:r>
      <w:r w:rsidR="00277D1F" w:rsidRPr="006D5855">
        <w:t xml:space="preserve"> </w:t>
      </w:r>
      <w:r w:rsidR="00277D1F">
        <w:rPr>
          <w:rFonts w:ascii="Times New Roman" w:hAnsi="Times New Roman" w:cs="Times New Roman"/>
          <w:bCs/>
          <w:sz w:val="28"/>
          <w:szCs w:val="28"/>
          <w:lang w:val="uk-UA"/>
        </w:rPr>
        <w:t>[Інтернет]. 2015;3(40)</w:t>
      </w:r>
      <w:r w:rsidR="00277D1F" w:rsidRPr="006D5855">
        <w:rPr>
          <w:rFonts w:ascii="Times New Roman" w:hAnsi="Times New Roman" w:cs="Times New Roman"/>
          <w:bCs/>
          <w:sz w:val="28"/>
          <w:szCs w:val="28"/>
          <w:lang w:val="uk-UA"/>
        </w:rPr>
        <w:t>:</w:t>
      </w:r>
      <w:r w:rsidR="00277D1F">
        <w:rPr>
          <w:rFonts w:ascii="Times New Roman" w:hAnsi="Times New Roman" w:cs="Times New Roman"/>
          <w:bCs/>
          <w:sz w:val="28"/>
          <w:szCs w:val="28"/>
          <w:lang w:val="uk-UA"/>
        </w:rPr>
        <w:t>4</w:t>
      </w:r>
      <w:r w:rsidR="00277D1F" w:rsidRPr="006D5855">
        <w:rPr>
          <w:rFonts w:ascii="Times New Roman" w:hAnsi="Times New Roman" w:cs="Times New Roman"/>
          <w:bCs/>
          <w:sz w:val="28"/>
          <w:szCs w:val="28"/>
          <w:lang w:val="uk-UA"/>
        </w:rPr>
        <w:t>. Доступно на:</w:t>
      </w:r>
    </w:p>
    <w:p w:rsidR="00277D1F" w:rsidRPr="000D27B8" w:rsidRDefault="000A6805" w:rsidP="00277D1F">
      <w:pPr>
        <w:tabs>
          <w:tab w:val="left" w:pos="993"/>
        </w:tabs>
        <w:spacing w:after="0" w:line="360" w:lineRule="auto"/>
        <w:jc w:val="both"/>
        <w:rPr>
          <w:rFonts w:ascii="Times New Roman" w:hAnsi="Times New Roman" w:cs="Times New Roman"/>
          <w:bCs/>
          <w:sz w:val="28"/>
          <w:szCs w:val="28"/>
          <w:lang w:val="uk-UA"/>
        </w:rPr>
      </w:pPr>
      <w:hyperlink r:id="rId105" w:history="1">
        <w:r w:rsidR="00277D1F" w:rsidRPr="000D27B8">
          <w:rPr>
            <w:rStyle w:val="a9"/>
            <w:rFonts w:ascii="Times New Roman" w:hAnsi="Times New Roman" w:cs="Times New Roman"/>
            <w:bCs/>
            <w:color w:val="auto"/>
            <w:sz w:val="28"/>
            <w:szCs w:val="28"/>
            <w:u w:val="none"/>
            <w:lang w:val="uk-UA"/>
          </w:rPr>
          <w:t>http://health-ua.com/wp-content/uploads/2015/07/ZU_cardio-3_2015-for-site.pdf</w:t>
        </w:r>
      </w:hyperlink>
    </w:p>
    <w:p w:rsidR="00277D1F" w:rsidRDefault="00592E52" w:rsidP="00277D1F">
      <w:pPr>
        <w:tabs>
          <w:tab w:val="left" w:pos="993"/>
        </w:tabs>
        <w:spacing w:after="0" w:line="36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15</w:t>
      </w:r>
      <w:r>
        <w:rPr>
          <w:rFonts w:ascii="Times New Roman" w:hAnsi="Times New Roman" w:cs="Times New Roman"/>
          <w:bCs/>
          <w:sz w:val="28"/>
          <w:szCs w:val="28"/>
          <w:lang w:val="uk-UA"/>
        </w:rPr>
        <w:t>6</w:t>
      </w:r>
      <w:r w:rsidR="00277D1F">
        <w:rPr>
          <w:rFonts w:ascii="Times New Roman" w:hAnsi="Times New Roman" w:cs="Times New Roman"/>
          <w:bCs/>
          <w:sz w:val="28"/>
          <w:szCs w:val="28"/>
          <w:lang w:val="uk-UA"/>
        </w:rPr>
        <w:t xml:space="preserve">. </w:t>
      </w:r>
      <w:r w:rsidR="00277D1F" w:rsidRPr="000D27B8">
        <w:rPr>
          <w:rFonts w:ascii="Times New Roman" w:hAnsi="Times New Roman" w:cs="Times New Roman"/>
          <w:bCs/>
          <w:sz w:val="28"/>
          <w:szCs w:val="28"/>
          <w:lang w:val="uk-UA"/>
        </w:rPr>
        <w:t>Ogbera</w:t>
      </w:r>
      <w:r w:rsidR="00277D1F">
        <w:rPr>
          <w:rFonts w:ascii="Times New Roman" w:hAnsi="Times New Roman" w:cs="Times New Roman"/>
          <w:bCs/>
          <w:sz w:val="28"/>
          <w:szCs w:val="28"/>
          <w:lang w:val="uk-UA"/>
        </w:rPr>
        <w:t xml:space="preserve"> </w:t>
      </w:r>
      <w:r w:rsidR="00277D1F">
        <w:rPr>
          <w:rFonts w:ascii="Times New Roman" w:hAnsi="Times New Roman" w:cs="Times New Roman"/>
          <w:bCs/>
          <w:sz w:val="28"/>
          <w:szCs w:val="28"/>
          <w:lang w:val="en-US"/>
        </w:rPr>
        <w:t xml:space="preserve">AO, </w:t>
      </w:r>
      <w:r w:rsidR="00277D1F" w:rsidRPr="000D27B8">
        <w:rPr>
          <w:rFonts w:ascii="Times New Roman" w:hAnsi="Times New Roman" w:cs="Times New Roman"/>
          <w:bCs/>
          <w:sz w:val="28"/>
          <w:szCs w:val="28"/>
          <w:lang w:val="uk-UA"/>
        </w:rPr>
        <w:t>Azenabor</w:t>
      </w:r>
      <w:r w:rsidR="00277D1F">
        <w:rPr>
          <w:rFonts w:ascii="Times New Roman" w:hAnsi="Times New Roman" w:cs="Times New Roman"/>
          <w:bCs/>
          <w:sz w:val="28"/>
          <w:szCs w:val="28"/>
          <w:lang w:val="en-US"/>
        </w:rPr>
        <w:t xml:space="preserve"> AO. </w:t>
      </w:r>
      <w:r w:rsidR="00277D1F" w:rsidRPr="000D27B8">
        <w:rPr>
          <w:rFonts w:ascii="Times New Roman" w:hAnsi="Times New Roman" w:cs="Times New Roman"/>
          <w:bCs/>
          <w:sz w:val="28"/>
          <w:szCs w:val="28"/>
          <w:lang w:val="en-US"/>
        </w:rPr>
        <w:t>Hyperuricaemia and the metabolic syndrome in type 2 DM</w:t>
      </w:r>
      <w:r w:rsidR="00277D1F">
        <w:rPr>
          <w:rFonts w:ascii="Times New Roman" w:hAnsi="Times New Roman" w:cs="Times New Roman"/>
          <w:bCs/>
          <w:sz w:val="28"/>
          <w:szCs w:val="28"/>
          <w:lang w:val="en-US"/>
        </w:rPr>
        <w:t xml:space="preserve">. </w:t>
      </w:r>
      <w:r w:rsidR="00277D1F" w:rsidRPr="000D27B8">
        <w:rPr>
          <w:rFonts w:ascii="Times New Roman" w:hAnsi="Times New Roman" w:cs="Times New Roman"/>
          <w:bCs/>
          <w:sz w:val="28"/>
          <w:szCs w:val="28"/>
          <w:lang w:val="en-US"/>
        </w:rPr>
        <w:t>Diabetol Metab Syndr</w:t>
      </w:r>
      <w:r w:rsidR="00277D1F">
        <w:rPr>
          <w:rFonts w:ascii="Times New Roman" w:hAnsi="Times New Roman" w:cs="Times New Roman"/>
          <w:bCs/>
          <w:sz w:val="28"/>
          <w:szCs w:val="28"/>
          <w:lang w:val="en-US"/>
        </w:rPr>
        <w:t xml:space="preserve"> [Internet]. 2010;2:</w:t>
      </w:r>
      <w:r w:rsidR="00277D1F" w:rsidRPr="000D27B8">
        <w:rPr>
          <w:rFonts w:ascii="Times New Roman" w:hAnsi="Times New Roman" w:cs="Times New Roman"/>
          <w:bCs/>
          <w:sz w:val="28"/>
          <w:szCs w:val="28"/>
          <w:lang w:val="en-US"/>
        </w:rPr>
        <w:t>24.</w:t>
      </w:r>
      <w:r w:rsidR="00277D1F">
        <w:rPr>
          <w:rFonts w:ascii="Times New Roman" w:hAnsi="Times New Roman" w:cs="Times New Roman"/>
          <w:bCs/>
          <w:sz w:val="28"/>
          <w:szCs w:val="28"/>
          <w:lang w:val="en-US"/>
        </w:rPr>
        <w:t xml:space="preserve"> </w:t>
      </w:r>
      <w:r w:rsidR="00277D1F" w:rsidRPr="000D27B8">
        <w:rPr>
          <w:rFonts w:ascii="Times New Roman" w:hAnsi="Times New Roman" w:cs="Times New Roman"/>
          <w:bCs/>
          <w:sz w:val="28"/>
          <w:szCs w:val="28"/>
          <w:lang w:val="en-US"/>
        </w:rPr>
        <w:t>Available from:</w:t>
      </w:r>
      <w:r w:rsidR="00277D1F">
        <w:rPr>
          <w:rFonts w:ascii="Times New Roman" w:hAnsi="Times New Roman" w:cs="Times New Roman"/>
          <w:bCs/>
          <w:sz w:val="28"/>
          <w:szCs w:val="28"/>
          <w:lang w:val="en-US"/>
        </w:rPr>
        <w:t xml:space="preserve"> </w:t>
      </w:r>
      <w:hyperlink r:id="rId106" w:history="1">
        <w:r w:rsidR="00277D1F" w:rsidRPr="000D27B8">
          <w:rPr>
            <w:rStyle w:val="a9"/>
            <w:rFonts w:ascii="Times New Roman" w:hAnsi="Times New Roman" w:cs="Times New Roman"/>
            <w:bCs/>
            <w:color w:val="auto"/>
            <w:sz w:val="28"/>
            <w:szCs w:val="28"/>
            <w:u w:val="none"/>
            <w:lang w:val="en-US"/>
          </w:rPr>
          <w:t>https://www.ncbi.nlm.nih.gov/pmc/articles/PMC2864200/</w:t>
        </w:r>
      </w:hyperlink>
      <w:r w:rsidR="00277D1F">
        <w:rPr>
          <w:rFonts w:ascii="Times New Roman" w:hAnsi="Times New Roman" w:cs="Times New Roman"/>
          <w:bCs/>
          <w:sz w:val="28"/>
          <w:szCs w:val="28"/>
          <w:lang w:val="en-US"/>
        </w:rPr>
        <w:t xml:space="preserve"> </w:t>
      </w:r>
    </w:p>
    <w:p w:rsidR="00277D1F" w:rsidRPr="00EA6F81" w:rsidRDefault="00277D1F" w:rsidP="007C026D">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bCs/>
          <w:sz w:val="28"/>
          <w:szCs w:val="28"/>
          <w:lang w:val="en-US"/>
        </w:rPr>
        <w:t>DOI</w:t>
      </w:r>
      <w:r w:rsidRPr="00277D1F">
        <w:rPr>
          <w:rFonts w:ascii="Times New Roman" w:hAnsi="Times New Roman" w:cs="Times New Roman"/>
          <w:bCs/>
          <w:sz w:val="28"/>
          <w:szCs w:val="28"/>
        </w:rPr>
        <w:t>: 10.1186/1758-5996-2-24</w:t>
      </w:r>
    </w:p>
    <w:p w:rsidR="00890AFD" w:rsidRPr="004E2D00" w:rsidRDefault="00277D1F" w:rsidP="007C026D">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15</w:t>
      </w:r>
      <w:r w:rsidR="00592E52">
        <w:rPr>
          <w:rFonts w:ascii="Times New Roman" w:hAnsi="Times New Roman" w:cs="Times New Roman"/>
          <w:sz w:val="28"/>
          <w:szCs w:val="28"/>
          <w:lang w:val="uk-UA"/>
        </w:rPr>
        <w:t>7</w:t>
      </w:r>
      <w:r w:rsidR="004B245B" w:rsidRPr="00890AFD">
        <w:rPr>
          <w:rFonts w:ascii="Times New Roman" w:hAnsi="Times New Roman" w:cs="Times New Roman"/>
          <w:sz w:val="28"/>
          <w:szCs w:val="28"/>
        </w:rPr>
        <w:t>.</w:t>
      </w:r>
      <w:r w:rsidR="00890AFD">
        <w:rPr>
          <w:rFonts w:ascii="Times New Roman" w:hAnsi="Times New Roman" w:cs="Times New Roman"/>
          <w:sz w:val="28"/>
          <w:szCs w:val="28"/>
          <w:lang w:val="uk-UA"/>
        </w:rPr>
        <w:t xml:space="preserve"> Королева ЕВ, </w:t>
      </w:r>
      <w:r w:rsidR="00890AFD" w:rsidRPr="00890AFD">
        <w:rPr>
          <w:rFonts w:ascii="Times New Roman" w:hAnsi="Times New Roman" w:cs="Times New Roman"/>
          <w:sz w:val="28"/>
          <w:szCs w:val="28"/>
          <w:lang w:val="uk-UA"/>
        </w:rPr>
        <w:t>Кратнов</w:t>
      </w:r>
      <w:r w:rsidR="00890AFD">
        <w:rPr>
          <w:rFonts w:ascii="Times New Roman" w:hAnsi="Times New Roman" w:cs="Times New Roman"/>
          <w:sz w:val="28"/>
          <w:szCs w:val="28"/>
          <w:lang w:val="uk-UA"/>
        </w:rPr>
        <w:t xml:space="preserve"> АЕ, </w:t>
      </w:r>
      <w:r w:rsidR="00890AFD" w:rsidRPr="00890AFD">
        <w:rPr>
          <w:rFonts w:ascii="Times New Roman" w:hAnsi="Times New Roman" w:cs="Times New Roman"/>
          <w:sz w:val="28"/>
          <w:szCs w:val="28"/>
          <w:lang w:val="uk-UA"/>
        </w:rPr>
        <w:t>Тимганова</w:t>
      </w:r>
      <w:r w:rsidR="00890AFD">
        <w:rPr>
          <w:rFonts w:ascii="Times New Roman" w:hAnsi="Times New Roman" w:cs="Times New Roman"/>
          <w:sz w:val="28"/>
          <w:szCs w:val="28"/>
          <w:lang w:val="uk-UA"/>
        </w:rPr>
        <w:t xml:space="preserve"> ЕВ</w:t>
      </w:r>
      <w:r w:rsidR="00890AFD" w:rsidRPr="00890AFD">
        <w:rPr>
          <w:rFonts w:ascii="Times New Roman" w:hAnsi="Times New Roman" w:cs="Times New Roman"/>
          <w:sz w:val="28"/>
          <w:szCs w:val="28"/>
          <w:lang w:val="uk-UA"/>
        </w:rPr>
        <w:t xml:space="preserve"> Диастолическая дисфункция и ремоделирование левого желудочка у больных сахарным диабетом ІІ типа с коморбидным ожирением и артериальной гипертензией</w:t>
      </w:r>
      <w:r w:rsidR="00890AFD">
        <w:rPr>
          <w:rFonts w:ascii="Times New Roman" w:hAnsi="Times New Roman" w:cs="Times New Roman"/>
          <w:sz w:val="28"/>
          <w:szCs w:val="28"/>
          <w:lang w:val="uk-UA"/>
        </w:rPr>
        <w:t xml:space="preserve">. </w:t>
      </w:r>
      <w:r w:rsidR="00890AFD" w:rsidRPr="00890AFD">
        <w:rPr>
          <w:rFonts w:ascii="Times New Roman" w:hAnsi="Times New Roman" w:cs="Times New Roman"/>
          <w:sz w:val="28"/>
          <w:szCs w:val="28"/>
          <w:lang w:val="uk-UA"/>
        </w:rPr>
        <w:t>Вестник современной клин</w:t>
      </w:r>
      <w:r w:rsidR="00890AFD">
        <w:rPr>
          <w:rFonts w:ascii="Times New Roman" w:hAnsi="Times New Roman" w:cs="Times New Roman"/>
          <w:sz w:val="28"/>
          <w:szCs w:val="28"/>
          <w:lang w:val="uk-UA"/>
        </w:rPr>
        <w:t>ической медицины</w:t>
      </w:r>
      <w:r w:rsidR="00890AFD" w:rsidRPr="00890AFD">
        <w:rPr>
          <w:rFonts w:ascii="Times New Roman" w:hAnsi="Times New Roman" w:cs="Times New Roman"/>
          <w:sz w:val="28"/>
          <w:szCs w:val="28"/>
        </w:rPr>
        <w:t xml:space="preserve"> [Интернет]. </w:t>
      </w:r>
      <w:r w:rsidR="00890AFD">
        <w:rPr>
          <w:rFonts w:ascii="Times New Roman" w:hAnsi="Times New Roman" w:cs="Times New Roman"/>
          <w:sz w:val="28"/>
          <w:szCs w:val="28"/>
          <w:lang w:val="uk-UA"/>
        </w:rPr>
        <w:t>2014</w:t>
      </w:r>
      <w:r w:rsidR="00890AFD" w:rsidRPr="00890AFD">
        <w:rPr>
          <w:rFonts w:ascii="Times New Roman" w:hAnsi="Times New Roman" w:cs="Times New Roman"/>
          <w:sz w:val="28"/>
          <w:szCs w:val="28"/>
        </w:rPr>
        <w:t>;</w:t>
      </w:r>
      <w:r w:rsidR="00890AFD">
        <w:rPr>
          <w:rFonts w:ascii="Times New Roman" w:hAnsi="Times New Roman" w:cs="Times New Roman"/>
          <w:sz w:val="28"/>
          <w:szCs w:val="28"/>
          <w:lang w:val="uk-UA"/>
        </w:rPr>
        <w:t>7</w:t>
      </w:r>
      <w:r w:rsidR="00890AFD" w:rsidRPr="00890AFD">
        <w:rPr>
          <w:rFonts w:ascii="Times New Roman" w:hAnsi="Times New Roman" w:cs="Times New Roman"/>
          <w:sz w:val="28"/>
          <w:szCs w:val="28"/>
        </w:rPr>
        <w:t>(</w:t>
      </w:r>
      <w:r w:rsidR="00890AFD" w:rsidRPr="00890AFD">
        <w:rPr>
          <w:rFonts w:ascii="Times New Roman" w:hAnsi="Times New Roman" w:cs="Times New Roman"/>
          <w:sz w:val="28"/>
          <w:szCs w:val="28"/>
          <w:lang w:val="uk-UA"/>
        </w:rPr>
        <w:t>3</w:t>
      </w:r>
      <w:r w:rsidR="00890AFD" w:rsidRPr="00890AFD">
        <w:rPr>
          <w:rFonts w:ascii="Times New Roman" w:hAnsi="Times New Roman" w:cs="Times New Roman"/>
          <w:sz w:val="28"/>
          <w:szCs w:val="28"/>
        </w:rPr>
        <w:t>):</w:t>
      </w:r>
      <w:r w:rsidR="00890AFD">
        <w:rPr>
          <w:rFonts w:ascii="Times New Roman" w:hAnsi="Times New Roman" w:cs="Times New Roman"/>
          <w:sz w:val="28"/>
          <w:szCs w:val="28"/>
          <w:lang w:val="uk-UA"/>
        </w:rPr>
        <w:t>20</w:t>
      </w:r>
      <w:r w:rsidR="00890AFD" w:rsidRPr="00890AFD">
        <w:rPr>
          <w:rFonts w:ascii="Times New Roman" w:hAnsi="Times New Roman" w:cs="Times New Roman"/>
          <w:sz w:val="28"/>
          <w:szCs w:val="28"/>
        </w:rPr>
        <w:t>-</w:t>
      </w:r>
      <w:r w:rsidR="00890AFD" w:rsidRPr="00890AFD">
        <w:rPr>
          <w:rFonts w:ascii="Times New Roman" w:hAnsi="Times New Roman" w:cs="Times New Roman"/>
          <w:sz w:val="28"/>
          <w:szCs w:val="28"/>
          <w:lang w:val="uk-UA"/>
        </w:rPr>
        <w:t>4.</w:t>
      </w:r>
      <w:r w:rsidR="00890AFD" w:rsidRPr="00890AFD">
        <w:rPr>
          <w:rFonts w:ascii="Times New Roman" w:hAnsi="Times New Roman" w:cs="Times New Roman"/>
          <w:sz w:val="28"/>
          <w:szCs w:val="28"/>
        </w:rPr>
        <w:t xml:space="preserve"> </w:t>
      </w:r>
    </w:p>
    <w:p w:rsidR="004B245B" w:rsidRPr="00890AFD" w:rsidRDefault="00890AFD" w:rsidP="007C026D">
      <w:pPr>
        <w:tabs>
          <w:tab w:val="left" w:pos="2880"/>
        </w:tabs>
        <w:spacing w:after="0" w:line="360" w:lineRule="auto"/>
        <w:jc w:val="both"/>
        <w:rPr>
          <w:rFonts w:ascii="Times New Roman" w:hAnsi="Times New Roman" w:cs="Times New Roman"/>
          <w:sz w:val="28"/>
          <w:szCs w:val="28"/>
        </w:rPr>
      </w:pPr>
      <w:r w:rsidRPr="00890AFD">
        <w:rPr>
          <w:rFonts w:ascii="Times New Roman" w:hAnsi="Times New Roman" w:cs="Times New Roman"/>
          <w:sz w:val="28"/>
          <w:szCs w:val="28"/>
        </w:rPr>
        <w:t xml:space="preserve">Доступно на: </w:t>
      </w:r>
      <w:hyperlink r:id="rId107" w:history="1">
        <w:r w:rsidRPr="00890AFD">
          <w:rPr>
            <w:rStyle w:val="a9"/>
            <w:rFonts w:ascii="Times New Roman" w:hAnsi="Times New Roman" w:cs="Times New Roman"/>
            <w:color w:val="auto"/>
            <w:sz w:val="28"/>
            <w:szCs w:val="28"/>
            <w:u w:val="none"/>
          </w:rPr>
          <w:t>https://cyberleninka.ru/article/v/diastolicheskaya-disfunktsiya-i-remodelirovanie-levogo-zheludochka-u-bolnyh-saharnym-diabetom-ii-tipa-s-komorbidnymi-ozhireniem-i</w:t>
        </w:r>
      </w:hyperlink>
      <w:r w:rsidRPr="00890AFD">
        <w:rPr>
          <w:rFonts w:ascii="Times New Roman" w:hAnsi="Times New Roman" w:cs="Times New Roman"/>
          <w:sz w:val="28"/>
          <w:szCs w:val="28"/>
        </w:rPr>
        <w:t xml:space="preserve"> </w:t>
      </w:r>
    </w:p>
    <w:p w:rsidR="007C3F1D" w:rsidRDefault="00592E52" w:rsidP="007C026D">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15</w:t>
      </w:r>
      <w:r>
        <w:rPr>
          <w:rFonts w:ascii="Times New Roman" w:hAnsi="Times New Roman" w:cs="Times New Roman"/>
          <w:sz w:val="28"/>
          <w:szCs w:val="28"/>
          <w:lang w:val="uk-UA"/>
        </w:rPr>
        <w:t>8</w:t>
      </w:r>
      <w:r w:rsidR="00890AFD" w:rsidRPr="00277D1F">
        <w:rPr>
          <w:rFonts w:ascii="Times New Roman" w:hAnsi="Times New Roman" w:cs="Times New Roman"/>
          <w:sz w:val="28"/>
          <w:szCs w:val="28"/>
          <w:lang w:val="en-US"/>
        </w:rPr>
        <w:t xml:space="preserve">. </w:t>
      </w:r>
      <w:r w:rsidR="00967989" w:rsidRPr="00277D1F">
        <w:rPr>
          <w:rFonts w:ascii="Times New Roman" w:hAnsi="Times New Roman" w:cs="Times New Roman"/>
          <w:sz w:val="28"/>
          <w:szCs w:val="28"/>
          <w:lang w:val="en-US"/>
        </w:rPr>
        <w:t xml:space="preserve">Miki T, </w:t>
      </w:r>
      <w:r w:rsidR="00967989" w:rsidRPr="00967989">
        <w:rPr>
          <w:rFonts w:ascii="Times New Roman" w:hAnsi="Times New Roman" w:cs="Times New Roman"/>
          <w:sz w:val="28"/>
          <w:szCs w:val="28"/>
          <w:lang w:val="en-US"/>
        </w:rPr>
        <w:t>Yuda S, Kouzu H, Miura T.</w:t>
      </w:r>
      <w:r w:rsidR="00967989">
        <w:rPr>
          <w:rFonts w:ascii="Times New Roman" w:hAnsi="Times New Roman" w:cs="Times New Roman"/>
          <w:sz w:val="28"/>
          <w:szCs w:val="28"/>
          <w:lang w:val="uk-UA"/>
        </w:rPr>
        <w:t xml:space="preserve"> </w:t>
      </w:r>
      <w:r w:rsidR="00967989" w:rsidRPr="00967989">
        <w:rPr>
          <w:rFonts w:ascii="Times New Roman" w:hAnsi="Times New Roman" w:cs="Times New Roman"/>
          <w:sz w:val="28"/>
          <w:szCs w:val="28"/>
          <w:lang w:val="uk-UA"/>
        </w:rPr>
        <w:t>Diabetic cardiomyopathy: pathophysiology and clinical features.</w:t>
      </w:r>
      <w:r w:rsidR="00CB6D8F">
        <w:rPr>
          <w:rFonts w:ascii="Times New Roman" w:hAnsi="Times New Roman" w:cs="Times New Roman"/>
          <w:sz w:val="28"/>
          <w:szCs w:val="28"/>
          <w:lang w:val="uk-UA"/>
        </w:rPr>
        <w:t xml:space="preserve"> </w:t>
      </w:r>
      <w:r w:rsidR="00CB6D8F" w:rsidRPr="00CB6D8F">
        <w:rPr>
          <w:rFonts w:ascii="Times New Roman" w:hAnsi="Times New Roman" w:cs="Times New Roman"/>
          <w:sz w:val="28"/>
          <w:szCs w:val="28"/>
          <w:lang w:val="uk-UA"/>
        </w:rPr>
        <w:t>Heart Fail Rev</w:t>
      </w:r>
      <w:r w:rsidR="00CB6D8F">
        <w:rPr>
          <w:rFonts w:ascii="Times New Roman" w:hAnsi="Times New Roman" w:cs="Times New Roman"/>
          <w:sz w:val="28"/>
          <w:szCs w:val="28"/>
          <w:lang w:val="uk-UA"/>
        </w:rPr>
        <w:t xml:space="preserve"> [Internet]</w:t>
      </w:r>
      <w:r w:rsidR="00CB6D8F" w:rsidRPr="00CB6D8F">
        <w:rPr>
          <w:rFonts w:ascii="Times New Roman" w:hAnsi="Times New Roman" w:cs="Times New Roman"/>
          <w:sz w:val="28"/>
          <w:szCs w:val="28"/>
          <w:lang w:val="uk-UA"/>
        </w:rPr>
        <w:t xml:space="preserve">. 2013 Mar;18(2):149-66. Available from: </w:t>
      </w:r>
    </w:p>
    <w:p w:rsidR="007C3F1D" w:rsidRDefault="007C3F1D" w:rsidP="007C026D">
      <w:pPr>
        <w:tabs>
          <w:tab w:val="left" w:pos="2880"/>
        </w:tabs>
        <w:spacing w:after="0" w:line="360" w:lineRule="auto"/>
        <w:jc w:val="both"/>
        <w:rPr>
          <w:rFonts w:ascii="Times New Roman" w:hAnsi="Times New Roman" w:cs="Times New Roman"/>
          <w:sz w:val="28"/>
          <w:szCs w:val="28"/>
          <w:lang w:val="uk-UA"/>
        </w:rPr>
      </w:pPr>
      <w:r w:rsidRPr="007C3F1D">
        <w:rPr>
          <w:rFonts w:ascii="Times New Roman" w:hAnsi="Times New Roman" w:cs="Times New Roman"/>
          <w:sz w:val="28"/>
          <w:szCs w:val="28"/>
          <w:lang w:val="uk-UA"/>
        </w:rPr>
        <w:t>https://www.ncbi.nlm.nih.gov/pmc/articles/PMC3593009/</w:t>
      </w:r>
    </w:p>
    <w:p w:rsidR="00890AFD" w:rsidRPr="004E2D00" w:rsidRDefault="007C3F1D" w:rsidP="007C026D">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DOI</w:t>
      </w:r>
      <w:r>
        <w:rPr>
          <w:rFonts w:ascii="Times New Roman" w:hAnsi="Times New Roman" w:cs="Times New Roman"/>
          <w:sz w:val="28"/>
          <w:szCs w:val="28"/>
          <w:lang w:val="uk-UA"/>
        </w:rPr>
        <w:t>: 10.1007/s10741-012-9313-3</w:t>
      </w:r>
    </w:p>
    <w:p w:rsidR="00A62B59" w:rsidRDefault="00277D1F" w:rsidP="007C026D">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592E52">
        <w:rPr>
          <w:rFonts w:ascii="Times New Roman" w:hAnsi="Times New Roman" w:cs="Times New Roman"/>
          <w:sz w:val="28"/>
          <w:szCs w:val="28"/>
          <w:lang w:val="uk-UA"/>
        </w:rPr>
        <w:t>9</w:t>
      </w:r>
      <w:r w:rsidR="004E2D00">
        <w:rPr>
          <w:rFonts w:ascii="Times New Roman" w:hAnsi="Times New Roman" w:cs="Times New Roman"/>
          <w:sz w:val="28"/>
          <w:szCs w:val="28"/>
          <w:lang w:val="uk-UA"/>
        </w:rPr>
        <w:t xml:space="preserve">. </w:t>
      </w:r>
      <w:r w:rsidR="008E6DCB">
        <w:rPr>
          <w:rFonts w:ascii="Times New Roman" w:hAnsi="Times New Roman" w:cs="Times New Roman"/>
          <w:sz w:val="28"/>
          <w:szCs w:val="28"/>
          <w:lang w:val="uk-UA"/>
        </w:rPr>
        <w:t>Бідзіля П</w:t>
      </w:r>
      <w:r w:rsidR="004E2D00" w:rsidRPr="004E2D00">
        <w:rPr>
          <w:rFonts w:ascii="Times New Roman" w:hAnsi="Times New Roman" w:cs="Times New Roman"/>
          <w:sz w:val="28"/>
          <w:szCs w:val="28"/>
          <w:lang w:val="uk-UA"/>
        </w:rPr>
        <w:t>П. Гендерні особливості змін лабораторних показників і структурних параметрів міокарда лівого шлуночка при хронічній серцевій недостатності на тлі цукров</w:t>
      </w:r>
      <w:r w:rsidR="008E6DCB">
        <w:rPr>
          <w:rFonts w:ascii="Times New Roman" w:hAnsi="Times New Roman" w:cs="Times New Roman"/>
          <w:sz w:val="28"/>
          <w:szCs w:val="28"/>
          <w:lang w:val="uk-UA"/>
        </w:rPr>
        <w:t xml:space="preserve">ого діабету 2 типу та ожиріння. </w:t>
      </w:r>
      <w:r w:rsidR="004E2D00" w:rsidRPr="004E2D00">
        <w:rPr>
          <w:rFonts w:ascii="Times New Roman" w:hAnsi="Times New Roman" w:cs="Times New Roman"/>
          <w:sz w:val="28"/>
          <w:szCs w:val="28"/>
          <w:lang w:val="uk-UA"/>
        </w:rPr>
        <w:t>Зап</w:t>
      </w:r>
      <w:r w:rsidR="008E6DCB">
        <w:rPr>
          <w:rFonts w:ascii="Times New Roman" w:hAnsi="Times New Roman" w:cs="Times New Roman"/>
          <w:sz w:val="28"/>
          <w:szCs w:val="28"/>
          <w:lang w:val="uk-UA"/>
        </w:rPr>
        <w:t>орожский медицинский журнал</w:t>
      </w:r>
      <w:r w:rsidR="008E6DCB" w:rsidRPr="00797BE6">
        <w:rPr>
          <w:rFonts w:ascii="Times New Roman" w:hAnsi="Times New Roman" w:cs="Times New Roman"/>
          <w:sz w:val="28"/>
          <w:szCs w:val="28"/>
        </w:rPr>
        <w:t xml:space="preserve"> [Интернет]</w:t>
      </w:r>
      <w:r w:rsidR="008E6DCB">
        <w:rPr>
          <w:rFonts w:ascii="Times New Roman" w:hAnsi="Times New Roman" w:cs="Times New Roman"/>
          <w:sz w:val="28"/>
          <w:szCs w:val="28"/>
          <w:lang w:val="uk-UA"/>
        </w:rPr>
        <w:t>. 2015</w:t>
      </w:r>
      <w:r w:rsidR="008E6DCB" w:rsidRPr="008E6DCB">
        <w:rPr>
          <w:rFonts w:ascii="Times New Roman" w:hAnsi="Times New Roman" w:cs="Times New Roman"/>
          <w:sz w:val="28"/>
          <w:szCs w:val="28"/>
        </w:rPr>
        <w:t>;</w:t>
      </w:r>
      <w:r w:rsidR="004E2D00" w:rsidRPr="004E2D00">
        <w:rPr>
          <w:rFonts w:ascii="Times New Roman" w:hAnsi="Times New Roman" w:cs="Times New Roman"/>
          <w:sz w:val="28"/>
          <w:szCs w:val="28"/>
          <w:lang w:val="uk-UA"/>
        </w:rPr>
        <w:t>6</w:t>
      </w:r>
      <w:r w:rsidR="008E6DCB" w:rsidRPr="008E6DCB">
        <w:rPr>
          <w:rFonts w:ascii="Times New Roman" w:hAnsi="Times New Roman" w:cs="Times New Roman"/>
          <w:sz w:val="28"/>
          <w:szCs w:val="28"/>
        </w:rPr>
        <w:t>(93):</w:t>
      </w:r>
      <w:r w:rsidR="008E6DCB">
        <w:rPr>
          <w:rFonts w:ascii="Times New Roman" w:hAnsi="Times New Roman" w:cs="Times New Roman"/>
          <w:sz w:val="28"/>
          <w:szCs w:val="28"/>
          <w:lang w:val="uk-UA"/>
        </w:rPr>
        <w:t>19</w:t>
      </w:r>
      <w:r w:rsidR="008E6DCB" w:rsidRPr="008E6DCB">
        <w:rPr>
          <w:rFonts w:ascii="Times New Roman" w:hAnsi="Times New Roman" w:cs="Times New Roman"/>
          <w:sz w:val="28"/>
          <w:szCs w:val="28"/>
        </w:rPr>
        <w:t>-</w:t>
      </w:r>
      <w:r w:rsidR="004E2D00" w:rsidRPr="004E2D00">
        <w:rPr>
          <w:rFonts w:ascii="Times New Roman" w:hAnsi="Times New Roman" w:cs="Times New Roman"/>
          <w:sz w:val="28"/>
          <w:szCs w:val="28"/>
          <w:lang w:val="uk-UA"/>
        </w:rPr>
        <w:t>23</w:t>
      </w:r>
      <w:r w:rsidR="008E6DCB" w:rsidRPr="008E6DCB">
        <w:rPr>
          <w:rFonts w:ascii="Times New Roman" w:hAnsi="Times New Roman" w:cs="Times New Roman"/>
          <w:sz w:val="28"/>
          <w:szCs w:val="28"/>
        </w:rPr>
        <w:t>. Доступно на:</w:t>
      </w:r>
      <w:r w:rsidR="008E6DCB" w:rsidRPr="00797BE6">
        <w:rPr>
          <w:rFonts w:ascii="Times New Roman" w:hAnsi="Times New Roman" w:cs="Times New Roman"/>
          <w:sz w:val="28"/>
          <w:szCs w:val="28"/>
        </w:rPr>
        <w:t xml:space="preserve"> </w:t>
      </w:r>
    </w:p>
    <w:p w:rsidR="007C3F1D" w:rsidRPr="008F6C7D" w:rsidRDefault="008E6DCB" w:rsidP="007C026D">
      <w:pPr>
        <w:tabs>
          <w:tab w:val="left" w:pos="2880"/>
        </w:tabs>
        <w:spacing w:after="0" w:line="360" w:lineRule="auto"/>
        <w:jc w:val="both"/>
        <w:rPr>
          <w:rFonts w:ascii="Times New Roman" w:hAnsi="Times New Roman" w:cs="Times New Roman"/>
          <w:sz w:val="28"/>
          <w:szCs w:val="28"/>
        </w:rPr>
      </w:pPr>
      <w:r w:rsidRPr="008E6DCB">
        <w:rPr>
          <w:rFonts w:ascii="Times New Roman" w:hAnsi="Times New Roman" w:cs="Times New Roman"/>
          <w:sz w:val="28"/>
          <w:szCs w:val="28"/>
          <w:lang w:val="en-US"/>
        </w:rPr>
        <w:t>zmj</w:t>
      </w:r>
      <w:r w:rsidRPr="008F6C7D">
        <w:rPr>
          <w:rFonts w:ascii="Times New Roman" w:hAnsi="Times New Roman" w:cs="Times New Roman"/>
          <w:sz w:val="28"/>
          <w:szCs w:val="28"/>
        </w:rPr>
        <w:t>.</w:t>
      </w:r>
      <w:r w:rsidRPr="008E6DCB">
        <w:rPr>
          <w:rFonts w:ascii="Times New Roman" w:hAnsi="Times New Roman" w:cs="Times New Roman"/>
          <w:sz w:val="28"/>
          <w:szCs w:val="28"/>
          <w:lang w:val="en-US"/>
        </w:rPr>
        <w:t>zsmu</w:t>
      </w:r>
      <w:r w:rsidRPr="008F6C7D">
        <w:rPr>
          <w:rFonts w:ascii="Times New Roman" w:hAnsi="Times New Roman" w:cs="Times New Roman"/>
          <w:sz w:val="28"/>
          <w:szCs w:val="28"/>
        </w:rPr>
        <w:t>.</w:t>
      </w:r>
      <w:r w:rsidRPr="008E6DCB">
        <w:rPr>
          <w:rFonts w:ascii="Times New Roman" w:hAnsi="Times New Roman" w:cs="Times New Roman"/>
          <w:sz w:val="28"/>
          <w:szCs w:val="28"/>
          <w:lang w:val="en-US"/>
        </w:rPr>
        <w:t>edu</w:t>
      </w:r>
      <w:r w:rsidRPr="008F6C7D">
        <w:rPr>
          <w:rFonts w:ascii="Times New Roman" w:hAnsi="Times New Roman" w:cs="Times New Roman"/>
          <w:sz w:val="28"/>
          <w:szCs w:val="28"/>
        </w:rPr>
        <w:t>.</w:t>
      </w:r>
      <w:r w:rsidRPr="008E6DCB">
        <w:rPr>
          <w:rFonts w:ascii="Times New Roman" w:hAnsi="Times New Roman" w:cs="Times New Roman"/>
          <w:sz w:val="28"/>
          <w:szCs w:val="28"/>
          <w:lang w:val="en-US"/>
        </w:rPr>
        <w:t>ua</w:t>
      </w:r>
      <w:r w:rsidRPr="008F6C7D">
        <w:rPr>
          <w:rFonts w:ascii="Times New Roman" w:hAnsi="Times New Roman" w:cs="Times New Roman"/>
          <w:sz w:val="28"/>
          <w:szCs w:val="28"/>
        </w:rPr>
        <w:t>/</w:t>
      </w:r>
      <w:r w:rsidRPr="008E6DCB">
        <w:rPr>
          <w:rFonts w:ascii="Times New Roman" w:hAnsi="Times New Roman" w:cs="Times New Roman"/>
          <w:sz w:val="28"/>
          <w:szCs w:val="28"/>
          <w:lang w:val="en-US"/>
        </w:rPr>
        <w:t>article</w:t>
      </w:r>
      <w:r w:rsidRPr="008F6C7D">
        <w:rPr>
          <w:rFonts w:ascii="Times New Roman" w:hAnsi="Times New Roman" w:cs="Times New Roman"/>
          <w:sz w:val="28"/>
          <w:szCs w:val="28"/>
        </w:rPr>
        <w:t>/</w:t>
      </w:r>
      <w:r w:rsidRPr="008E6DCB">
        <w:rPr>
          <w:rFonts w:ascii="Times New Roman" w:hAnsi="Times New Roman" w:cs="Times New Roman"/>
          <w:sz w:val="28"/>
          <w:szCs w:val="28"/>
          <w:lang w:val="en-US"/>
        </w:rPr>
        <w:t>download</w:t>
      </w:r>
      <w:r w:rsidRPr="008F6C7D">
        <w:rPr>
          <w:rFonts w:ascii="Times New Roman" w:hAnsi="Times New Roman" w:cs="Times New Roman"/>
          <w:sz w:val="28"/>
          <w:szCs w:val="28"/>
        </w:rPr>
        <w:t>/57022/54628</w:t>
      </w:r>
    </w:p>
    <w:p w:rsidR="005F67BA" w:rsidRPr="006F556B" w:rsidRDefault="008E6DCB" w:rsidP="005F67BA">
      <w:pPr>
        <w:tabs>
          <w:tab w:val="left" w:pos="2880"/>
        </w:tabs>
        <w:spacing w:after="0" w:line="360" w:lineRule="auto"/>
        <w:jc w:val="both"/>
        <w:rPr>
          <w:rFonts w:ascii="Times New Roman" w:hAnsi="Times New Roman" w:cs="Times New Roman"/>
          <w:color w:val="000000" w:themeColor="text1"/>
          <w:sz w:val="28"/>
          <w:szCs w:val="28"/>
        </w:rPr>
      </w:pPr>
      <w:r w:rsidRPr="008E6DCB">
        <w:rPr>
          <w:rFonts w:ascii="Times New Roman" w:hAnsi="Times New Roman" w:cs="Times New Roman"/>
          <w:color w:val="000000" w:themeColor="text1"/>
          <w:sz w:val="28"/>
          <w:szCs w:val="28"/>
          <w:lang w:val="uk-UA"/>
        </w:rPr>
        <w:t>DOI: 10.14739/2310-1210.2015.6.57022</w:t>
      </w:r>
    </w:p>
    <w:p w:rsidR="007501CD" w:rsidRPr="007501CD" w:rsidRDefault="00592E52" w:rsidP="005F67BA">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lang w:val="uk-UA"/>
        </w:rPr>
        <w:t>60</w:t>
      </w:r>
      <w:r w:rsidR="007501CD" w:rsidRPr="006F556B">
        <w:rPr>
          <w:rFonts w:ascii="Times New Roman" w:hAnsi="Times New Roman" w:cs="Times New Roman"/>
          <w:color w:val="000000" w:themeColor="text1"/>
          <w:sz w:val="28"/>
          <w:szCs w:val="28"/>
        </w:rPr>
        <w:t xml:space="preserve">. </w:t>
      </w:r>
      <w:r w:rsidR="007501CD" w:rsidRPr="00277D1F">
        <w:rPr>
          <w:rFonts w:ascii="Times New Roman" w:hAnsi="Times New Roman" w:cs="Times New Roman"/>
          <w:color w:val="000000" w:themeColor="text1"/>
          <w:sz w:val="28"/>
          <w:szCs w:val="28"/>
        </w:rPr>
        <w:t xml:space="preserve">Чернацька ОМ. Структурно-функціональні особливості міокарда в осіб з артеріальною гіпертензією та цукровим діабетом 2-го типу. </w:t>
      </w:r>
      <w:r w:rsidR="007501CD" w:rsidRPr="00277D1F">
        <w:rPr>
          <w:rFonts w:ascii="Times New Roman" w:hAnsi="Times New Roman" w:cs="Times New Roman"/>
          <w:color w:val="000000" w:themeColor="text1"/>
          <w:sz w:val="28"/>
          <w:szCs w:val="28"/>
          <w:lang w:val="en-US"/>
        </w:rPr>
        <w:t xml:space="preserve">Медицина сьогодні і завтра. </w:t>
      </w:r>
      <w:r w:rsidR="007C377C" w:rsidRPr="00277D1F">
        <w:rPr>
          <w:rFonts w:ascii="Times New Roman" w:hAnsi="Times New Roman" w:cs="Times New Roman"/>
          <w:color w:val="000000" w:themeColor="text1"/>
          <w:sz w:val="28"/>
          <w:szCs w:val="28"/>
          <w:lang w:val="en-US"/>
        </w:rPr>
        <w:t>2017;3</w:t>
      </w:r>
      <w:r w:rsidR="00323C36" w:rsidRPr="00277D1F">
        <w:rPr>
          <w:rFonts w:ascii="Times New Roman" w:hAnsi="Times New Roman" w:cs="Times New Roman"/>
          <w:color w:val="000000" w:themeColor="text1"/>
          <w:sz w:val="28"/>
          <w:szCs w:val="28"/>
          <w:lang w:val="uk-UA"/>
        </w:rPr>
        <w:t>-4</w:t>
      </w:r>
      <w:r w:rsidR="007C377C" w:rsidRPr="00277D1F">
        <w:rPr>
          <w:rFonts w:ascii="Times New Roman" w:hAnsi="Times New Roman" w:cs="Times New Roman"/>
          <w:color w:val="000000" w:themeColor="text1"/>
          <w:sz w:val="28"/>
          <w:szCs w:val="28"/>
          <w:lang w:val="en-US"/>
        </w:rPr>
        <w:t>(76</w:t>
      </w:r>
      <w:r w:rsidR="00323C36" w:rsidRPr="00277D1F">
        <w:rPr>
          <w:rFonts w:ascii="Times New Roman" w:hAnsi="Times New Roman" w:cs="Times New Roman"/>
          <w:color w:val="000000" w:themeColor="text1"/>
          <w:sz w:val="28"/>
          <w:szCs w:val="28"/>
          <w:lang w:val="uk-UA"/>
        </w:rPr>
        <w:t>-77</w:t>
      </w:r>
      <w:r w:rsidR="007C377C" w:rsidRPr="00277D1F">
        <w:rPr>
          <w:rFonts w:ascii="Times New Roman" w:hAnsi="Times New Roman" w:cs="Times New Roman"/>
          <w:color w:val="000000" w:themeColor="text1"/>
          <w:sz w:val="28"/>
          <w:szCs w:val="28"/>
          <w:lang w:val="en-US"/>
        </w:rPr>
        <w:t>)</w:t>
      </w:r>
      <w:r w:rsidR="007501CD" w:rsidRPr="00277D1F">
        <w:rPr>
          <w:rFonts w:ascii="Times New Roman" w:hAnsi="Times New Roman" w:cs="Times New Roman"/>
          <w:color w:val="000000" w:themeColor="text1"/>
          <w:sz w:val="28"/>
          <w:szCs w:val="28"/>
          <w:lang w:val="en-US"/>
        </w:rPr>
        <w:t>:</w:t>
      </w:r>
      <w:r w:rsidR="007C377C" w:rsidRPr="00277D1F">
        <w:rPr>
          <w:rFonts w:ascii="Times New Roman" w:hAnsi="Times New Roman" w:cs="Times New Roman"/>
          <w:color w:val="000000" w:themeColor="text1"/>
          <w:sz w:val="28"/>
          <w:szCs w:val="28"/>
          <w:lang w:val="en-US"/>
        </w:rPr>
        <w:t>55-62</w:t>
      </w:r>
      <w:r w:rsidR="007C377C">
        <w:rPr>
          <w:rFonts w:ascii="Times New Roman" w:hAnsi="Times New Roman" w:cs="Times New Roman"/>
          <w:color w:val="000000" w:themeColor="text1"/>
          <w:sz w:val="28"/>
          <w:szCs w:val="28"/>
          <w:lang w:val="en-US"/>
        </w:rPr>
        <w:t>.</w:t>
      </w:r>
    </w:p>
    <w:p w:rsidR="00F04193" w:rsidRPr="00F04193" w:rsidRDefault="00592E52" w:rsidP="005F67BA">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16</w:t>
      </w:r>
      <w:r>
        <w:rPr>
          <w:rFonts w:ascii="Times New Roman" w:hAnsi="Times New Roman" w:cs="Times New Roman"/>
          <w:color w:val="000000" w:themeColor="text1"/>
          <w:sz w:val="28"/>
          <w:szCs w:val="28"/>
          <w:lang w:val="uk-UA"/>
        </w:rPr>
        <w:t>1</w:t>
      </w:r>
      <w:r w:rsidR="008E6DCB">
        <w:rPr>
          <w:rFonts w:ascii="Times New Roman" w:hAnsi="Times New Roman" w:cs="Times New Roman"/>
          <w:color w:val="000000" w:themeColor="text1"/>
          <w:sz w:val="28"/>
          <w:szCs w:val="28"/>
          <w:lang w:val="en-US"/>
        </w:rPr>
        <w:t xml:space="preserve">. </w:t>
      </w:r>
      <w:r w:rsidR="00F04193">
        <w:rPr>
          <w:rFonts w:ascii="Times New Roman" w:hAnsi="Times New Roman" w:cs="Times New Roman"/>
          <w:color w:val="000000" w:themeColor="text1"/>
          <w:sz w:val="28"/>
          <w:szCs w:val="28"/>
          <w:lang w:val="en-US"/>
        </w:rPr>
        <w:t>Cuspidi C</w:t>
      </w:r>
      <w:r w:rsidR="00F04193" w:rsidRPr="00F04193">
        <w:rPr>
          <w:rFonts w:ascii="Times New Roman" w:hAnsi="Times New Roman" w:cs="Times New Roman"/>
          <w:color w:val="000000" w:themeColor="text1"/>
          <w:sz w:val="28"/>
          <w:szCs w:val="28"/>
          <w:lang w:val="en-US"/>
        </w:rPr>
        <w:t>, Meani S, Sala C, Valerio C, Negri F, Mancia G.</w:t>
      </w:r>
      <w:r w:rsidR="00F04193">
        <w:rPr>
          <w:rFonts w:ascii="Times New Roman" w:hAnsi="Times New Roman" w:cs="Times New Roman"/>
          <w:color w:val="000000" w:themeColor="text1"/>
          <w:sz w:val="28"/>
          <w:szCs w:val="28"/>
          <w:lang w:val="uk-UA"/>
        </w:rPr>
        <w:t xml:space="preserve"> </w:t>
      </w:r>
      <w:r w:rsidR="00F04193" w:rsidRPr="00F04193">
        <w:rPr>
          <w:rFonts w:ascii="Times New Roman" w:hAnsi="Times New Roman" w:cs="Times New Roman"/>
          <w:color w:val="000000" w:themeColor="text1"/>
          <w:sz w:val="28"/>
          <w:szCs w:val="28"/>
          <w:lang w:val="uk-UA"/>
        </w:rPr>
        <w:t>Age related prevalence of severe left ventricular hypertrophy in essential hypertension: echocardiographic findings from the ETODH study.</w:t>
      </w:r>
      <w:r w:rsidR="00F04193">
        <w:rPr>
          <w:rFonts w:ascii="Times New Roman" w:hAnsi="Times New Roman" w:cs="Times New Roman"/>
          <w:color w:val="000000" w:themeColor="text1"/>
          <w:sz w:val="28"/>
          <w:szCs w:val="28"/>
          <w:lang w:val="uk-UA"/>
        </w:rPr>
        <w:t xml:space="preserve"> </w:t>
      </w:r>
      <w:r w:rsidR="00F04193" w:rsidRPr="00F04193">
        <w:rPr>
          <w:rFonts w:ascii="Times New Roman" w:hAnsi="Times New Roman" w:cs="Times New Roman"/>
          <w:color w:val="000000" w:themeColor="text1"/>
          <w:sz w:val="28"/>
          <w:szCs w:val="28"/>
          <w:lang w:val="uk-UA"/>
        </w:rPr>
        <w:t>Blood Press</w:t>
      </w:r>
      <w:r w:rsidR="00F04193">
        <w:rPr>
          <w:rFonts w:ascii="Times New Roman" w:hAnsi="Times New Roman" w:cs="Times New Roman"/>
          <w:color w:val="000000" w:themeColor="text1"/>
          <w:sz w:val="28"/>
          <w:szCs w:val="28"/>
          <w:lang w:val="uk-UA"/>
        </w:rPr>
        <w:t xml:space="preserve"> </w:t>
      </w:r>
      <w:r w:rsidR="00F04193" w:rsidRPr="00F04193">
        <w:rPr>
          <w:rFonts w:ascii="Times New Roman" w:hAnsi="Times New Roman" w:cs="Times New Roman"/>
          <w:color w:val="000000" w:themeColor="text1"/>
          <w:sz w:val="28"/>
          <w:szCs w:val="28"/>
          <w:lang w:val="uk-UA"/>
        </w:rPr>
        <w:t>[Internet]</w:t>
      </w:r>
      <w:r w:rsidR="00F04193">
        <w:rPr>
          <w:rFonts w:ascii="Times New Roman" w:hAnsi="Times New Roman" w:cs="Times New Roman"/>
          <w:color w:val="000000" w:themeColor="text1"/>
          <w:sz w:val="28"/>
          <w:szCs w:val="28"/>
          <w:lang w:val="uk-UA"/>
        </w:rPr>
        <w:t xml:space="preserve">. 2012 Jun;21(3):139-45. </w:t>
      </w:r>
      <w:r w:rsidR="00F04193" w:rsidRPr="00F04193">
        <w:rPr>
          <w:rFonts w:ascii="Times New Roman" w:hAnsi="Times New Roman" w:cs="Times New Roman"/>
          <w:color w:val="000000" w:themeColor="text1"/>
          <w:sz w:val="28"/>
          <w:szCs w:val="28"/>
          <w:lang w:val="uk-UA"/>
        </w:rPr>
        <w:t>Available from:</w:t>
      </w:r>
      <w:r w:rsidR="00F04193">
        <w:rPr>
          <w:rFonts w:ascii="Times New Roman" w:hAnsi="Times New Roman" w:cs="Times New Roman"/>
          <w:color w:val="000000" w:themeColor="text1"/>
          <w:sz w:val="28"/>
          <w:szCs w:val="28"/>
          <w:lang w:val="en-US"/>
        </w:rPr>
        <w:t xml:space="preserve"> </w:t>
      </w:r>
      <w:r w:rsidR="00F04193" w:rsidRPr="00F04193">
        <w:rPr>
          <w:rFonts w:ascii="Times New Roman" w:hAnsi="Times New Roman" w:cs="Times New Roman"/>
          <w:color w:val="000000" w:themeColor="text1"/>
          <w:sz w:val="28"/>
          <w:szCs w:val="28"/>
          <w:lang w:val="en-US"/>
        </w:rPr>
        <w:t>https://doi.org/10.3109/08037051.2012.668662</w:t>
      </w:r>
    </w:p>
    <w:p w:rsidR="008E6DCB" w:rsidRPr="00F04193" w:rsidRDefault="00F04193" w:rsidP="005F67BA">
      <w:pPr>
        <w:tabs>
          <w:tab w:val="left" w:pos="2880"/>
        </w:tabs>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DOI</w:t>
      </w:r>
      <w:r w:rsidRPr="00F04193">
        <w:rPr>
          <w:rFonts w:ascii="Times New Roman" w:hAnsi="Times New Roman" w:cs="Times New Roman"/>
          <w:color w:val="000000" w:themeColor="text1"/>
          <w:sz w:val="28"/>
          <w:szCs w:val="28"/>
          <w:lang w:val="uk-UA"/>
        </w:rPr>
        <w:t>: 10.3109/08037051.2012.668662</w:t>
      </w:r>
    </w:p>
    <w:p w:rsidR="003A654A" w:rsidRDefault="00277D1F" w:rsidP="003A654A">
      <w:pPr>
        <w:tabs>
          <w:tab w:val="left" w:pos="2880"/>
        </w:tabs>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uk-UA"/>
        </w:rPr>
        <w:t>1</w:t>
      </w:r>
      <w:r w:rsidR="00592E52">
        <w:rPr>
          <w:rFonts w:ascii="Times New Roman" w:hAnsi="Times New Roman" w:cs="Times New Roman"/>
          <w:color w:val="000000" w:themeColor="text1"/>
          <w:sz w:val="28"/>
          <w:szCs w:val="28"/>
          <w:lang w:val="en-US"/>
        </w:rPr>
        <w:t>6</w:t>
      </w:r>
      <w:r w:rsidR="00592E52">
        <w:rPr>
          <w:rFonts w:ascii="Times New Roman" w:hAnsi="Times New Roman" w:cs="Times New Roman"/>
          <w:color w:val="000000" w:themeColor="text1"/>
          <w:sz w:val="28"/>
          <w:szCs w:val="28"/>
          <w:lang w:val="uk-UA"/>
        </w:rPr>
        <w:t>2</w:t>
      </w:r>
      <w:r w:rsidR="00870387">
        <w:rPr>
          <w:rFonts w:ascii="Times New Roman" w:hAnsi="Times New Roman" w:cs="Times New Roman"/>
          <w:color w:val="000000" w:themeColor="text1"/>
          <w:sz w:val="28"/>
          <w:szCs w:val="28"/>
          <w:lang w:val="uk-UA"/>
        </w:rPr>
        <w:t xml:space="preserve">. </w:t>
      </w:r>
      <w:r w:rsidR="003A654A" w:rsidRPr="003A654A">
        <w:rPr>
          <w:rFonts w:ascii="Times New Roman" w:hAnsi="Times New Roman" w:cs="Times New Roman"/>
          <w:color w:val="000000" w:themeColor="text1"/>
          <w:sz w:val="28"/>
          <w:szCs w:val="28"/>
          <w:lang w:val="uk-UA"/>
        </w:rPr>
        <w:t>Venkatesw</w:t>
      </w:r>
      <w:r w:rsidR="003A654A">
        <w:rPr>
          <w:rFonts w:ascii="Times New Roman" w:hAnsi="Times New Roman" w:cs="Times New Roman"/>
          <w:color w:val="000000" w:themeColor="text1"/>
          <w:sz w:val="28"/>
          <w:szCs w:val="28"/>
          <w:lang w:val="uk-UA"/>
        </w:rPr>
        <w:t>arlu dhirisala, krishnamoorthy</w:t>
      </w:r>
      <w:r w:rsidR="00870387" w:rsidRPr="00870387">
        <w:rPr>
          <w:rFonts w:ascii="Times New Roman" w:hAnsi="Times New Roman" w:cs="Times New Roman"/>
          <w:color w:val="000000" w:themeColor="text1"/>
          <w:sz w:val="28"/>
          <w:szCs w:val="28"/>
          <w:lang w:val="uk-UA"/>
        </w:rPr>
        <w:t xml:space="preserve">. A Study of Comparison of Left Ventricular Mass in Hypertensive Patients with Diabetes </w:t>
      </w:r>
      <w:r w:rsidR="003A654A">
        <w:rPr>
          <w:rFonts w:ascii="Times New Roman" w:hAnsi="Times New Roman" w:cs="Times New Roman"/>
          <w:color w:val="000000" w:themeColor="text1"/>
          <w:sz w:val="28"/>
          <w:szCs w:val="28"/>
          <w:lang w:val="uk-UA"/>
        </w:rPr>
        <w:t xml:space="preserve">Mellitus And Without Diabetes. </w:t>
      </w:r>
      <w:r w:rsidR="003A654A" w:rsidRPr="003A654A">
        <w:rPr>
          <w:rFonts w:ascii="Times New Roman" w:hAnsi="Times New Roman" w:cs="Times New Roman"/>
          <w:color w:val="000000" w:themeColor="text1"/>
          <w:sz w:val="28"/>
          <w:szCs w:val="28"/>
          <w:lang w:val="uk-UA"/>
        </w:rPr>
        <w:t>IOSR-JDMS</w:t>
      </w:r>
      <w:r w:rsidR="003A654A">
        <w:rPr>
          <w:rFonts w:ascii="Times New Roman" w:hAnsi="Times New Roman" w:cs="Times New Roman"/>
          <w:color w:val="000000" w:themeColor="text1"/>
          <w:sz w:val="28"/>
          <w:szCs w:val="28"/>
          <w:lang w:val="uk-UA"/>
        </w:rPr>
        <w:t xml:space="preserve"> [Internet]. 2017 May</w:t>
      </w:r>
      <w:r w:rsidR="003A654A">
        <w:rPr>
          <w:rFonts w:ascii="Times New Roman" w:hAnsi="Times New Roman" w:cs="Times New Roman"/>
          <w:color w:val="000000" w:themeColor="text1"/>
          <w:sz w:val="28"/>
          <w:szCs w:val="28"/>
          <w:lang w:val="en-US"/>
        </w:rPr>
        <w:t>;</w:t>
      </w:r>
      <w:r w:rsidR="003A654A">
        <w:rPr>
          <w:rFonts w:ascii="Times New Roman" w:hAnsi="Times New Roman" w:cs="Times New Roman"/>
          <w:color w:val="000000" w:themeColor="text1"/>
          <w:sz w:val="28"/>
          <w:szCs w:val="28"/>
          <w:lang w:val="uk-UA"/>
        </w:rPr>
        <w:t>16(5)</w:t>
      </w:r>
      <w:r w:rsidR="003A654A">
        <w:rPr>
          <w:rFonts w:ascii="Times New Roman" w:hAnsi="Times New Roman" w:cs="Times New Roman"/>
          <w:color w:val="000000" w:themeColor="text1"/>
          <w:sz w:val="28"/>
          <w:szCs w:val="28"/>
          <w:lang w:val="en-US"/>
        </w:rPr>
        <w:t>:</w:t>
      </w:r>
      <w:r w:rsidR="003A654A">
        <w:rPr>
          <w:rFonts w:ascii="Times New Roman" w:hAnsi="Times New Roman" w:cs="Times New Roman"/>
          <w:color w:val="000000" w:themeColor="text1"/>
          <w:sz w:val="28"/>
          <w:szCs w:val="28"/>
          <w:lang w:val="uk-UA"/>
        </w:rPr>
        <w:t>30</w:t>
      </w:r>
      <w:r w:rsidR="003A654A">
        <w:rPr>
          <w:rFonts w:ascii="Times New Roman" w:hAnsi="Times New Roman" w:cs="Times New Roman"/>
          <w:color w:val="000000" w:themeColor="text1"/>
          <w:sz w:val="28"/>
          <w:szCs w:val="28"/>
          <w:lang w:val="en-US"/>
        </w:rPr>
        <w:t>-</w:t>
      </w:r>
      <w:r w:rsidR="00870387" w:rsidRPr="00870387">
        <w:rPr>
          <w:rFonts w:ascii="Times New Roman" w:hAnsi="Times New Roman" w:cs="Times New Roman"/>
          <w:color w:val="000000" w:themeColor="text1"/>
          <w:sz w:val="28"/>
          <w:szCs w:val="28"/>
          <w:lang w:val="uk-UA"/>
        </w:rPr>
        <w:t>9.</w:t>
      </w:r>
      <w:r w:rsidR="003A654A">
        <w:rPr>
          <w:rFonts w:ascii="Times New Roman" w:hAnsi="Times New Roman" w:cs="Times New Roman"/>
          <w:color w:val="000000" w:themeColor="text1"/>
          <w:sz w:val="28"/>
          <w:szCs w:val="28"/>
          <w:lang w:val="en-US"/>
        </w:rPr>
        <w:t xml:space="preserve"> </w:t>
      </w:r>
      <w:r w:rsidR="003A654A" w:rsidRPr="003A654A">
        <w:rPr>
          <w:rFonts w:ascii="Times New Roman" w:hAnsi="Times New Roman" w:cs="Times New Roman"/>
          <w:color w:val="000000" w:themeColor="text1"/>
          <w:sz w:val="28"/>
          <w:szCs w:val="28"/>
          <w:lang w:val="en-US"/>
        </w:rPr>
        <w:t>Available from:</w:t>
      </w:r>
      <w:r w:rsidR="003A654A">
        <w:rPr>
          <w:rFonts w:ascii="Times New Roman" w:hAnsi="Times New Roman" w:cs="Times New Roman"/>
          <w:color w:val="000000" w:themeColor="text1"/>
          <w:sz w:val="28"/>
          <w:szCs w:val="28"/>
          <w:lang w:val="en-US"/>
        </w:rPr>
        <w:t xml:space="preserve"> </w:t>
      </w:r>
    </w:p>
    <w:p w:rsidR="00E273FC" w:rsidRPr="003A654A" w:rsidRDefault="003A654A" w:rsidP="003A654A">
      <w:pPr>
        <w:tabs>
          <w:tab w:val="left" w:pos="2880"/>
        </w:tabs>
        <w:spacing w:after="0" w:line="360" w:lineRule="auto"/>
        <w:jc w:val="both"/>
        <w:rPr>
          <w:rFonts w:ascii="Times New Roman" w:hAnsi="Times New Roman" w:cs="Times New Roman"/>
          <w:color w:val="000000" w:themeColor="text1"/>
          <w:sz w:val="28"/>
          <w:szCs w:val="28"/>
          <w:lang w:val="en-US"/>
        </w:rPr>
      </w:pPr>
      <w:r w:rsidRPr="003A654A">
        <w:rPr>
          <w:rFonts w:ascii="Times New Roman" w:hAnsi="Times New Roman" w:cs="Times New Roman"/>
          <w:color w:val="000000" w:themeColor="text1"/>
          <w:sz w:val="28"/>
          <w:szCs w:val="28"/>
          <w:lang w:val="en-US"/>
        </w:rPr>
        <w:t>www.iosrjournals.org/iosr-jdms/papers/.../F1605123039.pdf</w:t>
      </w:r>
    </w:p>
    <w:p w:rsidR="001B53C5" w:rsidRPr="00CA5453" w:rsidRDefault="003A654A" w:rsidP="002575B2">
      <w:pPr>
        <w:tabs>
          <w:tab w:val="left" w:pos="2880"/>
        </w:tabs>
        <w:spacing w:after="0" w:line="360" w:lineRule="auto"/>
        <w:jc w:val="both"/>
        <w:rPr>
          <w:rFonts w:ascii="Times New Roman" w:hAnsi="Times New Roman" w:cs="Times New Roman"/>
          <w:color w:val="000000" w:themeColor="text1"/>
          <w:sz w:val="28"/>
          <w:szCs w:val="28"/>
          <w:lang w:val="uk-UA"/>
        </w:rPr>
      </w:pPr>
      <w:r w:rsidRPr="003A654A">
        <w:rPr>
          <w:rFonts w:ascii="Times New Roman" w:hAnsi="Times New Roman" w:cs="Times New Roman"/>
          <w:color w:val="000000" w:themeColor="text1"/>
          <w:sz w:val="28"/>
          <w:szCs w:val="28"/>
          <w:lang w:val="uk-UA"/>
        </w:rPr>
        <w:lastRenderedPageBreak/>
        <w:t>DOI: 10.9790/0853-1605123039</w:t>
      </w:r>
    </w:p>
    <w:p w:rsidR="007363CA" w:rsidRPr="008F6C7D" w:rsidRDefault="00277D1F" w:rsidP="00272C76">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92E52">
        <w:rPr>
          <w:rFonts w:ascii="Times New Roman" w:hAnsi="Times New Roman" w:cs="Times New Roman"/>
          <w:sz w:val="28"/>
          <w:szCs w:val="28"/>
        </w:rPr>
        <w:t>6</w:t>
      </w:r>
      <w:r w:rsidR="00592E52">
        <w:rPr>
          <w:rFonts w:ascii="Times New Roman" w:hAnsi="Times New Roman" w:cs="Times New Roman"/>
          <w:sz w:val="28"/>
          <w:szCs w:val="28"/>
          <w:lang w:val="uk-UA"/>
        </w:rPr>
        <w:t>3</w:t>
      </w:r>
      <w:r w:rsidR="005B752C">
        <w:rPr>
          <w:rFonts w:ascii="Times New Roman" w:hAnsi="Times New Roman" w:cs="Times New Roman"/>
          <w:sz w:val="28"/>
          <w:szCs w:val="28"/>
        </w:rPr>
        <w:t>.</w:t>
      </w:r>
      <w:r w:rsidR="005B752C">
        <w:rPr>
          <w:rFonts w:ascii="Times New Roman" w:hAnsi="Times New Roman" w:cs="Times New Roman"/>
          <w:sz w:val="28"/>
          <w:szCs w:val="28"/>
          <w:lang w:val="uk-UA"/>
        </w:rPr>
        <w:t xml:space="preserve"> </w:t>
      </w:r>
      <w:r w:rsidR="005B752C">
        <w:rPr>
          <w:rFonts w:ascii="Times New Roman" w:hAnsi="Times New Roman" w:cs="Times New Roman"/>
          <w:sz w:val="28"/>
          <w:szCs w:val="28"/>
        </w:rPr>
        <w:t>Ефремова ЕВ</w:t>
      </w:r>
      <w:r w:rsidR="005B752C">
        <w:rPr>
          <w:rFonts w:ascii="Times New Roman" w:hAnsi="Times New Roman" w:cs="Times New Roman"/>
          <w:sz w:val="28"/>
          <w:szCs w:val="28"/>
          <w:lang w:val="uk-UA"/>
        </w:rPr>
        <w:t>, Шутов АМ.</w:t>
      </w:r>
      <w:r w:rsidR="005B752C" w:rsidRPr="005B752C">
        <w:rPr>
          <w:rFonts w:ascii="Times New Roman" w:hAnsi="Times New Roman" w:cs="Times New Roman"/>
          <w:sz w:val="28"/>
          <w:szCs w:val="28"/>
        </w:rPr>
        <w:t xml:space="preserve"> Клинические особенности, качество жизни и прогноз больных с хроническим кардиоренальным синдромом</w:t>
      </w:r>
      <w:r w:rsidR="005B752C">
        <w:rPr>
          <w:rFonts w:ascii="Times New Roman" w:hAnsi="Times New Roman" w:cs="Times New Roman"/>
          <w:sz w:val="28"/>
          <w:szCs w:val="28"/>
          <w:lang w:val="uk-UA"/>
        </w:rPr>
        <w:t xml:space="preserve">. </w:t>
      </w:r>
      <w:r w:rsidR="005B752C">
        <w:rPr>
          <w:rFonts w:ascii="Times New Roman" w:hAnsi="Times New Roman" w:cs="Times New Roman"/>
          <w:sz w:val="28"/>
          <w:szCs w:val="28"/>
        </w:rPr>
        <w:t>Нефрология</w:t>
      </w:r>
      <w:r w:rsidR="005B752C">
        <w:rPr>
          <w:rFonts w:ascii="Times New Roman" w:hAnsi="Times New Roman" w:cs="Times New Roman"/>
          <w:sz w:val="28"/>
          <w:szCs w:val="28"/>
          <w:lang w:val="uk-UA"/>
        </w:rPr>
        <w:t xml:space="preserve"> [Интернет]</w:t>
      </w:r>
      <w:r w:rsidR="005B752C">
        <w:rPr>
          <w:rFonts w:ascii="Times New Roman" w:hAnsi="Times New Roman" w:cs="Times New Roman"/>
          <w:sz w:val="28"/>
          <w:szCs w:val="28"/>
        </w:rPr>
        <w:t>.</w:t>
      </w:r>
      <w:r w:rsidR="005B752C">
        <w:rPr>
          <w:rFonts w:ascii="Times New Roman" w:hAnsi="Times New Roman" w:cs="Times New Roman"/>
          <w:sz w:val="28"/>
          <w:szCs w:val="28"/>
          <w:lang w:val="uk-UA"/>
        </w:rPr>
        <w:t xml:space="preserve"> </w:t>
      </w:r>
      <w:r w:rsidR="007363CA">
        <w:rPr>
          <w:rFonts w:ascii="Times New Roman" w:hAnsi="Times New Roman" w:cs="Times New Roman"/>
          <w:sz w:val="28"/>
          <w:szCs w:val="28"/>
        </w:rPr>
        <w:t>2015</w:t>
      </w:r>
      <w:r w:rsidR="007363CA" w:rsidRPr="007363CA">
        <w:rPr>
          <w:rFonts w:ascii="Times New Roman" w:hAnsi="Times New Roman" w:cs="Times New Roman"/>
          <w:sz w:val="28"/>
          <w:szCs w:val="28"/>
        </w:rPr>
        <w:t>;</w:t>
      </w:r>
      <w:r w:rsidR="007363CA">
        <w:rPr>
          <w:rFonts w:ascii="Times New Roman" w:hAnsi="Times New Roman" w:cs="Times New Roman"/>
          <w:sz w:val="28"/>
          <w:szCs w:val="28"/>
        </w:rPr>
        <w:t>19</w:t>
      </w:r>
      <w:r w:rsidR="007363CA" w:rsidRPr="007363CA">
        <w:rPr>
          <w:rFonts w:ascii="Times New Roman" w:hAnsi="Times New Roman" w:cs="Times New Roman"/>
          <w:sz w:val="28"/>
          <w:szCs w:val="28"/>
        </w:rPr>
        <w:t>(</w:t>
      </w:r>
      <w:r w:rsidR="005B752C" w:rsidRPr="005B752C">
        <w:rPr>
          <w:rFonts w:ascii="Times New Roman" w:hAnsi="Times New Roman" w:cs="Times New Roman"/>
          <w:sz w:val="28"/>
          <w:szCs w:val="28"/>
        </w:rPr>
        <w:t>2</w:t>
      </w:r>
      <w:r w:rsidR="007363CA" w:rsidRPr="007363CA">
        <w:rPr>
          <w:rFonts w:ascii="Times New Roman" w:hAnsi="Times New Roman" w:cs="Times New Roman"/>
          <w:sz w:val="28"/>
          <w:szCs w:val="28"/>
        </w:rPr>
        <w:t>):</w:t>
      </w:r>
      <w:r w:rsidR="007363CA">
        <w:rPr>
          <w:rFonts w:ascii="Times New Roman" w:hAnsi="Times New Roman" w:cs="Times New Roman"/>
          <w:sz w:val="28"/>
          <w:szCs w:val="28"/>
        </w:rPr>
        <w:t>63</w:t>
      </w:r>
      <w:r w:rsidR="007363CA" w:rsidRPr="007363CA">
        <w:rPr>
          <w:rFonts w:ascii="Times New Roman" w:hAnsi="Times New Roman" w:cs="Times New Roman"/>
          <w:sz w:val="28"/>
          <w:szCs w:val="28"/>
        </w:rPr>
        <w:t>-</w:t>
      </w:r>
      <w:r w:rsidR="005B752C" w:rsidRPr="005B752C">
        <w:rPr>
          <w:rFonts w:ascii="Times New Roman" w:hAnsi="Times New Roman" w:cs="Times New Roman"/>
          <w:sz w:val="28"/>
          <w:szCs w:val="28"/>
        </w:rPr>
        <w:t>7.</w:t>
      </w:r>
      <w:r w:rsidR="007363CA" w:rsidRPr="007363CA">
        <w:rPr>
          <w:rFonts w:ascii="Times New Roman" w:hAnsi="Times New Roman" w:cs="Times New Roman"/>
          <w:sz w:val="28"/>
          <w:szCs w:val="28"/>
        </w:rPr>
        <w:t xml:space="preserve"> Доступно на: </w:t>
      </w:r>
    </w:p>
    <w:p w:rsidR="002D4B0C" w:rsidRPr="008F6C7D" w:rsidRDefault="000A6805" w:rsidP="00272C76">
      <w:pPr>
        <w:tabs>
          <w:tab w:val="left" w:pos="2880"/>
        </w:tabs>
        <w:spacing w:after="0" w:line="360" w:lineRule="auto"/>
        <w:jc w:val="both"/>
        <w:rPr>
          <w:rFonts w:ascii="Times New Roman" w:hAnsi="Times New Roman" w:cs="Times New Roman"/>
          <w:sz w:val="28"/>
          <w:szCs w:val="28"/>
        </w:rPr>
      </w:pPr>
      <w:hyperlink r:id="rId108" w:history="1">
        <w:r w:rsidR="007363CA" w:rsidRPr="007363CA">
          <w:rPr>
            <w:rStyle w:val="a9"/>
            <w:rFonts w:ascii="Times New Roman" w:hAnsi="Times New Roman" w:cs="Times New Roman"/>
            <w:color w:val="auto"/>
            <w:sz w:val="28"/>
            <w:szCs w:val="28"/>
            <w:u w:val="none"/>
            <w:lang w:val="en-US"/>
          </w:rPr>
          <w:t>https</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cyberleninka</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ru</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article</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v</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klinicheskie</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osobennosti</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kachestvo</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zhizni</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i</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prognoz</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bolnyh</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s</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hronicheskim</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kardiorenalnym</w:t>
        </w:r>
        <w:r w:rsidR="007363CA" w:rsidRPr="008F6C7D">
          <w:rPr>
            <w:rStyle w:val="a9"/>
            <w:rFonts w:ascii="Times New Roman" w:hAnsi="Times New Roman" w:cs="Times New Roman"/>
            <w:color w:val="auto"/>
            <w:sz w:val="28"/>
            <w:szCs w:val="28"/>
            <w:u w:val="none"/>
          </w:rPr>
          <w:t>-</w:t>
        </w:r>
        <w:r w:rsidR="007363CA" w:rsidRPr="007363CA">
          <w:rPr>
            <w:rStyle w:val="a9"/>
            <w:rFonts w:ascii="Times New Roman" w:hAnsi="Times New Roman" w:cs="Times New Roman"/>
            <w:color w:val="auto"/>
            <w:sz w:val="28"/>
            <w:szCs w:val="28"/>
            <w:u w:val="none"/>
            <w:lang w:val="en-US"/>
          </w:rPr>
          <w:t>sindromom</w:t>
        </w:r>
      </w:hyperlink>
    </w:p>
    <w:p w:rsidR="008F6C7D" w:rsidRPr="001B62B8" w:rsidRDefault="007501CD" w:rsidP="008F6C7D">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77D1F">
        <w:rPr>
          <w:rFonts w:ascii="Times New Roman" w:hAnsi="Times New Roman" w:cs="Times New Roman"/>
          <w:sz w:val="28"/>
          <w:szCs w:val="28"/>
        </w:rPr>
        <w:t>6</w:t>
      </w:r>
      <w:r w:rsidR="00592E52">
        <w:rPr>
          <w:rFonts w:ascii="Times New Roman" w:hAnsi="Times New Roman" w:cs="Times New Roman"/>
          <w:sz w:val="28"/>
          <w:szCs w:val="28"/>
          <w:lang w:val="uk-UA"/>
        </w:rPr>
        <w:t>4</w:t>
      </w:r>
      <w:r w:rsidR="007363CA" w:rsidRPr="008F6C7D">
        <w:rPr>
          <w:rFonts w:ascii="Times New Roman" w:hAnsi="Times New Roman" w:cs="Times New Roman"/>
          <w:sz w:val="28"/>
          <w:szCs w:val="28"/>
        </w:rPr>
        <w:t xml:space="preserve">. </w:t>
      </w:r>
      <w:r w:rsidR="008F6C7D">
        <w:rPr>
          <w:rFonts w:ascii="Times New Roman" w:hAnsi="Times New Roman" w:cs="Times New Roman"/>
          <w:sz w:val="28"/>
          <w:szCs w:val="28"/>
        </w:rPr>
        <w:t>Искандеров Б</w:t>
      </w:r>
      <w:r w:rsidR="008F6C7D" w:rsidRPr="008F6C7D">
        <w:rPr>
          <w:rFonts w:ascii="Times New Roman" w:hAnsi="Times New Roman" w:cs="Times New Roman"/>
          <w:sz w:val="28"/>
          <w:szCs w:val="28"/>
        </w:rPr>
        <w:t>Г. Кардиоренальный синдром у кардиологических больных. Монография</w:t>
      </w:r>
      <w:r w:rsidR="008F6C7D">
        <w:rPr>
          <w:rFonts w:ascii="Times New Roman" w:hAnsi="Times New Roman" w:cs="Times New Roman"/>
          <w:sz w:val="28"/>
          <w:szCs w:val="28"/>
          <w:lang w:val="uk-UA"/>
        </w:rPr>
        <w:t xml:space="preserve"> [Интернет]</w:t>
      </w:r>
      <w:r w:rsidR="008F6C7D">
        <w:rPr>
          <w:rFonts w:ascii="Times New Roman" w:hAnsi="Times New Roman" w:cs="Times New Roman"/>
          <w:sz w:val="28"/>
          <w:szCs w:val="28"/>
        </w:rPr>
        <w:t>. Пенза</w:t>
      </w:r>
      <w:r w:rsidR="008F6C7D" w:rsidRPr="008F6C7D">
        <w:rPr>
          <w:rFonts w:ascii="Times New Roman" w:hAnsi="Times New Roman" w:cs="Times New Roman"/>
          <w:sz w:val="28"/>
          <w:szCs w:val="28"/>
        </w:rPr>
        <w:t xml:space="preserve">: </w:t>
      </w:r>
      <w:r w:rsidR="008F6C7D">
        <w:rPr>
          <w:rFonts w:ascii="Times New Roman" w:hAnsi="Times New Roman" w:cs="Times New Roman"/>
          <w:sz w:val="28"/>
          <w:szCs w:val="28"/>
        </w:rPr>
        <w:t>Пензенский</w:t>
      </w:r>
      <w:r w:rsidR="008F6C7D" w:rsidRPr="008F6C7D">
        <w:rPr>
          <w:rFonts w:ascii="Times New Roman" w:hAnsi="Times New Roman" w:cs="Times New Roman"/>
          <w:sz w:val="28"/>
          <w:szCs w:val="28"/>
        </w:rPr>
        <w:t xml:space="preserve"> институт усовершенствования врачей;</w:t>
      </w:r>
      <w:r w:rsidR="008F6C7D">
        <w:rPr>
          <w:rFonts w:ascii="Times New Roman" w:hAnsi="Times New Roman" w:cs="Times New Roman"/>
          <w:sz w:val="28"/>
          <w:szCs w:val="28"/>
        </w:rPr>
        <w:t>2014</w:t>
      </w:r>
      <w:r w:rsidR="008F6C7D" w:rsidRPr="008F6C7D">
        <w:rPr>
          <w:rFonts w:ascii="Times New Roman" w:hAnsi="Times New Roman" w:cs="Times New Roman"/>
          <w:sz w:val="28"/>
          <w:szCs w:val="28"/>
        </w:rPr>
        <w:t xml:space="preserve">;180 с. Доступно на: </w:t>
      </w:r>
    </w:p>
    <w:p w:rsidR="007363CA" w:rsidRPr="001B62B8" w:rsidRDefault="008F6C7D" w:rsidP="008F6C7D">
      <w:pPr>
        <w:tabs>
          <w:tab w:val="left" w:pos="2880"/>
        </w:tabs>
        <w:spacing w:after="0" w:line="360" w:lineRule="auto"/>
        <w:jc w:val="both"/>
        <w:rPr>
          <w:rFonts w:ascii="Times New Roman" w:hAnsi="Times New Roman" w:cs="Times New Roman"/>
          <w:sz w:val="28"/>
          <w:szCs w:val="28"/>
        </w:rPr>
      </w:pPr>
      <w:r w:rsidRPr="008F6C7D">
        <w:rPr>
          <w:rFonts w:ascii="Times New Roman" w:hAnsi="Times New Roman" w:cs="Times New Roman"/>
          <w:sz w:val="28"/>
          <w:szCs w:val="28"/>
          <w:lang w:val="en-US"/>
        </w:rPr>
        <w:t>https</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meduniver</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com</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Medical</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Book</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ot</w:t>
      </w:r>
      <w:r w:rsidRPr="001B62B8">
        <w:rPr>
          <w:rFonts w:ascii="Times New Roman" w:hAnsi="Times New Roman" w:cs="Times New Roman"/>
          <w:sz w:val="28"/>
          <w:szCs w:val="28"/>
        </w:rPr>
        <w:t>_</w:t>
      </w:r>
      <w:r w:rsidRPr="008F6C7D">
        <w:rPr>
          <w:rFonts w:ascii="Times New Roman" w:hAnsi="Times New Roman" w:cs="Times New Roman"/>
          <w:sz w:val="28"/>
          <w:szCs w:val="28"/>
          <w:lang w:val="en-US"/>
        </w:rPr>
        <w:t>avtora</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MedUniver</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com</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kardiorenalnii</w:t>
      </w:r>
      <w:r w:rsidRPr="001B62B8">
        <w:rPr>
          <w:rFonts w:ascii="Times New Roman" w:hAnsi="Times New Roman" w:cs="Times New Roman"/>
          <w:sz w:val="28"/>
          <w:szCs w:val="28"/>
        </w:rPr>
        <w:t>_</w:t>
      </w:r>
      <w:r w:rsidRPr="008F6C7D">
        <w:rPr>
          <w:rFonts w:ascii="Times New Roman" w:hAnsi="Times New Roman" w:cs="Times New Roman"/>
          <w:sz w:val="28"/>
          <w:szCs w:val="28"/>
          <w:lang w:val="en-US"/>
        </w:rPr>
        <w:t>sindrom</w:t>
      </w:r>
      <w:r w:rsidRPr="001B62B8">
        <w:rPr>
          <w:rFonts w:ascii="Times New Roman" w:hAnsi="Times New Roman" w:cs="Times New Roman"/>
          <w:sz w:val="28"/>
          <w:szCs w:val="28"/>
        </w:rPr>
        <w:t>_</w:t>
      </w:r>
      <w:r w:rsidRPr="008F6C7D">
        <w:rPr>
          <w:rFonts w:ascii="Times New Roman" w:hAnsi="Times New Roman" w:cs="Times New Roman"/>
          <w:sz w:val="28"/>
          <w:szCs w:val="28"/>
          <w:lang w:val="en-US"/>
        </w:rPr>
        <w:t>u</w:t>
      </w:r>
      <w:r w:rsidRPr="001B62B8">
        <w:rPr>
          <w:rFonts w:ascii="Times New Roman" w:hAnsi="Times New Roman" w:cs="Times New Roman"/>
          <w:sz w:val="28"/>
          <w:szCs w:val="28"/>
        </w:rPr>
        <w:t>_</w:t>
      </w:r>
      <w:r w:rsidRPr="008F6C7D">
        <w:rPr>
          <w:rFonts w:ascii="Times New Roman" w:hAnsi="Times New Roman" w:cs="Times New Roman"/>
          <w:sz w:val="28"/>
          <w:szCs w:val="28"/>
          <w:lang w:val="en-US"/>
        </w:rPr>
        <w:t>kardiologicheskix</w:t>
      </w:r>
      <w:r w:rsidRPr="001B62B8">
        <w:rPr>
          <w:rFonts w:ascii="Times New Roman" w:hAnsi="Times New Roman" w:cs="Times New Roman"/>
          <w:sz w:val="28"/>
          <w:szCs w:val="28"/>
        </w:rPr>
        <w:t>_</w:t>
      </w:r>
      <w:r w:rsidRPr="008F6C7D">
        <w:rPr>
          <w:rFonts w:ascii="Times New Roman" w:hAnsi="Times New Roman" w:cs="Times New Roman"/>
          <w:sz w:val="28"/>
          <w:szCs w:val="28"/>
          <w:lang w:val="en-US"/>
        </w:rPr>
        <w:t>bolnix</w:t>
      </w:r>
      <w:r w:rsidRPr="001B62B8">
        <w:rPr>
          <w:rFonts w:ascii="Times New Roman" w:hAnsi="Times New Roman" w:cs="Times New Roman"/>
          <w:sz w:val="28"/>
          <w:szCs w:val="28"/>
        </w:rPr>
        <w:t>.</w:t>
      </w:r>
      <w:r w:rsidRPr="008F6C7D">
        <w:rPr>
          <w:rFonts w:ascii="Times New Roman" w:hAnsi="Times New Roman" w:cs="Times New Roman"/>
          <w:sz w:val="28"/>
          <w:szCs w:val="28"/>
          <w:lang w:val="en-US"/>
        </w:rPr>
        <w:t>pdf</w:t>
      </w:r>
    </w:p>
    <w:p w:rsidR="00527E46" w:rsidRDefault="00592E52" w:rsidP="00527E46">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16</w:t>
      </w:r>
      <w:r>
        <w:rPr>
          <w:rFonts w:ascii="Times New Roman" w:hAnsi="Times New Roman" w:cs="Times New Roman"/>
          <w:sz w:val="28"/>
          <w:szCs w:val="28"/>
          <w:lang w:val="uk-UA"/>
        </w:rPr>
        <w:t>5</w:t>
      </w:r>
      <w:r w:rsidR="008F6C7D">
        <w:rPr>
          <w:rFonts w:ascii="Times New Roman" w:hAnsi="Times New Roman" w:cs="Times New Roman"/>
          <w:sz w:val="28"/>
          <w:szCs w:val="28"/>
          <w:lang w:val="en-US"/>
        </w:rPr>
        <w:t xml:space="preserve">. </w:t>
      </w:r>
      <w:r w:rsidR="00527E46">
        <w:rPr>
          <w:rFonts w:ascii="Times New Roman" w:hAnsi="Times New Roman" w:cs="Times New Roman"/>
          <w:sz w:val="28"/>
          <w:szCs w:val="28"/>
          <w:lang w:val="en-US"/>
        </w:rPr>
        <w:t xml:space="preserve">Kanwar BS, </w:t>
      </w:r>
      <w:r w:rsidR="00527E46" w:rsidRPr="00527E46">
        <w:rPr>
          <w:rFonts w:ascii="Times New Roman" w:hAnsi="Times New Roman" w:cs="Times New Roman"/>
          <w:sz w:val="28"/>
          <w:szCs w:val="28"/>
          <w:lang w:val="en-US"/>
        </w:rPr>
        <w:t>Gupta</w:t>
      </w:r>
      <w:r w:rsidR="00527E46">
        <w:rPr>
          <w:rFonts w:ascii="Times New Roman" w:hAnsi="Times New Roman" w:cs="Times New Roman"/>
          <w:sz w:val="28"/>
          <w:szCs w:val="28"/>
          <w:lang w:val="en-US"/>
        </w:rPr>
        <w:t xml:space="preserve"> A, </w:t>
      </w:r>
      <w:r w:rsidR="00527E46" w:rsidRPr="00527E46">
        <w:rPr>
          <w:rFonts w:ascii="Times New Roman" w:hAnsi="Times New Roman" w:cs="Times New Roman"/>
          <w:sz w:val="28"/>
          <w:szCs w:val="28"/>
          <w:lang w:val="en-US"/>
        </w:rPr>
        <w:t>Virmani</w:t>
      </w:r>
      <w:r w:rsidR="00527E46">
        <w:rPr>
          <w:rFonts w:ascii="Times New Roman" w:hAnsi="Times New Roman" w:cs="Times New Roman"/>
          <w:sz w:val="28"/>
          <w:szCs w:val="28"/>
          <w:lang w:val="en-US"/>
        </w:rPr>
        <w:t xml:space="preserve"> SK.</w:t>
      </w:r>
      <w:r w:rsidR="00527E46" w:rsidRPr="00527E46">
        <w:rPr>
          <w:rFonts w:ascii="Times New Roman" w:hAnsi="Times New Roman" w:cs="Times New Roman"/>
          <w:sz w:val="28"/>
          <w:szCs w:val="28"/>
          <w:lang w:val="en-US"/>
        </w:rPr>
        <w:t xml:space="preserve"> Microalbuminuria as an e</w:t>
      </w:r>
      <w:r w:rsidR="00527E46">
        <w:rPr>
          <w:rFonts w:ascii="Times New Roman" w:hAnsi="Times New Roman" w:cs="Times New Roman"/>
          <w:sz w:val="28"/>
          <w:szCs w:val="28"/>
          <w:lang w:val="en-US"/>
        </w:rPr>
        <w:t xml:space="preserve">arly marker of left ventricular </w:t>
      </w:r>
      <w:r w:rsidR="00527E46" w:rsidRPr="00527E46">
        <w:rPr>
          <w:rFonts w:ascii="Times New Roman" w:hAnsi="Times New Roman" w:cs="Times New Roman"/>
          <w:sz w:val="28"/>
          <w:szCs w:val="28"/>
          <w:lang w:val="en-US"/>
        </w:rPr>
        <w:t>hypertro</w:t>
      </w:r>
      <w:r w:rsidR="00527E46">
        <w:rPr>
          <w:rFonts w:ascii="Times New Roman" w:hAnsi="Times New Roman" w:cs="Times New Roman"/>
          <w:sz w:val="28"/>
          <w:szCs w:val="28"/>
          <w:lang w:val="en-US"/>
        </w:rPr>
        <w:t xml:space="preserve">phy in type 2 diabetes mellitus. </w:t>
      </w:r>
      <w:r w:rsidR="00527E46" w:rsidRPr="00527E46">
        <w:rPr>
          <w:rFonts w:ascii="Times New Roman" w:hAnsi="Times New Roman" w:cs="Times New Roman"/>
          <w:sz w:val="28"/>
          <w:szCs w:val="28"/>
          <w:lang w:val="en-US"/>
        </w:rPr>
        <w:t>Int J Adv Med</w:t>
      </w:r>
      <w:r w:rsidR="00527E46">
        <w:rPr>
          <w:rFonts w:ascii="Times New Roman" w:hAnsi="Times New Roman" w:cs="Times New Roman"/>
          <w:sz w:val="28"/>
          <w:szCs w:val="28"/>
          <w:lang w:val="en-US"/>
        </w:rPr>
        <w:t xml:space="preserve"> [Internet]. 2017Jun;4(3):666-</w:t>
      </w:r>
      <w:r w:rsidR="00527E46" w:rsidRPr="00527E46">
        <w:rPr>
          <w:rFonts w:ascii="Times New Roman" w:hAnsi="Times New Roman" w:cs="Times New Roman"/>
          <w:sz w:val="28"/>
          <w:szCs w:val="28"/>
          <w:lang w:val="en-US"/>
        </w:rPr>
        <w:t>72</w:t>
      </w:r>
      <w:r w:rsidR="00527E46">
        <w:rPr>
          <w:rFonts w:ascii="Times New Roman" w:hAnsi="Times New Roman" w:cs="Times New Roman"/>
          <w:sz w:val="28"/>
          <w:szCs w:val="28"/>
          <w:lang w:val="en-US"/>
        </w:rPr>
        <w:t xml:space="preserve">. </w:t>
      </w:r>
      <w:r w:rsidR="00527E46" w:rsidRPr="00527E46">
        <w:rPr>
          <w:rFonts w:ascii="Times New Roman" w:hAnsi="Times New Roman" w:cs="Times New Roman"/>
          <w:sz w:val="28"/>
          <w:szCs w:val="28"/>
          <w:lang w:val="en-US"/>
        </w:rPr>
        <w:t>Available from:</w:t>
      </w:r>
      <w:r w:rsidR="00527E46">
        <w:rPr>
          <w:rFonts w:ascii="Times New Roman" w:hAnsi="Times New Roman" w:cs="Times New Roman"/>
          <w:sz w:val="28"/>
          <w:szCs w:val="28"/>
          <w:lang w:val="en-US"/>
        </w:rPr>
        <w:t xml:space="preserve"> </w:t>
      </w:r>
    </w:p>
    <w:p w:rsidR="007363CA" w:rsidRPr="008F6C7D" w:rsidRDefault="00527E46" w:rsidP="00527E46">
      <w:pPr>
        <w:tabs>
          <w:tab w:val="left" w:pos="2880"/>
        </w:tabs>
        <w:spacing w:after="0" w:line="360" w:lineRule="auto"/>
        <w:jc w:val="both"/>
        <w:rPr>
          <w:rFonts w:ascii="Times New Roman" w:hAnsi="Times New Roman" w:cs="Times New Roman"/>
          <w:sz w:val="28"/>
          <w:szCs w:val="28"/>
          <w:lang w:val="en-US"/>
        </w:rPr>
      </w:pPr>
      <w:r w:rsidRPr="00527E46">
        <w:rPr>
          <w:rFonts w:ascii="Times New Roman" w:hAnsi="Times New Roman" w:cs="Times New Roman"/>
          <w:sz w:val="28"/>
          <w:szCs w:val="28"/>
          <w:lang w:val="en-US"/>
        </w:rPr>
        <w:t>www.ijmedicine.com/index.php/ijam/article/viewFile/555/572</w:t>
      </w:r>
    </w:p>
    <w:p w:rsidR="003A3961" w:rsidRDefault="00527E46" w:rsidP="003A3961">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hyperlink r:id="rId109" w:history="1">
        <w:r w:rsidRPr="00527E46">
          <w:rPr>
            <w:rStyle w:val="a9"/>
            <w:rFonts w:ascii="Times New Roman" w:hAnsi="Times New Roman" w:cs="Times New Roman"/>
            <w:color w:val="auto"/>
            <w:sz w:val="28"/>
            <w:szCs w:val="28"/>
            <w:u w:val="none"/>
            <w:lang w:val="uk-UA"/>
          </w:rPr>
          <w:t>http://dx.doi.org/10.18203/2349-3933.ijam20171477</w:t>
        </w:r>
      </w:hyperlink>
      <w:r w:rsidRPr="00527E46">
        <w:rPr>
          <w:rFonts w:ascii="Times New Roman" w:hAnsi="Times New Roman" w:cs="Times New Roman"/>
          <w:sz w:val="28"/>
          <w:szCs w:val="28"/>
          <w:lang w:val="en-US"/>
        </w:rPr>
        <w:t xml:space="preserve"> </w:t>
      </w:r>
      <w:r w:rsidR="003A3961" w:rsidRPr="00527E46">
        <w:rPr>
          <w:rFonts w:ascii="Times New Roman" w:hAnsi="Times New Roman" w:cs="Times New Roman"/>
          <w:sz w:val="28"/>
          <w:szCs w:val="28"/>
          <w:lang w:val="uk-UA"/>
        </w:rPr>
        <w:t xml:space="preserve"> </w:t>
      </w:r>
    </w:p>
    <w:p w:rsidR="00E21DFD" w:rsidRDefault="00592E52" w:rsidP="003A396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16</w:t>
      </w:r>
      <w:r>
        <w:rPr>
          <w:rFonts w:ascii="Times New Roman" w:hAnsi="Times New Roman" w:cs="Times New Roman"/>
          <w:sz w:val="28"/>
          <w:szCs w:val="28"/>
          <w:lang w:val="uk-UA"/>
        </w:rPr>
        <w:t>6</w:t>
      </w:r>
      <w:r w:rsidR="00527E46" w:rsidRPr="00E21DFD">
        <w:rPr>
          <w:rFonts w:ascii="Times New Roman" w:hAnsi="Times New Roman" w:cs="Times New Roman"/>
          <w:sz w:val="28"/>
          <w:szCs w:val="28"/>
          <w:lang w:val="en-US"/>
        </w:rPr>
        <w:t xml:space="preserve">. </w:t>
      </w:r>
      <w:r w:rsidR="003A4625">
        <w:rPr>
          <w:rFonts w:ascii="Times New Roman" w:hAnsi="Times New Roman" w:cs="Times New Roman"/>
          <w:sz w:val="28"/>
          <w:szCs w:val="28"/>
        </w:rPr>
        <w:t>Фуштей</w:t>
      </w:r>
      <w:r w:rsidR="003A4625" w:rsidRPr="00E21DFD">
        <w:rPr>
          <w:rFonts w:ascii="Times New Roman" w:hAnsi="Times New Roman" w:cs="Times New Roman"/>
          <w:sz w:val="28"/>
          <w:szCs w:val="28"/>
          <w:lang w:val="en-US"/>
        </w:rPr>
        <w:t xml:space="preserve"> </w:t>
      </w:r>
      <w:r w:rsidR="003A4625">
        <w:rPr>
          <w:rFonts w:ascii="Times New Roman" w:hAnsi="Times New Roman" w:cs="Times New Roman"/>
          <w:sz w:val="28"/>
          <w:szCs w:val="28"/>
        </w:rPr>
        <w:t>ІМ</w:t>
      </w:r>
      <w:r w:rsidR="003A4625" w:rsidRPr="00E21DFD">
        <w:rPr>
          <w:rFonts w:ascii="Times New Roman" w:hAnsi="Times New Roman" w:cs="Times New Roman"/>
          <w:sz w:val="28"/>
          <w:szCs w:val="28"/>
          <w:lang w:val="en-US"/>
        </w:rPr>
        <w:t xml:space="preserve">, </w:t>
      </w:r>
      <w:r w:rsidR="003A4625">
        <w:rPr>
          <w:rFonts w:ascii="Times New Roman" w:hAnsi="Times New Roman" w:cs="Times New Roman"/>
          <w:sz w:val="28"/>
          <w:szCs w:val="28"/>
        </w:rPr>
        <w:t>Гура</w:t>
      </w:r>
      <w:r w:rsidR="003A4625" w:rsidRPr="00E21DFD">
        <w:rPr>
          <w:rFonts w:ascii="Times New Roman" w:hAnsi="Times New Roman" w:cs="Times New Roman"/>
          <w:sz w:val="28"/>
          <w:szCs w:val="28"/>
          <w:lang w:val="en-US"/>
        </w:rPr>
        <w:t xml:space="preserve"> </w:t>
      </w:r>
      <w:r w:rsidR="003A4625">
        <w:rPr>
          <w:rFonts w:ascii="Times New Roman" w:hAnsi="Times New Roman" w:cs="Times New Roman"/>
          <w:sz w:val="28"/>
          <w:szCs w:val="28"/>
        </w:rPr>
        <w:t>Е</w:t>
      </w:r>
      <w:r w:rsidR="003A4625" w:rsidRPr="003A4625">
        <w:rPr>
          <w:rFonts w:ascii="Times New Roman" w:hAnsi="Times New Roman" w:cs="Times New Roman"/>
          <w:sz w:val="28"/>
          <w:szCs w:val="28"/>
        </w:rPr>
        <w:t>Ю</w:t>
      </w:r>
      <w:r w:rsidR="003A4625" w:rsidRPr="00E21DFD">
        <w:rPr>
          <w:rFonts w:ascii="Times New Roman" w:hAnsi="Times New Roman" w:cs="Times New Roman"/>
          <w:sz w:val="28"/>
          <w:szCs w:val="28"/>
          <w:lang w:val="en-US"/>
        </w:rPr>
        <w:t>.</w:t>
      </w:r>
      <w:r w:rsidR="00E21DFD">
        <w:rPr>
          <w:rFonts w:ascii="Times New Roman" w:hAnsi="Times New Roman" w:cs="Times New Roman"/>
          <w:sz w:val="28"/>
          <w:szCs w:val="28"/>
          <w:lang w:val="uk-UA"/>
        </w:rPr>
        <w:t xml:space="preserve"> </w:t>
      </w:r>
      <w:r w:rsidR="00E21DFD" w:rsidRPr="00E21DFD">
        <w:rPr>
          <w:rFonts w:ascii="Times New Roman" w:hAnsi="Times New Roman" w:cs="Times New Roman"/>
          <w:sz w:val="28"/>
          <w:szCs w:val="28"/>
          <w:lang w:val="uk-UA"/>
        </w:rPr>
        <w:t>Ендотеліальна функція та ремоделювання міокарду лівого шлуночка у хворих на гіпертонічну хворобу у поєднанні з цукровим діабетом 2-го типу</w:t>
      </w:r>
      <w:r w:rsidR="00E21DFD">
        <w:rPr>
          <w:rFonts w:ascii="Times New Roman" w:hAnsi="Times New Roman" w:cs="Times New Roman"/>
          <w:sz w:val="28"/>
          <w:szCs w:val="28"/>
          <w:lang w:val="uk-UA"/>
        </w:rPr>
        <w:t xml:space="preserve">. J. Clin. Exp. Med. Res </w:t>
      </w:r>
      <w:r w:rsidR="00E21DFD" w:rsidRPr="00E21DFD">
        <w:rPr>
          <w:rFonts w:ascii="Times New Roman" w:hAnsi="Times New Roman" w:cs="Times New Roman"/>
          <w:sz w:val="28"/>
          <w:szCs w:val="28"/>
          <w:lang w:val="uk-UA"/>
        </w:rPr>
        <w:t>[Internet]</w:t>
      </w:r>
      <w:r w:rsidR="00E21DFD">
        <w:rPr>
          <w:rFonts w:ascii="Times New Roman" w:hAnsi="Times New Roman" w:cs="Times New Roman"/>
          <w:sz w:val="28"/>
          <w:szCs w:val="28"/>
          <w:lang w:val="uk-UA"/>
        </w:rPr>
        <w:t>.</w:t>
      </w:r>
      <w:r w:rsidR="00E21DFD" w:rsidRPr="00E21DFD">
        <w:rPr>
          <w:rFonts w:ascii="Times New Roman" w:hAnsi="Times New Roman" w:cs="Times New Roman"/>
          <w:sz w:val="28"/>
          <w:szCs w:val="28"/>
          <w:lang w:val="uk-UA"/>
        </w:rPr>
        <w:t xml:space="preserve"> 2014;2(</w:t>
      </w:r>
      <w:r w:rsidR="00E21DFD">
        <w:rPr>
          <w:rFonts w:ascii="Times New Roman" w:hAnsi="Times New Roman" w:cs="Times New Roman"/>
          <w:sz w:val="28"/>
          <w:szCs w:val="28"/>
          <w:lang w:val="uk-UA"/>
        </w:rPr>
        <w:t xml:space="preserve">4):482- </w:t>
      </w:r>
      <w:r w:rsidR="00E21DFD" w:rsidRPr="00E21DFD">
        <w:rPr>
          <w:rFonts w:ascii="Times New Roman" w:hAnsi="Times New Roman" w:cs="Times New Roman"/>
          <w:sz w:val="28"/>
          <w:szCs w:val="28"/>
          <w:lang w:val="uk-UA"/>
        </w:rPr>
        <w:t>90</w:t>
      </w:r>
      <w:r w:rsidR="00E21DFD">
        <w:rPr>
          <w:rFonts w:ascii="Times New Roman" w:hAnsi="Times New Roman" w:cs="Times New Roman"/>
          <w:sz w:val="28"/>
          <w:szCs w:val="28"/>
          <w:lang w:val="uk-UA"/>
        </w:rPr>
        <w:t xml:space="preserve">. </w:t>
      </w:r>
      <w:r w:rsidR="00E21DFD" w:rsidRPr="00E21DFD">
        <w:rPr>
          <w:rFonts w:ascii="Times New Roman" w:hAnsi="Times New Roman" w:cs="Times New Roman"/>
          <w:sz w:val="28"/>
          <w:szCs w:val="28"/>
          <w:lang w:val="uk-UA"/>
        </w:rPr>
        <w:t>Available from:</w:t>
      </w:r>
      <w:r w:rsidR="00E21DFD">
        <w:rPr>
          <w:rFonts w:ascii="Times New Roman" w:hAnsi="Times New Roman" w:cs="Times New Roman"/>
          <w:sz w:val="28"/>
          <w:szCs w:val="28"/>
          <w:lang w:val="uk-UA"/>
        </w:rPr>
        <w:t xml:space="preserve"> </w:t>
      </w:r>
    </w:p>
    <w:p w:rsidR="00527E46" w:rsidRPr="00E21DFD" w:rsidRDefault="000A6805" w:rsidP="003A3961">
      <w:pPr>
        <w:tabs>
          <w:tab w:val="left" w:pos="2880"/>
        </w:tabs>
        <w:spacing w:after="0" w:line="360" w:lineRule="auto"/>
        <w:jc w:val="both"/>
        <w:rPr>
          <w:rFonts w:ascii="Times New Roman" w:hAnsi="Times New Roman" w:cs="Times New Roman"/>
          <w:sz w:val="28"/>
          <w:szCs w:val="28"/>
          <w:lang w:val="uk-UA"/>
        </w:rPr>
      </w:pPr>
      <w:hyperlink r:id="rId110" w:history="1">
        <w:r w:rsidR="00E21DFD" w:rsidRPr="00E21DFD">
          <w:rPr>
            <w:rStyle w:val="a9"/>
            <w:rFonts w:ascii="Times New Roman" w:hAnsi="Times New Roman" w:cs="Times New Roman"/>
            <w:color w:val="auto"/>
            <w:sz w:val="28"/>
            <w:szCs w:val="28"/>
            <w:u w:val="none"/>
            <w:lang w:val="uk-UA"/>
          </w:rPr>
          <w:t>http://ujcem.med.sumdu.edu.ua/images/sampledata/2014/4/482-490.pdf</w:t>
        </w:r>
      </w:hyperlink>
    </w:p>
    <w:p w:rsidR="00E21DFD" w:rsidRPr="00FD2ACE" w:rsidRDefault="007501CD" w:rsidP="005174E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592E52">
        <w:rPr>
          <w:rFonts w:ascii="Times New Roman" w:hAnsi="Times New Roman" w:cs="Times New Roman"/>
          <w:sz w:val="28"/>
          <w:szCs w:val="28"/>
          <w:lang w:val="uk-UA"/>
        </w:rPr>
        <w:t>7</w:t>
      </w:r>
      <w:r w:rsidR="00E21DFD">
        <w:rPr>
          <w:rFonts w:ascii="Times New Roman" w:hAnsi="Times New Roman" w:cs="Times New Roman"/>
          <w:sz w:val="28"/>
          <w:szCs w:val="28"/>
          <w:lang w:val="uk-UA"/>
        </w:rPr>
        <w:t xml:space="preserve">. </w:t>
      </w:r>
      <w:r w:rsidR="005174E3" w:rsidRPr="005174E3">
        <w:rPr>
          <w:rFonts w:ascii="Times New Roman" w:hAnsi="Times New Roman" w:cs="Times New Roman"/>
          <w:sz w:val="28"/>
          <w:szCs w:val="28"/>
          <w:lang w:val="uk-UA"/>
        </w:rPr>
        <w:t>Карпов Ю.А. Роль ней</w:t>
      </w:r>
      <w:r w:rsidR="005174E3">
        <w:rPr>
          <w:rFonts w:ascii="Times New Roman" w:hAnsi="Times New Roman" w:cs="Times New Roman"/>
          <w:sz w:val="28"/>
          <w:szCs w:val="28"/>
          <w:lang w:val="uk-UA"/>
        </w:rPr>
        <w:t>рогуморальных систем в развитии</w:t>
      </w:r>
      <w:r w:rsidR="005174E3" w:rsidRPr="005174E3">
        <w:rPr>
          <w:rFonts w:ascii="Times New Roman" w:hAnsi="Times New Roman" w:cs="Times New Roman"/>
          <w:sz w:val="28"/>
          <w:szCs w:val="28"/>
          <w:lang w:val="uk-UA"/>
        </w:rPr>
        <w:t>и прогрессировании хрониче</w:t>
      </w:r>
      <w:r w:rsidR="005174E3">
        <w:rPr>
          <w:rFonts w:ascii="Times New Roman" w:hAnsi="Times New Roman" w:cs="Times New Roman"/>
          <w:sz w:val="28"/>
          <w:szCs w:val="28"/>
          <w:lang w:val="uk-UA"/>
        </w:rPr>
        <w:t>ской сердечной недостаточности: эндотелиальные факторы. Сердечная недостаточность. 2002</w:t>
      </w:r>
      <w:r w:rsidR="005174E3" w:rsidRPr="00FD2ACE">
        <w:rPr>
          <w:rFonts w:ascii="Times New Roman" w:hAnsi="Times New Roman" w:cs="Times New Roman"/>
          <w:sz w:val="28"/>
          <w:szCs w:val="28"/>
          <w:lang w:val="uk-UA"/>
        </w:rPr>
        <w:t>;</w:t>
      </w:r>
      <w:r w:rsidR="005174E3">
        <w:rPr>
          <w:rFonts w:ascii="Times New Roman" w:hAnsi="Times New Roman" w:cs="Times New Roman"/>
          <w:sz w:val="28"/>
          <w:szCs w:val="28"/>
          <w:lang w:val="uk-UA"/>
        </w:rPr>
        <w:t>3</w:t>
      </w:r>
      <w:r w:rsidR="005174E3" w:rsidRPr="00FD2ACE">
        <w:rPr>
          <w:rFonts w:ascii="Times New Roman" w:hAnsi="Times New Roman" w:cs="Times New Roman"/>
          <w:sz w:val="28"/>
          <w:szCs w:val="28"/>
          <w:lang w:val="uk-UA"/>
        </w:rPr>
        <w:t>(</w:t>
      </w:r>
      <w:r w:rsidR="005174E3" w:rsidRPr="005174E3">
        <w:rPr>
          <w:rFonts w:ascii="Times New Roman" w:hAnsi="Times New Roman" w:cs="Times New Roman"/>
          <w:sz w:val="28"/>
          <w:szCs w:val="28"/>
          <w:lang w:val="uk-UA"/>
        </w:rPr>
        <w:t>1</w:t>
      </w:r>
      <w:r w:rsidR="005174E3" w:rsidRPr="00FD2ACE">
        <w:rPr>
          <w:rFonts w:ascii="Times New Roman" w:hAnsi="Times New Roman" w:cs="Times New Roman"/>
          <w:sz w:val="28"/>
          <w:szCs w:val="28"/>
          <w:lang w:val="uk-UA"/>
        </w:rPr>
        <w:t>):</w:t>
      </w:r>
      <w:r w:rsidR="005174E3">
        <w:rPr>
          <w:rFonts w:ascii="Times New Roman" w:hAnsi="Times New Roman" w:cs="Times New Roman"/>
          <w:sz w:val="28"/>
          <w:szCs w:val="28"/>
          <w:lang w:val="uk-UA"/>
        </w:rPr>
        <w:t>22</w:t>
      </w:r>
      <w:r w:rsidR="005174E3" w:rsidRPr="00FD2ACE">
        <w:rPr>
          <w:rFonts w:ascii="Times New Roman" w:hAnsi="Times New Roman" w:cs="Times New Roman"/>
          <w:sz w:val="28"/>
          <w:szCs w:val="28"/>
          <w:lang w:val="uk-UA"/>
        </w:rPr>
        <w:t>-</w:t>
      </w:r>
      <w:r w:rsidR="005174E3" w:rsidRPr="005174E3">
        <w:rPr>
          <w:rFonts w:ascii="Times New Roman" w:hAnsi="Times New Roman" w:cs="Times New Roman"/>
          <w:sz w:val="28"/>
          <w:szCs w:val="28"/>
          <w:lang w:val="uk-UA"/>
        </w:rPr>
        <w:t>5.</w:t>
      </w:r>
    </w:p>
    <w:p w:rsidR="00431290" w:rsidRPr="00652DBA" w:rsidRDefault="00277D1F" w:rsidP="00025293">
      <w:pPr>
        <w:tabs>
          <w:tab w:val="left" w:pos="2880"/>
        </w:tabs>
        <w:spacing w:after="0" w:line="360" w:lineRule="auto"/>
        <w:jc w:val="both"/>
        <w:rPr>
          <w:rFonts w:ascii="Times New Roman" w:hAnsi="Times New Roman" w:cs="Times New Roman"/>
          <w:sz w:val="28"/>
          <w:szCs w:val="28"/>
          <w:lang w:val="uk-UA"/>
        </w:rPr>
      </w:pPr>
      <w:r w:rsidRPr="00FD2ACE">
        <w:rPr>
          <w:rFonts w:ascii="Times New Roman" w:hAnsi="Times New Roman" w:cs="Times New Roman"/>
          <w:sz w:val="28"/>
          <w:szCs w:val="28"/>
          <w:lang w:val="uk-UA"/>
        </w:rPr>
        <w:t>168</w:t>
      </w:r>
      <w:r w:rsidR="00652DBA" w:rsidRPr="00FD2ACE">
        <w:rPr>
          <w:rFonts w:ascii="Times New Roman" w:hAnsi="Times New Roman" w:cs="Times New Roman"/>
          <w:sz w:val="28"/>
          <w:szCs w:val="28"/>
          <w:lang w:val="uk-UA"/>
        </w:rPr>
        <w:t>.</w:t>
      </w:r>
      <w:r w:rsidR="00652DBA">
        <w:rPr>
          <w:rFonts w:ascii="Times New Roman" w:hAnsi="Times New Roman" w:cs="Times New Roman"/>
          <w:sz w:val="28"/>
          <w:szCs w:val="28"/>
          <w:lang w:val="uk-UA"/>
        </w:rPr>
        <w:t xml:space="preserve"> </w:t>
      </w:r>
      <w:r w:rsidR="00652DBA" w:rsidRPr="00FD2ACE">
        <w:rPr>
          <w:rFonts w:ascii="Times New Roman" w:hAnsi="Times New Roman" w:cs="Times New Roman"/>
          <w:sz w:val="28"/>
          <w:szCs w:val="28"/>
          <w:lang w:val="uk-UA"/>
        </w:rPr>
        <w:t>Панько О. М. Рівень фактору некрозу пухлин-</w:t>
      </w:r>
      <w:r w:rsidR="00652DBA" w:rsidRPr="00652DBA">
        <w:rPr>
          <w:rFonts w:ascii="Times New Roman" w:hAnsi="Times New Roman" w:cs="Times New Roman"/>
          <w:sz w:val="28"/>
          <w:szCs w:val="28"/>
        </w:rPr>
        <w:t>α</w:t>
      </w:r>
      <w:r w:rsidR="00652DBA" w:rsidRPr="00FD2ACE">
        <w:rPr>
          <w:rFonts w:ascii="Times New Roman" w:hAnsi="Times New Roman" w:cs="Times New Roman"/>
          <w:sz w:val="28"/>
          <w:szCs w:val="28"/>
          <w:lang w:val="uk-UA"/>
        </w:rPr>
        <w:t xml:space="preserve"> у крові хворих діабетичною ретинопатією в результаті лікування з використанням окювайт лютеїну</w:t>
      </w:r>
      <w:r w:rsidR="00652DBA">
        <w:rPr>
          <w:rFonts w:ascii="Times New Roman" w:hAnsi="Times New Roman" w:cs="Times New Roman"/>
          <w:sz w:val="28"/>
          <w:szCs w:val="28"/>
          <w:lang w:val="uk-UA"/>
        </w:rPr>
        <w:t xml:space="preserve">. </w:t>
      </w:r>
      <w:r w:rsidR="00EE07AB" w:rsidRPr="00EE07AB">
        <w:rPr>
          <w:rFonts w:ascii="Times New Roman" w:hAnsi="Times New Roman" w:cs="Times New Roman"/>
          <w:sz w:val="28"/>
          <w:szCs w:val="28"/>
          <w:lang w:val="uk-UA"/>
        </w:rPr>
        <w:t>Clin. and experim. pathol</w:t>
      </w:r>
      <w:r w:rsidR="00EE07AB">
        <w:rPr>
          <w:rFonts w:ascii="Times New Roman" w:hAnsi="Times New Roman" w:cs="Times New Roman"/>
          <w:sz w:val="28"/>
          <w:szCs w:val="28"/>
          <w:lang w:val="uk-UA"/>
        </w:rPr>
        <w:t xml:space="preserve"> </w:t>
      </w:r>
      <w:r w:rsidR="00EE07AB" w:rsidRPr="00EE07AB">
        <w:rPr>
          <w:rFonts w:ascii="Times New Roman" w:hAnsi="Times New Roman" w:cs="Times New Roman"/>
          <w:sz w:val="28"/>
          <w:szCs w:val="28"/>
          <w:lang w:val="uk-UA"/>
        </w:rPr>
        <w:t>[Internet].</w:t>
      </w:r>
      <w:r w:rsidR="00EE07AB">
        <w:rPr>
          <w:rFonts w:ascii="Times New Roman" w:hAnsi="Times New Roman" w:cs="Times New Roman"/>
          <w:sz w:val="28"/>
          <w:szCs w:val="28"/>
          <w:lang w:val="uk-UA"/>
        </w:rPr>
        <w:t xml:space="preserve"> 2013</w:t>
      </w:r>
      <w:r w:rsidR="00EE07AB" w:rsidRPr="00EE07AB">
        <w:rPr>
          <w:rFonts w:ascii="Times New Roman" w:hAnsi="Times New Roman" w:cs="Times New Roman"/>
          <w:sz w:val="28"/>
          <w:szCs w:val="28"/>
        </w:rPr>
        <w:t>;</w:t>
      </w:r>
      <w:r w:rsidR="00EE07AB">
        <w:rPr>
          <w:rFonts w:ascii="Times New Roman" w:hAnsi="Times New Roman" w:cs="Times New Roman"/>
          <w:sz w:val="28"/>
          <w:szCs w:val="28"/>
          <w:lang w:val="uk-UA"/>
        </w:rPr>
        <w:t>4(46)</w:t>
      </w:r>
      <w:r w:rsidR="00EE07AB" w:rsidRPr="00EE07AB">
        <w:rPr>
          <w:rFonts w:ascii="Times New Roman" w:hAnsi="Times New Roman" w:cs="Times New Roman"/>
          <w:sz w:val="28"/>
          <w:szCs w:val="28"/>
        </w:rPr>
        <w:t>:</w:t>
      </w:r>
      <w:r w:rsidR="00EE07AB" w:rsidRPr="00EE07AB">
        <w:rPr>
          <w:rFonts w:ascii="Times New Roman" w:hAnsi="Times New Roman" w:cs="Times New Roman"/>
          <w:sz w:val="28"/>
          <w:szCs w:val="28"/>
          <w:lang w:val="uk-UA"/>
        </w:rPr>
        <w:t>99-102.</w:t>
      </w:r>
      <w:r w:rsidR="00652DBA">
        <w:rPr>
          <w:rFonts w:ascii="Times New Roman" w:hAnsi="Times New Roman" w:cs="Times New Roman"/>
          <w:sz w:val="28"/>
          <w:szCs w:val="28"/>
          <w:lang w:val="uk-UA"/>
        </w:rPr>
        <w:t>Доступно на:</w:t>
      </w:r>
    </w:p>
    <w:p w:rsidR="00652DBA" w:rsidRPr="00EE07AB" w:rsidRDefault="000A6805" w:rsidP="00025293">
      <w:pPr>
        <w:tabs>
          <w:tab w:val="left" w:pos="2880"/>
        </w:tabs>
        <w:spacing w:after="0" w:line="360" w:lineRule="auto"/>
        <w:jc w:val="both"/>
        <w:rPr>
          <w:rFonts w:ascii="Times New Roman" w:hAnsi="Times New Roman" w:cs="Times New Roman"/>
          <w:sz w:val="28"/>
          <w:szCs w:val="28"/>
          <w:lang w:val="uk-UA"/>
        </w:rPr>
      </w:pPr>
      <w:hyperlink r:id="rId111" w:history="1">
        <w:r w:rsidR="00EE07AB" w:rsidRPr="00EE07AB">
          <w:rPr>
            <w:rStyle w:val="a9"/>
            <w:rFonts w:ascii="Times New Roman" w:hAnsi="Times New Roman" w:cs="Times New Roman"/>
            <w:color w:val="auto"/>
            <w:sz w:val="28"/>
            <w:szCs w:val="28"/>
            <w:u w:val="none"/>
            <w:lang w:val="uk-UA"/>
          </w:rPr>
          <w:t>https://www.bsmu.edu.ua/files/KEP/%CA%C5P-2013-04/099.pdf</w:t>
        </w:r>
      </w:hyperlink>
    </w:p>
    <w:p w:rsidR="003F06CF" w:rsidRDefault="00277D1F" w:rsidP="0002529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277D1F">
        <w:rPr>
          <w:rFonts w:ascii="Times New Roman" w:hAnsi="Times New Roman" w:cs="Times New Roman"/>
          <w:sz w:val="28"/>
          <w:szCs w:val="28"/>
        </w:rPr>
        <w:t>9</w:t>
      </w:r>
      <w:r w:rsidR="00EE07AB" w:rsidRPr="003F06CF">
        <w:rPr>
          <w:rFonts w:ascii="Times New Roman" w:hAnsi="Times New Roman" w:cs="Times New Roman"/>
          <w:sz w:val="28"/>
          <w:szCs w:val="28"/>
          <w:lang w:val="uk-UA"/>
        </w:rPr>
        <w:t>.</w:t>
      </w:r>
      <w:r w:rsidR="003F06CF">
        <w:rPr>
          <w:rFonts w:ascii="Times New Roman" w:hAnsi="Times New Roman" w:cs="Times New Roman"/>
          <w:sz w:val="28"/>
          <w:szCs w:val="28"/>
          <w:lang w:val="uk-UA"/>
        </w:rPr>
        <w:t xml:space="preserve"> Руденко ТМ, </w:t>
      </w:r>
      <w:r w:rsidR="003F06CF" w:rsidRPr="003F06CF">
        <w:rPr>
          <w:rFonts w:ascii="Times New Roman" w:hAnsi="Times New Roman" w:cs="Times New Roman"/>
          <w:sz w:val="28"/>
          <w:szCs w:val="28"/>
          <w:lang w:val="uk-UA"/>
        </w:rPr>
        <w:t>Сміянова</w:t>
      </w:r>
      <w:r w:rsidR="003F06CF">
        <w:rPr>
          <w:rFonts w:ascii="Times New Roman" w:hAnsi="Times New Roman" w:cs="Times New Roman"/>
          <w:sz w:val="28"/>
          <w:szCs w:val="28"/>
          <w:lang w:val="uk-UA"/>
        </w:rPr>
        <w:t xml:space="preserve"> ЮО,</w:t>
      </w:r>
      <w:r w:rsidR="003F06CF" w:rsidRPr="003F06CF">
        <w:rPr>
          <w:rFonts w:ascii="Times New Roman" w:hAnsi="Times New Roman" w:cs="Times New Roman"/>
          <w:sz w:val="28"/>
          <w:szCs w:val="28"/>
          <w:lang w:val="uk-UA"/>
        </w:rPr>
        <w:t xml:space="preserve"> Власенко</w:t>
      </w:r>
      <w:r w:rsidR="003F06CF">
        <w:rPr>
          <w:rFonts w:ascii="Times New Roman" w:hAnsi="Times New Roman" w:cs="Times New Roman"/>
          <w:sz w:val="28"/>
          <w:szCs w:val="28"/>
          <w:lang w:val="uk-UA"/>
        </w:rPr>
        <w:t xml:space="preserve"> ОМ, Бутікова ОО, Самбург ЯЮ. </w:t>
      </w:r>
      <w:r w:rsidR="003F06CF" w:rsidRPr="003F06CF">
        <w:rPr>
          <w:rFonts w:ascii="Times New Roman" w:hAnsi="Times New Roman" w:cs="Times New Roman"/>
          <w:sz w:val="28"/>
          <w:szCs w:val="28"/>
          <w:lang w:val="uk-UA"/>
        </w:rPr>
        <w:t xml:space="preserve"> Добовий моніторинг артеріального тиску і ліпідного обміну у хворих на </w:t>
      </w:r>
      <w:r w:rsidR="003F06CF" w:rsidRPr="003F06CF">
        <w:rPr>
          <w:rFonts w:ascii="Times New Roman" w:hAnsi="Times New Roman" w:cs="Times New Roman"/>
          <w:sz w:val="28"/>
          <w:szCs w:val="28"/>
          <w:lang w:val="uk-UA"/>
        </w:rPr>
        <w:lastRenderedPageBreak/>
        <w:t>артеріальну гіпертензію, поєднану з дисліпідемією, під дією лікування</w:t>
      </w:r>
      <w:r w:rsidR="003F06CF">
        <w:rPr>
          <w:rFonts w:ascii="Times New Roman" w:hAnsi="Times New Roman" w:cs="Times New Roman"/>
          <w:sz w:val="28"/>
          <w:szCs w:val="28"/>
          <w:lang w:val="uk-UA"/>
        </w:rPr>
        <w:t xml:space="preserve">. </w:t>
      </w:r>
      <w:r w:rsidR="003F06CF" w:rsidRPr="003F06CF">
        <w:rPr>
          <w:rFonts w:ascii="Times New Roman" w:hAnsi="Times New Roman" w:cs="Times New Roman"/>
          <w:sz w:val="28"/>
          <w:szCs w:val="28"/>
          <w:lang w:val="uk-UA"/>
        </w:rPr>
        <w:t>Міжнародн</w:t>
      </w:r>
      <w:r w:rsidR="003F06CF">
        <w:rPr>
          <w:rFonts w:ascii="Times New Roman" w:hAnsi="Times New Roman" w:cs="Times New Roman"/>
          <w:sz w:val="28"/>
          <w:szCs w:val="28"/>
          <w:lang w:val="uk-UA"/>
        </w:rPr>
        <w:t>ий медичний журнал</w:t>
      </w:r>
      <w:r w:rsidR="003F06CF" w:rsidRPr="001B62B8">
        <w:rPr>
          <w:rFonts w:ascii="Times New Roman" w:hAnsi="Times New Roman" w:cs="Times New Roman"/>
          <w:sz w:val="28"/>
          <w:szCs w:val="28"/>
        </w:rPr>
        <w:t xml:space="preserve"> [</w:t>
      </w:r>
      <w:r w:rsidR="003F06CF">
        <w:rPr>
          <w:rFonts w:ascii="Times New Roman" w:hAnsi="Times New Roman" w:cs="Times New Roman"/>
          <w:sz w:val="28"/>
          <w:szCs w:val="28"/>
          <w:lang w:val="uk-UA"/>
        </w:rPr>
        <w:t>Інтернет</w:t>
      </w:r>
      <w:r w:rsidR="003F06CF" w:rsidRPr="001B62B8">
        <w:rPr>
          <w:rFonts w:ascii="Times New Roman" w:hAnsi="Times New Roman" w:cs="Times New Roman"/>
          <w:sz w:val="28"/>
          <w:szCs w:val="28"/>
        </w:rPr>
        <w:t>]</w:t>
      </w:r>
      <w:r w:rsidR="003F06CF">
        <w:rPr>
          <w:rFonts w:ascii="Times New Roman" w:hAnsi="Times New Roman" w:cs="Times New Roman"/>
          <w:sz w:val="28"/>
          <w:szCs w:val="28"/>
          <w:lang w:val="uk-UA"/>
        </w:rPr>
        <w:t>.</w:t>
      </w:r>
      <w:r w:rsidR="003F06CF" w:rsidRPr="003F06CF">
        <w:rPr>
          <w:rFonts w:ascii="Times New Roman" w:hAnsi="Times New Roman" w:cs="Times New Roman"/>
          <w:sz w:val="28"/>
          <w:szCs w:val="28"/>
        </w:rPr>
        <w:t xml:space="preserve"> </w:t>
      </w:r>
      <w:r w:rsidR="003F06CF">
        <w:rPr>
          <w:rFonts w:ascii="Times New Roman" w:hAnsi="Times New Roman" w:cs="Times New Roman"/>
          <w:sz w:val="28"/>
          <w:szCs w:val="28"/>
          <w:lang w:val="uk-UA"/>
        </w:rPr>
        <w:t>2016</w:t>
      </w:r>
      <w:r w:rsidR="003F06CF" w:rsidRPr="003F06CF">
        <w:rPr>
          <w:rFonts w:ascii="Times New Roman" w:hAnsi="Times New Roman" w:cs="Times New Roman"/>
          <w:sz w:val="28"/>
          <w:szCs w:val="28"/>
        </w:rPr>
        <w:t>;</w:t>
      </w:r>
      <w:r w:rsidR="003F06CF">
        <w:rPr>
          <w:rFonts w:ascii="Times New Roman" w:hAnsi="Times New Roman" w:cs="Times New Roman"/>
          <w:sz w:val="28"/>
          <w:szCs w:val="28"/>
          <w:lang w:val="uk-UA"/>
        </w:rPr>
        <w:t>4</w:t>
      </w:r>
      <w:r w:rsidR="003F06CF" w:rsidRPr="003F06CF">
        <w:rPr>
          <w:rFonts w:ascii="Times New Roman" w:hAnsi="Times New Roman" w:cs="Times New Roman"/>
          <w:sz w:val="28"/>
          <w:szCs w:val="28"/>
        </w:rPr>
        <w:t>:</w:t>
      </w:r>
      <w:r w:rsidR="003F06CF">
        <w:rPr>
          <w:rFonts w:ascii="Times New Roman" w:hAnsi="Times New Roman" w:cs="Times New Roman"/>
          <w:sz w:val="28"/>
          <w:szCs w:val="28"/>
          <w:lang w:val="uk-UA"/>
        </w:rPr>
        <w:t>13</w:t>
      </w:r>
      <w:r w:rsidR="003F06CF" w:rsidRPr="003F06CF">
        <w:rPr>
          <w:rFonts w:ascii="Times New Roman" w:hAnsi="Times New Roman" w:cs="Times New Roman"/>
          <w:sz w:val="28"/>
          <w:szCs w:val="28"/>
        </w:rPr>
        <w:t>-</w:t>
      </w:r>
      <w:r w:rsidR="003F06CF" w:rsidRPr="003F06CF">
        <w:rPr>
          <w:rFonts w:ascii="Times New Roman" w:hAnsi="Times New Roman" w:cs="Times New Roman"/>
          <w:sz w:val="28"/>
          <w:szCs w:val="28"/>
          <w:lang w:val="uk-UA"/>
        </w:rPr>
        <w:t>7.</w:t>
      </w:r>
      <w:r w:rsidR="003F06CF" w:rsidRPr="003F06CF">
        <w:rPr>
          <w:rFonts w:ascii="Times New Roman" w:hAnsi="Times New Roman" w:cs="Times New Roman"/>
          <w:sz w:val="28"/>
          <w:szCs w:val="28"/>
        </w:rPr>
        <w:t xml:space="preserve"> Доступно на:</w:t>
      </w:r>
      <w:r w:rsidR="003F06CF">
        <w:rPr>
          <w:rFonts w:ascii="Times New Roman" w:hAnsi="Times New Roman" w:cs="Times New Roman"/>
          <w:sz w:val="28"/>
          <w:szCs w:val="28"/>
          <w:lang w:val="uk-UA"/>
        </w:rPr>
        <w:t xml:space="preserve"> </w:t>
      </w:r>
    </w:p>
    <w:p w:rsidR="00EE07AB" w:rsidRPr="003F06CF" w:rsidRDefault="000A6805" w:rsidP="00025293">
      <w:pPr>
        <w:tabs>
          <w:tab w:val="left" w:pos="2880"/>
        </w:tabs>
        <w:spacing w:after="0" w:line="360" w:lineRule="auto"/>
        <w:jc w:val="both"/>
        <w:rPr>
          <w:rFonts w:ascii="Times New Roman" w:hAnsi="Times New Roman" w:cs="Times New Roman"/>
          <w:sz w:val="28"/>
          <w:szCs w:val="28"/>
          <w:lang w:val="uk-UA"/>
        </w:rPr>
      </w:pPr>
      <w:hyperlink r:id="rId112" w:history="1">
        <w:r w:rsidR="003F06CF" w:rsidRPr="003F06CF">
          <w:rPr>
            <w:rStyle w:val="a9"/>
            <w:rFonts w:ascii="Times New Roman" w:hAnsi="Times New Roman" w:cs="Times New Roman"/>
            <w:color w:val="auto"/>
            <w:sz w:val="28"/>
            <w:szCs w:val="28"/>
            <w:u w:val="none"/>
            <w:lang w:val="en-US"/>
          </w:rPr>
          <w:t>http</w:t>
        </w:r>
        <w:r w:rsidR="003F06CF" w:rsidRPr="003F06CF">
          <w:rPr>
            <w:rStyle w:val="a9"/>
            <w:rFonts w:ascii="Times New Roman" w:hAnsi="Times New Roman" w:cs="Times New Roman"/>
            <w:color w:val="auto"/>
            <w:sz w:val="28"/>
            <w:szCs w:val="28"/>
            <w:u w:val="none"/>
            <w:lang w:val="uk-UA"/>
          </w:rPr>
          <w:t>://</w:t>
        </w:r>
        <w:r w:rsidR="003F06CF" w:rsidRPr="003F06CF">
          <w:rPr>
            <w:rStyle w:val="a9"/>
            <w:rFonts w:ascii="Times New Roman" w:hAnsi="Times New Roman" w:cs="Times New Roman"/>
            <w:color w:val="auto"/>
            <w:sz w:val="28"/>
            <w:szCs w:val="28"/>
            <w:u w:val="none"/>
            <w:lang w:val="en-US"/>
          </w:rPr>
          <w:t>nbuv</w:t>
        </w:r>
        <w:r w:rsidR="003F06CF" w:rsidRPr="003F06CF">
          <w:rPr>
            <w:rStyle w:val="a9"/>
            <w:rFonts w:ascii="Times New Roman" w:hAnsi="Times New Roman" w:cs="Times New Roman"/>
            <w:color w:val="auto"/>
            <w:sz w:val="28"/>
            <w:szCs w:val="28"/>
            <w:u w:val="none"/>
            <w:lang w:val="uk-UA"/>
          </w:rPr>
          <w:t>.</w:t>
        </w:r>
        <w:r w:rsidR="003F06CF" w:rsidRPr="003F06CF">
          <w:rPr>
            <w:rStyle w:val="a9"/>
            <w:rFonts w:ascii="Times New Roman" w:hAnsi="Times New Roman" w:cs="Times New Roman"/>
            <w:color w:val="auto"/>
            <w:sz w:val="28"/>
            <w:szCs w:val="28"/>
            <w:u w:val="none"/>
            <w:lang w:val="en-US"/>
          </w:rPr>
          <w:t>gov</w:t>
        </w:r>
        <w:r w:rsidR="003F06CF" w:rsidRPr="003F06CF">
          <w:rPr>
            <w:rStyle w:val="a9"/>
            <w:rFonts w:ascii="Times New Roman" w:hAnsi="Times New Roman" w:cs="Times New Roman"/>
            <w:color w:val="auto"/>
            <w:sz w:val="28"/>
            <w:szCs w:val="28"/>
            <w:u w:val="none"/>
            <w:lang w:val="uk-UA"/>
          </w:rPr>
          <w:t>.</w:t>
        </w:r>
        <w:r w:rsidR="003F06CF" w:rsidRPr="003F06CF">
          <w:rPr>
            <w:rStyle w:val="a9"/>
            <w:rFonts w:ascii="Times New Roman" w:hAnsi="Times New Roman" w:cs="Times New Roman"/>
            <w:color w:val="auto"/>
            <w:sz w:val="28"/>
            <w:szCs w:val="28"/>
            <w:u w:val="none"/>
            <w:lang w:val="en-US"/>
          </w:rPr>
          <w:t>ua</w:t>
        </w:r>
        <w:r w:rsidR="003F06CF" w:rsidRPr="003F06CF">
          <w:rPr>
            <w:rStyle w:val="a9"/>
            <w:rFonts w:ascii="Times New Roman" w:hAnsi="Times New Roman" w:cs="Times New Roman"/>
            <w:color w:val="auto"/>
            <w:sz w:val="28"/>
            <w:szCs w:val="28"/>
            <w:u w:val="none"/>
            <w:lang w:val="uk-UA"/>
          </w:rPr>
          <w:t>/</w:t>
        </w:r>
        <w:r w:rsidR="003F06CF" w:rsidRPr="003F06CF">
          <w:rPr>
            <w:rStyle w:val="a9"/>
            <w:rFonts w:ascii="Times New Roman" w:hAnsi="Times New Roman" w:cs="Times New Roman"/>
            <w:color w:val="auto"/>
            <w:sz w:val="28"/>
            <w:szCs w:val="28"/>
            <w:u w:val="none"/>
            <w:lang w:val="en-US"/>
          </w:rPr>
          <w:t>UJRN</w:t>
        </w:r>
        <w:r w:rsidR="003F06CF" w:rsidRPr="003F06CF">
          <w:rPr>
            <w:rStyle w:val="a9"/>
            <w:rFonts w:ascii="Times New Roman" w:hAnsi="Times New Roman" w:cs="Times New Roman"/>
            <w:color w:val="auto"/>
            <w:sz w:val="28"/>
            <w:szCs w:val="28"/>
            <w:u w:val="none"/>
            <w:lang w:val="uk-UA"/>
          </w:rPr>
          <w:t>/</w:t>
        </w:r>
        <w:r w:rsidR="003F06CF" w:rsidRPr="003F06CF">
          <w:rPr>
            <w:rStyle w:val="a9"/>
            <w:rFonts w:ascii="Times New Roman" w:hAnsi="Times New Roman" w:cs="Times New Roman"/>
            <w:color w:val="auto"/>
            <w:sz w:val="28"/>
            <w:szCs w:val="28"/>
            <w:u w:val="none"/>
            <w:lang w:val="en-US"/>
          </w:rPr>
          <w:t>Mmzh</w:t>
        </w:r>
        <w:r w:rsidR="003F06CF" w:rsidRPr="003F06CF">
          <w:rPr>
            <w:rStyle w:val="a9"/>
            <w:rFonts w:ascii="Times New Roman" w:hAnsi="Times New Roman" w:cs="Times New Roman"/>
            <w:color w:val="auto"/>
            <w:sz w:val="28"/>
            <w:szCs w:val="28"/>
            <w:u w:val="none"/>
            <w:lang w:val="uk-UA"/>
          </w:rPr>
          <w:t>_2016_22_4_4</w:t>
        </w:r>
      </w:hyperlink>
    </w:p>
    <w:p w:rsidR="003F06CF" w:rsidRPr="004374D4" w:rsidRDefault="00277D1F" w:rsidP="00025293">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77D1F">
        <w:rPr>
          <w:rFonts w:ascii="Times New Roman" w:hAnsi="Times New Roman" w:cs="Times New Roman"/>
          <w:sz w:val="28"/>
          <w:szCs w:val="28"/>
        </w:rPr>
        <w:t>70</w:t>
      </w:r>
      <w:r w:rsidR="003F06CF">
        <w:rPr>
          <w:rFonts w:ascii="Times New Roman" w:hAnsi="Times New Roman" w:cs="Times New Roman"/>
          <w:sz w:val="28"/>
          <w:szCs w:val="28"/>
          <w:lang w:val="uk-UA"/>
        </w:rPr>
        <w:t xml:space="preserve">. </w:t>
      </w:r>
      <w:r w:rsidR="001B62B8">
        <w:rPr>
          <w:rFonts w:ascii="Times New Roman" w:hAnsi="Times New Roman" w:cs="Times New Roman"/>
          <w:sz w:val="28"/>
          <w:szCs w:val="28"/>
          <w:lang w:val="uk-UA"/>
        </w:rPr>
        <w:t>Воронков ЛГ, Гавриленко ТІ, Ільницька МР, Якушко ЛВ, Рижкова НО.</w:t>
      </w:r>
      <w:r w:rsidR="001B62B8" w:rsidRPr="001B62B8">
        <w:rPr>
          <w:rFonts w:ascii="Times New Roman" w:hAnsi="Times New Roman" w:cs="Times New Roman"/>
          <w:sz w:val="28"/>
          <w:szCs w:val="28"/>
          <w:lang w:val="uk-UA"/>
        </w:rPr>
        <w:t xml:space="preserve"> Характеристика імунопатологічних реакцій у пацієнтів із хронічною серцевою недостатністю залежно від наявності інсулінорезистентності</w:t>
      </w:r>
      <w:r w:rsidR="008E6549">
        <w:rPr>
          <w:rFonts w:ascii="Times New Roman" w:hAnsi="Times New Roman" w:cs="Times New Roman"/>
          <w:sz w:val="28"/>
          <w:szCs w:val="28"/>
          <w:lang w:val="uk-UA"/>
        </w:rPr>
        <w:t>.</w:t>
      </w:r>
      <w:r w:rsidR="001B62B8" w:rsidRPr="001B62B8">
        <w:rPr>
          <w:rFonts w:ascii="Times New Roman" w:hAnsi="Times New Roman" w:cs="Times New Roman"/>
          <w:sz w:val="28"/>
          <w:szCs w:val="28"/>
          <w:lang w:val="uk-UA"/>
        </w:rPr>
        <w:t xml:space="preserve"> Україн</w:t>
      </w:r>
      <w:r w:rsidR="008E6549">
        <w:rPr>
          <w:rFonts w:ascii="Times New Roman" w:hAnsi="Times New Roman" w:cs="Times New Roman"/>
          <w:sz w:val="28"/>
          <w:szCs w:val="28"/>
          <w:lang w:val="uk-UA"/>
        </w:rPr>
        <w:t>ський ревматологічний журнал. 2016</w:t>
      </w:r>
      <w:r w:rsidR="008E6549" w:rsidRPr="004374D4">
        <w:rPr>
          <w:rFonts w:ascii="Times New Roman" w:hAnsi="Times New Roman" w:cs="Times New Roman"/>
          <w:sz w:val="28"/>
          <w:szCs w:val="28"/>
          <w:lang w:val="uk-UA"/>
        </w:rPr>
        <w:t>;</w:t>
      </w:r>
      <w:r w:rsidR="008E6549">
        <w:rPr>
          <w:rFonts w:ascii="Times New Roman" w:hAnsi="Times New Roman" w:cs="Times New Roman"/>
          <w:sz w:val="28"/>
          <w:szCs w:val="28"/>
          <w:lang w:val="uk-UA"/>
        </w:rPr>
        <w:t>66(4)</w:t>
      </w:r>
      <w:r w:rsidR="008E6549" w:rsidRPr="004374D4">
        <w:rPr>
          <w:rFonts w:ascii="Times New Roman" w:hAnsi="Times New Roman" w:cs="Times New Roman"/>
          <w:sz w:val="28"/>
          <w:szCs w:val="28"/>
          <w:lang w:val="uk-UA"/>
        </w:rPr>
        <w:t>:</w:t>
      </w:r>
      <w:r w:rsidR="008E6549">
        <w:rPr>
          <w:rFonts w:ascii="Times New Roman" w:hAnsi="Times New Roman" w:cs="Times New Roman"/>
          <w:sz w:val="28"/>
          <w:szCs w:val="28"/>
          <w:lang w:val="uk-UA"/>
        </w:rPr>
        <w:t>35</w:t>
      </w:r>
      <w:r w:rsidR="008E6549" w:rsidRPr="004374D4">
        <w:rPr>
          <w:rFonts w:ascii="Times New Roman" w:hAnsi="Times New Roman" w:cs="Times New Roman"/>
          <w:sz w:val="28"/>
          <w:szCs w:val="28"/>
          <w:lang w:val="uk-UA"/>
        </w:rPr>
        <w:t>-</w:t>
      </w:r>
      <w:r w:rsidR="001B62B8" w:rsidRPr="001B62B8">
        <w:rPr>
          <w:rFonts w:ascii="Times New Roman" w:hAnsi="Times New Roman" w:cs="Times New Roman"/>
          <w:sz w:val="28"/>
          <w:szCs w:val="28"/>
          <w:lang w:val="uk-UA"/>
        </w:rPr>
        <w:t>40.</w:t>
      </w:r>
      <w:r w:rsidR="008E6549" w:rsidRPr="004374D4">
        <w:rPr>
          <w:rFonts w:ascii="Times New Roman" w:hAnsi="Times New Roman" w:cs="Times New Roman"/>
          <w:sz w:val="28"/>
          <w:szCs w:val="28"/>
          <w:lang w:val="uk-UA"/>
        </w:rPr>
        <w:t xml:space="preserve"> </w:t>
      </w:r>
    </w:p>
    <w:p w:rsidR="008E6549" w:rsidRPr="00EC0375" w:rsidRDefault="00277D1F" w:rsidP="00025293">
      <w:pPr>
        <w:tabs>
          <w:tab w:val="left" w:pos="2880"/>
        </w:tabs>
        <w:spacing w:after="0" w:line="360" w:lineRule="auto"/>
        <w:jc w:val="both"/>
        <w:rPr>
          <w:rFonts w:ascii="Times New Roman" w:hAnsi="Times New Roman" w:cs="Times New Roman"/>
          <w:sz w:val="28"/>
          <w:szCs w:val="28"/>
          <w:lang w:val="uk-UA"/>
        </w:rPr>
      </w:pPr>
      <w:r w:rsidRPr="004374D4">
        <w:rPr>
          <w:rFonts w:ascii="Times New Roman" w:hAnsi="Times New Roman" w:cs="Times New Roman"/>
          <w:sz w:val="28"/>
          <w:szCs w:val="28"/>
          <w:lang w:val="uk-UA"/>
        </w:rPr>
        <w:t>171</w:t>
      </w:r>
      <w:r w:rsidR="008E6549" w:rsidRPr="004374D4">
        <w:rPr>
          <w:rFonts w:ascii="Times New Roman" w:hAnsi="Times New Roman" w:cs="Times New Roman"/>
          <w:sz w:val="28"/>
          <w:szCs w:val="28"/>
          <w:lang w:val="uk-UA"/>
        </w:rPr>
        <w:t xml:space="preserve">. Паньків ВІ. Корекція кардіоренальних чинників ризику у хворих на цукровий діабет 2 типу. Ліки України. </w:t>
      </w:r>
      <w:r w:rsidR="008E6549" w:rsidRPr="00EC0375">
        <w:rPr>
          <w:rFonts w:ascii="Times New Roman" w:hAnsi="Times New Roman" w:cs="Times New Roman"/>
          <w:sz w:val="28"/>
          <w:szCs w:val="28"/>
          <w:lang w:val="uk-UA"/>
        </w:rPr>
        <w:t xml:space="preserve">2016;10(26):62-5. </w:t>
      </w:r>
    </w:p>
    <w:p w:rsidR="00064DCA" w:rsidRDefault="00277D1F" w:rsidP="00025293">
      <w:pPr>
        <w:tabs>
          <w:tab w:val="left" w:pos="2880"/>
        </w:tabs>
        <w:spacing w:after="0" w:line="360" w:lineRule="auto"/>
        <w:jc w:val="both"/>
        <w:rPr>
          <w:rFonts w:ascii="Times New Roman" w:hAnsi="Times New Roman" w:cs="Times New Roman"/>
          <w:sz w:val="28"/>
          <w:szCs w:val="28"/>
          <w:lang w:val="en-US"/>
        </w:rPr>
      </w:pPr>
      <w:r w:rsidRPr="00EC0375">
        <w:rPr>
          <w:rFonts w:ascii="Times New Roman" w:hAnsi="Times New Roman" w:cs="Times New Roman"/>
          <w:sz w:val="28"/>
          <w:szCs w:val="28"/>
          <w:lang w:val="uk-UA"/>
        </w:rPr>
        <w:t>172</w:t>
      </w:r>
      <w:r w:rsidR="008E6549"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Pai</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JK</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Cahill</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LE</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Hu</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FB</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Rexrode</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KM</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Manson</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JE</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Rimm</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EB</w:t>
      </w:r>
      <w:r w:rsidR="00064DCA" w:rsidRPr="00EC0375">
        <w:rPr>
          <w:rFonts w:ascii="Times New Roman" w:hAnsi="Times New Roman" w:cs="Times New Roman"/>
          <w:sz w:val="28"/>
          <w:szCs w:val="28"/>
          <w:lang w:val="uk-UA"/>
        </w:rPr>
        <w:t xml:space="preserve">. </w:t>
      </w:r>
      <w:r w:rsidR="00064DCA" w:rsidRPr="00064DCA">
        <w:rPr>
          <w:rFonts w:ascii="Times New Roman" w:hAnsi="Times New Roman" w:cs="Times New Roman"/>
          <w:sz w:val="28"/>
          <w:szCs w:val="28"/>
          <w:lang w:val="en-US"/>
        </w:rPr>
        <w:t>Hemoglobin a1c is associated with increased risk of incident coronary heart disease among apparently healthy, nondiabetic men and women.</w:t>
      </w:r>
      <w:r w:rsidR="00064DCA">
        <w:rPr>
          <w:rFonts w:ascii="Times New Roman" w:hAnsi="Times New Roman" w:cs="Times New Roman"/>
          <w:sz w:val="28"/>
          <w:szCs w:val="28"/>
          <w:lang w:val="en-US"/>
        </w:rPr>
        <w:t xml:space="preserve"> </w:t>
      </w:r>
      <w:r w:rsidR="00064DCA" w:rsidRPr="00064DCA">
        <w:rPr>
          <w:rFonts w:ascii="Times New Roman" w:hAnsi="Times New Roman" w:cs="Times New Roman"/>
          <w:sz w:val="28"/>
          <w:szCs w:val="28"/>
          <w:lang w:val="en-US"/>
        </w:rPr>
        <w:t>J Am Heart Assoc</w:t>
      </w:r>
      <w:r w:rsidR="00064DCA">
        <w:rPr>
          <w:rFonts w:ascii="Times New Roman" w:hAnsi="Times New Roman" w:cs="Times New Roman"/>
          <w:sz w:val="28"/>
          <w:szCs w:val="28"/>
          <w:lang w:val="en-US"/>
        </w:rPr>
        <w:t xml:space="preserve"> [Internet]. 2013 Mar 22;2(2):e000077. </w:t>
      </w:r>
      <w:r w:rsidR="00064DCA" w:rsidRPr="00064DCA">
        <w:rPr>
          <w:rFonts w:ascii="Times New Roman" w:hAnsi="Times New Roman" w:cs="Times New Roman"/>
          <w:sz w:val="28"/>
          <w:szCs w:val="28"/>
          <w:lang w:val="en-US"/>
        </w:rPr>
        <w:t>Available from:</w:t>
      </w:r>
      <w:r w:rsidR="00064DCA">
        <w:rPr>
          <w:rFonts w:ascii="Times New Roman" w:hAnsi="Times New Roman" w:cs="Times New Roman"/>
          <w:sz w:val="28"/>
          <w:szCs w:val="28"/>
          <w:lang w:val="en-US"/>
        </w:rPr>
        <w:t xml:space="preserve"> </w:t>
      </w:r>
    </w:p>
    <w:p w:rsidR="00064DCA" w:rsidRDefault="00064DCA" w:rsidP="00025293">
      <w:pPr>
        <w:tabs>
          <w:tab w:val="left" w:pos="2880"/>
        </w:tabs>
        <w:spacing w:after="0" w:line="360" w:lineRule="auto"/>
        <w:jc w:val="both"/>
        <w:rPr>
          <w:rFonts w:ascii="Times New Roman" w:hAnsi="Times New Roman" w:cs="Times New Roman"/>
          <w:sz w:val="28"/>
          <w:szCs w:val="28"/>
          <w:lang w:val="en-US"/>
        </w:rPr>
      </w:pPr>
      <w:r w:rsidRPr="00064DCA">
        <w:rPr>
          <w:rFonts w:ascii="Times New Roman" w:hAnsi="Times New Roman" w:cs="Times New Roman"/>
          <w:sz w:val="28"/>
          <w:szCs w:val="28"/>
          <w:lang w:val="en-US"/>
        </w:rPr>
        <w:t>https://www.ncbi.nlm.nih.gov/pmc/articles/PMC3647270/pdf/jah3-2-e000077.pdf</w:t>
      </w:r>
    </w:p>
    <w:p w:rsidR="00277D1F" w:rsidRDefault="00064DCA" w:rsidP="00CB3911">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DOI</w:t>
      </w:r>
      <w:r w:rsidRPr="00064DCA">
        <w:rPr>
          <w:rFonts w:ascii="Times New Roman" w:hAnsi="Times New Roman" w:cs="Times New Roman"/>
          <w:sz w:val="28"/>
          <w:szCs w:val="28"/>
          <w:lang w:val="en-US"/>
        </w:rPr>
        <w:t>: 10.1161/JAHA.112.000077.</w:t>
      </w:r>
    </w:p>
    <w:p w:rsidR="004968AD" w:rsidRDefault="00277D1F" w:rsidP="00CB3911">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173</w:t>
      </w:r>
      <w:r w:rsidR="00BE0943">
        <w:rPr>
          <w:rFonts w:ascii="Times New Roman" w:hAnsi="Times New Roman" w:cs="Times New Roman"/>
          <w:sz w:val="28"/>
          <w:szCs w:val="28"/>
          <w:lang w:val="en-US"/>
        </w:rPr>
        <w:t xml:space="preserve">. </w:t>
      </w:r>
      <w:r w:rsidR="004968AD">
        <w:rPr>
          <w:rFonts w:ascii="Times New Roman" w:hAnsi="Times New Roman" w:cs="Times New Roman"/>
          <w:sz w:val="28"/>
          <w:szCs w:val="28"/>
          <w:lang w:val="en-US"/>
        </w:rPr>
        <w:t>Kurtz T</w:t>
      </w:r>
      <w:r w:rsidR="004968AD">
        <w:rPr>
          <w:rFonts w:ascii="Times New Roman" w:hAnsi="Times New Roman" w:cs="Times New Roman"/>
          <w:sz w:val="28"/>
          <w:szCs w:val="28"/>
          <w:lang w:val="uk-UA"/>
        </w:rPr>
        <w:t xml:space="preserve">, </w:t>
      </w:r>
      <w:r w:rsidR="004968AD" w:rsidRPr="004968AD">
        <w:rPr>
          <w:rFonts w:ascii="Times New Roman" w:hAnsi="Times New Roman" w:cs="Times New Roman"/>
          <w:sz w:val="28"/>
          <w:szCs w:val="28"/>
          <w:lang w:val="uk-UA"/>
        </w:rPr>
        <w:t>Klein</w:t>
      </w:r>
      <w:r w:rsidR="004968AD">
        <w:rPr>
          <w:rFonts w:ascii="Times New Roman" w:hAnsi="Times New Roman" w:cs="Times New Roman"/>
          <w:sz w:val="28"/>
          <w:szCs w:val="28"/>
          <w:lang w:val="uk-UA"/>
        </w:rPr>
        <w:t xml:space="preserve"> </w:t>
      </w:r>
      <w:r w:rsidR="004968AD">
        <w:rPr>
          <w:rFonts w:ascii="Times New Roman" w:hAnsi="Times New Roman" w:cs="Times New Roman"/>
          <w:sz w:val="28"/>
          <w:szCs w:val="28"/>
          <w:lang w:val="en-US"/>
        </w:rPr>
        <w:t>U.</w:t>
      </w:r>
      <w:r w:rsidR="004968AD" w:rsidRPr="004968AD">
        <w:rPr>
          <w:rFonts w:ascii="Times New Roman" w:hAnsi="Times New Roman" w:cs="Times New Roman"/>
          <w:sz w:val="28"/>
          <w:szCs w:val="28"/>
          <w:lang w:val="en-US"/>
        </w:rPr>
        <w:t xml:space="preserve"> Next generation multifunctiona</w:t>
      </w:r>
      <w:r w:rsidR="004968AD">
        <w:rPr>
          <w:rFonts w:ascii="Times New Roman" w:hAnsi="Times New Roman" w:cs="Times New Roman"/>
          <w:sz w:val="28"/>
          <w:szCs w:val="28"/>
          <w:lang w:val="en-US"/>
        </w:rPr>
        <w:t xml:space="preserve">l angiotensin receptor blockers. </w:t>
      </w:r>
      <w:r w:rsidR="004968AD" w:rsidRPr="004968AD">
        <w:rPr>
          <w:rFonts w:ascii="Times New Roman" w:hAnsi="Times New Roman" w:cs="Times New Roman"/>
          <w:sz w:val="28"/>
          <w:szCs w:val="28"/>
          <w:lang w:val="en-US"/>
        </w:rPr>
        <w:t xml:space="preserve">Hypertens </w:t>
      </w:r>
      <w:r w:rsidR="004968AD">
        <w:rPr>
          <w:rFonts w:ascii="Times New Roman" w:hAnsi="Times New Roman" w:cs="Times New Roman"/>
          <w:sz w:val="28"/>
          <w:szCs w:val="28"/>
          <w:lang w:val="en-US"/>
        </w:rPr>
        <w:t>Res</w:t>
      </w:r>
      <w:r w:rsidR="00592F74">
        <w:rPr>
          <w:rFonts w:ascii="Times New Roman" w:hAnsi="Times New Roman" w:cs="Times New Roman"/>
          <w:sz w:val="28"/>
          <w:szCs w:val="28"/>
          <w:lang w:val="en-US"/>
        </w:rPr>
        <w:t xml:space="preserve"> </w:t>
      </w:r>
      <w:r w:rsidR="00592F74" w:rsidRPr="00592F74">
        <w:rPr>
          <w:rFonts w:ascii="Times New Roman" w:hAnsi="Times New Roman" w:cs="Times New Roman"/>
          <w:sz w:val="28"/>
          <w:szCs w:val="28"/>
          <w:lang w:val="en-US"/>
        </w:rPr>
        <w:t>[In</w:t>
      </w:r>
      <w:r w:rsidR="00592F74">
        <w:rPr>
          <w:rFonts w:ascii="Times New Roman" w:hAnsi="Times New Roman" w:cs="Times New Roman"/>
          <w:sz w:val="28"/>
          <w:szCs w:val="28"/>
          <w:lang w:val="en-US"/>
        </w:rPr>
        <w:t>ternet]</w:t>
      </w:r>
      <w:r w:rsidR="004968AD">
        <w:rPr>
          <w:rFonts w:ascii="Times New Roman" w:hAnsi="Times New Roman" w:cs="Times New Roman"/>
          <w:sz w:val="28"/>
          <w:szCs w:val="28"/>
          <w:lang w:val="en-US"/>
        </w:rPr>
        <w:t xml:space="preserve">. 2009 Oct;32(10):826-34. </w:t>
      </w:r>
      <w:r w:rsidR="004968AD" w:rsidRPr="004968AD">
        <w:rPr>
          <w:rFonts w:ascii="Times New Roman" w:hAnsi="Times New Roman" w:cs="Times New Roman"/>
          <w:sz w:val="28"/>
          <w:szCs w:val="28"/>
          <w:lang w:val="en-US"/>
        </w:rPr>
        <w:t>Available from:</w:t>
      </w:r>
      <w:r w:rsidR="004968AD">
        <w:rPr>
          <w:rFonts w:ascii="Times New Roman" w:hAnsi="Times New Roman" w:cs="Times New Roman"/>
          <w:sz w:val="28"/>
          <w:szCs w:val="28"/>
          <w:lang w:val="en-US"/>
        </w:rPr>
        <w:t xml:space="preserve"> </w:t>
      </w:r>
      <w:r w:rsidR="004968AD" w:rsidRPr="004968AD">
        <w:rPr>
          <w:rFonts w:ascii="Times New Roman" w:hAnsi="Times New Roman" w:cs="Times New Roman"/>
          <w:sz w:val="28"/>
          <w:szCs w:val="28"/>
          <w:lang w:val="en-US"/>
        </w:rPr>
        <w:t>https://www.nature.com/articles/hr2009135</w:t>
      </w:r>
    </w:p>
    <w:p w:rsidR="00BE0943" w:rsidRPr="00545E3E" w:rsidRDefault="004968AD" w:rsidP="00CB391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DOI</w:t>
      </w:r>
      <w:r w:rsidRPr="00691106">
        <w:rPr>
          <w:rFonts w:ascii="Times New Roman" w:hAnsi="Times New Roman" w:cs="Times New Roman"/>
          <w:sz w:val="28"/>
          <w:szCs w:val="28"/>
          <w:lang w:val="en-US"/>
        </w:rPr>
        <w:t>: 10.1038/</w:t>
      </w:r>
      <w:r w:rsidRPr="004968AD">
        <w:rPr>
          <w:rFonts w:ascii="Times New Roman" w:hAnsi="Times New Roman" w:cs="Times New Roman"/>
          <w:sz w:val="28"/>
          <w:szCs w:val="28"/>
          <w:lang w:val="en-US"/>
        </w:rPr>
        <w:t>hr</w:t>
      </w:r>
      <w:r w:rsidRPr="00691106">
        <w:rPr>
          <w:rFonts w:ascii="Times New Roman" w:hAnsi="Times New Roman" w:cs="Times New Roman"/>
          <w:sz w:val="28"/>
          <w:szCs w:val="28"/>
          <w:lang w:val="en-US"/>
        </w:rPr>
        <w:t>.2009.135.</w:t>
      </w:r>
    </w:p>
    <w:p w:rsidR="00BE0943" w:rsidRPr="00592F74" w:rsidRDefault="00277D1F" w:rsidP="00C23E2B">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17</w:t>
      </w:r>
      <w:r>
        <w:rPr>
          <w:rFonts w:ascii="Times New Roman" w:hAnsi="Times New Roman" w:cs="Times New Roman"/>
          <w:sz w:val="28"/>
          <w:szCs w:val="28"/>
          <w:lang w:val="en-US"/>
        </w:rPr>
        <w:t>4</w:t>
      </w:r>
      <w:r w:rsidR="00545E3E" w:rsidRPr="00592F74">
        <w:rPr>
          <w:rFonts w:ascii="Times New Roman" w:hAnsi="Times New Roman" w:cs="Times New Roman"/>
          <w:sz w:val="28"/>
          <w:szCs w:val="28"/>
          <w:lang w:val="uk-UA"/>
        </w:rPr>
        <w:t xml:space="preserve">. </w:t>
      </w:r>
      <w:r w:rsidR="00592F74" w:rsidRPr="00277D1F">
        <w:rPr>
          <w:rFonts w:ascii="Times New Roman" w:hAnsi="Times New Roman" w:cs="Times New Roman"/>
          <w:sz w:val="28"/>
          <w:szCs w:val="28"/>
          <w:lang w:val="en-US"/>
        </w:rPr>
        <w:t>Chernatska</w:t>
      </w:r>
      <w:r w:rsidR="00592F74" w:rsidRPr="00277D1F">
        <w:rPr>
          <w:rFonts w:ascii="Times New Roman" w:hAnsi="Times New Roman" w:cs="Times New Roman"/>
          <w:sz w:val="28"/>
          <w:szCs w:val="28"/>
          <w:lang w:val="uk-UA"/>
        </w:rPr>
        <w:t xml:space="preserve"> </w:t>
      </w:r>
      <w:r w:rsidR="00592F74" w:rsidRPr="00277D1F">
        <w:rPr>
          <w:rFonts w:ascii="Times New Roman" w:hAnsi="Times New Roman" w:cs="Times New Roman"/>
          <w:sz w:val="28"/>
          <w:szCs w:val="28"/>
          <w:lang w:val="en-US"/>
        </w:rPr>
        <w:t>O</w:t>
      </w:r>
      <w:r w:rsidR="00592F74" w:rsidRPr="00277D1F">
        <w:rPr>
          <w:rFonts w:ascii="Times New Roman" w:hAnsi="Times New Roman" w:cs="Times New Roman"/>
          <w:sz w:val="28"/>
          <w:szCs w:val="28"/>
          <w:lang w:val="uk-UA"/>
        </w:rPr>
        <w:t xml:space="preserve">, </w:t>
      </w:r>
      <w:r w:rsidR="00592F74" w:rsidRPr="00277D1F">
        <w:rPr>
          <w:rFonts w:ascii="Times New Roman" w:hAnsi="Times New Roman" w:cs="Times New Roman"/>
          <w:sz w:val="28"/>
          <w:szCs w:val="28"/>
          <w:lang w:val="en-US"/>
        </w:rPr>
        <w:t>Demikhova</w:t>
      </w:r>
      <w:r w:rsidR="00592F74" w:rsidRPr="00277D1F">
        <w:rPr>
          <w:rFonts w:ascii="Times New Roman" w:hAnsi="Times New Roman" w:cs="Times New Roman"/>
          <w:sz w:val="28"/>
          <w:szCs w:val="28"/>
          <w:lang w:val="uk-UA"/>
        </w:rPr>
        <w:t xml:space="preserve"> </w:t>
      </w:r>
      <w:r w:rsidR="00852B50">
        <w:rPr>
          <w:rFonts w:ascii="Times New Roman" w:hAnsi="Times New Roman" w:cs="Times New Roman"/>
          <w:sz w:val="28"/>
          <w:szCs w:val="28"/>
          <w:lang w:val="en-US"/>
        </w:rPr>
        <w:t>N</w:t>
      </w:r>
      <w:r w:rsidR="00592F74" w:rsidRPr="00277D1F">
        <w:rPr>
          <w:rFonts w:ascii="Times New Roman" w:hAnsi="Times New Roman" w:cs="Times New Roman"/>
          <w:sz w:val="28"/>
          <w:szCs w:val="28"/>
          <w:lang w:val="uk-UA"/>
        </w:rPr>
        <w:t>.</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Improvement</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of</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treatment</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in</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persons</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with</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arterial</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hypertension</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and</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type</w:t>
      </w:r>
      <w:r w:rsidR="00851D7B" w:rsidRPr="00277D1F">
        <w:rPr>
          <w:rFonts w:ascii="Times New Roman" w:hAnsi="Times New Roman" w:cs="Times New Roman"/>
          <w:sz w:val="28"/>
          <w:szCs w:val="28"/>
          <w:lang w:val="uk-UA"/>
        </w:rPr>
        <w:t xml:space="preserve"> 2 </w:t>
      </w:r>
      <w:r w:rsidR="00851D7B" w:rsidRPr="00277D1F">
        <w:rPr>
          <w:rFonts w:ascii="Times New Roman" w:hAnsi="Times New Roman" w:cs="Times New Roman"/>
          <w:sz w:val="28"/>
          <w:szCs w:val="28"/>
          <w:lang w:val="en-US"/>
        </w:rPr>
        <w:t>diabetes</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mellitus</w:t>
      </w:r>
      <w:r w:rsidR="00592F74" w:rsidRPr="00277D1F">
        <w:rPr>
          <w:rFonts w:ascii="Times New Roman" w:hAnsi="Times New Roman" w:cs="Times New Roman"/>
          <w:sz w:val="28"/>
          <w:szCs w:val="28"/>
          <w:lang w:val="en-US"/>
        </w:rPr>
        <w:t xml:space="preserve">. </w:t>
      </w:r>
      <w:r w:rsidR="00851D7B" w:rsidRPr="00277D1F">
        <w:rPr>
          <w:rFonts w:ascii="Times New Roman" w:hAnsi="Times New Roman" w:cs="Times New Roman"/>
          <w:sz w:val="28"/>
          <w:szCs w:val="28"/>
          <w:lang w:val="en-US"/>
        </w:rPr>
        <w:t>Georgian</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Medical</w:t>
      </w:r>
      <w:r w:rsidR="00851D7B" w:rsidRPr="00277D1F">
        <w:rPr>
          <w:rFonts w:ascii="Times New Roman" w:hAnsi="Times New Roman" w:cs="Times New Roman"/>
          <w:sz w:val="28"/>
          <w:szCs w:val="28"/>
          <w:lang w:val="uk-UA"/>
        </w:rPr>
        <w:t xml:space="preserve"> </w:t>
      </w:r>
      <w:r w:rsidR="00851D7B" w:rsidRPr="00277D1F">
        <w:rPr>
          <w:rFonts w:ascii="Times New Roman" w:hAnsi="Times New Roman" w:cs="Times New Roman"/>
          <w:sz w:val="28"/>
          <w:szCs w:val="28"/>
          <w:lang w:val="en-US"/>
        </w:rPr>
        <w:t>News</w:t>
      </w:r>
      <w:r w:rsidR="00592F74" w:rsidRPr="00277D1F">
        <w:rPr>
          <w:rFonts w:ascii="Times New Roman" w:hAnsi="Times New Roman" w:cs="Times New Roman"/>
          <w:sz w:val="28"/>
          <w:szCs w:val="28"/>
          <w:lang w:val="en-US"/>
        </w:rPr>
        <w:t xml:space="preserve"> [Internet]. </w:t>
      </w:r>
      <w:r w:rsidR="00592F74" w:rsidRPr="00277D1F">
        <w:rPr>
          <w:rFonts w:ascii="Times New Roman" w:hAnsi="Times New Roman" w:cs="Times New Roman"/>
          <w:sz w:val="28"/>
          <w:szCs w:val="28"/>
          <w:lang w:val="uk-UA"/>
        </w:rPr>
        <w:t xml:space="preserve"> </w:t>
      </w:r>
      <w:r w:rsidR="00592F74" w:rsidRPr="00852B50">
        <w:rPr>
          <w:rFonts w:ascii="Times New Roman" w:hAnsi="Times New Roman" w:cs="Times New Roman"/>
          <w:sz w:val="28"/>
          <w:szCs w:val="28"/>
          <w:lang w:val="uk-UA"/>
        </w:rPr>
        <w:t>2018</w:t>
      </w:r>
      <w:r w:rsidR="00592F74" w:rsidRPr="00852B50">
        <w:rPr>
          <w:rFonts w:ascii="Times New Roman" w:hAnsi="Times New Roman" w:cs="Times New Roman"/>
          <w:sz w:val="28"/>
          <w:szCs w:val="28"/>
          <w:lang w:val="en-US"/>
        </w:rPr>
        <w:t>;</w:t>
      </w:r>
      <w:r w:rsidR="00852B50">
        <w:rPr>
          <w:rFonts w:ascii="Times New Roman" w:hAnsi="Times New Roman" w:cs="Times New Roman"/>
          <w:sz w:val="28"/>
          <w:szCs w:val="28"/>
          <w:lang w:val="en-US"/>
        </w:rPr>
        <w:t>11(284):47-</w:t>
      </w:r>
      <w:r w:rsidR="00852B50" w:rsidRPr="00852B50">
        <w:rPr>
          <w:rFonts w:ascii="Times New Roman" w:hAnsi="Times New Roman" w:cs="Times New Roman"/>
          <w:sz w:val="28"/>
          <w:szCs w:val="28"/>
          <w:lang w:val="en-US"/>
        </w:rPr>
        <w:t>51.</w:t>
      </w:r>
    </w:p>
    <w:p w:rsidR="00277D1F" w:rsidRPr="00EA6F81" w:rsidRDefault="00277D1F" w:rsidP="00DD41CD">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Pr>
          <w:rFonts w:ascii="Times New Roman" w:hAnsi="Times New Roman" w:cs="Times New Roman"/>
          <w:sz w:val="28"/>
          <w:szCs w:val="28"/>
          <w:lang w:val="en-US"/>
        </w:rPr>
        <w:t>5</w:t>
      </w:r>
      <w:r w:rsidR="00851D7B">
        <w:rPr>
          <w:rFonts w:ascii="Times New Roman" w:hAnsi="Times New Roman" w:cs="Times New Roman"/>
          <w:sz w:val="28"/>
          <w:szCs w:val="28"/>
          <w:lang w:val="uk-UA"/>
        </w:rPr>
        <w:t xml:space="preserve">. </w:t>
      </w:r>
      <w:r w:rsidR="00592F74" w:rsidRPr="00277D1F">
        <w:rPr>
          <w:rFonts w:ascii="Times New Roman" w:hAnsi="Times New Roman" w:cs="Times New Roman"/>
          <w:sz w:val="28"/>
          <w:szCs w:val="28"/>
          <w:lang w:val="uk-UA"/>
        </w:rPr>
        <w:t>Орловський ВФ</w:t>
      </w:r>
      <w:r w:rsidR="00592F74" w:rsidRPr="00277D1F">
        <w:rPr>
          <w:rFonts w:ascii="Times New Roman" w:hAnsi="Times New Roman" w:cs="Times New Roman"/>
          <w:sz w:val="28"/>
          <w:szCs w:val="28"/>
          <w:lang w:val="en-US"/>
        </w:rPr>
        <w:t xml:space="preserve">, Чернацька </w:t>
      </w:r>
      <w:r w:rsidR="00592F74" w:rsidRPr="00277D1F">
        <w:rPr>
          <w:rFonts w:ascii="Times New Roman" w:hAnsi="Times New Roman" w:cs="Times New Roman"/>
          <w:sz w:val="28"/>
          <w:szCs w:val="28"/>
          <w:lang w:val="uk-UA"/>
        </w:rPr>
        <w:t xml:space="preserve">ОМ, </w:t>
      </w:r>
      <w:r w:rsidR="00AE0250" w:rsidRPr="00277D1F">
        <w:rPr>
          <w:rFonts w:ascii="Times New Roman" w:hAnsi="Times New Roman" w:cs="Times New Roman"/>
          <w:sz w:val="28"/>
          <w:szCs w:val="28"/>
          <w:lang w:val="uk-UA"/>
        </w:rPr>
        <w:t>Деміхова НВ.</w:t>
      </w:r>
      <w:r w:rsidR="00592F74" w:rsidRPr="00277D1F">
        <w:rPr>
          <w:rFonts w:ascii="Times New Roman" w:hAnsi="Times New Roman" w:cs="Times New Roman"/>
          <w:sz w:val="28"/>
          <w:szCs w:val="28"/>
          <w:lang w:val="uk-UA"/>
        </w:rPr>
        <w:t>Основні аспекти ліпідного обміну в осіб із цукровим діабетом 2-го типу й артеріальною гіпертензією</w:t>
      </w:r>
      <w:r w:rsidR="00AE0250" w:rsidRPr="00277D1F">
        <w:rPr>
          <w:rFonts w:ascii="Times New Roman" w:hAnsi="Times New Roman" w:cs="Times New Roman"/>
          <w:sz w:val="28"/>
          <w:szCs w:val="28"/>
          <w:lang w:val="uk-UA"/>
        </w:rPr>
        <w:t>.</w:t>
      </w:r>
      <w:r w:rsidR="00592F74" w:rsidRPr="00277D1F">
        <w:rPr>
          <w:rFonts w:ascii="Times New Roman" w:hAnsi="Times New Roman" w:cs="Times New Roman"/>
          <w:sz w:val="28"/>
          <w:szCs w:val="28"/>
          <w:lang w:val="uk-UA"/>
        </w:rPr>
        <w:t xml:space="preserve"> </w:t>
      </w:r>
      <w:r w:rsidR="00AE0250" w:rsidRPr="00277D1F">
        <w:rPr>
          <w:rFonts w:ascii="Times New Roman" w:hAnsi="Times New Roman" w:cs="Times New Roman"/>
          <w:sz w:val="28"/>
          <w:szCs w:val="28"/>
          <w:lang w:val="uk-UA"/>
        </w:rPr>
        <w:t xml:space="preserve">В: </w:t>
      </w:r>
      <w:r w:rsidR="00996850" w:rsidRPr="00277D1F">
        <w:rPr>
          <w:rFonts w:ascii="Times New Roman" w:hAnsi="Times New Roman" w:cs="Times New Roman"/>
          <w:sz w:val="28"/>
          <w:szCs w:val="28"/>
          <w:lang w:val="uk-UA"/>
        </w:rPr>
        <w:t>Перцева ТО, редактор. Медичні перспективи. 2017;ХХІІ</w:t>
      </w:r>
      <w:r w:rsidR="00DD41CD" w:rsidRPr="00277D1F">
        <w:rPr>
          <w:rFonts w:ascii="Times New Roman" w:hAnsi="Times New Roman" w:cs="Times New Roman"/>
          <w:sz w:val="28"/>
          <w:szCs w:val="28"/>
          <w:lang w:val="uk-UA"/>
        </w:rPr>
        <w:t>;2(1):57.</w:t>
      </w:r>
      <w:r w:rsidR="00207983" w:rsidRPr="00277D1F">
        <w:rPr>
          <w:rFonts w:ascii="Times New Roman" w:hAnsi="Times New Roman" w:cs="Times New Roman"/>
          <w:sz w:val="28"/>
          <w:szCs w:val="28"/>
          <w:lang w:val="uk-UA"/>
        </w:rPr>
        <w:t xml:space="preserve"> </w:t>
      </w:r>
      <w:r w:rsidR="00996850" w:rsidRPr="00277D1F">
        <w:rPr>
          <w:rFonts w:ascii="Times New Roman" w:hAnsi="Times New Roman" w:cs="Times New Roman"/>
          <w:sz w:val="28"/>
          <w:szCs w:val="28"/>
          <w:lang w:val="uk-UA"/>
        </w:rPr>
        <w:t xml:space="preserve"> Матеріали Всеукр. наук.-практ. конф.</w:t>
      </w:r>
      <w:r w:rsidR="00592F74" w:rsidRPr="00277D1F">
        <w:rPr>
          <w:rFonts w:ascii="Times New Roman" w:hAnsi="Times New Roman" w:cs="Times New Roman"/>
          <w:sz w:val="28"/>
          <w:szCs w:val="28"/>
          <w:lang w:val="uk-UA"/>
        </w:rPr>
        <w:t xml:space="preserve"> за міжнародної участі з сімейної м</w:t>
      </w:r>
      <w:r w:rsidR="00996850" w:rsidRPr="00277D1F">
        <w:rPr>
          <w:rFonts w:ascii="Times New Roman" w:hAnsi="Times New Roman" w:cs="Times New Roman"/>
          <w:sz w:val="28"/>
          <w:szCs w:val="28"/>
          <w:lang w:val="uk-UA"/>
        </w:rPr>
        <w:t xml:space="preserve">едицини «Від науки до практики»; 2017 червн. 1-2; Дніпро. </w:t>
      </w:r>
      <w:r w:rsidR="007068FF" w:rsidRPr="00277D1F">
        <w:rPr>
          <w:rFonts w:ascii="Times New Roman" w:hAnsi="Times New Roman" w:cs="Times New Roman"/>
          <w:sz w:val="28"/>
          <w:szCs w:val="28"/>
          <w:lang w:val="uk-UA"/>
        </w:rPr>
        <w:t xml:space="preserve">Дніпро: </w:t>
      </w:r>
      <w:r w:rsidR="00207983" w:rsidRPr="00277D1F">
        <w:rPr>
          <w:rFonts w:ascii="Times New Roman" w:hAnsi="Times New Roman" w:cs="Times New Roman"/>
          <w:sz w:val="28"/>
          <w:szCs w:val="28"/>
          <w:lang w:val="uk-UA"/>
        </w:rPr>
        <w:t>ДЗ «Дніпропетровсь</w:t>
      </w:r>
      <w:r w:rsidR="00892B87">
        <w:rPr>
          <w:rFonts w:ascii="Times New Roman" w:hAnsi="Times New Roman" w:cs="Times New Roman"/>
          <w:sz w:val="28"/>
          <w:szCs w:val="28"/>
          <w:lang w:val="uk-UA"/>
        </w:rPr>
        <w:t>ка медична академія; 2017, с. 5</w:t>
      </w:r>
      <w:r w:rsidR="00892B87" w:rsidRPr="00355BCF">
        <w:rPr>
          <w:rFonts w:ascii="Times New Roman" w:hAnsi="Times New Roman" w:cs="Times New Roman"/>
          <w:sz w:val="28"/>
          <w:szCs w:val="28"/>
          <w:lang w:val="uk-UA"/>
        </w:rPr>
        <w:t>4</w:t>
      </w:r>
      <w:r w:rsidR="00207983" w:rsidRPr="00277D1F">
        <w:rPr>
          <w:rFonts w:ascii="Times New Roman" w:hAnsi="Times New Roman" w:cs="Times New Roman"/>
          <w:sz w:val="28"/>
          <w:szCs w:val="28"/>
          <w:lang w:val="uk-UA"/>
        </w:rPr>
        <w:t>.</w:t>
      </w:r>
    </w:p>
    <w:p w:rsidR="00DD41CD" w:rsidRDefault="00444930" w:rsidP="00DD41CD">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17</w:t>
      </w:r>
      <w:r w:rsidRPr="00EA6F81">
        <w:rPr>
          <w:rFonts w:ascii="Times New Roman" w:hAnsi="Times New Roman" w:cs="Times New Roman"/>
          <w:sz w:val="28"/>
          <w:szCs w:val="28"/>
          <w:lang w:val="uk-UA"/>
        </w:rPr>
        <w:t>6</w:t>
      </w:r>
      <w:r w:rsidR="00DD41CD">
        <w:rPr>
          <w:rFonts w:ascii="Times New Roman" w:hAnsi="Times New Roman" w:cs="Times New Roman"/>
          <w:sz w:val="28"/>
          <w:szCs w:val="28"/>
          <w:lang w:val="uk-UA"/>
        </w:rPr>
        <w:t xml:space="preserve">. Bodhe С, Jankar </w:t>
      </w:r>
      <w:r w:rsidR="00DD41CD">
        <w:rPr>
          <w:rFonts w:ascii="Times New Roman" w:hAnsi="Times New Roman" w:cs="Times New Roman"/>
          <w:sz w:val="28"/>
          <w:szCs w:val="28"/>
          <w:lang w:val="en-US"/>
        </w:rPr>
        <w:t>D</w:t>
      </w:r>
      <w:r w:rsidR="00DD41CD">
        <w:rPr>
          <w:rFonts w:ascii="Times New Roman" w:hAnsi="Times New Roman" w:cs="Times New Roman"/>
          <w:sz w:val="28"/>
          <w:szCs w:val="28"/>
          <w:lang w:val="uk-UA"/>
        </w:rPr>
        <w:t>, Bhutada</w:t>
      </w:r>
      <w:r w:rsidR="00DD41CD" w:rsidRPr="00DD41CD">
        <w:rPr>
          <w:rFonts w:ascii="Times New Roman" w:hAnsi="Times New Roman" w:cs="Times New Roman"/>
          <w:sz w:val="28"/>
          <w:szCs w:val="28"/>
          <w:lang w:val="uk-UA"/>
        </w:rPr>
        <w:t xml:space="preserve"> </w:t>
      </w:r>
      <w:r w:rsidR="00DD41CD">
        <w:rPr>
          <w:rFonts w:ascii="Times New Roman" w:hAnsi="Times New Roman" w:cs="Times New Roman"/>
          <w:sz w:val="28"/>
          <w:szCs w:val="28"/>
          <w:lang w:val="en-US"/>
        </w:rPr>
        <w:t>T</w:t>
      </w:r>
      <w:r w:rsidR="00DD41CD">
        <w:rPr>
          <w:rFonts w:ascii="Times New Roman" w:hAnsi="Times New Roman" w:cs="Times New Roman"/>
          <w:sz w:val="28"/>
          <w:szCs w:val="28"/>
          <w:lang w:val="uk-UA"/>
        </w:rPr>
        <w:t>, Patwardhan</w:t>
      </w:r>
      <w:r w:rsidR="00DD41CD" w:rsidRPr="00DD41CD">
        <w:rPr>
          <w:rFonts w:ascii="Times New Roman" w:hAnsi="Times New Roman" w:cs="Times New Roman"/>
          <w:sz w:val="28"/>
          <w:szCs w:val="28"/>
          <w:lang w:val="uk-UA"/>
        </w:rPr>
        <w:t xml:space="preserve"> </w:t>
      </w:r>
      <w:r w:rsidR="00DD41CD">
        <w:rPr>
          <w:rFonts w:ascii="Times New Roman" w:hAnsi="Times New Roman" w:cs="Times New Roman"/>
          <w:sz w:val="28"/>
          <w:szCs w:val="28"/>
          <w:lang w:val="en-US"/>
        </w:rPr>
        <w:t>M</w:t>
      </w:r>
      <w:r w:rsidR="00DD41CD" w:rsidRPr="00DD41CD">
        <w:rPr>
          <w:rFonts w:ascii="Times New Roman" w:hAnsi="Times New Roman" w:cs="Times New Roman"/>
          <w:sz w:val="28"/>
          <w:szCs w:val="28"/>
          <w:lang w:val="uk-UA"/>
        </w:rPr>
        <w:t>,</w:t>
      </w:r>
      <w:r w:rsidR="00DD41CD">
        <w:rPr>
          <w:rFonts w:ascii="Times New Roman" w:hAnsi="Times New Roman" w:cs="Times New Roman"/>
          <w:sz w:val="28"/>
          <w:szCs w:val="28"/>
          <w:lang w:val="uk-UA"/>
        </w:rPr>
        <w:t xml:space="preserve"> </w:t>
      </w:r>
      <w:r w:rsidR="00DD41CD" w:rsidRPr="00DD41CD">
        <w:rPr>
          <w:rFonts w:ascii="Times New Roman" w:hAnsi="Times New Roman" w:cs="Times New Roman"/>
          <w:sz w:val="28"/>
          <w:szCs w:val="28"/>
          <w:lang w:val="uk-UA"/>
        </w:rPr>
        <w:t xml:space="preserve">Patwardhan </w:t>
      </w:r>
      <w:r w:rsidR="00DD41CD">
        <w:rPr>
          <w:rFonts w:ascii="Times New Roman" w:hAnsi="Times New Roman" w:cs="Times New Roman"/>
          <w:sz w:val="28"/>
          <w:szCs w:val="28"/>
          <w:lang w:val="en-US"/>
        </w:rPr>
        <w:t>W</w:t>
      </w:r>
      <w:r w:rsidR="00DD41CD" w:rsidRPr="006A3465">
        <w:rPr>
          <w:rFonts w:ascii="Times New Roman" w:hAnsi="Times New Roman" w:cs="Times New Roman"/>
          <w:sz w:val="28"/>
          <w:szCs w:val="28"/>
          <w:lang w:val="uk-UA"/>
        </w:rPr>
        <w:t xml:space="preserve">. </w:t>
      </w:r>
      <w:r w:rsidR="002C444E" w:rsidRPr="002C444E">
        <w:rPr>
          <w:rFonts w:ascii="Times New Roman" w:hAnsi="Times New Roman" w:cs="Times New Roman"/>
          <w:sz w:val="28"/>
          <w:szCs w:val="28"/>
          <w:lang w:val="uk-UA"/>
        </w:rPr>
        <w:t>HbA1c: Predictor of Dyslipidemia and Athe</w:t>
      </w:r>
      <w:r w:rsidR="00DD41CD">
        <w:rPr>
          <w:rFonts w:ascii="Times New Roman" w:hAnsi="Times New Roman" w:cs="Times New Roman"/>
          <w:sz w:val="28"/>
          <w:szCs w:val="28"/>
          <w:lang w:val="uk-UA"/>
        </w:rPr>
        <w:t>rogenicity in Diabetes Mellitus</w:t>
      </w:r>
      <w:r w:rsidR="00DD41CD" w:rsidRPr="006A3465">
        <w:rPr>
          <w:rFonts w:ascii="Times New Roman" w:hAnsi="Times New Roman" w:cs="Times New Roman"/>
          <w:sz w:val="28"/>
          <w:szCs w:val="28"/>
          <w:lang w:val="uk-UA"/>
        </w:rPr>
        <w:t xml:space="preserve">. </w:t>
      </w:r>
      <w:r w:rsidR="00DD41CD">
        <w:rPr>
          <w:rFonts w:ascii="Times New Roman" w:hAnsi="Times New Roman" w:cs="Times New Roman"/>
          <w:sz w:val="28"/>
          <w:szCs w:val="28"/>
          <w:lang w:val="uk-UA"/>
        </w:rPr>
        <w:t>IJBMSP</w:t>
      </w:r>
      <w:r w:rsidR="00DD41CD">
        <w:rPr>
          <w:rFonts w:ascii="Times New Roman" w:hAnsi="Times New Roman" w:cs="Times New Roman"/>
          <w:sz w:val="28"/>
          <w:szCs w:val="28"/>
          <w:lang w:val="en-US"/>
        </w:rPr>
        <w:t xml:space="preserve"> [Internet]</w:t>
      </w:r>
      <w:r w:rsidR="00DD41CD">
        <w:rPr>
          <w:rFonts w:ascii="Times New Roman" w:hAnsi="Times New Roman" w:cs="Times New Roman"/>
          <w:sz w:val="28"/>
          <w:szCs w:val="28"/>
          <w:lang w:val="uk-UA"/>
        </w:rPr>
        <w:t>. 2012</w:t>
      </w:r>
      <w:r w:rsidR="00DD41CD">
        <w:rPr>
          <w:rFonts w:ascii="Times New Roman" w:hAnsi="Times New Roman" w:cs="Times New Roman"/>
          <w:sz w:val="28"/>
          <w:szCs w:val="28"/>
          <w:lang w:val="en-US"/>
        </w:rPr>
        <w:t xml:space="preserve"> </w:t>
      </w:r>
      <w:r w:rsidR="00DD41CD">
        <w:rPr>
          <w:rFonts w:ascii="Times New Roman" w:hAnsi="Times New Roman" w:cs="Times New Roman"/>
          <w:sz w:val="28"/>
          <w:szCs w:val="28"/>
          <w:lang w:val="uk-UA"/>
        </w:rPr>
        <w:t>Jun</w:t>
      </w:r>
      <w:r w:rsidR="00DD41CD">
        <w:rPr>
          <w:rFonts w:ascii="Times New Roman" w:hAnsi="Times New Roman" w:cs="Times New Roman"/>
          <w:sz w:val="28"/>
          <w:szCs w:val="28"/>
          <w:lang w:val="en-US"/>
        </w:rPr>
        <w:t>;</w:t>
      </w:r>
      <w:r w:rsidR="00DD41CD">
        <w:rPr>
          <w:rFonts w:ascii="Times New Roman" w:hAnsi="Times New Roman" w:cs="Times New Roman"/>
          <w:sz w:val="28"/>
          <w:szCs w:val="28"/>
          <w:lang w:val="uk-UA"/>
        </w:rPr>
        <w:t>2(1)</w:t>
      </w:r>
      <w:r w:rsidR="00DD41CD">
        <w:rPr>
          <w:rFonts w:ascii="Times New Roman" w:hAnsi="Times New Roman" w:cs="Times New Roman"/>
          <w:sz w:val="28"/>
          <w:szCs w:val="28"/>
          <w:lang w:val="en-US"/>
        </w:rPr>
        <w:t>:</w:t>
      </w:r>
      <w:r w:rsidR="00DD41CD">
        <w:rPr>
          <w:rFonts w:ascii="Times New Roman" w:hAnsi="Times New Roman" w:cs="Times New Roman"/>
          <w:sz w:val="28"/>
          <w:szCs w:val="28"/>
          <w:lang w:val="uk-UA"/>
        </w:rPr>
        <w:t>25</w:t>
      </w:r>
      <w:r w:rsidR="00DD41CD">
        <w:rPr>
          <w:rFonts w:ascii="Times New Roman" w:hAnsi="Times New Roman" w:cs="Times New Roman"/>
          <w:sz w:val="28"/>
          <w:szCs w:val="28"/>
          <w:lang w:val="en-US"/>
        </w:rPr>
        <w:t>-</w:t>
      </w:r>
      <w:r w:rsidR="002C444E" w:rsidRPr="002C444E">
        <w:rPr>
          <w:rFonts w:ascii="Times New Roman" w:hAnsi="Times New Roman" w:cs="Times New Roman"/>
          <w:sz w:val="28"/>
          <w:szCs w:val="28"/>
          <w:lang w:val="uk-UA"/>
        </w:rPr>
        <w:t>7.</w:t>
      </w:r>
      <w:r w:rsidR="00DD41CD">
        <w:rPr>
          <w:rFonts w:ascii="Times New Roman" w:hAnsi="Times New Roman" w:cs="Times New Roman"/>
          <w:sz w:val="28"/>
          <w:szCs w:val="28"/>
          <w:lang w:val="en-US"/>
        </w:rPr>
        <w:t xml:space="preserve"> </w:t>
      </w:r>
      <w:r w:rsidR="00DD41CD" w:rsidRPr="00DD41CD">
        <w:rPr>
          <w:rFonts w:ascii="Times New Roman" w:hAnsi="Times New Roman" w:cs="Times New Roman"/>
          <w:sz w:val="28"/>
          <w:szCs w:val="28"/>
          <w:lang w:val="en-US"/>
        </w:rPr>
        <w:t>Available from:</w:t>
      </w:r>
      <w:r w:rsidR="00DD41CD">
        <w:rPr>
          <w:rFonts w:ascii="Times New Roman" w:hAnsi="Times New Roman" w:cs="Times New Roman"/>
          <w:sz w:val="28"/>
          <w:szCs w:val="28"/>
          <w:lang w:val="en-US"/>
        </w:rPr>
        <w:t xml:space="preserve"> </w:t>
      </w:r>
    </w:p>
    <w:p w:rsidR="00207983" w:rsidRDefault="000A6805" w:rsidP="00DD41CD">
      <w:pPr>
        <w:tabs>
          <w:tab w:val="left" w:pos="2880"/>
        </w:tabs>
        <w:spacing w:after="0" w:line="360" w:lineRule="auto"/>
        <w:jc w:val="both"/>
        <w:rPr>
          <w:rFonts w:ascii="Times New Roman" w:hAnsi="Times New Roman" w:cs="Times New Roman"/>
          <w:sz w:val="28"/>
          <w:szCs w:val="28"/>
          <w:lang w:val="en-US"/>
        </w:rPr>
      </w:pPr>
      <w:hyperlink r:id="rId113" w:history="1">
        <w:r w:rsidR="00DD41CD" w:rsidRPr="00DD41CD">
          <w:rPr>
            <w:rStyle w:val="a9"/>
            <w:rFonts w:ascii="Times New Roman" w:hAnsi="Times New Roman" w:cs="Times New Roman"/>
            <w:color w:val="auto"/>
            <w:sz w:val="28"/>
            <w:szCs w:val="28"/>
            <w:u w:val="none"/>
            <w:lang w:val="en-US"/>
          </w:rPr>
          <w:t>https://www.ijbmsp.org/index.php/IJBMSP/article/.../4/4</w:t>
        </w:r>
      </w:hyperlink>
      <w:r w:rsidR="00DD41CD">
        <w:rPr>
          <w:rFonts w:ascii="Times New Roman" w:hAnsi="Times New Roman" w:cs="Times New Roman"/>
          <w:sz w:val="28"/>
          <w:szCs w:val="28"/>
          <w:lang w:val="en-US"/>
        </w:rPr>
        <w:t xml:space="preserve"> </w:t>
      </w:r>
    </w:p>
    <w:p w:rsidR="00ED7EFE" w:rsidRDefault="00444930" w:rsidP="00ED7EFE">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177</w:t>
      </w:r>
      <w:r w:rsidR="00DD41CD">
        <w:rPr>
          <w:rFonts w:ascii="Times New Roman" w:hAnsi="Times New Roman" w:cs="Times New Roman"/>
          <w:sz w:val="28"/>
          <w:szCs w:val="28"/>
          <w:lang w:val="en-US"/>
        </w:rPr>
        <w:t xml:space="preserve">. </w:t>
      </w:r>
      <w:r w:rsidR="00ED7EFE" w:rsidRPr="00ED7EFE">
        <w:rPr>
          <w:rFonts w:ascii="Times New Roman" w:hAnsi="Times New Roman" w:cs="Times New Roman"/>
          <w:sz w:val="28"/>
          <w:szCs w:val="28"/>
          <w:lang w:val="en-US"/>
        </w:rPr>
        <w:t>Al-Ghurabi</w:t>
      </w:r>
      <w:r w:rsidR="00ED7EFE">
        <w:rPr>
          <w:rFonts w:ascii="Times New Roman" w:hAnsi="Times New Roman" w:cs="Times New Roman"/>
          <w:sz w:val="28"/>
          <w:szCs w:val="28"/>
          <w:lang w:val="uk-UA"/>
        </w:rPr>
        <w:t xml:space="preserve"> </w:t>
      </w:r>
      <w:r w:rsidR="00ED7EFE">
        <w:rPr>
          <w:rFonts w:ascii="Times New Roman" w:hAnsi="Times New Roman" w:cs="Times New Roman"/>
          <w:sz w:val="28"/>
          <w:szCs w:val="28"/>
          <w:lang w:val="en-US"/>
        </w:rPr>
        <w:t>ME,</w:t>
      </w:r>
      <w:r w:rsidR="00ED7EFE" w:rsidRPr="00ED7EFE">
        <w:rPr>
          <w:rFonts w:ascii="Times New Roman" w:hAnsi="Times New Roman" w:cs="Times New Roman"/>
          <w:sz w:val="28"/>
          <w:szCs w:val="28"/>
          <w:lang w:val="en-US"/>
        </w:rPr>
        <w:t xml:space="preserve"> Muhi</w:t>
      </w:r>
      <w:r w:rsidR="00ED7EFE">
        <w:rPr>
          <w:rFonts w:ascii="Times New Roman" w:hAnsi="Times New Roman" w:cs="Times New Roman"/>
          <w:sz w:val="28"/>
          <w:szCs w:val="28"/>
          <w:lang w:val="en-US"/>
        </w:rPr>
        <w:t xml:space="preserve"> AA, </w:t>
      </w:r>
      <w:r w:rsidR="00ED7EFE" w:rsidRPr="00ED7EFE">
        <w:rPr>
          <w:rFonts w:ascii="Times New Roman" w:hAnsi="Times New Roman" w:cs="Times New Roman"/>
          <w:sz w:val="28"/>
          <w:szCs w:val="28"/>
          <w:lang w:val="en-US"/>
        </w:rPr>
        <w:t>Al-Mudhafar</w:t>
      </w:r>
      <w:r w:rsidR="00ED7EFE">
        <w:rPr>
          <w:rFonts w:ascii="Times New Roman" w:hAnsi="Times New Roman" w:cs="Times New Roman"/>
          <w:sz w:val="28"/>
          <w:szCs w:val="28"/>
          <w:lang w:val="en-US"/>
        </w:rPr>
        <w:t xml:space="preserve"> DH. </w:t>
      </w:r>
      <w:r w:rsidR="00ED7EFE" w:rsidRPr="00ED7EFE">
        <w:rPr>
          <w:rFonts w:ascii="Times New Roman" w:hAnsi="Times New Roman" w:cs="Times New Roman"/>
          <w:sz w:val="28"/>
          <w:szCs w:val="28"/>
          <w:lang w:val="en-US"/>
        </w:rPr>
        <w:t>Vascular cell adhe</w:t>
      </w:r>
      <w:r w:rsidR="00ED7EFE">
        <w:rPr>
          <w:rFonts w:ascii="Times New Roman" w:hAnsi="Times New Roman" w:cs="Times New Roman"/>
          <w:sz w:val="28"/>
          <w:szCs w:val="28"/>
          <w:lang w:val="en-US"/>
        </w:rPr>
        <w:t xml:space="preserve">sion molecule-1 and endothelial </w:t>
      </w:r>
      <w:r w:rsidR="00ED7EFE" w:rsidRPr="00ED7EFE">
        <w:rPr>
          <w:rFonts w:ascii="Times New Roman" w:hAnsi="Times New Roman" w:cs="Times New Roman"/>
          <w:sz w:val="28"/>
          <w:szCs w:val="28"/>
          <w:lang w:val="en-US"/>
        </w:rPr>
        <w:t>leukocyte ad</w:t>
      </w:r>
      <w:r w:rsidR="00ED7EFE">
        <w:rPr>
          <w:rFonts w:ascii="Times New Roman" w:hAnsi="Times New Roman" w:cs="Times New Roman"/>
          <w:sz w:val="28"/>
          <w:szCs w:val="28"/>
          <w:lang w:val="en-US"/>
        </w:rPr>
        <w:t>hesion molecule-1 as markers of</w:t>
      </w:r>
      <w:r w:rsidR="00ED7EFE" w:rsidRPr="00ED7EFE">
        <w:rPr>
          <w:rFonts w:ascii="Times New Roman" w:hAnsi="Times New Roman" w:cs="Times New Roman"/>
          <w:sz w:val="28"/>
          <w:szCs w:val="28"/>
          <w:lang w:val="en-US"/>
        </w:rPr>
        <w:t>atherosclerosis of NIDDM</w:t>
      </w:r>
      <w:r w:rsidR="00ED7EFE">
        <w:rPr>
          <w:rFonts w:ascii="Times New Roman" w:hAnsi="Times New Roman" w:cs="Times New Roman"/>
          <w:sz w:val="28"/>
          <w:szCs w:val="28"/>
          <w:lang w:val="en-US"/>
        </w:rPr>
        <w:t xml:space="preserve">. </w:t>
      </w:r>
      <w:r w:rsidR="00ED7EFE" w:rsidRPr="00ED7EFE">
        <w:rPr>
          <w:rFonts w:ascii="Times New Roman" w:hAnsi="Times New Roman" w:cs="Times New Roman"/>
          <w:sz w:val="28"/>
          <w:szCs w:val="28"/>
          <w:lang w:val="en-US"/>
        </w:rPr>
        <w:t xml:space="preserve">American Journal of Life Sciences [Internet]. </w:t>
      </w:r>
      <w:r w:rsidR="00ED7EFE">
        <w:rPr>
          <w:rFonts w:ascii="Times New Roman" w:hAnsi="Times New Roman" w:cs="Times New Roman"/>
          <w:sz w:val="28"/>
          <w:szCs w:val="28"/>
          <w:lang w:val="en-US"/>
        </w:rPr>
        <w:t>2015; 3(1):22-</w:t>
      </w:r>
      <w:r w:rsidR="00ED7EFE" w:rsidRPr="00ED7EFE">
        <w:rPr>
          <w:rFonts w:ascii="Times New Roman" w:hAnsi="Times New Roman" w:cs="Times New Roman"/>
          <w:sz w:val="28"/>
          <w:szCs w:val="28"/>
          <w:lang w:val="en-US"/>
        </w:rPr>
        <w:t>6</w:t>
      </w:r>
      <w:r w:rsidR="00ED7EFE">
        <w:rPr>
          <w:rFonts w:ascii="Times New Roman" w:hAnsi="Times New Roman" w:cs="Times New Roman"/>
          <w:sz w:val="28"/>
          <w:szCs w:val="28"/>
          <w:lang w:val="en-US"/>
        </w:rPr>
        <w:t xml:space="preserve">. </w:t>
      </w:r>
      <w:r w:rsidR="00ED7EFE" w:rsidRPr="00ED7EFE">
        <w:rPr>
          <w:rFonts w:ascii="Times New Roman" w:hAnsi="Times New Roman" w:cs="Times New Roman"/>
          <w:sz w:val="28"/>
          <w:szCs w:val="28"/>
          <w:lang w:val="en-US"/>
        </w:rPr>
        <w:t>Available from:</w:t>
      </w:r>
      <w:r w:rsidR="00ED7EFE">
        <w:rPr>
          <w:rFonts w:ascii="Times New Roman" w:hAnsi="Times New Roman" w:cs="Times New Roman"/>
          <w:sz w:val="28"/>
          <w:szCs w:val="28"/>
          <w:lang w:val="en-US"/>
        </w:rPr>
        <w:t xml:space="preserve"> </w:t>
      </w:r>
    </w:p>
    <w:p w:rsidR="00BE0943" w:rsidRPr="00ED7EFE" w:rsidRDefault="000A6805" w:rsidP="00C23E2B">
      <w:pPr>
        <w:tabs>
          <w:tab w:val="left" w:pos="2880"/>
        </w:tabs>
        <w:spacing w:after="0" w:line="360" w:lineRule="auto"/>
        <w:jc w:val="both"/>
        <w:rPr>
          <w:rFonts w:ascii="Times New Roman" w:hAnsi="Times New Roman" w:cs="Times New Roman"/>
          <w:sz w:val="28"/>
          <w:szCs w:val="28"/>
          <w:lang w:val="en-US"/>
        </w:rPr>
      </w:pPr>
      <w:hyperlink r:id="rId114" w:history="1">
        <w:r w:rsidR="00ED7EFE" w:rsidRPr="00ED7EFE">
          <w:rPr>
            <w:rStyle w:val="a9"/>
            <w:rFonts w:ascii="Times New Roman" w:hAnsi="Times New Roman" w:cs="Times New Roman"/>
            <w:color w:val="auto"/>
            <w:sz w:val="28"/>
            <w:szCs w:val="28"/>
            <w:u w:val="none"/>
            <w:lang w:val="en-US"/>
          </w:rPr>
          <w:t>https://pdfs.semanticscholar.org/3cbd/ba78a0c0f352b258d21ee8da9b8b2475ed18.pdf</w:t>
        </w:r>
      </w:hyperlink>
      <w:r w:rsidR="00ED7EFE">
        <w:rPr>
          <w:rFonts w:ascii="Times New Roman" w:hAnsi="Times New Roman" w:cs="Times New Roman"/>
          <w:sz w:val="28"/>
          <w:szCs w:val="28"/>
          <w:lang w:val="en-US"/>
        </w:rPr>
        <w:t xml:space="preserve"> DOI</w:t>
      </w:r>
      <w:r w:rsidR="00ED7EFE" w:rsidRPr="00ED7EFE">
        <w:rPr>
          <w:rFonts w:ascii="Times New Roman" w:hAnsi="Times New Roman" w:cs="Times New Roman"/>
          <w:sz w:val="28"/>
          <w:szCs w:val="28"/>
          <w:lang w:val="uk-UA"/>
        </w:rPr>
        <w:t>: 10.11648/j.ajls.20150301.15</w:t>
      </w:r>
    </w:p>
    <w:p w:rsidR="00444930" w:rsidRPr="00444930" w:rsidRDefault="00444930" w:rsidP="00F005FF">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17</w:t>
      </w:r>
      <w:r w:rsidRPr="00444930">
        <w:rPr>
          <w:rFonts w:ascii="Times New Roman" w:hAnsi="Times New Roman" w:cs="Times New Roman"/>
          <w:sz w:val="28"/>
          <w:szCs w:val="28"/>
        </w:rPr>
        <w:t>8</w:t>
      </w:r>
      <w:r w:rsidR="00ED7EFE" w:rsidRPr="00FF58D5">
        <w:rPr>
          <w:rFonts w:ascii="Times New Roman" w:hAnsi="Times New Roman" w:cs="Times New Roman"/>
          <w:sz w:val="28"/>
          <w:szCs w:val="28"/>
        </w:rPr>
        <w:t xml:space="preserve">. </w:t>
      </w:r>
      <w:r w:rsidR="00AF1E89" w:rsidRPr="00444930">
        <w:rPr>
          <w:rFonts w:ascii="Times New Roman" w:hAnsi="Times New Roman" w:cs="Times New Roman"/>
          <w:sz w:val="28"/>
          <w:szCs w:val="28"/>
          <w:lang w:val="uk-UA"/>
        </w:rPr>
        <w:t>Чернацька ОМ, Масленко АО, Деміхова НВ. Маркери діабетичної нефропатії в осіб із супутньою артеріальною гіпертензією. В: Колесник МО, редактор.</w:t>
      </w:r>
      <w:r w:rsidR="007068FF" w:rsidRPr="00444930">
        <w:rPr>
          <w:lang w:val="uk-UA"/>
        </w:rPr>
        <w:t xml:space="preserve"> </w:t>
      </w:r>
      <w:r w:rsidR="007068FF" w:rsidRPr="00444930">
        <w:rPr>
          <w:rFonts w:ascii="Times New Roman" w:hAnsi="Times New Roman" w:cs="Times New Roman"/>
          <w:sz w:val="28"/>
          <w:szCs w:val="28"/>
          <w:lang w:val="uk-UA"/>
        </w:rPr>
        <w:t>Український журнал нефрології та діалізу. 2017;3(55):36-37.</w:t>
      </w:r>
      <w:r w:rsidR="00AF1E89" w:rsidRPr="00444930">
        <w:rPr>
          <w:rFonts w:ascii="Times New Roman" w:hAnsi="Times New Roman" w:cs="Times New Roman"/>
          <w:sz w:val="28"/>
          <w:szCs w:val="28"/>
          <w:lang w:val="uk-UA"/>
        </w:rPr>
        <w:t xml:space="preserve"> Матеріали V з’їзду нефр</w:t>
      </w:r>
      <w:r w:rsidR="00A578C3">
        <w:rPr>
          <w:rFonts w:ascii="Times New Roman" w:hAnsi="Times New Roman" w:cs="Times New Roman"/>
          <w:sz w:val="28"/>
          <w:szCs w:val="28"/>
          <w:lang w:val="uk-UA"/>
        </w:rPr>
        <w:t>ологів України; 2017 вересень 2</w:t>
      </w:r>
      <w:r w:rsidR="00A578C3" w:rsidRPr="00355BCF">
        <w:rPr>
          <w:rFonts w:ascii="Times New Roman" w:hAnsi="Times New Roman" w:cs="Times New Roman"/>
          <w:sz w:val="28"/>
          <w:szCs w:val="28"/>
        </w:rPr>
        <w:t>0</w:t>
      </w:r>
      <w:r w:rsidR="00AF1E89" w:rsidRPr="00444930">
        <w:rPr>
          <w:rFonts w:ascii="Times New Roman" w:hAnsi="Times New Roman" w:cs="Times New Roman"/>
          <w:sz w:val="28"/>
          <w:szCs w:val="28"/>
          <w:lang w:val="uk-UA"/>
        </w:rPr>
        <w:t>-22; Вінниця. Київ: ДУ «Інститут нефрології Національної академії медичних наук України»</w:t>
      </w:r>
      <w:r w:rsidR="007068FF" w:rsidRPr="00444930">
        <w:rPr>
          <w:rFonts w:ascii="Times New Roman" w:hAnsi="Times New Roman" w:cs="Times New Roman"/>
          <w:sz w:val="28"/>
          <w:szCs w:val="28"/>
          <w:lang w:val="uk-UA"/>
        </w:rPr>
        <w:t xml:space="preserve">, </w:t>
      </w:r>
      <w:r w:rsidR="00AF1E89" w:rsidRPr="00444930">
        <w:rPr>
          <w:rFonts w:ascii="Times New Roman" w:hAnsi="Times New Roman" w:cs="Times New Roman"/>
          <w:sz w:val="28"/>
          <w:szCs w:val="28"/>
          <w:lang w:val="uk-UA"/>
        </w:rPr>
        <w:t>Національний нирковий фонд України</w:t>
      </w:r>
      <w:r w:rsidR="007068FF" w:rsidRPr="00444930">
        <w:rPr>
          <w:rFonts w:ascii="Times New Roman" w:hAnsi="Times New Roman" w:cs="Times New Roman"/>
          <w:sz w:val="28"/>
          <w:szCs w:val="28"/>
          <w:lang w:val="uk-UA"/>
        </w:rPr>
        <w:t>; 2017, с. 36-37.</w:t>
      </w:r>
      <w:r w:rsidR="007068FF">
        <w:rPr>
          <w:rFonts w:ascii="Times New Roman" w:hAnsi="Times New Roman" w:cs="Times New Roman"/>
          <w:sz w:val="28"/>
          <w:szCs w:val="28"/>
          <w:lang w:val="uk-UA"/>
        </w:rPr>
        <w:t xml:space="preserve"> </w:t>
      </w:r>
    </w:p>
    <w:p w:rsidR="00C607B4" w:rsidRDefault="00444930" w:rsidP="00F005FF">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Pr>
          <w:rFonts w:ascii="Times New Roman" w:hAnsi="Times New Roman" w:cs="Times New Roman"/>
          <w:sz w:val="28"/>
          <w:szCs w:val="28"/>
          <w:lang w:val="en-US"/>
        </w:rPr>
        <w:t>9</w:t>
      </w:r>
      <w:r w:rsidR="00F005FF" w:rsidRPr="00F005FF">
        <w:rPr>
          <w:rFonts w:ascii="Times New Roman" w:hAnsi="Times New Roman" w:cs="Times New Roman"/>
          <w:sz w:val="28"/>
          <w:szCs w:val="28"/>
          <w:lang w:val="uk-UA"/>
        </w:rPr>
        <w:t>.</w:t>
      </w:r>
      <w:r w:rsidR="00F005FF">
        <w:rPr>
          <w:rFonts w:ascii="Times New Roman" w:hAnsi="Times New Roman" w:cs="Times New Roman"/>
          <w:b/>
          <w:sz w:val="28"/>
          <w:szCs w:val="28"/>
          <w:lang w:val="uk-UA"/>
        </w:rPr>
        <w:t xml:space="preserve">  </w:t>
      </w:r>
      <w:r w:rsidR="00F005FF" w:rsidRPr="00F005FF">
        <w:rPr>
          <w:rFonts w:ascii="Times New Roman" w:hAnsi="Times New Roman" w:cs="Times New Roman"/>
          <w:sz w:val="28"/>
          <w:szCs w:val="28"/>
          <w:lang w:val="uk-UA"/>
        </w:rPr>
        <w:t>Kundu D, Roy A, Mandal T, Bandyopadhyay U, Ghosh E, Ray D. Relation of microalbuminuria to glycosylated hemoglobin and duration of type 2 diabetes</w:t>
      </w:r>
      <w:r w:rsidR="00F005FF">
        <w:rPr>
          <w:rFonts w:ascii="Times New Roman" w:hAnsi="Times New Roman" w:cs="Times New Roman"/>
          <w:sz w:val="28"/>
          <w:szCs w:val="28"/>
          <w:lang w:val="uk-UA"/>
        </w:rPr>
        <w:t xml:space="preserve">. </w:t>
      </w:r>
      <w:r w:rsidR="00F005FF" w:rsidRPr="00F005FF">
        <w:rPr>
          <w:rFonts w:ascii="Times New Roman" w:hAnsi="Times New Roman" w:cs="Times New Roman"/>
          <w:sz w:val="28"/>
          <w:szCs w:val="28"/>
          <w:lang w:val="uk-UA"/>
        </w:rPr>
        <w:t>Niger J Clin Pract</w:t>
      </w:r>
      <w:r w:rsidR="00F005FF">
        <w:rPr>
          <w:rFonts w:ascii="Times New Roman" w:hAnsi="Times New Roman" w:cs="Times New Roman"/>
          <w:sz w:val="28"/>
          <w:szCs w:val="28"/>
          <w:lang w:val="uk-UA"/>
        </w:rPr>
        <w:t xml:space="preserve"> [Internet]. 2013 Apr-Jun;16(2):216-20. </w:t>
      </w:r>
      <w:r w:rsidR="00C607B4" w:rsidRPr="00C607B4">
        <w:rPr>
          <w:rFonts w:ascii="Times New Roman" w:hAnsi="Times New Roman" w:cs="Times New Roman"/>
          <w:sz w:val="28"/>
          <w:szCs w:val="28"/>
          <w:lang w:val="uk-UA"/>
        </w:rPr>
        <w:t xml:space="preserve">Available from: </w:t>
      </w:r>
    </w:p>
    <w:p w:rsidR="00C607B4" w:rsidRDefault="00C607B4" w:rsidP="00F005FF">
      <w:pPr>
        <w:tabs>
          <w:tab w:val="left" w:pos="2880"/>
        </w:tabs>
        <w:spacing w:after="0" w:line="360" w:lineRule="auto"/>
        <w:jc w:val="both"/>
        <w:rPr>
          <w:rFonts w:ascii="Times New Roman" w:hAnsi="Times New Roman" w:cs="Times New Roman"/>
          <w:sz w:val="28"/>
          <w:szCs w:val="28"/>
          <w:lang w:val="uk-UA"/>
        </w:rPr>
      </w:pPr>
      <w:r w:rsidRPr="00C607B4">
        <w:rPr>
          <w:rFonts w:ascii="Times New Roman" w:hAnsi="Times New Roman" w:cs="Times New Roman"/>
          <w:sz w:val="28"/>
          <w:szCs w:val="28"/>
          <w:lang w:val="uk-UA"/>
        </w:rPr>
        <w:t>http://www.njcponline.com/text.asp?2013/16/2/216/110159</w:t>
      </w:r>
    </w:p>
    <w:p w:rsidR="009C2565" w:rsidRPr="00F005FF" w:rsidRDefault="00C607B4" w:rsidP="00F005FF">
      <w:pPr>
        <w:tabs>
          <w:tab w:val="left" w:pos="2880"/>
        </w:tabs>
        <w:spacing w:after="0" w:line="360" w:lineRule="auto"/>
        <w:jc w:val="both"/>
        <w:rPr>
          <w:rFonts w:ascii="Times New Roman" w:hAnsi="Times New Roman" w:cs="Times New Roman"/>
          <w:sz w:val="28"/>
          <w:szCs w:val="28"/>
          <w:lang w:val="uk-UA"/>
        </w:rPr>
      </w:pPr>
      <w:r w:rsidRPr="00C607B4">
        <w:rPr>
          <w:rFonts w:ascii="Times New Roman" w:hAnsi="Times New Roman" w:cs="Times New Roman"/>
          <w:sz w:val="28"/>
          <w:szCs w:val="28"/>
          <w:lang w:val="uk-UA"/>
        </w:rPr>
        <w:t>DOI</w:t>
      </w:r>
      <w:r w:rsidR="00F005FF" w:rsidRPr="00F005FF">
        <w:rPr>
          <w:rFonts w:ascii="Times New Roman" w:hAnsi="Times New Roman" w:cs="Times New Roman"/>
          <w:sz w:val="28"/>
          <w:szCs w:val="28"/>
          <w:lang w:val="uk-UA"/>
        </w:rPr>
        <w:t>: 10.4103/1119-3077.110159.</w:t>
      </w:r>
    </w:p>
    <w:p w:rsidR="00B12873" w:rsidRDefault="00444930" w:rsidP="00B12873">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w:t>
      </w:r>
      <w:r>
        <w:rPr>
          <w:rFonts w:ascii="Times New Roman" w:hAnsi="Times New Roman" w:cs="Times New Roman"/>
          <w:sz w:val="28"/>
          <w:szCs w:val="28"/>
          <w:lang w:val="en-US"/>
        </w:rPr>
        <w:t>80</w:t>
      </w:r>
      <w:r w:rsidR="00C607B4" w:rsidRPr="00C607B4">
        <w:rPr>
          <w:rFonts w:ascii="Times New Roman" w:hAnsi="Times New Roman" w:cs="Times New Roman"/>
          <w:sz w:val="28"/>
          <w:szCs w:val="28"/>
          <w:lang w:val="uk-UA"/>
        </w:rPr>
        <w:t xml:space="preserve">. </w:t>
      </w:r>
      <w:r w:rsidR="00A739ED" w:rsidRPr="00A739ED">
        <w:rPr>
          <w:rFonts w:ascii="Times New Roman" w:hAnsi="Times New Roman" w:cs="Times New Roman"/>
          <w:sz w:val="28"/>
          <w:szCs w:val="28"/>
          <w:lang w:val="uk-UA"/>
        </w:rPr>
        <w:t>Wu</w:t>
      </w:r>
      <w:r w:rsidR="00A739ED">
        <w:rPr>
          <w:rFonts w:ascii="Times New Roman" w:hAnsi="Times New Roman" w:cs="Times New Roman"/>
          <w:sz w:val="28"/>
          <w:szCs w:val="28"/>
          <w:lang w:val="uk-UA"/>
        </w:rPr>
        <w:t xml:space="preserve"> </w:t>
      </w:r>
      <w:r w:rsidR="00A739ED">
        <w:rPr>
          <w:rFonts w:ascii="Times New Roman" w:hAnsi="Times New Roman" w:cs="Times New Roman"/>
          <w:sz w:val="28"/>
          <w:szCs w:val="28"/>
          <w:lang w:val="en-US"/>
        </w:rPr>
        <w:t>HY</w:t>
      </w:r>
      <w:r w:rsidR="00A739ED">
        <w:rPr>
          <w:rFonts w:ascii="Times New Roman" w:hAnsi="Times New Roman" w:cs="Times New Roman"/>
          <w:sz w:val="28"/>
          <w:szCs w:val="28"/>
          <w:lang w:val="uk-UA"/>
        </w:rPr>
        <w:t xml:space="preserve">, </w:t>
      </w:r>
      <w:r w:rsidR="00A739ED" w:rsidRPr="00A739ED">
        <w:rPr>
          <w:rFonts w:ascii="Times New Roman" w:hAnsi="Times New Roman" w:cs="Times New Roman"/>
          <w:sz w:val="28"/>
          <w:szCs w:val="28"/>
          <w:lang w:val="uk-UA"/>
        </w:rPr>
        <w:t xml:space="preserve">Peng </w:t>
      </w:r>
      <w:r w:rsidR="00A739ED">
        <w:rPr>
          <w:rFonts w:ascii="Times New Roman" w:hAnsi="Times New Roman" w:cs="Times New Roman"/>
          <w:sz w:val="28"/>
          <w:szCs w:val="28"/>
          <w:lang w:val="en-US"/>
        </w:rPr>
        <w:t>YS</w:t>
      </w:r>
      <w:r w:rsidR="00A739ED">
        <w:rPr>
          <w:rFonts w:ascii="Times New Roman" w:hAnsi="Times New Roman" w:cs="Times New Roman"/>
          <w:sz w:val="28"/>
          <w:szCs w:val="28"/>
          <w:lang w:val="uk-UA"/>
        </w:rPr>
        <w:t>,</w:t>
      </w:r>
      <w:r w:rsidR="00A739ED" w:rsidRPr="00A739ED">
        <w:rPr>
          <w:rFonts w:ascii="Times New Roman" w:hAnsi="Times New Roman" w:cs="Times New Roman"/>
          <w:sz w:val="28"/>
          <w:szCs w:val="28"/>
          <w:lang w:val="uk-UA"/>
        </w:rPr>
        <w:t xml:space="preserve"> Chiang </w:t>
      </w:r>
      <w:r w:rsidR="00A739ED">
        <w:rPr>
          <w:rFonts w:ascii="Times New Roman" w:hAnsi="Times New Roman" w:cs="Times New Roman"/>
          <w:sz w:val="28"/>
          <w:szCs w:val="28"/>
          <w:lang w:val="en-US"/>
        </w:rPr>
        <w:t>CK</w:t>
      </w:r>
      <w:r w:rsidR="00A739ED">
        <w:rPr>
          <w:rFonts w:ascii="Times New Roman" w:hAnsi="Times New Roman" w:cs="Times New Roman"/>
          <w:sz w:val="28"/>
          <w:szCs w:val="28"/>
          <w:lang w:val="uk-UA"/>
        </w:rPr>
        <w:t>,</w:t>
      </w:r>
      <w:r w:rsidR="00A739ED" w:rsidRPr="00A739ED">
        <w:rPr>
          <w:rFonts w:ascii="Times New Roman" w:hAnsi="Times New Roman" w:cs="Times New Roman"/>
          <w:sz w:val="28"/>
          <w:szCs w:val="28"/>
          <w:lang w:val="uk-UA"/>
        </w:rPr>
        <w:t xml:space="preserve"> Huang </w:t>
      </w:r>
      <w:r w:rsidR="00A739ED">
        <w:rPr>
          <w:rFonts w:ascii="Times New Roman" w:hAnsi="Times New Roman" w:cs="Times New Roman"/>
          <w:sz w:val="28"/>
          <w:szCs w:val="28"/>
          <w:lang w:val="en-US"/>
        </w:rPr>
        <w:t>JW</w:t>
      </w:r>
      <w:r w:rsidR="00A739ED">
        <w:rPr>
          <w:rFonts w:ascii="Times New Roman" w:hAnsi="Times New Roman" w:cs="Times New Roman"/>
          <w:sz w:val="28"/>
          <w:szCs w:val="28"/>
          <w:lang w:val="uk-UA"/>
        </w:rPr>
        <w:t xml:space="preserve">, </w:t>
      </w:r>
      <w:r w:rsidR="00A739ED" w:rsidRPr="00A739ED">
        <w:rPr>
          <w:rFonts w:ascii="Times New Roman" w:hAnsi="Times New Roman" w:cs="Times New Roman"/>
          <w:sz w:val="28"/>
          <w:szCs w:val="28"/>
          <w:lang w:val="uk-UA"/>
        </w:rPr>
        <w:t xml:space="preserve">Hung </w:t>
      </w:r>
      <w:r w:rsidR="00A739ED">
        <w:rPr>
          <w:rFonts w:ascii="Times New Roman" w:hAnsi="Times New Roman" w:cs="Times New Roman"/>
          <w:sz w:val="28"/>
          <w:szCs w:val="28"/>
          <w:lang w:val="en-US"/>
        </w:rPr>
        <w:t>KY</w:t>
      </w:r>
      <w:r w:rsidR="00A739ED">
        <w:rPr>
          <w:rFonts w:ascii="Times New Roman" w:hAnsi="Times New Roman" w:cs="Times New Roman"/>
          <w:sz w:val="28"/>
          <w:szCs w:val="28"/>
          <w:lang w:val="uk-UA"/>
        </w:rPr>
        <w:t>,</w:t>
      </w:r>
      <w:r w:rsidR="00A739ED">
        <w:rPr>
          <w:rFonts w:ascii="Times New Roman" w:hAnsi="Times New Roman" w:cs="Times New Roman"/>
          <w:sz w:val="28"/>
          <w:szCs w:val="28"/>
          <w:lang w:val="en-US"/>
        </w:rPr>
        <w:t xml:space="preserve"> </w:t>
      </w:r>
      <w:r w:rsidR="00A739ED" w:rsidRPr="00A739ED">
        <w:rPr>
          <w:rFonts w:ascii="Times New Roman" w:hAnsi="Times New Roman" w:cs="Times New Roman"/>
          <w:sz w:val="28"/>
          <w:szCs w:val="28"/>
          <w:lang w:val="uk-UA"/>
        </w:rPr>
        <w:t>Wu</w:t>
      </w:r>
      <w:r w:rsidR="00A739ED">
        <w:rPr>
          <w:rFonts w:ascii="Times New Roman" w:hAnsi="Times New Roman" w:cs="Times New Roman"/>
          <w:sz w:val="28"/>
          <w:szCs w:val="28"/>
          <w:lang w:val="en-US"/>
        </w:rPr>
        <w:t xml:space="preserve"> KD</w:t>
      </w:r>
      <w:r w:rsidR="00A739ED">
        <w:rPr>
          <w:rFonts w:ascii="Times New Roman" w:hAnsi="Times New Roman" w:cs="Times New Roman"/>
          <w:sz w:val="28"/>
          <w:szCs w:val="28"/>
          <w:lang w:val="uk-UA"/>
        </w:rPr>
        <w:t xml:space="preserve">, </w:t>
      </w:r>
      <w:r w:rsidR="00A739ED">
        <w:rPr>
          <w:rFonts w:ascii="Times New Roman" w:hAnsi="Times New Roman" w:cs="Times New Roman"/>
          <w:sz w:val="28"/>
          <w:szCs w:val="28"/>
          <w:lang w:val="en-US"/>
        </w:rPr>
        <w:t xml:space="preserve">et al. </w:t>
      </w:r>
      <w:r w:rsidR="00A739ED" w:rsidRPr="00A739ED">
        <w:rPr>
          <w:rFonts w:ascii="Times New Roman" w:hAnsi="Times New Roman" w:cs="Times New Roman"/>
          <w:sz w:val="28"/>
          <w:szCs w:val="28"/>
          <w:lang w:val="en-US"/>
        </w:rPr>
        <w:t>Diagnostic Performance of Random Urine Samples Using Albumin Concentration vs Ratio of Albumin to Creatinine for Microalbuminuria Screening in Patients With Diabetes Mellitus</w:t>
      </w:r>
      <w:r w:rsidR="00B12873">
        <w:rPr>
          <w:rFonts w:ascii="Times New Roman" w:hAnsi="Times New Roman" w:cs="Times New Roman"/>
          <w:sz w:val="28"/>
          <w:szCs w:val="28"/>
          <w:lang w:val="en-US"/>
        </w:rPr>
        <w:t xml:space="preserve">. JAMA </w:t>
      </w:r>
      <w:r w:rsidR="00B12873" w:rsidRPr="00B12873">
        <w:rPr>
          <w:rFonts w:ascii="Times New Roman" w:hAnsi="Times New Roman" w:cs="Times New Roman"/>
          <w:sz w:val="28"/>
          <w:szCs w:val="28"/>
          <w:lang w:val="en-US"/>
        </w:rPr>
        <w:t xml:space="preserve">[Internet]. </w:t>
      </w:r>
      <w:r w:rsidR="00B12873">
        <w:rPr>
          <w:rFonts w:ascii="Times New Roman" w:hAnsi="Times New Roman" w:cs="Times New Roman"/>
          <w:sz w:val="28"/>
          <w:szCs w:val="28"/>
          <w:lang w:val="en-US"/>
        </w:rPr>
        <w:t xml:space="preserve">2014;174(7):1108-15. </w:t>
      </w:r>
      <w:r w:rsidR="00B12873" w:rsidRPr="00B12873">
        <w:rPr>
          <w:rFonts w:ascii="Times New Roman" w:hAnsi="Times New Roman" w:cs="Times New Roman"/>
          <w:sz w:val="28"/>
          <w:szCs w:val="28"/>
          <w:lang w:val="en-US"/>
        </w:rPr>
        <w:t>Available from:</w:t>
      </w:r>
    </w:p>
    <w:p w:rsidR="00B12873" w:rsidRDefault="00B12873" w:rsidP="00B12873">
      <w:pPr>
        <w:tabs>
          <w:tab w:val="left" w:pos="2880"/>
        </w:tabs>
        <w:spacing w:after="0" w:line="360" w:lineRule="auto"/>
        <w:jc w:val="both"/>
        <w:rPr>
          <w:rFonts w:ascii="Times New Roman" w:hAnsi="Times New Roman" w:cs="Times New Roman"/>
          <w:sz w:val="28"/>
          <w:szCs w:val="28"/>
          <w:lang w:val="en-US"/>
        </w:rPr>
      </w:pPr>
      <w:r w:rsidRPr="00B12873">
        <w:rPr>
          <w:rFonts w:ascii="Times New Roman" w:hAnsi="Times New Roman" w:cs="Times New Roman"/>
          <w:sz w:val="28"/>
          <w:szCs w:val="28"/>
          <w:lang w:val="en-US"/>
        </w:rPr>
        <w:t>https://jamanetwork.com/journals/jamainternalmedicine/fullarticle/1867179</w:t>
      </w:r>
    </w:p>
    <w:p w:rsidR="005A00AF" w:rsidRDefault="00B12873" w:rsidP="00500D6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DOI</w:t>
      </w:r>
      <w:r w:rsidRPr="00B12873">
        <w:rPr>
          <w:rFonts w:ascii="Times New Roman" w:hAnsi="Times New Roman" w:cs="Times New Roman"/>
          <w:sz w:val="28"/>
          <w:szCs w:val="28"/>
          <w:lang w:val="en-US"/>
        </w:rPr>
        <w:t>:10.1001/jamainternmed.2014.1363</w:t>
      </w:r>
      <w:r w:rsidRPr="00B12873">
        <w:rPr>
          <w:rFonts w:ascii="Times New Roman" w:hAnsi="Times New Roman" w:cs="Times New Roman"/>
          <w:sz w:val="28"/>
          <w:szCs w:val="28"/>
          <w:lang w:val="en-US"/>
        </w:rPr>
        <w:cr/>
      </w:r>
      <w:r w:rsidR="00444930">
        <w:rPr>
          <w:rFonts w:ascii="Times New Roman" w:hAnsi="Times New Roman" w:cs="Times New Roman"/>
          <w:sz w:val="28"/>
          <w:szCs w:val="28"/>
          <w:lang w:val="en-US"/>
        </w:rPr>
        <w:t>181</w:t>
      </w:r>
      <w:r>
        <w:rPr>
          <w:rFonts w:ascii="Times New Roman" w:hAnsi="Times New Roman" w:cs="Times New Roman"/>
          <w:sz w:val="28"/>
          <w:szCs w:val="28"/>
          <w:lang w:val="en-US"/>
        </w:rPr>
        <w:t>.</w:t>
      </w:r>
      <w:r w:rsidR="00500D61">
        <w:rPr>
          <w:rFonts w:ascii="Times New Roman" w:hAnsi="Times New Roman" w:cs="Times New Roman"/>
          <w:sz w:val="28"/>
          <w:szCs w:val="28"/>
          <w:lang w:val="uk-UA"/>
        </w:rPr>
        <w:t xml:space="preserve"> </w:t>
      </w:r>
      <w:r w:rsidR="005A00AF" w:rsidRPr="005A00AF">
        <w:rPr>
          <w:rFonts w:ascii="Times New Roman" w:hAnsi="Times New Roman" w:cs="Times New Roman"/>
          <w:sz w:val="28"/>
          <w:szCs w:val="28"/>
          <w:lang w:val="uk-UA"/>
        </w:rPr>
        <w:t>Zeravica R, Ilincic B, Cabarkapa V, Sakac V, Crnobrnja V, Stosic Z. Plasma endothelin-1 levels and albuminuria in patients wi</w:t>
      </w:r>
      <w:r w:rsidR="005A00AF">
        <w:rPr>
          <w:rFonts w:ascii="Times New Roman" w:hAnsi="Times New Roman" w:cs="Times New Roman"/>
          <w:sz w:val="28"/>
          <w:szCs w:val="28"/>
          <w:lang w:val="uk-UA"/>
        </w:rPr>
        <w:t>th type 2 diabetes mellitus.</w:t>
      </w:r>
      <w:r w:rsidR="005A00AF" w:rsidRPr="005A00AF">
        <w:rPr>
          <w:rFonts w:ascii="Times New Roman" w:hAnsi="Times New Roman" w:cs="Times New Roman"/>
          <w:sz w:val="28"/>
          <w:szCs w:val="28"/>
          <w:lang w:val="uk-UA"/>
        </w:rPr>
        <w:t xml:space="preserve"> Med Pregl</w:t>
      </w:r>
      <w:r w:rsidR="005A00AF">
        <w:rPr>
          <w:rFonts w:ascii="Times New Roman" w:hAnsi="Times New Roman" w:cs="Times New Roman"/>
          <w:sz w:val="28"/>
          <w:szCs w:val="28"/>
          <w:lang w:val="uk-UA"/>
        </w:rPr>
        <w:t xml:space="preserve"> [Internet]. 2016 Oct;69(5-6):140-</w:t>
      </w:r>
      <w:r w:rsidR="005A00AF" w:rsidRPr="005A00AF">
        <w:rPr>
          <w:rFonts w:ascii="Times New Roman" w:hAnsi="Times New Roman" w:cs="Times New Roman"/>
          <w:sz w:val="28"/>
          <w:szCs w:val="28"/>
          <w:lang w:val="uk-UA"/>
        </w:rPr>
        <w:t>45.</w:t>
      </w:r>
      <w:r w:rsidR="005A00AF">
        <w:rPr>
          <w:rFonts w:ascii="Times New Roman" w:hAnsi="Times New Roman" w:cs="Times New Roman"/>
          <w:sz w:val="28"/>
          <w:szCs w:val="28"/>
          <w:lang w:val="uk-UA"/>
        </w:rPr>
        <w:t xml:space="preserve"> </w:t>
      </w:r>
      <w:r w:rsidR="005A00AF" w:rsidRPr="005A00AF">
        <w:rPr>
          <w:rFonts w:ascii="Times New Roman" w:hAnsi="Times New Roman" w:cs="Times New Roman"/>
          <w:sz w:val="28"/>
          <w:szCs w:val="28"/>
          <w:lang w:val="uk-UA"/>
        </w:rPr>
        <w:t>Available from:</w:t>
      </w:r>
      <w:r w:rsidR="005A00AF">
        <w:rPr>
          <w:rFonts w:ascii="Times New Roman" w:hAnsi="Times New Roman" w:cs="Times New Roman"/>
          <w:sz w:val="28"/>
          <w:szCs w:val="28"/>
          <w:lang w:val="uk-UA"/>
        </w:rPr>
        <w:t xml:space="preserve"> </w:t>
      </w:r>
    </w:p>
    <w:p w:rsidR="005A00AF" w:rsidRPr="005A00AF" w:rsidRDefault="000A6805" w:rsidP="00500D61">
      <w:pPr>
        <w:tabs>
          <w:tab w:val="left" w:pos="2880"/>
        </w:tabs>
        <w:spacing w:after="0" w:line="360" w:lineRule="auto"/>
        <w:jc w:val="both"/>
        <w:rPr>
          <w:rFonts w:ascii="Times New Roman" w:hAnsi="Times New Roman" w:cs="Times New Roman"/>
          <w:sz w:val="28"/>
          <w:szCs w:val="28"/>
          <w:lang w:val="uk-UA"/>
        </w:rPr>
      </w:pPr>
      <w:hyperlink r:id="rId115" w:history="1">
        <w:r w:rsidR="005A00AF" w:rsidRPr="005A00AF">
          <w:rPr>
            <w:rStyle w:val="a9"/>
            <w:rFonts w:ascii="Times New Roman" w:hAnsi="Times New Roman" w:cs="Times New Roman"/>
            <w:color w:val="auto"/>
            <w:sz w:val="28"/>
            <w:szCs w:val="28"/>
            <w:u w:val="none"/>
            <w:lang w:val="uk-UA"/>
          </w:rPr>
          <w:t>https://www.ncbi.nlm.nih.gov/pubmed/29693840</w:t>
        </w:r>
      </w:hyperlink>
    </w:p>
    <w:p w:rsidR="00D2529D" w:rsidRPr="00801112" w:rsidRDefault="00444930" w:rsidP="00500D6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EA6F81">
        <w:rPr>
          <w:rFonts w:ascii="Times New Roman" w:hAnsi="Times New Roman" w:cs="Times New Roman"/>
          <w:sz w:val="28"/>
          <w:szCs w:val="28"/>
          <w:lang w:val="uk-UA"/>
        </w:rPr>
        <w:t>2</w:t>
      </w:r>
      <w:r w:rsidR="00390F64">
        <w:rPr>
          <w:rFonts w:ascii="Times New Roman" w:hAnsi="Times New Roman" w:cs="Times New Roman"/>
          <w:sz w:val="28"/>
          <w:szCs w:val="28"/>
          <w:lang w:val="uk-UA"/>
        </w:rPr>
        <w:t xml:space="preserve">. </w:t>
      </w:r>
      <w:r w:rsidR="00D2529D" w:rsidRPr="00444930">
        <w:rPr>
          <w:rFonts w:ascii="Times New Roman" w:hAnsi="Times New Roman" w:cs="Times New Roman"/>
          <w:sz w:val="28"/>
          <w:szCs w:val="28"/>
          <w:lang w:val="uk-UA"/>
        </w:rPr>
        <w:t xml:space="preserve">Чернацька ОМ. Особливості ендотеліальної дисфункції у пацієнтів із діабетичною нефропатією та артеріальною гіпертензією.  Актуальні питання теоретичної та клінічної медицини. Збірник тез доповідей </w:t>
      </w:r>
      <w:r w:rsidR="00D2529D" w:rsidRPr="00444930">
        <w:rPr>
          <w:rFonts w:ascii="Times New Roman" w:hAnsi="Times New Roman" w:cs="Times New Roman"/>
          <w:sz w:val="28"/>
          <w:szCs w:val="28"/>
          <w:lang w:val="en-US"/>
        </w:rPr>
        <w:t>V</w:t>
      </w:r>
      <w:r w:rsidR="00801112" w:rsidRPr="00444930">
        <w:rPr>
          <w:rFonts w:ascii="Times New Roman" w:hAnsi="Times New Roman" w:cs="Times New Roman"/>
          <w:sz w:val="28"/>
          <w:szCs w:val="28"/>
          <w:lang w:val="uk-UA"/>
        </w:rPr>
        <w:t xml:space="preserve"> Міжнародної наук.-практ.</w:t>
      </w:r>
      <w:r w:rsidR="00D2529D" w:rsidRPr="00444930">
        <w:rPr>
          <w:rFonts w:ascii="Times New Roman" w:hAnsi="Times New Roman" w:cs="Times New Roman"/>
          <w:sz w:val="28"/>
          <w:szCs w:val="28"/>
          <w:lang w:val="uk-UA"/>
        </w:rPr>
        <w:t xml:space="preserve"> ко</w:t>
      </w:r>
      <w:r w:rsidR="00801112" w:rsidRPr="00444930">
        <w:rPr>
          <w:rFonts w:ascii="Times New Roman" w:hAnsi="Times New Roman" w:cs="Times New Roman"/>
          <w:sz w:val="28"/>
          <w:szCs w:val="28"/>
          <w:lang w:val="uk-UA"/>
        </w:rPr>
        <w:t xml:space="preserve">нф. студентів та молодих учених; 2017 квіт. 20-21; Суми. Суми: </w:t>
      </w:r>
      <w:r w:rsidR="009C2565" w:rsidRPr="00444930">
        <w:rPr>
          <w:rFonts w:ascii="Times New Roman" w:hAnsi="Times New Roman" w:cs="Times New Roman"/>
          <w:sz w:val="28"/>
          <w:szCs w:val="28"/>
          <w:lang w:val="uk-UA"/>
        </w:rPr>
        <w:t>СумДУ</w:t>
      </w:r>
      <w:r w:rsidR="00801112" w:rsidRPr="00444930">
        <w:rPr>
          <w:rFonts w:ascii="Times New Roman" w:hAnsi="Times New Roman" w:cs="Times New Roman"/>
          <w:sz w:val="28"/>
          <w:szCs w:val="28"/>
          <w:lang w:val="uk-UA"/>
        </w:rPr>
        <w:t xml:space="preserve">; </w:t>
      </w:r>
      <w:r w:rsidR="00D2529D" w:rsidRPr="00444930">
        <w:rPr>
          <w:rFonts w:ascii="Times New Roman" w:hAnsi="Times New Roman" w:cs="Times New Roman"/>
          <w:sz w:val="28"/>
          <w:szCs w:val="28"/>
          <w:lang w:val="uk-UA"/>
        </w:rPr>
        <w:t>2017</w:t>
      </w:r>
      <w:r w:rsidR="00801112" w:rsidRPr="00444930">
        <w:rPr>
          <w:rFonts w:ascii="Times New Roman" w:hAnsi="Times New Roman" w:cs="Times New Roman"/>
          <w:sz w:val="28"/>
          <w:szCs w:val="28"/>
          <w:lang w:val="uk-UA"/>
        </w:rPr>
        <w:t>, с</w:t>
      </w:r>
      <w:r w:rsidR="00D2529D" w:rsidRPr="00444930">
        <w:rPr>
          <w:rFonts w:ascii="Times New Roman" w:hAnsi="Times New Roman" w:cs="Times New Roman"/>
          <w:sz w:val="28"/>
          <w:szCs w:val="28"/>
          <w:lang w:val="uk-UA"/>
        </w:rPr>
        <w:t>. 270.</w:t>
      </w:r>
    </w:p>
    <w:p w:rsidR="003E173E" w:rsidRDefault="002E7A76" w:rsidP="003E173E">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18</w:t>
      </w:r>
      <w:r w:rsidRPr="002E7A76">
        <w:rPr>
          <w:rFonts w:ascii="Times New Roman" w:hAnsi="Times New Roman" w:cs="Times New Roman"/>
          <w:sz w:val="28"/>
          <w:szCs w:val="28"/>
        </w:rPr>
        <w:t>3</w:t>
      </w:r>
      <w:r w:rsidR="00390F64">
        <w:rPr>
          <w:rFonts w:ascii="Times New Roman" w:hAnsi="Times New Roman" w:cs="Times New Roman"/>
          <w:sz w:val="28"/>
          <w:szCs w:val="28"/>
          <w:lang w:val="uk-UA"/>
        </w:rPr>
        <w:t xml:space="preserve">. </w:t>
      </w:r>
      <w:r w:rsidR="003E173E">
        <w:rPr>
          <w:rFonts w:ascii="Times New Roman" w:hAnsi="Times New Roman" w:cs="Times New Roman"/>
          <w:sz w:val="28"/>
          <w:szCs w:val="28"/>
          <w:lang w:val="uk-UA"/>
        </w:rPr>
        <w:t>Ларина ВН, Барт БЯ, Ларин ВГ, Донсков АС. Гиперурикемия и сердечно-сосудист</w:t>
      </w:r>
      <w:r w:rsidR="003E173E">
        <w:rPr>
          <w:rFonts w:ascii="Times New Roman" w:hAnsi="Times New Roman" w:cs="Times New Roman"/>
          <w:sz w:val="28"/>
          <w:szCs w:val="28"/>
        </w:rPr>
        <w:t>ый континуум. Клиническая</w:t>
      </w:r>
      <w:r w:rsidR="003E173E" w:rsidRPr="0060358E">
        <w:rPr>
          <w:rFonts w:ascii="Times New Roman" w:hAnsi="Times New Roman" w:cs="Times New Roman"/>
          <w:sz w:val="28"/>
          <w:szCs w:val="28"/>
        </w:rPr>
        <w:t xml:space="preserve"> </w:t>
      </w:r>
      <w:r w:rsidR="003E173E">
        <w:rPr>
          <w:rFonts w:ascii="Times New Roman" w:hAnsi="Times New Roman" w:cs="Times New Roman"/>
          <w:sz w:val="28"/>
          <w:szCs w:val="28"/>
        </w:rPr>
        <w:t>медицина</w:t>
      </w:r>
      <w:r w:rsidR="003E173E" w:rsidRPr="0060358E">
        <w:rPr>
          <w:rFonts w:ascii="Times New Roman" w:hAnsi="Times New Roman" w:cs="Times New Roman"/>
          <w:sz w:val="28"/>
          <w:szCs w:val="28"/>
        </w:rPr>
        <w:t xml:space="preserve"> [</w:t>
      </w:r>
      <w:r w:rsidR="003E173E">
        <w:rPr>
          <w:rFonts w:ascii="Times New Roman" w:hAnsi="Times New Roman" w:cs="Times New Roman"/>
          <w:sz w:val="28"/>
          <w:szCs w:val="28"/>
        </w:rPr>
        <w:t>Интернет</w:t>
      </w:r>
      <w:r w:rsidR="003E173E" w:rsidRPr="0060358E">
        <w:rPr>
          <w:rFonts w:ascii="Times New Roman" w:hAnsi="Times New Roman" w:cs="Times New Roman"/>
          <w:sz w:val="28"/>
          <w:szCs w:val="28"/>
        </w:rPr>
        <w:t xml:space="preserve">]. 2013;1:11-5. </w:t>
      </w:r>
      <w:r w:rsidR="003E173E">
        <w:rPr>
          <w:rFonts w:ascii="Times New Roman" w:hAnsi="Times New Roman" w:cs="Times New Roman"/>
          <w:sz w:val="28"/>
          <w:szCs w:val="28"/>
        </w:rPr>
        <w:t xml:space="preserve">Доступно на: </w:t>
      </w:r>
    </w:p>
    <w:p w:rsidR="00500D61" w:rsidRPr="003E173E" w:rsidRDefault="000A6805" w:rsidP="003E173E">
      <w:pPr>
        <w:tabs>
          <w:tab w:val="left" w:pos="2880"/>
        </w:tabs>
        <w:spacing w:after="0" w:line="360" w:lineRule="auto"/>
        <w:jc w:val="both"/>
        <w:rPr>
          <w:rFonts w:ascii="Times New Roman" w:hAnsi="Times New Roman" w:cs="Times New Roman"/>
          <w:sz w:val="28"/>
          <w:szCs w:val="28"/>
        </w:rPr>
      </w:pPr>
      <w:hyperlink r:id="rId116" w:history="1">
        <w:r w:rsidR="003E173E" w:rsidRPr="003E173E">
          <w:rPr>
            <w:rStyle w:val="a9"/>
            <w:rFonts w:ascii="Times New Roman" w:hAnsi="Times New Roman" w:cs="Times New Roman"/>
            <w:color w:val="auto"/>
            <w:sz w:val="28"/>
            <w:szCs w:val="28"/>
            <w:u w:val="none"/>
          </w:rPr>
          <w:t>https://cyberleninka.ru/article/n/giperurikemiya-i-serdechno-sosudistyy-kontinuum</w:t>
        </w:r>
      </w:hyperlink>
    </w:p>
    <w:p w:rsidR="00D92D8F" w:rsidRPr="004374D4" w:rsidRDefault="002E7A76" w:rsidP="00745AC0">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184</w:t>
      </w:r>
      <w:r w:rsidR="003E173E" w:rsidRPr="0093040B">
        <w:rPr>
          <w:rFonts w:ascii="Times New Roman" w:hAnsi="Times New Roman" w:cs="Times New Roman"/>
          <w:sz w:val="28"/>
          <w:szCs w:val="28"/>
          <w:lang w:val="en-US"/>
        </w:rPr>
        <w:t xml:space="preserve">. </w:t>
      </w:r>
      <w:r w:rsidR="00D92D8F" w:rsidRPr="002E7A76">
        <w:rPr>
          <w:rFonts w:ascii="Times New Roman" w:hAnsi="Times New Roman" w:cs="Times New Roman"/>
          <w:sz w:val="28"/>
          <w:szCs w:val="28"/>
          <w:lang w:val="uk-UA"/>
        </w:rPr>
        <w:t>Chernatska OM, Prystupa LN. The peculiarities of uricemia for patients with diabetic nephro</w:t>
      </w:r>
      <w:r w:rsidR="009C2565" w:rsidRPr="002E7A76">
        <w:rPr>
          <w:rFonts w:ascii="Times New Roman" w:hAnsi="Times New Roman" w:cs="Times New Roman"/>
          <w:sz w:val="28"/>
          <w:szCs w:val="28"/>
          <w:lang w:val="uk-UA"/>
        </w:rPr>
        <w:t xml:space="preserve">pathy and arterial hypertension. </w:t>
      </w:r>
      <w:r w:rsidR="00D92D8F" w:rsidRPr="002E7A76">
        <w:rPr>
          <w:rFonts w:ascii="Times New Roman" w:hAnsi="Times New Roman" w:cs="Times New Roman"/>
          <w:sz w:val="28"/>
          <w:szCs w:val="28"/>
          <w:lang w:val="uk-UA"/>
        </w:rPr>
        <w:t>Перспективи розвитку медичної науки і освіти</w:t>
      </w:r>
      <w:r w:rsidR="009C2565" w:rsidRPr="002E7A76">
        <w:rPr>
          <w:rFonts w:ascii="Times New Roman" w:hAnsi="Times New Roman" w:cs="Times New Roman"/>
          <w:sz w:val="28"/>
          <w:szCs w:val="28"/>
          <w:lang w:val="uk-UA"/>
        </w:rPr>
        <w:t>. З</w:t>
      </w:r>
      <w:r w:rsidR="00D92D8F" w:rsidRPr="002E7A76">
        <w:rPr>
          <w:rFonts w:ascii="Times New Roman" w:hAnsi="Times New Roman" w:cs="Times New Roman"/>
          <w:sz w:val="28"/>
          <w:szCs w:val="28"/>
          <w:lang w:val="uk-UA"/>
        </w:rPr>
        <w:t>бір</w:t>
      </w:r>
      <w:r w:rsidR="009C2565" w:rsidRPr="002E7A76">
        <w:rPr>
          <w:rFonts w:ascii="Times New Roman" w:hAnsi="Times New Roman" w:cs="Times New Roman"/>
          <w:sz w:val="28"/>
          <w:szCs w:val="28"/>
          <w:lang w:val="uk-UA"/>
        </w:rPr>
        <w:t>ник тез доповідей Всеукр. наук.-методичної конф.</w:t>
      </w:r>
      <w:r w:rsidR="00D92D8F" w:rsidRPr="002E7A76">
        <w:rPr>
          <w:rFonts w:ascii="Times New Roman" w:hAnsi="Times New Roman" w:cs="Times New Roman"/>
          <w:sz w:val="28"/>
          <w:szCs w:val="28"/>
          <w:lang w:val="uk-UA"/>
        </w:rPr>
        <w:t>,</w:t>
      </w:r>
      <w:r w:rsidR="009C2565" w:rsidRPr="002E7A76">
        <w:rPr>
          <w:rFonts w:ascii="Times New Roman" w:hAnsi="Times New Roman" w:cs="Times New Roman"/>
          <w:sz w:val="28"/>
          <w:szCs w:val="28"/>
          <w:lang w:val="uk-UA"/>
        </w:rPr>
        <w:t xml:space="preserve"> що присвячена</w:t>
      </w:r>
      <w:r w:rsidR="00D92D8F" w:rsidRPr="002E7A76">
        <w:rPr>
          <w:rFonts w:ascii="Times New Roman" w:hAnsi="Times New Roman" w:cs="Times New Roman"/>
          <w:sz w:val="28"/>
          <w:szCs w:val="28"/>
          <w:lang w:val="uk-UA"/>
        </w:rPr>
        <w:t xml:space="preserve"> 25-річчю Медичного інституту Сумського державно</w:t>
      </w:r>
      <w:r w:rsidR="009C2565" w:rsidRPr="002E7A76">
        <w:rPr>
          <w:rFonts w:ascii="Times New Roman" w:hAnsi="Times New Roman" w:cs="Times New Roman"/>
          <w:sz w:val="28"/>
          <w:szCs w:val="28"/>
          <w:lang w:val="uk-UA"/>
        </w:rPr>
        <w:t>го університету;</w:t>
      </w:r>
      <w:r w:rsidR="00D92D8F" w:rsidRPr="002E7A76">
        <w:rPr>
          <w:rFonts w:ascii="Times New Roman" w:hAnsi="Times New Roman" w:cs="Times New Roman"/>
          <w:sz w:val="28"/>
          <w:szCs w:val="28"/>
          <w:lang w:val="uk-UA"/>
        </w:rPr>
        <w:t xml:space="preserve"> </w:t>
      </w:r>
      <w:r w:rsidR="009C2565" w:rsidRPr="002E7A76">
        <w:rPr>
          <w:rFonts w:ascii="Times New Roman" w:hAnsi="Times New Roman" w:cs="Times New Roman"/>
          <w:sz w:val="28"/>
          <w:szCs w:val="28"/>
          <w:lang w:val="uk-UA"/>
        </w:rPr>
        <w:t xml:space="preserve">2017 лист. 16-17; Суми. Суми: СумДУ; 2017, с. </w:t>
      </w:r>
      <w:r w:rsidR="00D92D8F" w:rsidRPr="002E7A76">
        <w:rPr>
          <w:rFonts w:ascii="Times New Roman" w:hAnsi="Times New Roman" w:cs="Times New Roman"/>
          <w:sz w:val="28"/>
          <w:szCs w:val="28"/>
          <w:lang w:val="uk-UA"/>
        </w:rPr>
        <w:t>111</w:t>
      </w:r>
      <w:r w:rsidR="00361920" w:rsidRPr="004374D4">
        <w:rPr>
          <w:rFonts w:ascii="Times New Roman" w:hAnsi="Times New Roman" w:cs="Times New Roman"/>
          <w:sz w:val="28"/>
          <w:szCs w:val="28"/>
          <w:lang w:val="uk-UA"/>
        </w:rPr>
        <w:t>.</w:t>
      </w:r>
      <w:r w:rsidR="00D92D8F" w:rsidRPr="00361920">
        <w:rPr>
          <w:rFonts w:ascii="Times New Roman" w:hAnsi="Times New Roman" w:cs="Times New Roman"/>
          <w:color w:val="FFFFFF" w:themeColor="background1"/>
          <w:sz w:val="28"/>
          <w:szCs w:val="28"/>
          <w:lang w:val="uk-UA"/>
        </w:rPr>
        <w:t>.</w:t>
      </w:r>
    </w:p>
    <w:p w:rsidR="006F6C02" w:rsidRDefault="00637EE5" w:rsidP="006F6C02">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18</w:t>
      </w:r>
      <w:r w:rsidR="002E7A76" w:rsidRPr="004374D4">
        <w:rPr>
          <w:rFonts w:ascii="Times New Roman" w:hAnsi="Times New Roman" w:cs="Times New Roman"/>
          <w:sz w:val="28"/>
          <w:szCs w:val="28"/>
          <w:lang w:val="uk-UA"/>
        </w:rPr>
        <w:t>5</w:t>
      </w:r>
      <w:r w:rsidRPr="00637EE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Gul СВ, </w:t>
      </w:r>
      <w:r w:rsidRPr="00637EE5">
        <w:rPr>
          <w:rFonts w:ascii="Times New Roman" w:hAnsi="Times New Roman" w:cs="Times New Roman"/>
          <w:sz w:val="28"/>
          <w:szCs w:val="28"/>
          <w:lang w:val="uk-UA"/>
        </w:rPr>
        <w:t>Yildiz</w:t>
      </w:r>
      <w:r>
        <w:rPr>
          <w:rFonts w:ascii="Times New Roman" w:hAnsi="Times New Roman" w:cs="Times New Roman"/>
          <w:sz w:val="28"/>
          <w:szCs w:val="28"/>
          <w:lang w:val="uk-UA"/>
        </w:rPr>
        <w:t xml:space="preserve"> А, </w:t>
      </w:r>
      <w:r w:rsidRPr="00637EE5">
        <w:rPr>
          <w:rFonts w:ascii="Times New Roman" w:hAnsi="Times New Roman" w:cs="Times New Roman"/>
          <w:sz w:val="28"/>
          <w:szCs w:val="28"/>
          <w:lang w:val="uk-UA"/>
        </w:rPr>
        <w:t>Gul</w:t>
      </w:r>
      <w:r>
        <w:rPr>
          <w:rFonts w:ascii="Times New Roman" w:hAnsi="Times New Roman" w:cs="Times New Roman"/>
          <w:sz w:val="28"/>
          <w:szCs w:val="28"/>
          <w:lang w:val="uk-UA"/>
        </w:rPr>
        <w:t xml:space="preserve"> ОО, С</w:t>
      </w:r>
      <w:r>
        <w:rPr>
          <w:rFonts w:ascii="Times New Roman" w:hAnsi="Times New Roman" w:cs="Times New Roman"/>
          <w:sz w:val="28"/>
          <w:szCs w:val="28"/>
          <w:lang w:val="en-US"/>
        </w:rPr>
        <w:t>ander</w:t>
      </w:r>
      <w:r w:rsidRPr="004374D4">
        <w:rPr>
          <w:rFonts w:ascii="Times New Roman" w:hAnsi="Times New Roman" w:cs="Times New Roman"/>
          <w:sz w:val="28"/>
          <w:szCs w:val="28"/>
          <w:lang w:val="uk-UA"/>
        </w:rPr>
        <w:t xml:space="preserve"> </w:t>
      </w:r>
      <w:r>
        <w:rPr>
          <w:rFonts w:ascii="Times New Roman" w:hAnsi="Times New Roman" w:cs="Times New Roman"/>
          <w:sz w:val="28"/>
          <w:szCs w:val="28"/>
          <w:lang w:val="en-US"/>
        </w:rPr>
        <w:t>S</w:t>
      </w:r>
      <w:r w:rsidRPr="004374D4">
        <w:rPr>
          <w:rFonts w:ascii="Times New Roman" w:hAnsi="Times New Roman" w:cs="Times New Roman"/>
          <w:sz w:val="28"/>
          <w:szCs w:val="28"/>
          <w:lang w:val="uk-UA"/>
        </w:rPr>
        <w:t xml:space="preserve">, </w:t>
      </w:r>
      <w:r>
        <w:rPr>
          <w:rFonts w:ascii="Times New Roman" w:hAnsi="Times New Roman" w:cs="Times New Roman"/>
          <w:sz w:val="28"/>
          <w:szCs w:val="28"/>
          <w:lang w:val="en-US"/>
        </w:rPr>
        <w:t>Eroglu</w:t>
      </w:r>
      <w:r w:rsidRPr="004374D4">
        <w:rPr>
          <w:rFonts w:ascii="Times New Roman" w:hAnsi="Times New Roman" w:cs="Times New Roman"/>
          <w:sz w:val="28"/>
          <w:szCs w:val="28"/>
          <w:lang w:val="uk-UA"/>
        </w:rPr>
        <w:t xml:space="preserve"> </w:t>
      </w:r>
      <w:r>
        <w:rPr>
          <w:rFonts w:ascii="Times New Roman" w:hAnsi="Times New Roman" w:cs="Times New Roman"/>
          <w:sz w:val="28"/>
          <w:szCs w:val="28"/>
          <w:lang w:val="en-US"/>
        </w:rPr>
        <w:t>A</w:t>
      </w:r>
      <w:r w:rsidRPr="004374D4">
        <w:rPr>
          <w:rFonts w:ascii="Times New Roman" w:hAnsi="Times New Roman" w:cs="Times New Roman"/>
          <w:sz w:val="28"/>
          <w:szCs w:val="28"/>
          <w:lang w:val="uk-UA"/>
        </w:rPr>
        <w:t xml:space="preserve">, </w:t>
      </w:r>
      <w:r>
        <w:rPr>
          <w:rFonts w:ascii="Times New Roman" w:hAnsi="Times New Roman" w:cs="Times New Roman"/>
          <w:sz w:val="28"/>
          <w:szCs w:val="28"/>
          <w:lang w:val="en-US"/>
        </w:rPr>
        <w:t>et</w:t>
      </w:r>
      <w:r w:rsidRPr="004374D4">
        <w:rPr>
          <w:rFonts w:ascii="Times New Roman" w:hAnsi="Times New Roman" w:cs="Times New Roman"/>
          <w:sz w:val="28"/>
          <w:szCs w:val="28"/>
          <w:lang w:val="uk-UA"/>
        </w:rPr>
        <w:t xml:space="preserve"> </w:t>
      </w:r>
      <w:r>
        <w:rPr>
          <w:rFonts w:ascii="Times New Roman" w:hAnsi="Times New Roman" w:cs="Times New Roman"/>
          <w:sz w:val="28"/>
          <w:szCs w:val="28"/>
          <w:lang w:val="en-US"/>
        </w:rPr>
        <w:t>al</w:t>
      </w:r>
      <w:r w:rsidRPr="004374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37EE5">
        <w:rPr>
          <w:rFonts w:ascii="Times New Roman" w:hAnsi="Times New Roman" w:cs="Times New Roman"/>
          <w:sz w:val="28"/>
          <w:szCs w:val="28"/>
          <w:lang w:val="uk-UA"/>
        </w:rPr>
        <w:t xml:space="preserve"> Serum uric acid is not associated wıth diabetic nephropathy in patients wit</w:t>
      </w:r>
      <w:r>
        <w:rPr>
          <w:rFonts w:ascii="Times New Roman" w:hAnsi="Times New Roman" w:cs="Times New Roman"/>
          <w:sz w:val="28"/>
          <w:szCs w:val="28"/>
          <w:lang w:val="uk-UA"/>
        </w:rPr>
        <w:t>h type 2 diabetes</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Acta Medica Mediterranea </w:t>
      </w:r>
      <w:r w:rsidRPr="00637EE5">
        <w:rPr>
          <w:rFonts w:ascii="Times New Roman" w:hAnsi="Times New Roman" w:cs="Times New Roman"/>
          <w:sz w:val="28"/>
          <w:szCs w:val="28"/>
          <w:lang w:val="uk-UA"/>
        </w:rPr>
        <w:t>[Internet]. 2015</w:t>
      </w:r>
      <w:r>
        <w:rPr>
          <w:rFonts w:ascii="Times New Roman" w:hAnsi="Times New Roman" w:cs="Times New Roman"/>
          <w:sz w:val="28"/>
          <w:szCs w:val="28"/>
          <w:lang w:val="en-US"/>
        </w:rPr>
        <w:t xml:space="preserve"> Oct;</w:t>
      </w:r>
      <w:r>
        <w:rPr>
          <w:rFonts w:ascii="Times New Roman" w:hAnsi="Times New Roman" w:cs="Times New Roman"/>
          <w:sz w:val="28"/>
          <w:szCs w:val="28"/>
          <w:lang w:val="uk-UA"/>
        </w:rPr>
        <w:t>31</w:t>
      </w:r>
      <w:r>
        <w:rPr>
          <w:rFonts w:ascii="Times New Roman" w:hAnsi="Times New Roman" w:cs="Times New Roman"/>
          <w:sz w:val="28"/>
          <w:szCs w:val="28"/>
          <w:lang w:val="en-US"/>
        </w:rPr>
        <w:t>:</w:t>
      </w:r>
      <w:r>
        <w:rPr>
          <w:rFonts w:ascii="Times New Roman" w:hAnsi="Times New Roman" w:cs="Times New Roman"/>
          <w:sz w:val="28"/>
          <w:szCs w:val="28"/>
          <w:lang w:val="uk-UA"/>
        </w:rPr>
        <w:t>1153</w:t>
      </w:r>
      <w:r>
        <w:rPr>
          <w:rFonts w:ascii="Times New Roman" w:hAnsi="Times New Roman" w:cs="Times New Roman"/>
          <w:sz w:val="28"/>
          <w:szCs w:val="28"/>
          <w:lang w:val="en-US"/>
        </w:rPr>
        <w:t>-</w:t>
      </w:r>
      <w:r w:rsidRPr="00637EE5">
        <w:rPr>
          <w:rFonts w:ascii="Times New Roman" w:hAnsi="Times New Roman" w:cs="Times New Roman"/>
          <w:sz w:val="28"/>
          <w:szCs w:val="28"/>
          <w:lang w:val="uk-UA"/>
        </w:rPr>
        <w:t>6.</w:t>
      </w:r>
      <w:r>
        <w:rPr>
          <w:rFonts w:ascii="Times New Roman" w:hAnsi="Times New Roman" w:cs="Times New Roman"/>
          <w:sz w:val="28"/>
          <w:szCs w:val="28"/>
          <w:lang w:val="en-US"/>
        </w:rPr>
        <w:t xml:space="preserve"> </w:t>
      </w:r>
      <w:r w:rsidR="006F6C02" w:rsidRPr="006F6C02">
        <w:rPr>
          <w:rFonts w:ascii="Times New Roman" w:hAnsi="Times New Roman" w:cs="Times New Roman"/>
          <w:sz w:val="28"/>
          <w:szCs w:val="28"/>
          <w:lang w:val="en-US"/>
        </w:rPr>
        <w:t>Available from:</w:t>
      </w:r>
      <w:r w:rsidR="006F6C02">
        <w:rPr>
          <w:rFonts w:ascii="Times New Roman" w:hAnsi="Times New Roman" w:cs="Times New Roman"/>
          <w:sz w:val="28"/>
          <w:szCs w:val="28"/>
          <w:lang w:val="en-US"/>
        </w:rPr>
        <w:t xml:space="preserve"> </w:t>
      </w:r>
    </w:p>
    <w:p w:rsidR="00DB030D" w:rsidRPr="00637EE5" w:rsidRDefault="006F6C02" w:rsidP="006F6C02">
      <w:pPr>
        <w:tabs>
          <w:tab w:val="left" w:pos="2880"/>
        </w:tabs>
        <w:spacing w:after="0" w:line="360" w:lineRule="auto"/>
        <w:jc w:val="both"/>
        <w:rPr>
          <w:rFonts w:ascii="Times New Roman" w:hAnsi="Times New Roman" w:cs="Times New Roman"/>
          <w:sz w:val="28"/>
          <w:szCs w:val="28"/>
          <w:lang w:val="en-US"/>
        </w:rPr>
      </w:pPr>
      <w:r w:rsidRPr="006F6C02">
        <w:rPr>
          <w:rFonts w:ascii="Times New Roman" w:hAnsi="Times New Roman" w:cs="Times New Roman"/>
          <w:sz w:val="28"/>
          <w:szCs w:val="28"/>
          <w:lang w:val="en-US"/>
        </w:rPr>
        <w:t>https://www.researchgate.net/publication/283007795_Serum_uric_acid_is_not_associated_with_diabetic_nephropathy_in_patients_with_type_2_diabetes</w:t>
      </w:r>
    </w:p>
    <w:p w:rsidR="009F489F" w:rsidRDefault="002E7A76" w:rsidP="006F6C0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186</w:t>
      </w:r>
      <w:r w:rsidR="006F6C02" w:rsidRPr="006F6C02">
        <w:rPr>
          <w:rFonts w:ascii="Times New Roman" w:hAnsi="Times New Roman" w:cs="Times New Roman"/>
          <w:sz w:val="28"/>
          <w:szCs w:val="28"/>
          <w:lang w:val="en-US"/>
        </w:rPr>
        <w:t xml:space="preserve">. </w:t>
      </w:r>
      <w:r w:rsidR="00132EA9">
        <w:rPr>
          <w:rFonts w:ascii="Times New Roman" w:hAnsi="Times New Roman" w:cs="Times New Roman"/>
          <w:sz w:val="28"/>
          <w:szCs w:val="28"/>
          <w:lang w:val="en-US"/>
        </w:rPr>
        <w:t>Міщенко Л</w:t>
      </w:r>
      <w:r w:rsidR="00132EA9" w:rsidRPr="00132EA9">
        <w:rPr>
          <w:rFonts w:ascii="Times New Roman" w:hAnsi="Times New Roman" w:cs="Times New Roman"/>
          <w:sz w:val="28"/>
          <w:szCs w:val="28"/>
          <w:lang w:val="en-US"/>
        </w:rPr>
        <w:t>А. Гіперурикемія й артеріальна гіпертензія – чи іс</w:t>
      </w:r>
      <w:r w:rsidR="00132EA9">
        <w:rPr>
          <w:rFonts w:ascii="Times New Roman" w:hAnsi="Times New Roman" w:cs="Times New Roman"/>
          <w:sz w:val="28"/>
          <w:szCs w:val="28"/>
          <w:lang w:val="en-US"/>
        </w:rPr>
        <w:t xml:space="preserve">нує зв'язок? </w:t>
      </w:r>
      <w:r w:rsidR="009F489F" w:rsidRPr="009F489F">
        <w:rPr>
          <w:rFonts w:ascii="Times New Roman" w:hAnsi="Times New Roman" w:cs="Times New Roman"/>
          <w:sz w:val="28"/>
          <w:szCs w:val="28"/>
        </w:rPr>
        <w:t>Український кардіологічний журнал 2016, додаток 3</w:t>
      </w:r>
      <w:r w:rsidR="009F489F">
        <w:rPr>
          <w:rFonts w:ascii="Times New Roman" w:hAnsi="Times New Roman" w:cs="Times New Roman"/>
          <w:sz w:val="28"/>
          <w:szCs w:val="28"/>
          <w:lang w:val="uk-UA"/>
        </w:rPr>
        <w:t xml:space="preserve">:24-9. Доступно на: </w:t>
      </w:r>
    </w:p>
    <w:p w:rsidR="00637EE5" w:rsidRPr="009F489F" w:rsidRDefault="009F489F" w:rsidP="006F6C02">
      <w:pPr>
        <w:tabs>
          <w:tab w:val="left" w:pos="2880"/>
        </w:tabs>
        <w:spacing w:after="0" w:line="360" w:lineRule="auto"/>
        <w:jc w:val="both"/>
        <w:rPr>
          <w:rFonts w:ascii="Times New Roman" w:hAnsi="Times New Roman" w:cs="Times New Roman"/>
          <w:sz w:val="28"/>
          <w:szCs w:val="28"/>
          <w:lang w:val="uk-UA"/>
        </w:rPr>
      </w:pPr>
      <w:r w:rsidRPr="009F489F">
        <w:rPr>
          <w:rFonts w:ascii="Times New Roman" w:hAnsi="Times New Roman" w:cs="Times New Roman"/>
          <w:sz w:val="28"/>
          <w:szCs w:val="28"/>
          <w:lang w:val="uk-UA"/>
        </w:rPr>
        <w:t>http://journal.ukrcardio.org/wp-content/uploads/2016/03D/3_3d_2016.pdf</w:t>
      </w:r>
    </w:p>
    <w:p w:rsidR="00132EA9" w:rsidRDefault="002E7A76" w:rsidP="006F6C02">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18</w:t>
      </w:r>
      <w:r>
        <w:rPr>
          <w:rFonts w:ascii="Times New Roman" w:hAnsi="Times New Roman" w:cs="Times New Roman"/>
          <w:sz w:val="28"/>
          <w:szCs w:val="28"/>
          <w:lang w:val="en-US"/>
        </w:rPr>
        <w:t>7</w:t>
      </w:r>
      <w:r w:rsidR="00132EA9">
        <w:rPr>
          <w:rFonts w:ascii="Times New Roman" w:hAnsi="Times New Roman" w:cs="Times New Roman"/>
          <w:sz w:val="28"/>
          <w:szCs w:val="28"/>
          <w:lang w:val="uk-UA"/>
        </w:rPr>
        <w:t>.</w:t>
      </w:r>
      <w:r w:rsidR="009F489F" w:rsidRPr="009F489F">
        <w:rPr>
          <w:rFonts w:ascii="Times New Roman" w:hAnsi="Times New Roman" w:cs="Times New Roman"/>
          <w:sz w:val="28"/>
          <w:szCs w:val="28"/>
          <w:lang w:val="uk-UA"/>
        </w:rPr>
        <w:t xml:space="preserve"> </w:t>
      </w:r>
      <w:r w:rsidR="009F489F">
        <w:rPr>
          <w:rFonts w:ascii="Times New Roman" w:hAnsi="Times New Roman" w:cs="Times New Roman"/>
          <w:sz w:val="28"/>
          <w:szCs w:val="28"/>
          <w:lang w:val="uk-UA"/>
        </w:rPr>
        <w:t xml:space="preserve">Wang </w:t>
      </w:r>
      <w:r w:rsidR="009F489F">
        <w:rPr>
          <w:rFonts w:ascii="Times New Roman" w:hAnsi="Times New Roman" w:cs="Times New Roman"/>
          <w:sz w:val="28"/>
          <w:szCs w:val="28"/>
          <w:lang w:val="en-US"/>
        </w:rPr>
        <w:t>Y,</w:t>
      </w:r>
      <w:r w:rsidR="009F489F" w:rsidRPr="009F489F">
        <w:rPr>
          <w:rFonts w:ascii="Times New Roman" w:hAnsi="Times New Roman" w:cs="Times New Roman"/>
          <w:sz w:val="28"/>
          <w:szCs w:val="28"/>
          <w:lang w:val="uk-UA"/>
        </w:rPr>
        <w:t xml:space="preserve"> Bao</w:t>
      </w:r>
      <w:r w:rsidR="009F489F">
        <w:rPr>
          <w:rFonts w:ascii="Times New Roman" w:hAnsi="Times New Roman" w:cs="Times New Roman"/>
          <w:sz w:val="28"/>
          <w:szCs w:val="28"/>
          <w:lang w:val="en-US"/>
        </w:rPr>
        <w:t xml:space="preserve"> X. </w:t>
      </w:r>
      <w:r w:rsidR="009F489F" w:rsidRPr="009F489F">
        <w:rPr>
          <w:rFonts w:ascii="Times New Roman" w:hAnsi="Times New Roman" w:cs="Times New Roman"/>
          <w:sz w:val="28"/>
          <w:szCs w:val="28"/>
          <w:lang w:val="en-US"/>
        </w:rPr>
        <w:t>Effects of uric acid on endothelial dysfunction in early chronic kidney disease and its mechanisms</w:t>
      </w:r>
      <w:r w:rsidR="009F489F">
        <w:rPr>
          <w:rFonts w:ascii="Times New Roman" w:hAnsi="Times New Roman" w:cs="Times New Roman"/>
          <w:sz w:val="28"/>
          <w:szCs w:val="28"/>
          <w:lang w:val="en-US"/>
        </w:rPr>
        <w:t xml:space="preserve">. </w:t>
      </w:r>
      <w:r w:rsidR="009F489F" w:rsidRPr="009F489F">
        <w:rPr>
          <w:rFonts w:ascii="Times New Roman" w:hAnsi="Times New Roman" w:cs="Times New Roman"/>
          <w:sz w:val="28"/>
          <w:szCs w:val="28"/>
          <w:lang w:val="en-US"/>
        </w:rPr>
        <w:t>Eur J Med Res</w:t>
      </w:r>
      <w:r w:rsidR="009F489F">
        <w:rPr>
          <w:rFonts w:ascii="Times New Roman" w:hAnsi="Times New Roman" w:cs="Times New Roman"/>
          <w:sz w:val="28"/>
          <w:szCs w:val="28"/>
          <w:lang w:val="en-US"/>
        </w:rPr>
        <w:t xml:space="preserve"> [Internet]. 2013;</w:t>
      </w:r>
      <w:r w:rsidR="009F489F" w:rsidRPr="009F489F">
        <w:rPr>
          <w:rFonts w:ascii="Times New Roman" w:hAnsi="Times New Roman" w:cs="Times New Roman"/>
          <w:sz w:val="28"/>
          <w:szCs w:val="28"/>
          <w:lang w:val="en-US"/>
        </w:rPr>
        <w:t>18(1): 26.</w:t>
      </w:r>
      <w:r w:rsidR="009F489F">
        <w:rPr>
          <w:rFonts w:ascii="Times New Roman" w:hAnsi="Times New Roman" w:cs="Times New Roman"/>
          <w:sz w:val="28"/>
          <w:szCs w:val="28"/>
          <w:lang w:val="en-US"/>
        </w:rPr>
        <w:t xml:space="preserve"> </w:t>
      </w:r>
      <w:r w:rsidR="009F489F" w:rsidRPr="009F489F">
        <w:rPr>
          <w:rFonts w:ascii="Times New Roman" w:hAnsi="Times New Roman" w:cs="Times New Roman"/>
          <w:sz w:val="28"/>
          <w:szCs w:val="28"/>
          <w:lang w:val="en-US"/>
        </w:rPr>
        <w:t>Available from:</w:t>
      </w:r>
      <w:r w:rsidR="009F489F">
        <w:rPr>
          <w:rFonts w:ascii="Times New Roman" w:hAnsi="Times New Roman" w:cs="Times New Roman"/>
          <w:sz w:val="28"/>
          <w:szCs w:val="28"/>
          <w:lang w:val="en-US"/>
        </w:rPr>
        <w:t xml:space="preserve"> </w:t>
      </w:r>
      <w:hyperlink r:id="rId117" w:history="1">
        <w:r w:rsidR="009F489F" w:rsidRPr="009F489F">
          <w:rPr>
            <w:rStyle w:val="a9"/>
            <w:rFonts w:ascii="Times New Roman" w:hAnsi="Times New Roman" w:cs="Times New Roman"/>
            <w:color w:val="auto"/>
            <w:sz w:val="28"/>
            <w:szCs w:val="28"/>
            <w:u w:val="none"/>
            <w:lang w:val="en-US"/>
          </w:rPr>
          <w:t>https://www.ncbi.nlm.nih.gov/pmc/articles/PMC3750429/</w:t>
        </w:r>
      </w:hyperlink>
    </w:p>
    <w:p w:rsidR="009F489F" w:rsidRPr="0093040B" w:rsidRDefault="009F489F" w:rsidP="006F6C02">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DOI</w:t>
      </w:r>
      <w:r w:rsidRPr="0093040B">
        <w:rPr>
          <w:rFonts w:ascii="Times New Roman" w:hAnsi="Times New Roman" w:cs="Times New Roman"/>
          <w:sz w:val="28"/>
          <w:szCs w:val="28"/>
        </w:rPr>
        <w:t>: 10.1186/2047-783</w:t>
      </w:r>
      <w:r w:rsidRPr="009F489F">
        <w:rPr>
          <w:rFonts w:ascii="Times New Roman" w:hAnsi="Times New Roman" w:cs="Times New Roman"/>
          <w:sz w:val="28"/>
          <w:szCs w:val="28"/>
          <w:lang w:val="en-US"/>
        </w:rPr>
        <w:t>X</w:t>
      </w:r>
      <w:r w:rsidRPr="0093040B">
        <w:rPr>
          <w:rFonts w:ascii="Times New Roman" w:hAnsi="Times New Roman" w:cs="Times New Roman"/>
          <w:sz w:val="28"/>
          <w:szCs w:val="28"/>
        </w:rPr>
        <w:t>-18-26</w:t>
      </w:r>
    </w:p>
    <w:p w:rsidR="00532781" w:rsidRDefault="002E7A76" w:rsidP="006F6C0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18</w:t>
      </w:r>
      <w:r w:rsidRPr="002E7A76">
        <w:rPr>
          <w:rFonts w:ascii="Times New Roman" w:hAnsi="Times New Roman" w:cs="Times New Roman"/>
          <w:sz w:val="28"/>
          <w:szCs w:val="28"/>
        </w:rPr>
        <w:t>8</w:t>
      </w:r>
      <w:r w:rsidR="009F489F" w:rsidRPr="00532781">
        <w:rPr>
          <w:rFonts w:ascii="Times New Roman" w:hAnsi="Times New Roman" w:cs="Times New Roman"/>
          <w:sz w:val="28"/>
          <w:szCs w:val="28"/>
        </w:rPr>
        <w:t xml:space="preserve">. </w:t>
      </w:r>
      <w:r w:rsidR="00532781">
        <w:rPr>
          <w:rFonts w:ascii="Times New Roman" w:hAnsi="Times New Roman" w:cs="Times New Roman"/>
          <w:sz w:val="28"/>
          <w:szCs w:val="28"/>
        </w:rPr>
        <w:t>Фёдорова АП, Серебрякова ОВ, Сизова ОА, Лыков АВ, Ельчищева А</w:t>
      </w:r>
      <w:r w:rsidR="00532781" w:rsidRPr="00532781">
        <w:rPr>
          <w:rFonts w:ascii="Times New Roman" w:hAnsi="Times New Roman" w:cs="Times New Roman"/>
          <w:sz w:val="28"/>
          <w:szCs w:val="28"/>
        </w:rPr>
        <w:t xml:space="preserve">Г. Ремоделирование миокарда левого желудочка у женщин с ишемической </w:t>
      </w:r>
      <w:r w:rsidR="00532781" w:rsidRPr="00532781">
        <w:rPr>
          <w:rFonts w:ascii="Times New Roman" w:hAnsi="Times New Roman" w:cs="Times New Roman"/>
          <w:sz w:val="28"/>
          <w:szCs w:val="28"/>
        </w:rPr>
        <w:lastRenderedPageBreak/>
        <w:t>болезнью сердца на оне сахарного диабета 2 типа и гипотиреоза</w:t>
      </w:r>
      <w:r w:rsidR="00532781">
        <w:rPr>
          <w:rFonts w:ascii="Times New Roman" w:hAnsi="Times New Roman" w:cs="Times New Roman"/>
          <w:sz w:val="28"/>
          <w:szCs w:val="28"/>
          <w:lang w:val="uk-UA"/>
        </w:rPr>
        <w:t xml:space="preserve">. </w:t>
      </w:r>
      <w:r w:rsidR="00532781" w:rsidRPr="00532781">
        <w:rPr>
          <w:rFonts w:ascii="Times New Roman" w:hAnsi="Times New Roman" w:cs="Times New Roman"/>
          <w:sz w:val="28"/>
          <w:szCs w:val="28"/>
        </w:rPr>
        <w:t>ЭНИ Забай</w:t>
      </w:r>
      <w:r w:rsidR="00532781">
        <w:rPr>
          <w:rFonts w:ascii="Times New Roman" w:hAnsi="Times New Roman" w:cs="Times New Roman"/>
          <w:sz w:val="28"/>
          <w:szCs w:val="28"/>
        </w:rPr>
        <w:t>кальский медицинский вестник</w:t>
      </w:r>
      <w:r w:rsidR="00E31118">
        <w:rPr>
          <w:rFonts w:ascii="Times New Roman" w:hAnsi="Times New Roman" w:cs="Times New Roman"/>
          <w:sz w:val="28"/>
          <w:szCs w:val="28"/>
          <w:lang w:val="uk-UA"/>
        </w:rPr>
        <w:t xml:space="preserve"> </w:t>
      </w:r>
      <w:r w:rsidR="00E31118" w:rsidRPr="0093040B">
        <w:rPr>
          <w:rFonts w:ascii="Times New Roman" w:hAnsi="Times New Roman" w:cs="Times New Roman"/>
          <w:sz w:val="28"/>
          <w:szCs w:val="28"/>
        </w:rPr>
        <w:t>[</w:t>
      </w:r>
      <w:r w:rsidR="00E31118">
        <w:rPr>
          <w:rFonts w:ascii="Times New Roman" w:hAnsi="Times New Roman" w:cs="Times New Roman"/>
          <w:sz w:val="28"/>
          <w:szCs w:val="28"/>
        </w:rPr>
        <w:t>Интернет</w:t>
      </w:r>
      <w:r w:rsidR="00E31118" w:rsidRPr="0093040B">
        <w:rPr>
          <w:rFonts w:ascii="Times New Roman" w:hAnsi="Times New Roman" w:cs="Times New Roman"/>
          <w:sz w:val="28"/>
          <w:szCs w:val="28"/>
        </w:rPr>
        <w:t>]</w:t>
      </w:r>
      <w:r w:rsidR="00532781">
        <w:rPr>
          <w:rFonts w:ascii="Times New Roman" w:hAnsi="Times New Roman" w:cs="Times New Roman"/>
          <w:sz w:val="28"/>
          <w:szCs w:val="28"/>
        </w:rPr>
        <w:t>. 2014</w:t>
      </w:r>
      <w:r w:rsidR="00532781">
        <w:rPr>
          <w:rFonts w:ascii="Times New Roman" w:hAnsi="Times New Roman" w:cs="Times New Roman"/>
          <w:sz w:val="28"/>
          <w:szCs w:val="28"/>
          <w:lang w:val="uk-UA"/>
        </w:rPr>
        <w:t>;</w:t>
      </w:r>
      <w:r w:rsidR="00532781">
        <w:rPr>
          <w:rFonts w:ascii="Times New Roman" w:hAnsi="Times New Roman" w:cs="Times New Roman"/>
          <w:sz w:val="28"/>
          <w:szCs w:val="28"/>
        </w:rPr>
        <w:t>4</w:t>
      </w:r>
      <w:r w:rsidR="00532781">
        <w:rPr>
          <w:rFonts w:ascii="Times New Roman" w:hAnsi="Times New Roman" w:cs="Times New Roman"/>
          <w:sz w:val="28"/>
          <w:szCs w:val="28"/>
          <w:lang w:val="uk-UA"/>
        </w:rPr>
        <w:t>:</w:t>
      </w:r>
      <w:r w:rsidR="00532781">
        <w:rPr>
          <w:rFonts w:ascii="Times New Roman" w:hAnsi="Times New Roman" w:cs="Times New Roman"/>
          <w:sz w:val="28"/>
          <w:szCs w:val="28"/>
        </w:rPr>
        <w:t>54</w:t>
      </w:r>
      <w:r w:rsidR="00532781">
        <w:rPr>
          <w:rFonts w:ascii="Times New Roman" w:hAnsi="Times New Roman" w:cs="Times New Roman"/>
          <w:sz w:val="28"/>
          <w:szCs w:val="28"/>
          <w:lang w:val="uk-UA"/>
        </w:rPr>
        <w:t>-</w:t>
      </w:r>
      <w:r w:rsidR="00532781" w:rsidRPr="00532781">
        <w:rPr>
          <w:rFonts w:ascii="Times New Roman" w:hAnsi="Times New Roman" w:cs="Times New Roman"/>
          <w:sz w:val="28"/>
          <w:szCs w:val="28"/>
        </w:rPr>
        <w:t>8.</w:t>
      </w:r>
      <w:r w:rsidR="00532781">
        <w:rPr>
          <w:rFonts w:ascii="Times New Roman" w:hAnsi="Times New Roman" w:cs="Times New Roman"/>
          <w:sz w:val="28"/>
          <w:szCs w:val="28"/>
          <w:lang w:val="uk-UA"/>
        </w:rPr>
        <w:t xml:space="preserve"> </w:t>
      </w:r>
      <w:r w:rsidR="00532781" w:rsidRPr="00532781">
        <w:rPr>
          <w:rFonts w:ascii="Times New Roman" w:hAnsi="Times New Roman" w:cs="Times New Roman"/>
          <w:sz w:val="28"/>
          <w:szCs w:val="28"/>
          <w:lang w:val="uk-UA"/>
        </w:rPr>
        <w:t xml:space="preserve">Доступно на: </w:t>
      </w:r>
    </w:p>
    <w:p w:rsidR="009F489F" w:rsidRPr="00532781" w:rsidRDefault="00532781" w:rsidP="006F6C02">
      <w:pPr>
        <w:tabs>
          <w:tab w:val="left" w:pos="2880"/>
        </w:tabs>
        <w:spacing w:after="0" w:line="360" w:lineRule="auto"/>
        <w:jc w:val="both"/>
        <w:rPr>
          <w:rFonts w:ascii="Times New Roman" w:hAnsi="Times New Roman" w:cs="Times New Roman"/>
          <w:sz w:val="28"/>
          <w:szCs w:val="28"/>
          <w:lang w:val="uk-UA"/>
        </w:rPr>
      </w:pPr>
      <w:r w:rsidRPr="00532781">
        <w:rPr>
          <w:rFonts w:ascii="Times New Roman" w:hAnsi="Times New Roman" w:cs="Times New Roman"/>
          <w:sz w:val="28"/>
          <w:szCs w:val="28"/>
          <w:lang w:val="uk-UA"/>
        </w:rPr>
        <w:t>http://zabmedvestnik.ru/journal/2014/4/10.pdf</w:t>
      </w:r>
    </w:p>
    <w:p w:rsidR="00723060" w:rsidRDefault="002E7A76" w:rsidP="006F6C0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EA6F81">
        <w:rPr>
          <w:rFonts w:ascii="Times New Roman" w:hAnsi="Times New Roman" w:cs="Times New Roman"/>
          <w:sz w:val="28"/>
          <w:szCs w:val="28"/>
        </w:rPr>
        <w:t>9</w:t>
      </w:r>
      <w:r w:rsidR="00532781">
        <w:rPr>
          <w:rFonts w:ascii="Times New Roman" w:hAnsi="Times New Roman" w:cs="Times New Roman"/>
          <w:sz w:val="28"/>
          <w:szCs w:val="28"/>
          <w:lang w:val="uk-UA"/>
        </w:rPr>
        <w:t xml:space="preserve">. </w:t>
      </w:r>
      <w:r w:rsidR="00E31118">
        <w:rPr>
          <w:rFonts w:ascii="Times New Roman" w:hAnsi="Times New Roman" w:cs="Times New Roman"/>
          <w:sz w:val="28"/>
          <w:szCs w:val="28"/>
          <w:lang w:val="uk-UA"/>
        </w:rPr>
        <w:t>Титова Ю</w:t>
      </w:r>
      <w:r w:rsidR="00E31118" w:rsidRPr="00E31118">
        <w:rPr>
          <w:rFonts w:ascii="Times New Roman" w:hAnsi="Times New Roman" w:cs="Times New Roman"/>
          <w:sz w:val="28"/>
          <w:szCs w:val="28"/>
          <w:lang w:val="uk-UA"/>
        </w:rPr>
        <w:t>Ф. Ремоделирование миокарда и липидный обмен у пациентов с артериальной гипертензией при наличии инсулинорезистент</w:t>
      </w:r>
      <w:r w:rsidR="00E31118">
        <w:rPr>
          <w:rFonts w:ascii="Times New Roman" w:hAnsi="Times New Roman" w:cs="Times New Roman"/>
          <w:sz w:val="28"/>
          <w:szCs w:val="28"/>
          <w:lang w:val="uk-UA"/>
        </w:rPr>
        <w:t xml:space="preserve">ности и сахарном диабете 2 типа. </w:t>
      </w:r>
      <w:r w:rsidR="00E31118" w:rsidRPr="00E31118">
        <w:rPr>
          <w:rFonts w:ascii="Times New Roman" w:hAnsi="Times New Roman" w:cs="Times New Roman"/>
          <w:sz w:val="28"/>
          <w:szCs w:val="28"/>
          <w:lang w:val="uk-UA"/>
        </w:rPr>
        <w:t>Известия Самарского научного центра Российской академии наук</w:t>
      </w:r>
      <w:r w:rsidR="00E31118">
        <w:rPr>
          <w:rFonts w:ascii="Times New Roman" w:hAnsi="Times New Roman" w:cs="Times New Roman"/>
          <w:sz w:val="28"/>
          <w:szCs w:val="28"/>
          <w:lang w:val="uk-UA"/>
        </w:rPr>
        <w:t xml:space="preserve"> [Интернет]. 2014;Т.16;5(4):1326-</w:t>
      </w:r>
      <w:r w:rsidR="00E31118" w:rsidRPr="00E31118">
        <w:rPr>
          <w:rFonts w:ascii="Times New Roman" w:hAnsi="Times New Roman" w:cs="Times New Roman"/>
          <w:sz w:val="28"/>
          <w:szCs w:val="28"/>
          <w:lang w:val="uk-UA"/>
        </w:rPr>
        <w:t>9.</w:t>
      </w:r>
      <w:r w:rsidR="00E31118">
        <w:rPr>
          <w:rFonts w:ascii="Times New Roman" w:hAnsi="Times New Roman" w:cs="Times New Roman"/>
          <w:sz w:val="28"/>
          <w:szCs w:val="28"/>
          <w:lang w:val="uk-UA"/>
        </w:rPr>
        <w:t xml:space="preserve"> </w:t>
      </w:r>
      <w:r w:rsidR="00E31118" w:rsidRPr="00E31118">
        <w:rPr>
          <w:rFonts w:ascii="Times New Roman" w:hAnsi="Times New Roman" w:cs="Times New Roman"/>
          <w:sz w:val="28"/>
          <w:szCs w:val="28"/>
          <w:lang w:val="uk-UA"/>
        </w:rPr>
        <w:t>Доступно на:</w:t>
      </w:r>
      <w:r w:rsidR="00E31118">
        <w:rPr>
          <w:rFonts w:ascii="Times New Roman" w:hAnsi="Times New Roman" w:cs="Times New Roman"/>
          <w:sz w:val="28"/>
          <w:szCs w:val="28"/>
          <w:lang w:val="uk-UA"/>
        </w:rPr>
        <w:t xml:space="preserve"> </w:t>
      </w:r>
    </w:p>
    <w:p w:rsidR="009F489F" w:rsidRDefault="000A6805" w:rsidP="006F6C02">
      <w:pPr>
        <w:tabs>
          <w:tab w:val="left" w:pos="2880"/>
        </w:tabs>
        <w:spacing w:after="0" w:line="360" w:lineRule="auto"/>
        <w:jc w:val="both"/>
        <w:rPr>
          <w:rFonts w:ascii="Times New Roman" w:hAnsi="Times New Roman" w:cs="Times New Roman"/>
          <w:sz w:val="28"/>
          <w:szCs w:val="28"/>
          <w:lang w:val="uk-UA"/>
        </w:rPr>
      </w:pPr>
      <w:hyperlink r:id="rId118" w:history="1">
        <w:r w:rsidR="00E31118" w:rsidRPr="00E31118">
          <w:rPr>
            <w:rStyle w:val="a9"/>
            <w:rFonts w:ascii="Times New Roman" w:hAnsi="Times New Roman" w:cs="Times New Roman"/>
            <w:color w:val="auto"/>
            <w:sz w:val="28"/>
            <w:szCs w:val="28"/>
            <w:u w:val="none"/>
            <w:lang w:val="uk-UA"/>
          </w:rPr>
          <w:t>https://cyberleninka.ru/article/v/remodelirovanie-miokarda-i-lipidnyy-obmen-u-patsientov-s-arterialnoy-gipertenziey-pri-nalichii-insulinorezistentnosti-i-saharnom</w:t>
        </w:r>
      </w:hyperlink>
    </w:p>
    <w:p w:rsidR="00E31118" w:rsidRPr="00532781" w:rsidRDefault="002E7A76" w:rsidP="006F6C02">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E7A76">
        <w:rPr>
          <w:rFonts w:ascii="Times New Roman" w:hAnsi="Times New Roman" w:cs="Times New Roman"/>
          <w:sz w:val="28"/>
          <w:szCs w:val="28"/>
        </w:rPr>
        <w:t>90</w:t>
      </w:r>
      <w:r w:rsidR="00E31118">
        <w:rPr>
          <w:rFonts w:ascii="Times New Roman" w:hAnsi="Times New Roman" w:cs="Times New Roman"/>
          <w:sz w:val="28"/>
          <w:szCs w:val="28"/>
          <w:lang w:val="uk-UA"/>
        </w:rPr>
        <w:t>.</w:t>
      </w:r>
      <w:r w:rsidR="00723060">
        <w:rPr>
          <w:rFonts w:ascii="Times New Roman" w:hAnsi="Times New Roman" w:cs="Times New Roman"/>
          <w:sz w:val="28"/>
          <w:szCs w:val="28"/>
          <w:lang w:val="uk-UA"/>
        </w:rPr>
        <w:t xml:space="preserve"> Гарсиа-Донаире ЖА, </w:t>
      </w:r>
      <w:r w:rsidR="00723060" w:rsidRPr="00723060">
        <w:rPr>
          <w:rFonts w:ascii="Times New Roman" w:hAnsi="Times New Roman" w:cs="Times New Roman"/>
          <w:sz w:val="28"/>
          <w:szCs w:val="28"/>
          <w:lang w:val="uk-UA"/>
        </w:rPr>
        <w:t>Руилопе</w:t>
      </w:r>
      <w:r w:rsidR="00723060">
        <w:rPr>
          <w:rFonts w:ascii="Times New Roman" w:hAnsi="Times New Roman" w:cs="Times New Roman"/>
          <w:sz w:val="28"/>
          <w:szCs w:val="28"/>
          <w:lang w:val="uk-UA"/>
        </w:rPr>
        <w:t xml:space="preserve"> ЛМ. </w:t>
      </w:r>
      <w:r w:rsidR="00723060" w:rsidRPr="00723060">
        <w:rPr>
          <w:rFonts w:ascii="Times New Roman" w:hAnsi="Times New Roman" w:cs="Times New Roman"/>
          <w:sz w:val="28"/>
          <w:szCs w:val="28"/>
          <w:lang w:val="uk-UA"/>
        </w:rPr>
        <w:t xml:space="preserve"> Кардио-васкулярно-ренальные свя</w:t>
      </w:r>
      <w:r w:rsidR="00723060">
        <w:rPr>
          <w:rFonts w:ascii="Times New Roman" w:hAnsi="Times New Roman" w:cs="Times New Roman"/>
          <w:sz w:val="28"/>
          <w:szCs w:val="28"/>
          <w:lang w:val="uk-UA"/>
        </w:rPr>
        <w:t>зи в кардиоренальном континууме. Нефрология. 2013;17(</w:t>
      </w:r>
      <w:r w:rsidR="00723060" w:rsidRPr="00723060">
        <w:rPr>
          <w:rFonts w:ascii="Times New Roman" w:hAnsi="Times New Roman" w:cs="Times New Roman"/>
          <w:sz w:val="28"/>
          <w:szCs w:val="28"/>
          <w:lang w:val="uk-UA"/>
        </w:rPr>
        <w:t>1</w:t>
      </w:r>
      <w:r w:rsidR="00723060">
        <w:rPr>
          <w:rFonts w:ascii="Times New Roman" w:hAnsi="Times New Roman" w:cs="Times New Roman"/>
          <w:sz w:val="28"/>
          <w:szCs w:val="28"/>
          <w:lang w:val="uk-UA"/>
        </w:rPr>
        <w:t>):11-</w:t>
      </w:r>
      <w:r w:rsidR="00723060" w:rsidRPr="00723060">
        <w:rPr>
          <w:rFonts w:ascii="Times New Roman" w:hAnsi="Times New Roman" w:cs="Times New Roman"/>
          <w:sz w:val="28"/>
          <w:szCs w:val="28"/>
          <w:lang w:val="uk-UA"/>
        </w:rPr>
        <w:t>9</w:t>
      </w:r>
      <w:r w:rsidR="00723060">
        <w:rPr>
          <w:rFonts w:ascii="Times New Roman" w:hAnsi="Times New Roman" w:cs="Times New Roman"/>
          <w:sz w:val="28"/>
          <w:szCs w:val="28"/>
          <w:lang w:val="uk-UA"/>
        </w:rPr>
        <w:t>.</w:t>
      </w:r>
    </w:p>
    <w:p w:rsidR="00E4653A" w:rsidRDefault="002E7A76" w:rsidP="00E4653A">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EA6F81">
        <w:rPr>
          <w:rFonts w:ascii="Times New Roman" w:hAnsi="Times New Roman" w:cs="Times New Roman"/>
          <w:sz w:val="28"/>
          <w:szCs w:val="28"/>
          <w:lang w:val="uk-UA"/>
        </w:rPr>
        <w:t>1</w:t>
      </w:r>
      <w:r w:rsidR="00723060" w:rsidRPr="00723060">
        <w:rPr>
          <w:rFonts w:ascii="Times New Roman" w:hAnsi="Times New Roman" w:cs="Times New Roman"/>
          <w:sz w:val="28"/>
          <w:szCs w:val="28"/>
          <w:lang w:val="uk-UA"/>
        </w:rPr>
        <w:t>.</w:t>
      </w:r>
      <w:r w:rsidR="0060358E" w:rsidRPr="002E7A76">
        <w:rPr>
          <w:rFonts w:ascii="Times New Roman" w:hAnsi="Times New Roman" w:cs="Times New Roman"/>
          <w:sz w:val="28"/>
          <w:szCs w:val="28"/>
          <w:lang w:val="uk-UA"/>
        </w:rPr>
        <w:t>Чернацька ОМ. Кардіоренальні зв’язки у пацієнтів з артеріальною гіпертензією та цукровим діабетом 2-го типу. Актуальні питання теоретичної та практичної медицини. Збірник тез доповідей ІV Міжнародної наук.-практ. конф. студентів та молодих учених; 2016 квіт. 21-22;</w:t>
      </w:r>
      <w:r w:rsidR="0020180C" w:rsidRPr="002E7A76">
        <w:rPr>
          <w:rFonts w:ascii="Times New Roman" w:hAnsi="Times New Roman" w:cs="Times New Roman"/>
          <w:sz w:val="28"/>
          <w:szCs w:val="28"/>
          <w:lang w:val="uk-UA"/>
        </w:rPr>
        <w:t xml:space="preserve"> </w:t>
      </w:r>
      <w:r w:rsidR="0060358E" w:rsidRPr="002E7A76">
        <w:rPr>
          <w:rFonts w:ascii="Times New Roman" w:hAnsi="Times New Roman" w:cs="Times New Roman"/>
          <w:sz w:val="28"/>
          <w:szCs w:val="28"/>
          <w:lang w:val="uk-UA"/>
        </w:rPr>
        <w:t>Суми</w:t>
      </w:r>
      <w:r w:rsidR="0020180C" w:rsidRPr="002E7A76">
        <w:rPr>
          <w:rFonts w:ascii="Times New Roman" w:hAnsi="Times New Roman" w:cs="Times New Roman"/>
          <w:sz w:val="28"/>
          <w:szCs w:val="28"/>
          <w:lang w:val="uk-UA"/>
        </w:rPr>
        <w:t xml:space="preserve">. Суми: СумДУ; 2016, с. </w:t>
      </w:r>
      <w:r w:rsidR="0060358E" w:rsidRPr="002E7A76">
        <w:rPr>
          <w:rFonts w:ascii="Times New Roman" w:hAnsi="Times New Roman" w:cs="Times New Roman"/>
          <w:sz w:val="28"/>
          <w:szCs w:val="28"/>
          <w:lang w:val="uk-UA"/>
        </w:rPr>
        <w:t>105.</w:t>
      </w:r>
    </w:p>
    <w:p w:rsidR="00DD4BEF" w:rsidRDefault="002E7A76" w:rsidP="00E4653A">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EA6F81">
        <w:rPr>
          <w:rFonts w:ascii="Times New Roman" w:hAnsi="Times New Roman" w:cs="Times New Roman"/>
          <w:sz w:val="28"/>
          <w:szCs w:val="28"/>
        </w:rPr>
        <w:t>2</w:t>
      </w:r>
      <w:r>
        <w:rPr>
          <w:rFonts w:ascii="Times New Roman" w:hAnsi="Times New Roman" w:cs="Times New Roman"/>
          <w:sz w:val="28"/>
          <w:szCs w:val="28"/>
          <w:lang w:val="uk-UA"/>
        </w:rPr>
        <w:t>.</w:t>
      </w:r>
      <w:r w:rsidRPr="00EA6F81">
        <w:rPr>
          <w:rFonts w:ascii="Times New Roman" w:hAnsi="Times New Roman" w:cs="Times New Roman"/>
          <w:sz w:val="28"/>
          <w:szCs w:val="28"/>
        </w:rPr>
        <w:t xml:space="preserve"> </w:t>
      </w:r>
      <w:r w:rsidR="00DD4BEF" w:rsidRPr="002E7A76">
        <w:rPr>
          <w:rFonts w:ascii="Times New Roman" w:hAnsi="Times New Roman" w:cs="Times New Roman"/>
          <w:sz w:val="28"/>
          <w:szCs w:val="28"/>
          <w:lang w:val="uk-UA"/>
        </w:rPr>
        <w:t>Чернацька ОМ. Особливості серцевої недостатності в осіб із артеріальною гіпертензією ІІІ стадії і цукровим діабетом 2-го типу та її корекція. В: Вакалюк ІП, редактор. ІІ Міжнародна наук.-практ. конф. Терапевтичні читання: сучасні аспекти діагностики і лікування захворювань внутрішніх органів, присвячена пам’яті академіка НАМН України Є. М. Нейка; 2016 жовт. 6-7; Івано-Франківськ – Яремче. Івано-Франківськ – Яремче:  ; 2016, с. 270-2.</w:t>
      </w:r>
    </w:p>
    <w:p w:rsidR="0093626A" w:rsidRDefault="002E7A76" w:rsidP="00CF0188">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EA6F81">
        <w:rPr>
          <w:rFonts w:ascii="Times New Roman" w:hAnsi="Times New Roman" w:cs="Times New Roman"/>
          <w:sz w:val="28"/>
          <w:szCs w:val="28"/>
          <w:lang w:val="uk-UA"/>
        </w:rPr>
        <w:t>3</w:t>
      </w:r>
      <w:r w:rsidR="004C7EA6">
        <w:rPr>
          <w:rFonts w:ascii="Times New Roman" w:hAnsi="Times New Roman" w:cs="Times New Roman"/>
          <w:sz w:val="28"/>
          <w:szCs w:val="28"/>
          <w:lang w:val="uk-UA"/>
        </w:rPr>
        <w:t>. Шейко С</w:t>
      </w:r>
      <w:r w:rsidR="004C7EA6" w:rsidRPr="004C7EA6">
        <w:rPr>
          <w:rFonts w:ascii="Times New Roman" w:hAnsi="Times New Roman" w:cs="Times New Roman"/>
          <w:sz w:val="28"/>
          <w:szCs w:val="28"/>
          <w:lang w:val="uk-UA"/>
        </w:rPr>
        <w:t>О. Корекція ендотеліальної дисфункції у хворих похилого віку з хронічною серцевою недостатністю і кард</w:t>
      </w:r>
      <w:r w:rsidR="004C7EA6">
        <w:rPr>
          <w:rFonts w:ascii="Times New Roman" w:hAnsi="Times New Roman" w:cs="Times New Roman"/>
          <w:sz w:val="28"/>
          <w:szCs w:val="28"/>
          <w:lang w:val="uk-UA"/>
        </w:rPr>
        <w:t>іоренальним анемічним синдромом. Ліки України. 2015;9-10:44-</w:t>
      </w:r>
      <w:r w:rsidR="004C7EA6" w:rsidRPr="004C7EA6">
        <w:rPr>
          <w:rFonts w:ascii="Times New Roman" w:hAnsi="Times New Roman" w:cs="Times New Roman"/>
          <w:sz w:val="28"/>
          <w:szCs w:val="28"/>
          <w:lang w:val="uk-UA"/>
        </w:rPr>
        <w:t>8</w:t>
      </w:r>
      <w:r w:rsidR="004C7EA6">
        <w:rPr>
          <w:rFonts w:ascii="Times New Roman" w:hAnsi="Times New Roman" w:cs="Times New Roman"/>
          <w:sz w:val="28"/>
          <w:szCs w:val="28"/>
          <w:lang w:val="uk-UA"/>
        </w:rPr>
        <w:t>.</w:t>
      </w:r>
    </w:p>
    <w:p w:rsidR="00D0196D" w:rsidRDefault="00D0196D" w:rsidP="00CF0188">
      <w:pPr>
        <w:tabs>
          <w:tab w:val="left" w:pos="2880"/>
        </w:tabs>
        <w:spacing w:after="0" w:line="360" w:lineRule="auto"/>
        <w:jc w:val="both"/>
        <w:rPr>
          <w:rFonts w:ascii="Times New Roman" w:hAnsi="Times New Roman" w:cs="Times New Roman"/>
          <w:sz w:val="28"/>
          <w:szCs w:val="28"/>
          <w:lang w:val="en-US"/>
        </w:rPr>
      </w:pPr>
      <w:r w:rsidRPr="00D0196D">
        <w:rPr>
          <w:rFonts w:ascii="Times New Roman" w:hAnsi="Times New Roman" w:cs="Times New Roman"/>
          <w:sz w:val="28"/>
          <w:szCs w:val="28"/>
          <w:lang w:val="en-US"/>
        </w:rPr>
        <w:t xml:space="preserve">194. Chernatska OM. Endothelial peculiarities of heart failure in patients with arterial hypertension and type 2 diabetes mellitus. Topical issues of theoretical and clinical medicine: abstract book of International Scientific and Practical </w:t>
      </w:r>
      <w:r w:rsidRPr="00D0196D">
        <w:rPr>
          <w:rFonts w:ascii="Times New Roman" w:hAnsi="Times New Roman" w:cs="Times New Roman"/>
          <w:sz w:val="28"/>
          <w:szCs w:val="28"/>
          <w:lang w:val="en-US"/>
        </w:rPr>
        <w:lastRenderedPageBreak/>
        <w:t>Conference of Students, Postgraduates and Young Scientists, 2018 Oct. 17−19; Sumy: Sumy State University Medical Institute; 2018, с. 88.</w:t>
      </w:r>
    </w:p>
    <w:p w:rsidR="00CF0188" w:rsidRDefault="002E7A76" w:rsidP="00CF0188">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19</w:t>
      </w:r>
      <w:r w:rsidR="00D0196D">
        <w:rPr>
          <w:rFonts w:ascii="Times New Roman" w:hAnsi="Times New Roman" w:cs="Times New Roman"/>
          <w:sz w:val="28"/>
          <w:szCs w:val="28"/>
          <w:lang w:val="en-US"/>
        </w:rPr>
        <w:t>5</w:t>
      </w:r>
      <w:r w:rsidR="00CF0188">
        <w:rPr>
          <w:rFonts w:ascii="Times New Roman" w:hAnsi="Times New Roman" w:cs="Times New Roman"/>
          <w:sz w:val="28"/>
          <w:szCs w:val="28"/>
          <w:lang w:val="uk-UA"/>
        </w:rPr>
        <w:t>. Iwashima Y</w:t>
      </w:r>
      <w:r w:rsidR="00CF0188" w:rsidRPr="00CF0188">
        <w:rPr>
          <w:rFonts w:ascii="Times New Roman" w:hAnsi="Times New Roman" w:cs="Times New Roman"/>
          <w:sz w:val="28"/>
          <w:szCs w:val="28"/>
          <w:lang w:val="uk-UA"/>
        </w:rPr>
        <w:t>, Horio T, Kamide K, Rakugi H, Ogihara T, Kawano Y.</w:t>
      </w:r>
      <w:r w:rsidR="00CF0188">
        <w:rPr>
          <w:rFonts w:ascii="Times New Roman" w:hAnsi="Times New Roman" w:cs="Times New Roman"/>
          <w:sz w:val="28"/>
          <w:szCs w:val="28"/>
          <w:lang w:val="uk-UA"/>
        </w:rPr>
        <w:t xml:space="preserve"> </w:t>
      </w:r>
      <w:r w:rsidR="00CF0188" w:rsidRPr="00CF0188">
        <w:rPr>
          <w:rFonts w:ascii="Times New Roman" w:hAnsi="Times New Roman" w:cs="Times New Roman"/>
          <w:sz w:val="28"/>
          <w:szCs w:val="28"/>
          <w:lang w:val="uk-UA"/>
        </w:rPr>
        <w:t>Uric acid, left ventricular mass index, and risk of cardiovascular disease in essential hypertension.</w:t>
      </w:r>
      <w:r w:rsidR="00CF0188">
        <w:rPr>
          <w:rFonts w:ascii="Times New Roman" w:hAnsi="Times New Roman" w:cs="Times New Roman"/>
          <w:sz w:val="28"/>
          <w:szCs w:val="28"/>
          <w:lang w:val="uk-UA"/>
        </w:rPr>
        <w:t xml:space="preserve"> </w:t>
      </w:r>
      <w:r w:rsidR="00CF0188" w:rsidRPr="00CF0188">
        <w:rPr>
          <w:rFonts w:ascii="Times New Roman" w:hAnsi="Times New Roman" w:cs="Times New Roman"/>
          <w:sz w:val="28"/>
          <w:szCs w:val="28"/>
          <w:lang w:val="uk-UA"/>
        </w:rPr>
        <w:t>Hypertension</w:t>
      </w:r>
      <w:r w:rsidR="00CF0188">
        <w:rPr>
          <w:rFonts w:ascii="Times New Roman" w:hAnsi="Times New Roman" w:cs="Times New Roman"/>
          <w:sz w:val="28"/>
          <w:szCs w:val="28"/>
          <w:lang w:val="uk-UA"/>
        </w:rPr>
        <w:t xml:space="preserve"> [Internet]</w:t>
      </w:r>
      <w:r w:rsidR="00CF0188" w:rsidRPr="00CF0188">
        <w:rPr>
          <w:rFonts w:ascii="Times New Roman" w:hAnsi="Times New Roman" w:cs="Times New Roman"/>
          <w:sz w:val="28"/>
          <w:szCs w:val="28"/>
          <w:lang w:val="uk-UA"/>
        </w:rPr>
        <w:t>. 2006 Feb;47(2):195-202.</w:t>
      </w:r>
      <w:r w:rsidR="00CF0188">
        <w:rPr>
          <w:rFonts w:ascii="Times New Roman" w:hAnsi="Times New Roman" w:cs="Times New Roman"/>
          <w:sz w:val="28"/>
          <w:szCs w:val="28"/>
          <w:lang w:val="uk-UA"/>
        </w:rPr>
        <w:t xml:space="preserve"> </w:t>
      </w:r>
      <w:r w:rsidR="00CF0188" w:rsidRPr="00CF0188">
        <w:rPr>
          <w:rFonts w:ascii="Times New Roman" w:hAnsi="Times New Roman" w:cs="Times New Roman"/>
          <w:sz w:val="28"/>
          <w:szCs w:val="28"/>
          <w:lang w:val="uk-UA"/>
        </w:rPr>
        <w:t>Available from:</w:t>
      </w:r>
      <w:r w:rsidR="00CF0188">
        <w:rPr>
          <w:rFonts w:ascii="Times New Roman" w:hAnsi="Times New Roman" w:cs="Times New Roman"/>
          <w:sz w:val="28"/>
          <w:szCs w:val="28"/>
          <w:lang w:val="uk-UA"/>
        </w:rPr>
        <w:t xml:space="preserve"> </w:t>
      </w:r>
      <w:hyperlink r:id="rId119" w:history="1">
        <w:r w:rsidR="00CF0188" w:rsidRPr="00CF0188">
          <w:rPr>
            <w:rStyle w:val="a9"/>
            <w:rFonts w:ascii="Times New Roman" w:hAnsi="Times New Roman" w:cs="Times New Roman"/>
            <w:color w:val="auto"/>
            <w:sz w:val="28"/>
            <w:szCs w:val="28"/>
            <w:u w:val="none"/>
            <w:lang w:val="uk-UA"/>
          </w:rPr>
          <w:t>https://www.ncbi.nlm.nih.gov/pubmed/16380520</w:t>
        </w:r>
      </w:hyperlink>
      <w:r w:rsidR="00CF0188">
        <w:rPr>
          <w:rFonts w:ascii="Times New Roman" w:hAnsi="Times New Roman" w:cs="Times New Roman"/>
          <w:sz w:val="28"/>
          <w:szCs w:val="28"/>
          <w:lang w:val="uk-UA"/>
        </w:rPr>
        <w:t xml:space="preserve"> </w:t>
      </w:r>
    </w:p>
    <w:p w:rsidR="00E4653A" w:rsidRDefault="00CF0188" w:rsidP="00CF0188">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DOI: </w:t>
      </w:r>
      <w:hyperlink r:id="rId120" w:history="1">
        <w:r w:rsidRPr="00CF0188">
          <w:rPr>
            <w:rStyle w:val="a9"/>
            <w:rFonts w:ascii="Times New Roman" w:hAnsi="Times New Roman" w:cs="Times New Roman"/>
            <w:color w:val="auto"/>
            <w:sz w:val="28"/>
            <w:szCs w:val="28"/>
            <w:u w:val="none"/>
            <w:lang w:val="en-US"/>
          </w:rPr>
          <w:t>https://doi.org/10.1161/01.HYP.0000200033.14574.14</w:t>
        </w:r>
      </w:hyperlink>
    </w:p>
    <w:p w:rsidR="003D1723" w:rsidRDefault="002E7A76" w:rsidP="00CF0188">
      <w:pPr>
        <w:tabs>
          <w:tab w:val="left" w:pos="288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19</w:t>
      </w:r>
      <w:r w:rsidR="00D0196D" w:rsidRPr="008B77A1">
        <w:rPr>
          <w:rFonts w:ascii="Times New Roman" w:hAnsi="Times New Roman" w:cs="Times New Roman"/>
          <w:sz w:val="28"/>
          <w:szCs w:val="28"/>
        </w:rPr>
        <w:t>6</w:t>
      </w:r>
      <w:r w:rsidR="000C4F37" w:rsidRPr="004E5650">
        <w:rPr>
          <w:rFonts w:ascii="Times New Roman" w:hAnsi="Times New Roman" w:cs="Times New Roman"/>
          <w:sz w:val="28"/>
          <w:szCs w:val="28"/>
        </w:rPr>
        <w:t>.</w:t>
      </w:r>
      <w:r w:rsidR="000C4F37">
        <w:rPr>
          <w:rFonts w:ascii="Times New Roman" w:hAnsi="Times New Roman" w:cs="Times New Roman"/>
          <w:sz w:val="28"/>
          <w:szCs w:val="28"/>
          <w:lang w:val="uk-UA"/>
        </w:rPr>
        <w:t xml:space="preserve"> </w:t>
      </w:r>
      <w:r w:rsidR="003D1723">
        <w:rPr>
          <w:rFonts w:ascii="Times New Roman" w:hAnsi="Times New Roman" w:cs="Times New Roman"/>
          <w:sz w:val="28"/>
          <w:szCs w:val="28"/>
        </w:rPr>
        <w:t>Міщенко</w:t>
      </w:r>
      <w:r w:rsidR="003D1723" w:rsidRPr="004E5650">
        <w:rPr>
          <w:rFonts w:ascii="Times New Roman" w:hAnsi="Times New Roman" w:cs="Times New Roman"/>
          <w:sz w:val="28"/>
          <w:szCs w:val="28"/>
        </w:rPr>
        <w:t xml:space="preserve"> </w:t>
      </w:r>
      <w:r w:rsidR="003D1723">
        <w:rPr>
          <w:rFonts w:ascii="Times New Roman" w:hAnsi="Times New Roman" w:cs="Times New Roman"/>
          <w:sz w:val="28"/>
          <w:szCs w:val="28"/>
        </w:rPr>
        <w:t>Л</w:t>
      </w:r>
      <w:r w:rsidR="000C4F37" w:rsidRPr="000C4F37">
        <w:rPr>
          <w:rFonts w:ascii="Times New Roman" w:hAnsi="Times New Roman" w:cs="Times New Roman"/>
          <w:sz w:val="28"/>
          <w:szCs w:val="28"/>
        </w:rPr>
        <w:t>А</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Зв</w:t>
      </w:r>
      <w:r w:rsidR="000C4F37" w:rsidRPr="004E5650">
        <w:rPr>
          <w:rFonts w:ascii="Times New Roman" w:hAnsi="Times New Roman" w:cs="Times New Roman"/>
          <w:sz w:val="28"/>
          <w:szCs w:val="28"/>
        </w:rPr>
        <w:t>’</w:t>
      </w:r>
      <w:r w:rsidR="000C4F37" w:rsidRPr="000C4F37">
        <w:rPr>
          <w:rFonts w:ascii="Times New Roman" w:hAnsi="Times New Roman" w:cs="Times New Roman"/>
          <w:sz w:val="28"/>
          <w:szCs w:val="28"/>
        </w:rPr>
        <w:t>язок</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гіперурикемії</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з</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ураженням</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органів</w:t>
      </w:r>
      <w:r w:rsidR="000C4F37" w:rsidRPr="004E5650">
        <w:rPr>
          <w:rFonts w:ascii="Times New Roman" w:hAnsi="Times New Roman" w:cs="Times New Roman"/>
          <w:sz w:val="28"/>
          <w:szCs w:val="28"/>
        </w:rPr>
        <w:t>-</w:t>
      </w:r>
      <w:r w:rsidR="000C4F37" w:rsidRPr="000C4F37">
        <w:rPr>
          <w:rFonts w:ascii="Times New Roman" w:hAnsi="Times New Roman" w:cs="Times New Roman"/>
          <w:sz w:val="28"/>
          <w:szCs w:val="28"/>
        </w:rPr>
        <w:t>мішеней</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у</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хворих</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на</w:t>
      </w:r>
      <w:r w:rsidR="000C4F37" w:rsidRPr="004E5650">
        <w:rPr>
          <w:rFonts w:ascii="Times New Roman" w:hAnsi="Times New Roman" w:cs="Times New Roman"/>
          <w:sz w:val="28"/>
          <w:szCs w:val="28"/>
        </w:rPr>
        <w:t xml:space="preserve"> </w:t>
      </w:r>
      <w:r w:rsidR="000C4F37" w:rsidRPr="000C4F37">
        <w:rPr>
          <w:rFonts w:ascii="Times New Roman" w:hAnsi="Times New Roman" w:cs="Times New Roman"/>
          <w:sz w:val="28"/>
          <w:szCs w:val="28"/>
        </w:rPr>
        <w:t>гіпертон</w:t>
      </w:r>
      <w:r w:rsidR="003D1723">
        <w:rPr>
          <w:rFonts w:ascii="Times New Roman" w:hAnsi="Times New Roman" w:cs="Times New Roman"/>
          <w:sz w:val="28"/>
          <w:szCs w:val="28"/>
        </w:rPr>
        <w:t>ічну</w:t>
      </w:r>
      <w:r w:rsidR="003D1723" w:rsidRPr="004E5650">
        <w:rPr>
          <w:rFonts w:ascii="Times New Roman" w:hAnsi="Times New Roman" w:cs="Times New Roman"/>
          <w:sz w:val="28"/>
          <w:szCs w:val="28"/>
        </w:rPr>
        <w:t xml:space="preserve"> </w:t>
      </w:r>
      <w:r w:rsidR="003D1723">
        <w:rPr>
          <w:rFonts w:ascii="Times New Roman" w:hAnsi="Times New Roman" w:cs="Times New Roman"/>
          <w:sz w:val="28"/>
          <w:szCs w:val="28"/>
        </w:rPr>
        <w:t>хворобу</w:t>
      </w:r>
      <w:r w:rsidR="003D1723">
        <w:rPr>
          <w:rFonts w:ascii="Times New Roman" w:hAnsi="Times New Roman" w:cs="Times New Roman"/>
          <w:sz w:val="28"/>
          <w:szCs w:val="28"/>
          <w:lang w:val="uk-UA"/>
        </w:rPr>
        <w:t xml:space="preserve">. </w:t>
      </w:r>
      <w:r w:rsidR="000C4F37" w:rsidRPr="000C4F37">
        <w:rPr>
          <w:rFonts w:ascii="Times New Roman" w:hAnsi="Times New Roman" w:cs="Times New Roman"/>
          <w:sz w:val="28"/>
          <w:szCs w:val="28"/>
        </w:rPr>
        <w:t>Кардиология</w:t>
      </w:r>
      <w:r w:rsidR="000C4F37" w:rsidRPr="003D1723">
        <w:rPr>
          <w:rFonts w:ascii="Times New Roman" w:hAnsi="Times New Roman" w:cs="Times New Roman"/>
          <w:sz w:val="28"/>
          <w:szCs w:val="28"/>
        </w:rPr>
        <w:t xml:space="preserve">: </w:t>
      </w:r>
      <w:r w:rsidR="000C4F37" w:rsidRPr="000C4F37">
        <w:rPr>
          <w:rFonts w:ascii="Times New Roman" w:hAnsi="Times New Roman" w:cs="Times New Roman"/>
          <w:sz w:val="28"/>
          <w:szCs w:val="28"/>
        </w:rPr>
        <w:t>от</w:t>
      </w:r>
      <w:r w:rsidR="000C4F37" w:rsidRPr="003D1723">
        <w:rPr>
          <w:rFonts w:ascii="Times New Roman" w:hAnsi="Times New Roman" w:cs="Times New Roman"/>
          <w:sz w:val="28"/>
          <w:szCs w:val="28"/>
        </w:rPr>
        <w:t xml:space="preserve"> </w:t>
      </w:r>
      <w:r w:rsidR="000C4F37" w:rsidRPr="000C4F37">
        <w:rPr>
          <w:rFonts w:ascii="Times New Roman" w:hAnsi="Times New Roman" w:cs="Times New Roman"/>
          <w:sz w:val="28"/>
          <w:szCs w:val="28"/>
        </w:rPr>
        <w:t>науки</w:t>
      </w:r>
      <w:r w:rsidR="000C4F37" w:rsidRPr="003D1723">
        <w:rPr>
          <w:rFonts w:ascii="Times New Roman" w:hAnsi="Times New Roman" w:cs="Times New Roman"/>
          <w:sz w:val="28"/>
          <w:szCs w:val="28"/>
        </w:rPr>
        <w:t xml:space="preserve"> </w:t>
      </w:r>
      <w:r w:rsidR="000C4F37" w:rsidRPr="000C4F37">
        <w:rPr>
          <w:rFonts w:ascii="Times New Roman" w:hAnsi="Times New Roman" w:cs="Times New Roman"/>
          <w:sz w:val="28"/>
          <w:szCs w:val="28"/>
        </w:rPr>
        <w:t>к</w:t>
      </w:r>
      <w:r w:rsidR="000C4F37" w:rsidRPr="003D1723">
        <w:rPr>
          <w:rFonts w:ascii="Times New Roman" w:hAnsi="Times New Roman" w:cs="Times New Roman"/>
          <w:sz w:val="28"/>
          <w:szCs w:val="28"/>
        </w:rPr>
        <w:t xml:space="preserve"> </w:t>
      </w:r>
      <w:r w:rsidR="000C4F37" w:rsidRPr="000C4F37">
        <w:rPr>
          <w:rFonts w:ascii="Times New Roman" w:hAnsi="Times New Roman" w:cs="Times New Roman"/>
          <w:sz w:val="28"/>
          <w:szCs w:val="28"/>
        </w:rPr>
        <w:t>практике</w:t>
      </w:r>
      <w:r w:rsidR="003D1723">
        <w:rPr>
          <w:rFonts w:ascii="Times New Roman" w:hAnsi="Times New Roman" w:cs="Times New Roman"/>
          <w:sz w:val="28"/>
          <w:szCs w:val="28"/>
          <w:lang w:val="uk-UA"/>
        </w:rPr>
        <w:t xml:space="preserve"> </w:t>
      </w:r>
      <w:r w:rsidR="003D1723" w:rsidRPr="003D1723">
        <w:rPr>
          <w:rFonts w:ascii="Times New Roman" w:hAnsi="Times New Roman" w:cs="Times New Roman"/>
          <w:sz w:val="28"/>
          <w:szCs w:val="28"/>
        </w:rPr>
        <w:t>[</w:t>
      </w:r>
      <w:r w:rsidR="003D1723">
        <w:rPr>
          <w:rFonts w:ascii="Times New Roman" w:hAnsi="Times New Roman" w:cs="Times New Roman"/>
          <w:sz w:val="28"/>
          <w:szCs w:val="28"/>
        </w:rPr>
        <w:t>Интернет</w:t>
      </w:r>
      <w:r w:rsidR="003D1723" w:rsidRPr="003D1723">
        <w:rPr>
          <w:rFonts w:ascii="Times New Roman" w:hAnsi="Times New Roman" w:cs="Times New Roman"/>
          <w:sz w:val="28"/>
          <w:szCs w:val="28"/>
        </w:rPr>
        <w:t>]. 2015</w:t>
      </w:r>
      <w:r w:rsidR="003D1723">
        <w:rPr>
          <w:rFonts w:ascii="Times New Roman" w:hAnsi="Times New Roman" w:cs="Times New Roman"/>
          <w:sz w:val="28"/>
          <w:szCs w:val="28"/>
        </w:rPr>
        <w:t>;</w:t>
      </w:r>
      <w:r w:rsidR="003D1723" w:rsidRPr="003D1723">
        <w:rPr>
          <w:rFonts w:ascii="Times New Roman" w:hAnsi="Times New Roman" w:cs="Times New Roman"/>
          <w:sz w:val="28"/>
          <w:szCs w:val="28"/>
        </w:rPr>
        <w:t>2(15)</w:t>
      </w:r>
      <w:r w:rsidR="003D1723">
        <w:rPr>
          <w:rFonts w:ascii="Times New Roman" w:hAnsi="Times New Roman" w:cs="Times New Roman"/>
          <w:sz w:val="28"/>
          <w:szCs w:val="28"/>
        </w:rPr>
        <w:t>:</w:t>
      </w:r>
      <w:r w:rsidR="003D1723" w:rsidRPr="003D1723">
        <w:rPr>
          <w:rFonts w:ascii="Times New Roman" w:hAnsi="Times New Roman" w:cs="Times New Roman"/>
          <w:sz w:val="28"/>
          <w:szCs w:val="28"/>
        </w:rPr>
        <w:t>41</w:t>
      </w:r>
      <w:r w:rsidR="003D1723">
        <w:rPr>
          <w:rFonts w:ascii="Times New Roman" w:hAnsi="Times New Roman" w:cs="Times New Roman"/>
          <w:sz w:val="28"/>
          <w:szCs w:val="28"/>
        </w:rPr>
        <w:t>-</w:t>
      </w:r>
      <w:r w:rsidR="000C4F37" w:rsidRPr="003D1723">
        <w:rPr>
          <w:rFonts w:ascii="Times New Roman" w:hAnsi="Times New Roman" w:cs="Times New Roman"/>
          <w:sz w:val="28"/>
          <w:szCs w:val="28"/>
        </w:rPr>
        <w:t>51</w:t>
      </w:r>
      <w:r w:rsidR="003D1723">
        <w:rPr>
          <w:rFonts w:ascii="Times New Roman" w:hAnsi="Times New Roman" w:cs="Times New Roman"/>
          <w:sz w:val="28"/>
          <w:szCs w:val="28"/>
        </w:rPr>
        <w:t xml:space="preserve">. Доступно на: </w:t>
      </w:r>
    </w:p>
    <w:p w:rsidR="00CF0188" w:rsidRPr="003D1723" w:rsidRDefault="003D1723" w:rsidP="00CF0188">
      <w:pPr>
        <w:tabs>
          <w:tab w:val="left" w:pos="2880"/>
        </w:tabs>
        <w:spacing w:after="0" w:line="360" w:lineRule="auto"/>
        <w:jc w:val="both"/>
        <w:rPr>
          <w:rFonts w:ascii="Times New Roman" w:hAnsi="Times New Roman" w:cs="Times New Roman"/>
          <w:sz w:val="28"/>
          <w:szCs w:val="28"/>
        </w:rPr>
      </w:pPr>
      <w:r w:rsidRPr="003D1723">
        <w:rPr>
          <w:rFonts w:ascii="Times New Roman" w:hAnsi="Times New Roman" w:cs="Times New Roman"/>
          <w:sz w:val="28"/>
          <w:szCs w:val="28"/>
        </w:rPr>
        <w:t>http://kardiolog.in.ua/archive/article/65-number-2-15/482-n15s5</w:t>
      </w:r>
    </w:p>
    <w:p w:rsidR="009242DB" w:rsidRPr="002E7A76" w:rsidRDefault="002E7A76" w:rsidP="004C0AD0">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19</w:t>
      </w:r>
      <w:r w:rsidR="00D0196D" w:rsidRPr="00D0196D">
        <w:rPr>
          <w:rFonts w:ascii="Times New Roman" w:hAnsi="Times New Roman" w:cs="Times New Roman"/>
          <w:sz w:val="28"/>
          <w:szCs w:val="28"/>
        </w:rPr>
        <w:t>7</w:t>
      </w:r>
      <w:r w:rsidR="004C0AD0">
        <w:rPr>
          <w:rFonts w:ascii="Times New Roman" w:hAnsi="Times New Roman" w:cs="Times New Roman"/>
          <w:sz w:val="28"/>
          <w:szCs w:val="28"/>
          <w:lang w:val="uk-UA"/>
        </w:rPr>
        <w:t xml:space="preserve">. </w:t>
      </w:r>
      <w:r w:rsidR="00FB2458" w:rsidRPr="002E7A76">
        <w:rPr>
          <w:rFonts w:ascii="Times New Roman" w:hAnsi="Times New Roman" w:cs="Times New Roman"/>
          <w:sz w:val="28"/>
          <w:szCs w:val="28"/>
          <w:lang w:val="uk-UA"/>
        </w:rPr>
        <w:t>Чернацька О. М. Взаємозв’язок між урикемією та пока</w:t>
      </w:r>
      <w:r w:rsidR="009242DB" w:rsidRPr="002E7A76">
        <w:rPr>
          <w:rFonts w:ascii="Times New Roman" w:hAnsi="Times New Roman" w:cs="Times New Roman"/>
          <w:sz w:val="28"/>
          <w:szCs w:val="28"/>
          <w:lang w:val="uk-UA"/>
        </w:rPr>
        <w:t xml:space="preserve">зниками функції серця в осіб з </w:t>
      </w:r>
      <w:r w:rsidR="00FB2458" w:rsidRPr="002E7A76">
        <w:rPr>
          <w:rFonts w:ascii="Times New Roman" w:hAnsi="Times New Roman" w:cs="Times New Roman"/>
          <w:sz w:val="28"/>
          <w:szCs w:val="28"/>
          <w:lang w:val="uk-UA"/>
        </w:rPr>
        <w:t>артеріальною гіпертензією і цукровим діабетом 2-го типу</w:t>
      </w:r>
      <w:r w:rsidR="007C377C" w:rsidRPr="002E7A76">
        <w:rPr>
          <w:rFonts w:ascii="Times New Roman" w:hAnsi="Times New Roman" w:cs="Times New Roman"/>
          <w:sz w:val="28"/>
          <w:szCs w:val="28"/>
        </w:rPr>
        <w:t xml:space="preserve">. </w:t>
      </w:r>
      <w:r w:rsidR="009242DB" w:rsidRPr="002E7A76">
        <w:rPr>
          <w:rFonts w:ascii="Times New Roman" w:hAnsi="Times New Roman" w:cs="Times New Roman"/>
          <w:sz w:val="28"/>
          <w:szCs w:val="28"/>
          <w:lang w:val="en-US"/>
        </w:rPr>
        <w:t>J.Clin.Exp Med.Res [Internet].</w:t>
      </w:r>
      <w:r w:rsidR="007C377C" w:rsidRPr="002E7A76">
        <w:rPr>
          <w:rFonts w:ascii="Times New Roman" w:hAnsi="Times New Roman" w:cs="Times New Roman"/>
          <w:sz w:val="28"/>
          <w:szCs w:val="28"/>
          <w:lang w:val="uk-UA"/>
        </w:rPr>
        <w:t xml:space="preserve"> 2018</w:t>
      </w:r>
      <w:r w:rsidR="007C377C" w:rsidRPr="002E7A76">
        <w:rPr>
          <w:rFonts w:ascii="Times New Roman" w:hAnsi="Times New Roman" w:cs="Times New Roman"/>
          <w:sz w:val="28"/>
          <w:szCs w:val="28"/>
          <w:lang w:val="en-US"/>
        </w:rPr>
        <w:t>;</w:t>
      </w:r>
      <w:r w:rsidR="007C377C" w:rsidRPr="002E7A76">
        <w:rPr>
          <w:rFonts w:ascii="Times New Roman" w:hAnsi="Times New Roman" w:cs="Times New Roman"/>
          <w:sz w:val="28"/>
          <w:szCs w:val="28"/>
          <w:lang w:val="uk-UA"/>
        </w:rPr>
        <w:t>6</w:t>
      </w:r>
      <w:r w:rsidR="007C377C" w:rsidRPr="002E7A76">
        <w:rPr>
          <w:rFonts w:ascii="Times New Roman" w:hAnsi="Times New Roman" w:cs="Times New Roman"/>
          <w:sz w:val="28"/>
          <w:szCs w:val="28"/>
          <w:lang w:val="en-US"/>
        </w:rPr>
        <w:t>(</w:t>
      </w:r>
      <w:r w:rsidR="00FB2458" w:rsidRPr="002E7A76">
        <w:rPr>
          <w:rFonts w:ascii="Times New Roman" w:hAnsi="Times New Roman" w:cs="Times New Roman"/>
          <w:sz w:val="28"/>
          <w:szCs w:val="28"/>
          <w:lang w:val="uk-UA"/>
        </w:rPr>
        <w:t>3</w:t>
      </w:r>
      <w:r w:rsidR="007C377C" w:rsidRPr="002E7A76">
        <w:rPr>
          <w:rFonts w:ascii="Times New Roman" w:hAnsi="Times New Roman" w:cs="Times New Roman"/>
          <w:sz w:val="28"/>
          <w:szCs w:val="28"/>
          <w:lang w:val="en-US"/>
        </w:rPr>
        <w:t>)</w:t>
      </w:r>
      <w:r w:rsidR="007C377C" w:rsidRPr="002E7A76">
        <w:rPr>
          <w:rFonts w:ascii="Times New Roman" w:hAnsi="Times New Roman" w:cs="Times New Roman"/>
          <w:sz w:val="28"/>
          <w:szCs w:val="28"/>
          <w:lang w:val="uk-UA"/>
        </w:rPr>
        <w:t>.</w:t>
      </w:r>
      <w:r w:rsidR="009242DB" w:rsidRPr="002E7A76">
        <w:rPr>
          <w:rFonts w:ascii="Times New Roman" w:hAnsi="Times New Roman" w:cs="Times New Roman"/>
          <w:sz w:val="28"/>
          <w:szCs w:val="28"/>
          <w:lang w:val="en-US"/>
        </w:rPr>
        <w:t>341-</w:t>
      </w:r>
      <w:r w:rsidR="007C377C" w:rsidRPr="002E7A76">
        <w:rPr>
          <w:rFonts w:ascii="Times New Roman" w:hAnsi="Times New Roman" w:cs="Times New Roman"/>
          <w:sz w:val="28"/>
          <w:szCs w:val="28"/>
          <w:lang w:val="en-US"/>
        </w:rPr>
        <w:t>5</w:t>
      </w:r>
      <w:r w:rsidR="00FB2458" w:rsidRPr="002E7A76">
        <w:rPr>
          <w:rFonts w:ascii="Times New Roman" w:hAnsi="Times New Roman" w:cs="Times New Roman"/>
          <w:sz w:val="28"/>
          <w:szCs w:val="28"/>
          <w:lang w:val="uk-UA"/>
        </w:rPr>
        <w:t>.</w:t>
      </w:r>
      <w:r w:rsidR="009242DB" w:rsidRPr="002E7A76">
        <w:rPr>
          <w:rFonts w:ascii="Times New Roman" w:hAnsi="Times New Roman" w:cs="Times New Roman"/>
          <w:sz w:val="28"/>
          <w:szCs w:val="28"/>
          <w:lang w:val="en-US"/>
        </w:rPr>
        <w:t xml:space="preserve"> Available from: </w:t>
      </w:r>
    </w:p>
    <w:p w:rsidR="00FB2458" w:rsidRPr="002E7A76" w:rsidRDefault="000A6805" w:rsidP="004C0AD0">
      <w:pPr>
        <w:tabs>
          <w:tab w:val="left" w:pos="2880"/>
        </w:tabs>
        <w:spacing w:after="0" w:line="360" w:lineRule="auto"/>
        <w:jc w:val="both"/>
        <w:rPr>
          <w:rFonts w:ascii="Times New Roman" w:hAnsi="Times New Roman" w:cs="Times New Roman"/>
          <w:sz w:val="28"/>
          <w:szCs w:val="28"/>
          <w:lang w:val="en-US"/>
        </w:rPr>
      </w:pPr>
      <w:hyperlink r:id="rId121" w:history="1">
        <w:r w:rsidR="009242DB" w:rsidRPr="002E7A76">
          <w:rPr>
            <w:rStyle w:val="a9"/>
            <w:rFonts w:ascii="Times New Roman" w:hAnsi="Times New Roman" w:cs="Times New Roman"/>
            <w:color w:val="auto"/>
            <w:sz w:val="28"/>
            <w:szCs w:val="28"/>
            <w:u w:val="none"/>
            <w:lang w:val="en-US"/>
          </w:rPr>
          <w:t>http://ujcem.med.sumdu.edu.ua/images/sampledata/2018/3/341345_2018-38.pdf</w:t>
        </w:r>
      </w:hyperlink>
    </w:p>
    <w:p w:rsidR="009242DB" w:rsidRPr="009242DB" w:rsidRDefault="009242DB" w:rsidP="004C0AD0">
      <w:pPr>
        <w:tabs>
          <w:tab w:val="left" w:pos="2880"/>
        </w:tabs>
        <w:spacing w:after="0" w:line="360" w:lineRule="auto"/>
        <w:jc w:val="both"/>
        <w:rPr>
          <w:rFonts w:ascii="Times New Roman" w:hAnsi="Times New Roman" w:cs="Times New Roman"/>
          <w:sz w:val="28"/>
          <w:szCs w:val="28"/>
          <w:lang w:val="en-US"/>
        </w:rPr>
      </w:pPr>
      <w:r w:rsidRPr="002E7A76">
        <w:rPr>
          <w:rFonts w:ascii="Times New Roman" w:hAnsi="Times New Roman" w:cs="Times New Roman"/>
          <w:sz w:val="28"/>
          <w:szCs w:val="28"/>
          <w:lang w:val="en-US"/>
        </w:rPr>
        <w:t>DOI 10.21272/jcemr.2018.6(3):341–345</w:t>
      </w:r>
    </w:p>
    <w:p w:rsidR="004C0AD0" w:rsidRDefault="002E7A76" w:rsidP="004C0AD0">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D0196D">
        <w:rPr>
          <w:rFonts w:ascii="Times New Roman" w:hAnsi="Times New Roman" w:cs="Times New Roman"/>
          <w:sz w:val="28"/>
          <w:szCs w:val="28"/>
          <w:lang w:val="en-US"/>
        </w:rPr>
        <w:t>8</w:t>
      </w:r>
      <w:r w:rsidR="00FB2458">
        <w:rPr>
          <w:rFonts w:ascii="Times New Roman" w:hAnsi="Times New Roman" w:cs="Times New Roman"/>
          <w:sz w:val="28"/>
          <w:szCs w:val="28"/>
          <w:lang w:val="uk-UA"/>
        </w:rPr>
        <w:t xml:space="preserve">. </w:t>
      </w:r>
      <w:r w:rsidR="004C0AD0">
        <w:rPr>
          <w:rFonts w:ascii="Times New Roman" w:hAnsi="Times New Roman" w:cs="Times New Roman"/>
          <w:sz w:val="28"/>
          <w:szCs w:val="28"/>
          <w:lang w:val="uk-UA"/>
        </w:rPr>
        <w:t xml:space="preserve">Журавльова ЛВ, </w:t>
      </w:r>
      <w:r w:rsidR="004C0AD0" w:rsidRPr="004C0AD0">
        <w:rPr>
          <w:rFonts w:ascii="Times New Roman" w:hAnsi="Times New Roman" w:cs="Times New Roman"/>
          <w:sz w:val="28"/>
          <w:szCs w:val="28"/>
          <w:lang w:val="uk-UA"/>
        </w:rPr>
        <w:t>Шеховцова</w:t>
      </w:r>
      <w:r w:rsidR="004C0AD0">
        <w:rPr>
          <w:rFonts w:ascii="Times New Roman" w:hAnsi="Times New Roman" w:cs="Times New Roman"/>
          <w:sz w:val="28"/>
          <w:szCs w:val="28"/>
          <w:lang w:val="uk-UA"/>
        </w:rPr>
        <w:t xml:space="preserve"> ЮО.</w:t>
      </w:r>
      <w:r w:rsidR="004C0AD0" w:rsidRPr="004C0AD0">
        <w:rPr>
          <w:rFonts w:ascii="Times New Roman" w:hAnsi="Times New Roman" w:cs="Times New Roman"/>
          <w:sz w:val="28"/>
          <w:szCs w:val="28"/>
          <w:lang w:val="uk-UA"/>
        </w:rPr>
        <w:t xml:space="preserve"> Апелін та фактор некрозу пухлин-α у хворих на цукровий діабет 2 типу з різним фенотипом</w:t>
      </w:r>
      <w:r w:rsidR="004C0AD0">
        <w:rPr>
          <w:rFonts w:ascii="Times New Roman" w:hAnsi="Times New Roman" w:cs="Times New Roman"/>
          <w:sz w:val="28"/>
          <w:szCs w:val="28"/>
          <w:lang w:val="uk-UA"/>
        </w:rPr>
        <w:t xml:space="preserve">. </w:t>
      </w:r>
      <w:r w:rsidR="004C0AD0" w:rsidRPr="004C0AD0">
        <w:rPr>
          <w:rFonts w:ascii="Times New Roman" w:hAnsi="Times New Roman" w:cs="Times New Roman"/>
          <w:sz w:val="28"/>
          <w:szCs w:val="28"/>
          <w:lang w:val="uk-UA"/>
        </w:rPr>
        <w:t>Медицина транспорту світу</w:t>
      </w:r>
      <w:r w:rsidR="004C0AD0">
        <w:rPr>
          <w:rFonts w:ascii="Times New Roman" w:hAnsi="Times New Roman" w:cs="Times New Roman"/>
          <w:sz w:val="28"/>
          <w:szCs w:val="28"/>
          <w:lang w:val="uk-UA"/>
        </w:rPr>
        <w:t xml:space="preserve"> </w:t>
      </w:r>
      <w:r w:rsidR="004C0AD0" w:rsidRPr="004C0AD0">
        <w:rPr>
          <w:rFonts w:ascii="Times New Roman" w:hAnsi="Times New Roman" w:cs="Times New Roman"/>
          <w:sz w:val="28"/>
          <w:szCs w:val="28"/>
          <w:lang w:val="uk-UA"/>
        </w:rPr>
        <w:t>[</w:t>
      </w:r>
      <w:r w:rsidR="004C0AD0">
        <w:rPr>
          <w:rFonts w:ascii="Times New Roman" w:hAnsi="Times New Roman" w:cs="Times New Roman"/>
          <w:sz w:val="28"/>
          <w:szCs w:val="28"/>
          <w:lang w:val="uk-UA"/>
        </w:rPr>
        <w:t>Інтернет</w:t>
      </w:r>
      <w:r w:rsidR="004C0AD0" w:rsidRPr="004C0AD0">
        <w:rPr>
          <w:rFonts w:ascii="Times New Roman" w:hAnsi="Times New Roman" w:cs="Times New Roman"/>
          <w:sz w:val="28"/>
          <w:szCs w:val="28"/>
          <w:lang w:val="uk-UA"/>
        </w:rPr>
        <w:t>]</w:t>
      </w:r>
      <w:r w:rsidR="004C0AD0">
        <w:rPr>
          <w:rFonts w:ascii="Times New Roman" w:hAnsi="Times New Roman" w:cs="Times New Roman"/>
          <w:sz w:val="28"/>
          <w:szCs w:val="28"/>
          <w:lang w:val="uk-UA"/>
        </w:rPr>
        <w:t xml:space="preserve">. 2015;1:15-20. Доступно на: </w:t>
      </w:r>
    </w:p>
    <w:p w:rsidR="003D1723" w:rsidRPr="004C0AD0" w:rsidRDefault="000A6805" w:rsidP="004C0AD0">
      <w:pPr>
        <w:tabs>
          <w:tab w:val="left" w:pos="2880"/>
        </w:tabs>
        <w:spacing w:after="0" w:line="360" w:lineRule="auto"/>
        <w:jc w:val="both"/>
        <w:rPr>
          <w:rFonts w:ascii="Times New Roman" w:hAnsi="Times New Roman" w:cs="Times New Roman"/>
          <w:sz w:val="28"/>
          <w:szCs w:val="28"/>
          <w:lang w:val="uk-UA"/>
        </w:rPr>
      </w:pPr>
      <w:hyperlink r:id="rId122" w:history="1">
        <w:r w:rsidR="004C0AD0" w:rsidRPr="004C0AD0">
          <w:rPr>
            <w:rStyle w:val="a9"/>
            <w:rFonts w:ascii="Times New Roman" w:hAnsi="Times New Roman" w:cs="Times New Roman"/>
            <w:color w:val="auto"/>
            <w:sz w:val="28"/>
            <w:szCs w:val="28"/>
            <w:u w:val="none"/>
            <w:lang w:val="uk-UA"/>
          </w:rPr>
          <w:t>http://nbuv.gov.ua/UJRN/MTU_2015_1_5</w:t>
        </w:r>
      </w:hyperlink>
    </w:p>
    <w:p w:rsidR="00D0196D" w:rsidRPr="008B77A1" w:rsidRDefault="00D0196D" w:rsidP="00B67728">
      <w:pPr>
        <w:tabs>
          <w:tab w:val="left" w:pos="2880"/>
        </w:tabs>
        <w:spacing w:after="0" w:line="360" w:lineRule="auto"/>
        <w:jc w:val="both"/>
        <w:rPr>
          <w:rFonts w:ascii="Times New Roman" w:hAnsi="Times New Roman" w:cs="Times New Roman"/>
          <w:sz w:val="28"/>
          <w:szCs w:val="28"/>
        </w:rPr>
      </w:pPr>
      <w:r w:rsidRPr="008B77A1">
        <w:rPr>
          <w:rFonts w:ascii="Times New Roman" w:hAnsi="Times New Roman" w:cs="Times New Roman"/>
          <w:sz w:val="28"/>
          <w:szCs w:val="28"/>
          <w:lang w:val="uk-UA"/>
        </w:rPr>
        <w:t>199</w:t>
      </w:r>
      <w:r w:rsidRPr="00D0196D">
        <w:rPr>
          <w:rFonts w:ascii="Times New Roman" w:hAnsi="Times New Roman" w:cs="Times New Roman"/>
          <w:sz w:val="28"/>
          <w:szCs w:val="28"/>
          <w:lang w:val="uk-UA"/>
        </w:rPr>
        <w:t xml:space="preserve">. Чернацька ОМ, Деміхова НВ. </w:t>
      </w:r>
      <w:r w:rsidRPr="00D0196D">
        <w:rPr>
          <w:rFonts w:ascii="Times New Roman" w:hAnsi="Times New Roman" w:cs="Times New Roman"/>
          <w:sz w:val="28"/>
          <w:szCs w:val="28"/>
          <w:lang w:val="uk-UA"/>
        </w:rPr>
        <w:tab/>
        <w:t xml:space="preserve">Імунозапальні особливості функціональ- ного стану серця в осіб із артеріальною гіпертензією та цукровим діабетом   2-го типу. </w:t>
      </w:r>
      <w:r w:rsidRPr="00D0196D">
        <w:rPr>
          <w:rFonts w:ascii="Times New Roman" w:hAnsi="Times New Roman" w:cs="Times New Roman"/>
          <w:sz w:val="28"/>
          <w:szCs w:val="28"/>
        </w:rPr>
        <w:t xml:space="preserve">В: Оспанова ТС, редактор. Коморбідність: міждисциплінарні аспекти та сучасний пацієнт. Матеріали наук.-практ. конф., присвяченої 80-річчю кафедри пропедевтики внутрішньої медицини № 2 та медсестринства ХНМУ, 2018 вересень 27; Харків. </w:t>
      </w:r>
      <w:r w:rsidRPr="008B77A1">
        <w:rPr>
          <w:rFonts w:ascii="Times New Roman" w:hAnsi="Times New Roman" w:cs="Times New Roman"/>
          <w:sz w:val="28"/>
          <w:szCs w:val="28"/>
        </w:rPr>
        <w:t>Харків : ХНМУ; 2018, с.77-8.</w:t>
      </w:r>
    </w:p>
    <w:p w:rsidR="0020180C" w:rsidRPr="0060358E" w:rsidRDefault="00D0196D" w:rsidP="00B67728">
      <w:pPr>
        <w:tabs>
          <w:tab w:val="left" w:pos="2880"/>
        </w:tabs>
        <w:spacing w:after="0" w:line="360" w:lineRule="auto"/>
        <w:jc w:val="both"/>
        <w:rPr>
          <w:rFonts w:ascii="Times New Roman" w:hAnsi="Times New Roman" w:cs="Times New Roman"/>
          <w:sz w:val="28"/>
          <w:szCs w:val="28"/>
          <w:lang w:val="uk-UA"/>
        </w:rPr>
      </w:pPr>
      <w:r w:rsidRPr="008B77A1">
        <w:rPr>
          <w:rFonts w:ascii="Times New Roman" w:hAnsi="Times New Roman" w:cs="Times New Roman"/>
          <w:sz w:val="28"/>
          <w:szCs w:val="28"/>
        </w:rPr>
        <w:t>200</w:t>
      </w:r>
      <w:r w:rsidR="004C0AD0">
        <w:rPr>
          <w:rFonts w:ascii="Times New Roman" w:hAnsi="Times New Roman" w:cs="Times New Roman"/>
          <w:sz w:val="28"/>
          <w:szCs w:val="28"/>
          <w:lang w:val="uk-UA"/>
        </w:rPr>
        <w:t xml:space="preserve">. </w:t>
      </w:r>
      <w:r w:rsidR="00845E37" w:rsidRPr="002E7A76">
        <w:rPr>
          <w:rFonts w:ascii="Times New Roman" w:hAnsi="Times New Roman" w:cs="Times New Roman"/>
          <w:sz w:val="28"/>
          <w:szCs w:val="28"/>
          <w:lang w:val="uk-UA"/>
        </w:rPr>
        <w:t xml:space="preserve">Чернацька ОМ. Порівняльна ефективність телмісартану та лізиноприлу щодо впливу на рівень співвідношення мікроальбумін/креатинін в осіб з артеріальною гіпертензією ІІІ стадії та цукровим діабетом 2-го типу. В: Фадєєнко ГД, редактор. Щорічні терапевтичні читання: профілактика </w:t>
      </w:r>
      <w:r w:rsidR="00845E37" w:rsidRPr="002E7A76">
        <w:rPr>
          <w:rFonts w:ascii="Times New Roman" w:hAnsi="Times New Roman" w:cs="Times New Roman"/>
          <w:sz w:val="28"/>
          <w:szCs w:val="28"/>
          <w:lang w:val="uk-UA"/>
        </w:rPr>
        <w:lastRenderedPageBreak/>
        <w:t>неінфекційних захворювань на перехресті терапевтичних наук. Матеріали наук.-практ. конф. за міжнародної участі, присвяченій памʼяті академіка Л. Т. Малої; 2016 квіт. 21; Харків. Харків: Національний інститут терапії імені Л. Т. Малої НАМН України; 2016, с. 344.</w:t>
      </w:r>
    </w:p>
    <w:p w:rsidR="00B67728" w:rsidRPr="003B17A5" w:rsidRDefault="00D0196D" w:rsidP="003B17A5">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201</w:t>
      </w:r>
      <w:r w:rsidR="00B67728">
        <w:rPr>
          <w:rFonts w:ascii="Times New Roman" w:hAnsi="Times New Roman" w:cs="Times New Roman"/>
          <w:sz w:val="28"/>
          <w:szCs w:val="28"/>
          <w:lang w:val="uk-UA"/>
        </w:rPr>
        <w:t xml:space="preserve">. </w:t>
      </w:r>
      <w:r w:rsidR="003B17A5" w:rsidRPr="003B17A5">
        <w:rPr>
          <w:rFonts w:ascii="Times New Roman" w:hAnsi="Times New Roman" w:cs="Times New Roman"/>
          <w:sz w:val="28"/>
          <w:szCs w:val="28"/>
          <w:lang w:val="uk-UA"/>
        </w:rPr>
        <w:t>Wu</w:t>
      </w:r>
      <w:r w:rsidR="003B17A5">
        <w:rPr>
          <w:rFonts w:ascii="Times New Roman" w:hAnsi="Times New Roman" w:cs="Times New Roman"/>
          <w:sz w:val="28"/>
          <w:szCs w:val="28"/>
          <w:lang w:val="uk-UA"/>
        </w:rPr>
        <w:t xml:space="preserve"> </w:t>
      </w:r>
      <w:r w:rsidR="003B17A5">
        <w:rPr>
          <w:rFonts w:ascii="Times New Roman" w:hAnsi="Times New Roman" w:cs="Times New Roman"/>
          <w:sz w:val="28"/>
          <w:szCs w:val="28"/>
          <w:lang w:val="en-US"/>
        </w:rPr>
        <w:t>N</w:t>
      </w:r>
      <w:r w:rsidR="003B17A5">
        <w:rPr>
          <w:rFonts w:ascii="Times New Roman" w:hAnsi="Times New Roman" w:cs="Times New Roman"/>
          <w:sz w:val="28"/>
          <w:szCs w:val="28"/>
          <w:lang w:val="uk-UA"/>
        </w:rPr>
        <w:t xml:space="preserve">, </w:t>
      </w:r>
      <w:r w:rsidR="003B17A5" w:rsidRPr="003B17A5">
        <w:rPr>
          <w:rFonts w:ascii="Times New Roman" w:hAnsi="Times New Roman" w:cs="Times New Roman"/>
          <w:sz w:val="28"/>
          <w:szCs w:val="28"/>
          <w:lang w:val="uk-UA"/>
        </w:rPr>
        <w:t>Zhao</w:t>
      </w:r>
      <w:r w:rsidR="003B17A5">
        <w:rPr>
          <w:rFonts w:ascii="Times New Roman" w:hAnsi="Times New Roman" w:cs="Times New Roman"/>
          <w:sz w:val="28"/>
          <w:szCs w:val="28"/>
          <w:lang w:val="en-US"/>
        </w:rPr>
        <w:t xml:space="preserve"> W</w:t>
      </w:r>
      <w:r w:rsidR="003B17A5">
        <w:rPr>
          <w:rFonts w:ascii="Times New Roman" w:hAnsi="Times New Roman" w:cs="Times New Roman"/>
          <w:sz w:val="28"/>
          <w:szCs w:val="28"/>
          <w:lang w:val="uk-UA"/>
        </w:rPr>
        <w:t xml:space="preserve">, </w:t>
      </w:r>
      <w:r w:rsidR="003B17A5" w:rsidRPr="003B17A5">
        <w:rPr>
          <w:rFonts w:ascii="Times New Roman" w:hAnsi="Times New Roman" w:cs="Times New Roman"/>
          <w:sz w:val="28"/>
          <w:szCs w:val="28"/>
          <w:lang w:val="uk-UA"/>
        </w:rPr>
        <w:t>Ye</w:t>
      </w:r>
      <w:r w:rsidR="003B17A5">
        <w:rPr>
          <w:rFonts w:ascii="Times New Roman" w:hAnsi="Times New Roman" w:cs="Times New Roman"/>
          <w:sz w:val="28"/>
          <w:szCs w:val="28"/>
          <w:lang w:val="en-US"/>
        </w:rPr>
        <w:t xml:space="preserve"> K</w:t>
      </w:r>
      <w:r w:rsidR="003B17A5">
        <w:rPr>
          <w:rFonts w:ascii="Times New Roman" w:hAnsi="Times New Roman" w:cs="Times New Roman"/>
          <w:sz w:val="28"/>
          <w:szCs w:val="28"/>
          <w:lang w:val="uk-UA"/>
        </w:rPr>
        <w:t>,</w:t>
      </w:r>
      <w:r w:rsidR="003B17A5" w:rsidRPr="003B17A5">
        <w:rPr>
          <w:rFonts w:ascii="Times New Roman" w:hAnsi="Times New Roman" w:cs="Times New Roman"/>
          <w:sz w:val="28"/>
          <w:szCs w:val="28"/>
          <w:lang w:val="uk-UA"/>
        </w:rPr>
        <w:t xml:space="preserve"> Li</w:t>
      </w:r>
      <w:r w:rsidR="003B17A5">
        <w:rPr>
          <w:rFonts w:ascii="Times New Roman" w:hAnsi="Times New Roman" w:cs="Times New Roman"/>
          <w:sz w:val="28"/>
          <w:szCs w:val="28"/>
          <w:lang w:val="en-US"/>
        </w:rPr>
        <w:t xml:space="preserve"> Y</w:t>
      </w:r>
      <w:r w:rsidR="003B17A5">
        <w:rPr>
          <w:rFonts w:ascii="Times New Roman" w:hAnsi="Times New Roman" w:cs="Times New Roman"/>
          <w:sz w:val="28"/>
          <w:szCs w:val="28"/>
          <w:lang w:val="uk-UA"/>
        </w:rPr>
        <w:t>,</w:t>
      </w:r>
      <w:r w:rsidR="003B17A5" w:rsidRPr="003B17A5">
        <w:rPr>
          <w:rFonts w:ascii="Times New Roman" w:hAnsi="Times New Roman" w:cs="Times New Roman"/>
          <w:sz w:val="28"/>
          <w:szCs w:val="28"/>
          <w:lang w:val="uk-UA"/>
        </w:rPr>
        <w:t xml:space="preserve"> He</w:t>
      </w:r>
      <w:r w:rsidR="003B17A5">
        <w:rPr>
          <w:rFonts w:ascii="Times New Roman" w:hAnsi="Times New Roman" w:cs="Times New Roman"/>
          <w:sz w:val="28"/>
          <w:szCs w:val="28"/>
          <w:lang w:val="en-US"/>
        </w:rPr>
        <w:t xml:space="preserve"> M</w:t>
      </w:r>
      <w:r w:rsidR="003B17A5">
        <w:rPr>
          <w:rFonts w:ascii="Times New Roman" w:hAnsi="Times New Roman" w:cs="Times New Roman"/>
          <w:sz w:val="28"/>
          <w:szCs w:val="28"/>
          <w:lang w:val="uk-UA"/>
        </w:rPr>
        <w:t>,</w:t>
      </w:r>
      <w:r w:rsidR="003B17A5" w:rsidRPr="003B17A5">
        <w:rPr>
          <w:rFonts w:ascii="Times New Roman" w:hAnsi="Times New Roman" w:cs="Times New Roman"/>
          <w:sz w:val="28"/>
          <w:szCs w:val="28"/>
          <w:lang w:val="uk-UA"/>
        </w:rPr>
        <w:t xml:space="preserve"> Lu</w:t>
      </w:r>
      <w:r w:rsidR="003B17A5">
        <w:rPr>
          <w:rFonts w:ascii="Times New Roman" w:hAnsi="Times New Roman" w:cs="Times New Roman"/>
          <w:sz w:val="28"/>
          <w:szCs w:val="28"/>
          <w:lang w:val="en-US"/>
        </w:rPr>
        <w:t xml:space="preserve"> B</w:t>
      </w:r>
      <w:r w:rsidR="003B17A5" w:rsidRPr="003B17A5">
        <w:rPr>
          <w:rFonts w:ascii="Times New Roman" w:hAnsi="Times New Roman" w:cs="Times New Roman"/>
          <w:sz w:val="28"/>
          <w:szCs w:val="28"/>
          <w:lang w:val="uk-UA"/>
        </w:rPr>
        <w:t>,</w:t>
      </w:r>
      <w:r w:rsidR="003B17A5">
        <w:rPr>
          <w:rFonts w:ascii="Times New Roman" w:hAnsi="Times New Roman" w:cs="Times New Roman"/>
          <w:sz w:val="28"/>
          <w:szCs w:val="28"/>
          <w:lang w:val="en-US"/>
        </w:rPr>
        <w:t xml:space="preserve"> et al. </w:t>
      </w:r>
      <w:r w:rsidR="003B17A5" w:rsidRPr="003B17A5">
        <w:rPr>
          <w:rFonts w:ascii="Times New Roman" w:hAnsi="Times New Roman" w:cs="Times New Roman"/>
          <w:sz w:val="28"/>
          <w:szCs w:val="28"/>
          <w:lang w:val="en-US"/>
        </w:rPr>
        <w:t>Albuminuria Is Associated with Left Ventricular Hypertrophy in Patients with Early Diabetic Kidney Disease</w:t>
      </w:r>
      <w:r w:rsidR="003B17A5">
        <w:rPr>
          <w:rFonts w:ascii="Times New Roman" w:hAnsi="Times New Roman" w:cs="Times New Roman"/>
          <w:sz w:val="28"/>
          <w:szCs w:val="28"/>
          <w:lang w:val="en-US"/>
        </w:rPr>
        <w:t xml:space="preserve">. </w:t>
      </w:r>
    </w:p>
    <w:p w:rsidR="003B17A5" w:rsidRDefault="003B17A5" w:rsidP="00011FF0">
      <w:pPr>
        <w:tabs>
          <w:tab w:val="left" w:pos="2880"/>
        </w:tabs>
        <w:spacing w:after="0" w:line="360" w:lineRule="auto"/>
        <w:jc w:val="both"/>
        <w:rPr>
          <w:rFonts w:ascii="Times New Roman" w:hAnsi="Times New Roman" w:cs="Times New Roman"/>
          <w:sz w:val="28"/>
          <w:szCs w:val="28"/>
          <w:lang w:val="en-US"/>
        </w:rPr>
      </w:pPr>
      <w:r w:rsidRPr="003B17A5">
        <w:rPr>
          <w:rFonts w:ascii="Times New Roman" w:hAnsi="Times New Roman" w:cs="Times New Roman"/>
          <w:sz w:val="28"/>
          <w:szCs w:val="28"/>
          <w:lang w:val="en-US"/>
        </w:rPr>
        <w:t>Interna</w:t>
      </w:r>
      <w:r>
        <w:rPr>
          <w:rFonts w:ascii="Times New Roman" w:hAnsi="Times New Roman" w:cs="Times New Roman"/>
          <w:sz w:val="28"/>
          <w:szCs w:val="28"/>
          <w:lang w:val="en-US"/>
        </w:rPr>
        <w:t xml:space="preserve">tional Journal of Endocrinology </w:t>
      </w:r>
      <w:r w:rsidRPr="003B17A5">
        <w:rPr>
          <w:rFonts w:ascii="Times New Roman" w:hAnsi="Times New Roman" w:cs="Times New Roman"/>
          <w:sz w:val="28"/>
          <w:szCs w:val="28"/>
          <w:lang w:val="en-US"/>
        </w:rPr>
        <w:t>[Internet].</w:t>
      </w:r>
      <w:r>
        <w:rPr>
          <w:rFonts w:ascii="Times New Roman" w:hAnsi="Times New Roman" w:cs="Times New Roman"/>
          <w:sz w:val="28"/>
          <w:szCs w:val="28"/>
          <w:lang w:val="en-US"/>
        </w:rPr>
        <w:t xml:space="preserve"> 2014;ID351945:8p. </w:t>
      </w:r>
      <w:r w:rsidRPr="003B17A5">
        <w:rPr>
          <w:rFonts w:ascii="Times New Roman" w:hAnsi="Times New Roman" w:cs="Times New Roman"/>
          <w:sz w:val="28"/>
          <w:szCs w:val="28"/>
          <w:lang w:val="en-US"/>
        </w:rPr>
        <w:t>Available from:</w:t>
      </w:r>
      <w:r>
        <w:rPr>
          <w:rFonts w:ascii="Times New Roman" w:hAnsi="Times New Roman" w:cs="Times New Roman"/>
          <w:sz w:val="28"/>
          <w:szCs w:val="28"/>
          <w:lang w:val="en-US"/>
        </w:rPr>
        <w:t xml:space="preserve"> </w:t>
      </w:r>
      <w:r w:rsidRPr="003B17A5">
        <w:rPr>
          <w:rFonts w:ascii="Times New Roman" w:hAnsi="Times New Roman" w:cs="Times New Roman"/>
          <w:sz w:val="28"/>
          <w:szCs w:val="28"/>
          <w:lang w:val="en-US"/>
        </w:rPr>
        <w:t>http://dx.doi.org/10.1155/2014/351945</w:t>
      </w:r>
    </w:p>
    <w:p w:rsidR="00B67728" w:rsidRDefault="00D0196D" w:rsidP="00011FF0">
      <w:pPr>
        <w:tabs>
          <w:tab w:val="left" w:pos="2880"/>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202</w:t>
      </w:r>
      <w:r w:rsidR="00D5566C">
        <w:rPr>
          <w:rFonts w:ascii="Times New Roman" w:hAnsi="Times New Roman" w:cs="Times New Roman"/>
          <w:sz w:val="28"/>
          <w:szCs w:val="28"/>
          <w:lang w:val="uk-UA"/>
        </w:rPr>
        <w:t xml:space="preserve">. </w:t>
      </w:r>
      <w:r w:rsidR="00011FF0">
        <w:rPr>
          <w:rFonts w:ascii="Times New Roman" w:hAnsi="Times New Roman" w:cs="Times New Roman"/>
          <w:sz w:val="28"/>
          <w:szCs w:val="28"/>
          <w:lang w:val="uk-UA"/>
        </w:rPr>
        <w:t>Yarema N</w:t>
      </w:r>
      <w:r w:rsidR="00011FF0">
        <w:rPr>
          <w:rFonts w:ascii="Times New Roman" w:hAnsi="Times New Roman" w:cs="Times New Roman"/>
          <w:sz w:val="28"/>
          <w:szCs w:val="28"/>
          <w:lang w:val="en-US"/>
        </w:rPr>
        <w:t xml:space="preserve">, </w:t>
      </w:r>
      <w:r w:rsidR="00011FF0" w:rsidRPr="00011FF0">
        <w:rPr>
          <w:rFonts w:ascii="Times New Roman" w:hAnsi="Times New Roman" w:cs="Times New Roman"/>
          <w:sz w:val="28"/>
          <w:szCs w:val="28"/>
          <w:lang w:val="en-US"/>
        </w:rPr>
        <w:t>Bilochytska</w:t>
      </w:r>
      <w:r w:rsidR="00011FF0">
        <w:rPr>
          <w:rFonts w:ascii="Times New Roman" w:hAnsi="Times New Roman" w:cs="Times New Roman"/>
          <w:sz w:val="28"/>
          <w:szCs w:val="28"/>
          <w:lang w:val="en-US"/>
        </w:rPr>
        <w:t xml:space="preserve"> V. </w:t>
      </w:r>
      <w:r w:rsidR="00011FF0" w:rsidRPr="00011FF0">
        <w:rPr>
          <w:rFonts w:ascii="Times New Roman" w:hAnsi="Times New Roman" w:cs="Times New Roman"/>
          <w:sz w:val="28"/>
          <w:szCs w:val="28"/>
          <w:lang w:val="uk-UA"/>
        </w:rPr>
        <w:t>Combined telmisartan / hydrochlorthiazide therapy of the patients with essential hypertension and associated atherosclerosis of the lower extremities’ main arteries</w:t>
      </w:r>
      <w:r w:rsidR="00011FF0">
        <w:rPr>
          <w:rFonts w:ascii="Times New Roman" w:hAnsi="Times New Roman" w:cs="Times New Roman"/>
          <w:sz w:val="28"/>
          <w:szCs w:val="28"/>
          <w:lang w:val="en-US"/>
        </w:rPr>
        <w:t xml:space="preserve">. </w:t>
      </w:r>
      <w:r w:rsidR="00011FF0">
        <w:rPr>
          <w:rFonts w:ascii="Times New Roman" w:hAnsi="Times New Roman" w:cs="Times New Roman"/>
          <w:sz w:val="28"/>
          <w:szCs w:val="28"/>
          <w:lang w:val="uk-UA"/>
        </w:rPr>
        <w:t>ESJ</w:t>
      </w:r>
      <w:r w:rsidR="00011FF0">
        <w:rPr>
          <w:rFonts w:ascii="Times New Roman" w:hAnsi="Times New Roman" w:cs="Times New Roman"/>
          <w:sz w:val="28"/>
          <w:szCs w:val="28"/>
          <w:lang w:val="en-US"/>
        </w:rPr>
        <w:t xml:space="preserve"> [Internet]</w:t>
      </w:r>
      <w:r w:rsidR="00011FF0">
        <w:rPr>
          <w:rFonts w:ascii="Times New Roman" w:hAnsi="Times New Roman" w:cs="Times New Roman"/>
          <w:sz w:val="28"/>
          <w:szCs w:val="28"/>
          <w:lang w:val="uk-UA"/>
        </w:rPr>
        <w:t>.</w:t>
      </w:r>
      <w:r w:rsidR="00011FF0">
        <w:rPr>
          <w:rFonts w:ascii="Times New Roman" w:hAnsi="Times New Roman" w:cs="Times New Roman"/>
          <w:sz w:val="28"/>
          <w:szCs w:val="28"/>
          <w:lang w:val="en-US"/>
        </w:rPr>
        <w:t xml:space="preserve"> </w:t>
      </w:r>
      <w:r w:rsidR="00011FF0">
        <w:rPr>
          <w:rFonts w:ascii="Times New Roman" w:hAnsi="Times New Roman" w:cs="Times New Roman"/>
          <w:sz w:val="28"/>
          <w:szCs w:val="28"/>
          <w:lang w:val="uk-UA"/>
        </w:rPr>
        <w:t>2013</w:t>
      </w:r>
      <w:r w:rsidR="00011FF0">
        <w:rPr>
          <w:rFonts w:ascii="Times New Roman" w:hAnsi="Times New Roman" w:cs="Times New Roman"/>
          <w:sz w:val="28"/>
          <w:szCs w:val="28"/>
          <w:lang w:val="en-US"/>
        </w:rPr>
        <w:t>;</w:t>
      </w:r>
      <w:r w:rsidR="00011FF0">
        <w:rPr>
          <w:rFonts w:ascii="Times New Roman" w:hAnsi="Times New Roman" w:cs="Times New Roman"/>
          <w:sz w:val="28"/>
          <w:szCs w:val="28"/>
          <w:lang w:val="uk-UA"/>
        </w:rPr>
        <w:t>3</w:t>
      </w:r>
      <w:r w:rsidR="00011FF0">
        <w:rPr>
          <w:rFonts w:ascii="Times New Roman" w:hAnsi="Times New Roman" w:cs="Times New Roman"/>
          <w:sz w:val="28"/>
          <w:szCs w:val="28"/>
          <w:lang w:val="en-US"/>
        </w:rPr>
        <w:t>:</w:t>
      </w:r>
      <w:r w:rsidR="00011FF0">
        <w:rPr>
          <w:rFonts w:ascii="Times New Roman" w:hAnsi="Times New Roman" w:cs="Times New Roman"/>
          <w:sz w:val="28"/>
          <w:szCs w:val="28"/>
          <w:lang w:val="uk-UA"/>
        </w:rPr>
        <w:t>281</w:t>
      </w:r>
      <w:r w:rsidR="00011FF0">
        <w:rPr>
          <w:rFonts w:ascii="Times New Roman" w:hAnsi="Times New Roman" w:cs="Times New Roman"/>
          <w:sz w:val="28"/>
          <w:szCs w:val="28"/>
          <w:lang w:val="en-US"/>
        </w:rPr>
        <w:t>-</w:t>
      </w:r>
      <w:r w:rsidR="00011FF0" w:rsidRPr="00011FF0">
        <w:rPr>
          <w:rFonts w:ascii="Times New Roman" w:hAnsi="Times New Roman" w:cs="Times New Roman"/>
          <w:sz w:val="28"/>
          <w:szCs w:val="28"/>
          <w:lang w:val="uk-UA"/>
        </w:rPr>
        <w:t>5.</w:t>
      </w:r>
      <w:r w:rsidR="00011FF0">
        <w:rPr>
          <w:rFonts w:ascii="Times New Roman" w:hAnsi="Times New Roman" w:cs="Times New Roman"/>
          <w:sz w:val="28"/>
          <w:szCs w:val="28"/>
          <w:lang w:val="en-US"/>
        </w:rPr>
        <w:t xml:space="preserve"> </w:t>
      </w:r>
      <w:r w:rsidR="00011FF0" w:rsidRPr="00011FF0">
        <w:rPr>
          <w:rFonts w:ascii="Times New Roman" w:hAnsi="Times New Roman" w:cs="Times New Roman"/>
          <w:sz w:val="28"/>
          <w:szCs w:val="28"/>
          <w:lang w:val="en-US"/>
        </w:rPr>
        <w:t>Available from:</w:t>
      </w:r>
      <w:r w:rsidR="00011FF0">
        <w:rPr>
          <w:rFonts w:ascii="Times New Roman" w:hAnsi="Times New Roman" w:cs="Times New Roman"/>
          <w:sz w:val="28"/>
          <w:szCs w:val="28"/>
          <w:lang w:val="en-US"/>
        </w:rPr>
        <w:t xml:space="preserve"> </w:t>
      </w:r>
      <w:hyperlink r:id="rId123" w:history="1">
        <w:r w:rsidR="00011FF0" w:rsidRPr="007E0D0B">
          <w:rPr>
            <w:rStyle w:val="a9"/>
            <w:rFonts w:ascii="Times New Roman" w:hAnsi="Times New Roman" w:cs="Times New Roman"/>
            <w:color w:val="auto"/>
            <w:sz w:val="28"/>
            <w:szCs w:val="28"/>
            <w:u w:val="none"/>
            <w:lang w:val="en-US"/>
          </w:rPr>
          <w:t>https://eujournal.org/index.php/esj/article/view/2437</w:t>
        </w:r>
      </w:hyperlink>
    </w:p>
    <w:p w:rsidR="007E0D0B" w:rsidRPr="00FD6EA1" w:rsidRDefault="002E7A76" w:rsidP="00FD6EA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D0196D">
        <w:rPr>
          <w:rFonts w:ascii="Times New Roman" w:hAnsi="Times New Roman" w:cs="Times New Roman"/>
          <w:sz w:val="28"/>
          <w:szCs w:val="28"/>
          <w:lang w:val="en-US"/>
        </w:rPr>
        <w:t>3</w:t>
      </w:r>
      <w:r w:rsidR="007E0D0B">
        <w:rPr>
          <w:rFonts w:ascii="Times New Roman" w:hAnsi="Times New Roman" w:cs="Times New Roman"/>
          <w:sz w:val="28"/>
          <w:szCs w:val="28"/>
          <w:lang w:val="en-US"/>
        </w:rPr>
        <w:t>.</w:t>
      </w:r>
      <w:r w:rsidR="00E728F5" w:rsidRPr="00E728F5">
        <w:rPr>
          <w:rFonts w:ascii="Times New Roman" w:hAnsi="Times New Roman" w:cs="Times New Roman"/>
          <w:sz w:val="28"/>
          <w:szCs w:val="28"/>
          <w:lang w:val="uk-UA"/>
        </w:rPr>
        <w:t xml:space="preserve"> </w:t>
      </w:r>
      <w:r w:rsidR="00E728F5" w:rsidRPr="002E7A76">
        <w:rPr>
          <w:rFonts w:ascii="Times New Roman" w:hAnsi="Times New Roman" w:cs="Times New Roman"/>
          <w:sz w:val="28"/>
          <w:szCs w:val="28"/>
          <w:lang w:val="uk-UA"/>
        </w:rPr>
        <w:t>Чернацька ОМ. Особливості діастолічної дисфункції лівого шлуночка під впливом лікування телмісартаном в осіб похилого віку з артеріальною гіпертензією та цукровим діабетом 2-го типу. В: Караченцев ЮІ, редактор. Досягнення та перспективи експериментальної і клінічної ендокринології (П’ятнадцяті Данилевські читання). Матер. наук.-практ. конф. за міжнар. участі; 2016 бер. 10-11; Харків. НАМН; 2016, 143-144.</w:t>
      </w:r>
    </w:p>
    <w:p w:rsidR="00DB030D" w:rsidRPr="008C0EFA" w:rsidRDefault="002E7A76" w:rsidP="00FD6EA1">
      <w:pPr>
        <w:tabs>
          <w:tab w:val="left" w:pos="28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D0196D" w:rsidRPr="00D0196D">
        <w:rPr>
          <w:rFonts w:ascii="Times New Roman" w:hAnsi="Times New Roman" w:cs="Times New Roman"/>
          <w:sz w:val="28"/>
          <w:szCs w:val="28"/>
        </w:rPr>
        <w:t>4</w:t>
      </w:r>
      <w:r w:rsidR="00FD6EA1">
        <w:rPr>
          <w:rFonts w:ascii="Times New Roman" w:hAnsi="Times New Roman" w:cs="Times New Roman"/>
          <w:sz w:val="28"/>
          <w:szCs w:val="28"/>
          <w:lang w:val="uk-UA"/>
        </w:rPr>
        <w:t xml:space="preserve">. </w:t>
      </w:r>
      <w:r w:rsidR="008C0EFA" w:rsidRPr="002E7A76">
        <w:rPr>
          <w:rFonts w:ascii="Times New Roman" w:hAnsi="Times New Roman" w:cs="Times New Roman"/>
          <w:sz w:val="28"/>
          <w:szCs w:val="28"/>
          <w:lang w:val="uk-UA"/>
        </w:rPr>
        <w:t>Орловський ВФ, Чернацька ОМ, Безсмертна РВ.</w:t>
      </w:r>
      <w:r w:rsidR="00EA7E78">
        <w:rPr>
          <w:rFonts w:ascii="Times New Roman" w:hAnsi="Times New Roman" w:cs="Times New Roman"/>
          <w:sz w:val="28"/>
          <w:szCs w:val="28"/>
          <w:lang w:val="uk-UA"/>
        </w:rPr>
        <w:t xml:space="preserve"> </w:t>
      </w:r>
      <w:r w:rsidR="00EA7E78" w:rsidRPr="00EA7E78">
        <w:rPr>
          <w:rFonts w:ascii="Times New Roman" w:hAnsi="Times New Roman" w:cs="Times New Roman"/>
          <w:sz w:val="28"/>
          <w:szCs w:val="28"/>
          <w:lang w:val="uk-UA"/>
        </w:rPr>
        <w:t>Оптимізація корекції діабетичної нефропатії в амбулаторних умовах</w:t>
      </w:r>
      <w:r w:rsidR="008C0EFA" w:rsidRPr="002E7A76">
        <w:rPr>
          <w:rFonts w:ascii="Times New Roman" w:hAnsi="Times New Roman" w:cs="Times New Roman"/>
          <w:sz w:val="28"/>
          <w:szCs w:val="28"/>
          <w:lang w:val="uk-UA"/>
        </w:rPr>
        <w:t>. Здоровʼя суспільства. 2017;1-2:111. Наук.-практ. конференція за міжнародної участі «Актуальні питання сімейної медицини та перспективи її розвитку (в рамках Всесвітнього дня сімейного лікаря)», 2017 трав. 18-19; Київ</w:t>
      </w:r>
      <w:r w:rsidR="00E562E5" w:rsidRPr="002E7A76">
        <w:rPr>
          <w:rFonts w:ascii="Times New Roman" w:hAnsi="Times New Roman" w:cs="Times New Roman"/>
          <w:sz w:val="28"/>
          <w:szCs w:val="28"/>
          <w:lang w:val="uk-UA"/>
        </w:rPr>
        <w:t>. Київ, 2017.</w:t>
      </w:r>
    </w:p>
    <w:p w:rsidR="00030212" w:rsidRDefault="00144DC2" w:rsidP="00592E52">
      <w:pPr>
        <w:tabs>
          <w:tab w:val="left" w:pos="2880"/>
        </w:tabs>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20</w:t>
      </w:r>
      <w:r w:rsidR="00D0196D" w:rsidRPr="008B77A1">
        <w:rPr>
          <w:rFonts w:ascii="Times New Roman" w:hAnsi="Times New Roman" w:cs="Times New Roman"/>
          <w:sz w:val="28"/>
          <w:szCs w:val="28"/>
          <w:lang w:val="uk-UA"/>
        </w:rPr>
        <w:t>5</w:t>
      </w:r>
      <w:r w:rsidR="00E562E5" w:rsidRPr="00E562E5">
        <w:rPr>
          <w:rFonts w:ascii="Times New Roman" w:hAnsi="Times New Roman" w:cs="Times New Roman"/>
          <w:sz w:val="28"/>
          <w:szCs w:val="28"/>
          <w:lang w:val="uk-UA"/>
        </w:rPr>
        <w:t xml:space="preserve">. </w:t>
      </w:r>
      <w:r w:rsidR="00E562E5" w:rsidRPr="00144DC2">
        <w:rPr>
          <w:rFonts w:ascii="Times New Roman" w:hAnsi="Times New Roman" w:cs="Times New Roman"/>
          <w:sz w:val="28"/>
          <w:szCs w:val="28"/>
          <w:lang w:val="uk-UA"/>
        </w:rPr>
        <w:t>Пат. 112621, UA, МПК А61К 31/00, А61Р 5/00. Спосіб корекції дисфункції ендотелію у пацієнтів з артеріальною гіпертензією та цукровим діабетом 2-го типу / Н. В. Деміхова, О. М. Чернацька, Ю. О. Сміянова (Україна) ; СумДУ. – № u201606179 ; заявл. 07.06.2016 ; опубл. 26.12.2016, Бюл. № 24.</w:t>
      </w:r>
    </w:p>
    <w:p w:rsidR="00030212" w:rsidRDefault="00030212" w:rsidP="00627A23">
      <w:pPr>
        <w:spacing w:after="0" w:line="360" w:lineRule="auto"/>
        <w:ind w:firstLine="708"/>
        <w:jc w:val="center"/>
        <w:rPr>
          <w:rFonts w:ascii="Times New Roman" w:eastAsia="Times New Roman" w:hAnsi="Times New Roman" w:cs="Times New Roman"/>
          <w:sz w:val="28"/>
          <w:szCs w:val="28"/>
          <w:lang w:val="uk-UA" w:eastAsia="ru-RU"/>
        </w:rPr>
      </w:pPr>
    </w:p>
    <w:p w:rsidR="00030212" w:rsidRDefault="00030212" w:rsidP="00627A23">
      <w:pPr>
        <w:spacing w:after="0" w:line="360" w:lineRule="auto"/>
        <w:ind w:firstLine="708"/>
        <w:jc w:val="center"/>
        <w:rPr>
          <w:rFonts w:ascii="Times New Roman" w:eastAsia="Times New Roman" w:hAnsi="Times New Roman" w:cs="Times New Roman"/>
          <w:sz w:val="28"/>
          <w:szCs w:val="28"/>
          <w:lang w:val="uk-UA" w:eastAsia="ru-RU"/>
        </w:rPr>
      </w:pPr>
    </w:p>
    <w:p w:rsidR="00105B98" w:rsidRPr="00627A23" w:rsidRDefault="002F4699" w:rsidP="00627A23">
      <w:pPr>
        <w:spacing w:after="0" w:line="36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w:t>
      </w:r>
      <w:r w:rsidRPr="00C16B3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А</w:t>
      </w:r>
    </w:p>
    <w:p w:rsidR="00800072" w:rsidRPr="00C16B33" w:rsidRDefault="00800072" w:rsidP="00800072">
      <w:pPr>
        <w:spacing w:after="0" w:line="360" w:lineRule="auto"/>
        <w:ind w:firstLine="708"/>
        <w:jc w:val="center"/>
        <w:rPr>
          <w:rFonts w:ascii="Times New Roman" w:eastAsia="Times New Roman" w:hAnsi="Times New Roman" w:cs="Times New Roman"/>
          <w:b/>
          <w:sz w:val="28"/>
          <w:szCs w:val="28"/>
          <w:lang w:val="uk-UA" w:eastAsia="ru-RU"/>
        </w:rPr>
      </w:pPr>
      <w:r w:rsidRPr="00800072">
        <w:rPr>
          <w:rFonts w:ascii="Times New Roman" w:eastAsia="Times New Roman" w:hAnsi="Times New Roman" w:cs="Times New Roman"/>
          <w:b/>
          <w:sz w:val="28"/>
          <w:szCs w:val="28"/>
          <w:lang w:val="uk-UA" w:eastAsia="ru-RU"/>
        </w:rPr>
        <w:t>СПИСОК ПУБЛІКАЦІЙ ЗДОБУВАЧА</w:t>
      </w:r>
    </w:p>
    <w:p w:rsidR="00800072" w:rsidRPr="00C16B33" w:rsidRDefault="00800072" w:rsidP="00800072">
      <w:pPr>
        <w:spacing w:after="0" w:line="360" w:lineRule="auto"/>
        <w:ind w:firstLine="708"/>
        <w:jc w:val="both"/>
        <w:rPr>
          <w:rFonts w:ascii="Times New Roman" w:eastAsia="Times New Roman" w:hAnsi="Times New Roman" w:cs="Times New Roman"/>
          <w:b/>
          <w:sz w:val="28"/>
          <w:szCs w:val="28"/>
          <w:lang w:val="uk-UA" w:eastAsia="ru-RU"/>
        </w:rPr>
      </w:pPr>
      <w:r w:rsidRPr="00C16B33">
        <w:rPr>
          <w:rFonts w:ascii="Times New Roman" w:eastAsia="Times New Roman" w:hAnsi="Times New Roman" w:cs="Times New Roman"/>
          <w:b/>
          <w:sz w:val="28"/>
          <w:szCs w:val="28"/>
          <w:lang w:val="uk-UA" w:eastAsia="ru-RU"/>
        </w:rPr>
        <w:t>Наукові праці, в яких опубліковані основні наукові результати дисертації:</w:t>
      </w:r>
    </w:p>
    <w:p w:rsidR="00800072" w:rsidRPr="00AE437A" w:rsidRDefault="00800072" w:rsidP="00800072">
      <w:pPr>
        <w:spacing w:after="0" w:line="360" w:lineRule="auto"/>
        <w:ind w:firstLine="708"/>
        <w:jc w:val="both"/>
        <w:rPr>
          <w:rFonts w:ascii="Times New Roman" w:eastAsia="Times New Roman" w:hAnsi="Times New Roman" w:cs="Times New Roman"/>
          <w:sz w:val="28"/>
          <w:szCs w:val="28"/>
          <w:lang w:val="uk-UA" w:eastAsia="ru-RU"/>
        </w:rPr>
      </w:pPr>
      <w:r w:rsidRPr="00C16B33">
        <w:rPr>
          <w:rFonts w:ascii="Times New Roman" w:eastAsia="Times New Roman" w:hAnsi="Times New Roman" w:cs="Times New Roman"/>
          <w:sz w:val="28"/>
          <w:szCs w:val="28"/>
          <w:lang w:val="uk-UA" w:eastAsia="ru-RU"/>
        </w:rPr>
        <w:t>1.</w:t>
      </w:r>
      <w:r w:rsidR="00AE437A">
        <w:rPr>
          <w:rFonts w:ascii="Times New Roman" w:eastAsia="Times New Roman" w:hAnsi="Times New Roman" w:cs="Times New Roman"/>
          <w:sz w:val="28"/>
          <w:szCs w:val="28"/>
          <w:lang w:val="uk-UA" w:eastAsia="ru-RU"/>
        </w:rPr>
        <w:t xml:space="preserve"> </w:t>
      </w:r>
      <w:r w:rsidR="00AE437A" w:rsidRPr="00AE437A">
        <w:rPr>
          <w:rFonts w:ascii="Times New Roman" w:eastAsia="Times New Roman" w:hAnsi="Times New Roman" w:cs="Times New Roman"/>
          <w:sz w:val="28"/>
          <w:szCs w:val="28"/>
          <w:lang w:val="uk-UA" w:eastAsia="ru-RU"/>
        </w:rPr>
        <w:t>Чернацька О. М. Особливості ліпідного обміну в осіб з артеріальною гіпертензією і цукровим діабетом 2-го типу</w:t>
      </w:r>
      <w:r w:rsidR="00CA6671">
        <w:rPr>
          <w:rFonts w:ascii="Times New Roman" w:eastAsia="Times New Roman" w:hAnsi="Times New Roman" w:cs="Times New Roman"/>
          <w:sz w:val="28"/>
          <w:szCs w:val="28"/>
          <w:lang w:val="uk-UA" w:eastAsia="ru-RU"/>
        </w:rPr>
        <w:t xml:space="preserve"> / О</w:t>
      </w:r>
      <w:r w:rsidR="00AE437A" w:rsidRPr="00AE437A">
        <w:rPr>
          <w:rFonts w:ascii="Times New Roman" w:eastAsia="Times New Roman" w:hAnsi="Times New Roman" w:cs="Times New Roman"/>
          <w:sz w:val="28"/>
          <w:szCs w:val="28"/>
          <w:lang w:val="uk-UA" w:eastAsia="ru-RU"/>
        </w:rPr>
        <w:t>.</w:t>
      </w:r>
      <w:r w:rsidR="00CA6671">
        <w:rPr>
          <w:rFonts w:ascii="Times New Roman" w:eastAsia="Times New Roman" w:hAnsi="Times New Roman" w:cs="Times New Roman"/>
          <w:sz w:val="28"/>
          <w:szCs w:val="28"/>
          <w:lang w:val="uk-UA" w:eastAsia="ru-RU"/>
        </w:rPr>
        <w:t xml:space="preserve"> М. Чернацька //</w:t>
      </w:r>
      <w:r w:rsidR="00AE437A" w:rsidRPr="00AE437A">
        <w:rPr>
          <w:rFonts w:ascii="Times New Roman" w:eastAsia="Times New Roman" w:hAnsi="Times New Roman" w:cs="Times New Roman"/>
          <w:sz w:val="28"/>
          <w:szCs w:val="28"/>
          <w:lang w:val="uk-UA" w:eastAsia="ru-RU"/>
        </w:rPr>
        <w:t xml:space="preserve"> Журнал клінічних та експериментальних медичних дослідж</w:t>
      </w:r>
      <w:r w:rsidR="005D325C">
        <w:rPr>
          <w:rFonts w:ascii="Times New Roman" w:eastAsia="Times New Roman" w:hAnsi="Times New Roman" w:cs="Times New Roman"/>
          <w:sz w:val="28"/>
          <w:szCs w:val="28"/>
          <w:lang w:val="uk-UA" w:eastAsia="ru-RU"/>
        </w:rPr>
        <w:t xml:space="preserve">ень. – 2018. – </w:t>
      </w:r>
      <w:r w:rsidR="00CE43A0">
        <w:rPr>
          <w:rFonts w:ascii="Times New Roman" w:eastAsia="Times New Roman" w:hAnsi="Times New Roman" w:cs="Times New Roman"/>
          <w:sz w:val="28"/>
          <w:szCs w:val="28"/>
          <w:lang w:val="uk-UA" w:eastAsia="ru-RU"/>
        </w:rPr>
        <w:t>Том 6, №</w:t>
      </w:r>
      <w:r w:rsidR="00713102">
        <w:rPr>
          <w:rFonts w:ascii="Times New Roman" w:eastAsia="Times New Roman" w:hAnsi="Times New Roman" w:cs="Times New Roman"/>
          <w:sz w:val="28"/>
          <w:szCs w:val="28"/>
          <w:lang w:val="uk-UA" w:eastAsia="ru-RU"/>
        </w:rPr>
        <w:t xml:space="preserve"> </w:t>
      </w:r>
      <w:r w:rsidR="00CE43A0">
        <w:rPr>
          <w:rFonts w:ascii="Times New Roman" w:eastAsia="Times New Roman" w:hAnsi="Times New Roman" w:cs="Times New Roman"/>
          <w:sz w:val="28"/>
          <w:szCs w:val="28"/>
          <w:lang w:val="uk-UA" w:eastAsia="ru-RU"/>
        </w:rPr>
        <w:t>2</w:t>
      </w:r>
      <w:r w:rsidR="005D325C">
        <w:rPr>
          <w:rFonts w:ascii="Times New Roman" w:eastAsia="Times New Roman" w:hAnsi="Times New Roman" w:cs="Times New Roman"/>
          <w:sz w:val="28"/>
          <w:szCs w:val="28"/>
          <w:lang w:val="uk-UA" w:eastAsia="ru-RU"/>
        </w:rPr>
        <w:t>. – С. 238</w:t>
      </w:r>
      <w:r w:rsidR="005D325C" w:rsidRPr="005D325C">
        <w:rPr>
          <w:rFonts w:ascii="Times New Roman" w:eastAsia="Times New Roman" w:hAnsi="Times New Roman" w:cs="Times New Roman"/>
          <w:sz w:val="28"/>
          <w:szCs w:val="28"/>
          <w:lang w:val="uk-UA" w:eastAsia="ru-RU"/>
        </w:rPr>
        <w:t>–</w:t>
      </w:r>
      <w:r w:rsidR="00AE437A" w:rsidRPr="00AE437A">
        <w:rPr>
          <w:rFonts w:ascii="Times New Roman" w:eastAsia="Times New Roman" w:hAnsi="Times New Roman" w:cs="Times New Roman"/>
          <w:sz w:val="28"/>
          <w:szCs w:val="28"/>
          <w:lang w:val="uk-UA" w:eastAsia="ru-RU"/>
        </w:rPr>
        <w:t>244.</w:t>
      </w:r>
    </w:p>
    <w:p w:rsidR="00800072" w:rsidRPr="00EB52B3" w:rsidRDefault="00800072" w:rsidP="00800072">
      <w:pPr>
        <w:spacing w:after="0" w:line="360" w:lineRule="auto"/>
        <w:ind w:firstLine="708"/>
        <w:jc w:val="both"/>
        <w:rPr>
          <w:rFonts w:ascii="Times New Roman" w:eastAsia="Times New Roman" w:hAnsi="Times New Roman" w:cs="Times New Roman"/>
          <w:sz w:val="28"/>
          <w:szCs w:val="28"/>
          <w:lang w:val="uk-UA" w:eastAsia="ru-RU"/>
        </w:rPr>
      </w:pPr>
      <w:r w:rsidRPr="00E941CA">
        <w:rPr>
          <w:rFonts w:ascii="Times New Roman" w:eastAsia="Times New Roman" w:hAnsi="Times New Roman" w:cs="Times New Roman"/>
          <w:sz w:val="28"/>
          <w:szCs w:val="28"/>
          <w:lang w:val="uk-UA" w:eastAsia="ru-RU"/>
        </w:rPr>
        <w:t>2.</w:t>
      </w:r>
      <w:r w:rsidR="00EB52B3">
        <w:rPr>
          <w:rFonts w:ascii="Times New Roman" w:eastAsia="Times New Roman" w:hAnsi="Times New Roman" w:cs="Times New Roman"/>
          <w:sz w:val="28"/>
          <w:szCs w:val="28"/>
          <w:lang w:val="uk-UA" w:eastAsia="ru-RU"/>
        </w:rPr>
        <w:t xml:space="preserve"> </w:t>
      </w:r>
      <w:r w:rsidR="00E80A51">
        <w:rPr>
          <w:rFonts w:ascii="Times New Roman" w:eastAsia="Times New Roman" w:hAnsi="Times New Roman" w:cs="Times New Roman"/>
          <w:sz w:val="28"/>
          <w:szCs w:val="28"/>
          <w:lang w:val="uk-UA" w:eastAsia="ru-RU"/>
        </w:rPr>
        <w:t>Чернацька О. М. Взаємозвʼ</w:t>
      </w:r>
      <w:r w:rsidR="00EB52B3" w:rsidRPr="00EB52B3">
        <w:rPr>
          <w:rFonts w:ascii="Times New Roman" w:eastAsia="Times New Roman" w:hAnsi="Times New Roman" w:cs="Times New Roman"/>
          <w:sz w:val="28"/>
          <w:szCs w:val="28"/>
          <w:lang w:val="uk-UA" w:eastAsia="ru-RU"/>
        </w:rPr>
        <w:t>язок між коефіцієнтом атерогенності та рівнем розчинної форми молекули адгезії судинного ендотелію 1 типу в осіб з артеріальною гіпертен</w:t>
      </w:r>
      <w:r w:rsidR="00CA6671">
        <w:rPr>
          <w:rFonts w:ascii="Times New Roman" w:eastAsia="Times New Roman" w:hAnsi="Times New Roman" w:cs="Times New Roman"/>
          <w:sz w:val="28"/>
          <w:szCs w:val="28"/>
          <w:lang w:val="uk-UA" w:eastAsia="ru-RU"/>
        </w:rPr>
        <w:t>зією і цукровим діабетом 2 типу / О. М. Чернацька //</w:t>
      </w:r>
      <w:r w:rsidR="00EB52B3" w:rsidRPr="00EB52B3">
        <w:rPr>
          <w:rFonts w:ascii="Times New Roman" w:eastAsia="Times New Roman" w:hAnsi="Times New Roman" w:cs="Times New Roman"/>
          <w:sz w:val="28"/>
          <w:szCs w:val="28"/>
          <w:lang w:val="uk-UA" w:eastAsia="ru-RU"/>
        </w:rPr>
        <w:t xml:space="preserve"> </w:t>
      </w:r>
      <w:r w:rsidR="00CA6671" w:rsidRPr="00CA6671">
        <w:rPr>
          <w:rFonts w:ascii="Times New Roman" w:eastAsia="Times New Roman" w:hAnsi="Times New Roman" w:cs="Times New Roman"/>
          <w:sz w:val="28"/>
          <w:szCs w:val="28"/>
          <w:lang w:val="uk-UA" w:eastAsia="ru-RU"/>
        </w:rPr>
        <w:t>Науково-практичний журнал «</w:t>
      </w:r>
      <w:r w:rsidR="00EB52B3" w:rsidRPr="00EB52B3">
        <w:rPr>
          <w:rFonts w:ascii="Times New Roman" w:eastAsia="Times New Roman" w:hAnsi="Times New Roman" w:cs="Times New Roman"/>
          <w:sz w:val="28"/>
          <w:szCs w:val="28"/>
          <w:lang w:val="uk-UA" w:eastAsia="ru-RU"/>
        </w:rPr>
        <w:t>Проблеми безперервної медичної освіти та науки</w:t>
      </w:r>
      <w:r w:rsidR="00CA6671" w:rsidRPr="00CA6671">
        <w:rPr>
          <w:rFonts w:ascii="Times New Roman" w:eastAsia="Times New Roman" w:hAnsi="Times New Roman" w:cs="Times New Roman"/>
          <w:sz w:val="28"/>
          <w:szCs w:val="28"/>
          <w:lang w:val="uk-UA" w:eastAsia="ru-RU"/>
        </w:rPr>
        <w:t>»</w:t>
      </w:r>
      <w:r w:rsidR="00EB52B3" w:rsidRPr="00EB52B3">
        <w:rPr>
          <w:rFonts w:ascii="Times New Roman" w:eastAsia="Times New Roman" w:hAnsi="Times New Roman" w:cs="Times New Roman"/>
          <w:sz w:val="28"/>
          <w:szCs w:val="28"/>
          <w:lang w:val="uk-UA" w:eastAsia="ru-RU"/>
        </w:rPr>
        <w:t>. – 2018. – №</w:t>
      </w:r>
      <w:r w:rsidR="00713102">
        <w:rPr>
          <w:rFonts w:ascii="Times New Roman" w:eastAsia="Times New Roman" w:hAnsi="Times New Roman" w:cs="Times New Roman"/>
          <w:sz w:val="28"/>
          <w:szCs w:val="28"/>
          <w:lang w:val="uk-UA" w:eastAsia="ru-RU"/>
        </w:rPr>
        <w:t xml:space="preserve"> </w:t>
      </w:r>
      <w:r w:rsidR="00EB52B3" w:rsidRPr="00EB52B3">
        <w:rPr>
          <w:rFonts w:ascii="Times New Roman" w:eastAsia="Times New Roman" w:hAnsi="Times New Roman" w:cs="Times New Roman"/>
          <w:sz w:val="28"/>
          <w:szCs w:val="28"/>
          <w:lang w:val="uk-UA" w:eastAsia="ru-RU"/>
        </w:rPr>
        <w:t>2</w:t>
      </w:r>
      <w:r w:rsidR="00EB52B3">
        <w:rPr>
          <w:rFonts w:ascii="Times New Roman" w:eastAsia="Times New Roman" w:hAnsi="Times New Roman" w:cs="Times New Roman"/>
          <w:sz w:val="28"/>
          <w:szCs w:val="28"/>
          <w:lang w:val="uk-UA" w:eastAsia="ru-RU"/>
        </w:rPr>
        <w:t xml:space="preserve"> (29)</w:t>
      </w:r>
      <w:r w:rsidR="00EB52B3" w:rsidRPr="00EB52B3">
        <w:rPr>
          <w:rFonts w:ascii="Times New Roman" w:eastAsia="Times New Roman" w:hAnsi="Times New Roman" w:cs="Times New Roman"/>
          <w:sz w:val="28"/>
          <w:szCs w:val="28"/>
          <w:lang w:val="uk-UA" w:eastAsia="ru-RU"/>
        </w:rPr>
        <w:t>. – С. 82–85.</w:t>
      </w:r>
    </w:p>
    <w:p w:rsidR="007A0274" w:rsidRPr="007A0274" w:rsidRDefault="007A0274" w:rsidP="007A0274">
      <w:pPr>
        <w:spacing w:after="0" w:line="360" w:lineRule="auto"/>
        <w:ind w:firstLine="708"/>
        <w:jc w:val="both"/>
        <w:rPr>
          <w:rFonts w:ascii="Times New Roman" w:eastAsia="Times New Roman" w:hAnsi="Times New Roman" w:cs="Times New Roman"/>
          <w:sz w:val="28"/>
          <w:szCs w:val="28"/>
          <w:lang w:val="uk-UA" w:eastAsia="ru-RU"/>
        </w:rPr>
      </w:pPr>
      <w:r w:rsidRPr="007A0274">
        <w:rPr>
          <w:rFonts w:ascii="Times New Roman" w:eastAsia="Times New Roman" w:hAnsi="Times New Roman" w:cs="Times New Roman"/>
          <w:sz w:val="28"/>
          <w:szCs w:val="28"/>
          <w:lang w:val="uk-UA" w:eastAsia="ru-RU"/>
        </w:rPr>
        <w:t xml:space="preserve">3.  Чернацька О. М. Структурно-функціональні особливості міокарда </w:t>
      </w:r>
      <w:r w:rsidR="00323C36">
        <w:rPr>
          <w:rFonts w:ascii="Times New Roman" w:eastAsia="Times New Roman" w:hAnsi="Times New Roman" w:cs="Times New Roman"/>
          <w:sz w:val="28"/>
          <w:szCs w:val="28"/>
          <w:lang w:val="uk-UA" w:eastAsia="ru-RU"/>
        </w:rPr>
        <w:t xml:space="preserve">    </w:t>
      </w:r>
      <w:r w:rsidRPr="007A0274">
        <w:rPr>
          <w:rFonts w:ascii="Times New Roman" w:eastAsia="Times New Roman" w:hAnsi="Times New Roman" w:cs="Times New Roman"/>
          <w:sz w:val="28"/>
          <w:szCs w:val="28"/>
          <w:lang w:val="uk-UA" w:eastAsia="ru-RU"/>
        </w:rPr>
        <w:t>в осіб з артеріальною гіпертензією</w:t>
      </w:r>
      <w:r w:rsidR="00CA6671">
        <w:rPr>
          <w:rFonts w:ascii="Times New Roman" w:eastAsia="Times New Roman" w:hAnsi="Times New Roman" w:cs="Times New Roman"/>
          <w:sz w:val="28"/>
          <w:szCs w:val="28"/>
          <w:lang w:val="uk-UA" w:eastAsia="ru-RU"/>
        </w:rPr>
        <w:t xml:space="preserve"> та цукровим діабетом 2-го типу                     / О. М. Чернацька //</w:t>
      </w:r>
      <w:r w:rsidRPr="007A0274">
        <w:rPr>
          <w:rFonts w:ascii="Times New Roman" w:eastAsia="Times New Roman" w:hAnsi="Times New Roman" w:cs="Times New Roman"/>
          <w:sz w:val="28"/>
          <w:szCs w:val="28"/>
          <w:lang w:val="uk-UA" w:eastAsia="ru-RU"/>
        </w:rPr>
        <w:t xml:space="preserve"> Ме</w:t>
      </w:r>
      <w:r w:rsidR="00F63614">
        <w:rPr>
          <w:rFonts w:ascii="Times New Roman" w:eastAsia="Times New Roman" w:hAnsi="Times New Roman" w:cs="Times New Roman"/>
          <w:sz w:val="28"/>
          <w:szCs w:val="28"/>
          <w:lang w:val="uk-UA" w:eastAsia="ru-RU"/>
        </w:rPr>
        <w:t xml:space="preserve">дицина сьогодні і завтра. – 2017. – </w:t>
      </w:r>
      <w:r w:rsidR="00323C36" w:rsidRPr="00323C36">
        <w:rPr>
          <w:rFonts w:ascii="Times New Roman" w:eastAsia="Times New Roman" w:hAnsi="Times New Roman" w:cs="Times New Roman"/>
          <w:sz w:val="28"/>
          <w:szCs w:val="28"/>
          <w:lang w:val="uk-UA" w:eastAsia="ru-RU"/>
        </w:rPr>
        <w:t>№</w:t>
      </w:r>
      <w:r w:rsidR="00713102">
        <w:rPr>
          <w:rFonts w:ascii="Times New Roman" w:eastAsia="Times New Roman" w:hAnsi="Times New Roman" w:cs="Times New Roman"/>
          <w:sz w:val="28"/>
          <w:szCs w:val="28"/>
          <w:lang w:val="uk-UA" w:eastAsia="ru-RU"/>
        </w:rPr>
        <w:t xml:space="preserve"> </w:t>
      </w:r>
      <w:r w:rsidR="00323C36" w:rsidRPr="00323C36">
        <w:rPr>
          <w:rFonts w:ascii="Times New Roman" w:eastAsia="Times New Roman" w:hAnsi="Times New Roman" w:cs="Times New Roman"/>
          <w:sz w:val="28"/>
          <w:szCs w:val="28"/>
          <w:lang w:val="uk-UA" w:eastAsia="ru-RU"/>
        </w:rPr>
        <w:t>3–4 (76–77)</w:t>
      </w:r>
      <w:r w:rsidR="00323C36">
        <w:rPr>
          <w:rFonts w:ascii="Times New Roman" w:eastAsia="Times New Roman" w:hAnsi="Times New Roman" w:cs="Times New Roman"/>
          <w:sz w:val="28"/>
          <w:szCs w:val="28"/>
          <w:lang w:val="uk-UA" w:eastAsia="ru-RU"/>
        </w:rPr>
        <w:t xml:space="preserve">         </w:t>
      </w:r>
      <w:r w:rsidRPr="00055341">
        <w:rPr>
          <w:rFonts w:ascii="Times New Roman" w:eastAsia="Times New Roman" w:hAnsi="Times New Roman" w:cs="Times New Roman"/>
          <w:sz w:val="28"/>
          <w:szCs w:val="28"/>
          <w:lang w:val="uk-UA" w:eastAsia="ru-RU"/>
        </w:rPr>
        <w:t>– С.</w:t>
      </w:r>
      <w:r w:rsidR="00323C36">
        <w:rPr>
          <w:rFonts w:ascii="Times New Roman" w:eastAsia="Times New Roman" w:hAnsi="Times New Roman" w:cs="Times New Roman"/>
          <w:sz w:val="28"/>
          <w:szCs w:val="28"/>
          <w:lang w:val="uk-UA" w:eastAsia="ru-RU"/>
        </w:rPr>
        <w:t xml:space="preserve"> 55</w:t>
      </w:r>
      <w:r w:rsidR="00055341" w:rsidRPr="00055341">
        <w:rPr>
          <w:rFonts w:ascii="Times New Roman" w:eastAsia="Times New Roman" w:hAnsi="Times New Roman" w:cs="Times New Roman"/>
          <w:sz w:val="28"/>
          <w:szCs w:val="28"/>
          <w:lang w:val="uk-UA" w:eastAsia="ru-RU"/>
        </w:rPr>
        <w:t>–</w:t>
      </w:r>
      <w:r w:rsidR="00055341">
        <w:rPr>
          <w:rFonts w:ascii="Times New Roman" w:eastAsia="Times New Roman" w:hAnsi="Times New Roman" w:cs="Times New Roman"/>
          <w:sz w:val="28"/>
          <w:szCs w:val="28"/>
          <w:lang w:val="uk-UA" w:eastAsia="ru-RU"/>
        </w:rPr>
        <w:t>62.</w:t>
      </w:r>
    </w:p>
    <w:p w:rsidR="00AF0C84" w:rsidRDefault="00AF0C84" w:rsidP="007A0274">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4. </w:t>
      </w:r>
      <w:r w:rsidRPr="00D7447C">
        <w:rPr>
          <w:rFonts w:ascii="Times New Roman" w:hAnsi="Times New Roman" w:cs="Times New Roman"/>
          <w:sz w:val="28"/>
          <w:szCs w:val="28"/>
          <w:lang w:val="uk-UA"/>
        </w:rPr>
        <w:t>Чернацька О. М. В</w:t>
      </w:r>
      <w:r>
        <w:rPr>
          <w:rFonts w:ascii="Times New Roman" w:hAnsi="Times New Roman" w:cs="Times New Roman"/>
          <w:sz w:val="28"/>
          <w:szCs w:val="28"/>
          <w:lang w:val="uk-UA"/>
        </w:rPr>
        <w:t>заємозв</w:t>
      </w:r>
      <w:r w:rsidRPr="00D7447C">
        <w:rPr>
          <w:rFonts w:ascii="Times New Roman" w:hAnsi="Times New Roman" w:cs="Times New Roman"/>
          <w:sz w:val="28"/>
          <w:szCs w:val="28"/>
          <w:lang w:val="uk-UA"/>
        </w:rPr>
        <w:t>’</w:t>
      </w:r>
      <w:r>
        <w:rPr>
          <w:rFonts w:ascii="Times New Roman" w:hAnsi="Times New Roman" w:cs="Times New Roman"/>
          <w:sz w:val="28"/>
          <w:szCs w:val="28"/>
          <w:lang w:val="uk-UA"/>
        </w:rPr>
        <w:t xml:space="preserve">язок між урикемією та показниками функції серця в осіб з </w:t>
      </w:r>
      <w:r w:rsidRPr="00D7447C">
        <w:rPr>
          <w:rFonts w:ascii="Times New Roman" w:hAnsi="Times New Roman" w:cs="Times New Roman"/>
          <w:sz w:val="28"/>
          <w:szCs w:val="28"/>
          <w:lang w:val="uk-UA"/>
        </w:rPr>
        <w:t xml:space="preserve"> </w:t>
      </w:r>
      <w:r>
        <w:rPr>
          <w:rFonts w:ascii="Times New Roman" w:hAnsi="Times New Roman" w:cs="Times New Roman"/>
          <w:sz w:val="28"/>
          <w:szCs w:val="28"/>
          <w:lang w:val="uk-UA"/>
        </w:rPr>
        <w:t>артеріальною гіпертензією і цукровим діабетом 2-го типу</w:t>
      </w:r>
      <w:r w:rsidRPr="00D7447C">
        <w:rPr>
          <w:rFonts w:ascii="Times New Roman" w:hAnsi="Times New Roman" w:cs="Times New Roman"/>
          <w:sz w:val="28"/>
          <w:szCs w:val="28"/>
          <w:lang w:val="uk-UA"/>
        </w:rPr>
        <w:t xml:space="preserve"> / О. М. Чернацька // Журнал клінічних та експериментальних медичних досліджень. – 2</w:t>
      </w:r>
      <w:r>
        <w:rPr>
          <w:rFonts w:ascii="Times New Roman" w:hAnsi="Times New Roman" w:cs="Times New Roman"/>
          <w:sz w:val="28"/>
          <w:szCs w:val="28"/>
          <w:lang w:val="uk-UA"/>
        </w:rPr>
        <w:t xml:space="preserve">018. –  Том 6, № </w:t>
      </w:r>
      <w:r w:rsidRPr="00D7447C">
        <w:rPr>
          <w:rFonts w:ascii="Times New Roman" w:hAnsi="Times New Roman" w:cs="Times New Roman"/>
          <w:sz w:val="28"/>
          <w:szCs w:val="28"/>
          <w:lang w:val="uk-UA"/>
        </w:rPr>
        <w:t>3</w:t>
      </w:r>
      <w:r>
        <w:rPr>
          <w:rFonts w:ascii="Times New Roman" w:hAnsi="Times New Roman" w:cs="Times New Roman"/>
          <w:sz w:val="28"/>
          <w:szCs w:val="28"/>
          <w:lang w:val="uk-UA"/>
        </w:rPr>
        <w:t xml:space="preserve">. – </w:t>
      </w:r>
      <w:r w:rsidRPr="007C377C">
        <w:rPr>
          <w:rFonts w:ascii="Times New Roman" w:hAnsi="Times New Roman" w:cs="Times New Roman"/>
          <w:sz w:val="28"/>
          <w:szCs w:val="28"/>
          <w:lang w:val="uk-UA"/>
        </w:rPr>
        <w:t xml:space="preserve">С. </w:t>
      </w:r>
      <w:r w:rsidR="007C377C" w:rsidRPr="007C377C">
        <w:rPr>
          <w:rFonts w:ascii="Times New Roman" w:hAnsi="Times New Roman" w:cs="Times New Roman"/>
          <w:sz w:val="28"/>
          <w:szCs w:val="28"/>
          <w:lang w:val="uk-UA"/>
        </w:rPr>
        <w:t>341–345</w:t>
      </w:r>
      <w:r w:rsidRPr="007C377C">
        <w:rPr>
          <w:rFonts w:ascii="Times New Roman" w:hAnsi="Times New Roman" w:cs="Times New Roman"/>
          <w:sz w:val="28"/>
          <w:szCs w:val="28"/>
          <w:lang w:val="uk-UA"/>
        </w:rPr>
        <w:t>.</w:t>
      </w:r>
    </w:p>
    <w:p w:rsidR="007A0274" w:rsidRPr="004062FC" w:rsidRDefault="00AF0C84" w:rsidP="007A0274">
      <w:pPr>
        <w:spacing w:after="0" w:line="360" w:lineRule="auto"/>
        <w:ind w:firstLine="708"/>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5</w:t>
      </w:r>
      <w:r w:rsidR="007A0274" w:rsidRPr="007A0274">
        <w:rPr>
          <w:rFonts w:ascii="Times New Roman" w:eastAsia="Times New Roman" w:hAnsi="Times New Roman" w:cs="Times New Roman"/>
          <w:sz w:val="28"/>
          <w:szCs w:val="28"/>
          <w:lang w:val="uk-UA" w:eastAsia="ru-RU"/>
        </w:rPr>
        <w:t>. Чернацька О. М. Структурно-функціональні та ендотеліальні особливості діабетичної нефропатії у пацієнтів з артеріальною гіпертензією / О. М. Чернацька, Н. В. Деміхова // Український журнал нефрології та діалізу. 2018 – №</w:t>
      </w:r>
      <w:r w:rsidR="00713102">
        <w:rPr>
          <w:rFonts w:ascii="Times New Roman" w:eastAsia="Times New Roman" w:hAnsi="Times New Roman" w:cs="Times New Roman"/>
          <w:sz w:val="28"/>
          <w:szCs w:val="28"/>
          <w:lang w:val="uk-UA" w:eastAsia="ru-RU"/>
        </w:rPr>
        <w:t xml:space="preserve"> </w:t>
      </w:r>
      <w:r w:rsidR="007A0274" w:rsidRPr="007A0274">
        <w:rPr>
          <w:rFonts w:ascii="Times New Roman" w:eastAsia="Times New Roman" w:hAnsi="Times New Roman" w:cs="Times New Roman"/>
          <w:sz w:val="28"/>
          <w:szCs w:val="28"/>
          <w:lang w:val="uk-UA" w:eastAsia="ru-RU"/>
        </w:rPr>
        <w:t>2 (58). – С.</w:t>
      </w:r>
      <w:r w:rsidR="004062FC">
        <w:rPr>
          <w:rFonts w:ascii="Times New Roman" w:eastAsia="Times New Roman" w:hAnsi="Times New Roman" w:cs="Times New Roman"/>
          <w:sz w:val="28"/>
          <w:szCs w:val="28"/>
          <w:lang w:val="uk-UA" w:eastAsia="ru-RU"/>
        </w:rPr>
        <w:t xml:space="preserve"> 13</w:t>
      </w:r>
      <w:r w:rsidR="004062FC" w:rsidRPr="004062FC">
        <w:rPr>
          <w:rFonts w:ascii="Times New Roman" w:eastAsia="Times New Roman" w:hAnsi="Times New Roman" w:cs="Times New Roman"/>
          <w:sz w:val="28"/>
          <w:szCs w:val="28"/>
          <w:lang w:val="uk-UA" w:eastAsia="ru-RU"/>
        </w:rPr>
        <w:t>–</w:t>
      </w:r>
      <w:r w:rsidR="004062FC">
        <w:rPr>
          <w:rFonts w:ascii="Times New Roman" w:eastAsia="Times New Roman" w:hAnsi="Times New Roman" w:cs="Times New Roman"/>
          <w:sz w:val="28"/>
          <w:szCs w:val="28"/>
          <w:lang w:val="uk-UA" w:eastAsia="ru-RU"/>
        </w:rPr>
        <w:t xml:space="preserve">17. </w:t>
      </w:r>
      <w:r w:rsidR="007A0274" w:rsidRPr="004062FC">
        <w:rPr>
          <w:rFonts w:ascii="Times New Roman" w:eastAsia="Times New Roman" w:hAnsi="Times New Roman" w:cs="Times New Roman"/>
          <w:i/>
          <w:sz w:val="28"/>
          <w:szCs w:val="28"/>
          <w:lang w:val="uk-UA" w:eastAsia="ru-RU"/>
        </w:rPr>
        <w:t>(Здобувач зібрав клінічний матеріал, проаналізував отримані дані, статистично обробив і узагальнив результати, сформулював  висновки).</w:t>
      </w:r>
    </w:p>
    <w:p w:rsidR="00800072" w:rsidRPr="004062FC" w:rsidRDefault="00AF0C84" w:rsidP="007A0274">
      <w:pPr>
        <w:spacing w:after="0" w:line="360" w:lineRule="auto"/>
        <w:ind w:firstLine="708"/>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6</w:t>
      </w:r>
      <w:r w:rsidR="00852B50">
        <w:rPr>
          <w:rFonts w:ascii="Times New Roman" w:eastAsia="Times New Roman" w:hAnsi="Times New Roman" w:cs="Times New Roman"/>
          <w:sz w:val="28"/>
          <w:szCs w:val="28"/>
          <w:lang w:val="uk-UA" w:eastAsia="ru-RU"/>
        </w:rPr>
        <w:t>. Chernatska O.</w:t>
      </w:r>
      <w:r w:rsidR="007A0274" w:rsidRPr="007A0274">
        <w:rPr>
          <w:rFonts w:ascii="Times New Roman" w:eastAsia="Times New Roman" w:hAnsi="Times New Roman" w:cs="Times New Roman"/>
          <w:sz w:val="28"/>
          <w:szCs w:val="28"/>
          <w:lang w:val="uk-UA" w:eastAsia="ru-RU"/>
        </w:rPr>
        <w:t xml:space="preserve"> Improvement of treatment in persons with arterial hypertension and t</w:t>
      </w:r>
      <w:r w:rsidR="00852B50">
        <w:rPr>
          <w:rFonts w:ascii="Times New Roman" w:eastAsia="Times New Roman" w:hAnsi="Times New Roman" w:cs="Times New Roman"/>
          <w:sz w:val="28"/>
          <w:szCs w:val="28"/>
          <w:lang w:val="uk-UA" w:eastAsia="ru-RU"/>
        </w:rPr>
        <w:t>ype 2 diabetes mellitus / O. Chernatska, N.</w:t>
      </w:r>
      <w:r w:rsidR="00852B50">
        <w:rPr>
          <w:rFonts w:ascii="Times New Roman" w:eastAsia="Times New Roman" w:hAnsi="Times New Roman" w:cs="Times New Roman"/>
          <w:sz w:val="28"/>
          <w:szCs w:val="28"/>
          <w:lang w:val="en-US" w:eastAsia="ru-RU"/>
        </w:rPr>
        <w:t xml:space="preserve"> </w:t>
      </w:r>
      <w:r w:rsidR="007A0274" w:rsidRPr="007A0274">
        <w:rPr>
          <w:rFonts w:ascii="Times New Roman" w:eastAsia="Times New Roman" w:hAnsi="Times New Roman" w:cs="Times New Roman"/>
          <w:sz w:val="28"/>
          <w:szCs w:val="28"/>
          <w:lang w:val="uk-UA" w:eastAsia="ru-RU"/>
        </w:rPr>
        <w:t xml:space="preserve">Demikhova // Georgian Medical News. – </w:t>
      </w:r>
      <w:r w:rsidR="007A0274" w:rsidRPr="007C377C">
        <w:rPr>
          <w:rFonts w:ascii="Times New Roman" w:eastAsia="Times New Roman" w:hAnsi="Times New Roman" w:cs="Times New Roman"/>
          <w:sz w:val="28"/>
          <w:szCs w:val="28"/>
          <w:lang w:val="uk-UA" w:eastAsia="ru-RU"/>
        </w:rPr>
        <w:t>2018. –</w:t>
      </w:r>
      <w:r w:rsidR="007A0274" w:rsidRPr="007A0274">
        <w:rPr>
          <w:rFonts w:ascii="Times New Roman" w:eastAsia="Times New Roman" w:hAnsi="Times New Roman" w:cs="Times New Roman"/>
          <w:sz w:val="28"/>
          <w:szCs w:val="28"/>
          <w:lang w:val="uk-UA" w:eastAsia="ru-RU"/>
        </w:rPr>
        <w:t xml:space="preserve"> </w:t>
      </w:r>
      <w:r w:rsidR="00852B50" w:rsidRPr="00852B50">
        <w:rPr>
          <w:rFonts w:ascii="Times New Roman" w:eastAsia="Times New Roman" w:hAnsi="Times New Roman" w:cs="Times New Roman"/>
          <w:sz w:val="28"/>
          <w:szCs w:val="28"/>
          <w:lang w:val="uk-UA" w:eastAsia="ru-RU"/>
        </w:rPr>
        <w:t xml:space="preserve">№ 11 (284). – C. 47–51. </w:t>
      </w:r>
      <w:r w:rsidR="007A0274" w:rsidRPr="004062FC">
        <w:rPr>
          <w:rFonts w:ascii="Times New Roman" w:eastAsia="Times New Roman" w:hAnsi="Times New Roman" w:cs="Times New Roman"/>
          <w:i/>
          <w:sz w:val="28"/>
          <w:szCs w:val="28"/>
          <w:lang w:val="uk-UA" w:eastAsia="ru-RU"/>
        </w:rPr>
        <w:t xml:space="preserve">(Здобувач зібрав </w:t>
      </w:r>
      <w:r w:rsidR="007A0274" w:rsidRPr="004062FC">
        <w:rPr>
          <w:rFonts w:ascii="Times New Roman" w:eastAsia="Times New Roman" w:hAnsi="Times New Roman" w:cs="Times New Roman"/>
          <w:i/>
          <w:sz w:val="28"/>
          <w:szCs w:val="28"/>
          <w:lang w:val="uk-UA" w:eastAsia="ru-RU"/>
        </w:rPr>
        <w:lastRenderedPageBreak/>
        <w:t>матеріали, статистично обробив результати, сформулював висновки, підготував публікацію до друку).</w:t>
      </w:r>
      <w:r w:rsidR="00800072" w:rsidRPr="004062FC">
        <w:rPr>
          <w:rFonts w:ascii="Times New Roman" w:eastAsia="Times New Roman" w:hAnsi="Times New Roman" w:cs="Times New Roman"/>
          <w:i/>
          <w:sz w:val="28"/>
          <w:szCs w:val="28"/>
          <w:lang w:val="uk-UA" w:eastAsia="ru-RU"/>
        </w:rPr>
        <w:t xml:space="preserve"> </w:t>
      </w:r>
    </w:p>
    <w:p w:rsidR="00800072" w:rsidRPr="005C015B" w:rsidRDefault="00800072" w:rsidP="00800072">
      <w:pPr>
        <w:spacing w:after="0" w:line="360" w:lineRule="auto"/>
        <w:ind w:firstLine="708"/>
        <w:jc w:val="both"/>
        <w:rPr>
          <w:rFonts w:ascii="Times New Roman" w:eastAsia="Times New Roman" w:hAnsi="Times New Roman" w:cs="Times New Roman"/>
          <w:b/>
          <w:sz w:val="28"/>
          <w:szCs w:val="28"/>
          <w:lang w:val="uk-UA" w:eastAsia="ru-RU"/>
        </w:rPr>
      </w:pPr>
      <w:r w:rsidRPr="005C015B">
        <w:rPr>
          <w:rFonts w:ascii="Times New Roman" w:eastAsia="Times New Roman" w:hAnsi="Times New Roman" w:cs="Times New Roman"/>
          <w:b/>
          <w:sz w:val="28"/>
          <w:szCs w:val="28"/>
          <w:lang w:val="uk-UA" w:eastAsia="ru-RU"/>
        </w:rPr>
        <w:t>Наукові праці, які засвідчують апробацію матеріалів дисертації:</w:t>
      </w:r>
    </w:p>
    <w:p w:rsidR="00800072" w:rsidRPr="00F2244C" w:rsidRDefault="00AF0C84" w:rsidP="00800072">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800072" w:rsidRPr="00F2244C">
        <w:rPr>
          <w:rFonts w:ascii="Times New Roman" w:eastAsia="Times New Roman" w:hAnsi="Times New Roman" w:cs="Times New Roman"/>
          <w:sz w:val="28"/>
          <w:szCs w:val="28"/>
          <w:lang w:val="uk-UA" w:eastAsia="ru-RU"/>
        </w:rPr>
        <w:t xml:space="preserve">. </w:t>
      </w:r>
      <w:r w:rsidR="008C5670">
        <w:rPr>
          <w:rFonts w:ascii="Times New Roman" w:eastAsia="Times New Roman" w:hAnsi="Times New Roman" w:cs="Times New Roman"/>
          <w:sz w:val="28"/>
          <w:szCs w:val="28"/>
          <w:lang w:val="uk-UA" w:eastAsia="ru-RU"/>
        </w:rPr>
        <w:t xml:space="preserve">Чернацька О. М. </w:t>
      </w:r>
      <w:r w:rsidR="00800072" w:rsidRPr="00F2244C">
        <w:rPr>
          <w:rFonts w:ascii="Times New Roman" w:eastAsia="Times New Roman" w:hAnsi="Times New Roman" w:cs="Times New Roman"/>
          <w:sz w:val="28"/>
          <w:szCs w:val="28"/>
          <w:lang w:val="uk-UA" w:eastAsia="ru-RU"/>
        </w:rPr>
        <w:t>Основні аспекти ліпідного обміну в осіб із цукровим діабетом 2-го типу й артеріальною гіпертензією /                             В. Ф. Орловський, О. М. Чернацька, Н. В. Деміхова // Всеукраїнська науково-практична конференція за міжнародної участі з сімейної медицини «Від науки до практики», м. Дніпро, 1−2 червня 2017 р.</w:t>
      </w:r>
      <w:r w:rsidR="00800072" w:rsidRPr="00800072">
        <w:rPr>
          <w:rFonts w:ascii="Times New Roman" w:eastAsia="Times New Roman" w:hAnsi="Times New Roman" w:cs="Times New Roman"/>
          <w:sz w:val="28"/>
          <w:szCs w:val="28"/>
          <w:lang w:val="uk-UA" w:eastAsia="ru-RU"/>
        </w:rPr>
        <w:t xml:space="preserve"> </w:t>
      </w:r>
      <w:r w:rsidR="00800072" w:rsidRPr="00F2244C">
        <w:rPr>
          <w:rFonts w:ascii="Times New Roman" w:eastAsia="Times New Roman" w:hAnsi="Times New Roman" w:cs="Times New Roman"/>
          <w:sz w:val="28"/>
          <w:szCs w:val="28"/>
          <w:lang w:val="uk-UA" w:eastAsia="ru-RU"/>
        </w:rPr>
        <w:t>; Медичні перспективи. – 20</w:t>
      </w:r>
      <w:r w:rsidR="00207983">
        <w:rPr>
          <w:rFonts w:ascii="Times New Roman" w:eastAsia="Times New Roman" w:hAnsi="Times New Roman" w:cs="Times New Roman"/>
          <w:sz w:val="28"/>
          <w:szCs w:val="28"/>
          <w:lang w:val="uk-UA" w:eastAsia="ru-RU"/>
        </w:rPr>
        <w:t>17. – Т. ХХІ</w:t>
      </w:r>
      <w:r w:rsidR="00207983" w:rsidRPr="00207983">
        <w:rPr>
          <w:rFonts w:ascii="Times New Roman" w:eastAsia="Times New Roman" w:hAnsi="Times New Roman" w:cs="Times New Roman"/>
          <w:sz w:val="28"/>
          <w:szCs w:val="28"/>
          <w:lang w:val="uk-UA" w:eastAsia="ru-RU"/>
        </w:rPr>
        <w:t>І</w:t>
      </w:r>
      <w:r w:rsidR="00CA6220">
        <w:rPr>
          <w:rFonts w:ascii="Times New Roman" w:eastAsia="Times New Roman" w:hAnsi="Times New Roman" w:cs="Times New Roman"/>
          <w:sz w:val="28"/>
          <w:szCs w:val="28"/>
          <w:lang w:val="uk-UA" w:eastAsia="ru-RU"/>
        </w:rPr>
        <w:t>, № 2, ч. 1. – С. 5</w:t>
      </w:r>
      <w:r w:rsidR="00CA6220" w:rsidRPr="00892B87">
        <w:rPr>
          <w:rFonts w:ascii="Times New Roman" w:eastAsia="Times New Roman" w:hAnsi="Times New Roman" w:cs="Times New Roman"/>
          <w:sz w:val="28"/>
          <w:szCs w:val="28"/>
          <w:lang w:val="uk-UA" w:eastAsia="ru-RU"/>
        </w:rPr>
        <w:t>4</w:t>
      </w:r>
      <w:r w:rsidR="00800072" w:rsidRPr="00800072">
        <w:rPr>
          <w:rFonts w:ascii="Times New Roman" w:eastAsia="Times New Roman" w:hAnsi="Times New Roman" w:cs="Times New Roman"/>
          <w:sz w:val="28"/>
          <w:szCs w:val="28"/>
          <w:lang w:val="uk-UA" w:eastAsia="ru-RU"/>
        </w:rPr>
        <w:t>.</w:t>
      </w:r>
      <w:r w:rsidR="00800072" w:rsidRPr="00F2244C">
        <w:rPr>
          <w:rFonts w:ascii="Times New Roman" w:eastAsia="Times New Roman" w:hAnsi="Times New Roman" w:cs="Times New Roman"/>
          <w:sz w:val="28"/>
          <w:szCs w:val="28"/>
          <w:lang w:val="uk-UA" w:eastAsia="ru-RU"/>
        </w:rPr>
        <w:t xml:space="preserve"> </w:t>
      </w:r>
      <w:r w:rsidR="008C5670">
        <w:rPr>
          <w:rFonts w:ascii="Times New Roman" w:eastAsia="Times New Roman" w:hAnsi="Times New Roman" w:cs="Times New Roman"/>
          <w:i/>
          <w:sz w:val="28"/>
          <w:szCs w:val="28"/>
          <w:lang w:val="uk-UA" w:eastAsia="ru-RU"/>
        </w:rPr>
        <w:t xml:space="preserve">(Здобувач </w:t>
      </w:r>
      <w:r w:rsidR="00800072" w:rsidRPr="004062FC">
        <w:rPr>
          <w:rFonts w:ascii="Times New Roman" w:eastAsia="Times New Roman" w:hAnsi="Times New Roman" w:cs="Times New Roman"/>
          <w:i/>
          <w:sz w:val="28"/>
          <w:szCs w:val="28"/>
          <w:lang w:val="uk-UA" w:eastAsia="ru-RU"/>
        </w:rPr>
        <w:t>статистично обробив результати, сформулював висновки).</w:t>
      </w:r>
    </w:p>
    <w:p w:rsidR="00800072" w:rsidRPr="004062FC" w:rsidRDefault="00AF0C84" w:rsidP="00800072">
      <w:pPr>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val="uk-UA" w:eastAsia="ru-RU"/>
        </w:rPr>
        <w:t>8</w:t>
      </w:r>
      <w:r w:rsidR="00800072" w:rsidRPr="00F2244C">
        <w:rPr>
          <w:rFonts w:ascii="Times New Roman" w:eastAsia="Times New Roman" w:hAnsi="Times New Roman" w:cs="Times New Roman"/>
          <w:sz w:val="28"/>
          <w:szCs w:val="28"/>
          <w:lang w:val="uk-UA" w:eastAsia="ru-RU"/>
        </w:rPr>
        <w:t>. Чернацька О. М. Маркери діабетичної нефропатії в осіб із супутньою артеріальною гіпертензією / О. М. Чернацька, А. О. Масленко, Н. В. Деміхова</w:t>
      </w:r>
      <w:r w:rsidR="00800072" w:rsidRPr="00800072">
        <w:rPr>
          <w:rFonts w:ascii="Times New Roman" w:eastAsia="Times New Roman" w:hAnsi="Times New Roman" w:cs="Times New Roman"/>
          <w:sz w:val="28"/>
          <w:szCs w:val="28"/>
          <w:lang w:val="uk-UA" w:eastAsia="ru-RU"/>
        </w:rPr>
        <w:t xml:space="preserve"> </w:t>
      </w:r>
      <w:r w:rsidR="00800072" w:rsidRPr="00F2244C">
        <w:rPr>
          <w:rFonts w:ascii="Times New Roman" w:eastAsia="Times New Roman" w:hAnsi="Times New Roman" w:cs="Times New Roman"/>
          <w:sz w:val="28"/>
          <w:szCs w:val="28"/>
          <w:lang w:val="uk-UA" w:eastAsia="ru-RU"/>
        </w:rPr>
        <w:t xml:space="preserve">// </w:t>
      </w:r>
      <w:r w:rsidR="00FF58D5" w:rsidRPr="00FF58D5">
        <w:rPr>
          <w:rFonts w:ascii="Times New Roman" w:eastAsia="Times New Roman" w:hAnsi="Times New Roman" w:cs="Times New Roman"/>
          <w:sz w:val="28"/>
          <w:szCs w:val="28"/>
          <w:lang w:val="uk-UA" w:eastAsia="ru-RU"/>
        </w:rPr>
        <w:t>V з’їзд не</w:t>
      </w:r>
      <w:r w:rsidR="00F51C4B">
        <w:rPr>
          <w:rFonts w:ascii="Times New Roman" w:eastAsia="Times New Roman" w:hAnsi="Times New Roman" w:cs="Times New Roman"/>
          <w:sz w:val="28"/>
          <w:szCs w:val="28"/>
          <w:lang w:val="uk-UA" w:eastAsia="ru-RU"/>
        </w:rPr>
        <w:t>фрологів України, м. Вінниця, 2</w:t>
      </w:r>
      <w:r w:rsidR="00F51C4B" w:rsidRPr="00F51C4B">
        <w:rPr>
          <w:rFonts w:ascii="Times New Roman" w:eastAsia="Times New Roman" w:hAnsi="Times New Roman" w:cs="Times New Roman"/>
          <w:sz w:val="28"/>
          <w:szCs w:val="28"/>
          <w:lang w:val="uk-UA" w:eastAsia="ru-RU"/>
        </w:rPr>
        <w:t>0</w:t>
      </w:r>
      <w:r w:rsidR="00FF58D5" w:rsidRPr="00FF58D5">
        <w:rPr>
          <w:rFonts w:ascii="Times New Roman" w:eastAsia="Times New Roman" w:hAnsi="Times New Roman" w:cs="Times New Roman"/>
          <w:sz w:val="28"/>
          <w:szCs w:val="28"/>
          <w:lang w:val="uk-UA" w:eastAsia="ru-RU"/>
        </w:rPr>
        <w:t xml:space="preserve">−22 вересня 2017р.; </w:t>
      </w:r>
      <w:r w:rsidR="00800072" w:rsidRPr="00F2244C">
        <w:rPr>
          <w:rFonts w:ascii="Times New Roman" w:eastAsia="Times New Roman" w:hAnsi="Times New Roman" w:cs="Times New Roman"/>
          <w:sz w:val="28"/>
          <w:szCs w:val="28"/>
          <w:lang w:val="uk-UA" w:eastAsia="ru-RU"/>
        </w:rPr>
        <w:t>Український журнал нефрології та діалізу. – 2017. – № 3 (55). – С. 36</w:t>
      </w:r>
      <w:r w:rsidR="00FF58D5" w:rsidRPr="00FF58D5">
        <w:rPr>
          <w:rFonts w:ascii="Times New Roman" w:eastAsia="Times New Roman" w:hAnsi="Times New Roman" w:cs="Times New Roman"/>
          <w:sz w:val="28"/>
          <w:szCs w:val="28"/>
          <w:lang w:val="uk-UA" w:eastAsia="ru-RU"/>
        </w:rPr>
        <w:t>−</w:t>
      </w:r>
      <w:r w:rsidR="00FF58D5">
        <w:rPr>
          <w:rFonts w:ascii="Times New Roman" w:eastAsia="Times New Roman" w:hAnsi="Times New Roman" w:cs="Times New Roman"/>
          <w:sz w:val="28"/>
          <w:szCs w:val="28"/>
          <w:lang w:val="uk-UA" w:eastAsia="ru-RU"/>
        </w:rPr>
        <w:t>37</w:t>
      </w:r>
      <w:r w:rsidR="00800072" w:rsidRPr="00800072">
        <w:rPr>
          <w:rFonts w:ascii="Times New Roman" w:eastAsia="Times New Roman" w:hAnsi="Times New Roman" w:cs="Times New Roman"/>
          <w:sz w:val="28"/>
          <w:szCs w:val="28"/>
          <w:lang w:val="uk-UA" w:eastAsia="ru-RU"/>
        </w:rPr>
        <w:t>.</w:t>
      </w:r>
      <w:r w:rsidR="00800072" w:rsidRPr="00F2244C">
        <w:rPr>
          <w:rFonts w:ascii="Times New Roman" w:eastAsia="Times New Roman" w:hAnsi="Times New Roman" w:cs="Times New Roman"/>
          <w:sz w:val="28"/>
          <w:szCs w:val="28"/>
          <w:lang w:val="uk-UA" w:eastAsia="ru-RU"/>
        </w:rPr>
        <w:t xml:space="preserve"> </w:t>
      </w:r>
      <w:r w:rsidR="00800072" w:rsidRPr="004062FC">
        <w:rPr>
          <w:rFonts w:ascii="Times New Roman" w:eastAsia="Times New Roman" w:hAnsi="Times New Roman" w:cs="Times New Roman"/>
          <w:i/>
          <w:sz w:val="28"/>
          <w:szCs w:val="28"/>
          <w:lang w:eastAsia="ru-RU"/>
        </w:rPr>
        <w:t>(Здобувач проаналізував матеріали, статистично обробив результати, підготував публікацію до друку).</w:t>
      </w:r>
    </w:p>
    <w:p w:rsidR="00800072" w:rsidRPr="00800072" w:rsidRDefault="00AF0C84" w:rsidP="008000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w:t>
      </w:r>
      <w:r w:rsidR="00800072" w:rsidRPr="00800072">
        <w:rPr>
          <w:rFonts w:ascii="Times New Roman" w:eastAsia="Times New Roman" w:hAnsi="Times New Roman" w:cs="Times New Roman"/>
          <w:sz w:val="28"/>
          <w:szCs w:val="28"/>
          <w:lang w:eastAsia="ru-RU"/>
        </w:rPr>
        <w:t>. Чернацька О. М. Кардіоренальні зв’язки у пацієнтів з артеріальною гіпертензією та цукровим діабетом 2-го типу / О. М. Чернацька // Актуальні питання теоретичної та практичної медицини : збірник тез доповідей І</w:t>
      </w:r>
      <w:r w:rsidR="00800072" w:rsidRPr="00800072">
        <w:rPr>
          <w:rFonts w:ascii="Times New Roman" w:eastAsia="Times New Roman" w:hAnsi="Times New Roman" w:cs="Times New Roman"/>
          <w:sz w:val="28"/>
          <w:szCs w:val="28"/>
          <w:lang w:val="en-US" w:eastAsia="ru-RU"/>
        </w:rPr>
        <w:t>V</w:t>
      </w:r>
      <w:r w:rsidR="00800072" w:rsidRPr="00800072">
        <w:rPr>
          <w:rFonts w:ascii="Times New Roman" w:eastAsia="Times New Roman" w:hAnsi="Times New Roman" w:cs="Times New Roman"/>
          <w:sz w:val="28"/>
          <w:szCs w:val="28"/>
          <w:lang w:eastAsia="ru-RU"/>
        </w:rPr>
        <w:t xml:space="preserve"> Міжнародної науково-практичної конференції студентів та молодих учених, м. Суми, 21−22 квітня 2016 р. – Суми : СумДУ, 2016. – Т. 2. – С. 105.</w:t>
      </w:r>
    </w:p>
    <w:p w:rsidR="00800072" w:rsidRPr="00800072" w:rsidRDefault="00AF0C84" w:rsidP="008000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800072" w:rsidRPr="00800072">
        <w:rPr>
          <w:rFonts w:ascii="Times New Roman" w:eastAsia="Times New Roman" w:hAnsi="Times New Roman" w:cs="Times New Roman"/>
          <w:sz w:val="28"/>
          <w:szCs w:val="28"/>
          <w:lang w:eastAsia="ru-RU"/>
        </w:rPr>
        <w:t xml:space="preserve">. Чернацька О. М. Порівняльна ефективність телмісартану та лізиноприлу щодо впливу на рівень співвідношення мікроальбумін/креатинін </w:t>
      </w:r>
      <w:r w:rsidR="00800072" w:rsidRPr="00800072">
        <w:rPr>
          <w:rFonts w:ascii="Times New Roman" w:eastAsia="Times New Roman" w:hAnsi="Times New Roman" w:cs="Times New Roman"/>
          <w:sz w:val="28"/>
          <w:szCs w:val="28"/>
          <w:lang w:val="uk-UA" w:eastAsia="ru-RU"/>
        </w:rPr>
        <w:t>в</w:t>
      </w:r>
      <w:r w:rsidR="00800072" w:rsidRPr="00800072">
        <w:rPr>
          <w:rFonts w:ascii="Times New Roman" w:eastAsia="Times New Roman" w:hAnsi="Times New Roman" w:cs="Times New Roman"/>
          <w:sz w:val="28"/>
          <w:szCs w:val="28"/>
          <w:lang w:eastAsia="ru-RU"/>
        </w:rPr>
        <w:t xml:space="preserve"> осіб з артеріальною гіпертензією ІІІ стадії та цукровим діабетом 2-го типу / О.</w:t>
      </w:r>
      <w:r w:rsidR="00800072" w:rsidRPr="00800072">
        <w:rPr>
          <w:rFonts w:ascii="Times New Roman" w:eastAsia="Times New Roman" w:hAnsi="Times New Roman" w:cs="Times New Roman"/>
          <w:sz w:val="28"/>
          <w:szCs w:val="28"/>
          <w:lang w:val="uk-UA" w:eastAsia="ru-RU"/>
        </w:rPr>
        <w:t xml:space="preserve"> </w:t>
      </w:r>
      <w:r w:rsidR="00800072" w:rsidRPr="00800072">
        <w:rPr>
          <w:rFonts w:ascii="Times New Roman" w:eastAsia="Times New Roman" w:hAnsi="Times New Roman" w:cs="Times New Roman"/>
          <w:sz w:val="28"/>
          <w:szCs w:val="28"/>
          <w:lang w:eastAsia="ru-RU"/>
        </w:rPr>
        <w:t xml:space="preserve">М. Чернацька // Щорічні терапевтичні читання: профілактика неінфекційних захворювань на перехресті терапевтичних наук : матеріали </w:t>
      </w:r>
      <w:r w:rsidR="00800072" w:rsidRPr="00800072">
        <w:rPr>
          <w:rFonts w:ascii="Times New Roman" w:eastAsia="Times New Roman" w:hAnsi="Times New Roman" w:cs="Times New Roman"/>
          <w:sz w:val="28"/>
          <w:szCs w:val="28"/>
          <w:lang w:val="uk-UA" w:eastAsia="ru-RU"/>
        </w:rPr>
        <w:t>н</w:t>
      </w:r>
      <w:r w:rsidR="00800072" w:rsidRPr="00800072">
        <w:rPr>
          <w:rFonts w:ascii="Times New Roman" w:eastAsia="Times New Roman" w:hAnsi="Times New Roman" w:cs="Times New Roman"/>
          <w:sz w:val="28"/>
          <w:szCs w:val="28"/>
          <w:lang w:eastAsia="ru-RU"/>
        </w:rPr>
        <w:t>ауково-практичної конференції за міжнародної участі, присвяченій памʼяті академіка Л. Т. Малої, м. Харків, 21 квітня 2016 р. / за ред. Г. Д. Фадєєнко. – Харків, 2016. – С. 344.</w:t>
      </w:r>
    </w:p>
    <w:p w:rsidR="00800072" w:rsidRPr="00800072" w:rsidRDefault="00E562E5" w:rsidP="008000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AF0C84">
        <w:rPr>
          <w:rFonts w:ascii="Times New Roman" w:eastAsia="Times New Roman" w:hAnsi="Times New Roman" w:cs="Times New Roman"/>
          <w:sz w:val="28"/>
          <w:szCs w:val="28"/>
          <w:lang w:val="uk-UA" w:eastAsia="ru-RU"/>
        </w:rPr>
        <w:t>1</w:t>
      </w:r>
      <w:r w:rsidR="00800072" w:rsidRPr="00800072">
        <w:rPr>
          <w:rFonts w:ascii="Times New Roman" w:eastAsia="Times New Roman" w:hAnsi="Times New Roman" w:cs="Times New Roman"/>
          <w:sz w:val="28"/>
          <w:szCs w:val="28"/>
          <w:lang w:eastAsia="ru-RU"/>
        </w:rPr>
        <w:t xml:space="preserve">. Чернацька О. М. Особливості діастолічної дисфункції лівого шлуночка під впливом лікування телмісартаном в осіб похилого віку з артеріальною гіпертензією та цукровим діабетом 2-го типу / О. М. Чернацька // Досягнення та перспективи експериментальної і клінічної ендокринології (П’ятнадцяті Данилевські читання) : матер. </w:t>
      </w:r>
      <w:r w:rsidR="00800072" w:rsidRPr="00800072">
        <w:rPr>
          <w:rFonts w:ascii="Times New Roman" w:eastAsia="Times New Roman" w:hAnsi="Times New Roman" w:cs="Times New Roman"/>
          <w:sz w:val="28"/>
          <w:szCs w:val="28"/>
          <w:lang w:val="uk-UA" w:eastAsia="ru-RU"/>
        </w:rPr>
        <w:t>н</w:t>
      </w:r>
      <w:r w:rsidR="00800072" w:rsidRPr="00800072">
        <w:rPr>
          <w:rFonts w:ascii="Times New Roman" w:eastAsia="Times New Roman" w:hAnsi="Times New Roman" w:cs="Times New Roman"/>
          <w:sz w:val="28"/>
          <w:szCs w:val="28"/>
          <w:lang w:eastAsia="ru-RU"/>
        </w:rPr>
        <w:t>аук.-практ. конф. за міжнар. участі (Харків, 10−11 березня 2016 р.) / за ред. Ю. І. Караченцева,                  О. В. Козакова, Н. О. Кравчун</w:t>
      </w:r>
      <w:r w:rsidR="00656290" w:rsidRPr="00656290">
        <w:rPr>
          <w:rFonts w:ascii="Times New Roman" w:eastAsia="Times New Roman" w:hAnsi="Times New Roman" w:cs="Times New Roman"/>
          <w:sz w:val="28"/>
          <w:szCs w:val="28"/>
          <w:lang w:eastAsia="ru-RU"/>
        </w:rPr>
        <w:t>, Т. І. Єфіменко; НАМН України, МОЗ України, Департамент охорони здоров’я Харківської обласної державної адміністрації, Департамент охорони здоров’я ХМР, ДУ «Інститут проблем ендокринної патології ім. В. Я. Данилевського НАМН України», ХНМУ МОЗ</w:t>
      </w:r>
      <w:r w:rsidR="00656290">
        <w:rPr>
          <w:rFonts w:ascii="Times New Roman" w:eastAsia="Times New Roman" w:hAnsi="Times New Roman" w:cs="Times New Roman"/>
          <w:sz w:val="28"/>
          <w:szCs w:val="28"/>
          <w:lang w:eastAsia="ru-RU"/>
        </w:rPr>
        <w:t xml:space="preserve"> України, ХМАПО МОЗ України</w:t>
      </w:r>
      <w:r w:rsidR="00800072" w:rsidRPr="00800072">
        <w:rPr>
          <w:rFonts w:ascii="Times New Roman" w:eastAsia="Times New Roman" w:hAnsi="Times New Roman" w:cs="Times New Roman"/>
          <w:sz w:val="28"/>
          <w:szCs w:val="28"/>
          <w:lang w:eastAsia="ru-RU"/>
        </w:rPr>
        <w:t>. – Харків, 2016. –  С. 143−144.</w:t>
      </w:r>
    </w:p>
    <w:p w:rsidR="00800072" w:rsidRPr="00800072" w:rsidRDefault="00E562E5" w:rsidP="008000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0C84">
        <w:rPr>
          <w:rFonts w:ascii="Times New Roman" w:eastAsia="Times New Roman" w:hAnsi="Times New Roman" w:cs="Times New Roman"/>
          <w:sz w:val="28"/>
          <w:szCs w:val="28"/>
          <w:lang w:val="uk-UA" w:eastAsia="ru-RU"/>
        </w:rPr>
        <w:t>2</w:t>
      </w:r>
      <w:r w:rsidR="00800072" w:rsidRPr="00800072">
        <w:rPr>
          <w:rFonts w:ascii="Times New Roman" w:eastAsia="Times New Roman" w:hAnsi="Times New Roman" w:cs="Times New Roman"/>
          <w:sz w:val="28"/>
          <w:szCs w:val="28"/>
          <w:lang w:eastAsia="ru-RU"/>
        </w:rPr>
        <w:t>. Чернацька О. М. Особливості серцевої недостатності в осіб із артеріальною гіпертензією ІІІ стадії і цукровим діабетом 2-го типу та її корекція / О. М. Чернацька // ІІ Міжнародна науково-практична конференція «Терапевтичні читання: сучасні аспекти діагностики і лікування захворювань внутрішніх органів»</w:t>
      </w:r>
      <w:r w:rsidR="00800072" w:rsidRPr="00800072">
        <w:rPr>
          <w:rFonts w:ascii="Times New Roman" w:eastAsia="Times New Roman" w:hAnsi="Times New Roman" w:cs="Times New Roman"/>
          <w:sz w:val="28"/>
          <w:szCs w:val="28"/>
          <w:lang w:val="uk-UA" w:eastAsia="ru-RU"/>
        </w:rPr>
        <w:t>,</w:t>
      </w:r>
      <w:r w:rsidR="00800072" w:rsidRPr="00800072">
        <w:rPr>
          <w:rFonts w:ascii="Times New Roman" w:eastAsia="Times New Roman" w:hAnsi="Times New Roman" w:cs="Times New Roman"/>
          <w:sz w:val="28"/>
          <w:szCs w:val="28"/>
          <w:lang w:eastAsia="ru-RU"/>
        </w:rPr>
        <w:t xml:space="preserve"> присвячен</w:t>
      </w:r>
      <w:r w:rsidR="00800072" w:rsidRPr="00800072">
        <w:rPr>
          <w:rFonts w:ascii="Times New Roman" w:eastAsia="Times New Roman" w:hAnsi="Times New Roman" w:cs="Times New Roman"/>
          <w:sz w:val="28"/>
          <w:szCs w:val="28"/>
          <w:lang w:val="uk-UA" w:eastAsia="ru-RU"/>
        </w:rPr>
        <w:t>а</w:t>
      </w:r>
      <w:r w:rsidR="00800072" w:rsidRPr="00800072">
        <w:rPr>
          <w:rFonts w:ascii="Times New Roman" w:eastAsia="Times New Roman" w:hAnsi="Times New Roman" w:cs="Times New Roman"/>
          <w:sz w:val="28"/>
          <w:szCs w:val="28"/>
          <w:lang w:eastAsia="ru-RU"/>
        </w:rPr>
        <w:t xml:space="preserve"> пам’яті академіка НАМН України                Є. М. Нейка, Івано-Франківськ − Яремче, 6−7 жовтня 2016 / за редакцією      І. П. Вакалюка – </w:t>
      </w:r>
      <w:r w:rsidR="00800072" w:rsidRPr="00800072">
        <w:rPr>
          <w:rFonts w:ascii="Times New Roman" w:eastAsia="Times New Roman" w:hAnsi="Times New Roman" w:cs="Times New Roman"/>
          <w:sz w:val="28"/>
          <w:szCs w:val="28"/>
          <w:lang w:val="uk-UA" w:eastAsia="ru-RU"/>
        </w:rPr>
        <w:t xml:space="preserve">м. </w:t>
      </w:r>
      <w:r w:rsidR="00800072" w:rsidRPr="00800072">
        <w:rPr>
          <w:rFonts w:ascii="Times New Roman" w:eastAsia="Times New Roman" w:hAnsi="Times New Roman" w:cs="Times New Roman"/>
          <w:sz w:val="28"/>
          <w:szCs w:val="28"/>
          <w:lang w:eastAsia="ru-RU"/>
        </w:rPr>
        <w:t>Івано-Франківськ – Яремче</w:t>
      </w:r>
      <w:r w:rsidR="00800072" w:rsidRPr="00800072">
        <w:rPr>
          <w:rFonts w:ascii="Times New Roman" w:eastAsia="Times New Roman" w:hAnsi="Times New Roman" w:cs="Times New Roman"/>
          <w:sz w:val="28"/>
          <w:szCs w:val="28"/>
          <w:lang w:val="uk-UA" w:eastAsia="ru-RU"/>
        </w:rPr>
        <w:t>,</w:t>
      </w:r>
      <w:r w:rsidR="00800072" w:rsidRPr="00800072">
        <w:rPr>
          <w:rFonts w:ascii="Times New Roman" w:eastAsia="Times New Roman" w:hAnsi="Times New Roman" w:cs="Times New Roman"/>
          <w:sz w:val="28"/>
          <w:szCs w:val="28"/>
          <w:lang w:eastAsia="ru-RU"/>
        </w:rPr>
        <w:t xml:space="preserve"> 2016. – </w:t>
      </w:r>
      <w:r w:rsidR="00800072" w:rsidRPr="00800072">
        <w:rPr>
          <w:rFonts w:ascii="Times New Roman" w:eastAsia="Times New Roman" w:hAnsi="Times New Roman" w:cs="Times New Roman"/>
          <w:sz w:val="28"/>
          <w:szCs w:val="28"/>
          <w:lang w:val="en-US" w:eastAsia="ru-RU"/>
        </w:rPr>
        <w:t>C</w:t>
      </w:r>
      <w:r w:rsidR="00800072" w:rsidRPr="00800072">
        <w:rPr>
          <w:rFonts w:ascii="Times New Roman" w:eastAsia="Times New Roman" w:hAnsi="Times New Roman" w:cs="Times New Roman"/>
          <w:sz w:val="28"/>
          <w:szCs w:val="28"/>
          <w:lang w:eastAsia="ru-RU"/>
        </w:rPr>
        <w:t>. 270−272.</w:t>
      </w:r>
    </w:p>
    <w:p w:rsidR="00800072" w:rsidRPr="00800072" w:rsidRDefault="00E562E5" w:rsidP="008000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0C84">
        <w:rPr>
          <w:rFonts w:ascii="Times New Roman" w:eastAsia="Times New Roman" w:hAnsi="Times New Roman" w:cs="Times New Roman"/>
          <w:sz w:val="28"/>
          <w:szCs w:val="28"/>
          <w:lang w:val="uk-UA" w:eastAsia="ru-RU"/>
        </w:rPr>
        <w:t>3</w:t>
      </w:r>
      <w:r w:rsidR="00800072" w:rsidRPr="00800072">
        <w:rPr>
          <w:rFonts w:ascii="Times New Roman" w:eastAsia="Times New Roman" w:hAnsi="Times New Roman" w:cs="Times New Roman"/>
          <w:sz w:val="28"/>
          <w:szCs w:val="28"/>
          <w:lang w:eastAsia="ru-RU"/>
        </w:rPr>
        <w:t>. Чернацька О. М. Особливості ендотеліальної дисфункції у пацієнтів із діабетичною нефропатією та артеріальною гіпертензією / О. М. Чернацька // Актуальні п</w:t>
      </w:r>
      <w:r w:rsidR="00801112">
        <w:rPr>
          <w:rFonts w:ascii="Times New Roman" w:eastAsia="Times New Roman" w:hAnsi="Times New Roman" w:cs="Times New Roman"/>
          <w:sz w:val="28"/>
          <w:szCs w:val="28"/>
          <w:lang w:eastAsia="ru-RU"/>
        </w:rPr>
        <w:t xml:space="preserve">итання теоретичної та </w:t>
      </w:r>
      <w:r w:rsidR="00801112">
        <w:rPr>
          <w:rFonts w:ascii="Times New Roman" w:eastAsia="Times New Roman" w:hAnsi="Times New Roman" w:cs="Times New Roman"/>
          <w:sz w:val="28"/>
          <w:szCs w:val="28"/>
          <w:lang w:val="uk-UA" w:eastAsia="ru-RU"/>
        </w:rPr>
        <w:t>клінічної</w:t>
      </w:r>
      <w:r w:rsidR="00800072" w:rsidRPr="00800072">
        <w:rPr>
          <w:rFonts w:ascii="Times New Roman" w:eastAsia="Times New Roman" w:hAnsi="Times New Roman" w:cs="Times New Roman"/>
          <w:sz w:val="28"/>
          <w:szCs w:val="28"/>
          <w:lang w:eastAsia="ru-RU"/>
        </w:rPr>
        <w:t xml:space="preserve"> ме</w:t>
      </w:r>
      <w:r w:rsidR="00801112">
        <w:rPr>
          <w:rFonts w:ascii="Times New Roman" w:eastAsia="Times New Roman" w:hAnsi="Times New Roman" w:cs="Times New Roman"/>
          <w:sz w:val="28"/>
          <w:szCs w:val="28"/>
          <w:lang w:eastAsia="ru-RU"/>
        </w:rPr>
        <w:t xml:space="preserve">дицини : збірник тез доповідей </w:t>
      </w:r>
      <w:r w:rsidR="00800072" w:rsidRPr="00800072">
        <w:rPr>
          <w:rFonts w:ascii="Times New Roman" w:eastAsia="Times New Roman" w:hAnsi="Times New Roman" w:cs="Times New Roman"/>
          <w:sz w:val="28"/>
          <w:szCs w:val="28"/>
          <w:lang w:val="en-US" w:eastAsia="ru-RU"/>
        </w:rPr>
        <w:t>V</w:t>
      </w:r>
      <w:r w:rsidR="00800072" w:rsidRPr="00800072">
        <w:rPr>
          <w:rFonts w:ascii="Times New Roman" w:eastAsia="Times New Roman" w:hAnsi="Times New Roman" w:cs="Times New Roman"/>
          <w:sz w:val="28"/>
          <w:szCs w:val="28"/>
          <w:lang w:eastAsia="ru-RU"/>
        </w:rPr>
        <w:t xml:space="preserve"> Міжнародної науково-практичної конференції студентів та молодих учених, м. Суми, 2</w:t>
      </w:r>
      <w:r w:rsidR="00801112">
        <w:rPr>
          <w:rFonts w:ascii="Times New Roman" w:eastAsia="Times New Roman" w:hAnsi="Times New Roman" w:cs="Times New Roman"/>
          <w:sz w:val="28"/>
          <w:szCs w:val="28"/>
          <w:lang w:val="uk-UA" w:eastAsia="ru-RU"/>
        </w:rPr>
        <w:t>0</w:t>
      </w:r>
      <w:r w:rsidR="00801112">
        <w:rPr>
          <w:rFonts w:ascii="Times New Roman" w:eastAsia="Times New Roman" w:hAnsi="Times New Roman" w:cs="Times New Roman"/>
          <w:sz w:val="28"/>
          <w:szCs w:val="28"/>
          <w:lang w:eastAsia="ru-RU"/>
        </w:rPr>
        <w:t>−2</w:t>
      </w:r>
      <w:r w:rsidR="00801112">
        <w:rPr>
          <w:rFonts w:ascii="Times New Roman" w:eastAsia="Times New Roman" w:hAnsi="Times New Roman" w:cs="Times New Roman"/>
          <w:sz w:val="28"/>
          <w:szCs w:val="28"/>
          <w:lang w:val="uk-UA" w:eastAsia="ru-RU"/>
        </w:rPr>
        <w:t>1</w:t>
      </w:r>
      <w:r w:rsidR="00800072" w:rsidRPr="00800072">
        <w:rPr>
          <w:rFonts w:ascii="Times New Roman" w:eastAsia="Times New Roman" w:hAnsi="Times New Roman" w:cs="Times New Roman"/>
          <w:sz w:val="28"/>
          <w:szCs w:val="28"/>
          <w:lang w:eastAsia="ru-RU"/>
        </w:rPr>
        <w:t xml:space="preserve"> квітня 2017 р. − Суми : СумДУ, 2017. – </w:t>
      </w:r>
      <w:r w:rsidR="00800072" w:rsidRPr="00800072">
        <w:rPr>
          <w:rFonts w:ascii="Times New Roman" w:eastAsia="Times New Roman" w:hAnsi="Times New Roman" w:cs="Times New Roman"/>
          <w:sz w:val="28"/>
          <w:szCs w:val="28"/>
          <w:lang w:val="uk-UA" w:eastAsia="ru-RU"/>
        </w:rPr>
        <w:t xml:space="preserve">     </w:t>
      </w:r>
      <w:r w:rsidR="00800072" w:rsidRPr="00800072">
        <w:rPr>
          <w:rFonts w:ascii="Times New Roman" w:eastAsia="Times New Roman" w:hAnsi="Times New Roman" w:cs="Times New Roman"/>
          <w:sz w:val="28"/>
          <w:szCs w:val="28"/>
          <w:lang w:val="en-US" w:eastAsia="ru-RU"/>
        </w:rPr>
        <w:t>C</w:t>
      </w:r>
      <w:r w:rsidR="00800072" w:rsidRPr="00800072">
        <w:rPr>
          <w:rFonts w:ascii="Times New Roman" w:eastAsia="Times New Roman" w:hAnsi="Times New Roman" w:cs="Times New Roman"/>
          <w:sz w:val="28"/>
          <w:szCs w:val="28"/>
          <w:lang w:eastAsia="ru-RU"/>
        </w:rPr>
        <w:t xml:space="preserve">. 270. </w:t>
      </w:r>
    </w:p>
    <w:p w:rsidR="00800072" w:rsidRPr="004062FC" w:rsidRDefault="00E562E5" w:rsidP="00800072">
      <w:pPr>
        <w:spacing w:after="0"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AF0C84">
        <w:rPr>
          <w:rFonts w:ascii="Times New Roman" w:eastAsia="Times New Roman" w:hAnsi="Times New Roman" w:cs="Times New Roman"/>
          <w:sz w:val="28"/>
          <w:szCs w:val="28"/>
          <w:lang w:val="uk-UA" w:eastAsia="ru-RU"/>
        </w:rPr>
        <w:t>4</w:t>
      </w:r>
      <w:r w:rsidR="00800072" w:rsidRPr="00800072">
        <w:rPr>
          <w:rFonts w:ascii="Times New Roman" w:eastAsia="Times New Roman" w:hAnsi="Times New Roman" w:cs="Times New Roman"/>
          <w:sz w:val="28"/>
          <w:szCs w:val="28"/>
          <w:lang w:eastAsia="ru-RU"/>
        </w:rPr>
        <w:t xml:space="preserve">. </w:t>
      </w:r>
      <w:r w:rsidR="008C5670">
        <w:rPr>
          <w:rFonts w:ascii="Times New Roman" w:eastAsia="Times New Roman" w:hAnsi="Times New Roman" w:cs="Times New Roman"/>
          <w:sz w:val="28"/>
          <w:szCs w:val="28"/>
          <w:lang w:val="uk-UA" w:eastAsia="ru-RU"/>
        </w:rPr>
        <w:t xml:space="preserve">Чернацька О. М. </w:t>
      </w:r>
      <w:r w:rsidR="00944850">
        <w:rPr>
          <w:rFonts w:ascii="Times New Roman" w:eastAsia="Times New Roman" w:hAnsi="Times New Roman" w:cs="Times New Roman"/>
          <w:sz w:val="28"/>
          <w:szCs w:val="28"/>
          <w:lang w:val="uk-UA" w:eastAsia="ru-RU"/>
        </w:rPr>
        <w:t xml:space="preserve">Оптимізація </w:t>
      </w:r>
      <w:r w:rsidR="00800072" w:rsidRPr="00800072">
        <w:rPr>
          <w:rFonts w:ascii="Times New Roman" w:eastAsia="Times New Roman" w:hAnsi="Times New Roman" w:cs="Times New Roman"/>
          <w:sz w:val="28"/>
          <w:szCs w:val="28"/>
          <w:lang w:eastAsia="ru-RU"/>
        </w:rPr>
        <w:t>корекції діабетичної нефропатії в амбулаторних умовах / В. Ф. Ор</w:t>
      </w:r>
      <w:r w:rsidR="00944850">
        <w:rPr>
          <w:rFonts w:ascii="Times New Roman" w:eastAsia="Times New Roman" w:hAnsi="Times New Roman" w:cs="Times New Roman"/>
          <w:sz w:val="28"/>
          <w:szCs w:val="28"/>
          <w:lang w:eastAsia="ru-RU"/>
        </w:rPr>
        <w:t xml:space="preserve">ловський, О. М. Чернацька, </w:t>
      </w:r>
      <w:r w:rsidR="00800072" w:rsidRPr="00800072">
        <w:rPr>
          <w:rFonts w:ascii="Times New Roman" w:eastAsia="Times New Roman" w:hAnsi="Times New Roman" w:cs="Times New Roman"/>
          <w:sz w:val="28"/>
          <w:szCs w:val="28"/>
          <w:lang w:eastAsia="ru-RU"/>
        </w:rPr>
        <w:t xml:space="preserve">Р. В. Безсмертна // Науково-практична конференція за міжнародної участі «Актуальні питання сімейної медицини та перспективи її розвитку (в рамках Всесвітнього дня сімейного лікаря)», м. Київ, 18−19 травня 2017; Здоровʼя суспільства. – 2017. </w:t>
      </w:r>
      <w:r w:rsidR="00800072" w:rsidRPr="00800072">
        <w:rPr>
          <w:rFonts w:ascii="Times New Roman" w:eastAsia="Times New Roman" w:hAnsi="Times New Roman" w:cs="Times New Roman"/>
          <w:sz w:val="28"/>
          <w:szCs w:val="28"/>
          <w:lang w:eastAsia="ru-RU"/>
        </w:rPr>
        <w:lastRenderedPageBreak/>
        <w:t xml:space="preserve">– № 1−2. – </w:t>
      </w:r>
      <w:r w:rsidR="00800072" w:rsidRPr="00800072">
        <w:rPr>
          <w:rFonts w:ascii="Times New Roman" w:eastAsia="Times New Roman" w:hAnsi="Times New Roman" w:cs="Times New Roman"/>
          <w:sz w:val="28"/>
          <w:szCs w:val="28"/>
          <w:lang w:val="en-US" w:eastAsia="ru-RU"/>
        </w:rPr>
        <w:t>C</w:t>
      </w:r>
      <w:r w:rsidR="00800072" w:rsidRPr="00800072">
        <w:rPr>
          <w:rFonts w:ascii="Times New Roman" w:eastAsia="Times New Roman" w:hAnsi="Times New Roman" w:cs="Times New Roman"/>
          <w:sz w:val="28"/>
          <w:szCs w:val="28"/>
          <w:lang w:eastAsia="ru-RU"/>
        </w:rPr>
        <w:t>. 111</w:t>
      </w:r>
      <w:r w:rsidR="00800072" w:rsidRPr="00800072">
        <w:rPr>
          <w:rFonts w:ascii="Times New Roman" w:eastAsia="Times New Roman" w:hAnsi="Times New Roman" w:cs="Times New Roman"/>
          <w:sz w:val="28"/>
          <w:szCs w:val="28"/>
          <w:lang w:val="uk-UA" w:eastAsia="ru-RU"/>
        </w:rPr>
        <w:t>.</w:t>
      </w:r>
      <w:r w:rsidR="00800072" w:rsidRPr="00800072">
        <w:rPr>
          <w:rFonts w:ascii="Times New Roman" w:eastAsia="Times New Roman" w:hAnsi="Times New Roman" w:cs="Times New Roman"/>
          <w:sz w:val="28"/>
          <w:szCs w:val="28"/>
          <w:lang w:eastAsia="ru-RU"/>
        </w:rPr>
        <w:t xml:space="preserve"> </w:t>
      </w:r>
      <w:r w:rsidR="00800072" w:rsidRPr="004062FC">
        <w:rPr>
          <w:rFonts w:ascii="Times New Roman" w:eastAsia="Times New Roman" w:hAnsi="Times New Roman" w:cs="Times New Roman"/>
          <w:i/>
          <w:sz w:val="28"/>
          <w:szCs w:val="28"/>
          <w:lang w:eastAsia="ru-RU"/>
        </w:rPr>
        <w:t>(Здобувач зібрав матеріали, узагальнив та сформулював висновки, підготував публікацію до друку).</w:t>
      </w:r>
    </w:p>
    <w:p w:rsidR="00800072" w:rsidRPr="00800072" w:rsidRDefault="00E562E5" w:rsidP="0080007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F0C84">
        <w:rPr>
          <w:rFonts w:ascii="Times New Roman" w:eastAsia="Times New Roman" w:hAnsi="Times New Roman" w:cs="Times New Roman"/>
          <w:sz w:val="28"/>
          <w:szCs w:val="28"/>
          <w:lang w:val="uk-UA" w:eastAsia="ru-RU"/>
        </w:rPr>
        <w:t>5</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Chernatska</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O</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M</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The</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peculiarities</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of</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uricemia</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for</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patients</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with</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diabetic</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nephropathy</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and</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arterial</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hypertension</w:t>
      </w:r>
      <w:r w:rsidR="00800072" w:rsidRPr="00800072">
        <w:rPr>
          <w:rFonts w:ascii="Times New Roman" w:eastAsia="Times New Roman" w:hAnsi="Times New Roman" w:cs="Times New Roman"/>
          <w:sz w:val="28"/>
          <w:szCs w:val="28"/>
          <w:lang w:eastAsia="ru-RU"/>
        </w:rPr>
        <w:t xml:space="preserve"> / </w:t>
      </w:r>
      <w:r w:rsidR="00800072" w:rsidRPr="00800072">
        <w:rPr>
          <w:rFonts w:ascii="Times New Roman" w:eastAsia="Times New Roman" w:hAnsi="Times New Roman" w:cs="Times New Roman"/>
          <w:sz w:val="28"/>
          <w:szCs w:val="28"/>
          <w:lang w:val="en-US" w:eastAsia="ru-RU"/>
        </w:rPr>
        <w:t>O</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M</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Chernatska</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L</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N</w:t>
      </w:r>
      <w:r w:rsidR="00800072" w:rsidRPr="00800072">
        <w:rPr>
          <w:rFonts w:ascii="Times New Roman" w:eastAsia="Times New Roman" w:hAnsi="Times New Roman" w:cs="Times New Roman"/>
          <w:sz w:val="28"/>
          <w:szCs w:val="28"/>
          <w:lang w:eastAsia="ru-RU"/>
        </w:rPr>
        <w:t xml:space="preserve">. </w:t>
      </w:r>
      <w:r w:rsidR="00800072" w:rsidRPr="00800072">
        <w:rPr>
          <w:rFonts w:ascii="Times New Roman" w:eastAsia="Times New Roman" w:hAnsi="Times New Roman" w:cs="Times New Roman"/>
          <w:sz w:val="28"/>
          <w:szCs w:val="28"/>
          <w:lang w:val="en-US" w:eastAsia="ru-RU"/>
        </w:rPr>
        <w:t>Prystupa</w:t>
      </w:r>
      <w:r w:rsidR="00800072" w:rsidRPr="00800072">
        <w:rPr>
          <w:rFonts w:ascii="Times New Roman" w:eastAsia="Times New Roman" w:hAnsi="Times New Roman" w:cs="Times New Roman"/>
          <w:sz w:val="28"/>
          <w:szCs w:val="28"/>
          <w:lang w:eastAsia="ru-RU"/>
        </w:rPr>
        <w:t xml:space="preserve"> // Перспективи розвитку медичної науки і освіти</w:t>
      </w:r>
      <w:r w:rsidR="00800072" w:rsidRPr="00800072">
        <w:rPr>
          <w:rFonts w:ascii="Times New Roman" w:eastAsia="Times New Roman" w:hAnsi="Times New Roman" w:cs="Times New Roman"/>
          <w:sz w:val="28"/>
          <w:szCs w:val="28"/>
          <w:lang w:val="uk-UA" w:eastAsia="ru-RU"/>
        </w:rPr>
        <w:t xml:space="preserve"> </w:t>
      </w:r>
      <w:r w:rsidR="00800072" w:rsidRPr="00800072">
        <w:rPr>
          <w:rFonts w:ascii="Times New Roman" w:eastAsia="Times New Roman" w:hAnsi="Times New Roman" w:cs="Times New Roman"/>
          <w:sz w:val="28"/>
          <w:szCs w:val="28"/>
          <w:lang w:eastAsia="ru-RU"/>
        </w:rPr>
        <w:t>: збірник тез доповідей Всеукраїнської науково-методичної конференції, присвяченої 25-річчю Медичного інституту Сумського державного університету, м. Суми, 16−17 листопада 2017 р. – Суми, 2017. – С. 111</w:t>
      </w:r>
      <w:r w:rsidR="00800072" w:rsidRPr="00800072">
        <w:rPr>
          <w:rFonts w:ascii="Times New Roman" w:eastAsia="Times New Roman" w:hAnsi="Times New Roman" w:cs="Times New Roman"/>
          <w:sz w:val="28"/>
          <w:szCs w:val="28"/>
          <w:lang w:val="uk-UA" w:eastAsia="ru-RU"/>
        </w:rPr>
        <w:t>.</w:t>
      </w:r>
      <w:r w:rsidR="00800072" w:rsidRPr="00800072">
        <w:rPr>
          <w:rFonts w:ascii="Times New Roman" w:eastAsia="Times New Roman" w:hAnsi="Times New Roman" w:cs="Times New Roman"/>
          <w:sz w:val="28"/>
          <w:szCs w:val="28"/>
          <w:lang w:eastAsia="ru-RU"/>
        </w:rPr>
        <w:t xml:space="preserve"> </w:t>
      </w:r>
      <w:r w:rsidR="00800072" w:rsidRPr="004062FC">
        <w:rPr>
          <w:rFonts w:ascii="Times New Roman" w:eastAsia="Times New Roman" w:hAnsi="Times New Roman" w:cs="Times New Roman"/>
          <w:i/>
          <w:sz w:val="28"/>
          <w:szCs w:val="28"/>
          <w:lang w:eastAsia="ru-RU"/>
        </w:rPr>
        <w:t>(Здобувач зібрав матеріали, статистично обробив результати, сформулював висновки</w:t>
      </w:r>
      <w:r w:rsidR="00800072" w:rsidRPr="00800072">
        <w:rPr>
          <w:rFonts w:ascii="Times New Roman" w:eastAsia="Times New Roman" w:hAnsi="Times New Roman" w:cs="Times New Roman"/>
          <w:sz w:val="28"/>
          <w:szCs w:val="28"/>
          <w:lang w:eastAsia="ru-RU"/>
        </w:rPr>
        <w:t xml:space="preserve">). </w:t>
      </w:r>
    </w:p>
    <w:p w:rsidR="004116DF" w:rsidRPr="00E50BA4" w:rsidRDefault="004116DF" w:rsidP="00E50BA4">
      <w:pPr>
        <w:spacing w:after="0" w:line="360" w:lineRule="auto"/>
        <w:ind w:firstLine="708"/>
        <w:jc w:val="both"/>
        <w:rPr>
          <w:rFonts w:ascii="Times New Roman" w:eastAsia="Times New Roman" w:hAnsi="Times New Roman" w:cs="Times New Roman"/>
          <w:sz w:val="28"/>
          <w:szCs w:val="28"/>
          <w:lang w:val="uk-UA" w:eastAsia="ru-RU"/>
        </w:rPr>
      </w:pPr>
      <w:r w:rsidRPr="00E50BA4">
        <w:rPr>
          <w:rFonts w:ascii="Times New Roman" w:eastAsia="Times New Roman" w:hAnsi="Times New Roman" w:cs="Times New Roman"/>
          <w:sz w:val="28"/>
          <w:szCs w:val="28"/>
          <w:lang w:eastAsia="ru-RU"/>
        </w:rPr>
        <w:t xml:space="preserve">16. </w:t>
      </w:r>
      <w:r w:rsidR="00616398" w:rsidRPr="00E50BA4">
        <w:rPr>
          <w:rFonts w:ascii="Times New Roman" w:eastAsia="Times New Roman" w:hAnsi="Times New Roman" w:cs="Times New Roman"/>
          <w:sz w:val="28"/>
          <w:szCs w:val="28"/>
          <w:lang w:eastAsia="ru-RU"/>
        </w:rPr>
        <w:t xml:space="preserve">Чернацька О. М. </w:t>
      </w:r>
      <w:r w:rsidR="00E50BA4" w:rsidRPr="00E50BA4">
        <w:rPr>
          <w:rFonts w:ascii="Times New Roman" w:eastAsia="Times New Roman" w:hAnsi="Times New Roman" w:cs="Times New Roman"/>
          <w:sz w:val="28"/>
          <w:szCs w:val="28"/>
          <w:lang w:eastAsia="ru-RU"/>
        </w:rPr>
        <w:t>І</w:t>
      </w:r>
      <w:r w:rsidR="00E50BA4">
        <w:rPr>
          <w:rFonts w:ascii="Times New Roman" w:eastAsia="Times New Roman" w:hAnsi="Times New Roman" w:cs="Times New Roman"/>
          <w:sz w:val="28"/>
          <w:szCs w:val="28"/>
          <w:lang w:eastAsia="ru-RU"/>
        </w:rPr>
        <w:t>мунозапальн</w:t>
      </w:r>
      <w:r w:rsidR="00E50BA4">
        <w:rPr>
          <w:rFonts w:ascii="Times New Roman" w:eastAsia="Times New Roman" w:hAnsi="Times New Roman" w:cs="Times New Roman"/>
          <w:sz w:val="28"/>
          <w:szCs w:val="28"/>
          <w:lang w:val="uk-UA" w:eastAsia="ru-RU"/>
        </w:rPr>
        <w:t>і особливості функціонального стану серця в осіб із артеріальною гіпертензією та цукровим діабетом 2-го типу /  О. М. Чернацька</w:t>
      </w:r>
      <w:r w:rsidR="00E50BA4" w:rsidRPr="00E50BA4">
        <w:rPr>
          <w:rFonts w:ascii="Times New Roman" w:eastAsia="Times New Roman" w:hAnsi="Times New Roman" w:cs="Times New Roman"/>
          <w:sz w:val="28"/>
          <w:szCs w:val="28"/>
          <w:lang w:val="uk-UA" w:eastAsia="ru-RU"/>
        </w:rPr>
        <w:t xml:space="preserve">, </w:t>
      </w:r>
      <w:r w:rsidR="00E50BA4">
        <w:rPr>
          <w:rFonts w:ascii="Times New Roman" w:eastAsia="Times New Roman" w:hAnsi="Times New Roman" w:cs="Times New Roman"/>
          <w:sz w:val="28"/>
          <w:szCs w:val="28"/>
          <w:lang w:val="uk-UA" w:eastAsia="ru-RU"/>
        </w:rPr>
        <w:t xml:space="preserve">Н. В. Деміхова // </w:t>
      </w:r>
      <w:r w:rsidR="00E50BA4" w:rsidRPr="00E50BA4">
        <w:rPr>
          <w:rFonts w:ascii="Times New Roman" w:eastAsia="Times New Roman" w:hAnsi="Times New Roman" w:cs="Times New Roman"/>
          <w:sz w:val="28"/>
          <w:szCs w:val="28"/>
          <w:lang w:val="uk-UA" w:eastAsia="ru-RU"/>
        </w:rPr>
        <w:t>Коморбідність: міждисциплінарні аспекти</w:t>
      </w:r>
      <w:r w:rsidR="00E50BA4">
        <w:rPr>
          <w:rFonts w:ascii="Times New Roman" w:eastAsia="Times New Roman" w:hAnsi="Times New Roman" w:cs="Times New Roman"/>
          <w:sz w:val="28"/>
          <w:szCs w:val="28"/>
          <w:lang w:val="uk-UA" w:eastAsia="ru-RU"/>
        </w:rPr>
        <w:t xml:space="preserve"> та сучасний пацієнт: матеріали </w:t>
      </w:r>
      <w:r w:rsidR="00E50BA4" w:rsidRPr="00E50BA4">
        <w:rPr>
          <w:rFonts w:ascii="Times New Roman" w:eastAsia="Times New Roman" w:hAnsi="Times New Roman" w:cs="Times New Roman"/>
          <w:sz w:val="28"/>
          <w:szCs w:val="28"/>
          <w:lang w:val="uk-UA" w:eastAsia="ru-RU"/>
        </w:rPr>
        <w:t>наук</w:t>
      </w:r>
      <w:r w:rsidR="00E50BA4">
        <w:rPr>
          <w:rFonts w:ascii="Times New Roman" w:eastAsia="Times New Roman" w:hAnsi="Times New Roman" w:cs="Times New Roman"/>
          <w:sz w:val="28"/>
          <w:szCs w:val="28"/>
          <w:lang w:val="uk-UA" w:eastAsia="ru-RU"/>
        </w:rPr>
        <w:t>ово</w:t>
      </w:r>
      <w:r w:rsidR="00E50BA4" w:rsidRPr="00E50BA4">
        <w:rPr>
          <w:rFonts w:ascii="Times New Roman" w:eastAsia="Times New Roman" w:hAnsi="Times New Roman" w:cs="Times New Roman"/>
          <w:sz w:val="28"/>
          <w:szCs w:val="28"/>
          <w:lang w:val="uk-UA" w:eastAsia="ru-RU"/>
        </w:rPr>
        <w:t>-практ</w:t>
      </w:r>
      <w:r w:rsidR="00E50BA4">
        <w:rPr>
          <w:rFonts w:ascii="Times New Roman" w:eastAsia="Times New Roman" w:hAnsi="Times New Roman" w:cs="Times New Roman"/>
          <w:sz w:val="28"/>
          <w:szCs w:val="28"/>
          <w:lang w:val="uk-UA" w:eastAsia="ru-RU"/>
        </w:rPr>
        <w:t>ичної</w:t>
      </w:r>
      <w:r w:rsidR="00E50BA4" w:rsidRPr="00E50BA4">
        <w:rPr>
          <w:rFonts w:ascii="Times New Roman" w:eastAsia="Times New Roman" w:hAnsi="Times New Roman" w:cs="Times New Roman"/>
          <w:sz w:val="28"/>
          <w:szCs w:val="28"/>
          <w:lang w:val="uk-UA" w:eastAsia="ru-RU"/>
        </w:rPr>
        <w:t xml:space="preserve"> конф</w:t>
      </w:r>
      <w:r w:rsidR="00E50BA4">
        <w:rPr>
          <w:rFonts w:ascii="Times New Roman" w:eastAsia="Times New Roman" w:hAnsi="Times New Roman" w:cs="Times New Roman"/>
          <w:sz w:val="28"/>
          <w:szCs w:val="28"/>
          <w:lang w:val="uk-UA" w:eastAsia="ru-RU"/>
        </w:rPr>
        <w:t>еренції</w:t>
      </w:r>
      <w:r w:rsidR="00E50BA4" w:rsidRPr="00E50BA4">
        <w:rPr>
          <w:rFonts w:ascii="Times New Roman" w:eastAsia="Times New Roman" w:hAnsi="Times New Roman" w:cs="Times New Roman"/>
          <w:sz w:val="28"/>
          <w:szCs w:val="28"/>
          <w:lang w:val="uk-UA" w:eastAsia="ru-RU"/>
        </w:rPr>
        <w:t>, присв</w:t>
      </w:r>
      <w:r w:rsidR="00E50BA4">
        <w:rPr>
          <w:rFonts w:ascii="Times New Roman" w:eastAsia="Times New Roman" w:hAnsi="Times New Roman" w:cs="Times New Roman"/>
          <w:sz w:val="28"/>
          <w:szCs w:val="28"/>
          <w:lang w:val="uk-UA" w:eastAsia="ru-RU"/>
        </w:rPr>
        <w:t>яченої</w:t>
      </w:r>
      <w:r w:rsidR="00E50BA4" w:rsidRPr="00E50BA4">
        <w:rPr>
          <w:rFonts w:ascii="Times New Roman" w:eastAsia="Times New Roman" w:hAnsi="Times New Roman" w:cs="Times New Roman"/>
          <w:sz w:val="28"/>
          <w:szCs w:val="28"/>
          <w:lang w:val="uk-UA" w:eastAsia="ru-RU"/>
        </w:rPr>
        <w:t>. 80-річчю кафедри пропедевтики внутріш</w:t>
      </w:r>
      <w:r w:rsidR="00E50BA4">
        <w:rPr>
          <w:rFonts w:ascii="Times New Roman" w:eastAsia="Times New Roman" w:hAnsi="Times New Roman" w:cs="Times New Roman"/>
          <w:sz w:val="28"/>
          <w:szCs w:val="28"/>
          <w:lang w:val="uk-UA" w:eastAsia="ru-RU"/>
        </w:rPr>
        <w:t>ньої</w:t>
      </w:r>
      <w:r w:rsidR="00E50BA4" w:rsidRPr="00E50BA4">
        <w:rPr>
          <w:rFonts w:ascii="Times New Roman" w:eastAsia="Times New Roman" w:hAnsi="Times New Roman" w:cs="Times New Roman"/>
          <w:sz w:val="28"/>
          <w:szCs w:val="28"/>
          <w:lang w:val="uk-UA" w:eastAsia="ru-RU"/>
        </w:rPr>
        <w:t xml:space="preserve"> медицини</w:t>
      </w:r>
      <w:r w:rsidR="00E50BA4">
        <w:rPr>
          <w:rFonts w:ascii="Times New Roman" w:eastAsia="Times New Roman" w:hAnsi="Times New Roman" w:cs="Times New Roman"/>
          <w:sz w:val="28"/>
          <w:szCs w:val="28"/>
          <w:lang w:val="uk-UA" w:eastAsia="ru-RU"/>
        </w:rPr>
        <w:t xml:space="preserve"> № 2 та медсестринства ХНМУ, </w:t>
      </w:r>
      <w:r w:rsidR="00E50BA4" w:rsidRPr="00E50BA4">
        <w:rPr>
          <w:rFonts w:ascii="Times New Roman" w:eastAsia="Times New Roman" w:hAnsi="Times New Roman" w:cs="Times New Roman"/>
          <w:sz w:val="28"/>
          <w:szCs w:val="28"/>
          <w:lang w:val="uk-UA" w:eastAsia="ru-RU"/>
        </w:rPr>
        <w:t>м. Харків,</w:t>
      </w:r>
      <w:r w:rsidR="00E50BA4">
        <w:rPr>
          <w:rFonts w:ascii="Times New Roman" w:eastAsia="Times New Roman" w:hAnsi="Times New Roman" w:cs="Times New Roman"/>
          <w:sz w:val="28"/>
          <w:szCs w:val="28"/>
          <w:lang w:val="uk-UA" w:eastAsia="ru-RU"/>
        </w:rPr>
        <w:t xml:space="preserve"> </w:t>
      </w:r>
      <w:r w:rsidR="00E50BA4" w:rsidRPr="00E50BA4">
        <w:rPr>
          <w:rFonts w:ascii="Times New Roman" w:eastAsia="Times New Roman" w:hAnsi="Times New Roman" w:cs="Times New Roman"/>
          <w:sz w:val="28"/>
          <w:szCs w:val="28"/>
          <w:lang w:val="uk-UA" w:eastAsia="ru-RU"/>
        </w:rPr>
        <w:t>27 вересня 2018 р.</w:t>
      </w:r>
      <w:r w:rsidR="00E50BA4">
        <w:rPr>
          <w:rFonts w:ascii="Times New Roman" w:eastAsia="Times New Roman" w:hAnsi="Times New Roman" w:cs="Times New Roman"/>
          <w:sz w:val="28"/>
          <w:szCs w:val="28"/>
          <w:lang w:val="uk-UA" w:eastAsia="ru-RU"/>
        </w:rPr>
        <w:t>). – Харків : ХНМУ, 2018. – С. 77</w:t>
      </w:r>
      <w:r w:rsidR="00E50BA4" w:rsidRPr="00E50BA4">
        <w:rPr>
          <w:rFonts w:ascii="Times New Roman" w:eastAsia="Times New Roman" w:hAnsi="Times New Roman" w:cs="Times New Roman"/>
          <w:sz w:val="28"/>
          <w:szCs w:val="28"/>
          <w:lang w:val="uk-UA" w:eastAsia="ru-RU"/>
        </w:rPr>
        <w:t>−</w:t>
      </w:r>
      <w:r w:rsidR="00E50BA4">
        <w:rPr>
          <w:rFonts w:ascii="Times New Roman" w:eastAsia="Times New Roman" w:hAnsi="Times New Roman" w:cs="Times New Roman"/>
          <w:sz w:val="28"/>
          <w:szCs w:val="28"/>
          <w:lang w:val="uk-UA" w:eastAsia="ru-RU"/>
        </w:rPr>
        <w:t>78.</w:t>
      </w:r>
    </w:p>
    <w:p w:rsidR="004116DF" w:rsidRPr="004116DF" w:rsidRDefault="004116DF" w:rsidP="00800072">
      <w:pPr>
        <w:spacing w:after="0" w:line="360" w:lineRule="auto"/>
        <w:ind w:firstLine="708"/>
        <w:jc w:val="both"/>
        <w:rPr>
          <w:rFonts w:ascii="Times New Roman" w:eastAsia="Times New Roman" w:hAnsi="Times New Roman" w:cs="Times New Roman"/>
          <w:sz w:val="28"/>
          <w:szCs w:val="28"/>
          <w:lang w:val="en-US" w:eastAsia="ru-RU"/>
        </w:rPr>
      </w:pPr>
      <w:r w:rsidRPr="00E50BA4">
        <w:rPr>
          <w:rFonts w:ascii="Times New Roman" w:eastAsia="Times New Roman" w:hAnsi="Times New Roman" w:cs="Times New Roman"/>
          <w:sz w:val="28"/>
          <w:szCs w:val="28"/>
          <w:lang w:val="uk-UA" w:eastAsia="ru-RU"/>
        </w:rPr>
        <w:t xml:space="preserve">17. </w:t>
      </w:r>
      <w:r w:rsidRPr="004116DF">
        <w:rPr>
          <w:rFonts w:ascii="Times New Roman" w:eastAsia="Times New Roman" w:hAnsi="Times New Roman" w:cs="Times New Roman"/>
          <w:sz w:val="28"/>
          <w:szCs w:val="28"/>
          <w:lang w:val="en-US" w:eastAsia="ru-RU"/>
        </w:rPr>
        <w:t>Chernatska</w:t>
      </w:r>
      <w:r w:rsidRPr="00E50BA4">
        <w:rPr>
          <w:rFonts w:ascii="Times New Roman" w:eastAsia="Times New Roman" w:hAnsi="Times New Roman" w:cs="Times New Roman"/>
          <w:sz w:val="28"/>
          <w:szCs w:val="28"/>
          <w:lang w:val="uk-UA" w:eastAsia="ru-RU"/>
        </w:rPr>
        <w:t xml:space="preserve"> </w:t>
      </w:r>
      <w:r w:rsidRPr="004116DF">
        <w:rPr>
          <w:rFonts w:ascii="Times New Roman" w:eastAsia="Times New Roman" w:hAnsi="Times New Roman" w:cs="Times New Roman"/>
          <w:sz w:val="28"/>
          <w:szCs w:val="28"/>
          <w:lang w:val="en-US" w:eastAsia="ru-RU"/>
        </w:rPr>
        <w:t>O</w:t>
      </w:r>
      <w:r w:rsidRPr="00E50BA4">
        <w:rPr>
          <w:rFonts w:ascii="Times New Roman" w:eastAsia="Times New Roman" w:hAnsi="Times New Roman" w:cs="Times New Roman"/>
          <w:sz w:val="28"/>
          <w:szCs w:val="28"/>
          <w:lang w:val="uk-UA" w:eastAsia="ru-RU"/>
        </w:rPr>
        <w:t xml:space="preserve">. </w:t>
      </w:r>
      <w:r w:rsidRPr="004116DF">
        <w:rPr>
          <w:rFonts w:ascii="Times New Roman" w:eastAsia="Times New Roman" w:hAnsi="Times New Roman" w:cs="Times New Roman"/>
          <w:sz w:val="28"/>
          <w:szCs w:val="28"/>
          <w:lang w:val="en-US" w:eastAsia="ru-RU"/>
        </w:rPr>
        <w:t>M</w:t>
      </w:r>
      <w:r w:rsidRPr="00E50BA4">
        <w:rPr>
          <w:rFonts w:ascii="Times New Roman" w:eastAsia="Times New Roman" w:hAnsi="Times New Roman" w:cs="Times New Roman"/>
          <w:sz w:val="28"/>
          <w:szCs w:val="28"/>
          <w:lang w:val="uk-UA" w:eastAsia="ru-RU"/>
        </w:rPr>
        <w:t xml:space="preserve">. </w:t>
      </w:r>
      <w:r w:rsidRPr="004116DF">
        <w:rPr>
          <w:rFonts w:ascii="Times New Roman" w:eastAsia="Times New Roman" w:hAnsi="Times New Roman" w:cs="Times New Roman"/>
          <w:sz w:val="28"/>
          <w:szCs w:val="28"/>
          <w:lang w:val="en-US" w:eastAsia="ru-RU"/>
        </w:rPr>
        <w:t>Endothelial</w:t>
      </w:r>
      <w:r w:rsidRPr="00E50BA4">
        <w:rPr>
          <w:rFonts w:ascii="Times New Roman" w:eastAsia="Times New Roman" w:hAnsi="Times New Roman" w:cs="Times New Roman"/>
          <w:sz w:val="28"/>
          <w:szCs w:val="28"/>
          <w:lang w:val="uk-UA" w:eastAsia="ru-RU"/>
        </w:rPr>
        <w:t xml:space="preserve"> </w:t>
      </w:r>
      <w:r w:rsidRPr="004116DF">
        <w:rPr>
          <w:rFonts w:ascii="Times New Roman" w:eastAsia="Times New Roman" w:hAnsi="Times New Roman" w:cs="Times New Roman"/>
          <w:sz w:val="28"/>
          <w:szCs w:val="28"/>
          <w:lang w:val="en-US" w:eastAsia="ru-RU"/>
        </w:rPr>
        <w:t>peculiarities</w:t>
      </w:r>
      <w:r w:rsidRPr="00E50BA4">
        <w:rPr>
          <w:rFonts w:ascii="Times New Roman" w:eastAsia="Times New Roman" w:hAnsi="Times New Roman" w:cs="Times New Roman"/>
          <w:sz w:val="28"/>
          <w:szCs w:val="28"/>
          <w:lang w:val="uk-UA" w:eastAsia="ru-RU"/>
        </w:rPr>
        <w:t xml:space="preserve"> </w:t>
      </w:r>
      <w:r w:rsidRPr="004116DF">
        <w:rPr>
          <w:rFonts w:ascii="Times New Roman" w:eastAsia="Times New Roman" w:hAnsi="Times New Roman" w:cs="Times New Roman"/>
          <w:sz w:val="28"/>
          <w:szCs w:val="28"/>
          <w:lang w:val="en-US" w:eastAsia="ru-RU"/>
        </w:rPr>
        <w:t>of</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heart</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failure</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in</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patients</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with</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arterial</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hypertension</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and</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type</w:t>
      </w:r>
      <w:r w:rsidRPr="00E50BA4">
        <w:rPr>
          <w:rFonts w:ascii="Times New Roman" w:eastAsia="Times New Roman" w:hAnsi="Times New Roman" w:cs="Times New Roman"/>
          <w:sz w:val="28"/>
          <w:szCs w:val="28"/>
          <w:lang w:val="uk-UA" w:eastAsia="ru-RU"/>
        </w:rPr>
        <w:t xml:space="preserve"> 2 </w:t>
      </w:r>
      <w:r>
        <w:rPr>
          <w:rFonts w:ascii="Times New Roman" w:eastAsia="Times New Roman" w:hAnsi="Times New Roman" w:cs="Times New Roman"/>
          <w:sz w:val="28"/>
          <w:szCs w:val="28"/>
          <w:lang w:val="en-US" w:eastAsia="ru-RU"/>
        </w:rPr>
        <w:t>diabetes</w:t>
      </w:r>
      <w:r w:rsidRPr="00E50BA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mellitus / O. M. </w:t>
      </w:r>
      <w:r w:rsidRPr="004116DF">
        <w:rPr>
          <w:rFonts w:ascii="Times New Roman" w:eastAsia="Times New Roman" w:hAnsi="Times New Roman" w:cs="Times New Roman"/>
          <w:sz w:val="28"/>
          <w:szCs w:val="28"/>
          <w:lang w:val="en-US" w:eastAsia="ru-RU"/>
        </w:rPr>
        <w:t>Chernatska</w:t>
      </w:r>
      <w:r>
        <w:rPr>
          <w:rFonts w:ascii="Times New Roman" w:eastAsia="Times New Roman" w:hAnsi="Times New Roman" w:cs="Times New Roman"/>
          <w:sz w:val="28"/>
          <w:szCs w:val="28"/>
          <w:lang w:val="en-US" w:eastAsia="ru-RU"/>
        </w:rPr>
        <w:t xml:space="preserve"> // </w:t>
      </w:r>
      <w:r w:rsidR="00616398" w:rsidRPr="00616398">
        <w:rPr>
          <w:rFonts w:ascii="Times New Roman" w:eastAsia="Times New Roman" w:hAnsi="Times New Roman" w:cs="Times New Roman"/>
          <w:sz w:val="28"/>
          <w:szCs w:val="28"/>
          <w:lang w:val="en-US" w:eastAsia="ru-RU"/>
        </w:rPr>
        <w:t>Topical issues of th</w:t>
      </w:r>
      <w:r w:rsidR="00616398">
        <w:rPr>
          <w:rFonts w:ascii="Times New Roman" w:eastAsia="Times New Roman" w:hAnsi="Times New Roman" w:cs="Times New Roman"/>
          <w:sz w:val="28"/>
          <w:szCs w:val="28"/>
          <w:lang w:val="en-US" w:eastAsia="ru-RU"/>
        </w:rPr>
        <w:t xml:space="preserve">eoretical and clinical medicine: abstract book of </w:t>
      </w:r>
      <w:r w:rsidR="00616398" w:rsidRPr="00616398">
        <w:rPr>
          <w:rFonts w:ascii="Times New Roman" w:eastAsia="Times New Roman" w:hAnsi="Times New Roman" w:cs="Times New Roman"/>
          <w:sz w:val="28"/>
          <w:szCs w:val="28"/>
          <w:lang w:val="en-US" w:eastAsia="ru-RU"/>
        </w:rPr>
        <w:t>International Scientific and Practical Conference of Students, Postgraduates and Young Scientists</w:t>
      </w:r>
      <w:r w:rsidR="00616398">
        <w:rPr>
          <w:rFonts w:ascii="Times New Roman" w:eastAsia="Times New Roman" w:hAnsi="Times New Roman" w:cs="Times New Roman"/>
          <w:sz w:val="28"/>
          <w:szCs w:val="28"/>
          <w:lang w:val="en-US" w:eastAsia="ru-RU"/>
        </w:rPr>
        <w:t xml:space="preserve">, </w:t>
      </w:r>
      <w:r w:rsidR="00616398" w:rsidRPr="00616398">
        <w:rPr>
          <w:rFonts w:ascii="Times New Roman" w:eastAsia="Times New Roman" w:hAnsi="Times New Roman" w:cs="Times New Roman"/>
          <w:sz w:val="28"/>
          <w:szCs w:val="28"/>
          <w:lang w:val="en-US" w:eastAsia="ru-RU"/>
        </w:rPr>
        <w:t>Sumy, October 17−19, 2018</w:t>
      </w:r>
      <w:r w:rsidR="00616398">
        <w:rPr>
          <w:rFonts w:ascii="Times New Roman" w:eastAsia="Times New Roman" w:hAnsi="Times New Roman" w:cs="Times New Roman"/>
          <w:sz w:val="28"/>
          <w:szCs w:val="28"/>
          <w:lang w:val="en-US" w:eastAsia="ru-RU"/>
        </w:rPr>
        <w:t xml:space="preserve">. </w:t>
      </w:r>
      <w:r w:rsidR="00616398" w:rsidRPr="00616398">
        <w:rPr>
          <w:rFonts w:ascii="Times New Roman" w:eastAsia="Times New Roman" w:hAnsi="Times New Roman" w:cs="Times New Roman"/>
          <w:sz w:val="28"/>
          <w:szCs w:val="28"/>
          <w:lang w:val="en-US" w:eastAsia="ru-RU"/>
        </w:rPr>
        <w:t>–</w:t>
      </w:r>
      <w:r w:rsidR="00616398">
        <w:rPr>
          <w:rFonts w:ascii="Times New Roman" w:eastAsia="Times New Roman" w:hAnsi="Times New Roman" w:cs="Times New Roman"/>
          <w:sz w:val="28"/>
          <w:szCs w:val="28"/>
          <w:lang w:val="en-US" w:eastAsia="ru-RU"/>
        </w:rPr>
        <w:t xml:space="preserve"> Sumy: Sumy State University Medical Institute, 2018. </w:t>
      </w:r>
      <w:r w:rsidR="00616398" w:rsidRPr="00616398">
        <w:rPr>
          <w:rFonts w:ascii="Times New Roman" w:eastAsia="Times New Roman" w:hAnsi="Times New Roman" w:cs="Times New Roman"/>
          <w:sz w:val="28"/>
          <w:szCs w:val="28"/>
          <w:lang w:val="en-US" w:eastAsia="ru-RU"/>
        </w:rPr>
        <w:t>–</w:t>
      </w:r>
      <w:r w:rsidR="00616398">
        <w:rPr>
          <w:rFonts w:ascii="Times New Roman" w:eastAsia="Times New Roman" w:hAnsi="Times New Roman" w:cs="Times New Roman"/>
          <w:sz w:val="28"/>
          <w:szCs w:val="28"/>
          <w:lang w:val="en-US" w:eastAsia="ru-RU"/>
        </w:rPr>
        <w:t xml:space="preserve"> P. 88.</w:t>
      </w:r>
    </w:p>
    <w:p w:rsidR="00800072" w:rsidRPr="00800072" w:rsidRDefault="00800072" w:rsidP="00800072">
      <w:pPr>
        <w:spacing w:after="0" w:line="360" w:lineRule="auto"/>
        <w:ind w:firstLine="708"/>
        <w:jc w:val="both"/>
        <w:rPr>
          <w:rFonts w:ascii="Times New Roman" w:eastAsia="Times New Roman" w:hAnsi="Times New Roman" w:cs="Times New Roman"/>
          <w:b/>
          <w:sz w:val="28"/>
          <w:szCs w:val="28"/>
          <w:lang w:eastAsia="ru-RU"/>
        </w:rPr>
      </w:pPr>
      <w:r w:rsidRPr="00800072">
        <w:rPr>
          <w:rFonts w:ascii="Times New Roman" w:eastAsia="Times New Roman" w:hAnsi="Times New Roman" w:cs="Times New Roman"/>
          <w:b/>
          <w:sz w:val="28"/>
          <w:szCs w:val="28"/>
          <w:lang w:eastAsia="ru-RU"/>
        </w:rPr>
        <w:t>Наукові праці, які додатково відображають наукові результати дисертації:</w:t>
      </w:r>
    </w:p>
    <w:p w:rsidR="00D52478" w:rsidRPr="00833624" w:rsidRDefault="00E562E5" w:rsidP="0065629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116DF" w:rsidRPr="004116DF">
        <w:rPr>
          <w:rFonts w:ascii="Times New Roman" w:eastAsia="Times New Roman" w:hAnsi="Times New Roman" w:cs="Times New Roman"/>
          <w:sz w:val="28"/>
          <w:szCs w:val="28"/>
          <w:lang w:eastAsia="ru-RU"/>
        </w:rPr>
        <w:t>8</w:t>
      </w:r>
      <w:r w:rsidR="00800072" w:rsidRPr="00800072">
        <w:rPr>
          <w:rFonts w:ascii="Times New Roman" w:eastAsia="Times New Roman" w:hAnsi="Times New Roman" w:cs="Times New Roman"/>
          <w:sz w:val="28"/>
          <w:szCs w:val="28"/>
          <w:lang w:eastAsia="ru-RU"/>
        </w:rPr>
        <w:t xml:space="preserve">. Пат. 112621, </w:t>
      </w:r>
      <w:r w:rsidR="00800072" w:rsidRPr="00800072">
        <w:rPr>
          <w:rFonts w:ascii="Times New Roman" w:eastAsia="Times New Roman" w:hAnsi="Times New Roman" w:cs="Times New Roman"/>
          <w:sz w:val="28"/>
          <w:szCs w:val="28"/>
          <w:lang w:val="en-US" w:eastAsia="ru-RU"/>
        </w:rPr>
        <w:t>UA</w:t>
      </w:r>
      <w:r w:rsidR="00800072" w:rsidRPr="00800072">
        <w:rPr>
          <w:rFonts w:ascii="Times New Roman" w:eastAsia="Times New Roman" w:hAnsi="Times New Roman" w:cs="Times New Roman"/>
          <w:sz w:val="28"/>
          <w:szCs w:val="28"/>
          <w:lang w:eastAsia="ru-RU"/>
        </w:rPr>
        <w:t>, МПК А61К 31/00, А61Р 5/00. Спосіб корекції дисфункції ендотелію у пацієнтів з артеріальною гіпертензією та цукровим діабетом 2-го типу / Н. В. Деміхова, О. М. Чернацька, Ю. О. Сміянова (Україна)</w:t>
      </w:r>
      <w:r w:rsidR="00800072" w:rsidRPr="00800072">
        <w:rPr>
          <w:rFonts w:ascii="Times New Roman" w:eastAsia="Times New Roman" w:hAnsi="Times New Roman" w:cs="Times New Roman"/>
          <w:sz w:val="28"/>
          <w:szCs w:val="28"/>
          <w:lang w:val="uk-UA" w:eastAsia="ru-RU"/>
        </w:rPr>
        <w:t xml:space="preserve"> </w:t>
      </w:r>
      <w:r w:rsidR="00800072" w:rsidRPr="00800072">
        <w:rPr>
          <w:rFonts w:ascii="Times New Roman" w:eastAsia="Times New Roman" w:hAnsi="Times New Roman" w:cs="Times New Roman"/>
          <w:sz w:val="28"/>
          <w:szCs w:val="28"/>
          <w:lang w:eastAsia="ru-RU"/>
        </w:rPr>
        <w:t xml:space="preserve">; СумДУ. – № </w:t>
      </w:r>
      <w:r w:rsidR="00800072" w:rsidRPr="00800072">
        <w:rPr>
          <w:rFonts w:ascii="Times New Roman" w:eastAsia="Times New Roman" w:hAnsi="Times New Roman" w:cs="Times New Roman"/>
          <w:sz w:val="28"/>
          <w:szCs w:val="28"/>
          <w:lang w:val="en-US" w:eastAsia="ru-RU"/>
        </w:rPr>
        <w:t>u</w:t>
      </w:r>
      <w:r w:rsidR="00800072" w:rsidRPr="00800072">
        <w:rPr>
          <w:rFonts w:ascii="Times New Roman" w:eastAsia="Times New Roman" w:hAnsi="Times New Roman" w:cs="Times New Roman"/>
          <w:sz w:val="28"/>
          <w:szCs w:val="28"/>
          <w:lang w:eastAsia="ru-RU"/>
        </w:rPr>
        <w:t>201606179</w:t>
      </w:r>
      <w:r w:rsidR="00800072" w:rsidRPr="00800072">
        <w:rPr>
          <w:rFonts w:ascii="Times New Roman" w:eastAsia="Times New Roman" w:hAnsi="Times New Roman" w:cs="Times New Roman"/>
          <w:sz w:val="28"/>
          <w:szCs w:val="28"/>
          <w:lang w:val="uk-UA" w:eastAsia="ru-RU"/>
        </w:rPr>
        <w:t xml:space="preserve"> </w:t>
      </w:r>
      <w:r w:rsidR="00800072" w:rsidRPr="00800072">
        <w:rPr>
          <w:rFonts w:ascii="Times New Roman" w:eastAsia="Times New Roman" w:hAnsi="Times New Roman" w:cs="Times New Roman"/>
          <w:sz w:val="28"/>
          <w:szCs w:val="28"/>
          <w:lang w:eastAsia="ru-RU"/>
        </w:rPr>
        <w:t>; заяв</w:t>
      </w:r>
      <w:r w:rsidR="00800072" w:rsidRPr="00800072">
        <w:rPr>
          <w:rFonts w:ascii="Times New Roman" w:eastAsia="Times New Roman" w:hAnsi="Times New Roman" w:cs="Times New Roman"/>
          <w:sz w:val="28"/>
          <w:szCs w:val="28"/>
          <w:lang w:val="uk-UA" w:eastAsia="ru-RU"/>
        </w:rPr>
        <w:t>л</w:t>
      </w:r>
      <w:r w:rsidR="00800072" w:rsidRPr="00800072">
        <w:rPr>
          <w:rFonts w:ascii="Times New Roman" w:eastAsia="Times New Roman" w:hAnsi="Times New Roman" w:cs="Times New Roman"/>
          <w:sz w:val="28"/>
          <w:szCs w:val="28"/>
          <w:lang w:eastAsia="ru-RU"/>
        </w:rPr>
        <w:t>. 07.06.2016</w:t>
      </w:r>
      <w:r w:rsidR="00800072" w:rsidRPr="00800072">
        <w:rPr>
          <w:rFonts w:ascii="Times New Roman" w:eastAsia="Times New Roman" w:hAnsi="Times New Roman" w:cs="Times New Roman"/>
          <w:sz w:val="28"/>
          <w:szCs w:val="28"/>
          <w:lang w:val="uk-UA" w:eastAsia="ru-RU"/>
        </w:rPr>
        <w:t xml:space="preserve"> </w:t>
      </w:r>
      <w:r w:rsidR="00800072" w:rsidRPr="00800072">
        <w:rPr>
          <w:rFonts w:ascii="Times New Roman" w:eastAsia="Times New Roman" w:hAnsi="Times New Roman" w:cs="Times New Roman"/>
          <w:sz w:val="28"/>
          <w:szCs w:val="28"/>
          <w:lang w:eastAsia="ru-RU"/>
        </w:rPr>
        <w:t>; опубл. 26.12.2016, Бюл. № 24.</w:t>
      </w:r>
    </w:p>
    <w:p w:rsidR="00656290" w:rsidRPr="00833624" w:rsidRDefault="00656290" w:rsidP="00656290">
      <w:pPr>
        <w:spacing w:after="0" w:line="360" w:lineRule="auto"/>
        <w:ind w:firstLine="708"/>
        <w:jc w:val="both"/>
        <w:rPr>
          <w:rFonts w:ascii="Times New Roman" w:eastAsia="Times New Roman" w:hAnsi="Times New Roman" w:cs="Times New Roman"/>
          <w:sz w:val="28"/>
          <w:szCs w:val="28"/>
          <w:lang w:eastAsia="ru-RU"/>
        </w:rPr>
      </w:pPr>
    </w:p>
    <w:p w:rsidR="00EE6203" w:rsidRPr="002F4699" w:rsidRDefault="002F4699" w:rsidP="009461CD">
      <w:pPr>
        <w:spacing w:after="0" w:line="360" w:lineRule="auto"/>
        <w:ind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Додаток Б</w:t>
      </w:r>
    </w:p>
    <w:p w:rsidR="008E36DC" w:rsidRDefault="008E36DC" w:rsidP="009461CD">
      <w:pPr>
        <w:spacing w:after="0" w:line="360" w:lineRule="auto"/>
        <w:ind w:firstLine="708"/>
        <w:jc w:val="center"/>
        <w:rPr>
          <w:rFonts w:ascii="Times New Roman" w:eastAsia="Times New Roman" w:hAnsi="Times New Roman" w:cs="Times New Roman"/>
          <w:b/>
          <w:sz w:val="28"/>
          <w:szCs w:val="28"/>
          <w:lang w:val="uk-UA" w:eastAsia="ru-RU"/>
        </w:rPr>
      </w:pPr>
      <w:r w:rsidRPr="002F4699">
        <w:rPr>
          <w:rFonts w:ascii="Times New Roman" w:eastAsia="Times New Roman" w:hAnsi="Times New Roman" w:cs="Times New Roman"/>
          <w:b/>
          <w:sz w:val="28"/>
          <w:szCs w:val="28"/>
          <w:lang w:val="uk-UA" w:eastAsia="ru-RU"/>
        </w:rPr>
        <w:t>АПРОБАЦ</w:t>
      </w:r>
      <w:r w:rsidRPr="008E36DC">
        <w:rPr>
          <w:rFonts w:ascii="Times New Roman" w:eastAsia="Times New Roman" w:hAnsi="Times New Roman" w:cs="Times New Roman"/>
          <w:b/>
          <w:sz w:val="28"/>
          <w:szCs w:val="28"/>
          <w:lang w:val="uk-UA" w:eastAsia="ru-RU"/>
        </w:rPr>
        <w:t>ІЯ РЕЗУЛЬТАТІВ ДИСЕРТАЦІЇ</w:t>
      </w:r>
    </w:p>
    <w:p w:rsidR="00087A68" w:rsidRPr="00634A87" w:rsidRDefault="00E562E5" w:rsidP="00634A87">
      <w:pPr>
        <w:spacing w:after="0" w:line="360" w:lineRule="auto"/>
        <w:ind w:firstLine="708"/>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w:t>
      </w:r>
      <w:r w:rsidR="00634A87" w:rsidRPr="00634A87">
        <w:rPr>
          <w:rFonts w:ascii="Times New Roman" w:eastAsia="Times New Roman" w:hAnsi="Times New Roman" w:cs="Times New Roman"/>
          <w:bCs/>
          <w:sz w:val="28"/>
          <w:szCs w:val="28"/>
          <w:lang w:val="uk-UA" w:eastAsia="ru-RU"/>
        </w:rPr>
        <w:t xml:space="preserve">. </w:t>
      </w:r>
      <w:r w:rsidR="00087A68" w:rsidRPr="00634A87">
        <w:rPr>
          <w:rFonts w:ascii="Times New Roman" w:eastAsia="Times New Roman" w:hAnsi="Times New Roman" w:cs="Times New Roman"/>
          <w:bCs/>
          <w:sz w:val="28"/>
          <w:szCs w:val="28"/>
          <w:lang w:val="uk-UA" w:eastAsia="ru-RU"/>
        </w:rPr>
        <w:t>Науково-практична конференція за міжнародної участі «Досягнення та перспективи експериментальної і клінічної ендокринології (П’ятнадцяті Данилевські читання)» (м. Харків, 10−11 березня 2016 р.) – публікація тез.</w:t>
      </w:r>
    </w:p>
    <w:p w:rsidR="008E36DC" w:rsidRPr="00634A87" w:rsidRDefault="00E562E5" w:rsidP="00634A8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2</w:t>
      </w:r>
      <w:r w:rsidR="00634A87" w:rsidRPr="00634A87">
        <w:rPr>
          <w:rFonts w:ascii="Times New Roman" w:eastAsia="Times New Roman" w:hAnsi="Times New Roman" w:cs="Times New Roman"/>
          <w:bCs/>
          <w:sz w:val="28"/>
          <w:szCs w:val="28"/>
          <w:lang w:eastAsia="ru-RU"/>
        </w:rPr>
        <w:t xml:space="preserve">. </w:t>
      </w:r>
      <w:r w:rsidR="008E36DC" w:rsidRPr="00634A87">
        <w:rPr>
          <w:rFonts w:ascii="Times New Roman" w:eastAsia="Times New Roman" w:hAnsi="Times New Roman" w:cs="Times New Roman"/>
          <w:bCs/>
          <w:sz w:val="28"/>
          <w:szCs w:val="28"/>
          <w:lang w:eastAsia="ru-RU"/>
        </w:rPr>
        <w:t xml:space="preserve">Міжнародна науково-практична конференція студентів та молодих учених </w:t>
      </w:r>
      <w:r w:rsidR="008E36DC" w:rsidRPr="008E36DC">
        <w:t xml:space="preserve"> «</w:t>
      </w:r>
      <w:r w:rsidR="008E36DC" w:rsidRPr="00634A87">
        <w:rPr>
          <w:rFonts w:ascii="Times New Roman" w:eastAsia="Times New Roman" w:hAnsi="Times New Roman" w:cs="Times New Roman"/>
          <w:bCs/>
          <w:sz w:val="28"/>
          <w:szCs w:val="28"/>
          <w:lang w:eastAsia="ru-RU"/>
        </w:rPr>
        <w:t>Актуальні питання теоретичної та практи</w:t>
      </w:r>
      <w:r w:rsidR="00527182">
        <w:rPr>
          <w:rFonts w:ascii="Times New Roman" w:eastAsia="Times New Roman" w:hAnsi="Times New Roman" w:cs="Times New Roman"/>
          <w:bCs/>
          <w:sz w:val="28"/>
          <w:szCs w:val="28"/>
          <w:lang w:eastAsia="ru-RU"/>
        </w:rPr>
        <w:t>чної медицини»</w:t>
      </w:r>
      <w:r w:rsidR="00B74A72" w:rsidRPr="00634A87">
        <w:rPr>
          <w:rFonts w:ascii="Times New Roman" w:eastAsia="Times New Roman" w:hAnsi="Times New Roman" w:cs="Times New Roman"/>
          <w:bCs/>
          <w:sz w:val="28"/>
          <w:szCs w:val="28"/>
          <w:lang w:eastAsia="ru-RU"/>
        </w:rPr>
        <w:t xml:space="preserve"> </w:t>
      </w:r>
      <w:r w:rsidR="008E36DC" w:rsidRPr="00634A87">
        <w:rPr>
          <w:rFonts w:ascii="Times New Roman" w:eastAsia="Times New Roman" w:hAnsi="Times New Roman" w:cs="Times New Roman"/>
          <w:bCs/>
          <w:sz w:val="28"/>
          <w:szCs w:val="28"/>
          <w:lang w:eastAsia="ru-RU"/>
        </w:rPr>
        <w:t>(м. Суми, 21−22 квітня 2016 р.</w:t>
      </w:r>
      <w:r w:rsidR="00801112">
        <w:rPr>
          <w:rFonts w:ascii="Times New Roman" w:eastAsia="Times New Roman" w:hAnsi="Times New Roman" w:cs="Times New Roman"/>
          <w:bCs/>
          <w:sz w:val="28"/>
          <w:szCs w:val="28"/>
          <w:lang w:eastAsia="ru-RU"/>
        </w:rPr>
        <w:t>, 2</w:t>
      </w:r>
      <w:r w:rsidR="00801112">
        <w:rPr>
          <w:rFonts w:ascii="Times New Roman" w:eastAsia="Times New Roman" w:hAnsi="Times New Roman" w:cs="Times New Roman"/>
          <w:bCs/>
          <w:sz w:val="28"/>
          <w:szCs w:val="28"/>
          <w:lang w:val="uk-UA" w:eastAsia="ru-RU"/>
        </w:rPr>
        <w:t>0</w:t>
      </w:r>
      <w:r w:rsidR="00801112">
        <w:rPr>
          <w:rFonts w:ascii="Times New Roman" w:eastAsia="Times New Roman" w:hAnsi="Times New Roman" w:cs="Times New Roman"/>
          <w:bCs/>
          <w:sz w:val="28"/>
          <w:szCs w:val="28"/>
          <w:lang w:eastAsia="ru-RU"/>
        </w:rPr>
        <w:t>−2</w:t>
      </w:r>
      <w:r w:rsidR="00801112">
        <w:rPr>
          <w:rFonts w:ascii="Times New Roman" w:eastAsia="Times New Roman" w:hAnsi="Times New Roman" w:cs="Times New Roman"/>
          <w:bCs/>
          <w:sz w:val="28"/>
          <w:szCs w:val="28"/>
          <w:lang w:val="uk-UA" w:eastAsia="ru-RU"/>
        </w:rPr>
        <w:t>1</w:t>
      </w:r>
      <w:r w:rsidR="00B74A72" w:rsidRPr="00634A87">
        <w:rPr>
          <w:rFonts w:ascii="Times New Roman" w:eastAsia="Times New Roman" w:hAnsi="Times New Roman" w:cs="Times New Roman"/>
          <w:bCs/>
          <w:sz w:val="28"/>
          <w:szCs w:val="28"/>
          <w:lang w:eastAsia="ru-RU"/>
        </w:rPr>
        <w:t xml:space="preserve"> квітня 2017 р</w:t>
      </w:r>
      <w:r w:rsidR="008E36DC" w:rsidRPr="00634A87">
        <w:rPr>
          <w:rFonts w:ascii="Times New Roman" w:eastAsia="Times New Roman" w:hAnsi="Times New Roman" w:cs="Times New Roman"/>
          <w:bCs/>
          <w:sz w:val="28"/>
          <w:szCs w:val="28"/>
          <w:lang w:eastAsia="ru-RU"/>
        </w:rPr>
        <w:t>) – усна доповідь, публікація тез.</w:t>
      </w:r>
    </w:p>
    <w:p w:rsidR="008E36DC" w:rsidRPr="002763A9" w:rsidRDefault="00E562E5" w:rsidP="00634A8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3</w:t>
      </w:r>
      <w:r w:rsidR="00634A87"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Науково</w:t>
      </w:r>
      <w:r w:rsidR="00087A68" w:rsidRPr="002763A9">
        <w:rPr>
          <w:rFonts w:ascii="Times New Roman" w:eastAsia="Times New Roman" w:hAnsi="Times New Roman" w:cs="Times New Roman"/>
          <w:bCs/>
          <w:sz w:val="28"/>
          <w:szCs w:val="28"/>
          <w:lang w:eastAsia="ru-RU"/>
        </w:rPr>
        <w:t>-</w:t>
      </w:r>
      <w:r w:rsidR="00087A68" w:rsidRPr="00634A87">
        <w:rPr>
          <w:rFonts w:ascii="Times New Roman" w:eastAsia="Times New Roman" w:hAnsi="Times New Roman" w:cs="Times New Roman"/>
          <w:bCs/>
          <w:sz w:val="28"/>
          <w:szCs w:val="28"/>
          <w:lang w:eastAsia="ru-RU"/>
        </w:rPr>
        <w:t>практична</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конференція</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за</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міжнародної</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участі</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присвячена</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пам</w:t>
      </w:r>
      <w:r w:rsidR="00087A68" w:rsidRPr="002763A9">
        <w:rPr>
          <w:rFonts w:ascii="Times New Roman" w:eastAsia="Times New Roman" w:hAnsi="Times New Roman" w:cs="Times New Roman"/>
          <w:bCs/>
          <w:sz w:val="28"/>
          <w:szCs w:val="28"/>
          <w:lang w:eastAsia="ru-RU"/>
        </w:rPr>
        <w:t>ʼ</w:t>
      </w:r>
      <w:r w:rsidR="00087A68" w:rsidRPr="00634A87">
        <w:rPr>
          <w:rFonts w:ascii="Times New Roman" w:eastAsia="Times New Roman" w:hAnsi="Times New Roman" w:cs="Times New Roman"/>
          <w:bCs/>
          <w:sz w:val="28"/>
          <w:szCs w:val="28"/>
          <w:lang w:eastAsia="ru-RU"/>
        </w:rPr>
        <w:t>яті</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академіка</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Л</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Т</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Малої</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Щорічні</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терапевтичні</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читання</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профілактика</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неінфекційних</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захворювань</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на</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перехресті</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терапевтичних</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наук</w:t>
      </w:r>
      <w:r w:rsidR="00087A68" w:rsidRPr="002763A9">
        <w:rPr>
          <w:rFonts w:ascii="Times New Roman" w:eastAsia="Times New Roman" w:hAnsi="Times New Roman" w:cs="Times New Roman"/>
          <w:bCs/>
          <w:sz w:val="28"/>
          <w:szCs w:val="28"/>
          <w:lang w:eastAsia="ru-RU"/>
        </w:rPr>
        <w:t>» (</w:t>
      </w:r>
      <w:r w:rsidR="00087A68" w:rsidRPr="00634A87">
        <w:rPr>
          <w:rFonts w:ascii="Times New Roman" w:eastAsia="Times New Roman" w:hAnsi="Times New Roman" w:cs="Times New Roman"/>
          <w:bCs/>
          <w:sz w:val="28"/>
          <w:szCs w:val="28"/>
          <w:lang w:eastAsia="ru-RU"/>
        </w:rPr>
        <w:t>м</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Харків</w:t>
      </w:r>
      <w:r w:rsidR="00087A68" w:rsidRPr="002763A9">
        <w:rPr>
          <w:rFonts w:ascii="Times New Roman" w:eastAsia="Times New Roman" w:hAnsi="Times New Roman" w:cs="Times New Roman"/>
          <w:bCs/>
          <w:sz w:val="28"/>
          <w:szCs w:val="28"/>
          <w:lang w:eastAsia="ru-RU"/>
        </w:rPr>
        <w:t xml:space="preserve">, 21 </w:t>
      </w:r>
      <w:r w:rsidR="00087A68" w:rsidRPr="00634A87">
        <w:rPr>
          <w:rFonts w:ascii="Times New Roman" w:eastAsia="Times New Roman" w:hAnsi="Times New Roman" w:cs="Times New Roman"/>
          <w:bCs/>
          <w:sz w:val="28"/>
          <w:szCs w:val="28"/>
          <w:lang w:eastAsia="ru-RU"/>
        </w:rPr>
        <w:t>квітня</w:t>
      </w:r>
      <w:r w:rsidR="00087A68" w:rsidRPr="002763A9">
        <w:rPr>
          <w:rFonts w:ascii="Times New Roman" w:eastAsia="Times New Roman" w:hAnsi="Times New Roman" w:cs="Times New Roman"/>
          <w:bCs/>
          <w:sz w:val="28"/>
          <w:szCs w:val="28"/>
          <w:lang w:eastAsia="ru-RU"/>
        </w:rPr>
        <w:t xml:space="preserve"> 2016 </w:t>
      </w:r>
      <w:r w:rsidR="00087A68" w:rsidRPr="00634A87">
        <w:rPr>
          <w:rFonts w:ascii="Times New Roman" w:eastAsia="Times New Roman" w:hAnsi="Times New Roman" w:cs="Times New Roman"/>
          <w:bCs/>
          <w:sz w:val="28"/>
          <w:szCs w:val="28"/>
          <w:lang w:eastAsia="ru-RU"/>
        </w:rPr>
        <w:t>р</w:t>
      </w:r>
      <w:r w:rsidR="00087A68" w:rsidRPr="002763A9">
        <w:rPr>
          <w:rFonts w:ascii="Times New Roman" w:eastAsia="Times New Roman" w:hAnsi="Times New Roman" w:cs="Times New Roman"/>
          <w:bCs/>
          <w:sz w:val="28"/>
          <w:szCs w:val="28"/>
          <w:lang w:eastAsia="ru-RU"/>
        </w:rPr>
        <w:t xml:space="preserve">.) – </w:t>
      </w:r>
      <w:r w:rsidR="00087A68" w:rsidRPr="00634A87">
        <w:rPr>
          <w:rFonts w:ascii="Times New Roman" w:eastAsia="Times New Roman" w:hAnsi="Times New Roman" w:cs="Times New Roman"/>
          <w:bCs/>
          <w:sz w:val="28"/>
          <w:szCs w:val="28"/>
          <w:lang w:eastAsia="ru-RU"/>
        </w:rPr>
        <w:t>публікація</w:t>
      </w:r>
      <w:r w:rsidR="00087A68" w:rsidRPr="002763A9">
        <w:rPr>
          <w:rFonts w:ascii="Times New Roman" w:eastAsia="Times New Roman" w:hAnsi="Times New Roman" w:cs="Times New Roman"/>
          <w:bCs/>
          <w:sz w:val="28"/>
          <w:szCs w:val="28"/>
          <w:lang w:eastAsia="ru-RU"/>
        </w:rPr>
        <w:t xml:space="preserve"> </w:t>
      </w:r>
      <w:r w:rsidR="00087A68" w:rsidRPr="00634A87">
        <w:rPr>
          <w:rFonts w:ascii="Times New Roman" w:eastAsia="Times New Roman" w:hAnsi="Times New Roman" w:cs="Times New Roman"/>
          <w:bCs/>
          <w:sz w:val="28"/>
          <w:szCs w:val="28"/>
          <w:lang w:eastAsia="ru-RU"/>
        </w:rPr>
        <w:t>тез</w:t>
      </w:r>
      <w:r w:rsidR="00087A68" w:rsidRPr="002763A9">
        <w:rPr>
          <w:rFonts w:ascii="Times New Roman" w:eastAsia="Times New Roman" w:hAnsi="Times New Roman" w:cs="Times New Roman"/>
          <w:bCs/>
          <w:sz w:val="28"/>
          <w:szCs w:val="28"/>
          <w:lang w:eastAsia="ru-RU"/>
        </w:rPr>
        <w:t>.</w:t>
      </w:r>
    </w:p>
    <w:p w:rsidR="00087A68" w:rsidRPr="002763A9" w:rsidRDefault="00E562E5" w:rsidP="00634A8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val="uk-UA" w:eastAsia="ru-RU"/>
        </w:rPr>
        <w:t>4</w:t>
      </w:r>
      <w:r w:rsidR="00634A87" w:rsidRPr="002763A9">
        <w:rPr>
          <w:rFonts w:ascii="Times New Roman" w:eastAsia="Times New Roman" w:hAnsi="Times New Roman" w:cs="Times New Roman"/>
          <w:sz w:val="28"/>
          <w:szCs w:val="28"/>
          <w:lang w:eastAsia="ru-RU"/>
        </w:rPr>
        <w:t xml:space="preserve">. </w:t>
      </w:r>
      <w:r w:rsidR="00087A68" w:rsidRPr="00634A87">
        <w:rPr>
          <w:rFonts w:ascii="Times New Roman" w:eastAsia="Times New Roman" w:hAnsi="Times New Roman" w:cs="Times New Roman"/>
          <w:sz w:val="28"/>
          <w:szCs w:val="28"/>
          <w:lang w:eastAsia="ru-RU"/>
        </w:rPr>
        <w:t>Міжнародна</w:t>
      </w:r>
      <w:r w:rsidR="00087A68" w:rsidRPr="002763A9">
        <w:rPr>
          <w:rFonts w:ascii="Times New Roman" w:eastAsia="Times New Roman" w:hAnsi="Times New Roman" w:cs="Times New Roman"/>
          <w:sz w:val="28"/>
          <w:szCs w:val="28"/>
          <w:lang w:eastAsia="ru-RU"/>
        </w:rPr>
        <w:t xml:space="preserve"> </w:t>
      </w:r>
      <w:r w:rsidR="00087A68" w:rsidRPr="00634A87">
        <w:rPr>
          <w:rFonts w:ascii="Times New Roman" w:eastAsia="Times New Roman" w:hAnsi="Times New Roman" w:cs="Times New Roman"/>
          <w:sz w:val="28"/>
          <w:szCs w:val="28"/>
          <w:lang w:eastAsia="ru-RU"/>
        </w:rPr>
        <w:t>науково</w:t>
      </w:r>
      <w:r w:rsidR="00087A68" w:rsidRPr="002763A9">
        <w:rPr>
          <w:rFonts w:ascii="Times New Roman" w:eastAsia="Times New Roman" w:hAnsi="Times New Roman" w:cs="Times New Roman"/>
          <w:sz w:val="28"/>
          <w:szCs w:val="28"/>
          <w:lang w:eastAsia="ru-RU"/>
        </w:rPr>
        <w:t>-</w:t>
      </w:r>
      <w:r w:rsidR="00087A68" w:rsidRPr="00634A87">
        <w:rPr>
          <w:rFonts w:ascii="Times New Roman" w:eastAsia="Times New Roman" w:hAnsi="Times New Roman" w:cs="Times New Roman"/>
          <w:sz w:val="28"/>
          <w:szCs w:val="28"/>
          <w:lang w:eastAsia="ru-RU"/>
        </w:rPr>
        <w:t>практична</w:t>
      </w:r>
      <w:r w:rsidR="00087A68" w:rsidRPr="002763A9">
        <w:rPr>
          <w:rFonts w:ascii="Times New Roman" w:eastAsia="Times New Roman" w:hAnsi="Times New Roman" w:cs="Times New Roman"/>
          <w:sz w:val="28"/>
          <w:szCs w:val="28"/>
          <w:lang w:eastAsia="ru-RU"/>
        </w:rPr>
        <w:t xml:space="preserve"> </w:t>
      </w:r>
      <w:r w:rsidR="00087A68" w:rsidRPr="00634A87">
        <w:rPr>
          <w:rFonts w:ascii="Times New Roman" w:eastAsia="Times New Roman" w:hAnsi="Times New Roman" w:cs="Times New Roman"/>
          <w:sz w:val="28"/>
          <w:szCs w:val="28"/>
          <w:lang w:eastAsia="ru-RU"/>
        </w:rPr>
        <w:t>конференція</w:t>
      </w:r>
      <w:r w:rsidR="00087A68" w:rsidRPr="002763A9">
        <w:rPr>
          <w:rFonts w:ascii="Times New Roman" w:eastAsia="Times New Roman" w:hAnsi="Times New Roman" w:cs="Times New Roman"/>
          <w:sz w:val="28"/>
          <w:szCs w:val="28"/>
          <w:lang w:eastAsia="ru-RU"/>
        </w:rPr>
        <w:t xml:space="preserve"> «</w:t>
      </w:r>
      <w:r w:rsidR="00B74A72" w:rsidRPr="00634A87">
        <w:rPr>
          <w:rFonts w:ascii="Times New Roman" w:eastAsia="Times New Roman" w:hAnsi="Times New Roman" w:cs="Times New Roman"/>
          <w:bCs/>
          <w:sz w:val="28"/>
          <w:szCs w:val="28"/>
          <w:lang w:eastAsia="ru-RU"/>
        </w:rPr>
        <w:t>Терапевтичні</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читання</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сучасні</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аспекти</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діагностики</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і</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лікування</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захворюван</w:t>
      </w:r>
      <w:r w:rsidR="002076ED" w:rsidRPr="00634A87">
        <w:rPr>
          <w:rFonts w:ascii="Times New Roman" w:eastAsia="Times New Roman" w:hAnsi="Times New Roman" w:cs="Times New Roman"/>
          <w:bCs/>
          <w:sz w:val="28"/>
          <w:szCs w:val="28"/>
          <w:lang w:eastAsia="ru-RU"/>
        </w:rPr>
        <w:t>ь</w:t>
      </w:r>
      <w:r w:rsidR="002076ED" w:rsidRPr="002763A9">
        <w:rPr>
          <w:rFonts w:ascii="Times New Roman" w:eastAsia="Times New Roman" w:hAnsi="Times New Roman" w:cs="Times New Roman"/>
          <w:bCs/>
          <w:sz w:val="28"/>
          <w:szCs w:val="28"/>
          <w:lang w:eastAsia="ru-RU"/>
        </w:rPr>
        <w:t xml:space="preserve"> </w:t>
      </w:r>
      <w:r w:rsidR="002076ED" w:rsidRPr="00634A87">
        <w:rPr>
          <w:rFonts w:ascii="Times New Roman" w:eastAsia="Times New Roman" w:hAnsi="Times New Roman" w:cs="Times New Roman"/>
          <w:bCs/>
          <w:sz w:val="28"/>
          <w:szCs w:val="28"/>
          <w:lang w:eastAsia="ru-RU"/>
        </w:rPr>
        <w:t>внутрішніх</w:t>
      </w:r>
      <w:r w:rsidR="002076ED" w:rsidRPr="002763A9">
        <w:rPr>
          <w:rFonts w:ascii="Times New Roman" w:eastAsia="Times New Roman" w:hAnsi="Times New Roman" w:cs="Times New Roman"/>
          <w:bCs/>
          <w:sz w:val="28"/>
          <w:szCs w:val="28"/>
          <w:lang w:eastAsia="ru-RU"/>
        </w:rPr>
        <w:t xml:space="preserve"> </w:t>
      </w:r>
      <w:r w:rsidR="002076ED" w:rsidRPr="00634A87">
        <w:rPr>
          <w:rFonts w:ascii="Times New Roman" w:eastAsia="Times New Roman" w:hAnsi="Times New Roman" w:cs="Times New Roman"/>
          <w:bCs/>
          <w:sz w:val="28"/>
          <w:szCs w:val="28"/>
          <w:lang w:eastAsia="ru-RU"/>
        </w:rPr>
        <w:t>органів</w:t>
      </w:r>
      <w:r w:rsidR="002076ED" w:rsidRPr="002763A9">
        <w:rPr>
          <w:rFonts w:ascii="Times New Roman" w:eastAsia="Times New Roman" w:hAnsi="Times New Roman" w:cs="Times New Roman"/>
          <w:bCs/>
          <w:sz w:val="28"/>
          <w:szCs w:val="28"/>
          <w:lang w:eastAsia="ru-RU"/>
        </w:rPr>
        <w:t xml:space="preserve">» </w:t>
      </w:r>
      <w:r w:rsidR="002076ED" w:rsidRPr="00634A87">
        <w:rPr>
          <w:rFonts w:ascii="Times New Roman" w:eastAsia="Times New Roman" w:hAnsi="Times New Roman" w:cs="Times New Roman"/>
          <w:bCs/>
          <w:sz w:val="28"/>
          <w:szCs w:val="28"/>
          <w:lang w:eastAsia="ru-RU"/>
        </w:rPr>
        <w:t>присвячена</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пам</w:t>
      </w:r>
      <w:r w:rsidR="00B74A72" w:rsidRPr="002763A9">
        <w:rPr>
          <w:rFonts w:ascii="Times New Roman" w:eastAsia="Times New Roman" w:hAnsi="Times New Roman" w:cs="Times New Roman"/>
          <w:bCs/>
          <w:sz w:val="28"/>
          <w:szCs w:val="28"/>
          <w:lang w:eastAsia="ru-RU"/>
        </w:rPr>
        <w:t>’</w:t>
      </w:r>
      <w:r w:rsidR="00B74A72" w:rsidRPr="00634A87">
        <w:rPr>
          <w:rFonts w:ascii="Times New Roman" w:eastAsia="Times New Roman" w:hAnsi="Times New Roman" w:cs="Times New Roman"/>
          <w:bCs/>
          <w:sz w:val="28"/>
          <w:szCs w:val="28"/>
          <w:lang w:eastAsia="ru-RU"/>
        </w:rPr>
        <w:t>яті</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академіка</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НАМН</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України</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Є</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М</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Нейка</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Івано</w:t>
      </w:r>
      <w:r w:rsidR="00B74A72" w:rsidRPr="002763A9">
        <w:rPr>
          <w:rFonts w:ascii="Times New Roman" w:eastAsia="Times New Roman" w:hAnsi="Times New Roman" w:cs="Times New Roman"/>
          <w:bCs/>
          <w:sz w:val="28"/>
          <w:szCs w:val="28"/>
          <w:lang w:eastAsia="ru-RU"/>
        </w:rPr>
        <w:t>-</w:t>
      </w:r>
      <w:r w:rsidR="00B74A72" w:rsidRPr="00634A87">
        <w:rPr>
          <w:rFonts w:ascii="Times New Roman" w:eastAsia="Times New Roman" w:hAnsi="Times New Roman" w:cs="Times New Roman"/>
          <w:bCs/>
          <w:sz w:val="28"/>
          <w:szCs w:val="28"/>
          <w:lang w:eastAsia="ru-RU"/>
        </w:rPr>
        <w:t>Франківськ</w:t>
      </w:r>
      <w:r w:rsidR="00B74A72" w:rsidRPr="002763A9">
        <w:rPr>
          <w:rFonts w:ascii="Times New Roman" w:eastAsia="Times New Roman" w:hAnsi="Times New Roman" w:cs="Times New Roman"/>
          <w:bCs/>
          <w:sz w:val="28"/>
          <w:szCs w:val="28"/>
          <w:lang w:eastAsia="ru-RU"/>
        </w:rPr>
        <w:t xml:space="preserve"> − </w:t>
      </w:r>
      <w:r w:rsidR="00B74A72" w:rsidRPr="00634A87">
        <w:rPr>
          <w:rFonts w:ascii="Times New Roman" w:eastAsia="Times New Roman" w:hAnsi="Times New Roman" w:cs="Times New Roman"/>
          <w:bCs/>
          <w:sz w:val="28"/>
          <w:szCs w:val="28"/>
          <w:lang w:eastAsia="ru-RU"/>
        </w:rPr>
        <w:t>Яремче</w:t>
      </w:r>
      <w:r w:rsidR="00B74A72" w:rsidRPr="002763A9">
        <w:rPr>
          <w:rFonts w:ascii="Times New Roman" w:eastAsia="Times New Roman" w:hAnsi="Times New Roman" w:cs="Times New Roman"/>
          <w:bCs/>
          <w:sz w:val="28"/>
          <w:szCs w:val="28"/>
          <w:lang w:eastAsia="ru-RU"/>
        </w:rPr>
        <w:t xml:space="preserve">, 6−7 </w:t>
      </w:r>
      <w:r w:rsidR="00B74A72" w:rsidRPr="00634A87">
        <w:rPr>
          <w:rFonts w:ascii="Times New Roman" w:eastAsia="Times New Roman" w:hAnsi="Times New Roman" w:cs="Times New Roman"/>
          <w:bCs/>
          <w:sz w:val="28"/>
          <w:szCs w:val="28"/>
          <w:lang w:eastAsia="ru-RU"/>
        </w:rPr>
        <w:t>жовтня</w:t>
      </w:r>
      <w:r w:rsidR="00B74A72" w:rsidRPr="002763A9">
        <w:rPr>
          <w:rFonts w:ascii="Times New Roman" w:eastAsia="Times New Roman" w:hAnsi="Times New Roman" w:cs="Times New Roman"/>
          <w:bCs/>
          <w:sz w:val="28"/>
          <w:szCs w:val="28"/>
          <w:lang w:eastAsia="ru-RU"/>
        </w:rPr>
        <w:t xml:space="preserve"> 2016) – </w:t>
      </w:r>
      <w:r w:rsidR="00B74A72" w:rsidRPr="00634A87">
        <w:rPr>
          <w:rFonts w:ascii="Times New Roman" w:eastAsia="Times New Roman" w:hAnsi="Times New Roman" w:cs="Times New Roman"/>
          <w:bCs/>
          <w:sz w:val="28"/>
          <w:szCs w:val="28"/>
          <w:lang w:eastAsia="ru-RU"/>
        </w:rPr>
        <w:t>публікація</w:t>
      </w:r>
      <w:r w:rsidR="00B74A72" w:rsidRPr="002763A9">
        <w:rPr>
          <w:rFonts w:ascii="Times New Roman" w:eastAsia="Times New Roman" w:hAnsi="Times New Roman" w:cs="Times New Roman"/>
          <w:bCs/>
          <w:sz w:val="28"/>
          <w:szCs w:val="28"/>
          <w:lang w:eastAsia="ru-RU"/>
        </w:rPr>
        <w:t xml:space="preserve"> </w:t>
      </w:r>
      <w:r w:rsidR="00B74A72" w:rsidRPr="00634A87">
        <w:rPr>
          <w:rFonts w:ascii="Times New Roman" w:eastAsia="Times New Roman" w:hAnsi="Times New Roman" w:cs="Times New Roman"/>
          <w:bCs/>
          <w:sz w:val="28"/>
          <w:szCs w:val="28"/>
          <w:lang w:eastAsia="ru-RU"/>
        </w:rPr>
        <w:t>тез</w:t>
      </w:r>
      <w:r w:rsidR="00B74A72" w:rsidRPr="002763A9">
        <w:rPr>
          <w:rFonts w:ascii="Times New Roman" w:eastAsia="Times New Roman" w:hAnsi="Times New Roman" w:cs="Times New Roman"/>
          <w:bCs/>
          <w:sz w:val="28"/>
          <w:szCs w:val="28"/>
          <w:lang w:eastAsia="ru-RU"/>
        </w:rPr>
        <w:t>.</w:t>
      </w:r>
    </w:p>
    <w:p w:rsidR="00615E33" w:rsidRPr="00E02F04" w:rsidRDefault="00E562E5" w:rsidP="00634A8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5</w:t>
      </w:r>
      <w:r w:rsidR="00634A87"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Науково</w:t>
      </w:r>
      <w:r w:rsidR="00615E33" w:rsidRPr="00E02F04">
        <w:rPr>
          <w:rFonts w:ascii="Times New Roman" w:eastAsia="Times New Roman" w:hAnsi="Times New Roman" w:cs="Times New Roman"/>
          <w:bCs/>
          <w:sz w:val="28"/>
          <w:szCs w:val="28"/>
          <w:lang w:eastAsia="ru-RU"/>
        </w:rPr>
        <w:t>-</w:t>
      </w:r>
      <w:r w:rsidR="00615E33" w:rsidRPr="00634A87">
        <w:rPr>
          <w:rFonts w:ascii="Times New Roman" w:eastAsia="Times New Roman" w:hAnsi="Times New Roman" w:cs="Times New Roman"/>
          <w:bCs/>
          <w:sz w:val="28"/>
          <w:szCs w:val="28"/>
          <w:lang w:eastAsia="ru-RU"/>
        </w:rPr>
        <w:t>практична</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конференція</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за</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міжнародної</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участі</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Актуальні</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питання</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сімейної</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медицини</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та</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перспективи</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її</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розвитку</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в</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рамках</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Всесвітнього</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дня</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сімейного</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лікаря</w:t>
      </w:r>
      <w:r w:rsidR="00615E33" w:rsidRPr="00E02F04">
        <w:rPr>
          <w:rFonts w:ascii="Times New Roman" w:eastAsia="Times New Roman" w:hAnsi="Times New Roman" w:cs="Times New Roman"/>
          <w:bCs/>
          <w:sz w:val="28"/>
          <w:szCs w:val="28"/>
          <w:lang w:eastAsia="ru-RU"/>
        </w:rPr>
        <w:t>)» (</w:t>
      </w:r>
      <w:r w:rsidR="00615E33" w:rsidRPr="00634A87">
        <w:rPr>
          <w:rFonts w:ascii="Times New Roman" w:eastAsia="Times New Roman" w:hAnsi="Times New Roman" w:cs="Times New Roman"/>
          <w:bCs/>
          <w:sz w:val="28"/>
          <w:szCs w:val="28"/>
          <w:lang w:eastAsia="ru-RU"/>
        </w:rPr>
        <w:t>м</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Київ</w:t>
      </w:r>
      <w:r w:rsidR="00615E33" w:rsidRPr="00E02F04">
        <w:rPr>
          <w:rFonts w:ascii="Times New Roman" w:eastAsia="Times New Roman" w:hAnsi="Times New Roman" w:cs="Times New Roman"/>
          <w:bCs/>
          <w:sz w:val="28"/>
          <w:szCs w:val="28"/>
          <w:lang w:eastAsia="ru-RU"/>
        </w:rPr>
        <w:t xml:space="preserve">, 18−19 </w:t>
      </w:r>
      <w:r w:rsidR="00615E33" w:rsidRPr="00634A87">
        <w:rPr>
          <w:rFonts w:ascii="Times New Roman" w:eastAsia="Times New Roman" w:hAnsi="Times New Roman" w:cs="Times New Roman"/>
          <w:bCs/>
          <w:sz w:val="28"/>
          <w:szCs w:val="28"/>
          <w:lang w:eastAsia="ru-RU"/>
        </w:rPr>
        <w:t>травня</w:t>
      </w:r>
      <w:r w:rsidR="00615E33" w:rsidRPr="00E02F04">
        <w:rPr>
          <w:rFonts w:ascii="Times New Roman" w:eastAsia="Times New Roman" w:hAnsi="Times New Roman" w:cs="Times New Roman"/>
          <w:bCs/>
          <w:sz w:val="28"/>
          <w:szCs w:val="28"/>
          <w:lang w:eastAsia="ru-RU"/>
        </w:rPr>
        <w:t xml:space="preserve"> 2017) – </w:t>
      </w:r>
      <w:r w:rsidR="00615E33" w:rsidRPr="00634A87">
        <w:rPr>
          <w:rFonts w:ascii="Times New Roman" w:eastAsia="Times New Roman" w:hAnsi="Times New Roman" w:cs="Times New Roman"/>
          <w:bCs/>
          <w:sz w:val="28"/>
          <w:szCs w:val="28"/>
          <w:lang w:eastAsia="ru-RU"/>
        </w:rPr>
        <w:t>публікація</w:t>
      </w:r>
      <w:r w:rsidR="00615E33" w:rsidRPr="00E02F04">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тез</w:t>
      </w:r>
      <w:r w:rsidR="00615E33" w:rsidRPr="00E02F04">
        <w:rPr>
          <w:rFonts w:ascii="Times New Roman" w:eastAsia="Times New Roman" w:hAnsi="Times New Roman" w:cs="Times New Roman"/>
          <w:bCs/>
          <w:sz w:val="28"/>
          <w:szCs w:val="28"/>
          <w:lang w:eastAsia="ru-RU"/>
        </w:rPr>
        <w:t>.</w:t>
      </w:r>
    </w:p>
    <w:p w:rsidR="00615E33" w:rsidRPr="00634A87" w:rsidRDefault="00E562E5" w:rsidP="00634A8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6</w:t>
      </w:r>
      <w:r w:rsidR="00634A87" w:rsidRPr="00634A87">
        <w:rPr>
          <w:rFonts w:ascii="Times New Roman" w:eastAsia="Times New Roman" w:hAnsi="Times New Roman" w:cs="Times New Roman"/>
          <w:bCs/>
          <w:sz w:val="28"/>
          <w:szCs w:val="28"/>
          <w:lang w:eastAsia="ru-RU"/>
        </w:rPr>
        <w:t xml:space="preserve">. </w:t>
      </w:r>
      <w:r w:rsidR="00615E33" w:rsidRPr="00634A87">
        <w:rPr>
          <w:rFonts w:ascii="Times New Roman" w:eastAsia="Times New Roman" w:hAnsi="Times New Roman" w:cs="Times New Roman"/>
          <w:bCs/>
          <w:sz w:val="28"/>
          <w:szCs w:val="28"/>
          <w:lang w:eastAsia="ru-RU"/>
        </w:rPr>
        <w:t>Всеукраїнська науково-практична конференція за міжнародної участі з сімейної медицини «Від науки до практики» (м. Дніпро, 1−2 червня 2017 р.) – публікація тез.</w:t>
      </w:r>
    </w:p>
    <w:p w:rsidR="00897D8A" w:rsidRPr="00634A87" w:rsidRDefault="00E562E5" w:rsidP="00634A87">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7</w:t>
      </w:r>
      <w:r w:rsidR="00634A87" w:rsidRPr="00634A87">
        <w:rPr>
          <w:rFonts w:ascii="Times New Roman" w:eastAsia="Times New Roman" w:hAnsi="Times New Roman" w:cs="Times New Roman"/>
          <w:bCs/>
          <w:sz w:val="28"/>
          <w:szCs w:val="28"/>
          <w:lang w:eastAsia="ru-RU"/>
        </w:rPr>
        <w:t xml:space="preserve">. </w:t>
      </w:r>
      <w:r w:rsidR="00897D8A" w:rsidRPr="00634A87">
        <w:rPr>
          <w:rFonts w:ascii="Times New Roman" w:eastAsia="Times New Roman" w:hAnsi="Times New Roman" w:cs="Times New Roman"/>
          <w:bCs/>
          <w:sz w:val="28"/>
          <w:szCs w:val="28"/>
          <w:lang w:eastAsia="ru-RU"/>
        </w:rPr>
        <w:t>V з’їзд нефрологів України (м. Вінниця,</w:t>
      </w:r>
      <w:r w:rsidR="00634A87" w:rsidRPr="00634A87">
        <w:rPr>
          <w:rFonts w:ascii="Times New Roman" w:eastAsia="Times New Roman" w:hAnsi="Times New Roman" w:cs="Times New Roman"/>
          <w:bCs/>
          <w:sz w:val="28"/>
          <w:szCs w:val="28"/>
          <w:lang w:eastAsia="ru-RU"/>
        </w:rPr>
        <w:t xml:space="preserve"> 21−22 вересня 2017р.) −  </w:t>
      </w:r>
      <w:r w:rsidR="00897D8A" w:rsidRPr="00634A87">
        <w:rPr>
          <w:rFonts w:ascii="Times New Roman" w:eastAsia="Times New Roman" w:hAnsi="Times New Roman" w:cs="Times New Roman"/>
          <w:bCs/>
          <w:sz w:val="28"/>
          <w:szCs w:val="28"/>
          <w:lang w:eastAsia="ru-RU"/>
        </w:rPr>
        <w:t xml:space="preserve">   публікація тез.</w:t>
      </w:r>
    </w:p>
    <w:p w:rsidR="00615E33" w:rsidRPr="008C1539" w:rsidRDefault="00E562E5" w:rsidP="00634A87">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val="uk-UA" w:eastAsia="ru-RU"/>
        </w:rPr>
        <w:t>8</w:t>
      </w:r>
      <w:r w:rsidR="00634A87" w:rsidRPr="00634A87">
        <w:rPr>
          <w:rFonts w:ascii="Times New Roman" w:eastAsia="Times New Roman" w:hAnsi="Times New Roman" w:cs="Times New Roman"/>
          <w:bCs/>
          <w:sz w:val="28"/>
          <w:szCs w:val="28"/>
          <w:lang w:eastAsia="ru-RU"/>
        </w:rPr>
        <w:t xml:space="preserve">. </w:t>
      </w:r>
      <w:r w:rsidR="00615E33">
        <w:rPr>
          <w:rFonts w:ascii="Times New Roman" w:eastAsia="Times New Roman" w:hAnsi="Times New Roman" w:cs="Times New Roman"/>
          <w:sz w:val="28"/>
          <w:szCs w:val="28"/>
          <w:lang w:val="uk-UA" w:eastAsia="ru-RU"/>
        </w:rPr>
        <w:t>Всеукраїнська науково-методична конференція</w:t>
      </w:r>
      <w:r w:rsidR="00897D8A">
        <w:rPr>
          <w:rFonts w:ascii="Times New Roman" w:eastAsia="Times New Roman" w:hAnsi="Times New Roman" w:cs="Times New Roman"/>
          <w:sz w:val="28"/>
          <w:szCs w:val="28"/>
          <w:lang w:val="uk-UA" w:eastAsia="ru-RU"/>
        </w:rPr>
        <w:t>, присвячена</w:t>
      </w:r>
      <w:r w:rsidR="00615E33" w:rsidRPr="001667D9">
        <w:rPr>
          <w:rFonts w:ascii="Times New Roman" w:eastAsia="Times New Roman" w:hAnsi="Times New Roman" w:cs="Times New Roman"/>
          <w:sz w:val="28"/>
          <w:szCs w:val="28"/>
          <w:lang w:val="uk-UA" w:eastAsia="ru-RU"/>
        </w:rPr>
        <w:t xml:space="preserve"> 25-річчю Медичного інституту Сумського державного університету</w:t>
      </w:r>
      <w:r w:rsidR="00615E33">
        <w:rPr>
          <w:rFonts w:ascii="Times New Roman" w:eastAsia="Times New Roman" w:hAnsi="Times New Roman" w:cs="Times New Roman"/>
          <w:sz w:val="28"/>
          <w:szCs w:val="28"/>
          <w:lang w:val="uk-UA" w:eastAsia="ru-RU"/>
        </w:rPr>
        <w:t xml:space="preserve"> «</w:t>
      </w:r>
      <w:r w:rsidR="00615E33" w:rsidRPr="001667D9">
        <w:rPr>
          <w:rFonts w:ascii="Times New Roman" w:eastAsia="Times New Roman" w:hAnsi="Times New Roman" w:cs="Times New Roman"/>
          <w:sz w:val="28"/>
          <w:szCs w:val="28"/>
          <w:lang w:val="uk-UA" w:eastAsia="ru-RU"/>
        </w:rPr>
        <w:t>Перспективи розвитку медичної науки і освіти</w:t>
      </w:r>
      <w:r w:rsidR="00615E33">
        <w:rPr>
          <w:rFonts w:ascii="Times New Roman" w:eastAsia="Times New Roman" w:hAnsi="Times New Roman" w:cs="Times New Roman"/>
          <w:sz w:val="28"/>
          <w:szCs w:val="28"/>
          <w:lang w:val="uk-UA" w:eastAsia="ru-RU"/>
        </w:rPr>
        <w:t>» (</w:t>
      </w:r>
      <w:r w:rsidR="00615E33" w:rsidRPr="001667D9">
        <w:rPr>
          <w:rFonts w:ascii="Times New Roman" w:eastAsia="Times New Roman" w:hAnsi="Times New Roman" w:cs="Times New Roman"/>
          <w:sz w:val="28"/>
          <w:szCs w:val="28"/>
          <w:lang w:val="uk-UA" w:eastAsia="ru-RU"/>
        </w:rPr>
        <w:t>м. Суми, 16−17 листопада 2017 р.</w:t>
      </w:r>
      <w:r w:rsidR="00615E33">
        <w:rPr>
          <w:rFonts w:ascii="Times New Roman" w:eastAsia="Times New Roman" w:hAnsi="Times New Roman" w:cs="Times New Roman"/>
          <w:sz w:val="28"/>
          <w:szCs w:val="28"/>
          <w:lang w:val="uk-UA" w:eastAsia="ru-RU"/>
        </w:rPr>
        <w:t>) – усна доповідь, публікація тез.</w:t>
      </w:r>
    </w:p>
    <w:p w:rsidR="00E947C8" w:rsidRDefault="00E947C8" w:rsidP="00E947C8">
      <w:pPr>
        <w:spacing w:after="0" w:line="360" w:lineRule="auto"/>
        <w:ind w:firstLine="708"/>
        <w:jc w:val="both"/>
        <w:rPr>
          <w:rFonts w:ascii="Times New Roman" w:eastAsia="Times New Roman" w:hAnsi="Times New Roman" w:cs="Times New Roman"/>
          <w:sz w:val="28"/>
          <w:szCs w:val="28"/>
          <w:lang w:val="uk-UA" w:eastAsia="ru-RU"/>
        </w:rPr>
      </w:pPr>
      <w:r w:rsidRPr="008C1539">
        <w:rPr>
          <w:rFonts w:ascii="Times New Roman" w:eastAsia="Times New Roman" w:hAnsi="Times New Roman" w:cs="Times New Roman"/>
          <w:sz w:val="28"/>
          <w:szCs w:val="28"/>
          <w:lang w:eastAsia="ru-RU"/>
        </w:rPr>
        <w:lastRenderedPageBreak/>
        <w:t xml:space="preserve">9. </w:t>
      </w:r>
      <w:r>
        <w:rPr>
          <w:rFonts w:ascii="Times New Roman" w:eastAsia="Times New Roman" w:hAnsi="Times New Roman" w:cs="Times New Roman"/>
          <w:sz w:val="28"/>
          <w:szCs w:val="28"/>
          <w:lang w:eastAsia="ru-RU"/>
        </w:rPr>
        <w:t>Науково</w:t>
      </w:r>
      <w:r w:rsidRPr="008C15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практична</w:t>
      </w:r>
      <w:r w:rsidRPr="008C15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конференція</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що</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присвячена</w:t>
      </w:r>
      <w:r w:rsidRPr="008C1539">
        <w:rPr>
          <w:rFonts w:ascii="Times New Roman" w:eastAsia="Times New Roman" w:hAnsi="Times New Roman" w:cs="Times New Roman"/>
          <w:sz w:val="28"/>
          <w:szCs w:val="28"/>
          <w:lang w:eastAsia="ru-RU"/>
        </w:rPr>
        <w:t xml:space="preserve"> 80-</w:t>
      </w:r>
      <w:r w:rsidRPr="00E947C8">
        <w:rPr>
          <w:rFonts w:ascii="Times New Roman" w:eastAsia="Times New Roman" w:hAnsi="Times New Roman" w:cs="Times New Roman"/>
          <w:sz w:val="28"/>
          <w:szCs w:val="28"/>
          <w:lang w:eastAsia="ru-RU"/>
        </w:rPr>
        <w:t>річчю</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кафедри</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пропедевтики</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внутрішньої</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медицини</w:t>
      </w:r>
      <w:r w:rsidRPr="008C1539">
        <w:rPr>
          <w:rFonts w:ascii="Times New Roman" w:eastAsia="Times New Roman" w:hAnsi="Times New Roman" w:cs="Times New Roman"/>
          <w:sz w:val="28"/>
          <w:szCs w:val="28"/>
          <w:lang w:eastAsia="ru-RU"/>
        </w:rPr>
        <w:t xml:space="preserve"> №2 </w:t>
      </w:r>
      <w:r w:rsidRPr="00E947C8">
        <w:rPr>
          <w:rFonts w:ascii="Times New Roman" w:eastAsia="Times New Roman" w:hAnsi="Times New Roman" w:cs="Times New Roman"/>
          <w:sz w:val="28"/>
          <w:szCs w:val="28"/>
          <w:lang w:eastAsia="ru-RU"/>
        </w:rPr>
        <w:t>та</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медсестринства</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ХНМУ</w:t>
      </w:r>
      <w:r w:rsidRPr="008C1539">
        <w:rPr>
          <w:rFonts w:ascii="Times New Roman" w:eastAsia="Times New Roman" w:hAnsi="Times New Roman" w:cs="Times New Roman"/>
          <w:sz w:val="28"/>
          <w:szCs w:val="28"/>
          <w:lang w:eastAsia="ru-RU"/>
        </w:rPr>
        <w:t xml:space="preserve"> «</w:t>
      </w:r>
      <w:r w:rsidRPr="00E947C8">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оморб</w:t>
      </w:r>
      <w:r>
        <w:rPr>
          <w:rFonts w:ascii="Times New Roman" w:eastAsia="Times New Roman" w:hAnsi="Times New Roman" w:cs="Times New Roman"/>
          <w:sz w:val="28"/>
          <w:szCs w:val="28"/>
          <w:lang w:val="uk-UA" w:eastAsia="ru-RU"/>
        </w:rPr>
        <w:t>ідність</w:t>
      </w:r>
      <w:r w:rsidRPr="008C15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міждисциплінарні аспекти та сучасний пацієнт» </w:t>
      </w:r>
      <w:r w:rsidRPr="008C1539">
        <w:rPr>
          <w:rFonts w:ascii="Times New Roman" w:eastAsia="Times New Roman" w:hAnsi="Times New Roman" w:cs="Times New Roman"/>
          <w:sz w:val="28"/>
          <w:szCs w:val="28"/>
          <w:lang w:eastAsia="ru-RU"/>
        </w:rPr>
        <w:t>(м. Харків, 27 вересня 2018 р.)</w:t>
      </w:r>
      <w:r>
        <w:rPr>
          <w:rFonts w:ascii="Times New Roman" w:eastAsia="Times New Roman" w:hAnsi="Times New Roman" w:cs="Times New Roman"/>
          <w:sz w:val="28"/>
          <w:szCs w:val="28"/>
          <w:lang w:val="uk-UA" w:eastAsia="ru-RU"/>
        </w:rPr>
        <w:t xml:space="preserve"> − </w:t>
      </w:r>
      <w:r w:rsidRPr="00E947C8">
        <w:rPr>
          <w:rFonts w:ascii="Times New Roman" w:eastAsia="Times New Roman" w:hAnsi="Times New Roman" w:cs="Times New Roman"/>
          <w:sz w:val="28"/>
          <w:szCs w:val="28"/>
          <w:lang w:val="uk-UA" w:eastAsia="ru-RU"/>
        </w:rPr>
        <w:t>публікація тез.</w:t>
      </w:r>
    </w:p>
    <w:p w:rsidR="00E947C8" w:rsidRPr="00E947C8" w:rsidRDefault="00E947C8" w:rsidP="00E947C8">
      <w:pPr>
        <w:spacing w:after="0" w:line="36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uk-UA" w:eastAsia="ru-RU"/>
        </w:rPr>
        <w:t xml:space="preserve">10. </w:t>
      </w:r>
      <w:r>
        <w:rPr>
          <w:rFonts w:ascii="Times New Roman" w:eastAsia="Times New Roman" w:hAnsi="Times New Roman" w:cs="Times New Roman"/>
          <w:sz w:val="28"/>
          <w:szCs w:val="28"/>
          <w:lang w:val="en-US" w:eastAsia="ru-RU"/>
        </w:rPr>
        <w:t xml:space="preserve">International Scientific and Practical Conference of Students, Postgraduates and Young Scientists </w:t>
      </w:r>
      <w:r w:rsidRPr="00E947C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Topical issues of theoretical and clinical medicine</w:t>
      </w:r>
      <w:r w:rsidRPr="00E947C8">
        <w:rPr>
          <w:rFonts w:ascii="Times New Roman" w:eastAsia="Times New Roman" w:hAnsi="Times New Roman" w:cs="Times New Roman"/>
          <w:sz w:val="28"/>
          <w:szCs w:val="28"/>
          <w:lang w:val="en-US" w:eastAsia="ru-RU"/>
        </w:rPr>
        <w:t>»</w:t>
      </w:r>
      <w:r w:rsidR="004116DF">
        <w:rPr>
          <w:rFonts w:ascii="Times New Roman" w:eastAsia="Times New Roman" w:hAnsi="Times New Roman" w:cs="Times New Roman"/>
          <w:sz w:val="28"/>
          <w:szCs w:val="28"/>
          <w:lang w:val="en-US" w:eastAsia="ru-RU"/>
        </w:rPr>
        <w:t xml:space="preserve"> (Sumy, October 17</w:t>
      </w:r>
      <w:r w:rsidR="004116DF" w:rsidRPr="004116DF">
        <w:rPr>
          <w:rFonts w:ascii="Times New Roman" w:eastAsia="Times New Roman" w:hAnsi="Times New Roman" w:cs="Times New Roman"/>
          <w:sz w:val="28"/>
          <w:szCs w:val="28"/>
          <w:lang w:val="en-US" w:eastAsia="ru-RU"/>
        </w:rPr>
        <w:t>−</w:t>
      </w:r>
      <w:r w:rsidR="004116DF">
        <w:rPr>
          <w:rFonts w:ascii="Times New Roman" w:eastAsia="Times New Roman" w:hAnsi="Times New Roman" w:cs="Times New Roman"/>
          <w:sz w:val="28"/>
          <w:szCs w:val="28"/>
          <w:lang w:val="en-US" w:eastAsia="ru-RU"/>
        </w:rPr>
        <w:t xml:space="preserve">19, 2018) </w:t>
      </w:r>
      <w:r w:rsidR="004116DF" w:rsidRPr="004116DF">
        <w:rPr>
          <w:rFonts w:ascii="Times New Roman" w:eastAsia="Times New Roman" w:hAnsi="Times New Roman" w:cs="Times New Roman"/>
          <w:sz w:val="28"/>
          <w:szCs w:val="28"/>
          <w:lang w:val="en-US" w:eastAsia="ru-RU"/>
        </w:rPr>
        <w:t>–</w:t>
      </w:r>
      <w:r w:rsidR="004116DF">
        <w:rPr>
          <w:rFonts w:ascii="Times New Roman" w:eastAsia="Times New Roman" w:hAnsi="Times New Roman" w:cs="Times New Roman"/>
          <w:sz w:val="28"/>
          <w:szCs w:val="28"/>
          <w:lang w:val="en-US" w:eastAsia="ru-RU"/>
        </w:rPr>
        <w:t xml:space="preserve"> oral report.</w:t>
      </w:r>
    </w:p>
    <w:sectPr w:rsidR="00E947C8" w:rsidRPr="00E947C8" w:rsidSect="00E877CA">
      <w:footerReference w:type="default" r:id="rId124"/>
      <w:footerReference w:type="first" r:id="rId12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16" w:rsidRDefault="00851816" w:rsidP="00AA792B">
      <w:pPr>
        <w:spacing w:after="0" w:line="240" w:lineRule="auto"/>
      </w:pPr>
      <w:r>
        <w:separator/>
      </w:r>
    </w:p>
  </w:endnote>
  <w:endnote w:type="continuationSeparator" w:id="0">
    <w:p w:rsidR="00851816" w:rsidRDefault="00851816" w:rsidP="00AA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00234896"/>
      <w:docPartObj>
        <w:docPartGallery w:val="Page Numbers (Bottom of Page)"/>
        <w:docPartUnique/>
      </w:docPartObj>
    </w:sdtPr>
    <w:sdtEndPr/>
    <w:sdtContent>
      <w:p w:rsidR="00C0676B" w:rsidRPr="00E24AA1" w:rsidRDefault="00C0676B">
        <w:pPr>
          <w:pStyle w:val="ad"/>
          <w:jc w:val="center"/>
          <w:rPr>
            <w:rFonts w:ascii="Times New Roman" w:hAnsi="Times New Roman" w:cs="Times New Roman"/>
            <w:sz w:val="28"/>
            <w:szCs w:val="28"/>
          </w:rPr>
        </w:pPr>
        <w:r w:rsidRPr="00E24AA1">
          <w:rPr>
            <w:rFonts w:ascii="Times New Roman" w:hAnsi="Times New Roman" w:cs="Times New Roman"/>
            <w:sz w:val="28"/>
            <w:szCs w:val="28"/>
          </w:rPr>
          <w:fldChar w:fldCharType="begin"/>
        </w:r>
        <w:r w:rsidRPr="00E24AA1">
          <w:rPr>
            <w:rFonts w:ascii="Times New Roman" w:hAnsi="Times New Roman" w:cs="Times New Roman"/>
            <w:sz w:val="28"/>
            <w:szCs w:val="28"/>
          </w:rPr>
          <w:instrText>PAGE   \* MERGEFORMAT</w:instrText>
        </w:r>
        <w:r w:rsidRPr="00E24AA1">
          <w:rPr>
            <w:rFonts w:ascii="Times New Roman" w:hAnsi="Times New Roman" w:cs="Times New Roman"/>
            <w:sz w:val="28"/>
            <w:szCs w:val="28"/>
          </w:rPr>
          <w:fldChar w:fldCharType="separate"/>
        </w:r>
        <w:r w:rsidR="000A6805">
          <w:rPr>
            <w:rFonts w:ascii="Times New Roman" w:hAnsi="Times New Roman" w:cs="Times New Roman"/>
            <w:noProof/>
            <w:sz w:val="28"/>
            <w:szCs w:val="28"/>
          </w:rPr>
          <w:t>7</w:t>
        </w:r>
        <w:r w:rsidRPr="00E24AA1">
          <w:rPr>
            <w:rFonts w:ascii="Times New Roman" w:hAnsi="Times New Roman" w:cs="Times New Roman"/>
            <w:sz w:val="28"/>
            <w:szCs w:val="28"/>
          </w:rPr>
          <w:fldChar w:fldCharType="end"/>
        </w:r>
      </w:p>
    </w:sdtContent>
  </w:sdt>
  <w:p w:rsidR="00C0676B" w:rsidRDefault="00C0676B" w:rsidP="00F57918">
    <w:pPr>
      <w:pStyle w:val="ad"/>
      <w:tabs>
        <w:tab w:val="clear" w:pos="4677"/>
        <w:tab w:val="clear" w:pos="9355"/>
        <w:tab w:val="left" w:pos="363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6B" w:rsidRDefault="00C0676B">
    <w:pPr>
      <w:pStyle w:val="ad"/>
      <w:jc w:val="center"/>
    </w:pPr>
  </w:p>
  <w:p w:rsidR="00C0676B" w:rsidRDefault="00C067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16" w:rsidRDefault="00851816" w:rsidP="00AA792B">
      <w:pPr>
        <w:spacing w:after="0" w:line="240" w:lineRule="auto"/>
      </w:pPr>
      <w:r>
        <w:separator/>
      </w:r>
    </w:p>
  </w:footnote>
  <w:footnote w:type="continuationSeparator" w:id="0">
    <w:p w:rsidR="00851816" w:rsidRDefault="00851816" w:rsidP="00AA7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306"/>
    <w:multiLevelType w:val="multilevel"/>
    <w:tmpl w:val="EB1C1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B36638"/>
    <w:multiLevelType w:val="hybridMultilevel"/>
    <w:tmpl w:val="2070EAC2"/>
    <w:lvl w:ilvl="0" w:tplc="04F6CAA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849DD"/>
    <w:multiLevelType w:val="hybridMultilevel"/>
    <w:tmpl w:val="C25E1632"/>
    <w:lvl w:ilvl="0" w:tplc="B6960B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573FFE"/>
    <w:multiLevelType w:val="hybridMultilevel"/>
    <w:tmpl w:val="CBBC83B8"/>
    <w:lvl w:ilvl="0" w:tplc="5B344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51F0CBA"/>
    <w:multiLevelType w:val="hybridMultilevel"/>
    <w:tmpl w:val="AADA0C44"/>
    <w:lvl w:ilvl="0" w:tplc="05CEE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AE1C31"/>
    <w:multiLevelType w:val="hybridMultilevel"/>
    <w:tmpl w:val="2CA8B5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C02C3"/>
    <w:multiLevelType w:val="hybridMultilevel"/>
    <w:tmpl w:val="24B80E96"/>
    <w:lvl w:ilvl="0" w:tplc="F32C8F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51B279D"/>
    <w:multiLevelType w:val="hybridMultilevel"/>
    <w:tmpl w:val="9830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83179"/>
    <w:multiLevelType w:val="multilevel"/>
    <w:tmpl w:val="052A6146"/>
    <w:lvl w:ilvl="0">
      <w:start w:val="1"/>
      <w:numFmt w:val="decimal"/>
      <w:lvlText w:val="%1."/>
      <w:lvlJc w:val="left"/>
      <w:pPr>
        <w:ind w:left="720" w:hanging="360"/>
      </w:pPr>
      <w:rPr>
        <w:rFonts w:ascii="Times New Roman" w:eastAsiaTheme="minorHAnsi" w:hAnsi="Times New Roman" w:cs="Times New Roman"/>
      </w:rPr>
    </w:lvl>
    <w:lvl w:ilvl="1">
      <w:start w:val="4"/>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2EBE60E2"/>
    <w:multiLevelType w:val="hybridMultilevel"/>
    <w:tmpl w:val="62363F48"/>
    <w:lvl w:ilvl="0" w:tplc="909C3C86">
      <w:start w:val="8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CD1279"/>
    <w:multiLevelType w:val="hybridMultilevel"/>
    <w:tmpl w:val="A808E5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58977FE"/>
    <w:multiLevelType w:val="hybridMultilevel"/>
    <w:tmpl w:val="712E65EA"/>
    <w:lvl w:ilvl="0" w:tplc="5FB046C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75700"/>
    <w:multiLevelType w:val="hybridMultilevel"/>
    <w:tmpl w:val="A58EE54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B81DDB"/>
    <w:multiLevelType w:val="hybridMultilevel"/>
    <w:tmpl w:val="EA6A8C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F433AE4"/>
    <w:multiLevelType w:val="hybridMultilevel"/>
    <w:tmpl w:val="8FDA0346"/>
    <w:lvl w:ilvl="0" w:tplc="035E76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F4E5719"/>
    <w:multiLevelType w:val="hybridMultilevel"/>
    <w:tmpl w:val="C3FE6A14"/>
    <w:lvl w:ilvl="0" w:tplc="DDF81FE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FA25AB5"/>
    <w:multiLevelType w:val="hybridMultilevel"/>
    <w:tmpl w:val="09C29A50"/>
    <w:lvl w:ilvl="0" w:tplc="2CC00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3B4DF8"/>
    <w:multiLevelType w:val="hybridMultilevel"/>
    <w:tmpl w:val="323A2B02"/>
    <w:lvl w:ilvl="0" w:tplc="16306D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4679E"/>
    <w:multiLevelType w:val="hybridMultilevel"/>
    <w:tmpl w:val="C0668B3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E4B5B"/>
    <w:multiLevelType w:val="hybridMultilevel"/>
    <w:tmpl w:val="0316B83E"/>
    <w:lvl w:ilvl="0" w:tplc="4ECC5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504F64"/>
    <w:multiLevelType w:val="hybridMultilevel"/>
    <w:tmpl w:val="40AC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897814"/>
    <w:multiLevelType w:val="hybridMultilevel"/>
    <w:tmpl w:val="D7740502"/>
    <w:lvl w:ilvl="0" w:tplc="C1DEE4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8C1D46"/>
    <w:multiLevelType w:val="hybridMultilevel"/>
    <w:tmpl w:val="9A4C0420"/>
    <w:lvl w:ilvl="0" w:tplc="D8FA9924">
      <w:start w:val="8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66EF5"/>
    <w:multiLevelType w:val="hybridMultilevel"/>
    <w:tmpl w:val="F65CDCC8"/>
    <w:lvl w:ilvl="0" w:tplc="5290AEFE">
      <w:start w:val="1"/>
      <w:numFmt w:val="decimal"/>
      <w:lvlText w:val="%1."/>
      <w:lvlJc w:val="left"/>
      <w:pPr>
        <w:tabs>
          <w:tab w:val="num" w:pos="284"/>
        </w:tabs>
        <w:ind w:left="0"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F95AFA"/>
    <w:multiLevelType w:val="hybridMultilevel"/>
    <w:tmpl w:val="CC3A4960"/>
    <w:lvl w:ilvl="0" w:tplc="1E4EF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BB85DFC"/>
    <w:multiLevelType w:val="hybridMultilevel"/>
    <w:tmpl w:val="12D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0325F1"/>
    <w:multiLevelType w:val="hybridMultilevel"/>
    <w:tmpl w:val="473E938A"/>
    <w:lvl w:ilvl="0" w:tplc="A8844598">
      <w:start w:val="8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9343CB"/>
    <w:multiLevelType w:val="hybridMultilevel"/>
    <w:tmpl w:val="82E8A3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B30B50"/>
    <w:multiLevelType w:val="hybridMultilevel"/>
    <w:tmpl w:val="3C6EAD40"/>
    <w:lvl w:ilvl="0" w:tplc="47E0B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6050BF0"/>
    <w:multiLevelType w:val="hybridMultilevel"/>
    <w:tmpl w:val="BBBEFACE"/>
    <w:lvl w:ilvl="0" w:tplc="38FEE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BEE599A"/>
    <w:multiLevelType w:val="hybridMultilevel"/>
    <w:tmpl w:val="A0D6A5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E1536"/>
    <w:multiLevelType w:val="hybridMultilevel"/>
    <w:tmpl w:val="1F60E828"/>
    <w:lvl w:ilvl="0" w:tplc="E4228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A17218F"/>
    <w:multiLevelType w:val="hybridMultilevel"/>
    <w:tmpl w:val="BEEE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23"/>
  </w:num>
  <w:num w:numId="5">
    <w:abstractNumId w:val="8"/>
  </w:num>
  <w:num w:numId="6">
    <w:abstractNumId w:val="19"/>
  </w:num>
  <w:num w:numId="7">
    <w:abstractNumId w:val="26"/>
  </w:num>
  <w:num w:numId="8">
    <w:abstractNumId w:val="22"/>
  </w:num>
  <w:num w:numId="9">
    <w:abstractNumId w:val="9"/>
  </w:num>
  <w:num w:numId="10">
    <w:abstractNumId w:val="18"/>
  </w:num>
  <w:num w:numId="11">
    <w:abstractNumId w:val="24"/>
  </w:num>
  <w:num w:numId="12">
    <w:abstractNumId w:val="7"/>
  </w:num>
  <w:num w:numId="13">
    <w:abstractNumId w:val="20"/>
  </w:num>
  <w:num w:numId="14">
    <w:abstractNumId w:val="27"/>
  </w:num>
  <w:num w:numId="15">
    <w:abstractNumId w:val="30"/>
  </w:num>
  <w:num w:numId="16">
    <w:abstractNumId w:val="12"/>
  </w:num>
  <w:num w:numId="17">
    <w:abstractNumId w:val="25"/>
  </w:num>
  <w:num w:numId="18">
    <w:abstractNumId w:val="17"/>
  </w:num>
  <w:num w:numId="19">
    <w:abstractNumId w:val="29"/>
  </w:num>
  <w:num w:numId="20">
    <w:abstractNumId w:val="16"/>
  </w:num>
  <w:num w:numId="21">
    <w:abstractNumId w:val="14"/>
  </w:num>
  <w:num w:numId="22">
    <w:abstractNumId w:val="2"/>
  </w:num>
  <w:num w:numId="23">
    <w:abstractNumId w:val="13"/>
  </w:num>
  <w:num w:numId="24">
    <w:abstractNumId w:val="5"/>
  </w:num>
  <w:num w:numId="25">
    <w:abstractNumId w:val="15"/>
  </w:num>
  <w:num w:numId="26">
    <w:abstractNumId w:val="3"/>
  </w:num>
  <w:num w:numId="27">
    <w:abstractNumId w:val="21"/>
  </w:num>
  <w:num w:numId="28">
    <w:abstractNumId w:val="31"/>
  </w:num>
  <w:num w:numId="29">
    <w:abstractNumId w:val="1"/>
  </w:num>
  <w:num w:numId="30">
    <w:abstractNumId w:val="4"/>
  </w:num>
  <w:num w:numId="31">
    <w:abstractNumId w:val="32"/>
  </w:num>
  <w:num w:numId="32">
    <w:abstractNumId w:val="28"/>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DB"/>
    <w:rsid w:val="000009AC"/>
    <w:rsid w:val="00001BE5"/>
    <w:rsid w:val="00001F31"/>
    <w:rsid w:val="00001F32"/>
    <w:rsid w:val="0000246E"/>
    <w:rsid w:val="00002D43"/>
    <w:rsid w:val="00002D96"/>
    <w:rsid w:val="00003B99"/>
    <w:rsid w:val="00004532"/>
    <w:rsid w:val="000048DC"/>
    <w:rsid w:val="00004AD1"/>
    <w:rsid w:val="00004BCE"/>
    <w:rsid w:val="00004F9C"/>
    <w:rsid w:val="000052CE"/>
    <w:rsid w:val="00005C3F"/>
    <w:rsid w:val="00005F65"/>
    <w:rsid w:val="00006136"/>
    <w:rsid w:val="00006416"/>
    <w:rsid w:val="00006D80"/>
    <w:rsid w:val="000072C3"/>
    <w:rsid w:val="00007339"/>
    <w:rsid w:val="0000738E"/>
    <w:rsid w:val="00007445"/>
    <w:rsid w:val="000076F6"/>
    <w:rsid w:val="00007F58"/>
    <w:rsid w:val="00010291"/>
    <w:rsid w:val="000103E9"/>
    <w:rsid w:val="00010670"/>
    <w:rsid w:val="000106FF"/>
    <w:rsid w:val="000110E9"/>
    <w:rsid w:val="00011798"/>
    <w:rsid w:val="00011893"/>
    <w:rsid w:val="000119CC"/>
    <w:rsid w:val="00011E7D"/>
    <w:rsid w:val="00011FF0"/>
    <w:rsid w:val="0001201D"/>
    <w:rsid w:val="00012080"/>
    <w:rsid w:val="000120E6"/>
    <w:rsid w:val="000122DB"/>
    <w:rsid w:val="0001262C"/>
    <w:rsid w:val="00012683"/>
    <w:rsid w:val="00012A35"/>
    <w:rsid w:val="00012CB6"/>
    <w:rsid w:val="00013055"/>
    <w:rsid w:val="00013779"/>
    <w:rsid w:val="00014050"/>
    <w:rsid w:val="000141EC"/>
    <w:rsid w:val="000147CC"/>
    <w:rsid w:val="000148C7"/>
    <w:rsid w:val="000150D9"/>
    <w:rsid w:val="00015BF1"/>
    <w:rsid w:val="00016193"/>
    <w:rsid w:val="0001641B"/>
    <w:rsid w:val="0001660A"/>
    <w:rsid w:val="00016E8E"/>
    <w:rsid w:val="00017218"/>
    <w:rsid w:val="000175CB"/>
    <w:rsid w:val="0001778C"/>
    <w:rsid w:val="00017C38"/>
    <w:rsid w:val="00020428"/>
    <w:rsid w:val="00020D24"/>
    <w:rsid w:val="000212E6"/>
    <w:rsid w:val="0002162F"/>
    <w:rsid w:val="00021643"/>
    <w:rsid w:val="000222E6"/>
    <w:rsid w:val="00023195"/>
    <w:rsid w:val="0002386E"/>
    <w:rsid w:val="00023CD8"/>
    <w:rsid w:val="000245FB"/>
    <w:rsid w:val="000248B9"/>
    <w:rsid w:val="00024DDF"/>
    <w:rsid w:val="00024E6F"/>
    <w:rsid w:val="00025037"/>
    <w:rsid w:val="00025293"/>
    <w:rsid w:val="0002580F"/>
    <w:rsid w:val="000262EC"/>
    <w:rsid w:val="000263C1"/>
    <w:rsid w:val="000264AF"/>
    <w:rsid w:val="00026574"/>
    <w:rsid w:val="00026C02"/>
    <w:rsid w:val="00026DE0"/>
    <w:rsid w:val="0002771C"/>
    <w:rsid w:val="000300E9"/>
    <w:rsid w:val="000301E4"/>
    <w:rsid w:val="00030212"/>
    <w:rsid w:val="0003060B"/>
    <w:rsid w:val="0003096D"/>
    <w:rsid w:val="00030EA5"/>
    <w:rsid w:val="0003245B"/>
    <w:rsid w:val="000326CD"/>
    <w:rsid w:val="00032E2E"/>
    <w:rsid w:val="00033406"/>
    <w:rsid w:val="0003351F"/>
    <w:rsid w:val="000335ED"/>
    <w:rsid w:val="00033E16"/>
    <w:rsid w:val="00033FDC"/>
    <w:rsid w:val="0003443E"/>
    <w:rsid w:val="00034847"/>
    <w:rsid w:val="00034AA3"/>
    <w:rsid w:val="00035169"/>
    <w:rsid w:val="000351AC"/>
    <w:rsid w:val="00035521"/>
    <w:rsid w:val="0003563A"/>
    <w:rsid w:val="00035758"/>
    <w:rsid w:val="00035A91"/>
    <w:rsid w:val="00035DBA"/>
    <w:rsid w:val="00036521"/>
    <w:rsid w:val="00036578"/>
    <w:rsid w:val="000368DF"/>
    <w:rsid w:val="00036E39"/>
    <w:rsid w:val="000370C3"/>
    <w:rsid w:val="000373AF"/>
    <w:rsid w:val="00037EAE"/>
    <w:rsid w:val="00037EB7"/>
    <w:rsid w:val="00037FDF"/>
    <w:rsid w:val="00040232"/>
    <w:rsid w:val="000406ED"/>
    <w:rsid w:val="00040856"/>
    <w:rsid w:val="00041533"/>
    <w:rsid w:val="00041858"/>
    <w:rsid w:val="00041CD4"/>
    <w:rsid w:val="00042302"/>
    <w:rsid w:val="00043BFB"/>
    <w:rsid w:val="000440FF"/>
    <w:rsid w:val="00044907"/>
    <w:rsid w:val="00044B8F"/>
    <w:rsid w:val="000450E0"/>
    <w:rsid w:val="00045155"/>
    <w:rsid w:val="000453ED"/>
    <w:rsid w:val="000458D5"/>
    <w:rsid w:val="00045D67"/>
    <w:rsid w:val="00045EB6"/>
    <w:rsid w:val="00046146"/>
    <w:rsid w:val="0004617B"/>
    <w:rsid w:val="000466A1"/>
    <w:rsid w:val="00046A1C"/>
    <w:rsid w:val="00046B10"/>
    <w:rsid w:val="00046EAB"/>
    <w:rsid w:val="00046F76"/>
    <w:rsid w:val="000472CD"/>
    <w:rsid w:val="000473FD"/>
    <w:rsid w:val="0004745D"/>
    <w:rsid w:val="000477C7"/>
    <w:rsid w:val="00047A8A"/>
    <w:rsid w:val="000502EF"/>
    <w:rsid w:val="000505C5"/>
    <w:rsid w:val="0005082A"/>
    <w:rsid w:val="00050854"/>
    <w:rsid w:val="0005090A"/>
    <w:rsid w:val="000509AF"/>
    <w:rsid w:val="00050A5A"/>
    <w:rsid w:val="0005117B"/>
    <w:rsid w:val="00051C0D"/>
    <w:rsid w:val="00051FDA"/>
    <w:rsid w:val="00052489"/>
    <w:rsid w:val="000525C8"/>
    <w:rsid w:val="00052841"/>
    <w:rsid w:val="0005284E"/>
    <w:rsid w:val="00052A4D"/>
    <w:rsid w:val="00053322"/>
    <w:rsid w:val="0005441A"/>
    <w:rsid w:val="00054992"/>
    <w:rsid w:val="00054A47"/>
    <w:rsid w:val="00054AD7"/>
    <w:rsid w:val="00054E3E"/>
    <w:rsid w:val="00054EFD"/>
    <w:rsid w:val="00055029"/>
    <w:rsid w:val="000550BE"/>
    <w:rsid w:val="00055341"/>
    <w:rsid w:val="000553BB"/>
    <w:rsid w:val="00055588"/>
    <w:rsid w:val="00055833"/>
    <w:rsid w:val="00057FCA"/>
    <w:rsid w:val="00060528"/>
    <w:rsid w:val="00061440"/>
    <w:rsid w:val="00061B3B"/>
    <w:rsid w:val="00062181"/>
    <w:rsid w:val="00062986"/>
    <w:rsid w:val="00062BFD"/>
    <w:rsid w:val="00062DEC"/>
    <w:rsid w:val="00062EE3"/>
    <w:rsid w:val="00063315"/>
    <w:rsid w:val="00063414"/>
    <w:rsid w:val="00063D48"/>
    <w:rsid w:val="00063D66"/>
    <w:rsid w:val="00064093"/>
    <w:rsid w:val="0006410C"/>
    <w:rsid w:val="0006430F"/>
    <w:rsid w:val="000643B9"/>
    <w:rsid w:val="0006447F"/>
    <w:rsid w:val="000644F6"/>
    <w:rsid w:val="00064DCA"/>
    <w:rsid w:val="00065348"/>
    <w:rsid w:val="000654AE"/>
    <w:rsid w:val="00065B23"/>
    <w:rsid w:val="00065CA5"/>
    <w:rsid w:val="00066670"/>
    <w:rsid w:val="00066A53"/>
    <w:rsid w:val="00067487"/>
    <w:rsid w:val="00067698"/>
    <w:rsid w:val="00067FC5"/>
    <w:rsid w:val="0007019F"/>
    <w:rsid w:val="000705B9"/>
    <w:rsid w:val="00070792"/>
    <w:rsid w:val="00070825"/>
    <w:rsid w:val="00070828"/>
    <w:rsid w:val="00071424"/>
    <w:rsid w:val="00071500"/>
    <w:rsid w:val="00071A88"/>
    <w:rsid w:val="00071DCA"/>
    <w:rsid w:val="0007348B"/>
    <w:rsid w:val="00073A38"/>
    <w:rsid w:val="00073C0B"/>
    <w:rsid w:val="00073F29"/>
    <w:rsid w:val="00073FE8"/>
    <w:rsid w:val="00074306"/>
    <w:rsid w:val="0007463E"/>
    <w:rsid w:val="000749C8"/>
    <w:rsid w:val="00074DC0"/>
    <w:rsid w:val="00074E69"/>
    <w:rsid w:val="000756FE"/>
    <w:rsid w:val="0007598C"/>
    <w:rsid w:val="0007626A"/>
    <w:rsid w:val="0007627A"/>
    <w:rsid w:val="000764E6"/>
    <w:rsid w:val="000766F8"/>
    <w:rsid w:val="0007684A"/>
    <w:rsid w:val="00077322"/>
    <w:rsid w:val="0007734D"/>
    <w:rsid w:val="000774D5"/>
    <w:rsid w:val="000775DC"/>
    <w:rsid w:val="00077656"/>
    <w:rsid w:val="00077765"/>
    <w:rsid w:val="00077BB2"/>
    <w:rsid w:val="00077DD0"/>
    <w:rsid w:val="0008099F"/>
    <w:rsid w:val="00080D13"/>
    <w:rsid w:val="0008104B"/>
    <w:rsid w:val="000812C4"/>
    <w:rsid w:val="00081596"/>
    <w:rsid w:val="00081A04"/>
    <w:rsid w:val="00081A76"/>
    <w:rsid w:val="00081E7A"/>
    <w:rsid w:val="00081F2B"/>
    <w:rsid w:val="00082D3C"/>
    <w:rsid w:val="00083125"/>
    <w:rsid w:val="0008322F"/>
    <w:rsid w:val="000837C9"/>
    <w:rsid w:val="00083A3E"/>
    <w:rsid w:val="000840EB"/>
    <w:rsid w:val="000841C8"/>
    <w:rsid w:val="0008439D"/>
    <w:rsid w:val="0008441C"/>
    <w:rsid w:val="000844C8"/>
    <w:rsid w:val="00084B3F"/>
    <w:rsid w:val="00084EAF"/>
    <w:rsid w:val="00084F5F"/>
    <w:rsid w:val="00084F7D"/>
    <w:rsid w:val="00085056"/>
    <w:rsid w:val="000851CB"/>
    <w:rsid w:val="00085744"/>
    <w:rsid w:val="00086928"/>
    <w:rsid w:val="00086D2A"/>
    <w:rsid w:val="00086F2A"/>
    <w:rsid w:val="0008760D"/>
    <w:rsid w:val="0008787E"/>
    <w:rsid w:val="000879ED"/>
    <w:rsid w:val="00087A68"/>
    <w:rsid w:val="00087EC5"/>
    <w:rsid w:val="0009055B"/>
    <w:rsid w:val="00090982"/>
    <w:rsid w:val="00090BE4"/>
    <w:rsid w:val="00090C2C"/>
    <w:rsid w:val="00090FAB"/>
    <w:rsid w:val="00091272"/>
    <w:rsid w:val="000919E0"/>
    <w:rsid w:val="00091DD8"/>
    <w:rsid w:val="00091E27"/>
    <w:rsid w:val="00092171"/>
    <w:rsid w:val="00092370"/>
    <w:rsid w:val="00092457"/>
    <w:rsid w:val="00092467"/>
    <w:rsid w:val="000927E3"/>
    <w:rsid w:val="00093365"/>
    <w:rsid w:val="000936C4"/>
    <w:rsid w:val="0009373E"/>
    <w:rsid w:val="00093AC6"/>
    <w:rsid w:val="00093C83"/>
    <w:rsid w:val="00093D3C"/>
    <w:rsid w:val="0009455C"/>
    <w:rsid w:val="000948F3"/>
    <w:rsid w:val="00094D4A"/>
    <w:rsid w:val="00095628"/>
    <w:rsid w:val="0009581D"/>
    <w:rsid w:val="00095E01"/>
    <w:rsid w:val="00095FE4"/>
    <w:rsid w:val="0009681D"/>
    <w:rsid w:val="0009698F"/>
    <w:rsid w:val="00096FA4"/>
    <w:rsid w:val="00097821"/>
    <w:rsid w:val="00097A40"/>
    <w:rsid w:val="000A0319"/>
    <w:rsid w:val="000A07EB"/>
    <w:rsid w:val="000A0A1D"/>
    <w:rsid w:val="000A0BA7"/>
    <w:rsid w:val="000A0D71"/>
    <w:rsid w:val="000A1291"/>
    <w:rsid w:val="000A1474"/>
    <w:rsid w:val="000A1837"/>
    <w:rsid w:val="000A19BA"/>
    <w:rsid w:val="000A2221"/>
    <w:rsid w:val="000A22AA"/>
    <w:rsid w:val="000A2CB6"/>
    <w:rsid w:val="000A3201"/>
    <w:rsid w:val="000A3539"/>
    <w:rsid w:val="000A381F"/>
    <w:rsid w:val="000A39A1"/>
    <w:rsid w:val="000A3B9B"/>
    <w:rsid w:val="000A3F74"/>
    <w:rsid w:val="000A4598"/>
    <w:rsid w:val="000A464D"/>
    <w:rsid w:val="000A4AFE"/>
    <w:rsid w:val="000A4D83"/>
    <w:rsid w:val="000A50BB"/>
    <w:rsid w:val="000A5811"/>
    <w:rsid w:val="000A629A"/>
    <w:rsid w:val="000A6772"/>
    <w:rsid w:val="000A6805"/>
    <w:rsid w:val="000A6B49"/>
    <w:rsid w:val="000A6D94"/>
    <w:rsid w:val="000A707F"/>
    <w:rsid w:val="000A719E"/>
    <w:rsid w:val="000A73A6"/>
    <w:rsid w:val="000A7651"/>
    <w:rsid w:val="000A79FC"/>
    <w:rsid w:val="000B00F5"/>
    <w:rsid w:val="000B064D"/>
    <w:rsid w:val="000B0EB2"/>
    <w:rsid w:val="000B1659"/>
    <w:rsid w:val="000B189D"/>
    <w:rsid w:val="000B1955"/>
    <w:rsid w:val="000B331C"/>
    <w:rsid w:val="000B3438"/>
    <w:rsid w:val="000B3861"/>
    <w:rsid w:val="000B3A74"/>
    <w:rsid w:val="000B3C42"/>
    <w:rsid w:val="000B4046"/>
    <w:rsid w:val="000B42A2"/>
    <w:rsid w:val="000B4652"/>
    <w:rsid w:val="000B4EF5"/>
    <w:rsid w:val="000B5684"/>
    <w:rsid w:val="000B5C0F"/>
    <w:rsid w:val="000B6733"/>
    <w:rsid w:val="000B678E"/>
    <w:rsid w:val="000B67BF"/>
    <w:rsid w:val="000B6E05"/>
    <w:rsid w:val="000B7457"/>
    <w:rsid w:val="000B74EE"/>
    <w:rsid w:val="000B7E4F"/>
    <w:rsid w:val="000C0222"/>
    <w:rsid w:val="000C083B"/>
    <w:rsid w:val="000C0A39"/>
    <w:rsid w:val="000C0F99"/>
    <w:rsid w:val="000C1151"/>
    <w:rsid w:val="000C1B55"/>
    <w:rsid w:val="000C321D"/>
    <w:rsid w:val="000C375B"/>
    <w:rsid w:val="000C3B17"/>
    <w:rsid w:val="000C3C7A"/>
    <w:rsid w:val="000C3E10"/>
    <w:rsid w:val="000C3EA6"/>
    <w:rsid w:val="000C3F6B"/>
    <w:rsid w:val="000C4515"/>
    <w:rsid w:val="000C4558"/>
    <w:rsid w:val="000C4B22"/>
    <w:rsid w:val="000C4DA8"/>
    <w:rsid w:val="000C4F37"/>
    <w:rsid w:val="000C50BD"/>
    <w:rsid w:val="000C53B2"/>
    <w:rsid w:val="000C5DC2"/>
    <w:rsid w:val="000C62F2"/>
    <w:rsid w:val="000C666F"/>
    <w:rsid w:val="000C688E"/>
    <w:rsid w:val="000C6E8B"/>
    <w:rsid w:val="000C6FBF"/>
    <w:rsid w:val="000C752E"/>
    <w:rsid w:val="000C75AB"/>
    <w:rsid w:val="000D00DE"/>
    <w:rsid w:val="000D017A"/>
    <w:rsid w:val="000D030C"/>
    <w:rsid w:val="000D0904"/>
    <w:rsid w:val="000D0D74"/>
    <w:rsid w:val="000D0EE4"/>
    <w:rsid w:val="000D1611"/>
    <w:rsid w:val="000D1D10"/>
    <w:rsid w:val="000D1E27"/>
    <w:rsid w:val="000D1E8F"/>
    <w:rsid w:val="000D1FB1"/>
    <w:rsid w:val="000D1FF6"/>
    <w:rsid w:val="000D208C"/>
    <w:rsid w:val="000D25D6"/>
    <w:rsid w:val="000D27B8"/>
    <w:rsid w:val="000D2FC9"/>
    <w:rsid w:val="000D32B1"/>
    <w:rsid w:val="000D3644"/>
    <w:rsid w:val="000D3A0B"/>
    <w:rsid w:val="000D3FC1"/>
    <w:rsid w:val="000D46AC"/>
    <w:rsid w:val="000D475A"/>
    <w:rsid w:val="000D4B8E"/>
    <w:rsid w:val="000D4F9D"/>
    <w:rsid w:val="000D527E"/>
    <w:rsid w:val="000D5D27"/>
    <w:rsid w:val="000D6127"/>
    <w:rsid w:val="000D62FC"/>
    <w:rsid w:val="000D6558"/>
    <w:rsid w:val="000D6624"/>
    <w:rsid w:val="000D7E61"/>
    <w:rsid w:val="000E0F28"/>
    <w:rsid w:val="000E122A"/>
    <w:rsid w:val="000E15C4"/>
    <w:rsid w:val="000E15FA"/>
    <w:rsid w:val="000E194C"/>
    <w:rsid w:val="000E1B25"/>
    <w:rsid w:val="000E1BAD"/>
    <w:rsid w:val="000E1E8A"/>
    <w:rsid w:val="000E231D"/>
    <w:rsid w:val="000E2382"/>
    <w:rsid w:val="000E3659"/>
    <w:rsid w:val="000E41BA"/>
    <w:rsid w:val="000E44A3"/>
    <w:rsid w:val="000E4CD6"/>
    <w:rsid w:val="000E4E1F"/>
    <w:rsid w:val="000E59AC"/>
    <w:rsid w:val="000E5BE6"/>
    <w:rsid w:val="000E618B"/>
    <w:rsid w:val="000E6238"/>
    <w:rsid w:val="000E6281"/>
    <w:rsid w:val="000E63B0"/>
    <w:rsid w:val="000E63DF"/>
    <w:rsid w:val="000E7D00"/>
    <w:rsid w:val="000F0066"/>
    <w:rsid w:val="000F02FF"/>
    <w:rsid w:val="000F07CC"/>
    <w:rsid w:val="000F0C1A"/>
    <w:rsid w:val="000F0E63"/>
    <w:rsid w:val="000F0FD1"/>
    <w:rsid w:val="000F1246"/>
    <w:rsid w:val="000F1471"/>
    <w:rsid w:val="000F1A5F"/>
    <w:rsid w:val="000F347C"/>
    <w:rsid w:val="000F34F7"/>
    <w:rsid w:val="000F37D3"/>
    <w:rsid w:val="000F38D4"/>
    <w:rsid w:val="000F4EBD"/>
    <w:rsid w:val="000F4FC7"/>
    <w:rsid w:val="000F56BB"/>
    <w:rsid w:val="000F5CEB"/>
    <w:rsid w:val="000F5E9A"/>
    <w:rsid w:val="000F6430"/>
    <w:rsid w:val="000F6C64"/>
    <w:rsid w:val="000F6E2B"/>
    <w:rsid w:val="000F6EAE"/>
    <w:rsid w:val="000F70F4"/>
    <w:rsid w:val="000F751C"/>
    <w:rsid w:val="001003B8"/>
    <w:rsid w:val="00100468"/>
    <w:rsid w:val="00100D7D"/>
    <w:rsid w:val="0010106F"/>
    <w:rsid w:val="00101238"/>
    <w:rsid w:val="00101544"/>
    <w:rsid w:val="00101ECB"/>
    <w:rsid w:val="001022C7"/>
    <w:rsid w:val="001026D7"/>
    <w:rsid w:val="00102744"/>
    <w:rsid w:val="00102C5B"/>
    <w:rsid w:val="00102EFE"/>
    <w:rsid w:val="00103150"/>
    <w:rsid w:val="00103188"/>
    <w:rsid w:val="0010321A"/>
    <w:rsid w:val="00103231"/>
    <w:rsid w:val="0010350F"/>
    <w:rsid w:val="001036EE"/>
    <w:rsid w:val="00105255"/>
    <w:rsid w:val="00105B98"/>
    <w:rsid w:val="001069CA"/>
    <w:rsid w:val="001071EE"/>
    <w:rsid w:val="00107201"/>
    <w:rsid w:val="001075D3"/>
    <w:rsid w:val="00107656"/>
    <w:rsid w:val="001077E7"/>
    <w:rsid w:val="00107B83"/>
    <w:rsid w:val="00110299"/>
    <w:rsid w:val="00110494"/>
    <w:rsid w:val="001104BF"/>
    <w:rsid w:val="001106A9"/>
    <w:rsid w:val="00110823"/>
    <w:rsid w:val="00110918"/>
    <w:rsid w:val="00110997"/>
    <w:rsid w:val="00110A47"/>
    <w:rsid w:val="00110C3C"/>
    <w:rsid w:val="00110E73"/>
    <w:rsid w:val="00111147"/>
    <w:rsid w:val="00111F43"/>
    <w:rsid w:val="001125CD"/>
    <w:rsid w:val="0011311A"/>
    <w:rsid w:val="001131EE"/>
    <w:rsid w:val="00113A8F"/>
    <w:rsid w:val="00113CC1"/>
    <w:rsid w:val="00113D11"/>
    <w:rsid w:val="0011435A"/>
    <w:rsid w:val="001143A7"/>
    <w:rsid w:val="001146AC"/>
    <w:rsid w:val="00114D00"/>
    <w:rsid w:val="001153F2"/>
    <w:rsid w:val="001159D0"/>
    <w:rsid w:val="00115D90"/>
    <w:rsid w:val="001162C1"/>
    <w:rsid w:val="00116CC2"/>
    <w:rsid w:val="00116E66"/>
    <w:rsid w:val="001178F7"/>
    <w:rsid w:val="00117AF1"/>
    <w:rsid w:val="00117B55"/>
    <w:rsid w:val="00117C97"/>
    <w:rsid w:val="0012062E"/>
    <w:rsid w:val="0012063F"/>
    <w:rsid w:val="0012080A"/>
    <w:rsid w:val="001218BB"/>
    <w:rsid w:val="00121D63"/>
    <w:rsid w:val="00122549"/>
    <w:rsid w:val="001225FC"/>
    <w:rsid w:val="00122648"/>
    <w:rsid w:val="00122F2B"/>
    <w:rsid w:val="001234E1"/>
    <w:rsid w:val="00123786"/>
    <w:rsid w:val="00123C37"/>
    <w:rsid w:val="00124685"/>
    <w:rsid w:val="0012557B"/>
    <w:rsid w:val="00125D4A"/>
    <w:rsid w:val="001261A5"/>
    <w:rsid w:val="00126552"/>
    <w:rsid w:val="00126BBD"/>
    <w:rsid w:val="00126C47"/>
    <w:rsid w:val="0012752F"/>
    <w:rsid w:val="00127632"/>
    <w:rsid w:val="0012789D"/>
    <w:rsid w:val="00130EC4"/>
    <w:rsid w:val="0013122C"/>
    <w:rsid w:val="00131393"/>
    <w:rsid w:val="00131604"/>
    <w:rsid w:val="00131F77"/>
    <w:rsid w:val="00132527"/>
    <w:rsid w:val="001325B6"/>
    <w:rsid w:val="00132941"/>
    <w:rsid w:val="00132CE8"/>
    <w:rsid w:val="00132DB9"/>
    <w:rsid w:val="00132EA9"/>
    <w:rsid w:val="00133073"/>
    <w:rsid w:val="0013340E"/>
    <w:rsid w:val="00133A63"/>
    <w:rsid w:val="00133B52"/>
    <w:rsid w:val="00133F2D"/>
    <w:rsid w:val="00133F3C"/>
    <w:rsid w:val="00133FBE"/>
    <w:rsid w:val="0013413B"/>
    <w:rsid w:val="0013422E"/>
    <w:rsid w:val="0013433A"/>
    <w:rsid w:val="00134AD3"/>
    <w:rsid w:val="00134C0E"/>
    <w:rsid w:val="00134F52"/>
    <w:rsid w:val="001356B8"/>
    <w:rsid w:val="00135703"/>
    <w:rsid w:val="0013615B"/>
    <w:rsid w:val="00136877"/>
    <w:rsid w:val="001369A0"/>
    <w:rsid w:val="00136A9F"/>
    <w:rsid w:val="00136BC3"/>
    <w:rsid w:val="00137135"/>
    <w:rsid w:val="0013719C"/>
    <w:rsid w:val="001374A8"/>
    <w:rsid w:val="00137AF1"/>
    <w:rsid w:val="00137B5B"/>
    <w:rsid w:val="00137B7D"/>
    <w:rsid w:val="00137FEF"/>
    <w:rsid w:val="0014018E"/>
    <w:rsid w:val="001401A0"/>
    <w:rsid w:val="00140641"/>
    <w:rsid w:val="00140695"/>
    <w:rsid w:val="00140788"/>
    <w:rsid w:val="00140A51"/>
    <w:rsid w:val="00140ACD"/>
    <w:rsid w:val="00140B24"/>
    <w:rsid w:val="00141134"/>
    <w:rsid w:val="001418B6"/>
    <w:rsid w:val="00141F48"/>
    <w:rsid w:val="00142A4E"/>
    <w:rsid w:val="00142BB3"/>
    <w:rsid w:val="00142C6E"/>
    <w:rsid w:val="0014319A"/>
    <w:rsid w:val="00143487"/>
    <w:rsid w:val="0014371D"/>
    <w:rsid w:val="00143A0A"/>
    <w:rsid w:val="00143CFA"/>
    <w:rsid w:val="0014401A"/>
    <w:rsid w:val="00144909"/>
    <w:rsid w:val="0014491A"/>
    <w:rsid w:val="00144AA0"/>
    <w:rsid w:val="00144DC2"/>
    <w:rsid w:val="00144E32"/>
    <w:rsid w:val="001452E1"/>
    <w:rsid w:val="001455FB"/>
    <w:rsid w:val="00145E69"/>
    <w:rsid w:val="00145F54"/>
    <w:rsid w:val="001460DF"/>
    <w:rsid w:val="0014613C"/>
    <w:rsid w:val="00146680"/>
    <w:rsid w:val="00146815"/>
    <w:rsid w:val="00146D5E"/>
    <w:rsid w:val="00146D76"/>
    <w:rsid w:val="00146DD5"/>
    <w:rsid w:val="00147B92"/>
    <w:rsid w:val="00147BAD"/>
    <w:rsid w:val="001502A1"/>
    <w:rsid w:val="00150412"/>
    <w:rsid w:val="001506FC"/>
    <w:rsid w:val="00150ABE"/>
    <w:rsid w:val="00152596"/>
    <w:rsid w:val="00152DB1"/>
    <w:rsid w:val="00153735"/>
    <w:rsid w:val="00154629"/>
    <w:rsid w:val="00154CC0"/>
    <w:rsid w:val="00155353"/>
    <w:rsid w:val="00155473"/>
    <w:rsid w:val="00155525"/>
    <w:rsid w:val="0015552F"/>
    <w:rsid w:val="0015585A"/>
    <w:rsid w:val="00156AF5"/>
    <w:rsid w:val="001575C9"/>
    <w:rsid w:val="001576BC"/>
    <w:rsid w:val="001578FB"/>
    <w:rsid w:val="001600D3"/>
    <w:rsid w:val="001602AB"/>
    <w:rsid w:val="0016060D"/>
    <w:rsid w:val="00160EAA"/>
    <w:rsid w:val="00160EAC"/>
    <w:rsid w:val="0016123E"/>
    <w:rsid w:val="0016229F"/>
    <w:rsid w:val="00162944"/>
    <w:rsid w:val="00162C06"/>
    <w:rsid w:val="00162CCF"/>
    <w:rsid w:val="00163286"/>
    <w:rsid w:val="00163394"/>
    <w:rsid w:val="00163672"/>
    <w:rsid w:val="00163834"/>
    <w:rsid w:val="001638EB"/>
    <w:rsid w:val="00163BE8"/>
    <w:rsid w:val="00163C95"/>
    <w:rsid w:val="00163F50"/>
    <w:rsid w:val="00164117"/>
    <w:rsid w:val="00164583"/>
    <w:rsid w:val="0016463F"/>
    <w:rsid w:val="001646D7"/>
    <w:rsid w:val="0016482C"/>
    <w:rsid w:val="00164D01"/>
    <w:rsid w:val="001653FA"/>
    <w:rsid w:val="0016591B"/>
    <w:rsid w:val="0016623D"/>
    <w:rsid w:val="001662D1"/>
    <w:rsid w:val="00166344"/>
    <w:rsid w:val="001665D5"/>
    <w:rsid w:val="00166683"/>
    <w:rsid w:val="001666A6"/>
    <w:rsid w:val="001667D9"/>
    <w:rsid w:val="0016699F"/>
    <w:rsid w:val="001669A7"/>
    <w:rsid w:val="00166A91"/>
    <w:rsid w:val="00166C21"/>
    <w:rsid w:val="00166D76"/>
    <w:rsid w:val="00167158"/>
    <w:rsid w:val="00167189"/>
    <w:rsid w:val="00167C39"/>
    <w:rsid w:val="00170169"/>
    <w:rsid w:val="0017036F"/>
    <w:rsid w:val="00170946"/>
    <w:rsid w:val="00170D5A"/>
    <w:rsid w:val="00171411"/>
    <w:rsid w:val="001715BD"/>
    <w:rsid w:val="00171D08"/>
    <w:rsid w:val="00171E9E"/>
    <w:rsid w:val="0017204D"/>
    <w:rsid w:val="001729BF"/>
    <w:rsid w:val="00174084"/>
    <w:rsid w:val="001743CB"/>
    <w:rsid w:val="001747CE"/>
    <w:rsid w:val="00174840"/>
    <w:rsid w:val="00174C45"/>
    <w:rsid w:val="0017507C"/>
    <w:rsid w:val="0017603B"/>
    <w:rsid w:val="00176077"/>
    <w:rsid w:val="001767AC"/>
    <w:rsid w:val="00176850"/>
    <w:rsid w:val="00177074"/>
    <w:rsid w:val="0017757B"/>
    <w:rsid w:val="00177977"/>
    <w:rsid w:val="00177ACD"/>
    <w:rsid w:val="00177EDA"/>
    <w:rsid w:val="0018034A"/>
    <w:rsid w:val="0018067C"/>
    <w:rsid w:val="00180B5A"/>
    <w:rsid w:val="00181373"/>
    <w:rsid w:val="00181CFC"/>
    <w:rsid w:val="00181F4A"/>
    <w:rsid w:val="00182857"/>
    <w:rsid w:val="001828FA"/>
    <w:rsid w:val="00182DAD"/>
    <w:rsid w:val="00184AAF"/>
    <w:rsid w:val="00184C56"/>
    <w:rsid w:val="001850BB"/>
    <w:rsid w:val="001857BB"/>
    <w:rsid w:val="00185C42"/>
    <w:rsid w:val="00186461"/>
    <w:rsid w:val="00186A18"/>
    <w:rsid w:val="00186B89"/>
    <w:rsid w:val="00186F95"/>
    <w:rsid w:val="0018702C"/>
    <w:rsid w:val="0018787A"/>
    <w:rsid w:val="00187AB9"/>
    <w:rsid w:val="00187B36"/>
    <w:rsid w:val="00187D74"/>
    <w:rsid w:val="00187F3B"/>
    <w:rsid w:val="001905C2"/>
    <w:rsid w:val="00190800"/>
    <w:rsid w:val="00191E47"/>
    <w:rsid w:val="001923CD"/>
    <w:rsid w:val="00192DF5"/>
    <w:rsid w:val="001934C8"/>
    <w:rsid w:val="001934FD"/>
    <w:rsid w:val="00193E6D"/>
    <w:rsid w:val="00193EE0"/>
    <w:rsid w:val="00193F4A"/>
    <w:rsid w:val="001940F5"/>
    <w:rsid w:val="00194FEB"/>
    <w:rsid w:val="0019552C"/>
    <w:rsid w:val="0019589B"/>
    <w:rsid w:val="001959A7"/>
    <w:rsid w:val="00195F15"/>
    <w:rsid w:val="001969DC"/>
    <w:rsid w:val="00197640"/>
    <w:rsid w:val="0019789B"/>
    <w:rsid w:val="0019794C"/>
    <w:rsid w:val="001A080E"/>
    <w:rsid w:val="001A09FB"/>
    <w:rsid w:val="001A110A"/>
    <w:rsid w:val="001A1B65"/>
    <w:rsid w:val="001A1C0A"/>
    <w:rsid w:val="001A1FA7"/>
    <w:rsid w:val="001A2203"/>
    <w:rsid w:val="001A2A59"/>
    <w:rsid w:val="001A3219"/>
    <w:rsid w:val="001A5464"/>
    <w:rsid w:val="001A5670"/>
    <w:rsid w:val="001A59B8"/>
    <w:rsid w:val="001A5BE3"/>
    <w:rsid w:val="001A5EF1"/>
    <w:rsid w:val="001A605E"/>
    <w:rsid w:val="001A61CE"/>
    <w:rsid w:val="001A62F1"/>
    <w:rsid w:val="001A6459"/>
    <w:rsid w:val="001A6494"/>
    <w:rsid w:val="001A6936"/>
    <w:rsid w:val="001A6A15"/>
    <w:rsid w:val="001A6AB4"/>
    <w:rsid w:val="001A726A"/>
    <w:rsid w:val="001A7806"/>
    <w:rsid w:val="001A78AF"/>
    <w:rsid w:val="001A7A89"/>
    <w:rsid w:val="001A7ADD"/>
    <w:rsid w:val="001B01C5"/>
    <w:rsid w:val="001B02FE"/>
    <w:rsid w:val="001B049E"/>
    <w:rsid w:val="001B058B"/>
    <w:rsid w:val="001B0660"/>
    <w:rsid w:val="001B0807"/>
    <w:rsid w:val="001B098A"/>
    <w:rsid w:val="001B2102"/>
    <w:rsid w:val="001B248E"/>
    <w:rsid w:val="001B2BA9"/>
    <w:rsid w:val="001B2D71"/>
    <w:rsid w:val="001B32B3"/>
    <w:rsid w:val="001B349D"/>
    <w:rsid w:val="001B3543"/>
    <w:rsid w:val="001B38C1"/>
    <w:rsid w:val="001B3B48"/>
    <w:rsid w:val="001B4456"/>
    <w:rsid w:val="001B48A5"/>
    <w:rsid w:val="001B4A22"/>
    <w:rsid w:val="001B5031"/>
    <w:rsid w:val="001B53B5"/>
    <w:rsid w:val="001B53C5"/>
    <w:rsid w:val="001B54D4"/>
    <w:rsid w:val="001B5600"/>
    <w:rsid w:val="001B5D1E"/>
    <w:rsid w:val="001B5DA2"/>
    <w:rsid w:val="001B62B8"/>
    <w:rsid w:val="001B6868"/>
    <w:rsid w:val="001B6D44"/>
    <w:rsid w:val="001B6DEB"/>
    <w:rsid w:val="001B73FB"/>
    <w:rsid w:val="001C0155"/>
    <w:rsid w:val="001C05D9"/>
    <w:rsid w:val="001C0729"/>
    <w:rsid w:val="001C0F51"/>
    <w:rsid w:val="001C1587"/>
    <w:rsid w:val="001C15F1"/>
    <w:rsid w:val="001C18A1"/>
    <w:rsid w:val="001C268B"/>
    <w:rsid w:val="001C2EC6"/>
    <w:rsid w:val="001C3105"/>
    <w:rsid w:val="001C36D1"/>
    <w:rsid w:val="001C388F"/>
    <w:rsid w:val="001C39A1"/>
    <w:rsid w:val="001C3F87"/>
    <w:rsid w:val="001C4062"/>
    <w:rsid w:val="001C46C2"/>
    <w:rsid w:val="001C4B90"/>
    <w:rsid w:val="001C4FB8"/>
    <w:rsid w:val="001C5206"/>
    <w:rsid w:val="001C574E"/>
    <w:rsid w:val="001C5796"/>
    <w:rsid w:val="001C6015"/>
    <w:rsid w:val="001C601D"/>
    <w:rsid w:val="001C6389"/>
    <w:rsid w:val="001C67AB"/>
    <w:rsid w:val="001C6865"/>
    <w:rsid w:val="001C6911"/>
    <w:rsid w:val="001C6EC9"/>
    <w:rsid w:val="001C72FA"/>
    <w:rsid w:val="001C7FAF"/>
    <w:rsid w:val="001D01FD"/>
    <w:rsid w:val="001D0567"/>
    <w:rsid w:val="001D081F"/>
    <w:rsid w:val="001D08A1"/>
    <w:rsid w:val="001D1344"/>
    <w:rsid w:val="001D1A4A"/>
    <w:rsid w:val="001D1F62"/>
    <w:rsid w:val="001D2044"/>
    <w:rsid w:val="001D2E79"/>
    <w:rsid w:val="001D329D"/>
    <w:rsid w:val="001D3492"/>
    <w:rsid w:val="001D3A66"/>
    <w:rsid w:val="001D3B6D"/>
    <w:rsid w:val="001D427C"/>
    <w:rsid w:val="001D45E5"/>
    <w:rsid w:val="001D4FB3"/>
    <w:rsid w:val="001D5BA9"/>
    <w:rsid w:val="001D5C04"/>
    <w:rsid w:val="001D5C5A"/>
    <w:rsid w:val="001D5DEA"/>
    <w:rsid w:val="001D61BA"/>
    <w:rsid w:val="001D62A1"/>
    <w:rsid w:val="001D6324"/>
    <w:rsid w:val="001D65C7"/>
    <w:rsid w:val="001D68E1"/>
    <w:rsid w:val="001D6E61"/>
    <w:rsid w:val="001D7E28"/>
    <w:rsid w:val="001D7E63"/>
    <w:rsid w:val="001D7F24"/>
    <w:rsid w:val="001E0486"/>
    <w:rsid w:val="001E1491"/>
    <w:rsid w:val="001E1653"/>
    <w:rsid w:val="001E1BA2"/>
    <w:rsid w:val="001E1D97"/>
    <w:rsid w:val="001E20E8"/>
    <w:rsid w:val="001E2743"/>
    <w:rsid w:val="001E27BF"/>
    <w:rsid w:val="001E28BF"/>
    <w:rsid w:val="001E29C5"/>
    <w:rsid w:val="001E2C53"/>
    <w:rsid w:val="001E2C55"/>
    <w:rsid w:val="001E30C3"/>
    <w:rsid w:val="001E322D"/>
    <w:rsid w:val="001E33E5"/>
    <w:rsid w:val="001E39FD"/>
    <w:rsid w:val="001E3B02"/>
    <w:rsid w:val="001E3F93"/>
    <w:rsid w:val="001E4592"/>
    <w:rsid w:val="001E45F1"/>
    <w:rsid w:val="001E4C3A"/>
    <w:rsid w:val="001E4E90"/>
    <w:rsid w:val="001E4EC9"/>
    <w:rsid w:val="001E5200"/>
    <w:rsid w:val="001E5242"/>
    <w:rsid w:val="001E538B"/>
    <w:rsid w:val="001E5CAA"/>
    <w:rsid w:val="001E5F81"/>
    <w:rsid w:val="001E60A1"/>
    <w:rsid w:val="001E6A96"/>
    <w:rsid w:val="001E70E4"/>
    <w:rsid w:val="001E714C"/>
    <w:rsid w:val="001F0B69"/>
    <w:rsid w:val="001F0B73"/>
    <w:rsid w:val="001F16F1"/>
    <w:rsid w:val="001F18E6"/>
    <w:rsid w:val="001F1BAB"/>
    <w:rsid w:val="001F1EFA"/>
    <w:rsid w:val="001F272F"/>
    <w:rsid w:val="001F2825"/>
    <w:rsid w:val="001F2E25"/>
    <w:rsid w:val="001F3AE0"/>
    <w:rsid w:val="001F47D2"/>
    <w:rsid w:val="001F4954"/>
    <w:rsid w:val="001F4E91"/>
    <w:rsid w:val="001F501C"/>
    <w:rsid w:val="001F54BA"/>
    <w:rsid w:val="001F5CC0"/>
    <w:rsid w:val="001F5E25"/>
    <w:rsid w:val="001F65D7"/>
    <w:rsid w:val="001F6729"/>
    <w:rsid w:val="001F6FAF"/>
    <w:rsid w:val="001F750E"/>
    <w:rsid w:val="001F78E6"/>
    <w:rsid w:val="001F7A50"/>
    <w:rsid w:val="00201134"/>
    <w:rsid w:val="002012FE"/>
    <w:rsid w:val="002017F3"/>
    <w:rsid w:val="0020180C"/>
    <w:rsid w:val="00201E40"/>
    <w:rsid w:val="0020214C"/>
    <w:rsid w:val="002021B2"/>
    <w:rsid w:val="00202883"/>
    <w:rsid w:val="00202918"/>
    <w:rsid w:val="00202B2D"/>
    <w:rsid w:val="00202C37"/>
    <w:rsid w:val="00203DA4"/>
    <w:rsid w:val="00203F10"/>
    <w:rsid w:val="002044A0"/>
    <w:rsid w:val="002048F8"/>
    <w:rsid w:val="00204901"/>
    <w:rsid w:val="002056A7"/>
    <w:rsid w:val="002056B6"/>
    <w:rsid w:val="002058D3"/>
    <w:rsid w:val="002058E4"/>
    <w:rsid w:val="00205A0E"/>
    <w:rsid w:val="002062F9"/>
    <w:rsid w:val="002064E3"/>
    <w:rsid w:val="0020690A"/>
    <w:rsid w:val="002069D9"/>
    <w:rsid w:val="00206E82"/>
    <w:rsid w:val="00207689"/>
    <w:rsid w:val="002076ED"/>
    <w:rsid w:val="00207749"/>
    <w:rsid w:val="002078AC"/>
    <w:rsid w:val="00207983"/>
    <w:rsid w:val="00207C1C"/>
    <w:rsid w:val="00207CD9"/>
    <w:rsid w:val="00207DAC"/>
    <w:rsid w:val="00210113"/>
    <w:rsid w:val="00210218"/>
    <w:rsid w:val="00210811"/>
    <w:rsid w:val="00210C13"/>
    <w:rsid w:val="0021110C"/>
    <w:rsid w:val="00211362"/>
    <w:rsid w:val="00211B03"/>
    <w:rsid w:val="00211EF4"/>
    <w:rsid w:val="00212048"/>
    <w:rsid w:val="002121A3"/>
    <w:rsid w:val="00212532"/>
    <w:rsid w:val="00213322"/>
    <w:rsid w:val="002147F4"/>
    <w:rsid w:val="00214F70"/>
    <w:rsid w:val="00215267"/>
    <w:rsid w:val="002152B2"/>
    <w:rsid w:val="00215B5E"/>
    <w:rsid w:val="00216726"/>
    <w:rsid w:val="00216B06"/>
    <w:rsid w:val="00216C1B"/>
    <w:rsid w:val="00216E64"/>
    <w:rsid w:val="002173F1"/>
    <w:rsid w:val="0021748E"/>
    <w:rsid w:val="002174BB"/>
    <w:rsid w:val="00217A36"/>
    <w:rsid w:val="00217D32"/>
    <w:rsid w:val="00217DBE"/>
    <w:rsid w:val="00220F0B"/>
    <w:rsid w:val="00221076"/>
    <w:rsid w:val="0022110F"/>
    <w:rsid w:val="002218C4"/>
    <w:rsid w:val="00221A60"/>
    <w:rsid w:val="00221B8B"/>
    <w:rsid w:val="00221DBD"/>
    <w:rsid w:val="00222372"/>
    <w:rsid w:val="00222581"/>
    <w:rsid w:val="00222A91"/>
    <w:rsid w:val="00222B4D"/>
    <w:rsid w:val="00222D21"/>
    <w:rsid w:val="00223526"/>
    <w:rsid w:val="002236A2"/>
    <w:rsid w:val="00223C37"/>
    <w:rsid w:val="002247C5"/>
    <w:rsid w:val="002248E6"/>
    <w:rsid w:val="00225018"/>
    <w:rsid w:val="002250BC"/>
    <w:rsid w:val="002254B6"/>
    <w:rsid w:val="00225FB1"/>
    <w:rsid w:val="002261A6"/>
    <w:rsid w:val="00226507"/>
    <w:rsid w:val="00226973"/>
    <w:rsid w:val="002275BF"/>
    <w:rsid w:val="00227AE1"/>
    <w:rsid w:val="00227CD0"/>
    <w:rsid w:val="0023108C"/>
    <w:rsid w:val="0023186C"/>
    <w:rsid w:val="00231880"/>
    <w:rsid w:val="002318CD"/>
    <w:rsid w:val="00232113"/>
    <w:rsid w:val="0023233F"/>
    <w:rsid w:val="0023254F"/>
    <w:rsid w:val="00232695"/>
    <w:rsid w:val="00232885"/>
    <w:rsid w:val="00232A65"/>
    <w:rsid w:val="00232AD3"/>
    <w:rsid w:val="00232AFE"/>
    <w:rsid w:val="00232F9A"/>
    <w:rsid w:val="0023359F"/>
    <w:rsid w:val="00234061"/>
    <w:rsid w:val="002342E8"/>
    <w:rsid w:val="00234443"/>
    <w:rsid w:val="00234728"/>
    <w:rsid w:val="00235682"/>
    <w:rsid w:val="002358D6"/>
    <w:rsid w:val="0023591F"/>
    <w:rsid w:val="00235E6B"/>
    <w:rsid w:val="00236522"/>
    <w:rsid w:val="002367F4"/>
    <w:rsid w:val="00236E12"/>
    <w:rsid w:val="0024033F"/>
    <w:rsid w:val="00240528"/>
    <w:rsid w:val="002406A7"/>
    <w:rsid w:val="0024144B"/>
    <w:rsid w:val="00241E58"/>
    <w:rsid w:val="00241EB8"/>
    <w:rsid w:val="002426FF"/>
    <w:rsid w:val="00242BB8"/>
    <w:rsid w:val="00242D24"/>
    <w:rsid w:val="0024328C"/>
    <w:rsid w:val="002433B0"/>
    <w:rsid w:val="002434F4"/>
    <w:rsid w:val="00243724"/>
    <w:rsid w:val="002437DE"/>
    <w:rsid w:val="00243B20"/>
    <w:rsid w:val="00244374"/>
    <w:rsid w:val="0024461B"/>
    <w:rsid w:val="00244687"/>
    <w:rsid w:val="00245284"/>
    <w:rsid w:val="0024555E"/>
    <w:rsid w:val="002457EC"/>
    <w:rsid w:val="002467F7"/>
    <w:rsid w:val="00246BC7"/>
    <w:rsid w:val="00246C4F"/>
    <w:rsid w:val="00246F96"/>
    <w:rsid w:val="00247129"/>
    <w:rsid w:val="00247338"/>
    <w:rsid w:val="002475C6"/>
    <w:rsid w:val="00247925"/>
    <w:rsid w:val="0024798D"/>
    <w:rsid w:val="0025039A"/>
    <w:rsid w:val="002503A4"/>
    <w:rsid w:val="002505B7"/>
    <w:rsid w:val="00250773"/>
    <w:rsid w:val="00250A13"/>
    <w:rsid w:val="00250EB5"/>
    <w:rsid w:val="00251E8A"/>
    <w:rsid w:val="002526C9"/>
    <w:rsid w:val="00253C36"/>
    <w:rsid w:val="002540C4"/>
    <w:rsid w:val="002542E3"/>
    <w:rsid w:val="00254823"/>
    <w:rsid w:val="002548AC"/>
    <w:rsid w:val="00254DB8"/>
    <w:rsid w:val="00254ED4"/>
    <w:rsid w:val="00255768"/>
    <w:rsid w:val="00255B46"/>
    <w:rsid w:val="00255E70"/>
    <w:rsid w:val="00256DB8"/>
    <w:rsid w:val="00256DDE"/>
    <w:rsid w:val="002575B2"/>
    <w:rsid w:val="00260035"/>
    <w:rsid w:val="00260595"/>
    <w:rsid w:val="00260E94"/>
    <w:rsid w:val="002612F2"/>
    <w:rsid w:val="0026143C"/>
    <w:rsid w:val="00261DB6"/>
    <w:rsid w:val="00261FEA"/>
    <w:rsid w:val="0026229A"/>
    <w:rsid w:val="00262338"/>
    <w:rsid w:val="002625B7"/>
    <w:rsid w:val="00262892"/>
    <w:rsid w:val="00262C7D"/>
    <w:rsid w:val="00262F07"/>
    <w:rsid w:val="00263219"/>
    <w:rsid w:val="002637BF"/>
    <w:rsid w:val="00263A81"/>
    <w:rsid w:val="00263B59"/>
    <w:rsid w:val="00263E8F"/>
    <w:rsid w:val="002646A4"/>
    <w:rsid w:val="00264703"/>
    <w:rsid w:val="002647A0"/>
    <w:rsid w:val="00264848"/>
    <w:rsid w:val="00264AAC"/>
    <w:rsid w:val="002652CA"/>
    <w:rsid w:val="00265568"/>
    <w:rsid w:val="002661AD"/>
    <w:rsid w:val="002663B5"/>
    <w:rsid w:val="002664F1"/>
    <w:rsid w:val="00266B34"/>
    <w:rsid w:val="00267290"/>
    <w:rsid w:val="00267B2C"/>
    <w:rsid w:val="00267C4A"/>
    <w:rsid w:val="002700DE"/>
    <w:rsid w:val="002704B2"/>
    <w:rsid w:val="002706E3"/>
    <w:rsid w:val="00270A2A"/>
    <w:rsid w:val="00271796"/>
    <w:rsid w:val="00271BB5"/>
    <w:rsid w:val="00272A8A"/>
    <w:rsid w:val="00272C76"/>
    <w:rsid w:val="00272C89"/>
    <w:rsid w:val="00272D17"/>
    <w:rsid w:val="00272F07"/>
    <w:rsid w:val="00274449"/>
    <w:rsid w:val="002744E2"/>
    <w:rsid w:val="002746C2"/>
    <w:rsid w:val="0027500A"/>
    <w:rsid w:val="002750E8"/>
    <w:rsid w:val="00275122"/>
    <w:rsid w:val="00275895"/>
    <w:rsid w:val="002763A9"/>
    <w:rsid w:val="002764CA"/>
    <w:rsid w:val="00276C16"/>
    <w:rsid w:val="002772A0"/>
    <w:rsid w:val="00277C26"/>
    <w:rsid w:val="00277D1F"/>
    <w:rsid w:val="0028043D"/>
    <w:rsid w:val="00280622"/>
    <w:rsid w:val="00280B0C"/>
    <w:rsid w:val="002810B2"/>
    <w:rsid w:val="002814B6"/>
    <w:rsid w:val="00281548"/>
    <w:rsid w:val="00281893"/>
    <w:rsid w:val="00282406"/>
    <w:rsid w:val="00282763"/>
    <w:rsid w:val="0028283D"/>
    <w:rsid w:val="00282A60"/>
    <w:rsid w:val="00282B43"/>
    <w:rsid w:val="00282FB5"/>
    <w:rsid w:val="00283E96"/>
    <w:rsid w:val="0028403C"/>
    <w:rsid w:val="00284A55"/>
    <w:rsid w:val="002853E6"/>
    <w:rsid w:val="002854D8"/>
    <w:rsid w:val="002869C3"/>
    <w:rsid w:val="00287295"/>
    <w:rsid w:val="0028767F"/>
    <w:rsid w:val="00287C9A"/>
    <w:rsid w:val="002907D1"/>
    <w:rsid w:val="00290CA9"/>
    <w:rsid w:val="00290FE9"/>
    <w:rsid w:val="0029121E"/>
    <w:rsid w:val="002926FE"/>
    <w:rsid w:val="0029289B"/>
    <w:rsid w:val="0029289C"/>
    <w:rsid w:val="002938C1"/>
    <w:rsid w:val="00293A83"/>
    <w:rsid w:val="00293BE1"/>
    <w:rsid w:val="00293C60"/>
    <w:rsid w:val="00293D1A"/>
    <w:rsid w:val="00293E0C"/>
    <w:rsid w:val="00293E69"/>
    <w:rsid w:val="00293F39"/>
    <w:rsid w:val="0029409B"/>
    <w:rsid w:val="002942F7"/>
    <w:rsid w:val="00294536"/>
    <w:rsid w:val="00294611"/>
    <w:rsid w:val="00294D6A"/>
    <w:rsid w:val="002950F1"/>
    <w:rsid w:val="0029526F"/>
    <w:rsid w:val="0029575A"/>
    <w:rsid w:val="00296019"/>
    <w:rsid w:val="00296A7B"/>
    <w:rsid w:val="00296C0B"/>
    <w:rsid w:val="00296E85"/>
    <w:rsid w:val="002976BB"/>
    <w:rsid w:val="00297C1E"/>
    <w:rsid w:val="00297D2E"/>
    <w:rsid w:val="00297F80"/>
    <w:rsid w:val="002A0008"/>
    <w:rsid w:val="002A0A73"/>
    <w:rsid w:val="002A0AF4"/>
    <w:rsid w:val="002A0B0D"/>
    <w:rsid w:val="002A0E38"/>
    <w:rsid w:val="002A14F4"/>
    <w:rsid w:val="002A1CDA"/>
    <w:rsid w:val="002A26DA"/>
    <w:rsid w:val="002A2A32"/>
    <w:rsid w:val="002A3781"/>
    <w:rsid w:val="002A3F5A"/>
    <w:rsid w:val="002A4DAB"/>
    <w:rsid w:val="002A5187"/>
    <w:rsid w:val="002A524D"/>
    <w:rsid w:val="002A53F6"/>
    <w:rsid w:val="002A5499"/>
    <w:rsid w:val="002A5C48"/>
    <w:rsid w:val="002A5D8A"/>
    <w:rsid w:val="002A6141"/>
    <w:rsid w:val="002A6270"/>
    <w:rsid w:val="002A63D8"/>
    <w:rsid w:val="002A63EC"/>
    <w:rsid w:val="002A67F5"/>
    <w:rsid w:val="002A696C"/>
    <w:rsid w:val="002A6BB7"/>
    <w:rsid w:val="002A6E5D"/>
    <w:rsid w:val="002A6EF1"/>
    <w:rsid w:val="002A71EF"/>
    <w:rsid w:val="002A753F"/>
    <w:rsid w:val="002A771E"/>
    <w:rsid w:val="002A7CC4"/>
    <w:rsid w:val="002B0043"/>
    <w:rsid w:val="002B0271"/>
    <w:rsid w:val="002B02F7"/>
    <w:rsid w:val="002B04FB"/>
    <w:rsid w:val="002B069B"/>
    <w:rsid w:val="002B0BAC"/>
    <w:rsid w:val="002B1132"/>
    <w:rsid w:val="002B131F"/>
    <w:rsid w:val="002B1691"/>
    <w:rsid w:val="002B1801"/>
    <w:rsid w:val="002B1F79"/>
    <w:rsid w:val="002B20FB"/>
    <w:rsid w:val="002B21B6"/>
    <w:rsid w:val="002B23CC"/>
    <w:rsid w:val="002B2889"/>
    <w:rsid w:val="002B30D0"/>
    <w:rsid w:val="002B3145"/>
    <w:rsid w:val="002B332C"/>
    <w:rsid w:val="002B33B9"/>
    <w:rsid w:val="002B355A"/>
    <w:rsid w:val="002B362B"/>
    <w:rsid w:val="002B3743"/>
    <w:rsid w:val="002B3C46"/>
    <w:rsid w:val="002B3DEA"/>
    <w:rsid w:val="002B3E5D"/>
    <w:rsid w:val="002B44AC"/>
    <w:rsid w:val="002B4682"/>
    <w:rsid w:val="002B472A"/>
    <w:rsid w:val="002B4768"/>
    <w:rsid w:val="002B4CEC"/>
    <w:rsid w:val="002B502A"/>
    <w:rsid w:val="002B5120"/>
    <w:rsid w:val="002B58A2"/>
    <w:rsid w:val="002B600D"/>
    <w:rsid w:val="002B6D3F"/>
    <w:rsid w:val="002B762F"/>
    <w:rsid w:val="002B7DD6"/>
    <w:rsid w:val="002B7EEC"/>
    <w:rsid w:val="002B7FCF"/>
    <w:rsid w:val="002C042F"/>
    <w:rsid w:val="002C05DA"/>
    <w:rsid w:val="002C08F5"/>
    <w:rsid w:val="002C09EF"/>
    <w:rsid w:val="002C0DC6"/>
    <w:rsid w:val="002C16AA"/>
    <w:rsid w:val="002C1E3D"/>
    <w:rsid w:val="002C21DA"/>
    <w:rsid w:val="002C2D79"/>
    <w:rsid w:val="002C2E56"/>
    <w:rsid w:val="002C310A"/>
    <w:rsid w:val="002C3EF2"/>
    <w:rsid w:val="002C401B"/>
    <w:rsid w:val="002C4051"/>
    <w:rsid w:val="002C444E"/>
    <w:rsid w:val="002C46A0"/>
    <w:rsid w:val="002C4A1C"/>
    <w:rsid w:val="002C530E"/>
    <w:rsid w:val="002C6466"/>
    <w:rsid w:val="002C6567"/>
    <w:rsid w:val="002C65B3"/>
    <w:rsid w:val="002C6AD4"/>
    <w:rsid w:val="002C712E"/>
    <w:rsid w:val="002C7945"/>
    <w:rsid w:val="002C7A94"/>
    <w:rsid w:val="002D0AA5"/>
    <w:rsid w:val="002D1087"/>
    <w:rsid w:val="002D1953"/>
    <w:rsid w:val="002D1AE7"/>
    <w:rsid w:val="002D1D06"/>
    <w:rsid w:val="002D2A0A"/>
    <w:rsid w:val="002D2C3C"/>
    <w:rsid w:val="002D2C41"/>
    <w:rsid w:val="002D2EDB"/>
    <w:rsid w:val="002D310E"/>
    <w:rsid w:val="002D38C0"/>
    <w:rsid w:val="002D3953"/>
    <w:rsid w:val="002D3B26"/>
    <w:rsid w:val="002D4462"/>
    <w:rsid w:val="002D499F"/>
    <w:rsid w:val="002D4B0C"/>
    <w:rsid w:val="002D4C27"/>
    <w:rsid w:val="002D4E32"/>
    <w:rsid w:val="002D53D2"/>
    <w:rsid w:val="002D5403"/>
    <w:rsid w:val="002D554F"/>
    <w:rsid w:val="002D5C13"/>
    <w:rsid w:val="002D6251"/>
    <w:rsid w:val="002D6502"/>
    <w:rsid w:val="002D6712"/>
    <w:rsid w:val="002D6E2A"/>
    <w:rsid w:val="002D7071"/>
    <w:rsid w:val="002D725D"/>
    <w:rsid w:val="002D73CD"/>
    <w:rsid w:val="002D747E"/>
    <w:rsid w:val="002D76E8"/>
    <w:rsid w:val="002E0022"/>
    <w:rsid w:val="002E02BE"/>
    <w:rsid w:val="002E02D0"/>
    <w:rsid w:val="002E0459"/>
    <w:rsid w:val="002E0BD9"/>
    <w:rsid w:val="002E1110"/>
    <w:rsid w:val="002E170C"/>
    <w:rsid w:val="002E195E"/>
    <w:rsid w:val="002E1A03"/>
    <w:rsid w:val="002E1A65"/>
    <w:rsid w:val="002E1B91"/>
    <w:rsid w:val="002E2013"/>
    <w:rsid w:val="002E226F"/>
    <w:rsid w:val="002E24F2"/>
    <w:rsid w:val="002E2664"/>
    <w:rsid w:val="002E2EA1"/>
    <w:rsid w:val="002E4054"/>
    <w:rsid w:val="002E44DC"/>
    <w:rsid w:val="002E4763"/>
    <w:rsid w:val="002E4CC6"/>
    <w:rsid w:val="002E4EF5"/>
    <w:rsid w:val="002E5426"/>
    <w:rsid w:val="002E54BA"/>
    <w:rsid w:val="002E5BEB"/>
    <w:rsid w:val="002E623F"/>
    <w:rsid w:val="002E6864"/>
    <w:rsid w:val="002E6EBE"/>
    <w:rsid w:val="002E6FA3"/>
    <w:rsid w:val="002E7147"/>
    <w:rsid w:val="002E732D"/>
    <w:rsid w:val="002E76F7"/>
    <w:rsid w:val="002E7A76"/>
    <w:rsid w:val="002F0182"/>
    <w:rsid w:val="002F021A"/>
    <w:rsid w:val="002F0978"/>
    <w:rsid w:val="002F0B32"/>
    <w:rsid w:val="002F0F28"/>
    <w:rsid w:val="002F160E"/>
    <w:rsid w:val="002F1F4D"/>
    <w:rsid w:val="002F2745"/>
    <w:rsid w:val="002F2899"/>
    <w:rsid w:val="002F3B18"/>
    <w:rsid w:val="002F40F7"/>
    <w:rsid w:val="002F4533"/>
    <w:rsid w:val="002F4699"/>
    <w:rsid w:val="002F5573"/>
    <w:rsid w:val="002F5580"/>
    <w:rsid w:val="002F5585"/>
    <w:rsid w:val="002F5668"/>
    <w:rsid w:val="002F5671"/>
    <w:rsid w:val="002F61BA"/>
    <w:rsid w:val="002F703E"/>
    <w:rsid w:val="002F73F7"/>
    <w:rsid w:val="002F757A"/>
    <w:rsid w:val="002F77BC"/>
    <w:rsid w:val="0030043C"/>
    <w:rsid w:val="0030051E"/>
    <w:rsid w:val="0030066D"/>
    <w:rsid w:val="0030084F"/>
    <w:rsid w:val="00300BB8"/>
    <w:rsid w:val="00301260"/>
    <w:rsid w:val="0030130F"/>
    <w:rsid w:val="003016ED"/>
    <w:rsid w:val="0030194A"/>
    <w:rsid w:val="00301B58"/>
    <w:rsid w:val="00301D18"/>
    <w:rsid w:val="00302061"/>
    <w:rsid w:val="00302379"/>
    <w:rsid w:val="00302EB0"/>
    <w:rsid w:val="00302F3D"/>
    <w:rsid w:val="003030BE"/>
    <w:rsid w:val="003034FB"/>
    <w:rsid w:val="00303710"/>
    <w:rsid w:val="00303FDB"/>
    <w:rsid w:val="003046C8"/>
    <w:rsid w:val="0030490A"/>
    <w:rsid w:val="0030493D"/>
    <w:rsid w:val="00305A68"/>
    <w:rsid w:val="003061AA"/>
    <w:rsid w:val="00306713"/>
    <w:rsid w:val="00306946"/>
    <w:rsid w:val="0030708F"/>
    <w:rsid w:val="00307130"/>
    <w:rsid w:val="00307280"/>
    <w:rsid w:val="00307499"/>
    <w:rsid w:val="00307682"/>
    <w:rsid w:val="00307CC2"/>
    <w:rsid w:val="00310795"/>
    <w:rsid w:val="00310C12"/>
    <w:rsid w:val="00310CE2"/>
    <w:rsid w:val="003115E8"/>
    <w:rsid w:val="00311C24"/>
    <w:rsid w:val="00312148"/>
    <w:rsid w:val="00312419"/>
    <w:rsid w:val="003132A4"/>
    <w:rsid w:val="003138F0"/>
    <w:rsid w:val="00313AC9"/>
    <w:rsid w:val="003146D1"/>
    <w:rsid w:val="00314AE7"/>
    <w:rsid w:val="00314CD7"/>
    <w:rsid w:val="00314D8E"/>
    <w:rsid w:val="00314EF5"/>
    <w:rsid w:val="00315211"/>
    <w:rsid w:val="00315E7C"/>
    <w:rsid w:val="003164CA"/>
    <w:rsid w:val="003168A7"/>
    <w:rsid w:val="0031692A"/>
    <w:rsid w:val="00316C4D"/>
    <w:rsid w:val="0031730F"/>
    <w:rsid w:val="00317703"/>
    <w:rsid w:val="00317C34"/>
    <w:rsid w:val="00317E47"/>
    <w:rsid w:val="003200C9"/>
    <w:rsid w:val="00320746"/>
    <w:rsid w:val="00320838"/>
    <w:rsid w:val="003208AF"/>
    <w:rsid w:val="003209E9"/>
    <w:rsid w:val="00320FA4"/>
    <w:rsid w:val="00320FEB"/>
    <w:rsid w:val="003212A8"/>
    <w:rsid w:val="00321759"/>
    <w:rsid w:val="0032206D"/>
    <w:rsid w:val="003225E3"/>
    <w:rsid w:val="00323049"/>
    <w:rsid w:val="003231B4"/>
    <w:rsid w:val="00323318"/>
    <w:rsid w:val="00323357"/>
    <w:rsid w:val="003236AA"/>
    <w:rsid w:val="00323886"/>
    <w:rsid w:val="00323ABF"/>
    <w:rsid w:val="00323AE9"/>
    <w:rsid w:val="00323BA2"/>
    <w:rsid w:val="00323C36"/>
    <w:rsid w:val="003240FC"/>
    <w:rsid w:val="0032434D"/>
    <w:rsid w:val="003243AD"/>
    <w:rsid w:val="00324C00"/>
    <w:rsid w:val="00324EDE"/>
    <w:rsid w:val="00324F09"/>
    <w:rsid w:val="00324FCC"/>
    <w:rsid w:val="00325138"/>
    <w:rsid w:val="003254A9"/>
    <w:rsid w:val="00325B66"/>
    <w:rsid w:val="003261E6"/>
    <w:rsid w:val="00326420"/>
    <w:rsid w:val="00326445"/>
    <w:rsid w:val="00326873"/>
    <w:rsid w:val="003268E3"/>
    <w:rsid w:val="00326AD1"/>
    <w:rsid w:val="00326C91"/>
    <w:rsid w:val="003273F4"/>
    <w:rsid w:val="003277CB"/>
    <w:rsid w:val="00327A28"/>
    <w:rsid w:val="00327FAD"/>
    <w:rsid w:val="00330AD1"/>
    <w:rsid w:val="00330D6F"/>
    <w:rsid w:val="00331206"/>
    <w:rsid w:val="0033150A"/>
    <w:rsid w:val="00331554"/>
    <w:rsid w:val="003317C0"/>
    <w:rsid w:val="00331A13"/>
    <w:rsid w:val="0033210E"/>
    <w:rsid w:val="00332590"/>
    <w:rsid w:val="00332AFA"/>
    <w:rsid w:val="00333A19"/>
    <w:rsid w:val="00333AAE"/>
    <w:rsid w:val="00333E3C"/>
    <w:rsid w:val="00334C32"/>
    <w:rsid w:val="00334D2C"/>
    <w:rsid w:val="00334E23"/>
    <w:rsid w:val="00334E4E"/>
    <w:rsid w:val="0033507C"/>
    <w:rsid w:val="00335CB9"/>
    <w:rsid w:val="00335F47"/>
    <w:rsid w:val="00336248"/>
    <w:rsid w:val="0033633A"/>
    <w:rsid w:val="00336778"/>
    <w:rsid w:val="0033689E"/>
    <w:rsid w:val="003368EE"/>
    <w:rsid w:val="00336B1F"/>
    <w:rsid w:val="00336E5E"/>
    <w:rsid w:val="0033705D"/>
    <w:rsid w:val="003373F3"/>
    <w:rsid w:val="00337BD0"/>
    <w:rsid w:val="00337FDF"/>
    <w:rsid w:val="003403C9"/>
    <w:rsid w:val="00340745"/>
    <w:rsid w:val="00340800"/>
    <w:rsid w:val="00340897"/>
    <w:rsid w:val="00340C0C"/>
    <w:rsid w:val="00340E53"/>
    <w:rsid w:val="00340EA7"/>
    <w:rsid w:val="00341589"/>
    <w:rsid w:val="00341818"/>
    <w:rsid w:val="00341926"/>
    <w:rsid w:val="00341A7D"/>
    <w:rsid w:val="00341BD5"/>
    <w:rsid w:val="00342181"/>
    <w:rsid w:val="00342944"/>
    <w:rsid w:val="00342BD6"/>
    <w:rsid w:val="00343700"/>
    <w:rsid w:val="00344177"/>
    <w:rsid w:val="00344944"/>
    <w:rsid w:val="00344D8F"/>
    <w:rsid w:val="00344E99"/>
    <w:rsid w:val="0034529E"/>
    <w:rsid w:val="0034560A"/>
    <w:rsid w:val="00345EFB"/>
    <w:rsid w:val="003461DA"/>
    <w:rsid w:val="00346BEC"/>
    <w:rsid w:val="00346E68"/>
    <w:rsid w:val="003470BD"/>
    <w:rsid w:val="003477D5"/>
    <w:rsid w:val="003478ED"/>
    <w:rsid w:val="00347EE4"/>
    <w:rsid w:val="003504B1"/>
    <w:rsid w:val="0035102D"/>
    <w:rsid w:val="00351DA6"/>
    <w:rsid w:val="00351E45"/>
    <w:rsid w:val="00351F07"/>
    <w:rsid w:val="003524BE"/>
    <w:rsid w:val="0035299A"/>
    <w:rsid w:val="00352B19"/>
    <w:rsid w:val="0035342E"/>
    <w:rsid w:val="00353702"/>
    <w:rsid w:val="00353A71"/>
    <w:rsid w:val="00353E7C"/>
    <w:rsid w:val="00353FED"/>
    <w:rsid w:val="003544E0"/>
    <w:rsid w:val="00355187"/>
    <w:rsid w:val="003552F1"/>
    <w:rsid w:val="00355BCF"/>
    <w:rsid w:val="00356098"/>
    <w:rsid w:val="00356154"/>
    <w:rsid w:val="003563F7"/>
    <w:rsid w:val="0035682A"/>
    <w:rsid w:val="00356B51"/>
    <w:rsid w:val="00356E37"/>
    <w:rsid w:val="0035735A"/>
    <w:rsid w:val="00357526"/>
    <w:rsid w:val="003604CA"/>
    <w:rsid w:val="00360B82"/>
    <w:rsid w:val="0036171A"/>
    <w:rsid w:val="00361920"/>
    <w:rsid w:val="00362835"/>
    <w:rsid w:val="003638DC"/>
    <w:rsid w:val="0036399C"/>
    <w:rsid w:val="00363E44"/>
    <w:rsid w:val="0036414E"/>
    <w:rsid w:val="00364708"/>
    <w:rsid w:val="00364C47"/>
    <w:rsid w:val="00365318"/>
    <w:rsid w:val="00365531"/>
    <w:rsid w:val="003662AD"/>
    <w:rsid w:val="0036730D"/>
    <w:rsid w:val="0036738F"/>
    <w:rsid w:val="003679C8"/>
    <w:rsid w:val="00367BF6"/>
    <w:rsid w:val="00370295"/>
    <w:rsid w:val="0037032F"/>
    <w:rsid w:val="0037041A"/>
    <w:rsid w:val="00370A0C"/>
    <w:rsid w:val="00370BF0"/>
    <w:rsid w:val="003720C7"/>
    <w:rsid w:val="00373DDF"/>
    <w:rsid w:val="003744AE"/>
    <w:rsid w:val="00374A08"/>
    <w:rsid w:val="00374A11"/>
    <w:rsid w:val="00374B25"/>
    <w:rsid w:val="00374DA3"/>
    <w:rsid w:val="0037516C"/>
    <w:rsid w:val="003751BD"/>
    <w:rsid w:val="003751FD"/>
    <w:rsid w:val="0037551C"/>
    <w:rsid w:val="00375662"/>
    <w:rsid w:val="00375E29"/>
    <w:rsid w:val="00376060"/>
    <w:rsid w:val="00376183"/>
    <w:rsid w:val="00376410"/>
    <w:rsid w:val="003768F9"/>
    <w:rsid w:val="0037765A"/>
    <w:rsid w:val="003777AB"/>
    <w:rsid w:val="003778F4"/>
    <w:rsid w:val="003809A8"/>
    <w:rsid w:val="00380BD6"/>
    <w:rsid w:val="00380F75"/>
    <w:rsid w:val="00381405"/>
    <w:rsid w:val="003814B3"/>
    <w:rsid w:val="0038166B"/>
    <w:rsid w:val="0038187D"/>
    <w:rsid w:val="003821A7"/>
    <w:rsid w:val="00382F2F"/>
    <w:rsid w:val="00383269"/>
    <w:rsid w:val="0038341E"/>
    <w:rsid w:val="0038435C"/>
    <w:rsid w:val="003844F5"/>
    <w:rsid w:val="003849A7"/>
    <w:rsid w:val="00385AA6"/>
    <w:rsid w:val="00385CAB"/>
    <w:rsid w:val="00385ECA"/>
    <w:rsid w:val="00386D76"/>
    <w:rsid w:val="00387A57"/>
    <w:rsid w:val="00387DCF"/>
    <w:rsid w:val="0039079D"/>
    <w:rsid w:val="00390885"/>
    <w:rsid w:val="00390DF8"/>
    <w:rsid w:val="00390F64"/>
    <w:rsid w:val="003916EB"/>
    <w:rsid w:val="00391D36"/>
    <w:rsid w:val="00391EEA"/>
    <w:rsid w:val="00391FD3"/>
    <w:rsid w:val="00392489"/>
    <w:rsid w:val="00392717"/>
    <w:rsid w:val="00392FF2"/>
    <w:rsid w:val="00393B66"/>
    <w:rsid w:val="00393C56"/>
    <w:rsid w:val="00393FA1"/>
    <w:rsid w:val="003940DA"/>
    <w:rsid w:val="003941A5"/>
    <w:rsid w:val="00394709"/>
    <w:rsid w:val="00394B87"/>
    <w:rsid w:val="00394D46"/>
    <w:rsid w:val="00395D31"/>
    <w:rsid w:val="00396208"/>
    <w:rsid w:val="00396822"/>
    <w:rsid w:val="0039775C"/>
    <w:rsid w:val="003A01DD"/>
    <w:rsid w:val="003A03A7"/>
    <w:rsid w:val="003A05B4"/>
    <w:rsid w:val="003A0D95"/>
    <w:rsid w:val="003A19C0"/>
    <w:rsid w:val="003A1BE3"/>
    <w:rsid w:val="003A1DF7"/>
    <w:rsid w:val="003A1E52"/>
    <w:rsid w:val="003A1F08"/>
    <w:rsid w:val="003A20C0"/>
    <w:rsid w:val="003A2290"/>
    <w:rsid w:val="003A24BE"/>
    <w:rsid w:val="003A2934"/>
    <w:rsid w:val="003A29DF"/>
    <w:rsid w:val="003A2D06"/>
    <w:rsid w:val="003A2D21"/>
    <w:rsid w:val="003A2F9B"/>
    <w:rsid w:val="003A305B"/>
    <w:rsid w:val="003A3961"/>
    <w:rsid w:val="003A39B7"/>
    <w:rsid w:val="003A3A5D"/>
    <w:rsid w:val="003A3D84"/>
    <w:rsid w:val="003A3EBB"/>
    <w:rsid w:val="003A4625"/>
    <w:rsid w:val="003A4BFC"/>
    <w:rsid w:val="003A54D1"/>
    <w:rsid w:val="003A5BA5"/>
    <w:rsid w:val="003A654A"/>
    <w:rsid w:val="003A6CAF"/>
    <w:rsid w:val="003A71C6"/>
    <w:rsid w:val="003A72CF"/>
    <w:rsid w:val="003A7804"/>
    <w:rsid w:val="003A7A63"/>
    <w:rsid w:val="003B0860"/>
    <w:rsid w:val="003B0E10"/>
    <w:rsid w:val="003B104F"/>
    <w:rsid w:val="003B128E"/>
    <w:rsid w:val="003B138C"/>
    <w:rsid w:val="003B17A5"/>
    <w:rsid w:val="003B1E23"/>
    <w:rsid w:val="003B1ECA"/>
    <w:rsid w:val="003B2AEA"/>
    <w:rsid w:val="003B2BBA"/>
    <w:rsid w:val="003B306E"/>
    <w:rsid w:val="003B3CFF"/>
    <w:rsid w:val="003B4534"/>
    <w:rsid w:val="003B48F9"/>
    <w:rsid w:val="003B4C9C"/>
    <w:rsid w:val="003B4CE5"/>
    <w:rsid w:val="003B4D1D"/>
    <w:rsid w:val="003B4E4A"/>
    <w:rsid w:val="003B66AE"/>
    <w:rsid w:val="003B6874"/>
    <w:rsid w:val="003B6CA7"/>
    <w:rsid w:val="003B7550"/>
    <w:rsid w:val="003C0419"/>
    <w:rsid w:val="003C0A42"/>
    <w:rsid w:val="003C1034"/>
    <w:rsid w:val="003C121D"/>
    <w:rsid w:val="003C13BE"/>
    <w:rsid w:val="003C168C"/>
    <w:rsid w:val="003C1C19"/>
    <w:rsid w:val="003C1F83"/>
    <w:rsid w:val="003C28CC"/>
    <w:rsid w:val="003C2AF8"/>
    <w:rsid w:val="003C2C41"/>
    <w:rsid w:val="003C2E0D"/>
    <w:rsid w:val="003C30AE"/>
    <w:rsid w:val="003C4B74"/>
    <w:rsid w:val="003C4B7A"/>
    <w:rsid w:val="003C5000"/>
    <w:rsid w:val="003C5070"/>
    <w:rsid w:val="003C5E47"/>
    <w:rsid w:val="003C5F42"/>
    <w:rsid w:val="003C6082"/>
    <w:rsid w:val="003C6568"/>
    <w:rsid w:val="003C671F"/>
    <w:rsid w:val="003C7749"/>
    <w:rsid w:val="003C7BC8"/>
    <w:rsid w:val="003D044D"/>
    <w:rsid w:val="003D0FFC"/>
    <w:rsid w:val="003D1102"/>
    <w:rsid w:val="003D1115"/>
    <w:rsid w:val="003D11C8"/>
    <w:rsid w:val="003D1535"/>
    <w:rsid w:val="003D1723"/>
    <w:rsid w:val="003D1A17"/>
    <w:rsid w:val="003D27D6"/>
    <w:rsid w:val="003D2942"/>
    <w:rsid w:val="003D2AA1"/>
    <w:rsid w:val="003D2B78"/>
    <w:rsid w:val="003D30FE"/>
    <w:rsid w:val="003D336E"/>
    <w:rsid w:val="003D51E9"/>
    <w:rsid w:val="003D5356"/>
    <w:rsid w:val="003D53D6"/>
    <w:rsid w:val="003D578B"/>
    <w:rsid w:val="003D58A2"/>
    <w:rsid w:val="003D5F4A"/>
    <w:rsid w:val="003D6105"/>
    <w:rsid w:val="003D61F0"/>
    <w:rsid w:val="003D635B"/>
    <w:rsid w:val="003D67D7"/>
    <w:rsid w:val="003D6E92"/>
    <w:rsid w:val="003D749D"/>
    <w:rsid w:val="003D789B"/>
    <w:rsid w:val="003D7979"/>
    <w:rsid w:val="003D7BF8"/>
    <w:rsid w:val="003D7CCE"/>
    <w:rsid w:val="003D7DDA"/>
    <w:rsid w:val="003E0A09"/>
    <w:rsid w:val="003E0B6D"/>
    <w:rsid w:val="003E0D78"/>
    <w:rsid w:val="003E0F72"/>
    <w:rsid w:val="003E1151"/>
    <w:rsid w:val="003E1185"/>
    <w:rsid w:val="003E1493"/>
    <w:rsid w:val="003E1574"/>
    <w:rsid w:val="003E173E"/>
    <w:rsid w:val="003E2261"/>
    <w:rsid w:val="003E25C9"/>
    <w:rsid w:val="003E28F4"/>
    <w:rsid w:val="003E35C9"/>
    <w:rsid w:val="003E3855"/>
    <w:rsid w:val="003E3CDE"/>
    <w:rsid w:val="003E3D37"/>
    <w:rsid w:val="003E423E"/>
    <w:rsid w:val="003E4AAA"/>
    <w:rsid w:val="003E4B85"/>
    <w:rsid w:val="003E53A9"/>
    <w:rsid w:val="003E5DBA"/>
    <w:rsid w:val="003E5E3C"/>
    <w:rsid w:val="003E61D1"/>
    <w:rsid w:val="003E6344"/>
    <w:rsid w:val="003E7F87"/>
    <w:rsid w:val="003F06CF"/>
    <w:rsid w:val="003F0C71"/>
    <w:rsid w:val="003F0EC3"/>
    <w:rsid w:val="003F19BE"/>
    <w:rsid w:val="003F1E67"/>
    <w:rsid w:val="003F26AA"/>
    <w:rsid w:val="003F345C"/>
    <w:rsid w:val="003F389A"/>
    <w:rsid w:val="003F3BFD"/>
    <w:rsid w:val="003F3D1D"/>
    <w:rsid w:val="003F3D70"/>
    <w:rsid w:val="003F40D8"/>
    <w:rsid w:val="003F40EE"/>
    <w:rsid w:val="003F40F6"/>
    <w:rsid w:val="003F44E4"/>
    <w:rsid w:val="003F4A35"/>
    <w:rsid w:val="003F4D45"/>
    <w:rsid w:val="003F507D"/>
    <w:rsid w:val="003F5403"/>
    <w:rsid w:val="003F590C"/>
    <w:rsid w:val="003F5D73"/>
    <w:rsid w:val="003F6244"/>
    <w:rsid w:val="003F646A"/>
    <w:rsid w:val="003F679B"/>
    <w:rsid w:val="003F6906"/>
    <w:rsid w:val="003F6940"/>
    <w:rsid w:val="003F71F3"/>
    <w:rsid w:val="003F744B"/>
    <w:rsid w:val="003F7DAB"/>
    <w:rsid w:val="003F7E08"/>
    <w:rsid w:val="003F7E7F"/>
    <w:rsid w:val="00400135"/>
    <w:rsid w:val="00400940"/>
    <w:rsid w:val="00400B4B"/>
    <w:rsid w:val="0040122D"/>
    <w:rsid w:val="004016E5"/>
    <w:rsid w:val="0040176C"/>
    <w:rsid w:val="0040197F"/>
    <w:rsid w:val="00401A7E"/>
    <w:rsid w:val="00401B8B"/>
    <w:rsid w:val="00401BC7"/>
    <w:rsid w:val="00401FBF"/>
    <w:rsid w:val="00403225"/>
    <w:rsid w:val="0040370D"/>
    <w:rsid w:val="0040396D"/>
    <w:rsid w:val="00403B64"/>
    <w:rsid w:val="00403BA2"/>
    <w:rsid w:val="00403CD2"/>
    <w:rsid w:val="0040455F"/>
    <w:rsid w:val="00404747"/>
    <w:rsid w:val="00404D2F"/>
    <w:rsid w:val="00404DDF"/>
    <w:rsid w:val="004054E2"/>
    <w:rsid w:val="00405ADD"/>
    <w:rsid w:val="00405AE5"/>
    <w:rsid w:val="00405D46"/>
    <w:rsid w:val="00405EC0"/>
    <w:rsid w:val="00406048"/>
    <w:rsid w:val="004062FC"/>
    <w:rsid w:val="00406C3F"/>
    <w:rsid w:val="00406F4C"/>
    <w:rsid w:val="00406FD8"/>
    <w:rsid w:val="004076BF"/>
    <w:rsid w:val="00407DAD"/>
    <w:rsid w:val="004103F6"/>
    <w:rsid w:val="00410A73"/>
    <w:rsid w:val="004110A3"/>
    <w:rsid w:val="004116DF"/>
    <w:rsid w:val="00411E4A"/>
    <w:rsid w:val="00412496"/>
    <w:rsid w:val="0041341A"/>
    <w:rsid w:val="00413BC0"/>
    <w:rsid w:val="00413D43"/>
    <w:rsid w:val="004142FD"/>
    <w:rsid w:val="004148D8"/>
    <w:rsid w:val="004148EF"/>
    <w:rsid w:val="00414B2E"/>
    <w:rsid w:val="00414EBA"/>
    <w:rsid w:val="00415141"/>
    <w:rsid w:val="00415486"/>
    <w:rsid w:val="00416054"/>
    <w:rsid w:val="00416071"/>
    <w:rsid w:val="004165E0"/>
    <w:rsid w:val="0041669D"/>
    <w:rsid w:val="00416788"/>
    <w:rsid w:val="00417A82"/>
    <w:rsid w:val="00417D08"/>
    <w:rsid w:val="00420163"/>
    <w:rsid w:val="004208DE"/>
    <w:rsid w:val="004208F7"/>
    <w:rsid w:val="00420BD0"/>
    <w:rsid w:val="00421434"/>
    <w:rsid w:val="00421579"/>
    <w:rsid w:val="00421E36"/>
    <w:rsid w:val="004224BE"/>
    <w:rsid w:val="0042253C"/>
    <w:rsid w:val="00422975"/>
    <w:rsid w:val="00422CA0"/>
    <w:rsid w:val="00423096"/>
    <w:rsid w:val="00424808"/>
    <w:rsid w:val="00424EE4"/>
    <w:rsid w:val="0042509E"/>
    <w:rsid w:val="004253F7"/>
    <w:rsid w:val="00425B4D"/>
    <w:rsid w:val="004270AB"/>
    <w:rsid w:val="00427687"/>
    <w:rsid w:val="004302F8"/>
    <w:rsid w:val="0043076B"/>
    <w:rsid w:val="00430D27"/>
    <w:rsid w:val="0043107C"/>
    <w:rsid w:val="00431125"/>
    <w:rsid w:val="00431290"/>
    <w:rsid w:val="00431771"/>
    <w:rsid w:val="0043183D"/>
    <w:rsid w:val="0043194B"/>
    <w:rsid w:val="00431D62"/>
    <w:rsid w:val="004320F4"/>
    <w:rsid w:val="00432276"/>
    <w:rsid w:val="004328DD"/>
    <w:rsid w:val="00432BEB"/>
    <w:rsid w:val="00433689"/>
    <w:rsid w:val="00433A44"/>
    <w:rsid w:val="00433AF0"/>
    <w:rsid w:val="00433F6B"/>
    <w:rsid w:val="004343DB"/>
    <w:rsid w:val="00434FB8"/>
    <w:rsid w:val="00435101"/>
    <w:rsid w:val="00435339"/>
    <w:rsid w:val="0043574B"/>
    <w:rsid w:val="00436545"/>
    <w:rsid w:val="0043718B"/>
    <w:rsid w:val="004374D4"/>
    <w:rsid w:val="00437F5E"/>
    <w:rsid w:val="004409F2"/>
    <w:rsid w:val="00440F88"/>
    <w:rsid w:val="00441664"/>
    <w:rsid w:val="00441D85"/>
    <w:rsid w:val="0044212C"/>
    <w:rsid w:val="0044264D"/>
    <w:rsid w:val="00442ADB"/>
    <w:rsid w:val="00442ED9"/>
    <w:rsid w:val="00442FBC"/>
    <w:rsid w:val="00444188"/>
    <w:rsid w:val="00444930"/>
    <w:rsid w:val="00444CCC"/>
    <w:rsid w:val="0044501B"/>
    <w:rsid w:val="00445413"/>
    <w:rsid w:val="00445541"/>
    <w:rsid w:val="004458BE"/>
    <w:rsid w:val="00445A88"/>
    <w:rsid w:val="00445AE7"/>
    <w:rsid w:val="00445BA9"/>
    <w:rsid w:val="0044616B"/>
    <w:rsid w:val="00446184"/>
    <w:rsid w:val="00446330"/>
    <w:rsid w:val="00446464"/>
    <w:rsid w:val="0044655D"/>
    <w:rsid w:val="004465B7"/>
    <w:rsid w:val="004466A6"/>
    <w:rsid w:val="0044682B"/>
    <w:rsid w:val="00446C44"/>
    <w:rsid w:val="004471B2"/>
    <w:rsid w:val="00447283"/>
    <w:rsid w:val="004472C4"/>
    <w:rsid w:val="004474E1"/>
    <w:rsid w:val="004474FA"/>
    <w:rsid w:val="00447775"/>
    <w:rsid w:val="00450208"/>
    <w:rsid w:val="00451002"/>
    <w:rsid w:val="00451213"/>
    <w:rsid w:val="0045132E"/>
    <w:rsid w:val="00451730"/>
    <w:rsid w:val="00451D83"/>
    <w:rsid w:val="00451F0C"/>
    <w:rsid w:val="00452696"/>
    <w:rsid w:val="00452F92"/>
    <w:rsid w:val="00453376"/>
    <w:rsid w:val="004538C5"/>
    <w:rsid w:val="00453BBF"/>
    <w:rsid w:val="00453C0C"/>
    <w:rsid w:val="00453D44"/>
    <w:rsid w:val="00453DA6"/>
    <w:rsid w:val="0045437D"/>
    <w:rsid w:val="00454857"/>
    <w:rsid w:val="00454B6E"/>
    <w:rsid w:val="00454DEF"/>
    <w:rsid w:val="004553D6"/>
    <w:rsid w:val="0045569E"/>
    <w:rsid w:val="00455AE0"/>
    <w:rsid w:val="004565BA"/>
    <w:rsid w:val="00457687"/>
    <w:rsid w:val="004578B7"/>
    <w:rsid w:val="0045794C"/>
    <w:rsid w:val="0046090C"/>
    <w:rsid w:val="004612AA"/>
    <w:rsid w:val="0046144C"/>
    <w:rsid w:val="004617E9"/>
    <w:rsid w:val="00461E81"/>
    <w:rsid w:val="004621B0"/>
    <w:rsid w:val="004621EA"/>
    <w:rsid w:val="00462CF7"/>
    <w:rsid w:val="00462E45"/>
    <w:rsid w:val="00462F20"/>
    <w:rsid w:val="00462FDB"/>
    <w:rsid w:val="004632A5"/>
    <w:rsid w:val="004635B1"/>
    <w:rsid w:val="00463C5B"/>
    <w:rsid w:val="00463DC9"/>
    <w:rsid w:val="00464331"/>
    <w:rsid w:val="00464346"/>
    <w:rsid w:val="00464B04"/>
    <w:rsid w:val="00465658"/>
    <w:rsid w:val="0046588A"/>
    <w:rsid w:val="0047051F"/>
    <w:rsid w:val="00470587"/>
    <w:rsid w:val="004706D8"/>
    <w:rsid w:val="0047081A"/>
    <w:rsid w:val="004708A2"/>
    <w:rsid w:val="0047170A"/>
    <w:rsid w:val="0047181B"/>
    <w:rsid w:val="00471C33"/>
    <w:rsid w:val="004722C3"/>
    <w:rsid w:val="004729F6"/>
    <w:rsid w:val="00472A93"/>
    <w:rsid w:val="00473281"/>
    <w:rsid w:val="0047343E"/>
    <w:rsid w:val="004735A4"/>
    <w:rsid w:val="00473CED"/>
    <w:rsid w:val="00473E37"/>
    <w:rsid w:val="00474851"/>
    <w:rsid w:val="00474F64"/>
    <w:rsid w:val="00475004"/>
    <w:rsid w:val="00475137"/>
    <w:rsid w:val="00475196"/>
    <w:rsid w:val="00475690"/>
    <w:rsid w:val="00475750"/>
    <w:rsid w:val="00475E91"/>
    <w:rsid w:val="00476420"/>
    <w:rsid w:val="00476ABA"/>
    <w:rsid w:val="00476EFB"/>
    <w:rsid w:val="00477133"/>
    <w:rsid w:val="0047752A"/>
    <w:rsid w:val="00477850"/>
    <w:rsid w:val="00477FA0"/>
    <w:rsid w:val="004802B1"/>
    <w:rsid w:val="004806EF"/>
    <w:rsid w:val="00480BDF"/>
    <w:rsid w:val="00480C04"/>
    <w:rsid w:val="00480E69"/>
    <w:rsid w:val="00480F09"/>
    <w:rsid w:val="0048150D"/>
    <w:rsid w:val="0048162A"/>
    <w:rsid w:val="004818CE"/>
    <w:rsid w:val="00481B6B"/>
    <w:rsid w:val="0048265F"/>
    <w:rsid w:val="00482B6F"/>
    <w:rsid w:val="00482F4B"/>
    <w:rsid w:val="00483098"/>
    <w:rsid w:val="00483636"/>
    <w:rsid w:val="00483901"/>
    <w:rsid w:val="00484396"/>
    <w:rsid w:val="004849FD"/>
    <w:rsid w:val="00484F05"/>
    <w:rsid w:val="004858C1"/>
    <w:rsid w:val="00485ABD"/>
    <w:rsid w:val="00485AFA"/>
    <w:rsid w:val="00485DBF"/>
    <w:rsid w:val="0048611B"/>
    <w:rsid w:val="00486447"/>
    <w:rsid w:val="00486896"/>
    <w:rsid w:val="00486E6D"/>
    <w:rsid w:val="00486E98"/>
    <w:rsid w:val="00487030"/>
    <w:rsid w:val="00487B6F"/>
    <w:rsid w:val="00487F20"/>
    <w:rsid w:val="004900D9"/>
    <w:rsid w:val="0049015B"/>
    <w:rsid w:val="00490171"/>
    <w:rsid w:val="00490584"/>
    <w:rsid w:val="00490A6C"/>
    <w:rsid w:val="00491358"/>
    <w:rsid w:val="004914A0"/>
    <w:rsid w:val="004918C1"/>
    <w:rsid w:val="00492114"/>
    <w:rsid w:val="004925F5"/>
    <w:rsid w:val="004929E2"/>
    <w:rsid w:val="00493555"/>
    <w:rsid w:val="0049394C"/>
    <w:rsid w:val="00493A31"/>
    <w:rsid w:val="004941B4"/>
    <w:rsid w:val="004944BA"/>
    <w:rsid w:val="00494F4C"/>
    <w:rsid w:val="0049537D"/>
    <w:rsid w:val="0049587E"/>
    <w:rsid w:val="00495C41"/>
    <w:rsid w:val="00495E5C"/>
    <w:rsid w:val="00495F6F"/>
    <w:rsid w:val="004960F6"/>
    <w:rsid w:val="004962ED"/>
    <w:rsid w:val="004962FB"/>
    <w:rsid w:val="0049630C"/>
    <w:rsid w:val="004966F5"/>
    <w:rsid w:val="004968AD"/>
    <w:rsid w:val="00496950"/>
    <w:rsid w:val="00496C4F"/>
    <w:rsid w:val="004976DC"/>
    <w:rsid w:val="00497F6A"/>
    <w:rsid w:val="004A02BC"/>
    <w:rsid w:val="004A08EE"/>
    <w:rsid w:val="004A0B79"/>
    <w:rsid w:val="004A1187"/>
    <w:rsid w:val="004A1246"/>
    <w:rsid w:val="004A128D"/>
    <w:rsid w:val="004A1B81"/>
    <w:rsid w:val="004A1CC7"/>
    <w:rsid w:val="004A1DE4"/>
    <w:rsid w:val="004A22E8"/>
    <w:rsid w:val="004A22F4"/>
    <w:rsid w:val="004A23B2"/>
    <w:rsid w:val="004A2AFC"/>
    <w:rsid w:val="004A2B35"/>
    <w:rsid w:val="004A2DCD"/>
    <w:rsid w:val="004A3389"/>
    <w:rsid w:val="004A4066"/>
    <w:rsid w:val="004A407E"/>
    <w:rsid w:val="004A41CD"/>
    <w:rsid w:val="004A49EF"/>
    <w:rsid w:val="004A4C64"/>
    <w:rsid w:val="004A4CFD"/>
    <w:rsid w:val="004A4D51"/>
    <w:rsid w:val="004A4EEE"/>
    <w:rsid w:val="004A581F"/>
    <w:rsid w:val="004A5906"/>
    <w:rsid w:val="004A5A95"/>
    <w:rsid w:val="004A5BD6"/>
    <w:rsid w:val="004A5CDB"/>
    <w:rsid w:val="004A6299"/>
    <w:rsid w:val="004A6339"/>
    <w:rsid w:val="004A71EA"/>
    <w:rsid w:val="004A7261"/>
    <w:rsid w:val="004A73A2"/>
    <w:rsid w:val="004A73A4"/>
    <w:rsid w:val="004B0361"/>
    <w:rsid w:val="004B04D9"/>
    <w:rsid w:val="004B0587"/>
    <w:rsid w:val="004B07A6"/>
    <w:rsid w:val="004B1151"/>
    <w:rsid w:val="004B16C8"/>
    <w:rsid w:val="004B16DA"/>
    <w:rsid w:val="004B245B"/>
    <w:rsid w:val="004B2AA0"/>
    <w:rsid w:val="004B377E"/>
    <w:rsid w:val="004B3B41"/>
    <w:rsid w:val="004B3C0D"/>
    <w:rsid w:val="004B3C58"/>
    <w:rsid w:val="004B3DDE"/>
    <w:rsid w:val="004B41F0"/>
    <w:rsid w:val="004B49ED"/>
    <w:rsid w:val="004B5212"/>
    <w:rsid w:val="004B55B2"/>
    <w:rsid w:val="004B59FF"/>
    <w:rsid w:val="004B5AAE"/>
    <w:rsid w:val="004B622E"/>
    <w:rsid w:val="004B6248"/>
    <w:rsid w:val="004B64A9"/>
    <w:rsid w:val="004B6E8C"/>
    <w:rsid w:val="004B7132"/>
    <w:rsid w:val="004B7564"/>
    <w:rsid w:val="004C01EA"/>
    <w:rsid w:val="004C022E"/>
    <w:rsid w:val="004C032B"/>
    <w:rsid w:val="004C0AD0"/>
    <w:rsid w:val="004C13C4"/>
    <w:rsid w:val="004C1400"/>
    <w:rsid w:val="004C1607"/>
    <w:rsid w:val="004C1796"/>
    <w:rsid w:val="004C2399"/>
    <w:rsid w:val="004C246B"/>
    <w:rsid w:val="004C250C"/>
    <w:rsid w:val="004C2667"/>
    <w:rsid w:val="004C3A23"/>
    <w:rsid w:val="004C3CB4"/>
    <w:rsid w:val="004C41C5"/>
    <w:rsid w:val="004C45DD"/>
    <w:rsid w:val="004C4C32"/>
    <w:rsid w:val="004C52DE"/>
    <w:rsid w:val="004C5530"/>
    <w:rsid w:val="004C57C2"/>
    <w:rsid w:val="004C5D27"/>
    <w:rsid w:val="004C5D80"/>
    <w:rsid w:val="004C5E50"/>
    <w:rsid w:val="004C6320"/>
    <w:rsid w:val="004C6A35"/>
    <w:rsid w:val="004C6B6C"/>
    <w:rsid w:val="004C6B98"/>
    <w:rsid w:val="004C6E03"/>
    <w:rsid w:val="004C78B6"/>
    <w:rsid w:val="004C7EA6"/>
    <w:rsid w:val="004D0291"/>
    <w:rsid w:val="004D02F8"/>
    <w:rsid w:val="004D11BC"/>
    <w:rsid w:val="004D164C"/>
    <w:rsid w:val="004D1EA8"/>
    <w:rsid w:val="004D1F14"/>
    <w:rsid w:val="004D2AAE"/>
    <w:rsid w:val="004D2ABE"/>
    <w:rsid w:val="004D32D7"/>
    <w:rsid w:val="004D34F1"/>
    <w:rsid w:val="004D3C9C"/>
    <w:rsid w:val="004D3E60"/>
    <w:rsid w:val="004D3EC5"/>
    <w:rsid w:val="004D3F8A"/>
    <w:rsid w:val="004D438C"/>
    <w:rsid w:val="004D4643"/>
    <w:rsid w:val="004D4F5E"/>
    <w:rsid w:val="004D511B"/>
    <w:rsid w:val="004D5599"/>
    <w:rsid w:val="004D56F7"/>
    <w:rsid w:val="004D570C"/>
    <w:rsid w:val="004D5AD1"/>
    <w:rsid w:val="004D5ECE"/>
    <w:rsid w:val="004D6284"/>
    <w:rsid w:val="004D62DE"/>
    <w:rsid w:val="004D651D"/>
    <w:rsid w:val="004D6904"/>
    <w:rsid w:val="004D6F1B"/>
    <w:rsid w:val="004D708C"/>
    <w:rsid w:val="004D76CD"/>
    <w:rsid w:val="004D7A31"/>
    <w:rsid w:val="004D7AE5"/>
    <w:rsid w:val="004D7F73"/>
    <w:rsid w:val="004E046F"/>
    <w:rsid w:val="004E09A8"/>
    <w:rsid w:val="004E164F"/>
    <w:rsid w:val="004E1D1F"/>
    <w:rsid w:val="004E22EA"/>
    <w:rsid w:val="004E2D00"/>
    <w:rsid w:val="004E36C0"/>
    <w:rsid w:val="004E3995"/>
    <w:rsid w:val="004E3E5A"/>
    <w:rsid w:val="004E4095"/>
    <w:rsid w:val="004E4390"/>
    <w:rsid w:val="004E4944"/>
    <w:rsid w:val="004E4C0E"/>
    <w:rsid w:val="004E4C5E"/>
    <w:rsid w:val="004E4EE8"/>
    <w:rsid w:val="004E5114"/>
    <w:rsid w:val="004E518E"/>
    <w:rsid w:val="004E51D6"/>
    <w:rsid w:val="004E53B5"/>
    <w:rsid w:val="004E542C"/>
    <w:rsid w:val="004E5532"/>
    <w:rsid w:val="004E5650"/>
    <w:rsid w:val="004E5852"/>
    <w:rsid w:val="004E5876"/>
    <w:rsid w:val="004E5A6E"/>
    <w:rsid w:val="004E647B"/>
    <w:rsid w:val="004E67D0"/>
    <w:rsid w:val="004E6CF4"/>
    <w:rsid w:val="004E72C7"/>
    <w:rsid w:val="004E732F"/>
    <w:rsid w:val="004E799E"/>
    <w:rsid w:val="004E7E10"/>
    <w:rsid w:val="004F004D"/>
    <w:rsid w:val="004F00F0"/>
    <w:rsid w:val="004F0EE5"/>
    <w:rsid w:val="004F10AC"/>
    <w:rsid w:val="004F110E"/>
    <w:rsid w:val="004F1BC9"/>
    <w:rsid w:val="004F28D3"/>
    <w:rsid w:val="004F2DB8"/>
    <w:rsid w:val="004F3375"/>
    <w:rsid w:val="004F3B19"/>
    <w:rsid w:val="004F3B43"/>
    <w:rsid w:val="004F3DCC"/>
    <w:rsid w:val="004F4187"/>
    <w:rsid w:val="004F433B"/>
    <w:rsid w:val="004F4354"/>
    <w:rsid w:val="004F453C"/>
    <w:rsid w:val="004F4996"/>
    <w:rsid w:val="004F4A96"/>
    <w:rsid w:val="004F4AEC"/>
    <w:rsid w:val="004F4DA0"/>
    <w:rsid w:val="004F500D"/>
    <w:rsid w:val="004F515B"/>
    <w:rsid w:val="004F5301"/>
    <w:rsid w:val="004F572C"/>
    <w:rsid w:val="004F63A5"/>
    <w:rsid w:val="004F663C"/>
    <w:rsid w:val="004F69DB"/>
    <w:rsid w:val="004F6C9E"/>
    <w:rsid w:val="004F71F2"/>
    <w:rsid w:val="004F728F"/>
    <w:rsid w:val="004F7586"/>
    <w:rsid w:val="004F7853"/>
    <w:rsid w:val="00500183"/>
    <w:rsid w:val="0050046C"/>
    <w:rsid w:val="005005A3"/>
    <w:rsid w:val="00500B81"/>
    <w:rsid w:val="00500D61"/>
    <w:rsid w:val="00500F70"/>
    <w:rsid w:val="005016BD"/>
    <w:rsid w:val="00502385"/>
    <w:rsid w:val="00502605"/>
    <w:rsid w:val="005027C2"/>
    <w:rsid w:val="00502BA8"/>
    <w:rsid w:val="00502DF9"/>
    <w:rsid w:val="00502FA5"/>
    <w:rsid w:val="0050377D"/>
    <w:rsid w:val="005037FD"/>
    <w:rsid w:val="0050393B"/>
    <w:rsid w:val="005039F3"/>
    <w:rsid w:val="00503C0C"/>
    <w:rsid w:val="0050404E"/>
    <w:rsid w:val="005046CB"/>
    <w:rsid w:val="00504BC6"/>
    <w:rsid w:val="00505B97"/>
    <w:rsid w:val="00505D5F"/>
    <w:rsid w:val="005064F5"/>
    <w:rsid w:val="0050668F"/>
    <w:rsid w:val="00506A45"/>
    <w:rsid w:val="00506BDC"/>
    <w:rsid w:val="0050711E"/>
    <w:rsid w:val="0050770A"/>
    <w:rsid w:val="00507975"/>
    <w:rsid w:val="00507A16"/>
    <w:rsid w:val="00507B7C"/>
    <w:rsid w:val="00507D54"/>
    <w:rsid w:val="00507F88"/>
    <w:rsid w:val="0051000E"/>
    <w:rsid w:val="00510885"/>
    <w:rsid w:val="00510A5F"/>
    <w:rsid w:val="00510A6F"/>
    <w:rsid w:val="00510EA0"/>
    <w:rsid w:val="00511845"/>
    <w:rsid w:val="005120CC"/>
    <w:rsid w:val="005125F9"/>
    <w:rsid w:val="0051322F"/>
    <w:rsid w:val="00513991"/>
    <w:rsid w:val="00513D4C"/>
    <w:rsid w:val="00514448"/>
    <w:rsid w:val="00514638"/>
    <w:rsid w:val="005147B9"/>
    <w:rsid w:val="00514AB9"/>
    <w:rsid w:val="00514CFE"/>
    <w:rsid w:val="005152A0"/>
    <w:rsid w:val="00515556"/>
    <w:rsid w:val="00516395"/>
    <w:rsid w:val="005168B1"/>
    <w:rsid w:val="00516A27"/>
    <w:rsid w:val="00516CE0"/>
    <w:rsid w:val="00516D51"/>
    <w:rsid w:val="005174BE"/>
    <w:rsid w:val="005174E3"/>
    <w:rsid w:val="00517C44"/>
    <w:rsid w:val="00517CF6"/>
    <w:rsid w:val="00517E3E"/>
    <w:rsid w:val="00520121"/>
    <w:rsid w:val="005202BD"/>
    <w:rsid w:val="0052074E"/>
    <w:rsid w:val="00520A82"/>
    <w:rsid w:val="00520C1D"/>
    <w:rsid w:val="00520CAA"/>
    <w:rsid w:val="005218F2"/>
    <w:rsid w:val="00522156"/>
    <w:rsid w:val="00522FA2"/>
    <w:rsid w:val="00523432"/>
    <w:rsid w:val="0052358B"/>
    <w:rsid w:val="00523990"/>
    <w:rsid w:val="00523C9C"/>
    <w:rsid w:val="00523DE8"/>
    <w:rsid w:val="005244DC"/>
    <w:rsid w:val="00524935"/>
    <w:rsid w:val="005249A0"/>
    <w:rsid w:val="00524AD3"/>
    <w:rsid w:val="00524FAF"/>
    <w:rsid w:val="00525460"/>
    <w:rsid w:val="00525561"/>
    <w:rsid w:val="00525757"/>
    <w:rsid w:val="00525B69"/>
    <w:rsid w:val="00525E28"/>
    <w:rsid w:val="00526723"/>
    <w:rsid w:val="005267E5"/>
    <w:rsid w:val="0052681D"/>
    <w:rsid w:val="00526827"/>
    <w:rsid w:val="00526A9E"/>
    <w:rsid w:val="00526C9C"/>
    <w:rsid w:val="00527182"/>
    <w:rsid w:val="005272C8"/>
    <w:rsid w:val="00527347"/>
    <w:rsid w:val="00527388"/>
    <w:rsid w:val="00527E46"/>
    <w:rsid w:val="005300A8"/>
    <w:rsid w:val="00530268"/>
    <w:rsid w:val="00530FC0"/>
    <w:rsid w:val="005310DE"/>
    <w:rsid w:val="0053144E"/>
    <w:rsid w:val="0053159F"/>
    <w:rsid w:val="00531968"/>
    <w:rsid w:val="00531A6B"/>
    <w:rsid w:val="00531E9D"/>
    <w:rsid w:val="005324F7"/>
    <w:rsid w:val="005326C6"/>
    <w:rsid w:val="00532781"/>
    <w:rsid w:val="00532862"/>
    <w:rsid w:val="005329AD"/>
    <w:rsid w:val="00533B85"/>
    <w:rsid w:val="00534BAE"/>
    <w:rsid w:val="00534CDE"/>
    <w:rsid w:val="00534E24"/>
    <w:rsid w:val="005353C4"/>
    <w:rsid w:val="00535B5C"/>
    <w:rsid w:val="00536E13"/>
    <w:rsid w:val="005371C5"/>
    <w:rsid w:val="00537578"/>
    <w:rsid w:val="00537E3F"/>
    <w:rsid w:val="00540490"/>
    <w:rsid w:val="005408FD"/>
    <w:rsid w:val="00540F2C"/>
    <w:rsid w:val="0054115A"/>
    <w:rsid w:val="00541249"/>
    <w:rsid w:val="005414F1"/>
    <w:rsid w:val="005418B3"/>
    <w:rsid w:val="00541CAF"/>
    <w:rsid w:val="00541EEA"/>
    <w:rsid w:val="00541EEE"/>
    <w:rsid w:val="005420B0"/>
    <w:rsid w:val="00542400"/>
    <w:rsid w:val="005425BA"/>
    <w:rsid w:val="00542F84"/>
    <w:rsid w:val="00543259"/>
    <w:rsid w:val="005438C8"/>
    <w:rsid w:val="00543EA0"/>
    <w:rsid w:val="005440EB"/>
    <w:rsid w:val="005443FB"/>
    <w:rsid w:val="00544403"/>
    <w:rsid w:val="00544742"/>
    <w:rsid w:val="00545C44"/>
    <w:rsid w:val="00545E3E"/>
    <w:rsid w:val="0054656F"/>
    <w:rsid w:val="00546863"/>
    <w:rsid w:val="00546A6C"/>
    <w:rsid w:val="00547184"/>
    <w:rsid w:val="00547259"/>
    <w:rsid w:val="005473E4"/>
    <w:rsid w:val="00550438"/>
    <w:rsid w:val="005508A0"/>
    <w:rsid w:val="005509F9"/>
    <w:rsid w:val="00551775"/>
    <w:rsid w:val="00551BEB"/>
    <w:rsid w:val="00551E42"/>
    <w:rsid w:val="00552BAB"/>
    <w:rsid w:val="0055337F"/>
    <w:rsid w:val="00553B9E"/>
    <w:rsid w:val="005541D7"/>
    <w:rsid w:val="0055439D"/>
    <w:rsid w:val="005554AF"/>
    <w:rsid w:val="00555733"/>
    <w:rsid w:val="005557DE"/>
    <w:rsid w:val="00555DCA"/>
    <w:rsid w:val="00556502"/>
    <w:rsid w:val="00556757"/>
    <w:rsid w:val="005572AF"/>
    <w:rsid w:val="005578FE"/>
    <w:rsid w:val="0055794D"/>
    <w:rsid w:val="00557A26"/>
    <w:rsid w:val="0056056D"/>
    <w:rsid w:val="005606E8"/>
    <w:rsid w:val="00560B2F"/>
    <w:rsid w:val="00560CC2"/>
    <w:rsid w:val="00560CE8"/>
    <w:rsid w:val="00560E9F"/>
    <w:rsid w:val="00560F9F"/>
    <w:rsid w:val="0056101B"/>
    <w:rsid w:val="00561187"/>
    <w:rsid w:val="005614A0"/>
    <w:rsid w:val="00561D09"/>
    <w:rsid w:val="00561E80"/>
    <w:rsid w:val="00561F6D"/>
    <w:rsid w:val="00561F8D"/>
    <w:rsid w:val="00562027"/>
    <w:rsid w:val="0056228B"/>
    <w:rsid w:val="00562A8A"/>
    <w:rsid w:val="00562D0F"/>
    <w:rsid w:val="00562E43"/>
    <w:rsid w:val="00562FCB"/>
    <w:rsid w:val="005632A1"/>
    <w:rsid w:val="0056356C"/>
    <w:rsid w:val="00563DBB"/>
    <w:rsid w:val="00563E62"/>
    <w:rsid w:val="00564118"/>
    <w:rsid w:val="00564781"/>
    <w:rsid w:val="005648FA"/>
    <w:rsid w:val="00564A4E"/>
    <w:rsid w:val="00564BF8"/>
    <w:rsid w:val="00564C85"/>
    <w:rsid w:val="005651B0"/>
    <w:rsid w:val="00565958"/>
    <w:rsid w:val="00565CC3"/>
    <w:rsid w:val="005670C3"/>
    <w:rsid w:val="005673D3"/>
    <w:rsid w:val="00567A1E"/>
    <w:rsid w:val="00567B24"/>
    <w:rsid w:val="00567B63"/>
    <w:rsid w:val="00567DBF"/>
    <w:rsid w:val="00570158"/>
    <w:rsid w:val="005701EB"/>
    <w:rsid w:val="005703D5"/>
    <w:rsid w:val="00570483"/>
    <w:rsid w:val="00570C39"/>
    <w:rsid w:val="00570F89"/>
    <w:rsid w:val="00571545"/>
    <w:rsid w:val="00571706"/>
    <w:rsid w:val="0057239F"/>
    <w:rsid w:val="005728D1"/>
    <w:rsid w:val="005728E1"/>
    <w:rsid w:val="00572B69"/>
    <w:rsid w:val="00572FC6"/>
    <w:rsid w:val="00572FF9"/>
    <w:rsid w:val="005736B3"/>
    <w:rsid w:val="005739EF"/>
    <w:rsid w:val="00573EE8"/>
    <w:rsid w:val="00574A3D"/>
    <w:rsid w:val="00574E26"/>
    <w:rsid w:val="00574E4C"/>
    <w:rsid w:val="0057539C"/>
    <w:rsid w:val="005756DD"/>
    <w:rsid w:val="00575E34"/>
    <w:rsid w:val="00576967"/>
    <w:rsid w:val="00576AF2"/>
    <w:rsid w:val="00576E7E"/>
    <w:rsid w:val="005775BB"/>
    <w:rsid w:val="00577A92"/>
    <w:rsid w:val="00577AFD"/>
    <w:rsid w:val="00577F28"/>
    <w:rsid w:val="0058067D"/>
    <w:rsid w:val="00580745"/>
    <w:rsid w:val="00580D56"/>
    <w:rsid w:val="00580E07"/>
    <w:rsid w:val="00580EDD"/>
    <w:rsid w:val="00580F14"/>
    <w:rsid w:val="00581A3F"/>
    <w:rsid w:val="00581A62"/>
    <w:rsid w:val="00581D6B"/>
    <w:rsid w:val="005824AC"/>
    <w:rsid w:val="0058266C"/>
    <w:rsid w:val="00582F7D"/>
    <w:rsid w:val="005833B1"/>
    <w:rsid w:val="00583414"/>
    <w:rsid w:val="005834AF"/>
    <w:rsid w:val="00583C2B"/>
    <w:rsid w:val="00583C3C"/>
    <w:rsid w:val="005840FD"/>
    <w:rsid w:val="00584A9B"/>
    <w:rsid w:val="00584FF6"/>
    <w:rsid w:val="00585091"/>
    <w:rsid w:val="00585811"/>
    <w:rsid w:val="00585927"/>
    <w:rsid w:val="0058628F"/>
    <w:rsid w:val="00586A36"/>
    <w:rsid w:val="005879F6"/>
    <w:rsid w:val="00587A7C"/>
    <w:rsid w:val="00587DD6"/>
    <w:rsid w:val="00587E83"/>
    <w:rsid w:val="00587F7C"/>
    <w:rsid w:val="005901FD"/>
    <w:rsid w:val="005903C1"/>
    <w:rsid w:val="005905B7"/>
    <w:rsid w:val="00590784"/>
    <w:rsid w:val="0059106F"/>
    <w:rsid w:val="005915CD"/>
    <w:rsid w:val="005923C4"/>
    <w:rsid w:val="00592C73"/>
    <w:rsid w:val="00592E52"/>
    <w:rsid w:val="00592F74"/>
    <w:rsid w:val="005933BF"/>
    <w:rsid w:val="00593811"/>
    <w:rsid w:val="00593986"/>
    <w:rsid w:val="00593AAC"/>
    <w:rsid w:val="00593DA1"/>
    <w:rsid w:val="00593DE2"/>
    <w:rsid w:val="005947DF"/>
    <w:rsid w:val="005956EB"/>
    <w:rsid w:val="00595A69"/>
    <w:rsid w:val="00596FC1"/>
    <w:rsid w:val="00596FFA"/>
    <w:rsid w:val="005972AB"/>
    <w:rsid w:val="00597FCE"/>
    <w:rsid w:val="005A00AF"/>
    <w:rsid w:val="005A08FE"/>
    <w:rsid w:val="005A0BBD"/>
    <w:rsid w:val="005A0C8A"/>
    <w:rsid w:val="005A0D0C"/>
    <w:rsid w:val="005A149B"/>
    <w:rsid w:val="005A17E0"/>
    <w:rsid w:val="005A1D3D"/>
    <w:rsid w:val="005A22D9"/>
    <w:rsid w:val="005A26E7"/>
    <w:rsid w:val="005A2884"/>
    <w:rsid w:val="005A2C46"/>
    <w:rsid w:val="005A2E85"/>
    <w:rsid w:val="005A33EF"/>
    <w:rsid w:val="005A390F"/>
    <w:rsid w:val="005A3A16"/>
    <w:rsid w:val="005A3FB1"/>
    <w:rsid w:val="005A49EB"/>
    <w:rsid w:val="005A4B15"/>
    <w:rsid w:val="005A4CD1"/>
    <w:rsid w:val="005A4E28"/>
    <w:rsid w:val="005A51E5"/>
    <w:rsid w:val="005A53EE"/>
    <w:rsid w:val="005A55D1"/>
    <w:rsid w:val="005A5A79"/>
    <w:rsid w:val="005A5AE0"/>
    <w:rsid w:val="005A5B0F"/>
    <w:rsid w:val="005A5F9A"/>
    <w:rsid w:val="005A6442"/>
    <w:rsid w:val="005A6D49"/>
    <w:rsid w:val="005A6E32"/>
    <w:rsid w:val="005A6FF7"/>
    <w:rsid w:val="005B0631"/>
    <w:rsid w:val="005B07F4"/>
    <w:rsid w:val="005B0A2E"/>
    <w:rsid w:val="005B1224"/>
    <w:rsid w:val="005B1439"/>
    <w:rsid w:val="005B1505"/>
    <w:rsid w:val="005B1D65"/>
    <w:rsid w:val="005B22C3"/>
    <w:rsid w:val="005B25EE"/>
    <w:rsid w:val="005B27DF"/>
    <w:rsid w:val="005B438C"/>
    <w:rsid w:val="005B446C"/>
    <w:rsid w:val="005B4B6A"/>
    <w:rsid w:val="005B4E43"/>
    <w:rsid w:val="005B5038"/>
    <w:rsid w:val="005B5696"/>
    <w:rsid w:val="005B5DCE"/>
    <w:rsid w:val="005B6462"/>
    <w:rsid w:val="005B6D98"/>
    <w:rsid w:val="005B6DC2"/>
    <w:rsid w:val="005B7092"/>
    <w:rsid w:val="005B752C"/>
    <w:rsid w:val="005B7812"/>
    <w:rsid w:val="005C015B"/>
    <w:rsid w:val="005C0192"/>
    <w:rsid w:val="005C057F"/>
    <w:rsid w:val="005C1258"/>
    <w:rsid w:val="005C1405"/>
    <w:rsid w:val="005C186D"/>
    <w:rsid w:val="005C19FD"/>
    <w:rsid w:val="005C347B"/>
    <w:rsid w:val="005C3569"/>
    <w:rsid w:val="005C3BC2"/>
    <w:rsid w:val="005C3F41"/>
    <w:rsid w:val="005C47E3"/>
    <w:rsid w:val="005C4B67"/>
    <w:rsid w:val="005C5246"/>
    <w:rsid w:val="005C596F"/>
    <w:rsid w:val="005C5DB7"/>
    <w:rsid w:val="005C63A7"/>
    <w:rsid w:val="005C65D9"/>
    <w:rsid w:val="005C684F"/>
    <w:rsid w:val="005C6906"/>
    <w:rsid w:val="005C6FE6"/>
    <w:rsid w:val="005C720E"/>
    <w:rsid w:val="005C747E"/>
    <w:rsid w:val="005C77C0"/>
    <w:rsid w:val="005C7B67"/>
    <w:rsid w:val="005C7E9B"/>
    <w:rsid w:val="005C7FE0"/>
    <w:rsid w:val="005D0182"/>
    <w:rsid w:val="005D03D7"/>
    <w:rsid w:val="005D047A"/>
    <w:rsid w:val="005D0848"/>
    <w:rsid w:val="005D0993"/>
    <w:rsid w:val="005D0BC8"/>
    <w:rsid w:val="005D1735"/>
    <w:rsid w:val="005D1C37"/>
    <w:rsid w:val="005D27DC"/>
    <w:rsid w:val="005D27E6"/>
    <w:rsid w:val="005D325C"/>
    <w:rsid w:val="005D3311"/>
    <w:rsid w:val="005D3AEA"/>
    <w:rsid w:val="005D3FB0"/>
    <w:rsid w:val="005D48C2"/>
    <w:rsid w:val="005D4C5B"/>
    <w:rsid w:val="005D512D"/>
    <w:rsid w:val="005D5468"/>
    <w:rsid w:val="005D550F"/>
    <w:rsid w:val="005D573A"/>
    <w:rsid w:val="005D5AF6"/>
    <w:rsid w:val="005D5D28"/>
    <w:rsid w:val="005D6303"/>
    <w:rsid w:val="005D6A46"/>
    <w:rsid w:val="005D735C"/>
    <w:rsid w:val="005D7E87"/>
    <w:rsid w:val="005E03B0"/>
    <w:rsid w:val="005E0C5D"/>
    <w:rsid w:val="005E0C7D"/>
    <w:rsid w:val="005E0F13"/>
    <w:rsid w:val="005E1A10"/>
    <w:rsid w:val="005E21DD"/>
    <w:rsid w:val="005E222D"/>
    <w:rsid w:val="005E2381"/>
    <w:rsid w:val="005E2979"/>
    <w:rsid w:val="005E2A50"/>
    <w:rsid w:val="005E3CC0"/>
    <w:rsid w:val="005E42DC"/>
    <w:rsid w:val="005E464C"/>
    <w:rsid w:val="005E4882"/>
    <w:rsid w:val="005E4CA5"/>
    <w:rsid w:val="005E5561"/>
    <w:rsid w:val="005E5857"/>
    <w:rsid w:val="005E5B3A"/>
    <w:rsid w:val="005E6150"/>
    <w:rsid w:val="005E69B5"/>
    <w:rsid w:val="005E7486"/>
    <w:rsid w:val="005E78B2"/>
    <w:rsid w:val="005F0303"/>
    <w:rsid w:val="005F0413"/>
    <w:rsid w:val="005F1092"/>
    <w:rsid w:val="005F10EC"/>
    <w:rsid w:val="005F11D5"/>
    <w:rsid w:val="005F1833"/>
    <w:rsid w:val="005F1C7E"/>
    <w:rsid w:val="005F1E32"/>
    <w:rsid w:val="005F1FE7"/>
    <w:rsid w:val="005F27A2"/>
    <w:rsid w:val="005F2802"/>
    <w:rsid w:val="005F37A3"/>
    <w:rsid w:val="005F39E8"/>
    <w:rsid w:val="005F3E81"/>
    <w:rsid w:val="005F4120"/>
    <w:rsid w:val="005F4144"/>
    <w:rsid w:val="005F440F"/>
    <w:rsid w:val="005F4A8A"/>
    <w:rsid w:val="005F5252"/>
    <w:rsid w:val="005F54B8"/>
    <w:rsid w:val="005F5638"/>
    <w:rsid w:val="005F5D93"/>
    <w:rsid w:val="005F6506"/>
    <w:rsid w:val="005F65ED"/>
    <w:rsid w:val="005F67BA"/>
    <w:rsid w:val="005F732C"/>
    <w:rsid w:val="005F75E5"/>
    <w:rsid w:val="006001B4"/>
    <w:rsid w:val="0060095D"/>
    <w:rsid w:val="00600DBA"/>
    <w:rsid w:val="006011AB"/>
    <w:rsid w:val="006011FF"/>
    <w:rsid w:val="006012F3"/>
    <w:rsid w:val="00602581"/>
    <w:rsid w:val="00602745"/>
    <w:rsid w:val="006031C5"/>
    <w:rsid w:val="0060358E"/>
    <w:rsid w:val="0060439F"/>
    <w:rsid w:val="006047CB"/>
    <w:rsid w:val="00604A89"/>
    <w:rsid w:val="00604D32"/>
    <w:rsid w:val="00604EF8"/>
    <w:rsid w:val="00604F9D"/>
    <w:rsid w:val="0060544B"/>
    <w:rsid w:val="00605B2B"/>
    <w:rsid w:val="00605DE0"/>
    <w:rsid w:val="00605E61"/>
    <w:rsid w:val="006065F2"/>
    <w:rsid w:val="00606637"/>
    <w:rsid w:val="00606AD9"/>
    <w:rsid w:val="00606B45"/>
    <w:rsid w:val="00607BFB"/>
    <w:rsid w:val="00607EC3"/>
    <w:rsid w:val="006102D7"/>
    <w:rsid w:val="0061048C"/>
    <w:rsid w:val="00610AB9"/>
    <w:rsid w:val="00610D89"/>
    <w:rsid w:val="00610EBA"/>
    <w:rsid w:val="006110C7"/>
    <w:rsid w:val="0061165F"/>
    <w:rsid w:val="006125C7"/>
    <w:rsid w:val="00612684"/>
    <w:rsid w:val="00612933"/>
    <w:rsid w:val="00612BFC"/>
    <w:rsid w:val="00612E50"/>
    <w:rsid w:val="0061300F"/>
    <w:rsid w:val="006130AA"/>
    <w:rsid w:val="00613693"/>
    <w:rsid w:val="0061391E"/>
    <w:rsid w:val="00614020"/>
    <w:rsid w:val="006145F0"/>
    <w:rsid w:val="0061462A"/>
    <w:rsid w:val="006146D0"/>
    <w:rsid w:val="006147E9"/>
    <w:rsid w:val="006149B5"/>
    <w:rsid w:val="00615D26"/>
    <w:rsid w:val="00615E33"/>
    <w:rsid w:val="006160A1"/>
    <w:rsid w:val="006160B9"/>
    <w:rsid w:val="00616398"/>
    <w:rsid w:val="006165C2"/>
    <w:rsid w:val="00616D75"/>
    <w:rsid w:val="00616F15"/>
    <w:rsid w:val="006174F4"/>
    <w:rsid w:val="006175F2"/>
    <w:rsid w:val="00617C58"/>
    <w:rsid w:val="0062084C"/>
    <w:rsid w:val="00620FC0"/>
    <w:rsid w:val="00621381"/>
    <w:rsid w:val="00621464"/>
    <w:rsid w:val="006219B8"/>
    <w:rsid w:val="00622252"/>
    <w:rsid w:val="00622346"/>
    <w:rsid w:val="00622901"/>
    <w:rsid w:val="00622DE7"/>
    <w:rsid w:val="00622F2E"/>
    <w:rsid w:val="00622FD6"/>
    <w:rsid w:val="00623190"/>
    <w:rsid w:val="00623878"/>
    <w:rsid w:val="00623DE0"/>
    <w:rsid w:val="00623E6B"/>
    <w:rsid w:val="0062410E"/>
    <w:rsid w:val="006244AA"/>
    <w:rsid w:val="0062471C"/>
    <w:rsid w:val="00625205"/>
    <w:rsid w:val="00625213"/>
    <w:rsid w:val="00625348"/>
    <w:rsid w:val="00625E7D"/>
    <w:rsid w:val="00625F69"/>
    <w:rsid w:val="006261EB"/>
    <w:rsid w:val="006263A1"/>
    <w:rsid w:val="006263DE"/>
    <w:rsid w:val="00626E57"/>
    <w:rsid w:val="00626F4A"/>
    <w:rsid w:val="00627354"/>
    <w:rsid w:val="00627A23"/>
    <w:rsid w:val="0063002F"/>
    <w:rsid w:val="00630471"/>
    <w:rsid w:val="006309A5"/>
    <w:rsid w:val="00630C01"/>
    <w:rsid w:val="00630DA8"/>
    <w:rsid w:val="006314DF"/>
    <w:rsid w:val="0063197C"/>
    <w:rsid w:val="006319C7"/>
    <w:rsid w:val="00632295"/>
    <w:rsid w:val="006322C7"/>
    <w:rsid w:val="0063247C"/>
    <w:rsid w:val="00632591"/>
    <w:rsid w:val="00632894"/>
    <w:rsid w:val="00632D12"/>
    <w:rsid w:val="00633A5C"/>
    <w:rsid w:val="00633EF0"/>
    <w:rsid w:val="00634333"/>
    <w:rsid w:val="00634818"/>
    <w:rsid w:val="006349AD"/>
    <w:rsid w:val="00634A21"/>
    <w:rsid w:val="00634A87"/>
    <w:rsid w:val="00634D52"/>
    <w:rsid w:val="00635537"/>
    <w:rsid w:val="00635866"/>
    <w:rsid w:val="00635B8C"/>
    <w:rsid w:val="0063605C"/>
    <w:rsid w:val="006363C4"/>
    <w:rsid w:val="00636875"/>
    <w:rsid w:val="00636911"/>
    <w:rsid w:val="00636C1A"/>
    <w:rsid w:val="006378CF"/>
    <w:rsid w:val="006378F8"/>
    <w:rsid w:val="00637937"/>
    <w:rsid w:val="00637B07"/>
    <w:rsid w:val="00637E6A"/>
    <w:rsid w:val="00637EE5"/>
    <w:rsid w:val="006410DA"/>
    <w:rsid w:val="006420FF"/>
    <w:rsid w:val="0064232B"/>
    <w:rsid w:val="006423C9"/>
    <w:rsid w:val="00642A4B"/>
    <w:rsid w:val="00642D7E"/>
    <w:rsid w:val="00642EF5"/>
    <w:rsid w:val="00643461"/>
    <w:rsid w:val="00643C8B"/>
    <w:rsid w:val="00645A40"/>
    <w:rsid w:val="00645B08"/>
    <w:rsid w:val="00645DC6"/>
    <w:rsid w:val="0064619F"/>
    <w:rsid w:val="00646312"/>
    <w:rsid w:val="00646A46"/>
    <w:rsid w:val="00646A67"/>
    <w:rsid w:val="006476C0"/>
    <w:rsid w:val="00647740"/>
    <w:rsid w:val="00647AD3"/>
    <w:rsid w:val="006506E6"/>
    <w:rsid w:val="0065098E"/>
    <w:rsid w:val="00650CE6"/>
    <w:rsid w:val="00650D6A"/>
    <w:rsid w:val="00650D78"/>
    <w:rsid w:val="00650FB6"/>
    <w:rsid w:val="006517A6"/>
    <w:rsid w:val="006521F5"/>
    <w:rsid w:val="006525A5"/>
    <w:rsid w:val="00652DBA"/>
    <w:rsid w:val="00653400"/>
    <w:rsid w:val="006535B8"/>
    <w:rsid w:val="00653A1A"/>
    <w:rsid w:val="00654168"/>
    <w:rsid w:val="006542C4"/>
    <w:rsid w:val="006545FD"/>
    <w:rsid w:val="006547C5"/>
    <w:rsid w:val="00654B54"/>
    <w:rsid w:val="00654C60"/>
    <w:rsid w:val="00654F72"/>
    <w:rsid w:val="00655021"/>
    <w:rsid w:val="0065519A"/>
    <w:rsid w:val="00655275"/>
    <w:rsid w:val="006558E7"/>
    <w:rsid w:val="00655F25"/>
    <w:rsid w:val="00656188"/>
    <w:rsid w:val="00656290"/>
    <w:rsid w:val="00656549"/>
    <w:rsid w:val="00656FE7"/>
    <w:rsid w:val="00657D40"/>
    <w:rsid w:val="00660510"/>
    <w:rsid w:val="0066099D"/>
    <w:rsid w:val="00660C3B"/>
    <w:rsid w:val="00660E16"/>
    <w:rsid w:val="006610B7"/>
    <w:rsid w:val="00661138"/>
    <w:rsid w:val="00661517"/>
    <w:rsid w:val="006617A0"/>
    <w:rsid w:val="006617DE"/>
    <w:rsid w:val="006618F0"/>
    <w:rsid w:val="00661C12"/>
    <w:rsid w:val="00661E43"/>
    <w:rsid w:val="0066221F"/>
    <w:rsid w:val="00662945"/>
    <w:rsid w:val="00662CE5"/>
    <w:rsid w:val="00663465"/>
    <w:rsid w:val="00663A66"/>
    <w:rsid w:val="006640E9"/>
    <w:rsid w:val="0066432F"/>
    <w:rsid w:val="00665437"/>
    <w:rsid w:val="00665448"/>
    <w:rsid w:val="00665F4F"/>
    <w:rsid w:val="006660D1"/>
    <w:rsid w:val="006667CF"/>
    <w:rsid w:val="0066702C"/>
    <w:rsid w:val="00667338"/>
    <w:rsid w:val="006676EC"/>
    <w:rsid w:val="00667752"/>
    <w:rsid w:val="006677F3"/>
    <w:rsid w:val="006678CA"/>
    <w:rsid w:val="00667994"/>
    <w:rsid w:val="00667B30"/>
    <w:rsid w:val="0067026C"/>
    <w:rsid w:val="00670417"/>
    <w:rsid w:val="00670653"/>
    <w:rsid w:val="006709C8"/>
    <w:rsid w:val="00670BCD"/>
    <w:rsid w:val="00670E44"/>
    <w:rsid w:val="00671329"/>
    <w:rsid w:val="0067160F"/>
    <w:rsid w:val="0067184D"/>
    <w:rsid w:val="00671C86"/>
    <w:rsid w:val="006721E5"/>
    <w:rsid w:val="0067252D"/>
    <w:rsid w:val="0067336B"/>
    <w:rsid w:val="00673559"/>
    <w:rsid w:val="00673795"/>
    <w:rsid w:val="006739B9"/>
    <w:rsid w:val="00673ED7"/>
    <w:rsid w:val="00673F1F"/>
    <w:rsid w:val="006744CE"/>
    <w:rsid w:val="0067452D"/>
    <w:rsid w:val="00674882"/>
    <w:rsid w:val="00674D2D"/>
    <w:rsid w:val="006754BF"/>
    <w:rsid w:val="006754D4"/>
    <w:rsid w:val="006759F7"/>
    <w:rsid w:val="00675A0F"/>
    <w:rsid w:val="00675B12"/>
    <w:rsid w:val="00675CDD"/>
    <w:rsid w:val="0067631F"/>
    <w:rsid w:val="00676BD4"/>
    <w:rsid w:val="00676F65"/>
    <w:rsid w:val="0067712F"/>
    <w:rsid w:val="006775BD"/>
    <w:rsid w:val="0067771C"/>
    <w:rsid w:val="00677763"/>
    <w:rsid w:val="00677C43"/>
    <w:rsid w:val="00677EEA"/>
    <w:rsid w:val="006801EC"/>
    <w:rsid w:val="00680794"/>
    <w:rsid w:val="00680C87"/>
    <w:rsid w:val="00680F78"/>
    <w:rsid w:val="006811D5"/>
    <w:rsid w:val="0068126C"/>
    <w:rsid w:val="00681667"/>
    <w:rsid w:val="0068182C"/>
    <w:rsid w:val="00681E21"/>
    <w:rsid w:val="00681F66"/>
    <w:rsid w:val="0068244A"/>
    <w:rsid w:val="006827AD"/>
    <w:rsid w:val="006832A3"/>
    <w:rsid w:val="006832C1"/>
    <w:rsid w:val="006835F2"/>
    <w:rsid w:val="00683814"/>
    <w:rsid w:val="0068430A"/>
    <w:rsid w:val="00684473"/>
    <w:rsid w:val="00684B21"/>
    <w:rsid w:val="0068539B"/>
    <w:rsid w:val="006853A1"/>
    <w:rsid w:val="00685410"/>
    <w:rsid w:val="00685447"/>
    <w:rsid w:val="006856C9"/>
    <w:rsid w:val="006858A8"/>
    <w:rsid w:val="00685A69"/>
    <w:rsid w:val="00685D23"/>
    <w:rsid w:val="0068656E"/>
    <w:rsid w:val="0068681E"/>
    <w:rsid w:val="00686A71"/>
    <w:rsid w:val="00686AD8"/>
    <w:rsid w:val="00686BBC"/>
    <w:rsid w:val="0068723A"/>
    <w:rsid w:val="00687240"/>
    <w:rsid w:val="006878A5"/>
    <w:rsid w:val="00687E9F"/>
    <w:rsid w:val="0069022D"/>
    <w:rsid w:val="006903DA"/>
    <w:rsid w:val="0069094A"/>
    <w:rsid w:val="00690AC8"/>
    <w:rsid w:val="006910D2"/>
    <w:rsid w:val="00691106"/>
    <w:rsid w:val="00691357"/>
    <w:rsid w:val="006913A0"/>
    <w:rsid w:val="006917A5"/>
    <w:rsid w:val="00691D07"/>
    <w:rsid w:val="00691FB6"/>
    <w:rsid w:val="006922A6"/>
    <w:rsid w:val="0069351F"/>
    <w:rsid w:val="006938EE"/>
    <w:rsid w:val="006941FE"/>
    <w:rsid w:val="006942C5"/>
    <w:rsid w:val="006943DD"/>
    <w:rsid w:val="0069476B"/>
    <w:rsid w:val="0069490A"/>
    <w:rsid w:val="00694FBD"/>
    <w:rsid w:val="00695720"/>
    <w:rsid w:val="00696759"/>
    <w:rsid w:val="00697070"/>
    <w:rsid w:val="006976FF"/>
    <w:rsid w:val="00697F1A"/>
    <w:rsid w:val="006A0808"/>
    <w:rsid w:val="006A0BC8"/>
    <w:rsid w:val="006A0C82"/>
    <w:rsid w:val="006A0E60"/>
    <w:rsid w:val="006A0EB2"/>
    <w:rsid w:val="006A1231"/>
    <w:rsid w:val="006A1E5B"/>
    <w:rsid w:val="006A2324"/>
    <w:rsid w:val="006A25C6"/>
    <w:rsid w:val="006A2949"/>
    <w:rsid w:val="006A3118"/>
    <w:rsid w:val="006A31E9"/>
    <w:rsid w:val="006A31EB"/>
    <w:rsid w:val="006A3465"/>
    <w:rsid w:val="006A347F"/>
    <w:rsid w:val="006A4101"/>
    <w:rsid w:val="006A43BE"/>
    <w:rsid w:val="006A4667"/>
    <w:rsid w:val="006A46EA"/>
    <w:rsid w:val="006A50F7"/>
    <w:rsid w:val="006A601C"/>
    <w:rsid w:val="006A71F8"/>
    <w:rsid w:val="006A7B8A"/>
    <w:rsid w:val="006A7D27"/>
    <w:rsid w:val="006B039F"/>
    <w:rsid w:val="006B06C2"/>
    <w:rsid w:val="006B0C8D"/>
    <w:rsid w:val="006B1982"/>
    <w:rsid w:val="006B1CAA"/>
    <w:rsid w:val="006B2A03"/>
    <w:rsid w:val="006B2BB3"/>
    <w:rsid w:val="006B2BE0"/>
    <w:rsid w:val="006B2C5A"/>
    <w:rsid w:val="006B2F0A"/>
    <w:rsid w:val="006B3242"/>
    <w:rsid w:val="006B350B"/>
    <w:rsid w:val="006B36A5"/>
    <w:rsid w:val="006B37D6"/>
    <w:rsid w:val="006B4546"/>
    <w:rsid w:val="006B4802"/>
    <w:rsid w:val="006B4BA8"/>
    <w:rsid w:val="006B4D4E"/>
    <w:rsid w:val="006B4F64"/>
    <w:rsid w:val="006B5150"/>
    <w:rsid w:val="006B5DF8"/>
    <w:rsid w:val="006B6745"/>
    <w:rsid w:val="006B787D"/>
    <w:rsid w:val="006B7F73"/>
    <w:rsid w:val="006B7FF8"/>
    <w:rsid w:val="006C03A9"/>
    <w:rsid w:val="006C1618"/>
    <w:rsid w:val="006C2C1F"/>
    <w:rsid w:val="006C2F2C"/>
    <w:rsid w:val="006C42E6"/>
    <w:rsid w:val="006C4957"/>
    <w:rsid w:val="006C4E75"/>
    <w:rsid w:val="006C4FEF"/>
    <w:rsid w:val="006C5076"/>
    <w:rsid w:val="006C541D"/>
    <w:rsid w:val="006C554F"/>
    <w:rsid w:val="006C5948"/>
    <w:rsid w:val="006C6549"/>
    <w:rsid w:val="006C663A"/>
    <w:rsid w:val="006C6AD3"/>
    <w:rsid w:val="006C6B38"/>
    <w:rsid w:val="006C6B7E"/>
    <w:rsid w:val="006C737E"/>
    <w:rsid w:val="006C7A3A"/>
    <w:rsid w:val="006C7C12"/>
    <w:rsid w:val="006D082D"/>
    <w:rsid w:val="006D0E3C"/>
    <w:rsid w:val="006D1190"/>
    <w:rsid w:val="006D14D5"/>
    <w:rsid w:val="006D21FC"/>
    <w:rsid w:val="006D30E4"/>
    <w:rsid w:val="006D3110"/>
    <w:rsid w:val="006D3471"/>
    <w:rsid w:val="006D3829"/>
    <w:rsid w:val="006D39BB"/>
    <w:rsid w:val="006D3A5B"/>
    <w:rsid w:val="006D3DB7"/>
    <w:rsid w:val="006D41A3"/>
    <w:rsid w:val="006D50FA"/>
    <w:rsid w:val="006D52BC"/>
    <w:rsid w:val="006D5365"/>
    <w:rsid w:val="006D5731"/>
    <w:rsid w:val="006D5855"/>
    <w:rsid w:val="006D5A64"/>
    <w:rsid w:val="006D5F9F"/>
    <w:rsid w:val="006D608A"/>
    <w:rsid w:val="006D6333"/>
    <w:rsid w:val="006D64D8"/>
    <w:rsid w:val="006D696B"/>
    <w:rsid w:val="006D6A8F"/>
    <w:rsid w:val="006D6B35"/>
    <w:rsid w:val="006D6CD2"/>
    <w:rsid w:val="006D6D48"/>
    <w:rsid w:val="006D7177"/>
    <w:rsid w:val="006D7C66"/>
    <w:rsid w:val="006D7F0E"/>
    <w:rsid w:val="006E0423"/>
    <w:rsid w:val="006E0F79"/>
    <w:rsid w:val="006E0F7C"/>
    <w:rsid w:val="006E1301"/>
    <w:rsid w:val="006E182C"/>
    <w:rsid w:val="006E1BAE"/>
    <w:rsid w:val="006E2278"/>
    <w:rsid w:val="006E22F0"/>
    <w:rsid w:val="006E2ED2"/>
    <w:rsid w:val="006E38AF"/>
    <w:rsid w:val="006E38D4"/>
    <w:rsid w:val="006E45AE"/>
    <w:rsid w:val="006E50A1"/>
    <w:rsid w:val="006E50D9"/>
    <w:rsid w:val="006E535A"/>
    <w:rsid w:val="006E62F7"/>
    <w:rsid w:val="006E6495"/>
    <w:rsid w:val="006E69B3"/>
    <w:rsid w:val="006E797D"/>
    <w:rsid w:val="006E7C9F"/>
    <w:rsid w:val="006E7D7C"/>
    <w:rsid w:val="006E7E26"/>
    <w:rsid w:val="006E7E65"/>
    <w:rsid w:val="006F07D1"/>
    <w:rsid w:val="006F0BF4"/>
    <w:rsid w:val="006F0E1A"/>
    <w:rsid w:val="006F1184"/>
    <w:rsid w:val="006F140B"/>
    <w:rsid w:val="006F2320"/>
    <w:rsid w:val="006F26A7"/>
    <w:rsid w:val="006F2FF3"/>
    <w:rsid w:val="006F40ED"/>
    <w:rsid w:val="006F410C"/>
    <w:rsid w:val="006F4294"/>
    <w:rsid w:val="006F43F3"/>
    <w:rsid w:val="006F4696"/>
    <w:rsid w:val="006F48B4"/>
    <w:rsid w:val="006F4D1E"/>
    <w:rsid w:val="006F4E3A"/>
    <w:rsid w:val="006F5233"/>
    <w:rsid w:val="006F534E"/>
    <w:rsid w:val="006F535E"/>
    <w:rsid w:val="006F556B"/>
    <w:rsid w:val="006F5879"/>
    <w:rsid w:val="006F5E14"/>
    <w:rsid w:val="006F60B3"/>
    <w:rsid w:val="006F62D5"/>
    <w:rsid w:val="006F63C1"/>
    <w:rsid w:val="006F6C02"/>
    <w:rsid w:val="006F6CC5"/>
    <w:rsid w:val="006F6D84"/>
    <w:rsid w:val="006F6FDA"/>
    <w:rsid w:val="006F7847"/>
    <w:rsid w:val="006F797E"/>
    <w:rsid w:val="007007CA"/>
    <w:rsid w:val="00701EAF"/>
    <w:rsid w:val="00701F70"/>
    <w:rsid w:val="007026E5"/>
    <w:rsid w:val="007029E8"/>
    <w:rsid w:val="00702F6A"/>
    <w:rsid w:val="00703031"/>
    <w:rsid w:val="00703379"/>
    <w:rsid w:val="00703466"/>
    <w:rsid w:val="00703744"/>
    <w:rsid w:val="00703A80"/>
    <w:rsid w:val="00703CCF"/>
    <w:rsid w:val="00703D58"/>
    <w:rsid w:val="00703E7D"/>
    <w:rsid w:val="00703F83"/>
    <w:rsid w:val="007041B3"/>
    <w:rsid w:val="00704770"/>
    <w:rsid w:val="00704783"/>
    <w:rsid w:val="00704B73"/>
    <w:rsid w:val="00704BFF"/>
    <w:rsid w:val="00704DBE"/>
    <w:rsid w:val="00704EF6"/>
    <w:rsid w:val="0070547D"/>
    <w:rsid w:val="0070558A"/>
    <w:rsid w:val="00705AE7"/>
    <w:rsid w:val="007068FF"/>
    <w:rsid w:val="00706AE8"/>
    <w:rsid w:val="00707130"/>
    <w:rsid w:val="007073AA"/>
    <w:rsid w:val="007073AC"/>
    <w:rsid w:val="007073DE"/>
    <w:rsid w:val="007074CE"/>
    <w:rsid w:val="00707954"/>
    <w:rsid w:val="00707BB3"/>
    <w:rsid w:val="00707EBB"/>
    <w:rsid w:val="00710480"/>
    <w:rsid w:val="0071059E"/>
    <w:rsid w:val="0071061A"/>
    <w:rsid w:val="00710995"/>
    <w:rsid w:val="007114AC"/>
    <w:rsid w:val="007119DA"/>
    <w:rsid w:val="007120DE"/>
    <w:rsid w:val="007123DA"/>
    <w:rsid w:val="00712AD5"/>
    <w:rsid w:val="00712F66"/>
    <w:rsid w:val="00713102"/>
    <w:rsid w:val="00713634"/>
    <w:rsid w:val="00713B0E"/>
    <w:rsid w:val="00713E4C"/>
    <w:rsid w:val="00714747"/>
    <w:rsid w:val="0071475C"/>
    <w:rsid w:val="0071486B"/>
    <w:rsid w:val="007148B0"/>
    <w:rsid w:val="00714BF1"/>
    <w:rsid w:val="00715DBA"/>
    <w:rsid w:val="007160F2"/>
    <w:rsid w:val="007166F2"/>
    <w:rsid w:val="00716714"/>
    <w:rsid w:val="00716848"/>
    <w:rsid w:val="00716957"/>
    <w:rsid w:val="00716DDC"/>
    <w:rsid w:val="007173D4"/>
    <w:rsid w:val="00717605"/>
    <w:rsid w:val="00717926"/>
    <w:rsid w:val="0072023E"/>
    <w:rsid w:val="0072051D"/>
    <w:rsid w:val="00720610"/>
    <w:rsid w:val="007206FF"/>
    <w:rsid w:val="007218F6"/>
    <w:rsid w:val="00721CAD"/>
    <w:rsid w:val="00721D3B"/>
    <w:rsid w:val="00722272"/>
    <w:rsid w:val="00722717"/>
    <w:rsid w:val="0072295B"/>
    <w:rsid w:val="00722E55"/>
    <w:rsid w:val="00723060"/>
    <w:rsid w:val="007236BB"/>
    <w:rsid w:val="00723A65"/>
    <w:rsid w:val="00724E3E"/>
    <w:rsid w:val="00725BDF"/>
    <w:rsid w:val="00726344"/>
    <w:rsid w:val="00726728"/>
    <w:rsid w:val="0072678E"/>
    <w:rsid w:val="00726A76"/>
    <w:rsid w:val="00730137"/>
    <w:rsid w:val="0073094B"/>
    <w:rsid w:val="00730EE0"/>
    <w:rsid w:val="00730F4E"/>
    <w:rsid w:val="00731551"/>
    <w:rsid w:val="00731F12"/>
    <w:rsid w:val="00733643"/>
    <w:rsid w:val="00733DB3"/>
    <w:rsid w:val="00734858"/>
    <w:rsid w:val="00734A9B"/>
    <w:rsid w:val="00735385"/>
    <w:rsid w:val="00735411"/>
    <w:rsid w:val="00735E7A"/>
    <w:rsid w:val="00736270"/>
    <w:rsid w:val="007363CA"/>
    <w:rsid w:val="00737364"/>
    <w:rsid w:val="00737417"/>
    <w:rsid w:val="007374DA"/>
    <w:rsid w:val="00737AD3"/>
    <w:rsid w:val="00737C38"/>
    <w:rsid w:val="00737CF2"/>
    <w:rsid w:val="00740C83"/>
    <w:rsid w:val="0074138B"/>
    <w:rsid w:val="007417CC"/>
    <w:rsid w:val="007428A2"/>
    <w:rsid w:val="007428C1"/>
    <w:rsid w:val="00742BA0"/>
    <w:rsid w:val="00742EDC"/>
    <w:rsid w:val="00742F4C"/>
    <w:rsid w:val="00742F87"/>
    <w:rsid w:val="00743295"/>
    <w:rsid w:val="00743397"/>
    <w:rsid w:val="00743441"/>
    <w:rsid w:val="0074380A"/>
    <w:rsid w:val="007438B0"/>
    <w:rsid w:val="00743989"/>
    <w:rsid w:val="007439FD"/>
    <w:rsid w:val="00743BA8"/>
    <w:rsid w:val="00743EBB"/>
    <w:rsid w:val="00743F50"/>
    <w:rsid w:val="00743FEC"/>
    <w:rsid w:val="00744489"/>
    <w:rsid w:val="007446ED"/>
    <w:rsid w:val="00744721"/>
    <w:rsid w:val="00744ABB"/>
    <w:rsid w:val="00745238"/>
    <w:rsid w:val="00745AC0"/>
    <w:rsid w:val="00745BED"/>
    <w:rsid w:val="007467F3"/>
    <w:rsid w:val="0074684F"/>
    <w:rsid w:val="00747063"/>
    <w:rsid w:val="0074718C"/>
    <w:rsid w:val="00747435"/>
    <w:rsid w:val="007476B4"/>
    <w:rsid w:val="007501CD"/>
    <w:rsid w:val="0075030A"/>
    <w:rsid w:val="00750753"/>
    <w:rsid w:val="007514D4"/>
    <w:rsid w:val="00751A46"/>
    <w:rsid w:val="00751ABC"/>
    <w:rsid w:val="007520BB"/>
    <w:rsid w:val="007525E5"/>
    <w:rsid w:val="00752688"/>
    <w:rsid w:val="00752C6E"/>
    <w:rsid w:val="007530AD"/>
    <w:rsid w:val="0075319E"/>
    <w:rsid w:val="00753576"/>
    <w:rsid w:val="00753686"/>
    <w:rsid w:val="0075403D"/>
    <w:rsid w:val="00754616"/>
    <w:rsid w:val="00754CFA"/>
    <w:rsid w:val="00755C5E"/>
    <w:rsid w:val="00755DE3"/>
    <w:rsid w:val="00755F0C"/>
    <w:rsid w:val="00756BF0"/>
    <w:rsid w:val="00757210"/>
    <w:rsid w:val="00757316"/>
    <w:rsid w:val="00757874"/>
    <w:rsid w:val="00757BD0"/>
    <w:rsid w:val="00757EAE"/>
    <w:rsid w:val="007605CE"/>
    <w:rsid w:val="00761193"/>
    <w:rsid w:val="007611A9"/>
    <w:rsid w:val="007617A4"/>
    <w:rsid w:val="00761DFD"/>
    <w:rsid w:val="00762219"/>
    <w:rsid w:val="0076289C"/>
    <w:rsid w:val="00762A25"/>
    <w:rsid w:val="00762A3D"/>
    <w:rsid w:val="00762BE0"/>
    <w:rsid w:val="00762F79"/>
    <w:rsid w:val="007630EC"/>
    <w:rsid w:val="0076357E"/>
    <w:rsid w:val="00763E08"/>
    <w:rsid w:val="00763E85"/>
    <w:rsid w:val="00764343"/>
    <w:rsid w:val="00764C53"/>
    <w:rsid w:val="00764C74"/>
    <w:rsid w:val="00764FEE"/>
    <w:rsid w:val="007653A6"/>
    <w:rsid w:val="00765439"/>
    <w:rsid w:val="0076545E"/>
    <w:rsid w:val="0076594D"/>
    <w:rsid w:val="00765BC8"/>
    <w:rsid w:val="007661C1"/>
    <w:rsid w:val="007663A7"/>
    <w:rsid w:val="00766AF6"/>
    <w:rsid w:val="00766D38"/>
    <w:rsid w:val="00766D84"/>
    <w:rsid w:val="00767410"/>
    <w:rsid w:val="00767523"/>
    <w:rsid w:val="007675F3"/>
    <w:rsid w:val="007676D1"/>
    <w:rsid w:val="0076785B"/>
    <w:rsid w:val="00767B92"/>
    <w:rsid w:val="00767DC8"/>
    <w:rsid w:val="007703AA"/>
    <w:rsid w:val="0077070B"/>
    <w:rsid w:val="00771176"/>
    <w:rsid w:val="007714FF"/>
    <w:rsid w:val="0077158D"/>
    <w:rsid w:val="007717F5"/>
    <w:rsid w:val="00771CCD"/>
    <w:rsid w:val="00772777"/>
    <w:rsid w:val="00772A8F"/>
    <w:rsid w:val="00772BEC"/>
    <w:rsid w:val="00773022"/>
    <w:rsid w:val="0077312A"/>
    <w:rsid w:val="0077384E"/>
    <w:rsid w:val="00773B27"/>
    <w:rsid w:val="00773F68"/>
    <w:rsid w:val="00773FA1"/>
    <w:rsid w:val="007748DB"/>
    <w:rsid w:val="00774BA4"/>
    <w:rsid w:val="007758CC"/>
    <w:rsid w:val="007758EB"/>
    <w:rsid w:val="007766E4"/>
    <w:rsid w:val="0077670C"/>
    <w:rsid w:val="00776731"/>
    <w:rsid w:val="00776A81"/>
    <w:rsid w:val="007774EA"/>
    <w:rsid w:val="00777794"/>
    <w:rsid w:val="00777C01"/>
    <w:rsid w:val="00777CAA"/>
    <w:rsid w:val="00777EB0"/>
    <w:rsid w:val="00780343"/>
    <w:rsid w:val="007805CB"/>
    <w:rsid w:val="00781202"/>
    <w:rsid w:val="007815E8"/>
    <w:rsid w:val="00781D2D"/>
    <w:rsid w:val="00781E1F"/>
    <w:rsid w:val="00781E63"/>
    <w:rsid w:val="007820C1"/>
    <w:rsid w:val="007824EA"/>
    <w:rsid w:val="0078280F"/>
    <w:rsid w:val="00782F1C"/>
    <w:rsid w:val="00783204"/>
    <w:rsid w:val="007833DC"/>
    <w:rsid w:val="00783F44"/>
    <w:rsid w:val="0078416E"/>
    <w:rsid w:val="00784830"/>
    <w:rsid w:val="00785166"/>
    <w:rsid w:val="00785315"/>
    <w:rsid w:val="00785423"/>
    <w:rsid w:val="00785B95"/>
    <w:rsid w:val="00785CF5"/>
    <w:rsid w:val="00785E26"/>
    <w:rsid w:val="007862A1"/>
    <w:rsid w:val="007864B5"/>
    <w:rsid w:val="007868F7"/>
    <w:rsid w:val="007869CA"/>
    <w:rsid w:val="00786BC0"/>
    <w:rsid w:val="0078782A"/>
    <w:rsid w:val="00787945"/>
    <w:rsid w:val="00787C0E"/>
    <w:rsid w:val="00787E74"/>
    <w:rsid w:val="00787F1F"/>
    <w:rsid w:val="00790985"/>
    <w:rsid w:val="00790A3F"/>
    <w:rsid w:val="00790FE4"/>
    <w:rsid w:val="00791714"/>
    <w:rsid w:val="00791D2A"/>
    <w:rsid w:val="007924D9"/>
    <w:rsid w:val="00792774"/>
    <w:rsid w:val="0079346A"/>
    <w:rsid w:val="00793733"/>
    <w:rsid w:val="00793A96"/>
    <w:rsid w:val="00794D04"/>
    <w:rsid w:val="00794D74"/>
    <w:rsid w:val="00794F98"/>
    <w:rsid w:val="007953A2"/>
    <w:rsid w:val="0079545F"/>
    <w:rsid w:val="00795758"/>
    <w:rsid w:val="00795B44"/>
    <w:rsid w:val="0079716F"/>
    <w:rsid w:val="007975BA"/>
    <w:rsid w:val="00797BE6"/>
    <w:rsid w:val="00797F0B"/>
    <w:rsid w:val="007A0039"/>
    <w:rsid w:val="007A0274"/>
    <w:rsid w:val="007A06B8"/>
    <w:rsid w:val="007A0783"/>
    <w:rsid w:val="007A07E1"/>
    <w:rsid w:val="007A0966"/>
    <w:rsid w:val="007A0B0A"/>
    <w:rsid w:val="007A0F02"/>
    <w:rsid w:val="007A11AF"/>
    <w:rsid w:val="007A1255"/>
    <w:rsid w:val="007A171F"/>
    <w:rsid w:val="007A1D9E"/>
    <w:rsid w:val="007A2B19"/>
    <w:rsid w:val="007A40FC"/>
    <w:rsid w:val="007A41EA"/>
    <w:rsid w:val="007A51F8"/>
    <w:rsid w:val="007A5507"/>
    <w:rsid w:val="007A5C99"/>
    <w:rsid w:val="007A6958"/>
    <w:rsid w:val="007A7BC3"/>
    <w:rsid w:val="007B0201"/>
    <w:rsid w:val="007B0442"/>
    <w:rsid w:val="007B061A"/>
    <w:rsid w:val="007B0D82"/>
    <w:rsid w:val="007B1084"/>
    <w:rsid w:val="007B1297"/>
    <w:rsid w:val="007B148B"/>
    <w:rsid w:val="007B1A7E"/>
    <w:rsid w:val="007B1CB8"/>
    <w:rsid w:val="007B1E36"/>
    <w:rsid w:val="007B1EFC"/>
    <w:rsid w:val="007B22E8"/>
    <w:rsid w:val="007B33D3"/>
    <w:rsid w:val="007B37C5"/>
    <w:rsid w:val="007B3805"/>
    <w:rsid w:val="007B48FC"/>
    <w:rsid w:val="007B4DC6"/>
    <w:rsid w:val="007B504B"/>
    <w:rsid w:val="007B52B0"/>
    <w:rsid w:val="007B57BE"/>
    <w:rsid w:val="007B6056"/>
    <w:rsid w:val="007B6771"/>
    <w:rsid w:val="007B67E1"/>
    <w:rsid w:val="007B7301"/>
    <w:rsid w:val="007B7870"/>
    <w:rsid w:val="007C0124"/>
    <w:rsid w:val="007C026D"/>
    <w:rsid w:val="007C09D3"/>
    <w:rsid w:val="007C0C8C"/>
    <w:rsid w:val="007C0EEC"/>
    <w:rsid w:val="007C172C"/>
    <w:rsid w:val="007C1740"/>
    <w:rsid w:val="007C199D"/>
    <w:rsid w:val="007C1D5E"/>
    <w:rsid w:val="007C1E28"/>
    <w:rsid w:val="007C259E"/>
    <w:rsid w:val="007C30DA"/>
    <w:rsid w:val="007C377C"/>
    <w:rsid w:val="007C3A2A"/>
    <w:rsid w:val="007C3B10"/>
    <w:rsid w:val="007C3F1D"/>
    <w:rsid w:val="007C3F2B"/>
    <w:rsid w:val="007C41D6"/>
    <w:rsid w:val="007C4CC9"/>
    <w:rsid w:val="007C4ED3"/>
    <w:rsid w:val="007C5375"/>
    <w:rsid w:val="007C5780"/>
    <w:rsid w:val="007C5854"/>
    <w:rsid w:val="007C5AC7"/>
    <w:rsid w:val="007C6C1A"/>
    <w:rsid w:val="007C6D16"/>
    <w:rsid w:val="007C6FF4"/>
    <w:rsid w:val="007C718A"/>
    <w:rsid w:val="007C75B0"/>
    <w:rsid w:val="007C764C"/>
    <w:rsid w:val="007C769E"/>
    <w:rsid w:val="007C7C98"/>
    <w:rsid w:val="007C7D55"/>
    <w:rsid w:val="007C7EA2"/>
    <w:rsid w:val="007C7EFE"/>
    <w:rsid w:val="007C7F3D"/>
    <w:rsid w:val="007D037B"/>
    <w:rsid w:val="007D03B4"/>
    <w:rsid w:val="007D06DE"/>
    <w:rsid w:val="007D09B3"/>
    <w:rsid w:val="007D0C44"/>
    <w:rsid w:val="007D111A"/>
    <w:rsid w:val="007D1B46"/>
    <w:rsid w:val="007D279A"/>
    <w:rsid w:val="007D27B0"/>
    <w:rsid w:val="007D293A"/>
    <w:rsid w:val="007D2EF4"/>
    <w:rsid w:val="007D2F19"/>
    <w:rsid w:val="007D2F39"/>
    <w:rsid w:val="007D34A2"/>
    <w:rsid w:val="007D3C18"/>
    <w:rsid w:val="007D3D2E"/>
    <w:rsid w:val="007D4106"/>
    <w:rsid w:val="007D41F3"/>
    <w:rsid w:val="007D4297"/>
    <w:rsid w:val="007D4318"/>
    <w:rsid w:val="007D44E3"/>
    <w:rsid w:val="007D4680"/>
    <w:rsid w:val="007D47AB"/>
    <w:rsid w:val="007D5192"/>
    <w:rsid w:val="007D5B2D"/>
    <w:rsid w:val="007D5EA2"/>
    <w:rsid w:val="007D6284"/>
    <w:rsid w:val="007D62CB"/>
    <w:rsid w:val="007D64FF"/>
    <w:rsid w:val="007D650C"/>
    <w:rsid w:val="007D6861"/>
    <w:rsid w:val="007D6FF8"/>
    <w:rsid w:val="007D708E"/>
    <w:rsid w:val="007D7687"/>
    <w:rsid w:val="007D770E"/>
    <w:rsid w:val="007D7A07"/>
    <w:rsid w:val="007E064A"/>
    <w:rsid w:val="007E0650"/>
    <w:rsid w:val="007E07A2"/>
    <w:rsid w:val="007E0BB8"/>
    <w:rsid w:val="007E0D0B"/>
    <w:rsid w:val="007E0ED6"/>
    <w:rsid w:val="007E1AF6"/>
    <w:rsid w:val="007E2944"/>
    <w:rsid w:val="007E2F29"/>
    <w:rsid w:val="007E349D"/>
    <w:rsid w:val="007E3522"/>
    <w:rsid w:val="007E38EF"/>
    <w:rsid w:val="007E39A9"/>
    <w:rsid w:val="007E3A35"/>
    <w:rsid w:val="007E3EB8"/>
    <w:rsid w:val="007E46EA"/>
    <w:rsid w:val="007E480C"/>
    <w:rsid w:val="007E4D85"/>
    <w:rsid w:val="007E4DD5"/>
    <w:rsid w:val="007E50A6"/>
    <w:rsid w:val="007E613B"/>
    <w:rsid w:val="007E619E"/>
    <w:rsid w:val="007E62E7"/>
    <w:rsid w:val="007E667B"/>
    <w:rsid w:val="007E6DAA"/>
    <w:rsid w:val="007E7AA0"/>
    <w:rsid w:val="007E7C1F"/>
    <w:rsid w:val="007F07C4"/>
    <w:rsid w:val="007F0D07"/>
    <w:rsid w:val="007F1099"/>
    <w:rsid w:val="007F154B"/>
    <w:rsid w:val="007F15C5"/>
    <w:rsid w:val="007F2054"/>
    <w:rsid w:val="007F22B3"/>
    <w:rsid w:val="007F2398"/>
    <w:rsid w:val="007F25DA"/>
    <w:rsid w:val="007F2DE2"/>
    <w:rsid w:val="007F372B"/>
    <w:rsid w:val="007F377F"/>
    <w:rsid w:val="007F38F0"/>
    <w:rsid w:val="007F3B1A"/>
    <w:rsid w:val="007F3E69"/>
    <w:rsid w:val="007F4061"/>
    <w:rsid w:val="007F4742"/>
    <w:rsid w:val="007F4863"/>
    <w:rsid w:val="007F4A3C"/>
    <w:rsid w:val="007F570D"/>
    <w:rsid w:val="007F5959"/>
    <w:rsid w:val="007F6728"/>
    <w:rsid w:val="007F67F8"/>
    <w:rsid w:val="007F6AB0"/>
    <w:rsid w:val="007F6CAC"/>
    <w:rsid w:val="007F6FEF"/>
    <w:rsid w:val="007F77DC"/>
    <w:rsid w:val="007F796A"/>
    <w:rsid w:val="007F7D4D"/>
    <w:rsid w:val="00800072"/>
    <w:rsid w:val="0080013D"/>
    <w:rsid w:val="008001FD"/>
    <w:rsid w:val="0080031B"/>
    <w:rsid w:val="00800FD0"/>
    <w:rsid w:val="00801112"/>
    <w:rsid w:val="008016E1"/>
    <w:rsid w:val="00801700"/>
    <w:rsid w:val="00801829"/>
    <w:rsid w:val="00802D43"/>
    <w:rsid w:val="00802FA5"/>
    <w:rsid w:val="008044E6"/>
    <w:rsid w:val="00805A79"/>
    <w:rsid w:val="00805C61"/>
    <w:rsid w:val="0080604F"/>
    <w:rsid w:val="0080657D"/>
    <w:rsid w:val="008068CD"/>
    <w:rsid w:val="00806AA6"/>
    <w:rsid w:val="00806CDC"/>
    <w:rsid w:val="00806FE0"/>
    <w:rsid w:val="0080757B"/>
    <w:rsid w:val="00807757"/>
    <w:rsid w:val="008108F4"/>
    <w:rsid w:val="0081095E"/>
    <w:rsid w:val="00810EDD"/>
    <w:rsid w:val="008110F3"/>
    <w:rsid w:val="008118D5"/>
    <w:rsid w:val="008125D3"/>
    <w:rsid w:val="008127C2"/>
    <w:rsid w:val="00812C42"/>
    <w:rsid w:val="00812FF8"/>
    <w:rsid w:val="0081305E"/>
    <w:rsid w:val="008144C9"/>
    <w:rsid w:val="00815041"/>
    <w:rsid w:val="008158EA"/>
    <w:rsid w:val="00815ED0"/>
    <w:rsid w:val="00817002"/>
    <w:rsid w:val="008171D6"/>
    <w:rsid w:val="0081750A"/>
    <w:rsid w:val="00817837"/>
    <w:rsid w:val="0082009E"/>
    <w:rsid w:val="0082088E"/>
    <w:rsid w:val="00820CDB"/>
    <w:rsid w:val="008210C1"/>
    <w:rsid w:val="008210D5"/>
    <w:rsid w:val="0082188A"/>
    <w:rsid w:val="00821930"/>
    <w:rsid w:val="00821EF4"/>
    <w:rsid w:val="00822172"/>
    <w:rsid w:val="008224B0"/>
    <w:rsid w:val="008227BA"/>
    <w:rsid w:val="00822D6B"/>
    <w:rsid w:val="00823932"/>
    <w:rsid w:val="00823C42"/>
    <w:rsid w:val="008244C3"/>
    <w:rsid w:val="00824E09"/>
    <w:rsid w:val="0082520B"/>
    <w:rsid w:val="0082526B"/>
    <w:rsid w:val="008253CE"/>
    <w:rsid w:val="00825550"/>
    <w:rsid w:val="0082562C"/>
    <w:rsid w:val="00825860"/>
    <w:rsid w:val="00825CDF"/>
    <w:rsid w:val="00825F59"/>
    <w:rsid w:val="00825F63"/>
    <w:rsid w:val="008269E7"/>
    <w:rsid w:val="00826ADD"/>
    <w:rsid w:val="00826FD7"/>
    <w:rsid w:val="0083052D"/>
    <w:rsid w:val="00830828"/>
    <w:rsid w:val="00830ECE"/>
    <w:rsid w:val="00831201"/>
    <w:rsid w:val="0083121A"/>
    <w:rsid w:val="008316E0"/>
    <w:rsid w:val="00831890"/>
    <w:rsid w:val="00831996"/>
    <w:rsid w:val="00832B5F"/>
    <w:rsid w:val="00832FB2"/>
    <w:rsid w:val="008335B4"/>
    <w:rsid w:val="00833624"/>
    <w:rsid w:val="0083391B"/>
    <w:rsid w:val="00833A8B"/>
    <w:rsid w:val="00833B21"/>
    <w:rsid w:val="00833C9E"/>
    <w:rsid w:val="00833D4E"/>
    <w:rsid w:val="00833F5B"/>
    <w:rsid w:val="0083514F"/>
    <w:rsid w:val="008351A3"/>
    <w:rsid w:val="00835261"/>
    <w:rsid w:val="008354C1"/>
    <w:rsid w:val="00835B2C"/>
    <w:rsid w:val="00835BCB"/>
    <w:rsid w:val="00836325"/>
    <w:rsid w:val="008366F8"/>
    <w:rsid w:val="00836ADE"/>
    <w:rsid w:val="00837066"/>
    <w:rsid w:val="008374CA"/>
    <w:rsid w:val="00837F39"/>
    <w:rsid w:val="0084037F"/>
    <w:rsid w:val="00840915"/>
    <w:rsid w:val="00841026"/>
    <w:rsid w:val="00841ED6"/>
    <w:rsid w:val="00841F58"/>
    <w:rsid w:val="00842121"/>
    <w:rsid w:val="008425FE"/>
    <w:rsid w:val="00842D1E"/>
    <w:rsid w:val="00842FDB"/>
    <w:rsid w:val="00843774"/>
    <w:rsid w:val="008437C4"/>
    <w:rsid w:val="00843FFC"/>
    <w:rsid w:val="00844113"/>
    <w:rsid w:val="008449DC"/>
    <w:rsid w:val="00845C4C"/>
    <w:rsid w:val="00845C69"/>
    <w:rsid w:val="00845D81"/>
    <w:rsid w:val="00845E37"/>
    <w:rsid w:val="00846629"/>
    <w:rsid w:val="00846D7F"/>
    <w:rsid w:val="008473F6"/>
    <w:rsid w:val="00847983"/>
    <w:rsid w:val="00847FBB"/>
    <w:rsid w:val="0085014F"/>
    <w:rsid w:val="008507B5"/>
    <w:rsid w:val="00850846"/>
    <w:rsid w:val="00850960"/>
    <w:rsid w:val="00851268"/>
    <w:rsid w:val="008514F1"/>
    <w:rsid w:val="00851816"/>
    <w:rsid w:val="00851912"/>
    <w:rsid w:val="00851D7B"/>
    <w:rsid w:val="00852042"/>
    <w:rsid w:val="008520E0"/>
    <w:rsid w:val="008522D4"/>
    <w:rsid w:val="00852B50"/>
    <w:rsid w:val="00852BAA"/>
    <w:rsid w:val="00852E4F"/>
    <w:rsid w:val="008533D7"/>
    <w:rsid w:val="00853DB6"/>
    <w:rsid w:val="00853F1B"/>
    <w:rsid w:val="008541B2"/>
    <w:rsid w:val="00854635"/>
    <w:rsid w:val="00854A95"/>
    <w:rsid w:val="00855093"/>
    <w:rsid w:val="00855DB4"/>
    <w:rsid w:val="00856275"/>
    <w:rsid w:val="00856415"/>
    <w:rsid w:val="00856624"/>
    <w:rsid w:val="00856BFD"/>
    <w:rsid w:val="00856DC2"/>
    <w:rsid w:val="00857300"/>
    <w:rsid w:val="00857352"/>
    <w:rsid w:val="00857798"/>
    <w:rsid w:val="0085779F"/>
    <w:rsid w:val="00857A98"/>
    <w:rsid w:val="00857D59"/>
    <w:rsid w:val="008615C0"/>
    <w:rsid w:val="008618EB"/>
    <w:rsid w:val="00861FF5"/>
    <w:rsid w:val="0086230A"/>
    <w:rsid w:val="00863D6C"/>
    <w:rsid w:val="008645D9"/>
    <w:rsid w:val="00864627"/>
    <w:rsid w:val="008648EE"/>
    <w:rsid w:val="008649E0"/>
    <w:rsid w:val="00864DAF"/>
    <w:rsid w:val="008655E6"/>
    <w:rsid w:val="00865BED"/>
    <w:rsid w:val="00865CDB"/>
    <w:rsid w:val="00866131"/>
    <w:rsid w:val="0086677F"/>
    <w:rsid w:val="00866F92"/>
    <w:rsid w:val="0086719D"/>
    <w:rsid w:val="008675FC"/>
    <w:rsid w:val="00867630"/>
    <w:rsid w:val="008676D5"/>
    <w:rsid w:val="00867D59"/>
    <w:rsid w:val="00870387"/>
    <w:rsid w:val="008707FF"/>
    <w:rsid w:val="00870BE4"/>
    <w:rsid w:val="00870C51"/>
    <w:rsid w:val="00870FD1"/>
    <w:rsid w:val="00871371"/>
    <w:rsid w:val="00872030"/>
    <w:rsid w:val="00872044"/>
    <w:rsid w:val="008723F4"/>
    <w:rsid w:val="00872731"/>
    <w:rsid w:val="008729AC"/>
    <w:rsid w:val="00872A78"/>
    <w:rsid w:val="00872B4C"/>
    <w:rsid w:val="0087303D"/>
    <w:rsid w:val="0087443D"/>
    <w:rsid w:val="0087498F"/>
    <w:rsid w:val="00875007"/>
    <w:rsid w:val="00875632"/>
    <w:rsid w:val="008759A6"/>
    <w:rsid w:val="00875AE8"/>
    <w:rsid w:val="00876104"/>
    <w:rsid w:val="008764E7"/>
    <w:rsid w:val="00876C0C"/>
    <w:rsid w:val="00876F88"/>
    <w:rsid w:val="00877235"/>
    <w:rsid w:val="008774E2"/>
    <w:rsid w:val="00877EAF"/>
    <w:rsid w:val="00877FA6"/>
    <w:rsid w:val="0088037E"/>
    <w:rsid w:val="00880679"/>
    <w:rsid w:val="00880966"/>
    <w:rsid w:val="00880DA2"/>
    <w:rsid w:val="00880E1C"/>
    <w:rsid w:val="00880E59"/>
    <w:rsid w:val="00880EF2"/>
    <w:rsid w:val="00881119"/>
    <w:rsid w:val="00882246"/>
    <w:rsid w:val="00882AAB"/>
    <w:rsid w:val="0088371A"/>
    <w:rsid w:val="00883B40"/>
    <w:rsid w:val="008840E7"/>
    <w:rsid w:val="00884FA1"/>
    <w:rsid w:val="0088530B"/>
    <w:rsid w:val="00885640"/>
    <w:rsid w:val="00886211"/>
    <w:rsid w:val="00886731"/>
    <w:rsid w:val="00886733"/>
    <w:rsid w:val="00886747"/>
    <w:rsid w:val="00886765"/>
    <w:rsid w:val="008873F3"/>
    <w:rsid w:val="00887661"/>
    <w:rsid w:val="008879DF"/>
    <w:rsid w:val="0089047A"/>
    <w:rsid w:val="008904CE"/>
    <w:rsid w:val="008906C8"/>
    <w:rsid w:val="00890AFD"/>
    <w:rsid w:val="0089125F"/>
    <w:rsid w:val="008913EB"/>
    <w:rsid w:val="00891961"/>
    <w:rsid w:val="00891CD2"/>
    <w:rsid w:val="00891F62"/>
    <w:rsid w:val="00892B87"/>
    <w:rsid w:val="00892D37"/>
    <w:rsid w:val="00892DF4"/>
    <w:rsid w:val="00892E75"/>
    <w:rsid w:val="008930A1"/>
    <w:rsid w:val="00893154"/>
    <w:rsid w:val="008931BB"/>
    <w:rsid w:val="00893BD4"/>
    <w:rsid w:val="00893E38"/>
    <w:rsid w:val="00894EE1"/>
    <w:rsid w:val="00895848"/>
    <w:rsid w:val="0089585D"/>
    <w:rsid w:val="008959ED"/>
    <w:rsid w:val="0089613B"/>
    <w:rsid w:val="008963F0"/>
    <w:rsid w:val="00896747"/>
    <w:rsid w:val="0089680B"/>
    <w:rsid w:val="008973DE"/>
    <w:rsid w:val="00897B2D"/>
    <w:rsid w:val="00897D8A"/>
    <w:rsid w:val="00897E4B"/>
    <w:rsid w:val="008A009B"/>
    <w:rsid w:val="008A013C"/>
    <w:rsid w:val="008A0A69"/>
    <w:rsid w:val="008A0DD4"/>
    <w:rsid w:val="008A1478"/>
    <w:rsid w:val="008A1F59"/>
    <w:rsid w:val="008A2F7E"/>
    <w:rsid w:val="008A337D"/>
    <w:rsid w:val="008A3A21"/>
    <w:rsid w:val="008A3FD2"/>
    <w:rsid w:val="008A4645"/>
    <w:rsid w:val="008A47C7"/>
    <w:rsid w:val="008A4ACC"/>
    <w:rsid w:val="008A4F03"/>
    <w:rsid w:val="008A4F2B"/>
    <w:rsid w:val="008A53D4"/>
    <w:rsid w:val="008A54B5"/>
    <w:rsid w:val="008A5711"/>
    <w:rsid w:val="008A58F2"/>
    <w:rsid w:val="008A5C1D"/>
    <w:rsid w:val="008A6890"/>
    <w:rsid w:val="008A6EEF"/>
    <w:rsid w:val="008A70AE"/>
    <w:rsid w:val="008A7142"/>
    <w:rsid w:val="008A72E4"/>
    <w:rsid w:val="008A7321"/>
    <w:rsid w:val="008A76AB"/>
    <w:rsid w:val="008A7F71"/>
    <w:rsid w:val="008B0085"/>
    <w:rsid w:val="008B0146"/>
    <w:rsid w:val="008B0C5C"/>
    <w:rsid w:val="008B128F"/>
    <w:rsid w:val="008B1306"/>
    <w:rsid w:val="008B1328"/>
    <w:rsid w:val="008B1898"/>
    <w:rsid w:val="008B1899"/>
    <w:rsid w:val="008B1A20"/>
    <w:rsid w:val="008B20F2"/>
    <w:rsid w:val="008B2503"/>
    <w:rsid w:val="008B2B2F"/>
    <w:rsid w:val="008B36A9"/>
    <w:rsid w:val="008B3BB7"/>
    <w:rsid w:val="008B3EE0"/>
    <w:rsid w:val="008B43F7"/>
    <w:rsid w:val="008B45C0"/>
    <w:rsid w:val="008B45FD"/>
    <w:rsid w:val="008B49D6"/>
    <w:rsid w:val="008B52A4"/>
    <w:rsid w:val="008B55F8"/>
    <w:rsid w:val="008B5913"/>
    <w:rsid w:val="008B620F"/>
    <w:rsid w:val="008B6D7F"/>
    <w:rsid w:val="008B7084"/>
    <w:rsid w:val="008B70BA"/>
    <w:rsid w:val="008B7678"/>
    <w:rsid w:val="008B7764"/>
    <w:rsid w:val="008B77A1"/>
    <w:rsid w:val="008B7D5C"/>
    <w:rsid w:val="008B7E66"/>
    <w:rsid w:val="008C021F"/>
    <w:rsid w:val="008C0295"/>
    <w:rsid w:val="008C02EE"/>
    <w:rsid w:val="008C039D"/>
    <w:rsid w:val="008C0EFA"/>
    <w:rsid w:val="008C115E"/>
    <w:rsid w:val="008C11C9"/>
    <w:rsid w:val="008C1261"/>
    <w:rsid w:val="008C126F"/>
    <w:rsid w:val="008C1539"/>
    <w:rsid w:val="008C155B"/>
    <w:rsid w:val="008C1A72"/>
    <w:rsid w:val="008C27DB"/>
    <w:rsid w:val="008C2C1A"/>
    <w:rsid w:val="008C2CC2"/>
    <w:rsid w:val="008C2F20"/>
    <w:rsid w:val="008C351C"/>
    <w:rsid w:val="008C4025"/>
    <w:rsid w:val="008C4742"/>
    <w:rsid w:val="008C490E"/>
    <w:rsid w:val="008C5403"/>
    <w:rsid w:val="008C5670"/>
    <w:rsid w:val="008C5862"/>
    <w:rsid w:val="008C58FF"/>
    <w:rsid w:val="008C5A8C"/>
    <w:rsid w:val="008C5BA7"/>
    <w:rsid w:val="008C64D5"/>
    <w:rsid w:val="008C7202"/>
    <w:rsid w:val="008C738D"/>
    <w:rsid w:val="008C74CA"/>
    <w:rsid w:val="008C7703"/>
    <w:rsid w:val="008C7A2A"/>
    <w:rsid w:val="008D01A8"/>
    <w:rsid w:val="008D02E7"/>
    <w:rsid w:val="008D0617"/>
    <w:rsid w:val="008D0E57"/>
    <w:rsid w:val="008D1977"/>
    <w:rsid w:val="008D1EA0"/>
    <w:rsid w:val="008D29F2"/>
    <w:rsid w:val="008D2FF0"/>
    <w:rsid w:val="008D32DB"/>
    <w:rsid w:val="008D36E8"/>
    <w:rsid w:val="008D40C2"/>
    <w:rsid w:val="008D43CF"/>
    <w:rsid w:val="008D49CD"/>
    <w:rsid w:val="008D4E7C"/>
    <w:rsid w:val="008D4F33"/>
    <w:rsid w:val="008D532B"/>
    <w:rsid w:val="008D57A1"/>
    <w:rsid w:val="008D6381"/>
    <w:rsid w:val="008D667D"/>
    <w:rsid w:val="008D6BAA"/>
    <w:rsid w:val="008D79DE"/>
    <w:rsid w:val="008D7B2D"/>
    <w:rsid w:val="008D7D0E"/>
    <w:rsid w:val="008E0439"/>
    <w:rsid w:val="008E0638"/>
    <w:rsid w:val="008E0BC2"/>
    <w:rsid w:val="008E1245"/>
    <w:rsid w:val="008E15EA"/>
    <w:rsid w:val="008E2BFC"/>
    <w:rsid w:val="008E33CD"/>
    <w:rsid w:val="008E34B6"/>
    <w:rsid w:val="008E36DC"/>
    <w:rsid w:val="008E378C"/>
    <w:rsid w:val="008E3A67"/>
    <w:rsid w:val="008E3D76"/>
    <w:rsid w:val="008E473E"/>
    <w:rsid w:val="008E5076"/>
    <w:rsid w:val="008E507C"/>
    <w:rsid w:val="008E58A1"/>
    <w:rsid w:val="008E5D22"/>
    <w:rsid w:val="008E621B"/>
    <w:rsid w:val="008E6549"/>
    <w:rsid w:val="008E659C"/>
    <w:rsid w:val="008E6DCB"/>
    <w:rsid w:val="008E70BA"/>
    <w:rsid w:val="008E7E82"/>
    <w:rsid w:val="008F0511"/>
    <w:rsid w:val="008F0A86"/>
    <w:rsid w:val="008F0B23"/>
    <w:rsid w:val="008F0D64"/>
    <w:rsid w:val="008F0ED1"/>
    <w:rsid w:val="008F115E"/>
    <w:rsid w:val="008F15A1"/>
    <w:rsid w:val="008F1CE3"/>
    <w:rsid w:val="008F238E"/>
    <w:rsid w:val="008F2CD3"/>
    <w:rsid w:val="008F309B"/>
    <w:rsid w:val="008F403E"/>
    <w:rsid w:val="008F479E"/>
    <w:rsid w:val="008F4ADD"/>
    <w:rsid w:val="008F4DD4"/>
    <w:rsid w:val="008F5242"/>
    <w:rsid w:val="008F5454"/>
    <w:rsid w:val="008F54F3"/>
    <w:rsid w:val="008F55F2"/>
    <w:rsid w:val="008F5938"/>
    <w:rsid w:val="008F61A4"/>
    <w:rsid w:val="008F683E"/>
    <w:rsid w:val="008F6C7D"/>
    <w:rsid w:val="008F740C"/>
    <w:rsid w:val="008F7AC6"/>
    <w:rsid w:val="008F7EBA"/>
    <w:rsid w:val="00900405"/>
    <w:rsid w:val="00900500"/>
    <w:rsid w:val="00900EDE"/>
    <w:rsid w:val="00900F8D"/>
    <w:rsid w:val="009012D6"/>
    <w:rsid w:val="0090132B"/>
    <w:rsid w:val="00901D85"/>
    <w:rsid w:val="00902DA1"/>
    <w:rsid w:val="00903A06"/>
    <w:rsid w:val="00903C21"/>
    <w:rsid w:val="00903D3A"/>
    <w:rsid w:val="0090438B"/>
    <w:rsid w:val="00904570"/>
    <w:rsid w:val="00904D7E"/>
    <w:rsid w:val="00904DC9"/>
    <w:rsid w:val="00904DCD"/>
    <w:rsid w:val="00905758"/>
    <w:rsid w:val="0090577F"/>
    <w:rsid w:val="00905E0C"/>
    <w:rsid w:val="00906215"/>
    <w:rsid w:val="00906385"/>
    <w:rsid w:val="009064FA"/>
    <w:rsid w:val="00906B06"/>
    <w:rsid w:val="009072E1"/>
    <w:rsid w:val="00907591"/>
    <w:rsid w:val="0091012E"/>
    <w:rsid w:val="00910962"/>
    <w:rsid w:val="00911797"/>
    <w:rsid w:val="00911866"/>
    <w:rsid w:val="00911BA3"/>
    <w:rsid w:val="00911BB3"/>
    <w:rsid w:val="00911C23"/>
    <w:rsid w:val="00911D39"/>
    <w:rsid w:val="00911D52"/>
    <w:rsid w:val="00912765"/>
    <w:rsid w:val="00912961"/>
    <w:rsid w:val="00912C74"/>
    <w:rsid w:val="009130CC"/>
    <w:rsid w:val="0091317B"/>
    <w:rsid w:val="009132E5"/>
    <w:rsid w:val="00913A61"/>
    <w:rsid w:val="00913C86"/>
    <w:rsid w:val="00913E7E"/>
    <w:rsid w:val="009141F6"/>
    <w:rsid w:val="009143B4"/>
    <w:rsid w:val="00914647"/>
    <w:rsid w:val="00914BCA"/>
    <w:rsid w:val="00915C79"/>
    <w:rsid w:val="00915F73"/>
    <w:rsid w:val="00916988"/>
    <w:rsid w:val="00916CA7"/>
    <w:rsid w:val="009179A8"/>
    <w:rsid w:val="00917A7C"/>
    <w:rsid w:val="00920A88"/>
    <w:rsid w:val="00921DE2"/>
    <w:rsid w:val="0092218B"/>
    <w:rsid w:val="0092245E"/>
    <w:rsid w:val="00922574"/>
    <w:rsid w:val="00922E9A"/>
    <w:rsid w:val="00922FFA"/>
    <w:rsid w:val="009233B8"/>
    <w:rsid w:val="00923552"/>
    <w:rsid w:val="00923838"/>
    <w:rsid w:val="0092409A"/>
    <w:rsid w:val="009242DB"/>
    <w:rsid w:val="00924355"/>
    <w:rsid w:val="00924378"/>
    <w:rsid w:val="009244B6"/>
    <w:rsid w:val="009249E1"/>
    <w:rsid w:val="00924DB4"/>
    <w:rsid w:val="009251C1"/>
    <w:rsid w:val="00925755"/>
    <w:rsid w:val="00925A77"/>
    <w:rsid w:val="00926043"/>
    <w:rsid w:val="0092671F"/>
    <w:rsid w:val="0092752A"/>
    <w:rsid w:val="00927604"/>
    <w:rsid w:val="00927973"/>
    <w:rsid w:val="00930082"/>
    <w:rsid w:val="00930250"/>
    <w:rsid w:val="0093026B"/>
    <w:rsid w:val="009302B0"/>
    <w:rsid w:val="0093040B"/>
    <w:rsid w:val="009304DD"/>
    <w:rsid w:val="00930E13"/>
    <w:rsid w:val="009318E0"/>
    <w:rsid w:val="00931AAE"/>
    <w:rsid w:val="00931D0B"/>
    <w:rsid w:val="00932A51"/>
    <w:rsid w:val="00932AEE"/>
    <w:rsid w:val="00933442"/>
    <w:rsid w:val="00933C1B"/>
    <w:rsid w:val="00933C97"/>
    <w:rsid w:val="009351F4"/>
    <w:rsid w:val="00935645"/>
    <w:rsid w:val="00935A3C"/>
    <w:rsid w:val="0093626A"/>
    <w:rsid w:val="0093644D"/>
    <w:rsid w:val="009366F4"/>
    <w:rsid w:val="009368BA"/>
    <w:rsid w:val="00936A80"/>
    <w:rsid w:val="00936B1A"/>
    <w:rsid w:val="00936BED"/>
    <w:rsid w:val="00936E70"/>
    <w:rsid w:val="0093718E"/>
    <w:rsid w:val="009371C0"/>
    <w:rsid w:val="009374FB"/>
    <w:rsid w:val="009379B5"/>
    <w:rsid w:val="0094025F"/>
    <w:rsid w:val="00940665"/>
    <w:rsid w:val="00940AAC"/>
    <w:rsid w:val="00941978"/>
    <w:rsid w:val="009419FE"/>
    <w:rsid w:val="00941CAC"/>
    <w:rsid w:val="00942041"/>
    <w:rsid w:val="009425C6"/>
    <w:rsid w:val="00942EFF"/>
    <w:rsid w:val="00942F5C"/>
    <w:rsid w:val="0094395D"/>
    <w:rsid w:val="00943B54"/>
    <w:rsid w:val="00943F56"/>
    <w:rsid w:val="0094416D"/>
    <w:rsid w:val="00944850"/>
    <w:rsid w:val="00944907"/>
    <w:rsid w:val="00944FB8"/>
    <w:rsid w:val="009458C2"/>
    <w:rsid w:val="009458FC"/>
    <w:rsid w:val="00945920"/>
    <w:rsid w:val="00945BF1"/>
    <w:rsid w:val="0094610E"/>
    <w:rsid w:val="009461CD"/>
    <w:rsid w:val="009465F9"/>
    <w:rsid w:val="0094703F"/>
    <w:rsid w:val="009470A2"/>
    <w:rsid w:val="00947650"/>
    <w:rsid w:val="00950246"/>
    <w:rsid w:val="00950248"/>
    <w:rsid w:val="00950316"/>
    <w:rsid w:val="00950676"/>
    <w:rsid w:val="00950989"/>
    <w:rsid w:val="00950A89"/>
    <w:rsid w:val="00950C25"/>
    <w:rsid w:val="0095126D"/>
    <w:rsid w:val="009513AA"/>
    <w:rsid w:val="00952065"/>
    <w:rsid w:val="0095249C"/>
    <w:rsid w:val="0095290B"/>
    <w:rsid w:val="009531DC"/>
    <w:rsid w:val="009537DF"/>
    <w:rsid w:val="00953CF6"/>
    <w:rsid w:val="00953D47"/>
    <w:rsid w:val="009542F5"/>
    <w:rsid w:val="00954753"/>
    <w:rsid w:val="0095496B"/>
    <w:rsid w:val="00954C64"/>
    <w:rsid w:val="00954E6E"/>
    <w:rsid w:val="00954FB2"/>
    <w:rsid w:val="009553FF"/>
    <w:rsid w:val="00955CA2"/>
    <w:rsid w:val="00955E2A"/>
    <w:rsid w:val="00956225"/>
    <w:rsid w:val="0095679C"/>
    <w:rsid w:val="0095692C"/>
    <w:rsid w:val="00956F3C"/>
    <w:rsid w:val="009570AB"/>
    <w:rsid w:val="009571AF"/>
    <w:rsid w:val="00957C6C"/>
    <w:rsid w:val="00960C33"/>
    <w:rsid w:val="00960DE0"/>
    <w:rsid w:val="00960EDA"/>
    <w:rsid w:val="0096116C"/>
    <w:rsid w:val="009617D9"/>
    <w:rsid w:val="00961B0F"/>
    <w:rsid w:val="00961B3C"/>
    <w:rsid w:val="00961D54"/>
    <w:rsid w:val="009625DA"/>
    <w:rsid w:val="00962F99"/>
    <w:rsid w:val="00963191"/>
    <w:rsid w:val="0096407A"/>
    <w:rsid w:val="009642F2"/>
    <w:rsid w:val="0096490B"/>
    <w:rsid w:val="00964DA7"/>
    <w:rsid w:val="0096513D"/>
    <w:rsid w:val="0096542F"/>
    <w:rsid w:val="009658F4"/>
    <w:rsid w:val="00965A0B"/>
    <w:rsid w:val="0096635F"/>
    <w:rsid w:val="00966BDD"/>
    <w:rsid w:val="00967989"/>
    <w:rsid w:val="00967B83"/>
    <w:rsid w:val="00967E2A"/>
    <w:rsid w:val="00967E73"/>
    <w:rsid w:val="00967EA4"/>
    <w:rsid w:val="009702C3"/>
    <w:rsid w:val="009702CB"/>
    <w:rsid w:val="0097082E"/>
    <w:rsid w:val="009716A5"/>
    <w:rsid w:val="00972055"/>
    <w:rsid w:val="00972BE5"/>
    <w:rsid w:val="00973A82"/>
    <w:rsid w:val="00973D29"/>
    <w:rsid w:val="00973DC3"/>
    <w:rsid w:val="00973FC4"/>
    <w:rsid w:val="00974512"/>
    <w:rsid w:val="00974B4B"/>
    <w:rsid w:val="009751C5"/>
    <w:rsid w:val="009755C8"/>
    <w:rsid w:val="009757C4"/>
    <w:rsid w:val="00975939"/>
    <w:rsid w:val="00975F03"/>
    <w:rsid w:val="00976455"/>
    <w:rsid w:val="00976478"/>
    <w:rsid w:val="009764EA"/>
    <w:rsid w:val="009768E0"/>
    <w:rsid w:val="00976B40"/>
    <w:rsid w:val="00976BD0"/>
    <w:rsid w:val="00976E54"/>
    <w:rsid w:val="00977366"/>
    <w:rsid w:val="009801F9"/>
    <w:rsid w:val="009803EE"/>
    <w:rsid w:val="009809B1"/>
    <w:rsid w:val="00980AD2"/>
    <w:rsid w:val="00980CDD"/>
    <w:rsid w:val="00980EDD"/>
    <w:rsid w:val="00980F85"/>
    <w:rsid w:val="00981651"/>
    <w:rsid w:val="009818B8"/>
    <w:rsid w:val="00982158"/>
    <w:rsid w:val="0098252A"/>
    <w:rsid w:val="00982C23"/>
    <w:rsid w:val="00983271"/>
    <w:rsid w:val="00983406"/>
    <w:rsid w:val="009835F4"/>
    <w:rsid w:val="0098375E"/>
    <w:rsid w:val="00983A80"/>
    <w:rsid w:val="009858A0"/>
    <w:rsid w:val="00985B6C"/>
    <w:rsid w:val="00985F14"/>
    <w:rsid w:val="0098678B"/>
    <w:rsid w:val="00986D8F"/>
    <w:rsid w:val="009873CE"/>
    <w:rsid w:val="0098796A"/>
    <w:rsid w:val="00987D59"/>
    <w:rsid w:val="00987E52"/>
    <w:rsid w:val="00987F11"/>
    <w:rsid w:val="0099058B"/>
    <w:rsid w:val="00990745"/>
    <w:rsid w:val="00990E5A"/>
    <w:rsid w:val="00990F95"/>
    <w:rsid w:val="0099189F"/>
    <w:rsid w:val="00991D5F"/>
    <w:rsid w:val="00991D7A"/>
    <w:rsid w:val="00991DFD"/>
    <w:rsid w:val="00992348"/>
    <w:rsid w:val="009925D9"/>
    <w:rsid w:val="00992CA1"/>
    <w:rsid w:val="00992D6C"/>
    <w:rsid w:val="009930A6"/>
    <w:rsid w:val="0099327D"/>
    <w:rsid w:val="00993687"/>
    <w:rsid w:val="00993B35"/>
    <w:rsid w:val="00993BE4"/>
    <w:rsid w:val="00994159"/>
    <w:rsid w:val="00994B1C"/>
    <w:rsid w:val="00994C61"/>
    <w:rsid w:val="009950C2"/>
    <w:rsid w:val="009954B4"/>
    <w:rsid w:val="009955F7"/>
    <w:rsid w:val="00995CE1"/>
    <w:rsid w:val="00995DB6"/>
    <w:rsid w:val="00995DB7"/>
    <w:rsid w:val="00996555"/>
    <w:rsid w:val="009966E4"/>
    <w:rsid w:val="00996850"/>
    <w:rsid w:val="009969D0"/>
    <w:rsid w:val="00996E8E"/>
    <w:rsid w:val="00997010"/>
    <w:rsid w:val="00997482"/>
    <w:rsid w:val="009976D7"/>
    <w:rsid w:val="00997858"/>
    <w:rsid w:val="009979AA"/>
    <w:rsid w:val="00997B18"/>
    <w:rsid w:val="00997C31"/>
    <w:rsid w:val="009A074E"/>
    <w:rsid w:val="009A07E1"/>
    <w:rsid w:val="009A0943"/>
    <w:rsid w:val="009A1C41"/>
    <w:rsid w:val="009A2264"/>
    <w:rsid w:val="009A2861"/>
    <w:rsid w:val="009A324F"/>
    <w:rsid w:val="009A336C"/>
    <w:rsid w:val="009A33BB"/>
    <w:rsid w:val="009A376F"/>
    <w:rsid w:val="009A3919"/>
    <w:rsid w:val="009A403A"/>
    <w:rsid w:val="009A41EC"/>
    <w:rsid w:val="009A484B"/>
    <w:rsid w:val="009A4B3A"/>
    <w:rsid w:val="009A4CEE"/>
    <w:rsid w:val="009A4DDC"/>
    <w:rsid w:val="009A5563"/>
    <w:rsid w:val="009A5AC5"/>
    <w:rsid w:val="009A63CD"/>
    <w:rsid w:val="009A707F"/>
    <w:rsid w:val="009A72AD"/>
    <w:rsid w:val="009A74CB"/>
    <w:rsid w:val="009A772B"/>
    <w:rsid w:val="009A7878"/>
    <w:rsid w:val="009B02D0"/>
    <w:rsid w:val="009B0817"/>
    <w:rsid w:val="009B0997"/>
    <w:rsid w:val="009B0C5F"/>
    <w:rsid w:val="009B0CD6"/>
    <w:rsid w:val="009B0D10"/>
    <w:rsid w:val="009B0DEB"/>
    <w:rsid w:val="009B19F7"/>
    <w:rsid w:val="009B1FBF"/>
    <w:rsid w:val="009B2574"/>
    <w:rsid w:val="009B261F"/>
    <w:rsid w:val="009B265D"/>
    <w:rsid w:val="009B278C"/>
    <w:rsid w:val="009B2BE2"/>
    <w:rsid w:val="009B2D81"/>
    <w:rsid w:val="009B36B0"/>
    <w:rsid w:val="009B38A2"/>
    <w:rsid w:val="009B3931"/>
    <w:rsid w:val="009B39B7"/>
    <w:rsid w:val="009B3B00"/>
    <w:rsid w:val="009B3E19"/>
    <w:rsid w:val="009B4175"/>
    <w:rsid w:val="009B4EEE"/>
    <w:rsid w:val="009B55C9"/>
    <w:rsid w:val="009B6015"/>
    <w:rsid w:val="009B6335"/>
    <w:rsid w:val="009B65D7"/>
    <w:rsid w:val="009B69E4"/>
    <w:rsid w:val="009B7628"/>
    <w:rsid w:val="009B7AF3"/>
    <w:rsid w:val="009B7F65"/>
    <w:rsid w:val="009C0220"/>
    <w:rsid w:val="009C0830"/>
    <w:rsid w:val="009C1338"/>
    <w:rsid w:val="009C16C0"/>
    <w:rsid w:val="009C1924"/>
    <w:rsid w:val="009C2142"/>
    <w:rsid w:val="009C2565"/>
    <w:rsid w:val="009C2ABA"/>
    <w:rsid w:val="009C3815"/>
    <w:rsid w:val="009C3A98"/>
    <w:rsid w:val="009C3DCD"/>
    <w:rsid w:val="009C4137"/>
    <w:rsid w:val="009C4D29"/>
    <w:rsid w:val="009C57C3"/>
    <w:rsid w:val="009C5B88"/>
    <w:rsid w:val="009C5D5A"/>
    <w:rsid w:val="009C5D9A"/>
    <w:rsid w:val="009C6FE7"/>
    <w:rsid w:val="009C7891"/>
    <w:rsid w:val="009D0137"/>
    <w:rsid w:val="009D01FC"/>
    <w:rsid w:val="009D0685"/>
    <w:rsid w:val="009D0B67"/>
    <w:rsid w:val="009D0F47"/>
    <w:rsid w:val="009D12A2"/>
    <w:rsid w:val="009D13BD"/>
    <w:rsid w:val="009D1620"/>
    <w:rsid w:val="009D1632"/>
    <w:rsid w:val="009D1878"/>
    <w:rsid w:val="009D220F"/>
    <w:rsid w:val="009D2817"/>
    <w:rsid w:val="009D2B3F"/>
    <w:rsid w:val="009D2DAD"/>
    <w:rsid w:val="009D2F07"/>
    <w:rsid w:val="009D36FC"/>
    <w:rsid w:val="009D428B"/>
    <w:rsid w:val="009D44F9"/>
    <w:rsid w:val="009D452E"/>
    <w:rsid w:val="009D4731"/>
    <w:rsid w:val="009D491D"/>
    <w:rsid w:val="009D51BD"/>
    <w:rsid w:val="009D56BE"/>
    <w:rsid w:val="009D5805"/>
    <w:rsid w:val="009D5B0F"/>
    <w:rsid w:val="009D5B65"/>
    <w:rsid w:val="009D5BA8"/>
    <w:rsid w:val="009D5BD5"/>
    <w:rsid w:val="009D5CC7"/>
    <w:rsid w:val="009D60E9"/>
    <w:rsid w:val="009D6604"/>
    <w:rsid w:val="009D67C9"/>
    <w:rsid w:val="009D7279"/>
    <w:rsid w:val="009D7C38"/>
    <w:rsid w:val="009E02C5"/>
    <w:rsid w:val="009E0783"/>
    <w:rsid w:val="009E07C4"/>
    <w:rsid w:val="009E07E9"/>
    <w:rsid w:val="009E1021"/>
    <w:rsid w:val="009E1761"/>
    <w:rsid w:val="009E1CCD"/>
    <w:rsid w:val="009E238C"/>
    <w:rsid w:val="009E28A3"/>
    <w:rsid w:val="009E2BF1"/>
    <w:rsid w:val="009E3533"/>
    <w:rsid w:val="009E39D4"/>
    <w:rsid w:val="009E3A10"/>
    <w:rsid w:val="009E4221"/>
    <w:rsid w:val="009E4305"/>
    <w:rsid w:val="009E4629"/>
    <w:rsid w:val="009E56B1"/>
    <w:rsid w:val="009E5778"/>
    <w:rsid w:val="009E590D"/>
    <w:rsid w:val="009E5958"/>
    <w:rsid w:val="009E5F02"/>
    <w:rsid w:val="009E5FA0"/>
    <w:rsid w:val="009E6A9C"/>
    <w:rsid w:val="009E6B1F"/>
    <w:rsid w:val="009E6B85"/>
    <w:rsid w:val="009E738D"/>
    <w:rsid w:val="009E73B1"/>
    <w:rsid w:val="009E73C4"/>
    <w:rsid w:val="009E74E2"/>
    <w:rsid w:val="009F05D9"/>
    <w:rsid w:val="009F0B20"/>
    <w:rsid w:val="009F1017"/>
    <w:rsid w:val="009F1891"/>
    <w:rsid w:val="009F1B70"/>
    <w:rsid w:val="009F2166"/>
    <w:rsid w:val="009F276D"/>
    <w:rsid w:val="009F2A1F"/>
    <w:rsid w:val="009F2D2A"/>
    <w:rsid w:val="009F30C7"/>
    <w:rsid w:val="009F34EE"/>
    <w:rsid w:val="009F351F"/>
    <w:rsid w:val="009F3698"/>
    <w:rsid w:val="009F36D0"/>
    <w:rsid w:val="009F3992"/>
    <w:rsid w:val="009F39B0"/>
    <w:rsid w:val="009F3D73"/>
    <w:rsid w:val="009F448E"/>
    <w:rsid w:val="009F489F"/>
    <w:rsid w:val="009F4A9D"/>
    <w:rsid w:val="009F5B0C"/>
    <w:rsid w:val="009F60ED"/>
    <w:rsid w:val="009F6913"/>
    <w:rsid w:val="009F6B39"/>
    <w:rsid w:val="009F6CEC"/>
    <w:rsid w:val="009F6F84"/>
    <w:rsid w:val="009F72B9"/>
    <w:rsid w:val="009F761B"/>
    <w:rsid w:val="009F7689"/>
    <w:rsid w:val="009F7F95"/>
    <w:rsid w:val="00A00087"/>
    <w:rsid w:val="00A0016C"/>
    <w:rsid w:val="00A00D2B"/>
    <w:rsid w:val="00A01981"/>
    <w:rsid w:val="00A02006"/>
    <w:rsid w:val="00A025BD"/>
    <w:rsid w:val="00A03291"/>
    <w:rsid w:val="00A033A9"/>
    <w:rsid w:val="00A033EE"/>
    <w:rsid w:val="00A03DD2"/>
    <w:rsid w:val="00A04118"/>
    <w:rsid w:val="00A04189"/>
    <w:rsid w:val="00A04C08"/>
    <w:rsid w:val="00A05812"/>
    <w:rsid w:val="00A05EE0"/>
    <w:rsid w:val="00A062A0"/>
    <w:rsid w:val="00A06736"/>
    <w:rsid w:val="00A068F8"/>
    <w:rsid w:val="00A0692F"/>
    <w:rsid w:val="00A06DAD"/>
    <w:rsid w:val="00A07876"/>
    <w:rsid w:val="00A101AF"/>
    <w:rsid w:val="00A103ED"/>
    <w:rsid w:val="00A10AC7"/>
    <w:rsid w:val="00A10C6D"/>
    <w:rsid w:val="00A10FC8"/>
    <w:rsid w:val="00A110DA"/>
    <w:rsid w:val="00A11888"/>
    <w:rsid w:val="00A11D03"/>
    <w:rsid w:val="00A11E3D"/>
    <w:rsid w:val="00A12515"/>
    <w:rsid w:val="00A12516"/>
    <w:rsid w:val="00A12540"/>
    <w:rsid w:val="00A12FF5"/>
    <w:rsid w:val="00A13015"/>
    <w:rsid w:val="00A1309C"/>
    <w:rsid w:val="00A1328E"/>
    <w:rsid w:val="00A132EB"/>
    <w:rsid w:val="00A13566"/>
    <w:rsid w:val="00A135C8"/>
    <w:rsid w:val="00A13662"/>
    <w:rsid w:val="00A1397E"/>
    <w:rsid w:val="00A139B0"/>
    <w:rsid w:val="00A13D05"/>
    <w:rsid w:val="00A13EE3"/>
    <w:rsid w:val="00A145B1"/>
    <w:rsid w:val="00A149C2"/>
    <w:rsid w:val="00A14AAF"/>
    <w:rsid w:val="00A14E19"/>
    <w:rsid w:val="00A14EDB"/>
    <w:rsid w:val="00A14FCB"/>
    <w:rsid w:val="00A15350"/>
    <w:rsid w:val="00A15585"/>
    <w:rsid w:val="00A162F6"/>
    <w:rsid w:val="00A1641F"/>
    <w:rsid w:val="00A1643D"/>
    <w:rsid w:val="00A166AB"/>
    <w:rsid w:val="00A16E37"/>
    <w:rsid w:val="00A16E92"/>
    <w:rsid w:val="00A1738D"/>
    <w:rsid w:val="00A1787A"/>
    <w:rsid w:val="00A17A30"/>
    <w:rsid w:val="00A20476"/>
    <w:rsid w:val="00A20829"/>
    <w:rsid w:val="00A208E5"/>
    <w:rsid w:val="00A20AEB"/>
    <w:rsid w:val="00A21C9C"/>
    <w:rsid w:val="00A220A9"/>
    <w:rsid w:val="00A220D0"/>
    <w:rsid w:val="00A22531"/>
    <w:rsid w:val="00A2258D"/>
    <w:rsid w:val="00A22A70"/>
    <w:rsid w:val="00A22A98"/>
    <w:rsid w:val="00A23150"/>
    <w:rsid w:val="00A23237"/>
    <w:rsid w:val="00A23604"/>
    <w:rsid w:val="00A23883"/>
    <w:rsid w:val="00A23C35"/>
    <w:rsid w:val="00A240BE"/>
    <w:rsid w:val="00A24756"/>
    <w:rsid w:val="00A24F66"/>
    <w:rsid w:val="00A25D04"/>
    <w:rsid w:val="00A266F4"/>
    <w:rsid w:val="00A26837"/>
    <w:rsid w:val="00A268EB"/>
    <w:rsid w:val="00A26B09"/>
    <w:rsid w:val="00A2773B"/>
    <w:rsid w:val="00A308AB"/>
    <w:rsid w:val="00A30D14"/>
    <w:rsid w:val="00A310C1"/>
    <w:rsid w:val="00A31314"/>
    <w:rsid w:val="00A31D9E"/>
    <w:rsid w:val="00A32062"/>
    <w:rsid w:val="00A32448"/>
    <w:rsid w:val="00A324A9"/>
    <w:rsid w:val="00A32533"/>
    <w:rsid w:val="00A32551"/>
    <w:rsid w:val="00A32790"/>
    <w:rsid w:val="00A32DE1"/>
    <w:rsid w:val="00A33607"/>
    <w:rsid w:val="00A337A8"/>
    <w:rsid w:val="00A33945"/>
    <w:rsid w:val="00A339E2"/>
    <w:rsid w:val="00A33CC1"/>
    <w:rsid w:val="00A33D48"/>
    <w:rsid w:val="00A33EE7"/>
    <w:rsid w:val="00A34361"/>
    <w:rsid w:val="00A3480F"/>
    <w:rsid w:val="00A348F0"/>
    <w:rsid w:val="00A34F7B"/>
    <w:rsid w:val="00A35BD0"/>
    <w:rsid w:val="00A35FA0"/>
    <w:rsid w:val="00A36025"/>
    <w:rsid w:val="00A367F0"/>
    <w:rsid w:val="00A36CE1"/>
    <w:rsid w:val="00A372D2"/>
    <w:rsid w:val="00A37467"/>
    <w:rsid w:val="00A4014A"/>
    <w:rsid w:val="00A405F9"/>
    <w:rsid w:val="00A40656"/>
    <w:rsid w:val="00A40738"/>
    <w:rsid w:val="00A40D22"/>
    <w:rsid w:val="00A40EB0"/>
    <w:rsid w:val="00A410F6"/>
    <w:rsid w:val="00A41126"/>
    <w:rsid w:val="00A412C2"/>
    <w:rsid w:val="00A413F8"/>
    <w:rsid w:val="00A41939"/>
    <w:rsid w:val="00A425BE"/>
    <w:rsid w:val="00A42660"/>
    <w:rsid w:val="00A427EA"/>
    <w:rsid w:val="00A42A5D"/>
    <w:rsid w:val="00A42FB8"/>
    <w:rsid w:val="00A438FF"/>
    <w:rsid w:val="00A43D21"/>
    <w:rsid w:val="00A43D76"/>
    <w:rsid w:val="00A44CA0"/>
    <w:rsid w:val="00A44D43"/>
    <w:rsid w:val="00A44DFE"/>
    <w:rsid w:val="00A45732"/>
    <w:rsid w:val="00A45B0D"/>
    <w:rsid w:val="00A45D87"/>
    <w:rsid w:val="00A45D97"/>
    <w:rsid w:val="00A45E37"/>
    <w:rsid w:val="00A46179"/>
    <w:rsid w:val="00A461CC"/>
    <w:rsid w:val="00A46D5B"/>
    <w:rsid w:val="00A46E2B"/>
    <w:rsid w:val="00A46F4C"/>
    <w:rsid w:val="00A47186"/>
    <w:rsid w:val="00A4738B"/>
    <w:rsid w:val="00A4755B"/>
    <w:rsid w:val="00A501C6"/>
    <w:rsid w:val="00A503A3"/>
    <w:rsid w:val="00A505E5"/>
    <w:rsid w:val="00A5073E"/>
    <w:rsid w:val="00A5137B"/>
    <w:rsid w:val="00A51487"/>
    <w:rsid w:val="00A5155F"/>
    <w:rsid w:val="00A51649"/>
    <w:rsid w:val="00A518C4"/>
    <w:rsid w:val="00A51A21"/>
    <w:rsid w:val="00A521DF"/>
    <w:rsid w:val="00A52236"/>
    <w:rsid w:val="00A52359"/>
    <w:rsid w:val="00A5274E"/>
    <w:rsid w:val="00A53B92"/>
    <w:rsid w:val="00A53F6C"/>
    <w:rsid w:val="00A5467B"/>
    <w:rsid w:val="00A54D86"/>
    <w:rsid w:val="00A558F4"/>
    <w:rsid w:val="00A565B1"/>
    <w:rsid w:val="00A5699E"/>
    <w:rsid w:val="00A56EDD"/>
    <w:rsid w:val="00A57227"/>
    <w:rsid w:val="00A576B9"/>
    <w:rsid w:val="00A5777A"/>
    <w:rsid w:val="00A578C3"/>
    <w:rsid w:val="00A57D32"/>
    <w:rsid w:val="00A60568"/>
    <w:rsid w:val="00A60603"/>
    <w:rsid w:val="00A6082D"/>
    <w:rsid w:val="00A60C3D"/>
    <w:rsid w:val="00A60ECF"/>
    <w:rsid w:val="00A61203"/>
    <w:rsid w:val="00A6192A"/>
    <w:rsid w:val="00A61C69"/>
    <w:rsid w:val="00A6282E"/>
    <w:rsid w:val="00A6287A"/>
    <w:rsid w:val="00A628CC"/>
    <w:rsid w:val="00A628CD"/>
    <w:rsid w:val="00A62B59"/>
    <w:rsid w:val="00A63598"/>
    <w:rsid w:val="00A635F1"/>
    <w:rsid w:val="00A63F16"/>
    <w:rsid w:val="00A64628"/>
    <w:rsid w:val="00A64856"/>
    <w:rsid w:val="00A64AE1"/>
    <w:rsid w:val="00A650E1"/>
    <w:rsid w:val="00A6572D"/>
    <w:rsid w:val="00A6691E"/>
    <w:rsid w:val="00A675A2"/>
    <w:rsid w:val="00A678E4"/>
    <w:rsid w:val="00A67EC7"/>
    <w:rsid w:val="00A701C8"/>
    <w:rsid w:val="00A70B52"/>
    <w:rsid w:val="00A715CC"/>
    <w:rsid w:val="00A7164F"/>
    <w:rsid w:val="00A71AE7"/>
    <w:rsid w:val="00A71EDD"/>
    <w:rsid w:val="00A72073"/>
    <w:rsid w:val="00A72754"/>
    <w:rsid w:val="00A7280C"/>
    <w:rsid w:val="00A72D16"/>
    <w:rsid w:val="00A72E54"/>
    <w:rsid w:val="00A7300F"/>
    <w:rsid w:val="00A737A5"/>
    <w:rsid w:val="00A739ED"/>
    <w:rsid w:val="00A739F4"/>
    <w:rsid w:val="00A73C3C"/>
    <w:rsid w:val="00A7450D"/>
    <w:rsid w:val="00A749CE"/>
    <w:rsid w:val="00A74C6A"/>
    <w:rsid w:val="00A74DA9"/>
    <w:rsid w:val="00A74E0D"/>
    <w:rsid w:val="00A74FDF"/>
    <w:rsid w:val="00A7539C"/>
    <w:rsid w:val="00A75422"/>
    <w:rsid w:val="00A75AC9"/>
    <w:rsid w:val="00A75AFA"/>
    <w:rsid w:val="00A75AFD"/>
    <w:rsid w:val="00A75B79"/>
    <w:rsid w:val="00A75DC3"/>
    <w:rsid w:val="00A75DE4"/>
    <w:rsid w:val="00A75E1D"/>
    <w:rsid w:val="00A76118"/>
    <w:rsid w:val="00A762D8"/>
    <w:rsid w:val="00A7698E"/>
    <w:rsid w:val="00A76BDA"/>
    <w:rsid w:val="00A76E0E"/>
    <w:rsid w:val="00A77048"/>
    <w:rsid w:val="00A77404"/>
    <w:rsid w:val="00A7751B"/>
    <w:rsid w:val="00A77C9C"/>
    <w:rsid w:val="00A8081C"/>
    <w:rsid w:val="00A818B9"/>
    <w:rsid w:val="00A819A9"/>
    <w:rsid w:val="00A81AD8"/>
    <w:rsid w:val="00A81D31"/>
    <w:rsid w:val="00A81D9E"/>
    <w:rsid w:val="00A81E5B"/>
    <w:rsid w:val="00A8200F"/>
    <w:rsid w:val="00A826D9"/>
    <w:rsid w:val="00A8298E"/>
    <w:rsid w:val="00A833B2"/>
    <w:rsid w:val="00A8365F"/>
    <w:rsid w:val="00A837D5"/>
    <w:rsid w:val="00A83C42"/>
    <w:rsid w:val="00A84163"/>
    <w:rsid w:val="00A8422E"/>
    <w:rsid w:val="00A8489F"/>
    <w:rsid w:val="00A84D61"/>
    <w:rsid w:val="00A85453"/>
    <w:rsid w:val="00A85EB2"/>
    <w:rsid w:val="00A86DF2"/>
    <w:rsid w:val="00A87590"/>
    <w:rsid w:val="00A87B0B"/>
    <w:rsid w:val="00A87F6A"/>
    <w:rsid w:val="00A90500"/>
    <w:rsid w:val="00A90AF6"/>
    <w:rsid w:val="00A90B4E"/>
    <w:rsid w:val="00A90DB7"/>
    <w:rsid w:val="00A90E19"/>
    <w:rsid w:val="00A91342"/>
    <w:rsid w:val="00A91F01"/>
    <w:rsid w:val="00A921A3"/>
    <w:rsid w:val="00A92723"/>
    <w:rsid w:val="00A92E6B"/>
    <w:rsid w:val="00A93171"/>
    <w:rsid w:val="00A93273"/>
    <w:rsid w:val="00A93D9E"/>
    <w:rsid w:val="00A94226"/>
    <w:rsid w:val="00A94AA2"/>
    <w:rsid w:val="00A94B87"/>
    <w:rsid w:val="00A94D2C"/>
    <w:rsid w:val="00A953C5"/>
    <w:rsid w:val="00A957A9"/>
    <w:rsid w:val="00A95CDC"/>
    <w:rsid w:val="00A95F7F"/>
    <w:rsid w:val="00A96A0F"/>
    <w:rsid w:val="00A96AC0"/>
    <w:rsid w:val="00A96EAE"/>
    <w:rsid w:val="00A97030"/>
    <w:rsid w:val="00A97040"/>
    <w:rsid w:val="00A973A6"/>
    <w:rsid w:val="00A97640"/>
    <w:rsid w:val="00A97660"/>
    <w:rsid w:val="00A976E7"/>
    <w:rsid w:val="00AA013A"/>
    <w:rsid w:val="00AA0791"/>
    <w:rsid w:val="00AA11D1"/>
    <w:rsid w:val="00AA12DC"/>
    <w:rsid w:val="00AA2298"/>
    <w:rsid w:val="00AA2BF8"/>
    <w:rsid w:val="00AA2CEE"/>
    <w:rsid w:val="00AA30E2"/>
    <w:rsid w:val="00AA385C"/>
    <w:rsid w:val="00AA4134"/>
    <w:rsid w:val="00AA4911"/>
    <w:rsid w:val="00AA576B"/>
    <w:rsid w:val="00AA5B67"/>
    <w:rsid w:val="00AA5DE4"/>
    <w:rsid w:val="00AA6353"/>
    <w:rsid w:val="00AA6DC2"/>
    <w:rsid w:val="00AA7447"/>
    <w:rsid w:val="00AA74D2"/>
    <w:rsid w:val="00AA7615"/>
    <w:rsid w:val="00AA792B"/>
    <w:rsid w:val="00AB15BF"/>
    <w:rsid w:val="00AB1952"/>
    <w:rsid w:val="00AB1B0F"/>
    <w:rsid w:val="00AB264C"/>
    <w:rsid w:val="00AB279A"/>
    <w:rsid w:val="00AB298B"/>
    <w:rsid w:val="00AB2B5A"/>
    <w:rsid w:val="00AB2FA4"/>
    <w:rsid w:val="00AB3943"/>
    <w:rsid w:val="00AB3B5C"/>
    <w:rsid w:val="00AB3D45"/>
    <w:rsid w:val="00AB4ECA"/>
    <w:rsid w:val="00AB5ED3"/>
    <w:rsid w:val="00AB63CA"/>
    <w:rsid w:val="00AB6557"/>
    <w:rsid w:val="00AB6C59"/>
    <w:rsid w:val="00AC0052"/>
    <w:rsid w:val="00AC03D4"/>
    <w:rsid w:val="00AC0A78"/>
    <w:rsid w:val="00AC0FB9"/>
    <w:rsid w:val="00AC1C92"/>
    <w:rsid w:val="00AC1D33"/>
    <w:rsid w:val="00AC1E02"/>
    <w:rsid w:val="00AC1EC9"/>
    <w:rsid w:val="00AC288B"/>
    <w:rsid w:val="00AC2E29"/>
    <w:rsid w:val="00AC2FCE"/>
    <w:rsid w:val="00AC3138"/>
    <w:rsid w:val="00AC32A3"/>
    <w:rsid w:val="00AC3350"/>
    <w:rsid w:val="00AC3528"/>
    <w:rsid w:val="00AC362F"/>
    <w:rsid w:val="00AC3A48"/>
    <w:rsid w:val="00AC3DD4"/>
    <w:rsid w:val="00AC40E9"/>
    <w:rsid w:val="00AC4569"/>
    <w:rsid w:val="00AC4F6E"/>
    <w:rsid w:val="00AC537E"/>
    <w:rsid w:val="00AC6203"/>
    <w:rsid w:val="00AC6310"/>
    <w:rsid w:val="00AC6AF7"/>
    <w:rsid w:val="00AC6C2F"/>
    <w:rsid w:val="00AC7E8A"/>
    <w:rsid w:val="00AD0702"/>
    <w:rsid w:val="00AD0789"/>
    <w:rsid w:val="00AD0A07"/>
    <w:rsid w:val="00AD11B0"/>
    <w:rsid w:val="00AD1585"/>
    <w:rsid w:val="00AD1D12"/>
    <w:rsid w:val="00AD215E"/>
    <w:rsid w:val="00AD2355"/>
    <w:rsid w:val="00AD28C8"/>
    <w:rsid w:val="00AD29F9"/>
    <w:rsid w:val="00AD2F92"/>
    <w:rsid w:val="00AD37AD"/>
    <w:rsid w:val="00AD385A"/>
    <w:rsid w:val="00AD3E42"/>
    <w:rsid w:val="00AD54C8"/>
    <w:rsid w:val="00AD5D5C"/>
    <w:rsid w:val="00AD7EC6"/>
    <w:rsid w:val="00AD7F49"/>
    <w:rsid w:val="00AE0250"/>
    <w:rsid w:val="00AE0988"/>
    <w:rsid w:val="00AE0D63"/>
    <w:rsid w:val="00AE13C5"/>
    <w:rsid w:val="00AE1485"/>
    <w:rsid w:val="00AE1EB1"/>
    <w:rsid w:val="00AE1F8F"/>
    <w:rsid w:val="00AE2932"/>
    <w:rsid w:val="00AE2C98"/>
    <w:rsid w:val="00AE2DD9"/>
    <w:rsid w:val="00AE3176"/>
    <w:rsid w:val="00AE437A"/>
    <w:rsid w:val="00AE48C2"/>
    <w:rsid w:val="00AE490E"/>
    <w:rsid w:val="00AE4A60"/>
    <w:rsid w:val="00AE50BD"/>
    <w:rsid w:val="00AE529F"/>
    <w:rsid w:val="00AE556D"/>
    <w:rsid w:val="00AE5E44"/>
    <w:rsid w:val="00AE6F27"/>
    <w:rsid w:val="00AE7028"/>
    <w:rsid w:val="00AE7196"/>
    <w:rsid w:val="00AE72B6"/>
    <w:rsid w:val="00AE7716"/>
    <w:rsid w:val="00AE7B10"/>
    <w:rsid w:val="00AE7C19"/>
    <w:rsid w:val="00AF0245"/>
    <w:rsid w:val="00AF0BD2"/>
    <w:rsid w:val="00AF0C84"/>
    <w:rsid w:val="00AF14B2"/>
    <w:rsid w:val="00AF1B46"/>
    <w:rsid w:val="00AF1E31"/>
    <w:rsid w:val="00AF1E89"/>
    <w:rsid w:val="00AF2010"/>
    <w:rsid w:val="00AF217A"/>
    <w:rsid w:val="00AF2E5C"/>
    <w:rsid w:val="00AF3288"/>
    <w:rsid w:val="00AF3798"/>
    <w:rsid w:val="00AF38E1"/>
    <w:rsid w:val="00AF3D18"/>
    <w:rsid w:val="00AF43CC"/>
    <w:rsid w:val="00AF4EEE"/>
    <w:rsid w:val="00AF54E7"/>
    <w:rsid w:val="00AF5FA6"/>
    <w:rsid w:val="00AF698B"/>
    <w:rsid w:val="00AF702F"/>
    <w:rsid w:val="00AF709E"/>
    <w:rsid w:val="00AF70EC"/>
    <w:rsid w:val="00AF7C51"/>
    <w:rsid w:val="00B006AC"/>
    <w:rsid w:val="00B00843"/>
    <w:rsid w:val="00B0172B"/>
    <w:rsid w:val="00B01A4A"/>
    <w:rsid w:val="00B01D0B"/>
    <w:rsid w:val="00B02A0E"/>
    <w:rsid w:val="00B02B4F"/>
    <w:rsid w:val="00B0389E"/>
    <w:rsid w:val="00B03C64"/>
    <w:rsid w:val="00B03D38"/>
    <w:rsid w:val="00B03E6F"/>
    <w:rsid w:val="00B04B1C"/>
    <w:rsid w:val="00B04BB7"/>
    <w:rsid w:val="00B04FBA"/>
    <w:rsid w:val="00B051BF"/>
    <w:rsid w:val="00B0526B"/>
    <w:rsid w:val="00B05B4D"/>
    <w:rsid w:val="00B05BC8"/>
    <w:rsid w:val="00B064E6"/>
    <w:rsid w:val="00B0680F"/>
    <w:rsid w:val="00B06DD0"/>
    <w:rsid w:val="00B06F4E"/>
    <w:rsid w:val="00B0763D"/>
    <w:rsid w:val="00B07788"/>
    <w:rsid w:val="00B07793"/>
    <w:rsid w:val="00B07869"/>
    <w:rsid w:val="00B07D05"/>
    <w:rsid w:val="00B07EF8"/>
    <w:rsid w:val="00B1029D"/>
    <w:rsid w:val="00B10AE7"/>
    <w:rsid w:val="00B10E6D"/>
    <w:rsid w:val="00B11038"/>
    <w:rsid w:val="00B11B8D"/>
    <w:rsid w:val="00B11D26"/>
    <w:rsid w:val="00B1281C"/>
    <w:rsid w:val="00B12873"/>
    <w:rsid w:val="00B12999"/>
    <w:rsid w:val="00B13446"/>
    <w:rsid w:val="00B13469"/>
    <w:rsid w:val="00B1414A"/>
    <w:rsid w:val="00B14E63"/>
    <w:rsid w:val="00B1578C"/>
    <w:rsid w:val="00B15922"/>
    <w:rsid w:val="00B15AF9"/>
    <w:rsid w:val="00B15C56"/>
    <w:rsid w:val="00B1677F"/>
    <w:rsid w:val="00B16A05"/>
    <w:rsid w:val="00B16D63"/>
    <w:rsid w:val="00B1710A"/>
    <w:rsid w:val="00B1786A"/>
    <w:rsid w:val="00B17AFE"/>
    <w:rsid w:val="00B20A0E"/>
    <w:rsid w:val="00B20CD1"/>
    <w:rsid w:val="00B2103A"/>
    <w:rsid w:val="00B21098"/>
    <w:rsid w:val="00B21609"/>
    <w:rsid w:val="00B2184A"/>
    <w:rsid w:val="00B219AF"/>
    <w:rsid w:val="00B21A8C"/>
    <w:rsid w:val="00B22086"/>
    <w:rsid w:val="00B222B2"/>
    <w:rsid w:val="00B224AC"/>
    <w:rsid w:val="00B2251B"/>
    <w:rsid w:val="00B22522"/>
    <w:rsid w:val="00B227BD"/>
    <w:rsid w:val="00B22AA8"/>
    <w:rsid w:val="00B23385"/>
    <w:rsid w:val="00B23C04"/>
    <w:rsid w:val="00B247BC"/>
    <w:rsid w:val="00B24806"/>
    <w:rsid w:val="00B25022"/>
    <w:rsid w:val="00B253E8"/>
    <w:rsid w:val="00B25474"/>
    <w:rsid w:val="00B2560C"/>
    <w:rsid w:val="00B25898"/>
    <w:rsid w:val="00B25974"/>
    <w:rsid w:val="00B25A65"/>
    <w:rsid w:val="00B25DD3"/>
    <w:rsid w:val="00B25E9C"/>
    <w:rsid w:val="00B25EF1"/>
    <w:rsid w:val="00B26188"/>
    <w:rsid w:val="00B26236"/>
    <w:rsid w:val="00B26303"/>
    <w:rsid w:val="00B26685"/>
    <w:rsid w:val="00B268E4"/>
    <w:rsid w:val="00B2708F"/>
    <w:rsid w:val="00B2798A"/>
    <w:rsid w:val="00B27F2D"/>
    <w:rsid w:val="00B300CB"/>
    <w:rsid w:val="00B300E5"/>
    <w:rsid w:val="00B305ED"/>
    <w:rsid w:val="00B30759"/>
    <w:rsid w:val="00B30C2F"/>
    <w:rsid w:val="00B310D6"/>
    <w:rsid w:val="00B311C0"/>
    <w:rsid w:val="00B3160D"/>
    <w:rsid w:val="00B31653"/>
    <w:rsid w:val="00B317D5"/>
    <w:rsid w:val="00B31C32"/>
    <w:rsid w:val="00B31C47"/>
    <w:rsid w:val="00B323DB"/>
    <w:rsid w:val="00B32765"/>
    <w:rsid w:val="00B33E44"/>
    <w:rsid w:val="00B35067"/>
    <w:rsid w:val="00B351E2"/>
    <w:rsid w:val="00B35673"/>
    <w:rsid w:val="00B35742"/>
    <w:rsid w:val="00B365EF"/>
    <w:rsid w:val="00B36F16"/>
    <w:rsid w:val="00B37228"/>
    <w:rsid w:val="00B40082"/>
    <w:rsid w:val="00B4052A"/>
    <w:rsid w:val="00B40648"/>
    <w:rsid w:val="00B40A82"/>
    <w:rsid w:val="00B4110F"/>
    <w:rsid w:val="00B41173"/>
    <w:rsid w:val="00B41230"/>
    <w:rsid w:val="00B4196D"/>
    <w:rsid w:val="00B422B6"/>
    <w:rsid w:val="00B429EC"/>
    <w:rsid w:val="00B42A01"/>
    <w:rsid w:val="00B42DB6"/>
    <w:rsid w:val="00B4358B"/>
    <w:rsid w:val="00B4370E"/>
    <w:rsid w:val="00B43815"/>
    <w:rsid w:val="00B43F88"/>
    <w:rsid w:val="00B447BD"/>
    <w:rsid w:val="00B44A50"/>
    <w:rsid w:val="00B44D8A"/>
    <w:rsid w:val="00B4570D"/>
    <w:rsid w:val="00B45E56"/>
    <w:rsid w:val="00B46072"/>
    <w:rsid w:val="00B461CC"/>
    <w:rsid w:val="00B465C0"/>
    <w:rsid w:val="00B46E1E"/>
    <w:rsid w:val="00B47013"/>
    <w:rsid w:val="00B4738E"/>
    <w:rsid w:val="00B4772E"/>
    <w:rsid w:val="00B47C10"/>
    <w:rsid w:val="00B47D11"/>
    <w:rsid w:val="00B5098C"/>
    <w:rsid w:val="00B5123F"/>
    <w:rsid w:val="00B5174D"/>
    <w:rsid w:val="00B5178B"/>
    <w:rsid w:val="00B5182B"/>
    <w:rsid w:val="00B527E5"/>
    <w:rsid w:val="00B53621"/>
    <w:rsid w:val="00B53A58"/>
    <w:rsid w:val="00B53D5A"/>
    <w:rsid w:val="00B5437D"/>
    <w:rsid w:val="00B5457F"/>
    <w:rsid w:val="00B54702"/>
    <w:rsid w:val="00B5482C"/>
    <w:rsid w:val="00B54BD0"/>
    <w:rsid w:val="00B55513"/>
    <w:rsid w:val="00B555E0"/>
    <w:rsid w:val="00B556F6"/>
    <w:rsid w:val="00B5585D"/>
    <w:rsid w:val="00B55D01"/>
    <w:rsid w:val="00B55F6F"/>
    <w:rsid w:val="00B56534"/>
    <w:rsid w:val="00B56674"/>
    <w:rsid w:val="00B5725F"/>
    <w:rsid w:val="00B573A1"/>
    <w:rsid w:val="00B57579"/>
    <w:rsid w:val="00B57B50"/>
    <w:rsid w:val="00B57DE3"/>
    <w:rsid w:val="00B6006D"/>
    <w:rsid w:val="00B6039C"/>
    <w:rsid w:val="00B60454"/>
    <w:rsid w:val="00B61076"/>
    <w:rsid w:val="00B612AE"/>
    <w:rsid w:val="00B61424"/>
    <w:rsid w:val="00B61D46"/>
    <w:rsid w:val="00B61F4B"/>
    <w:rsid w:val="00B622F9"/>
    <w:rsid w:val="00B630B1"/>
    <w:rsid w:val="00B63391"/>
    <w:rsid w:val="00B63C65"/>
    <w:rsid w:val="00B63EE0"/>
    <w:rsid w:val="00B63FB2"/>
    <w:rsid w:val="00B641BA"/>
    <w:rsid w:val="00B64F55"/>
    <w:rsid w:val="00B651DF"/>
    <w:rsid w:val="00B65472"/>
    <w:rsid w:val="00B6557B"/>
    <w:rsid w:val="00B66723"/>
    <w:rsid w:val="00B6695A"/>
    <w:rsid w:val="00B66DF1"/>
    <w:rsid w:val="00B6716F"/>
    <w:rsid w:val="00B6759C"/>
    <w:rsid w:val="00B675DC"/>
    <w:rsid w:val="00B67728"/>
    <w:rsid w:val="00B67853"/>
    <w:rsid w:val="00B67BE7"/>
    <w:rsid w:val="00B67F67"/>
    <w:rsid w:val="00B703B8"/>
    <w:rsid w:val="00B71115"/>
    <w:rsid w:val="00B71667"/>
    <w:rsid w:val="00B71C41"/>
    <w:rsid w:val="00B72104"/>
    <w:rsid w:val="00B725EB"/>
    <w:rsid w:val="00B72A75"/>
    <w:rsid w:val="00B72ED9"/>
    <w:rsid w:val="00B73685"/>
    <w:rsid w:val="00B73999"/>
    <w:rsid w:val="00B73BB6"/>
    <w:rsid w:val="00B74211"/>
    <w:rsid w:val="00B7445D"/>
    <w:rsid w:val="00B74651"/>
    <w:rsid w:val="00B7479E"/>
    <w:rsid w:val="00B74A72"/>
    <w:rsid w:val="00B74F2C"/>
    <w:rsid w:val="00B75334"/>
    <w:rsid w:val="00B75A03"/>
    <w:rsid w:val="00B7633D"/>
    <w:rsid w:val="00B76962"/>
    <w:rsid w:val="00B76ED3"/>
    <w:rsid w:val="00B773A0"/>
    <w:rsid w:val="00B77A4F"/>
    <w:rsid w:val="00B80CD0"/>
    <w:rsid w:val="00B81768"/>
    <w:rsid w:val="00B81A3F"/>
    <w:rsid w:val="00B81BDC"/>
    <w:rsid w:val="00B81C74"/>
    <w:rsid w:val="00B82CB9"/>
    <w:rsid w:val="00B834C6"/>
    <w:rsid w:val="00B83956"/>
    <w:rsid w:val="00B84160"/>
    <w:rsid w:val="00B845D3"/>
    <w:rsid w:val="00B84A1E"/>
    <w:rsid w:val="00B84D9D"/>
    <w:rsid w:val="00B86185"/>
    <w:rsid w:val="00B863A2"/>
    <w:rsid w:val="00B8738D"/>
    <w:rsid w:val="00B876C3"/>
    <w:rsid w:val="00B87A88"/>
    <w:rsid w:val="00B87C4B"/>
    <w:rsid w:val="00B87DC5"/>
    <w:rsid w:val="00B87EAE"/>
    <w:rsid w:val="00B87F14"/>
    <w:rsid w:val="00B87F2E"/>
    <w:rsid w:val="00B90199"/>
    <w:rsid w:val="00B904C5"/>
    <w:rsid w:val="00B905B0"/>
    <w:rsid w:val="00B91FD8"/>
    <w:rsid w:val="00B928AF"/>
    <w:rsid w:val="00B93282"/>
    <w:rsid w:val="00B935CB"/>
    <w:rsid w:val="00B93C4B"/>
    <w:rsid w:val="00B93E8F"/>
    <w:rsid w:val="00B94135"/>
    <w:rsid w:val="00B948E9"/>
    <w:rsid w:val="00B94A36"/>
    <w:rsid w:val="00B94D79"/>
    <w:rsid w:val="00B94E0E"/>
    <w:rsid w:val="00B95516"/>
    <w:rsid w:val="00B95B07"/>
    <w:rsid w:val="00B95DDE"/>
    <w:rsid w:val="00B9695A"/>
    <w:rsid w:val="00B96CFB"/>
    <w:rsid w:val="00B97CB5"/>
    <w:rsid w:val="00BA0326"/>
    <w:rsid w:val="00BA09EE"/>
    <w:rsid w:val="00BA0B6C"/>
    <w:rsid w:val="00BA1079"/>
    <w:rsid w:val="00BA10BA"/>
    <w:rsid w:val="00BA1412"/>
    <w:rsid w:val="00BA1534"/>
    <w:rsid w:val="00BA177E"/>
    <w:rsid w:val="00BA1971"/>
    <w:rsid w:val="00BA2E17"/>
    <w:rsid w:val="00BA3698"/>
    <w:rsid w:val="00BA3749"/>
    <w:rsid w:val="00BA3ED5"/>
    <w:rsid w:val="00BA447C"/>
    <w:rsid w:val="00BA5776"/>
    <w:rsid w:val="00BA5D5E"/>
    <w:rsid w:val="00BA65E6"/>
    <w:rsid w:val="00BA6ED4"/>
    <w:rsid w:val="00BA735B"/>
    <w:rsid w:val="00BB0538"/>
    <w:rsid w:val="00BB080F"/>
    <w:rsid w:val="00BB0880"/>
    <w:rsid w:val="00BB2197"/>
    <w:rsid w:val="00BB2AD0"/>
    <w:rsid w:val="00BB2FD9"/>
    <w:rsid w:val="00BB4D2A"/>
    <w:rsid w:val="00BB4ED1"/>
    <w:rsid w:val="00BB4FC9"/>
    <w:rsid w:val="00BB50D7"/>
    <w:rsid w:val="00BB537B"/>
    <w:rsid w:val="00BB54B0"/>
    <w:rsid w:val="00BB553D"/>
    <w:rsid w:val="00BB5595"/>
    <w:rsid w:val="00BB627A"/>
    <w:rsid w:val="00BB63A4"/>
    <w:rsid w:val="00BB6BA2"/>
    <w:rsid w:val="00BC02E7"/>
    <w:rsid w:val="00BC060D"/>
    <w:rsid w:val="00BC0B1E"/>
    <w:rsid w:val="00BC0B62"/>
    <w:rsid w:val="00BC0EFA"/>
    <w:rsid w:val="00BC0F0F"/>
    <w:rsid w:val="00BC1127"/>
    <w:rsid w:val="00BC13C2"/>
    <w:rsid w:val="00BC16F8"/>
    <w:rsid w:val="00BC1A0D"/>
    <w:rsid w:val="00BC268F"/>
    <w:rsid w:val="00BC2C99"/>
    <w:rsid w:val="00BC2DC4"/>
    <w:rsid w:val="00BC30C8"/>
    <w:rsid w:val="00BC32DD"/>
    <w:rsid w:val="00BC3DA7"/>
    <w:rsid w:val="00BC4416"/>
    <w:rsid w:val="00BC534C"/>
    <w:rsid w:val="00BC56FF"/>
    <w:rsid w:val="00BC68F1"/>
    <w:rsid w:val="00BC6AF5"/>
    <w:rsid w:val="00BC705D"/>
    <w:rsid w:val="00BC7282"/>
    <w:rsid w:val="00BD0020"/>
    <w:rsid w:val="00BD07D9"/>
    <w:rsid w:val="00BD09EB"/>
    <w:rsid w:val="00BD0E63"/>
    <w:rsid w:val="00BD186D"/>
    <w:rsid w:val="00BD28DC"/>
    <w:rsid w:val="00BD2E9C"/>
    <w:rsid w:val="00BD30CD"/>
    <w:rsid w:val="00BD3B8D"/>
    <w:rsid w:val="00BD40CD"/>
    <w:rsid w:val="00BD4338"/>
    <w:rsid w:val="00BD47A2"/>
    <w:rsid w:val="00BD47DC"/>
    <w:rsid w:val="00BD4800"/>
    <w:rsid w:val="00BD4810"/>
    <w:rsid w:val="00BD4EDA"/>
    <w:rsid w:val="00BD5278"/>
    <w:rsid w:val="00BD5567"/>
    <w:rsid w:val="00BD5601"/>
    <w:rsid w:val="00BD6068"/>
    <w:rsid w:val="00BD6087"/>
    <w:rsid w:val="00BD62C6"/>
    <w:rsid w:val="00BD6933"/>
    <w:rsid w:val="00BD72D7"/>
    <w:rsid w:val="00BE0017"/>
    <w:rsid w:val="00BE0943"/>
    <w:rsid w:val="00BE0CC3"/>
    <w:rsid w:val="00BE0D64"/>
    <w:rsid w:val="00BE1258"/>
    <w:rsid w:val="00BE186B"/>
    <w:rsid w:val="00BE1C5A"/>
    <w:rsid w:val="00BE28B9"/>
    <w:rsid w:val="00BE2942"/>
    <w:rsid w:val="00BE2F63"/>
    <w:rsid w:val="00BE359B"/>
    <w:rsid w:val="00BE3912"/>
    <w:rsid w:val="00BE398C"/>
    <w:rsid w:val="00BE39F6"/>
    <w:rsid w:val="00BE3B61"/>
    <w:rsid w:val="00BE3BED"/>
    <w:rsid w:val="00BE3E81"/>
    <w:rsid w:val="00BE4584"/>
    <w:rsid w:val="00BE48F2"/>
    <w:rsid w:val="00BE4965"/>
    <w:rsid w:val="00BE4B05"/>
    <w:rsid w:val="00BE4FA7"/>
    <w:rsid w:val="00BE51B9"/>
    <w:rsid w:val="00BE5CA7"/>
    <w:rsid w:val="00BE5E68"/>
    <w:rsid w:val="00BE646F"/>
    <w:rsid w:val="00BE647B"/>
    <w:rsid w:val="00BE6DA7"/>
    <w:rsid w:val="00BE758F"/>
    <w:rsid w:val="00BE7634"/>
    <w:rsid w:val="00BE7E18"/>
    <w:rsid w:val="00BF0233"/>
    <w:rsid w:val="00BF048B"/>
    <w:rsid w:val="00BF0595"/>
    <w:rsid w:val="00BF066A"/>
    <w:rsid w:val="00BF084E"/>
    <w:rsid w:val="00BF133C"/>
    <w:rsid w:val="00BF16F4"/>
    <w:rsid w:val="00BF1A10"/>
    <w:rsid w:val="00BF1B54"/>
    <w:rsid w:val="00BF1E0E"/>
    <w:rsid w:val="00BF1E21"/>
    <w:rsid w:val="00BF1EDE"/>
    <w:rsid w:val="00BF2786"/>
    <w:rsid w:val="00BF2849"/>
    <w:rsid w:val="00BF33B0"/>
    <w:rsid w:val="00BF3548"/>
    <w:rsid w:val="00BF36F8"/>
    <w:rsid w:val="00BF375A"/>
    <w:rsid w:val="00BF3AF6"/>
    <w:rsid w:val="00BF3BD1"/>
    <w:rsid w:val="00BF3C22"/>
    <w:rsid w:val="00BF3FF0"/>
    <w:rsid w:val="00BF4054"/>
    <w:rsid w:val="00BF40E8"/>
    <w:rsid w:val="00BF4213"/>
    <w:rsid w:val="00BF4262"/>
    <w:rsid w:val="00BF4AD6"/>
    <w:rsid w:val="00BF4D8C"/>
    <w:rsid w:val="00BF6470"/>
    <w:rsid w:val="00BF6711"/>
    <w:rsid w:val="00BF697A"/>
    <w:rsid w:val="00BF69B7"/>
    <w:rsid w:val="00BF7148"/>
    <w:rsid w:val="00BF7358"/>
    <w:rsid w:val="00BF745D"/>
    <w:rsid w:val="00BF74D2"/>
    <w:rsid w:val="00BF762A"/>
    <w:rsid w:val="00BF788C"/>
    <w:rsid w:val="00BF7CD2"/>
    <w:rsid w:val="00BF7DE3"/>
    <w:rsid w:val="00C00342"/>
    <w:rsid w:val="00C004C3"/>
    <w:rsid w:val="00C013C9"/>
    <w:rsid w:val="00C014F6"/>
    <w:rsid w:val="00C01D2A"/>
    <w:rsid w:val="00C02395"/>
    <w:rsid w:val="00C0262A"/>
    <w:rsid w:val="00C03219"/>
    <w:rsid w:val="00C03560"/>
    <w:rsid w:val="00C0394E"/>
    <w:rsid w:val="00C03A4D"/>
    <w:rsid w:val="00C03CDC"/>
    <w:rsid w:val="00C047C9"/>
    <w:rsid w:val="00C04B11"/>
    <w:rsid w:val="00C04B1F"/>
    <w:rsid w:val="00C04C22"/>
    <w:rsid w:val="00C054B2"/>
    <w:rsid w:val="00C056C8"/>
    <w:rsid w:val="00C05846"/>
    <w:rsid w:val="00C05C4D"/>
    <w:rsid w:val="00C05E56"/>
    <w:rsid w:val="00C06214"/>
    <w:rsid w:val="00C064E1"/>
    <w:rsid w:val="00C0676B"/>
    <w:rsid w:val="00C06E4F"/>
    <w:rsid w:val="00C06F5E"/>
    <w:rsid w:val="00C073C4"/>
    <w:rsid w:val="00C1112C"/>
    <w:rsid w:val="00C1143D"/>
    <w:rsid w:val="00C11CAF"/>
    <w:rsid w:val="00C1266E"/>
    <w:rsid w:val="00C12672"/>
    <w:rsid w:val="00C129AA"/>
    <w:rsid w:val="00C136C5"/>
    <w:rsid w:val="00C13E63"/>
    <w:rsid w:val="00C13FA6"/>
    <w:rsid w:val="00C13FF6"/>
    <w:rsid w:val="00C142CA"/>
    <w:rsid w:val="00C147AA"/>
    <w:rsid w:val="00C147B5"/>
    <w:rsid w:val="00C14D77"/>
    <w:rsid w:val="00C14ECA"/>
    <w:rsid w:val="00C159AC"/>
    <w:rsid w:val="00C16027"/>
    <w:rsid w:val="00C162ED"/>
    <w:rsid w:val="00C16626"/>
    <w:rsid w:val="00C1689F"/>
    <w:rsid w:val="00C16B33"/>
    <w:rsid w:val="00C16B4E"/>
    <w:rsid w:val="00C17334"/>
    <w:rsid w:val="00C17D14"/>
    <w:rsid w:val="00C20012"/>
    <w:rsid w:val="00C20B21"/>
    <w:rsid w:val="00C20FB5"/>
    <w:rsid w:val="00C214D7"/>
    <w:rsid w:val="00C2159D"/>
    <w:rsid w:val="00C2188B"/>
    <w:rsid w:val="00C219E1"/>
    <w:rsid w:val="00C21BC8"/>
    <w:rsid w:val="00C21BC9"/>
    <w:rsid w:val="00C21D3C"/>
    <w:rsid w:val="00C22488"/>
    <w:rsid w:val="00C229FB"/>
    <w:rsid w:val="00C22A76"/>
    <w:rsid w:val="00C22C00"/>
    <w:rsid w:val="00C22DF0"/>
    <w:rsid w:val="00C23E2B"/>
    <w:rsid w:val="00C2424D"/>
    <w:rsid w:val="00C24474"/>
    <w:rsid w:val="00C2456F"/>
    <w:rsid w:val="00C246A3"/>
    <w:rsid w:val="00C24ACE"/>
    <w:rsid w:val="00C24B90"/>
    <w:rsid w:val="00C25368"/>
    <w:rsid w:val="00C259D3"/>
    <w:rsid w:val="00C25AC9"/>
    <w:rsid w:val="00C261D0"/>
    <w:rsid w:val="00C264BF"/>
    <w:rsid w:val="00C2692F"/>
    <w:rsid w:val="00C26B49"/>
    <w:rsid w:val="00C26DF5"/>
    <w:rsid w:val="00C27406"/>
    <w:rsid w:val="00C27809"/>
    <w:rsid w:val="00C27E76"/>
    <w:rsid w:val="00C300D3"/>
    <w:rsid w:val="00C30466"/>
    <w:rsid w:val="00C30581"/>
    <w:rsid w:val="00C30FB4"/>
    <w:rsid w:val="00C310E8"/>
    <w:rsid w:val="00C31576"/>
    <w:rsid w:val="00C315AC"/>
    <w:rsid w:val="00C3185D"/>
    <w:rsid w:val="00C31C9A"/>
    <w:rsid w:val="00C325BB"/>
    <w:rsid w:val="00C325C7"/>
    <w:rsid w:val="00C332DA"/>
    <w:rsid w:val="00C3356D"/>
    <w:rsid w:val="00C33BEA"/>
    <w:rsid w:val="00C3406C"/>
    <w:rsid w:val="00C3414B"/>
    <w:rsid w:val="00C3415B"/>
    <w:rsid w:val="00C351DB"/>
    <w:rsid w:val="00C354B9"/>
    <w:rsid w:val="00C3562D"/>
    <w:rsid w:val="00C35659"/>
    <w:rsid w:val="00C3630F"/>
    <w:rsid w:val="00C37051"/>
    <w:rsid w:val="00C37DE6"/>
    <w:rsid w:val="00C40654"/>
    <w:rsid w:val="00C407F1"/>
    <w:rsid w:val="00C40A85"/>
    <w:rsid w:val="00C40AC0"/>
    <w:rsid w:val="00C413E8"/>
    <w:rsid w:val="00C41561"/>
    <w:rsid w:val="00C4196D"/>
    <w:rsid w:val="00C4202E"/>
    <w:rsid w:val="00C424CA"/>
    <w:rsid w:val="00C4257E"/>
    <w:rsid w:val="00C42F96"/>
    <w:rsid w:val="00C42F9E"/>
    <w:rsid w:val="00C42FD4"/>
    <w:rsid w:val="00C4332B"/>
    <w:rsid w:val="00C4393A"/>
    <w:rsid w:val="00C4395D"/>
    <w:rsid w:val="00C43AFE"/>
    <w:rsid w:val="00C43B33"/>
    <w:rsid w:val="00C440AC"/>
    <w:rsid w:val="00C44330"/>
    <w:rsid w:val="00C44980"/>
    <w:rsid w:val="00C45764"/>
    <w:rsid w:val="00C45E42"/>
    <w:rsid w:val="00C45E51"/>
    <w:rsid w:val="00C46E7B"/>
    <w:rsid w:val="00C47187"/>
    <w:rsid w:val="00C4732C"/>
    <w:rsid w:val="00C47916"/>
    <w:rsid w:val="00C47AB9"/>
    <w:rsid w:val="00C47BAC"/>
    <w:rsid w:val="00C50384"/>
    <w:rsid w:val="00C50714"/>
    <w:rsid w:val="00C50C19"/>
    <w:rsid w:val="00C50DEB"/>
    <w:rsid w:val="00C50F5F"/>
    <w:rsid w:val="00C51652"/>
    <w:rsid w:val="00C51B62"/>
    <w:rsid w:val="00C51E3C"/>
    <w:rsid w:val="00C52072"/>
    <w:rsid w:val="00C5220E"/>
    <w:rsid w:val="00C5231A"/>
    <w:rsid w:val="00C52BBE"/>
    <w:rsid w:val="00C52E96"/>
    <w:rsid w:val="00C52F1A"/>
    <w:rsid w:val="00C52F9F"/>
    <w:rsid w:val="00C53488"/>
    <w:rsid w:val="00C538DD"/>
    <w:rsid w:val="00C538ED"/>
    <w:rsid w:val="00C540B0"/>
    <w:rsid w:val="00C54174"/>
    <w:rsid w:val="00C54721"/>
    <w:rsid w:val="00C5473D"/>
    <w:rsid w:val="00C551A7"/>
    <w:rsid w:val="00C55319"/>
    <w:rsid w:val="00C5542D"/>
    <w:rsid w:val="00C557CE"/>
    <w:rsid w:val="00C55E85"/>
    <w:rsid w:val="00C561B0"/>
    <w:rsid w:val="00C563E4"/>
    <w:rsid w:val="00C56FDF"/>
    <w:rsid w:val="00C5705D"/>
    <w:rsid w:val="00C570BE"/>
    <w:rsid w:val="00C574FB"/>
    <w:rsid w:val="00C57F01"/>
    <w:rsid w:val="00C60053"/>
    <w:rsid w:val="00C6028B"/>
    <w:rsid w:val="00C607B4"/>
    <w:rsid w:val="00C60C0A"/>
    <w:rsid w:val="00C61316"/>
    <w:rsid w:val="00C61882"/>
    <w:rsid w:val="00C61BE2"/>
    <w:rsid w:val="00C61E55"/>
    <w:rsid w:val="00C61F3B"/>
    <w:rsid w:val="00C626B7"/>
    <w:rsid w:val="00C62AA0"/>
    <w:rsid w:val="00C63024"/>
    <w:rsid w:val="00C6346D"/>
    <w:rsid w:val="00C6368B"/>
    <w:rsid w:val="00C63EDD"/>
    <w:rsid w:val="00C6446E"/>
    <w:rsid w:val="00C6476C"/>
    <w:rsid w:val="00C6493F"/>
    <w:rsid w:val="00C65726"/>
    <w:rsid w:val="00C658F4"/>
    <w:rsid w:val="00C65B1D"/>
    <w:rsid w:val="00C65FD6"/>
    <w:rsid w:val="00C66954"/>
    <w:rsid w:val="00C676E1"/>
    <w:rsid w:val="00C6772B"/>
    <w:rsid w:val="00C677BA"/>
    <w:rsid w:val="00C67ED3"/>
    <w:rsid w:val="00C70210"/>
    <w:rsid w:val="00C703E7"/>
    <w:rsid w:val="00C704DB"/>
    <w:rsid w:val="00C705BB"/>
    <w:rsid w:val="00C708C1"/>
    <w:rsid w:val="00C70B25"/>
    <w:rsid w:val="00C710E3"/>
    <w:rsid w:val="00C715A3"/>
    <w:rsid w:val="00C71661"/>
    <w:rsid w:val="00C7195D"/>
    <w:rsid w:val="00C71CBE"/>
    <w:rsid w:val="00C71F84"/>
    <w:rsid w:val="00C72F19"/>
    <w:rsid w:val="00C73050"/>
    <w:rsid w:val="00C737B6"/>
    <w:rsid w:val="00C73B1F"/>
    <w:rsid w:val="00C73BD4"/>
    <w:rsid w:val="00C73CE3"/>
    <w:rsid w:val="00C7438F"/>
    <w:rsid w:val="00C7444A"/>
    <w:rsid w:val="00C744AC"/>
    <w:rsid w:val="00C7475A"/>
    <w:rsid w:val="00C74A3E"/>
    <w:rsid w:val="00C75BDE"/>
    <w:rsid w:val="00C760C8"/>
    <w:rsid w:val="00C76D58"/>
    <w:rsid w:val="00C76F15"/>
    <w:rsid w:val="00C76F9E"/>
    <w:rsid w:val="00C77017"/>
    <w:rsid w:val="00C77242"/>
    <w:rsid w:val="00C775A0"/>
    <w:rsid w:val="00C77750"/>
    <w:rsid w:val="00C77B0B"/>
    <w:rsid w:val="00C80165"/>
    <w:rsid w:val="00C80501"/>
    <w:rsid w:val="00C811FF"/>
    <w:rsid w:val="00C820D5"/>
    <w:rsid w:val="00C8217C"/>
    <w:rsid w:val="00C82289"/>
    <w:rsid w:val="00C8239C"/>
    <w:rsid w:val="00C8295A"/>
    <w:rsid w:val="00C832A7"/>
    <w:rsid w:val="00C83357"/>
    <w:rsid w:val="00C83537"/>
    <w:rsid w:val="00C83943"/>
    <w:rsid w:val="00C84D6E"/>
    <w:rsid w:val="00C84E86"/>
    <w:rsid w:val="00C852D5"/>
    <w:rsid w:val="00C8566A"/>
    <w:rsid w:val="00C85B5A"/>
    <w:rsid w:val="00C85DD8"/>
    <w:rsid w:val="00C85E86"/>
    <w:rsid w:val="00C868A0"/>
    <w:rsid w:val="00C9002F"/>
    <w:rsid w:val="00C908BB"/>
    <w:rsid w:val="00C909FC"/>
    <w:rsid w:val="00C90DF6"/>
    <w:rsid w:val="00C9104E"/>
    <w:rsid w:val="00C912AB"/>
    <w:rsid w:val="00C9137F"/>
    <w:rsid w:val="00C91B21"/>
    <w:rsid w:val="00C91BC0"/>
    <w:rsid w:val="00C91ED2"/>
    <w:rsid w:val="00C921AB"/>
    <w:rsid w:val="00C92B25"/>
    <w:rsid w:val="00C93316"/>
    <w:rsid w:val="00C9398C"/>
    <w:rsid w:val="00C93F13"/>
    <w:rsid w:val="00C952E9"/>
    <w:rsid w:val="00C9538E"/>
    <w:rsid w:val="00C961C9"/>
    <w:rsid w:val="00C9621A"/>
    <w:rsid w:val="00C9663B"/>
    <w:rsid w:val="00C96EE7"/>
    <w:rsid w:val="00C971DA"/>
    <w:rsid w:val="00C973CC"/>
    <w:rsid w:val="00C97E83"/>
    <w:rsid w:val="00C97FEE"/>
    <w:rsid w:val="00CA04D8"/>
    <w:rsid w:val="00CA063E"/>
    <w:rsid w:val="00CA07D9"/>
    <w:rsid w:val="00CA08E0"/>
    <w:rsid w:val="00CA1183"/>
    <w:rsid w:val="00CA142F"/>
    <w:rsid w:val="00CA1508"/>
    <w:rsid w:val="00CA182D"/>
    <w:rsid w:val="00CA2AE7"/>
    <w:rsid w:val="00CA2F8A"/>
    <w:rsid w:val="00CA30D5"/>
    <w:rsid w:val="00CA30EB"/>
    <w:rsid w:val="00CA3CE1"/>
    <w:rsid w:val="00CA3DCF"/>
    <w:rsid w:val="00CA49A3"/>
    <w:rsid w:val="00CA4DCB"/>
    <w:rsid w:val="00CA4F40"/>
    <w:rsid w:val="00CA4FEA"/>
    <w:rsid w:val="00CA5453"/>
    <w:rsid w:val="00CA569A"/>
    <w:rsid w:val="00CA578B"/>
    <w:rsid w:val="00CA6220"/>
    <w:rsid w:val="00CA632D"/>
    <w:rsid w:val="00CA64DC"/>
    <w:rsid w:val="00CA6671"/>
    <w:rsid w:val="00CA6705"/>
    <w:rsid w:val="00CA6972"/>
    <w:rsid w:val="00CA6A43"/>
    <w:rsid w:val="00CA6A9B"/>
    <w:rsid w:val="00CA6EDC"/>
    <w:rsid w:val="00CA70A7"/>
    <w:rsid w:val="00CA710C"/>
    <w:rsid w:val="00CA718C"/>
    <w:rsid w:val="00CA7212"/>
    <w:rsid w:val="00CA72EB"/>
    <w:rsid w:val="00CA72F3"/>
    <w:rsid w:val="00CA7DC1"/>
    <w:rsid w:val="00CB04EE"/>
    <w:rsid w:val="00CB065E"/>
    <w:rsid w:val="00CB07A6"/>
    <w:rsid w:val="00CB1131"/>
    <w:rsid w:val="00CB13AC"/>
    <w:rsid w:val="00CB1BDC"/>
    <w:rsid w:val="00CB209C"/>
    <w:rsid w:val="00CB26E9"/>
    <w:rsid w:val="00CB2C9F"/>
    <w:rsid w:val="00CB30B0"/>
    <w:rsid w:val="00CB30D6"/>
    <w:rsid w:val="00CB3165"/>
    <w:rsid w:val="00CB3911"/>
    <w:rsid w:val="00CB3A55"/>
    <w:rsid w:val="00CB3B15"/>
    <w:rsid w:val="00CB4191"/>
    <w:rsid w:val="00CB510F"/>
    <w:rsid w:val="00CB5182"/>
    <w:rsid w:val="00CB5BD7"/>
    <w:rsid w:val="00CB61CE"/>
    <w:rsid w:val="00CB63BF"/>
    <w:rsid w:val="00CB64DE"/>
    <w:rsid w:val="00CB6D8F"/>
    <w:rsid w:val="00CB7733"/>
    <w:rsid w:val="00CB7902"/>
    <w:rsid w:val="00CC0545"/>
    <w:rsid w:val="00CC088A"/>
    <w:rsid w:val="00CC0E0E"/>
    <w:rsid w:val="00CC10E6"/>
    <w:rsid w:val="00CC1690"/>
    <w:rsid w:val="00CC17D4"/>
    <w:rsid w:val="00CC1A8B"/>
    <w:rsid w:val="00CC1B57"/>
    <w:rsid w:val="00CC1F02"/>
    <w:rsid w:val="00CC2171"/>
    <w:rsid w:val="00CC273E"/>
    <w:rsid w:val="00CC279C"/>
    <w:rsid w:val="00CC2CF5"/>
    <w:rsid w:val="00CC3117"/>
    <w:rsid w:val="00CC3F16"/>
    <w:rsid w:val="00CC3FB4"/>
    <w:rsid w:val="00CC442F"/>
    <w:rsid w:val="00CC55E5"/>
    <w:rsid w:val="00CC5CC7"/>
    <w:rsid w:val="00CC63A8"/>
    <w:rsid w:val="00CC63D8"/>
    <w:rsid w:val="00CC6472"/>
    <w:rsid w:val="00CC665E"/>
    <w:rsid w:val="00CC673F"/>
    <w:rsid w:val="00CC6973"/>
    <w:rsid w:val="00CC6D90"/>
    <w:rsid w:val="00CC74D9"/>
    <w:rsid w:val="00CC758C"/>
    <w:rsid w:val="00CC7835"/>
    <w:rsid w:val="00CC7AB9"/>
    <w:rsid w:val="00CC7B4C"/>
    <w:rsid w:val="00CC7C65"/>
    <w:rsid w:val="00CC7DD8"/>
    <w:rsid w:val="00CC7E24"/>
    <w:rsid w:val="00CD011F"/>
    <w:rsid w:val="00CD0189"/>
    <w:rsid w:val="00CD0361"/>
    <w:rsid w:val="00CD0A53"/>
    <w:rsid w:val="00CD117C"/>
    <w:rsid w:val="00CD1F0F"/>
    <w:rsid w:val="00CD1F7B"/>
    <w:rsid w:val="00CD1FEA"/>
    <w:rsid w:val="00CD2030"/>
    <w:rsid w:val="00CD23E8"/>
    <w:rsid w:val="00CD4105"/>
    <w:rsid w:val="00CD4235"/>
    <w:rsid w:val="00CD49CC"/>
    <w:rsid w:val="00CD4C56"/>
    <w:rsid w:val="00CD4EDB"/>
    <w:rsid w:val="00CD51E7"/>
    <w:rsid w:val="00CD6439"/>
    <w:rsid w:val="00CD6488"/>
    <w:rsid w:val="00CD682F"/>
    <w:rsid w:val="00CD6A9C"/>
    <w:rsid w:val="00CD7DA1"/>
    <w:rsid w:val="00CE0218"/>
    <w:rsid w:val="00CE0C42"/>
    <w:rsid w:val="00CE193A"/>
    <w:rsid w:val="00CE1B93"/>
    <w:rsid w:val="00CE2340"/>
    <w:rsid w:val="00CE2391"/>
    <w:rsid w:val="00CE2EED"/>
    <w:rsid w:val="00CE30D5"/>
    <w:rsid w:val="00CE3F90"/>
    <w:rsid w:val="00CE43A0"/>
    <w:rsid w:val="00CE460D"/>
    <w:rsid w:val="00CE476F"/>
    <w:rsid w:val="00CE5374"/>
    <w:rsid w:val="00CE638C"/>
    <w:rsid w:val="00CE665A"/>
    <w:rsid w:val="00CE6DEF"/>
    <w:rsid w:val="00CE78FD"/>
    <w:rsid w:val="00CF0188"/>
    <w:rsid w:val="00CF0CCD"/>
    <w:rsid w:val="00CF0F6D"/>
    <w:rsid w:val="00CF14B0"/>
    <w:rsid w:val="00CF1C12"/>
    <w:rsid w:val="00CF1E48"/>
    <w:rsid w:val="00CF1E57"/>
    <w:rsid w:val="00CF1EA8"/>
    <w:rsid w:val="00CF24BF"/>
    <w:rsid w:val="00CF2943"/>
    <w:rsid w:val="00CF2992"/>
    <w:rsid w:val="00CF2C1F"/>
    <w:rsid w:val="00CF2DB5"/>
    <w:rsid w:val="00CF3D6C"/>
    <w:rsid w:val="00CF42F0"/>
    <w:rsid w:val="00CF4545"/>
    <w:rsid w:val="00CF45AB"/>
    <w:rsid w:val="00CF49A1"/>
    <w:rsid w:val="00CF4C4E"/>
    <w:rsid w:val="00CF4EBC"/>
    <w:rsid w:val="00CF5B04"/>
    <w:rsid w:val="00CF5EAD"/>
    <w:rsid w:val="00CF5EE3"/>
    <w:rsid w:val="00CF6284"/>
    <w:rsid w:val="00CF7438"/>
    <w:rsid w:val="00CF783B"/>
    <w:rsid w:val="00CF792C"/>
    <w:rsid w:val="00D0026B"/>
    <w:rsid w:val="00D009B1"/>
    <w:rsid w:val="00D00A30"/>
    <w:rsid w:val="00D0134C"/>
    <w:rsid w:val="00D01438"/>
    <w:rsid w:val="00D01523"/>
    <w:rsid w:val="00D017C8"/>
    <w:rsid w:val="00D0196D"/>
    <w:rsid w:val="00D019C2"/>
    <w:rsid w:val="00D01E19"/>
    <w:rsid w:val="00D01FB1"/>
    <w:rsid w:val="00D0223D"/>
    <w:rsid w:val="00D023E2"/>
    <w:rsid w:val="00D02525"/>
    <w:rsid w:val="00D02643"/>
    <w:rsid w:val="00D02799"/>
    <w:rsid w:val="00D02A9E"/>
    <w:rsid w:val="00D02E2D"/>
    <w:rsid w:val="00D03358"/>
    <w:rsid w:val="00D03AE1"/>
    <w:rsid w:val="00D03E78"/>
    <w:rsid w:val="00D04279"/>
    <w:rsid w:val="00D04AAE"/>
    <w:rsid w:val="00D0569F"/>
    <w:rsid w:val="00D057B5"/>
    <w:rsid w:val="00D05D69"/>
    <w:rsid w:val="00D062AA"/>
    <w:rsid w:val="00D065D3"/>
    <w:rsid w:val="00D06C1D"/>
    <w:rsid w:val="00D06CCE"/>
    <w:rsid w:val="00D07712"/>
    <w:rsid w:val="00D07FBE"/>
    <w:rsid w:val="00D10793"/>
    <w:rsid w:val="00D10973"/>
    <w:rsid w:val="00D10A78"/>
    <w:rsid w:val="00D10D8D"/>
    <w:rsid w:val="00D10E1B"/>
    <w:rsid w:val="00D11044"/>
    <w:rsid w:val="00D11213"/>
    <w:rsid w:val="00D11344"/>
    <w:rsid w:val="00D11398"/>
    <w:rsid w:val="00D11A88"/>
    <w:rsid w:val="00D11DD4"/>
    <w:rsid w:val="00D12761"/>
    <w:rsid w:val="00D12D05"/>
    <w:rsid w:val="00D13979"/>
    <w:rsid w:val="00D13A17"/>
    <w:rsid w:val="00D13D19"/>
    <w:rsid w:val="00D1456D"/>
    <w:rsid w:val="00D14B27"/>
    <w:rsid w:val="00D14D84"/>
    <w:rsid w:val="00D15924"/>
    <w:rsid w:val="00D15A39"/>
    <w:rsid w:val="00D15C60"/>
    <w:rsid w:val="00D15DC7"/>
    <w:rsid w:val="00D15ED3"/>
    <w:rsid w:val="00D16372"/>
    <w:rsid w:val="00D1646A"/>
    <w:rsid w:val="00D164E8"/>
    <w:rsid w:val="00D166C0"/>
    <w:rsid w:val="00D16FBA"/>
    <w:rsid w:val="00D1741F"/>
    <w:rsid w:val="00D17640"/>
    <w:rsid w:val="00D17964"/>
    <w:rsid w:val="00D179D9"/>
    <w:rsid w:val="00D17E01"/>
    <w:rsid w:val="00D207B1"/>
    <w:rsid w:val="00D207B5"/>
    <w:rsid w:val="00D20CBD"/>
    <w:rsid w:val="00D21674"/>
    <w:rsid w:val="00D21AE8"/>
    <w:rsid w:val="00D21BDC"/>
    <w:rsid w:val="00D233EA"/>
    <w:rsid w:val="00D23735"/>
    <w:rsid w:val="00D23973"/>
    <w:rsid w:val="00D249B9"/>
    <w:rsid w:val="00D24AD2"/>
    <w:rsid w:val="00D24B0C"/>
    <w:rsid w:val="00D24F21"/>
    <w:rsid w:val="00D24F2F"/>
    <w:rsid w:val="00D2529D"/>
    <w:rsid w:val="00D25650"/>
    <w:rsid w:val="00D2581D"/>
    <w:rsid w:val="00D25F54"/>
    <w:rsid w:val="00D26685"/>
    <w:rsid w:val="00D267F8"/>
    <w:rsid w:val="00D269ED"/>
    <w:rsid w:val="00D26F30"/>
    <w:rsid w:val="00D2768A"/>
    <w:rsid w:val="00D2776F"/>
    <w:rsid w:val="00D278ED"/>
    <w:rsid w:val="00D27BFF"/>
    <w:rsid w:val="00D27F3E"/>
    <w:rsid w:val="00D27FBC"/>
    <w:rsid w:val="00D3055F"/>
    <w:rsid w:val="00D30DBA"/>
    <w:rsid w:val="00D310A7"/>
    <w:rsid w:val="00D31479"/>
    <w:rsid w:val="00D31F65"/>
    <w:rsid w:val="00D322CD"/>
    <w:rsid w:val="00D3260B"/>
    <w:rsid w:val="00D3289B"/>
    <w:rsid w:val="00D331DE"/>
    <w:rsid w:val="00D33696"/>
    <w:rsid w:val="00D346B7"/>
    <w:rsid w:val="00D34D54"/>
    <w:rsid w:val="00D34EC7"/>
    <w:rsid w:val="00D35467"/>
    <w:rsid w:val="00D356E9"/>
    <w:rsid w:val="00D35976"/>
    <w:rsid w:val="00D36152"/>
    <w:rsid w:val="00D36C92"/>
    <w:rsid w:val="00D36F9B"/>
    <w:rsid w:val="00D37147"/>
    <w:rsid w:val="00D37445"/>
    <w:rsid w:val="00D374AB"/>
    <w:rsid w:val="00D37D1C"/>
    <w:rsid w:val="00D40444"/>
    <w:rsid w:val="00D40517"/>
    <w:rsid w:val="00D40878"/>
    <w:rsid w:val="00D40A69"/>
    <w:rsid w:val="00D40D91"/>
    <w:rsid w:val="00D416D0"/>
    <w:rsid w:val="00D419F4"/>
    <w:rsid w:val="00D41FB3"/>
    <w:rsid w:val="00D42A71"/>
    <w:rsid w:val="00D433D7"/>
    <w:rsid w:val="00D43478"/>
    <w:rsid w:val="00D435F2"/>
    <w:rsid w:val="00D440C3"/>
    <w:rsid w:val="00D443E4"/>
    <w:rsid w:val="00D44464"/>
    <w:rsid w:val="00D4450C"/>
    <w:rsid w:val="00D445D4"/>
    <w:rsid w:val="00D44613"/>
    <w:rsid w:val="00D44A74"/>
    <w:rsid w:val="00D44EF4"/>
    <w:rsid w:val="00D45361"/>
    <w:rsid w:val="00D4567E"/>
    <w:rsid w:val="00D45E00"/>
    <w:rsid w:val="00D4619E"/>
    <w:rsid w:val="00D466F5"/>
    <w:rsid w:val="00D469CA"/>
    <w:rsid w:val="00D46E47"/>
    <w:rsid w:val="00D471A2"/>
    <w:rsid w:val="00D47594"/>
    <w:rsid w:val="00D4777F"/>
    <w:rsid w:val="00D47B05"/>
    <w:rsid w:val="00D50B73"/>
    <w:rsid w:val="00D50FFB"/>
    <w:rsid w:val="00D51461"/>
    <w:rsid w:val="00D517CE"/>
    <w:rsid w:val="00D51D42"/>
    <w:rsid w:val="00D51D75"/>
    <w:rsid w:val="00D52240"/>
    <w:rsid w:val="00D52478"/>
    <w:rsid w:val="00D52545"/>
    <w:rsid w:val="00D525C1"/>
    <w:rsid w:val="00D531B3"/>
    <w:rsid w:val="00D54217"/>
    <w:rsid w:val="00D5443B"/>
    <w:rsid w:val="00D549BB"/>
    <w:rsid w:val="00D54DE1"/>
    <w:rsid w:val="00D54FF2"/>
    <w:rsid w:val="00D5538F"/>
    <w:rsid w:val="00D55526"/>
    <w:rsid w:val="00D55565"/>
    <w:rsid w:val="00D5566C"/>
    <w:rsid w:val="00D559BC"/>
    <w:rsid w:val="00D55BA3"/>
    <w:rsid w:val="00D55DE4"/>
    <w:rsid w:val="00D56158"/>
    <w:rsid w:val="00D56286"/>
    <w:rsid w:val="00D5687E"/>
    <w:rsid w:val="00D56B0C"/>
    <w:rsid w:val="00D56F4B"/>
    <w:rsid w:val="00D57293"/>
    <w:rsid w:val="00D5730E"/>
    <w:rsid w:val="00D57EC8"/>
    <w:rsid w:val="00D60AC6"/>
    <w:rsid w:val="00D61083"/>
    <w:rsid w:val="00D61934"/>
    <w:rsid w:val="00D61BD4"/>
    <w:rsid w:val="00D620CD"/>
    <w:rsid w:val="00D62618"/>
    <w:rsid w:val="00D62B64"/>
    <w:rsid w:val="00D62C94"/>
    <w:rsid w:val="00D62D2A"/>
    <w:rsid w:val="00D63187"/>
    <w:rsid w:val="00D637CE"/>
    <w:rsid w:val="00D63A22"/>
    <w:rsid w:val="00D64683"/>
    <w:rsid w:val="00D64766"/>
    <w:rsid w:val="00D65232"/>
    <w:rsid w:val="00D65F9D"/>
    <w:rsid w:val="00D66A90"/>
    <w:rsid w:val="00D66AC5"/>
    <w:rsid w:val="00D66B4C"/>
    <w:rsid w:val="00D66BE5"/>
    <w:rsid w:val="00D66CCC"/>
    <w:rsid w:val="00D67985"/>
    <w:rsid w:val="00D67B1A"/>
    <w:rsid w:val="00D67E14"/>
    <w:rsid w:val="00D70070"/>
    <w:rsid w:val="00D704C1"/>
    <w:rsid w:val="00D70673"/>
    <w:rsid w:val="00D709BB"/>
    <w:rsid w:val="00D70D14"/>
    <w:rsid w:val="00D71055"/>
    <w:rsid w:val="00D716A0"/>
    <w:rsid w:val="00D71A7A"/>
    <w:rsid w:val="00D71B01"/>
    <w:rsid w:val="00D72333"/>
    <w:rsid w:val="00D723E7"/>
    <w:rsid w:val="00D72645"/>
    <w:rsid w:val="00D72689"/>
    <w:rsid w:val="00D731B4"/>
    <w:rsid w:val="00D73417"/>
    <w:rsid w:val="00D73CE2"/>
    <w:rsid w:val="00D74176"/>
    <w:rsid w:val="00D7447C"/>
    <w:rsid w:val="00D744D3"/>
    <w:rsid w:val="00D7475A"/>
    <w:rsid w:val="00D74AC7"/>
    <w:rsid w:val="00D74C8C"/>
    <w:rsid w:val="00D75A1F"/>
    <w:rsid w:val="00D763AB"/>
    <w:rsid w:val="00D764D5"/>
    <w:rsid w:val="00D76911"/>
    <w:rsid w:val="00D776A2"/>
    <w:rsid w:val="00D77826"/>
    <w:rsid w:val="00D80734"/>
    <w:rsid w:val="00D813B4"/>
    <w:rsid w:val="00D814CD"/>
    <w:rsid w:val="00D81605"/>
    <w:rsid w:val="00D81641"/>
    <w:rsid w:val="00D81913"/>
    <w:rsid w:val="00D81AA3"/>
    <w:rsid w:val="00D81CD1"/>
    <w:rsid w:val="00D82328"/>
    <w:rsid w:val="00D82477"/>
    <w:rsid w:val="00D82B7D"/>
    <w:rsid w:val="00D82E99"/>
    <w:rsid w:val="00D834A5"/>
    <w:rsid w:val="00D835C4"/>
    <w:rsid w:val="00D83FE5"/>
    <w:rsid w:val="00D8405C"/>
    <w:rsid w:val="00D842DD"/>
    <w:rsid w:val="00D843D1"/>
    <w:rsid w:val="00D847DA"/>
    <w:rsid w:val="00D851EF"/>
    <w:rsid w:val="00D858F2"/>
    <w:rsid w:val="00D85BC5"/>
    <w:rsid w:val="00D867B8"/>
    <w:rsid w:val="00D8711A"/>
    <w:rsid w:val="00D872E8"/>
    <w:rsid w:val="00D87597"/>
    <w:rsid w:val="00D8761A"/>
    <w:rsid w:val="00D8775F"/>
    <w:rsid w:val="00D90233"/>
    <w:rsid w:val="00D9068B"/>
    <w:rsid w:val="00D90A86"/>
    <w:rsid w:val="00D90C17"/>
    <w:rsid w:val="00D90C4C"/>
    <w:rsid w:val="00D90FB9"/>
    <w:rsid w:val="00D91647"/>
    <w:rsid w:val="00D91F2E"/>
    <w:rsid w:val="00D920E0"/>
    <w:rsid w:val="00D92288"/>
    <w:rsid w:val="00D92738"/>
    <w:rsid w:val="00D92748"/>
    <w:rsid w:val="00D92C74"/>
    <w:rsid w:val="00D92D8F"/>
    <w:rsid w:val="00D92FE3"/>
    <w:rsid w:val="00D941B7"/>
    <w:rsid w:val="00D94619"/>
    <w:rsid w:val="00D94DBB"/>
    <w:rsid w:val="00D95099"/>
    <w:rsid w:val="00D95278"/>
    <w:rsid w:val="00D95512"/>
    <w:rsid w:val="00D955E4"/>
    <w:rsid w:val="00D95BE5"/>
    <w:rsid w:val="00D9643E"/>
    <w:rsid w:val="00D9659C"/>
    <w:rsid w:val="00D9659E"/>
    <w:rsid w:val="00D96915"/>
    <w:rsid w:val="00D96BF1"/>
    <w:rsid w:val="00D970CA"/>
    <w:rsid w:val="00D971C2"/>
    <w:rsid w:val="00D97BEE"/>
    <w:rsid w:val="00DA030F"/>
    <w:rsid w:val="00DA0359"/>
    <w:rsid w:val="00DA06FF"/>
    <w:rsid w:val="00DA0E03"/>
    <w:rsid w:val="00DA0EA0"/>
    <w:rsid w:val="00DA14B7"/>
    <w:rsid w:val="00DA159E"/>
    <w:rsid w:val="00DA1A51"/>
    <w:rsid w:val="00DA30AB"/>
    <w:rsid w:val="00DA3B1D"/>
    <w:rsid w:val="00DA49EE"/>
    <w:rsid w:val="00DA5101"/>
    <w:rsid w:val="00DA54F0"/>
    <w:rsid w:val="00DA5514"/>
    <w:rsid w:val="00DA55EC"/>
    <w:rsid w:val="00DA5658"/>
    <w:rsid w:val="00DA5736"/>
    <w:rsid w:val="00DA5A2C"/>
    <w:rsid w:val="00DA5C28"/>
    <w:rsid w:val="00DA613F"/>
    <w:rsid w:val="00DA651D"/>
    <w:rsid w:val="00DA698F"/>
    <w:rsid w:val="00DA6E42"/>
    <w:rsid w:val="00DA715F"/>
    <w:rsid w:val="00DB02F1"/>
    <w:rsid w:val="00DB030D"/>
    <w:rsid w:val="00DB04D9"/>
    <w:rsid w:val="00DB04DD"/>
    <w:rsid w:val="00DB1507"/>
    <w:rsid w:val="00DB1CB0"/>
    <w:rsid w:val="00DB1D5D"/>
    <w:rsid w:val="00DB2148"/>
    <w:rsid w:val="00DB29BB"/>
    <w:rsid w:val="00DB3114"/>
    <w:rsid w:val="00DB41B1"/>
    <w:rsid w:val="00DB4C45"/>
    <w:rsid w:val="00DB4F4A"/>
    <w:rsid w:val="00DB50D7"/>
    <w:rsid w:val="00DB52DE"/>
    <w:rsid w:val="00DB56D8"/>
    <w:rsid w:val="00DB5F48"/>
    <w:rsid w:val="00DB63E6"/>
    <w:rsid w:val="00DB724B"/>
    <w:rsid w:val="00DB72F5"/>
    <w:rsid w:val="00DB73F5"/>
    <w:rsid w:val="00DB75E2"/>
    <w:rsid w:val="00DB770A"/>
    <w:rsid w:val="00DB77F1"/>
    <w:rsid w:val="00DB7F20"/>
    <w:rsid w:val="00DC0E3E"/>
    <w:rsid w:val="00DC132C"/>
    <w:rsid w:val="00DC1653"/>
    <w:rsid w:val="00DC2156"/>
    <w:rsid w:val="00DC2272"/>
    <w:rsid w:val="00DC2762"/>
    <w:rsid w:val="00DC2841"/>
    <w:rsid w:val="00DC29CF"/>
    <w:rsid w:val="00DC2F67"/>
    <w:rsid w:val="00DC35D7"/>
    <w:rsid w:val="00DC38C8"/>
    <w:rsid w:val="00DC3C6A"/>
    <w:rsid w:val="00DC4129"/>
    <w:rsid w:val="00DC4367"/>
    <w:rsid w:val="00DC4676"/>
    <w:rsid w:val="00DC58C4"/>
    <w:rsid w:val="00DC598A"/>
    <w:rsid w:val="00DC598D"/>
    <w:rsid w:val="00DC5DD1"/>
    <w:rsid w:val="00DC6B20"/>
    <w:rsid w:val="00DC6D47"/>
    <w:rsid w:val="00DC70B2"/>
    <w:rsid w:val="00DC718D"/>
    <w:rsid w:val="00DC71BF"/>
    <w:rsid w:val="00DC7BE0"/>
    <w:rsid w:val="00DD0065"/>
    <w:rsid w:val="00DD0D40"/>
    <w:rsid w:val="00DD185F"/>
    <w:rsid w:val="00DD19C0"/>
    <w:rsid w:val="00DD1CF8"/>
    <w:rsid w:val="00DD20AC"/>
    <w:rsid w:val="00DD294F"/>
    <w:rsid w:val="00DD29B3"/>
    <w:rsid w:val="00DD2B34"/>
    <w:rsid w:val="00DD2D71"/>
    <w:rsid w:val="00DD2FD1"/>
    <w:rsid w:val="00DD2FFC"/>
    <w:rsid w:val="00DD3192"/>
    <w:rsid w:val="00DD324E"/>
    <w:rsid w:val="00DD38F0"/>
    <w:rsid w:val="00DD39C3"/>
    <w:rsid w:val="00DD41CD"/>
    <w:rsid w:val="00DD42D6"/>
    <w:rsid w:val="00DD481B"/>
    <w:rsid w:val="00DD4BEF"/>
    <w:rsid w:val="00DD4EDA"/>
    <w:rsid w:val="00DD522F"/>
    <w:rsid w:val="00DD55DF"/>
    <w:rsid w:val="00DD5AFE"/>
    <w:rsid w:val="00DD5CA2"/>
    <w:rsid w:val="00DD60F8"/>
    <w:rsid w:val="00DD622B"/>
    <w:rsid w:val="00DD662F"/>
    <w:rsid w:val="00DD67D8"/>
    <w:rsid w:val="00DD6C14"/>
    <w:rsid w:val="00DD7203"/>
    <w:rsid w:val="00DE00D3"/>
    <w:rsid w:val="00DE063E"/>
    <w:rsid w:val="00DE0A32"/>
    <w:rsid w:val="00DE0BDF"/>
    <w:rsid w:val="00DE108E"/>
    <w:rsid w:val="00DE2629"/>
    <w:rsid w:val="00DE30F6"/>
    <w:rsid w:val="00DE3133"/>
    <w:rsid w:val="00DE31C9"/>
    <w:rsid w:val="00DE33DD"/>
    <w:rsid w:val="00DE340B"/>
    <w:rsid w:val="00DE3623"/>
    <w:rsid w:val="00DE3D48"/>
    <w:rsid w:val="00DE3FD2"/>
    <w:rsid w:val="00DE46B8"/>
    <w:rsid w:val="00DE4BF0"/>
    <w:rsid w:val="00DE50C3"/>
    <w:rsid w:val="00DE57A6"/>
    <w:rsid w:val="00DE5982"/>
    <w:rsid w:val="00DE5EB7"/>
    <w:rsid w:val="00DE5F07"/>
    <w:rsid w:val="00DE5F87"/>
    <w:rsid w:val="00DE6BB8"/>
    <w:rsid w:val="00DE6BFC"/>
    <w:rsid w:val="00DE74D4"/>
    <w:rsid w:val="00DE7ADE"/>
    <w:rsid w:val="00DE7B7F"/>
    <w:rsid w:val="00DE7F0D"/>
    <w:rsid w:val="00DF08FF"/>
    <w:rsid w:val="00DF0C64"/>
    <w:rsid w:val="00DF103D"/>
    <w:rsid w:val="00DF1328"/>
    <w:rsid w:val="00DF13C8"/>
    <w:rsid w:val="00DF1903"/>
    <w:rsid w:val="00DF1BDF"/>
    <w:rsid w:val="00DF2543"/>
    <w:rsid w:val="00DF2B67"/>
    <w:rsid w:val="00DF31FB"/>
    <w:rsid w:val="00DF3260"/>
    <w:rsid w:val="00DF343A"/>
    <w:rsid w:val="00DF3578"/>
    <w:rsid w:val="00DF515E"/>
    <w:rsid w:val="00DF5583"/>
    <w:rsid w:val="00DF570C"/>
    <w:rsid w:val="00DF57F7"/>
    <w:rsid w:val="00DF6553"/>
    <w:rsid w:val="00DF710E"/>
    <w:rsid w:val="00DF74E1"/>
    <w:rsid w:val="00DF76B0"/>
    <w:rsid w:val="00DF79A5"/>
    <w:rsid w:val="00DF7EC4"/>
    <w:rsid w:val="00DF7FF5"/>
    <w:rsid w:val="00E0027A"/>
    <w:rsid w:val="00E0068E"/>
    <w:rsid w:val="00E01233"/>
    <w:rsid w:val="00E018F6"/>
    <w:rsid w:val="00E01912"/>
    <w:rsid w:val="00E02364"/>
    <w:rsid w:val="00E029FF"/>
    <w:rsid w:val="00E02F04"/>
    <w:rsid w:val="00E03029"/>
    <w:rsid w:val="00E03738"/>
    <w:rsid w:val="00E03D49"/>
    <w:rsid w:val="00E03D77"/>
    <w:rsid w:val="00E04663"/>
    <w:rsid w:val="00E04698"/>
    <w:rsid w:val="00E0482B"/>
    <w:rsid w:val="00E04D43"/>
    <w:rsid w:val="00E0541B"/>
    <w:rsid w:val="00E05CF8"/>
    <w:rsid w:val="00E06012"/>
    <w:rsid w:val="00E061D4"/>
    <w:rsid w:val="00E06228"/>
    <w:rsid w:val="00E062B3"/>
    <w:rsid w:val="00E0649E"/>
    <w:rsid w:val="00E06559"/>
    <w:rsid w:val="00E067E8"/>
    <w:rsid w:val="00E06B00"/>
    <w:rsid w:val="00E06C8B"/>
    <w:rsid w:val="00E07120"/>
    <w:rsid w:val="00E07658"/>
    <w:rsid w:val="00E07DA6"/>
    <w:rsid w:val="00E07DBF"/>
    <w:rsid w:val="00E07E14"/>
    <w:rsid w:val="00E105F7"/>
    <w:rsid w:val="00E10841"/>
    <w:rsid w:val="00E10B39"/>
    <w:rsid w:val="00E10B73"/>
    <w:rsid w:val="00E10C5F"/>
    <w:rsid w:val="00E1125C"/>
    <w:rsid w:val="00E1129A"/>
    <w:rsid w:val="00E11531"/>
    <w:rsid w:val="00E11E38"/>
    <w:rsid w:val="00E11FCE"/>
    <w:rsid w:val="00E124B0"/>
    <w:rsid w:val="00E12531"/>
    <w:rsid w:val="00E12DBB"/>
    <w:rsid w:val="00E13C15"/>
    <w:rsid w:val="00E14998"/>
    <w:rsid w:val="00E14DF3"/>
    <w:rsid w:val="00E1524C"/>
    <w:rsid w:val="00E15258"/>
    <w:rsid w:val="00E152AD"/>
    <w:rsid w:val="00E15884"/>
    <w:rsid w:val="00E1592B"/>
    <w:rsid w:val="00E15FB2"/>
    <w:rsid w:val="00E1616D"/>
    <w:rsid w:val="00E16176"/>
    <w:rsid w:val="00E16253"/>
    <w:rsid w:val="00E16603"/>
    <w:rsid w:val="00E16607"/>
    <w:rsid w:val="00E16C9C"/>
    <w:rsid w:val="00E16F8A"/>
    <w:rsid w:val="00E1792B"/>
    <w:rsid w:val="00E179F0"/>
    <w:rsid w:val="00E17CDA"/>
    <w:rsid w:val="00E20224"/>
    <w:rsid w:val="00E202F0"/>
    <w:rsid w:val="00E20542"/>
    <w:rsid w:val="00E20820"/>
    <w:rsid w:val="00E20EB3"/>
    <w:rsid w:val="00E2121F"/>
    <w:rsid w:val="00E217DC"/>
    <w:rsid w:val="00E218A1"/>
    <w:rsid w:val="00E218AC"/>
    <w:rsid w:val="00E21941"/>
    <w:rsid w:val="00E219C0"/>
    <w:rsid w:val="00E21B26"/>
    <w:rsid w:val="00E21D9C"/>
    <w:rsid w:val="00E21DCC"/>
    <w:rsid w:val="00E21DFD"/>
    <w:rsid w:val="00E21E56"/>
    <w:rsid w:val="00E21FB5"/>
    <w:rsid w:val="00E22049"/>
    <w:rsid w:val="00E227B7"/>
    <w:rsid w:val="00E22825"/>
    <w:rsid w:val="00E22FE5"/>
    <w:rsid w:val="00E22FF3"/>
    <w:rsid w:val="00E22FFE"/>
    <w:rsid w:val="00E232AC"/>
    <w:rsid w:val="00E23A59"/>
    <w:rsid w:val="00E2465B"/>
    <w:rsid w:val="00E24A85"/>
    <w:rsid w:val="00E24AA1"/>
    <w:rsid w:val="00E24E17"/>
    <w:rsid w:val="00E25C10"/>
    <w:rsid w:val="00E25F3E"/>
    <w:rsid w:val="00E266B4"/>
    <w:rsid w:val="00E26D1D"/>
    <w:rsid w:val="00E273FC"/>
    <w:rsid w:val="00E27658"/>
    <w:rsid w:val="00E276A2"/>
    <w:rsid w:val="00E278F4"/>
    <w:rsid w:val="00E27CC3"/>
    <w:rsid w:val="00E27D0E"/>
    <w:rsid w:val="00E302D9"/>
    <w:rsid w:val="00E30893"/>
    <w:rsid w:val="00E30DD7"/>
    <w:rsid w:val="00E31118"/>
    <w:rsid w:val="00E3179A"/>
    <w:rsid w:val="00E31DC6"/>
    <w:rsid w:val="00E31E9C"/>
    <w:rsid w:val="00E323A9"/>
    <w:rsid w:val="00E32435"/>
    <w:rsid w:val="00E32ED1"/>
    <w:rsid w:val="00E3354D"/>
    <w:rsid w:val="00E33A18"/>
    <w:rsid w:val="00E347C9"/>
    <w:rsid w:val="00E35397"/>
    <w:rsid w:val="00E35DAD"/>
    <w:rsid w:val="00E35EE0"/>
    <w:rsid w:val="00E365DC"/>
    <w:rsid w:val="00E365FA"/>
    <w:rsid w:val="00E36899"/>
    <w:rsid w:val="00E36C65"/>
    <w:rsid w:val="00E36DF2"/>
    <w:rsid w:val="00E36F09"/>
    <w:rsid w:val="00E3719A"/>
    <w:rsid w:val="00E372A8"/>
    <w:rsid w:val="00E37446"/>
    <w:rsid w:val="00E3744B"/>
    <w:rsid w:val="00E4070F"/>
    <w:rsid w:val="00E40897"/>
    <w:rsid w:val="00E40B47"/>
    <w:rsid w:val="00E40CE8"/>
    <w:rsid w:val="00E40F43"/>
    <w:rsid w:val="00E4104C"/>
    <w:rsid w:val="00E413B4"/>
    <w:rsid w:val="00E4217A"/>
    <w:rsid w:val="00E4239C"/>
    <w:rsid w:val="00E425D4"/>
    <w:rsid w:val="00E4260F"/>
    <w:rsid w:val="00E42B58"/>
    <w:rsid w:val="00E42CB8"/>
    <w:rsid w:val="00E4368F"/>
    <w:rsid w:val="00E44262"/>
    <w:rsid w:val="00E44697"/>
    <w:rsid w:val="00E449E1"/>
    <w:rsid w:val="00E44F03"/>
    <w:rsid w:val="00E450E6"/>
    <w:rsid w:val="00E45199"/>
    <w:rsid w:val="00E451A1"/>
    <w:rsid w:val="00E457DD"/>
    <w:rsid w:val="00E4591B"/>
    <w:rsid w:val="00E459EA"/>
    <w:rsid w:val="00E45C86"/>
    <w:rsid w:val="00E4653A"/>
    <w:rsid w:val="00E469B4"/>
    <w:rsid w:val="00E46D00"/>
    <w:rsid w:val="00E46E9B"/>
    <w:rsid w:val="00E47DC2"/>
    <w:rsid w:val="00E50516"/>
    <w:rsid w:val="00E50A60"/>
    <w:rsid w:val="00E50B06"/>
    <w:rsid w:val="00E50B29"/>
    <w:rsid w:val="00E50BA4"/>
    <w:rsid w:val="00E51ABF"/>
    <w:rsid w:val="00E51C04"/>
    <w:rsid w:val="00E5205C"/>
    <w:rsid w:val="00E52AF5"/>
    <w:rsid w:val="00E52C23"/>
    <w:rsid w:val="00E52D18"/>
    <w:rsid w:val="00E53B84"/>
    <w:rsid w:val="00E53D5C"/>
    <w:rsid w:val="00E544E6"/>
    <w:rsid w:val="00E545B1"/>
    <w:rsid w:val="00E54F24"/>
    <w:rsid w:val="00E552BB"/>
    <w:rsid w:val="00E55418"/>
    <w:rsid w:val="00E55468"/>
    <w:rsid w:val="00E560F5"/>
    <w:rsid w:val="00E562E5"/>
    <w:rsid w:val="00E56739"/>
    <w:rsid w:val="00E56A0E"/>
    <w:rsid w:val="00E56E28"/>
    <w:rsid w:val="00E5707E"/>
    <w:rsid w:val="00E572B0"/>
    <w:rsid w:val="00E578AE"/>
    <w:rsid w:val="00E601E3"/>
    <w:rsid w:val="00E60349"/>
    <w:rsid w:val="00E60619"/>
    <w:rsid w:val="00E6091B"/>
    <w:rsid w:val="00E609A6"/>
    <w:rsid w:val="00E60BC4"/>
    <w:rsid w:val="00E60D06"/>
    <w:rsid w:val="00E61955"/>
    <w:rsid w:val="00E61E4E"/>
    <w:rsid w:val="00E626DA"/>
    <w:rsid w:val="00E629C8"/>
    <w:rsid w:val="00E62C77"/>
    <w:rsid w:val="00E62D7C"/>
    <w:rsid w:val="00E630E9"/>
    <w:rsid w:val="00E63515"/>
    <w:rsid w:val="00E63ED0"/>
    <w:rsid w:val="00E64529"/>
    <w:rsid w:val="00E64D0A"/>
    <w:rsid w:val="00E65B3C"/>
    <w:rsid w:val="00E65BDF"/>
    <w:rsid w:val="00E66586"/>
    <w:rsid w:val="00E66710"/>
    <w:rsid w:val="00E668DE"/>
    <w:rsid w:val="00E66FC9"/>
    <w:rsid w:val="00E67A1F"/>
    <w:rsid w:val="00E67E46"/>
    <w:rsid w:val="00E706EF"/>
    <w:rsid w:val="00E70729"/>
    <w:rsid w:val="00E71F25"/>
    <w:rsid w:val="00E720C5"/>
    <w:rsid w:val="00E72361"/>
    <w:rsid w:val="00E726E9"/>
    <w:rsid w:val="00E728B4"/>
    <w:rsid w:val="00E728F5"/>
    <w:rsid w:val="00E729DA"/>
    <w:rsid w:val="00E72BCB"/>
    <w:rsid w:val="00E72D05"/>
    <w:rsid w:val="00E72E32"/>
    <w:rsid w:val="00E73F25"/>
    <w:rsid w:val="00E7417F"/>
    <w:rsid w:val="00E74F82"/>
    <w:rsid w:val="00E75358"/>
    <w:rsid w:val="00E753A5"/>
    <w:rsid w:val="00E7577D"/>
    <w:rsid w:val="00E76066"/>
    <w:rsid w:val="00E762B3"/>
    <w:rsid w:val="00E76304"/>
    <w:rsid w:val="00E7641F"/>
    <w:rsid w:val="00E767C6"/>
    <w:rsid w:val="00E77BC0"/>
    <w:rsid w:val="00E800E7"/>
    <w:rsid w:val="00E808BA"/>
    <w:rsid w:val="00E809FE"/>
    <w:rsid w:val="00E80A51"/>
    <w:rsid w:val="00E80B36"/>
    <w:rsid w:val="00E80E03"/>
    <w:rsid w:val="00E8108B"/>
    <w:rsid w:val="00E81123"/>
    <w:rsid w:val="00E8198F"/>
    <w:rsid w:val="00E81A49"/>
    <w:rsid w:val="00E81A87"/>
    <w:rsid w:val="00E81C7B"/>
    <w:rsid w:val="00E81FBB"/>
    <w:rsid w:val="00E82055"/>
    <w:rsid w:val="00E825E9"/>
    <w:rsid w:val="00E82774"/>
    <w:rsid w:val="00E829A1"/>
    <w:rsid w:val="00E82C97"/>
    <w:rsid w:val="00E82F0A"/>
    <w:rsid w:val="00E82FCB"/>
    <w:rsid w:val="00E8335B"/>
    <w:rsid w:val="00E83851"/>
    <w:rsid w:val="00E839D2"/>
    <w:rsid w:val="00E83AA1"/>
    <w:rsid w:val="00E83F34"/>
    <w:rsid w:val="00E8440C"/>
    <w:rsid w:val="00E84587"/>
    <w:rsid w:val="00E847A0"/>
    <w:rsid w:val="00E84892"/>
    <w:rsid w:val="00E8492B"/>
    <w:rsid w:val="00E849D3"/>
    <w:rsid w:val="00E84BD2"/>
    <w:rsid w:val="00E85076"/>
    <w:rsid w:val="00E85959"/>
    <w:rsid w:val="00E867B8"/>
    <w:rsid w:val="00E8685D"/>
    <w:rsid w:val="00E86DF1"/>
    <w:rsid w:val="00E87331"/>
    <w:rsid w:val="00E877CA"/>
    <w:rsid w:val="00E87B30"/>
    <w:rsid w:val="00E90035"/>
    <w:rsid w:val="00E9070E"/>
    <w:rsid w:val="00E90782"/>
    <w:rsid w:val="00E9078F"/>
    <w:rsid w:val="00E908A8"/>
    <w:rsid w:val="00E91132"/>
    <w:rsid w:val="00E9132B"/>
    <w:rsid w:val="00E913B8"/>
    <w:rsid w:val="00E913E3"/>
    <w:rsid w:val="00E914E4"/>
    <w:rsid w:val="00E9179C"/>
    <w:rsid w:val="00E91966"/>
    <w:rsid w:val="00E92065"/>
    <w:rsid w:val="00E921CD"/>
    <w:rsid w:val="00E926F8"/>
    <w:rsid w:val="00E93425"/>
    <w:rsid w:val="00E93498"/>
    <w:rsid w:val="00E93557"/>
    <w:rsid w:val="00E937F6"/>
    <w:rsid w:val="00E93937"/>
    <w:rsid w:val="00E93C36"/>
    <w:rsid w:val="00E94064"/>
    <w:rsid w:val="00E941CA"/>
    <w:rsid w:val="00E944E6"/>
    <w:rsid w:val="00E947C8"/>
    <w:rsid w:val="00E94846"/>
    <w:rsid w:val="00E94CB0"/>
    <w:rsid w:val="00E9545C"/>
    <w:rsid w:val="00E95517"/>
    <w:rsid w:val="00E9559D"/>
    <w:rsid w:val="00E9657C"/>
    <w:rsid w:val="00E965F2"/>
    <w:rsid w:val="00E96C23"/>
    <w:rsid w:val="00E97048"/>
    <w:rsid w:val="00E9727A"/>
    <w:rsid w:val="00E97A3F"/>
    <w:rsid w:val="00E97B75"/>
    <w:rsid w:val="00E97C2B"/>
    <w:rsid w:val="00E97DCF"/>
    <w:rsid w:val="00EA04C0"/>
    <w:rsid w:val="00EA070F"/>
    <w:rsid w:val="00EA073F"/>
    <w:rsid w:val="00EA09C7"/>
    <w:rsid w:val="00EA0B52"/>
    <w:rsid w:val="00EA0D9A"/>
    <w:rsid w:val="00EA10A1"/>
    <w:rsid w:val="00EA16D9"/>
    <w:rsid w:val="00EA1BA5"/>
    <w:rsid w:val="00EA1EFC"/>
    <w:rsid w:val="00EA1F9C"/>
    <w:rsid w:val="00EA2988"/>
    <w:rsid w:val="00EA3564"/>
    <w:rsid w:val="00EA3588"/>
    <w:rsid w:val="00EA3883"/>
    <w:rsid w:val="00EA3B99"/>
    <w:rsid w:val="00EA3E56"/>
    <w:rsid w:val="00EA3EC7"/>
    <w:rsid w:val="00EA3F83"/>
    <w:rsid w:val="00EA4BCD"/>
    <w:rsid w:val="00EA50B9"/>
    <w:rsid w:val="00EA5158"/>
    <w:rsid w:val="00EA5280"/>
    <w:rsid w:val="00EA5664"/>
    <w:rsid w:val="00EA5AAE"/>
    <w:rsid w:val="00EA5B5B"/>
    <w:rsid w:val="00EA5F01"/>
    <w:rsid w:val="00EA61EC"/>
    <w:rsid w:val="00EA69B0"/>
    <w:rsid w:val="00EA6D02"/>
    <w:rsid w:val="00EA6F81"/>
    <w:rsid w:val="00EA7099"/>
    <w:rsid w:val="00EA7274"/>
    <w:rsid w:val="00EA78C4"/>
    <w:rsid w:val="00EA7C6B"/>
    <w:rsid w:val="00EA7E78"/>
    <w:rsid w:val="00EB03FB"/>
    <w:rsid w:val="00EB04BD"/>
    <w:rsid w:val="00EB0717"/>
    <w:rsid w:val="00EB1B5F"/>
    <w:rsid w:val="00EB1E51"/>
    <w:rsid w:val="00EB1FF6"/>
    <w:rsid w:val="00EB239E"/>
    <w:rsid w:val="00EB2851"/>
    <w:rsid w:val="00EB31F9"/>
    <w:rsid w:val="00EB33DF"/>
    <w:rsid w:val="00EB343E"/>
    <w:rsid w:val="00EB389A"/>
    <w:rsid w:val="00EB3C08"/>
    <w:rsid w:val="00EB41B9"/>
    <w:rsid w:val="00EB4415"/>
    <w:rsid w:val="00EB4521"/>
    <w:rsid w:val="00EB4577"/>
    <w:rsid w:val="00EB4B04"/>
    <w:rsid w:val="00EB4B29"/>
    <w:rsid w:val="00EB51F2"/>
    <w:rsid w:val="00EB52AC"/>
    <w:rsid w:val="00EB52B3"/>
    <w:rsid w:val="00EB55D6"/>
    <w:rsid w:val="00EB5625"/>
    <w:rsid w:val="00EB5F06"/>
    <w:rsid w:val="00EB6139"/>
    <w:rsid w:val="00EB6204"/>
    <w:rsid w:val="00EB653E"/>
    <w:rsid w:val="00EB68D8"/>
    <w:rsid w:val="00EB6A7C"/>
    <w:rsid w:val="00EB7322"/>
    <w:rsid w:val="00EB7681"/>
    <w:rsid w:val="00EB76BF"/>
    <w:rsid w:val="00EB7A46"/>
    <w:rsid w:val="00EB7CC8"/>
    <w:rsid w:val="00EB7D55"/>
    <w:rsid w:val="00EC01D4"/>
    <w:rsid w:val="00EC0375"/>
    <w:rsid w:val="00EC04C9"/>
    <w:rsid w:val="00EC0971"/>
    <w:rsid w:val="00EC0C2A"/>
    <w:rsid w:val="00EC0C3D"/>
    <w:rsid w:val="00EC0DCD"/>
    <w:rsid w:val="00EC0DFF"/>
    <w:rsid w:val="00EC0EBD"/>
    <w:rsid w:val="00EC1881"/>
    <w:rsid w:val="00EC2138"/>
    <w:rsid w:val="00EC217D"/>
    <w:rsid w:val="00EC23CE"/>
    <w:rsid w:val="00EC2497"/>
    <w:rsid w:val="00EC2978"/>
    <w:rsid w:val="00EC2C18"/>
    <w:rsid w:val="00EC3774"/>
    <w:rsid w:val="00EC41E3"/>
    <w:rsid w:val="00EC4A04"/>
    <w:rsid w:val="00EC4B7B"/>
    <w:rsid w:val="00EC5731"/>
    <w:rsid w:val="00EC5B8A"/>
    <w:rsid w:val="00EC6217"/>
    <w:rsid w:val="00EC7691"/>
    <w:rsid w:val="00EC779A"/>
    <w:rsid w:val="00EC79B1"/>
    <w:rsid w:val="00ED0A90"/>
    <w:rsid w:val="00ED0B77"/>
    <w:rsid w:val="00ED13A6"/>
    <w:rsid w:val="00ED26E4"/>
    <w:rsid w:val="00ED2E6E"/>
    <w:rsid w:val="00ED34E7"/>
    <w:rsid w:val="00ED3CD2"/>
    <w:rsid w:val="00ED3E21"/>
    <w:rsid w:val="00ED4A27"/>
    <w:rsid w:val="00ED4F5D"/>
    <w:rsid w:val="00ED51B1"/>
    <w:rsid w:val="00ED5C4A"/>
    <w:rsid w:val="00ED5F9F"/>
    <w:rsid w:val="00ED62B8"/>
    <w:rsid w:val="00ED7AE4"/>
    <w:rsid w:val="00ED7D3E"/>
    <w:rsid w:val="00ED7EFE"/>
    <w:rsid w:val="00EE07AB"/>
    <w:rsid w:val="00EE0AEB"/>
    <w:rsid w:val="00EE0CD0"/>
    <w:rsid w:val="00EE11D3"/>
    <w:rsid w:val="00EE1A58"/>
    <w:rsid w:val="00EE2306"/>
    <w:rsid w:val="00EE23C3"/>
    <w:rsid w:val="00EE2563"/>
    <w:rsid w:val="00EE2769"/>
    <w:rsid w:val="00EE2FA6"/>
    <w:rsid w:val="00EE3246"/>
    <w:rsid w:val="00EE33A7"/>
    <w:rsid w:val="00EE389F"/>
    <w:rsid w:val="00EE3D2F"/>
    <w:rsid w:val="00EE3E08"/>
    <w:rsid w:val="00EE3FA5"/>
    <w:rsid w:val="00EE3FFC"/>
    <w:rsid w:val="00EE40A8"/>
    <w:rsid w:val="00EE4331"/>
    <w:rsid w:val="00EE46D9"/>
    <w:rsid w:val="00EE474B"/>
    <w:rsid w:val="00EE47DB"/>
    <w:rsid w:val="00EE4D7A"/>
    <w:rsid w:val="00EE51B1"/>
    <w:rsid w:val="00EE5FDF"/>
    <w:rsid w:val="00EE615C"/>
    <w:rsid w:val="00EE6203"/>
    <w:rsid w:val="00EE622B"/>
    <w:rsid w:val="00EE660E"/>
    <w:rsid w:val="00EE6A53"/>
    <w:rsid w:val="00EE7752"/>
    <w:rsid w:val="00EE7982"/>
    <w:rsid w:val="00EE79C7"/>
    <w:rsid w:val="00EE7E42"/>
    <w:rsid w:val="00EF06E6"/>
    <w:rsid w:val="00EF09E0"/>
    <w:rsid w:val="00EF0C1F"/>
    <w:rsid w:val="00EF0ED9"/>
    <w:rsid w:val="00EF0FB5"/>
    <w:rsid w:val="00EF1426"/>
    <w:rsid w:val="00EF148B"/>
    <w:rsid w:val="00EF15F4"/>
    <w:rsid w:val="00EF17F6"/>
    <w:rsid w:val="00EF1885"/>
    <w:rsid w:val="00EF1F2B"/>
    <w:rsid w:val="00EF200C"/>
    <w:rsid w:val="00EF2109"/>
    <w:rsid w:val="00EF22F6"/>
    <w:rsid w:val="00EF2500"/>
    <w:rsid w:val="00EF2CA7"/>
    <w:rsid w:val="00EF2DDA"/>
    <w:rsid w:val="00EF2F17"/>
    <w:rsid w:val="00EF3209"/>
    <w:rsid w:val="00EF4184"/>
    <w:rsid w:val="00EF4288"/>
    <w:rsid w:val="00EF4643"/>
    <w:rsid w:val="00EF488D"/>
    <w:rsid w:val="00EF5598"/>
    <w:rsid w:val="00EF5D1B"/>
    <w:rsid w:val="00EF71E2"/>
    <w:rsid w:val="00EF76BF"/>
    <w:rsid w:val="00F005FF"/>
    <w:rsid w:val="00F01398"/>
    <w:rsid w:val="00F019DF"/>
    <w:rsid w:val="00F0278E"/>
    <w:rsid w:val="00F02809"/>
    <w:rsid w:val="00F029E9"/>
    <w:rsid w:val="00F032E2"/>
    <w:rsid w:val="00F03AE3"/>
    <w:rsid w:val="00F03E64"/>
    <w:rsid w:val="00F04193"/>
    <w:rsid w:val="00F043CB"/>
    <w:rsid w:val="00F04FCB"/>
    <w:rsid w:val="00F04FD1"/>
    <w:rsid w:val="00F051A4"/>
    <w:rsid w:val="00F05330"/>
    <w:rsid w:val="00F05385"/>
    <w:rsid w:val="00F06DF9"/>
    <w:rsid w:val="00F070C8"/>
    <w:rsid w:val="00F07469"/>
    <w:rsid w:val="00F079DD"/>
    <w:rsid w:val="00F1078A"/>
    <w:rsid w:val="00F1082D"/>
    <w:rsid w:val="00F10B92"/>
    <w:rsid w:val="00F116A6"/>
    <w:rsid w:val="00F117FD"/>
    <w:rsid w:val="00F11ACC"/>
    <w:rsid w:val="00F11C7A"/>
    <w:rsid w:val="00F1247B"/>
    <w:rsid w:val="00F125B5"/>
    <w:rsid w:val="00F12B87"/>
    <w:rsid w:val="00F1323F"/>
    <w:rsid w:val="00F132FB"/>
    <w:rsid w:val="00F13386"/>
    <w:rsid w:val="00F137CB"/>
    <w:rsid w:val="00F13C3B"/>
    <w:rsid w:val="00F13CF8"/>
    <w:rsid w:val="00F1412D"/>
    <w:rsid w:val="00F145CF"/>
    <w:rsid w:val="00F146F6"/>
    <w:rsid w:val="00F14B8A"/>
    <w:rsid w:val="00F14CAE"/>
    <w:rsid w:val="00F14DC0"/>
    <w:rsid w:val="00F15397"/>
    <w:rsid w:val="00F1564B"/>
    <w:rsid w:val="00F15A08"/>
    <w:rsid w:val="00F15DFB"/>
    <w:rsid w:val="00F15F22"/>
    <w:rsid w:val="00F16008"/>
    <w:rsid w:val="00F160EA"/>
    <w:rsid w:val="00F1654A"/>
    <w:rsid w:val="00F16579"/>
    <w:rsid w:val="00F1667A"/>
    <w:rsid w:val="00F166F9"/>
    <w:rsid w:val="00F177D4"/>
    <w:rsid w:val="00F20230"/>
    <w:rsid w:val="00F2036F"/>
    <w:rsid w:val="00F21698"/>
    <w:rsid w:val="00F217FC"/>
    <w:rsid w:val="00F219A4"/>
    <w:rsid w:val="00F21EB3"/>
    <w:rsid w:val="00F2244C"/>
    <w:rsid w:val="00F22F52"/>
    <w:rsid w:val="00F2397C"/>
    <w:rsid w:val="00F23C23"/>
    <w:rsid w:val="00F23DF0"/>
    <w:rsid w:val="00F23E3F"/>
    <w:rsid w:val="00F23E88"/>
    <w:rsid w:val="00F24E0F"/>
    <w:rsid w:val="00F251E4"/>
    <w:rsid w:val="00F259F3"/>
    <w:rsid w:val="00F25D51"/>
    <w:rsid w:val="00F25F75"/>
    <w:rsid w:val="00F262D0"/>
    <w:rsid w:val="00F268D4"/>
    <w:rsid w:val="00F26C04"/>
    <w:rsid w:val="00F26D47"/>
    <w:rsid w:val="00F279A0"/>
    <w:rsid w:val="00F27A8C"/>
    <w:rsid w:val="00F27E76"/>
    <w:rsid w:val="00F27FA6"/>
    <w:rsid w:val="00F300FE"/>
    <w:rsid w:val="00F30661"/>
    <w:rsid w:val="00F310EC"/>
    <w:rsid w:val="00F312C1"/>
    <w:rsid w:val="00F31415"/>
    <w:rsid w:val="00F31600"/>
    <w:rsid w:val="00F3164D"/>
    <w:rsid w:val="00F31B17"/>
    <w:rsid w:val="00F324ED"/>
    <w:rsid w:val="00F3274C"/>
    <w:rsid w:val="00F328CA"/>
    <w:rsid w:val="00F32BD0"/>
    <w:rsid w:val="00F33109"/>
    <w:rsid w:val="00F331C7"/>
    <w:rsid w:val="00F335CE"/>
    <w:rsid w:val="00F33CCC"/>
    <w:rsid w:val="00F33D1C"/>
    <w:rsid w:val="00F33EBA"/>
    <w:rsid w:val="00F33F95"/>
    <w:rsid w:val="00F342A5"/>
    <w:rsid w:val="00F34468"/>
    <w:rsid w:val="00F34AEA"/>
    <w:rsid w:val="00F34E64"/>
    <w:rsid w:val="00F34F71"/>
    <w:rsid w:val="00F35543"/>
    <w:rsid w:val="00F35740"/>
    <w:rsid w:val="00F362B3"/>
    <w:rsid w:val="00F36781"/>
    <w:rsid w:val="00F36B98"/>
    <w:rsid w:val="00F372CE"/>
    <w:rsid w:val="00F373D4"/>
    <w:rsid w:val="00F37E11"/>
    <w:rsid w:val="00F40521"/>
    <w:rsid w:val="00F408C6"/>
    <w:rsid w:val="00F4102A"/>
    <w:rsid w:val="00F41891"/>
    <w:rsid w:val="00F41B40"/>
    <w:rsid w:val="00F42862"/>
    <w:rsid w:val="00F42FA9"/>
    <w:rsid w:val="00F43343"/>
    <w:rsid w:val="00F43C87"/>
    <w:rsid w:val="00F442C8"/>
    <w:rsid w:val="00F447EF"/>
    <w:rsid w:val="00F44A17"/>
    <w:rsid w:val="00F4566A"/>
    <w:rsid w:val="00F456DD"/>
    <w:rsid w:val="00F457C3"/>
    <w:rsid w:val="00F45CB5"/>
    <w:rsid w:val="00F45FF2"/>
    <w:rsid w:val="00F460CB"/>
    <w:rsid w:val="00F46A9E"/>
    <w:rsid w:val="00F4772F"/>
    <w:rsid w:val="00F47E5F"/>
    <w:rsid w:val="00F47FDC"/>
    <w:rsid w:val="00F50085"/>
    <w:rsid w:val="00F50D75"/>
    <w:rsid w:val="00F50E8F"/>
    <w:rsid w:val="00F513BE"/>
    <w:rsid w:val="00F51588"/>
    <w:rsid w:val="00F51646"/>
    <w:rsid w:val="00F51C4B"/>
    <w:rsid w:val="00F51C6F"/>
    <w:rsid w:val="00F523D7"/>
    <w:rsid w:val="00F52875"/>
    <w:rsid w:val="00F52C3B"/>
    <w:rsid w:val="00F52F86"/>
    <w:rsid w:val="00F530EC"/>
    <w:rsid w:val="00F5339F"/>
    <w:rsid w:val="00F5379C"/>
    <w:rsid w:val="00F54451"/>
    <w:rsid w:val="00F553B8"/>
    <w:rsid w:val="00F5542E"/>
    <w:rsid w:val="00F554F9"/>
    <w:rsid w:val="00F555F7"/>
    <w:rsid w:val="00F55649"/>
    <w:rsid w:val="00F556E3"/>
    <w:rsid w:val="00F55BAC"/>
    <w:rsid w:val="00F55CBA"/>
    <w:rsid w:val="00F562EE"/>
    <w:rsid w:val="00F56E23"/>
    <w:rsid w:val="00F570BF"/>
    <w:rsid w:val="00F575AD"/>
    <w:rsid w:val="00F57918"/>
    <w:rsid w:val="00F57EEB"/>
    <w:rsid w:val="00F609AD"/>
    <w:rsid w:val="00F6113C"/>
    <w:rsid w:val="00F62392"/>
    <w:rsid w:val="00F6247A"/>
    <w:rsid w:val="00F63614"/>
    <w:rsid w:val="00F63715"/>
    <w:rsid w:val="00F63C21"/>
    <w:rsid w:val="00F64DF8"/>
    <w:rsid w:val="00F661C1"/>
    <w:rsid w:val="00F663D1"/>
    <w:rsid w:val="00F66FD3"/>
    <w:rsid w:val="00F67060"/>
    <w:rsid w:val="00F670A2"/>
    <w:rsid w:val="00F6717B"/>
    <w:rsid w:val="00F677C4"/>
    <w:rsid w:val="00F677E4"/>
    <w:rsid w:val="00F67F16"/>
    <w:rsid w:val="00F67FAB"/>
    <w:rsid w:val="00F70090"/>
    <w:rsid w:val="00F70128"/>
    <w:rsid w:val="00F701DB"/>
    <w:rsid w:val="00F705AB"/>
    <w:rsid w:val="00F7073B"/>
    <w:rsid w:val="00F70BD8"/>
    <w:rsid w:val="00F7166E"/>
    <w:rsid w:val="00F71691"/>
    <w:rsid w:val="00F71774"/>
    <w:rsid w:val="00F72094"/>
    <w:rsid w:val="00F724D1"/>
    <w:rsid w:val="00F727F0"/>
    <w:rsid w:val="00F72A40"/>
    <w:rsid w:val="00F72A5E"/>
    <w:rsid w:val="00F72E99"/>
    <w:rsid w:val="00F73346"/>
    <w:rsid w:val="00F73EC6"/>
    <w:rsid w:val="00F741A8"/>
    <w:rsid w:val="00F741B0"/>
    <w:rsid w:val="00F74868"/>
    <w:rsid w:val="00F74FC7"/>
    <w:rsid w:val="00F7551A"/>
    <w:rsid w:val="00F757C4"/>
    <w:rsid w:val="00F75BB1"/>
    <w:rsid w:val="00F763A7"/>
    <w:rsid w:val="00F76C32"/>
    <w:rsid w:val="00F76EF3"/>
    <w:rsid w:val="00F76FD5"/>
    <w:rsid w:val="00F770DE"/>
    <w:rsid w:val="00F773EA"/>
    <w:rsid w:val="00F779AE"/>
    <w:rsid w:val="00F77D47"/>
    <w:rsid w:val="00F77EA1"/>
    <w:rsid w:val="00F77ED6"/>
    <w:rsid w:val="00F801D3"/>
    <w:rsid w:val="00F80DA2"/>
    <w:rsid w:val="00F811B9"/>
    <w:rsid w:val="00F81847"/>
    <w:rsid w:val="00F823FC"/>
    <w:rsid w:val="00F8244D"/>
    <w:rsid w:val="00F82A7C"/>
    <w:rsid w:val="00F82C6C"/>
    <w:rsid w:val="00F82CDC"/>
    <w:rsid w:val="00F82E02"/>
    <w:rsid w:val="00F839A8"/>
    <w:rsid w:val="00F849C3"/>
    <w:rsid w:val="00F85C55"/>
    <w:rsid w:val="00F86448"/>
    <w:rsid w:val="00F86494"/>
    <w:rsid w:val="00F866B3"/>
    <w:rsid w:val="00F86A3A"/>
    <w:rsid w:val="00F87243"/>
    <w:rsid w:val="00F876A9"/>
    <w:rsid w:val="00F876EE"/>
    <w:rsid w:val="00F87ADC"/>
    <w:rsid w:val="00F87D5C"/>
    <w:rsid w:val="00F9048E"/>
    <w:rsid w:val="00F908F4"/>
    <w:rsid w:val="00F90BD3"/>
    <w:rsid w:val="00F90D18"/>
    <w:rsid w:val="00F90FDB"/>
    <w:rsid w:val="00F91087"/>
    <w:rsid w:val="00F9132D"/>
    <w:rsid w:val="00F91585"/>
    <w:rsid w:val="00F9180E"/>
    <w:rsid w:val="00F91F0F"/>
    <w:rsid w:val="00F9247B"/>
    <w:rsid w:val="00F92990"/>
    <w:rsid w:val="00F92A55"/>
    <w:rsid w:val="00F93AC8"/>
    <w:rsid w:val="00F93CF4"/>
    <w:rsid w:val="00F93CFC"/>
    <w:rsid w:val="00F945E3"/>
    <w:rsid w:val="00F9468A"/>
    <w:rsid w:val="00F9468F"/>
    <w:rsid w:val="00F9475B"/>
    <w:rsid w:val="00F9479D"/>
    <w:rsid w:val="00F94A18"/>
    <w:rsid w:val="00F953A3"/>
    <w:rsid w:val="00F966DF"/>
    <w:rsid w:val="00F96B86"/>
    <w:rsid w:val="00F97460"/>
    <w:rsid w:val="00F9775F"/>
    <w:rsid w:val="00FA018B"/>
    <w:rsid w:val="00FA044F"/>
    <w:rsid w:val="00FA07A8"/>
    <w:rsid w:val="00FA1A4A"/>
    <w:rsid w:val="00FA202D"/>
    <w:rsid w:val="00FA2155"/>
    <w:rsid w:val="00FA25D7"/>
    <w:rsid w:val="00FA2761"/>
    <w:rsid w:val="00FA2873"/>
    <w:rsid w:val="00FA2BBB"/>
    <w:rsid w:val="00FA3744"/>
    <w:rsid w:val="00FA3FAC"/>
    <w:rsid w:val="00FA414E"/>
    <w:rsid w:val="00FA4FC2"/>
    <w:rsid w:val="00FA54A6"/>
    <w:rsid w:val="00FA5815"/>
    <w:rsid w:val="00FA5AD2"/>
    <w:rsid w:val="00FA5D30"/>
    <w:rsid w:val="00FA6106"/>
    <w:rsid w:val="00FA72B7"/>
    <w:rsid w:val="00FA7340"/>
    <w:rsid w:val="00FA7591"/>
    <w:rsid w:val="00FA765F"/>
    <w:rsid w:val="00FB0129"/>
    <w:rsid w:val="00FB0223"/>
    <w:rsid w:val="00FB0A38"/>
    <w:rsid w:val="00FB0C0B"/>
    <w:rsid w:val="00FB10FF"/>
    <w:rsid w:val="00FB129C"/>
    <w:rsid w:val="00FB1DD3"/>
    <w:rsid w:val="00FB1FF8"/>
    <w:rsid w:val="00FB2458"/>
    <w:rsid w:val="00FB2501"/>
    <w:rsid w:val="00FB3217"/>
    <w:rsid w:val="00FB3251"/>
    <w:rsid w:val="00FB3866"/>
    <w:rsid w:val="00FB42E9"/>
    <w:rsid w:val="00FB441C"/>
    <w:rsid w:val="00FB4800"/>
    <w:rsid w:val="00FB4C3C"/>
    <w:rsid w:val="00FB4D30"/>
    <w:rsid w:val="00FB5188"/>
    <w:rsid w:val="00FB529C"/>
    <w:rsid w:val="00FB5EFA"/>
    <w:rsid w:val="00FB6384"/>
    <w:rsid w:val="00FB69F1"/>
    <w:rsid w:val="00FB6AB4"/>
    <w:rsid w:val="00FB6B72"/>
    <w:rsid w:val="00FB6BAD"/>
    <w:rsid w:val="00FB6FBD"/>
    <w:rsid w:val="00FB7055"/>
    <w:rsid w:val="00FB7691"/>
    <w:rsid w:val="00FB782B"/>
    <w:rsid w:val="00FB7F03"/>
    <w:rsid w:val="00FC1A2C"/>
    <w:rsid w:val="00FC202B"/>
    <w:rsid w:val="00FC235A"/>
    <w:rsid w:val="00FC2621"/>
    <w:rsid w:val="00FC332C"/>
    <w:rsid w:val="00FC366E"/>
    <w:rsid w:val="00FC3AE5"/>
    <w:rsid w:val="00FC4298"/>
    <w:rsid w:val="00FC43E4"/>
    <w:rsid w:val="00FC46D6"/>
    <w:rsid w:val="00FC49B8"/>
    <w:rsid w:val="00FC4B78"/>
    <w:rsid w:val="00FC50E2"/>
    <w:rsid w:val="00FC528C"/>
    <w:rsid w:val="00FC571D"/>
    <w:rsid w:val="00FC5DDA"/>
    <w:rsid w:val="00FC5F52"/>
    <w:rsid w:val="00FC64C4"/>
    <w:rsid w:val="00FC6739"/>
    <w:rsid w:val="00FC682B"/>
    <w:rsid w:val="00FC69C6"/>
    <w:rsid w:val="00FC6B5E"/>
    <w:rsid w:val="00FC70EB"/>
    <w:rsid w:val="00FC74C4"/>
    <w:rsid w:val="00FC7BDD"/>
    <w:rsid w:val="00FD0589"/>
    <w:rsid w:val="00FD09B7"/>
    <w:rsid w:val="00FD0ABA"/>
    <w:rsid w:val="00FD0CA0"/>
    <w:rsid w:val="00FD104A"/>
    <w:rsid w:val="00FD120C"/>
    <w:rsid w:val="00FD17A2"/>
    <w:rsid w:val="00FD1B5E"/>
    <w:rsid w:val="00FD1F82"/>
    <w:rsid w:val="00FD205E"/>
    <w:rsid w:val="00FD221E"/>
    <w:rsid w:val="00FD2239"/>
    <w:rsid w:val="00FD2501"/>
    <w:rsid w:val="00FD26CE"/>
    <w:rsid w:val="00FD2726"/>
    <w:rsid w:val="00FD2ACE"/>
    <w:rsid w:val="00FD2B84"/>
    <w:rsid w:val="00FD2CA0"/>
    <w:rsid w:val="00FD3387"/>
    <w:rsid w:val="00FD361F"/>
    <w:rsid w:val="00FD40CB"/>
    <w:rsid w:val="00FD43E6"/>
    <w:rsid w:val="00FD4469"/>
    <w:rsid w:val="00FD447A"/>
    <w:rsid w:val="00FD4CDB"/>
    <w:rsid w:val="00FD53AF"/>
    <w:rsid w:val="00FD5D76"/>
    <w:rsid w:val="00FD629A"/>
    <w:rsid w:val="00FD685E"/>
    <w:rsid w:val="00FD6D09"/>
    <w:rsid w:val="00FD6EA1"/>
    <w:rsid w:val="00FD7133"/>
    <w:rsid w:val="00FD7B86"/>
    <w:rsid w:val="00FD7E49"/>
    <w:rsid w:val="00FE095A"/>
    <w:rsid w:val="00FE0FC0"/>
    <w:rsid w:val="00FE1062"/>
    <w:rsid w:val="00FE109E"/>
    <w:rsid w:val="00FE12AC"/>
    <w:rsid w:val="00FE14AB"/>
    <w:rsid w:val="00FE1792"/>
    <w:rsid w:val="00FE1946"/>
    <w:rsid w:val="00FE1971"/>
    <w:rsid w:val="00FE1D93"/>
    <w:rsid w:val="00FE1DDD"/>
    <w:rsid w:val="00FE2B01"/>
    <w:rsid w:val="00FE3473"/>
    <w:rsid w:val="00FE348D"/>
    <w:rsid w:val="00FE388F"/>
    <w:rsid w:val="00FE3B3D"/>
    <w:rsid w:val="00FE3D4C"/>
    <w:rsid w:val="00FE3D7D"/>
    <w:rsid w:val="00FE4416"/>
    <w:rsid w:val="00FE5454"/>
    <w:rsid w:val="00FE5DA1"/>
    <w:rsid w:val="00FE6773"/>
    <w:rsid w:val="00FE67BD"/>
    <w:rsid w:val="00FE6DDC"/>
    <w:rsid w:val="00FE6FC5"/>
    <w:rsid w:val="00FE7206"/>
    <w:rsid w:val="00FE73DF"/>
    <w:rsid w:val="00FE765E"/>
    <w:rsid w:val="00FE7CE7"/>
    <w:rsid w:val="00FF029D"/>
    <w:rsid w:val="00FF0CD1"/>
    <w:rsid w:val="00FF0E25"/>
    <w:rsid w:val="00FF135D"/>
    <w:rsid w:val="00FF13BA"/>
    <w:rsid w:val="00FF1585"/>
    <w:rsid w:val="00FF1665"/>
    <w:rsid w:val="00FF1BEC"/>
    <w:rsid w:val="00FF1F00"/>
    <w:rsid w:val="00FF2319"/>
    <w:rsid w:val="00FF2442"/>
    <w:rsid w:val="00FF25BB"/>
    <w:rsid w:val="00FF2615"/>
    <w:rsid w:val="00FF2952"/>
    <w:rsid w:val="00FF2AF8"/>
    <w:rsid w:val="00FF2E1B"/>
    <w:rsid w:val="00FF30F5"/>
    <w:rsid w:val="00FF365C"/>
    <w:rsid w:val="00FF3743"/>
    <w:rsid w:val="00FF3A74"/>
    <w:rsid w:val="00FF3FB4"/>
    <w:rsid w:val="00FF4494"/>
    <w:rsid w:val="00FF45E0"/>
    <w:rsid w:val="00FF4A7C"/>
    <w:rsid w:val="00FF4AD2"/>
    <w:rsid w:val="00FF4B4D"/>
    <w:rsid w:val="00FF4B94"/>
    <w:rsid w:val="00FF4CBA"/>
    <w:rsid w:val="00FF515E"/>
    <w:rsid w:val="00FF58D5"/>
    <w:rsid w:val="00FF62A3"/>
    <w:rsid w:val="00FF6306"/>
    <w:rsid w:val="00FF6578"/>
    <w:rsid w:val="00FF747C"/>
    <w:rsid w:val="00FF7921"/>
    <w:rsid w:val="00FF7A39"/>
    <w:rsid w:val="00FF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F0"/>
  </w:style>
  <w:style w:type="paragraph" w:styleId="1">
    <w:name w:val="heading 1"/>
    <w:basedOn w:val="a"/>
    <w:next w:val="a"/>
    <w:link w:val="10"/>
    <w:uiPriority w:val="9"/>
    <w:qFormat/>
    <w:rsid w:val="00A03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2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82C"/>
    <w:rPr>
      <w:b/>
      <w:bCs/>
    </w:rPr>
  </w:style>
  <w:style w:type="table" w:styleId="a5">
    <w:name w:val="Table Grid"/>
    <w:basedOn w:val="a1"/>
    <w:uiPriority w:val="59"/>
    <w:rsid w:val="00275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47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7C9"/>
    <w:rPr>
      <w:rFonts w:ascii="Tahoma" w:hAnsi="Tahoma" w:cs="Tahoma"/>
      <w:sz w:val="16"/>
      <w:szCs w:val="16"/>
    </w:rPr>
  </w:style>
  <w:style w:type="paragraph" w:customStyle="1" w:styleId="Default">
    <w:name w:val="Default"/>
    <w:rsid w:val="00F37E11"/>
    <w:pPr>
      <w:autoSpaceDE w:val="0"/>
      <w:autoSpaceDN w:val="0"/>
      <w:adjustRightInd w:val="0"/>
      <w:spacing w:after="0" w:line="240" w:lineRule="auto"/>
    </w:pPr>
    <w:rPr>
      <w:rFonts w:ascii="Minion Pro" w:hAnsi="Minion Pro" w:cs="Minion Pro"/>
      <w:color w:val="000000"/>
      <w:sz w:val="24"/>
      <w:szCs w:val="24"/>
    </w:rPr>
  </w:style>
  <w:style w:type="paragraph" w:customStyle="1" w:styleId="Pa37">
    <w:name w:val="Pa37"/>
    <w:basedOn w:val="Default"/>
    <w:next w:val="Default"/>
    <w:uiPriority w:val="99"/>
    <w:rsid w:val="00F37E11"/>
    <w:pPr>
      <w:spacing w:line="201" w:lineRule="atLeast"/>
    </w:pPr>
    <w:rPr>
      <w:rFonts w:cstheme="minorBidi"/>
      <w:color w:val="auto"/>
    </w:rPr>
  </w:style>
  <w:style w:type="paragraph" w:customStyle="1" w:styleId="Pa39">
    <w:name w:val="Pa39"/>
    <w:basedOn w:val="Default"/>
    <w:next w:val="Default"/>
    <w:uiPriority w:val="99"/>
    <w:rsid w:val="00F37E11"/>
    <w:pPr>
      <w:spacing w:line="181" w:lineRule="atLeast"/>
    </w:pPr>
    <w:rPr>
      <w:rFonts w:cstheme="minorBidi"/>
      <w:color w:val="auto"/>
    </w:rPr>
  </w:style>
  <w:style w:type="character" w:customStyle="1" w:styleId="A17">
    <w:name w:val="A17"/>
    <w:uiPriority w:val="99"/>
    <w:rsid w:val="00F37E11"/>
    <w:rPr>
      <w:rFonts w:cs="Minion Pro"/>
      <w:color w:val="000000"/>
      <w:sz w:val="11"/>
      <w:szCs w:val="11"/>
    </w:rPr>
  </w:style>
  <w:style w:type="paragraph" w:customStyle="1" w:styleId="Pa9">
    <w:name w:val="Pa9"/>
    <w:basedOn w:val="Default"/>
    <w:next w:val="Default"/>
    <w:uiPriority w:val="99"/>
    <w:rsid w:val="00833C9E"/>
    <w:pPr>
      <w:spacing w:line="241" w:lineRule="atLeast"/>
    </w:pPr>
    <w:rPr>
      <w:rFonts w:cstheme="minorBidi"/>
      <w:color w:val="auto"/>
    </w:rPr>
  </w:style>
  <w:style w:type="paragraph" w:styleId="a8">
    <w:name w:val="List Paragraph"/>
    <w:basedOn w:val="a"/>
    <w:uiPriority w:val="34"/>
    <w:qFormat/>
    <w:rsid w:val="00215267"/>
    <w:pPr>
      <w:ind w:left="720"/>
      <w:contextualSpacing/>
    </w:pPr>
    <w:rPr>
      <w:rFonts w:eastAsiaTheme="minorEastAsia"/>
      <w:lang w:val="uk-UA" w:eastAsia="uk-UA"/>
    </w:rPr>
  </w:style>
  <w:style w:type="character" w:customStyle="1" w:styleId="10">
    <w:name w:val="Заголовок 1 Знак"/>
    <w:basedOn w:val="a0"/>
    <w:link w:val="1"/>
    <w:uiPriority w:val="9"/>
    <w:rsid w:val="00A03291"/>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A03291"/>
    <w:rPr>
      <w:color w:val="0000FF" w:themeColor="hyperlink"/>
      <w:u w:val="single"/>
    </w:rPr>
  </w:style>
  <w:style w:type="character" w:styleId="aa">
    <w:name w:val="FollowedHyperlink"/>
    <w:basedOn w:val="a0"/>
    <w:uiPriority w:val="99"/>
    <w:semiHidden/>
    <w:unhideWhenUsed/>
    <w:rsid w:val="00A03291"/>
    <w:rPr>
      <w:color w:val="800080" w:themeColor="followedHyperlink"/>
      <w:u w:val="single"/>
    </w:rPr>
  </w:style>
  <w:style w:type="paragraph" w:styleId="ab">
    <w:name w:val="header"/>
    <w:basedOn w:val="a"/>
    <w:link w:val="ac"/>
    <w:uiPriority w:val="99"/>
    <w:unhideWhenUsed/>
    <w:rsid w:val="00AA79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792B"/>
  </w:style>
  <w:style w:type="paragraph" w:styleId="ad">
    <w:name w:val="footer"/>
    <w:basedOn w:val="a"/>
    <w:link w:val="ae"/>
    <w:uiPriority w:val="99"/>
    <w:unhideWhenUsed/>
    <w:rsid w:val="00AA79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792B"/>
  </w:style>
  <w:style w:type="character" w:customStyle="1" w:styleId="js-phone-number">
    <w:name w:val="js-phone-number"/>
    <w:basedOn w:val="a0"/>
    <w:rsid w:val="00F45CB5"/>
  </w:style>
  <w:style w:type="character" w:customStyle="1" w:styleId="30">
    <w:name w:val="Заголовок 3 Знак"/>
    <w:basedOn w:val="a0"/>
    <w:link w:val="3"/>
    <w:uiPriority w:val="9"/>
    <w:semiHidden/>
    <w:rsid w:val="00DC2156"/>
    <w:rPr>
      <w:rFonts w:asciiTheme="majorHAnsi" w:eastAsiaTheme="majorEastAsia" w:hAnsiTheme="majorHAnsi" w:cstheme="majorBidi"/>
      <w:b/>
      <w:bCs/>
      <w:color w:val="4F81BD" w:themeColor="accent1"/>
    </w:rPr>
  </w:style>
  <w:style w:type="paragraph" w:styleId="af">
    <w:name w:val="No Spacing"/>
    <w:uiPriority w:val="1"/>
    <w:qFormat/>
    <w:rsid w:val="00E808BA"/>
    <w:pPr>
      <w:spacing w:after="0" w:line="240" w:lineRule="auto"/>
    </w:pPr>
  </w:style>
  <w:style w:type="character" w:customStyle="1" w:styleId="apple-converted-space">
    <w:name w:val="apple-converted-space"/>
    <w:basedOn w:val="a0"/>
    <w:rsid w:val="00C325C7"/>
  </w:style>
  <w:style w:type="paragraph" w:styleId="af0">
    <w:name w:val="Title"/>
    <w:basedOn w:val="a"/>
    <w:next w:val="a"/>
    <w:link w:val="af1"/>
    <w:uiPriority w:val="10"/>
    <w:qFormat/>
    <w:rsid w:val="00CE6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CE638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605D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7F0"/>
  </w:style>
  <w:style w:type="paragraph" w:styleId="1">
    <w:name w:val="heading 1"/>
    <w:basedOn w:val="a"/>
    <w:next w:val="a"/>
    <w:link w:val="10"/>
    <w:uiPriority w:val="9"/>
    <w:qFormat/>
    <w:rsid w:val="00A03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5D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2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482C"/>
    <w:rPr>
      <w:b/>
      <w:bCs/>
    </w:rPr>
  </w:style>
  <w:style w:type="table" w:styleId="a5">
    <w:name w:val="Table Grid"/>
    <w:basedOn w:val="a1"/>
    <w:uiPriority w:val="59"/>
    <w:rsid w:val="00275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047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47C9"/>
    <w:rPr>
      <w:rFonts w:ascii="Tahoma" w:hAnsi="Tahoma" w:cs="Tahoma"/>
      <w:sz w:val="16"/>
      <w:szCs w:val="16"/>
    </w:rPr>
  </w:style>
  <w:style w:type="paragraph" w:customStyle="1" w:styleId="Default">
    <w:name w:val="Default"/>
    <w:rsid w:val="00F37E11"/>
    <w:pPr>
      <w:autoSpaceDE w:val="0"/>
      <w:autoSpaceDN w:val="0"/>
      <w:adjustRightInd w:val="0"/>
      <w:spacing w:after="0" w:line="240" w:lineRule="auto"/>
    </w:pPr>
    <w:rPr>
      <w:rFonts w:ascii="Minion Pro" w:hAnsi="Minion Pro" w:cs="Minion Pro"/>
      <w:color w:val="000000"/>
      <w:sz w:val="24"/>
      <w:szCs w:val="24"/>
    </w:rPr>
  </w:style>
  <w:style w:type="paragraph" w:customStyle="1" w:styleId="Pa37">
    <w:name w:val="Pa37"/>
    <w:basedOn w:val="Default"/>
    <w:next w:val="Default"/>
    <w:uiPriority w:val="99"/>
    <w:rsid w:val="00F37E11"/>
    <w:pPr>
      <w:spacing w:line="201" w:lineRule="atLeast"/>
    </w:pPr>
    <w:rPr>
      <w:rFonts w:cstheme="minorBidi"/>
      <w:color w:val="auto"/>
    </w:rPr>
  </w:style>
  <w:style w:type="paragraph" w:customStyle="1" w:styleId="Pa39">
    <w:name w:val="Pa39"/>
    <w:basedOn w:val="Default"/>
    <w:next w:val="Default"/>
    <w:uiPriority w:val="99"/>
    <w:rsid w:val="00F37E11"/>
    <w:pPr>
      <w:spacing w:line="181" w:lineRule="atLeast"/>
    </w:pPr>
    <w:rPr>
      <w:rFonts w:cstheme="minorBidi"/>
      <w:color w:val="auto"/>
    </w:rPr>
  </w:style>
  <w:style w:type="character" w:customStyle="1" w:styleId="A17">
    <w:name w:val="A17"/>
    <w:uiPriority w:val="99"/>
    <w:rsid w:val="00F37E11"/>
    <w:rPr>
      <w:rFonts w:cs="Minion Pro"/>
      <w:color w:val="000000"/>
      <w:sz w:val="11"/>
      <w:szCs w:val="11"/>
    </w:rPr>
  </w:style>
  <w:style w:type="paragraph" w:customStyle="1" w:styleId="Pa9">
    <w:name w:val="Pa9"/>
    <w:basedOn w:val="Default"/>
    <w:next w:val="Default"/>
    <w:uiPriority w:val="99"/>
    <w:rsid w:val="00833C9E"/>
    <w:pPr>
      <w:spacing w:line="241" w:lineRule="atLeast"/>
    </w:pPr>
    <w:rPr>
      <w:rFonts w:cstheme="minorBidi"/>
      <w:color w:val="auto"/>
    </w:rPr>
  </w:style>
  <w:style w:type="paragraph" w:styleId="a8">
    <w:name w:val="List Paragraph"/>
    <w:basedOn w:val="a"/>
    <w:uiPriority w:val="34"/>
    <w:qFormat/>
    <w:rsid w:val="00215267"/>
    <w:pPr>
      <w:ind w:left="720"/>
      <w:contextualSpacing/>
    </w:pPr>
    <w:rPr>
      <w:rFonts w:eastAsiaTheme="minorEastAsia"/>
      <w:lang w:val="uk-UA" w:eastAsia="uk-UA"/>
    </w:rPr>
  </w:style>
  <w:style w:type="character" w:customStyle="1" w:styleId="10">
    <w:name w:val="Заголовок 1 Знак"/>
    <w:basedOn w:val="a0"/>
    <w:link w:val="1"/>
    <w:uiPriority w:val="9"/>
    <w:rsid w:val="00A03291"/>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A03291"/>
    <w:rPr>
      <w:color w:val="0000FF" w:themeColor="hyperlink"/>
      <w:u w:val="single"/>
    </w:rPr>
  </w:style>
  <w:style w:type="character" w:styleId="aa">
    <w:name w:val="FollowedHyperlink"/>
    <w:basedOn w:val="a0"/>
    <w:uiPriority w:val="99"/>
    <w:semiHidden/>
    <w:unhideWhenUsed/>
    <w:rsid w:val="00A03291"/>
    <w:rPr>
      <w:color w:val="800080" w:themeColor="followedHyperlink"/>
      <w:u w:val="single"/>
    </w:rPr>
  </w:style>
  <w:style w:type="paragraph" w:styleId="ab">
    <w:name w:val="header"/>
    <w:basedOn w:val="a"/>
    <w:link w:val="ac"/>
    <w:uiPriority w:val="99"/>
    <w:unhideWhenUsed/>
    <w:rsid w:val="00AA79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A792B"/>
  </w:style>
  <w:style w:type="paragraph" w:styleId="ad">
    <w:name w:val="footer"/>
    <w:basedOn w:val="a"/>
    <w:link w:val="ae"/>
    <w:uiPriority w:val="99"/>
    <w:unhideWhenUsed/>
    <w:rsid w:val="00AA79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792B"/>
  </w:style>
  <w:style w:type="character" w:customStyle="1" w:styleId="js-phone-number">
    <w:name w:val="js-phone-number"/>
    <w:basedOn w:val="a0"/>
    <w:rsid w:val="00F45CB5"/>
  </w:style>
  <w:style w:type="character" w:customStyle="1" w:styleId="30">
    <w:name w:val="Заголовок 3 Знак"/>
    <w:basedOn w:val="a0"/>
    <w:link w:val="3"/>
    <w:uiPriority w:val="9"/>
    <w:semiHidden/>
    <w:rsid w:val="00DC2156"/>
    <w:rPr>
      <w:rFonts w:asciiTheme="majorHAnsi" w:eastAsiaTheme="majorEastAsia" w:hAnsiTheme="majorHAnsi" w:cstheme="majorBidi"/>
      <w:b/>
      <w:bCs/>
      <w:color w:val="4F81BD" w:themeColor="accent1"/>
    </w:rPr>
  </w:style>
  <w:style w:type="paragraph" w:styleId="af">
    <w:name w:val="No Spacing"/>
    <w:uiPriority w:val="1"/>
    <w:qFormat/>
    <w:rsid w:val="00E808BA"/>
    <w:pPr>
      <w:spacing w:after="0" w:line="240" w:lineRule="auto"/>
    </w:pPr>
  </w:style>
  <w:style w:type="character" w:customStyle="1" w:styleId="apple-converted-space">
    <w:name w:val="apple-converted-space"/>
    <w:basedOn w:val="a0"/>
    <w:rsid w:val="00C325C7"/>
  </w:style>
  <w:style w:type="paragraph" w:styleId="af0">
    <w:name w:val="Title"/>
    <w:basedOn w:val="a"/>
    <w:next w:val="a"/>
    <w:link w:val="af1"/>
    <w:uiPriority w:val="10"/>
    <w:qFormat/>
    <w:rsid w:val="00CE63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CE638C"/>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605D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2587">
      <w:bodyDiv w:val="1"/>
      <w:marLeft w:val="0"/>
      <w:marRight w:val="0"/>
      <w:marTop w:val="0"/>
      <w:marBottom w:val="0"/>
      <w:divBdr>
        <w:top w:val="none" w:sz="0" w:space="0" w:color="auto"/>
        <w:left w:val="none" w:sz="0" w:space="0" w:color="auto"/>
        <w:bottom w:val="none" w:sz="0" w:space="0" w:color="auto"/>
        <w:right w:val="none" w:sz="0" w:space="0" w:color="auto"/>
      </w:divBdr>
    </w:div>
    <w:div w:id="79909938">
      <w:bodyDiv w:val="1"/>
      <w:marLeft w:val="0"/>
      <w:marRight w:val="0"/>
      <w:marTop w:val="0"/>
      <w:marBottom w:val="0"/>
      <w:divBdr>
        <w:top w:val="none" w:sz="0" w:space="0" w:color="auto"/>
        <w:left w:val="none" w:sz="0" w:space="0" w:color="auto"/>
        <w:bottom w:val="none" w:sz="0" w:space="0" w:color="auto"/>
        <w:right w:val="none" w:sz="0" w:space="0" w:color="auto"/>
      </w:divBdr>
      <w:divsChild>
        <w:div w:id="100730356">
          <w:marLeft w:val="0"/>
          <w:marRight w:val="0"/>
          <w:marTop w:val="0"/>
          <w:marBottom w:val="0"/>
          <w:divBdr>
            <w:top w:val="none" w:sz="0" w:space="0" w:color="auto"/>
            <w:left w:val="none" w:sz="0" w:space="0" w:color="auto"/>
            <w:bottom w:val="none" w:sz="0" w:space="0" w:color="auto"/>
            <w:right w:val="none" w:sz="0" w:space="0" w:color="auto"/>
          </w:divBdr>
        </w:div>
        <w:div w:id="706223125">
          <w:marLeft w:val="0"/>
          <w:marRight w:val="0"/>
          <w:marTop w:val="0"/>
          <w:marBottom w:val="0"/>
          <w:divBdr>
            <w:top w:val="none" w:sz="0" w:space="0" w:color="auto"/>
            <w:left w:val="none" w:sz="0" w:space="0" w:color="auto"/>
            <w:bottom w:val="none" w:sz="0" w:space="0" w:color="auto"/>
            <w:right w:val="none" w:sz="0" w:space="0" w:color="auto"/>
          </w:divBdr>
        </w:div>
        <w:div w:id="1117870962">
          <w:marLeft w:val="0"/>
          <w:marRight w:val="0"/>
          <w:marTop w:val="0"/>
          <w:marBottom w:val="0"/>
          <w:divBdr>
            <w:top w:val="none" w:sz="0" w:space="0" w:color="auto"/>
            <w:left w:val="none" w:sz="0" w:space="0" w:color="auto"/>
            <w:bottom w:val="none" w:sz="0" w:space="0" w:color="auto"/>
            <w:right w:val="none" w:sz="0" w:space="0" w:color="auto"/>
          </w:divBdr>
        </w:div>
        <w:div w:id="1299414012">
          <w:marLeft w:val="0"/>
          <w:marRight w:val="0"/>
          <w:marTop w:val="0"/>
          <w:marBottom w:val="0"/>
          <w:divBdr>
            <w:top w:val="none" w:sz="0" w:space="0" w:color="auto"/>
            <w:left w:val="none" w:sz="0" w:space="0" w:color="auto"/>
            <w:bottom w:val="none" w:sz="0" w:space="0" w:color="auto"/>
            <w:right w:val="none" w:sz="0" w:space="0" w:color="auto"/>
          </w:divBdr>
        </w:div>
        <w:div w:id="1734309606">
          <w:marLeft w:val="0"/>
          <w:marRight w:val="0"/>
          <w:marTop w:val="0"/>
          <w:marBottom w:val="0"/>
          <w:divBdr>
            <w:top w:val="none" w:sz="0" w:space="0" w:color="auto"/>
            <w:left w:val="none" w:sz="0" w:space="0" w:color="auto"/>
            <w:bottom w:val="none" w:sz="0" w:space="0" w:color="auto"/>
            <w:right w:val="none" w:sz="0" w:space="0" w:color="auto"/>
          </w:divBdr>
        </w:div>
      </w:divsChild>
    </w:div>
    <w:div w:id="87124184">
      <w:bodyDiv w:val="1"/>
      <w:marLeft w:val="0"/>
      <w:marRight w:val="0"/>
      <w:marTop w:val="0"/>
      <w:marBottom w:val="0"/>
      <w:divBdr>
        <w:top w:val="none" w:sz="0" w:space="0" w:color="auto"/>
        <w:left w:val="none" w:sz="0" w:space="0" w:color="auto"/>
        <w:bottom w:val="none" w:sz="0" w:space="0" w:color="auto"/>
        <w:right w:val="none" w:sz="0" w:space="0" w:color="auto"/>
      </w:divBdr>
    </w:div>
    <w:div w:id="282810044">
      <w:bodyDiv w:val="1"/>
      <w:marLeft w:val="0"/>
      <w:marRight w:val="0"/>
      <w:marTop w:val="0"/>
      <w:marBottom w:val="0"/>
      <w:divBdr>
        <w:top w:val="none" w:sz="0" w:space="0" w:color="auto"/>
        <w:left w:val="none" w:sz="0" w:space="0" w:color="auto"/>
        <w:bottom w:val="none" w:sz="0" w:space="0" w:color="auto"/>
        <w:right w:val="none" w:sz="0" w:space="0" w:color="auto"/>
      </w:divBdr>
    </w:div>
    <w:div w:id="328800545">
      <w:bodyDiv w:val="1"/>
      <w:marLeft w:val="0"/>
      <w:marRight w:val="0"/>
      <w:marTop w:val="0"/>
      <w:marBottom w:val="0"/>
      <w:divBdr>
        <w:top w:val="none" w:sz="0" w:space="0" w:color="auto"/>
        <w:left w:val="none" w:sz="0" w:space="0" w:color="auto"/>
        <w:bottom w:val="none" w:sz="0" w:space="0" w:color="auto"/>
        <w:right w:val="none" w:sz="0" w:space="0" w:color="auto"/>
      </w:divBdr>
    </w:div>
    <w:div w:id="331179114">
      <w:bodyDiv w:val="1"/>
      <w:marLeft w:val="0"/>
      <w:marRight w:val="0"/>
      <w:marTop w:val="0"/>
      <w:marBottom w:val="0"/>
      <w:divBdr>
        <w:top w:val="none" w:sz="0" w:space="0" w:color="auto"/>
        <w:left w:val="none" w:sz="0" w:space="0" w:color="auto"/>
        <w:bottom w:val="none" w:sz="0" w:space="0" w:color="auto"/>
        <w:right w:val="none" w:sz="0" w:space="0" w:color="auto"/>
      </w:divBdr>
    </w:div>
    <w:div w:id="431049703">
      <w:bodyDiv w:val="1"/>
      <w:marLeft w:val="0"/>
      <w:marRight w:val="0"/>
      <w:marTop w:val="0"/>
      <w:marBottom w:val="0"/>
      <w:divBdr>
        <w:top w:val="none" w:sz="0" w:space="0" w:color="auto"/>
        <w:left w:val="none" w:sz="0" w:space="0" w:color="auto"/>
        <w:bottom w:val="none" w:sz="0" w:space="0" w:color="auto"/>
        <w:right w:val="none" w:sz="0" w:space="0" w:color="auto"/>
      </w:divBdr>
    </w:div>
    <w:div w:id="437869387">
      <w:bodyDiv w:val="1"/>
      <w:marLeft w:val="0"/>
      <w:marRight w:val="0"/>
      <w:marTop w:val="0"/>
      <w:marBottom w:val="0"/>
      <w:divBdr>
        <w:top w:val="none" w:sz="0" w:space="0" w:color="auto"/>
        <w:left w:val="none" w:sz="0" w:space="0" w:color="auto"/>
        <w:bottom w:val="none" w:sz="0" w:space="0" w:color="auto"/>
        <w:right w:val="none" w:sz="0" w:space="0" w:color="auto"/>
      </w:divBdr>
    </w:div>
    <w:div w:id="493572163">
      <w:bodyDiv w:val="1"/>
      <w:marLeft w:val="0"/>
      <w:marRight w:val="0"/>
      <w:marTop w:val="0"/>
      <w:marBottom w:val="0"/>
      <w:divBdr>
        <w:top w:val="none" w:sz="0" w:space="0" w:color="auto"/>
        <w:left w:val="none" w:sz="0" w:space="0" w:color="auto"/>
        <w:bottom w:val="none" w:sz="0" w:space="0" w:color="auto"/>
        <w:right w:val="none" w:sz="0" w:space="0" w:color="auto"/>
      </w:divBdr>
    </w:div>
    <w:div w:id="506755345">
      <w:bodyDiv w:val="1"/>
      <w:marLeft w:val="0"/>
      <w:marRight w:val="0"/>
      <w:marTop w:val="0"/>
      <w:marBottom w:val="0"/>
      <w:divBdr>
        <w:top w:val="none" w:sz="0" w:space="0" w:color="auto"/>
        <w:left w:val="none" w:sz="0" w:space="0" w:color="auto"/>
        <w:bottom w:val="none" w:sz="0" w:space="0" w:color="auto"/>
        <w:right w:val="none" w:sz="0" w:space="0" w:color="auto"/>
      </w:divBdr>
    </w:div>
    <w:div w:id="642587674">
      <w:bodyDiv w:val="1"/>
      <w:marLeft w:val="0"/>
      <w:marRight w:val="0"/>
      <w:marTop w:val="0"/>
      <w:marBottom w:val="0"/>
      <w:divBdr>
        <w:top w:val="none" w:sz="0" w:space="0" w:color="auto"/>
        <w:left w:val="none" w:sz="0" w:space="0" w:color="auto"/>
        <w:bottom w:val="none" w:sz="0" w:space="0" w:color="auto"/>
        <w:right w:val="none" w:sz="0" w:space="0" w:color="auto"/>
      </w:divBdr>
    </w:div>
    <w:div w:id="643973052">
      <w:bodyDiv w:val="1"/>
      <w:marLeft w:val="0"/>
      <w:marRight w:val="0"/>
      <w:marTop w:val="0"/>
      <w:marBottom w:val="0"/>
      <w:divBdr>
        <w:top w:val="none" w:sz="0" w:space="0" w:color="auto"/>
        <w:left w:val="none" w:sz="0" w:space="0" w:color="auto"/>
        <w:bottom w:val="none" w:sz="0" w:space="0" w:color="auto"/>
        <w:right w:val="none" w:sz="0" w:space="0" w:color="auto"/>
      </w:divBdr>
    </w:div>
    <w:div w:id="644167200">
      <w:bodyDiv w:val="1"/>
      <w:marLeft w:val="0"/>
      <w:marRight w:val="0"/>
      <w:marTop w:val="0"/>
      <w:marBottom w:val="0"/>
      <w:divBdr>
        <w:top w:val="none" w:sz="0" w:space="0" w:color="auto"/>
        <w:left w:val="none" w:sz="0" w:space="0" w:color="auto"/>
        <w:bottom w:val="none" w:sz="0" w:space="0" w:color="auto"/>
        <w:right w:val="none" w:sz="0" w:space="0" w:color="auto"/>
      </w:divBdr>
    </w:div>
    <w:div w:id="656155333">
      <w:bodyDiv w:val="1"/>
      <w:marLeft w:val="0"/>
      <w:marRight w:val="0"/>
      <w:marTop w:val="0"/>
      <w:marBottom w:val="0"/>
      <w:divBdr>
        <w:top w:val="none" w:sz="0" w:space="0" w:color="auto"/>
        <w:left w:val="none" w:sz="0" w:space="0" w:color="auto"/>
        <w:bottom w:val="none" w:sz="0" w:space="0" w:color="auto"/>
        <w:right w:val="none" w:sz="0" w:space="0" w:color="auto"/>
      </w:divBdr>
    </w:div>
    <w:div w:id="779373220">
      <w:bodyDiv w:val="1"/>
      <w:marLeft w:val="0"/>
      <w:marRight w:val="0"/>
      <w:marTop w:val="0"/>
      <w:marBottom w:val="0"/>
      <w:divBdr>
        <w:top w:val="none" w:sz="0" w:space="0" w:color="auto"/>
        <w:left w:val="none" w:sz="0" w:space="0" w:color="auto"/>
        <w:bottom w:val="none" w:sz="0" w:space="0" w:color="auto"/>
        <w:right w:val="none" w:sz="0" w:space="0" w:color="auto"/>
      </w:divBdr>
    </w:div>
    <w:div w:id="788619958">
      <w:bodyDiv w:val="1"/>
      <w:marLeft w:val="0"/>
      <w:marRight w:val="0"/>
      <w:marTop w:val="0"/>
      <w:marBottom w:val="0"/>
      <w:divBdr>
        <w:top w:val="none" w:sz="0" w:space="0" w:color="auto"/>
        <w:left w:val="none" w:sz="0" w:space="0" w:color="auto"/>
        <w:bottom w:val="none" w:sz="0" w:space="0" w:color="auto"/>
        <w:right w:val="none" w:sz="0" w:space="0" w:color="auto"/>
      </w:divBdr>
    </w:div>
    <w:div w:id="813066871">
      <w:bodyDiv w:val="1"/>
      <w:marLeft w:val="0"/>
      <w:marRight w:val="0"/>
      <w:marTop w:val="0"/>
      <w:marBottom w:val="0"/>
      <w:divBdr>
        <w:top w:val="none" w:sz="0" w:space="0" w:color="auto"/>
        <w:left w:val="none" w:sz="0" w:space="0" w:color="auto"/>
        <w:bottom w:val="none" w:sz="0" w:space="0" w:color="auto"/>
        <w:right w:val="none" w:sz="0" w:space="0" w:color="auto"/>
      </w:divBdr>
    </w:div>
    <w:div w:id="949895187">
      <w:bodyDiv w:val="1"/>
      <w:marLeft w:val="0"/>
      <w:marRight w:val="0"/>
      <w:marTop w:val="0"/>
      <w:marBottom w:val="0"/>
      <w:divBdr>
        <w:top w:val="none" w:sz="0" w:space="0" w:color="auto"/>
        <w:left w:val="none" w:sz="0" w:space="0" w:color="auto"/>
        <w:bottom w:val="none" w:sz="0" w:space="0" w:color="auto"/>
        <w:right w:val="none" w:sz="0" w:space="0" w:color="auto"/>
      </w:divBdr>
    </w:div>
    <w:div w:id="959071213">
      <w:bodyDiv w:val="1"/>
      <w:marLeft w:val="0"/>
      <w:marRight w:val="0"/>
      <w:marTop w:val="0"/>
      <w:marBottom w:val="0"/>
      <w:divBdr>
        <w:top w:val="none" w:sz="0" w:space="0" w:color="auto"/>
        <w:left w:val="none" w:sz="0" w:space="0" w:color="auto"/>
        <w:bottom w:val="none" w:sz="0" w:space="0" w:color="auto"/>
        <w:right w:val="none" w:sz="0" w:space="0" w:color="auto"/>
      </w:divBdr>
    </w:div>
    <w:div w:id="974024463">
      <w:bodyDiv w:val="1"/>
      <w:marLeft w:val="0"/>
      <w:marRight w:val="0"/>
      <w:marTop w:val="0"/>
      <w:marBottom w:val="0"/>
      <w:divBdr>
        <w:top w:val="none" w:sz="0" w:space="0" w:color="auto"/>
        <w:left w:val="none" w:sz="0" w:space="0" w:color="auto"/>
        <w:bottom w:val="none" w:sz="0" w:space="0" w:color="auto"/>
        <w:right w:val="none" w:sz="0" w:space="0" w:color="auto"/>
      </w:divBdr>
      <w:divsChild>
        <w:div w:id="574629881">
          <w:marLeft w:val="0"/>
          <w:marRight w:val="0"/>
          <w:marTop w:val="0"/>
          <w:marBottom w:val="0"/>
          <w:divBdr>
            <w:top w:val="none" w:sz="0" w:space="0" w:color="auto"/>
            <w:left w:val="none" w:sz="0" w:space="0" w:color="auto"/>
            <w:bottom w:val="none" w:sz="0" w:space="0" w:color="auto"/>
            <w:right w:val="none" w:sz="0" w:space="0" w:color="auto"/>
          </w:divBdr>
        </w:div>
        <w:div w:id="515845022">
          <w:marLeft w:val="0"/>
          <w:marRight w:val="0"/>
          <w:marTop w:val="0"/>
          <w:marBottom w:val="0"/>
          <w:divBdr>
            <w:top w:val="none" w:sz="0" w:space="0" w:color="auto"/>
            <w:left w:val="none" w:sz="0" w:space="0" w:color="auto"/>
            <w:bottom w:val="none" w:sz="0" w:space="0" w:color="auto"/>
            <w:right w:val="none" w:sz="0" w:space="0" w:color="auto"/>
          </w:divBdr>
        </w:div>
        <w:div w:id="1485048428">
          <w:marLeft w:val="0"/>
          <w:marRight w:val="0"/>
          <w:marTop w:val="0"/>
          <w:marBottom w:val="0"/>
          <w:divBdr>
            <w:top w:val="none" w:sz="0" w:space="0" w:color="auto"/>
            <w:left w:val="none" w:sz="0" w:space="0" w:color="auto"/>
            <w:bottom w:val="none" w:sz="0" w:space="0" w:color="auto"/>
            <w:right w:val="none" w:sz="0" w:space="0" w:color="auto"/>
          </w:divBdr>
        </w:div>
        <w:div w:id="1388457316">
          <w:marLeft w:val="0"/>
          <w:marRight w:val="0"/>
          <w:marTop w:val="0"/>
          <w:marBottom w:val="0"/>
          <w:divBdr>
            <w:top w:val="none" w:sz="0" w:space="0" w:color="auto"/>
            <w:left w:val="none" w:sz="0" w:space="0" w:color="auto"/>
            <w:bottom w:val="none" w:sz="0" w:space="0" w:color="auto"/>
            <w:right w:val="none" w:sz="0" w:space="0" w:color="auto"/>
          </w:divBdr>
        </w:div>
        <w:div w:id="1688368353">
          <w:marLeft w:val="0"/>
          <w:marRight w:val="0"/>
          <w:marTop w:val="0"/>
          <w:marBottom w:val="0"/>
          <w:divBdr>
            <w:top w:val="none" w:sz="0" w:space="0" w:color="auto"/>
            <w:left w:val="none" w:sz="0" w:space="0" w:color="auto"/>
            <w:bottom w:val="none" w:sz="0" w:space="0" w:color="auto"/>
            <w:right w:val="none" w:sz="0" w:space="0" w:color="auto"/>
          </w:divBdr>
        </w:div>
        <w:div w:id="310333069">
          <w:marLeft w:val="0"/>
          <w:marRight w:val="0"/>
          <w:marTop w:val="0"/>
          <w:marBottom w:val="0"/>
          <w:divBdr>
            <w:top w:val="none" w:sz="0" w:space="0" w:color="auto"/>
            <w:left w:val="none" w:sz="0" w:space="0" w:color="auto"/>
            <w:bottom w:val="none" w:sz="0" w:space="0" w:color="auto"/>
            <w:right w:val="none" w:sz="0" w:space="0" w:color="auto"/>
          </w:divBdr>
        </w:div>
        <w:div w:id="468717401">
          <w:marLeft w:val="0"/>
          <w:marRight w:val="0"/>
          <w:marTop w:val="0"/>
          <w:marBottom w:val="0"/>
          <w:divBdr>
            <w:top w:val="none" w:sz="0" w:space="0" w:color="auto"/>
            <w:left w:val="none" w:sz="0" w:space="0" w:color="auto"/>
            <w:bottom w:val="none" w:sz="0" w:space="0" w:color="auto"/>
            <w:right w:val="none" w:sz="0" w:space="0" w:color="auto"/>
          </w:divBdr>
        </w:div>
        <w:div w:id="1556039020">
          <w:marLeft w:val="0"/>
          <w:marRight w:val="0"/>
          <w:marTop w:val="0"/>
          <w:marBottom w:val="0"/>
          <w:divBdr>
            <w:top w:val="none" w:sz="0" w:space="0" w:color="auto"/>
            <w:left w:val="none" w:sz="0" w:space="0" w:color="auto"/>
            <w:bottom w:val="none" w:sz="0" w:space="0" w:color="auto"/>
            <w:right w:val="none" w:sz="0" w:space="0" w:color="auto"/>
          </w:divBdr>
        </w:div>
        <w:div w:id="1315717316">
          <w:marLeft w:val="0"/>
          <w:marRight w:val="0"/>
          <w:marTop w:val="0"/>
          <w:marBottom w:val="0"/>
          <w:divBdr>
            <w:top w:val="none" w:sz="0" w:space="0" w:color="auto"/>
            <w:left w:val="none" w:sz="0" w:space="0" w:color="auto"/>
            <w:bottom w:val="none" w:sz="0" w:space="0" w:color="auto"/>
            <w:right w:val="none" w:sz="0" w:space="0" w:color="auto"/>
          </w:divBdr>
        </w:div>
        <w:div w:id="803036365">
          <w:marLeft w:val="0"/>
          <w:marRight w:val="0"/>
          <w:marTop w:val="0"/>
          <w:marBottom w:val="0"/>
          <w:divBdr>
            <w:top w:val="none" w:sz="0" w:space="0" w:color="auto"/>
            <w:left w:val="none" w:sz="0" w:space="0" w:color="auto"/>
            <w:bottom w:val="none" w:sz="0" w:space="0" w:color="auto"/>
            <w:right w:val="none" w:sz="0" w:space="0" w:color="auto"/>
          </w:divBdr>
        </w:div>
        <w:div w:id="1480536374">
          <w:marLeft w:val="0"/>
          <w:marRight w:val="0"/>
          <w:marTop w:val="0"/>
          <w:marBottom w:val="0"/>
          <w:divBdr>
            <w:top w:val="none" w:sz="0" w:space="0" w:color="auto"/>
            <w:left w:val="none" w:sz="0" w:space="0" w:color="auto"/>
            <w:bottom w:val="none" w:sz="0" w:space="0" w:color="auto"/>
            <w:right w:val="none" w:sz="0" w:space="0" w:color="auto"/>
          </w:divBdr>
        </w:div>
        <w:div w:id="75905812">
          <w:marLeft w:val="0"/>
          <w:marRight w:val="0"/>
          <w:marTop w:val="0"/>
          <w:marBottom w:val="0"/>
          <w:divBdr>
            <w:top w:val="none" w:sz="0" w:space="0" w:color="auto"/>
            <w:left w:val="none" w:sz="0" w:space="0" w:color="auto"/>
            <w:bottom w:val="none" w:sz="0" w:space="0" w:color="auto"/>
            <w:right w:val="none" w:sz="0" w:space="0" w:color="auto"/>
          </w:divBdr>
        </w:div>
        <w:div w:id="333387723">
          <w:marLeft w:val="0"/>
          <w:marRight w:val="0"/>
          <w:marTop w:val="0"/>
          <w:marBottom w:val="0"/>
          <w:divBdr>
            <w:top w:val="none" w:sz="0" w:space="0" w:color="auto"/>
            <w:left w:val="none" w:sz="0" w:space="0" w:color="auto"/>
            <w:bottom w:val="none" w:sz="0" w:space="0" w:color="auto"/>
            <w:right w:val="none" w:sz="0" w:space="0" w:color="auto"/>
          </w:divBdr>
        </w:div>
        <w:div w:id="1593123174">
          <w:marLeft w:val="0"/>
          <w:marRight w:val="0"/>
          <w:marTop w:val="0"/>
          <w:marBottom w:val="0"/>
          <w:divBdr>
            <w:top w:val="none" w:sz="0" w:space="0" w:color="auto"/>
            <w:left w:val="none" w:sz="0" w:space="0" w:color="auto"/>
            <w:bottom w:val="none" w:sz="0" w:space="0" w:color="auto"/>
            <w:right w:val="none" w:sz="0" w:space="0" w:color="auto"/>
          </w:divBdr>
        </w:div>
        <w:div w:id="1742632402">
          <w:marLeft w:val="0"/>
          <w:marRight w:val="0"/>
          <w:marTop w:val="0"/>
          <w:marBottom w:val="0"/>
          <w:divBdr>
            <w:top w:val="none" w:sz="0" w:space="0" w:color="auto"/>
            <w:left w:val="none" w:sz="0" w:space="0" w:color="auto"/>
            <w:bottom w:val="none" w:sz="0" w:space="0" w:color="auto"/>
            <w:right w:val="none" w:sz="0" w:space="0" w:color="auto"/>
          </w:divBdr>
        </w:div>
        <w:div w:id="566385243">
          <w:marLeft w:val="0"/>
          <w:marRight w:val="0"/>
          <w:marTop w:val="0"/>
          <w:marBottom w:val="0"/>
          <w:divBdr>
            <w:top w:val="none" w:sz="0" w:space="0" w:color="auto"/>
            <w:left w:val="none" w:sz="0" w:space="0" w:color="auto"/>
            <w:bottom w:val="none" w:sz="0" w:space="0" w:color="auto"/>
            <w:right w:val="none" w:sz="0" w:space="0" w:color="auto"/>
          </w:divBdr>
        </w:div>
        <w:div w:id="1747068657">
          <w:marLeft w:val="0"/>
          <w:marRight w:val="0"/>
          <w:marTop w:val="0"/>
          <w:marBottom w:val="0"/>
          <w:divBdr>
            <w:top w:val="none" w:sz="0" w:space="0" w:color="auto"/>
            <w:left w:val="none" w:sz="0" w:space="0" w:color="auto"/>
            <w:bottom w:val="none" w:sz="0" w:space="0" w:color="auto"/>
            <w:right w:val="none" w:sz="0" w:space="0" w:color="auto"/>
          </w:divBdr>
        </w:div>
        <w:div w:id="118111896">
          <w:marLeft w:val="0"/>
          <w:marRight w:val="0"/>
          <w:marTop w:val="0"/>
          <w:marBottom w:val="0"/>
          <w:divBdr>
            <w:top w:val="none" w:sz="0" w:space="0" w:color="auto"/>
            <w:left w:val="none" w:sz="0" w:space="0" w:color="auto"/>
            <w:bottom w:val="none" w:sz="0" w:space="0" w:color="auto"/>
            <w:right w:val="none" w:sz="0" w:space="0" w:color="auto"/>
          </w:divBdr>
        </w:div>
        <w:div w:id="1624264186">
          <w:marLeft w:val="0"/>
          <w:marRight w:val="0"/>
          <w:marTop w:val="0"/>
          <w:marBottom w:val="0"/>
          <w:divBdr>
            <w:top w:val="none" w:sz="0" w:space="0" w:color="auto"/>
            <w:left w:val="none" w:sz="0" w:space="0" w:color="auto"/>
            <w:bottom w:val="none" w:sz="0" w:space="0" w:color="auto"/>
            <w:right w:val="none" w:sz="0" w:space="0" w:color="auto"/>
          </w:divBdr>
        </w:div>
        <w:div w:id="273682171">
          <w:marLeft w:val="0"/>
          <w:marRight w:val="0"/>
          <w:marTop w:val="0"/>
          <w:marBottom w:val="0"/>
          <w:divBdr>
            <w:top w:val="none" w:sz="0" w:space="0" w:color="auto"/>
            <w:left w:val="none" w:sz="0" w:space="0" w:color="auto"/>
            <w:bottom w:val="none" w:sz="0" w:space="0" w:color="auto"/>
            <w:right w:val="none" w:sz="0" w:space="0" w:color="auto"/>
          </w:divBdr>
        </w:div>
        <w:div w:id="1105150063">
          <w:marLeft w:val="0"/>
          <w:marRight w:val="0"/>
          <w:marTop w:val="0"/>
          <w:marBottom w:val="0"/>
          <w:divBdr>
            <w:top w:val="none" w:sz="0" w:space="0" w:color="auto"/>
            <w:left w:val="none" w:sz="0" w:space="0" w:color="auto"/>
            <w:bottom w:val="none" w:sz="0" w:space="0" w:color="auto"/>
            <w:right w:val="none" w:sz="0" w:space="0" w:color="auto"/>
          </w:divBdr>
        </w:div>
        <w:div w:id="2065762057">
          <w:marLeft w:val="0"/>
          <w:marRight w:val="0"/>
          <w:marTop w:val="0"/>
          <w:marBottom w:val="0"/>
          <w:divBdr>
            <w:top w:val="none" w:sz="0" w:space="0" w:color="auto"/>
            <w:left w:val="none" w:sz="0" w:space="0" w:color="auto"/>
            <w:bottom w:val="none" w:sz="0" w:space="0" w:color="auto"/>
            <w:right w:val="none" w:sz="0" w:space="0" w:color="auto"/>
          </w:divBdr>
        </w:div>
        <w:div w:id="1692681904">
          <w:marLeft w:val="0"/>
          <w:marRight w:val="0"/>
          <w:marTop w:val="0"/>
          <w:marBottom w:val="0"/>
          <w:divBdr>
            <w:top w:val="none" w:sz="0" w:space="0" w:color="auto"/>
            <w:left w:val="none" w:sz="0" w:space="0" w:color="auto"/>
            <w:bottom w:val="none" w:sz="0" w:space="0" w:color="auto"/>
            <w:right w:val="none" w:sz="0" w:space="0" w:color="auto"/>
          </w:divBdr>
        </w:div>
        <w:div w:id="1717050057">
          <w:marLeft w:val="0"/>
          <w:marRight w:val="0"/>
          <w:marTop w:val="0"/>
          <w:marBottom w:val="0"/>
          <w:divBdr>
            <w:top w:val="none" w:sz="0" w:space="0" w:color="auto"/>
            <w:left w:val="none" w:sz="0" w:space="0" w:color="auto"/>
            <w:bottom w:val="none" w:sz="0" w:space="0" w:color="auto"/>
            <w:right w:val="none" w:sz="0" w:space="0" w:color="auto"/>
          </w:divBdr>
        </w:div>
        <w:div w:id="837696860">
          <w:marLeft w:val="0"/>
          <w:marRight w:val="0"/>
          <w:marTop w:val="0"/>
          <w:marBottom w:val="0"/>
          <w:divBdr>
            <w:top w:val="none" w:sz="0" w:space="0" w:color="auto"/>
            <w:left w:val="none" w:sz="0" w:space="0" w:color="auto"/>
            <w:bottom w:val="none" w:sz="0" w:space="0" w:color="auto"/>
            <w:right w:val="none" w:sz="0" w:space="0" w:color="auto"/>
          </w:divBdr>
        </w:div>
        <w:div w:id="510532358">
          <w:marLeft w:val="0"/>
          <w:marRight w:val="0"/>
          <w:marTop w:val="0"/>
          <w:marBottom w:val="0"/>
          <w:divBdr>
            <w:top w:val="none" w:sz="0" w:space="0" w:color="auto"/>
            <w:left w:val="none" w:sz="0" w:space="0" w:color="auto"/>
            <w:bottom w:val="none" w:sz="0" w:space="0" w:color="auto"/>
            <w:right w:val="none" w:sz="0" w:space="0" w:color="auto"/>
          </w:divBdr>
        </w:div>
        <w:div w:id="842091894">
          <w:marLeft w:val="0"/>
          <w:marRight w:val="0"/>
          <w:marTop w:val="0"/>
          <w:marBottom w:val="0"/>
          <w:divBdr>
            <w:top w:val="none" w:sz="0" w:space="0" w:color="auto"/>
            <w:left w:val="none" w:sz="0" w:space="0" w:color="auto"/>
            <w:bottom w:val="none" w:sz="0" w:space="0" w:color="auto"/>
            <w:right w:val="none" w:sz="0" w:space="0" w:color="auto"/>
          </w:divBdr>
        </w:div>
        <w:div w:id="1495801005">
          <w:marLeft w:val="0"/>
          <w:marRight w:val="0"/>
          <w:marTop w:val="0"/>
          <w:marBottom w:val="0"/>
          <w:divBdr>
            <w:top w:val="none" w:sz="0" w:space="0" w:color="auto"/>
            <w:left w:val="none" w:sz="0" w:space="0" w:color="auto"/>
            <w:bottom w:val="none" w:sz="0" w:space="0" w:color="auto"/>
            <w:right w:val="none" w:sz="0" w:space="0" w:color="auto"/>
          </w:divBdr>
        </w:div>
        <w:div w:id="515341989">
          <w:marLeft w:val="0"/>
          <w:marRight w:val="0"/>
          <w:marTop w:val="0"/>
          <w:marBottom w:val="0"/>
          <w:divBdr>
            <w:top w:val="none" w:sz="0" w:space="0" w:color="auto"/>
            <w:left w:val="none" w:sz="0" w:space="0" w:color="auto"/>
            <w:bottom w:val="none" w:sz="0" w:space="0" w:color="auto"/>
            <w:right w:val="none" w:sz="0" w:space="0" w:color="auto"/>
          </w:divBdr>
        </w:div>
        <w:div w:id="881096475">
          <w:marLeft w:val="0"/>
          <w:marRight w:val="0"/>
          <w:marTop w:val="0"/>
          <w:marBottom w:val="0"/>
          <w:divBdr>
            <w:top w:val="none" w:sz="0" w:space="0" w:color="auto"/>
            <w:left w:val="none" w:sz="0" w:space="0" w:color="auto"/>
            <w:bottom w:val="none" w:sz="0" w:space="0" w:color="auto"/>
            <w:right w:val="none" w:sz="0" w:space="0" w:color="auto"/>
          </w:divBdr>
        </w:div>
        <w:div w:id="1832017948">
          <w:marLeft w:val="0"/>
          <w:marRight w:val="0"/>
          <w:marTop w:val="0"/>
          <w:marBottom w:val="0"/>
          <w:divBdr>
            <w:top w:val="none" w:sz="0" w:space="0" w:color="auto"/>
            <w:left w:val="none" w:sz="0" w:space="0" w:color="auto"/>
            <w:bottom w:val="none" w:sz="0" w:space="0" w:color="auto"/>
            <w:right w:val="none" w:sz="0" w:space="0" w:color="auto"/>
          </w:divBdr>
        </w:div>
      </w:divsChild>
    </w:div>
    <w:div w:id="1032418785">
      <w:bodyDiv w:val="1"/>
      <w:marLeft w:val="0"/>
      <w:marRight w:val="0"/>
      <w:marTop w:val="0"/>
      <w:marBottom w:val="0"/>
      <w:divBdr>
        <w:top w:val="none" w:sz="0" w:space="0" w:color="auto"/>
        <w:left w:val="none" w:sz="0" w:space="0" w:color="auto"/>
        <w:bottom w:val="none" w:sz="0" w:space="0" w:color="auto"/>
        <w:right w:val="none" w:sz="0" w:space="0" w:color="auto"/>
      </w:divBdr>
    </w:div>
    <w:div w:id="1049377770">
      <w:bodyDiv w:val="1"/>
      <w:marLeft w:val="0"/>
      <w:marRight w:val="0"/>
      <w:marTop w:val="0"/>
      <w:marBottom w:val="0"/>
      <w:divBdr>
        <w:top w:val="none" w:sz="0" w:space="0" w:color="auto"/>
        <w:left w:val="none" w:sz="0" w:space="0" w:color="auto"/>
        <w:bottom w:val="none" w:sz="0" w:space="0" w:color="auto"/>
        <w:right w:val="none" w:sz="0" w:space="0" w:color="auto"/>
      </w:divBdr>
    </w:div>
    <w:div w:id="1178545143">
      <w:bodyDiv w:val="1"/>
      <w:marLeft w:val="0"/>
      <w:marRight w:val="0"/>
      <w:marTop w:val="0"/>
      <w:marBottom w:val="0"/>
      <w:divBdr>
        <w:top w:val="none" w:sz="0" w:space="0" w:color="auto"/>
        <w:left w:val="none" w:sz="0" w:space="0" w:color="auto"/>
        <w:bottom w:val="none" w:sz="0" w:space="0" w:color="auto"/>
        <w:right w:val="none" w:sz="0" w:space="0" w:color="auto"/>
      </w:divBdr>
      <w:divsChild>
        <w:div w:id="185797120">
          <w:marLeft w:val="0"/>
          <w:marRight w:val="0"/>
          <w:marTop w:val="0"/>
          <w:marBottom w:val="0"/>
          <w:divBdr>
            <w:top w:val="none" w:sz="0" w:space="0" w:color="auto"/>
            <w:left w:val="none" w:sz="0" w:space="0" w:color="auto"/>
            <w:bottom w:val="none" w:sz="0" w:space="0" w:color="auto"/>
            <w:right w:val="none" w:sz="0" w:space="0" w:color="auto"/>
          </w:divBdr>
        </w:div>
        <w:div w:id="742751316">
          <w:marLeft w:val="0"/>
          <w:marRight w:val="0"/>
          <w:marTop w:val="0"/>
          <w:marBottom w:val="0"/>
          <w:divBdr>
            <w:top w:val="none" w:sz="0" w:space="0" w:color="auto"/>
            <w:left w:val="none" w:sz="0" w:space="0" w:color="auto"/>
            <w:bottom w:val="none" w:sz="0" w:space="0" w:color="auto"/>
            <w:right w:val="none" w:sz="0" w:space="0" w:color="auto"/>
          </w:divBdr>
        </w:div>
        <w:div w:id="1257711043">
          <w:marLeft w:val="0"/>
          <w:marRight w:val="0"/>
          <w:marTop w:val="0"/>
          <w:marBottom w:val="0"/>
          <w:divBdr>
            <w:top w:val="none" w:sz="0" w:space="0" w:color="auto"/>
            <w:left w:val="none" w:sz="0" w:space="0" w:color="auto"/>
            <w:bottom w:val="none" w:sz="0" w:space="0" w:color="auto"/>
            <w:right w:val="none" w:sz="0" w:space="0" w:color="auto"/>
          </w:divBdr>
        </w:div>
      </w:divsChild>
    </w:div>
    <w:div w:id="1205295076">
      <w:bodyDiv w:val="1"/>
      <w:marLeft w:val="0"/>
      <w:marRight w:val="0"/>
      <w:marTop w:val="0"/>
      <w:marBottom w:val="0"/>
      <w:divBdr>
        <w:top w:val="none" w:sz="0" w:space="0" w:color="auto"/>
        <w:left w:val="none" w:sz="0" w:space="0" w:color="auto"/>
        <w:bottom w:val="none" w:sz="0" w:space="0" w:color="auto"/>
        <w:right w:val="none" w:sz="0" w:space="0" w:color="auto"/>
      </w:divBdr>
    </w:div>
    <w:div w:id="1208375191">
      <w:bodyDiv w:val="1"/>
      <w:marLeft w:val="0"/>
      <w:marRight w:val="0"/>
      <w:marTop w:val="0"/>
      <w:marBottom w:val="0"/>
      <w:divBdr>
        <w:top w:val="none" w:sz="0" w:space="0" w:color="auto"/>
        <w:left w:val="none" w:sz="0" w:space="0" w:color="auto"/>
        <w:bottom w:val="none" w:sz="0" w:space="0" w:color="auto"/>
        <w:right w:val="none" w:sz="0" w:space="0" w:color="auto"/>
      </w:divBdr>
      <w:divsChild>
        <w:div w:id="59256267">
          <w:marLeft w:val="0"/>
          <w:marRight w:val="0"/>
          <w:marTop w:val="0"/>
          <w:marBottom w:val="0"/>
          <w:divBdr>
            <w:top w:val="none" w:sz="0" w:space="0" w:color="auto"/>
            <w:left w:val="none" w:sz="0" w:space="0" w:color="auto"/>
            <w:bottom w:val="none" w:sz="0" w:space="0" w:color="auto"/>
            <w:right w:val="none" w:sz="0" w:space="0" w:color="auto"/>
          </w:divBdr>
        </w:div>
        <w:div w:id="854223744">
          <w:marLeft w:val="0"/>
          <w:marRight w:val="0"/>
          <w:marTop w:val="0"/>
          <w:marBottom w:val="0"/>
          <w:divBdr>
            <w:top w:val="none" w:sz="0" w:space="0" w:color="auto"/>
            <w:left w:val="none" w:sz="0" w:space="0" w:color="auto"/>
            <w:bottom w:val="none" w:sz="0" w:space="0" w:color="auto"/>
            <w:right w:val="none" w:sz="0" w:space="0" w:color="auto"/>
          </w:divBdr>
        </w:div>
        <w:div w:id="1224171276">
          <w:marLeft w:val="0"/>
          <w:marRight w:val="0"/>
          <w:marTop w:val="0"/>
          <w:marBottom w:val="0"/>
          <w:divBdr>
            <w:top w:val="none" w:sz="0" w:space="0" w:color="auto"/>
            <w:left w:val="none" w:sz="0" w:space="0" w:color="auto"/>
            <w:bottom w:val="none" w:sz="0" w:space="0" w:color="auto"/>
            <w:right w:val="none" w:sz="0" w:space="0" w:color="auto"/>
          </w:divBdr>
        </w:div>
        <w:div w:id="1580870226">
          <w:marLeft w:val="0"/>
          <w:marRight w:val="0"/>
          <w:marTop w:val="0"/>
          <w:marBottom w:val="0"/>
          <w:divBdr>
            <w:top w:val="none" w:sz="0" w:space="0" w:color="auto"/>
            <w:left w:val="none" w:sz="0" w:space="0" w:color="auto"/>
            <w:bottom w:val="none" w:sz="0" w:space="0" w:color="auto"/>
            <w:right w:val="none" w:sz="0" w:space="0" w:color="auto"/>
          </w:divBdr>
        </w:div>
        <w:div w:id="2107994087">
          <w:marLeft w:val="0"/>
          <w:marRight w:val="0"/>
          <w:marTop w:val="0"/>
          <w:marBottom w:val="0"/>
          <w:divBdr>
            <w:top w:val="none" w:sz="0" w:space="0" w:color="auto"/>
            <w:left w:val="none" w:sz="0" w:space="0" w:color="auto"/>
            <w:bottom w:val="none" w:sz="0" w:space="0" w:color="auto"/>
            <w:right w:val="none" w:sz="0" w:space="0" w:color="auto"/>
          </w:divBdr>
        </w:div>
      </w:divsChild>
    </w:div>
    <w:div w:id="1320117166">
      <w:bodyDiv w:val="1"/>
      <w:marLeft w:val="0"/>
      <w:marRight w:val="0"/>
      <w:marTop w:val="0"/>
      <w:marBottom w:val="0"/>
      <w:divBdr>
        <w:top w:val="none" w:sz="0" w:space="0" w:color="auto"/>
        <w:left w:val="none" w:sz="0" w:space="0" w:color="auto"/>
        <w:bottom w:val="none" w:sz="0" w:space="0" w:color="auto"/>
        <w:right w:val="none" w:sz="0" w:space="0" w:color="auto"/>
      </w:divBdr>
    </w:div>
    <w:div w:id="1324507346">
      <w:bodyDiv w:val="1"/>
      <w:marLeft w:val="0"/>
      <w:marRight w:val="0"/>
      <w:marTop w:val="0"/>
      <w:marBottom w:val="0"/>
      <w:divBdr>
        <w:top w:val="none" w:sz="0" w:space="0" w:color="auto"/>
        <w:left w:val="none" w:sz="0" w:space="0" w:color="auto"/>
        <w:bottom w:val="none" w:sz="0" w:space="0" w:color="auto"/>
        <w:right w:val="none" w:sz="0" w:space="0" w:color="auto"/>
      </w:divBdr>
      <w:divsChild>
        <w:div w:id="354767042">
          <w:marLeft w:val="0"/>
          <w:marRight w:val="0"/>
          <w:marTop w:val="0"/>
          <w:marBottom w:val="300"/>
          <w:divBdr>
            <w:top w:val="none" w:sz="0" w:space="0" w:color="auto"/>
            <w:left w:val="none" w:sz="0" w:space="0" w:color="auto"/>
            <w:bottom w:val="none" w:sz="0" w:space="0" w:color="auto"/>
            <w:right w:val="none" w:sz="0" w:space="0" w:color="auto"/>
          </w:divBdr>
        </w:div>
      </w:divsChild>
    </w:div>
    <w:div w:id="1334844069">
      <w:bodyDiv w:val="1"/>
      <w:marLeft w:val="0"/>
      <w:marRight w:val="0"/>
      <w:marTop w:val="0"/>
      <w:marBottom w:val="0"/>
      <w:divBdr>
        <w:top w:val="none" w:sz="0" w:space="0" w:color="auto"/>
        <w:left w:val="none" w:sz="0" w:space="0" w:color="auto"/>
        <w:bottom w:val="none" w:sz="0" w:space="0" w:color="auto"/>
        <w:right w:val="none" w:sz="0" w:space="0" w:color="auto"/>
      </w:divBdr>
    </w:div>
    <w:div w:id="1349484128">
      <w:bodyDiv w:val="1"/>
      <w:marLeft w:val="0"/>
      <w:marRight w:val="0"/>
      <w:marTop w:val="0"/>
      <w:marBottom w:val="0"/>
      <w:divBdr>
        <w:top w:val="none" w:sz="0" w:space="0" w:color="auto"/>
        <w:left w:val="none" w:sz="0" w:space="0" w:color="auto"/>
        <w:bottom w:val="none" w:sz="0" w:space="0" w:color="auto"/>
        <w:right w:val="none" w:sz="0" w:space="0" w:color="auto"/>
      </w:divBdr>
    </w:div>
    <w:div w:id="1376539013">
      <w:bodyDiv w:val="1"/>
      <w:marLeft w:val="0"/>
      <w:marRight w:val="0"/>
      <w:marTop w:val="0"/>
      <w:marBottom w:val="0"/>
      <w:divBdr>
        <w:top w:val="none" w:sz="0" w:space="0" w:color="auto"/>
        <w:left w:val="none" w:sz="0" w:space="0" w:color="auto"/>
        <w:bottom w:val="none" w:sz="0" w:space="0" w:color="auto"/>
        <w:right w:val="none" w:sz="0" w:space="0" w:color="auto"/>
      </w:divBdr>
    </w:div>
    <w:div w:id="1447698134">
      <w:bodyDiv w:val="1"/>
      <w:marLeft w:val="0"/>
      <w:marRight w:val="0"/>
      <w:marTop w:val="0"/>
      <w:marBottom w:val="0"/>
      <w:divBdr>
        <w:top w:val="none" w:sz="0" w:space="0" w:color="auto"/>
        <w:left w:val="none" w:sz="0" w:space="0" w:color="auto"/>
        <w:bottom w:val="none" w:sz="0" w:space="0" w:color="auto"/>
        <w:right w:val="none" w:sz="0" w:space="0" w:color="auto"/>
      </w:divBdr>
    </w:div>
    <w:div w:id="1461604124">
      <w:bodyDiv w:val="1"/>
      <w:marLeft w:val="0"/>
      <w:marRight w:val="0"/>
      <w:marTop w:val="0"/>
      <w:marBottom w:val="0"/>
      <w:divBdr>
        <w:top w:val="none" w:sz="0" w:space="0" w:color="auto"/>
        <w:left w:val="none" w:sz="0" w:space="0" w:color="auto"/>
        <w:bottom w:val="none" w:sz="0" w:space="0" w:color="auto"/>
        <w:right w:val="none" w:sz="0" w:space="0" w:color="auto"/>
      </w:divBdr>
    </w:div>
    <w:div w:id="1484202101">
      <w:bodyDiv w:val="1"/>
      <w:marLeft w:val="0"/>
      <w:marRight w:val="0"/>
      <w:marTop w:val="0"/>
      <w:marBottom w:val="0"/>
      <w:divBdr>
        <w:top w:val="none" w:sz="0" w:space="0" w:color="auto"/>
        <w:left w:val="none" w:sz="0" w:space="0" w:color="auto"/>
        <w:bottom w:val="none" w:sz="0" w:space="0" w:color="auto"/>
        <w:right w:val="none" w:sz="0" w:space="0" w:color="auto"/>
      </w:divBdr>
      <w:divsChild>
        <w:div w:id="856388080">
          <w:marLeft w:val="0"/>
          <w:marRight w:val="0"/>
          <w:marTop w:val="0"/>
          <w:marBottom w:val="0"/>
          <w:divBdr>
            <w:top w:val="none" w:sz="0" w:space="0" w:color="auto"/>
            <w:left w:val="none" w:sz="0" w:space="0" w:color="auto"/>
            <w:bottom w:val="none" w:sz="0" w:space="0" w:color="auto"/>
            <w:right w:val="none" w:sz="0" w:space="0" w:color="auto"/>
          </w:divBdr>
          <w:divsChild>
            <w:div w:id="936869601">
              <w:marLeft w:val="0"/>
              <w:marRight w:val="0"/>
              <w:marTop w:val="0"/>
              <w:marBottom w:val="0"/>
              <w:divBdr>
                <w:top w:val="none" w:sz="0" w:space="0" w:color="auto"/>
                <w:left w:val="none" w:sz="0" w:space="0" w:color="auto"/>
                <w:bottom w:val="none" w:sz="0" w:space="0" w:color="auto"/>
                <w:right w:val="none" w:sz="0" w:space="0" w:color="auto"/>
              </w:divBdr>
            </w:div>
            <w:div w:id="1198858557">
              <w:marLeft w:val="0"/>
              <w:marRight w:val="0"/>
              <w:marTop w:val="0"/>
              <w:marBottom w:val="0"/>
              <w:divBdr>
                <w:top w:val="none" w:sz="0" w:space="0" w:color="auto"/>
                <w:left w:val="none" w:sz="0" w:space="0" w:color="auto"/>
                <w:bottom w:val="none" w:sz="0" w:space="0" w:color="auto"/>
                <w:right w:val="none" w:sz="0" w:space="0" w:color="auto"/>
              </w:divBdr>
              <w:divsChild>
                <w:div w:id="485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9591">
      <w:bodyDiv w:val="1"/>
      <w:marLeft w:val="0"/>
      <w:marRight w:val="0"/>
      <w:marTop w:val="0"/>
      <w:marBottom w:val="0"/>
      <w:divBdr>
        <w:top w:val="none" w:sz="0" w:space="0" w:color="auto"/>
        <w:left w:val="none" w:sz="0" w:space="0" w:color="auto"/>
        <w:bottom w:val="none" w:sz="0" w:space="0" w:color="auto"/>
        <w:right w:val="none" w:sz="0" w:space="0" w:color="auto"/>
      </w:divBdr>
    </w:div>
    <w:div w:id="1493764553">
      <w:bodyDiv w:val="1"/>
      <w:marLeft w:val="0"/>
      <w:marRight w:val="0"/>
      <w:marTop w:val="0"/>
      <w:marBottom w:val="0"/>
      <w:divBdr>
        <w:top w:val="none" w:sz="0" w:space="0" w:color="auto"/>
        <w:left w:val="none" w:sz="0" w:space="0" w:color="auto"/>
        <w:bottom w:val="none" w:sz="0" w:space="0" w:color="auto"/>
        <w:right w:val="none" w:sz="0" w:space="0" w:color="auto"/>
      </w:divBdr>
    </w:div>
    <w:div w:id="1511330903">
      <w:bodyDiv w:val="1"/>
      <w:marLeft w:val="0"/>
      <w:marRight w:val="0"/>
      <w:marTop w:val="0"/>
      <w:marBottom w:val="0"/>
      <w:divBdr>
        <w:top w:val="none" w:sz="0" w:space="0" w:color="auto"/>
        <w:left w:val="none" w:sz="0" w:space="0" w:color="auto"/>
        <w:bottom w:val="none" w:sz="0" w:space="0" w:color="auto"/>
        <w:right w:val="none" w:sz="0" w:space="0" w:color="auto"/>
      </w:divBdr>
    </w:div>
    <w:div w:id="1909993930">
      <w:bodyDiv w:val="1"/>
      <w:marLeft w:val="0"/>
      <w:marRight w:val="0"/>
      <w:marTop w:val="0"/>
      <w:marBottom w:val="0"/>
      <w:divBdr>
        <w:top w:val="none" w:sz="0" w:space="0" w:color="auto"/>
        <w:left w:val="none" w:sz="0" w:space="0" w:color="auto"/>
        <w:bottom w:val="none" w:sz="0" w:space="0" w:color="auto"/>
        <w:right w:val="none" w:sz="0" w:space="0" w:color="auto"/>
      </w:divBdr>
    </w:div>
    <w:div w:id="1962414987">
      <w:bodyDiv w:val="1"/>
      <w:marLeft w:val="0"/>
      <w:marRight w:val="0"/>
      <w:marTop w:val="0"/>
      <w:marBottom w:val="0"/>
      <w:divBdr>
        <w:top w:val="none" w:sz="0" w:space="0" w:color="auto"/>
        <w:left w:val="none" w:sz="0" w:space="0" w:color="auto"/>
        <w:bottom w:val="none" w:sz="0" w:space="0" w:color="auto"/>
        <w:right w:val="none" w:sz="0" w:space="0" w:color="auto"/>
      </w:divBdr>
      <w:divsChild>
        <w:div w:id="75130116">
          <w:marLeft w:val="0"/>
          <w:marRight w:val="0"/>
          <w:marTop w:val="0"/>
          <w:marBottom w:val="0"/>
          <w:divBdr>
            <w:top w:val="none" w:sz="0" w:space="0" w:color="auto"/>
            <w:left w:val="none" w:sz="0" w:space="0" w:color="auto"/>
            <w:bottom w:val="none" w:sz="0" w:space="0" w:color="auto"/>
            <w:right w:val="none" w:sz="0" w:space="0" w:color="auto"/>
          </w:divBdr>
        </w:div>
      </w:divsChild>
    </w:div>
    <w:div w:id="2013295399">
      <w:bodyDiv w:val="1"/>
      <w:marLeft w:val="0"/>
      <w:marRight w:val="0"/>
      <w:marTop w:val="0"/>
      <w:marBottom w:val="0"/>
      <w:divBdr>
        <w:top w:val="none" w:sz="0" w:space="0" w:color="auto"/>
        <w:left w:val="none" w:sz="0" w:space="0" w:color="auto"/>
        <w:bottom w:val="none" w:sz="0" w:space="0" w:color="auto"/>
        <w:right w:val="none" w:sz="0" w:space="0" w:color="auto"/>
      </w:divBdr>
    </w:div>
    <w:div w:id="2086419188">
      <w:bodyDiv w:val="1"/>
      <w:marLeft w:val="0"/>
      <w:marRight w:val="0"/>
      <w:marTop w:val="0"/>
      <w:marBottom w:val="0"/>
      <w:divBdr>
        <w:top w:val="none" w:sz="0" w:space="0" w:color="auto"/>
        <w:left w:val="none" w:sz="0" w:space="0" w:color="auto"/>
        <w:bottom w:val="none" w:sz="0" w:space="0" w:color="auto"/>
        <w:right w:val="none" w:sz="0" w:space="0" w:color="auto"/>
      </w:divBdr>
    </w:div>
    <w:div w:id="214087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openxmlformats.org/officeDocument/2006/relationships/hyperlink" Target="https://www.ncbi.nlm.nih.gov/pmc/articles/PMC3750429/" TargetMode="External"/><Relationship Id="rId21" Type="http://schemas.openxmlformats.org/officeDocument/2006/relationships/chart" Target="charts/chart13.xml"/><Relationship Id="rId42" Type="http://schemas.openxmlformats.org/officeDocument/2006/relationships/hyperlink" Target="http://www.ijsrp.org/research-paper-1214/ijsrp-p3658.pdf" TargetMode="External"/><Relationship Id="rId47" Type="http://schemas.openxmlformats.org/officeDocument/2006/relationships/hyperlink" Target="https://innovareacademics.in/journals/index.php/ajpcr/article/viewFile/21015/13069" TargetMode="External"/><Relationship Id="rId63" Type="http://schemas.openxmlformats.org/officeDocument/2006/relationships/hyperlink" Target="https://cyberleninka.ru/article/n/fibroz-miokarda-u-bolnyh-saharnym-diabetom.pdf" TargetMode="External"/><Relationship Id="rId68" Type="http://schemas.openxmlformats.org/officeDocument/2006/relationships/hyperlink" Target="http://medical-diss.com/medicina/izuchenie-faktorov-vliyayuschih-na-endotelialnuyu-funktsiyu-u-bolnyh-gipertroficheskoy-kardiomiopatiey-s-razlichnymi-klin" TargetMode="External"/><Relationship Id="rId84" Type="http://schemas.openxmlformats.org/officeDocument/2006/relationships/hyperlink" Target="http://oaji.net/articles/2017/4681-1496825778.pdf" TargetMode="External"/><Relationship Id="rId89" Type="http://schemas.openxmlformats.org/officeDocument/2006/relationships/hyperlink" Target="https://doi.org/10.1016/j.mce.2012.03.005" TargetMode="External"/><Relationship Id="rId112" Type="http://schemas.openxmlformats.org/officeDocument/2006/relationships/hyperlink" Target="http://nbuv.gov.ua/UJRN/Mmzh_2016_22_4_4" TargetMode="External"/><Relationship Id="rId16" Type="http://schemas.openxmlformats.org/officeDocument/2006/relationships/chart" Target="charts/chart8.xml"/><Relationship Id="rId107" Type="http://schemas.openxmlformats.org/officeDocument/2006/relationships/hyperlink" Target="https://cyberleninka.ru/article/v/diastolicheskaya-disfunktsiya-i-remodelirovanie-levogo-zheludochka-u-bolnyh-saharnym-diabetom-ii-tipa-s-komorbidnymi-ozhireniem-i" TargetMode="External"/><Relationship Id="rId11" Type="http://schemas.openxmlformats.org/officeDocument/2006/relationships/chart" Target="charts/chart3.xml"/><Relationship Id="rId32" Type="http://schemas.openxmlformats.org/officeDocument/2006/relationships/hyperlink" Target="https://doi.org/10.1016/S0002-9343(99)00153-9" TargetMode="External"/><Relationship Id="rId37" Type="http://schemas.openxmlformats.org/officeDocument/2006/relationships/hyperlink" Target="https://minzdrav.gov-murman.ru/documents/poryadki-okazaniya-meditsinskoy-pomoshchi/CD7.pdf" TargetMode="External"/><Relationship Id="rId53" Type="http://schemas.openxmlformats.org/officeDocument/2006/relationships/hyperlink" Target="https://doi.org/10.1016/j.ejphar.2014.05.046" TargetMode="External"/><Relationship Id="rId58" Type="http://schemas.openxmlformats.org/officeDocument/2006/relationships/hyperlink" Target="http://dx.doi.org/10.5935/0101-2800.20160065" TargetMode="External"/><Relationship Id="rId74" Type="http://schemas.openxmlformats.org/officeDocument/2006/relationships/hyperlink" Target="http://molodyvcheny.in.ua/files/journal/2015/2/216.pdf" TargetMode="External"/><Relationship Id="rId79" Type="http://schemas.openxmlformats.org/officeDocument/2006/relationships/hyperlink" Target="http://rsmu.ru/fileadmin/rsmu/img/about_rsmu/disser/8/d_serebrjakova_oe.pdf" TargetMode="External"/><Relationship Id="rId102" Type="http://schemas.openxmlformats.org/officeDocument/2006/relationships/hyperlink" Target="https://ukrjnd.com.ua/index.php/journal/issue/view/36/2-58-2018" TargetMode="External"/><Relationship Id="rId123" Type="http://schemas.openxmlformats.org/officeDocument/2006/relationships/hyperlink" Target="https://eujournal.org/index.php/esj/article/view/2437" TargetMode="External"/><Relationship Id="rId5" Type="http://schemas.openxmlformats.org/officeDocument/2006/relationships/settings" Target="settings.xml"/><Relationship Id="rId90" Type="http://schemas.openxmlformats.org/officeDocument/2006/relationships/hyperlink" Target="https://www.ncbi.nlm.nih.gov/pubmed/23576066" TargetMode="External"/><Relationship Id="rId95" Type="http://schemas.openxmlformats.org/officeDocument/2006/relationships/hyperlink" Target="http://clinchem.aaccjnls.org/content/clinchem/19/5/476.full.pdf" TargetMode="Externa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yperlink" Target="https://www.ncbi.nlm.nih.gov/pubmed/15113816" TargetMode="External"/><Relationship Id="rId35" Type="http://schemas.openxmlformats.org/officeDocument/2006/relationships/hyperlink" Target="https://sfcardio.fr/sites/default/files/pdf/arterial_hypertension.pdf" TargetMode="External"/><Relationship Id="rId43" Type="http://schemas.openxmlformats.org/officeDocument/2006/relationships/hyperlink" Target="https://doi.org/10.3390/ijms18102034" TargetMode="External"/><Relationship Id="rId48" Type="http://schemas.openxmlformats.org/officeDocument/2006/relationships/hyperlink" Target="http://citeseerx.ist.psu.edu/viewdoc/download?doi=10.1.1.682.2998&amp;rep=rep1&amp;type=pdf" TargetMode="External"/><Relationship Id="rId56" Type="http://schemas.openxmlformats.org/officeDocument/2006/relationships/hyperlink" Target="https://www.ahjonline.com/article/0002-8703(72)90331-6/fulltext" TargetMode="External"/><Relationship Id="rId64" Type="http://schemas.openxmlformats.org/officeDocument/2006/relationships/hyperlink" Target="https://www.ncbi.nlm.nih.gov/pubmed/9851765" TargetMode="External"/><Relationship Id="rId69" Type="http://schemas.openxmlformats.org/officeDocument/2006/relationships/hyperlink" Target="https://www.onlinejase.com/article/S0894-7317(16)00044-4/fulltext" TargetMode="External"/><Relationship Id="rId77" Type="http://schemas.openxmlformats.org/officeDocument/2006/relationships/hyperlink" Target="http://www.vitapol.com.ua/user_files/pdfs/utj/494180905979057_06062010124759.pdf" TargetMode="External"/><Relationship Id="rId100" Type="http://schemas.openxmlformats.org/officeDocument/2006/relationships/hyperlink" Target="https://www.ncbi.nlm.nih.gov/pmc/articles/PMC3867999/" TargetMode="External"/><Relationship Id="rId105" Type="http://schemas.openxmlformats.org/officeDocument/2006/relationships/hyperlink" Target="http://health-ua.com/wp-content/uploads/2015/07/ZU_cardio-3_2015-for-site.pdf" TargetMode="External"/><Relationship Id="rId113" Type="http://schemas.openxmlformats.org/officeDocument/2006/relationships/hyperlink" Target="https://www.ijbmsp.org/index.php/IJBMSP/article/.../4/4" TargetMode="External"/><Relationship Id="rId118" Type="http://schemas.openxmlformats.org/officeDocument/2006/relationships/hyperlink" Target="https://cyberleninka.ru/article/v/remodelirovanie-miokarda-i-lipidnyy-obmen-u-patsientov-s-arterialnoy-gipertenziey-pri-nalichii-insulinorezistentnosti-i-saharno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doi.org/10.1159/000479536" TargetMode="External"/><Relationship Id="rId72" Type="http://schemas.openxmlformats.org/officeDocument/2006/relationships/hyperlink" Target="https://www.ncbi.nlm.nih.gov/pmc/articles/PMC5175103/" TargetMode="External"/><Relationship Id="rId80" Type="http://schemas.openxmlformats.org/officeDocument/2006/relationships/hyperlink" Target="http://www.mednovosti.by/journal.aspx?article=5579" TargetMode="External"/><Relationship Id="rId85" Type="http://schemas.openxmlformats.org/officeDocument/2006/relationships/hyperlink" Target="https://www.nejm.org/doi/full/10.1056/nejmoa1511939" TargetMode="External"/><Relationship Id="rId93" Type="http://schemas.openxmlformats.org/officeDocument/2006/relationships/hyperlink" Target="https://doi.org/10.1016/S1056-8727(01)00165-9" TargetMode="External"/><Relationship Id="rId98" Type="http://schemas.openxmlformats.org/officeDocument/2006/relationships/hyperlink" Target="http://garfield.library.upenn.edu/classics1979/A1979HZ21900001.pdf" TargetMode="External"/><Relationship Id="rId121" Type="http://schemas.openxmlformats.org/officeDocument/2006/relationships/hyperlink" Target="http://ujcem.med.sumdu.edu.ua/images/sampledata/2018/3/341345_2018-38.pdf"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yperlink" Target="http://www.health-medix.com/articles/liki_ukr_plus/2016-05-05/6.pdf" TargetMode="External"/><Relationship Id="rId38" Type="http://schemas.openxmlformats.org/officeDocument/2006/relationships/hyperlink" Target="http://rsmu.ru/fileadmin/rsmu/img/about_rsmu/disser/14/d_nguen_zan_han.pdf" TargetMode="External"/><Relationship Id="rId46" Type="http://schemas.openxmlformats.org/officeDocument/2006/relationships/hyperlink" Target="http://www.kdigo.org/clinical_practice_guidelines/pdf/CKD/KDIGO_2012_CKD_GL.pdf" TargetMode="External"/><Relationship Id="rId59" Type="http://schemas.openxmlformats.org/officeDocument/2006/relationships/hyperlink" Target="https://doi.org/10.3109/0886022X.2011.653753" TargetMode="External"/><Relationship Id="rId67" Type="http://schemas.openxmlformats.org/officeDocument/2006/relationships/hyperlink" Target="http://www.dslib.net/kardiologia/kliniko-geneticheskie-i-nejrogormonalnye-mehanizmy-razvitija-ishemicheskogo.html" TargetMode="External"/><Relationship Id="rId103" Type="http://schemas.openxmlformats.org/officeDocument/2006/relationships/hyperlink" Target="https://pdfs.semanticscholar.org/ac7f/41b08d94eca177b461a00d4d890c5b2aea96.pdf" TargetMode="External"/><Relationship Id="rId108" Type="http://schemas.openxmlformats.org/officeDocument/2006/relationships/hyperlink" Target="https://cyberleninka.ru/article/v/klinicheskie-osobennosti-kachestvo-zhizni-i-prognoz-bolnyh-s-hronicheskim-kardiorenalnym-sindromom" TargetMode="External"/><Relationship Id="rId116" Type="http://schemas.openxmlformats.org/officeDocument/2006/relationships/hyperlink" Target="https://cyberleninka.ru/article/n/giperurikemiya-i-serdechno-sosudistyy-kontinuum" TargetMode="External"/><Relationship Id="rId124" Type="http://schemas.openxmlformats.org/officeDocument/2006/relationships/footer" Target="footer1.xml"/><Relationship Id="rId20" Type="http://schemas.openxmlformats.org/officeDocument/2006/relationships/chart" Target="charts/chart12.xml"/><Relationship Id="rId41" Type="http://schemas.openxmlformats.org/officeDocument/2006/relationships/hyperlink" Target="https://www.ncbi.nlm.nih.gov/pubmed/24341872" TargetMode="External"/><Relationship Id="rId54" Type="http://schemas.openxmlformats.org/officeDocument/2006/relationships/hyperlink" Target="http://www.ipep.com.ua/dis/perceva/dis.pdf" TargetMode="External"/><Relationship Id="rId62" Type="http://schemas.openxmlformats.org/officeDocument/2006/relationships/hyperlink" Target="http://www.essuir.sumdu.edu.ua/bitstream/123456789/30421/1/Ospanova%20T.S.%20Ekspersiia.pdf" TargetMode="External"/><Relationship Id="rId70" Type="http://schemas.openxmlformats.org/officeDocument/2006/relationships/hyperlink" Target="https://doi.org/10.1016/j.echo.2016.01.011" TargetMode="External"/><Relationship Id="rId75" Type="http://schemas.openxmlformats.org/officeDocument/2006/relationships/hyperlink" Target="http://heart-master.com/wp-content/uploads/2014/05/2013_02_46-52.pdf" TargetMode="External"/><Relationship Id="rId83" Type="http://schemas.openxmlformats.org/officeDocument/2006/relationships/hyperlink" Target="https://doi.org/10.2337/dc14-S014" TargetMode="External"/><Relationship Id="rId88" Type="http://schemas.openxmlformats.org/officeDocument/2006/relationships/hyperlink" Target="https://www.ncbi.nlm.nih.gov/pubmed/26908112" TargetMode="External"/><Relationship Id="rId91" Type="http://schemas.openxmlformats.org/officeDocument/2006/relationships/hyperlink" Target="https://www.ncbi.nlm.nih.gov/pmc/articles/PMC4616860/" TargetMode="External"/><Relationship Id="rId96" Type="http://schemas.openxmlformats.org/officeDocument/2006/relationships/hyperlink" Target="http://clinchem.aaccjnls.org/content/clinchem/18/6/499.full.pdf" TargetMode="External"/><Relationship Id="rId111" Type="http://schemas.openxmlformats.org/officeDocument/2006/relationships/hyperlink" Target="https://www.bsmu.edu.ua/files/KEP/%CA%C5P-2013-04/099.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hyperlink" Target="https://doi.org/10.1186/1475-2840-9-89" TargetMode="External"/><Relationship Id="rId36" Type="http://schemas.openxmlformats.org/officeDocument/2006/relationships/hyperlink" Target="https://www.biomed.cas.cz/physiolres/pdf/64%20Suppl%203/64_S323.pdf" TargetMode="External"/><Relationship Id="rId49" Type="http://schemas.openxmlformats.org/officeDocument/2006/relationships/hyperlink" Target="http://vnmed3.kharkiv.ua/wp-content/uploads/2015/05/likukr_2013_9-10_15.pdf" TargetMode="External"/><Relationship Id="rId57" Type="http://schemas.openxmlformats.org/officeDocument/2006/relationships/hyperlink" Target="https://pdfs.semanticscholar.org/ff2b/3fb699d6b4b60c6727dacff0dcfbbbbc5849.pdf" TargetMode="External"/><Relationship Id="rId106" Type="http://schemas.openxmlformats.org/officeDocument/2006/relationships/hyperlink" Target="https://www.ncbi.nlm.nih.gov/pmc/articles/PMC2864200/" TargetMode="External"/><Relationship Id="rId114" Type="http://schemas.openxmlformats.org/officeDocument/2006/relationships/hyperlink" Target="https://pdfs.semanticscholar.org/3cbd/ba78a0c0f352b258d21ee8da9b8b2475ed18.pdf" TargetMode="External"/><Relationship Id="rId119" Type="http://schemas.openxmlformats.org/officeDocument/2006/relationships/hyperlink" Target="https://www.ncbi.nlm.nih.gov/pubmed/16380520" TargetMode="External"/><Relationship Id="rId127"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hyperlink" Target="https://www.ncbi.nlm.nih.gov/pubmed/10403357" TargetMode="External"/><Relationship Id="rId44" Type="http://schemas.openxmlformats.org/officeDocument/2006/relationships/hyperlink" Target="http://www.imedpub.com/articles/correlation-of-microalbuminuria-with-glycated-hemoglobin-blood-pressure-and-duration-of-diabetes.pdf" TargetMode="External"/><Relationship Id="rId52" Type="http://schemas.openxmlformats.org/officeDocument/2006/relationships/hyperlink" Target="https://www.clinmedjournals.org/articles/ijdcr/ijdcr-2-024.pdf" TargetMode="External"/><Relationship Id="rId60" Type="http://schemas.openxmlformats.org/officeDocument/2006/relationships/hyperlink" Target="http://repo.knmu.edu.ua/handle/123456789/17485" TargetMode="External"/><Relationship Id="rId65" Type="http://schemas.openxmlformats.org/officeDocument/2006/relationships/hyperlink" Target="https://www.ncbi.nlm.nih.gov/pubmed/22261198" TargetMode="External"/><Relationship Id="rId73" Type="http://schemas.openxmlformats.org/officeDocument/2006/relationships/hyperlink" Target="https://www.ncbi.nlm.nih.gov/pubmed/24109188" TargetMode="External"/><Relationship Id="rId78" Type="http://schemas.openxmlformats.org/officeDocument/2006/relationships/hyperlink" Target="http://www.health-medix.com/articles/liki_ukr/2015-12-02/3.pdf" TargetMode="External"/><Relationship Id="rId81" Type="http://schemas.openxmlformats.org/officeDocument/2006/relationships/hyperlink" Target="https://www.ncbi.nlm.nih.gov/pubmed/17599422" TargetMode="External"/><Relationship Id="rId86" Type="http://schemas.openxmlformats.org/officeDocument/2006/relationships/hyperlink" Target="http://old.moz.gov.ua/ua/portal/dn_20120524_384.html" TargetMode="External"/><Relationship Id="rId94" Type="http://schemas.openxmlformats.org/officeDocument/2006/relationships/hyperlink" Target="https://giduv.com/Uploads/journal/2012/journal_2012_2_en.pdf" TargetMode="External"/><Relationship Id="rId99" Type="http://schemas.openxmlformats.org/officeDocument/2006/relationships/hyperlink" Target="https://www.ncbi.nlm.nih.gov/pmc/articles/PMC3501209/" TargetMode="External"/><Relationship Id="rId101" Type="http://schemas.openxmlformats.org/officeDocument/2006/relationships/hyperlink" Target="http://ujcem.med.sumdu.edu.ua/images/sampledata/2018/2/238244_2018-26.pdf" TargetMode="External"/><Relationship Id="rId122" Type="http://schemas.openxmlformats.org/officeDocument/2006/relationships/hyperlink" Target="http://nbuv.gov.ua/UJRN/MTU_2015_1_5" TargetMode="Externa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hyperlink" Target="http://health-ua.com/pics/pdf/ZU_2014_Cardio_5/22-23.pdf" TargetMode="External"/><Relationship Id="rId109" Type="http://schemas.openxmlformats.org/officeDocument/2006/relationships/hyperlink" Target="http://dx.doi.org/10.18203/2349-3933.ijam20171477" TargetMode="External"/><Relationship Id="rId34" Type="http://schemas.openxmlformats.org/officeDocument/2006/relationships/hyperlink" Target="https://www.ncbi.nlm.nih.gov/pmc/articles/PMC4900977/" TargetMode="External"/><Relationship Id="rId50" Type="http://schemas.openxmlformats.org/officeDocument/2006/relationships/hyperlink" Target="https://www.ncbi.nlm.nih.gov/pubmed/10854076/" TargetMode="External"/><Relationship Id="rId55" Type="http://schemas.openxmlformats.org/officeDocument/2006/relationships/hyperlink" Target="http://www.internalmed-journal.in.ua/wp-content/uploads/2015/08/%D0%96%D1%83%D1%80%D0%BD%D0%B0%D0%BB_1_2014_43-50.pdf" TargetMode="External"/><Relationship Id="rId76" Type="http://schemas.openxmlformats.org/officeDocument/2006/relationships/hyperlink" Target="https://www.ncbi.nlm.nih.gov/pmc/articles/PMC3801217/" TargetMode="External"/><Relationship Id="rId97" Type="http://schemas.openxmlformats.org/officeDocument/2006/relationships/hyperlink" Target="http://kingmed.info/knigi/Biohimia/book_3407/Obmen_lipidov_i_lipoproteidov_i_ego_narusheniya-Klimov_AN_Nikulcheva_NG-1999-djvu" TargetMode="External"/><Relationship Id="rId104" Type="http://schemas.openxmlformats.org/officeDocument/2006/relationships/hyperlink" Target="https://www.ncbi.nlm.nih.gov/pubmed/23370374" TargetMode="External"/><Relationship Id="rId120" Type="http://schemas.openxmlformats.org/officeDocument/2006/relationships/hyperlink" Target="https://doi.org/10.1161/01.HYP.0000200033.14574.14"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nejm.org/doi/10.1056/NEJMra1300575" TargetMode="External"/><Relationship Id="rId92" Type="http://schemas.openxmlformats.org/officeDocument/2006/relationships/hyperlink" Target="http://medind.nic.in/iaa/t14/i11/iaat14i11p522.pdf" TargetMode="External"/><Relationship Id="rId2" Type="http://schemas.openxmlformats.org/officeDocument/2006/relationships/numbering" Target="numbering.xml"/><Relationship Id="rId29" Type="http://schemas.openxmlformats.org/officeDocument/2006/relationships/hyperlink" Target="https://dspace.uzhnu.edu.ua/jspui/bitstream/lib/1710/1/%D1%81%D1%82%D0%B0%D1%82%D1%82%D1%8F.pdf" TargetMode="External"/><Relationship Id="rId24" Type="http://schemas.openxmlformats.org/officeDocument/2006/relationships/chart" Target="charts/chart16.xml"/><Relationship Id="rId40" Type="http://schemas.openxmlformats.org/officeDocument/2006/relationships/hyperlink" Target="https://www.sciencedirect.com/science/article/pii/S0925443913002718" TargetMode="External"/><Relationship Id="rId45" Type="http://schemas.openxmlformats.org/officeDocument/2006/relationships/hyperlink" Target="https://www.banglajol.info/index.php/KYAMCJ/article/view/33868/22844" TargetMode="External"/><Relationship Id="rId66" Type="http://schemas.openxmlformats.org/officeDocument/2006/relationships/hyperlink" Target="https://www.ncbi.nlm.nih.gov/pubmed/15326072" TargetMode="External"/><Relationship Id="rId87" Type="http://schemas.openxmlformats.org/officeDocument/2006/relationships/hyperlink" Target="https://www.rmj.ru/articles/kardiologiya/Nefroprotekciya_u_pacientov_s_arterialynoy_gipertenziey__vozmoghnosti_polnodozovyh_fiksirovannyh_kombinaciy/" TargetMode="External"/><Relationship Id="rId110" Type="http://schemas.openxmlformats.org/officeDocument/2006/relationships/hyperlink" Target="http://ujcem.med.sumdu.edu.ua/images/sampledata/2014/4/482-490.pdf" TargetMode="External"/><Relationship Id="rId115" Type="http://schemas.openxmlformats.org/officeDocument/2006/relationships/hyperlink" Target="https://www.ncbi.nlm.nih.gov/pubmed/29693840" TargetMode="External"/><Relationship Id="rId61" Type="http://schemas.openxmlformats.org/officeDocument/2006/relationships/hyperlink" Target="http://medind.nic.in/jav/t15/i1/javt15i1p11.pdf" TargetMode="External"/><Relationship Id="rId82" Type="http://schemas.openxmlformats.org/officeDocument/2006/relationships/hyperlink" Target="http://care.diabetesjournals.org/content/37/Supplement_1/S14.full-tex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3.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3260340632603412E-2"/>
          <c:y val="0"/>
          <c:w val="0.8796207700983093"/>
          <c:h val="0.92328767123287669"/>
        </c:manualLayout>
      </c:layout>
      <c:pie3DChart>
        <c:varyColors val="1"/>
        <c:ser>
          <c:idx val="0"/>
          <c:order val="0"/>
          <c:tx>
            <c:strRef>
              <c:f>Лист1!$B$1</c:f>
              <c:strCache>
                <c:ptCount val="1"/>
                <c:pt idx="0">
                  <c:v>I група</c:v>
                </c:pt>
              </c:strCache>
            </c:strRef>
          </c:tx>
          <c:explosion val="25"/>
          <c:dLbls>
            <c:dLbl>
              <c:idx val="0"/>
              <c:layout>
                <c:manualLayout>
                  <c:x val="-0.11020314955436405"/>
                  <c:y val="-0.21133832076668796"/>
                </c:manualLayout>
              </c:layout>
              <c:showLegendKey val="0"/>
              <c:showVal val="1"/>
              <c:showCatName val="0"/>
              <c:showSerName val="0"/>
              <c:showPercent val="0"/>
              <c:showBubbleSize val="0"/>
            </c:dLbl>
            <c:dLbl>
              <c:idx val="1"/>
              <c:layout>
                <c:manualLayout>
                  <c:x val="2.0454540225345072E-3"/>
                  <c:y val="-1.9196944126560124E-2"/>
                </c:manualLayout>
              </c:layout>
              <c:showLegendKey val="0"/>
              <c:showVal val="1"/>
              <c:showCatName val="0"/>
              <c:showSerName val="0"/>
              <c:showPercent val="0"/>
              <c:showBubbleSize val="0"/>
            </c:dLbl>
            <c:dLbl>
              <c:idx val="2"/>
              <c:layout>
                <c:manualLayout>
                  <c:x val="9.8075187116477378E-2"/>
                  <c:y val="-2.9781102733347518E-2"/>
                </c:manualLayout>
              </c:layout>
              <c:showLegendKey val="0"/>
              <c:showVal val="1"/>
              <c:showCatName val="0"/>
              <c:showSerName val="0"/>
              <c:showPercent val="0"/>
              <c:showBubbleSize val="0"/>
            </c:dLbl>
            <c:dLbl>
              <c:idx val="3"/>
              <c:layout>
                <c:manualLayout>
                  <c:x val="8.1944707550693441E-2"/>
                  <c:y val="4.9521310343677892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ІМ</c:v>
                </c:pt>
                <c:pt idx="1">
                  <c:v>ГПМК</c:v>
                </c:pt>
                <c:pt idx="2">
                  <c:v>ТІА</c:v>
                </c:pt>
                <c:pt idx="3">
                  <c:v>ІМ + ГПМК</c:v>
                </c:pt>
              </c:strCache>
            </c:strRef>
          </c:cat>
          <c:val>
            <c:numRef>
              <c:f>Лист1!$B$2:$B$5</c:f>
              <c:numCache>
                <c:formatCode>0%</c:formatCode>
                <c:ptCount val="4"/>
                <c:pt idx="0">
                  <c:v>0.53100000000000003</c:v>
                </c:pt>
                <c:pt idx="1">
                  <c:v>0.26040000000000002</c:v>
                </c:pt>
                <c:pt idx="2">
                  <c:v>0.15629999999999999</c:v>
                </c:pt>
                <c:pt idx="3">
                  <c:v>5.21E-2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1855097088127096"/>
          <c:y val="0.64810179977502813"/>
          <c:w val="0.77914005749944237"/>
          <c:h val="0.28703037120359953"/>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483381284070258"/>
          <c:y val="7.5924375763190027E-2"/>
          <c:w val="0.5632923228346457"/>
          <c:h val="0.81320198842901104"/>
        </c:manualLayout>
      </c:layout>
      <c:barChart>
        <c:barDir val="col"/>
        <c:grouping val="clustered"/>
        <c:varyColors val="0"/>
        <c:ser>
          <c:idx val="0"/>
          <c:order val="0"/>
          <c:tx>
            <c:strRef>
              <c:f>Лист1!$B$1</c:f>
              <c:strCache>
                <c:ptCount val="1"/>
                <c:pt idx="0">
                  <c:v>Ендотелін-1, пг/мл</c:v>
                </c:pt>
              </c:strCache>
            </c:strRef>
          </c:tx>
          <c:invertIfNegative val="0"/>
          <c:errBars>
            <c:errBarType val="both"/>
            <c:errValType val="percentage"/>
            <c:noEndCap val="0"/>
            <c:val val="5"/>
          </c:errBars>
          <c:cat>
            <c:strRef>
              <c:f>Лист1!$A$2:$A$4</c:f>
              <c:strCache>
                <c:ptCount val="3"/>
                <c:pt idx="0">
                  <c:v>І група</c:v>
                </c:pt>
                <c:pt idx="1">
                  <c:v>ІІ група</c:v>
                </c:pt>
                <c:pt idx="2">
                  <c:v>контроль</c:v>
                </c:pt>
              </c:strCache>
            </c:strRef>
          </c:cat>
          <c:val>
            <c:numRef>
              <c:f>Лист1!$B$2:$B$4</c:f>
              <c:numCache>
                <c:formatCode>General</c:formatCode>
                <c:ptCount val="3"/>
                <c:pt idx="0">
                  <c:v>11.42</c:v>
                </c:pt>
                <c:pt idx="1">
                  <c:v>9.25</c:v>
                </c:pt>
                <c:pt idx="2">
                  <c:v>2.25</c:v>
                </c:pt>
              </c:numCache>
            </c:numRef>
          </c:val>
        </c:ser>
        <c:dLbls>
          <c:showLegendKey val="0"/>
          <c:showVal val="0"/>
          <c:showCatName val="0"/>
          <c:showSerName val="0"/>
          <c:showPercent val="0"/>
          <c:showBubbleSize val="0"/>
        </c:dLbls>
        <c:gapWidth val="150"/>
        <c:axId val="40354944"/>
        <c:axId val="40356480"/>
      </c:barChart>
      <c:catAx>
        <c:axId val="40354944"/>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40356480"/>
        <c:crosses val="autoZero"/>
        <c:auto val="1"/>
        <c:lblAlgn val="ctr"/>
        <c:lblOffset val="100"/>
        <c:noMultiLvlLbl val="0"/>
      </c:catAx>
      <c:valAx>
        <c:axId val="40356480"/>
        <c:scaling>
          <c:orientation val="minMax"/>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40354944"/>
        <c:crosses val="autoZero"/>
        <c:crossBetween val="between"/>
      </c:valAx>
    </c:plotArea>
    <c:legend>
      <c:legendPos val="r"/>
      <c:layout>
        <c:manualLayout>
          <c:xMode val="edge"/>
          <c:yMode val="edge"/>
          <c:x val="1.6203058752271349E-2"/>
          <c:y val="0.4030994147121984"/>
          <c:w val="0.31793155663234407"/>
          <c:h val="8.7661347812944032E-2"/>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en-US" sz="1400" b="0">
                <a:latin typeface="Times New Roman" pitchFamily="18" charset="0"/>
                <a:cs typeface="Times New Roman" pitchFamily="18" charset="0"/>
              </a:rPr>
              <a:t>r</a:t>
            </a:r>
            <a:r>
              <a:rPr lang="en-US" sz="1400" b="0" baseline="0">
                <a:latin typeface="Times New Roman" pitchFamily="18" charset="0"/>
                <a:cs typeface="Times New Roman" pitchFamily="18" charset="0"/>
              </a:rPr>
              <a:t> = 0,29</a:t>
            </a:r>
            <a:r>
              <a:rPr lang="uk-UA" sz="1400" b="0" baseline="0">
                <a:latin typeface="Times New Roman" pitchFamily="18" charset="0"/>
                <a:cs typeface="Times New Roman" pitchFamily="18" charset="0"/>
              </a:rPr>
              <a:t>;</a:t>
            </a:r>
            <a:r>
              <a:rPr lang="en-US" sz="1400" b="0" baseline="0">
                <a:latin typeface="Times New Roman" pitchFamily="18" charset="0"/>
                <a:cs typeface="Times New Roman" pitchFamily="18" charset="0"/>
              </a:rPr>
              <a:t> p </a:t>
            </a:r>
            <a:r>
              <a:rPr lang="uk-UA" sz="1400" b="0" baseline="0">
                <a:latin typeface="Times New Roman" pitchFamily="18" charset="0"/>
                <a:cs typeface="Times New Roman" pitchFamily="18" charset="0"/>
              </a:rPr>
              <a:t>=</a:t>
            </a:r>
            <a:r>
              <a:rPr lang="en-US" sz="1400" b="0" baseline="0">
                <a:latin typeface="Times New Roman" pitchFamily="18" charset="0"/>
                <a:cs typeface="Times New Roman" pitchFamily="18" charset="0"/>
              </a:rPr>
              <a:t> 0,00</a:t>
            </a:r>
            <a:r>
              <a:rPr lang="uk-UA" sz="1400" b="0" baseline="0">
                <a:latin typeface="Times New Roman" pitchFamily="18" charset="0"/>
                <a:cs typeface="Times New Roman" pitchFamily="18" charset="0"/>
              </a:rPr>
              <a:t>4;</a:t>
            </a:r>
            <a:r>
              <a:rPr lang="en-US" sz="1400" b="0" baseline="0">
                <a:latin typeface="Times New Roman" pitchFamily="18" charset="0"/>
                <a:cs typeface="Times New Roman" pitchFamily="18" charset="0"/>
              </a:rPr>
              <a:t> n = 96</a:t>
            </a:r>
            <a:endParaRPr lang="en-US" sz="1400" b="0">
              <a:latin typeface="Times New Roman" pitchFamily="18" charset="0"/>
              <a:cs typeface="Times New Roman" pitchFamily="18" charset="0"/>
            </a:endParaRPr>
          </a:p>
        </c:rich>
      </c:tx>
      <c:layout>
        <c:manualLayout>
          <c:xMode val="edge"/>
          <c:yMode val="edge"/>
          <c:x val="0.61130837330946419"/>
          <c:y val="2.3809453724826454E-2"/>
        </c:manualLayout>
      </c:layout>
      <c:overlay val="0"/>
    </c:title>
    <c:autoTitleDeleted val="0"/>
    <c:plotArea>
      <c:layout>
        <c:manualLayout>
          <c:layoutTarget val="inner"/>
          <c:xMode val="edge"/>
          <c:yMode val="edge"/>
          <c:x val="0.29533563870827861"/>
          <c:y val="0.1396686207175645"/>
          <c:w val="0.61292013043841298"/>
          <c:h val="0.61700965233799976"/>
        </c:manualLayout>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Лист1!$A$2:$A$201</c:f>
              <c:numCache>
                <c:formatCode>General</c:formatCode>
                <c:ptCount val="200"/>
                <c:pt idx="0">
                  <c:v>11.8</c:v>
                </c:pt>
                <c:pt idx="1">
                  <c:v>7.2</c:v>
                </c:pt>
                <c:pt idx="2">
                  <c:v>9.1</c:v>
                </c:pt>
                <c:pt idx="3">
                  <c:v>5.8</c:v>
                </c:pt>
                <c:pt idx="4">
                  <c:v>7.8</c:v>
                </c:pt>
                <c:pt idx="5">
                  <c:v>8.6</c:v>
                </c:pt>
                <c:pt idx="6">
                  <c:v>9.8000000000000007</c:v>
                </c:pt>
                <c:pt idx="7">
                  <c:v>10.4</c:v>
                </c:pt>
                <c:pt idx="8">
                  <c:v>8.4</c:v>
                </c:pt>
                <c:pt idx="9">
                  <c:v>11.8</c:v>
                </c:pt>
                <c:pt idx="10">
                  <c:v>7.2</c:v>
                </c:pt>
                <c:pt idx="11">
                  <c:v>10.6</c:v>
                </c:pt>
                <c:pt idx="12">
                  <c:v>8</c:v>
                </c:pt>
                <c:pt idx="13">
                  <c:v>11.8</c:v>
                </c:pt>
                <c:pt idx="14">
                  <c:v>11</c:v>
                </c:pt>
                <c:pt idx="15">
                  <c:v>9.1999999999999993</c:v>
                </c:pt>
                <c:pt idx="16">
                  <c:v>7</c:v>
                </c:pt>
                <c:pt idx="17">
                  <c:v>12.2</c:v>
                </c:pt>
                <c:pt idx="18">
                  <c:v>7</c:v>
                </c:pt>
                <c:pt idx="19">
                  <c:v>7.5</c:v>
                </c:pt>
                <c:pt idx="20">
                  <c:v>10.199999999999999</c:v>
                </c:pt>
                <c:pt idx="21">
                  <c:v>6.7</c:v>
                </c:pt>
                <c:pt idx="22">
                  <c:v>12.7</c:v>
                </c:pt>
                <c:pt idx="23">
                  <c:v>9.6</c:v>
                </c:pt>
                <c:pt idx="24">
                  <c:v>11.4</c:v>
                </c:pt>
                <c:pt idx="25">
                  <c:v>10.5</c:v>
                </c:pt>
                <c:pt idx="26">
                  <c:v>12.7</c:v>
                </c:pt>
                <c:pt idx="27">
                  <c:v>14.2</c:v>
                </c:pt>
                <c:pt idx="28">
                  <c:v>8.1999999999999993</c:v>
                </c:pt>
                <c:pt idx="29">
                  <c:v>8.1999999999999993</c:v>
                </c:pt>
                <c:pt idx="30">
                  <c:v>7.9</c:v>
                </c:pt>
                <c:pt idx="31">
                  <c:v>8.9</c:v>
                </c:pt>
                <c:pt idx="32">
                  <c:v>10.8</c:v>
                </c:pt>
                <c:pt idx="33">
                  <c:v>11.5</c:v>
                </c:pt>
                <c:pt idx="34">
                  <c:v>8.1999999999999993</c:v>
                </c:pt>
                <c:pt idx="35">
                  <c:v>9.6</c:v>
                </c:pt>
                <c:pt idx="36">
                  <c:v>10.5</c:v>
                </c:pt>
                <c:pt idx="37">
                  <c:v>6</c:v>
                </c:pt>
                <c:pt idx="38">
                  <c:v>6</c:v>
                </c:pt>
                <c:pt idx="39">
                  <c:v>6.8</c:v>
                </c:pt>
                <c:pt idx="40">
                  <c:v>10.199999999999999</c:v>
                </c:pt>
                <c:pt idx="41">
                  <c:v>11.5</c:v>
                </c:pt>
                <c:pt idx="42">
                  <c:v>8</c:v>
                </c:pt>
                <c:pt idx="43">
                  <c:v>10.4</c:v>
                </c:pt>
                <c:pt idx="44">
                  <c:v>7.4</c:v>
                </c:pt>
                <c:pt idx="45">
                  <c:v>8.3000000000000007</c:v>
                </c:pt>
                <c:pt idx="46">
                  <c:v>8.4</c:v>
                </c:pt>
                <c:pt idx="47">
                  <c:v>9.6</c:v>
                </c:pt>
                <c:pt idx="48">
                  <c:v>8.3000000000000007</c:v>
                </c:pt>
                <c:pt idx="49">
                  <c:v>9.6</c:v>
                </c:pt>
                <c:pt idx="50">
                  <c:v>6.9</c:v>
                </c:pt>
                <c:pt idx="51">
                  <c:v>11.4</c:v>
                </c:pt>
                <c:pt idx="52">
                  <c:v>8.8000000000000007</c:v>
                </c:pt>
                <c:pt idx="53">
                  <c:v>10.199999999999999</c:v>
                </c:pt>
                <c:pt idx="54">
                  <c:v>8.9</c:v>
                </c:pt>
                <c:pt idx="55">
                  <c:v>9.8000000000000007</c:v>
                </c:pt>
                <c:pt idx="56">
                  <c:v>7.8</c:v>
                </c:pt>
                <c:pt idx="57">
                  <c:v>8.3000000000000007</c:v>
                </c:pt>
                <c:pt idx="58">
                  <c:v>10.199999999999999</c:v>
                </c:pt>
                <c:pt idx="59">
                  <c:v>6.9</c:v>
                </c:pt>
                <c:pt idx="60">
                  <c:v>6.9</c:v>
                </c:pt>
                <c:pt idx="61">
                  <c:v>10.199999999999999</c:v>
                </c:pt>
                <c:pt idx="62">
                  <c:v>9.1</c:v>
                </c:pt>
                <c:pt idx="63">
                  <c:v>11</c:v>
                </c:pt>
                <c:pt idx="64">
                  <c:v>6.9</c:v>
                </c:pt>
                <c:pt idx="65">
                  <c:v>8.4</c:v>
                </c:pt>
                <c:pt idx="66">
                  <c:v>9.8000000000000007</c:v>
                </c:pt>
                <c:pt idx="67">
                  <c:v>8</c:v>
                </c:pt>
                <c:pt idx="68">
                  <c:v>8.5</c:v>
                </c:pt>
                <c:pt idx="69">
                  <c:v>8.4</c:v>
                </c:pt>
                <c:pt idx="70">
                  <c:v>11.8</c:v>
                </c:pt>
                <c:pt idx="71">
                  <c:v>7.2</c:v>
                </c:pt>
                <c:pt idx="72">
                  <c:v>9.1</c:v>
                </c:pt>
                <c:pt idx="73">
                  <c:v>5.8</c:v>
                </c:pt>
                <c:pt idx="74">
                  <c:v>7.8</c:v>
                </c:pt>
                <c:pt idx="75">
                  <c:v>8.6</c:v>
                </c:pt>
                <c:pt idx="76">
                  <c:v>9.8000000000000007</c:v>
                </c:pt>
                <c:pt idx="77">
                  <c:v>10.4</c:v>
                </c:pt>
                <c:pt idx="78">
                  <c:v>8.4</c:v>
                </c:pt>
                <c:pt idx="79">
                  <c:v>11.8</c:v>
                </c:pt>
                <c:pt idx="80">
                  <c:v>7.2</c:v>
                </c:pt>
                <c:pt idx="81">
                  <c:v>10.6</c:v>
                </c:pt>
                <c:pt idx="82">
                  <c:v>8</c:v>
                </c:pt>
                <c:pt idx="83">
                  <c:v>11.8</c:v>
                </c:pt>
                <c:pt idx="84">
                  <c:v>11</c:v>
                </c:pt>
                <c:pt idx="85">
                  <c:v>9.1999999999999993</c:v>
                </c:pt>
                <c:pt idx="86">
                  <c:v>7</c:v>
                </c:pt>
                <c:pt idx="87">
                  <c:v>12.2</c:v>
                </c:pt>
                <c:pt idx="88">
                  <c:v>7</c:v>
                </c:pt>
                <c:pt idx="89">
                  <c:v>7.5</c:v>
                </c:pt>
                <c:pt idx="90">
                  <c:v>10.199999999999999</c:v>
                </c:pt>
                <c:pt idx="91">
                  <c:v>6.7</c:v>
                </c:pt>
                <c:pt idx="92">
                  <c:v>12.7</c:v>
                </c:pt>
                <c:pt idx="93">
                  <c:v>9.6</c:v>
                </c:pt>
                <c:pt idx="94">
                  <c:v>11.4</c:v>
                </c:pt>
                <c:pt idx="95">
                  <c:v>10.5</c:v>
                </c:pt>
              </c:numCache>
            </c:numRef>
          </c:xVal>
          <c:yVal>
            <c:numRef>
              <c:f>Лист1!$B$2:$B$201</c:f>
              <c:numCache>
                <c:formatCode>General</c:formatCode>
                <c:ptCount val="200"/>
                <c:pt idx="0">
                  <c:v>16</c:v>
                </c:pt>
                <c:pt idx="1">
                  <c:v>13.5</c:v>
                </c:pt>
                <c:pt idx="2">
                  <c:v>7.1</c:v>
                </c:pt>
                <c:pt idx="3">
                  <c:v>8.3000000000000007</c:v>
                </c:pt>
                <c:pt idx="4">
                  <c:v>13.2</c:v>
                </c:pt>
                <c:pt idx="5">
                  <c:v>14.5</c:v>
                </c:pt>
                <c:pt idx="6">
                  <c:v>14.1</c:v>
                </c:pt>
                <c:pt idx="7">
                  <c:v>6</c:v>
                </c:pt>
                <c:pt idx="8">
                  <c:v>14.7</c:v>
                </c:pt>
                <c:pt idx="9">
                  <c:v>7.4</c:v>
                </c:pt>
                <c:pt idx="10">
                  <c:v>7.6</c:v>
                </c:pt>
                <c:pt idx="11">
                  <c:v>8.5</c:v>
                </c:pt>
                <c:pt idx="12">
                  <c:v>9.1</c:v>
                </c:pt>
                <c:pt idx="13">
                  <c:v>11</c:v>
                </c:pt>
                <c:pt idx="14">
                  <c:v>15.7</c:v>
                </c:pt>
                <c:pt idx="15">
                  <c:v>16.5</c:v>
                </c:pt>
                <c:pt idx="16">
                  <c:v>8.6</c:v>
                </c:pt>
                <c:pt idx="17">
                  <c:v>8.5</c:v>
                </c:pt>
                <c:pt idx="18">
                  <c:v>8.1999999999999993</c:v>
                </c:pt>
                <c:pt idx="19">
                  <c:v>8.3000000000000007</c:v>
                </c:pt>
                <c:pt idx="20">
                  <c:v>8.1999999999999993</c:v>
                </c:pt>
                <c:pt idx="21">
                  <c:v>7.8</c:v>
                </c:pt>
                <c:pt idx="22">
                  <c:v>15.1</c:v>
                </c:pt>
                <c:pt idx="23">
                  <c:v>14.1</c:v>
                </c:pt>
                <c:pt idx="24">
                  <c:v>14.3</c:v>
                </c:pt>
                <c:pt idx="25">
                  <c:v>12</c:v>
                </c:pt>
                <c:pt idx="26">
                  <c:v>15.8</c:v>
                </c:pt>
                <c:pt idx="27">
                  <c:v>12.2</c:v>
                </c:pt>
                <c:pt idx="28">
                  <c:v>13.5</c:v>
                </c:pt>
                <c:pt idx="29">
                  <c:v>7.9</c:v>
                </c:pt>
                <c:pt idx="30">
                  <c:v>8.1999999999999993</c:v>
                </c:pt>
                <c:pt idx="31">
                  <c:v>12</c:v>
                </c:pt>
                <c:pt idx="32">
                  <c:v>15.6</c:v>
                </c:pt>
                <c:pt idx="33">
                  <c:v>8.1999999999999993</c:v>
                </c:pt>
                <c:pt idx="34">
                  <c:v>13.6</c:v>
                </c:pt>
                <c:pt idx="35">
                  <c:v>14.8</c:v>
                </c:pt>
                <c:pt idx="36">
                  <c:v>15.3</c:v>
                </c:pt>
                <c:pt idx="37">
                  <c:v>14.4</c:v>
                </c:pt>
                <c:pt idx="38">
                  <c:v>14</c:v>
                </c:pt>
                <c:pt idx="39">
                  <c:v>8.3000000000000007</c:v>
                </c:pt>
                <c:pt idx="40">
                  <c:v>8.3000000000000007</c:v>
                </c:pt>
                <c:pt idx="41">
                  <c:v>13.1</c:v>
                </c:pt>
                <c:pt idx="42">
                  <c:v>7.6</c:v>
                </c:pt>
                <c:pt idx="43">
                  <c:v>14.4</c:v>
                </c:pt>
                <c:pt idx="44">
                  <c:v>9</c:v>
                </c:pt>
                <c:pt idx="45">
                  <c:v>7</c:v>
                </c:pt>
                <c:pt idx="46">
                  <c:v>15</c:v>
                </c:pt>
                <c:pt idx="47">
                  <c:v>8</c:v>
                </c:pt>
                <c:pt idx="48">
                  <c:v>7</c:v>
                </c:pt>
                <c:pt idx="49">
                  <c:v>11</c:v>
                </c:pt>
                <c:pt idx="50">
                  <c:v>8</c:v>
                </c:pt>
                <c:pt idx="51">
                  <c:v>15</c:v>
                </c:pt>
                <c:pt idx="52">
                  <c:v>8</c:v>
                </c:pt>
                <c:pt idx="53">
                  <c:v>13.8</c:v>
                </c:pt>
                <c:pt idx="54">
                  <c:v>9.1999999999999993</c:v>
                </c:pt>
                <c:pt idx="55">
                  <c:v>9</c:v>
                </c:pt>
                <c:pt idx="56">
                  <c:v>11</c:v>
                </c:pt>
                <c:pt idx="57">
                  <c:v>14.1</c:v>
                </c:pt>
                <c:pt idx="58">
                  <c:v>16</c:v>
                </c:pt>
                <c:pt idx="59">
                  <c:v>8</c:v>
                </c:pt>
                <c:pt idx="60">
                  <c:v>8.6</c:v>
                </c:pt>
                <c:pt idx="61">
                  <c:v>9.3000000000000007</c:v>
                </c:pt>
                <c:pt idx="62">
                  <c:v>8.3000000000000007</c:v>
                </c:pt>
                <c:pt idx="63">
                  <c:v>13.6</c:v>
                </c:pt>
                <c:pt idx="64">
                  <c:v>12.9</c:v>
                </c:pt>
                <c:pt idx="65">
                  <c:v>15</c:v>
                </c:pt>
                <c:pt idx="66">
                  <c:v>8.4</c:v>
                </c:pt>
                <c:pt idx="67">
                  <c:v>16.8</c:v>
                </c:pt>
                <c:pt idx="68">
                  <c:v>8.6</c:v>
                </c:pt>
                <c:pt idx="69">
                  <c:v>6</c:v>
                </c:pt>
                <c:pt idx="70">
                  <c:v>16.399999999999999</c:v>
                </c:pt>
                <c:pt idx="71">
                  <c:v>15.8</c:v>
                </c:pt>
                <c:pt idx="72">
                  <c:v>13.8</c:v>
                </c:pt>
                <c:pt idx="73">
                  <c:v>8.5</c:v>
                </c:pt>
                <c:pt idx="74">
                  <c:v>11.3</c:v>
                </c:pt>
                <c:pt idx="75">
                  <c:v>14.6</c:v>
                </c:pt>
                <c:pt idx="76">
                  <c:v>15</c:v>
                </c:pt>
                <c:pt idx="77">
                  <c:v>7.9</c:v>
                </c:pt>
                <c:pt idx="78">
                  <c:v>14</c:v>
                </c:pt>
                <c:pt idx="79">
                  <c:v>8.9</c:v>
                </c:pt>
                <c:pt idx="80">
                  <c:v>8.5</c:v>
                </c:pt>
                <c:pt idx="81">
                  <c:v>8.5</c:v>
                </c:pt>
                <c:pt idx="82">
                  <c:v>8</c:v>
                </c:pt>
                <c:pt idx="83">
                  <c:v>15.3</c:v>
                </c:pt>
                <c:pt idx="84">
                  <c:v>14.6</c:v>
                </c:pt>
                <c:pt idx="85">
                  <c:v>17.5</c:v>
                </c:pt>
                <c:pt idx="86">
                  <c:v>9.6999999999999993</c:v>
                </c:pt>
                <c:pt idx="87">
                  <c:v>9.6</c:v>
                </c:pt>
                <c:pt idx="88">
                  <c:v>8.6</c:v>
                </c:pt>
                <c:pt idx="89">
                  <c:v>9.5</c:v>
                </c:pt>
                <c:pt idx="90">
                  <c:v>12</c:v>
                </c:pt>
                <c:pt idx="91">
                  <c:v>9.3000000000000007</c:v>
                </c:pt>
                <c:pt idx="92">
                  <c:v>14</c:v>
                </c:pt>
                <c:pt idx="93">
                  <c:v>12.3</c:v>
                </c:pt>
                <c:pt idx="94">
                  <c:v>13.4</c:v>
                </c:pt>
                <c:pt idx="95">
                  <c:v>16.7</c:v>
                </c:pt>
              </c:numCache>
            </c:numRef>
          </c:yVal>
          <c:smooth val="0"/>
        </c:ser>
        <c:dLbls>
          <c:showLegendKey val="0"/>
          <c:showVal val="0"/>
          <c:showCatName val="0"/>
          <c:showSerName val="0"/>
          <c:showPercent val="0"/>
          <c:showBubbleSize val="0"/>
        </c:dLbls>
        <c:axId val="55024640"/>
        <c:axId val="55026816"/>
      </c:scatterChart>
      <c:valAx>
        <c:axId val="55024640"/>
        <c:scaling>
          <c:orientation val="minMax"/>
        </c:scaling>
        <c:delete val="0"/>
        <c:axPos val="b"/>
        <c:title>
          <c:tx>
            <c:rich>
              <a:bodyPr/>
              <a:lstStyle/>
              <a:p>
                <a:pPr>
                  <a:defRPr/>
                </a:pPr>
                <a:r>
                  <a:rPr lang="uk-UA" sz="1400" b="0" baseline="0">
                    <a:latin typeface="Times New Roman" pitchFamily="18" charset="0"/>
                    <a:cs typeface="Times New Roman" pitchFamily="18" charset="0"/>
                  </a:rPr>
                  <a:t>Глікемія натще, ммоль/л</a:t>
                </a:r>
                <a:endParaRPr lang="ru-RU" sz="1400" b="0">
                  <a:latin typeface="Times New Roman" pitchFamily="18" charset="0"/>
                  <a:cs typeface="Times New Roman" pitchFamily="18" charset="0"/>
                </a:endParaRPr>
              </a:p>
            </c:rich>
          </c:tx>
          <c:layout>
            <c:manualLayout>
              <c:xMode val="edge"/>
              <c:yMode val="edge"/>
              <c:x val="0.30394659270461338"/>
              <c:y val="0.87975846168585292"/>
            </c:manualLayout>
          </c:layout>
          <c:overlay val="0"/>
        </c:title>
        <c:numFmt formatCode="General" sourceLinked="1"/>
        <c:majorTickMark val="out"/>
        <c:minorTickMark val="none"/>
        <c:tickLblPos val="nextTo"/>
        <c:crossAx val="55026816"/>
        <c:crosses val="autoZero"/>
        <c:crossBetween val="midCat"/>
      </c:valAx>
      <c:valAx>
        <c:axId val="55026816"/>
        <c:scaling>
          <c:orientation val="minMax"/>
        </c:scaling>
        <c:delete val="0"/>
        <c:axPos val="l"/>
        <c:majorGridlines/>
        <c:title>
          <c:tx>
            <c:rich>
              <a:bodyPr rot="0" vert="horz"/>
              <a:lstStyle/>
              <a:p>
                <a:pPr>
                  <a:defRPr/>
                </a:pPr>
                <a:r>
                  <a:rPr lang="uk-UA" sz="1400" b="0" i="0" u="none" strike="noStrike" baseline="0">
                    <a:effectLst/>
                    <a:latin typeface="Times New Roman" pitchFamily="18" charset="0"/>
                    <a:cs typeface="Times New Roman" pitchFamily="18" charset="0"/>
                  </a:rPr>
                  <a:t>Ендотелін-1, пг/мл</a:t>
                </a:r>
                <a:r>
                  <a:rPr lang="ru-RU"/>
                  <a:t> </a:t>
                </a:r>
              </a:p>
            </c:rich>
          </c:tx>
          <c:layout>
            <c:manualLayout>
              <c:xMode val="edge"/>
              <c:yMode val="edge"/>
              <c:x val="4.9883055624669617E-2"/>
              <c:y val="0.37831533605350776"/>
            </c:manualLayout>
          </c:layout>
          <c:overlay val="0"/>
        </c:title>
        <c:numFmt formatCode="General" sourceLinked="1"/>
        <c:majorTickMark val="out"/>
        <c:minorTickMark val="none"/>
        <c:tickLblPos val="nextTo"/>
        <c:crossAx val="55024640"/>
        <c:crosses val="autoZero"/>
        <c:crossBetween val="midCat"/>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1"/>
            </a:pPr>
            <a:r>
              <a:rPr lang="en-US" sz="1400" b="0">
                <a:latin typeface="Times New Roman" pitchFamily="18" charset="0"/>
                <a:cs typeface="Times New Roman" pitchFamily="18" charset="0"/>
              </a:rPr>
              <a:t>r</a:t>
            </a:r>
            <a:r>
              <a:rPr lang="en-US" sz="1400" b="0" baseline="0">
                <a:latin typeface="Times New Roman" pitchFamily="18" charset="0"/>
                <a:cs typeface="Times New Roman" pitchFamily="18" charset="0"/>
              </a:rPr>
              <a:t> = 0,</a:t>
            </a:r>
            <a:r>
              <a:rPr lang="uk-UA" sz="1400" b="0" baseline="0">
                <a:latin typeface="Times New Roman" pitchFamily="18" charset="0"/>
                <a:cs typeface="Times New Roman" pitchFamily="18" charset="0"/>
              </a:rPr>
              <a:t>4;</a:t>
            </a:r>
            <a:r>
              <a:rPr lang="en-US" sz="1400" b="0" baseline="0">
                <a:latin typeface="Times New Roman" pitchFamily="18" charset="0"/>
                <a:cs typeface="Times New Roman" pitchFamily="18" charset="0"/>
              </a:rPr>
              <a:t> p &lt; 0,0001</a:t>
            </a:r>
            <a:r>
              <a:rPr lang="uk-UA" sz="1400" b="0" baseline="0">
                <a:latin typeface="Times New Roman" pitchFamily="18" charset="0"/>
                <a:cs typeface="Times New Roman" pitchFamily="18" charset="0"/>
              </a:rPr>
              <a:t>;</a:t>
            </a:r>
            <a:r>
              <a:rPr lang="en-US" sz="1400" b="0" baseline="0">
                <a:latin typeface="Times New Roman" pitchFamily="18" charset="0"/>
                <a:cs typeface="Times New Roman" pitchFamily="18" charset="0"/>
              </a:rPr>
              <a:t> n = 96</a:t>
            </a:r>
            <a:endParaRPr lang="en-US" sz="1400" b="0">
              <a:latin typeface="Times New Roman" pitchFamily="18" charset="0"/>
              <a:cs typeface="Times New Roman" pitchFamily="18" charset="0"/>
            </a:endParaRPr>
          </a:p>
        </c:rich>
      </c:tx>
      <c:layout>
        <c:manualLayout>
          <c:xMode val="edge"/>
          <c:yMode val="edge"/>
          <c:x val="0.61130837330946419"/>
          <c:y val="2.3809453724826454E-2"/>
        </c:manualLayout>
      </c:layout>
      <c:overlay val="0"/>
    </c:title>
    <c:autoTitleDeleted val="0"/>
    <c:plotArea>
      <c:layout>
        <c:manualLayout>
          <c:layoutTarget val="inner"/>
          <c:xMode val="edge"/>
          <c:yMode val="edge"/>
          <c:x val="0.23940797640414974"/>
          <c:y val="0.1396686207175645"/>
          <c:w val="0.66895815177023488"/>
          <c:h val="0.65063183483702702"/>
        </c:manualLayout>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Лист1!$A$2:$A$201</c:f>
              <c:numCache>
                <c:formatCode>General</c:formatCode>
                <c:ptCount val="200"/>
                <c:pt idx="0">
                  <c:v>8.1999999999999993</c:v>
                </c:pt>
                <c:pt idx="1">
                  <c:v>9.6999999999999993</c:v>
                </c:pt>
                <c:pt idx="2">
                  <c:v>9.6</c:v>
                </c:pt>
                <c:pt idx="3">
                  <c:v>7.3</c:v>
                </c:pt>
                <c:pt idx="4">
                  <c:v>9</c:v>
                </c:pt>
                <c:pt idx="5">
                  <c:v>9.4</c:v>
                </c:pt>
                <c:pt idx="6">
                  <c:v>9.6999999999999993</c:v>
                </c:pt>
                <c:pt idx="7">
                  <c:v>9.1</c:v>
                </c:pt>
                <c:pt idx="8">
                  <c:v>8.1999999999999993</c:v>
                </c:pt>
                <c:pt idx="9">
                  <c:v>9.4</c:v>
                </c:pt>
                <c:pt idx="10">
                  <c:v>7.9</c:v>
                </c:pt>
                <c:pt idx="11">
                  <c:v>7.9</c:v>
                </c:pt>
                <c:pt idx="12">
                  <c:v>7.9</c:v>
                </c:pt>
                <c:pt idx="13">
                  <c:v>7.5</c:v>
                </c:pt>
                <c:pt idx="14">
                  <c:v>10.8</c:v>
                </c:pt>
                <c:pt idx="15">
                  <c:v>8.1999999999999993</c:v>
                </c:pt>
                <c:pt idx="16">
                  <c:v>5.8</c:v>
                </c:pt>
                <c:pt idx="17">
                  <c:v>7.5</c:v>
                </c:pt>
                <c:pt idx="18">
                  <c:v>6.3</c:v>
                </c:pt>
                <c:pt idx="19">
                  <c:v>8.1</c:v>
                </c:pt>
                <c:pt idx="20">
                  <c:v>8.3000000000000007</c:v>
                </c:pt>
                <c:pt idx="21">
                  <c:v>10</c:v>
                </c:pt>
                <c:pt idx="22">
                  <c:v>9.1</c:v>
                </c:pt>
                <c:pt idx="23">
                  <c:v>10.9</c:v>
                </c:pt>
                <c:pt idx="24">
                  <c:v>10.1</c:v>
                </c:pt>
                <c:pt idx="25">
                  <c:v>9.3000000000000007</c:v>
                </c:pt>
                <c:pt idx="26">
                  <c:v>9.1</c:v>
                </c:pt>
                <c:pt idx="27">
                  <c:v>8.6999999999999993</c:v>
                </c:pt>
                <c:pt idx="28">
                  <c:v>9.3000000000000007</c:v>
                </c:pt>
                <c:pt idx="29">
                  <c:v>7.3</c:v>
                </c:pt>
                <c:pt idx="30">
                  <c:v>7.7</c:v>
                </c:pt>
                <c:pt idx="31">
                  <c:v>7.4</c:v>
                </c:pt>
                <c:pt idx="32">
                  <c:v>11.1</c:v>
                </c:pt>
                <c:pt idx="33">
                  <c:v>8.4</c:v>
                </c:pt>
                <c:pt idx="34">
                  <c:v>6.6</c:v>
                </c:pt>
                <c:pt idx="35">
                  <c:v>9.6</c:v>
                </c:pt>
                <c:pt idx="36">
                  <c:v>10.8</c:v>
                </c:pt>
                <c:pt idx="37">
                  <c:v>6.1</c:v>
                </c:pt>
                <c:pt idx="38">
                  <c:v>6.2</c:v>
                </c:pt>
                <c:pt idx="39">
                  <c:v>7</c:v>
                </c:pt>
                <c:pt idx="40">
                  <c:v>8.4</c:v>
                </c:pt>
                <c:pt idx="41">
                  <c:v>7.9</c:v>
                </c:pt>
                <c:pt idx="42">
                  <c:v>7.6</c:v>
                </c:pt>
                <c:pt idx="43">
                  <c:v>9.1999999999999993</c:v>
                </c:pt>
                <c:pt idx="44">
                  <c:v>6.7</c:v>
                </c:pt>
                <c:pt idx="45">
                  <c:v>8.3000000000000007</c:v>
                </c:pt>
                <c:pt idx="46">
                  <c:v>9.1</c:v>
                </c:pt>
                <c:pt idx="47">
                  <c:v>5.6</c:v>
                </c:pt>
                <c:pt idx="48">
                  <c:v>8.1</c:v>
                </c:pt>
                <c:pt idx="49">
                  <c:v>10.6</c:v>
                </c:pt>
                <c:pt idx="50">
                  <c:v>5.4</c:v>
                </c:pt>
                <c:pt idx="51">
                  <c:v>11.7</c:v>
                </c:pt>
                <c:pt idx="52">
                  <c:v>9.1999999999999993</c:v>
                </c:pt>
                <c:pt idx="53">
                  <c:v>9.8000000000000007</c:v>
                </c:pt>
                <c:pt idx="54">
                  <c:v>8</c:v>
                </c:pt>
                <c:pt idx="55">
                  <c:v>9.9</c:v>
                </c:pt>
                <c:pt idx="56">
                  <c:v>9.1</c:v>
                </c:pt>
                <c:pt idx="57">
                  <c:v>9</c:v>
                </c:pt>
                <c:pt idx="58">
                  <c:v>10.4</c:v>
                </c:pt>
                <c:pt idx="59">
                  <c:v>5.7</c:v>
                </c:pt>
                <c:pt idx="60">
                  <c:v>5.7</c:v>
                </c:pt>
                <c:pt idx="61">
                  <c:v>5.6</c:v>
                </c:pt>
                <c:pt idx="62">
                  <c:v>8.9</c:v>
                </c:pt>
                <c:pt idx="63">
                  <c:v>11.1</c:v>
                </c:pt>
                <c:pt idx="64">
                  <c:v>8.3000000000000007</c:v>
                </c:pt>
                <c:pt idx="65">
                  <c:v>7.7</c:v>
                </c:pt>
                <c:pt idx="66">
                  <c:v>9.4</c:v>
                </c:pt>
                <c:pt idx="67">
                  <c:v>7.1</c:v>
                </c:pt>
                <c:pt idx="68">
                  <c:v>7.4</c:v>
                </c:pt>
                <c:pt idx="69">
                  <c:v>7.7</c:v>
                </c:pt>
                <c:pt idx="70">
                  <c:v>8.1999999999999993</c:v>
                </c:pt>
                <c:pt idx="71">
                  <c:v>9.6999999999999993</c:v>
                </c:pt>
                <c:pt idx="72">
                  <c:v>9.6</c:v>
                </c:pt>
                <c:pt idx="73">
                  <c:v>7.3</c:v>
                </c:pt>
                <c:pt idx="74">
                  <c:v>9</c:v>
                </c:pt>
                <c:pt idx="75">
                  <c:v>9.4</c:v>
                </c:pt>
                <c:pt idx="76">
                  <c:v>9.6999999999999993</c:v>
                </c:pt>
                <c:pt idx="77">
                  <c:v>9.1</c:v>
                </c:pt>
                <c:pt idx="78">
                  <c:v>8.1999999999999993</c:v>
                </c:pt>
                <c:pt idx="79">
                  <c:v>9.4</c:v>
                </c:pt>
                <c:pt idx="80">
                  <c:v>7.9</c:v>
                </c:pt>
                <c:pt idx="81">
                  <c:v>7.9</c:v>
                </c:pt>
                <c:pt idx="82">
                  <c:v>7.9</c:v>
                </c:pt>
                <c:pt idx="83">
                  <c:v>7.5</c:v>
                </c:pt>
                <c:pt idx="84">
                  <c:v>10.8</c:v>
                </c:pt>
                <c:pt idx="85">
                  <c:v>8.1999999999999993</c:v>
                </c:pt>
                <c:pt idx="86">
                  <c:v>5.8</c:v>
                </c:pt>
                <c:pt idx="87">
                  <c:v>7.5</c:v>
                </c:pt>
                <c:pt idx="88">
                  <c:v>6.3</c:v>
                </c:pt>
                <c:pt idx="89">
                  <c:v>8.1</c:v>
                </c:pt>
                <c:pt idx="90">
                  <c:v>8.3000000000000007</c:v>
                </c:pt>
                <c:pt idx="91">
                  <c:v>10</c:v>
                </c:pt>
                <c:pt idx="92">
                  <c:v>9.1</c:v>
                </c:pt>
                <c:pt idx="93">
                  <c:v>10.9</c:v>
                </c:pt>
                <c:pt idx="94">
                  <c:v>10.1</c:v>
                </c:pt>
                <c:pt idx="95">
                  <c:v>9.3000000000000007</c:v>
                </c:pt>
              </c:numCache>
            </c:numRef>
          </c:xVal>
          <c:yVal>
            <c:numRef>
              <c:f>Лист1!$B$2:$B$201</c:f>
              <c:numCache>
                <c:formatCode>General</c:formatCode>
                <c:ptCount val="200"/>
                <c:pt idx="0">
                  <c:v>16</c:v>
                </c:pt>
                <c:pt idx="1">
                  <c:v>13.5</c:v>
                </c:pt>
                <c:pt idx="2">
                  <c:v>7.1</c:v>
                </c:pt>
                <c:pt idx="3">
                  <c:v>8.3000000000000007</c:v>
                </c:pt>
                <c:pt idx="4">
                  <c:v>13.2</c:v>
                </c:pt>
                <c:pt idx="5">
                  <c:v>14.5</c:v>
                </c:pt>
                <c:pt idx="6">
                  <c:v>14.1</c:v>
                </c:pt>
                <c:pt idx="7">
                  <c:v>6</c:v>
                </c:pt>
                <c:pt idx="8">
                  <c:v>14.7</c:v>
                </c:pt>
                <c:pt idx="9">
                  <c:v>7.4</c:v>
                </c:pt>
                <c:pt idx="10">
                  <c:v>7.6</c:v>
                </c:pt>
                <c:pt idx="11">
                  <c:v>8.5</c:v>
                </c:pt>
                <c:pt idx="12">
                  <c:v>9.1</c:v>
                </c:pt>
                <c:pt idx="13">
                  <c:v>11</c:v>
                </c:pt>
                <c:pt idx="14">
                  <c:v>15.7</c:v>
                </c:pt>
                <c:pt idx="15">
                  <c:v>16.5</c:v>
                </c:pt>
                <c:pt idx="16">
                  <c:v>8.6</c:v>
                </c:pt>
                <c:pt idx="17">
                  <c:v>8.5</c:v>
                </c:pt>
                <c:pt idx="18">
                  <c:v>8.1999999999999993</c:v>
                </c:pt>
                <c:pt idx="19">
                  <c:v>8.3000000000000007</c:v>
                </c:pt>
                <c:pt idx="20">
                  <c:v>8.1999999999999993</c:v>
                </c:pt>
                <c:pt idx="21">
                  <c:v>7.8</c:v>
                </c:pt>
                <c:pt idx="22">
                  <c:v>15.1</c:v>
                </c:pt>
                <c:pt idx="23">
                  <c:v>14.1</c:v>
                </c:pt>
                <c:pt idx="24">
                  <c:v>14.3</c:v>
                </c:pt>
                <c:pt idx="25">
                  <c:v>12</c:v>
                </c:pt>
                <c:pt idx="26">
                  <c:v>15.8</c:v>
                </c:pt>
                <c:pt idx="27">
                  <c:v>12.2</c:v>
                </c:pt>
                <c:pt idx="28">
                  <c:v>13.5</c:v>
                </c:pt>
                <c:pt idx="29">
                  <c:v>7.9</c:v>
                </c:pt>
                <c:pt idx="30">
                  <c:v>8.1999999999999993</c:v>
                </c:pt>
                <c:pt idx="31">
                  <c:v>12</c:v>
                </c:pt>
                <c:pt idx="32">
                  <c:v>15.6</c:v>
                </c:pt>
                <c:pt idx="33">
                  <c:v>8.1999999999999993</c:v>
                </c:pt>
                <c:pt idx="34">
                  <c:v>13.6</c:v>
                </c:pt>
                <c:pt idx="35">
                  <c:v>14.8</c:v>
                </c:pt>
                <c:pt idx="36">
                  <c:v>15.3</c:v>
                </c:pt>
                <c:pt idx="37">
                  <c:v>14.4</c:v>
                </c:pt>
                <c:pt idx="38">
                  <c:v>14</c:v>
                </c:pt>
                <c:pt idx="39">
                  <c:v>8.3000000000000007</c:v>
                </c:pt>
                <c:pt idx="40">
                  <c:v>8.3000000000000007</c:v>
                </c:pt>
                <c:pt idx="41">
                  <c:v>13.1</c:v>
                </c:pt>
                <c:pt idx="42">
                  <c:v>7.6</c:v>
                </c:pt>
                <c:pt idx="43">
                  <c:v>14.4</c:v>
                </c:pt>
                <c:pt idx="44">
                  <c:v>9</c:v>
                </c:pt>
                <c:pt idx="45">
                  <c:v>7</c:v>
                </c:pt>
                <c:pt idx="46">
                  <c:v>15</c:v>
                </c:pt>
                <c:pt idx="47">
                  <c:v>8</c:v>
                </c:pt>
                <c:pt idx="48">
                  <c:v>7</c:v>
                </c:pt>
                <c:pt idx="49">
                  <c:v>11</c:v>
                </c:pt>
                <c:pt idx="50">
                  <c:v>8</c:v>
                </c:pt>
                <c:pt idx="51">
                  <c:v>15</c:v>
                </c:pt>
                <c:pt idx="52">
                  <c:v>8</c:v>
                </c:pt>
                <c:pt idx="53">
                  <c:v>13.8</c:v>
                </c:pt>
                <c:pt idx="54">
                  <c:v>9.1999999999999993</c:v>
                </c:pt>
                <c:pt idx="55">
                  <c:v>9</c:v>
                </c:pt>
                <c:pt idx="56">
                  <c:v>11</c:v>
                </c:pt>
                <c:pt idx="57">
                  <c:v>14.1</c:v>
                </c:pt>
                <c:pt idx="58">
                  <c:v>16</c:v>
                </c:pt>
                <c:pt idx="59">
                  <c:v>8</c:v>
                </c:pt>
                <c:pt idx="60">
                  <c:v>8.6</c:v>
                </c:pt>
                <c:pt idx="61">
                  <c:v>9.3000000000000007</c:v>
                </c:pt>
                <c:pt idx="62">
                  <c:v>8.3000000000000007</c:v>
                </c:pt>
                <c:pt idx="63">
                  <c:v>13.6</c:v>
                </c:pt>
                <c:pt idx="64">
                  <c:v>12.9</c:v>
                </c:pt>
                <c:pt idx="65">
                  <c:v>15</c:v>
                </c:pt>
                <c:pt idx="66">
                  <c:v>8.4</c:v>
                </c:pt>
                <c:pt idx="67">
                  <c:v>16.8</c:v>
                </c:pt>
                <c:pt idx="68">
                  <c:v>8.6</c:v>
                </c:pt>
                <c:pt idx="69">
                  <c:v>6</c:v>
                </c:pt>
                <c:pt idx="70">
                  <c:v>16.399999999999999</c:v>
                </c:pt>
                <c:pt idx="71">
                  <c:v>15.8</c:v>
                </c:pt>
                <c:pt idx="72">
                  <c:v>13.8</c:v>
                </c:pt>
                <c:pt idx="73">
                  <c:v>8.5</c:v>
                </c:pt>
                <c:pt idx="74">
                  <c:v>11.3</c:v>
                </c:pt>
                <c:pt idx="75">
                  <c:v>14.6</c:v>
                </c:pt>
                <c:pt idx="76">
                  <c:v>15</c:v>
                </c:pt>
                <c:pt idx="77">
                  <c:v>7.9</c:v>
                </c:pt>
                <c:pt idx="78">
                  <c:v>14</c:v>
                </c:pt>
                <c:pt idx="79">
                  <c:v>8.9</c:v>
                </c:pt>
                <c:pt idx="80">
                  <c:v>8.5</c:v>
                </c:pt>
                <c:pt idx="81">
                  <c:v>8.5</c:v>
                </c:pt>
                <c:pt idx="82">
                  <c:v>8</c:v>
                </c:pt>
                <c:pt idx="83">
                  <c:v>15.3</c:v>
                </c:pt>
                <c:pt idx="84">
                  <c:v>14.6</c:v>
                </c:pt>
                <c:pt idx="85">
                  <c:v>17.5</c:v>
                </c:pt>
                <c:pt idx="86">
                  <c:v>9.6999999999999993</c:v>
                </c:pt>
                <c:pt idx="87">
                  <c:v>9.6</c:v>
                </c:pt>
                <c:pt idx="88">
                  <c:v>8.6</c:v>
                </c:pt>
                <c:pt idx="89">
                  <c:v>9.5</c:v>
                </c:pt>
                <c:pt idx="90">
                  <c:v>12</c:v>
                </c:pt>
                <c:pt idx="91">
                  <c:v>9.3000000000000007</c:v>
                </c:pt>
                <c:pt idx="92">
                  <c:v>14</c:v>
                </c:pt>
                <c:pt idx="93">
                  <c:v>12.3</c:v>
                </c:pt>
                <c:pt idx="94">
                  <c:v>13.4</c:v>
                </c:pt>
                <c:pt idx="95">
                  <c:v>16.7</c:v>
                </c:pt>
              </c:numCache>
            </c:numRef>
          </c:yVal>
          <c:smooth val="0"/>
        </c:ser>
        <c:dLbls>
          <c:showLegendKey val="0"/>
          <c:showVal val="0"/>
          <c:showCatName val="0"/>
          <c:showSerName val="0"/>
          <c:showPercent val="0"/>
          <c:showBubbleSize val="0"/>
        </c:dLbls>
        <c:axId val="55048064"/>
        <c:axId val="55361536"/>
      </c:scatterChart>
      <c:valAx>
        <c:axId val="55048064"/>
        <c:scaling>
          <c:orientation val="minMax"/>
        </c:scaling>
        <c:delete val="0"/>
        <c:axPos val="b"/>
        <c:title>
          <c:tx>
            <c:rich>
              <a:bodyPr/>
              <a:lstStyle/>
              <a:p>
                <a:pPr>
                  <a:defRPr/>
                </a:pPr>
                <a:r>
                  <a:rPr lang="uk-UA" sz="1400" b="0">
                    <a:latin typeface="Times New Roman" pitchFamily="18" charset="0"/>
                    <a:cs typeface="Times New Roman" pitchFamily="18" charset="0"/>
                  </a:rPr>
                  <a:t>Глікозильований</a:t>
                </a:r>
                <a:r>
                  <a:rPr lang="uk-UA" sz="1400" b="0" baseline="0">
                    <a:latin typeface="Times New Roman" pitchFamily="18" charset="0"/>
                    <a:cs typeface="Times New Roman" pitchFamily="18" charset="0"/>
                  </a:rPr>
                  <a:t> гемоглобін, %</a:t>
                </a:r>
                <a:endParaRPr lang="ru-RU" sz="1400" b="0">
                  <a:latin typeface="Times New Roman" pitchFamily="18" charset="0"/>
                  <a:cs typeface="Times New Roman" pitchFamily="18" charset="0"/>
                </a:endParaRPr>
              </a:p>
            </c:rich>
          </c:tx>
          <c:layout>
            <c:manualLayout>
              <c:xMode val="edge"/>
              <c:yMode val="edge"/>
              <c:x val="0.28263980023330415"/>
              <c:y val="0.93966254218222722"/>
            </c:manualLayout>
          </c:layout>
          <c:overlay val="0"/>
        </c:title>
        <c:numFmt formatCode="General" sourceLinked="1"/>
        <c:majorTickMark val="out"/>
        <c:minorTickMark val="none"/>
        <c:tickLblPos val="nextTo"/>
        <c:crossAx val="55361536"/>
        <c:crosses val="autoZero"/>
        <c:crossBetween val="midCat"/>
      </c:valAx>
      <c:valAx>
        <c:axId val="55361536"/>
        <c:scaling>
          <c:orientation val="minMax"/>
        </c:scaling>
        <c:delete val="0"/>
        <c:axPos val="l"/>
        <c:majorGridlines/>
        <c:title>
          <c:tx>
            <c:rich>
              <a:bodyPr rot="0" vert="horz"/>
              <a:lstStyle/>
              <a:p>
                <a:pPr>
                  <a:defRPr/>
                </a:pPr>
                <a:r>
                  <a:rPr lang="uk-UA" sz="1400" b="0" i="0" u="none" strike="noStrike" baseline="0">
                    <a:effectLst/>
                    <a:latin typeface="Times New Roman" pitchFamily="18" charset="0"/>
                    <a:cs typeface="Times New Roman" pitchFamily="18" charset="0"/>
                  </a:rPr>
                  <a:t>Ендотелін-1, пг/мл</a:t>
                </a:r>
                <a:r>
                  <a:rPr lang="ru-RU"/>
                  <a:t> </a:t>
                </a:r>
              </a:p>
            </c:rich>
          </c:tx>
          <c:layout>
            <c:manualLayout>
              <c:xMode val="edge"/>
              <c:yMode val="edge"/>
              <c:x val="1.1151695043355182E-2"/>
              <c:y val="0.37803921568627452"/>
            </c:manualLayout>
          </c:layout>
          <c:overlay val="0"/>
        </c:title>
        <c:numFmt formatCode="General" sourceLinked="1"/>
        <c:majorTickMark val="out"/>
        <c:minorTickMark val="none"/>
        <c:tickLblPos val="nextTo"/>
        <c:crossAx val="55048064"/>
        <c:crosses val="autoZero"/>
        <c:crossBetween val="midCat"/>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en-US" sz="1400" b="0">
                <a:latin typeface="Times New Roman" pitchFamily="18" charset="0"/>
                <a:cs typeface="Times New Roman" pitchFamily="18" charset="0"/>
              </a:rPr>
              <a:t>r</a:t>
            </a:r>
            <a:r>
              <a:rPr lang="en-US" sz="1400" b="0" baseline="0">
                <a:latin typeface="Times New Roman" pitchFamily="18" charset="0"/>
                <a:cs typeface="Times New Roman" pitchFamily="18" charset="0"/>
              </a:rPr>
              <a:t> = 0,5</a:t>
            </a:r>
            <a:r>
              <a:rPr lang="uk-UA" sz="1400" b="0" baseline="0">
                <a:latin typeface="Times New Roman" pitchFamily="18" charset="0"/>
                <a:cs typeface="Times New Roman" pitchFamily="18" charset="0"/>
              </a:rPr>
              <a:t>7;</a:t>
            </a:r>
            <a:r>
              <a:rPr lang="en-US" sz="1400" b="0" baseline="0">
                <a:latin typeface="Times New Roman" pitchFamily="18" charset="0"/>
                <a:cs typeface="Times New Roman" pitchFamily="18" charset="0"/>
              </a:rPr>
              <a:t> p &lt; 0,0001, n = 96</a:t>
            </a:r>
            <a:endParaRPr lang="en-US" sz="1400" b="0">
              <a:latin typeface="Times New Roman" pitchFamily="18" charset="0"/>
              <a:cs typeface="Times New Roman" pitchFamily="18" charset="0"/>
            </a:endParaRPr>
          </a:p>
        </c:rich>
      </c:tx>
      <c:layout>
        <c:manualLayout>
          <c:xMode val="edge"/>
          <c:yMode val="edge"/>
          <c:x val="0.49321811188695752"/>
          <c:y val="1.6212259181888175E-4"/>
        </c:manualLayout>
      </c:layout>
      <c:overlay val="0"/>
    </c:title>
    <c:autoTitleDeleted val="0"/>
    <c:plotArea>
      <c:layout>
        <c:manualLayout>
          <c:layoutTarget val="inner"/>
          <c:xMode val="edge"/>
          <c:yMode val="edge"/>
          <c:x val="0.23675234829333738"/>
          <c:y val="0.13361301795212505"/>
          <c:w val="0.70402313700424757"/>
          <c:h val="0.63858685805867188"/>
        </c:manualLayout>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Лист1!$A$2:$A$201</c:f>
              <c:numCache>
                <c:formatCode>General</c:formatCode>
                <c:ptCount val="200"/>
                <c:pt idx="0">
                  <c:v>205</c:v>
                </c:pt>
                <c:pt idx="1">
                  <c:v>204</c:v>
                </c:pt>
                <c:pt idx="2">
                  <c:v>23</c:v>
                </c:pt>
                <c:pt idx="3">
                  <c:v>20</c:v>
                </c:pt>
                <c:pt idx="4">
                  <c:v>57</c:v>
                </c:pt>
                <c:pt idx="5">
                  <c:v>21</c:v>
                </c:pt>
                <c:pt idx="6">
                  <c:v>89</c:v>
                </c:pt>
                <c:pt idx="7">
                  <c:v>29</c:v>
                </c:pt>
                <c:pt idx="8">
                  <c:v>60</c:v>
                </c:pt>
                <c:pt idx="9">
                  <c:v>33</c:v>
                </c:pt>
                <c:pt idx="10">
                  <c:v>21</c:v>
                </c:pt>
                <c:pt idx="11">
                  <c:v>12</c:v>
                </c:pt>
                <c:pt idx="12">
                  <c:v>40</c:v>
                </c:pt>
                <c:pt idx="13">
                  <c:v>6</c:v>
                </c:pt>
                <c:pt idx="14">
                  <c:v>209</c:v>
                </c:pt>
                <c:pt idx="15">
                  <c:v>25</c:v>
                </c:pt>
                <c:pt idx="16">
                  <c:v>7</c:v>
                </c:pt>
                <c:pt idx="17">
                  <c:v>10</c:v>
                </c:pt>
                <c:pt idx="18">
                  <c:v>6</c:v>
                </c:pt>
                <c:pt idx="19">
                  <c:v>16</c:v>
                </c:pt>
                <c:pt idx="20">
                  <c:v>21</c:v>
                </c:pt>
                <c:pt idx="21">
                  <c:v>21</c:v>
                </c:pt>
                <c:pt idx="22">
                  <c:v>91</c:v>
                </c:pt>
                <c:pt idx="23">
                  <c:v>217</c:v>
                </c:pt>
                <c:pt idx="24">
                  <c:v>220</c:v>
                </c:pt>
                <c:pt idx="25">
                  <c:v>68</c:v>
                </c:pt>
                <c:pt idx="26">
                  <c:v>34</c:v>
                </c:pt>
                <c:pt idx="27">
                  <c:v>24</c:v>
                </c:pt>
                <c:pt idx="28">
                  <c:v>78</c:v>
                </c:pt>
                <c:pt idx="29">
                  <c:v>32</c:v>
                </c:pt>
                <c:pt idx="30">
                  <c:v>8.1</c:v>
                </c:pt>
                <c:pt idx="31">
                  <c:v>72</c:v>
                </c:pt>
                <c:pt idx="32">
                  <c:v>221</c:v>
                </c:pt>
                <c:pt idx="33">
                  <c:v>34</c:v>
                </c:pt>
                <c:pt idx="34">
                  <c:v>33</c:v>
                </c:pt>
                <c:pt idx="35">
                  <c:v>200</c:v>
                </c:pt>
                <c:pt idx="36">
                  <c:v>180</c:v>
                </c:pt>
                <c:pt idx="37">
                  <c:v>19</c:v>
                </c:pt>
                <c:pt idx="38">
                  <c:v>3</c:v>
                </c:pt>
                <c:pt idx="39">
                  <c:v>22</c:v>
                </c:pt>
                <c:pt idx="40">
                  <c:v>24</c:v>
                </c:pt>
                <c:pt idx="41">
                  <c:v>95</c:v>
                </c:pt>
                <c:pt idx="42">
                  <c:v>28</c:v>
                </c:pt>
                <c:pt idx="43">
                  <c:v>27</c:v>
                </c:pt>
                <c:pt idx="44">
                  <c:v>3</c:v>
                </c:pt>
                <c:pt idx="45">
                  <c:v>22</c:v>
                </c:pt>
                <c:pt idx="46">
                  <c:v>33</c:v>
                </c:pt>
                <c:pt idx="47">
                  <c:v>3</c:v>
                </c:pt>
                <c:pt idx="48">
                  <c:v>21</c:v>
                </c:pt>
                <c:pt idx="49">
                  <c:v>89</c:v>
                </c:pt>
                <c:pt idx="50">
                  <c:v>3</c:v>
                </c:pt>
                <c:pt idx="51">
                  <c:v>213</c:v>
                </c:pt>
                <c:pt idx="52">
                  <c:v>22</c:v>
                </c:pt>
                <c:pt idx="53">
                  <c:v>49</c:v>
                </c:pt>
                <c:pt idx="54">
                  <c:v>23</c:v>
                </c:pt>
                <c:pt idx="55">
                  <c:v>24</c:v>
                </c:pt>
                <c:pt idx="56">
                  <c:v>14</c:v>
                </c:pt>
                <c:pt idx="57">
                  <c:v>41</c:v>
                </c:pt>
                <c:pt idx="58">
                  <c:v>230</c:v>
                </c:pt>
                <c:pt idx="59">
                  <c:v>3</c:v>
                </c:pt>
                <c:pt idx="60">
                  <c:v>3</c:v>
                </c:pt>
                <c:pt idx="61">
                  <c:v>29</c:v>
                </c:pt>
                <c:pt idx="62">
                  <c:v>28</c:v>
                </c:pt>
                <c:pt idx="63">
                  <c:v>145</c:v>
                </c:pt>
                <c:pt idx="64">
                  <c:v>23</c:v>
                </c:pt>
                <c:pt idx="65">
                  <c:v>21</c:v>
                </c:pt>
                <c:pt idx="66">
                  <c:v>28</c:v>
                </c:pt>
                <c:pt idx="67">
                  <c:v>20</c:v>
                </c:pt>
                <c:pt idx="68">
                  <c:v>20</c:v>
                </c:pt>
                <c:pt idx="69">
                  <c:v>26</c:v>
                </c:pt>
                <c:pt idx="70">
                  <c:v>205</c:v>
                </c:pt>
                <c:pt idx="71">
                  <c:v>201</c:v>
                </c:pt>
                <c:pt idx="72">
                  <c:v>16</c:v>
                </c:pt>
                <c:pt idx="73">
                  <c:v>28</c:v>
                </c:pt>
                <c:pt idx="74">
                  <c:v>57</c:v>
                </c:pt>
                <c:pt idx="75">
                  <c:v>65</c:v>
                </c:pt>
                <c:pt idx="76">
                  <c:v>89</c:v>
                </c:pt>
                <c:pt idx="77">
                  <c:v>55</c:v>
                </c:pt>
                <c:pt idx="78">
                  <c:v>60</c:v>
                </c:pt>
                <c:pt idx="79">
                  <c:v>33</c:v>
                </c:pt>
                <c:pt idx="80">
                  <c:v>31</c:v>
                </c:pt>
                <c:pt idx="81">
                  <c:v>12</c:v>
                </c:pt>
                <c:pt idx="82">
                  <c:v>40</c:v>
                </c:pt>
                <c:pt idx="83">
                  <c:v>21</c:v>
                </c:pt>
                <c:pt idx="84">
                  <c:v>76</c:v>
                </c:pt>
                <c:pt idx="85">
                  <c:v>25</c:v>
                </c:pt>
                <c:pt idx="86">
                  <c:v>2</c:v>
                </c:pt>
                <c:pt idx="87">
                  <c:v>10</c:v>
                </c:pt>
                <c:pt idx="88">
                  <c:v>6</c:v>
                </c:pt>
                <c:pt idx="89">
                  <c:v>16</c:v>
                </c:pt>
                <c:pt idx="90">
                  <c:v>62</c:v>
                </c:pt>
                <c:pt idx="91">
                  <c:v>19</c:v>
                </c:pt>
                <c:pt idx="92">
                  <c:v>91</c:v>
                </c:pt>
                <c:pt idx="93">
                  <c:v>43</c:v>
                </c:pt>
                <c:pt idx="94">
                  <c:v>55</c:v>
                </c:pt>
                <c:pt idx="95">
                  <c:v>68</c:v>
                </c:pt>
              </c:numCache>
            </c:numRef>
          </c:xVal>
          <c:yVal>
            <c:numRef>
              <c:f>Лист1!$B$2:$B$201</c:f>
              <c:numCache>
                <c:formatCode>General</c:formatCode>
                <c:ptCount val="200"/>
                <c:pt idx="0">
                  <c:v>16</c:v>
                </c:pt>
                <c:pt idx="1">
                  <c:v>13.5</c:v>
                </c:pt>
                <c:pt idx="2">
                  <c:v>7.1</c:v>
                </c:pt>
                <c:pt idx="3">
                  <c:v>8.3000000000000007</c:v>
                </c:pt>
                <c:pt idx="4">
                  <c:v>13.2</c:v>
                </c:pt>
                <c:pt idx="5">
                  <c:v>14.5</c:v>
                </c:pt>
                <c:pt idx="6">
                  <c:v>14.1</c:v>
                </c:pt>
                <c:pt idx="7">
                  <c:v>6</c:v>
                </c:pt>
                <c:pt idx="8">
                  <c:v>14.7</c:v>
                </c:pt>
                <c:pt idx="9">
                  <c:v>7.4</c:v>
                </c:pt>
                <c:pt idx="10">
                  <c:v>7.6</c:v>
                </c:pt>
                <c:pt idx="11">
                  <c:v>8.5</c:v>
                </c:pt>
                <c:pt idx="12">
                  <c:v>9.1</c:v>
                </c:pt>
                <c:pt idx="13">
                  <c:v>11</c:v>
                </c:pt>
                <c:pt idx="14">
                  <c:v>15.7</c:v>
                </c:pt>
                <c:pt idx="15">
                  <c:v>16.5</c:v>
                </c:pt>
                <c:pt idx="16">
                  <c:v>8.6</c:v>
                </c:pt>
                <c:pt idx="17">
                  <c:v>8.5</c:v>
                </c:pt>
                <c:pt idx="18">
                  <c:v>8.1999999999999993</c:v>
                </c:pt>
                <c:pt idx="19">
                  <c:v>8.3000000000000007</c:v>
                </c:pt>
                <c:pt idx="20">
                  <c:v>8.1999999999999993</c:v>
                </c:pt>
                <c:pt idx="21">
                  <c:v>7.8</c:v>
                </c:pt>
                <c:pt idx="22">
                  <c:v>15.1</c:v>
                </c:pt>
                <c:pt idx="23">
                  <c:v>14.1</c:v>
                </c:pt>
                <c:pt idx="24">
                  <c:v>14.3</c:v>
                </c:pt>
                <c:pt idx="25">
                  <c:v>12</c:v>
                </c:pt>
                <c:pt idx="26">
                  <c:v>15.8</c:v>
                </c:pt>
                <c:pt idx="27">
                  <c:v>12.2</c:v>
                </c:pt>
                <c:pt idx="28">
                  <c:v>13.5</c:v>
                </c:pt>
                <c:pt idx="29">
                  <c:v>7.9</c:v>
                </c:pt>
                <c:pt idx="30">
                  <c:v>8.1999999999999993</c:v>
                </c:pt>
                <c:pt idx="31">
                  <c:v>12</c:v>
                </c:pt>
                <c:pt idx="32">
                  <c:v>15.6</c:v>
                </c:pt>
                <c:pt idx="33">
                  <c:v>8.1999999999999993</c:v>
                </c:pt>
                <c:pt idx="34">
                  <c:v>13.6</c:v>
                </c:pt>
                <c:pt idx="35">
                  <c:v>14.8</c:v>
                </c:pt>
                <c:pt idx="36">
                  <c:v>15.3</c:v>
                </c:pt>
                <c:pt idx="37">
                  <c:v>14.4</c:v>
                </c:pt>
                <c:pt idx="38">
                  <c:v>14</c:v>
                </c:pt>
                <c:pt idx="39">
                  <c:v>8.3000000000000007</c:v>
                </c:pt>
                <c:pt idx="40">
                  <c:v>8.3000000000000007</c:v>
                </c:pt>
                <c:pt idx="41">
                  <c:v>13.1</c:v>
                </c:pt>
                <c:pt idx="42">
                  <c:v>7.6</c:v>
                </c:pt>
                <c:pt idx="43">
                  <c:v>14.4</c:v>
                </c:pt>
                <c:pt idx="44">
                  <c:v>9</c:v>
                </c:pt>
                <c:pt idx="45">
                  <c:v>7</c:v>
                </c:pt>
                <c:pt idx="46">
                  <c:v>15</c:v>
                </c:pt>
                <c:pt idx="47">
                  <c:v>8</c:v>
                </c:pt>
                <c:pt idx="48">
                  <c:v>7</c:v>
                </c:pt>
                <c:pt idx="49">
                  <c:v>11</c:v>
                </c:pt>
                <c:pt idx="50">
                  <c:v>8</c:v>
                </c:pt>
                <c:pt idx="51">
                  <c:v>15</c:v>
                </c:pt>
                <c:pt idx="52">
                  <c:v>8</c:v>
                </c:pt>
                <c:pt idx="53">
                  <c:v>13.8</c:v>
                </c:pt>
                <c:pt idx="54">
                  <c:v>9.1999999999999993</c:v>
                </c:pt>
                <c:pt idx="55">
                  <c:v>9</c:v>
                </c:pt>
                <c:pt idx="56">
                  <c:v>11</c:v>
                </c:pt>
                <c:pt idx="57">
                  <c:v>14.1</c:v>
                </c:pt>
                <c:pt idx="58">
                  <c:v>16</c:v>
                </c:pt>
                <c:pt idx="59">
                  <c:v>8</c:v>
                </c:pt>
                <c:pt idx="60">
                  <c:v>8.6</c:v>
                </c:pt>
                <c:pt idx="61">
                  <c:v>9.3000000000000007</c:v>
                </c:pt>
                <c:pt idx="62">
                  <c:v>8.3000000000000007</c:v>
                </c:pt>
                <c:pt idx="63">
                  <c:v>13.6</c:v>
                </c:pt>
                <c:pt idx="64">
                  <c:v>12.9</c:v>
                </c:pt>
                <c:pt idx="65">
                  <c:v>15</c:v>
                </c:pt>
                <c:pt idx="66">
                  <c:v>8.4</c:v>
                </c:pt>
                <c:pt idx="67">
                  <c:v>16.8</c:v>
                </c:pt>
                <c:pt idx="68">
                  <c:v>8.6</c:v>
                </c:pt>
                <c:pt idx="69">
                  <c:v>6</c:v>
                </c:pt>
                <c:pt idx="70">
                  <c:v>16.399999999999999</c:v>
                </c:pt>
                <c:pt idx="71">
                  <c:v>15.8</c:v>
                </c:pt>
                <c:pt idx="72">
                  <c:v>13.8</c:v>
                </c:pt>
                <c:pt idx="73">
                  <c:v>8.5</c:v>
                </c:pt>
                <c:pt idx="74">
                  <c:v>11.3</c:v>
                </c:pt>
                <c:pt idx="75">
                  <c:v>14.6</c:v>
                </c:pt>
                <c:pt idx="76">
                  <c:v>15</c:v>
                </c:pt>
                <c:pt idx="77">
                  <c:v>7.9</c:v>
                </c:pt>
                <c:pt idx="78">
                  <c:v>14</c:v>
                </c:pt>
                <c:pt idx="79">
                  <c:v>8.9</c:v>
                </c:pt>
                <c:pt idx="80">
                  <c:v>8.5</c:v>
                </c:pt>
                <c:pt idx="81">
                  <c:v>8.5</c:v>
                </c:pt>
                <c:pt idx="82">
                  <c:v>8</c:v>
                </c:pt>
                <c:pt idx="83">
                  <c:v>15.3</c:v>
                </c:pt>
                <c:pt idx="84">
                  <c:v>14.6</c:v>
                </c:pt>
                <c:pt idx="85">
                  <c:v>17.5</c:v>
                </c:pt>
                <c:pt idx="86">
                  <c:v>9.6999999999999993</c:v>
                </c:pt>
                <c:pt idx="87">
                  <c:v>9.6</c:v>
                </c:pt>
                <c:pt idx="88">
                  <c:v>8.6</c:v>
                </c:pt>
                <c:pt idx="89">
                  <c:v>9.5</c:v>
                </c:pt>
                <c:pt idx="90">
                  <c:v>12</c:v>
                </c:pt>
                <c:pt idx="91">
                  <c:v>9.3000000000000007</c:v>
                </c:pt>
                <c:pt idx="92">
                  <c:v>14</c:v>
                </c:pt>
                <c:pt idx="93">
                  <c:v>12.3</c:v>
                </c:pt>
                <c:pt idx="94">
                  <c:v>13.4</c:v>
                </c:pt>
                <c:pt idx="95">
                  <c:v>16.7</c:v>
                </c:pt>
              </c:numCache>
            </c:numRef>
          </c:yVal>
          <c:smooth val="0"/>
        </c:ser>
        <c:dLbls>
          <c:showLegendKey val="0"/>
          <c:showVal val="0"/>
          <c:showCatName val="0"/>
          <c:showSerName val="0"/>
          <c:showPercent val="0"/>
          <c:showBubbleSize val="0"/>
        </c:dLbls>
        <c:axId val="65114880"/>
        <c:axId val="65116800"/>
      </c:scatterChart>
      <c:valAx>
        <c:axId val="65114880"/>
        <c:scaling>
          <c:orientation val="minMax"/>
        </c:scaling>
        <c:delete val="0"/>
        <c:axPos val="b"/>
        <c:title>
          <c:tx>
            <c:rich>
              <a:bodyPr/>
              <a:lstStyle/>
              <a:p>
                <a:pPr>
                  <a:defRPr/>
                </a:pPr>
                <a:r>
                  <a:rPr lang="uk-UA" sz="1400" b="0">
                    <a:latin typeface="Times New Roman" pitchFamily="18" charset="0"/>
                    <a:cs typeface="Times New Roman" pitchFamily="18" charset="0"/>
                  </a:rPr>
                  <a:t>Альбумінурія,</a:t>
                </a:r>
                <a:r>
                  <a:rPr lang="uk-UA" sz="1400" b="0" baseline="0">
                    <a:latin typeface="Times New Roman" pitchFamily="18" charset="0"/>
                    <a:cs typeface="Times New Roman" pitchFamily="18" charset="0"/>
                  </a:rPr>
                  <a:t>  мг/л</a:t>
                </a:r>
                <a:endParaRPr lang="ru-RU" sz="1400" b="0">
                  <a:latin typeface="Times New Roman" pitchFamily="18" charset="0"/>
                  <a:cs typeface="Times New Roman" pitchFamily="18" charset="0"/>
                </a:endParaRPr>
              </a:p>
            </c:rich>
          </c:tx>
          <c:layout>
            <c:manualLayout>
              <c:xMode val="edge"/>
              <c:yMode val="edge"/>
              <c:x val="0.28263980023330415"/>
              <c:y val="0.93966254218222722"/>
            </c:manualLayout>
          </c:layout>
          <c:overlay val="0"/>
        </c:title>
        <c:numFmt formatCode="General" sourceLinked="1"/>
        <c:majorTickMark val="out"/>
        <c:minorTickMark val="none"/>
        <c:tickLblPos val="nextTo"/>
        <c:crossAx val="65116800"/>
        <c:crosses val="autoZero"/>
        <c:crossBetween val="midCat"/>
      </c:valAx>
      <c:valAx>
        <c:axId val="65116800"/>
        <c:scaling>
          <c:orientation val="minMax"/>
        </c:scaling>
        <c:delete val="0"/>
        <c:axPos val="l"/>
        <c:majorGridlines/>
        <c:title>
          <c:tx>
            <c:rich>
              <a:bodyPr rot="0" vert="horz"/>
              <a:lstStyle/>
              <a:p>
                <a:pPr>
                  <a:defRPr/>
                </a:pPr>
                <a:r>
                  <a:rPr lang="uk-UA" sz="1400" b="0" i="0" u="none" strike="noStrike" baseline="0">
                    <a:effectLst/>
                    <a:latin typeface="Times New Roman" pitchFamily="18" charset="0"/>
                    <a:cs typeface="Times New Roman" pitchFamily="18" charset="0"/>
                  </a:rPr>
                  <a:t>Ендотелін-1, пг/мл</a:t>
                </a:r>
                <a:r>
                  <a:rPr lang="ru-RU"/>
                  <a:t> </a:t>
                </a:r>
              </a:p>
            </c:rich>
          </c:tx>
          <c:layout>
            <c:manualLayout>
              <c:xMode val="edge"/>
              <c:yMode val="edge"/>
              <c:x val="2.1334638869623147E-3"/>
              <c:y val="0.38457482637679141"/>
            </c:manualLayout>
          </c:layout>
          <c:overlay val="0"/>
        </c:title>
        <c:numFmt formatCode="General" sourceLinked="1"/>
        <c:majorTickMark val="out"/>
        <c:minorTickMark val="none"/>
        <c:tickLblPos val="nextTo"/>
        <c:crossAx val="65114880"/>
        <c:crosses val="autoZero"/>
        <c:crossBetween val="midCat"/>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b="0">
                <a:latin typeface="Times New Roman" panose="02020603050405020304" pitchFamily="18" charset="0"/>
                <a:cs typeface="Times New Roman" panose="02020603050405020304" pitchFamily="18" charset="0"/>
              </a:rPr>
              <a:t>r</a:t>
            </a:r>
            <a:r>
              <a:rPr lang="en-US" sz="1400" b="0" baseline="0">
                <a:latin typeface="Times New Roman" panose="02020603050405020304" pitchFamily="18" charset="0"/>
                <a:cs typeface="Times New Roman" panose="02020603050405020304" pitchFamily="18" charset="0"/>
              </a:rPr>
              <a:t> = 0,</a:t>
            </a:r>
            <a:r>
              <a:rPr lang="uk-UA" sz="1400" b="0" baseline="0">
                <a:latin typeface="Times New Roman" panose="02020603050405020304" pitchFamily="18" charset="0"/>
                <a:cs typeface="Times New Roman" panose="02020603050405020304" pitchFamily="18" charset="0"/>
              </a:rPr>
              <a:t>24</a:t>
            </a:r>
            <a:r>
              <a:rPr lang="en-US" sz="1400" b="0" baseline="0">
                <a:latin typeface="Times New Roman" panose="02020603050405020304" pitchFamily="18" charset="0"/>
                <a:cs typeface="Times New Roman" panose="02020603050405020304" pitchFamily="18" charset="0"/>
              </a:rPr>
              <a:t>; p = 0,0</a:t>
            </a:r>
            <a:r>
              <a:rPr lang="uk-UA" sz="1400" b="0" baseline="0">
                <a:latin typeface="Times New Roman" panose="02020603050405020304" pitchFamily="18" charset="0"/>
                <a:cs typeface="Times New Roman" panose="02020603050405020304" pitchFamily="18" charset="0"/>
              </a:rPr>
              <a:t>17</a:t>
            </a:r>
            <a:r>
              <a:rPr lang="en-US" sz="1400" b="0" baseline="0">
                <a:latin typeface="Times New Roman" panose="02020603050405020304" pitchFamily="18" charset="0"/>
                <a:cs typeface="Times New Roman" panose="02020603050405020304" pitchFamily="18" charset="0"/>
              </a:rPr>
              <a:t>9</a:t>
            </a:r>
            <a:endParaRPr lang="en-US" sz="1400" b="0">
              <a:latin typeface="Times New Roman" panose="02020603050405020304" pitchFamily="18" charset="0"/>
              <a:cs typeface="Times New Roman" panose="02020603050405020304" pitchFamily="18" charset="0"/>
            </a:endParaRPr>
          </a:p>
        </c:rich>
      </c:tx>
      <c:layout>
        <c:manualLayout>
          <c:xMode val="edge"/>
          <c:yMode val="edge"/>
          <c:x val="0.67149879702537196"/>
          <c:y val="5.1587301587301584E-2"/>
        </c:manualLayout>
      </c:layout>
      <c:overlay val="1"/>
    </c:title>
    <c:autoTitleDeleted val="0"/>
    <c:plotArea>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Лист1!$A$2:$A$209</c:f>
              <c:numCache>
                <c:formatCode>General</c:formatCode>
                <c:ptCount val="208"/>
                <c:pt idx="0">
                  <c:v>410</c:v>
                </c:pt>
                <c:pt idx="1">
                  <c:v>399</c:v>
                </c:pt>
                <c:pt idx="2">
                  <c:v>286</c:v>
                </c:pt>
                <c:pt idx="3">
                  <c:v>244</c:v>
                </c:pt>
                <c:pt idx="4">
                  <c:v>603</c:v>
                </c:pt>
                <c:pt idx="5">
                  <c:v>286</c:v>
                </c:pt>
                <c:pt idx="6">
                  <c:v>452</c:v>
                </c:pt>
                <c:pt idx="7">
                  <c:v>48</c:v>
                </c:pt>
                <c:pt idx="8">
                  <c:v>428</c:v>
                </c:pt>
                <c:pt idx="9">
                  <c:v>190</c:v>
                </c:pt>
                <c:pt idx="10">
                  <c:v>387</c:v>
                </c:pt>
                <c:pt idx="11">
                  <c:v>327</c:v>
                </c:pt>
                <c:pt idx="12">
                  <c:v>375</c:v>
                </c:pt>
                <c:pt idx="13">
                  <c:v>262</c:v>
                </c:pt>
                <c:pt idx="14">
                  <c:v>476</c:v>
                </c:pt>
                <c:pt idx="15">
                  <c:v>274</c:v>
                </c:pt>
                <c:pt idx="16">
                  <c:v>274</c:v>
                </c:pt>
                <c:pt idx="17">
                  <c:v>440</c:v>
                </c:pt>
                <c:pt idx="18">
                  <c:v>214</c:v>
                </c:pt>
                <c:pt idx="19">
                  <c:v>351</c:v>
                </c:pt>
                <c:pt idx="20">
                  <c:v>286</c:v>
                </c:pt>
                <c:pt idx="21">
                  <c:v>345</c:v>
                </c:pt>
                <c:pt idx="22">
                  <c:v>303</c:v>
                </c:pt>
                <c:pt idx="23">
                  <c:v>180</c:v>
                </c:pt>
                <c:pt idx="24">
                  <c:v>291</c:v>
                </c:pt>
                <c:pt idx="25">
                  <c:v>268</c:v>
                </c:pt>
                <c:pt idx="26">
                  <c:v>339</c:v>
                </c:pt>
                <c:pt idx="27">
                  <c:v>523</c:v>
                </c:pt>
                <c:pt idx="28">
                  <c:v>357</c:v>
                </c:pt>
                <c:pt idx="29">
                  <c:v>517</c:v>
                </c:pt>
                <c:pt idx="30">
                  <c:v>280</c:v>
                </c:pt>
                <c:pt idx="31">
                  <c:v>280</c:v>
                </c:pt>
                <c:pt idx="32">
                  <c:v>320</c:v>
                </c:pt>
                <c:pt idx="33">
                  <c:v>357</c:v>
                </c:pt>
                <c:pt idx="34">
                  <c:v>232</c:v>
                </c:pt>
                <c:pt idx="35">
                  <c:v>256</c:v>
                </c:pt>
                <c:pt idx="36">
                  <c:v>230</c:v>
                </c:pt>
                <c:pt idx="37">
                  <c:v>390</c:v>
                </c:pt>
                <c:pt idx="38">
                  <c:v>553</c:v>
                </c:pt>
                <c:pt idx="39">
                  <c:v>380</c:v>
                </c:pt>
                <c:pt idx="40">
                  <c:v>416</c:v>
                </c:pt>
                <c:pt idx="41">
                  <c:v>351</c:v>
                </c:pt>
                <c:pt idx="42">
                  <c:v>404</c:v>
                </c:pt>
                <c:pt idx="43">
                  <c:v>422</c:v>
                </c:pt>
                <c:pt idx="44">
                  <c:v>512</c:v>
                </c:pt>
                <c:pt idx="45">
                  <c:v>399</c:v>
                </c:pt>
                <c:pt idx="46">
                  <c:v>297</c:v>
                </c:pt>
                <c:pt idx="47">
                  <c:v>357</c:v>
                </c:pt>
                <c:pt idx="48">
                  <c:v>200</c:v>
                </c:pt>
                <c:pt idx="49">
                  <c:v>190</c:v>
                </c:pt>
                <c:pt idx="50">
                  <c:v>303</c:v>
                </c:pt>
                <c:pt idx="51">
                  <c:v>190</c:v>
                </c:pt>
                <c:pt idx="52">
                  <c:v>267</c:v>
                </c:pt>
                <c:pt idx="53">
                  <c:v>215</c:v>
                </c:pt>
                <c:pt idx="54">
                  <c:v>145</c:v>
                </c:pt>
                <c:pt idx="55">
                  <c:v>230</c:v>
                </c:pt>
                <c:pt idx="56">
                  <c:v>180</c:v>
                </c:pt>
                <c:pt idx="57">
                  <c:v>200</c:v>
                </c:pt>
                <c:pt idx="58">
                  <c:v>129</c:v>
                </c:pt>
                <c:pt idx="59">
                  <c:v>100</c:v>
                </c:pt>
                <c:pt idx="60">
                  <c:v>145</c:v>
                </c:pt>
                <c:pt idx="61">
                  <c:v>230</c:v>
                </c:pt>
                <c:pt idx="62">
                  <c:v>210</c:v>
                </c:pt>
                <c:pt idx="63">
                  <c:v>280</c:v>
                </c:pt>
                <c:pt idx="64">
                  <c:v>200</c:v>
                </c:pt>
                <c:pt idx="65">
                  <c:v>200</c:v>
                </c:pt>
                <c:pt idx="66">
                  <c:v>260</c:v>
                </c:pt>
                <c:pt idx="67">
                  <c:v>205</c:v>
                </c:pt>
                <c:pt idx="68">
                  <c:v>201</c:v>
                </c:pt>
                <c:pt idx="69">
                  <c:v>160</c:v>
                </c:pt>
                <c:pt idx="70">
                  <c:v>280</c:v>
                </c:pt>
                <c:pt idx="71">
                  <c:v>145</c:v>
                </c:pt>
                <c:pt idx="72">
                  <c:v>165</c:v>
                </c:pt>
                <c:pt idx="73">
                  <c:v>189</c:v>
                </c:pt>
                <c:pt idx="74">
                  <c:v>155</c:v>
                </c:pt>
                <c:pt idx="75">
                  <c:v>320</c:v>
                </c:pt>
                <c:pt idx="76">
                  <c:v>330</c:v>
                </c:pt>
                <c:pt idx="77">
                  <c:v>310</c:v>
                </c:pt>
                <c:pt idx="78">
                  <c:v>120</c:v>
                </c:pt>
                <c:pt idx="79">
                  <c:v>400</c:v>
                </c:pt>
                <c:pt idx="80">
                  <c:v>210</c:v>
                </c:pt>
                <c:pt idx="81">
                  <c:v>760</c:v>
                </c:pt>
                <c:pt idx="82">
                  <c:v>250</c:v>
                </c:pt>
                <c:pt idx="83">
                  <c:v>200</c:v>
                </c:pt>
                <c:pt idx="84">
                  <c:v>401</c:v>
                </c:pt>
                <c:pt idx="85">
                  <c:v>320</c:v>
                </c:pt>
                <c:pt idx="86">
                  <c:v>160</c:v>
                </c:pt>
                <c:pt idx="87">
                  <c:v>230</c:v>
                </c:pt>
                <c:pt idx="88">
                  <c:v>120</c:v>
                </c:pt>
                <c:pt idx="89">
                  <c:v>250</c:v>
                </c:pt>
                <c:pt idx="90">
                  <c:v>326</c:v>
                </c:pt>
                <c:pt idx="91">
                  <c:v>145</c:v>
                </c:pt>
                <c:pt idx="92">
                  <c:v>210</c:v>
                </c:pt>
                <c:pt idx="93">
                  <c:v>381</c:v>
                </c:pt>
                <c:pt idx="94">
                  <c:v>327</c:v>
                </c:pt>
                <c:pt idx="95">
                  <c:v>214</c:v>
                </c:pt>
              </c:numCache>
            </c:numRef>
          </c:xVal>
          <c:yVal>
            <c:numRef>
              <c:f>Лист1!$B$2:$B$209</c:f>
              <c:numCache>
                <c:formatCode>General</c:formatCode>
                <c:ptCount val="208"/>
                <c:pt idx="0">
                  <c:v>0.96</c:v>
                </c:pt>
                <c:pt idx="1">
                  <c:v>0.89999999999999947</c:v>
                </c:pt>
                <c:pt idx="2">
                  <c:v>0.62999999999999989</c:v>
                </c:pt>
                <c:pt idx="3">
                  <c:v>0.46000000000000041</c:v>
                </c:pt>
                <c:pt idx="4">
                  <c:v>0.98999999999999977</c:v>
                </c:pt>
                <c:pt idx="5">
                  <c:v>3.4600000000000004</c:v>
                </c:pt>
                <c:pt idx="6">
                  <c:v>1.3199999999999998</c:v>
                </c:pt>
                <c:pt idx="7">
                  <c:v>0.75</c:v>
                </c:pt>
                <c:pt idx="8">
                  <c:v>1.17</c:v>
                </c:pt>
                <c:pt idx="9">
                  <c:v>1.27</c:v>
                </c:pt>
                <c:pt idx="10">
                  <c:v>1.17</c:v>
                </c:pt>
                <c:pt idx="11">
                  <c:v>1.9599999999999995</c:v>
                </c:pt>
                <c:pt idx="12">
                  <c:v>1.8199999999999994</c:v>
                </c:pt>
                <c:pt idx="13">
                  <c:v>1.04</c:v>
                </c:pt>
                <c:pt idx="14">
                  <c:v>3.18</c:v>
                </c:pt>
                <c:pt idx="15">
                  <c:v>1.1700000000000008</c:v>
                </c:pt>
                <c:pt idx="16">
                  <c:v>0.80999999999999961</c:v>
                </c:pt>
                <c:pt idx="17">
                  <c:v>4.25</c:v>
                </c:pt>
                <c:pt idx="18">
                  <c:v>0.49</c:v>
                </c:pt>
                <c:pt idx="19">
                  <c:v>0.87999999999999967</c:v>
                </c:pt>
                <c:pt idx="20">
                  <c:v>1.7400000000000002</c:v>
                </c:pt>
                <c:pt idx="21">
                  <c:v>0.60000000000000009</c:v>
                </c:pt>
                <c:pt idx="22">
                  <c:v>0.93000000000000016</c:v>
                </c:pt>
                <c:pt idx="23">
                  <c:v>0.73</c:v>
                </c:pt>
                <c:pt idx="24">
                  <c:v>1.1600000000000001</c:v>
                </c:pt>
                <c:pt idx="25">
                  <c:v>0.53999999999999959</c:v>
                </c:pt>
                <c:pt idx="26">
                  <c:v>1.84</c:v>
                </c:pt>
                <c:pt idx="27">
                  <c:v>1.9200000000000004</c:v>
                </c:pt>
                <c:pt idx="28">
                  <c:v>0.54999999999999938</c:v>
                </c:pt>
                <c:pt idx="29">
                  <c:v>2.0700000000000007</c:v>
                </c:pt>
                <c:pt idx="30">
                  <c:v>0.80000000000000027</c:v>
                </c:pt>
                <c:pt idx="31">
                  <c:v>0.75</c:v>
                </c:pt>
                <c:pt idx="32">
                  <c:v>1.2200000000000002</c:v>
                </c:pt>
                <c:pt idx="33">
                  <c:v>0.70000000000000062</c:v>
                </c:pt>
                <c:pt idx="34">
                  <c:v>1.0899999999999999</c:v>
                </c:pt>
                <c:pt idx="35">
                  <c:v>0.25999999999999979</c:v>
                </c:pt>
                <c:pt idx="36">
                  <c:v>0.80000000000000027</c:v>
                </c:pt>
                <c:pt idx="37">
                  <c:v>0.90000000000000036</c:v>
                </c:pt>
                <c:pt idx="38">
                  <c:v>1.7600000000000002</c:v>
                </c:pt>
                <c:pt idx="39">
                  <c:v>0.54</c:v>
                </c:pt>
                <c:pt idx="40">
                  <c:v>1.0700000000000003</c:v>
                </c:pt>
                <c:pt idx="41">
                  <c:v>1.3200000000000003</c:v>
                </c:pt>
                <c:pt idx="42">
                  <c:v>1.06</c:v>
                </c:pt>
                <c:pt idx="43">
                  <c:v>0.62999999999999967</c:v>
                </c:pt>
                <c:pt idx="44">
                  <c:v>0.95999999999999952</c:v>
                </c:pt>
                <c:pt idx="45">
                  <c:v>2.9499999999999997</c:v>
                </c:pt>
                <c:pt idx="46">
                  <c:v>0.79999999999999982</c:v>
                </c:pt>
                <c:pt idx="47">
                  <c:v>0.39000000000000012</c:v>
                </c:pt>
                <c:pt idx="48">
                  <c:v>0.70000000000000018</c:v>
                </c:pt>
                <c:pt idx="49">
                  <c:v>0.5199999999999998</c:v>
                </c:pt>
                <c:pt idx="50">
                  <c:v>1.8399999999999999</c:v>
                </c:pt>
                <c:pt idx="51">
                  <c:v>1.1000000000000001</c:v>
                </c:pt>
                <c:pt idx="52">
                  <c:v>1.27</c:v>
                </c:pt>
                <c:pt idx="53">
                  <c:v>1.2400000000000002</c:v>
                </c:pt>
                <c:pt idx="54">
                  <c:v>0.99000000000000021</c:v>
                </c:pt>
                <c:pt idx="55">
                  <c:v>0.18999999999999995</c:v>
                </c:pt>
                <c:pt idx="56">
                  <c:v>0.66999999999999993</c:v>
                </c:pt>
                <c:pt idx="57">
                  <c:v>0.5</c:v>
                </c:pt>
                <c:pt idx="58">
                  <c:v>0.50000000000000044</c:v>
                </c:pt>
                <c:pt idx="59">
                  <c:v>0.75</c:v>
                </c:pt>
                <c:pt idx="60">
                  <c:v>0.50000000000000044</c:v>
                </c:pt>
                <c:pt idx="61">
                  <c:v>0.9300000000000006</c:v>
                </c:pt>
                <c:pt idx="62">
                  <c:v>8.08</c:v>
                </c:pt>
                <c:pt idx="63">
                  <c:v>0.98999999999999988</c:v>
                </c:pt>
                <c:pt idx="64">
                  <c:v>0.71999999999999975</c:v>
                </c:pt>
                <c:pt idx="65">
                  <c:v>0.66999999999999993</c:v>
                </c:pt>
                <c:pt idx="66">
                  <c:v>0.5</c:v>
                </c:pt>
                <c:pt idx="67">
                  <c:v>0.96</c:v>
                </c:pt>
                <c:pt idx="68">
                  <c:v>0.89999999999999947</c:v>
                </c:pt>
                <c:pt idx="69">
                  <c:v>0.62999999999999989</c:v>
                </c:pt>
                <c:pt idx="70">
                  <c:v>0.46000000000000041</c:v>
                </c:pt>
                <c:pt idx="71">
                  <c:v>0.98999999999999977</c:v>
                </c:pt>
                <c:pt idx="72">
                  <c:v>3.4600000000000004</c:v>
                </c:pt>
                <c:pt idx="73">
                  <c:v>1.3199999999999998</c:v>
                </c:pt>
                <c:pt idx="74">
                  <c:v>0.75</c:v>
                </c:pt>
                <c:pt idx="75">
                  <c:v>1.17</c:v>
                </c:pt>
                <c:pt idx="76">
                  <c:v>1.27</c:v>
                </c:pt>
                <c:pt idx="77">
                  <c:v>1.17</c:v>
                </c:pt>
                <c:pt idx="78">
                  <c:v>1.9599999999999995</c:v>
                </c:pt>
                <c:pt idx="79">
                  <c:v>1.8199999999999994</c:v>
                </c:pt>
                <c:pt idx="80">
                  <c:v>1.04</c:v>
                </c:pt>
                <c:pt idx="81">
                  <c:v>3.18</c:v>
                </c:pt>
                <c:pt idx="82">
                  <c:v>1.1700000000000008</c:v>
                </c:pt>
                <c:pt idx="83">
                  <c:v>0.80999999999999961</c:v>
                </c:pt>
                <c:pt idx="84">
                  <c:v>4.25</c:v>
                </c:pt>
                <c:pt idx="85">
                  <c:v>0.49</c:v>
                </c:pt>
                <c:pt idx="86">
                  <c:v>0.87999999999999967</c:v>
                </c:pt>
                <c:pt idx="87">
                  <c:v>1.7400000000000002</c:v>
                </c:pt>
                <c:pt idx="88">
                  <c:v>0.60000000000000009</c:v>
                </c:pt>
                <c:pt idx="89">
                  <c:v>0.93000000000000016</c:v>
                </c:pt>
                <c:pt idx="90">
                  <c:v>0.73</c:v>
                </c:pt>
                <c:pt idx="91">
                  <c:v>1.1600000000000001</c:v>
                </c:pt>
                <c:pt idx="92">
                  <c:v>0.53999999999999959</c:v>
                </c:pt>
                <c:pt idx="93">
                  <c:v>0.77999999999999936</c:v>
                </c:pt>
                <c:pt idx="94">
                  <c:v>0.65000000000000013</c:v>
                </c:pt>
                <c:pt idx="95">
                  <c:v>0.50999999999999979</c:v>
                </c:pt>
              </c:numCache>
            </c:numRef>
          </c:yVal>
          <c:smooth val="0"/>
        </c:ser>
        <c:dLbls>
          <c:showLegendKey val="0"/>
          <c:showVal val="0"/>
          <c:showCatName val="0"/>
          <c:showSerName val="0"/>
          <c:showPercent val="0"/>
          <c:showBubbleSize val="0"/>
        </c:dLbls>
        <c:axId val="65133952"/>
        <c:axId val="65136128"/>
      </c:scatterChart>
      <c:valAx>
        <c:axId val="65133952"/>
        <c:scaling>
          <c:orientation val="minMax"/>
        </c:scaling>
        <c:delete val="0"/>
        <c:axPos val="b"/>
        <c:title>
          <c:tx>
            <c:rich>
              <a:bodyPr/>
              <a:lstStyle/>
              <a:p>
                <a:pPr>
                  <a:defRPr sz="1400">
                    <a:latin typeface="Times New Roman" pitchFamily="18" charset="0"/>
                    <a:cs typeface="Times New Roman" pitchFamily="18" charset="0"/>
                  </a:defRPr>
                </a:pPr>
                <a:r>
                  <a:rPr lang="ru-RU" sz="1400" b="0">
                    <a:latin typeface="Times New Roman" panose="02020603050405020304" pitchFamily="18" charset="0"/>
                    <a:cs typeface="Times New Roman" panose="02020603050405020304" pitchFamily="18" charset="0"/>
                  </a:rPr>
                  <a:t>Сечова</a:t>
                </a:r>
                <a:r>
                  <a:rPr lang="ru-RU" sz="1400" b="0" baseline="0">
                    <a:latin typeface="Times New Roman" panose="02020603050405020304" pitchFamily="18" charset="0"/>
                    <a:cs typeface="Times New Roman" panose="02020603050405020304" pitchFamily="18" charset="0"/>
                  </a:rPr>
                  <a:t> кислота, мкмоль/л</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5136128"/>
        <c:crosses val="autoZero"/>
        <c:crossBetween val="midCat"/>
      </c:valAx>
      <c:valAx>
        <c:axId val="65136128"/>
        <c:scaling>
          <c:orientation val="minMax"/>
        </c:scaling>
        <c:delete val="0"/>
        <c:axPos val="l"/>
        <c:majorGridlines/>
        <c:title>
          <c:tx>
            <c:rich>
              <a:bodyPr rot="0" vert="horz"/>
              <a:lstStyle/>
              <a:p>
                <a:pPr>
                  <a:defRPr sz="1400">
                    <a:latin typeface="Times New Roman" pitchFamily="18" charset="0"/>
                    <a:cs typeface="Times New Roman" pitchFamily="18" charset="0"/>
                  </a:defRPr>
                </a:pPr>
                <a:r>
                  <a:rPr lang="ru-RU" sz="1400" b="0">
                    <a:latin typeface="Times New Roman" pitchFamily="18" charset="0"/>
                    <a:cs typeface="Times New Roman" pitchFamily="18" charset="0"/>
                  </a:rPr>
                  <a:t>ХС ЛПДНЩ</a:t>
                </a:r>
                <a:r>
                  <a:rPr lang="uk-UA" sz="1400">
                    <a:latin typeface="Times New Roman" pitchFamily="18" charset="0"/>
                    <a:cs typeface="Times New Roman" pitchFamily="18" charset="0"/>
                  </a:rPr>
                  <a:t>,</a:t>
                </a:r>
                <a:r>
                  <a:rPr lang="uk-UA" sz="1400" baseline="0">
                    <a:latin typeface="Times New Roman" pitchFamily="18" charset="0"/>
                    <a:cs typeface="Times New Roman" pitchFamily="18" charset="0"/>
                  </a:rPr>
                  <a:t> </a:t>
                </a:r>
                <a:r>
                  <a:rPr lang="uk-UA" sz="1400" b="0" strike="noStrike" baseline="0">
                    <a:latin typeface="Times New Roman" pitchFamily="18" charset="0"/>
                    <a:cs typeface="Times New Roman" pitchFamily="18" charset="0"/>
                  </a:rPr>
                  <a:t>ммоль/л</a:t>
                </a:r>
                <a:endParaRPr lang="ru-RU" sz="1400" b="0" strike="noStrike">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5133952"/>
        <c:crosses val="autoZero"/>
        <c:crossBetween val="midCat"/>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0">
                <a:latin typeface="Times New Roman" panose="02020603050405020304" pitchFamily="18" charset="0"/>
                <a:cs typeface="Times New Roman" panose="02020603050405020304" pitchFamily="18" charset="0"/>
              </a:rPr>
              <a:t>r</a:t>
            </a:r>
            <a:r>
              <a:rPr lang="en-US" sz="1400" b="0" baseline="0">
                <a:latin typeface="Times New Roman" panose="02020603050405020304" pitchFamily="18" charset="0"/>
                <a:cs typeface="Times New Roman" panose="02020603050405020304" pitchFamily="18" charset="0"/>
              </a:rPr>
              <a:t> = 0,</a:t>
            </a:r>
            <a:r>
              <a:rPr lang="uk-UA" sz="1400" b="0" baseline="0">
                <a:latin typeface="Times New Roman" panose="02020603050405020304" pitchFamily="18" charset="0"/>
                <a:cs typeface="Times New Roman" panose="02020603050405020304" pitchFamily="18" charset="0"/>
              </a:rPr>
              <a:t>46</a:t>
            </a:r>
            <a:r>
              <a:rPr lang="en-US" sz="1400" b="0" baseline="0">
                <a:latin typeface="Times New Roman" panose="02020603050405020304" pitchFamily="18" charset="0"/>
                <a:cs typeface="Times New Roman" panose="02020603050405020304" pitchFamily="18" charset="0"/>
              </a:rPr>
              <a:t>; p &lt; 0,0001</a:t>
            </a:r>
            <a:endParaRPr lang="en-US" sz="1400" b="0">
              <a:latin typeface="Times New Roman" panose="02020603050405020304" pitchFamily="18" charset="0"/>
              <a:cs typeface="Times New Roman" panose="02020603050405020304" pitchFamily="18" charset="0"/>
            </a:endParaRPr>
          </a:p>
        </c:rich>
      </c:tx>
      <c:layout>
        <c:manualLayout>
          <c:xMode val="edge"/>
          <c:yMode val="edge"/>
          <c:x val="0.67149879702537196"/>
          <c:y val="5.1587301587301584E-2"/>
        </c:manualLayout>
      </c:layout>
      <c:overlay val="1"/>
    </c:title>
    <c:autoTitleDeleted val="0"/>
    <c:plotArea>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Лист1!$A$2:$A$209</c:f>
              <c:numCache>
                <c:formatCode>General</c:formatCode>
                <c:ptCount val="208"/>
                <c:pt idx="0">
                  <c:v>410</c:v>
                </c:pt>
                <c:pt idx="1">
                  <c:v>399</c:v>
                </c:pt>
                <c:pt idx="2">
                  <c:v>286</c:v>
                </c:pt>
                <c:pt idx="3">
                  <c:v>244</c:v>
                </c:pt>
                <c:pt idx="4">
                  <c:v>603</c:v>
                </c:pt>
                <c:pt idx="5">
                  <c:v>286</c:v>
                </c:pt>
                <c:pt idx="6">
                  <c:v>452</c:v>
                </c:pt>
                <c:pt idx="7">
                  <c:v>48</c:v>
                </c:pt>
                <c:pt idx="8">
                  <c:v>428</c:v>
                </c:pt>
                <c:pt idx="9">
                  <c:v>190</c:v>
                </c:pt>
                <c:pt idx="10">
                  <c:v>387</c:v>
                </c:pt>
                <c:pt idx="11">
                  <c:v>327</c:v>
                </c:pt>
                <c:pt idx="12">
                  <c:v>375</c:v>
                </c:pt>
                <c:pt idx="13">
                  <c:v>262</c:v>
                </c:pt>
                <c:pt idx="14">
                  <c:v>476</c:v>
                </c:pt>
                <c:pt idx="15">
                  <c:v>274</c:v>
                </c:pt>
                <c:pt idx="16">
                  <c:v>274</c:v>
                </c:pt>
                <c:pt idx="17">
                  <c:v>440</c:v>
                </c:pt>
                <c:pt idx="18">
                  <c:v>214</c:v>
                </c:pt>
                <c:pt idx="19">
                  <c:v>351</c:v>
                </c:pt>
                <c:pt idx="20">
                  <c:v>286</c:v>
                </c:pt>
                <c:pt idx="21">
                  <c:v>345</c:v>
                </c:pt>
                <c:pt idx="22">
                  <c:v>303</c:v>
                </c:pt>
                <c:pt idx="23">
                  <c:v>180</c:v>
                </c:pt>
                <c:pt idx="24">
                  <c:v>291</c:v>
                </c:pt>
                <c:pt idx="25">
                  <c:v>268</c:v>
                </c:pt>
                <c:pt idx="26">
                  <c:v>339</c:v>
                </c:pt>
                <c:pt idx="27">
                  <c:v>523</c:v>
                </c:pt>
                <c:pt idx="28">
                  <c:v>357</c:v>
                </c:pt>
                <c:pt idx="29">
                  <c:v>517</c:v>
                </c:pt>
                <c:pt idx="30">
                  <c:v>280</c:v>
                </c:pt>
                <c:pt idx="31">
                  <c:v>280</c:v>
                </c:pt>
                <c:pt idx="32">
                  <c:v>320</c:v>
                </c:pt>
                <c:pt idx="33">
                  <c:v>357</c:v>
                </c:pt>
                <c:pt idx="34">
                  <c:v>232</c:v>
                </c:pt>
                <c:pt idx="35">
                  <c:v>256</c:v>
                </c:pt>
                <c:pt idx="36">
                  <c:v>230</c:v>
                </c:pt>
                <c:pt idx="37">
                  <c:v>390</c:v>
                </c:pt>
                <c:pt idx="38">
                  <c:v>553</c:v>
                </c:pt>
                <c:pt idx="39">
                  <c:v>380</c:v>
                </c:pt>
                <c:pt idx="40">
                  <c:v>416</c:v>
                </c:pt>
                <c:pt idx="41">
                  <c:v>351</c:v>
                </c:pt>
                <c:pt idx="42">
                  <c:v>404</c:v>
                </c:pt>
                <c:pt idx="43">
                  <c:v>422</c:v>
                </c:pt>
                <c:pt idx="44">
                  <c:v>512</c:v>
                </c:pt>
                <c:pt idx="45">
                  <c:v>399</c:v>
                </c:pt>
                <c:pt idx="46">
                  <c:v>297</c:v>
                </c:pt>
                <c:pt idx="47">
                  <c:v>357</c:v>
                </c:pt>
                <c:pt idx="48">
                  <c:v>200</c:v>
                </c:pt>
                <c:pt idx="49">
                  <c:v>190</c:v>
                </c:pt>
                <c:pt idx="50">
                  <c:v>303</c:v>
                </c:pt>
                <c:pt idx="51">
                  <c:v>190</c:v>
                </c:pt>
                <c:pt idx="52">
                  <c:v>267</c:v>
                </c:pt>
                <c:pt idx="53">
                  <c:v>215</c:v>
                </c:pt>
                <c:pt idx="54">
                  <c:v>145</c:v>
                </c:pt>
                <c:pt idx="55">
                  <c:v>230</c:v>
                </c:pt>
                <c:pt idx="56">
                  <c:v>180</c:v>
                </c:pt>
                <c:pt idx="57">
                  <c:v>200</c:v>
                </c:pt>
                <c:pt idx="58">
                  <c:v>129</c:v>
                </c:pt>
                <c:pt idx="59">
                  <c:v>100</c:v>
                </c:pt>
                <c:pt idx="60">
                  <c:v>145</c:v>
                </c:pt>
                <c:pt idx="61">
                  <c:v>230</c:v>
                </c:pt>
                <c:pt idx="62">
                  <c:v>210</c:v>
                </c:pt>
                <c:pt idx="63">
                  <c:v>280</c:v>
                </c:pt>
                <c:pt idx="64">
                  <c:v>200</c:v>
                </c:pt>
                <c:pt idx="65">
                  <c:v>200</c:v>
                </c:pt>
                <c:pt idx="66">
                  <c:v>260</c:v>
                </c:pt>
                <c:pt idx="67">
                  <c:v>205</c:v>
                </c:pt>
                <c:pt idx="68">
                  <c:v>201</c:v>
                </c:pt>
                <c:pt idx="69">
                  <c:v>160</c:v>
                </c:pt>
                <c:pt idx="70">
                  <c:v>280</c:v>
                </c:pt>
                <c:pt idx="71">
                  <c:v>145</c:v>
                </c:pt>
                <c:pt idx="72">
                  <c:v>165</c:v>
                </c:pt>
                <c:pt idx="73">
                  <c:v>189</c:v>
                </c:pt>
                <c:pt idx="74">
                  <c:v>155</c:v>
                </c:pt>
                <c:pt idx="75">
                  <c:v>320</c:v>
                </c:pt>
                <c:pt idx="76">
                  <c:v>330</c:v>
                </c:pt>
                <c:pt idx="77">
                  <c:v>310</c:v>
                </c:pt>
                <c:pt idx="78">
                  <c:v>120</c:v>
                </c:pt>
                <c:pt idx="79">
                  <c:v>400</c:v>
                </c:pt>
                <c:pt idx="80">
                  <c:v>210</c:v>
                </c:pt>
                <c:pt idx="81">
                  <c:v>760</c:v>
                </c:pt>
                <c:pt idx="82">
                  <c:v>250</c:v>
                </c:pt>
                <c:pt idx="83">
                  <c:v>200</c:v>
                </c:pt>
                <c:pt idx="84">
                  <c:v>401</c:v>
                </c:pt>
                <c:pt idx="85">
                  <c:v>320</c:v>
                </c:pt>
                <c:pt idx="86">
                  <c:v>160</c:v>
                </c:pt>
                <c:pt idx="87">
                  <c:v>230</c:v>
                </c:pt>
                <c:pt idx="88">
                  <c:v>120</c:v>
                </c:pt>
                <c:pt idx="89">
                  <c:v>250</c:v>
                </c:pt>
                <c:pt idx="90">
                  <c:v>326</c:v>
                </c:pt>
                <c:pt idx="91">
                  <c:v>145</c:v>
                </c:pt>
                <c:pt idx="92">
                  <c:v>210</c:v>
                </c:pt>
                <c:pt idx="93">
                  <c:v>381</c:v>
                </c:pt>
                <c:pt idx="94">
                  <c:v>327</c:v>
                </c:pt>
                <c:pt idx="95">
                  <c:v>214</c:v>
                </c:pt>
              </c:numCache>
            </c:numRef>
          </c:xVal>
          <c:yVal>
            <c:numRef>
              <c:f>Лист1!$B$2:$B$209</c:f>
              <c:numCache>
                <c:formatCode>General</c:formatCode>
                <c:ptCount val="208"/>
                <c:pt idx="0">
                  <c:v>2.0699999999999998</c:v>
                </c:pt>
                <c:pt idx="1">
                  <c:v>1.99</c:v>
                </c:pt>
                <c:pt idx="2">
                  <c:v>1.34</c:v>
                </c:pt>
                <c:pt idx="3">
                  <c:v>1.01</c:v>
                </c:pt>
                <c:pt idx="4">
                  <c:v>2.12</c:v>
                </c:pt>
                <c:pt idx="5">
                  <c:v>1.63</c:v>
                </c:pt>
                <c:pt idx="6">
                  <c:v>2.88</c:v>
                </c:pt>
                <c:pt idx="7">
                  <c:v>1.66</c:v>
                </c:pt>
                <c:pt idx="8">
                  <c:v>2.52</c:v>
                </c:pt>
                <c:pt idx="9">
                  <c:v>2.77</c:v>
                </c:pt>
                <c:pt idx="10">
                  <c:v>2.5499999999999998</c:v>
                </c:pt>
                <c:pt idx="11">
                  <c:v>5.23</c:v>
                </c:pt>
                <c:pt idx="12">
                  <c:v>3.97</c:v>
                </c:pt>
                <c:pt idx="13">
                  <c:v>2.2599999999999998</c:v>
                </c:pt>
                <c:pt idx="14">
                  <c:v>2.6</c:v>
                </c:pt>
                <c:pt idx="15">
                  <c:v>2.52</c:v>
                </c:pt>
                <c:pt idx="16">
                  <c:v>1.75</c:v>
                </c:pt>
                <c:pt idx="17">
                  <c:v>1.67</c:v>
                </c:pt>
                <c:pt idx="18">
                  <c:v>1.1000000000000001</c:v>
                </c:pt>
                <c:pt idx="19">
                  <c:v>1.92</c:v>
                </c:pt>
                <c:pt idx="20">
                  <c:v>5.65</c:v>
                </c:pt>
                <c:pt idx="21">
                  <c:v>1.3</c:v>
                </c:pt>
                <c:pt idx="22">
                  <c:v>2.02</c:v>
                </c:pt>
                <c:pt idx="23">
                  <c:v>2.02</c:v>
                </c:pt>
                <c:pt idx="24">
                  <c:v>2.52</c:v>
                </c:pt>
                <c:pt idx="25">
                  <c:v>1.2</c:v>
                </c:pt>
                <c:pt idx="26">
                  <c:v>4.01</c:v>
                </c:pt>
                <c:pt idx="27">
                  <c:v>4.1900000000000004</c:v>
                </c:pt>
                <c:pt idx="28">
                  <c:v>1.2</c:v>
                </c:pt>
                <c:pt idx="29">
                  <c:v>5.86</c:v>
                </c:pt>
                <c:pt idx="30">
                  <c:v>1.3</c:v>
                </c:pt>
                <c:pt idx="31">
                  <c:v>1.63</c:v>
                </c:pt>
                <c:pt idx="32">
                  <c:v>2.6</c:v>
                </c:pt>
                <c:pt idx="33">
                  <c:v>1.53</c:v>
                </c:pt>
                <c:pt idx="34">
                  <c:v>2.35</c:v>
                </c:pt>
                <c:pt idx="35">
                  <c:v>0.54</c:v>
                </c:pt>
                <c:pt idx="36">
                  <c:v>1.6</c:v>
                </c:pt>
                <c:pt idx="37">
                  <c:v>2.1</c:v>
                </c:pt>
                <c:pt idx="38">
                  <c:v>3.83</c:v>
                </c:pt>
                <c:pt idx="39">
                  <c:v>1.1599999999999999</c:v>
                </c:pt>
                <c:pt idx="40">
                  <c:v>2.29</c:v>
                </c:pt>
                <c:pt idx="41">
                  <c:v>2.89</c:v>
                </c:pt>
                <c:pt idx="42">
                  <c:v>2.3199999999999998</c:v>
                </c:pt>
                <c:pt idx="43">
                  <c:v>1.38</c:v>
                </c:pt>
                <c:pt idx="44">
                  <c:v>2.08</c:v>
                </c:pt>
                <c:pt idx="45">
                  <c:v>5.39</c:v>
                </c:pt>
                <c:pt idx="46">
                  <c:v>1.77</c:v>
                </c:pt>
                <c:pt idx="47">
                  <c:v>0.82</c:v>
                </c:pt>
                <c:pt idx="48">
                  <c:v>2.4</c:v>
                </c:pt>
                <c:pt idx="49">
                  <c:v>1.1200000000000001</c:v>
                </c:pt>
                <c:pt idx="50">
                  <c:v>4.0199999999999996</c:v>
                </c:pt>
                <c:pt idx="51">
                  <c:v>2.4</c:v>
                </c:pt>
                <c:pt idx="52">
                  <c:v>2.79</c:v>
                </c:pt>
                <c:pt idx="53">
                  <c:v>2.7</c:v>
                </c:pt>
                <c:pt idx="54">
                  <c:v>2.12</c:v>
                </c:pt>
                <c:pt idx="55">
                  <c:v>1.5</c:v>
                </c:pt>
                <c:pt idx="56">
                  <c:v>1.48</c:v>
                </c:pt>
                <c:pt idx="57">
                  <c:v>1.02</c:v>
                </c:pt>
                <c:pt idx="58">
                  <c:v>1.0900000000000001</c:v>
                </c:pt>
                <c:pt idx="59">
                  <c:v>1.65</c:v>
                </c:pt>
                <c:pt idx="60">
                  <c:v>1.0900000000000001</c:v>
                </c:pt>
                <c:pt idx="61">
                  <c:v>2.0299999999999998</c:v>
                </c:pt>
                <c:pt idx="62">
                  <c:v>2.64</c:v>
                </c:pt>
                <c:pt idx="63">
                  <c:v>2.15</c:v>
                </c:pt>
                <c:pt idx="64">
                  <c:v>1.59</c:v>
                </c:pt>
                <c:pt idx="65">
                  <c:v>1.48</c:v>
                </c:pt>
                <c:pt idx="66">
                  <c:v>1.02</c:v>
                </c:pt>
                <c:pt idx="67">
                  <c:v>2.0699999999999998</c:v>
                </c:pt>
                <c:pt idx="68">
                  <c:v>1.99</c:v>
                </c:pt>
                <c:pt idx="69">
                  <c:v>1.34</c:v>
                </c:pt>
                <c:pt idx="70">
                  <c:v>1.01</c:v>
                </c:pt>
                <c:pt idx="71">
                  <c:v>2.12</c:v>
                </c:pt>
                <c:pt idx="72">
                  <c:v>1.63</c:v>
                </c:pt>
                <c:pt idx="73">
                  <c:v>2.88</c:v>
                </c:pt>
                <c:pt idx="74">
                  <c:v>1.66</c:v>
                </c:pt>
                <c:pt idx="75">
                  <c:v>2.52</c:v>
                </c:pt>
                <c:pt idx="76">
                  <c:v>2.77</c:v>
                </c:pt>
                <c:pt idx="77">
                  <c:v>2.5499999999999998</c:v>
                </c:pt>
                <c:pt idx="78">
                  <c:v>5.23</c:v>
                </c:pt>
                <c:pt idx="79">
                  <c:v>3.97</c:v>
                </c:pt>
                <c:pt idx="80">
                  <c:v>2.2599999999999998</c:v>
                </c:pt>
                <c:pt idx="81">
                  <c:v>12.6</c:v>
                </c:pt>
                <c:pt idx="82">
                  <c:v>2.52</c:v>
                </c:pt>
                <c:pt idx="83">
                  <c:v>1.75</c:v>
                </c:pt>
                <c:pt idx="84">
                  <c:v>1.67</c:v>
                </c:pt>
                <c:pt idx="85">
                  <c:v>1.1000000000000001</c:v>
                </c:pt>
                <c:pt idx="86">
                  <c:v>1.92</c:v>
                </c:pt>
                <c:pt idx="87">
                  <c:v>5.65</c:v>
                </c:pt>
                <c:pt idx="88">
                  <c:v>1.3</c:v>
                </c:pt>
                <c:pt idx="89">
                  <c:v>2.02</c:v>
                </c:pt>
                <c:pt idx="90">
                  <c:v>2.02</c:v>
                </c:pt>
                <c:pt idx="91">
                  <c:v>2.52</c:v>
                </c:pt>
                <c:pt idx="92">
                  <c:v>1.2</c:v>
                </c:pt>
                <c:pt idx="93">
                  <c:v>1.71</c:v>
                </c:pt>
                <c:pt idx="94">
                  <c:v>1.42</c:v>
                </c:pt>
                <c:pt idx="95">
                  <c:v>1.1499999999999999</c:v>
                </c:pt>
              </c:numCache>
            </c:numRef>
          </c:yVal>
          <c:smooth val="0"/>
        </c:ser>
        <c:dLbls>
          <c:showLegendKey val="0"/>
          <c:showVal val="0"/>
          <c:showCatName val="0"/>
          <c:showSerName val="0"/>
          <c:showPercent val="0"/>
          <c:showBubbleSize val="0"/>
        </c:dLbls>
        <c:axId val="65206528"/>
        <c:axId val="65212800"/>
      </c:scatterChart>
      <c:valAx>
        <c:axId val="65206528"/>
        <c:scaling>
          <c:orientation val="minMax"/>
        </c:scaling>
        <c:delete val="0"/>
        <c:axPos val="b"/>
        <c:title>
          <c:tx>
            <c:rich>
              <a:bodyPr/>
              <a:lstStyle/>
              <a:p>
                <a:pPr>
                  <a:defRPr sz="1400">
                    <a:latin typeface="Times New Roman" pitchFamily="18" charset="0"/>
                    <a:cs typeface="Times New Roman" pitchFamily="18" charset="0"/>
                  </a:defRPr>
                </a:pPr>
                <a:r>
                  <a:rPr lang="ru-RU" sz="1400" b="0">
                    <a:latin typeface="Times New Roman" panose="02020603050405020304" pitchFamily="18" charset="0"/>
                    <a:cs typeface="Times New Roman" panose="02020603050405020304" pitchFamily="18" charset="0"/>
                  </a:rPr>
                  <a:t>Сечова</a:t>
                </a:r>
                <a:r>
                  <a:rPr lang="ru-RU" sz="1400" b="0" baseline="0">
                    <a:latin typeface="Times New Roman" panose="02020603050405020304" pitchFamily="18" charset="0"/>
                    <a:cs typeface="Times New Roman" panose="02020603050405020304" pitchFamily="18" charset="0"/>
                  </a:rPr>
                  <a:t> кислота, мкмоль/л</a:t>
                </a:r>
                <a:endParaRPr lang="ru-RU" sz="1400" b="0">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5212800"/>
        <c:crosses val="autoZero"/>
        <c:crossBetween val="midCat"/>
      </c:valAx>
      <c:valAx>
        <c:axId val="65212800"/>
        <c:scaling>
          <c:orientation val="minMax"/>
        </c:scaling>
        <c:delete val="0"/>
        <c:axPos val="l"/>
        <c:majorGridlines/>
        <c:title>
          <c:tx>
            <c:rich>
              <a:bodyPr rot="0" vert="horz"/>
              <a:lstStyle/>
              <a:p>
                <a:pPr>
                  <a:defRPr sz="1400">
                    <a:latin typeface="Times New Roman" pitchFamily="18" charset="0"/>
                    <a:cs typeface="Times New Roman" pitchFamily="18" charset="0"/>
                  </a:defRPr>
                </a:pPr>
                <a:r>
                  <a:rPr lang="ru-RU" sz="1400" b="0">
                    <a:latin typeface="Times New Roman" pitchFamily="18" charset="0"/>
                    <a:cs typeface="Times New Roman" pitchFamily="18" charset="0"/>
                  </a:rPr>
                  <a:t>ТГ</a:t>
                </a:r>
                <a:r>
                  <a:rPr lang="uk-UA" sz="1400">
                    <a:latin typeface="Times New Roman" pitchFamily="18" charset="0"/>
                    <a:cs typeface="Times New Roman" pitchFamily="18" charset="0"/>
                  </a:rPr>
                  <a:t>,</a:t>
                </a:r>
                <a:r>
                  <a:rPr lang="uk-UA" sz="1400" baseline="0">
                    <a:latin typeface="Times New Roman" pitchFamily="18" charset="0"/>
                    <a:cs typeface="Times New Roman" pitchFamily="18" charset="0"/>
                  </a:rPr>
                  <a:t> </a:t>
                </a:r>
                <a:r>
                  <a:rPr lang="uk-UA" sz="1400" b="0" strike="noStrike" baseline="0">
                    <a:latin typeface="Times New Roman" pitchFamily="18" charset="0"/>
                    <a:cs typeface="Times New Roman" pitchFamily="18" charset="0"/>
                  </a:rPr>
                  <a:t>ммоль/л</a:t>
                </a:r>
                <a:endParaRPr lang="ru-RU" sz="1400" b="0" strike="noStrike">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5206528"/>
        <c:crosses val="autoZero"/>
        <c:crossBetween val="midCat"/>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en-US" sz="1400" b="0"/>
              <a:t>r</a:t>
            </a:r>
            <a:r>
              <a:rPr lang="uk-UA" sz="1400" b="0"/>
              <a:t> = 0,31; р =</a:t>
            </a:r>
            <a:r>
              <a:rPr lang="en-US" sz="1400" b="0"/>
              <a:t> 0,000</a:t>
            </a:r>
            <a:r>
              <a:rPr lang="uk-UA" sz="1400" b="0"/>
              <a:t>2</a:t>
            </a:r>
            <a:endParaRPr lang="ru-RU" sz="1400" b="0"/>
          </a:p>
        </c:rich>
      </c:tx>
      <c:layout>
        <c:manualLayout>
          <c:xMode val="edge"/>
          <c:yMode val="edge"/>
          <c:x val="0.68305555555555564"/>
          <c:y val="5.5555555555555552E-2"/>
        </c:manualLayout>
      </c:layout>
      <c:overlay val="1"/>
    </c:title>
    <c:autoTitleDeleted val="0"/>
    <c:plotArea>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Лист1!$A$2:$A$263</c:f>
              <c:numCache>
                <c:formatCode>General</c:formatCode>
                <c:ptCount val="262"/>
                <c:pt idx="0">
                  <c:v>23</c:v>
                </c:pt>
                <c:pt idx="1">
                  <c:v>20</c:v>
                </c:pt>
                <c:pt idx="2">
                  <c:v>9</c:v>
                </c:pt>
                <c:pt idx="3">
                  <c:v>20</c:v>
                </c:pt>
                <c:pt idx="4">
                  <c:v>20</c:v>
                </c:pt>
                <c:pt idx="5">
                  <c:v>10</c:v>
                </c:pt>
                <c:pt idx="6">
                  <c:v>19</c:v>
                </c:pt>
                <c:pt idx="7">
                  <c:v>9</c:v>
                </c:pt>
                <c:pt idx="8">
                  <c:v>14</c:v>
                </c:pt>
                <c:pt idx="9">
                  <c:v>27</c:v>
                </c:pt>
                <c:pt idx="10">
                  <c:v>28</c:v>
                </c:pt>
                <c:pt idx="11">
                  <c:v>12</c:v>
                </c:pt>
                <c:pt idx="12">
                  <c:v>5</c:v>
                </c:pt>
                <c:pt idx="13">
                  <c:v>1.5</c:v>
                </c:pt>
                <c:pt idx="14">
                  <c:v>6</c:v>
                </c:pt>
                <c:pt idx="15">
                  <c:v>2</c:v>
                </c:pt>
                <c:pt idx="16">
                  <c:v>1.83</c:v>
                </c:pt>
                <c:pt idx="17">
                  <c:v>8</c:v>
                </c:pt>
                <c:pt idx="18">
                  <c:v>7</c:v>
                </c:pt>
                <c:pt idx="19">
                  <c:v>1</c:v>
                </c:pt>
                <c:pt idx="20">
                  <c:v>8</c:v>
                </c:pt>
                <c:pt idx="21">
                  <c:v>10</c:v>
                </c:pt>
                <c:pt idx="22">
                  <c:v>7</c:v>
                </c:pt>
                <c:pt idx="23">
                  <c:v>7</c:v>
                </c:pt>
                <c:pt idx="24">
                  <c:v>10</c:v>
                </c:pt>
                <c:pt idx="25">
                  <c:v>10</c:v>
                </c:pt>
                <c:pt idx="26">
                  <c:v>8</c:v>
                </c:pt>
                <c:pt idx="27">
                  <c:v>12</c:v>
                </c:pt>
                <c:pt idx="28">
                  <c:v>1.5</c:v>
                </c:pt>
                <c:pt idx="29">
                  <c:v>13</c:v>
                </c:pt>
                <c:pt idx="30">
                  <c:v>10</c:v>
                </c:pt>
                <c:pt idx="31">
                  <c:v>7</c:v>
                </c:pt>
                <c:pt idx="32">
                  <c:v>7</c:v>
                </c:pt>
                <c:pt idx="33">
                  <c:v>9</c:v>
                </c:pt>
                <c:pt idx="34">
                  <c:v>29</c:v>
                </c:pt>
                <c:pt idx="35">
                  <c:v>1.5</c:v>
                </c:pt>
                <c:pt idx="36">
                  <c:v>5</c:v>
                </c:pt>
                <c:pt idx="37">
                  <c:v>10</c:v>
                </c:pt>
                <c:pt idx="38">
                  <c:v>4</c:v>
                </c:pt>
                <c:pt idx="39">
                  <c:v>3</c:v>
                </c:pt>
                <c:pt idx="40">
                  <c:v>19</c:v>
                </c:pt>
                <c:pt idx="41">
                  <c:v>3</c:v>
                </c:pt>
                <c:pt idx="42">
                  <c:v>6</c:v>
                </c:pt>
                <c:pt idx="43">
                  <c:v>15</c:v>
                </c:pt>
                <c:pt idx="44">
                  <c:v>15</c:v>
                </c:pt>
                <c:pt idx="45">
                  <c:v>10</c:v>
                </c:pt>
                <c:pt idx="46">
                  <c:v>20</c:v>
                </c:pt>
                <c:pt idx="47">
                  <c:v>9</c:v>
                </c:pt>
                <c:pt idx="48">
                  <c:v>14</c:v>
                </c:pt>
                <c:pt idx="49">
                  <c:v>6</c:v>
                </c:pt>
                <c:pt idx="50">
                  <c:v>1</c:v>
                </c:pt>
                <c:pt idx="51">
                  <c:v>1</c:v>
                </c:pt>
                <c:pt idx="52">
                  <c:v>0.5</c:v>
                </c:pt>
                <c:pt idx="53">
                  <c:v>1.5</c:v>
                </c:pt>
                <c:pt idx="54">
                  <c:v>1.4</c:v>
                </c:pt>
                <c:pt idx="55">
                  <c:v>4</c:v>
                </c:pt>
                <c:pt idx="56">
                  <c:v>1.5</c:v>
                </c:pt>
                <c:pt idx="57">
                  <c:v>10</c:v>
                </c:pt>
                <c:pt idx="58">
                  <c:v>11</c:v>
                </c:pt>
                <c:pt idx="59">
                  <c:v>5</c:v>
                </c:pt>
                <c:pt idx="60">
                  <c:v>15</c:v>
                </c:pt>
                <c:pt idx="61">
                  <c:v>2.5</c:v>
                </c:pt>
                <c:pt idx="62">
                  <c:v>20</c:v>
                </c:pt>
                <c:pt idx="63">
                  <c:v>20</c:v>
                </c:pt>
                <c:pt idx="64">
                  <c:v>6.2</c:v>
                </c:pt>
                <c:pt idx="65">
                  <c:v>5.5</c:v>
                </c:pt>
                <c:pt idx="66">
                  <c:v>8</c:v>
                </c:pt>
                <c:pt idx="67">
                  <c:v>3.1</c:v>
                </c:pt>
                <c:pt idx="68">
                  <c:v>16</c:v>
                </c:pt>
                <c:pt idx="69">
                  <c:v>2</c:v>
                </c:pt>
                <c:pt idx="70">
                  <c:v>23</c:v>
                </c:pt>
                <c:pt idx="71">
                  <c:v>20</c:v>
                </c:pt>
                <c:pt idx="72">
                  <c:v>9</c:v>
                </c:pt>
                <c:pt idx="73">
                  <c:v>20</c:v>
                </c:pt>
                <c:pt idx="74">
                  <c:v>20</c:v>
                </c:pt>
                <c:pt idx="75">
                  <c:v>10</c:v>
                </c:pt>
                <c:pt idx="76">
                  <c:v>19</c:v>
                </c:pt>
                <c:pt idx="77">
                  <c:v>9</c:v>
                </c:pt>
                <c:pt idx="78">
                  <c:v>14</c:v>
                </c:pt>
                <c:pt idx="79">
                  <c:v>27</c:v>
                </c:pt>
                <c:pt idx="80">
                  <c:v>28</c:v>
                </c:pt>
                <c:pt idx="81">
                  <c:v>12</c:v>
                </c:pt>
                <c:pt idx="82">
                  <c:v>5</c:v>
                </c:pt>
                <c:pt idx="83">
                  <c:v>1.5</c:v>
                </c:pt>
                <c:pt idx="84">
                  <c:v>6</c:v>
                </c:pt>
                <c:pt idx="85">
                  <c:v>2</c:v>
                </c:pt>
                <c:pt idx="86">
                  <c:v>1.83</c:v>
                </c:pt>
                <c:pt idx="87">
                  <c:v>8</c:v>
                </c:pt>
                <c:pt idx="88">
                  <c:v>7</c:v>
                </c:pt>
                <c:pt idx="89">
                  <c:v>1</c:v>
                </c:pt>
                <c:pt idx="90">
                  <c:v>8</c:v>
                </c:pt>
                <c:pt idx="91">
                  <c:v>10</c:v>
                </c:pt>
                <c:pt idx="92">
                  <c:v>7</c:v>
                </c:pt>
                <c:pt idx="93">
                  <c:v>7</c:v>
                </c:pt>
                <c:pt idx="94">
                  <c:v>10</c:v>
                </c:pt>
                <c:pt idx="95">
                  <c:v>10</c:v>
                </c:pt>
              </c:numCache>
            </c:numRef>
          </c:xVal>
          <c:yVal>
            <c:numRef>
              <c:f>Лист1!$B$2:$B$263</c:f>
              <c:numCache>
                <c:formatCode>General</c:formatCode>
                <c:ptCount val="262"/>
                <c:pt idx="0">
                  <c:v>67.52</c:v>
                </c:pt>
                <c:pt idx="1">
                  <c:v>114.79</c:v>
                </c:pt>
                <c:pt idx="2">
                  <c:v>55.26</c:v>
                </c:pt>
                <c:pt idx="3">
                  <c:v>112.58</c:v>
                </c:pt>
                <c:pt idx="4">
                  <c:v>142.05000000000001</c:v>
                </c:pt>
                <c:pt idx="5">
                  <c:v>76.66</c:v>
                </c:pt>
                <c:pt idx="6">
                  <c:v>88.68</c:v>
                </c:pt>
                <c:pt idx="7">
                  <c:v>70.540000000000006</c:v>
                </c:pt>
                <c:pt idx="8">
                  <c:v>226.13</c:v>
                </c:pt>
                <c:pt idx="9">
                  <c:v>34.97</c:v>
                </c:pt>
                <c:pt idx="10">
                  <c:v>68.39</c:v>
                </c:pt>
                <c:pt idx="11">
                  <c:v>95.35</c:v>
                </c:pt>
                <c:pt idx="12">
                  <c:v>60.05</c:v>
                </c:pt>
                <c:pt idx="13">
                  <c:v>63.15</c:v>
                </c:pt>
                <c:pt idx="14">
                  <c:v>87.77</c:v>
                </c:pt>
                <c:pt idx="15">
                  <c:v>70.8</c:v>
                </c:pt>
                <c:pt idx="16">
                  <c:v>40.99</c:v>
                </c:pt>
                <c:pt idx="17">
                  <c:v>55.95</c:v>
                </c:pt>
                <c:pt idx="18">
                  <c:v>82.63</c:v>
                </c:pt>
                <c:pt idx="19">
                  <c:v>47.41</c:v>
                </c:pt>
                <c:pt idx="20">
                  <c:v>65.8</c:v>
                </c:pt>
                <c:pt idx="21">
                  <c:v>80.84</c:v>
                </c:pt>
                <c:pt idx="22">
                  <c:v>59.85</c:v>
                </c:pt>
                <c:pt idx="23">
                  <c:v>85.8</c:v>
                </c:pt>
                <c:pt idx="24">
                  <c:v>51.24</c:v>
                </c:pt>
                <c:pt idx="25">
                  <c:v>73.150000000000006</c:v>
                </c:pt>
                <c:pt idx="26">
                  <c:v>60.05</c:v>
                </c:pt>
                <c:pt idx="27">
                  <c:v>75.489999999999995</c:v>
                </c:pt>
                <c:pt idx="28">
                  <c:v>48.84</c:v>
                </c:pt>
                <c:pt idx="29">
                  <c:v>75.680000000000007</c:v>
                </c:pt>
                <c:pt idx="30">
                  <c:v>47.53</c:v>
                </c:pt>
                <c:pt idx="31">
                  <c:v>61.39</c:v>
                </c:pt>
                <c:pt idx="32">
                  <c:v>71.17</c:v>
                </c:pt>
                <c:pt idx="33">
                  <c:v>63.08</c:v>
                </c:pt>
                <c:pt idx="34">
                  <c:v>90.54</c:v>
                </c:pt>
                <c:pt idx="35">
                  <c:v>55.58</c:v>
                </c:pt>
                <c:pt idx="36">
                  <c:v>50.69</c:v>
                </c:pt>
                <c:pt idx="37">
                  <c:v>89.13</c:v>
                </c:pt>
                <c:pt idx="38">
                  <c:v>69.45</c:v>
                </c:pt>
                <c:pt idx="39">
                  <c:v>71.45</c:v>
                </c:pt>
                <c:pt idx="40">
                  <c:v>59.34</c:v>
                </c:pt>
                <c:pt idx="41">
                  <c:v>86.08</c:v>
                </c:pt>
                <c:pt idx="42">
                  <c:v>61.69</c:v>
                </c:pt>
                <c:pt idx="43">
                  <c:v>70.209999999999994</c:v>
                </c:pt>
                <c:pt idx="44">
                  <c:v>56.21</c:v>
                </c:pt>
                <c:pt idx="45">
                  <c:v>98.87</c:v>
                </c:pt>
                <c:pt idx="46">
                  <c:v>94.42</c:v>
                </c:pt>
                <c:pt idx="47">
                  <c:v>44.64</c:v>
                </c:pt>
                <c:pt idx="48">
                  <c:v>65.599999999999994</c:v>
                </c:pt>
                <c:pt idx="49">
                  <c:v>52.01</c:v>
                </c:pt>
                <c:pt idx="50">
                  <c:v>47.97</c:v>
                </c:pt>
                <c:pt idx="51">
                  <c:v>37.700000000000003</c:v>
                </c:pt>
                <c:pt idx="52">
                  <c:v>40.31</c:v>
                </c:pt>
                <c:pt idx="53">
                  <c:v>54.53</c:v>
                </c:pt>
                <c:pt idx="54">
                  <c:v>56.53</c:v>
                </c:pt>
                <c:pt idx="55">
                  <c:v>63.85</c:v>
                </c:pt>
                <c:pt idx="56">
                  <c:v>57.06</c:v>
                </c:pt>
                <c:pt idx="57">
                  <c:v>46.31</c:v>
                </c:pt>
                <c:pt idx="58">
                  <c:v>49.21</c:v>
                </c:pt>
                <c:pt idx="59">
                  <c:v>73.03</c:v>
                </c:pt>
                <c:pt idx="60">
                  <c:v>50.02</c:v>
                </c:pt>
                <c:pt idx="61">
                  <c:v>48.67</c:v>
                </c:pt>
                <c:pt idx="62">
                  <c:v>44.14</c:v>
                </c:pt>
                <c:pt idx="63">
                  <c:v>110.79</c:v>
                </c:pt>
                <c:pt idx="64">
                  <c:v>120.59</c:v>
                </c:pt>
                <c:pt idx="65">
                  <c:v>47.27</c:v>
                </c:pt>
                <c:pt idx="66">
                  <c:v>61</c:v>
                </c:pt>
                <c:pt idx="67">
                  <c:v>100.14</c:v>
                </c:pt>
                <c:pt idx="68">
                  <c:v>155.12</c:v>
                </c:pt>
                <c:pt idx="69">
                  <c:v>65.52</c:v>
                </c:pt>
                <c:pt idx="70">
                  <c:v>67.52</c:v>
                </c:pt>
                <c:pt idx="71">
                  <c:v>114.79</c:v>
                </c:pt>
                <c:pt idx="72">
                  <c:v>55.26</c:v>
                </c:pt>
                <c:pt idx="73">
                  <c:v>112.58</c:v>
                </c:pt>
                <c:pt idx="74">
                  <c:v>142.05000000000001</c:v>
                </c:pt>
                <c:pt idx="75">
                  <c:v>76.66</c:v>
                </c:pt>
                <c:pt idx="76">
                  <c:v>88.68</c:v>
                </c:pt>
                <c:pt idx="77">
                  <c:v>70.540000000000006</c:v>
                </c:pt>
                <c:pt idx="78">
                  <c:v>226.13</c:v>
                </c:pt>
                <c:pt idx="79">
                  <c:v>34.97</c:v>
                </c:pt>
                <c:pt idx="80">
                  <c:v>68.39</c:v>
                </c:pt>
                <c:pt idx="81">
                  <c:v>95.35</c:v>
                </c:pt>
                <c:pt idx="82">
                  <c:v>60.05</c:v>
                </c:pt>
                <c:pt idx="83">
                  <c:v>90.54</c:v>
                </c:pt>
                <c:pt idx="84">
                  <c:v>55.58</c:v>
                </c:pt>
                <c:pt idx="85">
                  <c:v>70.8</c:v>
                </c:pt>
                <c:pt idx="86">
                  <c:v>40.99</c:v>
                </c:pt>
                <c:pt idx="87">
                  <c:v>55.95</c:v>
                </c:pt>
                <c:pt idx="88">
                  <c:v>82.63</c:v>
                </c:pt>
                <c:pt idx="89">
                  <c:v>47.41</c:v>
                </c:pt>
                <c:pt idx="90">
                  <c:v>65.8</c:v>
                </c:pt>
                <c:pt idx="91">
                  <c:v>80.84</c:v>
                </c:pt>
                <c:pt idx="92">
                  <c:v>59.85</c:v>
                </c:pt>
                <c:pt idx="93">
                  <c:v>85.8</c:v>
                </c:pt>
                <c:pt idx="94">
                  <c:v>51.24</c:v>
                </c:pt>
                <c:pt idx="95">
                  <c:v>73.150000000000006</c:v>
                </c:pt>
              </c:numCache>
            </c:numRef>
          </c:yVal>
          <c:smooth val="0"/>
        </c:ser>
        <c:ser>
          <c:idx val="1"/>
          <c:order val="1"/>
          <c:tx>
            <c:strRef>
              <c:f>Лист1!$C$1</c:f>
              <c:strCache>
                <c:ptCount val="1"/>
                <c:pt idx="0">
                  <c:v>Столбец1</c:v>
                </c:pt>
              </c:strCache>
            </c:strRef>
          </c:tx>
          <c:spPr>
            <a:ln w="28575">
              <a:noFill/>
            </a:ln>
          </c:spPr>
          <c:xVal>
            <c:numRef>
              <c:f>Лист1!$A$2:$A$263</c:f>
              <c:numCache>
                <c:formatCode>General</c:formatCode>
                <c:ptCount val="262"/>
                <c:pt idx="0">
                  <c:v>23</c:v>
                </c:pt>
                <c:pt idx="1">
                  <c:v>20</c:v>
                </c:pt>
                <c:pt idx="2">
                  <c:v>9</c:v>
                </c:pt>
                <c:pt idx="3">
                  <c:v>20</c:v>
                </c:pt>
                <c:pt idx="4">
                  <c:v>20</c:v>
                </c:pt>
                <c:pt idx="5">
                  <c:v>10</c:v>
                </c:pt>
                <c:pt idx="6">
                  <c:v>19</c:v>
                </c:pt>
                <c:pt idx="7">
                  <c:v>9</c:v>
                </c:pt>
                <c:pt idx="8">
                  <c:v>14</c:v>
                </c:pt>
                <c:pt idx="9">
                  <c:v>27</c:v>
                </c:pt>
                <c:pt idx="10">
                  <c:v>28</c:v>
                </c:pt>
                <c:pt idx="11">
                  <c:v>12</c:v>
                </c:pt>
                <c:pt idx="12">
                  <c:v>5</c:v>
                </c:pt>
                <c:pt idx="13">
                  <c:v>1.5</c:v>
                </c:pt>
                <c:pt idx="14">
                  <c:v>6</c:v>
                </c:pt>
                <c:pt idx="15">
                  <c:v>2</c:v>
                </c:pt>
                <c:pt idx="16">
                  <c:v>1.83</c:v>
                </c:pt>
                <c:pt idx="17">
                  <c:v>8</c:v>
                </c:pt>
                <c:pt idx="18">
                  <c:v>7</c:v>
                </c:pt>
                <c:pt idx="19">
                  <c:v>1</c:v>
                </c:pt>
                <c:pt idx="20">
                  <c:v>8</c:v>
                </c:pt>
                <c:pt idx="21">
                  <c:v>10</c:v>
                </c:pt>
                <c:pt idx="22">
                  <c:v>7</c:v>
                </c:pt>
                <c:pt idx="23">
                  <c:v>7</c:v>
                </c:pt>
                <c:pt idx="24">
                  <c:v>10</c:v>
                </c:pt>
                <c:pt idx="25">
                  <c:v>10</c:v>
                </c:pt>
                <c:pt idx="26">
                  <c:v>8</c:v>
                </c:pt>
                <c:pt idx="27">
                  <c:v>12</c:v>
                </c:pt>
                <c:pt idx="28">
                  <c:v>1.5</c:v>
                </c:pt>
                <c:pt idx="29">
                  <c:v>13</c:v>
                </c:pt>
                <c:pt idx="30">
                  <c:v>10</c:v>
                </c:pt>
                <c:pt idx="31">
                  <c:v>7</c:v>
                </c:pt>
                <c:pt idx="32">
                  <c:v>7</c:v>
                </c:pt>
                <c:pt idx="33">
                  <c:v>9</c:v>
                </c:pt>
                <c:pt idx="34">
                  <c:v>29</c:v>
                </c:pt>
                <c:pt idx="35">
                  <c:v>1.5</c:v>
                </c:pt>
                <c:pt idx="36">
                  <c:v>5</c:v>
                </c:pt>
                <c:pt idx="37">
                  <c:v>10</c:v>
                </c:pt>
                <c:pt idx="38">
                  <c:v>4</c:v>
                </c:pt>
                <c:pt idx="39">
                  <c:v>3</c:v>
                </c:pt>
                <c:pt idx="40">
                  <c:v>19</c:v>
                </c:pt>
                <c:pt idx="41">
                  <c:v>3</c:v>
                </c:pt>
                <c:pt idx="42">
                  <c:v>6</c:v>
                </c:pt>
                <c:pt idx="43">
                  <c:v>15</c:v>
                </c:pt>
                <c:pt idx="44">
                  <c:v>15</c:v>
                </c:pt>
                <c:pt idx="45">
                  <c:v>10</c:v>
                </c:pt>
                <c:pt idx="46">
                  <c:v>20</c:v>
                </c:pt>
                <c:pt idx="47">
                  <c:v>9</c:v>
                </c:pt>
                <c:pt idx="48">
                  <c:v>14</c:v>
                </c:pt>
                <c:pt idx="49">
                  <c:v>6</c:v>
                </c:pt>
                <c:pt idx="50">
                  <c:v>1</c:v>
                </c:pt>
                <c:pt idx="51">
                  <c:v>1</c:v>
                </c:pt>
                <c:pt idx="52">
                  <c:v>0.5</c:v>
                </c:pt>
                <c:pt idx="53">
                  <c:v>1.5</c:v>
                </c:pt>
                <c:pt idx="54">
                  <c:v>1.4</c:v>
                </c:pt>
                <c:pt idx="55">
                  <c:v>4</c:v>
                </c:pt>
                <c:pt idx="56">
                  <c:v>1.5</c:v>
                </c:pt>
                <c:pt idx="57">
                  <c:v>10</c:v>
                </c:pt>
                <c:pt idx="58">
                  <c:v>11</c:v>
                </c:pt>
                <c:pt idx="59">
                  <c:v>5</c:v>
                </c:pt>
                <c:pt idx="60">
                  <c:v>15</c:v>
                </c:pt>
                <c:pt idx="61">
                  <c:v>2.5</c:v>
                </c:pt>
                <c:pt idx="62">
                  <c:v>20</c:v>
                </c:pt>
                <c:pt idx="63">
                  <c:v>20</c:v>
                </c:pt>
                <c:pt idx="64">
                  <c:v>6.2</c:v>
                </c:pt>
                <c:pt idx="65">
                  <c:v>5.5</c:v>
                </c:pt>
                <c:pt idx="66">
                  <c:v>8</c:v>
                </c:pt>
                <c:pt idx="67">
                  <c:v>3.1</c:v>
                </c:pt>
                <c:pt idx="68">
                  <c:v>16</c:v>
                </c:pt>
                <c:pt idx="69">
                  <c:v>2</c:v>
                </c:pt>
                <c:pt idx="70">
                  <c:v>23</c:v>
                </c:pt>
                <c:pt idx="71">
                  <c:v>20</c:v>
                </c:pt>
                <c:pt idx="72">
                  <c:v>9</c:v>
                </c:pt>
                <c:pt idx="73">
                  <c:v>20</c:v>
                </c:pt>
                <c:pt idx="74">
                  <c:v>20</c:v>
                </c:pt>
                <c:pt idx="75">
                  <c:v>10</c:v>
                </c:pt>
                <c:pt idx="76">
                  <c:v>19</c:v>
                </c:pt>
                <c:pt idx="77">
                  <c:v>9</c:v>
                </c:pt>
                <c:pt idx="78">
                  <c:v>14</c:v>
                </c:pt>
                <c:pt idx="79">
                  <c:v>27</c:v>
                </c:pt>
                <c:pt idx="80">
                  <c:v>28</c:v>
                </c:pt>
                <c:pt idx="81">
                  <c:v>12</c:v>
                </c:pt>
                <c:pt idx="82">
                  <c:v>5</c:v>
                </c:pt>
                <c:pt idx="83">
                  <c:v>1.5</c:v>
                </c:pt>
                <c:pt idx="84">
                  <c:v>6</c:v>
                </c:pt>
                <c:pt idx="85">
                  <c:v>2</c:v>
                </c:pt>
                <c:pt idx="86">
                  <c:v>1.83</c:v>
                </c:pt>
                <c:pt idx="87">
                  <c:v>8</c:v>
                </c:pt>
                <c:pt idx="88">
                  <c:v>7</c:v>
                </c:pt>
                <c:pt idx="89">
                  <c:v>1</c:v>
                </c:pt>
                <c:pt idx="90">
                  <c:v>8</c:v>
                </c:pt>
                <c:pt idx="91">
                  <c:v>10</c:v>
                </c:pt>
                <c:pt idx="92">
                  <c:v>7</c:v>
                </c:pt>
                <c:pt idx="93">
                  <c:v>7</c:v>
                </c:pt>
                <c:pt idx="94">
                  <c:v>10</c:v>
                </c:pt>
                <c:pt idx="95">
                  <c:v>10</c:v>
                </c:pt>
              </c:numCache>
            </c:numRef>
          </c:xVal>
          <c:yVal>
            <c:numRef>
              <c:f>Лист1!$C$2:$C$263</c:f>
              <c:numCache>
                <c:formatCode>General</c:formatCode>
                <c:ptCount val="262"/>
                <c:pt idx="95">
                  <c:v>0.30637202980379424</c:v>
                </c:pt>
              </c:numCache>
            </c:numRef>
          </c:yVal>
          <c:smooth val="0"/>
        </c:ser>
        <c:dLbls>
          <c:showLegendKey val="0"/>
          <c:showVal val="0"/>
          <c:showCatName val="0"/>
          <c:showSerName val="0"/>
          <c:showPercent val="0"/>
          <c:showBubbleSize val="0"/>
        </c:dLbls>
        <c:axId val="65230720"/>
        <c:axId val="65245184"/>
      </c:scatterChart>
      <c:valAx>
        <c:axId val="65230720"/>
        <c:scaling>
          <c:orientation val="minMax"/>
        </c:scaling>
        <c:delete val="0"/>
        <c:axPos val="b"/>
        <c:title>
          <c:tx>
            <c:rich>
              <a:bodyPr/>
              <a:lstStyle/>
              <a:p>
                <a:pPr>
                  <a:defRPr b="0"/>
                </a:pPr>
                <a:r>
                  <a:rPr lang="uk-UA" b="0"/>
                  <a:t>Тривалість ЦД 2-го типу, роки</a:t>
                </a:r>
                <a:endParaRPr lang="ru-RU" b="0"/>
              </a:p>
            </c:rich>
          </c:tx>
          <c:overlay val="0"/>
        </c:title>
        <c:numFmt formatCode="General" sourceLinked="1"/>
        <c:majorTickMark val="out"/>
        <c:minorTickMark val="none"/>
        <c:tickLblPos val="nextTo"/>
        <c:crossAx val="65245184"/>
        <c:crosses val="autoZero"/>
        <c:crossBetween val="midCat"/>
      </c:valAx>
      <c:valAx>
        <c:axId val="65245184"/>
        <c:scaling>
          <c:orientation val="minMax"/>
        </c:scaling>
        <c:delete val="0"/>
        <c:axPos val="l"/>
        <c:majorGridlines/>
        <c:title>
          <c:tx>
            <c:rich>
              <a:bodyPr rot="0" vert="horz"/>
              <a:lstStyle/>
              <a:p>
                <a:pPr>
                  <a:defRPr b="0"/>
                </a:pPr>
                <a:r>
                  <a:rPr lang="uk-UA" b="0"/>
                  <a:t>ІММ ЛШ, г/м</a:t>
                </a:r>
                <a:r>
                  <a:rPr lang="uk-UA" b="0" baseline="30000"/>
                  <a:t>2,7</a:t>
                </a:r>
                <a:endParaRPr lang="ru-RU" b="0"/>
              </a:p>
            </c:rich>
          </c:tx>
          <c:overlay val="0"/>
        </c:title>
        <c:numFmt formatCode="General" sourceLinked="1"/>
        <c:majorTickMark val="out"/>
        <c:minorTickMark val="none"/>
        <c:tickLblPos val="nextTo"/>
        <c:crossAx val="65230720"/>
        <c:crosses val="autoZero"/>
        <c:crossBetween val="midCat"/>
      </c:valAx>
      <c:spPr>
        <a:noFill/>
        <a:ln w="25400">
          <a:noFill/>
        </a:ln>
      </c:spPr>
    </c:plotArea>
    <c:plotVisOnly val="1"/>
    <c:dispBlanksAs val="gap"/>
    <c:showDLblsOverMax val="0"/>
  </c:chart>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 = -0,39; p &lt; 0,0001</a:t>
            </a:r>
            <a:endParaRPr lang="ru-RU"/>
          </a:p>
        </c:rich>
      </c:tx>
      <c:layout>
        <c:manualLayout>
          <c:xMode val="edge"/>
          <c:yMode val="edge"/>
          <c:x val="0.62829286964129472"/>
          <c:y val="6.7460317460317457E-2"/>
        </c:manualLayout>
      </c:layout>
      <c:overlay val="1"/>
    </c:title>
    <c:autoTitleDeleted val="0"/>
    <c:plotArea>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Лист1!$A$2:$A$260</c:f>
              <c:numCache>
                <c:formatCode>General</c:formatCode>
                <c:ptCount val="259"/>
                <c:pt idx="0">
                  <c:v>67.52</c:v>
                </c:pt>
                <c:pt idx="1">
                  <c:v>114.79</c:v>
                </c:pt>
                <c:pt idx="2">
                  <c:v>55.26</c:v>
                </c:pt>
                <c:pt idx="3">
                  <c:v>112.58</c:v>
                </c:pt>
                <c:pt idx="4">
                  <c:v>142.05000000000001</c:v>
                </c:pt>
                <c:pt idx="5">
                  <c:v>76.66</c:v>
                </c:pt>
                <c:pt idx="6">
                  <c:v>88.68</c:v>
                </c:pt>
                <c:pt idx="7">
                  <c:v>70.540000000000006</c:v>
                </c:pt>
                <c:pt idx="8">
                  <c:v>226.13</c:v>
                </c:pt>
                <c:pt idx="9">
                  <c:v>34.97</c:v>
                </c:pt>
                <c:pt idx="10">
                  <c:v>68.39</c:v>
                </c:pt>
                <c:pt idx="11">
                  <c:v>95.35</c:v>
                </c:pt>
                <c:pt idx="12">
                  <c:v>60.05</c:v>
                </c:pt>
                <c:pt idx="13">
                  <c:v>63.15</c:v>
                </c:pt>
                <c:pt idx="14">
                  <c:v>87.77</c:v>
                </c:pt>
                <c:pt idx="15">
                  <c:v>70.8</c:v>
                </c:pt>
                <c:pt idx="16">
                  <c:v>40.99</c:v>
                </c:pt>
                <c:pt idx="17">
                  <c:v>55.95</c:v>
                </c:pt>
                <c:pt idx="18">
                  <c:v>82.63</c:v>
                </c:pt>
                <c:pt idx="19">
                  <c:v>47.41</c:v>
                </c:pt>
                <c:pt idx="20">
                  <c:v>65.8</c:v>
                </c:pt>
                <c:pt idx="21">
                  <c:v>80.84</c:v>
                </c:pt>
                <c:pt idx="22">
                  <c:v>59.85</c:v>
                </c:pt>
                <c:pt idx="23">
                  <c:v>85.8</c:v>
                </c:pt>
                <c:pt idx="24">
                  <c:v>51.24</c:v>
                </c:pt>
                <c:pt idx="25">
                  <c:v>73.150000000000006</c:v>
                </c:pt>
                <c:pt idx="26">
                  <c:v>60.05</c:v>
                </c:pt>
                <c:pt idx="27">
                  <c:v>75.489999999999995</c:v>
                </c:pt>
                <c:pt idx="28">
                  <c:v>48.84</c:v>
                </c:pt>
                <c:pt idx="29">
                  <c:v>75.680000000000007</c:v>
                </c:pt>
                <c:pt idx="30">
                  <c:v>47.53</c:v>
                </c:pt>
                <c:pt idx="31">
                  <c:v>61.39</c:v>
                </c:pt>
                <c:pt idx="32">
                  <c:v>71.17</c:v>
                </c:pt>
                <c:pt idx="33">
                  <c:v>63.08</c:v>
                </c:pt>
                <c:pt idx="34">
                  <c:v>90.54</c:v>
                </c:pt>
                <c:pt idx="35">
                  <c:v>55.58</c:v>
                </c:pt>
                <c:pt idx="36">
                  <c:v>50.69</c:v>
                </c:pt>
                <c:pt idx="37">
                  <c:v>89.13</c:v>
                </c:pt>
                <c:pt idx="38">
                  <c:v>69.45</c:v>
                </c:pt>
                <c:pt idx="39">
                  <c:v>71.45</c:v>
                </c:pt>
                <c:pt idx="40">
                  <c:v>59.34</c:v>
                </c:pt>
                <c:pt idx="41">
                  <c:v>86.08</c:v>
                </c:pt>
                <c:pt idx="42">
                  <c:v>61.69</c:v>
                </c:pt>
                <c:pt idx="43">
                  <c:v>70.209999999999994</c:v>
                </c:pt>
                <c:pt idx="44">
                  <c:v>56.21</c:v>
                </c:pt>
                <c:pt idx="45">
                  <c:v>98.87</c:v>
                </c:pt>
                <c:pt idx="46">
                  <c:v>94.42</c:v>
                </c:pt>
                <c:pt idx="47">
                  <c:v>44.64</c:v>
                </c:pt>
                <c:pt idx="48">
                  <c:v>65.599999999999994</c:v>
                </c:pt>
                <c:pt idx="49">
                  <c:v>52.01</c:v>
                </c:pt>
                <c:pt idx="50">
                  <c:v>47.97</c:v>
                </c:pt>
                <c:pt idx="51">
                  <c:v>37.700000000000003</c:v>
                </c:pt>
                <c:pt idx="52">
                  <c:v>40.31</c:v>
                </c:pt>
                <c:pt idx="53">
                  <c:v>54.53</c:v>
                </c:pt>
                <c:pt idx="54">
                  <c:v>56.53</c:v>
                </c:pt>
                <c:pt idx="55">
                  <c:v>63.85</c:v>
                </c:pt>
                <c:pt idx="56">
                  <c:v>57.06</c:v>
                </c:pt>
                <c:pt idx="57">
                  <c:v>46.31</c:v>
                </c:pt>
                <c:pt idx="58">
                  <c:v>49.21</c:v>
                </c:pt>
                <c:pt idx="59">
                  <c:v>73.03</c:v>
                </c:pt>
                <c:pt idx="60">
                  <c:v>50.02</c:v>
                </c:pt>
                <c:pt idx="61">
                  <c:v>48.67</c:v>
                </c:pt>
                <c:pt idx="62">
                  <c:v>44.14</c:v>
                </c:pt>
                <c:pt idx="63">
                  <c:v>110.79</c:v>
                </c:pt>
                <c:pt idx="64">
                  <c:v>120.59</c:v>
                </c:pt>
                <c:pt idx="65">
                  <c:v>47.27</c:v>
                </c:pt>
                <c:pt idx="66">
                  <c:v>61</c:v>
                </c:pt>
                <c:pt idx="67">
                  <c:v>100.14</c:v>
                </c:pt>
                <c:pt idx="68">
                  <c:v>155.12</c:v>
                </c:pt>
                <c:pt idx="69">
                  <c:v>65.52</c:v>
                </c:pt>
                <c:pt idx="70">
                  <c:v>67.52</c:v>
                </c:pt>
                <c:pt idx="71">
                  <c:v>114.79</c:v>
                </c:pt>
                <c:pt idx="72">
                  <c:v>55.26</c:v>
                </c:pt>
                <c:pt idx="73">
                  <c:v>112.58</c:v>
                </c:pt>
                <c:pt idx="74">
                  <c:v>142.05000000000001</c:v>
                </c:pt>
                <c:pt idx="75">
                  <c:v>76.66</c:v>
                </c:pt>
                <c:pt idx="76">
                  <c:v>88.68</c:v>
                </c:pt>
                <c:pt idx="77">
                  <c:v>70.540000000000006</c:v>
                </c:pt>
                <c:pt idx="78">
                  <c:v>226.13</c:v>
                </c:pt>
                <c:pt idx="79">
                  <c:v>34.97</c:v>
                </c:pt>
                <c:pt idx="80">
                  <c:v>68.39</c:v>
                </c:pt>
                <c:pt idx="81">
                  <c:v>95.35</c:v>
                </c:pt>
                <c:pt idx="82">
                  <c:v>60.05</c:v>
                </c:pt>
                <c:pt idx="83">
                  <c:v>90.54</c:v>
                </c:pt>
                <c:pt idx="84">
                  <c:v>55.58</c:v>
                </c:pt>
                <c:pt idx="85">
                  <c:v>70.8</c:v>
                </c:pt>
                <c:pt idx="86">
                  <c:v>40.99</c:v>
                </c:pt>
                <c:pt idx="87">
                  <c:v>55.95</c:v>
                </c:pt>
                <c:pt idx="88">
                  <c:v>82.63</c:v>
                </c:pt>
                <c:pt idx="89">
                  <c:v>47.41</c:v>
                </c:pt>
                <c:pt idx="90">
                  <c:v>65.8</c:v>
                </c:pt>
                <c:pt idx="91">
                  <c:v>80.84</c:v>
                </c:pt>
                <c:pt idx="92">
                  <c:v>59.85</c:v>
                </c:pt>
                <c:pt idx="93">
                  <c:v>85.8</c:v>
                </c:pt>
                <c:pt idx="94">
                  <c:v>51.24</c:v>
                </c:pt>
                <c:pt idx="95">
                  <c:v>73.150000000000006</c:v>
                </c:pt>
                <c:pt idx="96">
                  <c:v>60.05</c:v>
                </c:pt>
                <c:pt idx="97">
                  <c:v>75.489999999999995</c:v>
                </c:pt>
                <c:pt idx="98">
                  <c:v>48.84</c:v>
                </c:pt>
                <c:pt idx="99">
                  <c:v>75.680000000000007</c:v>
                </c:pt>
                <c:pt idx="100">
                  <c:v>68.39</c:v>
                </c:pt>
                <c:pt idx="101">
                  <c:v>95.35</c:v>
                </c:pt>
                <c:pt idx="102">
                  <c:v>60.05</c:v>
                </c:pt>
                <c:pt idx="103">
                  <c:v>63.15</c:v>
                </c:pt>
                <c:pt idx="104">
                  <c:v>87.77</c:v>
                </c:pt>
                <c:pt idx="105">
                  <c:v>70.8</c:v>
                </c:pt>
                <c:pt idx="106">
                  <c:v>40.99</c:v>
                </c:pt>
                <c:pt idx="107">
                  <c:v>55.95</c:v>
                </c:pt>
                <c:pt idx="108">
                  <c:v>82.63</c:v>
                </c:pt>
                <c:pt idx="109">
                  <c:v>47.41</c:v>
                </c:pt>
                <c:pt idx="110">
                  <c:v>50.02</c:v>
                </c:pt>
                <c:pt idx="111">
                  <c:v>48.67</c:v>
                </c:pt>
                <c:pt idx="112">
                  <c:v>44.14</c:v>
                </c:pt>
                <c:pt idx="113">
                  <c:v>110.79</c:v>
                </c:pt>
                <c:pt idx="114">
                  <c:v>120.59</c:v>
                </c:pt>
                <c:pt idx="115">
                  <c:v>47.27</c:v>
                </c:pt>
                <c:pt idx="116">
                  <c:v>61</c:v>
                </c:pt>
                <c:pt idx="117">
                  <c:v>100.14</c:v>
                </c:pt>
                <c:pt idx="118">
                  <c:v>155.12</c:v>
                </c:pt>
                <c:pt idx="119">
                  <c:v>65.52</c:v>
                </c:pt>
                <c:pt idx="120">
                  <c:v>55.95</c:v>
                </c:pt>
                <c:pt idx="121">
                  <c:v>86.08</c:v>
                </c:pt>
                <c:pt idx="122">
                  <c:v>61.69</c:v>
                </c:pt>
                <c:pt idx="123">
                  <c:v>70.209999999999994</c:v>
                </c:pt>
                <c:pt idx="124">
                  <c:v>56.21</c:v>
                </c:pt>
                <c:pt idx="125">
                  <c:v>98.87</c:v>
                </c:pt>
                <c:pt idx="126">
                  <c:v>94.42</c:v>
                </c:pt>
                <c:pt idx="127">
                  <c:v>44.64</c:v>
                </c:pt>
                <c:pt idx="128">
                  <c:v>65.599999999999994</c:v>
                </c:pt>
                <c:pt idx="129">
                  <c:v>52.01</c:v>
                </c:pt>
                <c:pt idx="130">
                  <c:v>65.8</c:v>
                </c:pt>
                <c:pt idx="131">
                  <c:v>80.84</c:v>
                </c:pt>
                <c:pt idx="132">
                  <c:v>59.85</c:v>
                </c:pt>
                <c:pt idx="133">
                  <c:v>85.8</c:v>
                </c:pt>
                <c:pt idx="134">
                  <c:v>51.24</c:v>
                </c:pt>
                <c:pt idx="135">
                  <c:v>73.150000000000006</c:v>
                </c:pt>
                <c:pt idx="136">
                  <c:v>60.05</c:v>
                </c:pt>
                <c:pt idx="137">
                  <c:v>75.489999999999995</c:v>
                </c:pt>
                <c:pt idx="138">
                  <c:v>48.84</c:v>
                </c:pt>
                <c:pt idx="139">
                  <c:v>75.680000000000007</c:v>
                </c:pt>
                <c:pt idx="140">
                  <c:v>68.39</c:v>
                </c:pt>
                <c:pt idx="141">
                  <c:v>114.79</c:v>
                </c:pt>
                <c:pt idx="142">
                  <c:v>55.26</c:v>
                </c:pt>
                <c:pt idx="143">
                  <c:v>112.58</c:v>
                </c:pt>
                <c:pt idx="144">
                  <c:v>142.05000000000001</c:v>
                </c:pt>
                <c:pt idx="145">
                  <c:v>56.21</c:v>
                </c:pt>
                <c:pt idx="146">
                  <c:v>82.63</c:v>
                </c:pt>
                <c:pt idx="147">
                  <c:v>55.58</c:v>
                </c:pt>
                <c:pt idx="148">
                  <c:v>226.13</c:v>
                </c:pt>
                <c:pt idx="149">
                  <c:v>34.97</c:v>
                </c:pt>
                <c:pt idx="150">
                  <c:v>65.8</c:v>
                </c:pt>
                <c:pt idx="151">
                  <c:v>80.84</c:v>
                </c:pt>
                <c:pt idx="152">
                  <c:v>59.85</c:v>
                </c:pt>
                <c:pt idx="153">
                  <c:v>85.8</c:v>
                </c:pt>
                <c:pt idx="154">
                  <c:v>51.24</c:v>
                </c:pt>
                <c:pt idx="155">
                  <c:v>73.150000000000006</c:v>
                </c:pt>
                <c:pt idx="156">
                  <c:v>60.05</c:v>
                </c:pt>
                <c:pt idx="157">
                  <c:v>75.489999999999995</c:v>
                </c:pt>
                <c:pt idx="158">
                  <c:v>48.84</c:v>
                </c:pt>
                <c:pt idx="159">
                  <c:v>75.680000000000007</c:v>
                </c:pt>
                <c:pt idx="160">
                  <c:v>68.39</c:v>
                </c:pt>
                <c:pt idx="161">
                  <c:v>114.79</c:v>
                </c:pt>
                <c:pt idx="162">
                  <c:v>55.26</c:v>
                </c:pt>
                <c:pt idx="163">
                  <c:v>112.58</c:v>
                </c:pt>
                <c:pt idx="164">
                  <c:v>142.05000000000001</c:v>
                </c:pt>
                <c:pt idx="165">
                  <c:v>56.21</c:v>
                </c:pt>
                <c:pt idx="166">
                  <c:v>82.63</c:v>
                </c:pt>
                <c:pt idx="167">
                  <c:v>55.58</c:v>
                </c:pt>
                <c:pt idx="168">
                  <c:v>226.13</c:v>
                </c:pt>
                <c:pt idx="169">
                  <c:v>34.97</c:v>
                </c:pt>
                <c:pt idx="170">
                  <c:v>48.67</c:v>
                </c:pt>
                <c:pt idx="171">
                  <c:v>48.84</c:v>
                </c:pt>
                <c:pt idx="172">
                  <c:v>34.97</c:v>
                </c:pt>
                <c:pt idx="173">
                  <c:v>68.39</c:v>
                </c:pt>
                <c:pt idx="174">
                  <c:v>95.35</c:v>
                </c:pt>
                <c:pt idx="175">
                  <c:v>67.52</c:v>
                </c:pt>
                <c:pt idx="176">
                  <c:v>57.06</c:v>
                </c:pt>
                <c:pt idx="177">
                  <c:v>46.31</c:v>
                </c:pt>
                <c:pt idx="178">
                  <c:v>49.21</c:v>
                </c:pt>
                <c:pt idx="179">
                  <c:v>73.03</c:v>
                </c:pt>
                <c:pt idx="180">
                  <c:v>70.540000000000006</c:v>
                </c:pt>
                <c:pt idx="181">
                  <c:v>76.66</c:v>
                </c:pt>
                <c:pt idx="182">
                  <c:v>70.540000000000006</c:v>
                </c:pt>
                <c:pt idx="183">
                  <c:v>63.08</c:v>
                </c:pt>
                <c:pt idx="184">
                  <c:v>90.54</c:v>
                </c:pt>
                <c:pt idx="185">
                  <c:v>55.58</c:v>
                </c:pt>
                <c:pt idx="186">
                  <c:v>50.69</c:v>
                </c:pt>
                <c:pt idx="187">
                  <c:v>89.13</c:v>
                </c:pt>
                <c:pt idx="188">
                  <c:v>69.45</c:v>
                </c:pt>
                <c:pt idx="189">
                  <c:v>71.45</c:v>
                </c:pt>
                <c:pt idx="190">
                  <c:v>68.39</c:v>
                </c:pt>
                <c:pt idx="191">
                  <c:v>114.79</c:v>
                </c:pt>
                <c:pt idx="192">
                  <c:v>55.26</c:v>
                </c:pt>
                <c:pt idx="193">
                  <c:v>112.58</c:v>
                </c:pt>
                <c:pt idx="194">
                  <c:v>142.05000000000001</c:v>
                </c:pt>
                <c:pt idx="195">
                  <c:v>76.66</c:v>
                </c:pt>
                <c:pt idx="196">
                  <c:v>88.68</c:v>
                </c:pt>
                <c:pt idx="197">
                  <c:v>70.540000000000006</c:v>
                </c:pt>
              </c:numCache>
            </c:numRef>
          </c:xVal>
          <c:yVal>
            <c:numRef>
              <c:f>Лист1!$B$2:$B$260</c:f>
              <c:numCache>
                <c:formatCode>General</c:formatCode>
                <c:ptCount val="259"/>
                <c:pt idx="0">
                  <c:v>53</c:v>
                </c:pt>
                <c:pt idx="1">
                  <c:v>55</c:v>
                </c:pt>
                <c:pt idx="2">
                  <c:v>104</c:v>
                </c:pt>
                <c:pt idx="3">
                  <c:v>62</c:v>
                </c:pt>
                <c:pt idx="4">
                  <c:v>47</c:v>
                </c:pt>
                <c:pt idx="5">
                  <c:v>80</c:v>
                </c:pt>
                <c:pt idx="6">
                  <c:v>74</c:v>
                </c:pt>
                <c:pt idx="7">
                  <c:v>85</c:v>
                </c:pt>
                <c:pt idx="8">
                  <c:v>32</c:v>
                </c:pt>
                <c:pt idx="9">
                  <c:v>65</c:v>
                </c:pt>
                <c:pt idx="10">
                  <c:v>68</c:v>
                </c:pt>
                <c:pt idx="11">
                  <c:v>69</c:v>
                </c:pt>
                <c:pt idx="12">
                  <c:v>82</c:v>
                </c:pt>
                <c:pt idx="13">
                  <c:v>81</c:v>
                </c:pt>
                <c:pt idx="14">
                  <c:v>89</c:v>
                </c:pt>
                <c:pt idx="15">
                  <c:v>90</c:v>
                </c:pt>
                <c:pt idx="16">
                  <c:v>85</c:v>
                </c:pt>
                <c:pt idx="17">
                  <c:v>40</c:v>
                </c:pt>
                <c:pt idx="18">
                  <c:v>40</c:v>
                </c:pt>
                <c:pt idx="19">
                  <c:v>76</c:v>
                </c:pt>
                <c:pt idx="20">
                  <c:v>91</c:v>
                </c:pt>
                <c:pt idx="21">
                  <c:v>95</c:v>
                </c:pt>
                <c:pt idx="22">
                  <c:v>77</c:v>
                </c:pt>
                <c:pt idx="23">
                  <c:v>81</c:v>
                </c:pt>
                <c:pt idx="24">
                  <c:v>81</c:v>
                </c:pt>
                <c:pt idx="25">
                  <c:v>80</c:v>
                </c:pt>
                <c:pt idx="26">
                  <c:v>45</c:v>
                </c:pt>
                <c:pt idx="27">
                  <c:v>49</c:v>
                </c:pt>
                <c:pt idx="28">
                  <c:v>89</c:v>
                </c:pt>
                <c:pt idx="29">
                  <c:v>77</c:v>
                </c:pt>
                <c:pt idx="30">
                  <c:v>59</c:v>
                </c:pt>
                <c:pt idx="31">
                  <c:v>66</c:v>
                </c:pt>
                <c:pt idx="32">
                  <c:v>54</c:v>
                </c:pt>
                <c:pt idx="33">
                  <c:v>65</c:v>
                </c:pt>
                <c:pt idx="34">
                  <c:v>74</c:v>
                </c:pt>
                <c:pt idx="35">
                  <c:v>117</c:v>
                </c:pt>
                <c:pt idx="36">
                  <c:v>98</c:v>
                </c:pt>
                <c:pt idx="37">
                  <c:v>60</c:v>
                </c:pt>
                <c:pt idx="38">
                  <c:v>114</c:v>
                </c:pt>
                <c:pt idx="39">
                  <c:v>57</c:v>
                </c:pt>
                <c:pt idx="40">
                  <c:v>28</c:v>
                </c:pt>
                <c:pt idx="41">
                  <c:v>101</c:v>
                </c:pt>
                <c:pt idx="42">
                  <c:v>86</c:v>
                </c:pt>
                <c:pt idx="43">
                  <c:v>87</c:v>
                </c:pt>
                <c:pt idx="44">
                  <c:v>97</c:v>
                </c:pt>
                <c:pt idx="45">
                  <c:v>40</c:v>
                </c:pt>
                <c:pt idx="46">
                  <c:v>43</c:v>
                </c:pt>
                <c:pt idx="47">
                  <c:v>70</c:v>
                </c:pt>
                <c:pt idx="48">
                  <c:v>62</c:v>
                </c:pt>
                <c:pt idx="49">
                  <c:v>79</c:v>
                </c:pt>
                <c:pt idx="50">
                  <c:v>67</c:v>
                </c:pt>
                <c:pt idx="51">
                  <c:v>96</c:v>
                </c:pt>
                <c:pt idx="52">
                  <c:v>82</c:v>
                </c:pt>
                <c:pt idx="53">
                  <c:v>54</c:v>
                </c:pt>
                <c:pt idx="54">
                  <c:v>82</c:v>
                </c:pt>
                <c:pt idx="55">
                  <c:v>81</c:v>
                </c:pt>
                <c:pt idx="56">
                  <c:v>92</c:v>
                </c:pt>
                <c:pt idx="57">
                  <c:v>68</c:v>
                </c:pt>
                <c:pt idx="58">
                  <c:v>66</c:v>
                </c:pt>
                <c:pt idx="59">
                  <c:v>88</c:v>
                </c:pt>
                <c:pt idx="60">
                  <c:v>68</c:v>
                </c:pt>
                <c:pt idx="61">
                  <c:v>85</c:v>
                </c:pt>
                <c:pt idx="62">
                  <c:v>59</c:v>
                </c:pt>
                <c:pt idx="63">
                  <c:v>48</c:v>
                </c:pt>
                <c:pt idx="64">
                  <c:v>87</c:v>
                </c:pt>
                <c:pt idx="65">
                  <c:v>73</c:v>
                </c:pt>
                <c:pt idx="66">
                  <c:v>60</c:v>
                </c:pt>
                <c:pt idx="67">
                  <c:v>67</c:v>
                </c:pt>
                <c:pt idx="68">
                  <c:v>79</c:v>
                </c:pt>
                <c:pt idx="69">
                  <c:v>135</c:v>
                </c:pt>
                <c:pt idx="70">
                  <c:v>53</c:v>
                </c:pt>
                <c:pt idx="71">
                  <c:v>55</c:v>
                </c:pt>
                <c:pt idx="72">
                  <c:v>104</c:v>
                </c:pt>
                <c:pt idx="73">
                  <c:v>62</c:v>
                </c:pt>
                <c:pt idx="74">
                  <c:v>47</c:v>
                </c:pt>
                <c:pt idx="75">
                  <c:v>80</c:v>
                </c:pt>
                <c:pt idx="76">
                  <c:v>74</c:v>
                </c:pt>
                <c:pt idx="77">
                  <c:v>85</c:v>
                </c:pt>
                <c:pt idx="78">
                  <c:v>32</c:v>
                </c:pt>
                <c:pt idx="79">
                  <c:v>65</c:v>
                </c:pt>
                <c:pt idx="80">
                  <c:v>68</c:v>
                </c:pt>
                <c:pt idx="81">
                  <c:v>69</c:v>
                </c:pt>
                <c:pt idx="82">
                  <c:v>82</c:v>
                </c:pt>
                <c:pt idx="83">
                  <c:v>81</c:v>
                </c:pt>
                <c:pt idx="84">
                  <c:v>89</c:v>
                </c:pt>
                <c:pt idx="85">
                  <c:v>90</c:v>
                </c:pt>
                <c:pt idx="86">
                  <c:v>85</c:v>
                </c:pt>
                <c:pt idx="87">
                  <c:v>40</c:v>
                </c:pt>
                <c:pt idx="88">
                  <c:v>40</c:v>
                </c:pt>
                <c:pt idx="89">
                  <c:v>76</c:v>
                </c:pt>
                <c:pt idx="90">
                  <c:v>91</c:v>
                </c:pt>
                <c:pt idx="91">
                  <c:v>95</c:v>
                </c:pt>
                <c:pt idx="92">
                  <c:v>77</c:v>
                </c:pt>
                <c:pt idx="93">
                  <c:v>81</c:v>
                </c:pt>
                <c:pt idx="94">
                  <c:v>81</c:v>
                </c:pt>
                <c:pt idx="95">
                  <c:v>80</c:v>
                </c:pt>
                <c:pt idx="96">
                  <c:v>45</c:v>
                </c:pt>
                <c:pt idx="97">
                  <c:v>49</c:v>
                </c:pt>
                <c:pt idx="98">
                  <c:v>89</c:v>
                </c:pt>
                <c:pt idx="99">
                  <c:v>77</c:v>
                </c:pt>
                <c:pt idx="100">
                  <c:v>68</c:v>
                </c:pt>
                <c:pt idx="101">
                  <c:v>69</c:v>
                </c:pt>
                <c:pt idx="102">
                  <c:v>82</c:v>
                </c:pt>
                <c:pt idx="103">
                  <c:v>81</c:v>
                </c:pt>
                <c:pt idx="104">
                  <c:v>89</c:v>
                </c:pt>
                <c:pt idx="105">
                  <c:v>90</c:v>
                </c:pt>
                <c:pt idx="106">
                  <c:v>85</c:v>
                </c:pt>
                <c:pt idx="107">
                  <c:v>40</c:v>
                </c:pt>
                <c:pt idx="108">
                  <c:v>40</c:v>
                </c:pt>
                <c:pt idx="109">
                  <c:v>76</c:v>
                </c:pt>
                <c:pt idx="110">
                  <c:v>68</c:v>
                </c:pt>
                <c:pt idx="111">
                  <c:v>85</c:v>
                </c:pt>
                <c:pt idx="112">
                  <c:v>59</c:v>
                </c:pt>
                <c:pt idx="113">
                  <c:v>48</c:v>
                </c:pt>
                <c:pt idx="114">
                  <c:v>87</c:v>
                </c:pt>
                <c:pt idx="115">
                  <c:v>73</c:v>
                </c:pt>
                <c:pt idx="116">
                  <c:v>60</c:v>
                </c:pt>
                <c:pt idx="117">
                  <c:v>67</c:v>
                </c:pt>
                <c:pt idx="118">
                  <c:v>79</c:v>
                </c:pt>
                <c:pt idx="119">
                  <c:v>135</c:v>
                </c:pt>
                <c:pt idx="120">
                  <c:v>28</c:v>
                </c:pt>
                <c:pt idx="121">
                  <c:v>101</c:v>
                </c:pt>
                <c:pt idx="122">
                  <c:v>86</c:v>
                </c:pt>
                <c:pt idx="123">
                  <c:v>87</c:v>
                </c:pt>
                <c:pt idx="124">
                  <c:v>97</c:v>
                </c:pt>
                <c:pt idx="125">
                  <c:v>40</c:v>
                </c:pt>
                <c:pt idx="126">
                  <c:v>43</c:v>
                </c:pt>
                <c:pt idx="127">
                  <c:v>70</c:v>
                </c:pt>
                <c:pt idx="128">
                  <c:v>62</c:v>
                </c:pt>
                <c:pt idx="129">
                  <c:v>79</c:v>
                </c:pt>
                <c:pt idx="130">
                  <c:v>91</c:v>
                </c:pt>
                <c:pt idx="131">
                  <c:v>95</c:v>
                </c:pt>
                <c:pt idx="132">
                  <c:v>77</c:v>
                </c:pt>
                <c:pt idx="133">
                  <c:v>81</c:v>
                </c:pt>
                <c:pt idx="134">
                  <c:v>81</c:v>
                </c:pt>
                <c:pt idx="135">
                  <c:v>80</c:v>
                </c:pt>
                <c:pt idx="136">
                  <c:v>45</c:v>
                </c:pt>
                <c:pt idx="137">
                  <c:v>49</c:v>
                </c:pt>
                <c:pt idx="138">
                  <c:v>89</c:v>
                </c:pt>
                <c:pt idx="139">
                  <c:v>77</c:v>
                </c:pt>
                <c:pt idx="140">
                  <c:v>53</c:v>
                </c:pt>
                <c:pt idx="141">
                  <c:v>55</c:v>
                </c:pt>
                <c:pt idx="142">
                  <c:v>104</c:v>
                </c:pt>
                <c:pt idx="143">
                  <c:v>62</c:v>
                </c:pt>
                <c:pt idx="144">
                  <c:v>47</c:v>
                </c:pt>
                <c:pt idx="145">
                  <c:v>80</c:v>
                </c:pt>
                <c:pt idx="146">
                  <c:v>74</c:v>
                </c:pt>
                <c:pt idx="147">
                  <c:v>85</c:v>
                </c:pt>
                <c:pt idx="148">
                  <c:v>32</c:v>
                </c:pt>
                <c:pt idx="149">
                  <c:v>65</c:v>
                </c:pt>
                <c:pt idx="150">
                  <c:v>91</c:v>
                </c:pt>
                <c:pt idx="151">
                  <c:v>95</c:v>
                </c:pt>
                <c:pt idx="152">
                  <c:v>77</c:v>
                </c:pt>
                <c:pt idx="153">
                  <c:v>81</c:v>
                </c:pt>
                <c:pt idx="154">
                  <c:v>81</c:v>
                </c:pt>
                <c:pt idx="155">
                  <c:v>80</c:v>
                </c:pt>
                <c:pt idx="156">
                  <c:v>45</c:v>
                </c:pt>
                <c:pt idx="157">
                  <c:v>49</c:v>
                </c:pt>
                <c:pt idx="158">
                  <c:v>89</c:v>
                </c:pt>
                <c:pt idx="159">
                  <c:v>77</c:v>
                </c:pt>
                <c:pt idx="160">
                  <c:v>53</c:v>
                </c:pt>
                <c:pt idx="161">
                  <c:v>55</c:v>
                </c:pt>
                <c:pt idx="162">
                  <c:v>104</c:v>
                </c:pt>
                <c:pt idx="163">
                  <c:v>62</c:v>
                </c:pt>
                <c:pt idx="164">
                  <c:v>47</c:v>
                </c:pt>
                <c:pt idx="165">
                  <c:v>80</c:v>
                </c:pt>
                <c:pt idx="166">
                  <c:v>74</c:v>
                </c:pt>
                <c:pt idx="167">
                  <c:v>85</c:v>
                </c:pt>
                <c:pt idx="168">
                  <c:v>32</c:v>
                </c:pt>
                <c:pt idx="169">
                  <c:v>65</c:v>
                </c:pt>
                <c:pt idx="170">
                  <c:v>67</c:v>
                </c:pt>
                <c:pt idx="171">
                  <c:v>96</c:v>
                </c:pt>
                <c:pt idx="172">
                  <c:v>82</c:v>
                </c:pt>
                <c:pt idx="173">
                  <c:v>54</c:v>
                </c:pt>
                <c:pt idx="174">
                  <c:v>82</c:v>
                </c:pt>
                <c:pt idx="175">
                  <c:v>81</c:v>
                </c:pt>
                <c:pt idx="176">
                  <c:v>92</c:v>
                </c:pt>
                <c:pt idx="177">
                  <c:v>68</c:v>
                </c:pt>
                <c:pt idx="178">
                  <c:v>66</c:v>
                </c:pt>
                <c:pt idx="179">
                  <c:v>88</c:v>
                </c:pt>
                <c:pt idx="180">
                  <c:v>59</c:v>
                </c:pt>
                <c:pt idx="181">
                  <c:v>66</c:v>
                </c:pt>
                <c:pt idx="182">
                  <c:v>54</c:v>
                </c:pt>
                <c:pt idx="183">
                  <c:v>65</c:v>
                </c:pt>
                <c:pt idx="184">
                  <c:v>74</c:v>
                </c:pt>
                <c:pt idx="185">
                  <c:v>117</c:v>
                </c:pt>
                <c:pt idx="186">
                  <c:v>98</c:v>
                </c:pt>
                <c:pt idx="187">
                  <c:v>60</c:v>
                </c:pt>
                <c:pt idx="188">
                  <c:v>114</c:v>
                </c:pt>
                <c:pt idx="189">
                  <c:v>57</c:v>
                </c:pt>
                <c:pt idx="190">
                  <c:v>53</c:v>
                </c:pt>
                <c:pt idx="191">
                  <c:v>55</c:v>
                </c:pt>
                <c:pt idx="192">
                  <c:v>104</c:v>
                </c:pt>
                <c:pt idx="193">
                  <c:v>62</c:v>
                </c:pt>
                <c:pt idx="194">
                  <c:v>47</c:v>
                </c:pt>
                <c:pt idx="195">
                  <c:v>80</c:v>
                </c:pt>
                <c:pt idx="196">
                  <c:v>74</c:v>
                </c:pt>
                <c:pt idx="197">
                  <c:v>85</c:v>
                </c:pt>
              </c:numCache>
            </c:numRef>
          </c:yVal>
          <c:smooth val="0"/>
        </c:ser>
        <c:ser>
          <c:idx val="1"/>
          <c:order val="1"/>
          <c:tx>
            <c:strRef>
              <c:f>Лист1!$C$1</c:f>
              <c:strCache>
                <c:ptCount val="1"/>
                <c:pt idx="0">
                  <c:v>Столбец1</c:v>
                </c:pt>
              </c:strCache>
            </c:strRef>
          </c:tx>
          <c:spPr>
            <a:ln w="28575">
              <a:noFill/>
            </a:ln>
          </c:spPr>
          <c:trendline>
            <c:trendlineType val="linear"/>
            <c:dispRSqr val="0"/>
            <c:dispEq val="0"/>
          </c:trendline>
          <c:xVal>
            <c:numRef>
              <c:f>Лист1!$A$2:$A$260</c:f>
              <c:numCache>
                <c:formatCode>General</c:formatCode>
                <c:ptCount val="259"/>
                <c:pt idx="0">
                  <c:v>67.52</c:v>
                </c:pt>
                <c:pt idx="1">
                  <c:v>114.79</c:v>
                </c:pt>
                <c:pt idx="2">
                  <c:v>55.26</c:v>
                </c:pt>
                <c:pt idx="3">
                  <c:v>112.58</c:v>
                </c:pt>
                <c:pt idx="4">
                  <c:v>142.05000000000001</c:v>
                </c:pt>
                <c:pt idx="5">
                  <c:v>76.66</c:v>
                </c:pt>
                <c:pt idx="6">
                  <c:v>88.68</c:v>
                </c:pt>
                <c:pt idx="7">
                  <c:v>70.540000000000006</c:v>
                </c:pt>
                <c:pt idx="8">
                  <c:v>226.13</c:v>
                </c:pt>
                <c:pt idx="9">
                  <c:v>34.97</c:v>
                </c:pt>
                <c:pt idx="10">
                  <c:v>68.39</c:v>
                </c:pt>
                <c:pt idx="11">
                  <c:v>95.35</c:v>
                </c:pt>
                <c:pt idx="12">
                  <c:v>60.05</c:v>
                </c:pt>
                <c:pt idx="13">
                  <c:v>63.15</c:v>
                </c:pt>
                <c:pt idx="14">
                  <c:v>87.77</c:v>
                </c:pt>
                <c:pt idx="15">
                  <c:v>70.8</c:v>
                </c:pt>
                <c:pt idx="16">
                  <c:v>40.99</c:v>
                </c:pt>
                <c:pt idx="17">
                  <c:v>55.95</c:v>
                </c:pt>
                <c:pt idx="18">
                  <c:v>82.63</c:v>
                </c:pt>
                <c:pt idx="19">
                  <c:v>47.41</c:v>
                </c:pt>
                <c:pt idx="20">
                  <c:v>65.8</c:v>
                </c:pt>
                <c:pt idx="21">
                  <c:v>80.84</c:v>
                </c:pt>
                <c:pt idx="22">
                  <c:v>59.85</c:v>
                </c:pt>
                <c:pt idx="23">
                  <c:v>85.8</c:v>
                </c:pt>
                <c:pt idx="24">
                  <c:v>51.24</c:v>
                </c:pt>
                <c:pt idx="25">
                  <c:v>73.150000000000006</c:v>
                </c:pt>
                <c:pt idx="26">
                  <c:v>60.05</c:v>
                </c:pt>
                <c:pt idx="27">
                  <c:v>75.489999999999995</c:v>
                </c:pt>
                <c:pt idx="28">
                  <c:v>48.84</c:v>
                </c:pt>
                <c:pt idx="29">
                  <c:v>75.680000000000007</c:v>
                </c:pt>
                <c:pt idx="30">
                  <c:v>47.53</c:v>
                </c:pt>
                <c:pt idx="31">
                  <c:v>61.39</c:v>
                </c:pt>
                <c:pt idx="32">
                  <c:v>71.17</c:v>
                </c:pt>
                <c:pt idx="33">
                  <c:v>63.08</c:v>
                </c:pt>
                <c:pt idx="34">
                  <c:v>90.54</c:v>
                </c:pt>
                <c:pt idx="35">
                  <c:v>55.58</c:v>
                </c:pt>
                <c:pt idx="36">
                  <c:v>50.69</c:v>
                </c:pt>
                <c:pt idx="37">
                  <c:v>89.13</c:v>
                </c:pt>
                <c:pt idx="38">
                  <c:v>69.45</c:v>
                </c:pt>
                <c:pt idx="39">
                  <c:v>71.45</c:v>
                </c:pt>
                <c:pt idx="40">
                  <c:v>59.34</c:v>
                </c:pt>
                <c:pt idx="41">
                  <c:v>86.08</c:v>
                </c:pt>
                <c:pt idx="42">
                  <c:v>61.69</c:v>
                </c:pt>
                <c:pt idx="43">
                  <c:v>70.209999999999994</c:v>
                </c:pt>
                <c:pt idx="44">
                  <c:v>56.21</c:v>
                </c:pt>
                <c:pt idx="45">
                  <c:v>98.87</c:v>
                </c:pt>
                <c:pt idx="46">
                  <c:v>94.42</c:v>
                </c:pt>
                <c:pt idx="47">
                  <c:v>44.64</c:v>
                </c:pt>
                <c:pt idx="48">
                  <c:v>65.599999999999994</c:v>
                </c:pt>
                <c:pt idx="49">
                  <c:v>52.01</c:v>
                </c:pt>
                <c:pt idx="50">
                  <c:v>47.97</c:v>
                </c:pt>
                <c:pt idx="51">
                  <c:v>37.700000000000003</c:v>
                </c:pt>
                <c:pt idx="52">
                  <c:v>40.31</c:v>
                </c:pt>
                <c:pt idx="53">
                  <c:v>54.53</c:v>
                </c:pt>
                <c:pt idx="54">
                  <c:v>56.53</c:v>
                </c:pt>
                <c:pt idx="55">
                  <c:v>63.85</c:v>
                </c:pt>
                <c:pt idx="56">
                  <c:v>57.06</c:v>
                </c:pt>
                <c:pt idx="57">
                  <c:v>46.31</c:v>
                </c:pt>
                <c:pt idx="58">
                  <c:v>49.21</c:v>
                </c:pt>
                <c:pt idx="59">
                  <c:v>73.03</c:v>
                </c:pt>
                <c:pt idx="60">
                  <c:v>50.02</c:v>
                </c:pt>
                <c:pt idx="61">
                  <c:v>48.67</c:v>
                </c:pt>
                <c:pt idx="62">
                  <c:v>44.14</c:v>
                </c:pt>
                <c:pt idx="63">
                  <c:v>110.79</c:v>
                </c:pt>
                <c:pt idx="64">
                  <c:v>120.59</c:v>
                </c:pt>
                <c:pt idx="65">
                  <c:v>47.27</c:v>
                </c:pt>
                <c:pt idx="66">
                  <c:v>61</c:v>
                </c:pt>
                <c:pt idx="67">
                  <c:v>100.14</c:v>
                </c:pt>
                <c:pt idx="68">
                  <c:v>155.12</c:v>
                </c:pt>
                <c:pt idx="69">
                  <c:v>65.52</c:v>
                </c:pt>
                <c:pt idx="70">
                  <c:v>67.52</c:v>
                </c:pt>
                <c:pt idx="71">
                  <c:v>114.79</c:v>
                </c:pt>
                <c:pt idx="72">
                  <c:v>55.26</c:v>
                </c:pt>
                <c:pt idx="73">
                  <c:v>112.58</c:v>
                </c:pt>
                <c:pt idx="74">
                  <c:v>142.05000000000001</c:v>
                </c:pt>
                <c:pt idx="75">
                  <c:v>76.66</c:v>
                </c:pt>
                <c:pt idx="76">
                  <c:v>88.68</c:v>
                </c:pt>
                <c:pt idx="77">
                  <c:v>70.540000000000006</c:v>
                </c:pt>
                <c:pt idx="78">
                  <c:v>226.13</c:v>
                </c:pt>
                <c:pt idx="79">
                  <c:v>34.97</c:v>
                </c:pt>
                <c:pt idx="80">
                  <c:v>68.39</c:v>
                </c:pt>
                <c:pt idx="81">
                  <c:v>95.35</c:v>
                </c:pt>
                <c:pt idx="82">
                  <c:v>60.05</c:v>
                </c:pt>
                <c:pt idx="83">
                  <c:v>90.54</c:v>
                </c:pt>
                <c:pt idx="84">
                  <c:v>55.58</c:v>
                </c:pt>
                <c:pt idx="85">
                  <c:v>70.8</c:v>
                </c:pt>
                <c:pt idx="86">
                  <c:v>40.99</c:v>
                </c:pt>
                <c:pt idx="87">
                  <c:v>55.95</c:v>
                </c:pt>
                <c:pt idx="88">
                  <c:v>82.63</c:v>
                </c:pt>
                <c:pt idx="89">
                  <c:v>47.41</c:v>
                </c:pt>
                <c:pt idx="90">
                  <c:v>65.8</c:v>
                </c:pt>
                <c:pt idx="91">
                  <c:v>80.84</c:v>
                </c:pt>
                <c:pt idx="92">
                  <c:v>59.85</c:v>
                </c:pt>
                <c:pt idx="93">
                  <c:v>85.8</c:v>
                </c:pt>
                <c:pt idx="94">
                  <c:v>51.24</c:v>
                </c:pt>
                <c:pt idx="95">
                  <c:v>73.150000000000006</c:v>
                </c:pt>
                <c:pt idx="96">
                  <c:v>60.05</c:v>
                </c:pt>
                <c:pt idx="97">
                  <c:v>75.489999999999995</c:v>
                </c:pt>
                <c:pt idx="98">
                  <c:v>48.84</c:v>
                </c:pt>
                <c:pt idx="99">
                  <c:v>75.680000000000007</c:v>
                </c:pt>
                <c:pt idx="100">
                  <c:v>68.39</c:v>
                </c:pt>
                <c:pt idx="101">
                  <c:v>95.35</c:v>
                </c:pt>
                <c:pt idx="102">
                  <c:v>60.05</c:v>
                </c:pt>
                <c:pt idx="103">
                  <c:v>63.15</c:v>
                </c:pt>
                <c:pt idx="104">
                  <c:v>87.77</c:v>
                </c:pt>
                <c:pt idx="105">
                  <c:v>70.8</c:v>
                </c:pt>
                <c:pt idx="106">
                  <c:v>40.99</c:v>
                </c:pt>
                <c:pt idx="107">
                  <c:v>55.95</c:v>
                </c:pt>
                <c:pt idx="108">
                  <c:v>82.63</c:v>
                </c:pt>
                <c:pt idx="109">
                  <c:v>47.41</c:v>
                </c:pt>
                <c:pt idx="110">
                  <c:v>50.02</c:v>
                </c:pt>
                <c:pt idx="111">
                  <c:v>48.67</c:v>
                </c:pt>
                <c:pt idx="112">
                  <c:v>44.14</c:v>
                </c:pt>
                <c:pt idx="113">
                  <c:v>110.79</c:v>
                </c:pt>
                <c:pt idx="114">
                  <c:v>120.59</c:v>
                </c:pt>
                <c:pt idx="115">
                  <c:v>47.27</c:v>
                </c:pt>
                <c:pt idx="116">
                  <c:v>61</c:v>
                </c:pt>
                <c:pt idx="117">
                  <c:v>100.14</c:v>
                </c:pt>
                <c:pt idx="118">
                  <c:v>155.12</c:v>
                </c:pt>
                <c:pt idx="119">
                  <c:v>65.52</c:v>
                </c:pt>
                <c:pt idx="120">
                  <c:v>55.95</c:v>
                </c:pt>
                <c:pt idx="121">
                  <c:v>86.08</c:v>
                </c:pt>
                <c:pt idx="122">
                  <c:v>61.69</c:v>
                </c:pt>
                <c:pt idx="123">
                  <c:v>70.209999999999994</c:v>
                </c:pt>
                <c:pt idx="124">
                  <c:v>56.21</c:v>
                </c:pt>
                <c:pt idx="125">
                  <c:v>98.87</c:v>
                </c:pt>
                <c:pt idx="126">
                  <c:v>94.42</c:v>
                </c:pt>
                <c:pt idx="127">
                  <c:v>44.64</c:v>
                </c:pt>
                <c:pt idx="128">
                  <c:v>65.599999999999994</c:v>
                </c:pt>
                <c:pt idx="129">
                  <c:v>52.01</c:v>
                </c:pt>
                <c:pt idx="130">
                  <c:v>65.8</c:v>
                </c:pt>
                <c:pt idx="131">
                  <c:v>80.84</c:v>
                </c:pt>
                <c:pt idx="132">
                  <c:v>59.85</c:v>
                </c:pt>
                <c:pt idx="133">
                  <c:v>85.8</c:v>
                </c:pt>
                <c:pt idx="134">
                  <c:v>51.24</c:v>
                </c:pt>
                <c:pt idx="135">
                  <c:v>73.150000000000006</c:v>
                </c:pt>
                <c:pt idx="136">
                  <c:v>60.05</c:v>
                </c:pt>
                <c:pt idx="137">
                  <c:v>75.489999999999995</c:v>
                </c:pt>
                <c:pt idx="138">
                  <c:v>48.84</c:v>
                </c:pt>
                <c:pt idx="139">
                  <c:v>75.680000000000007</c:v>
                </c:pt>
                <c:pt idx="140">
                  <c:v>68.39</c:v>
                </c:pt>
                <c:pt idx="141">
                  <c:v>114.79</c:v>
                </c:pt>
                <c:pt idx="142">
                  <c:v>55.26</c:v>
                </c:pt>
                <c:pt idx="143">
                  <c:v>112.58</c:v>
                </c:pt>
                <c:pt idx="144">
                  <c:v>142.05000000000001</c:v>
                </c:pt>
                <c:pt idx="145">
                  <c:v>56.21</c:v>
                </c:pt>
                <c:pt idx="146">
                  <c:v>82.63</c:v>
                </c:pt>
                <c:pt idx="147">
                  <c:v>55.58</c:v>
                </c:pt>
                <c:pt idx="148">
                  <c:v>226.13</c:v>
                </c:pt>
                <c:pt idx="149">
                  <c:v>34.97</c:v>
                </c:pt>
                <c:pt idx="150">
                  <c:v>65.8</c:v>
                </c:pt>
                <c:pt idx="151">
                  <c:v>80.84</c:v>
                </c:pt>
                <c:pt idx="152">
                  <c:v>59.85</c:v>
                </c:pt>
                <c:pt idx="153">
                  <c:v>85.8</c:v>
                </c:pt>
                <c:pt idx="154">
                  <c:v>51.24</c:v>
                </c:pt>
                <c:pt idx="155">
                  <c:v>73.150000000000006</c:v>
                </c:pt>
                <c:pt idx="156">
                  <c:v>60.05</c:v>
                </c:pt>
                <c:pt idx="157">
                  <c:v>75.489999999999995</c:v>
                </c:pt>
                <c:pt idx="158">
                  <c:v>48.84</c:v>
                </c:pt>
                <c:pt idx="159">
                  <c:v>75.680000000000007</c:v>
                </c:pt>
                <c:pt idx="160">
                  <c:v>68.39</c:v>
                </c:pt>
                <c:pt idx="161">
                  <c:v>114.79</c:v>
                </c:pt>
                <c:pt idx="162">
                  <c:v>55.26</c:v>
                </c:pt>
                <c:pt idx="163">
                  <c:v>112.58</c:v>
                </c:pt>
                <c:pt idx="164">
                  <c:v>142.05000000000001</c:v>
                </c:pt>
                <c:pt idx="165">
                  <c:v>56.21</c:v>
                </c:pt>
                <c:pt idx="166">
                  <c:v>82.63</c:v>
                </c:pt>
                <c:pt idx="167">
                  <c:v>55.58</c:v>
                </c:pt>
                <c:pt idx="168">
                  <c:v>226.13</c:v>
                </c:pt>
                <c:pt idx="169">
                  <c:v>34.97</c:v>
                </c:pt>
                <c:pt idx="170">
                  <c:v>48.67</c:v>
                </c:pt>
                <c:pt idx="171">
                  <c:v>48.84</c:v>
                </c:pt>
                <c:pt idx="172">
                  <c:v>34.97</c:v>
                </c:pt>
                <c:pt idx="173">
                  <c:v>68.39</c:v>
                </c:pt>
                <c:pt idx="174">
                  <c:v>95.35</c:v>
                </c:pt>
                <c:pt idx="175">
                  <c:v>67.52</c:v>
                </c:pt>
                <c:pt idx="176">
                  <c:v>57.06</c:v>
                </c:pt>
                <c:pt idx="177">
                  <c:v>46.31</c:v>
                </c:pt>
                <c:pt idx="178">
                  <c:v>49.21</c:v>
                </c:pt>
                <c:pt idx="179">
                  <c:v>73.03</c:v>
                </c:pt>
                <c:pt idx="180">
                  <c:v>70.540000000000006</c:v>
                </c:pt>
                <c:pt idx="181">
                  <c:v>76.66</c:v>
                </c:pt>
                <c:pt idx="182">
                  <c:v>70.540000000000006</c:v>
                </c:pt>
                <c:pt idx="183">
                  <c:v>63.08</c:v>
                </c:pt>
                <c:pt idx="184">
                  <c:v>90.54</c:v>
                </c:pt>
                <c:pt idx="185">
                  <c:v>55.58</c:v>
                </c:pt>
                <c:pt idx="186">
                  <c:v>50.69</c:v>
                </c:pt>
                <c:pt idx="187">
                  <c:v>89.13</c:v>
                </c:pt>
                <c:pt idx="188">
                  <c:v>69.45</c:v>
                </c:pt>
                <c:pt idx="189">
                  <c:v>71.45</c:v>
                </c:pt>
                <c:pt idx="190">
                  <c:v>68.39</c:v>
                </c:pt>
                <c:pt idx="191">
                  <c:v>114.79</c:v>
                </c:pt>
                <c:pt idx="192">
                  <c:v>55.26</c:v>
                </c:pt>
                <c:pt idx="193">
                  <c:v>112.58</c:v>
                </c:pt>
                <c:pt idx="194">
                  <c:v>142.05000000000001</c:v>
                </c:pt>
                <c:pt idx="195">
                  <c:v>76.66</c:v>
                </c:pt>
                <c:pt idx="196">
                  <c:v>88.68</c:v>
                </c:pt>
                <c:pt idx="197">
                  <c:v>70.540000000000006</c:v>
                </c:pt>
              </c:numCache>
            </c:numRef>
          </c:xVal>
          <c:yVal>
            <c:numRef>
              <c:f>Лист1!$C$2:$C$260</c:f>
              <c:numCache>
                <c:formatCode>General</c:formatCode>
                <c:ptCount val="259"/>
                <c:pt idx="258">
                  <c:v>0</c:v>
                </c:pt>
              </c:numCache>
            </c:numRef>
          </c:yVal>
          <c:smooth val="0"/>
        </c:ser>
        <c:ser>
          <c:idx val="2"/>
          <c:order val="2"/>
          <c:tx>
            <c:strRef>
              <c:f>Лист1!$D$1</c:f>
              <c:strCache>
                <c:ptCount val="1"/>
                <c:pt idx="0">
                  <c:v>Столбец2</c:v>
                </c:pt>
              </c:strCache>
            </c:strRef>
          </c:tx>
          <c:spPr>
            <a:ln w="28575">
              <a:noFill/>
            </a:ln>
          </c:spPr>
          <c:xVal>
            <c:numRef>
              <c:f>Лист1!$A$2:$A$260</c:f>
              <c:numCache>
                <c:formatCode>General</c:formatCode>
                <c:ptCount val="259"/>
                <c:pt idx="0">
                  <c:v>67.52</c:v>
                </c:pt>
                <c:pt idx="1">
                  <c:v>114.79</c:v>
                </c:pt>
                <c:pt idx="2">
                  <c:v>55.26</c:v>
                </c:pt>
                <c:pt idx="3">
                  <c:v>112.58</c:v>
                </c:pt>
                <c:pt idx="4">
                  <c:v>142.05000000000001</c:v>
                </c:pt>
                <c:pt idx="5">
                  <c:v>76.66</c:v>
                </c:pt>
                <c:pt idx="6">
                  <c:v>88.68</c:v>
                </c:pt>
                <c:pt idx="7">
                  <c:v>70.540000000000006</c:v>
                </c:pt>
                <c:pt idx="8">
                  <c:v>226.13</c:v>
                </c:pt>
                <c:pt idx="9">
                  <c:v>34.97</c:v>
                </c:pt>
                <c:pt idx="10">
                  <c:v>68.39</c:v>
                </c:pt>
                <c:pt idx="11">
                  <c:v>95.35</c:v>
                </c:pt>
                <c:pt idx="12">
                  <c:v>60.05</c:v>
                </c:pt>
                <c:pt idx="13">
                  <c:v>63.15</c:v>
                </c:pt>
                <c:pt idx="14">
                  <c:v>87.77</c:v>
                </c:pt>
                <c:pt idx="15">
                  <c:v>70.8</c:v>
                </c:pt>
                <c:pt idx="16">
                  <c:v>40.99</c:v>
                </c:pt>
                <c:pt idx="17">
                  <c:v>55.95</c:v>
                </c:pt>
                <c:pt idx="18">
                  <c:v>82.63</c:v>
                </c:pt>
                <c:pt idx="19">
                  <c:v>47.41</c:v>
                </c:pt>
                <c:pt idx="20">
                  <c:v>65.8</c:v>
                </c:pt>
                <c:pt idx="21">
                  <c:v>80.84</c:v>
                </c:pt>
                <c:pt idx="22">
                  <c:v>59.85</c:v>
                </c:pt>
                <c:pt idx="23">
                  <c:v>85.8</c:v>
                </c:pt>
                <c:pt idx="24">
                  <c:v>51.24</c:v>
                </c:pt>
                <c:pt idx="25">
                  <c:v>73.150000000000006</c:v>
                </c:pt>
                <c:pt idx="26">
                  <c:v>60.05</c:v>
                </c:pt>
                <c:pt idx="27">
                  <c:v>75.489999999999995</c:v>
                </c:pt>
                <c:pt idx="28">
                  <c:v>48.84</c:v>
                </c:pt>
                <c:pt idx="29">
                  <c:v>75.680000000000007</c:v>
                </c:pt>
                <c:pt idx="30">
                  <c:v>47.53</c:v>
                </c:pt>
                <c:pt idx="31">
                  <c:v>61.39</c:v>
                </c:pt>
                <c:pt idx="32">
                  <c:v>71.17</c:v>
                </c:pt>
                <c:pt idx="33">
                  <c:v>63.08</c:v>
                </c:pt>
                <c:pt idx="34">
                  <c:v>90.54</c:v>
                </c:pt>
                <c:pt idx="35">
                  <c:v>55.58</c:v>
                </c:pt>
                <c:pt idx="36">
                  <c:v>50.69</c:v>
                </c:pt>
                <c:pt idx="37">
                  <c:v>89.13</c:v>
                </c:pt>
                <c:pt idx="38">
                  <c:v>69.45</c:v>
                </c:pt>
                <c:pt idx="39">
                  <c:v>71.45</c:v>
                </c:pt>
                <c:pt idx="40">
                  <c:v>59.34</c:v>
                </c:pt>
                <c:pt idx="41">
                  <c:v>86.08</c:v>
                </c:pt>
                <c:pt idx="42">
                  <c:v>61.69</c:v>
                </c:pt>
                <c:pt idx="43">
                  <c:v>70.209999999999994</c:v>
                </c:pt>
                <c:pt idx="44">
                  <c:v>56.21</c:v>
                </c:pt>
                <c:pt idx="45">
                  <c:v>98.87</c:v>
                </c:pt>
                <c:pt idx="46">
                  <c:v>94.42</c:v>
                </c:pt>
                <c:pt idx="47">
                  <c:v>44.64</c:v>
                </c:pt>
                <c:pt idx="48">
                  <c:v>65.599999999999994</c:v>
                </c:pt>
                <c:pt idx="49">
                  <c:v>52.01</c:v>
                </c:pt>
                <c:pt idx="50">
                  <c:v>47.97</c:v>
                </c:pt>
                <c:pt idx="51">
                  <c:v>37.700000000000003</c:v>
                </c:pt>
                <c:pt idx="52">
                  <c:v>40.31</c:v>
                </c:pt>
                <c:pt idx="53">
                  <c:v>54.53</c:v>
                </c:pt>
                <c:pt idx="54">
                  <c:v>56.53</c:v>
                </c:pt>
                <c:pt idx="55">
                  <c:v>63.85</c:v>
                </c:pt>
                <c:pt idx="56">
                  <c:v>57.06</c:v>
                </c:pt>
                <c:pt idx="57">
                  <c:v>46.31</c:v>
                </c:pt>
                <c:pt idx="58">
                  <c:v>49.21</c:v>
                </c:pt>
                <c:pt idx="59">
                  <c:v>73.03</c:v>
                </c:pt>
                <c:pt idx="60">
                  <c:v>50.02</c:v>
                </c:pt>
                <c:pt idx="61">
                  <c:v>48.67</c:v>
                </c:pt>
                <c:pt idx="62">
                  <c:v>44.14</c:v>
                </c:pt>
                <c:pt idx="63">
                  <c:v>110.79</c:v>
                </c:pt>
                <c:pt idx="64">
                  <c:v>120.59</c:v>
                </c:pt>
                <c:pt idx="65">
                  <c:v>47.27</c:v>
                </c:pt>
                <c:pt idx="66">
                  <c:v>61</c:v>
                </c:pt>
                <c:pt idx="67">
                  <c:v>100.14</c:v>
                </c:pt>
                <c:pt idx="68">
                  <c:v>155.12</c:v>
                </c:pt>
                <c:pt idx="69">
                  <c:v>65.52</c:v>
                </c:pt>
                <c:pt idx="70">
                  <c:v>67.52</c:v>
                </c:pt>
                <c:pt idx="71">
                  <c:v>114.79</c:v>
                </c:pt>
                <c:pt idx="72">
                  <c:v>55.26</c:v>
                </c:pt>
                <c:pt idx="73">
                  <c:v>112.58</c:v>
                </c:pt>
                <c:pt idx="74">
                  <c:v>142.05000000000001</c:v>
                </c:pt>
                <c:pt idx="75">
                  <c:v>76.66</c:v>
                </c:pt>
                <c:pt idx="76">
                  <c:v>88.68</c:v>
                </c:pt>
                <c:pt idx="77">
                  <c:v>70.540000000000006</c:v>
                </c:pt>
                <c:pt idx="78">
                  <c:v>226.13</c:v>
                </c:pt>
                <c:pt idx="79">
                  <c:v>34.97</c:v>
                </c:pt>
                <c:pt idx="80">
                  <c:v>68.39</c:v>
                </c:pt>
                <c:pt idx="81">
                  <c:v>95.35</c:v>
                </c:pt>
                <c:pt idx="82">
                  <c:v>60.05</c:v>
                </c:pt>
                <c:pt idx="83">
                  <c:v>90.54</c:v>
                </c:pt>
                <c:pt idx="84">
                  <c:v>55.58</c:v>
                </c:pt>
                <c:pt idx="85">
                  <c:v>70.8</c:v>
                </c:pt>
                <c:pt idx="86">
                  <c:v>40.99</c:v>
                </c:pt>
                <c:pt idx="87">
                  <c:v>55.95</c:v>
                </c:pt>
                <c:pt idx="88">
                  <c:v>82.63</c:v>
                </c:pt>
                <c:pt idx="89">
                  <c:v>47.41</c:v>
                </c:pt>
                <c:pt idx="90">
                  <c:v>65.8</c:v>
                </c:pt>
                <c:pt idx="91">
                  <c:v>80.84</c:v>
                </c:pt>
                <c:pt idx="92">
                  <c:v>59.85</c:v>
                </c:pt>
                <c:pt idx="93">
                  <c:v>85.8</c:v>
                </c:pt>
                <c:pt idx="94">
                  <c:v>51.24</c:v>
                </c:pt>
                <c:pt idx="95">
                  <c:v>73.150000000000006</c:v>
                </c:pt>
                <c:pt idx="96">
                  <c:v>60.05</c:v>
                </c:pt>
                <c:pt idx="97">
                  <c:v>75.489999999999995</c:v>
                </c:pt>
                <c:pt idx="98">
                  <c:v>48.84</c:v>
                </c:pt>
                <c:pt idx="99">
                  <c:v>75.680000000000007</c:v>
                </c:pt>
                <c:pt idx="100">
                  <c:v>68.39</c:v>
                </c:pt>
                <c:pt idx="101">
                  <c:v>95.35</c:v>
                </c:pt>
                <c:pt idx="102">
                  <c:v>60.05</c:v>
                </c:pt>
                <c:pt idx="103">
                  <c:v>63.15</c:v>
                </c:pt>
                <c:pt idx="104">
                  <c:v>87.77</c:v>
                </c:pt>
                <c:pt idx="105">
                  <c:v>70.8</c:v>
                </c:pt>
                <c:pt idx="106">
                  <c:v>40.99</c:v>
                </c:pt>
                <c:pt idx="107">
                  <c:v>55.95</c:v>
                </c:pt>
                <c:pt idx="108">
                  <c:v>82.63</c:v>
                </c:pt>
                <c:pt idx="109">
                  <c:v>47.41</c:v>
                </c:pt>
                <c:pt idx="110">
                  <c:v>50.02</c:v>
                </c:pt>
                <c:pt idx="111">
                  <c:v>48.67</c:v>
                </c:pt>
                <c:pt idx="112">
                  <c:v>44.14</c:v>
                </c:pt>
                <c:pt idx="113">
                  <c:v>110.79</c:v>
                </c:pt>
                <c:pt idx="114">
                  <c:v>120.59</c:v>
                </c:pt>
                <c:pt idx="115">
                  <c:v>47.27</c:v>
                </c:pt>
                <c:pt idx="116">
                  <c:v>61</c:v>
                </c:pt>
                <c:pt idx="117">
                  <c:v>100.14</c:v>
                </c:pt>
                <c:pt idx="118">
                  <c:v>155.12</c:v>
                </c:pt>
                <c:pt idx="119">
                  <c:v>65.52</c:v>
                </c:pt>
                <c:pt idx="120">
                  <c:v>55.95</c:v>
                </c:pt>
                <c:pt idx="121">
                  <c:v>86.08</c:v>
                </c:pt>
                <c:pt idx="122">
                  <c:v>61.69</c:v>
                </c:pt>
                <c:pt idx="123">
                  <c:v>70.209999999999994</c:v>
                </c:pt>
                <c:pt idx="124">
                  <c:v>56.21</c:v>
                </c:pt>
                <c:pt idx="125">
                  <c:v>98.87</c:v>
                </c:pt>
                <c:pt idx="126">
                  <c:v>94.42</c:v>
                </c:pt>
                <c:pt idx="127">
                  <c:v>44.64</c:v>
                </c:pt>
                <c:pt idx="128">
                  <c:v>65.599999999999994</c:v>
                </c:pt>
                <c:pt idx="129">
                  <c:v>52.01</c:v>
                </c:pt>
                <c:pt idx="130">
                  <c:v>65.8</c:v>
                </c:pt>
                <c:pt idx="131">
                  <c:v>80.84</c:v>
                </c:pt>
                <c:pt idx="132">
                  <c:v>59.85</c:v>
                </c:pt>
                <c:pt idx="133">
                  <c:v>85.8</c:v>
                </c:pt>
                <c:pt idx="134">
                  <c:v>51.24</c:v>
                </c:pt>
                <c:pt idx="135">
                  <c:v>73.150000000000006</c:v>
                </c:pt>
                <c:pt idx="136">
                  <c:v>60.05</c:v>
                </c:pt>
                <c:pt idx="137">
                  <c:v>75.489999999999995</c:v>
                </c:pt>
                <c:pt idx="138">
                  <c:v>48.84</c:v>
                </c:pt>
                <c:pt idx="139">
                  <c:v>75.680000000000007</c:v>
                </c:pt>
                <c:pt idx="140">
                  <c:v>68.39</c:v>
                </c:pt>
                <c:pt idx="141">
                  <c:v>114.79</c:v>
                </c:pt>
                <c:pt idx="142">
                  <c:v>55.26</c:v>
                </c:pt>
                <c:pt idx="143">
                  <c:v>112.58</c:v>
                </c:pt>
                <c:pt idx="144">
                  <c:v>142.05000000000001</c:v>
                </c:pt>
                <c:pt idx="145">
                  <c:v>56.21</c:v>
                </c:pt>
                <c:pt idx="146">
                  <c:v>82.63</c:v>
                </c:pt>
                <c:pt idx="147">
                  <c:v>55.58</c:v>
                </c:pt>
                <c:pt idx="148">
                  <c:v>226.13</c:v>
                </c:pt>
                <c:pt idx="149">
                  <c:v>34.97</c:v>
                </c:pt>
                <c:pt idx="150">
                  <c:v>65.8</c:v>
                </c:pt>
                <c:pt idx="151">
                  <c:v>80.84</c:v>
                </c:pt>
                <c:pt idx="152">
                  <c:v>59.85</c:v>
                </c:pt>
                <c:pt idx="153">
                  <c:v>85.8</c:v>
                </c:pt>
                <c:pt idx="154">
                  <c:v>51.24</c:v>
                </c:pt>
                <c:pt idx="155">
                  <c:v>73.150000000000006</c:v>
                </c:pt>
                <c:pt idx="156">
                  <c:v>60.05</c:v>
                </c:pt>
                <c:pt idx="157">
                  <c:v>75.489999999999995</c:v>
                </c:pt>
                <c:pt idx="158">
                  <c:v>48.84</c:v>
                </c:pt>
                <c:pt idx="159">
                  <c:v>75.680000000000007</c:v>
                </c:pt>
                <c:pt idx="160">
                  <c:v>68.39</c:v>
                </c:pt>
                <c:pt idx="161">
                  <c:v>114.79</c:v>
                </c:pt>
                <c:pt idx="162">
                  <c:v>55.26</c:v>
                </c:pt>
                <c:pt idx="163">
                  <c:v>112.58</c:v>
                </c:pt>
                <c:pt idx="164">
                  <c:v>142.05000000000001</c:v>
                </c:pt>
                <c:pt idx="165">
                  <c:v>56.21</c:v>
                </c:pt>
                <c:pt idx="166">
                  <c:v>82.63</c:v>
                </c:pt>
                <c:pt idx="167">
                  <c:v>55.58</c:v>
                </c:pt>
                <c:pt idx="168">
                  <c:v>226.13</c:v>
                </c:pt>
                <c:pt idx="169">
                  <c:v>34.97</c:v>
                </c:pt>
                <c:pt idx="170">
                  <c:v>48.67</c:v>
                </c:pt>
                <c:pt idx="171">
                  <c:v>48.84</c:v>
                </c:pt>
                <c:pt idx="172">
                  <c:v>34.97</c:v>
                </c:pt>
                <c:pt idx="173">
                  <c:v>68.39</c:v>
                </c:pt>
                <c:pt idx="174">
                  <c:v>95.35</c:v>
                </c:pt>
                <c:pt idx="175">
                  <c:v>67.52</c:v>
                </c:pt>
                <c:pt idx="176">
                  <c:v>57.06</c:v>
                </c:pt>
                <c:pt idx="177">
                  <c:v>46.31</c:v>
                </c:pt>
                <c:pt idx="178">
                  <c:v>49.21</c:v>
                </c:pt>
                <c:pt idx="179">
                  <c:v>73.03</c:v>
                </c:pt>
                <c:pt idx="180">
                  <c:v>70.540000000000006</c:v>
                </c:pt>
                <c:pt idx="181">
                  <c:v>76.66</c:v>
                </c:pt>
                <c:pt idx="182">
                  <c:v>70.540000000000006</c:v>
                </c:pt>
                <c:pt idx="183">
                  <c:v>63.08</c:v>
                </c:pt>
                <c:pt idx="184">
                  <c:v>90.54</c:v>
                </c:pt>
                <c:pt idx="185">
                  <c:v>55.58</c:v>
                </c:pt>
                <c:pt idx="186">
                  <c:v>50.69</c:v>
                </c:pt>
                <c:pt idx="187">
                  <c:v>89.13</c:v>
                </c:pt>
                <c:pt idx="188">
                  <c:v>69.45</c:v>
                </c:pt>
                <c:pt idx="189">
                  <c:v>71.45</c:v>
                </c:pt>
                <c:pt idx="190">
                  <c:v>68.39</c:v>
                </c:pt>
                <c:pt idx="191">
                  <c:v>114.79</c:v>
                </c:pt>
                <c:pt idx="192">
                  <c:v>55.26</c:v>
                </c:pt>
                <c:pt idx="193">
                  <c:v>112.58</c:v>
                </c:pt>
                <c:pt idx="194">
                  <c:v>142.05000000000001</c:v>
                </c:pt>
                <c:pt idx="195">
                  <c:v>76.66</c:v>
                </c:pt>
                <c:pt idx="196">
                  <c:v>88.68</c:v>
                </c:pt>
                <c:pt idx="197">
                  <c:v>70.540000000000006</c:v>
                </c:pt>
              </c:numCache>
            </c:numRef>
          </c:xVal>
          <c:yVal>
            <c:numRef>
              <c:f>Лист1!$D$2:$D$260</c:f>
              <c:numCache>
                <c:formatCode>General</c:formatCode>
                <c:ptCount val="259"/>
                <c:pt idx="1">
                  <c:v>-0.39037072565602582</c:v>
                </c:pt>
              </c:numCache>
            </c:numRef>
          </c:yVal>
          <c:smooth val="0"/>
        </c:ser>
        <c:dLbls>
          <c:showLegendKey val="0"/>
          <c:showVal val="0"/>
          <c:showCatName val="0"/>
          <c:showSerName val="0"/>
          <c:showPercent val="0"/>
          <c:showBubbleSize val="0"/>
        </c:dLbls>
        <c:axId val="66944000"/>
        <c:axId val="66958464"/>
      </c:scatterChart>
      <c:valAx>
        <c:axId val="66944000"/>
        <c:scaling>
          <c:orientation val="minMax"/>
        </c:scaling>
        <c:delete val="0"/>
        <c:axPos val="b"/>
        <c:majorGridlines/>
        <c:minorGridlines/>
        <c:title>
          <c:tx>
            <c:rich>
              <a:bodyPr/>
              <a:lstStyle/>
              <a:p>
                <a:pPr>
                  <a:defRPr/>
                </a:pPr>
                <a:r>
                  <a:rPr lang="uk-UA"/>
                  <a:t>ІММЛШ, г/м</a:t>
                </a:r>
                <a:r>
                  <a:rPr lang="uk-UA" baseline="30000"/>
                  <a:t>2,7</a:t>
                </a:r>
                <a:endParaRPr lang="ru-RU"/>
              </a:p>
            </c:rich>
          </c:tx>
          <c:overlay val="0"/>
        </c:title>
        <c:numFmt formatCode="General" sourceLinked="1"/>
        <c:majorTickMark val="out"/>
        <c:minorTickMark val="none"/>
        <c:tickLblPos val="nextTo"/>
        <c:crossAx val="66958464"/>
        <c:crosses val="autoZero"/>
        <c:crossBetween val="midCat"/>
      </c:valAx>
      <c:valAx>
        <c:axId val="66958464"/>
        <c:scaling>
          <c:orientation val="minMax"/>
        </c:scaling>
        <c:delete val="0"/>
        <c:axPos val="l"/>
        <c:majorGridlines/>
        <c:minorGridlines/>
        <c:title>
          <c:tx>
            <c:rich>
              <a:bodyPr rot="0" vert="horz"/>
              <a:lstStyle/>
              <a:p>
                <a:pPr>
                  <a:defRPr/>
                </a:pPr>
                <a:r>
                  <a:rPr lang="ru-RU"/>
                  <a:t>ШКФ, мл/хв</a:t>
                </a:r>
              </a:p>
            </c:rich>
          </c:tx>
          <c:overlay val="0"/>
        </c:title>
        <c:numFmt formatCode="General" sourceLinked="1"/>
        <c:majorTickMark val="out"/>
        <c:minorTickMark val="none"/>
        <c:tickLblPos val="nextTo"/>
        <c:crossAx val="66944000"/>
        <c:crosses val="autoZero"/>
        <c:crossBetween val="midCat"/>
      </c:valAx>
    </c:plotArea>
    <c:plotVisOnly val="1"/>
    <c:dispBlanksAs val="gap"/>
    <c:showDLblsOverMax val="0"/>
  </c:chart>
  <c:txPr>
    <a:bodyPr/>
    <a:lstStyle/>
    <a:p>
      <a:pPr>
        <a:defRPr sz="1400" b="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094017094017095E-2"/>
          <c:y val="1.1520654443316999E-2"/>
          <c:w val="0.98714852951073428"/>
          <c:h val="0.80439524245608096"/>
        </c:manualLayout>
      </c:layout>
      <c:barChart>
        <c:barDir val="col"/>
        <c:grouping val="stacked"/>
        <c:varyColors val="0"/>
        <c:ser>
          <c:idx val="0"/>
          <c:order val="0"/>
          <c:tx>
            <c:strRef>
              <c:f>Лист1!$B$1</c:f>
              <c:strCache>
                <c:ptCount val="1"/>
                <c:pt idx="0">
                  <c:v>відсоток осіб, яким не вдалося досягти цільових значень</c:v>
                </c:pt>
              </c:strCache>
            </c:strRef>
          </c:tx>
          <c:invertIfNegative val="0"/>
          <c:dLbls>
            <c:dLbl>
              <c:idx val="0"/>
              <c:layout>
                <c:manualLayout>
                  <c:x val="-7.9059829059829043E-2"/>
                  <c:y val="-4.0083791346731755E-2"/>
                </c:manualLayout>
              </c:layout>
              <c:tx>
                <c:rich>
                  <a:bodyPr/>
                  <a:lstStyle/>
                  <a:p>
                    <a:r>
                      <a:rPr lang="en-US"/>
                      <a:t>34,05 %</a:t>
                    </a:r>
                  </a:p>
                </c:rich>
              </c:tx>
              <c:dLblPos val="ctr"/>
              <c:showLegendKey val="0"/>
              <c:showVal val="1"/>
              <c:showCatName val="0"/>
              <c:showSerName val="0"/>
              <c:showPercent val="0"/>
              <c:showBubbleSize val="0"/>
            </c:dLbl>
            <c:dLbl>
              <c:idx val="1"/>
              <c:layout>
                <c:manualLayout>
                  <c:x val="-8.3333333333333329E-2"/>
                  <c:y val="3.8057765893826825E-2"/>
                </c:manualLayout>
              </c:layout>
              <c:tx>
                <c:rich>
                  <a:bodyPr/>
                  <a:lstStyle/>
                  <a:p>
                    <a:r>
                      <a:rPr lang="en-US"/>
                      <a:t>70,21 %</a:t>
                    </a:r>
                  </a:p>
                </c:rich>
              </c:tx>
              <c:dLblPos val="ctr"/>
              <c:showLegendKey val="0"/>
              <c:showVal val="1"/>
              <c:showCatName val="0"/>
              <c:showSerName val="0"/>
              <c:showPercent val="0"/>
              <c:showBubbleSize val="0"/>
            </c:dLbl>
            <c:dLbl>
              <c:idx val="2"/>
              <c:layout>
                <c:manualLayout>
                  <c:x val="-8.3333333333333329E-2"/>
                  <c:y val="4.5243655134271496E-3"/>
                </c:manualLayout>
              </c:layout>
              <c:tx>
                <c:rich>
                  <a:bodyPr/>
                  <a:lstStyle/>
                  <a:p>
                    <a:r>
                      <a:rPr lang="en-US"/>
                      <a:t>22,34 %</a:t>
                    </a:r>
                  </a:p>
                </c:rich>
              </c:tx>
              <c:dLblPos val="ctr"/>
              <c:showLegendKey val="0"/>
              <c:showVal val="1"/>
              <c:showCatName val="0"/>
              <c:showSerName val="0"/>
              <c:showPercent val="0"/>
              <c:showBubbleSize val="0"/>
            </c:dLbl>
            <c:dLbl>
              <c:idx val="3"/>
              <c:layout>
                <c:manualLayout>
                  <c:x val="-8.5470085470085472E-2"/>
                  <c:y val="7.3807354093942835E-3"/>
                </c:manualLayout>
              </c:layout>
              <c:tx>
                <c:rich>
                  <a:bodyPr/>
                  <a:lstStyle/>
                  <a:p>
                    <a:r>
                      <a:rPr lang="en-US"/>
                      <a:t>21,28 %</a:t>
                    </a:r>
                  </a:p>
                </c:rich>
              </c:tx>
              <c:dLblPos val="ctr"/>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Лист1!$A$2:$A$5</c:f>
              <c:strCache>
                <c:ptCount val="4"/>
                <c:pt idx="0">
                  <c:v>ЗХС</c:v>
                </c:pt>
                <c:pt idx="1">
                  <c:v>ХС ЛПНЩ</c:v>
                </c:pt>
                <c:pt idx="2">
                  <c:v>ХС ЛПВЩ</c:v>
                </c:pt>
                <c:pt idx="3">
                  <c:v>ТГ</c:v>
                </c:pt>
              </c:strCache>
            </c:strRef>
          </c:cat>
          <c:val>
            <c:numRef>
              <c:f>Лист1!$B$2:$B$5</c:f>
              <c:numCache>
                <c:formatCode>0.00%</c:formatCode>
                <c:ptCount val="4"/>
                <c:pt idx="0">
                  <c:v>0.34050000000000002</c:v>
                </c:pt>
                <c:pt idx="1">
                  <c:v>0.70209999999999995</c:v>
                </c:pt>
                <c:pt idx="2">
                  <c:v>0.22339999999999999</c:v>
                </c:pt>
                <c:pt idx="3">
                  <c:v>0.21279999999999999</c:v>
                </c:pt>
              </c:numCache>
            </c:numRef>
          </c:val>
        </c:ser>
        <c:ser>
          <c:idx val="1"/>
          <c:order val="1"/>
          <c:tx>
            <c:strRef>
              <c:f>Лист1!$C$1</c:f>
              <c:strCache>
                <c:ptCount val="1"/>
                <c:pt idx="0">
                  <c:v>відсоток осіб із досягненим цільовим значенням упродовж дослідження</c:v>
                </c:pt>
              </c:strCache>
            </c:strRef>
          </c:tx>
          <c:invertIfNegative val="0"/>
          <c:dLbls>
            <c:dLbl>
              <c:idx val="0"/>
              <c:layout>
                <c:manualLayout>
                  <c:x val="-7.9226899522175112E-2"/>
                  <c:y val="-1.9083121375673907E-2"/>
                </c:manualLayout>
              </c:layout>
              <c:tx>
                <c:rich>
                  <a:bodyPr/>
                  <a:lstStyle/>
                  <a:p>
                    <a:r>
                      <a:rPr lang="en-US" sz="1400">
                        <a:latin typeface="Times New Roman" pitchFamily="18" charset="0"/>
                        <a:cs typeface="Times New Roman" pitchFamily="18" charset="0"/>
                      </a:rPr>
                      <a:t>31,91 %</a:t>
                    </a:r>
                  </a:p>
                </c:rich>
              </c:tx>
              <c:dLblPos val="ctr"/>
              <c:showLegendKey val="0"/>
              <c:showVal val="1"/>
              <c:showCatName val="0"/>
              <c:showSerName val="0"/>
              <c:showPercent val="0"/>
              <c:showBubbleSize val="0"/>
            </c:dLbl>
            <c:dLbl>
              <c:idx val="1"/>
              <c:layout>
                <c:manualLayout>
                  <c:x val="-8.11965811965812E-2"/>
                  <c:y val="2.7409631499810294E-2"/>
                </c:manualLayout>
              </c:layout>
              <c:tx>
                <c:rich>
                  <a:bodyPr/>
                  <a:lstStyle/>
                  <a:p>
                    <a:r>
                      <a:rPr lang="en-US" sz="1400">
                        <a:latin typeface="Times New Roman" pitchFamily="18" charset="0"/>
                        <a:cs typeface="Times New Roman" pitchFamily="18" charset="0"/>
                      </a:rPr>
                      <a:t>10,64 %</a:t>
                    </a:r>
                  </a:p>
                </c:rich>
              </c:tx>
              <c:dLblPos val="ctr"/>
              <c:showLegendKey val="0"/>
              <c:showVal val="1"/>
              <c:showCatName val="0"/>
              <c:showSerName val="0"/>
              <c:showPercent val="0"/>
              <c:showBubbleSize val="0"/>
            </c:dLbl>
            <c:dLbl>
              <c:idx val="2"/>
              <c:layout>
                <c:manualLayout>
                  <c:x val="-7.6923076923076927E-2"/>
                  <c:y val="-8.0652824594982256E-2"/>
                </c:manualLayout>
              </c:layout>
              <c:tx>
                <c:rich>
                  <a:bodyPr/>
                  <a:lstStyle/>
                  <a:p>
                    <a:r>
                      <a:rPr lang="en-US" sz="1400">
                        <a:latin typeface="Times New Roman" pitchFamily="18" charset="0"/>
                        <a:cs typeface="Times New Roman" pitchFamily="18" charset="0"/>
                      </a:rPr>
                      <a:t>27,66 %</a:t>
                    </a:r>
                  </a:p>
                </c:rich>
              </c:tx>
              <c:dLblPos val="ctr"/>
              <c:showLegendKey val="0"/>
              <c:showVal val="1"/>
              <c:showCatName val="0"/>
              <c:showSerName val="0"/>
              <c:showPercent val="0"/>
              <c:showBubbleSize val="0"/>
            </c:dLbl>
            <c:dLbl>
              <c:idx val="3"/>
              <c:layout>
                <c:manualLayout>
                  <c:x val="-8.9743589743589744E-2"/>
                  <c:y val="-2.4590710633954491E-2"/>
                </c:manualLayout>
              </c:layout>
              <c:tx>
                <c:rich>
                  <a:bodyPr/>
                  <a:lstStyle/>
                  <a:p>
                    <a:r>
                      <a:rPr lang="en-US" sz="1400">
                        <a:latin typeface="Times New Roman" pitchFamily="18" charset="0"/>
                        <a:cs typeface="Times New Roman" pitchFamily="18" charset="0"/>
                      </a:rPr>
                      <a:t>36,17 %</a:t>
                    </a:r>
                  </a:p>
                </c:rich>
              </c:tx>
              <c:dLblPos val="ctr"/>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Лист1!$A$2:$A$5</c:f>
              <c:strCache>
                <c:ptCount val="4"/>
                <c:pt idx="0">
                  <c:v>ЗХС</c:v>
                </c:pt>
                <c:pt idx="1">
                  <c:v>ХС ЛПНЩ</c:v>
                </c:pt>
                <c:pt idx="2">
                  <c:v>ХС ЛПВЩ</c:v>
                </c:pt>
                <c:pt idx="3">
                  <c:v>ТГ</c:v>
                </c:pt>
              </c:strCache>
            </c:strRef>
          </c:cat>
          <c:val>
            <c:numRef>
              <c:f>Лист1!$C$2:$C$5</c:f>
              <c:numCache>
                <c:formatCode>0.00%</c:formatCode>
                <c:ptCount val="4"/>
                <c:pt idx="0">
                  <c:v>0.31909999999999999</c:v>
                </c:pt>
                <c:pt idx="1">
                  <c:v>0.10639999999999999</c:v>
                </c:pt>
                <c:pt idx="2">
                  <c:v>0.27660000000000001</c:v>
                </c:pt>
                <c:pt idx="3">
                  <c:v>0.36170000000000002</c:v>
                </c:pt>
              </c:numCache>
            </c:numRef>
          </c:val>
        </c:ser>
        <c:ser>
          <c:idx val="2"/>
          <c:order val="2"/>
          <c:tx>
            <c:strRef>
              <c:f>Лист1!$D$1</c:f>
              <c:strCache>
                <c:ptCount val="1"/>
                <c:pt idx="0">
                  <c:v>відсоток осіб із цільовими значеннями до початку дослідження</c:v>
                </c:pt>
              </c:strCache>
            </c:strRef>
          </c:tx>
          <c:invertIfNegative val="0"/>
          <c:dLbls>
            <c:dLbl>
              <c:idx val="0"/>
              <c:layout>
                <c:manualLayout>
                  <c:x val="-7.9059829059829057E-2"/>
                  <c:y val="-4.9229945458060864E-2"/>
                </c:manualLayout>
              </c:layout>
              <c:tx>
                <c:rich>
                  <a:bodyPr/>
                  <a:lstStyle/>
                  <a:p>
                    <a:r>
                      <a:rPr lang="en-US"/>
                      <a:t>34,04 %</a:t>
                    </a:r>
                  </a:p>
                </c:rich>
              </c:tx>
              <c:dLblPos val="ctr"/>
              <c:showLegendKey val="0"/>
              <c:showVal val="1"/>
              <c:showCatName val="0"/>
              <c:showSerName val="0"/>
              <c:showPercent val="0"/>
              <c:showBubbleSize val="0"/>
            </c:dLbl>
            <c:dLbl>
              <c:idx val="1"/>
              <c:layout>
                <c:manualLayout>
                  <c:x val="-7.9059829059829057E-2"/>
                  <c:y val="-3.3052654928933606E-3"/>
                </c:manualLayout>
              </c:layout>
              <c:tx>
                <c:rich>
                  <a:bodyPr/>
                  <a:lstStyle/>
                  <a:p>
                    <a:r>
                      <a:rPr lang="en-US"/>
                      <a:t>19,15 %</a:t>
                    </a:r>
                  </a:p>
                </c:rich>
              </c:tx>
              <c:dLblPos val="ctr"/>
              <c:showLegendKey val="0"/>
              <c:showVal val="1"/>
              <c:showCatName val="0"/>
              <c:showSerName val="0"/>
              <c:showPercent val="0"/>
              <c:showBubbleSize val="0"/>
            </c:dLbl>
            <c:dLbl>
              <c:idx val="2"/>
              <c:layout>
                <c:manualLayout>
                  <c:x val="-8.3333333333333329E-2"/>
                  <c:y val="-5.3781851728060694E-2"/>
                </c:manualLayout>
              </c:layout>
              <c:tx>
                <c:rich>
                  <a:bodyPr/>
                  <a:lstStyle/>
                  <a:p>
                    <a:r>
                      <a:rPr lang="en-US"/>
                      <a:t>50 %</a:t>
                    </a:r>
                  </a:p>
                </c:rich>
              </c:tx>
              <c:dLblPos val="ctr"/>
              <c:showLegendKey val="0"/>
              <c:showVal val="1"/>
              <c:showCatName val="0"/>
              <c:showSerName val="0"/>
              <c:showPercent val="0"/>
              <c:showBubbleSize val="0"/>
            </c:dLbl>
            <c:dLbl>
              <c:idx val="3"/>
              <c:layout>
                <c:manualLayout>
                  <c:x val="-8.5470085470085472E-2"/>
                  <c:y val="-2.7236309433702092E-2"/>
                </c:manualLayout>
              </c:layout>
              <c:tx>
                <c:rich>
                  <a:bodyPr/>
                  <a:lstStyle/>
                  <a:p>
                    <a:r>
                      <a:rPr lang="en-US"/>
                      <a:t>42,55 %</a:t>
                    </a:r>
                  </a:p>
                </c:rich>
              </c:tx>
              <c:dLblPos val="ctr"/>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Лист1!$A$2:$A$5</c:f>
              <c:strCache>
                <c:ptCount val="4"/>
                <c:pt idx="0">
                  <c:v>ЗХС</c:v>
                </c:pt>
                <c:pt idx="1">
                  <c:v>ХС ЛПНЩ</c:v>
                </c:pt>
                <c:pt idx="2">
                  <c:v>ХС ЛПВЩ</c:v>
                </c:pt>
                <c:pt idx="3">
                  <c:v>ТГ</c:v>
                </c:pt>
              </c:strCache>
            </c:strRef>
          </c:cat>
          <c:val>
            <c:numRef>
              <c:f>Лист1!$D$2:$D$5</c:f>
              <c:numCache>
                <c:formatCode>0.00%</c:formatCode>
                <c:ptCount val="4"/>
                <c:pt idx="0">
                  <c:v>0.34039999999999998</c:v>
                </c:pt>
                <c:pt idx="1">
                  <c:v>0.1915</c:v>
                </c:pt>
                <c:pt idx="2">
                  <c:v>0.5</c:v>
                </c:pt>
                <c:pt idx="3">
                  <c:v>0.42549999999999999</c:v>
                </c:pt>
              </c:numCache>
            </c:numRef>
          </c:val>
        </c:ser>
        <c:dLbls>
          <c:dLblPos val="inEnd"/>
          <c:showLegendKey val="0"/>
          <c:showVal val="1"/>
          <c:showCatName val="0"/>
          <c:showSerName val="0"/>
          <c:showPercent val="0"/>
          <c:showBubbleSize val="0"/>
        </c:dLbls>
        <c:gapWidth val="300"/>
        <c:overlap val="100"/>
        <c:serLines/>
        <c:axId val="68043136"/>
        <c:axId val="68044672"/>
      </c:barChart>
      <c:catAx>
        <c:axId val="68043136"/>
        <c:scaling>
          <c:orientation val="minMax"/>
        </c:scaling>
        <c:delete val="0"/>
        <c:axPos val="b"/>
        <c:majorTickMark val="none"/>
        <c:minorTickMark val="none"/>
        <c:tickLblPos val="nextTo"/>
        <c:txPr>
          <a:bodyPr/>
          <a:lstStyle/>
          <a:p>
            <a:pPr>
              <a:defRPr sz="1400">
                <a:latin typeface="Times New Roman" pitchFamily="18" charset="0"/>
                <a:cs typeface="Times New Roman" pitchFamily="18" charset="0"/>
              </a:defRPr>
            </a:pPr>
            <a:endParaRPr lang="ru-RU"/>
          </a:p>
        </c:txPr>
        <c:crossAx val="68044672"/>
        <c:crosses val="autoZero"/>
        <c:auto val="1"/>
        <c:lblAlgn val="ctr"/>
        <c:lblOffset val="100"/>
        <c:noMultiLvlLbl val="0"/>
      </c:catAx>
      <c:valAx>
        <c:axId val="68044672"/>
        <c:scaling>
          <c:orientation val="minMax"/>
        </c:scaling>
        <c:delete val="1"/>
        <c:axPos val="l"/>
        <c:majorGridlines/>
        <c:title>
          <c:tx>
            <c:rich>
              <a:bodyPr rot="0" vert="horz"/>
              <a:lstStyle/>
              <a:p>
                <a:pPr>
                  <a:defRPr/>
                </a:pPr>
                <a:r>
                  <a:rPr lang="en-US" sz="1400" b="0">
                    <a:latin typeface="Times New Roman" pitchFamily="18" charset="0"/>
                    <a:cs typeface="Times New Roman" pitchFamily="18" charset="0"/>
                  </a:rPr>
                  <a:t>%</a:t>
                </a:r>
                <a:endParaRPr lang="ru-RU" sz="1400" b="0">
                  <a:latin typeface="Times New Roman" pitchFamily="18" charset="0"/>
                  <a:cs typeface="Times New Roman" pitchFamily="18" charset="0"/>
                </a:endParaRPr>
              </a:p>
            </c:rich>
          </c:tx>
          <c:layout>
            <c:manualLayout>
              <c:xMode val="edge"/>
              <c:yMode val="edge"/>
              <c:x val="7.2649572649572655E-2"/>
              <c:y val="8.1601706036745408E-2"/>
            </c:manualLayout>
          </c:layout>
          <c:overlay val="0"/>
        </c:title>
        <c:numFmt formatCode="0.00%" sourceLinked="1"/>
        <c:majorTickMark val="out"/>
        <c:minorTickMark val="none"/>
        <c:tickLblPos val="nextTo"/>
        <c:crossAx val="68043136"/>
        <c:crosses val="autoZero"/>
        <c:crossBetween val="between"/>
      </c:valAx>
    </c:plotArea>
    <c:legend>
      <c:legendPos val="r"/>
      <c:layout>
        <c:manualLayout>
          <c:xMode val="edge"/>
          <c:yMode val="edge"/>
          <c:x val="7.7895551517598739E-3"/>
          <c:y val="0.88343533798310903"/>
          <c:w val="0.99007369271148804"/>
          <c:h val="0.114065570232301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983959546258152E-4"/>
          <c:y val="0"/>
          <c:w val="0.99939011566771818"/>
          <c:h val="0.73601288568038992"/>
        </c:manualLayout>
      </c:layout>
      <c:barChart>
        <c:barDir val="col"/>
        <c:grouping val="stacked"/>
        <c:varyColors val="0"/>
        <c:ser>
          <c:idx val="0"/>
          <c:order val="0"/>
          <c:tx>
            <c:strRef>
              <c:f>Лист1!$B$1</c:f>
              <c:strCache>
                <c:ptCount val="1"/>
                <c:pt idx="0">
                  <c:v>відсоток осіб, яким не вдалося досягти цільових значень</c:v>
                </c:pt>
              </c:strCache>
            </c:strRef>
          </c:tx>
          <c:invertIfNegative val="0"/>
          <c:dLbls>
            <c:dLbl>
              <c:idx val="0"/>
              <c:layout>
                <c:manualLayout>
                  <c:x val="-7.9910015957165847E-2"/>
                  <c:y val="1.0363943758059853E-2"/>
                </c:manualLayout>
              </c:layout>
              <c:tx>
                <c:rich>
                  <a:bodyPr/>
                  <a:lstStyle/>
                  <a:p>
                    <a:r>
                      <a:rPr lang="en-US"/>
                      <a:t>20,87 %</a:t>
                    </a:r>
                  </a:p>
                </c:rich>
              </c:tx>
              <c:dLblPos val="ctr"/>
              <c:showLegendKey val="0"/>
              <c:showVal val="1"/>
              <c:showCatName val="0"/>
              <c:showSerName val="0"/>
              <c:showPercent val="0"/>
              <c:showBubbleSize val="0"/>
            </c:dLbl>
            <c:dLbl>
              <c:idx val="1"/>
              <c:layout>
                <c:manualLayout>
                  <c:x val="-8.6218701427468417E-2"/>
                  <c:y val="8.032056412496387E-2"/>
                </c:manualLayout>
              </c:layout>
              <c:tx>
                <c:rich>
                  <a:bodyPr/>
                  <a:lstStyle/>
                  <a:p>
                    <a:r>
                      <a:rPr lang="en-US"/>
                      <a:t>76,87 %</a:t>
                    </a:r>
                  </a:p>
                </c:rich>
              </c:tx>
              <c:dLblPos val="ctr"/>
              <c:showLegendKey val="0"/>
              <c:showVal val="1"/>
              <c:showCatName val="0"/>
              <c:showSerName val="0"/>
              <c:showPercent val="0"/>
              <c:showBubbleSize val="0"/>
            </c:dLbl>
            <c:dLbl>
              <c:idx val="2"/>
              <c:delete val="1"/>
            </c:dLbl>
            <c:dLbl>
              <c:idx val="3"/>
              <c:layout>
                <c:manualLayout>
                  <c:x val="-8.2012911113933371E-2"/>
                  <c:y val="3.886478909272445E-2"/>
                </c:manualLayout>
              </c:layout>
              <c:tx>
                <c:rich>
                  <a:bodyPr/>
                  <a:lstStyle/>
                  <a:p>
                    <a:r>
                      <a:rPr lang="en-US"/>
                      <a:t>37,5 %</a:t>
                    </a:r>
                  </a:p>
                </c:rich>
              </c:tx>
              <c:dLblPos val="ctr"/>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Лист1!$A$2:$A$5</c:f>
              <c:strCache>
                <c:ptCount val="4"/>
                <c:pt idx="0">
                  <c:v>ЗХС</c:v>
                </c:pt>
                <c:pt idx="1">
                  <c:v>ХС ЛПНЩ</c:v>
                </c:pt>
                <c:pt idx="2">
                  <c:v>ХС ЛПВЩ</c:v>
                </c:pt>
                <c:pt idx="3">
                  <c:v>ТГ</c:v>
                </c:pt>
              </c:strCache>
            </c:strRef>
          </c:cat>
          <c:val>
            <c:numRef>
              <c:f>Лист1!$B$2:$B$5</c:f>
              <c:numCache>
                <c:formatCode>0.00%</c:formatCode>
                <c:ptCount val="4"/>
                <c:pt idx="0">
                  <c:v>0.2087</c:v>
                </c:pt>
                <c:pt idx="1">
                  <c:v>0.76870000000000005</c:v>
                </c:pt>
                <c:pt idx="2">
                  <c:v>0</c:v>
                </c:pt>
                <c:pt idx="3">
                  <c:v>0.375</c:v>
                </c:pt>
              </c:numCache>
            </c:numRef>
          </c:val>
        </c:ser>
        <c:ser>
          <c:idx val="1"/>
          <c:order val="1"/>
          <c:tx>
            <c:strRef>
              <c:f>Лист1!$C$1</c:f>
              <c:strCache>
                <c:ptCount val="1"/>
                <c:pt idx="0">
                  <c:v>відсоток осіб із досягненим цільовим значенням упродовж дослідження</c:v>
                </c:pt>
              </c:strCache>
            </c:strRef>
          </c:tx>
          <c:invertIfNegative val="0"/>
          <c:dLbls>
            <c:dLbl>
              <c:idx val="0"/>
              <c:layout>
                <c:manualLayout>
                  <c:x val="-7.9910015957165847E-2"/>
                  <c:y val="-5.6741980031454975E-2"/>
                </c:manualLayout>
              </c:layout>
              <c:tx>
                <c:rich>
                  <a:bodyPr/>
                  <a:lstStyle/>
                  <a:p>
                    <a:r>
                      <a:rPr lang="en-US"/>
                      <a:t>33,33 %</a:t>
                    </a:r>
                  </a:p>
                </c:rich>
              </c:tx>
              <c:dLblPos val="ctr"/>
              <c:showLegendKey val="0"/>
              <c:showVal val="1"/>
              <c:showCatName val="0"/>
              <c:showSerName val="0"/>
              <c:showPercent val="0"/>
              <c:showBubbleSize val="0"/>
            </c:dLbl>
            <c:dLbl>
              <c:idx val="1"/>
              <c:layout>
                <c:manualLayout>
                  <c:x val="-0.11565923362221373"/>
                  <c:y val="0.11336828376151586"/>
                </c:manualLayout>
              </c:layout>
              <c:tx>
                <c:rich>
                  <a:bodyPr/>
                  <a:lstStyle/>
                  <a:p>
                    <a:r>
                      <a:rPr lang="en-US"/>
                      <a:t>12,5 %</a:t>
                    </a:r>
                  </a:p>
                </c:rich>
              </c:tx>
              <c:dLblPos val="ctr"/>
              <c:showLegendKey val="0"/>
              <c:showVal val="1"/>
              <c:showCatName val="0"/>
              <c:showSerName val="0"/>
              <c:showPercent val="0"/>
              <c:showBubbleSize val="0"/>
            </c:dLbl>
            <c:dLbl>
              <c:idx val="2"/>
              <c:layout>
                <c:manualLayout>
                  <c:x val="-5.6778169232723101E-2"/>
                  <c:y val="-7.0060871848407327E-2"/>
                </c:manualLayout>
              </c:layout>
              <c:tx>
                <c:rich>
                  <a:bodyPr/>
                  <a:lstStyle/>
                  <a:p>
                    <a:r>
                      <a:rPr lang="en-US"/>
                      <a:t>25 %</a:t>
                    </a:r>
                  </a:p>
                </c:rich>
              </c:tx>
              <c:dLblPos val="ctr"/>
              <c:showLegendKey val="0"/>
              <c:showVal val="1"/>
              <c:showCatName val="0"/>
              <c:showSerName val="0"/>
              <c:showPercent val="0"/>
              <c:showBubbleSize val="0"/>
            </c:dLbl>
            <c:dLbl>
              <c:idx val="3"/>
              <c:layout>
                <c:manualLayout>
                  <c:x val="-8.2012911113933371E-2"/>
                  <c:y val="7.2973996905913954E-2"/>
                </c:manualLayout>
              </c:layout>
              <c:tx>
                <c:rich>
                  <a:bodyPr/>
                  <a:lstStyle/>
                  <a:p>
                    <a:r>
                      <a:rPr lang="en-US"/>
                      <a:t>37,5 %</a:t>
                    </a:r>
                  </a:p>
                </c:rich>
              </c:tx>
              <c:dLblPos val="ctr"/>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Лист1!$A$2:$A$5</c:f>
              <c:strCache>
                <c:ptCount val="4"/>
                <c:pt idx="0">
                  <c:v>ЗХС</c:v>
                </c:pt>
                <c:pt idx="1">
                  <c:v>ХС ЛПНЩ</c:v>
                </c:pt>
                <c:pt idx="2">
                  <c:v>ХС ЛПВЩ</c:v>
                </c:pt>
                <c:pt idx="3">
                  <c:v>ТГ</c:v>
                </c:pt>
              </c:strCache>
            </c:strRef>
          </c:cat>
          <c:val>
            <c:numRef>
              <c:f>Лист1!$C$2:$C$5</c:f>
              <c:numCache>
                <c:formatCode>0.00%</c:formatCode>
                <c:ptCount val="4"/>
                <c:pt idx="0">
                  <c:v>0.33329999999999999</c:v>
                </c:pt>
                <c:pt idx="1">
                  <c:v>0.125</c:v>
                </c:pt>
                <c:pt idx="2">
                  <c:v>0.25</c:v>
                </c:pt>
                <c:pt idx="3">
                  <c:v>0.375</c:v>
                </c:pt>
              </c:numCache>
            </c:numRef>
          </c:val>
        </c:ser>
        <c:ser>
          <c:idx val="2"/>
          <c:order val="2"/>
          <c:tx>
            <c:strRef>
              <c:f>Лист1!$D$1</c:f>
              <c:strCache>
                <c:ptCount val="1"/>
                <c:pt idx="0">
                  <c:v>відсоток осіб із досягненими цільовими значеннями до початку дослідження </c:v>
                </c:pt>
              </c:strCache>
            </c:strRef>
          </c:tx>
          <c:invertIfNegative val="0"/>
          <c:dLbls>
            <c:dLbl>
              <c:idx val="0"/>
              <c:layout>
                <c:manualLayout>
                  <c:x val="-7.9910015957165847E-2"/>
                  <c:y val="-9.7574898365006268E-2"/>
                </c:manualLayout>
              </c:layout>
              <c:tx>
                <c:rich>
                  <a:bodyPr/>
                  <a:lstStyle/>
                  <a:p>
                    <a:r>
                      <a:rPr lang="en-US"/>
                      <a:t>45,8 %</a:t>
                    </a:r>
                  </a:p>
                </c:rich>
              </c:tx>
              <c:dLblPos val="ctr"/>
              <c:showLegendKey val="0"/>
              <c:showVal val="1"/>
              <c:showCatName val="0"/>
              <c:showSerName val="0"/>
              <c:showPercent val="0"/>
              <c:showBubbleSize val="0"/>
            </c:dLbl>
            <c:dLbl>
              <c:idx val="1"/>
              <c:layout>
                <c:manualLayout>
                  <c:x val="-7.7807120800398283E-2"/>
                  <c:y val="-8.2421914926302772E-5"/>
                </c:manualLayout>
              </c:layout>
              <c:tx>
                <c:rich>
                  <a:bodyPr/>
                  <a:lstStyle/>
                  <a:p>
                    <a:r>
                      <a:rPr lang="en-US"/>
                      <a:t>10,63 %</a:t>
                    </a:r>
                  </a:p>
                </c:rich>
              </c:tx>
              <c:dLblPos val="ctr"/>
              <c:showLegendKey val="0"/>
              <c:showVal val="1"/>
              <c:showCatName val="0"/>
              <c:showSerName val="0"/>
              <c:showPercent val="0"/>
              <c:showBubbleSize val="0"/>
            </c:dLbl>
            <c:dLbl>
              <c:idx val="2"/>
              <c:layout>
                <c:manualLayout>
                  <c:x val="-6.7292645016560709E-2"/>
                  <c:y val="-0.13789451586203633"/>
                </c:manualLayout>
              </c:layout>
              <c:tx>
                <c:rich>
                  <a:bodyPr/>
                  <a:lstStyle/>
                  <a:p>
                    <a:r>
                      <a:rPr lang="en-US"/>
                      <a:t>75 %</a:t>
                    </a:r>
                  </a:p>
                </c:rich>
              </c:tx>
              <c:dLblPos val="ctr"/>
              <c:showLegendKey val="0"/>
              <c:showVal val="1"/>
              <c:showCatName val="0"/>
              <c:showSerName val="0"/>
              <c:showPercent val="0"/>
              <c:showBubbleSize val="0"/>
            </c:dLbl>
            <c:dLbl>
              <c:idx val="3"/>
              <c:layout>
                <c:manualLayout>
                  <c:x val="-6.5189749859793186E-2"/>
                  <c:y val="-7.8774133146891148E-3"/>
                </c:manualLayout>
              </c:layout>
              <c:tx>
                <c:rich>
                  <a:bodyPr/>
                  <a:lstStyle/>
                  <a:p>
                    <a:r>
                      <a:rPr lang="en-US"/>
                      <a:t>25 %</a:t>
                    </a:r>
                  </a:p>
                </c:rich>
              </c:tx>
              <c:dLblPos val="ctr"/>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dLbls>
          <c:cat>
            <c:strRef>
              <c:f>Лист1!$A$2:$A$5</c:f>
              <c:strCache>
                <c:ptCount val="4"/>
                <c:pt idx="0">
                  <c:v>ЗХС</c:v>
                </c:pt>
                <c:pt idx="1">
                  <c:v>ХС ЛПНЩ</c:v>
                </c:pt>
                <c:pt idx="2">
                  <c:v>ХС ЛПВЩ</c:v>
                </c:pt>
                <c:pt idx="3">
                  <c:v>ТГ</c:v>
                </c:pt>
              </c:strCache>
            </c:strRef>
          </c:cat>
          <c:val>
            <c:numRef>
              <c:f>Лист1!$D$2:$D$5</c:f>
              <c:numCache>
                <c:formatCode>0.00%</c:formatCode>
                <c:ptCount val="4"/>
                <c:pt idx="0">
                  <c:v>0.45800000000000002</c:v>
                </c:pt>
                <c:pt idx="1">
                  <c:v>0.10630000000000001</c:v>
                </c:pt>
                <c:pt idx="2">
                  <c:v>0.75</c:v>
                </c:pt>
                <c:pt idx="3">
                  <c:v>0.25</c:v>
                </c:pt>
              </c:numCache>
            </c:numRef>
          </c:val>
        </c:ser>
        <c:dLbls>
          <c:showLegendKey val="0"/>
          <c:showVal val="0"/>
          <c:showCatName val="0"/>
          <c:showSerName val="0"/>
          <c:showPercent val="0"/>
          <c:showBubbleSize val="0"/>
        </c:dLbls>
        <c:gapWidth val="300"/>
        <c:overlap val="100"/>
        <c:serLines/>
        <c:axId val="68088960"/>
        <c:axId val="68090496"/>
      </c:barChart>
      <c:catAx>
        <c:axId val="68088960"/>
        <c:scaling>
          <c:orientation val="minMax"/>
        </c:scaling>
        <c:delete val="0"/>
        <c:axPos val="b"/>
        <c:majorTickMark val="none"/>
        <c:minorTickMark val="none"/>
        <c:tickLblPos val="nextTo"/>
        <c:txPr>
          <a:bodyPr/>
          <a:lstStyle/>
          <a:p>
            <a:pPr>
              <a:defRPr sz="1400">
                <a:latin typeface="Times New Roman" pitchFamily="18" charset="0"/>
                <a:cs typeface="Times New Roman" pitchFamily="18" charset="0"/>
              </a:defRPr>
            </a:pPr>
            <a:endParaRPr lang="ru-RU"/>
          </a:p>
        </c:txPr>
        <c:crossAx val="68090496"/>
        <c:crosses val="autoZero"/>
        <c:auto val="1"/>
        <c:lblAlgn val="ctr"/>
        <c:lblOffset val="100"/>
        <c:noMultiLvlLbl val="0"/>
      </c:catAx>
      <c:valAx>
        <c:axId val="68090496"/>
        <c:scaling>
          <c:orientation val="minMax"/>
        </c:scaling>
        <c:delete val="1"/>
        <c:axPos val="l"/>
        <c:majorGridlines/>
        <c:title>
          <c:tx>
            <c:rich>
              <a:bodyPr rot="0" vert="horz"/>
              <a:lstStyle/>
              <a:p>
                <a:pPr>
                  <a:defRPr sz="1400" b="0">
                    <a:latin typeface="Times New Roman" pitchFamily="18" charset="0"/>
                    <a:cs typeface="Times New Roman" pitchFamily="18" charset="0"/>
                  </a:defRPr>
                </a:pPr>
                <a:r>
                  <a:rPr lang="en-US" sz="1400" b="0">
                    <a:latin typeface="Times New Roman" pitchFamily="18" charset="0"/>
                    <a:cs typeface="Times New Roman" pitchFamily="18" charset="0"/>
                  </a:rPr>
                  <a:t>%</a:t>
                </a:r>
                <a:endParaRPr lang="ru-RU" sz="1400" b="0">
                  <a:latin typeface="Times New Roman" pitchFamily="18" charset="0"/>
                  <a:cs typeface="Times New Roman" pitchFamily="18" charset="0"/>
                </a:endParaRPr>
              </a:p>
            </c:rich>
          </c:tx>
          <c:layout>
            <c:manualLayout>
              <c:xMode val="edge"/>
              <c:yMode val="edge"/>
              <c:x val="5.0473186119873815E-2"/>
              <c:y val="4.9003532545217728E-2"/>
            </c:manualLayout>
          </c:layout>
          <c:overlay val="0"/>
        </c:title>
        <c:numFmt formatCode="0.0%" sourceLinked="0"/>
        <c:majorTickMark val="out"/>
        <c:minorTickMark val="none"/>
        <c:tickLblPos val="nextTo"/>
        <c:crossAx val="68088960"/>
        <c:crosses val="autoZero"/>
        <c:crossBetween val="between"/>
      </c:valAx>
    </c:plotArea>
    <c:legend>
      <c:legendPos val="r"/>
      <c:layout>
        <c:manualLayout>
          <c:xMode val="edge"/>
          <c:yMode val="edge"/>
          <c:x val="0"/>
          <c:y val="0.83518998523940835"/>
          <c:w val="0.99877758182435394"/>
          <c:h val="0.1405579269990731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7.0057261663895934E-2"/>
          <c:y val="2.5908500184167182E-3"/>
          <c:w val="0.84083233458338169"/>
          <c:h val="0.98327159678738307"/>
        </c:manualLayout>
      </c:layout>
      <c:pie3DChart>
        <c:varyColors val="1"/>
        <c:ser>
          <c:idx val="0"/>
          <c:order val="0"/>
          <c:tx>
            <c:strRef>
              <c:f>Лист1!$B$1</c:f>
              <c:strCache>
                <c:ptCount val="1"/>
                <c:pt idx="0">
                  <c:v>Продажи</c:v>
                </c:pt>
              </c:strCache>
            </c:strRef>
          </c:tx>
          <c:explosion val="25"/>
          <c:dLbls>
            <c:dLbl>
              <c:idx val="0"/>
              <c:layout>
                <c:manualLayout>
                  <c:x val="-0.12580595093882496"/>
                  <c:y val="-1.3541424448426322E-3"/>
                </c:manualLayout>
              </c:layout>
              <c:showLegendKey val="0"/>
              <c:showVal val="1"/>
              <c:showCatName val="0"/>
              <c:showSerName val="0"/>
              <c:showPercent val="0"/>
              <c:showBubbleSize val="0"/>
            </c:dLbl>
            <c:dLbl>
              <c:idx val="1"/>
              <c:layout>
                <c:manualLayout>
                  <c:x val="-4.4234554815263481E-3"/>
                  <c:y val="-4.2630410300601385E-2"/>
                </c:manualLayout>
              </c:layout>
              <c:showLegendKey val="0"/>
              <c:showVal val="1"/>
              <c:showCatName val="0"/>
              <c:showSerName val="0"/>
              <c:showPercent val="0"/>
              <c:showBubbleSize val="0"/>
            </c:dLbl>
            <c:dLbl>
              <c:idx val="2"/>
              <c:layout>
                <c:manualLayout>
                  <c:x val="2.7259615384615386E-2"/>
                  <c:y val="-0.25520309205628389"/>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ІМ</c:v>
                </c:pt>
                <c:pt idx="1">
                  <c:v>ГПМК</c:v>
                </c:pt>
                <c:pt idx="2">
                  <c:v>ТІА</c:v>
                </c:pt>
              </c:strCache>
            </c:strRef>
          </c:cat>
          <c:val>
            <c:numRef>
              <c:f>Лист1!$B$2:$B$4</c:f>
              <c:numCache>
                <c:formatCode>0%</c:formatCode>
                <c:ptCount val="3"/>
                <c:pt idx="0">
                  <c:v>0.16</c:v>
                </c:pt>
                <c:pt idx="1">
                  <c:v>0.12</c:v>
                </c:pt>
                <c:pt idx="2">
                  <c:v>0.72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3438238188976378"/>
          <c:y val="0.71201645623339305"/>
          <c:w val="0.38457374318594795"/>
          <c:h val="0.21063363314659325"/>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коефіцієнт атерогенності</c:v>
                </c:pt>
              </c:strCache>
            </c:strRef>
          </c:tx>
          <c:invertIfNegative val="0"/>
          <c:dLbls>
            <c:dLbl>
              <c:idx val="0"/>
              <c:layout>
                <c:manualLayout>
                  <c:x val="-2.3148148148148147E-3"/>
                  <c:y val="-3.9752657089510778E-2"/>
                </c:manualLayout>
              </c:layout>
              <c:showLegendKey val="0"/>
              <c:showVal val="1"/>
              <c:showCatName val="0"/>
              <c:showSerName val="0"/>
              <c:showPercent val="0"/>
              <c:showBubbleSize val="0"/>
            </c:dLbl>
            <c:dLbl>
              <c:idx val="1"/>
              <c:layout>
                <c:manualLayout>
                  <c:x val="0"/>
                  <c:y val="-2.3851594253706428E-2"/>
                </c:manualLayout>
              </c:layout>
              <c:showLegendKey val="0"/>
              <c:showVal val="1"/>
              <c:showCatName val="0"/>
              <c:showSerName val="0"/>
              <c:showPercent val="0"/>
              <c:showBubbleSize val="0"/>
            </c:dLbl>
            <c:dLbl>
              <c:idx val="2"/>
              <c:layout>
                <c:manualLayout>
                  <c:x val="0"/>
                  <c:y val="-3.1802125671608623E-2"/>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errBars>
            <c:errBarType val="both"/>
            <c:errValType val="percentage"/>
            <c:noEndCap val="0"/>
            <c:val val="5"/>
          </c:errBars>
          <c:cat>
            <c:strRef>
              <c:f>Лист1!$A$2:$A$4</c:f>
              <c:strCache>
                <c:ptCount val="3"/>
                <c:pt idx="0">
                  <c:v>І група</c:v>
                </c:pt>
                <c:pt idx="1">
                  <c:v>ІІ група</c:v>
                </c:pt>
                <c:pt idx="2">
                  <c:v>контроль</c:v>
                </c:pt>
              </c:strCache>
            </c:strRef>
          </c:cat>
          <c:val>
            <c:numRef>
              <c:f>Лист1!$B$2:$B$4</c:f>
              <c:numCache>
                <c:formatCode>General</c:formatCode>
                <c:ptCount val="3"/>
                <c:pt idx="0">
                  <c:v>3.85</c:v>
                </c:pt>
                <c:pt idx="1">
                  <c:v>2.95</c:v>
                </c:pt>
                <c:pt idx="2">
                  <c:v>2.2400000000000002</c:v>
                </c:pt>
              </c:numCache>
            </c:numRef>
          </c:val>
        </c:ser>
        <c:dLbls>
          <c:showLegendKey val="0"/>
          <c:showVal val="1"/>
          <c:showCatName val="0"/>
          <c:showSerName val="0"/>
          <c:showPercent val="0"/>
          <c:showBubbleSize val="0"/>
        </c:dLbls>
        <c:gapWidth val="150"/>
        <c:axId val="68048000"/>
        <c:axId val="68049536"/>
      </c:barChart>
      <c:catAx>
        <c:axId val="68048000"/>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68049536"/>
        <c:crosses val="autoZero"/>
        <c:auto val="1"/>
        <c:lblAlgn val="ctr"/>
        <c:lblOffset val="100"/>
        <c:noMultiLvlLbl val="0"/>
      </c:catAx>
      <c:valAx>
        <c:axId val="68049536"/>
        <c:scaling>
          <c:orientation val="minMax"/>
        </c:scaling>
        <c:delete val="0"/>
        <c:axPos val="l"/>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68048000"/>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400" b="0">
                <a:latin typeface="Times New Roman" pitchFamily="18" charset="0"/>
                <a:cs typeface="Times New Roman" pitchFamily="18" charset="0"/>
              </a:rPr>
              <a:t>r</a:t>
            </a:r>
            <a:r>
              <a:rPr lang="uk-UA" sz="1400" b="0">
                <a:latin typeface="Times New Roman" pitchFamily="18" charset="0"/>
                <a:cs typeface="Times New Roman" pitchFamily="18" charset="0"/>
              </a:rPr>
              <a:t> = </a:t>
            </a:r>
            <a:r>
              <a:rPr lang="en-US" sz="1400" b="0">
                <a:latin typeface="Times New Roman" pitchFamily="18" charset="0"/>
                <a:cs typeface="Times New Roman" pitchFamily="18" charset="0"/>
              </a:rPr>
              <a:t>−</a:t>
            </a:r>
            <a:r>
              <a:rPr lang="en-US" sz="1400" b="0" baseline="0">
                <a:latin typeface="Times New Roman" pitchFamily="18" charset="0"/>
                <a:cs typeface="Times New Roman" pitchFamily="18" charset="0"/>
              </a:rPr>
              <a:t> 0,</a:t>
            </a:r>
            <a:r>
              <a:rPr lang="uk-UA" sz="1400" b="0" baseline="0">
                <a:latin typeface="Times New Roman" pitchFamily="18" charset="0"/>
                <a:cs typeface="Times New Roman" pitchFamily="18" charset="0"/>
              </a:rPr>
              <a:t>2</a:t>
            </a:r>
            <a:r>
              <a:rPr lang="uk-UA" sz="1400" b="0">
                <a:latin typeface="Times New Roman" pitchFamily="18" charset="0"/>
                <a:cs typeface="Times New Roman" pitchFamily="18" charset="0"/>
              </a:rPr>
              <a:t>; р</a:t>
            </a:r>
            <a:r>
              <a:rPr lang="uk-UA" sz="1400" b="0" baseline="0">
                <a:latin typeface="Times New Roman" pitchFamily="18" charset="0"/>
                <a:cs typeface="Times New Roman" pitchFamily="18" charset="0"/>
              </a:rPr>
              <a:t> =</a:t>
            </a:r>
            <a:r>
              <a:rPr lang="en-US" sz="1400" b="0" baseline="0">
                <a:latin typeface="Times New Roman" pitchFamily="18" charset="0"/>
                <a:cs typeface="Times New Roman" pitchFamily="18" charset="0"/>
              </a:rPr>
              <a:t> 0,0</a:t>
            </a:r>
            <a:r>
              <a:rPr lang="uk-UA" sz="1400" b="0" baseline="0">
                <a:latin typeface="Times New Roman" pitchFamily="18" charset="0"/>
                <a:cs typeface="Times New Roman" pitchFamily="18" charset="0"/>
              </a:rPr>
              <a:t>495  </a:t>
            </a:r>
            <a:endParaRPr lang="en-US" sz="1400" b="0">
              <a:latin typeface="Times New Roman" pitchFamily="18" charset="0"/>
              <a:cs typeface="Times New Roman" pitchFamily="18" charset="0"/>
            </a:endParaRPr>
          </a:p>
        </c:rich>
      </c:tx>
      <c:layout>
        <c:manualLayout>
          <c:xMode val="edge"/>
          <c:yMode val="edge"/>
          <c:x val="0.70922444590259548"/>
          <c:y val="3.5714285714285712E-2"/>
        </c:manualLayout>
      </c:layout>
      <c:overlay val="0"/>
    </c:title>
    <c:autoTitleDeleted val="0"/>
    <c:plotArea>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Лист1!$A$2:$A$199</c:f>
              <c:numCache>
                <c:formatCode>General</c:formatCode>
                <c:ptCount val="198"/>
                <c:pt idx="0">
                  <c:v>1.17</c:v>
                </c:pt>
                <c:pt idx="1">
                  <c:v>1.61</c:v>
                </c:pt>
                <c:pt idx="2">
                  <c:v>1.1100000000000001</c:v>
                </c:pt>
                <c:pt idx="3">
                  <c:v>1.3</c:v>
                </c:pt>
                <c:pt idx="4">
                  <c:v>2.23</c:v>
                </c:pt>
                <c:pt idx="5">
                  <c:v>0.51</c:v>
                </c:pt>
                <c:pt idx="6">
                  <c:v>0.83</c:v>
                </c:pt>
                <c:pt idx="7">
                  <c:v>0.88</c:v>
                </c:pt>
                <c:pt idx="8">
                  <c:v>1.58</c:v>
                </c:pt>
                <c:pt idx="9">
                  <c:v>0.83</c:v>
                </c:pt>
                <c:pt idx="10">
                  <c:v>1.45</c:v>
                </c:pt>
                <c:pt idx="11">
                  <c:v>0.75</c:v>
                </c:pt>
                <c:pt idx="12">
                  <c:v>1.1100000000000001</c:v>
                </c:pt>
                <c:pt idx="13">
                  <c:v>0.88</c:v>
                </c:pt>
                <c:pt idx="14">
                  <c:v>1.04</c:v>
                </c:pt>
                <c:pt idx="15">
                  <c:v>1.55</c:v>
                </c:pt>
                <c:pt idx="16">
                  <c:v>1.45</c:v>
                </c:pt>
                <c:pt idx="17">
                  <c:v>0.67</c:v>
                </c:pt>
                <c:pt idx="18">
                  <c:v>1.68</c:v>
                </c:pt>
                <c:pt idx="19">
                  <c:v>1.1100000000000001</c:v>
                </c:pt>
                <c:pt idx="20">
                  <c:v>0.75</c:v>
                </c:pt>
                <c:pt idx="21">
                  <c:v>1.06</c:v>
                </c:pt>
                <c:pt idx="22">
                  <c:v>1.04</c:v>
                </c:pt>
                <c:pt idx="23">
                  <c:v>0.93</c:v>
                </c:pt>
                <c:pt idx="24">
                  <c:v>0.73</c:v>
                </c:pt>
                <c:pt idx="25">
                  <c:v>1.5</c:v>
                </c:pt>
                <c:pt idx="26">
                  <c:v>0.65</c:v>
                </c:pt>
                <c:pt idx="27">
                  <c:v>0.75</c:v>
                </c:pt>
                <c:pt idx="28">
                  <c:v>1.1100000000000001</c:v>
                </c:pt>
                <c:pt idx="29">
                  <c:v>0.93</c:v>
                </c:pt>
                <c:pt idx="30">
                  <c:v>0.8</c:v>
                </c:pt>
                <c:pt idx="31">
                  <c:v>1.5</c:v>
                </c:pt>
                <c:pt idx="32">
                  <c:v>1.18</c:v>
                </c:pt>
                <c:pt idx="33">
                  <c:v>1.4</c:v>
                </c:pt>
                <c:pt idx="34">
                  <c:v>1.32</c:v>
                </c:pt>
                <c:pt idx="35">
                  <c:v>1.1100000000000001</c:v>
                </c:pt>
                <c:pt idx="36">
                  <c:v>1.3</c:v>
                </c:pt>
                <c:pt idx="37">
                  <c:v>1.2</c:v>
                </c:pt>
                <c:pt idx="38">
                  <c:v>0.88</c:v>
                </c:pt>
                <c:pt idx="39">
                  <c:v>1.48</c:v>
                </c:pt>
                <c:pt idx="40">
                  <c:v>1.32</c:v>
                </c:pt>
                <c:pt idx="41">
                  <c:v>1.3</c:v>
                </c:pt>
                <c:pt idx="42">
                  <c:v>1.42</c:v>
                </c:pt>
                <c:pt idx="43">
                  <c:v>1.24</c:v>
                </c:pt>
                <c:pt idx="44">
                  <c:v>1.66</c:v>
                </c:pt>
                <c:pt idx="45">
                  <c:v>1.01</c:v>
                </c:pt>
                <c:pt idx="46">
                  <c:v>0.93</c:v>
                </c:pt>
                <c:pt idx="47">
                  <c:v>1.1100000000000001</c:v>
                </c:pt>
                <c:pt idx="48">
                  <c:v>0.62</c:v>
                </c:pt>
                <c:pt idx="49">
                  <c:v>1.5</c:v>
                </c:pt>
                <c:pt idx="50">
                  <c:v>1.37</c:v>
                </c:pt>
                <c:pt idx="51">
                  <c:v>1.3</c:v>
                </c:pt>
                <c:pt idx="52">
                  <c:v>0.83</c:v>
                </c:pt>
                <c:pt idx="53">
                  <c:v>0.7</c:v>
                </c:pt>
                <c:pt idx="54">
                  <c:v>1.1100000000000001</c:v>
                </c:pt>
                <c:pt idx="55">
                  <c:v>0.88</c:v>
                </c:pt>
                <c:pt idx="56">
                  <c:v>0.98</c:v>
                </c:pt>
                <c:pt idx="57">
                  <c:v>1.1100000000000001</c:v>
                </c:pt>
                <c:pt idx="58">
                  <c:v>1.1000000000000001</c:v>
                </c:pt>
                <c:pt idx="59">
                  <c:v>1.48</c:v>
                </c:pt>
                <c:pt idx="60">
                  <c:v>1.3</c:v>
                </c:pt>
                <c:pt idx="61">
                  <c:v>1.5</c:v>
                </c:pt>
                <c:pt idx="62">
                  <c:v>1.37</c:v>
                </c:pt>
                <c:pt idx="63">
                  <c:v>1.5</c:v>
                </c:pt>
                <c:pt idx="64">
                  <c:v>1.22</c:v>
                </c:pt>
                <c:pt idx="65">
                  <c:v>0.7</c:v>
                </c:pt>
                <c:pt idx="66">
                  <c:v>1.76</c:v>
                </c:pt>
                <c:pt idx="67">
                  <c:v>1.35</c:v>
                </c:pt>
                <c:pt idx="68">
                  <c:v>1.48</c:v>
                </c:pt>
                <c:pt idx="69">
                  <c:v>1.3</c:v>
                </c:pt>
                <c:pt idx="70">
                  <c:v>1.17</c:v>
                </c:pt>
                <c:pt idx="71">
                  <c:v>1.61</c:v>
                </c:pt>
                <c:pt idx="72">
                  <c:v>1.1100000000000001</c:v>
                </c:pt>
                <c:pt idx="73">
                  <c:v>1.3</c:v>
                </c:pt>
                <c:pt idx="74">
                  <c:v>2.23</c:v>
                </c:pt>
                <c:pt idx="75">
                  <c:v>0.51</c:v>
                </c:pt>
                <c:pt idx="76">
                  <c:v>0.83</c:v>
                </c:pt>
                <c:pt idx="77">
                  <c:v>0.88</c:v>
                </c:pt>
                <c:pt idx="78">
                  <c:v>1.58</c:v>
                </c:pt>
                <c:pt idx="79">
                  <c:v>0.83</c:v>
                </c:pt>
                <c:pt idx="80">
                  <c:v>1.45</c:v>
                </c:pt>
                <c:pt idx="81">
                  <c:v>0.75</c:v>
                </c:pt>
                <c:pt idx="82">
                  <c:v>1.1100000000000001</c:v>
                </c:pt>
                <c:pt idx="83">
                  <c:v>0.88</c:v>
                </c:pt>
                <c:pt idx="84">
                  <c:v>1.04</c:v>
                </c:pt>
                <c:pt idx="85">
                  <c:v>1.55</c:v>
                </c:pt>
                <c:pt idx="86">
                  <c:v>1.45</c:v>
                </c:pt>
                <c:pt idx="87">
                  <c:v>0.67</c:v>
                </c:pt>
                <c:pt idx="88">
                  <c:v>1.68</c:v>
                </c:pt>
                <c:pt idx="89">
                  <c:v>1.1100000000000001</c:v>
                </c:pt>
                <c:pt idx="90">
                  <c:v>0.75</c:v>
                </c:pt>
                <c:pt idx="91">
                  <c:v>1.06</c:v>
                </c:pt>
                <c:pt idx="92">
                  <c:v>1.04</c:v>
                </c:pt>
                <c:pt idx="93">
                  <c:v>0.93</c:v>
                </c:pt>
                <c:pt idx="94">
                  <c:v>0.73</c:v>
                </c:pt>
                <c:pt idx="95">
                  <c:v>1.5</c:v>
                </c:pt>
              </c:numCache>
            </c:numRef>
          </c:xVal>
          <c:yVal>
            <c:numRef>
              <c:f>Лист1!$B$2:$B$199</c:f>
              <c:numCache>
                <c:formatCode>General</c:formatCode>
                <c:ptCount val="198"/>
                <c:pt idx="0">
                  <c:v>8.1999999999999993</c:v>
                </c:pt>
                <c:pt idx="1">
                  <c:v>9.6999999999999993</c:v>
                </c:pt>
                <c:pt idx="2">
                  <c:v>9.6</c:v>
                </c:pt>
                <c:pt idx="3">
                  <c:v>7.3</c:v>
                </c:pt>
                <c:pt idx="4">
                  <c:v>9</c:v>
                </c:pt>
                <c:pt idx="5">
                  <c:v>9.4</c:v>
                </c:pt>
                <c:pt idx="6">
                  <c:v>9.6999999999999993</c:v>
                </c:pt>
                <c:pt idx="7">
                  <c:v>9.1</c:v>
                </c:pt>
                <c:pt idx="8">
                  <c:v>8.1999999999999993</c:v>
                </c:pt>
                <c:pt idx="9">
                  <c:v>9.4</c:v>
                </c:pt>
                <c:pt idx="10">
                  <c:v>7.9</c:v>
                </c:pt>
                <c:pt idx="11">
                  <c:v>7.9</c:v>
                </c:pt>
                <c:pt idx="12">
                  <c:v>7.9</c:v>
                </c:pt>
                <c:pt idx="13">
                  <c:v>7.5</c:v>
                </c:pt>
                <c:pt idx="14">
                  <c:v>10.8</c:v>
                </c:pt>
                <c:pt idx="15">
                  <c:v>8.1999999999999993</c:v>
                </c:pt>
                <c:pt idx="16">
                  <c:v>5.8</c:v>
                </c:pt>
                <c:pt idx="17">
                  <c:v>7.5</c:v>
                </c:pt>
                <c:pt idx="18">
                  <c:v>6.3</c:v>
                </c:pt>
                <c:pt idx="19">
                  <c:v>8.1</c:v>
                </c:pt>
                <c:pt idx="20">
                  <c:v>8.3000000000000007</c:v>
                </c:pt>
                <c:pt idx="21">
                  <c:v>10</c:v>
                </c:pt>
                <c:pt idx="22">
                  <c:v>9.1</c:v>
                </c:pt>
                <c:pt idx="23">
                  <c:v>10.9</c:v>
                </c:pt>
                <c:pt idx="24">
                  <c:v>10.1</c:v>
                </c:pt>
                <c:pt idx="25">
                  <c:v>9.3000000000000007</c:v>
                </c:pt>
                <c:pt idx="26">
                  <c:v>9.1</c:v>
                </c:pt>
                <c:pt idx="27">
                  <c:v>8.6999999999999993</c:v>
                </c:pt>
                <c:pt idx="28">
                  <c:v>9.3000000000000007</c:v>
                </c:pt>
                <c:pt idx="29">
                  <c:v>7.3</c:v>
                </c:pt>
                <c:pt idx="30">
                  <c:v>7.7</c:v>
                </c:pt>
                <c:pt idx="31">
                  <c:v>7.4</c:v>
                </c:pt>
                <c:pt idx="32">
                  <c:v>11.1</c:v>
                </c:pt>
                <c:pt idx="33">
                  <c:v>8.4</c:v>
                </c:pt>
                <c:pt idx="34">
                  <c:v>6.6</c:v>
                </c:pt>
                <c:pt idx="35">
                  <c:v>9.6</c:v>
                </c:pt>
                <c:pt idx="36">
                  <c:v>10.8</c:v>
                </c:pt>
                <c:pt idx="37">
                  <c:v>6.1</c:v>
                </c:pt>
                <c:pt idx="38">
                  <c:v>6.2</c:v>
                </c:pt>
                <c:pt idx="39">
                  <c:v>7</c:v>
                </c:pt>
                <c:pt idx="40">
                  <c:v>8.4</c:v>
                </c:pt>
                <c:pt idx="41">
                  <c:v>7.9</c:v>
                </c:pt>
                <c:pt idx="42">
                  <c:v>7.6</c:v>
                </c:pt>
                <c:pt idx="43">
                  <c:v>9.1999999999999993</c:v>
                </c:pt>
                <c:pt idx="44">
                  <c:v>6.7</c:v>
                </c:pt>
                <c:pt idx="45">
                  <c:v>8.3000000000000007</c:v>
                </c:pt>
                <c:pt idx="46">
                  <c:v>9.1</c:v>
                </c:pt>
                <c:pt idx="47">
                  <c:v>5.6</c:v>
                </c:pt>
                <c:pt idx="48">
                  <c:v>8.1</c:v>
                </c:pt>
                <c:pt idx="49">
                  <c:v>10.6</c:v>
                </c:pt>
                <c:pt idx="50">
                  <c:v>5.4</c:v>
                </c:pt>
                <c:pt idx="51">
                  <c:v>11.7</c:v>
                </c:pt>
                <c:pt idx="52">
                  <c:v>9.1999999999999993</c:v>
                </c:pt>
                <c:pt idx="53">
                  <c:v>9.8000000000000007</c:v>
                </c:pt>
                <c:pt idx="54">
                  <c:v>8</c:v>
                </c:pt>
                <c:pt idx="55">
                  <c:v>9.9</c:v>
                </c:pt>
                <c:pt idx="56">
                  <c:v>9.1</c:v>
                </c:pt>
                <c:pt idx="57">
                  <c:v>9</c:v>
                </c:pt>
                <c:pt idx="58">
                  <c:v>10.4</c:v>
                </c:pt>
                <c:pt idx="59">
                  <c:v>5.7</c:v>
                </c:pt>
                <c:pt idx="60">
                  <c:v>5.7</c:v>
                </c:pt>
                <c:pt idx="61">
                  <c:v>5.6</c:v>
                </c:pt>
                <c:pt idx="62">
                  <c:v>8.9</c:v>
                </c:pt>
                <c:pt idx="63">
                  <c:v>11.1</c:v>
                </c:pt>
                <c:pt idx="64">
                  <c:v>8.3000000000000007</c:v>
                </c:pt>
                <c:pt idx="65">
                  <c:v>7.7</c:v>
                </c:pt>
                <c:pt idx="66">
                  <c:v>9.4</c:v>
                </c:pt>
                <c:pt idx="67">
                  <c:v>7.1</c:v>
                </c:pt>
                <c:pt idx="68">
                  <c:v>7.4</c:v>
                </c:pt>
                <c:pt idx="69">
                  <c:v>7.7</c:v>
                </c:pt>
                <c:pt idx="70">
                  <c:v>8.1999999999999993</c:v>
                </c:pt>
                <c:pt idx="71">
                  <c:v>9.6999999999999993</c:v>
                </c:pt>
                <c:pt idx="72">
                  <c:v>9.6</c:v>
                </c:pt>
                <c:pt idx="73">
                  <c:v>7.3</c:v>
                </c:pt>
                <c:pt idx="74">
                  <c:v>9</c:v>
                </c:pt>
                <c:pt idx="75">
                  <c:v>9.4</c:v>
                </c:pt>
                <c:pt idx="76">
                  <c:v>9.6999999999999993</c:v>
                </c:pt>
                <c:pt idx="77">
                  <c:v>9.1</c:v>
                </c:pt>
                <c:pt idx="78">
                  <c:v>8.1999999999999993</c:v>
                </c:pt>
                <c:pt idx="79">
                  <c:v>9.4</c:v>
                </c:pt>
                <c:pt idx="80">
                  <c:v>7.9</c:v>
                </c:pt>
                <c:pt idx="81">
                  <c:v>7.9</c:v>
                </c:pt>
                <c:pt idx="82">
                  <c:v>7.9</c:v>
                </c:pt>
                <c:pt idx="83">
                  <c:v>7.5</c:v>
                </c:pt>
                <c:pt idx="84">
                  <c:v>10.8</c:v>
                </c:pt>
                <c:pt idx="85">
                  <c:v>8.1999999999999993</c:v>
                </c:pt>
                <c:pt idx="86">
                  <c:v>5.8</c:v>
                </c:pt>
                <c:pt idx="87">
                  <c:v>7.5</c:v>
                </c:pt>
                <c:pt idx="88">
                  <c:v>6.3</c:v>
                </c:pt>
                <c:pt idx="89">
                  <c:v>8.1</c:v>
                </c:pt>
                <c:pt idx="90">
                  <c:v>8.3000000000000007</c:v>
                </c:pt>
                <c:pt idx="91">
                  <c:v>10</c:v>
                </c:pt>
                <c:pt idx="92">
                  <c:v>9.1</c:v>
                </c:pt>
                <c:pt idx="93">
                  <c:v>10.9</c:v>
                </c:pt>
                <c:pt idx="94">
                  <c:v>10.1</c:v>
                </c:pt>
                <c:pt idx="95">
                  <c:v>9.3000000000000007</c:v>
                </c:pt>
              </c:numCache>
            </c:numRef>
          </c:yVal>
          <c:smooth val="0"/>
        </c:ser>
        <c:dLbls>
          <c:showLegendKey val="0"/>
          <c:showVal val="0"/>
          <c:showCatName val="0"/>
          <c:showSerName val="0"/>
          <c:showPercent val="0"/>
          <c:showBubbleSize val="0"/>
        </c:dLbls>
        <c:axId val="91350144"/>
        <c:axId val="93248512"/>
      </c:scatterChart>
      <c:valAx>
        <c:axId val="91350144"/>
        <c:scaling>
          <c:orientation val="minMax"/>
        </c:scaling>
        <c:delete val="0"/>
        <c:axPos val="b"/>
        <c:minorGridlines/>
        <c:title>
          <c:tx>
            <c:rich>
              <a:bodyPr/>
              <a:lstStyle/>
              <a:p>
                <a:pPr>
                  <a:defRPr sz="1400"/>
                </a:pPr>
                <a:r>
                  <a:rPr lang="uk-UA" sz="1400" b="0">
                    <a:latin typeface="Times New Roman" pitchFamily="18" charset="0"/>
                    <a:cs typeface="Times New Roman" pitchFamily="18" charset="0"/>
                  </a:rPr>
                  <a:t>ХС</a:t>
                </a:r>
                <a:r>
                  <a:rPr lang="uk-UA" sz="1400" b="0" baseline="0">
                    <a:latin typeface="Times New Roman" pitchFamily="18" charset="0"/>
                    <a:cs typeface="Times New Roman" pitchFamily="18" charset="0"/>
                  </a:rPr>
                  <a:t> </a:t>
                </a:r>
                <a:r>
                  <a:rPr lang="uk-UA" sz="1400" b="0">
                    <a:latin typeface="Times New Roman" pitchFamily="18" charset="0"/>
                    <a:cs typeface="Times New Roman" pitchFamily="18" charset="0"/>
                  </a:rPr>
                  <a:t>ЛПВЩ</a:t>
                </a:r>
                <a:r>
                  <a:rPr lang="ru-RU" sz="1400" b="0">
                    <a:latin typeface="Times New Roman" pitchFamily="18" charset="0"/>
                    <a:cs typeface="Times New Roman" pitchFamily="18" charset="0"/>
                  </a:rPr>
                  <a:t>,</a:t>
                </a:r>
                <a:r>
                  <a:rPr lang="ru-RU" sz="1400" b="0" baseline="0">
                    <a:latin typeface="Times New Roman" pitchFamily="18" charset="0"/>
                    <a:cs typeface="Times New Roman" pitchFamily="18" charset="0"/>
                  </a:rPr>
                  <a:t> ммоль/л</a:t>
                </a:r>
                <a:endParaRPr lang="ru-RU" sz="14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93248512"/>
        <c:crosses val="autoZero"/>
        <c:crossBetween val="midCat"/>
      </c:valAx>
      <c:valAx>
        <c:axId val="93248512"/>
        <c:scaling>
          <c:orientation val="minMax"/>
        </c:scaling>
        <c:delete val="0"/>
        <c:axPos val="l"/>
        <c:majorGridlines/>
        <c:title>
          <c:tx>
            <c:rich>
              <a:bodyPr rot="0" vert="horz"/>
              <a:lstStyle/>
              <a:p>
                <a:pPr>
                  <a:defRPr/>
                </a:pPr>
                <a:r>
                  <a:rPr lang="en-US" sz="1400" b="0">
                    <a:latin typeface="Times New Roman" pitchFamily="18" charset="0"/>
                    <a:cs typeface="Times New Roman" pitchFamily="18" charset="0"/>
                  </a:rPr>
                  <a:t>Hb</a:t>
                </a:r>
                <a:r>
                  <a:rPr lang="ru-RU" sz="1400" b="0">
                    <a:latin typeface="Times New Roman" pitchFamily="18" charset="0"/>
                    <a:cs typeface="Times New Roman" pitchFamily="18" charset="0"/>
                  </a:rPr>
                  <a:t>А1с, %</a:t>
                </a: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913501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6.2680446194225753E-3"/>
          <c:y val="9.1269841269841265E-2"/>
          <c:w val="0.745161854768154"/>
          <c:h val="0.90873015873015872"/>
        </c:manualLayout>
      </c:layout>
      <c:pie3DChart>
        <c:varyColors val="1"/>
        <c:ser>
          <c:idx val="0"/>
          <c:order val="0"/>
          <c:tx>
            <c:strRef>
              <c:f>Лист1!$B$1</c:f>
              <c:strCache>
                <c:ptCount val="1"/>
                <c:pt idx="0">
                  <c:v>Столбец1</c:v>
                </c:pt>
              </c:strCache>
            </c:strRef>
          </c:tx>
          <c:explosion val="25"/>
          <c:dPt>
            <c:idx val="2"/>
            <c:bubble3D val="0"/>
            <c:explosion val="26"/>
          </c:dPt>
          <c:dLbls>
            <c:dLbl>
              <c:idx val="0"/>
              <c:layout>
                <c:manualLayout>
                  <c:x val="-1.7990502193259865E-2"/>
                  <c:y val="2.7279617815751081E-3"/>
                </c:manualLayout>
              </c:layout>
              <c:tx>
                <c:rich>
                  <a:bodyPr/>
                  <a:lstStyle/>
                  <a:p>
                    <a:r>
                      <a:rPr lang="en-US" sz="1400">
                        <a:latin typeface="Times New Roman" pitchFamily="18" charset="0"/>
                        <a:cs typeface="Times New Roman" pitchFamily="18" charset="0"/>
                      </a:rPr>
                      <a:t>15,6</a:t>
                    </a:r>
                    <a:r>
                      <a:rPr lang="en-US" sz="1400" baseline="0">
                        <a:latin typeface="Times New Roman" pitchFamily="18" charset="0"/>
                        <a:cs typeface="Times New Roman" pitchFamily="18" charset="0"/>
                      </a:rPr>
                      <a:t> </a:t>
                    </a:r>
                    <a:r>
                      <a:rPr lang="en-US" sz="1400">
                        <a:latin typeface="Times New Roman" pitchFamily="18" charset="0"/>
                        <a:cs typeface="Times New Roman" pitchFamily="18" charset="0"/>
                      </a:rPr>
                      <a:t>%</a:t>
                    </a:r>
                    <a:endParaRPr lang="en-US"/>
                  </a:p>
                </c:rich>
              </c:tx>
              <c:dLblPos val="bestFit"/>
              <c:showLegendKey val="0"/>
              <c:showVal val="1"/>
              <c:showCatName val="0"/>
              <c:showSerName val="0"/>
              <c:showPercent val="0"/>
              <c:showBubbleSize val="0"/>
            </c:dLbl>
            <c:dLbl>
              <c:idx val="1"/>
              <c:layout>
                <c:manualLayout>
                  <c:x val="-9.3961856408690439E-2"/>
                  <c:y val="-0.12470871952814017"/>
                </c:manualLayout>
              </c:layout>
              <c:tx>
                <c:rich>
                  <a:bodyPr/>
                  <a:lstStyle/>
                  <a:p>
                    <a:r>
                      <a:rPr lang="en-US" sz="1400">
                        <a:latin typeface="Times New Roman" pitchFamily="18" charset="0"/>
                        <a:cs typeface="Times New Roman" pitchFamily="18" charset="0"/>
                      </a:rPr>
                      <a:t>74</a:t>
                    </a:r>
                    <a:r>
                      <a:rPr lang="en-US" sz="1400" baseline="0">
                        <a:latin typeface="Times New Roman" pitchFamily="18" charset="0"/>
                        <a:cs typeface="Times New Roman" pitchFamily="18" charset="0"/>
                      </a:rPr>
                      <a:t> </a:t>
                    </a:r>
                    <a:r>
                      <a:rPr lang="en-US" sz="1400">
                        <a:latin typeface="Times New Roman" pitchFamily="18" charset="0"/>
                        <a:cs typeface="Times New Roman" pitchFamily="18" charset="0"/>
                      </a:rPr>
                      <a:t>%</a:t>
                    </a:r>
                    <a:endParaRPr lang="en-US"/>
                  </a:p>
                </c:rich>
              </c:tx>
              <c:dLblPos val="bestFit"/>
              <c:showLegendKey val="0"/>
              <c:showVal val="1"/>
              <c:showCatName val="0"/>
              <c:showSerName val="0"/>
              <c:showPercent val="0"/>
              <c:showBubbleSize val="0"/>
            </c:dLbl>
            <c:dLbl>
              <c:idx val="2"/>
              <c:layout>
                <c:manualLayout>
                  <c:x val="1.650506481466258E-2"/>
                  <c:y val="2.9325860780450921E-3"/>
                </c:manualLayout>
              </c:layout>
              <c:tx>
                <c:rich>
                  <a:bodyPr/>
                  <a:lstStyle/>
                  <a:p>
                    <a:r>
                      <a:rPr lang="en-US" sz="1400">
                        <a:latin typeface="Times New Roman" pitchFamily="18" charset="0"/>
                        <a:cs typeface="Times New Roman" pitchFamily="18" charset="0"/>
                      </a:rPr>
                      <a:t>10,4</a:t>
                    </a:r>
                    <a:r>
                      <a:rPr lang="en-US" sz="1400" baseline="0">
                        <a:latin typeface="Times New Roman" pitchFamily="18" charset="0"/>
                        <a:cs typeface="Times New Roman" pitchFamily="18" charset="0"/>
                      </a:rPr>
                      <a:t> </a:t>
                    </a:r>
                    <a:r>
                      <a:rPr lang="en-US" sz="1400">
                        <a:latin typeface="Times New Roman" pitchFamily="18" charset="0"/>
                        <a:cs typeface="Times New Roman" pitchFamily="18" charset="0"/>
                      </a:rPr>
                      <a:t>%</a:t>
                    </a:r>
                    <a:endParaRPr lang="en-US"/>
                  </a:p>
                </c:rich>
              </c:tx>
              <c:dLblPos val="bestFi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1"/>
          </c:dLbls>
          <c:cat>
            <c:strRef>
              <c:f>Лист1!$A$2:$A$4</c:f>
              <c:strCache>
                <c:ptCount val="3"/>
                <c:pt idx="0">
                  <c:v>A1</c:v>
                </c:pt>
                <c:pt idx="1">
                  <c:v>A2</c:v>
                </c:pt>
                <c:pt idx="2">
                  <c:v>A3</c:v>
                </c:pt>
              </c:strCache>
            </c:strRef>
          </c:cat>
          <c:val>
            <c:numRef>
              <c:f>Лист1!$B$2:$B$4</c:f>
              <c:numCache>
                <c:formatCode>0.00%</c:formatCode>
                <c:ptCount val="3"/>
                <c:pt idx="0">
                  <c:v>0.156</c:v>
                </c:pt>
                <c:pt idx="1">
                  <c:v>0.74</c:v>
                </c:pt>
                <c:pt idx="2">
                  <c:v>0.104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198491303012862"/>
          <c:y val="0.17154539054183338"/>
          <c:w val="0.13261144051858442"/>
          <c:h val="0.60192304729032153"/>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тривалість цукрового діабету 2-го типу</c:v>
                </c:pt>
              </c:strCache>
            </c:strRef>
          </c:tx>
          <c:invertIfNegative val="0"/>
          <c:dLbls>
            <c:dLbl>
              <c:idx val="0"/>
              <c:layout>
                <c:manualLayout>
                  <c:x val="0"/>
                  <c:y val="-7.7056443845115842E-3"/>
                </c:manualLayout>
              </c:layout>
              <c:dLblPos val="outEnd"/>
              <c:showLegendKey val="0"/>
              <c:showVal val="1"/>
              <c:showCatName val="0"/>
              <c:showSerName val="0"/>
              <c:showPercent val="0"/>
              <c:showBubbleSize val="0"/>
            </c:dLbl>
            <c:dLbl>
              <c:idx val="1"/>
              <c:layout>
                <c:manualLayout>
                  <c:x val="0"/>
                  <c:y val="-1.9876328544755389E-2"/>
                </c:manualLayout>
              </c:layout>
              <c:dLblPos val="outEnd"/>
              <c:showLegendKey val="0"/>
              <c:showVal val="1"/>
              <c:showCatName val="0"/>
              <c:showSerName val="0"/>
              <c:showPercent val="0"/>
              <c:showBubbleSize val="0"/>
            </c:dLbl>
            <c:dLbl>
              <c:idx val="2"/>
              <c:layout>
                <c:manualLayout>
                  <c:x val="2.3148148148148147E-3"/>
                  <c:y val="-3.1802125671608623E-2"/>
                </c:manualLayout>
              </c:layout>
              <c:dLblPos val="outEnd"/>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errBars>
            <c:errBarType val="both"/>
            <c:errValType val="percentage"/>
            <c:noEndCap val="0"/>
            <c:val val="5"/>
          </c:errBars>
          <c:cat>
            <c:strRef>
              <c:f>Лист1!$A$2:$A$4</c:f>
              <c:strCache>
                <c:ptCount val="3"/>
                <c:pt idx="0">
                  <c:v>A1</c:v>
                </c:pt>
                <c:pt idx="1">
                  <c:v>A2</c:v>
                </c:pt>
                <c:pt idx="2">
                  <c:v>A3</c:v>
                </c:pt>
              </c:strCache>
            </c:strRef>
          </c:cat>
          <c:val>
            <c:numRef>
              <c:f>Лист1!$B$2:$B$4</c:f>
              <c:numCache>
                <c:formatCode>General</c:formatCode>
                <c:ptCount val="3"/>
                <c:pt idx="0">
                  <c:v>5.47</c:v>
                </c:pt>
                <c:pt idx="1">
                  <c:v>11.4</c:v>
                </c:pt>
                <c:pt idx="2">
                  <c:v>15.2</c:v>
                </c:pt>
              </c:numCache>
            </c:numRef>
          </c:val>
        </c:ser>
        <c:dLbls>
          <c:dLblPos val="outEnd"/>
          <c:showLegendKey val="0"/>
          <c:showVal val="1"/>
          <c:showCatName val="0"/>
          <c:showSerName val="0"/>
          <c:showPercent val="0"/>
          <c:showBubbleSize val="0"/>
        </c:dLbls>
        <c:gapWidth val="150"/>
        <c:axId val="39609472"/>
        <c:axId val="39611008"/>
      </c:barChart>
      <c:catAx>
        <c:axId val="39609472"/>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39611008"/>
        <c:crosses val="autoZero"/>
        <c:auto val="1"/>
        <c:lblAlgn val="ctr"/>
        <c:lblOffset val="100"/>
        <c:noMultiLvlLbl val="0"/>
      </c:catAx>
      <c:valAx>
        <c:axId val="39611008"/>
        <c:scaling>
          <c:orientation val="minMax"/>
        </c:scaling>
        <c:delete val="0"/>
        <c:axPos val="l"/>
        <c:majorGridlines/>
        <c:title>
          <c:tx>
            <c:rich>
              <a:bodyPr rot="0" vert="horz"/>
              <a:lstStyle/>
              <a:p>
                <a:pPr>
                  <a:defRPr/>
                </a:pPr>
                <a:r>
                  <a:rPr lang="ru-RU" sz="1400" b="0">
                    <a:latin typeface="Times New Roman" pitchFamily="18" charset="0"/>
                    <a:cs typeface="Times New Roman" pitchFamily="18" charset="0"/>
                  </a:rPr>
                  <a:t>Роки</a:t>
                </a: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9609472"/>
        <c:crosses val="autoZero"/>
        <c:crossBetween val="between"/>
      </c:valAx>
    </c:plotArea>
    <c:legend>
      <c:legendPos val="r"/>
      <c:layout>
        <c:manualLayout>
          <c:xMode val="edge"/>
          <c:yMode val="edge"/>
          <c:x val="0.67170170332537993"/>
          <c:y val="0.43875892579026021"/>
          <c:w val="0.31548994872458608"/>
          <c:h val="0.14922056432693584"/>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тривалість артеріальної гіпертензії</c:v>
                </c:pt>
              </c:strCache>
            </c:strRef>
          </c:tx>
          <c:invertIfNegative val="0"/>
          <c:dLbls>
            <c:dLbl>
              <c:idx val="0"/>
              <c:layout>
                <c:manualLayout>
                  <c:x val="0"/>
                  <c:y val="-7.2582108510252227E-3"/>
                </c:manualLayout>
              </c:layout>
              <c:dLblPos val="outEnd"/>
              <c:showLegendKey val="0"/>
              <c:showVal val="1"/>
              <c:showCatName val="0"/>
              <c:showSerName val="0"/>
              <c:showPercent val="0"/>
              <c:showBubbleSize val="0"/>
            </c:dLbl>
            <c:dLbl>
              <c:idx val="1"/>
              <c:layout>
                <c:manualLayout>
                  <c:x val="0"/>
                  <c:y val="-3.8471177049653457E-2"/>
                </c:manualLayout>
              </c:layout>
              <c:dLblPos val="outEnd"/>
              <c:showLegendKey val="0"/>
              <c:showVal val="1"/>
              <c:showCatName val="0"/>
              <c:showSerName val="0"/>
              <c:showPercent val="0"/>
              <c:showBubbleSize val="0"/>
            </c:dLbl>
            <c:dLbl>
              <c:idx val="2"/>
              <c:layout>
                <c:manualLayout>
                  <c:x val="-4.1756505672781996E-3"/>
                  <c:y val="-1.7285912065962673E-2"/>
                </c:manualLayout>
              </c:layout>
              <c:dLblPos val="outEnd"/>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errBars>
            <c:errBarType val="both"/>
            <c:errValType val="percentage"/>
            <c:noEndCap val="0"/>
            <c:val val="5"/>
          </c:errBars>
          <c:cat>
            <c:strRef>
              <c:f>Лист1!$A$2:$A$4</c:f>
              <c:strCache>
                <c:ptCount val="3"/>
                <c:pt idx="0">
                  <c:v>A1</c:v>
                </c:pt>
                <c:pt idx="1">
                  <c:v>A2</c:v>
                </c:pt>
                <c:pt idx="2">
                  <c:v>A3</c:v>
                </c:pt>
              </c:strCache>
            </c:strRef>
          </c:cat>
          <c:val>
            <c:numRef>
              <c:f>Лист1!$B$2:$B$4</c:f>
              <c:numCache>
                <c:formatCode>General</c:formatCode>
                <c:ptCount val="3"/>
                <c:pt idx="0">
                  <c:v>4.0999999999999996</c:v>
                </c:pt>
                <c:pt idx="1">
                  <c:v>5.4</c:v>
                </c:pt>
                <c:pt idx="2">
                  <c:v>8.15</c:v>
                </c:pt>
              </c:numCache>
            </c:numRef>
          </c:val>
        </c:ser>
        <c:dLbls>
          <c:dLblPos val="outEnd"/>
          <c:showLegendKey val="0"/>
          <c:showVal val="1"/>
          <c:showCatName val="0"/>
          <c:showSerName val="0"/>
          <c:showPercent val="0"/>
          <c:showBubbleSize val="0"/>
        </c:dLbls>
        <c:gapWidth val="150"/>
        <c:axId val="39624064"/>
        <c:axId val="39629952"/>
      </c:barChart>
      <c:catAx>
        <c:axId val="39624064"/>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39629952"/>
        <c:crosses val="autoZero"/>
        <c:auto val="1"/>
        <c:lblAlgn val="ctr"/>
        <c:lblOffset val="100"/>
        <c:noMultiLvlLbl val="0"/>
      </c:catAx>
      <c:valAx>
        <c:axId val="39629952"/>
        <c:scaling>
          <c:orientation val="minMax"/>
        </c:scaling>
        <c:delete val="0"/>
        <c:axPos val="l"/>
        <c:majorGridlines/>
        <c:title>
          <c:tx>
            <c:rich>
              <a:bodyPr rot="0" vert="horz"/>
              <a:lstStyle/>
              <a:p>
                <a:pPr>
                  <a:defRPr/>
                </a:pPr>
                <a:r>
                  <a:rPr lang="ru-RU" sz="1400" b="0">
                    <a:latin typeface="Times New Roman" pitchFamily="18" charset="0"/>
                    <a:cs typeface="Times New Roman" pitchFamily="18" charset="0"/>
                  </a:rPr>
                  <a:t>Роки</a:t>
                </a: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962406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n-US" sz="1400" b="0">
                <a:latin typeface="Times New Roman" pitchFamily="18" charset="0"/>
                <a:cs typeface="Times New Roman" pitchFamily="18" charset="0"/>
              </a:rPr>
              <a:t>r</a:t>
            </a:r>
            <a:r>
              <a:rPr lang="en-US" sz="1400" b="0" baseline="0">
                <a:latin typeface="Times New Roman" pitchFamily="18" charset="0"/>
                <a:cs typeface="Times New Roman" pitchFamily="18" charset="0"/>
              </a:rPr>
              <a:t> = 0,6</a:t>
            </a:r>
            <a:r>
              <a:rPr lang="uk-UA" sz="1400" b="0" baseline="0">
                <a:latin typeface="Times New Roman" pitchFamily="18" charset="0"/>
                <a:cs typeface="Times New Roman" pitchFamily="18" charset="0"/>
              </a:rPr>
              <a:t>;</a:t>
            </a:r>
            <a:r>
              <a:rPr lang="en-US" sz="1400" b="0" baseline="0">
                <a:latin typeface="Times New Roman" pitchFamily="18" charset="0"/>
                <a:cs typeface="Times New Roman" pitchFamily="18" charset="0"/>
              </a:rPr>
              <a:t> p &lt; 0,00</a:t>
            </a:r>
            <a:r>
              <a:rPr lang="uk-UA" sz="1400" b="0" baseline="0">
                <a:latin typeface="Times New Roman" pitchFamily="18" charset="0"/>
                <a:cs typeface="Times New Roman" pitchFamily="18" charset="0"/>
              </a:rPr>
              <a:t>0</a:t>
            </a:r>
            <a:r>
              <a:rPr lang="en-US" sz="1400" b="0" baseline="0">
                <a:latin typeface="Times New Roman" pitchFamily="18" charset="0"/>
                <a:cs typeface="Times New Roman" pitchFamily="18" charset="0"/>
              </a:rPr>
              <a:t>1</a:t>
            </a:r>
            <a:r>
              <a:rPr lang="uk-UA" sz="1400" b="0" baseline="0">
                <a:latin typeface="Times New Roman" pitchFamily="18" charset="0"/>
                <a:cs typeface="Times New Roman" pitchFamily="18" charset="0"/>
              </a:rPr>
              <a:t>, </a:t>
            </a:r>
            <a:r>
              <a:rPr lang="en-US" sz="1400" b="0" baseline="0">
                <a:latin typeface="Times New Roman" pitchFamily="18" charset="0"/>
                <a:cs typeface="Times New Roman" pitchFamily="18" charset="0"/>
              </a:rPr>
              <a:t>n = 96</a:t>
            </a:r>
            <a:endParaRPr lang="en-US" sz="1400" b="0">
              <a:latin typeface="Times New Roman" pitchFamily="18" charset="0"/>
              <a:cs typeface="Times New Roman" pitchFamily="18" charset="0"/>
            </a:endParaRPr>
          </a:p>
        </c:rich>
      </c:tx>
      <c:layout>
        <c:manualLayout>
          <c:xMode val="edge"/>
          <c:yMode val="edge"/>
          <c:x val="0.5706712962962962"/>
          <c:y val="3.1746031746031744E-2"/>
        </c:manualLayout>
      </c:layout>
      <c:overlay val="0"/>
    </c:title>
    <c:autoTitleDeleted val="0"/>
    <c:plotArea>
      <c:layout>
        <c:manualLayout>
          <c:layoutTarget val="inner"/>
          <c:xMode val="edge"/>
          <c:yMode val="edge"/>
          <c:x val="0.17573108048993877"/>
          <c:y val="0.11141888513935758"/>
          <c:w val="0.74647965879265088"/>
          <c:h val="0.72567772778402695"/>
        </c:manualLayout>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Лист1!$A$2:$A$201</c:f>
              <c:numCache>
                <c:formatCode>General</c:formatCode>
                <c:ptCount val="200"/>
                <c:pt idx="0">
                  <c:v>205</c:v>
                </c:pt>
                <c:pt idx="1">
                  <c:v>204</c:v>
                </c:pt>
                <c:pt idx="2">
                  <c:v>23</c:v>
                </c:pt>
                <c:pt idx="3">
                  <c:v>20</c:v>
                </c:pt>
                <c:pt idx="4">
                  <c:v>57</c:v>
                </c:pt>
                <c:pt idx="5">
                  <c:v>21</c:v>
                </c:pt>
                <c:pt idx="6">
                  <c:v>89</c:v>
                </c:pt>
                <c:pt idx="7">
                  <c:v>29</c:v>
                </c:pt>
                <c:pt idx="8">
                  <c:v>60</c:v>
                </c:pt>
                <c:pt idx="9">
                  <c:v>33</c:v>
                </c:pt>
                <c:pt idx="10">
                  <c:v>21</c:v>
                </c:pt>
                <c:pt idx="11">
                  <c:v>12</c:v>
                </c:pt>
                <c:pt idx="12">
                  <c:v>40</c:v>
                </c:pt>
                <c:pt idx="13">
                  <c:v>6</c:v>
                </c:pt>
                <c:pt idx="14">
                  <c:v>209</c:v>
                </c:pt>
                <c:pt idx="15">
                  <c:v>25</c:v>
                </c:pt>
                <c:pt idx="16">
                  <c:v>7</c:v>
                </c:pt>
                <c:pt idx="17">
                  <c:v>10</c:v>
                </c:pt>
                <c:pt idx="18">
                  <c:v>6</c:v>
                </c:pt>
                <c:pt idx="19">
                  <c:v>16</c:v>
                </c:pt>
                <c:pt idx="20">
                  <c:v>21</c:v>
                </c:pt>
                <c:pt idx="21">
                  <c:v>21</c:v>
                </c:pt>
                <c:pt idx="22">
                  <c:v>91</c:v>
                </c:pt>
                <c:pt idx="23">
                  <c:v>217</c:v>
                </c:pt>
                <c:pt idx="24">
                  <c:v>220</c:v>
                </c:pt>
                <c:pt idx="25">
                  <c:v>68</c:v>
                </c:pt>
                <c:pt idx="26">
                  <c:v>34</c:v>
                </c:pt>
                <c:pt idx="27">
                  <c:v>24</c:v>
                </c:pt>
                <c:pt idx="28">
                  <c:v>78</c:v>
                </c:pt>
                <c:pt idx="29">
                  <c:v>32</c:v>
                </c:pt>
                <c:pt idx="30">
                  <c:v>8.1</c:v>
                </c:pt>
                <c:pt idx="31">
                  <c:v>72</c:v>
                </c:pt>
                <c:pt idx="32">
                  <c:v>221</c:v>
                </c:pt>
                <c:pt idx="33">
                  <c:v>34</c:v>
                </c:pt>
                <c:pt idx="34">
                  <c:v>33</c:v>
                </c:pt>
                <c:pt idx="35">
                  <c:v>200</c:v>
                </c:pt>
                <c:pt idx="36">
                  <c:v>180</c:v>
                </c:pt>
                <c:pt idx="37">
                  <c:v>19</c:v>
                </c:pt>
                <c:pt idx="38">
                  <c:v>3</c:v>
                </c:pt>
                <c:pt idx="39">
                  <c:v>22</c:v>
                </c:pt>
                <c:pt idx="40">
                  <c:v>24</c:v>
                </c:pt>
                <c:pt idx="41">
                  <c:v>95</c:v>
                </c:pt>
                <c:pt idx="42">
                  <c:v>28</c:v>
                </c:pt>
                <c:pt idx="43">
                  <c:v>27</c:v>
                </c:pt>
                <c:pt idx="44">
                  <c:v>3</c:v>
                </c:pt>
                <c:pt idx="45">
                  <c:v>22</c:v>
                </c:pt>
                <c:pt idx="46">
                  <c:v>33</c:v>
                </c:pt>
                <c:pt idx="47">
                  <c:v>3</c:v>
                </c:pt>
                <c:pt idx="48">
                  <c:v>21</c:v>
                </c:pt>
                <c:pt idx="49">
                  <c:v>89</c:v>
                </c:pt>
                <c:pt idx="50">
                  <c:v>3</c:v>
                </c:pt>
                <c:pt idx="51">
                  <c:v>213</c:v>
                </c:pt>
                <c:pt idx="52">
                  <c:v>22</c:v>
                </c:pt>
                <c:pt idx="53">
                  <c:v>49</c:v>
                </c:pt>
                <c:pt idx="54">
                  <c:v>23</c:v>
                </c:pt>
                <c:pt idx="55">
                  <c:v>24</c:v>
                </c:pt>
                <c:pt idx="56">
                  <c:v>14</c:v>
                </c:pt>
                <c:pt idx="57">
                  <c:v>41</c:v>
                </c:pt>
                <c:pt idx="58">
                  <c:v>230</c:v>
                </c:pt>
                <c:pt idx="59">
                  <c:v>3</c:v>
                </c:pt>
                <c:pt idx="60">
                  <c:v>3</c:v>
                </c:pt>
                <c:pt idx="61">
                  <c:v>29</c:v>
                </c:pt>
                <c:pt idx="62">
                  <c:v>28</c:v>
                </c:pt>
                <c:pt idx="63">
                  <c:v>145</c:v>
                </c:pt>
                <c:pt idx="64">
                  <c:v>23</c:v>
                </c:pt>
                <c:pt idx="65">
                  <c:v>21</c:v>
                </c:pt>
                <c:pt idx="66">
                  <c:v>28</c:v>
                </c:pt>
                <c:pt idx="67">
                  <c:v>20</c:v>
                </c:pt>
                <c:pt idx="68">
                  <c:v>20</c:v>
                </c:pt>
                <c:pt idx="69">
                  <c:v>26</c:v>
                </c:pt>
                <c:pt idx="70">
                  <c:v>205</c:v>
                </c:pt>
                <c:pt idx="71">
                  <c:v>201</c:v>
                </c:pt>
                <c:pt idx="72">
                  <c:v>16</c:v>
                </c:pt>
                <c:pt idx="73">
                  <c:v>28</c:v>
                </c:pt>
                <c:pt idx="74">
                  <c:v>57</c:v>
                </c:pt>
                <c:pt idx="75">
                  <c:v>65</c:v>
                </c:pt>
                <c:pt idx="76">
                  <c:v>89</c:v>
                </c:pt>
                <c:pt idx="77">
                  <c:v>55</c:v>
                </c:pt>
                <c:pt idx="78">
                  <c:v>60</c:v>
                </c:pt>
                <c:pt idx="79">
                  <c:v>33</c:v>
                </c:pt>
                <c:pt idx="80">
                  <c:v>31</c:v>
                </c:pt>
                <c:pt idx="81">
                  <c:v>12</c:v>
                </c:pt>
                <c:pt idx="82">
                  <c:v>40</c:v>
                </c:pt>
                <c:pt idx="83">
                  <c:v>21</c:v>
                </c:pt>
                <c:pt idx="84">
                  <c:v>76</c:v>
                </c:pt>
                <c:pt idx="85">
                  <c:v>25</c:v>
                </c:pt>
                <c:pt idx="86">
                  <c:v>2</c:v>
                </c:pt>
                <c:pt idx="87">
                  <c:v>10</c:v>
                </c:pt>
                <c:pt idx="88">
                  <c:v>6</c:v>
                </c:pt>
                <c:pt idx="89">
                  <c:v>16</c:v>
                </c:pt>
                <c:pt idx="90">
                  <c:v>62</c:v>
                </c:pt>
                <c:pt idx="91">
                  <c:v>19</c:v>
                </c:pt>
                <c:pt idx="92">
                  <c:v>91</c:v>
                </c:pt>
                <c:pt idx="93">
                  <c:v>43</c:v>
                </c:pt>
                <c:pt idx="94">
                  <c:v>55</c:v>
                </c:pt>
                <c:pt idx="95">
                  <c:v>68</c:v>
                </c:pt>
              </c:numCache>
            </c:numRef>
          </c:xVal>
          <c:yVal>
            <c:numRef>
              <c:f>Лист1!$B$2:$B$201</c:f>
              <c:numCache>
                <c:formatCode>General</c:formatCode>
                <c:ptCount val="200"/>
                <c:pt idx="0">
                  <c:v>8.1999999999999993</c:v>
                </c:pt>
                <c:pt idx="1">
                  <c:v>9.6999999999999993</c:v>
                </c:pt>
                <c:pt idx="2">
                  <c:v>9.6</c:v>
                </c:pt>
                <c:pt idx="3">
                  <c:v>7.3</c:v>
                </c:pt>
                <c:pt idx="4">
                  <c:v>9</c:v>
                </c:pt>
                <c:pt idx="5">
                  <c:v>9.4</c:v>
                </c:pt>
                <c:pt idx="6">
                  <c:v>9.6999999999999993</c:v>
                </c:pt>
                <c:pt idx="7">
                  <c:v>9.1</c:v>
                </c:pt>
                <c:pt idx="8">
                  <c:v>8.1999999999999993</c:v>
                </c:pt>
                <c:pt idx="9">
                  <c:v>9.4</c:v>
                </c:pt>
                <c:pt idx="10">
                  <c:v>7.9</c:v>
                </c:pt>
                <c:pt idx="11">
                  <c:v>7.9</c:v>
                </c:pt>
                <c:pt idx="12">
                  <c:v>7.9</c:v>
                </c:pt>
                <c:pt idx="13">
                  <c:v>7.5</c:v>
                </c:pt>
                <c:pt idx="14">
                  <c:v>10.8</c:v>
                </c:pt>
                <c:pt idx="15">
                  <c:v>8.1999999999999993</c:v>
                </c:pt>
                <c:pt idx="16">
                  <c:v>5.8</c:v>
                </c:pt>
                <c:pt idx="17">
                  <c:v>7.5</c:v>
                </c:pt>
                <c:pt idx="18">
                  <c:v>6.3</c:v>
                </c:pt>
                <c:pt idx="19">
                  <c:v>8.1</c:v>
                </c:pt>
                <c:pt idx="20">
                  <c:v>8.3000000000000007</c:v>
                </c:pt>
                <c:pt idx="21">
                  <c:v>10</c:v>
                </c:pt>
                <c:pt idx="22">
                  <c:v>9.1</c:v>
                </c:pt>
                <c:pt idx="23">
                  <c:v>10.9</c:v>
                </c:pt>
                <c:pt idx="24">
                  <c:v>10.1</c:v>
                </c:pt>
                <c:pt idx="25">
                  <c:v>9.3000000000000007</c:v>
                </c:pt>
                <c:pt idx="26">
                  <c:v>9.1</c:v>
                </c:pt>
                <c:pt idx="27">
                  <c:v>8.6999999999999993</c:v>
                </c:pt>
                <c:pt idx="28">
                  <c:v>9.3000000000000007</c:v>
                </c:pt>
                <c:pt idx="29">
                  <c:v>7.3</c:v>
                </c:pt>
                <c:pt idx="30">
                  <c:v>7.7</c:v>
                </c:pt>
                <c:pt idx="31">
                  <c:v>7.4</c:v>
                </c:pt>
                <c:pt idx="32">
                  <c:v>11.1</c:v>
                </c:pt>
                <c:pt idx="33">
                  <c:v>8.4</c:v>
                </c:pt>
                <c:pt idx="34">
                  <c:v>6.6</c:v>
                </c:pt>
                <c:pt idx="35">
                  <c:v>9.6</c:v>
                </c:pt>
                <c:pt idx="36">
                  <c:v>10.8</c:v>
                </c:pt>
                <c:pt idx="37">
                  <c:v>6.1</c:v>
                </c:pt>
                <c:pt idx="38">
                  <c:v>6.2</c:v>
                </c:pt>
                <c:pt idx="39">
                  <c:v>7</c:v>
                </c:pt>
                <c:pt idx="40">
                  <c:v>8.4</c:v>
                </c:pt>
                <c:pt idx="41">
                  <c:v>7.9</c:v>
                </c:pt>
                <c:pt idx="42">
                  <c:v>7.6</c:v>
                </c:pt>
                <c:pt idx="43">
                  <c:v>9.1999999999999993</c:v>
                </c:pt>
                <c:pt idx="44">
                  <c:v>6.7</c:v>
                </c:pt>
                <c:pt idx="45">
                  <c:v>8.3000000000000007</c:v>
                </c:pt>
                <c:pt idx="46">
                  <c:v>9.1</c:v>
                </c:pt>
                <c:pt idx="47">
                  <c:v>5.6</c:v>
                </c:pt>
                <c:pt idx="48">
                  <c:v>8.1</c:v>
                </c:pt>
                <c:pt idx="49">
                  <c:v>10.6</c:v>
                </c:pt>
                <c:pt idx="50">
                  <c:v>5.4</c:v>
                </c:pt>
                <c:pt idx="51">
                  <c:v>11.7</c:v>
                </c:pt>
                <c:pt idx="52">
                  <c:v>9.1999999999999993</c:v>
                </c:pt>
                <c:pt idx="53">
                  <c:v>9.8000000000000007</c:v>
                </c:pt>
                <c:pt idx="54">
                  <c:v>8</c:v>
                </c:pt>
                <c:pt idx="55">
                  <c:v>9.9</c:v>
                </c:pt>
                <c:pt idx="56">
                  <c:v>9.1</c:v>
                </c:pt>
                <c:pt idx="57">
                  <c:v>9</c:v>
                </c:pt>
                <c:pt idx="58">
                  <c:v>10.4</c:v>
                </c:pt>
                <c:pt idx="59">
                  <c:v>5.7</c:v>
                </c:pt>
                <c:pt idx="60">
                  <c:v>5.7</c:v>
                </c:pt>
                <c:pt idx="61">
                  <c:v>5.6</c:v>
                </c:pt>
                <c:pt idx="62">
                  <c:v>8.9</c:v>
                </c:pt>
                <c:pt idx="63">
                  <c:v>11.1</c:v>
                </c:pt>
                <c:pt idx="64">
                  <c:v>8.3000000000000007</c:v>
                </c:pt>
                <c:pt idx="65">
                  <c:v>7.7</c:v>
                </c:pt>
                <c:pt idx="66">
                  <c:v>9.4</c:v>
                </c:pt>
                <c:pt idx="67">
                  <c:v>7.1</c:v>
                </c:pt>
                <c:pt idx="68">
                  <c:v>7.4</c:v>
                </c:pt>
                <c:pt idx="69">
                  <c:v>7.7</c:v>
                </c:pt>
                <c:pt idx="70">
                  <c:v>8.1999999999999993</c:v>
                </c:pt>
                <c:pt idx="71">
                  <c:v>9.6999999999999993</c:v>
                </c:pt>
                <c:pt idx="72">
                  <c:v>9.6</c:v>
                </c:pt>
                <c:pt idx="73">
                  <c:v>7.3</c:v>
                </c:pt>
                <c:pt idx="74">
                  <c:v>9</c:v>
                </c:pt>
                <c:pt idx="75">
                  <c:v>9.4</c:v>
                </c:pt>
                <c:pt idx="76">
                  <c:v>9.6999999999999993</c:v>
                </c:pt>
                <c:pt idx="77">
                  <c:v>9.1</c:v>
                </c:pt>
                <c:pt idx="78">
                  <c:v>8.1999999999999993</c:v>
                </c:pt>
                <c:pt idx="79">
                  <c:v>9.4</c:v>
                </c:pt>
                <c:pt idx="80">
                  <c:v>7.9</c:v>
                </c:pt>
                <c:pt idx="81">
                  <c:v>7.9</c:v>
                </c:pt>
                <c:pt idx="82">
                  <c:v>7.9</c:v>
                </c:pt>
                <c:pt idx="83">
                  <c:v>7.5</c:v>
                </c:pt>
                <c:pt idx="84">
                  <c:v>10.8</c:v>
                </c:pt>
                <c:pt idx="85">
                  <c:v>8.1999999999999993</c:v>
                </c:pt>
                <c:pt idx="86">
                  <c:v>5.8</c:v>
                </c:pt>
                <c:pt idx="87">
                  <c:v>7.5</c:v>
                </c:pt>
                <c:pt idx="88">
                  <c:v>6.3</c:v>
                </c:pt>
                <c:pt idx="89">
                  <c:v>8.1</c:v>
                </c:pt>
                <c:pt idx="90">
                  <c:v>8.3000000000000007</c:v>
                </c:pt>
                <c:pt idx="91">
                  <c:v>10</c:v>
                </c:pt>
                <c:pt idx="92">
                  <c:v>9.1</c:v>
                </c:pt>
                <c:pt idx="93">
                  <c:v>10.9</c:v>
                </c:pt>
                <c:pt idx="94">
                  <c:v>10.1</c:v>
                </c:pt>
                <c:pt idx="95">
                  <c:v>9.3000000000000007</c:v>
                </c:pt>
              </c:numCache>
            </c:numRef>
          </c:yVal>
          <c:smooth val="0"/>
        </c:ser>
        <c:ser>
          <c:idx val="1"/>
          <c:order val="1"/>
          <c:tx>
            <c:strRef>
              <c:f>Лист1!$C$1</c:f>
              <c:strCache>
                <c:ptCount val="1"/>
                <c:pt idx="0">
                  <c:v>Столбец1</c:v>
                </c:pt>
              </c:strCache>
            </c:strRef>
          </c:tx>
          <c:spPr>
            <a:ln w="28575">
              <a:noFill/>
            </a:ln>
          </c:spPr>
          <c:xVal>
            <c:numRef>
              <c:f>Лист1!$A$2:$A$201</c:f>
              <c:numCache>
                <c:formatCode>General</c:formatCode>
                <c:ptCount val="200"/>
                <c:pt idx="0">
                  <c:v>205</c:v>
                </c:pt>
                <c:pt idx="1">
                  <c:v>204</c:v>
                </c:pt>
                <c:pt idx="2">
                  <c:v>23</c:v>
                </c:pt>
                <c:pt idx="3">
                  <c:v>20</c:v>
                </c:pt>
                <c:pt idx="4">
                  <c:v>57</c:v>
                </c:pt>
                <c:pt idx="5">
                  <c:v>21</c:v>
                </c:pt>
                <c:pt idx="6">
                  <c:v>89</c:v>
                </c:pt>
                <c:pt idx="7">
                  <c:v>29</c:v>
                </c:pt>
                <c:pt idx="8">
                  <c:v>60</c:v>
                </c:pt>
                <c:pt idx="9">
                  <c:v>33</c:v>
                </c:pt>
                <c:pt idx="10">
                  <c:v>21</c:v>
                </c:pt>
                <c:pt idx="11">
                  <c:v>12</c:v>
                </c:pt>
                <c:pt idx="12">
                  <c:v>40</c:v>
                </c:pt>
                <c:pt idx="13">
                  <c:v>6</c:v>
                </c:pt>
                <c:pt idx="14">
                  <c:v>209</c:v>
                </c:pt>
                <c:pt idx="15">
                  <c:v>25</c:v>
                </c:pt>
                <c:pt idx="16">
                  <c:v>7</c:v>
                </c:pt>
                <c:pt idx="17">
                  <c:v>10</c:v>
                </c:pt>
                <c:pt idx="18">
                  <c:v>6</c:v>
                </c:pt>
                <c:pt idx="19">
                  <c:v>16</c:v>
                </c:pt>
                <c:pt idx="20">
                  <c:v>21</c:v>
                </c:pt>
                <c:pt idx="21">
                  <c:v>21</c:v>
                </c:pt>
                <c:pt idx="22">
                  <c:v>91</c:v>
                </c:pt>
                <c:pt idx="23">
                  <c:v>217</c:v>
                </c:pt>
                <c:pt idx="24">
                  <c:v>220</c:v>
                </c:pt>
                <c:pt idx="25">
                  <c:v>68</c:v>
                </c:pt>
                <c:pt idx="26">
                  <c:v>34</c:v>
                </c:pt>
                <c:pt idx="27">
                  <c:v>24</c:v>
                </c:pt>
                <c:pt idx="28">
                  <c:v>78</c:v>
                </c:pt>
                <c:pt idx="29">
                  <c:v>32</c:v>
                </c:pt>
                <c:pt idx="30">
                  <c:v>8.1</c:v>
                </c:pt>
                <c:pt idx="31">
                  <c:v>72</c:v>
                </c:pt>
                <c:pt idx="32">
                  <c:v>221</c:v>
                </c:pt>
                <c:pt idx="33">
                  <c:v>34</c:v>
                </c:pt>
                <c:pt idx="34">
                  <c:v>33</c:v>
                </c:pt>
                <c:pt idx="35">
                  <c:v>200</c:v>
                </c:pt>
                <c:pt idx="36">
                  <c:v>180</c:v>
                </c:pt>
                <c:pt idx="37">
                  <c:v>19</c:v>
                </c:pt>
                <c:pt idx="38">
                  <c:v>3</c:v>
                </c:pt>
                <c:pt idx="39">
                  <c:v>22</c:v>
                </c:pt>
                <c:pt idx="40">
                  <c:v>24</c:v>
                </c:pt>
                <c:pt idx="41">
                  <c:v>95</c:v>
                </c:pt>
                <c:pt idx="42">
                  <c:v>28</c:v>
                </c:pt>
                <c:pt idx="43">
                  <c:v>27</c:v>
                </c:pt>
                <c:pt idx="44">
                  <c:v>3</c:v>
                </c:pt>
                <c:pt idx="45">
                  <c:v>22</c:v>
                </c:pt>
                <c:pt idx="46">
                  <c:v>33</c:v>
                </c:pt>
                <c:pt idx="47">
                  <c:v>3</c:v>
                </c:pt>
                <c:pt idx="48">
                  <c:v>21</c:v>
                </c:pt>
                <c:pt idx="49">
                  <c:v>89</c:v>
                </c:pt>
                <c:pt idx="50">
                  <c:v>3</c:v>
                </c:pt>
                <c:pt idx="51">
                  <c:v>213</c:v>
                </c:pt>
                <c:pt idx="52">
                  <c:v>22</c:v>
                </c:pt>
                <c:pt idx="53">
                  <c:v>49</c:v>
                </c:pt>
                <c:pt idx="54">
                  <c:v>23</c:v>
                </c:pt>
                <c:pt idx="55">
                  <c:v>24</c:v>
                </c:pt>
                <c:pt idx="56">
                  <c:v>14</c:v>
                </c:pt>
                <c:pt idx="57">
                  <c:v>41</c:v>
                </c:pt>
                <c:pt idx="58">
                  <c:v>230</c:v>
                </c:pt>
                <c:pt idx="59">
                  <c:v>3</c:v>
                </c:pt>
                <c:pt idx="60">
                  <c:v>3</c:v>
                </c:pt>
                <c:pt idx="61">
                  <c:v>29</c:v>
                </c:pt>
                <c:pt idx="62">
                  <c:v>28</c:v>
                </c:pt>
                <c:pt idx="63">
                  <c:v>145</c:v>
                </c:pt>
                <c:pt idx="64">
                  <c:v>23</c:v>
                </c:pt>
                <c:pt idx="65">
                  <c:v>21</c:v>
                </c:pt>
                <c:pt idx="66">
                  <c:v>28</c:v>
                </c:pt>
                <c:pt idx="67">
                  <c:v>20</c:v>
                </c:pt>
                <c:pt idx="68">
                  <c:v>20</c:v>
                </c:pt>
                <c:pt idx="69">
                  <c:v>26</c:v>
                </c:pt>
                <c:pt idx="70">
                  <c:v>205</c:v>
                </c:pt>
                <c:pt idx="71">
                  <c:v>201</c:v>
                </c:pt>
                <c:pt idx="72">
                  <c:v>16</c:v>
                </c:pt>
                <c:pt idx="73">
                  <c:v>28</c:v>
                </c:pt>
                <c:pt idx="74">
                  <c:v>57</c:v>
                </c:pt>
                <c:pt idx="75">
                  <c:v>65</c:v>
                </c:pt>
                <c:pt idx="76">
                  <c:v>89</c:v>
                </c:pt>
                <c:pt idx="77">
                  <c:v>55</c:v>
                </c:pt>
                <c:pt idx="78">
                  <c:v>60</c:v>
                </c:pt>
                <c:pt idx="79">
                  <c:v>33</c:v>
                </c:pt>
                <c:pt idx="80">
                  <c:v>31</c:v>
                </c:pt>
                <c:pt idx="81">
                  <c:v>12</c:v>
                </c:pt>
                <c:pt idx="82">
                  <c:v>40</c:v>
                </c:pt>
                <c:pt idx="83">
                  <c:v>21</c:v>
                </c:pt>
                <c:pt idx="84">
                  <c:v>76</c:v>
                </c:pt>
                <c:pt idx="85">
                  <c:v>25</c:v>
                </c:pt>
                <c:pt idx="86">
                  <c:v>2</c:v>
                </c:pt>
                <c:pt idx="87">
                  <c:v>10</c:v>
                </c:pt>
                <c:pt idx="88">
                  <c:v>6</c:v>
                </c:pt>
                <c:pt idx="89">
                  <c:v>16</c:v>
                </c:pt>
                <c:pt idx="90">
                  <c:v>62</c:v>
                </c:pt>
                <c:pt idx="91">
                  <c:v>19</c:v>
                </c:pt>
                <c:pt idx="92">
                  <c:v>91</c:v>
                </c:pt>
                <c:pt idx="93">
                  <c:v>43</c:v>
                </c:pt>
                <c:pt idx="94">
                  <c:v>55</c:v>
                </c:pt>
                <c:pt idx="95">
                  <c:v>68</c:v>
                </c:pt>
              </c:numCache>
            </c:numRef>
          </c:xVal>
          <c:yVal>
            <c:numRef>
              <c:f>Лист1!$C$2:$C$201</c:f>
              <c:numCache>
                <c:formatCode>General</c:formatCode>
                <c:ptCount val="200"/>
                <c:pt idx="95">
                  <c:v>0.5988599980660797</c:v>
                </c:pt>
              </c:numCache>
            </c:numRef>
          </c:yVal>
          <c:smooth val="0"/>
        </c:ser>
        <c:dLbls>
          <c:showLegendKey val="0"/>
          <c:showVal val="0"/>
          <c:showCatName val="0"/>
          <c:showSerName val="0"/>
          <c:showPercent val="0"/>
          <c:showBubbleSize val="0"/>
        </c:dLbls>
        <c:axId val="39688832"/>
        <c:axId val="39691008"/>
      </c:scatterChart>
      <c:valAx>
        <c:axId val="39688832"/>
        <c:scaling>
          <c:orientation val="minMax"/>
        </c:scaling>
        <c:delete val="0"/>
        <c:axPos val="b"/>
        <c:title>
          <c:tx>
            <c:rich>
              <a:bodyPr/>
              <a:lstStyle/>
              <a:p>
                <a:pPr>
                  <a:defRPr/>
                </a:pPr>
                <a:r>
                  <a:rPr lang="uk-UA" sz="1400" b="0">
                    <a:latin typeface="Times New Roman" pitchFamily="18" charset="0"/>
                    <a:cs typeface="Times New Roman" pitchFamily="18" charset="0"/>
                  </a:rPr>
                  <a:t>Альбумінурія,</a:t>
                </a:r>
                <a:r>
                  <a:rPr lang="uk-UA" sz="1400" b="0" baseline="0">
                    <a:latin typeface="Times New Roman" pitchFamily="18" charset="0"/>
                    <a:cs typeface="Times New Roman" pitchFamily="18" charset="0"/>
                  </a:rPr>
                  <a:t>  мг/л</a:t>
                </a:r>
                <a:endParaRPr lang="ru-RU" sz="1400" b="0">
                  <a:latin typeface="Times New Roman" pitchFamily="18" charset="0"/>
                  <a:cs typeface="Times New Roman" pitchFamily="18" charset="0"/>
                </a:endParaRPr>
              </a:p>
            </c:rich>
          </c:tx>
          <c:layout>
            <c:manualLayout>
              <c:xMode val="edge"/>
              <c:yMode val="edge"/>
              <c:x val="0.28263980023330415"/>
              <c:y val="0.93966254218222722"/>
            </c:manualLayout>
          </c:layout>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9691008"/>
        <c:crosses val="autoZero"/>
        <c:crossBetween val="midCat"/>
      </c:valAx>
      <c:valAx>
        <c:axId val="39691008"/>
        <c:scaling>
          <c:orientation val="minMax"/>
        </c:scaling>
        <c:delete val="0"/>
        <c:axPos val="l"/>
        <c:majorGridlines/>
        <c:title>
          <c:tx>
            <c:rich>
              <a:bodyPr rot="0" vert="horz"/>
              <a:lstStyle/>
              <a:p>
                <a:pPr>
                  <a:defRPr sz="1400">
                    <a:latin typeface="Times New Roman" pitchFamily="18" charset="0"/>
                    <a:cs typeface="Times New Roman" pitchFamily="18" charset="0"/>
                  </a:defRPr>
                </a:pPr>
                <a:r>
                  <a:rPr lang="uk-UA" sz="1400" b="0" i="0" u="none" strike="noStrike" baseline="0">
                    <a:effectLst/>
                    <a:latin typeface="Times New Roman" pitchFamily="18" charset="0"/>
                    <a:cs typeface="Times New Roman" pitchFamily="18" charset="0"/>
                  </a:rPr>
                  <a:t>HbA1с, %</a:t>
                </a:r>
                <a:r>
                  <a:rPr lang="ru-RU" sz="1400">
                    <a:latin typeface="Times New Roman" pitchFamily="18" charset="0"/>
                    <a:cs typeface="Times New Roman" pitchFamily="18" charset="0"/>
                  </a:rPr>
                  <a:t> </a:t>
                </a: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9688832"/>
        <c:crosses val="autoZero"/>
        <c:crossBetween val="midCat"/>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b="0">
                <a:latin typeface="Times New Roman" pitchFamily="18" charset="0"/>
                <a:cs typeface="Times New Roman" pitchFamily="18" charset="0"/>
              </a:rPr>
              <a:t>r</a:t>
            </a:r>
            <a:r>
              <a:rPr lang="ru-RU" sz="1400" b="0" baseline="0">
                <a:latin typeface="Times New Roman" pitchFamily="18" charset="0"/>
                <a:cs typeface="Times New Roman" pitchFamily="18" charset="0"/>
              </a:rPr>
              <a:t> = 0,2; р = </a:t>
            </a:r>
            <a:r>
              <a:rPr lang="en-US" sz="1400" b="0" baseline="0">
                <a:latin typeface="Times New Roman" pitchFamily="18" charset="0"/>
                <a:cs typeface="Times New Roman" pitchFamily="18" charset="0"/>
              </a:rPr>
              <a:t>0,</a:t>
            </a:r>
            <a:r>
              <a:rPr lang="uk-UA" sz="1400" b="0" baseline="0">
                <a:latin typeface="Times New Roman" pitchFamily="18" charset="0"/>
                <a:cs typeface="Times New Roman" pitchFamily="18" charset="0"/>
              </a:rPr>
              <a:t>0</a:t>
            </a:r>
            <a:r>
              <a:rPr lang="en-US" sz="1400" b="0" baseline="0">
                <a:latin typeface="Times New Roman" pitchFamily="18" charset="0"/>
                <a:cs typeface="Times New Roman" pitchFamily="18" charset="0"/>
              </a:rPr>
              <a:t>495</a:t>
            </a:r>
            <a:r>
              <a:rPr lang="ru-RU" sz="1400" b="0" baseline="0">
                <a:latin typeface="Times New Roman" pitchFamily="18" charset="0"/>
                <a:cs typeface="Times New Roman" pitchFamily="18" charset="0"/>
              </a:rPr>
              <a:t>; </a:t>
            </a:r>
            <a:r>
              <a:rPr lang="en-US" sz="1400" b="0" baseline="0">
                <a:latin typeface="Times New Roman" pitchFamily="18" charset="0"/>
                <a:cs typeface="Times New Roman" pitchFamily="18" charset="0"/>
              </a:rPr>
              <a:t>n = 96</a:t>
            </a:r>
            <a:endParaRPr lang="en-US" sz="1400" b="0">
              <a:latin typeface="Times New Roman" pitchFamily="18" charset="0"/>
              <a:cs typeface="Times New Roman" pitchFamily="18" charset="0"/>
            </a:endParaRPr>
          </a:p>
        </c:rich>
      </c:tx>
      <c:layout>
        <c:manualLayout>
          <c:xMode val="edge"/>
          <c:yMode val="edge"/>
          <c:x val="0.55467592592592596"/>
          <c:y val="6.7460317460317457E-2"/>
        </c:manualLayout>
      </c:layout>
      <c:overlay val="1"/>
    </c:title>
    <c:autoTitleDeleted val="0"/>
    <c:plotArea>
      <c:layout>
        <c:manualLayout>
          <c:layoutTarget val="inner"/>
          <c:xMode val="edge"/>
          <c:yMode val="edge"/>
          <c:x val="0.25318244084900166"/>
          <c:y val="4.4136349702985807E-2"/>
          <c:w val="0.66109260380913926"/>
          <c:h val="0.75013623297087861"/>
        </c:manualLayout>
      </c:layout>
      <c:scatterChart>
        <c:scatterStyle val="lineMarker"/>
        <c:varyColors val="0"/>
        <c:ser>
          <c:idx val="0"/>
          <c:order val="0"/>
          <c:tx>
            <c:strRef>
              <c:f>Лист1!$B$1</c:f>
              <c:strCache>
                <c:ptCount val="1"/>
                <c:pt idx="0">
                  <c:v>Значения Y</c:v>
                </c:pt>
              </c:strCache>
            </c:strRef>
          </c:tx>
          <c:spPr>
            <a:ln w="28575">
              <a:noFill/>
            </a:ln>
          </c:spPr>
          <c:trendline>
            <c:trendlineType val="linear"/>
            <c:dispRSqr val="0"/>
            <c:dispEq val="0"/>
          </c:trendline>
          <c:xVal>
            <c:numRef>
              <c:f>Лист1!$A$2:$A$268</c:f>
              <c:numCache>
                <c:formatCode>General</c:formatCode>
                <c:ptCount val="267"/>
                <c:pt idx="0">
                  <c:v>4.09</c:v>
                </c:pt>
                <c:pt idx="1">
                  <c:v>4.82</c:v>
                </c:pt>
                <c:pt idx="2">
                  <c:v>4.04</c:v>
                </c:pt>
                <c:pt idx="3">
                  <c:v>2.82</c:v>
                </c:pt>
                <c:pt idx="4">
                  <c:v>2.87</c:v>
                </c:pt>
                <c:pt idx="5">
                  <c:v>1.73</c:v>
                </c:pt>
                <c:pt idx="6">
                  <c:v>3.03</c:v>
                </c:pt>
                <c:pt idx="7">
                  <c:v>2.31</c:v>
                </c:pt>
                <c:pt idx="8">
                  <c:v>3.7</c:v>
                </c:pt>
                <c:pt idx="9">
                  <c:v>0.67</c:v>
                </c:pt>
                <c:pt idx="10">
                  <c:v>4.3499999999999996</c:v>
                </c:pt>
                <c:pt idx="11">
                  <c:v>2.31</c:v>
                </c:pt>
                <c:pt idx="12">
                  <c:v>3.99</c:v>
                </c:pt>
                <c:pt idx="13">
                  <c:v>2.59</c:v>
                </c:pt>
                <c:pt idx="14">
                  <c:v>3.06</c:v>
                </c:pt>
                <c:pt idx="15">
                  <c:v>4.6399999999999997</c:v>
                </c:pt>
                <c:pt idx="16">
                  <c:v>5.23</c:v>
                </c:pt>
                <c:pt idx="17">
                  <c:v>0.23</c:v>
                </c:pt>
                <c:pt idx="18">
                  <c:v>1.97</c:v>
                </c:pt>
                <c:pt idx="19">
                  <c:v>1.97</c:v>
                </c:pt>
                <c:pt idx="20">
                  <c:v>1.71</c:v>
                </c:pt>
                <c:pt idx="21">
                  <c:v>3.13</c:v>
                </c:pt>
                <c:pt idx="22">
                  <c:v>3.57</c:v>
                </c:pt>
                <c:pt idx="23">
                  <c:v>0.52</c:v>
                </c:pt>
                <c:pt idx="24">
                  <c:v>1.04</c:v>
                </c:pt>
                <c:pt idx="25">
                  <c:v>2.23</c:v>
                </c:pt>
                <c:pt idx="26">
                  <c:v>1.84</c:v>
                </c:pt>
                <c:pt idx="27">
                  <c:v>2.0699999999999998</c:v>
                </c:pt>
                <c:pt idx="28">
                  <c:v>2.4300000000000002</c:v>
                </c:pt>
                <c:pt idx="29">
                  <c:v>3.03</c:v>
                </c:pt>
                <c:pt idx="30">
                  <c:v>3.4</c:v>
                </c:pt>
                <c:pt idx="31">
                  <c:v>4.17</c:v>
                </c:pt>
                <c:pt idx="32">
                  <c:v>3.9</c:v>
                </c:pt>
                <c:pt idx="33">
                  <c:v>3.78</c:v>
                </c:pt>
                <c:pt idx="34">
                  <c:v>4.84</c:v>
                </c:pt>
                <c:pt idx="35">
                  <c:v>1.92</c:v>
                </c:pt>
                <c:pt idx="36">
                  <c:v>3.9</c:v>
                </c:pt>
                <c:pt idx="37">
                  <c:v>4.0999999999999996</c:v>
                </c:pt>
                <c:pt idx="38">
                  <c:v>1.48</c:v>
                </c:pt>
                <c:pt idx="39">
                  <c:v>4.71</c:v>
                </c:pt>
                <c:pt idx="40">
                  <c:v>4.2699999999999996</c:v>
                </c:pt>
                <c:pt idx="41">
                  <c:v>3.34</c:v>
                </c:pt>
                <c:pt idx="42">
                  <c:v>4.4000000000000004</c:v>
                </c:pt>
                <c:pt idx="43">
                  <c:v>1.89</c:v>
                </c:pt>
                <c:pt idx="44">
                  <c:v>2.0499999999999998</c:v>
                </c:pt>
                <c:pt idx="45">
                  <c:v>3.6</c:v>
                </c:pt>
                <c:pt idx="46">
                  <c:v>1.76</c:v>
                </c:pt>
                <c:pt idx="47">
                  <c:v>2.85</c:v>
                </c:pt>
                <c:pt idx="48">
                  <c:v>2.23</c:v>
                </c:pt>
                <c:pt idx="49">
                  <c:v>3.37</c:v>
                </c:pt>
                <c:pt idx="50">
                  <c:v>1.4</c:v>
                </c:pt>
                <c:pt idx="51">
                  <c:v>2</c:v>
                </c:pt>
                <c:pt idx="52">
                  <c:v>1.55</c:v>
                </c:pt>
                <c:pt idx="53">
                  <c:v>5</c:v>
                </c:pt>
                <c:pt idx="54">
                  <c:v>0.85</c:v>
                </c:pt>
                <c:pt idx="55">
                  <c:v>2.9</c:v>
                </c:pt>
                <c:pt idx="56">
                  <c:v>5.34</c:v>
                </c:pt>
                <c:pt idx="57">
                  <c:v>4.01</c:v>
                </c:pt>
                <c:pt idx="58">
                  <c:v>2</c:v>
                </c:pt>
                <c:pt idx="59">
                  <c:v>2.1800000000000002</c:v>
                </c:pt>
                <c:pt idx="60">
                  <c:v>2.8</c:v>
                </c:pt>
                <c:pt idx="61">
                  <c:v>3.4</c:v>
                </c:pt>
                <c:pt idx="62">
                  <c:v>2.4900000000000002</c:v>
                </c:pt>
                <c:pt idx="63">
                  <c:v>3.4</c:v>
                </c:pt>
                <c:pt idx="64">
                  <c:v>4.58</c:v>
                </c:pt>
                <c:pt idx="65">
                  <c:v>0.31</c:v>
                </c:pt>
                <c:pt idx="66">
                  <c:v>0.67</c:v>
                </c:pt>
                <c:pt idx="67">
                  <c:v>2.1</c:v>
                </c:pt>
                <c:pt idx="68">
                  <c:v>2.1800000000000002</c:v>
                </c:pt>
                <c:pt idx="69">
                  <c:v>2.8</c:v>
                </c:pt>
                <c:pt idx="70">
                  <c:v>4.09</c:v>
                </c:pt>
                <c:pt idx="71">
                  <c:v>4.82</c:v>
                </c:pt>
                <c:pt idx="72">
                  <c:v>4.04</c:v>
                </c:pt>
                <c:pt idx="73">
                  <c:v>2.82</c:v>
                </c:pt>
                <c:pt idx="74">
                  <c:v>2.87</c:v>
                </c:pt>
                <c:pt idx="75">
                  <c:v>1.73</c:v>
                </c:pt>
                <c:pt idx="76">
                  <c:v>3.03</c:v>
                </c:pt>
                <c:pt idx="77">
                  <c:v>2.31</c:v>
                </c:pt>
                <c:pt idx="78">
                  <c:v>3.7</c:v>
                </c:pt>
                <c:pt idx="79">
                  <c:v>0.67</c:v>
                </c:pt>
                <c:pt idx="80">
                  <c:v>4.3499999999999996</c:v>
                </c:pt>
                <c:pt idx="81">
                  <c:v>2.31</c:v>
                </c:pt>
                <c:pt idx="82">
                  <c:v>3.99</c:v>
                </c:pt>
                <c:pt idx="83">
                  <c:v>2.59</c:v>
                </c:pt>
                <c:pt idx="84">
                  <c:v>3.06</c:v>
                </c:pt>
                <c:pt idx="85">
                  <c:v>4.6399999999999997</c:v>
                </c:pt>
                <c:pt idx="86">
                  <c:v>5.23</c:v>
                </c:pt>
                <c:pt idx="87">
                  <c:v>0.23</c:v>
                </c:pt>
                <c:pt idx="88">
                  <c:v>1.97</c:v>
                </c:pt>
                <c:pt idx="89">
                  <c:v>1.97</c:v>
                </c:pt>
                <c:pt idx="90">
                  <c:v>1.71</c:v>
                </c:pt>
                <c:pt idx="91">
                  <c:v>3.13</c:v>
                </c:pt>
                <c:pt idx="92">
                  <c:v>3.57</c:v>
                </c:pt>
                <c:pt idx="93">
                  <c:v>0.52</c:v>
                </c:pt>
                <c:pt idx="94">
                  <c:v>1.04</c:v>
                </c:pt>
                <c:pt idx="95">
                  <c:v>2.23</c:v>
                </c:pt>
              </c:numCache>
            </c:numRef>
          </c:xVal>
          <c:yVal>
            <c:numRef>
              <c:f>Лист1!$B$2:$B$268</c:f>
              <c:numCache>
                <c:formatCode>General</c:formatCode>
                <c:ptCount val="267"/>
                <c:pt idx="0">
                  <c:v>60</c:v>
                </c:pt>
                <c:pt idx="1">
                  <c:v>270</c:v>
                </c:pt>
                <c:pt idx="2">
                  <c:v>18</c:v>
                </c:pt>
                <c:pt idx="3">
                  <c:v>14</c:v>
                </c:pt>
                <c:pt idx="4">
                  <c:v>60</c:v>
                </c:pt>
                <c:pt idx="5">
                  <c:v>2</c:v>
                </c:pt>
                <c:pt idx="6">
                  <c:v>297</c:v>
                </c:pt>
                <c:pt idx="7">
                  <c:v>2</c:v>
                </c:pt>
                <c:pt idx="8">
                  <c:v>50</c:v>
                </c:pt>
                <c:pt idx="9">
                  <c:v>94</c:v>
                </c:pt>
                <c:pt idx="10">
                  <c:v>10</c:v>
                </c:pt>
                <c:pt idx="11">
                  <c:v>10</c:v>
                </c:pt>
                <c:pt idx="12">
                  <c:v>40</c:v>
                </c:pt>
                <c:pt idx="13">
                  <c:v>17</c:v>
                </c:pt>
                <c:pt idx="14">
                  <c:v>45</c:v>
                </c:pt>
                <c:pt idx="15">
                  <c:v>20</c:v>
                </c:pt>
                <c:pt idx="16">
                  <c:v>5</c:v>
                </c:pt>
                <c:pt idx="17">
                  <c:v>12</c:v>
                </c:pt>
                <c:pt idx="18">
                  <c:v>16</c:v>
                </c:pt>
                <c:pt idx="19">
                  <c:v>17</c:v>
                </c:pt>
                <c:pt idx="20">
                  <c:v>3</c:v>
                </c:pt>
                <c:pt idx="21">
                  <c:v>29</c:v>
                </c:pt>
                <c:pt idx="22">
                  <c:v>80</c:v>
                </c:pt>
                <c:pt idx="23">
                  <c:v>61</c:v>
                </c:pt>
                <c:pt idx="24">
                  <c:v>4</c:v>
                </c:pt>
                <c:pt idx="25">
                  <c:v>58</c:v>
                </c:pt>
                <c:pt idx="26">
                  <c:v>48</c:v>
                </c:pt>
                <c:pt idx="27">
                  <c:v>3</c:v>
                </c:pt>
                <c:pt idx="28">
                  <c:v>115</c:v>
                </c:pt>
                <c:pt idx="29">
                  <c:v>9</c:v>
                </c:pt>
                <c:pt idx="30">
                  <c:v>5.7</c:v>
                </c:pt>
                <c:pt idx="31">
                  <c:v>50</c:v>
                </c:pt>
                <c:pt idx="32">
                  <c:v>666</c:v>
                </c:pt>
                <c:pt idx="33">
                  <c:v>3</c:v>
                </c:pt>
                <c:pt idx="34">
                  <c:v>272</c:v>
                </c:pt>
                <c:pt idx="35">
                  <c:v>3</c:v>
                </c:pt>
                <c:pt idx="36">
                  <c:v>3</c:v>
                </c:pt>
                <c:pt idx="37">
                  <c:v>32</c:v>
                </c:pt>
                <c:pt idx="38">
                  <c:v>3</c:v>
                </c:pt>
                <c:pt idx="39">
                  <c:v>16</c:v>
                </c:pt>
                <c:pt idx="40">
                  <c:v>5</c:v>
                </c:pt>
                <c:pt idx="41">
                  <c:v>288</c:v>
                </c:pt>
                <c:pt idx="42">
                  <c:v>23</c:v>
                </c:pt>
                <c:pt idx="43">
                  <c:v>12</c:v>
                </c:pt>
                <c:pt idx="44">
                  <c:v>8</c:v>
                </c:pt>
                <c:pt idx="45">
                  <c:v>61</c:v>
                </c:pt>
                <c:pt idx="46">
                  <c:v>83</c:v>
                </c:pt>
                <c:pt idx="47">
                  <c:v>2</c:v>
                </c:pt>
                <c:pt idx="48">
                  <c:v>9</c:v>
                </c:pt>
                <c:pt idx="49">
                  <c:v>6</c:v>
                </c:pt>
                <c:pt idx="50">
                  <c:v>4</c:v>
                </c:pt>
                <c:pt idx="51">
                  <c:v>4</c:v>
                </c:pt>
                <c:pt idx="52">
                  <c:v>7</c:v>
                </c:pt>
                <c:pt idx="53">
                  <c:v>38</c:v>
                </c:pt>
                <c:pt idx="54">
                  <c:v>3</c:v>
                </c:pt>
                <c:pt idx="55">
                  <c:v>7</c:v>
                </c:pt>
                <c:pt idx="56">
                  <c:v>14</c:v>
                </c:pt>
                <c:pt idx="57">
                  <c:v>24</c:v>
                </c:pt>
                <c:pt idx="58">
                  <c:v>123</c:v>
                </c:pt>
                <c:pt idx="59">
                  <c:v>10</c:v>
                </c:pt>
                <c:pt idx="60">
                  <c:v>9</c:v>
                </c:pt>
                <c:pt idx="61">
                  <c:v>14</c:v>
                </c:pt>
                <c:pt idx="62">
                  <c:v>4</c:v>
                </c:pt>
                <c:pt idx="63">
                  <c:v>12</c:v>
                </c:pt>
                <c:pt idx="64">
                  <c:v>3</c:v>
                </c:pt>
                <c:pt idx="65">
                  <c:v>4</c:v>
                </c:pt>
                <c:pt idx="66">
                  <c:v>6</c:v>
                </c:pt>
                <c:pt idx="67">
                  <c:v>9</c:v>
                </c:pt>
                <c:pt idx="68">
                  <c:v>5</c:v>
                </c:pt>
                <c:pt idx="69">
                  <c:v>5</c:v>
                </c:pt>
                <c:pt idx="70">
                  <c:v>60</c:v>
                </c:pt>
                <c:pt idx="71">
                  <c:v>270</c:v>
                </c:pt>
                <c:pt idx="72">
                  <c:v>18</c:v>
                </c:pt>
                <c:pt idx="73">
                  <c:v>14</c:v>
                </c:pt>
                <c:pt idx="74">
                  <c:v>60</c:v>
                </c:pt>
                <c:pt idx="75">
                  <c:v>2</c:v>
                </c:pt>
                <c:pt idx="76">
                  <c:v>297</c:v>
                </c:pt>
                <c:pt idx="77">
                  <c:v>2</c:v>
                </c:pt>
                <c:pt idx="78">
                  <c:v>50</c:v>
                </c:pt>
                <c:pt idx="79">
                  <c:v>94</c:v>
                </c:pt>
                <c:pt idx="80">
                  <c:v>10</c:v>
                </c:pt>
                <c:pt idx="81">
                  <c:v>10</c:v>
                </c:pt>
                <c:pt idx="82">
                  <c:v>40</c:v>
                </c:pt>
                <c:pt idx="83">
                  <c:v>17</c:v>
                </c:pt>
                <c:pt idx="84">
                  <c:v>45</c:v>
                </c:pt>
                <c:pt idx="85">
                  <c:v>20</c:v>
                </c:pt>
                <c:pt idx="86">
                  <c:v>5</c:v>
                </c:pt>
                <c:pt idx="87">
                  <c:v>12</c:v>
                </c:pt>
                <c:pt idx="88">
                  <c:v>16</c:v>
                </c:pt>
                <c:pt idx="89">
                  <c:v>17</c:v>
                </c:pt>
                <c:pt idx="90">
                  <c:v>3</c:v>
                </c:pt>
                <c:pt idx="91">
                  <c:v>29</c:v>
                </c:pt>
                <c:pt idx="92">
                  <c:v>80</c:v>
                </c:pt>
                <c:pt idx="93">
                  <c:v>61</c:v>
                </c:pt>
                <c:pt idx="94">
                  <c:v>4</c:v>
                </c:pt>
                <c:pt idx="95">
                  <c:v>58</c:v>
                </c:pt>
              </c:numCache>
            </c:numRef>
          </c:yVal>
          <c:smooth val="0"/>
        </c:ser>
        <c:ser>
          <c:idx val="1"/>
          <c:order val="1"/>
          <c:tx>
            <c:strRef>
              <c:f>Лист1!$C$1</c:f>
              <c:strCache>
                <c:ptCount val="1"/>
                <c:pt idx="0">
                  <c:v>Столбец1</c:v>
                </c:pt>
              </c:strCache>
            </c:strRef>
          </c:tx>
          <c:spPr>
            <a:ln w="28575">
              <a:noFill/>
            </a:ln>
          </c:spPr>
          <c:xVal>
            <c:numRef>
              <c:f>Лист1!$A$2:$A$268</c:f>
              <c:numCache>
                <c:formatCode>General</c:formatCode>
                <c:ptCount val="267"/>
                <c:pt idx="0">
                  <c:v>4.09</c:v>
                </c:pt>
                <c:pt idx="1">
                  <c:v>4.82</c:v>
                </c:pt>
                <c:pt idx="2">
                  <c:v>4.04</c:v>
                </c:pt>
                <c:pt idx="3">
                  <c:v>2.82</c:v>
                </c:pt>
                <c:pt idx="4">
                  <c:v>2.87</c:v>
                </c:pt>
                <c:pt idx="5">
                  <c:v>1.73</c:v>
                </c:pt>
                <c:pt idx="6">
                  <c:v>3.03</c:v>
                </c:pt>
                <c:pt idx="7">
                  <c:v>2.31</c:v>
                </c:pt>
                <c:pt idx="8">
                  <c:v>3.7</c:v>
                </c:pt>
                <c:pt idx="9">
                  <c:v>0.67</c:v>
                </c:pt>
                <c:pt idx="10">
                  <c:v>4.3499999999999996</c:v>
                </c:pt>
                <c:pt idx="11">
                  <c:v>2.31</c:v>
                </c:pt>
                <c:pt idx="12">
                  <c:v>3.99</c:v>
                </c:pt>
                <c:pt idx="13">
                  <c:v>2.59</c:v>
                </c:pt>
                <c:pt idx="14">
                  <c:v>3.06</c:v>
                </c:pt>
                <c:pt idx="15">
                  <c:v>4.6399999999999997</c:v>
                </c:pt>
                <c:pt idx="16">
                  <c:v>5.23</c:v>
                </c:pt>
                <c:pt idx="17">
                  <c:v>0.23</c:v>
                </c:pt>
                <c:pt idx="18">
                  <c:v>1.97</c:v>
                </c:pt>
                <c:pt idx="19">
                  <c:v>1.97</c:v>
                </c:pt>
                <c:pt idx="20">
                  <c:v>1.71</c:v>
                </c:pt>
                <c:pt idx="21">
                  <c:v>3.13</c:v>
                </c:pt>
                <c:pt idx="22">
                  <c:v>3.57</c:v>
                </c:pt>
                <c:pt idx="23">
                  <c:v>0.52</c:v>
                </c:pt>
                <c:pt idx="24">
                  <c:v>1.04</c:v>
                </c:pt>
                <c:pt idx="25">
                  <c:v>2.23</c:v>
                </c:pt>
                <c:pt idx="26">
                  <c:v>1.84</c:v>
                </c:pt>
                <c:pt idx="27">
                  <c:v>2.0699999999999998</c:v>
                </c:pt>
                <c:pt idx="28">
                  <c:v>2.4300000000000002</c:v>
                </c:pt>
                <c:pt idx="29">
                  <c:v>3.03</c:v>
                </c:pt>
                <c:pt idx="30">
                  <c:v>3.4</c:v>
                </c:pt>
                <c:pt idx="31">
                  <c:v>4.17</c:v>
                </c:pt>
                <c:pt idx="32">
                  <c:v>3.9</c:v>
                </c:pt>
                <c:pt idx="33">
                  <c:v>3.78</c:v>
                </c:pt>
                <c:pt idx="34">
                  <c:v>4.84</c:v>
                </c:pt>
                <c:pt idx="35">
                  <c:v>1.92</c:v>
                </c:pt>
                <c:pt idx="36">
                  <c:v>3.9</c:v>
                </c:pt>
                <c:pt idx="37">
                  <c:v>4.0999999999999996</c:v>
                </c:pt>
                <c:pt idx="38">
                  <c:v>1.48</c:v>
                </c:pt>
                <c:pt idx="39">
                  <c:v>4.71</c:v>
                </c:pt>
                <c:pt idx="40">
                  <c:v>4.2699999999999996</c:v>
                </c:pt>
                <c:pt idx="41">
                  <c:v>3.34</c:v>
                </c:pt>
                <c:pt idx="42">
                  <c:v>4.4000000000000004</c:v>
                </c:pt>
                <c:pt idx="43">
                  <c:v>1.89</c:v>
                </c:pt>
                <c:pt idx="44">
                  <c:v>2.0499999999999998</c:v>
                </c:pt>
                <c:pt idx="45">
                  <c:v>3.6</c:v>
                </c:pt>
                <c:pt idx="46">
                  <c:v>1.76</c:v>
                </c:pt>
                <c:pt idx="47">
                  <c:v>2.85</c:v>
                </c:pt>
                <c:pt idx="48">
                  <c:v>2.23</c:v>
                </c:pt>
                <c:pt idx="49">
                  <c:v>3.37</c:v>
                </c:pt>
                <c:pt idx="50">
                  <c:v>1.4</c:v>
                </c:pt>
                <c:pt idx="51">
                  <c:v>2</c:v>
                </c:pt>
                <c:pt idx="52">
                  <c:v>1.55</c:v>
                </c:pt>
                <c:pt idx="53">
                  <c:v>5</c:v>
                </c:pt>
                <c:pt idx="54">
                  <c:v>0.85</c:v>
                </c:pt>
                <c:pt idx="55">
                  <c:v>2.9</c:v>
                </c:pt>
                <c:pt idx="56">
                  <c:v>5.34</c:v>
                </c:pt>
                <c:pt idx="57">
                  <c:v>4.01</c:v>
                </c:pt>
                <c:pt idx="58">
                  <c:v>2</c:v>
                </c:pt>
                <c:pt idx="59">
                  <c:v>2.1800000000000002</c:v>
                </c:pt>
                <c:pt idx="60">
                  <c:v>2.8</c:v>
                </c:pt>
                <c:pt idx="61">
                  <c:v>3.4</c:v>
                </c:pt>
                <c:pt idx="62">
                  <c:v>2.4900000000000002</c:v>
                </c:pt>
                <c:pt idx="63">
                  <c:v>3.4</c:v>
                </c:pt>
                <c:pt idx="64">
                  <c:v>4.58</c:v>
                </c:pt>
                <c:pt idx="65">
                  <c:v>0.31</c:v>
                </c:pt>
                <c:pt idx="66">
                  <c:v>0.67</c:v>
                </c:pt>
                <c:pt idx="67">
                  <c:v>2.1</c:v>
                </c:pt>
                <c:pt idx="68">
                  <c:v>2.1800000000000002</c:v>
                </c:pt>
                <c:pt idx="69">
                  <c:v>2.8</c:v>
                </c:pt>
                <c:pt idx="70">
                  <c:v>4.09</c:v>
                </c:pt>
                <c:pt idx="71">
                  <c:v>4.82</c:v>
                </c:pt>
                <c:pt idx="72">
                  <c:v>4.04</c:v>
                </c:pt>
                <c:pt idx="73">
                  <c:v>2.82</c:v>
                </c:pt>
                <c:pt idx="74">
                  <c:v>2.87</c:v>
                </c:pt>
                <c:pt idx="75">
                  <c:v>1.73</c:v>
                </c:pt>
                <c:pt idx="76">
                  <c:v>3.03</c:v>
                </c:pt>
                <c:pt idx="77">
                  <c:v>2.31</c:v>
                </c:pt>
                <c:pt idx="78">
                  <c:v>3.7</c:v>
                </c:pt>
                <c:pt idx="79">
                  <c:v>0.67</c:v>
                </c:pt>
                <c:pt idx="80">
                  <c:v>4.3499999999999996</c:v>
                </c:pt>
                <c:pt idx="81">
                  <c:v>2.31</c:v>
                </c:pt>
                <c:pt idx="82">
                  <c:v>3.99</c:v>
                </c:pt>
                <c:pt idx="83">
                  <c:v>2.59</c:v>
                </c:pt>
                <c:pt idx="84">
                  <c:v>3.06</c:v>
                </c:pt>
                <c:pt idx="85">
                  <c:v>4.6399999999999997</c:v>
                </c:pt>
                <c:pt idx="86">
                  <c:v>5.23</c:v>
                </c:pt>
                <c:pt idx="87">
                  <c:v>0.23</c:v>
                </c:pt>
                <c:pt idx="88">
                  <c:v>1.97</c:v>
                </c:pt>
                <c:pt idx="89">
                  <c:v>1.97</c:v>
                </c:pt>
                <c:pt idx="90">
                  <c:v>1.71</c:v>
                </c:pt>
                <c:pt idx="91">
                  <c:v>3.13</c:v>
                </c:pt>
                <c:pt idx="92">
                  <c:v>3.57</c:v>
                </c:pt>
                <c:pt idx="93">
                  <c:v>0.52</c:v>
                </c:pt>
                <c:pt idx="94">
                  <c:v>1.04</c:v>
                </c:pt>
                <c:pt idx="95">
                  <c:v>2.23</c:v>
                </c:pt>
              </c:numCache>
            </c:numRef>
          </c:xVal>
          <c:yVal>
            <c:numRef>
              <c:f>Лист1!$C$2:$C$268</c:f>
              <c:numCache>
                <c:formatCode>General</c:formatCode>
                <c:ptCount val="267"/>
                <c:pt idx="0">
                  <c:v>0.20391080223898342</c:v>
                </c:pt>
              </c:numCache>
            </c:numRef>
          </c:yVal>
          <c:smooth val="0"/>
        </c:ser>
        <c:dLbls>
          <c:showLegendKey val="0"/>
          <c:showVal val="0"/>
          <c:showCatName val="0"/>
          <c:showSerName val="0"/>
          <c:showPercent val="0"/>
          <c:showBubbleSize val="0"/>
        </c:dLbls>
        <c:axId val="39705216"/>
        <c:axId val="39711488"/>
      </c:scatterChart>
      <c:valAx>
        <c:axId val="39705216"/>
        <c:scaling>
          <c:orientation val="minMax"/>
        </c:scaling>
        <c:delete val="0"/>
        <c:axPos val="b"/>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ХС</a:t>
                </a:r>
                <a:r>
                  <a:rPr lang="ru-RU" sz="1400" b="0" baseline="0">
                    <a:latin typeface="Times New Roman" pitchFamily="18" charset="0"/>
                    <a:cs typeface="Times New Roman" pitchFamily="18" charset="0"/>
                  </a:rPr>
                  <a:t> ЛПНЩ, ммоль/л</a:t>
                </a:r>
                <a:endParaRPr lang="ru-RU" sz="14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9711488"/>
        <c:crosses val="autoZero"/>
        <c:crossBetween val="midCat"/>
      </c:valAx>
      <c:valAx>
        <c:axId val="39711488"/>
        <c:scaling>
          <c:orientation val="minMax"/>
        </c:scaling>
        <c:delete val="0"/>
        <c:axPos val="l"/>
        <c:majorGridlines/>
        <c:title>
          <c:tx>
            <c:rich>
              <a:bodyPr rot="0" vert="horz"/>
              <a:lstStyle/>
              <a:p>
                <a:pPr>
                  <a:defRPr sz="1400" b="0">
                    <a:latin typeface="Times New Roman" pitchFamily="18" charset="0"/>
                    <a:cs typeface="Times New Roman" pitchFamily="18" charset="0"/>
                  </a:defRPr>
                </a:pPr>
                <a:r>
                  <a:rPr lang="ru-RU" sz="1400" b="0" baseline="0">
                    <a:latin typeface="Times New Roman" pitchFamily="18" charset="0"/>
                    <a:cs typeface="Times New Roman" pitchFamily="18" charset="0"/>
                  </a:rPr>
                  <a:t>Альбумін/ креатинін </a:t>
                </a:r>
              </a:p>
              <a:p>
                <a:pPr>
                  <a:defRPr sz="1400" b="0">
                    <a:latin typeface="Times New Roman" pitchFamily="18" charset="0"/>
                    <a:cs typeface="Times New Roman" pitchFamily="18" charset="0"/>
                  </a:defRPr>
                </a:pPr>
                <a:r>
                  <a:rPr lang="ru-RU" sz="1400" b="0" baseline="0">
                    <a:latin typeface="Times New Roman" pitchFamily="18" charset="0"/>
                    <a:cs typeface="Times New Roman" pitchFamily="18" charset="0"/>
                  </a:rPr>
                  <a:t>в сечі, мг/г</a:t>
                </a:r>
                <a:endParaRPr lang="ru-RU" sz="1400" b="0">
                  <a:latin typeface="Times New Roman" pitchFamily="18" charset="0"/>
                  <a:cs typeface="Times New Roman" pitchFamily="18" charset="0"/>
                </a:endParaRPr>
              </a:p>
            </c:rich>
          </c:tx>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3970521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72BF5-A50B-4B4B-A166-FB2F6B6F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177</Pages>
  <Words>44735</Words>
  <Characters>254996</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2459</cp:revision>
  <dcterms:created xsi:type="dcterms:W3CDTF">2019-05-05T22:03:00Z</dcterms:created>
  <dcterms:modified xsi:type="dcterms:W3CDTF">2019-05-16T19:06:00Z</dcterms:modified>
</cp:coreProperties>
</file>