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00"/>
        <w:gridCol w:w="4920"/>
        <w:gridCol w:w="2460"/>
      </w:tblGrid>
      <w:tr w:rsidR="00090050" w:rsidRPr="00090050" w:rsidTr="00BD55AE">
        <w:trPr>
          <w:trHeight w:val="252"/>
        </w:trPr>
        <w:tc>
          <w:tcPr>
            <w:tcW w:w="2300" w:type="dxa"/>
            <w:tcBorders>
              <w:bottom w:val="single" w:sz="8" w:space="0" w:color="auto"/>
            </w:tcBorders>
            <w:shd w:val="clear" w:color="auto" w:fill="auto"/>
            <w:vAlign w:val="bottom"/>
          </w:tcPr>
          <w:p w:rsidR="00090050" w:rsidRPr="00090050" w:rsidRDefault="00090050" w:rsidP="00090050">
            <w:pPr>
              <w:spacing w:after="0" w:line="0" w:lineRule="atLeast"/>
              <w:rPr>
                <w:rFonts w:ascii="Century Gothic" w:eastAsia="Century Gothic" w:hAnsi="Century Gothic" w:cs="Arial"/>
                <w:sz w:val="16"/>
                <w:szCs w:val="20"/>
              </w:rPr>
            </w:pPr>
            <w:r w:rsidRPr="00090050">
              <w:rPr>
                <w:rFonts w:ascii="Century Gothic" w:eastAsia="Century Gothic" w:hAnsi="Century Gothic" w:cs="Arial"/>
                <w:sz w:val="16"/>
                <w:szCs w:val="20"/>
              </w:rPr>
              <w:t>ISSN 1562-725X (Print)</w:t>
            </w:r>
          </w:p>
        </w:tc>
        <w:tc>
          <w:tcPr>
            <w:tcW w:w="4920" w:type="dxa"/>
            <w:tcBorders>
              <w:bottom w:val="single" w:sz="8" w:space="0" w:color="auto"/>
            </w:tcBorders>
            <w:shd w:val="clear" w:color="auto" w:fill="auto"/>
            <w:vAlign w:val="bottom"/>
          </w:tcPr>
          <w:p w:rsidR="00090050" w:rsidRPr="00090050" w:rsidRDefault="00090050" w:rsidP="00090050">
            <w:pPr>
              <w:spacing w:after="0" w:line="0" w:lineRule="atLeast"/>
              <w:rPr>
                <w:rFonts w:ascii="Century Gothic" w:eastAsia="Century Gothic" w:hAnsi="Century Gothic" w:cs="Arial"/>
                <w:sz w:val="20"/>
                <w:szCs w:val="20"/>
              </w:rPr>
            </w:pPr>
            <w:r w:rsidRPr="00090050">
              <w:rPr>
                <w:rFonts w:ascii="Century Gothic" w:eastAsia="Century Gothic" w:hAnsi="Century Gothic" w:cs="Arial"/>
                <w:sz w:val="20"/>
                <w:szCs w:val="20"/>
              </w:rPr>
              <w:t>CLINICAL PHARMACY. – 2019. – Vol. 23, No. 4</w:t>
            </w:r>
          </w:p>
        </w:tc>
        <w:tc>
          <w:tcPr>
            <w:tcW w:w="2460" w:type="dxa"/>
            <w:tcBorders>
              <w:bottom w:val="single" w:sz="8" w:space="0" w:color="auto"/>
            </w:tcBorders>
            <w:shd w:val="clear" w:color="auto" w:fill="auto"/>
            <w:vAlign w:val="bottom"/>
          </w:tcPr>
          <w:p w:rsidR="00090050" w:rsidRPr="00090050" w:rsidRDefault="00090050" w:rsidP="00090050">
            <w:pPr>
              <w:spacing w:after="0" w:line="0" w:lineRule="atLeast"/>
              <w:rPr>
                <w:rFonts w:ascii="Century Gothic" w:eastAsia="Century Gothic" w:hAnsi="Century Gothic" w:cs="Arial"/>
                <w:sz w:val="20"/>
                <w:szCs w:val="20"/>
              </w:rPr>
            </w:pPr>
            <w:r w:rsidRPr="00090050">
              <w:rPr>
                <w:rFonts w:ascii="Century Gothic" w:eastAsia="Century Gothic" w:hAnsi="Century Gothic" w:cs="Arial"/>
                <w:sz w:val="16"/>
                <w:szCs w:val="20"/>
              </w:rPr>
              <w:t xml:space="preserve">ISSN 2518-1572 (Online)   </w:t>
            </w:r>
            <w:r w:rsidRPr="00090050">
              <w:rPr>
                <w:rFonts w:ascii="Century Gothic" w:eastAsia="Century Gothic" w:hAnsi="Century Gothic" w:cs="Arial"/>
                <w:sz w:val="20"/>
                <w:szCs w:val="20"/>
              </w:rPr>
              <w:t>45</w:t>
            </w:r>
          </w:p>
        </w:tc>
      </w:tr>
      <w:tr w:rsidR="00090050" w:rsidRPr="00090050" w:rsidTr="00BD55AE">
        <w:trPr>
          <w:trHeight w:val="431"/>
        </w:trPr>
        <w:tc>
          <w:tcPr>
            <w:tcW w:w="2300" w:type="dxa"/>
            <w:shd w:val="clear" w:color="auto" w:fill="auto"/>
            <w:vAlign w:val="bottom"/>
          </w:tcPr>
          <w:p w:rsidR="00090050" w:rsidRPr="00090050" w:rsidRDefault="00090050" w:rsidP="00090050">
            <w:pPr>
              <w:spacing w:after="0" w:line="0" w:lineRule="atLeast"/>
              <w:rPr>
                <w:rFonts w:ascii="Cambria" w:eastAsia="Cambria" w:hAnsi="Cambria" w:cs="Arial"/>
                <w:sz w:val="20"/>
                <w:szCs w:val="20"/>
              </w:rPr>
            </w:pPr>
            <w:r w:rsidRPr="00090050">
              <w:rPr>
                <w:rFonts w:ascii="Cambria" w:eastAsia="Cambria" w:hAnsi="Cambria" w:cs="Arial"/>
                <w:sz w:val="20"/>
                <w:szCs w:val="20"/>
              </w:rPr>
              <w:t>УДК 618.19-006.6-085</w:t>
            </w:r>
          </w:p>
        </w:tc>
        <w:tc>
          <w:tcPr>
            <w:tcW w:w="7380" w:type="dxa"/>
            <w:gridSpan w:val="2"/>
            <w:shd w:val="clear" w:color="auto" w:fill="auto"/>
            <w:vAlign w:val="bottom"/>
          </w:tcPr>
          <w:p w:rsidR="00090050" w:rsidRPr="00090050" w:rsidRDefault="00090050" w:rsidP="00090050">
            <w:pPr>
              <w:spacing w:after="0" w:line="0" w:lineRule="atLeast"/>
              <w:rPr>
                <w:rFonts w:ascii="Cambria" w:eastAsia="Cambria" w:hAnsi="Cambria" w:cs="Arial"/>
                <w:sz w:val="20"/>
                <w:szCs w:val="20"/>
              </w:rPr>
            </w:pPr>
            <w:r w:rsidRPr="00090050">
              <w:rPr>
                <w:rFonts w:ascii="Cambria" w:eastAsia="Cambria" w:hAnsi="Cambria" w:cs="Arial"/>
                <w:sz w:val="20"/>
                <w:szCs w:val="20"/>
              </w:rPr>
              <w:t>https://doi.org/10.24959/cphj.19.1507</w:t>
            </w:r>
          </w:p>
        </w:tc>
      </w:tr>
    </w:tbl>
    <w:p w:rsidR="00090050" w:rsidRPr="00090050" w:rsidRDefault="00090050" w:rsidP="00090050">
      <w:pPr>
        <w:spacing w:after="0" w:line="157" w:lineRule="exact"/>
        <w:rPr>
          <w:rFonts w:ascii="Times New Roman" w:eastAsia="Times New Roman" w:hAnsi="Times New Roman" w:cs="Arial"/>
          <w:sz w:val="20"/>
          <w:szCs w:val="20"/>
        </w:rPr>
      </w:pPr>
    </w:p>
    <w:p w:rsidR="00090050" w:rsidRPr="00090050" w:rsidRDefault="00090050" w:rsidP="00090050">
      <w:pPr>
        <w:spacing w:after="0" w:line="0" w:lineRule="atLeast"/>
        <w:rPr>
          <w:rFonts w:ascii="Cambria" w:eastAsia="Cambria" w:hAnsi="Cambria" w:cs="Arial"/>
          <w:sz w:val="24"/>
          <w:szCs w:val="20"/>
          <w:lang w:val="ru-RU"/>
        </w:rPr>
      </w:pPr>
      <w:r w:rsidRPr="00090050">
        <w:rPr>
          <w:rFonts w:ascii="Cambria" w:eastAsia="Cambria" w:hAnsi="Cambria" w:cs="Arial"/>
          <w:b/>
          <w:i/>
          <w:sz w:val="24"/>
          <w:szCs w:val="20"/>
          <w:lang w:val="ru-RU"/>
        </w:rPr>
        <w:t>Н. В. Бездітко, О. В. Мужичук</w:t>
      </w:r>
      <w:r w:rsidRPr="00090050">
        <w:rPr>
          <w:rFonts w:ascii="Cambria" w:eastAsia="Cambria" w:hAnsi="Cambria" w:cs="Arial"/>
          <w:sz w:val="24"/>
          <w:szCs w:val="20"/>
          <w:lang w:val="ru-RU"/>
        </w:rPr>
        <w:t>*</w:t>
      </w:r>
    </w:p>
    <w:p w:rsidR="00090050" w:rsidRPr="00090050" w:rsidRDefault="00090050" w:rsidP="00090050">
      <w:pPr>
        <w:spacing w:after="0" w:line="191" w:lineRule="exact"/>
        <w:rPr>
          <w:rFonts w:ascii="Times New Roman" w:eastAsia="Times New Roman" w:hAnsi="Times New Roman" w:cs="Arial"/>
          <w:sz w:val="20"/>
          <w:szCs w:val="20"/>
          <w:lang w:val="ru-RU"/>
        </w:rPr>
      </w:pPr>
    </w:p>
    <w:p w:rsidR="00090050" w:rsidRPr="00090050" w:rsidRDefault="00090050" w:rsidP="00090050">
      <w:pPr>
        <w:spacing w:after="0" w:line="221" w:lineRule="auto"/>
        <w:ind w:right="4120"/>
        <w:rPr>
          <w:rFonts w:ascii="Cambria" w:eastAsia="Cambria" w:hAnsi="Cambria" w:cs="Arial"/>
          <w:sz w:val="23"/>
          <w:szCs w:val="20"/>
          <w:lang w:val="ru-RU"/>
        </w:rPr>
      </w:pPr>
      <w:r w:rsidRPr="00090050">
        <w:rPr>
          <w:rFonts w:ascii="Cambria" w:eastAsia="Cambria" w:hAnsi="Cambria" w:cs="Arial"/>
          <w:sz w:val="23"/>
          <w:szCs w:val="20"/>
          <w:lang w:val="ru-RU"/>
        </w:rPr>
        <w:t>Національний фармацевтичний університет Харківський національний медичний університет*</w:t>
      </w:r>
    </w:p>
    <w:p w:rsidR="00090050" w:rsidRPr="00090050" w:rsidRDefault="00090050" w:rsidP="00090050">
      <w:pPr>
        <w:spacing w:after="0" w:line="157" w:lineRule="exact"/>
        <w:rPr>
          <w:rFonts w:ascii="Times New Roman" w:eastAsia="Times New Roman" w:hAnsi="Times New Roman" w:cs="Arial"/>
          <w:sz w:val="20"/>
          <w:szCs w:val="20"/>
          <w:lang w:val="ru-RU"/>
        </w:rPr>
      </w:pPr>
    </w:p>
    <w:p w:rsidR="00090050" w:rsidRPr="00090050" w:rsidRDefault="00090050" w:rsidP="00090050">
      <w:pPr>
        <w:spacing w:after="0" w:line="224" w:lineRule="auto"/>
        <w:ind w:right="500"/>
        <w:rPr>
          <w:rFonts w:ascii="Cambria" w:eastAsia="Cambria" w:hAnsi="Cambria" w:cs="Arial"/>
          <w:b/>
          <w:sz w:val="34"/>
          <w:szCs w:val="20"/>
          <w:lang w:val="ru-RU"/>
        </w:rPr>
      </w:pPr>
      <w:r w:rsidRPr="00090050">
        <w:rPr>
          <w:rFonts w:ascii="Cambria" w:eastAsia="Cambria" w:hAnsi="Cambria" w:cs="Arial"/>
          <w:b/>
          <w:sz w:val="34"/>
          <w:szCs w:val="20"/>
          <w:lang w:val="ru-RU"/>
        </w:rPr>
        <w:t xml:space="preserve">Фармакоекономічний аналіз ефективності витрат при використанні трастузумабу в ад’ювантній терапії </w:t>
      </w:r>
      <w:r w:rsidRPr="00090050">
        <w:rPr>
          <w:rFonts w:ascii="Cambria" w:eastAsia="Cambria" w:hAnsi="Cambria" w:cs="Arial"/>
          <w:b/>
          <w:sz w:val="34"/>
          <w:szCs w:val="20"/>
        </w:rPr>
        <w:t>HER</w:t>
      </w:r>
      <w:r w:rsidRPr="00090050">
        <w:rPr>
          <w:rFonts w:ascii="Cambria" w:eastAsia="Cambria" w:hAnsi="Cambria" w:cs="Arial"/>
          <w:b/>
          <w:sz w:val="34"/>
          <w:szCs w:val="20"/>
          <w:lang w:val="ru-RU"/>
        </w:rPr>
        <w:t>2+ раку молочної залози ранньої стадії</w:t>
      </w:r>
      <w:bookmarkStart w:id="0" w:name="_GoBack"/>
      <w:bookmarkEnd w:id="0"/>
    </w:p>
    <w:p w:rsidR="00090050" w:rsidRPr="00090050" w:rsidRDefault="00090050" w:rsidP="00090050">
      <w:pPr>
        <w:spacing w:after="0" w:line="214" w:lineRule="exact"/>
        <w:rPr>
          <w:rFonts w:ascii="Times New Roman" w:eastAsia="Times New Roman" w:hAnsi="Times New Roman" w:cs="Arial"/>
          <w:sz w:val="20"/>
          <w:szCs w:val="20"/>
          <w:lang w:val="ru-RU"/>
        </w:rPr>
      </w:pPr>
    </w:p>
    <w:p w:rsidR="00090050" w:rsidRPr="00090050" w:rsidRDefault="00090050" w:rsidP="00090050">
      <w:pPr>
        <w:spacing w:after="0" w:line="221" w:lineRule="auto"/>
        <w:ind w:right="340"/>
        <w:jc w:val="both"/>
        <w:rPr>
          <w:rFonts w:ascii="Cambria" w:eastAsia="Cambria" w:hAnsi="Cambria" w:cs="Arial"/>
          <w:sz w:val="18"/>
          <w:szCs w:val="20"/>
          <w:lang w:val="ru-RU"/>
        </w:rPr>
      </w:pPr>
      <w:r w:rsidRPr="00090050">
        <w:rPr>
          <w:rFonts w:ascii="Cambria" w:eastAsia="Cambria" w:hAnsi="Cambria" w:cs="Arial"/>
          <w:sz w:val="18"/>
          <w:szCs w:val="20"/>
          <w:lang w:val="ru-RU"/>
        </w:rPr>
        <w:t xml:space="preserve">Рак молочної залози (РМЗ) посідає перше місце серед всіх онкологічних захворювань у жінок і є однією з го-ловних причин жіночої смертності в усьому світі, в тому числі і в Україні. Найбільш поганим прогнозом ха-рактеризується </w:t>
      </w:r>
      <w:r w:rsidRPr="00090050">
        <w:rPr>
          <w:rFonts w:ascii="Cambria" w:eastAsia="Cambria" w:hAnsi="Cambria" w:cs="Arial"/>
          <w:sz w:val="18"/>
          <w:szCs w:val="20"/>
        </w:rPr>
        <w:t>HER</w:t>
      </w:r>
      <w:r w:rsidRPr="00090050">
        <w:rPr>
          <w:rFonts w:ascii="Cambria" w:eastAsia="Cambria" w:hAnsi="Cambria" w:cs="Arial"/>
          <w:sz w:val="18"/>
          <w:szCs w:val="20"/>
          <w:lang w:val="ru-RU"/>
        </w:rPr>
        <w:t xml:space="preserve">2+ підтип РМЗ. Таргетний препарат трастузумаб сприяє суттєвому підвищенню 10-річної виживаності пацієнток з </w:t>
      </w:r>
      <w:r w:rsidRPr="00090050">
        <w:rPr>
          <w:rFonts w:ascii="Cambria" w:eastAsia="Cambria" w:hAnsi="Cambria" w:cs="Arial"/>
          <w:sz w:val="18"/>
          <w:szCs w:val="20"/>
        </w:rPr>
        <w:t>HER</w:t>
      </w:r>
      <w:r w:rsidRPr="00090050">
        <w:rPr>
          <w:rFonts w:ascii="Cambria" w:eastAsia="Cambria" w:hAnsi="Cambria" w:cs="Arial"/>
          <w:sz w:val="18"/>
          <w:szCs w:val="20"/>
          <w:lang w:val="ru-RU"/>
        </w:rPr>
        <w:t>2+ РМЗ, але одночасно значно збільшує вартість лікування.</w:t>
      </w:r>
    </w:p>
    <w:p w:rsidR="00090050" w:rsidRPr="00090050" w:rsidRDefault="00090050" w:rsidP="00090050">
      <w:pPr>
        <w:spacing w:after="0" w:line="48" w:lineRule="exact"/>
        <w:rPr>
          <w:rFonts w:ascii="Times New Roman" w:eastAsia="Times New Roman" w:hAnsi="Times New Roman" w:cs="Arial"/>
          <w:sz w:val="20"/>
          <w:szCs w:val="20"/>
          <w:lang w:val="ru-RU"/>
        </w:rPr>
      </w:pPr>
    </w:p>
    <w:p w:rsidR="00090050" w:rsidRPr="00090050" w:rsidRDefault="00090050" w:rsidP="00090050">
      <w:pPr>
        <w:spacing w:after="0" w:line="246" w:lineRule="auto"/>
        <w:ind w:right="340"/>
        <w:jc w:val="both"/>
        <w:rPr>
          <w:rFonts w:ascii="Cambria" w:eastAsia="Cambria" w:hAnsi="Cambria" w:cs="Arial"/>
          <w:sz w:val="18"/>
          <w:szCs w:val="20"/>
          <w:lang w:val="ru-RU"/>
        </w:rPr>
      </w:pPr>
      <w:r w:rsidRPr="00090050">
        <w:rPr>
          <w:rFonts w:ascii="Cambria" w:eastAsia="Cambria" w:hAnsi="Cambria" w:cs="Arial"/>
          <w:b/>
          <w:sz w:val="18"/>
          <w:szCs w:val="20"/>
          <w:lang w:val="ru-RU"/>
        </w:rPr>
        <w:t>Мета дослідження</w:t>
      </w:r>
      <w:r w:rsidRPr="00090050">
        <w:rPr>
          <w:rFonts w:ascii="Cambria" w:eastAsia="Cambria" w:hAnsi="Cambria" w:cs="Arial"/>
          <w:sz w:val="18"/>
          <w:szCs w:val="20"/>
          <w:lang w:val="ru-RU"/>
        </w:rPr>
        <w:t>.</w:t>
      </w:r>
      <w:r w:rsidRPr="00090050">
        <w:rPr>
          <w:rFonts w:ascii="Cambria" w:eastAsia="Cambria" w:hAnsi="Cambria" w:cs="Arial"/>
          <w:b/>
          <w:sz w:val="18"/>
          <w:szCs w:val="20"/>
          <w:lang w:val="ru-RU"/>
        </w:rPr>
        <w:t xml:space="preserve"> </w:t>
      </w:r>
      <w:r w:rsidRPr="00090050">
        <w:rPr>
          <w:rFonts w:ascii="Cambria" w:eastAsia="Cambria" w:hAnsi="Cambria" w:cs="Arial"/>
          <w:sz w:val="18"/>
          <w:szCs w:val="20"/>
          <w:lang w:val="ru-RU"/>
        </w:rPr>
        <w:t>Оцінка фармакоекономічної доцільності ад’ювантної терапії ранньої стадії</w:t>
      </w:r>
      <w:r w:rsidRPr="00090050">
        <w:rPr>
          <w:rFonts w:ascii="Cambria" w:eastAsia="Cambria" w:hAnsi="Cambria" w:cs="Arial"/>
          <w:b/>
          <w:sz w:val="18"/>
          <w:szCs w:val="20"/>
          <w:lang w:val="ru-RU"/>
        </w:rPr>
        <w:t xml:space="preserve"> </w:t>
      </w:r>
      <w:r w:rsidRPr="00090050">
        <w:rPr>
          <w:rFonts w:ascii="Cambria" w:eastAsia="Cambria" w:hAnsi="Cambria" w:cs="Arial"/>
          <w:sz w:val="18"/>
          <w:szCs w:val="20"/>
        </w:rPr>
        <w:t>HER</w:t>
      </w:r>
      <w:r w:rsidRPr="00090050">
        <w:rPr>
          <w:rFonts w:ascii="Cambria" w:eastAsia="Cambria" w:hAnsi="Cambria" w:cs="Arial"/>
          <w:sz w:val="18"/>
          <w:szCs w:val="20"/>
          <w:lang w:val="ru-RU"/>
        </w:rPr>
        <w:t>2+</w:t>
      </w:r>
      <w:r w:rsidRPr="00090050">
        <w:rPr>
          <w:rFonts w:ascii="Cambria" w:eastAsia="Cambria" w:hAnsi="Cambria" w:cs="Arial"/>
          <w:b/>
          <w:sz w:val="18"/>
          <w:szCs w:val="20"/>
          <w:lang w:val="ru-RU"/>
        </w:rPr>
        <w:t xml:space="preserve"> </w:t>
      </w:r>
      <w:r w:rsidRPr="00090050">
        <w:rPr>
          <w:rFonts w:ascii="Cambria" w:eastAsia="Cambria" w:hAnsi="Cambria" w:cs="Arial"/>
          <w:sz w:val="18"/>
          <w:szCs w:val="20"/>
          <w:lang w:val="ru-RU"/>
        </w:rPr>
        <w:t>РМЗ</w:t>
      </w:r>
      <w:r w:rsidRPr="00090050">
        <w:rPr>
          <w:rFonts w:ascii="Cambria" w:eastAsia="Cambria" w:hAnsi="Cambria" w:cs="Arial"/>
          <w:b/>
          <w:sz w:val="18"/>
          <w:szCs w:val="20"/>
          <w:lang w:val="ru-RU"/>
        </w:rPr>
        <w:t xml:space="preserve"> </w:t>
      </w:r>
      <w:r w:rsidRPr="00090050">
        <w:rPr>
          <w:rFonts w:ascii="Cambria" w:eastAsia="Cambria" w:hAnsi="Cambria" w:cs="Arial"/>
          <w:sz w:val="18"/>
          <w:szCs w:val="20"/>
          <w:lang w:val="ru-RU"/>
        </w:rPr>
        <w:t>трастузумабом (препарат Герцептин</w:t>
      </w:r>
      <w:r w:rsidRPr="00090050">
        <w:rPr>
          <w:rFonts w:ascii="Cambria" w:eastAsia="Cambria" w:hAnsi="Cambria" w:cs="Arial"/>
          <w:sz w:val="20"/>
          <w:szCs w:val="20"/>
          <w:vertAlign w:val="superscript"/>
          <w:lang w:val="ru-RU"/>
        </w:rPr>
        <w:t>®</w:t>
      </w:r>
      <w:r w:rsidRPr="00090050">
        <w:rPr>
          <w:rFonts w:ascii="Cambria" w:eastAsia="Cambria" w:hAnsi="Cambria" w:cs="Arial"/>
          <w:sz w:val="18"/>
          <w:szCs w:val="20"/>
          <w:lang w:val="ru-RU"/>
        </w:rPr>
        <w:t>) з позиції української системи охорони здоров’я.</w:t>
      </w:r>
    </w:p>
    <w:p w:rsidR="00090050" w:rsidRPr="00090050" w:rsidRDefault="00090050" w:rsidP="00090050">
      <w:pPr>
        <w:spacing w:after="0" w:line="228" w:lineRule="auto"/>
        <w:ind w:right="340"/>
        <w:jc w:val="both"/>
        <w:rPr>
          <w:rFonts w:ascii="Cambria" w:eastAsia="Cambria" w:hAnsi="Cambria" w:cs="Arial"/>
          <w:sz w:val="18"/>
          <w:szCs w:val="20"/>
          <w:lang w:val="ru-RU"/>
        </w:rPr>
      </w:pPr>
      <w:r w:rsidRPr="00090050">
        <w:rPr>
          <w:rFonts w:ascii="Cambria" w:eastAsia="Cambria" w:hAnsi="Cambria" w:cs="Arial"/>
          <w:b/>
          <w:sz w:val="18"/>
          <w:szCs w:val="20"/>
          <w:lang w:val="ru-RU"/>
        </w:rPr>
        <w:t xml:space="preserve">Матеріали та методи. </w:t>
      </w:r>
      <w:r w:rsidRPr="00090050">
        <w:rPr>
          <w:rFonts w:ascii="Cambria" w:eastAsia="Cambria" w:hAnsi="Cambria" w:cs="Arial"/>
          <w:sz w:val="18"/>
          <w:szCs w:val="20"/>
          <w:lang w:val="ru-RU"/>
        </w:rPr>
        <w:t xml:space="preserve">Визначення результатів лікування і пов’язаних з ним витрат виконано на підставі ана-літичного моделювання за методом Маркова на ґрунті результатів рандомізованого багатоцентрового від-критого клінічного дослідження </w:t>
      </w:r>
      <w:r w:rsidRPr="00090050">
        <w:rPr>
          <w:rFonts w:ascii="Cambria" w:eastAsia="Cambria" w:hAnsi="Cambria" w:cs="Arial"/>
          <w:sz w:val="18"/>
          <w:szCs w:val="20"/>
        </w:rPr>
        <w:t>III</w:t>
      </w:r>
      <w:r w:rsidRPr="00090050">
        <w:rPr>
          <w:rFonts w:ascii="Cambria" w:eastAsia="Cambria" w:hAnsi="Cambria" w:cs="Arial"/>
          <w:sz w:val="18"/>
          <w:szCs w:val="20"/>
          <w:lang w:val="ru-RU"/>
        </w:rPr>
        <w:t xml:space="preserve"> фази </w:t>
      </w:r>
      <w:r w:rsidRPr="00090050">
        <w:rPr>
          <w:rFonts w:ascii="Cambria" w:eastAsia="Cambria" w:hAnsi="Cambria" w:cs="Arial"/>
          <w:sz w:val="18"/>
          <w:szCs w:val="20"/>
        </w:rPr>
        <w:t>HERA</w:t>
      </w:r>
      <w:r w:rsidRPr="00090050">
        <w:rPr>
          <w:rFonts w:ascii="Cambria" w:eastAsia="Cambria" w:hAnsi="Cambria" w:cs="Arial"/>
          <w:sz w:val="18"/>
          <w:szCs w:val="20"/>
          <w:lang w:val="ru-RU"/>
        </w:rPr>
        <w:t>. Часовий горизонт моделі – 10 років. В якості альтернативи трастузумабу розглядалися стандартні схеми ад’ювантної терапії РМЗ, представлені у чинному Протоколі ме-дичної допомоги хворим на РМЗ. На ґрунті результатів моделювання за Марковим використані методи «витра-ти-ефективність» і «витрати-корисність». В якості критерію ефективності використовували роки збережено-го життя (</w:t>
      </w:r>
      <w:r w:rsidRPr="00090050">
        <w:rPr>
          <w:rFonts w:ascii="Cambria" w:eastAsia="Cambria" w:hAnsi="Cambria" w:cs="Arial"/>
          <w:sz w:val="18"/>
          <w:szCs w:val="20"/>
        </w:rPr>
        <w:t>LYG</w:t>
      </w:r>
      <w:r w:rsidRPr="00090050">
        <w:rPr>
          <w:rFonts w:ascii="Cambria" w:eastAsia="Cambria" w:hAnsi="Cambria" w:cs="Arial"/>
          <w:sz w:val="18"/>
          <w:szCs w:val="20"/>
          <w:lang w:val="ru-RU"/>
        </w:rPr>
        <w:t xml:space="preserve">). В якості критерію корисності використовували показник </w:t>
      </w:r>
      <w:r w:rsidRPr="00090050">
        <w:rPr>
          <w:rFonts w:ascii="Cambria" w:eastAsia="Cambria" w:hAnsi="Cambria" w:cs="Arial"/>
          <w:sz w:val="18"/>
          <w:szCs w:val="20"/>
        </w:rPr>
        <w:t>QALY</w:t>
      </w:r>
      <w:r w:rsidRPr="00090050">
        <w:rPr>
          <w:rFonts w:ascii="Cambria" w:eastAsia="Cambria" w:hAnsi="Cambria" w:cs="Arial"/>
          <w:sz w:val="18"/>
          <w:szCs w:val="20"/>
          <w:lang w:val="ru-RU"/>
        </w:rPr>
        <w:t>. Враховували вартість прямих медичних витрат, структура яких була визначена у відповідності до чинного Протоколу. Вартість ЛП визнача-лась згідно з реєстром МОЗУ станом на 7.08.2019 р. Вартість медичних послуг визначалася згідно з наявними прейскурантами. Також враховували вартість корекції побічних явищ хіміотерапії. Дисконтування визначено на рівні 3 % щорічно. Аналіз чутливості результатів проведено до зміни ціни на трастузумаб та лікарські пре-парати альтернативних схем ад’ювантної терапії.</w:t>
      </w:r>
    </w:p>
    <w:p w:rsidR="00090050" w:rsidRPr="00090050" w:rsidRDefault="00090050" w:rsidP="00090050">
      <w:pPr>
        <w:spacing w:after="0" w:line="51" w:lineRule="exact"/>
        <w:rPr>
          <w:rFonts w:ascii="Times New Roman" w:eastAsia="Times New Roman" w:hAnsi="Times New Roman" w:cs="Arial"/>
          <w:sz w:val="20"/>
          <w:szCs w:val="20"/>
          <w:lang w:val="ru-RU"/>
        </w:rPr>
      </w:pPr>
    </w:p>
    <w:p w:rsidR="00090050" w:rsidRPr="00090050" w:rsidRDefault="00090050" w:rsidP="00090050">
      <w:pPr>
        <w:spacing w:after="0" w:line="228" w:lineRule="auto"/>
        <w:ind w:right="340"/>
        <w:jc w:val="both"/>
        <w:rPr>
          <w:rFonts w:ascii="Cambria" w:eastAsia="Cambria" w:hAnsi="Cambria" w:cs="Arial"/>
          <w:sz w:val="18"/>
          <w:szCs w:val="20"/>
          <w:lang w:val="ru-RU"/>
        </w:rPr>
      </w:pPr>
      <w:r w:rsidRPr="00090050">
        <w:rPr>
          <w:rFonts w:ascii="Cambria" w:eastAsia="Cambria" w:hAnsi="Cambria" w:cs="Arial"/>
          <w:b/>
          <w:sz w:val="18"/>
          <w:szCs w:val="20"/>
          <w:lang w:val="ru-RU"/>
        </w:rPr>
        <w:t xml:space="preserve">Результати. </w:t>
      </w:r>
      <w:r w:rsidRPr="00090050">
        <w:rPr>
          <w:rFonts w:ascii="Cambria" w:eastAsia="Cambria" w:hAnsi="Cambria" w:cs="Arial"/>
          <w:sz w:val="18"/>
          <w:szCs w:val="20"/>
          <w:lang w:val="ru-RU"/>
        </w:rPr>
        <w:t>Згідно з моделюванням середня очікувана тривалість життя пацієнток з</w:t>
      </w:r>
      <w:r w:rsidRPr="00090050">
        <w:rPr>
          <w:rFonts w:ascii="Cambria" w:eastAsia="Cambria" w:hAnsi="Cambria" w:cs="Arial"/>
          <w:b/>
          <w:sz w:val="18"/>
          <w:szCs w:val="20"/>
          <w:lang w:val="ru-RU"/>
        </w:rPr>
        <w:t xml:space="preserve"> </w:t>
      </w:r>
      <w:r w:rsidRPr="00090050">
        <w:rPr>
          <w:rFonts w:ascii="Cambria" w:eastAsia="Cambria" w:hAnsi="Cambria" w:cs="Arial"/>
          <w:sz w:val="18"/>
          <w:szCs w:val="20"/>
        </w:rPr>
        <w:t>HER</w:t>
      </w:r>
      <w:r w:rsidRPr="00090050">
        <w:rPr>
          <w:rFonts w:ascii="Cambria" w:eastAsia="Cambria" w:hAnsi="Cambria" w:cs="Arial"/>
          <w:sz w:val="18"/>
          <w:szCs w:val="20"/>
          <w:lang w:val="ru-RU"/>
        </w:rPr>
        <w:t>2+</w:t>
      </w:r>
      <w:r w:rsidRPr="00090050">
        <w:rPr>
          <w:rFonts w:ascii="Cambria" w:eastAsia="Cambria" w:hAnsi="Cambria" w:cs="Arial"/>
          <w:b/>
          <w:sz w:val="18"/>
          <w:szCs w:val="20"/>
          <w:lang w:val="ru-RU"/>
        </w:rPr>
        <w:t xml:space="preserve"> </w:t>
      </w:r>
      <w:r w:rsidRPr="00090050">
        <w:rPr>
          <w:rFonts w:ascii="Cambria" w:eastAsia="Cambria" w:hAnsi="Cambria" w:cs="Arial"/>
          <w:sz w:val="18"/>
          <w:szCs w:val="20"/>
          <w:lang w:val="ru-RU"/>
        </w:rPr>
        <w:t xml:space="preserve">РМЗ в групі трастузу-мабу становить 7,32 років у порівнянні з показником 6,43 років у групі стандартної ХТ, впродовж яких вони отримують відповідно 6,72 та 5,80 </w:t>
      </w:r>
      <w:r w:rsidRPr="00090050">
        <w:rPr>
          <w:rFonts w:ascii="Cambria" w:eastAsia="Cambria" w:hAnsi="Cambria" w:cs="Arial"/>
          <w:sz w:val="18"/>
          <w:szCs w:val="20"/>
        </w:rPr>
        <w:t>QALY</w:t>
      </w:r>
      <w:r w:rsidRPr="00090050">
        <w:rPr>
          <w:rFonts w:ascii="Cambria" w:eastAsia="Cambria" w:hAnsi="Cambria" w:cs="Arial"/>
          <w:sz w:val="18"/>
          <w:szCs w:val="20"/>
          <w:lang w:val="ru-RU"/>
        </w:rPr>
        <w:t xml:space="preserve">. Ад’ювантна терапія трастузумабом забезпечує додатково 0,89 </w:t>
      </w:r>
      <w:r w:rsidRPr="00090050">
        <w:rPr>
          <w:rFonts w:ascii="Cambria" w:eastAsia="Cambria" w:hAnsi="Cambria" w:cs="Arial"/>
          <w:sz w:val="18"/>
          <w:szCs w:val="20"/>
        </w:rPr>
        <w:t>LYG</w:t>
      </w:r>
      <w:r w:rsidRPr="00090050">
        <w:rPr>
          <w:rFonts w:ascii="Cambria" w:eastAsia="Cambria" w:hAnsi="Cambria" w:cs="Arial"/>
          <w:sz w:val="18"/>
          <w:szCs w:val="20"/>
          <w:lang w:val="ru-RU"/>
        </w:rPr>
        <w:t xml:space="preserve"> та 0,92 </w:t>
      </w:r>
      <w:r w:rsidRPr="00090050">
        <w:rPr>
          <w:rFonts w:ascii="Cambria" w:eastAsia="Cambria" w:hAnsi="Cambria" w:cs="Arial"/>
          <w:sz w:val="18"/>
          <w:szCs w:val="20"/>
        </w:rPr>
        <w:t>QALY</w:t>
      </w:r>
      <w:r w:rsidRPr="00090050">
        <w:rPr>
          <w:rFonts w:ascii="Cambria" w:eastAsia="Cambria" w:hAnsi="Cambria" w:cs="Arial"/>
          <w:sz w:val="18"/>
          <w:szCs w:val="20"/>
          <w:lang w:val="ru-RU"/>
        </w:rPr>
        <w:t xml:space="preserve">. Загальні витрати за період дослідження у групі трастузумабу склали в середньому 627115,5 грн на одну пацієнтку, в групі стандартної ХТ – 501939,6 грн. Інкрементальні коефіцієнти </w:t>
      </w:r>
      <w:r w:rsidRPr="00090050">
        <w:rPr>
          <w:rFonts w:ascii="Cambria" w:eastAsia="Cambria" w:hAnsi="Cambria" w:cs="Arial"/>
          <w:sz w:val="18"/>
          <w:szCs w:val="20"/>
        </w:rPr>
        <w:t>ICER</w:t>
      </w:r>
      <w:r w:rsidRPr="00090050">
        <w:rPr>
          <w:rFonts w:ascii="Cambria" w:eastAsia="Cambria" w:hAnsi="Cambria" w:cs="Arial"/>
          <w:sz w:val="18"/>
          <w:szCs w:val="20"/>
          <w:lang w:val="ru-RU"/>
        </w:rPr>
        <w:t xml:space="preserve"> (вартість 1 додат-кового року життя) та </w:t>
      </w:r>
      <w:r w:rsidRPr="00090050">
        <w:rPr>
          <w:rFonts w:ascii="Cambria" w:eastAsia="Cambria" w:hAnsi="Cambria" w:cs="Arial"/>
          <w:sz w:val="18"/>
          <w:szCs w:val="20"/>
        </w:rPr>
        <w:t>ICUR</w:t>
      </w:r>
      <w:r w:rsidRPr="00090050">
        <w:rPr>
          <w:rFonts w:ascii="Cambria" w:eastAsia="Cambria" w:hAnsi="Cambria" w:cs="Arial"/>
          <w:sz w:val="18"/>
          <w:szCs w:val="20"/>
          <w:lang w:val="ru-RU"/>
        </w:rPr>
        <w:t xml:space="preserve"> (вартість 1 додаткового року якісного життя) склали відповідно 140833,8 грн та 136088,8 грн.</w:t>
      </w:r>
    </w:p>
    <w:p w:rsidR="00090050" w:rsidRPr="00090050" w:rsidRDefault="00090050" w:rsidP="00090050">
      <w:pPr>
        <w:spacing w:after="0" w:line="53" w:lineRule="exact"/>
        <w:rPr>
          <w:rFonts w:ascii="Times New Roman" w:eastAsia="Times New Roman" w:hAnsi="Times New Roman" w:cs="Arial"/>
          <w:sz w:val="20"/>
          <w:szCs w:val="20"/>
          <w:lang w:val="ru-RU"/>
        </w:rPr>
      </w:pPr>
    </w:p>
    <w:p w:rsidR="00090050" w:rsidRPr="00090050" w:rsidRDefault="00090050" w:rsidP="00090050">
      <w:pPr>
        <w:spacing w:after="0" w:line="225" w:lineRule="auto"/>
        <w:ind w:right="340"/>
        <w:jc w:val="both"/>
        <w:rPr>
          <w:rFonts w:ascii="Cambria" w:eastAsia="Cambria" w:hAnsi="Cambria" w:cs="Arial"/>
          <w:sz w:val="18"/>
          <w:szCs w:val="20"/>
          <w:lang w:val="ru-RU"/>
        </w:rPr>
      </w:pPr>
      <w:r w:rsidRPr="00090050">
        <w:rPr>
          <w:rFonts w:ascii="Cambria" w:eastAsia="Cambria" w:hAnsi="Cambria" w:cs="Arial"/>
          <w:b/>
          <w:sz w:val="18"/>
          <w:szCs w:val="20"/>
          <w:lang w:val="ru-RU"/>
        </w:rPr>
        <w:t>Висновки</w:t>
      </w:r>
      <w:r w:rsidRPr="00090050">
        <w:rPr>
          <w:rFonts w:ascii="Cambria" w:eastAsia="Cambria" w:hAnsi="Cambria" w:cs="Arial"/>
          <w:sz w:val="18"/>
          <w:szCs w:val="20"/>
          <w:lang w:val="ru-RU"/>
        </w:rPr>
        <w:t>.</w:t>
      </w:r>
      <w:r w:rsidRPr="00090050">
        <w:rPr>
          <w:rFonts w:ascii="Cambria" w:eastAsia="Cambria" w:hAnsi="Cambria" w:cs="Arial"/>
          <w:b/>
          <w:sz w:val="18"/>
          <w:szCs w:val="20"/>
          <w:lang w:val="ru-RU"/>
        </w:rPr>
        <w:t xml:space="preserve"> </w:t>
      </w:r>
      <w:r w:rsidRPr="00090050">
        <w:rPr>
          <w:rFonts w:ascii="Cambria" w:eastAsia="Cambria" w:hAnsi="Cambria" w:cs="Arial"/>
          <w:sz w:val="18"/>
          <w:szCs w:val="20"/>
          <w:lang w:val="ru-RU"/>
        </w:rPr>
        <w:t xml:space="preserve">Таргетний препарат трастузумаб є лікарським засобом з доказаною ефективністю при використан-ні в якості ад’ювантної терапії </w:t>
      </w:r>
      <w:r w:rsidRPr="00090050">
        <w:rPr>
          <w:rFonts w:ascii="Cambria" w:eastAsia="Cambria" w:hAnsi="Cambria" w:cs="Arial"/>
          <w:sz w:val="18"/>
          <w:szCs w:val="20"/>
        </w:rPr>
        <w:t>HER</w:t>
      </w:r>
      <w:r w:rsidRPr="00090050">
        <w:rPr>
          <w:rFonts w:ascii="Cambria" w:eastAsia="Cambria" w:hAnsi="Cambria" w:cs="Arial"/>
          <w:sz w:val="18"/>
          <w:szCs w:val="20"/>
          <w:lang w:val="ru-RU"/>
        </w:rPr>
        <w:t xml:space="preserve">2+ РМЗ в ранній стадії. Схема ад’ювантної терапії </w:t>
      </w:r>
      <w:r w:rsidRPr="00090050">
        <w:rPr>
          <w:rFonts w:ascii="Cambria" w:eastAsia="Cambria" w:hAnsi="Cambria" w:cs="Arial"/>
          <w:sz w:val="18"/>
          <w:szCs w:val="20"/>
        </w:rPr>
        <w:t>HER</w:t>
      </w:r>
      <w:r w:rsidRPr="00090050">
        <w:rPr>
          <w:rFonts w:ascii="Cambria" w:eastAsia="Cambria" w:hAnsi="Cambria" w:cs="Arial"/>
          <w:sz w:val="18"/>
          <w:szCs w:val="20"/>
          <w:lang w:val="ru-RU"/>
        </w:rPr>
        <w:t xml:space="preserve">2 + РМЗ з використан-ням трастузумабу у порівнянні зі стандартною схемою ад’ювантної терапії </w:t>
      </w:r>
      <w:r w:rsidRPr="00090050">
        <w:rPr>
          <w:rFonts w:ascii="Cambria" w:eastAsia="Cambria" w:hAnsi="Cambria" w:cs="Arial"/>
          <w:sz w:val="18"/>
          <w:szCs w:val="20"/>
        </w:rPr>
        <w:t>HER</w:t>
      </w:r>
      <w:r w:rsidRPr="00090050">
        <w:rPr>
          <w:rFonts w:ascii="Cambria" w:eastAsia="Cambria" w:hAnsi="Cambria" w:cs="Arial"/>
          <w:sz w:val="18"/>
          <w:szCs w:val="20"/>
          <w:lang w:val="ru-RU"/>
        </w:rPr>
        <w:t xml:space="preserve">2 + потребує більших витрат, в той же час дозволяє досягти кращих результатів – в перспективі 10 років забезпечує в середньому додатково 0,89 років життя та 0,92 </w:t>
      </w:r>
      <w:r w:rsidRPr="00090050">
        <w:rPr>
          <w:rFonts w:ascii="Cambria" w:eastAsia="Cambria" w:hAnsi="Cambria" w:cs="Arial"/>
          <w:sz w:val="18"/>
          <w:szCs w:val="20"/>
        </w:rPr>
        <w:t>QALY</w:t>
      </w:r>
      <w:r w:rsidRPr="00090050">
        <w:rPr>
          <w:rFonts w:ascii="Cambria" w:eastAsia="Cambria" w:hAnsi="Cambria" w:cs="Arial"/>
          <w:sz w:val="18"/>
          <w:szCs w:val="20"/>
          <w:lang w:val="ru-RU"/>
        </w:rPr>
        <w:t>. Фармакоекономічний аналіз на грунті моделювання за методом Маркова та роз-рахунків методами «витрати-ефективність» та «витрати-корисність» дозволяє вважати використання трасту-зумабу (препарат Герцептин</w:t>
      </w:r>
      <w:r w:rsidRPr="00090050">
        <w:rPr>
          <w:rFonts w:ascii="Cambria" w:eastAsia="Cambria" w:hAnsi="Cambria" w:cs="Arial"/>
          <w:sz w:val="20"/>
          <w:szCs w:val="20"/>
          <w:u w:val="single"/>
          <w:vertAlign w:val="superscript"/>
          <w:lang w:val="ru-RU"/>
        </w:rPr>
        <w:t>®</w:t>
      </w:r>
      <w:r w:rsidRPr="00090050">
        <w:rPr>
          <w:rFonts w:ascii="Cambria" w:eastAsia="Cambria" w:hAnsi="Cambria" w:cs="Arial"/>
          <w:sz w:val="18"/>
          <w:szCs w:val="20"/>
          <w:lang w:val="ru-RU"/>
        </w:rPr>
        <w:t xml:space="preserve">) в якості ад’ювантної терапії </w:t>
      </w:r>
      <w:r w:rsidRPr="00090050">
        <w:rPr>
          <w:rFonts w:ascii="Cambria" w:eastAsia="Cambria" w:hAnsi="Cambria" w:cs="Arial"/>
          <w:sz w:val="18"/>
          <w:szCs w:val="20"/>
        </w:rPr>
        <w:t>HER</w:t>
      </w:r>
      <w:r w:rsidRPr="00090050">
        <w:rPr>
          <w:rFonts w:ascii="Cambria" w:eastAsia="Cambria" w:hAnsi="Cambria" w:cs="Arial"/>
          <w:sz w:val="18"/>
          <w:szCs w:val="20"/>
          <w:lang w:val="ru-RU"/>
        </w:rPr>
        <w:t>2 + РМЗ в ранній стадії економічно доцільною медичною технологією в чинних умовах охорони здоров’я України.</w:t>
      </w:r>
    </w:p>
    <w:p w:rsidR="00090050" w:rsidRPr="00090050" w:rsidRDefault="00090050" w:rsidP="00090050">
      <w:pPr>
        <w:spacing w:after="0" w:line="52" w:lineRule="exact"/>
        <w:rPr>
          <w:rFonts w:ascii="Times New Roman" w:eastAsia="Times New Roman" w:hAnsi="Times New Roman" w:cs="Arial"/>
          <w:sz w:val="20"/>
          <w:szCs w:val="20"/>
          <w:lang w:val="ru-RU"/>
        </w:rPr>
      </w:pPr>
    </w:p>
    <w:p w:rsidR="00090050" w:rsidRPr="00090050" w:rsidRDefault="00090050" w:rsidP="00090050">
      <w:pPr>
        <w:spacing w:after="0" w:line="232" w:lineRule="auto"/>
        <w:ind w:right="340"/>
        <w:jc w:val="both"/>
        <w:rPr>
          <w:rFonts w:ascii="Cambria" w:eastAsia="Cambria" w:hAnsi="Cambria" w:cs="Arial"/>
          <w:sz w:val="18"/>
          <w:szCs w:val="20"/>
          <w:lang w:val="ru-RU"/>
        </w:rPr>
      </w:pPr>
      <w:r w:rsidRPr="00090050">
        <w:rPr>
          <w:rFonts w:ascii="Cambria" w:eastAsia="Cambria" w:hAnsi="Cambria" w:cs="Arial"/>
          <w:b/>
          <w:i/>
          <w:sz w:val="18"/>
          <w:szCs w:val="20"/>
          <w:lang w:val="ru-RU"/>
        </w:rPr>
        <w:t xml:space="preserve">Ключові слова: </w:t>
      </w:r>
      <w:r w:rsidRPr="00090050">
        <w:rPr>
          <w:rFonts w:ascii="Cambria" w:eastAsia="Cambria" w:hAnsi="Cambria" w:cs="Arial"/>
          <w:sz w:val="18"/>
          <w:szCs w:val="20"/>
          <w:lang w:val="ru-RU"/>
        </w:rPr>
        <w:t>фармакоекономіка;</w:t>
      </w:r>
      <w:r w:rsidRPr="00090050">
        <w:rPr>
          <w:rFonts w:ascii="Cambria" w:eastAsia="Cambria" w:hAnsi="Cambria" w:cs="Arial"/>
          <w:b/>
          <w:i/>
          <w:sz w:val="18"/>
          <w:szCs w:val="20"/>
          <w:lang w:val="ru-RU"/>
        </w:rPr>
        <w:t xml:space="preserve"> </w:t>
      </w:r>
      <w:r w:rsidRPr="00090050">
        <w:rPr>
          <w:rFonts w:ascii="Cambria" w:eastAsia="Cambria" w:hAnsi="Cambria" w:cs="Arial"/>
          <w:sz w:val="18"/>
          <w:szCs w:val="20"/>
          <w:lang w:val="ru-RU"/>
        </w:rPr>
        <w:t xml:space="preserve">рак молочної залози; </w:t>
      </w:r>
      <w:r w:rsidRPr="00090050">
        <w:rPr>
          <w:rFonts w:ascii="Cambria" w:eastAsia="Cambria" w:hAnsi="Cambria" w:cs="Arial"/>
          <w:sz w:val="18"/>
          <w:szCs w:val="20"/>
        </w:rPr>
        <w:t>HER</w:t>
      </w:r>
      <w:r w:rsidRPr="00090050">
        <w:rPr>
          <w:rFonts w:ascii="Cambria" w:eastAsia="Cambria" w:hAnsi="Cambria" w:cs="Arial"/>
          <w:sz w:val="18"/>
          <w:szCs w:val="20"/>
          <w:lang w:val="ru-RU"/>
        </w:rPr>
        <w:t>2-позитивний рак молочної залози;</w:t>
      </w:r>
      <w:r w:rsidRPr="00090050">
        <w:rPr>
          <w:rFonts w:ascii="Cambria" w:eastAsia="Cambria" w:hAnsi="Cambria" w:cs="Arial"/>
          <w:b/>
          <w:i/>
          <w:sz w:val="18"/>
          <w:szCs w:val="20"/>
          <w:lang w:val="ru-RU"/>
        </w:rPr>
        <w:t xml:space="preserve"> </w:t>
      </w:r>
      <w:r w:rsidRPr="00090050">
        <w:rPr>
          <w:rFonts w:ascii="Cambria" w:eastAsia="Cambria" w:hAnsi="Cambria" w:cs="Arial"/>
          <w:sz w:val="18"/>
          <w:szCs w:val="20"/>
          <w:lang w:val="ru-RU"/>
        </w:rPr>
        <w:t>трастузумаб;</w:t>
      </w:r>
      <w:r w:rsidRPr="00090050">
        <w:rPr>
          <w:rFonts w:ascii="Cambria" w:eastAsia="Cambria" w:hAnsi="Cambria" w:cs="Arial"/>
          <w:b/>
          <w:i/>
          <w:sz w:val="18"/>
          <w:szCs w:val="20"/>
          <w:lang w:val="ru-RU"/>
        </w:rPr>
        <w:t xml:space="preserve"> </w:t>
      </w:r>
      <w:r w:rsidRPr="00090050">
        <w:rPr>
          <w:rFonts w:ascii="Cambria" w:eastAsia="Cambria" w:hAnsi="Cambria" w:cs="Arial"/>
          <w:sz w:val="18"/>
          <w:szCs w:val="20"/>
          <w:lang w:val="ru-RU"/>
        </w:rPr>
        <w:t>герцептин</w:t>
      </w:r>
    </w:p>
    <w:p w:rsidR="00090050" w:rsidRPr="00090050" w:rsidRDefault="00090050" w:rsidP="00090050">
      <w:pPr>
        <w:spacing w:after="0" w:line="217" w:lineRule="exact"/>
        <w:rPr>
          <w:rFonts w:ascii="Times New Roman" w:eastAsia="Times New Roman" w:hAnsi="Times New Roman" w:cs="Arial"/>
          <w:sz w:val="20"/>
          <w:szCs w:val="20"/>
          <w:lang w:val="ru-RU"/>
        </w:rPr>
      </w:pPr>
    </w:p>
    <w:p w:rsidR="00090050" w:rsidRPr="00090050" w:rsidRDefault="00090050" w:rsidP="00090050">
      <w:pPr>
        <w:spacing w:after="0" w:line="0" w:lineRule="atLeast"/>
        <w:rPr>
          <w:rFonts w:ascii="Cambria" w:eastAsia="Cambria" w:hAnsi="Cambria" w:cs="Arial"/>
          <w:b/>
          <w:i/>
          <w:sz w:val="20"/>
          <w:szCs w:val="20"/>
        </w:rPr>
      </w:pPr>
      <w:r w:rsidRPr="00090050">
        <w:rPr>
          <w:rFonts w:ascii="Cambria" w:eastAsia="Cambria" w:hAnsi="Cambria" w:cs="Arial"/>
          <w:b/>
          <w:i/>
          <w:sz w:val="20"/>
          <w:szCs w:val="20"/>
        </w:rPr>
        <w:t>N. V. Bezdetko, O. V. Muzhychuk*</w:t>
      </w:r>
    </w:p>
    <w:p w:rsidR="00090050" w:rsidRPr="00090050" w:rsidRDefault="00090050" w:rsidP="00090050">
      <w:pPr>
        <w:spacing w:after="0" w:line="30" w:lineRule="exact"/>
        <w:rPr>
          <w:rFonts w:ascii="Times New Roman" w:eastAsia="Times New Roman" w:hAnsi="Times New Roman" w:cs="Arial"/>
          <w:sz w:val="20"/>
          <w:szCs w:val="20"/>
        </w:rPr>
      </w:pPr>
    </w:p>
    <w:p w:rsidR="00090050" w:rsidRPr="00090050" w:rsidRDefault="00090050" w:rsidP="00090050">
      <w:pPr>
        <w:spacing w:after="0" w:line="0" w:lineRule="atLeast"/>
        <w:rPr>
          <w:rFonts w:ascii="Cambria" w:eastAsia="Cambria" w:hAnsi="Cambria" w:cs="Arial"/>
          <w:i/>
          <w:sz w:val="20"/>
          <w:szCs w:val="20"/>
        </w:rPr>
      </w:pPr>
      <w:r w:rsidRPr="00090050">
        <w:rPr>
          <w:rFonts w:ascii="Cambria" w:eastAsia="Cambria" w:hAnsi="Cambria" w:cs="Arial"/>
          <w:i/>
          <w:sz w:val="20"/>
          <w:szCs w:val="20"/>
        </w:rPr>
        <w:t>National University of Pharmacy</w:t>
      </w:r>
    </w:p>
    <w:p w:rsidR="00090050" w:rsidRPr="00090050" w:rsidRDefault="00090050" w:rsidP="00090050">
      <w:pPr>
        <w:spacing w:after="0" w:line="237" w:lineRule="auto"/>
        <w:rPr>
          <w:rFonts w:ascii="Cambria" w:eastAsia="Cambria" w:hAnsi="Cambria" w:cs="Arial"/>
          <w:i/>
          <w:sz w:val="20"/>
          <w:szCs w:val="20"/>
        </w:rPr>
      </w:pPr>
      <w:r w:rsidRPr="00090050">
        <w:rPr>
          <w:rFonts w:ascii="Cambria" w:eastAsia="Cambria" w:hAnsi="Cambria" w:cs="Arial"/>
          <w:i/>
          <w:sz w:val="20"/>
          <w:szCs w:val="20"/>
        </w:rPr>
        <w:t>Kharkіv National Medical University*</w:t>
      </w:r>
    </w:p>
    <w:p w:rsidR="00090050" w:rsidRPr="00090050" w:rsidRDefault="00090050" w:rsidP="00090050">
      <w:pPr>
        <w:spacing w:after="0" w:line="45" w:lineRule="exact"/>
        <w:rPr>
          <w:rFonts w:ascii="Times New Roman" w:eastAsia="Times New Roman" w:hAnsi="Times New Roman" w:cs="Arial"/>
          <w:sz w:val="20"/>
          <w:szCs w:val="20"/>
        </w:rPr>
      </w:pPr>
    </w:p>
    <w:p w:rsidR="00090050" w:rsidRPr="00090050" w:rsidRDefault="00090050" w:rsidP="00090050">
      <w:pPr>
        <w:spacing w:after="0" w:line="231" w:lineRule="auto"/>
        <w:ind w:right="840"/>
        <w:rPr>
          <w:rFonts w:ascii="Cambria" w:eastAsia="Cambria" w:hAnsi="Cambria" w:cs="Arial"/>
          <w:b/>
          <w:sz w:val="20"/>
          <w:szCs w:val="20"/>
        </w:rPr>
      </w:pPr>
      <w:r w:rsidRPr="00090050">
        <w:rPr>
          <w:rFonts w:ascii="Cambria" w:eastAsia="Cambria" w:hAnsi="Cambria" w:cs="Arial"/>
          <w:b/>
          <w:sz w:val="20"/>
          <w:szCs w:val="20"/>
        </w:rPr>
        <w:t>The pharmacoeconomic analysis of the cost efficiency of trastuzumab in the adjuvant therapy of HER2 + early breast cancer</w:t>
      </w:r>
    </w:p>
    <w:p w:rsidR="00090050" w:rsidRPr="00090050" w:rsidRDefault="00090050" w:rsidP="00090050">
      <w:pPr>
        <w:spacing w:after="0" w:line="75" w:lineRule="exact"/>
        <w:rPr>
          <w:rFonts w:ascii="Times New Roman" w:eastAsia="Times New Roman" w:hAnsi="Times New Roman" w:cs="Arial"/>
          <w:sz w:val="20"/>
          <w:szCs w:val="20"/>
        </w:rPr>
      </w:pPr>
    </w:p>
    <w:p w:rsidR="00090050" w:rsidRPr="00090050" w:rsidRDefault="00090050" w:rsidP="00090050">
      <w:pPr>
        <w:spacing w:after="0" w:line="221" w:lineRule="auto"/>
        <w:ind w:right="340"/>
        <w:jc w:val="both"/>
        <w:rPr>
          <w:rFonts w:ascii="Cambria" w:eastAsia="Cambria" w:hAnsi="Cambria" w:cs="Arial"/>
          <w:sz w:val="18"/>
          <w:szCs w:val="20"/>
        </w:rPr>
      </w:pPr>
      <w:r w:rsidRPr="00090050">
        <w:rPr>
          <w:rFonts w:ascii="Cambria" w:eastAsia="Cambria" w:hAnsi="Cambria" w:cs="Arial"/>
          <w:sz w:val="18"/>
          <w:szCs w:val="20"/>
        </w:rPr>
        <w:t>Breast cancer (BC) is the first among all oncological diseases in women and is one of the main causes of female mor-tality worldwide, including in Ukraine. The HER2 + subtype of breast cancer is characterized by the most unfavorable prognosis. The targeted drug trastuzumab significantly improves the 10-year survival rate of patients with HER2 + breast cancer, but at the same time significantly increases the cost of treatment.</w:t>
      </w:r>
    </w:p>
    <w:p w:rsidR="00090050" w:rsidRPr="00090050" w:rsidRDefault="00090050" w:rsidP="00090050">
      <w:pPr>
        <w:spacing w:after="0" w:line="48" w:lineRule="exact"/>
        <w:rPr>
          <w:rFonts w:ascii="Times New Roman" w:eastAsia="Times New Roman" w:hAnsi="Times New Roman" w:cs="Arial"/>
          <w:sz w:val="20"/>
          <w:szCs w:val="20"/>
        </w:rPr>
      </w:pPr>
    </w:p>
    <w:p w:rsidR="00090050" w:rsidRPr="00090050" w:rsidRDefault="00090050" w:rsidP="00090050">
      <w:pPr>
        <w:spacing w:after="0" w:line="246" w:lineRule="auto"/>
        <w:ind w:right="340"/>
        <w:jc w:val="both"/>
        <w:rPr>
          <w:rFonts w:ascii="Cambria" w:eastAsia="Cambria" w:hAnsi="Cambria" w:cs="Arial"/>
          <w:sz w:val="18"/>
          <w:szCs w:val="20"/>
        </w:rPr>
      </w:pPr>
      <w:r w:rsidRPr="00090050">
        <w:rPr>
          <w:rFonts w:ascii="Cambria" w:eastAsia="Cambria" w:hAnsi="Cambria" w:cs="Arial"/>
          <w:b/>
          <w:sz w:val="18"/>
          <w:szCs w:val="20"/>
        </w:rPr>
        <w:t xml:space="preserve">Aim. </w:t>
      </w:r>
      <w:r w:rsidRPr="00090050">
        <w:rPr>
          <w:rFonts w:ascii="Cambria" w:eastAsia="Cambria" w:hAnsi="Cambria" w:cs="Arial"/>
          <w:sz w:val="18"/>
          <w:szCs w:val="20"/>
        </w:rPr>
        <w:t>To assess pharmacoeconomically the adjuvant therapy of the early stage of HER2 + breast cancer with trastu-zumab (Herceptin</w:t>
      </w:r>
      <w:r w:rsidRPr="00090050">
        <w:rPr>
          <w:rFonts w:ascii="Cambria" w:eastAsia="Cambria" w:hAnsi="Cambria" w:cs="Arial"/>
          <w:sz w:val="20"/>
          <w:szCs w:val="20"/>
          <w:vertAlign w:val="superscript"/>
        </w:rPr>
        <w:t>®</w:t>
      </w:r>
      <w:r w:rsidRPr="00090050">
        <w:rPr>
          <w:rFonts w:ascii="Cambria" w:eastAsia="Cambria" w:hAnsi="Cambria" w:cs="Arial"/>
          <w:sz w:val="18"/>
          <w:szCs w:val="20"/>
        </w:rPr>
        <w:t xml:space="preserve"> medicine) from the perspective of the Ukrainian healthcare system.</w:t>
      </w:r>
    </w:p>
    <w:p w:rsidR="00090050" w:rsidRPr="00090050" w:rsidRDefault="00090050" w:rsidP="00090050">
      <w:pPr>
        <w:spacing w:after="0" w:line="243" w:lineRule="auto"/>
        <w:ind w:right="340"/>
        <w:jc w:val="both"/>
        <w:rPr>
          <w:rFonts w:ascii="Cambria" w:eastAsia="Cambria" w:hAnsi="Cambria" w:cs="Arial"/>
          <w:sz w:val="17"/>
          <w:szCs w:val="20"/>
        </w:rPr>
      </w:pPr>
      <w:r w:rsidRPr="00090050">
        <w:rPr>
          <w:rFonts w:ascii="Cambria" w:eastAsia="Cambria" w:hAnsi="Cambria" w:cs="Arial"/>
          <w:b/>
          <w:sz w:val="17"/>
          <w:szCs w:val="20"/>
        </w:rPr>
        <w:t xml:space="preserve">Materials and methods. </w:t>
      </w:r>
      <w:r w:rsidRPr="00090050">
        <w:rPr>
          <w:rFonts w:ascii="Cambria" w:eastAsia="Cambria" w:hAnsi="Cambria" w:cs="Arial"/>
          <w:sz w:val="17"/>
          <w:szCs w:val="20"/>
        </w:rPr>
        <w:t>The method of analytical modeling by Markov was used. Modeling was carried out on the</w:t>
      </w:r>
      <w:r w:rsidRPr="00090050">
        <w:rPr>
          <w:rFonts w:ascii="Cambria" w:eastAsia="Cambria" w:hAnsi="Cambria" w:cs="Arial"/>
          <w:b/>
          <w:sz w:val="17"/>
          <w:szCs w:val="20"/>
        </w:rPr>
        <w:t xml:space="preserve"> </w:t>
      </w:r>
      <w:r w:rsidRPr="00090050">
        <w:rPr>
          <w:rFonts w:ascii="Cambria" w:eastAsia="Cambria" w:hAnsi="Cambria" w:cs="Arial"/>
          <w:sz w:val="17"/>
          <w:szCs w:val="20"/>
        </w:rPr>
        <w:t>basis of the results of a randomized, multicenter open clinical trial of phase III HERA. The time horizon of the model is 10 years. As an alternative to trastuzumab the standard adjuvant therapy regimens for breast cancer given in the cur-rent Protocol for the care of breast cancer patients were considered. According to the results of modeling by Markov the methods of “cost-effectiveness” and “cost-utility” were used. The efficiency criterion was the life years gained (LYG). The utility criterion was QALY. The cost of direct medical expenses was taken into account. The cost structure was</w:t>
      </w:r>
    </w:p>
    <w:p w:rsidR="00090050" w:rsidRPr="00090050" w:rsidRDefault="00090050" w:rsidP="00090050">
      <w:pPr>
        <w:spacing w:after="0" w:line="243" w:lineRule="auto"/>
        <w:ind w:right="340"/>
        <w:jc w:val="both"/>
        <w:rPr>
          <w:rFonts w:ascii="Cambria" w:eastAsia="Cambria" w:hAnsi="Cambria" w:cs="Arial"/>
          <w:sz w:val="17"/>
          <w:szCs w:val="20"/>
        </w:rPr>
        <w:sectPr w:rsidR="00090050" w:rsidRPr="00090050">
          <w:pgSz w:w="11900" w:h="16838"/>
          <w:pgMar w:top="1028" w:right="1026" w:bottom="657" w:left="1200" w:header="0" w:footer="0" w:gutter="0"/>
          <w:cols w:space="0" w:equalWidth="0">
            <w:col w:w="9680"/>
          </w:cols>
          <w:docGrid w:linePitch="360"/>
        </w:sectPr>
      </w:pPr>
    </w:p>
    <w:p w:rsidR="00090050" w:rsidRPr="00090050" w:rsidRDefault="00090050" w:rsidP="00090050">
      <w:pPr>
        <w:tabs>
          <w:tab w:val="left" w:pos="440"/>
          <w:tab w:val="left" w:pos="2860"/>
          <w:tab w:val="left" w:pos="8060"/>
        </w:tabs>
        <w:spacing w:after="0" w:line="0" w:lineRule="atLeast"/>
        <w:rPr>
          <w:rFonts w:ascii="Century Gothic" w:eastAsia="Century Gothic" w:hAnsi="Century Gothic" w:cs="Arial"/>
          <w:sz w:val="16"/>
          <w:szCs w:val="20"/>
        </w:rPr>
      </w:pPr>
      <w:bookmarkStart w:id="1" w:name="page46"/>
      <w:bookmarkEnd w:id="1"/>
      <w:r w:rsidRPr="00090050">
        <w:rPr>
          <w:rFonts w:ascii="Century Gothic" w:eastAsia="Century Gothic" w:hAnsi="Century Gothic" w:cs="Arial"/>
          <w:sz w:val="20"/>
          <w:szCs w:val="20"/>
        </w:rPr>
        <w:lastRenderedPageBreak/>
        <w:t>46</w:t>
      </w:r>
      <w:r w:rsidRPr="00090050">
        <w:rPr>
          <w:rFonts w:ascii="Times New Roman" w:eastAsia="Times New Roman" w:hAnsi="Times New Roman" w:cs="Arial"/>
          <w:sz w:val="20"/>
          <w:szCs w:val="20"/>
        </w:rPr>
        <w:tab/>
      </w:r>
      <w:r w:rsidRPr="00090050">
        <w:rPr>
          <w:rFonts w:ascii="Century Gothic" w:eastAsia="Century Gothic" w:hAnsi="Century Gothic" w:cs="Arial"/>
          <w:sz w:val="16"/>
          <w:szCs w:val="20"/>
        </w:rPr>
        <w:t>ISSN 2518-1572 (Online)</w:t>
      </w:r>
      <w:r w:rsidRPr="00090050">
        <w:rPr>
          <w:rFonts w:ascii="Times New Roman" w:eastAsia="Times New Roman" w:hAnsi="Times New Roman" w:cs="Arial"/>
          <w:sz w:val="20"/>
          <w:szCs w:val="20"/>
        </w:rPr>
        <w:tab/>
      </w:r>
      <w:r w:rsidRPr="00090050">
        <w:rPr>
          <w:rFonts w:ascii="Century Gothic" w:eastAsia="Century Gothic" w:hAnsi="Century Gothic" w:cs="Arial"/>
          <w:sz w:val="20"/>
          <w:szCs w:val="20"/>
        </w:rPr>
        <w:t>КЛІНІЧНА ФАРМАЦІЯ. – 2019. – Т. 23, № 4</w:t>
      </w:r>
      <w:r w:rsidRPr="00090050">
        <w:rPr>
          <w:rFonts w:ascii="Times New Roman" w:eastAsia="Times New Roman" w:hAnsi="Times New Roman" w:cs="Arial"/>
          <w:sz w:val="20"/>
          <w:szCs w:val="20"/>
        </w:rPr>
        <w:tab/>
      </w:r>
      <w:r w:rsidRPr="00090050">
        <w:rPr>
          <w:rFonts w:ascii="Century Gothic" w:eastAsia="Century Gothic" w:hAnsi="Century Gothic" w:cs="Arial"/>
          <w:sz w:val="16"/>
          <w:szCs w:val="20"/>
        </w:rPr>
        <w:t>ISSN 1562-725X (Print)</w:t>
      </w:r>
    </w:p>
    <w:p w:rsidR="00090050" w:rsidRPr="00090050" w:rsidRDefault="00090050" w:rsidP="00090050">
      <w:pPr>
        <w:spacing w:after="0" w:line="20" w:lineRule="exact"/>
        <w:rPr>
          <w:rFonts w:ascii="Times New Roman" w:eastAsia="Times New Roman" w:hAnsi="Times New Roman" w:cs="Arial"/>
          <w:sz w:val="20"/>
          <w:szCs w:val="20"/>
        </w:rPr>
      </w:pPr>
      <w:r w:rsidRPr="00090050">
        <w:rPr>
          <w:rFonts w:ascii="Century Gothic" w:eastAsia="Century Gothic" w:hAnsi="Century Gothic" w:cs="Arial"/>
          <w:noProof/>
          <w:sz w:val="16"/>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12065</wp:posOffset>
            </wp:positionV>
            <wp:extent cx="6155690" cy="12700"/>
            <wp:effectExtent l="0" t="0" r="0" b="635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5690" cy="12700"/>
                    </a:xfrm>
                    <a:prstGeom prst="rect">
                      <a:avLst/>
                    </a:prstGeom>
                    <a:noFill/>
                  </pic:spPr>
                </pic:pic>
              </a:graphicData>
            </a:graphic>
            <wp14:sizeRelH relativeFrom="page">
              <wp14:pctWidth>0</wp14:pctWidth>
            </wp14:sizeRelH>
            <wp14:sizeRelV relativeFrom="page">
              <wp14:pctHeight>0</wp14:pctHeight>
            </wp14:sizeRelV>
          </wp:anchor>
        </w:drawing>
      </w:r>
    </w:p>
    <w:p w:rsidR="00090050" w:rsidRPr="00090050" w:rsidRDefault="00090050" w:rsidP="00090050">
      <w:pPr>
        <w:spacing w:after="0" w:line="250" w:lineRule="exact"/>
        <w:rPr>
          <w:rFonts w:ascii="Times New Roman" w:eastAsia="Times New Roman" w:hAnsi="Times New Roman" w:cs="Arial"/>
          <w:sz w:val="20"/>
          <w:szCs w:val="20"/>
        </w:rPr>
      </w:pPr>
    </w:p>
    <w:p w:rsidR="00090050" w:rsidRPr="00090050" w:rsidRDefault="00090050" w:rsidP="00090050">
      <w:pPr>
        <w:spacing w:after="0" w:line="234" w:lineRule="auto"/>
        <w:ind w:right="340"/>
        <w:jc w:val="both"/>
        <w:rPr>
          <w:rFonts w:ascii="Cambria" w:eastAsia="Cambria" w:hAnsi="Cambria" w:cs="Arial"/>
          <w:sz w:val="17"/>
          <w:szCs w:val="20"/>
        </w:rPr>
      </w:pPr>
      <w:r w:rsidRPr="00090050">
        <w:rPr>
          <w:rFonts w:ascii="Cambria" w:eastAsia="Cambria" w:hAnsi="Cambria" w:cs="Arial"/>
          <w:sz w:val="17"/>
          <w:szCs w:val="20"/>
        </w:rPr>
        <w:t>determined by the Protocol. The cost of drugs was determined by the Register of the Ministry of Health of Ukraine as of 08/07/2019. The cost of medical services was determined by price lists. The cost of correcting side effects of chemo-therapy was also taken into account. The discount was 3 % annually. The analysis of the sensitivity of the results was conducted to change the price of trastuzumab and the price of drugs of alternative adjuvant therapy regimens.</w:t>
      </w:r>
    </w:p>
    <w:p w:rsidR="00090050" w:rsidRPr="00090050" w:rsidRDefault="00090050" w:rsidP="00090050">
      <w:pPr>
        <w:spacing w:after="0" w:line="48" w:lineRule="exact"/>
        <w:rPr>
          <w:rFonts w:ascii="Times New Roman" w:eastAsia="Times New Roman" w:hAnsi="Times New Roman" w:cs="Arial"/>
          <w:sz w:val="20"/>
          <w:szCs w:val="20"/>
        </w:rPr>
      </w:pPr>
    </w:p>
    <w:p w:rsidR="00090050" w:rsidRPr="00090050" w:rsidRDefault="00090050" w:rsidP="00090050">
      <w:pPr>
        <w:spacing w:after="0" w:line="228" w:lineRule="auto"/>
        <w:ind w:right="340"/>
        <w:jc w:val="both"/>
        <w:rPr>
          <w:rFonts w:ascii="Cambria" w:eastAsia="Cambria" w:hAnsi="Cambria" w:cs="Arial"/>
          <w:sz w:val="18"/>
          <w:szCs w:val="20"/>
        </w:rPr>
      </w:pPr>
      <w:r w:rsidRPr="00090050">
        <w:rPr>
          <w:rFonts w:ascii="Cambria" w:eastAsia="Cambria" w:hAnsi="Cambria" w:cs="Arial"/>
          <w:b/>
          <w:sz w:val="18"/>
          <w:szCs w:val="20"/>
        </w:rPr>
        <w:t xml:space="preserve">Results. </w:t>
      </w:r>
      <w:r w:rsidRPr="00090050">
        <w:rPr>
          <w:rFonts w:ascii="Cambria" w:eastAsia="Cambria" w:hAnsi="Cambria" w:cs="Arial"/>
          <w:sz w:val="18"/>
          <w:szCs w:val="20"/>
        </w:rPr>
        <w:t>According to the modeling the average life expectancy of patients with HER2 + breast cancer in the trastuzumab</w:t>
      </w:r>
      <w:r w:rsidRPr="00090050">
        <w:rPr>
          <w:rFonts w:ascii="Cambria" w:eastAsia="Cambria" w:hAnsi="Cambria" w:cs="Arial"/>
          <w:b/>
          <w:sz w:val="18"/>
          <w:szCs w:val="20"/>
        </w:rPr>
        <w:t xml:space="preserve"> </w:t>
      </w:r>
      <w:r w:rsidRPr="00090050">
        <w:rPr>
          <w:rFonts w:ascii="Cambria" w:eastAsia="Cambria" w:hAnsi="Cambria" w:cs="Arial"/>
          <w:sz w:val="18"/>
          <w:szCs w:val="20"/>
        </w:rPr>
        <w:t>group was 7.32 years, in the standard chemotherapy group it was 6.43 years. In the trastuzumab group, patients re-ceived 6.72 QALYs, while in the standard chemotherapy group – 5.80. The adjuvant therapy with trastuzumab gave the patients an additional 0.89 LYG and 0.92 QALY. The costs of treatment during the study in the trastuzumab group aver-aged 627115.5 UAH per one patient, in the group of the standard chemotherapy it was 501939.6 UAH. The incremental ratios ICER (the cost of 1 additional year of life) and ICUR (the cost of 1 additional QALY) were 140,833.8 UAH and 136088.8 UAH, respectively.</w:t>
      </w:r>
    </w:p>
    <w:p w:rsidR="00090050" w:rsidRPr="00090050" w:rsidRDefault="00090050" w:rsidP="00090050">
      <w:pPr>
        <w:spacing w:after="0" w:line="53" w:lineRule="exact"/>
        <w:rPr>
          <w:rFonts w:ascii="Times New Roman" w:eastAsia="Times New Roman" w:hAnsi="Times New Roman" w:cs="Arial"/>
          <w:sz w:val="20"/>
          <w:szCs w:val="20"/>
        </w:rPr>
      </w:pPr>
    </w:p>
    <w:p w:rsidR="00090050" w:rsidRPr="00090050" w:rsidRDefault="00090050" w:rsidP="00090050">
      <w:pPr>
        <w:spacing w:after="0" w:line="247" w:lineRule="auto"/>
        <w:ind w:right="340"/>
        <w:jc w:val="both"/>
        <w:rPr>
          <w:rFonts w:ascii="Cambria" w:eastAsia="Cambria" w:hAnsi="Cambria" w:cs="Arial"/>
          <w:sz w:val="17"/>
          <w:szCs w:val="20"/>
        </w:rPr>
      </w:pPr>
      <w:r w:rsidRPr="00090050">
        <w:rPr>
          <w:rFonts w:ascii="Cambria" w:eastAsia="Cambria" w:hAnsi="Cambria" w:cs="Arial"/>
          <w:b/>
          <w:sz w:val="17"/>
          <w:szCs w:val="20"/>
        </w:rPr>
        <w:t xml:space="preserve">Conclusions. </w:t>
      </w:r>
      <w:r w:rsidRPr="00090050">
        <w:rPr>
          <w:rFonts w:ascii="Cambria" w:eastAsia="Cambria" w:hAnsi="Cambria" w:cs="Arial"/>
          <w:sz w:val="17"/>
          <w:szCs w:val="20"/>
        </w:rPr>
        <w:t>The targeted drug trastuzumab is a medicine for the adjuvant therapy of the early stage HER2 + breast</w:t>
      </w:r>
      <w:r w:rsidRPr="00090050">
        <w:rPr>
          <w:rFonts w:ascii="Cambria" w:eastAsia="Cambria" w:hAnsi="Cambria" w:cs="Arial"/>
          <w:b/>
          <w:sz w:val="17"/>
          <w:szCs w:val="20"/>
        </w:rPr>
        <w:t xml:space="preserve"> </w:t>
      </w:r>
      <w:r w:rsidRPr="00090050">
        <w:rPr>
          <w:rFonts w:ascii="Cambria" w:eastAsia="Cambria" w:hAnsi="Cambria" w:cs="Arial"/>
          <w:sz w:val="17"/>
          <w:szCs w:val="20"/>
        </w:rPr>
        <w:t>cancer with the evidence-based effectiveness. The adjuvant therapy regimen for HER2 + breast cancer with trastuzumab compared to the standard adjuvant chemotherapy with HER2 + is expensive, but gives better results. It gives an average of an additional 0.89 years of life and 0.92 QALY. The pharmacoeconomic analysis based on modeling by Markov and “cost-effectiveness” and “cost-utility”calculations allows considering the early stage adjuvant therapy of HER2 breast cancer with trastuzumab (Herceptin</w:t>
      </w:r>
      <w:r w:rsidRPr="00090050">
        <w:rPr>
          <w:rFonts w:ascii="Cambria" w:eastAsia="Cambria" w:hAnsi="Cambria" w:cs="Arial"/>
          <w:sz w:val="19"/>
          <w:szCs w:val="20"/>
          <w:vertAlign w:val="superscript"/>
        </w:rPr>
        <w:t>®</w:t>
      </w:r>
      <w:r w:rsidRPr="00090050">
        <w:rPr>
          <w:rFonts w:ascii="Cambria" w:eastAsia="Cambria" w:hAnsi="Cambria" w:cs="Arial"/>
          <w:sz w:val="17"/>
          <w:szCs w:val="20"/>
        </w:rPr>
        <w:t>) as an economically feasible medical technology in the healthcare of Ukraine today.</w:t>
      </w:r>
    </w:p>
    <w:p w:rsidR="00090050" w:rsidRPr="00090050" w:rsidRDefault="00090050" w:rsidP="00090050">
      <w:pPr>
        <w:spacing w:after="0" w:line="0" w:lineRule="atLeast"/>
        <w:rPr>
          <w:rFonts w:ascii="Cambria" w:eastAsia="Cambria" w:hAnsi="Cambria" w:cs="Arial"/>
          <w:sz w:val="18"/>
          <w:szCs w:val="20"/>
        </w:rPr>
      </w:pPr>
      <w:r w:rsidRPr="00090050">
        <w:rPr>
          <w:rFonts w:ascii="Cambria" w:eastAsia="Cambria" w:hAnsi="Cambria" w:cs="Arial"/>
          <w:b/>
          <w:i/>
          <w:sz w:val="18"/>
          <w:szCs w:val="20"/>
        </w:rPr>
        <w:t xml:space="preserve">Key words: </w:t>
      </w:r>
      <w:r w:rsidRPr="00090050">
        <w:rPr>
          <w:rFonts w:ascii="Cambria" w:eastAsia="Cambria" w:hAnsi="Cambria" w:cs="Arial"/>
          <w:sz w:val="18"/>
          <w:szCs w:val="20"/>
        </w:rPr>
        <w:t>pharmacoeconomics; breast cancer; HER2-positive breast cancer; trastuzumab; herceptin</w:t>
      </w:r>
    </w:p>
    <w:p w:rsidR="00090050" w:rsidRPr="00090050" w:rsidRDefault="00090050" w:rsidP="00090050">
      <w:pPr>
        <w:spacing w:after="0" w:line="216" w:lineRule="exact"/>
        <w:rPr>
          <w:rFonts w:ascii="Times New Roman" w:eastAsia="Times New Roman" w:hAnsi="Times New Roman" w:cs="Arial"/>
          <w:sz w:val="20"/>
          <w:szCs w:val="20"/>
        </w:rPr>
      </w:pPr>
    </w:p>
    <w:p w:rsidR="00090050" w:rsidRPr="00090050" w:rsidRDefault="00090050" w:rsidP="00090050">
      <w:pPr>
        <w:spacing w:after="0" w:line="0" w:lineRule="atLeast"/>
        <w:rPr>
          <w:rFonts w:ascii="Cambria" w:eastAsia="Cambria" w:hAnsi="Cambria" w:cs="Arial"/>
          <w:b/>
          <w:i/>
          <w:sz w:val="20"/>
          <w:szCs w:val="20"/>
          <w:lang w:val="ru-RU"/>
        </w:rPr>
      </w:pPr>
      <w:r w:rsidRPr="00090050">
        <w:rPr>
          <w:rFonts w:ascii="Cambria" w:eastAsia="Cambria" w:hAnsi="Cambria" w:cs="Arial"/>
          <w:b/>
          <w:i/>
          <w:sz w:val="20"/>
          <w:szCs w:val="20"/>
          <w:lang w:val="ru-RU"/>
        </w:rPr>
        <w:t>Н. В. Бездетко, А. В. Мужичук*</w:t>
      </w:r>
    </w:p>
    <w:p w:rsidR="00090050" w:rsidRPr="00090050" w:rsidRDefault="00090050" w:rsidP="00090050">
      <w:pPr>
        <w:spacing w:after="0" w:line="45" w:lineRule="exact"/>
        <w:rPr>
          <w:rFonts w:ascii="Times New Roman" w:eastAsia="Times New Roman" w:hAnsi="Times New Roman" w:cs="Arial"/>
          <w:sz w:val="20"/>
          <w:szCs w:val="20"/>
          <w:lang w:val="ru-RU"/>
        </w:rPr>
      </w:pPr>
    </w:p>
    <w:p w:rsidR="00090050" w:rsidRPr="00090050" w:rsidRDefault="00090050" w:rsidP="00090050">
      <w:pPr>
        <w:spacing w:after="0" w:line="232" w:lineRule="auto"/>
        <w:ind w:right="4340"/>
        <w:rPr>
          <w:rFonts w:ascii="Cambria" w:eastAsia="Cambria" w:hAnsi="Cambria" w:cs="Arial"/>
          <w:i/>
          <w:sz w:val="20"/>
          <w:szCs w:val="20"/>
          <w:lang w:val="ru-RU"/>
        </w:rPr>
      </w:pPr>
      <w:r w:rsidRPr="00090050">
        <w:rPr>
          <w:rFonts w:ascii="Cambria" w:eastAsia="Cambria" w:hAnsi="Cambria" w:cs="Arial"/>
          <w:i/>
          <w:sz w:val="20"/>
          <w:szCs w:val="20"/>
          <w:lang w:val="ru-RU"/>
        </w:rPr>
        <w:t>Национальный фармацевтический университет Харьковский национальный медицинский университет*</w:t>
      </w:r>
    </w:p>
    <w:p w:rsidR="00090050" w:rsidRPr="00090050" w:rsidRDefault="00090050" w:rsidP="00090050">
      <w:pPr>
        <w:spacing w:after="0" w:line="43" w:lineRule="exact"/>
        <w:rPr>
          <w:rFonts w:ascii="Times New Roman" w:eastAsia="Times New Roman" w:hAnsi="Times New Roman" w:cs="Arial"/>
          <w:sz w:val="20"/>
          <w:szCs w:val="20"/>
          <w:lang w:val="ru-RU"/>
        </w:rPr>
      </w:pPr>
    </w:p>
    <w:p w:rsidR="00090050" w:rsidRPr="00090050" w:rsidRDefault="00090050" w:rsidP="00090050">
      <w:pPr>
        <w:spacing w:after="0" w:line="231" w:lineRule="auto"/>
        <w:ind w:right="720"/>
        <w:rPr>
          <w:rFonts w:ascii="Cambria" w:eastAsia="Cambria" w:hAnsi="Cambria" w:cs="Arial"/>
          <w:b/>
          <w:sz w:val="20"/>
          <w:szCs w:val="20"/>
          <w:lang w:val="ru-RU"/>
        </w:rPr>
      </w:pPr>
      <w:r w:rsidRPr="00090050">
        <w:rPr>
          <w:rFonts w:ascii="Cambria" w:eastAsia="Cambria" w:hAnsi="Cambria" w:cs="Arial"/>
          <w:b/>
          <w:sz w:val="20"/>
          <w:szCs w:val="20"/>
          <w:lang w:val="ru-RU"/>
        </w:rPr>
        <w:t xml:space="preserve">Фармакоэкономический анализ эффективности затрат при использовании трастузумаба в адъювантной терапии </w:t>
      </w:r>
      <w:r w:rsidRPr="00090050">
        <w:rPr>
          <w:rFonts w:ascii="Cambria" w:eastAsia="Cambria" w:hAnsi="Cambria" w:cs="Arial"/>
          <w:b/>
          <w:sz w:val="20"/>
          <w:szCs w:val="20"/>
        </w:rPr>
        <w:t>HER</w:t>
      </w:r>
      <w:r w:rsidRPr="00090050">
        <w:rPr>
          <w:rFonts w:ascii="Cambria" w:eastAsia="Cambria" w:hAnsi="Cambria" w:cs="Arial"/>
          <w:b/>
          <w:sz w:val="20"/>
          <w:szCs w:val="20"/>
          <w:lang w:val="ru-RU"/>
        </w:rPr>
        <w:t>2+ рака молочной железы ранней стадии</w:t>
      </w:r>
    </w:p>
    <w:p w:rsidR="00090050" w:rsidRPr="00090050" w:rsidRDefault="00090050" w:rsidP="00090050">
      <w:pPr>
        <w:spacing w:after="0" w:line="75" w:lineRule="exact"/>
        <w:rPr>
          <w:rFonts w:ascii="Times New Roman" w:eastAsia="Times New Roman" w:hAnsi="Times New Roman" w:cs="Arial"/>
          <w:sz w:val="20"/>
          <w:szCs w:val="20"/>
          <w:lang w:val="ru-RU"/>
        </w:rPr>
      </w:pPr>
    </w:p>
    <w:p w:rsidR="00090050" w:rsidRPr="00090050" w:rsidRDefault="00090050" w:rsidP="00090050">
      <w:pPr>
        <w:spacing w:after="0" w:line="222" w:lineRule="auto"/>
        <w:ind w:right="340"/>
        <w:jc w:val="both"/>
        <w:rPr>
          <w:rFonts w:ascii="Cambria" w:eastAsia="Cambria" w:hAnsi="Cambria" w:cs="Arial"/>
          <w:sz w:val="18"/>
          <w:szCs w:val="20"/>
          <w:lang w:val="ru-RU"/>
        </w:rPr>
      </w:pPr>
      <w:r w:rsidRPr="00090050">
        <w:rPr>
          <w:rFonts w:ascii="Cambria" w:eastAsia="Cambria" w:hAnsi="Cambria" w:cs="Arial"/>
          <w:sz w:val="18"/>
          <w:szCs w:val="20"/>
          <w:lang w:val="ru-RU"/>
        </w:rPr>
        <w:t xml:space="preserve">Рак молочной железы (РМЖ) занимает первое место среди всех онкологических заболеваний у женщин и яв-ляется одной из главных причин женской смертности во всем мире, в том числе и в Украине. Наиболее небла-гоприятным прогнозом характеризуется </w:t>
      </w:r>
      <w:r w:rsidRPr="00090050">
        <w:rPr>
          <w:rFonts w:ascii="Cambria" w:eastAsia="Cambria" w:hAnsi="Cambria" w:cs="Arial"/>
          <w:sz w:val="18"/>
          <w:szCs w:val="20"/>
        </w:rPr>
        <w:t>HER</w:t>
      </w:r>
      <w:r w:rsidRPr="00090050">
        <w:rPr>
          <w:rFonts w:ascii="Cambria" w:eastAsia="Cambria" w:hAnsi="Cambria" w:cs="Arial"/>
          <w:sz w:val="18"/>
          <w:szCs w:val="20"/>
          <w:lang w:val="ru-RU"/>
        </w:rPr>
        <w:t xml:space="preserve">2 + подтип РМЖ. Таргетный препарат трастузумаб способствует существенному повышению 10-летней выживаемости пациенток с </w:t>
      </w:r>
      <w:r w:rsidRPr="00090050">
        <w:rPr>
          <w:rFonts w:ascii="Cambria" w:eastAsia="Cambria" w:hAnsi="Cambria" w:cs="Arial"/>
          <w:sz w:val="18"/>
          <w:szCs w:val="20"/>
        </w:rPr>
        <w:t>HER</w:t>
      </w:r>
      <w:r w:rsidRPr="00090050">
        <w:rPr>
          <w:rFonts w:ascii="Cambria" w:eastAsia="Cambria" w:hAnsi="Cambria" w:cs="Arial"/>
          <w:sz w:val="18"/>
          <w:szCs w:val="20"/>
          <w:lang w:val="ru-RU"/>
        </w:rPr>
        <w:t>2 + РМЖ, но одновременно значитель-но увеличивает стоимость лечения.</w:t>
      </w:r>
    </w:p>
    <w:p w:rsidR="00090050" w:rsidRPr="00090050" w:rsidRDefault="00090050" w:rsidP="00090050">
      <w:pPr>
        <w:spacing w:after="0" w:line="50" w:lineRule="exact"/>
        <w:rPr>
          <w:rFonts w:ascii="Times New Roman" w:eastAsia="Times New Roman" w:hAnsi="Times New Roman" w:cs="Arial"/>
          <w:sz w:val="20"/>
          <w:szCs w:val="20"/>
          <w:lang w:val="ru-RU"/>
        </w:rPr>
      </w:pPr>
    </w:p>
    <w:p w:rsidR="00090050" w:rsidRPr="00090050" w:rsidRDefault="00090050" w:rsidP="00090050">
      <w:pPr>
        <w:spacing w:after="0" w:line="246" w:lineRule="auto"/>
        <w:ind w:right="340"/>
        <w:rPr>
          <w:rFonts w:ascii="Cambria" w:eastAsia="Cambria" w:hAnsi="Cambria" w:cs="Arial"/>
          <w:sz w:val="17"/>
          <w:szCs w:val="20"/>
        </w:rPr>
      </w:pPr>
      <w:r w:rsidRPr="00090050">
        <w:rPr>
          <w:rFonts w:ascii="Cambria" w:eastAsia="Cambria" w:hAnsi="Cambria" w:cs="Arial"/>
          <w:b/>
          <w:sz w:val="17"/>
          <w:szCs w:val="20"/>
          <w:lang w:val="ru-RU"/>
        </w:rPr>
        <w:t xml:space="preserve">Цель исследования </w:t>
      </w:r>
      <w:r w:rsidRPr="00090050">
        <w:rPr>
          <w:rFonts w:ascii="Cambria" w:eastAsia="Cambria" w:hAnsi="Cambria" w:cs="Arial"/>
          <w:sz w:val="17"/>
          <w:szCs w:val="20"/>
          <w:lang w:val="ru-RU"/>
        </w:rPr>
        <w:t>–</w:t>
      </w:r>
      <w:r w:rsidRPr="00090050">
        <w:rPr>
          <w:rFonts w:ascii="Cambria" w:eastAsia="Cambria" w:hAnsi="Cambria" w:cs="Arial"/>
          <w:b/>
          <w:sz w:val="17"/>
          <w:szCs w:val="20"/>
          <w:lang w:val="ru-RU"/>
        </w:rPr>
        <w:t xml:space="preserve"> </w:t>
      </w:r>
      <w:r w:rsidRPr="00090050">
        <w:rPr>
          <w:rFonts w:ascii="Cambria" w:eastAsia="Cambria" w:hAnsi="Cambria" w:cs="Arial"/>
          <w:sz w:val="17"/>
          <w:szCs w:val="20"/>
          <w:lang w:val="ru-RU"/>
        </w:rPr>
        <w:t xml:space="preserve">оценка фармакоэкономической целесообразности адъювантной терапии ранней ста-дии </w:t>
      </w:r>
      <w:r w:rsidRPr="00090050">
        <w:rPr>
          <w:rFonts w:ascii="Cambria" w:eastAsia="Cambria" w:hAnsi="Cambria" w:cs="Arial"/>
          <w:sz w:val="17"/>
          <w:szCs w:val="20"/>
        </w:rPr>
        <w:t>HER</w:t>
      </w:r>
      <w:r w:rsidRPr="00090050">
        <w:rPr>
          <w:rFonts w:ascii="Cambria" w:eastAsia="Cambria" w:hAnsi="Cambria" w:cs="Arial"/>
          <w:sz w:val="17"/>
          <w:szCs w:val="20"/>
          <w:lang w:val="ru-RU"/>
        </w:rPr>
        <w:t>2+ РМЖ трастузумабом (препарат Герцептин</w:t>
      </w:r>
      <w:r w:rsidRPr="00090050">
        <w:rPr>
          <w:rFonts w:ascii="Cambria" w:eastAsia="Cambria" w:hAnsi="Cambria" w:cs="Arial"/>
          <w:sz w:val="19"/>
          <w:szCs w:val="20"/>
          <w:vertAlign w:val="superscript"/>
          <w:lang w:val="ru-RU"/>
        </w:rPr>
        <w:t>®</w:t>
      </w:r>
      <w:r w:rsidRPr="00090050">
        <w:rPr>
          <w:rFonts w:ascii="Cambria" w:eastAsia="Cambria" w:hAnsi="Cambria" w:cs="Arial"/>
          <w:sz w:val="17"/>
          <w:szCs w:val="20"/>
          <w:lang w:val="ru-RU"/>
        </w:rPr>
        <w:t xml:space="preserve">) с позиции украинской системы здравоохранения. </w:t>
      </w:r>
      <w:r w:rsidRPr="00090050">
        <w:rPr>
          <w:rFonts w:ascii="Cambria" w:eastAsia="Cambria" w:hAnsi="Cambria" w:cs="Arial"/>
          <w:b/>
          <w:sz w:val="17"/>
          <w:szCs w:val="20"/>
          <w:lang w:val="ru-RU"/>
        </w:rPr>
        <w:t xml:space="preserve">Материалы и методы. </w:t>
      </w:r>
      <w:r w:rsidRPr="00090050">
        <w:rPr>
          <w:rFonts w:ascii="Cambria" w:eastAsia="Cambria" w:hAnsi="Cambria" w:cs="Arial"/>
          <w:sz w:val="17"/>
          <w:szCs w:val="20"/>
          <w:lang w:val="ru-RU"/>
        </w:rPr>
        <w:t>Определение результатов лечения и связанных с ним затрат выполнено на основании</w:t>
      </w:r>
      <w:r w:rsidRPr="00090050">
        <w:rPr>
          <w:rFonts w:ascii="Cambria" w:eastAsia="Cambria" w:hAnsi="Cambria" w:cs="Arial"/>
          <w:b/>
          <w:sz w:val="17"/>
          <w:szCs w:val="20"/>
          <w:lang w:val="ru-RU"/>
        </w:rPr>
        <w:t xml:space="preserve"> </w:t>
      </w:r>
      <w:r w:rsidRPr="00090050">
        <w:rPr>
          <w:rFonts w:ascii="Cambria" w:eastAsia="Cambria" w:hAnsi="Cambria" w:cs="Arial"/>
          <w:sz w:val="17"/>
          <w:szCs w:val="20"/>
          <w:lang w:val="ru-RU"/>
        </w:rPr>
        <w:t xml:space="preserve">аналитического моделирования по методу Маркова на основе результатов рандомизированного многоцентро-вого открытого клинического исследования </w:t>
      </w:r>
      <w:r w:rsidRPr="00090050">
        <w:rPr>
          <w:rFonts w:ascii="Cambria" w:eastAsia="Cambria" w:hAnsi="Cambria" w:cs="Arial"/>
          <w:sz w:val="17"/>
          <w:szCs w:val="20"/>
        </w:rPr>
        <w:t>III</w:t>
      </w:r>
      <w:r w:rsidRPr="00090050">
        <w:rPr>
          <w:rFonts w:ascii="Cambria" w:eastAsia="Cambria" w:hAnsi="Cambria" w:cs="Arial"/>
          <w:sz w:val="17"/>
          <w:szCs w:val="20"/>
          <w:lang w:val="ru-RU"/>
        </w:rPr>
        <w:t xml:space="preserve"> фазы </w:t>
      </w:r>
      <w:r w:rsidRPr="00090050">
        <w:rPr>
          <w:rFonts w:ascii="Cambria" w:eastAsia="Cambria" w:hAnsi="Cambria" w:cs="Arial"/>
          <w:sz w:val="17"/>
          <w:szCs w:val="20"/>
        </w:rPr>
        <w:t>HERA</w:t>
      </w:r>
      <w:r w:rsidRPr="00090050">
        <w:rPr>
          <w:rFonts w:ascii="Cambria" w:eastAsia="Cambria" w:hAnsi="Cambria" w:cs="Arial"/>
          <w:sz w:val="17"/>
          <w:szCs w:val="20"/>
          <w:lang w:val="ru-RU"/>
        </w:rPr>
        <w:t>. Временной горизонт модели – 10 лет. В качестве альтернативы трастузумабу рассматривались стандартные схемы адъювантной терапии РМЖ, представлен-ные в действующем Протоколе медицинской помощи больным РМЖ. На основе результатов моделирования по Маркову использованы методы «затраты-эффективность» и «затраты-полезность». В качестве критерия эффективности использовали годы сохраненной жизни (</w:t>
      </w:r>
      <w:r w:rsidRPr="00090050">
        <w:rPr>
          <w:rFonts w:ascii="Cambria" w:eastAsia="Cambria" w:hAnsi="Cambria" w:cs="Arial"/>
          <w:sz w:val="17"/>
          <w:szCs w:val="20"/>
        </w:rPr>
        <w:t>LYG</w:t>
      </w:r>
      <w:r w:rsidRPr="00090050">
        <w:rPr>
          <w:rFonts w:ascii="Cambria" w:eastAsia="Cambria" w:hAnsi="Cambria" w:cs="Arial"/>
          <w:sz w:val="17"/>
          <w:szCs w:val="20"/>
          <w:lang w:val="ru-RU"/>
        </w:rPr>
        <w:t xml:space="preserve">). В качестве критерия полезности использовали показатель </w:t>
      </w:r>
      <w:r w:rsidRPr="00090050">
        <w:rPr>
          <w:rFonts w:ascii="Cambria" w:eastAsia="Cambria" w:hAnsi="Cambria" w:cs="Arial"/>
          <w:sz w:val="17"/>
          <w:szCs w:val="20"/>
        </w:rPr>
        <w:t>QALY</w:t>
      </w:r>
      <w:r w:rsidRPr="00090050">
        <w:rPr>
          <w:rFonts w:ascii="Cambria" w:eastAsia="Cambria" w:hAnsi="Cambria" w:cs="Arial"/>
          <w:sz w:val="17"/>
          <w:szCs w:val="20"/>
          <w:lang w:val="ru-RU"/>
        </w:rPr>
        <w:t xml:space="preserve">. </w:t>
      </w:r>
      <w:r w:rsidRPr="00090050">
        <w:rPr>
          <w:rFonts w:ascii="Cambria" w:eastAsia="Cambria" w:hAnsi="Cambria" w:cs="Arial"/>
          <w:sz w:val="17"/>
          <w:szCs w:val="20"/>
        </w:rPr>
        <w:t>Учитывали стоимость прямых медицинских затрат, структура которых была определена</w:t>
      </w:r>
    </w:p>
    <w:p w:rsidR="00090050" w:rsidRPr="00090050" w:rsidRDefault="00090050" w:rsidP="00090050">
      <w:pPr>
        <w:spacing w:after="0" w:line="21" w:lineRule="exact"/>
        <w:rPr>
          <w:rFonts w:ascii="Times New Roman" w:eastAsia="Times New Roman" w:hAnsi="Times New Roman" w:cs="Arial"/>
          <w:sz w:val="20"/>
          <w:szCs w:val="20"/>
        </w:rPr>
      </w:pPr>
    </w:p>
    <w:p w:rsidR="00090050" w:rsidRPr="00090050" w:rsidRDefault="00090050" w:rsidP="00090050">
      <w:pPr>
        <w:numPr>
          <w:ilvl w:val="0"/>
          <w:numId w:val="1"/>
        </w:numPr>
        <w:tabs>
          <w:tab w:val="left" w:pos="487"/>
        </w:tabs>
        <w:spacing w:after="0" w:line="222" w:lineRule="auto"/>
        <w:ind w:right="340"/>
        <w:jc w:val="both"/>
        <w:rPr>
          <w:rFonts w:ascii="Cambria" w:eastAsia="Cambria" w:hAnsi="Cambria" w:cs="Arial"/>
          <w:sz w:val="18"/>
          <w:szCs w:val="20"/>
          <w:lang w:val="ru-RU"/>
        </w:rPr>
      </w:pPr>
      <w:r w:rsidRPr="00090050">
        <w:rPr>
          <w:rFonts w:ascii="Cambria" w:eastAsia="Cambria" w:hAnsi="Cambria" w:cs="Arial"/>
          <w:sz w:val="18"/>
          <w:szCs w:val="20"/>
          <w:lang w:val="ru-RU"/>
        </w:rPr>
        <w:t>соответствии с действующим Протоколом. Стоимость ЛП определялась согласно реестру МОЗ Украины по состоянию на 7.08.2019. Стоимость медицинских услуг определялась согласно имеющимся прейскурантам. Также учитывали стоимость коррекции побочных явлений химиотерапии. Дисконтирование определено на уровне 3 % ежегодно. Анализ чувствительности результатов проведен к изменению цены на трастузумаб и лекарственные препараты альтернативных схем адъювантной терапии.</w:t>
      </w:r>
    </w:p>
    <w:p w:rsidR="00090050" w:rsidRPr="00090050" w:rsidRDefault="00090050" w:rsidP="00090050">
      <w:pPr>
        <w:spacing w:after="0" w:line="50" w:lineRule="exact"/>
        <w:rPr>
          <w:rFonts w:ascii="Times New Roman" w:eastAsia="Times New Roman" w:hAnsi="Times New Roman" w:cs="Arial"/>
          <w:sz w:val="20"/>
          <w:szCs w:val="20"/>
          <w:lang w:val="ru-RU"/>
        </w:rPr>
      </w:pPr>
    </w:p>
    <w:p w:rsidR="00090050" w:rsidRPr="00090050" w:rsidRDefault="00090050" w:rsidP="00090050">
      <w:pPr>
        <w:spacing w:after="0" w:line="228" w:lineRule="auto"/>
        <w:ind w:right="340"/>
        <w:jc w:val="both"/>
        <w:rPr>
          <w:rFonts w:ascii="Cambria" w:eastAsia="Cambria" w:hAnsi="Cambria" w:cs="Arial"/>
          <w:sz w:val="18"/>
          <w:szCs w:val="20"/>
          <w:lang w:val="ru-RU"/>
        </w:rPr>
      </w:pPr>
      <w:r w:rsidRPr="00090050">
        <w:rPr>
          <w:rFonts w:ascii="Cambria" w:eastAsia="Cambria" w:hAnsi="Cambria" w:cs="Arial"/>
          <w:b/>
          <w:sz w:val="18"/>
          <w:szCs w:val="20"/>
          <w:lang w:val="ru-RU"/>
        </w:rPr>
        <w:t xml:space="preserve">Результаты. </w:t>
      </w:r>
      <w:r w:rsidRPr="00090050">
        <w:rPr>
          <w:rFonts w:ascii="Cambria" w:eastAsia="Cambria" w:hAnsi="Cambria" w:cs="Arial"/>
          <w:sz w:val="18"/>
          <w:szCs w:val="20"/>
          <w:lang w:val="ru-RU"/>
        </w:rPr>
        <w:t>Согласно моделированию средняя ожидаемая продолжительность жизни пациенток с</w:t>
      </w:r>
      <w:r w:rsidRPr="00090050">
        <w:rPr>
          <w:rFonts w:ascii="Cambria" w:eastAsia="Cambria" w:hAnsi="Cambria" w:cs="Arial"/>
          <w:b/>
          <w:sz w:val="18"/>
          <w:szCs w:val="20"/>
          <w:lang w:val="ru-RU"/>
        </w:rPr>
        <w:t xml:space="preserve"> </w:t>
      </w:r>
      <w:r w:rsidRPr="00090050">
        <w:rPr>
          <w:rFonts w:ascii="Cambria" w:eastAsia="Cambria" w:hAnsi="Cambria" w:cs="Arial"/>
          <w:sz w:val="18"/>
          <w:szCs w:val="20"/>
        </w:rPr>
        <w:t>HER</w:t>
      </w:r>
      <w:r w:rsidRPr="00090050">
        <w:rPr>
          <w:rFonts w:ascii="Cambria" w:eastAsia="Cambria" w:hAnsi="Cambria" w:cs="Arial"/>
          <w:sz w:val="18"/>
          <w:szCs w:val="20"/>
          <w:lang w:val="ru-RU"/>
        </w:rPr>
        <w:t>2 +</w:t>
      </w:r>
      <w:r w:rsidRPr="00090050">
        <w:rPr>
          <w:rFonts w:ascii="Cambria" w:eastAsia="Cambria" w:hAnsi="Cambria" w:cs="Arial"/>
          <w:b/>
          <w:sz w:val="18"/>
          <w:szCs w:val="20"/>
          <w:lang w:val="ru-RU"/>
        </w:rPr>
        <w:t xml:space="preserve"> </w:t>
      </w:r>
      <w:r w:rsidRPr="00090050">
        <w:rPr>
          <w:rFonts w:ascii="Cambria" w:eastAsia="Cambria" w:hAnsi="Cambria" w:cs="Arial"/>
          <w:sz w:val="18"/>
          <w:szCs w:val="20"/>
          <w:lang w:val="ru-RU"/>
        </w:rPr>
        <w:t>РМЖ</w:t>
      </w:r>
      <w:r w:rsidRPr="00090050">
        <w:rPr>
          <w:rFonts w:ascii="Cambria" w:eastAsia="Cambria" w:hAnsi="Cambria" w:cs="Arial"/>
          <w:b/>
          <w:sz w:val="18"/>
          <w:szCs w:val="20"/>
          <w:lang w:val="ru-RU"/>
        </w:rPr>
        <w:t xml:space="preserve"> </w:t>
      </w:r>
      <w:r w:rsidRPr="00090050">
        <w:rPr>
          <w:rFonts w:ascii="Cambria" w:eastAsia="Cambria" w:hAnsi="Cambria" w:cs="Arial"/>
          <w:sz w:val="18"/>
          <w:szCs w:val="20"/>
          <w:lang w:val="ru-RU"/>
        </w:rPr>
        <w:t xml:space="preserve">в группе трастузумаба составляет 7,32 лет по сравнению с показателем 6,43 лет в группе стандартной ХТ, в течение которых они получают соответственно 6,72 и 5,80 </w:t>
      </w:r>
      <w:r w:rsidRPr="00090050">
        <w:rPr>
          <w:rFonts w:ascii="Cambria" w:eastAsia="Cambria" w:hAnsi="Cambria" w:cs="Arial"/>
          <w:sz w:val="18"/>
          <w:szCs w:val="20"/>
        </w:rPr>
        <w:t>QALY</w:t>
      </w:r>
      <w:r w:rsidRPr="00090050">
        <w:rPr>
          <w:rFonts w:ascii="Cambria" w:eastAsia="Cambria" w:hAnsi="Cambria" w:cs="Arial"/>
          <w:sz w:val="18"/>
          <w:szCs w:val="20"/>
          <w:lang w:val="ru-RU"/>
        </w:rPr>
        <w:t xml:space="preserve">. Адъювантная терапия трастузумабом обе-спечивает дополнительно 0,89 </w:t>
      </w:r>
      <w:r w:rsidRPr="00090050">
        <w:rPr>
          <w:rFonts w:ascii="Cambria" w:eastAsia="Cambria" w:hAnsi="Cambria" w:cs="Arial"/>
          <w:sz w:val="18"/>
          <w:szCs w:val="20"/>
        </w:rPr>
        <w:t>LYG</w:t>
      </w:r>
      <w:r w:rsidRPr="00090050">
        <w:rPr>
          <w:rFonts w:ascii="Cambria" w:eastAsia="Cambria" w:hAnsi="Cambria" w:cs="Arial"/>
          <w:sz w:val="18"/>
          <w:szCs w:val="20"/>
          <w:lang w:val="ru-RU"/>
        </w:rPr>
        <w:t xml:space="preserve"> и 0,92 </w:t>
      </w:r>
      <w:r w:rsidRPr="00090050">
        <w:rPr>
          <w:rFonts w:ascii="Cambria" w:eastAsia="Cambria" w:hAnsi="Cambria" w:cs="Arial"/>
          <w:sz w:val="18"/>
          <w:szCs w:val="20"/>
        </w:rPr>
        <w:t>QALY</w:t>
      </w:r>
      <w:r w:rsidRPr="00090050">
        <w:rPr>
          <w:rFonts w:ascii="Cambria" w:eastAsia="Cambria" w:hAnsi="Cambria" w:cs="Arial"/>
          <w:sz w:val="18"/>
          <w:szCs w:val="20"/>
          <w:lang w:val="ru-RU"/>
        </w:rPr>
        <w:t xml:space="preserve">. Общие расходы за период исследования в группе трастузумаба составили в среднем 627115,5 грн на одну пациентку, в группе стандартной ХТ – 501939,6 грн. Инкременталь-ные коэффициенты </w:t>
      </w:r>
      <w:r w:rsidRPr="00090050">
        <w:rPr>
          <w:rFonts w:ascii="Cambria" w:eastAsia="Cambria" w:hAnsi="Cambria" w:cs="Arial"/>
          <w:sz w:val="18"/>
          <w:szCs w:val="20"/>
        </w:rPr>
        <w:t>ICER</w:t>
      </w:r>
      <w:r w:rsidRPr="00090050">
        <w:rPr>
          <w:rFonts w:ascii="Cambria" w:eastAsia="Cambria" w:hAnsi="Cambria" w:cs="Arial"/>
          <w:sz w:val="18"/>
          <w:szCs w:val="20"/>
          <w:lang w:val="ru-RU"/>
        </w:rPr>
        <w:t xml:space="preserve"> (стоимость 1 дополнительного года жизни) и </w:t>
      </w:r>
      <w:r w:rsidRPr="00090050">
        <w:rPr>
          <w:rFonts w:ascii="Cambria" w:eastAsia="Cambria" w:hAnsi="Cambria" w:cs="Arial"/>
          <w:sz w:val="18"/>
          <w:szCs w:val="20"/>
        </w:rPr>
        <w:t>ICUR</w:t>
      </w:r>
      <w:r w:rsidRPr="00090050">
        <w:rPr>
          <w:rFonts w:ascii="Cambria" w:eastAsia="Cambria" w:hAnsi="Cambria" w:cs="Arial"/>
          <w:sz w:val="18"/>
          <w:szCs w:val="20"/>
          <w:lang w:val="ru-RU"/>
        </w:rPr>
        <w:t xml:space="preserve"> (стоимость 1 дополнительного года качественной жизни) составили соответственно 140833,8 грн и 136088,8 грн.</w:t>
      </w:r>
    </w:p>
    <w:p w:rsidR="00090050" w:rsidRPr="00090050" w:rsidRDefault="00090050" w:rsidP="00090050">
      <w:pPr>
        <w:spacing w:after="0" w:line="53" w:lineRule="exact"/>
        <w:rPr>
          <w:rFonts w:ascii="Times New Roman" w:eastAsia="Times New Roman" w:hAnsi="Times New Roman" w:cs="Arial"/>
          <w:sz w:val="20"/>
          <w:szCs w:val="20"/>
          <w:lang w:val="ru-RU"/>
        </w:rPr>
      </w:pPr>
    </w:p>
    <w:p w:rsidR="00090050" w:rsidRPr="00090050" w:rsidRDefault="00090050" w:rsidP="00090050">
      <w:pPr>
        <w:spacing w:after="0" w:line="225" w:lineRule="auto"/>
        <w:ind w:right="340"/>
        <w:jc w:val="both"/>
        <w:rPr>
          <w:rFonts w:ascii="Cambria" w:eastAsia="Cambria" w:hAnsi="Cambria" w:cs="Arial"/>
          <w:sz w:val="18"/>
          <w:szCs w:val="20"/>
          <w:lang w:val="ru-RU"/>
        </w:rPr>
      </w:pPr>
      <w:r w:rsidRPr="00090050">
        <w:rPr>
          <w:rFonts w:ascii="Cambria" w:eastAsia="Cambria" w:hAnsi="Cambria" w:cs="Arial"/>
          <w:b/>
          <w:sz w:val="18"/>
          <w:szCs w:val="20"/>
          <w:lang w:val="ru-RU"/>
        </w:rPr>
        <w:t>Выводы</w:t>
      </w:r>
      <w:r w:rsidRPr="00090050">
        <w:rPr>
          <w:rFonts w:ascii="Cambria" w:eastAsia="Cambria" w:hAnsi="Cambria" w:cs="Arial"/>
          <w:sz w:val="18"/>
          <w:szCs w:val="20"/>
          <w:lang w:val="ru-RU"/>
        </w:rPr>
        <w:t>.</w:t>
      </w:r>
      <w:r w:rsidRPr="00090050">
        <w:rPr>
          <w:rFonts w:ascii="Cambria" w:eastAsia="Cambria" w:hAnsi="Cambria" w:cs="Arial"/>
          <w:b/>
          <w:sz w:val="18"/>
          <w:szCs w:val="20"/>
          <w:lang w:val="ru-RU"/>
        </w:rPr>
        <w:t xml:space="preserve"> </w:t>
      </w:r>
      <w:r w:rsidRPr="00090050">
        <w:rPr>
          <w:rFonts w:ascii="Cambria" w:eastAsia="Cambria" w:hAnsi="Cambria" w:cs="Arial"/>
          <w:sz w:val="18"/>
          <w:szCs w:val="20"/>
          <w:lang w:val="ru-RU"/>
        </w:rPr>
        <w:t>Таргетный препарат трастузумаб является лекарственным средством с доказанной эффективностью</w:t>
      </w:r>
      <w:r w:rsidRPr="00090050">
        <w:rPr>
          <w:rFonts w:ascii="Cambria" w:eastAsia="Cambria" w:hAnsi="Cambria" w:cs="Arial"/>
          <w:b/>
          <w:sz w:val="18"/>
          <w:szCs w:val="20"/>
          <w:lang w:val="ru-RU"/>
        </w:rPr>
        <w:t xml:space="preserve"> </w:t>
      </w:r>
      <w:r w:rsidRPr="00090050">
        <w:rPr>
          <w:rFonts w:ascii="Cambria" w:eastAsia="Cambria" w:hAnsi="Cambria" w:cs="Arial"/>
          <w:sz w:val="18"/>
          <w:szCs w:val="20"/>
          <w:lang w:val="ru-RU"/>
        </w:rPr>
        <w:t xml:space="preserve">при использовании в качестве адъювантной терапии </w:t>
      </w:r>
      <w:r w:rsidRPr="00090050">
        <w:rPr>
          <w:rFonts w:ascii="Cambria" w:eastAsia="Cambria" w:hAnsi="Cambria" w:cs="Arial"/>
          <w:sz w:val="18"/>
          <w:szCs w:val="20"/>
        </w:rPr>
        <w:t>HER</w:t>
      </w:r>
      <w:r w:rsidRPr="00090050">
        <w:rPr>
          <w:rFonts w:ascii="Cambria" w:eastAsia="Cambria" w:hAnsi="Cambria" w:cs="Arial"/>
          <w:sz w:val="18"/>
          <w:szCs w:val="20"/>
          <w:lang w:val="ru-RU"/>
        </w:rPr>
        <w:t xml:space="preserve">2 + РМЖ на ранней стадии. Схема адъювантной тера-пии </w:t>
      </w:r>
      <w:r w:rsidRPr="00090050">
        <w:rPr>
          <w:rFonts w:ascii="Cambria" w:eastAsia="Cambria" w:hAnsi="Cambria" w:cs="Arial"/>
          <w:sz w:val="18"/>
          <w:szCs w:val="20"/>
        </w:rPr>
        <w:t>HER</w:t>
      </w:r>
      <w:r w:rsidRPr="00090050">
        <w:rPr>
          <w:rFonts w:ascii="Cambria" w:eastAsia="Cambria" w:hAnsi="Cambria" w:cs="Arial"/>
          <w:sz w:val="18"/>
          <w:szCs w:val="20"/>
          <w:lang w:val="ru-RU"/>
        </w:rPr>
        <w:t xml:space="preserve">2 + РМЖ с использованием трастузумаба по сравнению со стандартной схемой адъювантной терапии </w:t>
      </w:r>
      <w:r w:rsidRPr="00090050">
        <w:rPr>
          <w:rFonts w:ascii="Cambria" w:eastAsia="Cambria" w:hAnsi="Cambria" w:cs="Arial"/>
          <w:sz w:val="18"/>
          <w:szCs w:val="20"/>
        </w:rPr>
        <w:t>HER</w:t>
      </w:r>
      <w:r w:rsidRPr="00090050">
        <w:rPr>
          <w:rFonts w:ascii="Cambria" w:eastAsia="Cambria" w:hAnsi="Cambria" w:cs="Arial"/>
          <w:sz w:val="18"/>
          <w:szCs w:val="20"/>
          <w:lang w:val="ru-RU"/>
        </w:rPr>
        <w:t xml:space="preserve">2 + требует больших затрат, в то же время позволяет достичь лучших результатов – в перспективе 10 лет обеспечивает в среднем дополнительно 0,89 лет жизни и 0,92 </w:t>
      </w:r>
      <w:r w:rsidRPr="00090050">
        <w:rPr>
          <w:rFonts w:ascii="Cambria" w:eastAsia="Cambria" w:hAnsi="Cambria" w:cs="Arial"/>
          <w:sz w:val="18"/>
          <w:szCs w:val="20"/>
        </w:rPr>
        <w:t>QALY</w:t>
      </w:r>
      <w:r w:rsidRPr="00090050">
        <w:rPr>
          <w:rFonts w:ascii="Cambria" w:eastAsia="Cambria" w:hAnsi="Cambria" w:cs="Arial"/>
          <w:sz w:val="18"/>
          <w:szCs w:val="20"/>
          <w:lang w:val="ru-RU"/>
        </w:rPr>
        <w:t>. Фармакоэкономический анализ на основе моделирования по методу Маркова и расчетов методами «затраты-эффективность» и «затраты-полезность» позволяет считать использование трастузумаба (препарат Герцептин</w:t>
      </w:r>
      <w:r w:rsidRPr="00090050">
        <w:rPr>
          <w:rFonts w:ascii="Cambria" w:eastAsia="Cambria" w:hAnsi="Cambria" w:cs="Arial"/>
          <w:sz w:val="20"/>
          <w:szCs w:val="20"/>
          <w:vertAlign w:val="superscript"/>
          <w:lang w:val="ru-RU"/>
        </w:rPr>
        <w:t>®</w:t>
      </w:r>
      <w:r w:rsidRPr="00090050">
        <w:rPr>
          <w:rFonts w:ascii="Cambria" w:eastAsia="Cambria" w:hAnsi="Cambria" w:cs="Arial"/>
          <w:sz w:val="18"/>
          <w:szCs w:val="20"/>
          <w:lang w:val="ru-RU"/>
        </w:rPr>
        <w:t xml:space="preserve">) в качестве адъювантной терапии </w:t>
      </w:r>
      <w:r w:rsidRPr="00090050">
        <w:rPr>
          <w:rFonts w:ascii="Cambria" w:eastAsia="Cambria" w:hAnsi="Cambria" w:cs="Arial"/>
          <w:sz w:val="18"/>
          <w:szCs w:val="20"/>
        </w:rPr>
        <w:t>HER</w:t>
      </w:r>
      <w:r w:rsidRPr="00090050">
        <w:rPr>
          <w:rFonts w:ascii="Cambria" w:eastAsia="Cambria" w:hAnsi="Cambria" w:cs="Arial"/>
          <w:sz w:val="18"/>
          <w:szCs w:val="20"/>
          <w:lang w:val="ru-RU"/>
        </w:rPr>
        <w:t>2 + РМЖ на ранней стадии экономически целесообразной медицинской технологии в условиях здравоох-ранения Украины на сегодняшний день.</w:t>
      </w:r>
    </w:p>
    <w:p w:rsidR="00090050" w:rsidRPr="00090050" w:rsidRDefault="00090050" w:rsidP="00090050">
      <w:pPr>
        <w:spacing w:after="0" w:line="54" w:lineRule="exact"/>
        <w:rPr>
          <w:rFonts w:ascii="Times New Roman" w:eastAsia="Times New Roman" w:hAnsi="Times New Roman" w:cs="Arial"/>
          <w:sz w:val="20"/>
          <w:szCs w:val="20"/>
          <w:lang w:val="ru-RU"/>
        </w:rPr>
      </w:pPr>
    </w:p>
    <w:p w:rsidR="00090050" w:rsidRPr="00090050" w:rsidRDefault="00090050" w:rsidP="00090050">
      <w:pPr>
        <w:spacing w:after="0" w:line="232" w:lineRule="auto"/>
        <w:ind w:right="340"/>
        <w:jc w:val="both"/>
        <w:rPr>
          <w:rFonts w:ascii="Cambria" w:eastAsia="Cambria" w:hAnsi="Cambria" w:cs="Arial"/>
          <w:sz w:val="18"/>
          <w:szCs w:val="20"/>
          <w:lang w:val="ru-RU"/>
        </w:rPr>
      </w:pPr>
      <w:r w:rsidRPr="00090050">
        <w:rPr>
          <w:rFonts w:ascii="Cambria" w:eastAsia="Cambria" w:hAnsi="Cambria" w:cs="Arial"/>
          <w:b/>
          <w:i/>
          <w:sz w:val="18"/>
          <w:szCs w:val="20"/>
          <w:lang w:val="ru-RU"/>
        </w:rPr>
        <w:t xml:space="preserve">Ключевые слова: </w:t>
      </w:r>
      <w:r w:rsidRPr="00090050">
        <w:rPr>
          <w:rFonts w:ascii="Cambria" w:eastAsia="Cambria" w:hAnsi="Cambria" w:cs="Arial"/>
          <w:sz w:val="18"/>
          <w:szCs w:val="20"/>
          <w:lang w:val="ru-RU"/>
        </w:rPr>
        <w:t>фармакоэкономика;</w:t>
      </w:r>
      <w:r w:rsidRPr="00090050">
        <w:rPr>
          <w:rFonts w:ascii="Cambria" w:eastAsia="Cambria" w:hAnsi="Cambria" w:cs="Arial"/>
          <w:b/>
          <w:i/>
          <w:sz w:val="18"/>
          <w:szCs w:val="20"/>
          <w:lang w:val="ru-RU"/>
        </w:rPr>
        <w:t xml:space="preserve"> </w:t>
      </w:r>
      <w:r w:rsidRPr="00090050">
        <w:rPr>
          <w:rFonts w:ascii="Cambria" w:eastAsia="Cambria" w:hAnsi="Cambria" w:cs="Arial"/>
          <w:sz w:val="18"/>
          <w:szCs w:val="20"/>
          <w:lang w:val="ru-RU"/>
        </w:rPr>
        <w:t xml:space="preserve">рак молочной железы; </w:t>
      </w:r>
      <w:r w:rsidRPr="00090050">
        <w:rPr>
          <w:rFonts w:ascii="Cambria" w:eastAsia="Cambria" w:hAnsi="Cambria" w:cs="Arial"/>
          <w:sz w:val="18"/>
          <w:szCs w:val="20"/>
        </w:rPr>
        <w:t>HER</w:t>
      </w:r>
      <w:r w:rsidRPr="00090050">
        <w:rPr>
          <w:rFonts w:ascii="Cambria" w:eastAsia="Cambria" w:hAnsi="Cambria" w:cs="Arial"/>
          <w:sz w:val="18"/>
          <w:szCs w:val="20"/>
          <w:lang w:val="ru-RU"/>
        </w:rPr>
        <w:t>2-положительный рак молочной железы;</w:t>
      </w:r>
      <w:r w:rsidRPr="00090050">
        <w:rPr>
          <w:rFonts w:ascii="Cambria" w:eastAsia="Cambria" w:hAnsi="Cambria" w:cs="Arial"/>
          <w:b/>
          <w:i/>
          <w:sz w:val="18"/>
          <w:szCs w:val="20"/>
          <w:lang w:val="ru-RU"/>
        </w:rPr>
        <w:t xml:space="preserve"> </w:t>
      </w:r>
      <w:r w:rsidRPr="00090050">
        <w:rPr>
          <w:rFonts w:ascii="Cambria" w:eastAsia="Cambria" w:hAnsi="Cambria" w:cs="Arial"/>
          <w:sz w:val="18"/>
          <w:szCs w:val="20"/>
          <w:lang w:val="ru-RU"/>
        </w:rPr>
        <w:t>трастузумаб; герцептин</w:t>
      </w:r>
    </w:p>
    <w:p w:rsidR="00090050" w:rsidRPr="00090050" w:rsidRDefault="00090050" w:rsidP="00090050">
      <w:pPr>
        <w:spacing w:after="0" w:line="232" w:lineRule="auto"/>
        <w:ind w:right="340"/>
        <w:jc w:val="both"/>
        <w:rPr>
          <w:rFonts w:ascii="Cambria" w:eastAsia="Cambria" w:hAnsi="Cambria" w:cs="Arial"/>
          <w:sz w:val="18"/>
          <w:szCs w:val="20"/>
          <w:lang w:val="ru-RU"/>
        </w:rPr>
        <w:sectPr w:rsidR="00090050" w:rsidRPr="00090050">
          <w:pgSz w:w="11900" w:h="16838"/>
          <w:pgMar w:top="987" w:right="1186" w:bottom="1440" w:left="1020" w:header="0" w:footer="0" w:gutter="0"/>
          <w:cols w:space="0" w:equalWidth="0">
            <w:col w:w="9700"/>
          </w:cols>
          <w:docGrid w:linePitch="360"/>
        </w:sectPr>
      </w:pPr>
    </w:p>
    <w:tbl>
      <w:tblPr>
        <w:tblW w:w="0" w:type="auto"/>
        <w:tblLayout w:type="fixed"/>
        <w:tblCellMar>
          <w:left w:w="0" w:type="dxa"/>
          <w:right w:w="0" w:type="dxa"/>
        </w:tblCellMar>
        <w:tblLook w:val="0000" w:firstRow="0" w:lastRow="0" w:firstColumn="0" w:lastColumn="0" w:noHBand="0" w:noVBand="0"/>
      </w:tblPr>
      <w:tblGrid>
        <w:gridCol w:w="2080"/>
        <w:gridCol w:w="720"/>
        <w:gridCol w:w="700"/>
        <w:gridCol w:w="660"/>
        <w:gridCol w:w="60"/>
        <w:gridCol w:w="620"/>
        <w:gridCol w:w="580"/>
        <w:gridCol w:w="80"/>
        <w:gridCol w:w="80"/>
        <w:gridCol w:w="560"/>
        <w:gridCol w:w="80"/>
        <w:gridCol w:w="720"/>
        <w:gridCol w:w="380"/>
        <w:gridCol w:w="340"/>
        <w:gridCol w:w="2020"/>
      </w:tblGrid>
      <w:tr w:rsidR="00090050" w:rsidRPr="00090050" w:rsidTr="00BD55AE">
        <w:trPr>
          <w:trHeight w:val="252"/>
        </w:trPr>
        <w:tc>
          <w:tcPr>
            <w:tcW w:w="2080" w:type="dxa"/>
            <w:tcBorders>
              <w:bottom w:val="single" w:sz="8" w:space="0" w:color="auto"/>
            </w:tcBorders>
            <w:shd w:val="clear" w:color="auto" w:fill="auto"/>
            <w:vAlign w:val="bottom"/>
          </w:tcPr>
          <w:p w:rsidR="00090050" w:rsidRPr="00090050" w:rsidRDefault="00090050" w:rsidP="00090050">
            <w:pPr>
              <w:spacing w:after="0" w:line="0" w:lineRule="atLeast"/>
              <w:rPr>
                <w:rFonts w:ascii="Century Gothic" w:eastAsia="Century Gothic" w:hAnsi="Century Gothic" w:cs="Arial"/>
                <w:sz w:val="16"/>
                <w:szCs w:val="20"/>
              </w:rPr>
            </w:pPr>
            <w:bookmarkStart w:id="2" w:name="page47"/>
            <w:bookmarkEnd w:id="2"/>
            <w:r w:rsidRPr="00090050">
              <w:rPr>
                <w:rFonts w:ascii="Century Gothic" w:eastAsia="Century Gothic" w:hAnsi="Century Gothic" w:cs="Arial"/>
                <w:sz w:val="16"/>
                <w:szCs w:val="20"/>
              </w:rPr>
              <w:lastRenderedPageBreak/>
              <w:t>ISSN 1562-725X (Print)</w:t>
            </w:r>
          </w:p>
        </w:tc>
        <w:tc>
          <w:tcPr>
            <w:tcW w:w="5240" w:type="dxa"/>
            <w:gridSpan w:val="12"/>
            <w:tcBorders>
              <w:bottom w:val="single" w:sz="8" w:space="0" w:color="auto"/>
            </w:tcBorders>
            <w:shd w:val="clear" w:color="auto" w:fill="auto"/>
            <w:vAlign w:val="bottom"/>
          </w:tcPr>
          <w:p w:rsidR="00090050" w:rsidRPr="00090050" w:rsidRDefault="00090050" w:rsidP="00090050">
            <w:pPr>
              <w:spacing w:after="0" w:line="0" w:lineRule="atLeast"/>
              <w:rPr>
                <w:rFonts w:ascii="Century Gothic" w:eastAsia="Century Gothic" w:hAnsi="Century Gothic" w:cs="Arial"/>
                <w:sz w:val="20"/>
                <w:szCs w:val="20"/>
              </w:rPr>
            </w:pPr>
            <w:r w:rsidRPr="00090050">
              <w:rPr>
                <w:rFonts w:ascii="Century Gothic" w:eastAsia="Century Gothic" w:hAnsi="Century Gothic" w:cs="Arial"/>
                <w:sz w:val="20"/>
                <w:szCs w:val="20"/>
              </w:rPr>
              <w:t>CLINICAL PHARMACY. – 2019. – Vol. 23, No. 4</w:t>
            </w:r>
          </w:p>
        </w:tc>
        <w:tc>
          <w:tcPr>
            <w:tcW w:w="2360" w:type="dxa"/>
            <w:gridSpan w:val="2"/>
            <w:tcBorders>
              <w:bottom w:val="single" w:sz="8" w:space="0" w:color="auto"/>
            </w:tcBorders>
            <w:shd w:val="clear" w:color="auto" w:fill="auto"/>
            <w:vAlign w:val="bottom"/>
          </w:tcPr>
          <w:p w:rsidR="00090050" w:rsidRPr="00090050" w:rsidRDefault="00090050" w:rsidP="00090050">
            <w:pPr>
              <w:spacing w:after="0" w:line="0" w:lineRule="atLeast"/>
              <w:jc w:val="right"/>
              <w:rPr>
                <w:rFonts w:ascii="Century Gothic" w:eastAsia="Century Gothic" w:hAnsi="Century Gothic" w:cs="Arial"/>
                <w:sz w:val="20"/>
                <w:szCs w:val="20"/>
              </w:rPr>
            </w:pPr>
            <w:r w:rsidRPr="00090050">
              <w:rPr>
                <w:rFonts w:ascii="Century Gothic" w:eastAsia="Century Gothic" w:hAnsi="Century Gothic" w:cs="Arial"/>
                <w:sz w:val="16"/>
                <w:szCs w:val="20"/>
              </w:rPr>
              <w:t xml:space="preserve">ISSN 2518-1572 (Online)   </w:t>
            </w:r>
            <w:r w:rsidRPr="00090050">
              <w:rPr>
                <w:rFonts w:ascii="Century Gothic" w:eastAsia="Century Gothic" w:hAnsi="Century Gothic" w:cs="Arial"/>
                <w:sz w:val="20"/>
                <w:szCs w:val="20"/>
              </w:rPr>
              <w:t>47</w:t>
            </w:r>
          </w:p>
        </w:tc>
      </w:tr>
      <w:tr w:rsidR="00090050" w:rsidRPr="00090050" w:rsidTr="00BD55AE">
        <w:trPr>
          <w:trHeight w:val="402"/>
        </w:trPr>
        <w:tc>
          <w:tcPr>
            <w:tcW w:w="4840" w:type="dxa"/>
            <w:gridSpan w:val="6"/>
            <w:shd w:val="clear" w:color="auto" w:fill="auto"/>
            <w:vAlign w:val="bottom"/>
          </w:tcPr>
          <w:p w:rsidR="00090050" w:rsidRPr="00090050" w:rsidRDefault="00090050" w:rsidP="00090050">
            <w:pPr>
              <w:spacing w:after="0" w:line="0" w:lineRule="atLeast"/>
              <w:ind w:right="140"/>
              <w:jc w:val="right"/>
              <w:rPr>
                <w:rFonts w:ascii="Cambria" w:eastAsia="Cambria" w:hAnsi="Cambria" w:cs="Arial"/>
                <w:szCs w:val="20"/>
                <w:lang w:val="ru-RU"/>
              </w:rPr>
            </w:pPr>
            <w:r w:rsidRPr="00090050">
              <w:rPr>
                <w:rFonts w:ascii="Cambria" w:eastAsia="Cambria" w:hAnsi="Cambria" w:cs="Arial"/>
                <w:szCs w:val="20"/>
                <w:lang w:val="ru-RU"/>
              </w:rPr>
              <w:t>ак молочної залози (РМЗ) на теперішній</w:t>
            </w:r>
          </w:p>
        </w:tc>
        <w:tc>
          <w:tcPr>
            <w:tcW w:w="4840" w:type="dxa"/>
            <w:gridSpan w:val="9"/>
            <w:shd w:val="clear" w:color="auto" w:fill="auto"/>
            <w:vAlign w:val="bottom"/>
          </w:tcPr>
          <w:p w:rsidR="00090050" w:rsidRPr="00090050" w:rsidRDefault="00090050" w:rsidP="00090050">
            <w:pPr>
              <w:spacing w:after="0" w:line="0" w:lineRule="atLeast"/>
              <w:jc w:val="right"/>
              <w:rPr>
                <w:rFonts w:ascii="Cambria" w:eastAsia="Cambria" w:hAnsi="Cambria" w:cs="Arial"/>
                <w:szCs w:val="20"/>
                <w:lang w:val="ru-RU"/>
              </w:rPr>
            </w:pPr>
            <w:r w:rsidRPr="00090050">
              <w:rPr>
                <w:rFonts w:ascii="Cambria" w:eastAsia="Cambria" w:hAnsi="Cambria" w:cs="Arial"/>
                <w:szCs w:val="20"/>
                <w:lang w:val="ru-RU"/>
              </w:rPr>
              <w:t>клінічну ефективність та безпечність лікуван-</w:t>
            </w:r>
          </w:p>
        </w:tc>
      </w:tr>
      <w:tr w:rsidR="00090050" w:rsidRPr="00090050" w:rsidTr="00BD55AE">
        <w:trPr>
          <w:trHeight w:val="309"/>
        </w:trPr>
        <w:tc>
          <w:tcPr>
            <w:tcW w:w="4840" w:type="dxa"/>
            <w:gridSpan w:val="6"/>
            <w:shd w:val="clear" w:color="auto" w:fill="auto"/>
            <w:vAlign w:val="bottom"/>
          </w:tcPr>
          <w:p w:rsidR="00090050" w:rsidRPr="00090050" w:rsidRDefault="00090050" w:rsidP="00090050">
            <w:pPr>
              <w:spacing w:after="0" w:line="308" w:lineRule="exact"/>
              <w:ind w:right="140"/>
              <w:jc w:val="right"/>
              <w:rPr>
                <w:rFonts w:ascii="Cambria" w:eastAsia="Cambria" w:hAnsi="Cambria" w:cs="Arial"/>
                <w:sz w:val="17"/>
                <w:szCs w:val="20"/>
                <w:lang w:val="ru-RU"/>
              </w:rPr>
            </w:pPr>
            <w:r w:rsidRPr="00090050">
              <w:rPr>
                <w:rFonts w:ascii="Cambria" w:eastAsia="Cambria" w:hAnsi="Cambria" w:cs="Arial"/>
                <w:sz w:val="35"/>
                <w:szCs w:val="20"/>
                <w:lang w:val="ru-RU"/>
              </w:rPr>
              <w:t>Р</w:t>
            </w:r>
            <w:r w:rsidRPr="00090050">
              <w:rPr>
                <w:rFonts w:ascii="Cambria" w:eastAsia="Cambria" w:hAnsi="Cambria" w:cs="Arial"/>
                <w:sz w:val="17"/>
                <w:szCs w:val="20"/>
                <w:lang w:val="ru-RU"/>
              </w:rPr>
              <w:t>час посідає перше місце серед усіх онко-</w:t>
            </w:r>
          </w:p>
        </w:tc>
        <w:tc>
          <w:tcPr>
            <w:tcW w:w="4840" w:type="dxa"/>
            <w:gridSpan w:val="9"/>
            <w:shd w:val="clear" w:color="auto" w:fill="auto"/>
            <w:vAlign w:val="bottom"/>
          </w:tcPr>
          <w:p w:rsidR="00090050" w:rsidRPr="00090050" w:rsidRDefault="00090050" w:rsidP="00090050">
            <w:pPr>
              <w:spacing w:after="0" w:line="0" w:lineRule="atLeast"/>
              <w:jc w:val="right"/>
              <w:rPr>
                <w:rFonts w:ascii="Cambria" w:eastAsia="Cambria" w:hAnsi="Cambria" w:cs="Arial"/>
                <w:szCs w:val="20"/>
                <w:lang w:val="ru-RU"/>
              </w:rPr>
            </w:pPr>
            <w:r w:rsidRPr="00090050">
              <w:rPr>
                <w:rFonts w:ascii="Cambria" w:eastAsia="Cambria" w:hAnsi="Cambria" w:cs="Arial"/>
                <w:szCs w:val="20"/>
                <w:lang w:val="ru-RU"/>
              </w:rPr>
              <w:t>ня в межах економічних можливостей системи</w:t>
            </w:r>
          </w:p>
        </w:tc>
      </w:tr>
      <w:tr w:rsidR="00090050" w:rsidRPr="00090050" w:rsidTr="00BD55AE">
        <w:trPr>
          <w:trHeight w:val="219"/>
        </w:trPr>
        <w:tc>
          <w:tcPr>
            <w:tcW w:w="4840" w:type="dxa"/>
            <w:gridSpan w:val="6"/>
            <w:shd w:val="clear" w:color="auto" w:fill="auto"/>
            <w:vAlign w:val="bottom"/>
          </w:tcPr>
          <w:p w:rsidR="00090050" w:rsidRPr="00090050" w:rsidRDefault="00090050" w:rsidP="00090050">
            <w:pPr>
              <w:spacing w:after="0" w:line="219" w:lineRule="exact"/>
              <w:ind w:right="140"/>
              <w:jc w:val="right"/>
              <w:rPr>
                <w:rFonts w:ascii="Cambria" w:eastAsia="Cambria" w:hAnsi="Cambria" w:cs="Arial"/>
                <w:w w:val="95"/>
                <w:szCs w:val="20"/>
                <w:lang w:val="ru-RU"/>
              </w:rPr>
            </w:pPr>
            <w:r w:rsidRPr="00090050">
              <w:rPr>
                <w:rFonts w:ascii="Cambria" w:eastAsia="Cambria" w:hAnsi="Cambria" w:cs="Arial"/>
                <w:w w:val="95"/>
                <w:szCs w:val="20"/>
                <w:lang w:val="ru-RU"/>
              </w:rPr>
              <w:t>логічних захворювань у жінок і є однією з голов-</w:t>
            </w:r>
          </w:p>
        </w:tc>
        <w:tc>
          <w:tcPr>
            <w:tcW w:w="4840" w:type="dxa"/>
            <w:gridSpan w:val="9"/>
            <w:shd w:val="clear" w:color="auto" w:fill="auto"/>
            <w:vAlign w:val="bottom"/>
          </w:tcPr>
          <w:p w:rsidR="00090050" w:rsidRPr="00090050" w:rsidRDefault="00090050" w:rsidP="00090050">
            <w:pPr>
              <w:spacing w:after="0" w:line="219" w:lineRule="exact"/>
              <w:jc w:val="right"/>
              <w:rPr>
                <w:rFonts w:ascii="Cambria" w:eastAsia="Cambria" w:hAnsi="Cambria" w:cs="Arial"/>
                <w:szCs w:val="20"/>
                <w:lang w:val="ru-RU"/>
              </w:rPr>
            </w:pPr>
            <w:r w:rsidRPr="00090050">
              <w:rPr>
                <w:rFonts w:ascii="Cambria" w:eastAsia="Cambria" w:hAnsi="Cambria" w:cs="Arial"/>
                <w:szCs w:val="20"/>
                <w:lang w:val="ru-RU"/>
              </w:rPr>
              <w:t>охорони здоров’я таких країн, як Канада, Фін-</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8"/>
                <w:szCs w:val="20"/>
                <w:lang w:val="ru-RU"/>
              </w:rPr>
            </w:pPr>
            <w:r w:rsidRPr="00090050">
              <w:rPr>
                <w:rFonts w:ascii="Cambria" w:eastAsia="Cambria" w:hAnsi="Cambria" w:cs="Arial"/>
                <w:w w:val="98"/>
                <w:szCs w:val="20"/>
                <w:lang w:val="ru-RU"/>
              </w:rPr>
              <w:t>них причин жіночої смертності в усьому світі, в</w:t>
            </w:r>
          </w:p>
        </w:tc>
        <w:tc>
          <w:tcPr>
            <w:tcW w:w="4840" w:type="dxa"/>
            <w:gridSpan w:val="9"/>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ляндія, Нідерланди, Італія, США [5-8]. В умовах</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7"/>
                <w:szCs w:val="20"/>
              </w:rPr>
            </w:pPr>
            <w:r w:rsidRPr="00090050">
              <w:rPr>
                <w:rFonts w:ascii="Cambria" w:eastAsia="Cambria" w:hAnsi="Cambria" w:cs="Arial"/>
                <w:w w:val="97"/>
                <w:szCs w:val="20"/>
                <w:lang w:val="ru-RU"/>
              </w:rPr>
              <w:t xml:space="preserve">тому числі і в Україні [1]. </w:t>
            </w:r>
            <w:r w:rsidRPr="00090050">
              <w:rPr>
                <w:rFonts w:ascii="Cambria" w:eastAsia="Cambria" w:hAnsi="Cambria" w:cs="Arial"/>
                <w:w w:val="97"/>
                <w:szCs w:val="20"/>
              </w:rPr>
              <w:t>Серед різних варіантів</w:t>
            </w:r>
          </w:p>
        </w:tc>
        <w:tc>
          <w:tcPr>
            <w:tcW w:w="4840" w:type="dxa"/>
            <w:gridSpan w:val="9"/>
            <w:shd w:val="clear" w:color="auto" w:fill="auto"/>
            <w:vAlign w:val="bottom"/>
          </w:tcPr>
          <w:p w:rsidR="00090050" w:rsidRPr="00090050" w:rsidRDefault="00090050" w:rsidP="00090050">
            <w:pPr>
              <w:spacing w:after="0" w:line="240" w:lineRule="exact"/>
              <w:jc w:val="right"/>
              <w:rPr>
                <w:rFonts w:ascii="Cambria" w:eastAsia="Cambria" w:hAnsi="Cambria" w:cs="Arial"/>
                <w:w w:val="99"/>
                <w:szCs w:val="20"/>
              </w:rPr>
            </w:pPr>
            <w:r w:rsidRPr="00090050">
              <w:rPr>
                <w:rFonts w:ascii="Cambria" w:eastAsia="Cambria" w:hAnsi="Cambria" w:cs="Arial"/>
                <w:w w:val="99"/>
                <w:szCs w:val="20"/>
              </w:rPr>
              <w:t>охорони здоров’я України фармакоекономічний</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РМЗ найбільш поганим прогнозом характери-</w:t>
            </w:r>
          </w:p>
        </w:tc>
        <w:tc>
          <w:tcPr>
            <w:tcW w:w="4840" w:type="dxa"/>
            <w:gridSpan w:val="9"/>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аналіз застосування трастузумабу в ад’ювант-</w:t>
            </w:r>
          </w:p>
        </w:tc>
      </w:tr>
      <w:tr w:rsidR="00090050" w:rsidRPr="00090050" w:rsidTr="00BD55AE">
        <w:trPr>
          <w:trHeight w:val="223"/>
        </w:trPr>
        <w:tc>
          <w:tcPr>
            <w:tcW w:w="4840" w:type="dxa"/>
            <w:gridSpan w:val="6"/>
            <w:shd w:val="clear" w:color="auto" w:fill="auto"/>
            <w:vAlign w:val="bottom"/>
          </w:tcPr>
          <w:p w:rsidR="00090050" w:rsidRPr="00090050" w:rsidRDefault="00090050" w:rsidP="00090050">
            <w:pPr>
              <w:spacing w:after="0" w:line="223" w:lineRule="exact"/>
              <w:ind w:right="140"/>
              <w:jc w:val="right"/>
              <w:rPr>
                <w:rFonts w:ascii="Cambria" w:eastAsia="Cambria" w:hAnsi="Cambria" w:cs="Arial"/>
                <w:w w:val="96"/>
                <w:szCs w:val="20"/>
                <w:lang w:val="ru-RU"/>
              </w:rPr>
            </w:pPr>
            <w:r w:rsidRPr="00090050">
              <w:rPr>
                <w:rFonts w:ascii="Cambria" w:eastAsia="Cambria" w:hAnsi="Cambria" w:cs="Arial"/>
                <w:w w:val="96"/>
                <w:szCs w:val="20"/>
                <w:lang w:val="ru-RU"/>
              </w:rPr>
              <w:t>зується підтип РМЗ з підвищеною експресією на</w:t>
            </w:r>
          </w:p>
        </w:tc>
        <w:tc>
          <w:tcPr>
            <w:tcW w:w="4840" w:type="dxa"/>
            <w:gridSpan w:val="9"/>
            <w:shd w:val="clear" w:color="auto" w:fill="auto"/>
            <w:vAlign w:val="bottom"/>
          </w:tcPr>
          <w:p w:rsidR="00090050" w:rsidRPr="00090050" w:rsidRDefault="00090050" w:rsidP="00090050">
            <w:pPr>
              <w:spacing w:after="0" w:line="223" w:lineRule="exact"/>
              <w:rPr>
                <w:rFonts w:ascii="Cambria" w:eastAsia="Cambria" w:hAnsi="Cambria" w:cs="Arial"/>
                <w:szCs w:val="20"/>
                <w:lang w:val="ru-RU"/>
              </w:rPr>
            </w:pPr>
            <w:r w:rsidRPr="00090050">
              <w:rPr>
                <w:rFonts w:ascii="Cambria" w:eastAsia="Cambria" w:hAnsi="Cambria" w:cs="Arial"/>
                <w:szCs w:val="20"/>
                <w:lang w:val="ru-RU"/>
              </w:rPr>
              <w:t>ній терапії РМЗ в ранній стадії не проводився.</w:t>
            </w:r>
          </w:p>
        </w:tc>
      </w:tr>
      <w:tr w:rsidR="00090050" w:rsidRPr="00090050" w:rsidTr="00BD55AE">
        <w:trPr>
          <w:trHeight w:val="257"/>
        </w:trPr>
        <w:tc>
          <w:tcPr>
            <w:tcW w:w="4840" w:type="dxa"/>
            <w:gridSpan w:val="6"/>
            <w:shd w:val="clear" w:color="auto" w:fill="auto"/>
            <w:vAlign w:val="bottom"/>
          </w:tcPr>
          <w:p w:rsidR="00090050" w:rsidRPr="00090050" w:rsidRDefault="00090050" w:rsidP="00090050">
            <w:pPr>
              <w:spacing w:after="0" w:line="0" w:lineRule="atLeast"/>
              <w:ind w:right="140"/>
              <w:jc w:val="right"/>
              <w:rPr>
                <w:rFonts w:ascii="Cambria" w:eastAsia="Cambria" w:hAnsi="Cambria" w:cs="Arial"/>
                <w:szCs w:val="20"/>
                <w:lang w:val="ru-RU"/>
              </w:rPr>
            </w:pPr>
            <w:r w:rsidRPr="00090050">
              <w:rPr>
                <w:rFonts w:ascii="Cambria" w:eastAsia="Cambria" w:hAnsi="Cambria" w:cs="Arial"/>
                <w:szCs w:val="20"/>
                <w:lang w:val="ru-RU"/>
              </w:rPr>
              <w:t>поверхні пухлинних клітин рецепторів людсь-</w:t>
            </w:r>
          </w:p>
        </w:tc>
        <w:tc>
          <w:tcPr>
            <w:tcW w:w="4840" w:type="dxa"/>
            <w:gridSpan w:val="9"/>
            <w:shd w:val="clear" w:color="auto" w:fill="auto"/>
            <w:vAlign w:val="bottom"/>
          </w:tcPr>
          <w:p w:rsidR="00090050" w:rsidRPr="00090050" w:rsidRDefault="00090050" w:rsidP="00090050">
            <w:pPr>
              <w:spacing w:after="0" w:line="0" w:lineRule="atLeast"/>
              <w:jc w:val="right"/>
              <w:rPr>
                <w:rFonts w:ascii="Cambria" w:eastAsia="Cambria" w:hAnsi="Cambria" w:cs="Arial"/>
                <w:szCs w:val="20"/>
              </w:rPr>
            </w:pPr>
            <w:r w:rsidRPr="00090050">
              <w:rPr>
                <w:rFonts w:ascii="Cambria" w:eastAsia="Cambria" w:hAnsi="Cambria" w:cs="Arial"/>
                <w:b/>
                <w:szCs w:val="20"/>
              </w:rPr>
              <w:t xml:space="preserve">Мета дослідження </w:t>
            </w:r>
            <w:r w:rsidRPr="00090050">
              <w:rPr>
                <w:rFonts w:ascii="Cambria" w:eastAsia="Cambria" w:hAnsi="Cambria" w:cs="Arial"/>
                <w:szCs w:val="20"/>
              </w:rPr>
              <w:t>–</w:t>
            </w:r>
            <w:r w:rsidRPr="00090050">
              <w:rPr>
                <w:rFonts w:ascii="Cambria" w:eastAsia="Cambria" w:hAnsi="Cambria" w:cs="Arial"/>
                <w:b/>
                <w:szCs w:val="20"/>
              </w:rPr>
              <w:t xml:space="preserve"> </w:t>
            </w:r>
            <w:r w:rsidRPr="00090050">
              <w:rPr>
                <w:rFonts w:ascii="Cambria" w:eastAsia="Cambria" w:hAnsi="Cambria" w:cs="Arial"/>
                <w:szCs w:val="20"/>
              </w:rPr>
              <w:t>оцінка фармакоеконо-</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2"/>
                <w:szCs w:val="20"/>
                <w:lang w:val="ru-RU"/>
              </w:rPr>
            </w:pPr>
            <w:r w:rsidRPr="00090050">
              <w:rPr>
                <w:rFonts w:ascii="Cambria" w:eastAsia="Cambria" w:hAnsi="Cambria" w:cs="Arial"/>
                <w:w w:val="92"/>
                <w:szCs w:val="20"/>
                <w:lang w:val="ru-RU"/>
              </w:rPr>
              <w:t>кого епідермального фактора росту 2 типу (</w:t>
            </w:r>
            <w:r w:rsidRPr="00090050">
              <w:rPr>
                <w:rFonts w:ascii="Cambria" w:eastAsia="Cambria" w:hAnsi="Cambria" w:cs="Arial"/>
                <w:w w:val="92"/>
                <w:szCs w:val="20"/>
              </w:rPr>
              <w:t>HER</w:t>
            </w:r>
            <w:r w:rsidRPr="00090050">
              <w:rPr>
                <w:rFonts w:ascii="Cambria" w:eastAsia="Cambria" w:hAnsi="Cambria" w:cs="Arial"/>
                <w:w w:val="92"/>
                <w:szCs w:val="20"/>
                <w:lang w:val="ru-RU"/>
              </w:rPr>
              <w:t>2).</w:t>
            </w:r>
          </w:p>
        </w:tc>
        <w:tc>
          <w:tcPr>
            <w:tcW w:w="4840" w:type="dxa"/>
            <w:gridSpan w:val="9"/>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мічної доцільності ад’ювантної терапії ранньої</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9"/>
                <w:szCs w:val="20"/>
                <w:lang w:val="ru-RU"/>
              </w:rPr>
            </w:pPr>
            <w:r w:rsidRPr="00090050">
              <w:rPr>
                <w:rFonts w:ascii="Cambria" w:eastAsia="Cambria" w:hAnsi="Cambria" w:cs="Arial"/>
                <w:w w:val="99"/>
                <w:szCs w:val="20"/>
                <w:lang w:val="ru-RU"/>
              </w:rPr>
              <w:t xml:space="preserve">Рецептор </w:t>
            </w:r>
            <w:r w:rsidRPr="00090050">
              <w:rPr>
                <w:rFonts w:ascii="Cambria" w:eastAsia="Cambria" w:hAnsi="Cambria" w:cs="Arial"/>
                <w:w w:val="99"/>
                <w:szCs w:val="20"/>
              </w:rPr>
              <w:t>HER</w:t>
            </w:r>
            <w:r w:rsidRPr="00090050">
              <w:rPr>
                <w:rFonts w:ascii="Cambria" w:eastAsia="Cambria" w:hAnsi="Cambria" w:cs="Arial"/>
                <w:w w:val="99"/>
                <w:szCs w:val="20"/>
                <w:lang w:val="ru-RU"/>
              </w:rPr>
              <w:t>2 являє собою трансмембранний</w:t>
            </w:r>
          </w:p>
        </w:tc>
        <w:tc>
          <w:tcPr>
            <w:tcW w:w="4840" w:type="dxa"/>
            <w:gridSpan w:val="9"/>
            <w:shd w:val="clear" w:color="auto" w:fill="auto"/>
            <w:vAlign w:val="bottom"/>
          </w:tcPr>
          <w:p w:rsidR="00090050" w:rsidRPr="00090050" w:rsidRDefault="00090050" w:rsidP="00090050">
            <w:pPr>
              <w:spacing w:after="0" w:line="240" w:lineRule="exact"/>
              <w:jc w:val="right"/>
              <w:rPr>
                <w:rFonts w:ascii="Cambria" w:eastAsia="Cambria" w:hAnsi="Cambria" w:cs="Arial"/>
                <w:w w:val="99"/>
                <w:szCs w:val="20"/>
                <w:lang w:val="ru-RU"/>
              </w:rPr>
            </w:pPr>
            <w:r w:rsidRPr="00090050">
              <w:rPr>
                <w:rFonts w:ascii="Cambria" w:eastAsia="Cambria" w:hAnsi="Cambria" w:cs="Arial"/>
                <w:w w:val="99"/>
                <w:szCs w:val="20"/>
                <w:lang w:val="ru-RU"/>
              </w:rPr>
              <w:t xml:space="preserve">стадії </w:t>
            </w:r>
            <w:r w:rsidRPr="00090050">
              <w:rPr>
                <w:rFonts w:ascii="Cambria" w:eastAsia="Cambria" w:hAnsi="Cambria" w:cs="Arial"/>
                <w:w w:val="99"/>
                <w:szCs w:val="20"/>
              </w:rPr>
              <w:t>HER</w:t>
            </w:r>
            <w:r w:rsidRPr="00090050">
              <w:rPr>
                <w:rFonts w:ascii="Cambria" w:eastAsia="Cambria" w:hAnsi="Cambria" w:cs="Arial"/>
                <w:w w:val="99"/>
                <w:szCs w:val="20"/>
                <w:lang w:val="ru-RU"/>
              </w:rPr>
              <w:t>2+ РМЗ трастузумабом (препарат Гер-</w:t>
            </w:r>
          </w:p>
        </w:tc>
      </w:tr>
      <w:tr w:rsidR="00090050" w:rsidRPr="00090050" w:rsidTr="00BD55AE">
        <w:trPr>
          <w:trHeight w:val="261"/>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4"/>
                <w:szCs w:val="20"/>
                <w:lang w:val="ru-RU"/>
              </w:rPr>
            </w:pPr>
            <w:r w:rsidRPr="00090050">
              <w:rPr>
                <w:rFonts w:ascii="Cambria" w:eastAsia="Cambria" w:hAnsi="Cambria" w:cs="Arial"/>
                <w:w w:val="94"/>
                <w:szCs w:val="20"/>
                <w:lang w:val="ru-RU"/>
              </w:rPr>
              <w:t>білок, який відіграє ключову роль у передачі сиг-</w:t>
            </w:r>
          </w:p>
        </w:tc>
        <w:tc>
          <w:tcPr>
            <w:tcW w:w="4840" w:type="dxa"/>
            <w:gridSpan w:val="9"/>
            <w:shd w:val="clear" w:color="auto" w:fill="auto"/>
            <w:vAlign w:val="bottom"/>
          </w:tcPr>
          <w:p w:rsidR="00090050" w:rsidRPr="00090050" w:rsidRDefault="00090050" w:rsidP="00090050">
            <w:pPr>
              <w:spacing w:after="0" w:line="261" w:lineRule="exact"/>
              <w:jc w:val="right"/>
              <w:rPr>
                <w:rFonts w:ascii="Cambria" w:eastAsia="Cambria" w:hAnsi="Cambria" w:cs="Arial"/>
                <w:szCs w:val="20"/>
                <w:lang w:val="ru-RU"/>
              </w:rPr>
            </w:pPr>
            <w:r w:rsidRPr="00090050">
              <w:rPr>
                <w:rFonts w:ascii="Cambria" w:eastAsia="Cambria" w:hAnsi="Cambria" w:cs="Arial"/>
                <w:szCs w:val="20"/>
                <w:lang w:val="ru-RU"/>
              </w:rPr>
              <w:t>цептин</w:t>
            </w:r>
            <w:r w:rsidRPr="00090050">
              <w:rPr>
                <w:rFonts w:ascii="Cambria" w:eastAsia="Cambria" w:hAnsi="Cambria" w:cs="Arial"/>
                <w:sz w:val="25"/>
                <w:szCs w:val="20"/>
                <w:vertAlign w:val="superscript"/>
                <w:lang w:val="ru-RU"/>
              </w:rPr>
              <w:t>®</w:t>
            </w:r>
            <w:r w:rsidRPr="00090050">
              <w:rPr>
                <w:rFonts w:ascii="Cambria" w:eastAsia="Cambria" w:hAnsi="Cambria" w:cs="Arial"/>
                <w:szCs w:val="20"/>
                <w:lang w:val="ru-RU"/>
              </w:rPr>
              <w:t>) з позиції української системи охоро-</w:t>
            </w:r>
          </w:p>
        </w:tc>
      </w:tr>
      <w:tr w:rsidR="00090050" w:rsidRPr="00090050" w:rsidTr="00BD55AE">
        <w:trPr>
          <w:trHeight w:val="219"/>
        </w:trPr>
        <w:tc>
          <w:tcPr>
            <w:tcW w:w="4840" w:type="dxa"/>
            <w:gridSpan w:val="6"/>
            <w:shd w:val="clear" w:color="auto" w:fill="auto"/>
            <w:vAlign w:val="bottom"/>
          </w:tcPr>
          <w:p w:rsidR="00090050" w:rsidRPr="00090050" w:rsidRDefault="00090050" w:rsidP="00090050">
            <w:pPr>
              <w:spacing w:after="0" w:line="219" w:lineRule="exact"/>
              <w:ind w:right="140"/>
              <w:jc w:val="right"/>
              <w:rPr>
                <w:rFonts w:ascii="Cambria" w:eastAsia="Cambria" w:hAnsi="Cambria" w:cs="Arial"/>
                <w:szCs w:val="20"/>
                <w:lang w:val="ru-RU"/>
              </w:rPr>
            </w:pPr>
            <w:r w:rsidRPr="00090050">
              <w:rPr>
                <w:rFonts w:ascii="Cambria" w:eastAsia="Cambria" w:hAnsi="Cambria" w:cs="Arial"/>
                <w:szCs w:val="20"/>
                <w:lang w:val="ru-RU"/>
              </w:rPr>
              <w:t>налів чинників зростання. У здоровій тканині</w:t>
            </w:r>
          </w:p>
        </w:tc>
        <w:tc>
          <w:tcPr>
            <w:tcW w:w="2480" w:type="dxa"/>
            <w:gridSpan w:val="7"/>
            <w:shd w:val="clear" w:color="auto" w:fill="auto"/>
            <w:vAlign w:val="bottom"/>
          </w:tcPr>
          <w:p w:rsidR="00090050" w:rsidRPr="00090050" w:rsidRDefault="00090050" w:rsidP="00090050">
            <w:pPr>
              <w:spacing w:after="0" w:line="219" w:lineRule="exact"/>
              <w:rPr>
                <w:rFonts w:ascii="Cambria" w:eastAsia="Cambria" w:hAnsi="Cambria" w:cs="Arial"/>
                <w:szCs w:val="20"/>
              </w:rPr>
            </w:pPr>
            <w:r w:rsidRPr="00090050">
              <w:rPr>
                <w:rFonts w:ascii="Cambria" w:eastAsia="Cambria" w:hAnsi="Cambria" w:cs="Arial"/>
                <w:szCs w:val="20"/>
              </w:rPr>
              <w:t>ни здоров’я.</w:t>
            </w:r>
          </w:p>
        </w:tc>
        <w:tc>
          <w:tcPr>
            <w:tcW w:w="3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8"/>
                <w:szCs w:val="20"/>
                <w:lang w:val="ru-RU"/>
              </w:rPr>
            </w:pPr>
            <w:r w:rsidRPr="00090050">
              <w:rPr>
                <w:rFonts w:ascii="Cambria" w:eastAsia="Cambria" w:hAnsi="Cambria" w:cs="Arial"/>
                <w:w w:val="98"/>
                <w:szCs w:val="20"/>
              </w:rPr>
              <w:t>HER</w:t>
            </w:r>
            <w:r w:rsidRPr="00090050">
              <w:rPr>
                <w:rFonts w:ascii="Cambria" w:eastAsia="Cambria" w:hAnsi="Cambria" w:cs="Arial"/>
                <w:w w:val="98"/>
                <w:szCs w:val="20"/>
                <w:lang w:val="ru-RU"/>
              </w:rPr>
              <w:t>2 передає сигнали, що регулюють проліфе-</w:t>
            </w:r>
          </w:p>
        </w:tc>
        <w:tc>
          <w:tcPr>
            <w:tcW w:w="4840" w:type="dxa"/>
            <w:gridSpan w:val="9"/>
            <w:vMerge w:val="restart"/>
            <w:shd w:val="clear" w:color="auto" w:fill="auto"/>
            <w:vAlign w:val="bottom"/>
          </w:tcPr>
          <w:p w:rsidR="00090050" w:rsidRPr="00090050" w:rsidRDefault="00090050" w:rsidP="00090050">
            <w:pPr>
              <w:spacing w:after="0" w:line="0" w:lineRule="atLeast"/>
              <w:ind w:right="2140"/>
              <w:jc w:val="right"/>
              <w:rPr>
                <w:rFonts w:ascii="Cambria" w:eastAsia="Cambria" w:hAnsi="Cambria" w:cs="Arial"/>
                <w:b/>
                <w:szCs w:val="20"/>
              </w:rPr>
            </w:pPr>
            <w:r w:rsidRPr="00090050">
              <w:rPr>
                <w:rFonts w:ascii="Cambria" w:eastAsia="Cambria" w:hAnsi="Cambria" w:cs="Arial"/>
                <w:b/>
                <w:szCs w:val="20"/>
              </w:rPr>
              <w:t>Матеріали та методи</w:t>
            </w:r>
          </w:p>
        </w:tc>
      </w:tr>
      <w:tr w:rsidR="00090050" w:rsidRPr="00090050" w:rsidTr="00BD55AE">
        <w:trPr>
          <w:trHeight w:val="240"/>
        </w:trPr>
        <w:tc>
          <w:tcPr>
            <w:tcW w:w="4840" w:type="dxa"/>
            <w:gridSpan w:val="6"/>
            <w:vMerge w:val="restart"/>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рацію і виживання клітин, але гіперекспресія</w:t>
            </w:r>
          </w:p>
        </w:tc>
        <w:tc>
          <w:tcPr>
            <w:tcW w:w="4840" w:type="dxa"/>
            <w:gridSpan w:val="9"/>
            <w:vMerge/>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r>
      <w:tr w:rsidR="00090050" w:rsidRPr="00090050" w:rsidTr="00BD55AE">
        <w:trPr>
          <w:trHeight w:val="127"/>
        </w:trPr>
        <w:tc>
          <w:tcPr>
            <w:tcW w:w="4840" w:type="dxa"/>
            <w:gridSpan w:val="6"/>
            <w:vMerge/>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c>
          <w:tcPr>
            <w:tcW w:w="5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c>
          <w:tcPr>
            <w:tcW w:w="5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c>
          <w:tcPr>
            <w:tcW w:w="7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c>
          <w:tcPr>
            <w:tcW w:w="3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c>
          <w:tcPr>
            <w:tcW w:w="3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lang w:val="ru-RU"/>
              </w:rPr>
            </w:pP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8"/>
                <w:szCs w:val="20"/>
                <w:lang w:val="ru-RU"/>
              </w:rPr>
            </w:pPr>
            <w:r w:rsidRPr="00090050">
              <w:rPr>
                <w:rFonts w:ascii="Cambria" w:eastAsia="Cambria" w:hAnsi="Cambria" w:cs="Arial"/>
                <w:w w:val="98"/>
                <w:szCs w:val="20"/>
              </w:rPr>
              <w:t>HER</w:t>
            </w:r>
            <w:r w:rsidRPr="00090050">
              <w:rPr>
                <w:rFonts w:ascii="Cambria" w:eastAsia="Cambria" w:hAnsi="Cambria" w:cs="Arial"/>
                <w:w w:val="98"/>
                <w:szCs w:val="20"/>
                <w:lang w:val="ru-RU"/>
              </w:rPr>
              <w:t>2 може зумовити злоякісну трансформацію</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Визначення результатів лікування і пов’яза-</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rPr>
            </w:pPr>
            <w:r w:rsidRPr="00090050">
              <w:rPr>
                <w:rFonts w:ascii="Cambria" w:eastAsia="Cambria" w:hAnsi="Cambria" w:cs="Arial"/>
                <w:szCs w:val="20"/>
                <w:lang w:val="ru-RU"/>
              </w:rPr>
              <w:t xml:space="preserve">клітин, що доведено для РМЗ. </w:t>
            </w:r>
            <w:r w:rsidRPr="00090050">
              <w:rPr>
                <w:rFonts w:ascii="Cambria" w:eastAsia="Cambria" w:hAnsi="Cambria" w:cs="Arial"/>
                <w:szCs w:val="20"/>
              </w:rPr>
              <w:t>HER2-позитив-</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них з ним витрат у довгостроковій перспективі</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ний статус є показником найбільш агресивно-</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w w:val="97"/>
                <w:szCs w:val="20"/>
                <w:lang w:val="ru-RU"/>
              </w:rPr>
            </w:pPr>
            <w:r w:rsidRPr="00090050">
              <w:rPr>
                <w:rFonts w:ascii="Cambria" w:eastAsia="Cambria" w:hAnsi="Cambria" w:cs="Arial"/>
                <w:w w:val="97"/>
                <w:szCs w:val="20"/>
                <w:lang w:val="ru-RU"/>
              </w:rPr>
              <w:t>виконано на підставі аналітичного моделювання</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6"/>
                <w:szCs w:val="20"/>
                <w:lang w:val="ru-RU"/>
              </w:rPr>
            </w:pPr>
            <w:r w:rsidRPr="00090050">
              <w:rPr>
                <w:rFonts w:ascii="Cambria" w:eastAsia="Cambria" w:hAnsi="Cambria" w:cs="Arial"/>
                <w:w w:val="96"/>
                <w:szCs w:val="20"/>
                <w:lang w:val="ru-RU"/>
              </w:rPr>
              <w:t xml:space="preserve">го перебігу пухлини. Для пацієнтів з </w:t>
            </w:r>
            <w:r w:rsidRPr="00090050">
              <w:rPr>
                <w:rFonts w:ascii="Cambria" w:eastAsia="Cambria" w:hAnsi="Cambria" w:cs="Arial"/>
                <w:w w:val="96"/>
                <w:szCs w:val="20"/>
              </w:rPr>
              <w:t>HER</w:t>
            </w:r>
            <w:r w:rsidRPr="00090050">
              <w:rPr>
                <w:rFonts w:ascii="Cambria" w:eastAsia="Cambria" w:hAnsi="Cambria" w:cs="Arial"/>
                <w:w w:val="96"/>
                <w:szCs w:val="20"/>
                <w:lang w:val="ru-RU"/>
              </w:rPr>
              <w:t>2-пози-</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за методом Маркова на ґрунті результатів ран-</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тивними пухлинами молочної залози на тепе-</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rPr>
            </w:pPr>
            <w:r w:rsidRPr="00090050">
              <w:rPr>
                <w:rFonts w:ascii="Cambria" w:eastAsia="Cambria" w:hAnsi="Cambria" w:cs="Arial"/>
                <w:szCs w:val="20"/>
              </w:rPr>
              <w:t>домізованого багатоцентрового відкритого клі-</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6"/>
                <w:szCs w:val="20"/>
                <w:lang w:val="ru-RU"/>
              </w:rPr>
            </w:pPr>
            <w:r w:rsidRPr="00090050">
              <w:rPr>
                <w:rFonts w:ascii="Cambria" w:eastAsia="Cambria" w:hAnsi="Cambria" w:cs="Arial"/>
                <w:w w:val="96"/>
                <w:szCs w:val="20"/>
                <w:lang w:val="ru-RU"/>
              </w:rPr>
              <w:t>рішній час в усьому світі застосовуються таргет-</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w w:val="96"/>
                <w:szCs w:val="20"/>
              </w:rPr>
            </w:pPr>
            <w:r w:rsidRPr="00090050">
              <w:rPr>
                <w:rFonts w:ascii="Cambria" w:eastAsia="Cambria" w:hAnsi="Cambria" w:cs="Arial"/>
                <w:w w:val="96"/>
                <w:szCs w:val="20"/>
                <w:lang w:val="ru-RU"/>
              </w:rPr>
              <w:t xml:space="preserve">нічного дослідження </w:t>
            </w:r>
            <w:r w:rsidRPr="00090050">
              <w:rPr>
                <w:rFonts w:ascii="Cambria" w:eastAsia="Cambria" w:hAnsi="Cambria" w:cs="Arial"/>
                <w:w w:val="96"/>
                <w:szCs w:val="20"/>
              </w:rPr>
              <w:t>III</w:t>
            </w:r>
            <w:r w:rsidRPr="00090050">
              <w:rPr>
                <w:rFonts w:ascii="Cambria" w:eastAsia="Cambria" w:hAnsi="Cambria" w:cs="Arial"/>
                <w:w w:val="96"/>
                <w:szCs w:val="20"/>
                <w:lang w:val="ru-RU"/>
              </w:rPr>
              <w:t xml:space="preserve"> фази </w:t>
            </w:r>
            <w:r w:rsidRPr="00090050">
              <w:rPr>
                <w:rFonts w:ascii="Cambria" w:eastAsia="Cambria" w:hAnsi="Cambria" w:cs="Arial"/>
                <w:w w:val="96"/>
                <w:szCs w:val="20"/>
              </w:rPr>
              <w:t>HERA</w:t>
            </w:r>
            <w:r w:rsidRPr="00090050">
              <w:rPr>
                <w:rFonts w:ascii="Cambria" w:eastAsia="Cambria" w:hAnsi="Cambria" w:cs="Arial"/>
                <w:w w:val="96"/>
                <w:szCs w:val="20"/>
                <w:lang w:val="ru-RU"/>
              </w:rPr>
              <w:t xml:space="preserve"> [9]. </w:t>
            </w:r>
            <w:r w:rsidRPr="00090050">
              <w:rPr>
                <w:rFonts w:ascii="Cambria" w:eastAsia="Cambria" w:hAnsi="Cambria" w:cs="Arial"/>
                <w:w w:val="96"/>
                <w:szCs w:val="20"/>
              </w:rPr>
              <w:t>Даний під-</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9"/>
                <w:szCs w:val="20"/>
                <w:lang w:val="ru-RU"/>
              </w:rPr>
            </w:pPr>
            <w:r w:rsidRPr="00090050">
              <w:rPr>
                <w:rFonts w:ascii="Cambria" w:eastAsia="Cambria" w:hAnsi="Cambria" w:cs="Arial"/>
                <w:w w:val="99"/>
                <w:szCs w:val="20"/>
                <w:lang w:val="ru-RU"/>
              </w:rPr>
              <w:t>ні анти-</w:t>
            </w:r>
            <w:r w:rsidRPr="00090050">
              <w:rPr>
                <w:rFonts w:ascii="Cambria" w:eastAsia="Cambria" w:hAnsi="Cambria" w:cs="Arial"/>
                <w:w w:val="99"/>
                <w:szCs w:val="20"/>
              </w:rPr>
              <w:t>HER</w:t>
            </w:r>
            <w:r w:rsidRPr="00090050">
              <w:rPr>
                <w:rFonts w:ascii="Cambria" w:eastAsia="Cambria" w:hAnsi="Cambria" w:cs="Arial"/>
                <w:w w:val="99"/>
                <w:szCs w:val="20"/>
                <w:lang w:val="ru-RU"/>
              </w:rPr>
              <w:t>2-препарати. Одним з таких препа-</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хід узгоджується з європейським досвідом про-</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9"/>
                <w:szCs w:val="20"/>
                <w:lang w:val="ru-RU"/>
              </w:rPr>
            </w:pPr>
            <w:r w:rsidRPr="00090050">
              <w:rPr>
                <w:rFonts w:ascii="Cambria" w:eastAsia="Cambria" w:hAnsi="Cambria" w:cs="Arial"/>
                <w:w w:val="99"/>
                <w:szCs w:val="20"/>
                <w:lang w:val="ru-RU"/>
              </w:rPr>
              <w:t>ратів є трастузумаб. Це штучно створене моно-</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ведення фармакоекономічних досліджень у га-</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клональне антитіло. На відміну від стандарт-</w:t>
            </w:r>
          </w:p>
        </w:tc>
        <w:tc>
          <w:tcPr>
            <w:tcW w:w="2480" w:type="dxa"/>
            <w:gridSpan w:val="7"/>
            <w:shd w:val="clear" w:color="auto" w:fill="auto"/>
            <w:vAlign w:val="bottom"/>
          </w:tcPr>
          <w:p w:rsidR="00090050" w:rsidRPr="00090050" w:rsidRDefault="00090050" w:rsidP="00090050">
            <w:pPr>
              <w:spacing w:after="0" w:line="227" w:lineRule="exact"/>
              <w:rPr>
                <w:rFonts w:ascii="Cambria" w:eastAsia="Cambria" w:hAnsi="Cambria" w:cs="Arial"/>
                <w:szCs w:val="20"/>
              </w:rPr>
            </w:pPr>
            <w:r w:rsidRPr="00090050">
              <w:rPr>
                <w:rFonts w:ascii="Cambria" w:eastAsia="Cambria" w:hAnsi="Cambria" w:cs="Arial"/>
                <w:szCs w:val="20"/>
              </w:rPr>
              <w:t>лузі онкології [10, 11].</w:t>
            </w:r>
          </w:p>
        </w:tc>
        <w:tc>
          <w:tcPr>
            <w:tcW w:w="3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них хіміотерапевтичних препаратів, які пору-</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Структура моделі Маркова з можливими пе-</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8"/>
                <w:szCs w:val="20"/>
                <w:lang w:val="ru-RU"/>
              </w:rPr>
            </w:pPr>
            <w:r w:rsidRPr="00090050">
              <w:rPr>
                <w:rFonts w:ascii="Cambria" w:eastAsia="Cambria" w:hAnsi="Cambria" w:cs="Arial"/>
                <w:w w:val="98"/>
                <w:szCs w:val="20"/>
                <w:lang w:val="ru-RU"/>
              </w:rPr>
              <w:t>шують процес розподілу не тільки ракових, але</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w w:val="99"/>
                <w:szCs w:val="20"/>
                <w:lang w:val="ru-RU"/>
              </w:rPr>
            </w:pPr>
            <w:r w:rsidRPr="00090050">
              <w:rPr>
                <w:rFonts w:ascii="Cambria" w:eastAsia="Cambria" w:hAnsi="Cambria" w:cs="Arial"/>
                <w:w w:val="99"/>
                <w:szCs w:val="20"/>
                <w:lang w:val="ru-RU"/>
              </w:rPr>
              <w:t>реходами між різними станами здоров’я, яка ви-</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і деяких нормальних клітин організму (епіте-</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w w:val="98"/>
                <w:szCs w:val="20"/>
                <w:lang w:val="ru-RU"/>
              </w:rPr>
            </w:pPr>
            <w:r w:rsidRPr="00090050">
              <w:rPr>
                <w:rFonts w:ascii="Cambria" w:eastAsia="Cambria" w:hAnsi="Cambria" w:cs="Arial"/>
                <w:w w:val="98"/>
                <w:szCs w:val="20"/>
                <w:lang w:val="ru-RU"/>
              </w:rPr>
              <w:t>користана в даному дослідженні, відповідає між-</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лію, кишечника та ін.), трастузумаб вибірково</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rPr>
            </w:pPr>
            <w:r w:rsidRPr="00090050">
              <w:rPr>
                <w:rFonts w:ascii="Cambria" w:eastAsia="Cambria" w:hAnsi="Cambria" w:cs="Arial"/>
                <w:szCs w:val="20"/>
              </w:rPr>
              <w:t>народному досвіду фармакоекономічних дослі-</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4"/>
                <w:szCs w:val="20"/>
              </w:rPr>
            </w:pPr>
            <w:r w:rsidRPr="00090050">
              <w:rPr>
                <w:rFonts w:ascii="Cambria" w:eastAsia="Cambria" w:hAnsi="Cambria" w:cs="Arial"/>
                <w:w w:val="94"/>
                <w:szCs w:val="20"/>
              </w:rPr>
              <w:t>блокує HER2 рецептори ракових клітин [2]. У клі-</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джень схем терапії РМЗ [12] та має наступний</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нічній практиці трастузумаб застосовується з</w:t>
            </w:r>
          </w:p>
        </w:tc>
        <w:tc>
          <w:tcPr>
            <w:tcW w:w="2480" w:type="dxa"/>
            <w:gridSpan w:val="7"/>
            <w:shd w:val="clear" w:color="auto" w:fill="auto"/>
            <w:vAlign w:val="bottom"/>
          </w:tcPr>
          <w:p w:rsidR="00090050" w:rsidRPr="00090050" w:rsidRDefault="00090050" w:rsidP="00090050">
            <w:pPr>
              <w:spacing w:after="0" w:line="227" w:lineRule="exact"/>
              <w:rPr>
                <w:rFonts w:ascii="Cambria" w:eastAsia="Cambria" w:hAnsi="Cambria" w:cs="Arial"/>
                <w:szCs w:val="20"/>
              </w:rPr>
            </w:pPr>
            <w:r w:rsidRPr="00090050">
              <w:rPr>
                <w:rFonts w:ascii="Cambria" w:eastAsia="Cambria" w:hAnsi="Cambria" w:cs="Arial"/>
                <w:szCs w:val="20"/>
              </w:rPr>
              <w:t>вигляд (рис.).</w:t>
            </w:r>
          </w:p>
        </w:tc>
        <w:tc>
          <w:tcPr>
            <w:tcW w:w="3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7"/>
                <w:szCs w:val="20"/>
                <w:lang w:val="ru-RU"/>
              </w:rPr>
            </w:pPr>
            <w:r w:rsidRPr="00090050">
              <w:rPr>
                <w:rFonts w:ascii="Cambria" w:eastAsia="Cambria" w:hAnsi="Cambria" w:cs="Arial"/>
                <w:w w:val="97"/>
                <w:szCs w:val="20"/>
                <w:lang w:val="ru-RU"/>
              </w:rPr>
              <w:t>1998 р., на даний час добре вивчений в багатьох</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Модель Маркова складається з 5 станів: «без</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8"/>
                <w:szCs w:val="20"/>
              </w:rPr>
            </w:pPr>
            <w:r w:rsidRPr="00090050">
              <w:rPr>
                <w:rFonts w:ascii="Cambria" w:eastAsia="Cambria" w:hAnsi="Cambria" w:cs="Arial"/>
                <w:w w:val="98"/>
                <w:szCs w:val="20"/>
              </w:rPr>
              <w:t>рандомізованих клінічних дослідженнях (РКД),</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w w:val="98"/>
                <w:szCs w:val="20"/>
                <w:lang w:val="ru-RU"/>
              </w:rPr>
            </w:pPr>
            <w:r w:rsidRPr="00090050">
              <w:rPr>
                <w:rFonts w:ascii="Cambria" w:eastAsia="Cambria" w:hAnsi="Cambria" w:cs="Arial"/>
                <w:w w:val="98"/>
                <w:szCs w:val="20"/>
                <w:lang w:val="ru-RU"/>
              </w:rPr>
              <w:t>ознак захворювання» (БОЗ), «місцевий рецидив»</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входить як до європейських, так і до українсь-</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(МР), «регіональний рецидив» (РР), «метастаз»</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5"/>
                <w:szCs w:val="20"/>
                <w:lang w:val="ru-RU"/>
              </w:rPr>
            </w:pPr>
            <w:r w:rsidRPr="00090050">
              <w:rPr>
                <w:rFonts w:ascii="Cambria" w:eastAsia="Cambria" w:hAnsi="Cambria" w:cs="Arial"/>
                <w:w w:val="95"/>
                <w:szCs w:val="20"/>
                <w:lang w:val="ru-RU"/>
              </w:rPr>
              <w:t>кого стандарту лікування РМЗ [1]. Висока клініч-</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(М) та «смерть» (С). Марковський цикл складає</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на ефективність таргетних препаратів сприяє</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1 рік. Умовна когорта складається з 1000 паці-</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rPr>
            </w:pPr>
            <w:r w:rsidRPr="00090050">
              <w:rPr>
                <w:rFonts w:ascii="Cambria" w:eastAsia="Cambria" w:hAnsi="Cambria" w:cs="Arial"/>
                <w:szCs w:val="20"/>
              </w:rPr>
              <w:t>суттєвому підвищенню 10-річної виживаності</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w w:val="98"/>
                <w:szCs w:val="20"/>
                <w:lang w:val="ru-RU"/>
              </w:rPr>
            </w:pPr>
            <w:r w:rsidRPr="00090050">
              <w:rPr>
                <w:rFonts w:ascii="Cambria" w:eastAsia="Cambria" w:hAnsi="Cambria" w:cs="Arial"/>
                <w:w w:val="98"/>
                <w:szCs w:val="20"/>
                <w:lang w:val="ru-RU"/>
              </w:rPr>
              <w:t>єнток. Пацієнти входять у модель у перший день</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6"/>
                <w:szCs w:val="20"/>
                <w:lang w:val="ru-RU"/>
              </w:rPr>
            </w:pPr>
            <w:r w:rsidRPr="00090050">
              <w:rPr>
                <w:rFonts w:ascii="Cambria" w:eastAsia="Cambria" w:hAnsi="Cambria" w:cs="Arial"/>
                <w:w w:val="96"/>
                <w:szCs w:val="20"/>
                <w:lang w:val="ru-RU"/>
              </w:rPr>
              <w:t>пацієнток з РМЗ, але одночасно значно збільшує</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w w:val="97"/>
                <w:szCs w:val="20"/>
                <w:lang w:val="ru-RU"/>
              </w:rPr>
            </w:pPr>
            <w:r w:rsidRPr="00090050">
              <w:rPr>
                <w:rFonts w:ascii="Cambria" w:eastAsia="Cambria" w:hAnsi="Cambria" w:cs="Arial"/>
                <w:w w:val="97"/>
                <w:szCs w:val="20"/>
                <w:lang w:val="ru-RU"/>
              </w:rPr>
              <w:t>першого курсу ад’ювантної терапії, коли всі вони</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вартість лікування [3, 4]. Це пояснює актуаль-</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знаходяться в стані «БОЗ». Кожен рік пацієнтки</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rPr>
            </w:pPr>
            <w:r w:rsidRPr="00090050">
              <w:rPr>
                <w:rFonts w:ascii="Cambria" w:eastAsia="Cambria" w:hAnsi="Cambria" w:cs="Arial"/>
                <w:szCs w:val="20"/>
              </w:rPr>
              <w:t>ність вивчення фармакоекономічних аспектів</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можуть переходити з одного стану в інший або</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7"/>
                <w:szCs w:val="20"/>
                <w:lang w:val="ru-RU"/>
              </w:rPr>
            </w:pPr>
            <w:r w:rsidRPr="00090050">
              <w:rPr>
                <w:rFonts w:ascii="Cambria" w:eastAsia="Cambria" w:hAnsi="Cambria" w:cs="Arial"/>
                <w:w w:val="97"/>
                <w:szCs w:val="20"/>
                <w:lang w:val="ru-RU"/>
              </w:rPr>
              <w:t>використання таргетних препаратів при різних</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w w:val="96"/>
                <w:szCs w:val="20"/>
                <w:lang w:val="ru-RU"/>
              </w:rPr>
            </w:pPr>
            <w:r w:rsidRPr="00090050">
              <w:rPr>
                <w:rFonts w:ascii="Cambria" w:eastAsia="Cambria" w:hAnsi="Cambria" w:cs="Arial"/>
                <w:w w:val="96"/>
                <w:szCs w:val="20"/>
                <w:lang w:val="ru-RU"/>
              </w:rPr>
              <w:t>залишатися в тому ж самому стані.Цей процес по-</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6"/>
                <w:szCs w:val="20"/>
                <w:lang w:val="ru-RU"/>
              </w:rPr>
            </w:pPr>
            <w:r w:rsidRPr="00090050">
              <w:rPr>
                <w:rFonts w:ascii="Cambria" w:eastAsia="Cambria" w:hAnsi="Cambria" w:cs="Arial"/>
                <w:w w:val="96"/>
                <w:szCs w:val="20"/>
                <w:lang w:val="ru-RU"/>
              </w:rPr>
              <w:t>варіантах перебігу РМЗ. Результати деяких фар-</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вторюється до тих пір, доки всі пацієнтки умов-</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3"/>
                <w:szCs w:val="20"/>
                <w:lang w:val="ru-RU"/>
              </w:rPr>
            </w:pPr>
            <w:r w:rsidRPr="00090050">
              <w:rPr>
                <w:rFonts w:ascii="Cambria" w:eastAsia="Cambria" w:hAnsi="Cambria" w:cs="Arial"/>
                <w:w w:val="93"/>
                <w:szCs w:val="20"/>
                <w:lang w:val="ru-RU"/>
              </w:rPr>
              <w:t>макоекономічних досліджень, проведених за кор-</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rPr>
            </w:pPr>
            <w:r w:rsidRPr="00090050">
              <w:rPr>
                <w:rFonts w:ascii="Cambria" w:eastAsia="Cambria" w:hAnsi="Cambria" w:cs="Arial"/>
                <w:szCs w:val="20"/>
                <w:lang w:val="ru-RU"/>
              </w:rPr>
              <w:t xml:space="preserve">но не перейдуть до стану «смерть». </w:t>
            </w:r>
            <w:r w:rsidRPr="00090050">
              <w:rPr>
                <w:rFonts w:ascii="Cambria" w:eastAsia="Cambria" w:hAnsi="Cambria" w:cs="Arial"/>
                <w:szCs w:val="20"/>
              </w:rPr>
              <w:t>При побудо-</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доном, свідчать, що в якості ад’ювантної тера-</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ві моделі робили наступні припущення: паці-</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szCs w:val="20"/>
                <w:lang w:val="ru-RU"/>
              </w:rPr>
            </w:pPr>
            <w:r w:rsidRPr="00090050">
              <w:rPr>
                <w:rFonts w:ascii="Cambria" w:eastAsia="Cambria" w:hAnsi="Cambria" w:cs="Arial"/>
                <w:szCs w:val="20"/>
                <w:lang w:val="ru-RU"/>
              </w:rPr>
              <w:t>пії при ранніх стадіях РМЗ трастузумаб є «за-</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єнти, які знаходяться в стані «БОЗ», не отриму-</w:t>
            </w:r>
          </w:p>
        </w:tc>
      </w:tr>
      <w:tr w:rsidR="00090050" w:rsidRPr="00090050" w:rsidTr="00BD55AE">
        <w:trPr>
          <w:trHeight w:val="240"/>
        </w:trPr>
        <w:tc>
          <w:tcPr>
            <w:tcW w:w="4840" w:type="dxa"/>
            <w:gridSpan w:val="6"/>
            <w:shd w:val="clear" w:color="auto" w:fill="auto"/>
            <w:vAlign w:val="bottom"/>
          </w:tcPr>
          <w:p w:rsidR="00090050" w:rsidRPr="00090050" w:rsidRDefault="00090050" w:rsidP="00090050">
            <w:pPr>
              <w:spacing w:after="0" w:line="240" w:lineRule="exact"/>
              <w:ind w:right="140"/>
              <w:jc w:val="right"/>
              <w:rPr>
                <w:rFonts w:ascii="Cambria" w:eastAsia="Cambria" w:hAnsi="Cambria" w:cs="Arial"/>
                <w:w w:val="99"/>
                <w:szCs w:val="20"/>
                <w:lang w:val="ru-RU"/>
              </w:rPr>
            </w:pPr>
            <w:r w:rsidRPr="00090050">
              <w:rPr>
                <w:rFonts w:ascii="Cambria" w:eastAsia="Cambria" w:hAnsi="Cambria" w:cs="Arial"/>
                <w:w w:val="99"/>
                <w:szCs w:val="20"/>
                <w:lang w:val="ru-RU"/>
              </w:rPr>
              <w:t>тратно-ефективним», тобто забезпечує високу</w:t>
            </w:r>
          </w:p>
        </w:tc>
        <w:tc>
          <w:tcPr>
            <w:tcW w:w="4840" w:type="dxa"/>
            <w:gridSpan w:val="9"/>
            <w:shd w:val="clear" w:color="auto" w:fill="auto"/>
            <w:vAlign w:val="bottom"/>
          </w:tcPr>
          <w:p w:rsidR="00090050" w:rsidRPr="00090050" w:rsidRDefault="00090050" w:rsidP="00090050">
            <w:pPr>
              <w:spacing w:after="0" w:line="227" w:lineRule="exact"/>
              <w:jc w:val="right"/>
              <w:rPr>
                <w:rFonts w:ascii="Cambria" w:eastAsia="Cambria" w:hAnsi="Cambria" w:cs="Arial"/>
                <w:szCs w:val="20"/>
                <w:lang w:val="ru-RU"/>
              </w:rPr>
            </w:pPr>
            <w:r w:rsidRPr="00090050">
              <w:rPr>
                <w:rFonts w:ascii="Cambria" w:eastAsia="Cambria" w:hAnsi="Cambria" w:cs="Arial"/>
                <w:szCs w:val="20"/>
                <w:lang w:val="ru-RU"/>
              </w:rPr>
              <w:t>ють терапії; при прогресуванні захворювання</w:t>
            </w:r>
          </w:p>
        </w:tc>
      </w:tr>
      <w:tr w:rsidR="00090050" w:rsidRPr="00090050" w:rsidTr="00BD55AE">
        <w:trPr>
          <w:trHeight w:val="463"/>
        </w:trPr>
        <w:tc>
          <w:tcPr>
            <w:tcW w:w="20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0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5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5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3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3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r>
      <w:tr w:rsidR="00090050" w:rsidRPr="00090050" w:rsidTr="00BD55AE">
        <w:trPr>
          <w:trHeight w:val="535"/>
        </w:trPr>
        <w:tc>
          <w:tcPr>
            <w:tcW w:w="20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0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6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5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5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3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3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r>
      <w:tr w:rsidR="00090050" w:rsidRPr="00090050" w:rsidTr="00BD55AE">
        <w:trPr>
          <w:trHeight w:val="111"/>
        </w:trPr>
        <w:tc>
          <w:tcPr>
            <w:tcW w:w="20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7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70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6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6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5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5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7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3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34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lang w:val="ru-RU"/>
              </w:rPr>
            </w:pPr>
          </w:p>
        </w:tc>
      </w:tr>
      <w:tr w:rsidR="00090050" w:rsidRPr="00090050" w:rsidTr="00BD55AE">
        <w:trPr>
          <w:trHeight w:val="272"/>
        </w:trPr>
        <w:tc>
          <w:tcPr>
            <w:tcW w:w="208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7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70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6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6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5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5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8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7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3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34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3"/>
                <w:szCs w:val="20"/>
                <w:lang w:val="ru-RU"/>
              </w:rPr>
            </w:pPr>
          </w:p>
        </w:tc>
      </w:tr>
      <w:tr w:rsidR="00090050" w:rsidRPr="00090050" w:rsidTr="00BD55AE">
        <w:trPr>
          <w:trHeight w:val="243"/>
        </w:trPr>
        <w:tc>
          <w:tcPr>
            <w:tcW w:w="208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7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70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6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6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5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5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8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7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3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3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lang w:val="ru-RU"/>
              </w:rPr>
            </w:pPr>
          </w:p>
        </w:tc>
      </w:tr>
      <w:tr w:rsidR="00090050" w:rsidRPr="00090050" w:rsidTr="00BD55AE">
        <w:trPr>
          <w:trHeight w:val="433"/>
        </w:trPr>
        <w:tc>
          <w:tcPr>
            <w:tcW w:w="20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0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5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5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3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3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r>
      <w:tr w:rsidR="00090050" w:rsidRPr="00090050" w:rsidTr="00BD55AE">
        <w:trPr>
          <w:trHeight w:val="280"/>
        </w:trPr>
        <w:tc>
          <w:tcPr>
            <w:tcW w:w="20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0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6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5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5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7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3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3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r>
      <w:tr w:rsidR="00090050" w:rsidRPr="00090050" w:rsidTr="00BD55AE">
        <w:trPr>
          <w:trHeight w:val="234"/>
        </w:trPr>
        <w:tc>
          <w:tcPr>
            <w:tcW w:w="20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7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70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6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6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5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8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5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7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3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3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2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r>
    </w:tbl>
    <w:p w:rsidR="00090050" w:rsidRPr="00090050" w:rsidRDefault="00090050" w:rsidP="00090050">
      <w:pPr>
        <w:spacing w:after="0" w:line="20" w:lineRule="exact"/>
        <w:rPr>
          <w:rFonts w:ascii="Times New Roman" w:eastAsia="Times New Roman" w:hAnsi="Times New Roman" w:cs="Arial"/>
          <w:sz w:val="20"/>
          <w:szCs w:val="20"/>
          <w:lang w:val="ru-RU"/>
        </w:rPr>
      </w:pPr>
      <w:r w:rsidRPr="00090050">
        <w:rPr>
          <w:rFonts w:ascii="Times New Roman" w:eastAsia="Times New Roman" w:hAnsi="Times New Roman" w:cs="Arial"/>
          <w:noProof/>
          <w:sz w:val="20"/>
          <w:szCs w:val="20"/>
        </w:rPr>
        <w:drawing>
          <wp:anchor distT="0" distB="0" distL="114300" distR="114300" simplePos="0" relativeHeight="251660288" behindDoc="1" locked="0" layoutInCell="1" allowOverlap="1">
            <wp:simplePos x="0" y="0"/>
            <wp:positionH relativeFrom="column">
              <wp:posOffset>881380</wp:posOffset>
            </wp:positionH>
            <wp:positionV relativeFrom="paragraph">
              <wp:posOffset>-1586230</wp:posOffset>
            </wp:positionV>
            <wp:extent cx="4379595" cy="1892300"/>
            <wp:effectExtent l="0" t="0" r="190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9595" cy="1892300"/>
                    </a:xfrm>
                    <a:prstGeom prst="rect">
                      <a:avLst/>
                    </a:prstGeom>
                    <a:noFill/>
                  </pic:spPr>
                </pic:pic>
              </a:graphicData>
            </a:graphic>
            <wp14:sizeRelH relativeFrom="page">
              <wp14:pctWidth>0</wp14:pctWidth>
            </wp14:sizeRelH>
            <wp14:sizeRelV relativeFrom="page">
              <wp14:pctHeight>0</wp14:pctHeight>
            </wp14:sizeRelV>
          </wp:anchor>
        </w:drawing>
      </w:r>
    </w:p>
    <w:p w:rsidR="00090050" w:rsidRPr="00090050" w:rsidRDefault="00090050" w:rsidP="00090050">
      <w:pPr>
        <w:spacing w:after="0" w:line="20" w:lineRule="exact"/>
        <w:rPr>
          <w:rFonts w:ascii="Times New Roman" w:eastAsia="Times New Roman" w:hAnsi="Times New Roman" w:cs="Arial"/>
          <w:sz w:val="20"/>
          <w:szCs w:val="20"/>
          <w:lang w:val="ru-RU"/>
        </w:rPr>
        <w:sectPr w:rsidR="00090050" w:rsidRPr="00090050">
          <w:pgSz w:w="11900" w:h="16838"/>
          <w:pgMar w:top="1028" w:right="1026" w:bottom="691" w:left="1200" w:header="0" w:footer="0" w:gutter="0"/>
          <w:cols w:space="0" w:equalWidth="0">
            <w:col w:w="9680"/>
          </w:cols>
          <w:docGrid w:linePitch="360"/>
        </w:sectPr>
      </w:pPr>
    </w:p>
    <w:p w:rsidR="00090050" w:rsidRPr="00090050" w:rsidRDefault="00090050" w:rsidP="00090050">
      <w:pPr>
        <w:spacing w:after="0" w:line="200" w:lineRule="exact"/>
        <w:rPr>
          <w:rFonts w:ascii="Times New Roman" w:eastAsia="Times New Roman" w:hAnsi="Times New Roman" w:cs="Arial"/>
          <w:sz w:val="20"/>
          <w:szCs w:val="20"/>
          <w:lang w:val="ru-RU"/>
        </w:rPr>
      </w:pPr>
    </w:p>
    <w:p w:rsidR="00090050" w:rsidRPr="00090050" w:rsidRDefault="00090050" w:rsidP="00090050">
      <w:pPr>
        <w:spacing w:after="0" w:line="395" w:lineRule="exact"/>
        <w:rPr>
          <w:rFonts w:ascii="Times New Roman" w:eastAsia="Times New Roman" w:hAnsi="Times New Roman" w:cs="Arial"/>
          <w:sz w:val="20"/>
          <w:szCs w:val="20"/>
          <w:lang w:val="ru-RU"/>
        </w:rPr>
      </w:pPr>
    </w:p>
    <w:p w:rsidR="00090050" w:rsidRPr="00090050" w:rsidRDefault="00090050" w:rsidP="00090050">
      <w:pPr>
        <w:spacing w:after="0" w:line="0" w:lineRule="atLeast"/>
        <w:rPr>
          <w:rFonts w:ascii="Century Gothic" w:eastAsia="Century Gothic" w:hAnsi="Century Gothic" w:cs="Arial"/>
          <w:sz w:val="16"/>
          <w:szCs w:val="20"/>
          <w:lang w:val="ru-RU"/>
        </w:rPr>
      </w:pPr>
      <w:r w:rsidRPr="00090050">
        <w:rPr>
          <w:rFonts w:ascii="Century Gothic" w:eastAsia="Century Gothic" w:hAnsi="Century Gothic" w:cs="Arial"/>
          <w:sz w:val="16"/>
          <w:szCs w:val="20"/>
          <w:lang w:val="ru-RU"/>
        </w:rPr>
        <w:t>Рис. Структура моделі Маркова</w:t>
      </w:r>
    </w:p>
    <w:p w:rsidR="00090050" w:rsidRPr="00090050" w:rsidRDefault="00090050" w:rsidP="00090050">
      <w:pPr>
        <w:spacing w:after="0" w:line="0" w:lineRule="atLeast"/>
        <w:rPr>
          <w:rFonts w:ascii="Century Gothic" w:eastAsia="Century Gothic" w:hAnsi="Century Gothic" w:cs="Arial"/>
          <w:sz w:val="16"/>
          <w:szCs w:val="20"/>
          <w:lang w:val="ru-RU"/>
        </w:rPr>
        <w:sectPr w:rsidR="00090050" w:rsidRPr="00090050">
          <w:type w:val="continuous"/>
          <w:pgSz w:w="11900" w:h="16838"/>
          <w:pgMar w:top="1028" w:right="1026" w:bottom="691" w:left="1200" w:header="0" w:footer="0" w:gutter="0"/>
          <w:cols w:space="0" w:equalWidth="0">
            <w:col w:w="9680"/>
          </w:cols>
          <w:docGrid w:linePitch="360"/>
        </w:sectPr>
      </w:pPr>
    </w:p>
    <w:p w:rsidR="00090050" w:rsidRPr="00090050" w:rsidRDefault="00090050" w:rsidP="00090050">
      <w:pPr>
        <w:tabs>
          <w:tab w:val="left" w:pos="440"/>
          <w:tab w:val="left" w:pos="2860"/>
          <w:tab w:val="left" w:pos="8060"/>
        </w:tabs>
        <w:spacing w:after="0" w:line="0" w:lineRule="atLeast"/>
        <w:rPr>
          <w:rFonts w:ascii="Century Gothic" w:eastAsia="Century Gothic" w:hAnsi="Century Gothic" w:cs="Arial"/>
          <w:sz w:val="16"/>
          <w:szCs w:val="20"/>
          <w:lang w:val="ru-RU"/>
        </w:rPr>
      </w:pPr>
      <w:bookmarkStart w:id="3" w:name="page48"/>
      <w:bookmarkEnd w:id="3"/>
      <w:r w:rsidRPr="00090050">
        <w:rPr>
          <w:rFonts w:ascii="Century Gothic" w:eastAsia="Century Gothic" w:hAnsi="Century Gothic" w:cs="Arial"/>
          <w:sz w:val="20"/>
          <w:szCs w:val="20"/>
          <w:lang w:val="ru-RU"/>
        </w:rPr>
        <w:lastRenderedPageBreak/>
        <w:t>48</w:t>
      </w:r>
      <w:r w:rsidRPr="00090050">
        <w:rPr>
          <w:rFonts w:ascii="Times New Roman" w:eastAsia="Times New Roman" w:hAnsi="Times New Roman" w:cs="Arial"/>
          <w:sz w:val="20"/>
          <w:szCs w:val="20"/>
          <w:lang w:val="ru-RU"/>
        </w:rPr>
        <w:tab/>
      </w:r>
      <w:r w:rsidRPr="00090050">
        <w:rPr>
          <w:rFonts w:ascii="Century Gothic" w:eastAsia="Century Gothic" w:hAnsi="Century Gothic" w:cs="Arial"/>
          <w:sz w:val="16"/>
          <w:szCs w:val="20"/>
        </w:rPr>
        <w:t>ISSN</w:t>
      </w:r>
      <w:r w:rsidRPr="00090050">
        <w:rPr>
          <w:rFonts w:ascii="Century Gothic" w:eastAsia="Century Gothic" w:hAnsi="Century Gothic" w:cs="Arial"/>
          <w:sz w:val="16"/>
          <w:szCs w:val="20"/>
          <w:lang w:val="ru-RU"/>
        </w:rPr>
        <w:t xml:space="preserve"> 2518-1572 (</w:t>
      </w:r>
      <w:r w:rsidRPr="00090050">
        <w:rPr>
          <w:rFonts w:ascii="Century Gothic" w:eastAsia="Century Gothic" w:hAnsi="Century Gothic" w:cs="Arial"/>
          <w:sz w:val="16"/>
          <w:szCs w:val="20"/>
        </w:rPr>
        <w:t>Online</w:t>
      </w:r>
      <w:r w:rsidRPr="00090050">
        <w:rPr>
          <w:rFonts w:ascii="Century Gothic" w:eastAsia="Century Gothic" w:hAnsi="Century Gothic" w:cs="Arial"/>
          <w:sz w:val="16"/>
          <w:szCs w:val="20"/>
          <w:lang w:val="ru-RU"/>
        </w:rPr>
        <w:t>)</w:t>
      </w:r>
      <w:r w:rsidRPr="00090050">
        <w:rPr>
          <w:rFonts w:ascii="Times New Roman" w:eastAsia="Times New Roman" w:hAnsi="Times New Roman" w:cs="Arial"/>
          <w:sz w:val="20"/>
          <w:szCs w:val="20"/>
          <w:lang w:val="ru-RU"/>
        </w:rPr>
        <w:tab/>
      </w:r>
      <w:r w:rsidRPr="00090050">
        <w:rPr>
          <w:rFonts w:ascii="Century Gothic" w:eastAsia="Century Gothic" w:hAnsi="Century Gothic" w:cs="Arial"/>
          <w:sz w:val="20"/>
          <w:szCs w:val="20"/>
          <w:lang w:val="ru-RU"/>
        </w:rPr>
        <w:t>КЛІНІЧНА ФАРМАЦІЯ. – 2019. – Т. 23, № 4</w:t>
      </w:r>
      <w:r w:rsidRPr="00090050">
        <w:rPr>
          <w:rFonts w:ascii="Times New Roman" w:eastAsia="Times New Roman" w:hAnsi="Times New Roman" w:cs="Arial"/>
          <w:sz w:val="20"/>
          <w:szCs w:val="20"/>
          <w:lang w:val="ru-RU"/>
        </w:rPr>
        <w:tab/>
      </w:r>
      <w:r w:rsidRPr="00090050">
        <w:rPr>
          <w:rFonts w:ascii="Century Gothic" w:eastAsia="Century Gothic" w:hAnsi="Century Gothic" w:cs="Arial"/>
          <w:sz w:val="16"/>
          <w:szCs w:val="20"/>
        </w:rPr>
        <w:t>ISSN</w:t>
      </w:r>
      <w:r w:rsidRPr="00090050">
        <w:rPr>
          <w:rFonts w:ascii="Century Gothic" w:eastAsia="Century Gothic" w:hAnsi="Century Gothic" w:cs="Arial"/>
          <w:sz w:val="16"/>
          <w:szCs w:val="20"/>
          <w:lang w:val="ru-RU"/>
        </w:rPr>
        <w:t xml:space="preserve"> 1562-725</w:t>
      </w:r>
      <w:r w:rsidRPr="00090050">
        <w:rPr>
          <w:rFonts w:ascii="Century Gothic" w:eastAsia="Century Gothic" w:hAnsi="Century Gothic" w:cs="Arial"/>
          <w:sz w:val="16"/>
          <w:szCs w:val="20"/>
        </w:rPr>
        <w:t>X</w:t>
      </w:r>
      <w:r w:rsidRPr="00090050">
        <w:rPr>
          <w:rFonts w:ascii="Century Gothic" w:eastAsia="Century Gothic" w:hAnsi="Century Gothic" w:cs="Arial"/>
          <w:sz w:val="16"/>
          <w:szCs w:val="20"/>
          <w:lang w:val="ru-RU"/>
        </w:rPr>
        <w:t xml:space="preserve"> (</w:t>
      </w:r>
      <w:r w:rsidRPr="00090050">
        <w:rPr>
          <w:rFonts w:ascii="Century Gothic" w:eastAsia="Century Gothic" w:hAnsi="Century Gothic" w:cs="Arial"/>
          <w:sz w:val="16"/>
          <w:szCs w:val="20"/>
        </w:rPr>
        <w:t>Print</w:t>
      </w:r>
      <w:r w:rsidRPr="00090050">
        <w:rPr>
          <w:rFonts w:ascii="Century Gothic" w:eastAsia="Century Gothic" w:hAnsi="Century Gothic" w:cs="Arial"/>
          <w:sz w:val="16"/>
          <w:szCs w:val="20"/>
          <w:lang w:val="ru-RU"/>
        </w:rPr>
        <w:t>)</w:t>
      </w:r>
    </w:p>
    <w:p w:rsidR="00090050" w:rsidRPr="00090050" w:rsidRDefault="00090050" w:rsidP="00090050">
      <w:pPr>
        <w:spacing w:after="0" w:line="20" w:lineRule="exact"/>
        <w:rPr>
          <w:rFonts w:ascii="Times New Roman" w:eastAsia="Times New Roman" w:hAnsi="Times New Roman" w:cs="Arial"/>
          <w:sz w:val="20"/>
          <w:szCs w:val="20"/>
          <w:lang w:val="ru-RU"/>
        </w:rPr>
      </w:pPr>
      <w:r w:rsidRPr="00090050">
        <w:rPr>
          <w:rFonts w:ascii="Century Gothic" w:eastAsia="Century Gothic" w:hAnsi="Century Gothic" w:cs="Arial"/>
          <w:noProof/>
          <w:sz w:val="16"/>
          <w:szCs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12065</wp:posOffset>
            </wp:positionV>
            <wp:extent cx="6155690" cy="12700"/>
            <wp:effectExtent l="0" t="0" r="0" b="635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5690" cy="12700"/>
                    </a:xfrm>
                    <a:prstGeom prst="rect">
                      <a:avLst/>
                    </a:prstGeom>
                    <a:noFill/>
                  </pic:spPr>
                </pic:pic>
              </a:graphicData>
            </a:graphic>
            <wp14:sizeRelH relativeFrom="page">
              <wp14:pctWidth>0</wp14:pctWidth>
            </wp14:sizeRelH>
            <wp14:sizeRelV relativeFrom="page">
              <wp14:pctHeight>0</wp14:pctHeight>
            </wp14:sizeRelV>
          </wp:anchor>
        </w:drawing>
      </w:r>
    </w:p>
    <w:p w:rsidR="00090050" w:rsidRPr="00090050" w:rsidRDefault="00090050" w:rsidP="00090050">
      <w:pPr>
        <w:spacing w:after="0" w:line="20" w:lineRule="exact"/>
        <w:rPr>
          <w:rFonts w:ascii="Times New Roman" w:eastAsia="Times New Roman" w:hAnsi="Times New Roman" w:cs="Arial"/>
          <w:sz w:val="20"/>
          <w:szCs w:val="20"/>
          <w:lang w:val="ru-RU"/>
        </w:rPr>
        <w:sectPr w:rsidR="00090050" w:rsidRPr="00090050">
          <w:pgSz w:w="11900" w:h="16838"/>
          <w:pgMar w:top="987" w:right="1186" w:bottom="703" w:left="1020" w:header="0" w:footer="0" w:gutter="0"/>
          <w:cols w:space="0" w:equalWidth="0">
            <w:col w:w="9700"/>
          </w:cols>
          <w:docGrid w:linePitch="360"/>
        </w:sectPr>
      </w:pPr>
    </w:p>
    <w:p w:rsidR="00090050" w:rsidRPr="00090050" w:rsidRDefault="00090050" w:rsidP="00090050">
      <w:pPr>
        <w:spacing w:after="0" w:line="270" w:lineRule="exact"/>
        <w:rPr>
          <w:rFonts w:ascii="Times New Roman" w:eastAsia="Times New Roman" w:hAnsi="Times New Roman" w:cs="Arial"/>
          <w:sz w:val="20"/>
          <w:szCs w:val="20"/>
          <w:lang w:val="ru-RU"/>
        </w:rPr>
      </w:pPr>
    </w:p>
    <w:p w:rsidR="00090050" w:rsidRPr="00090050" w:rsidRDefault="00090050" w:rsidP="00090050">
      <w:pPr>
        <w:spacing w:after="0" w:line="238" w:lineRule="auto"/>
        <w:jc w:val="both"/>
        <w:rPr>
          <w:rFonts w:ascii="Cambria" w:eastAsia="Cambria" w:hAnsi="Cambria" w:cs="Arial"/>
          <w:sz w:val="20"/>
          <w:szCs w:val="20"/>
          <w:lang w:val="ru-RU"/>
        </w:rPr>
      </w:pPr>
      <w:r w:rsidRPr="00090050">
        <w:rPr>
          <w:rFonts w:ascii="Cambria" w:eastAsia="Cambria" w:hAnsi="Cambria" w:cs="Arial"/>
          <w:sz w:val="20"/>
          <w:szCs w:val="20"/>
          <w:lang w:val="ru-RU"/>
        </w:rPr>
        <w:t>пацієнти отримують другу лінію хіміотерапії (ХТ); при відсутності ефекту від другої лінії ХТ паці-єнти отримують загальноприйняту в міжна-родній онкологічній практиці паліативну тера-пію [13, 14]. В якості альтернативи трастузума-бу розглядалися стандартні схеми ад’ювантної терапії РМЗ, представлені у чинному Протоколі медичної допомоги хворим на рак молочної за-лози [1]: циклофосфамід + метотрексат + 5-фтор-урацил (схема СМ</w:t>
      </w:r>
      <w:r w:rsidRPr="00090050">
        <w:rPr>
          <w:rFonts w:ascii="Cambria" w:eastAsia="Cambria" w:hAnsi="Cambria" w:cs="Arial"/>
          <w:sz w:val="20"/>
          <w:szCs w:val="20"/>
        </w:rPr>
        <w:t>F</w:t>
      </w:r>
      <w:r w:rsidRPr="00090050">
        <w:rPr>
          <w:rFonts w:ascii="Cambria" w:eastAsia="Cambria" w:hAnsi="Cambria" w:cs="Arial"/>
          <w:sz w:val="20"/>
          <w:szCs w:val="20"/>
          <w:lang w:val="ru-RU"/>
        </w:rPr>
        <w:t>); циклофосфамід + доксору-біцин(схемаС</w:t>
      </w:r>
      <w:r w:rsidRPr="00090050">
        <w:rPr>
          <w:rFonts w:ascii="Cambria" w:eastAsia="Cambria" w:hAnsi="Cambria" w:cs="Arial"/>
          <w:sz w:val="20"/>
          <w:szCs w:val="20"/>
        </w:rPr>
        <w:t>D</w:t>
      </w:r>
      <w:r w:rsidRPr="00090050">
        <w:rPr>
          <w:rFonts w:ascii="Cambria" w:eastAsia="Cambria" w:hAnsi="Cambria" w:cs="Arial"/>
          <w:sz w:val="20"/>
          <w:szCs w:val="20"/>
          <w:lang w:val="ru-RU"/>
        </w:rPr>
        <w:t xml:space="preserve">);паклітаксел+доксорубіцин(схе-ма </w:t>
      </w:r>
      <w:r w:rsidRPr="00090050">
        <w:rPr>
          <w:rFonts w:ascii="Cambria" w:eastAsia="Cambria" w:hAnsi="Cambria" w:cs="Arial"/>
          <w:sz w:val="20"/>
          <w:szCs w:val="20"/>
        </w:rPr>
        <w:t>PD</w:t>
      </w:r>
      <w:r w:rsidRPr="00090050">
        <w:rPr>
          <w:rFonts w:ascii="Cambria" w:eastAsia="Cambria" w:hAnsi="Cambria" w:cs="Arial"/>
          <w:sz w:val="20"/>
          <w:szCs w:val="20"/>
          <w:lang w:val="ru-RU"/>
        </w:rPr>
        <w:t>). Імовірності переходу між різними ста-нами після однорічної ад’ювантної терапії в гру-пах пацієнток, які отримували трастузумаб та стандартнісхемиХТ,взятізрезультатівРКД</w:t>
      </w:r>
      <w:r w:rsidRPr="00090050">
        <w:rPr>
          <w:rFonts w:ascii="Cambria" w:eastAsia="Cambria" w:hAnsi="Cambria" w:cs="Arial"/>
          <w:sz w:val="20"/>
          <w:szCs w:val="20"/>
        </w:rPr>
        <w:t>HERA</w:t>
      </w:r>
      <w:r w:rsidRPr="00090050">
        <w:rPr>
          <w:rFonts w:ascii="Cambria" w:eastAsia="Cambria" w:hAnsi="Cambria" w:cs="Arial"/>
          <w:sz w:val="20"/>
          <w:szCs w:val="20"/>
          <w:lang w:val="ru-RU"/>
        </w:rPr>
        <w:t xml:space="preserve"> та його подальшого аналізу [9, 15, 16]. Щоб яко-мога краще оцінити очікувану тривалість жит-тя і таким чином точніше визначити фармако-економічну ефективність кожної схеми терапії, термін спостереження встановлено 10 років (ча-совий горизонт моделі).</w:t>
      </w:r>
    </w:p>
    <w:p w:rsidR="00090050" w:rsidRPr="00090050" w:rsidRDefault="00090050" w:rsidP="00090050">
      <w:pPr>
        <w:spacing w:after="0" w:line="31" w:lineRule="exact"/>
        <w:rPr>
          <w:rFonts w:ascii="Times New Roman" w:eastAsia="Times New Roman" w:hAnsi="Times New Roman" w:cs="Arial"/>
          <w:sz w:val="20"/>
          <w:szCs w:val="20"/>
          <w:lang w:val="ru-RU"/>
        </w:rPr>
      </w:pPr>
    </w:p>
    <w:p w:rsidR="00090050" w:rsidRPr="00090050" w:rsidRDefault="00090050" w:rsidP="00090050">
      <w:pPr>
        <w:spacing w:after="0" w:line="226" w:lineRule="auto"/>
        <w:jc w:val="both"/>
        <w:rPr>
          <w:rFonts w:ascii="Cambria" w:eastAsia="Cambria" w:hAnsi="Cambria" w:cs="Arial"/>
          <w:sz w:val="21"/>
          <w:szCs w:val="20"/>
          <w:lang w:val="ru-RU"/>
        </w:rPr>
      </w:pPr>
      <w:r w:rsidRPr="00090050">
        <w:rPr>
          <w:rFonts w:ascii="Cambria" w:eastAsia="Cambria" w:hAnsi="Cambria" w:cs="Arial"/>
          <w:sz w:val="21"/>
          <w:szCs w:val="20"/>
          <w:lang w:val="ru-RU"/>
        </w:rPr>
        <w:t>На ґрунті результатів моделювання за Мар-ковим для розрахунку показників витратної ефек-тивності і витратної корисності лікування РМЗ препаратом трастузумаб використані класичні фармакоекономічні методи «витрати-ефектив-ність» і «витрати-корисність» [11, 17]. В якості критерію ефективності використовували роки збереженого життя (</w:t>
      </w:r>
      <w:r w:rsidRPr="00090050">
        <w:rPr>
          <w:rFonts w:ascii="Cambria" w:eastAsia="Cambria" w:hAnsi="Cambria" w:cs="Arial"/>
          <w:sz w:val="21"/>
          <w:szCs w:val="20"/>
        </w:rPr>
        <w:t>Life</w:t>
      </w:r>
      <w:r w:rsidRPr="00090050">
        <w:rPr>
          <w:rFonts w:ascii="Cambria" w:eastAsia="Cambria" w:hAnsi="Cambria" w:cs="Arial"/>
          <w:sz w:val="21"/>
          <w:szCs w:val="20"/>
          <w:lang w:val="ru-RU"/>
        </w:rPr>
        <w:t xml:space="preserve"> </w:t>
      </w:r>
      <w:r w:rsidRPr="00090050">
        <w:rPr>
          <w:rFonts w:ascii="Cambria" w:eastAsia="Cambria" w:hAnsi="Cambria" w:cs="Arial"/>
          <w:sz w:val="21"/>
          <w:szCs w:val="20"/>
        </w:rPr>
        <w:t>years</w:t>
      </w:r>
      <w:r w:rsidRPr="00090050">
        <w:rPr>
          <w:rFonts w:ascii="Cambria" w:eastAsia="Cambria" w:hAnsi="Cambria" w:cs="Arial"/>
          <w:sz w:val="21"/>
          <w:szCs w:val="20"/>
          <w:lang w:val="ru-RU"/>
        </w:rPr>
        <w:t xml:space="preserve"> </w:t>
      </w:r>
      <w:r w:rsidRPr="00090050">
        <w:rPr>
          <w:rFonts w:ascii="Cambria" w:eastAsia="Cambria" w:hAnsi="Cambria" w:cs="Arial"/>
          <w:sz w:val="21"/>
          <w:szCs w:val="20"/>
        </w:rPr>
        <w:t>gained</w:t>
      </w:r>
      <w:r w:rsidRPr="00090050">
        <w:rPr>
          <w:rFonts w:ascii="Cambria" w:eastAsia="Cambria" w:hAnsi="Cambria" w:cs="Arial"/>
          <w:sz w:val="21"/>
          <w:szCs w:val="20"/>
          <w:lang w:val="ru-RU"/>
        </w:rPr>
        <w:t xml:space="preserve"> – </w:t>
      </w:r>
      <w:r w:rsidRPr="00090050">
        <w:rPr>
          <w:rFonts w:ascii="Cambria" w:eastAsia="Cambria" w:hAnsi="Cambria" w:cs="Arial"/>
          <w:sz w:val="21"/>
          <w:szCs w:val="20"/>
        </w:rPr>
        <w:t>LYG</w:t>
      </w:r>
      <w:r w:rsidRPr="00090050">
        <w:rPr>
          <w:rFonts w:ascii="Cambria" w:eastAsia="Cambria" w:hAnsi="Cambria" w:cs="Arial"/>
          <w:sz w:val="21"/>
          <w:szCs w:val="20"/>
          <w:lang w:val="ru-RU"/>
        </w:rPr>
        <w:t xml:space="preserve">). Розрахунок </w:t>
      </w:r>
      <w:r w:rsidRPr="00090050">
        <w:rPr>
          <w:rFonts w:ascii="Cambria" w:eastAsia="Cambria" w:hAnsi="Cambria" w:cs="Arial"/>
          <w:sz w:val="21"/>
          <w:szCs w:val="20"/>
        </w:rPr>
        <w:t>LYG</w:t>
      </w:r>
      <w:r w:rsidRPr="00090050">
        <w:rPr>
          <w:rFonts w:ascii="Cambria" w:eastAsia="Cambria" w:hAnsi="Cambria" w:cs="Arial"/>
          <w:sz w:val="21"/>
          <w:szCs w:val="20"/>
          <w:lang w:val="ru-RU"/>
        </w:rPr>
        <w:t xml:space="preserve"> для однієї умовної середньоста-тистичної пацієнтки впродовж одного марківсь-кого циклу (рік лікування </w:t>
      </w:r>
      <w:r w:rsidRPr="00090050">
        <w:rPr>
          <w:rFonts w:ascii="Cambria" w:eastAsia="Cambria" w:hAnsi="Cambria" w:cs="Arial"/>
          <w:sz w:val="21"/>
          <w:szCs w:val="20"/>
        </w:rPr>
        <w:t>t</w:t>
      </w:r>
      <w:r w:rsidRPr="00090050">
        <w:rPr>
          <w:rFonts w:ascii="Cambria" w:eastAsia="Cambria" w:hAnsi="Cambria" w:cs="Arial"/>
          <w:sz w:val="21"/>
          <w:szCs w:val="20"/>
          <w:lang w:val="ru-RU"/>
        </w:rPr>
        <w:t>) проводився за фор-мулою:</w:t>
      </w:r>
    </w:p>
    <w:p w:rsidR="00090050" w:rsidRPr="00090050" w:rsidRDefault="00090050" w:rsidP="00090050">
      <w:pPr>
        <w:spacing w:after="0" w:line="101" w:lineRule="exact"/>
        <w:rPr>
          <w:rFonts w:ascii="Times New Roman" w:eastAsia="Times New Roman" w:hAnsi="Times New Roman" w:cs="Arial"/>
          <w:sz w:val="20"/>
          <w:szCs w:val="20"/>
          <w:lang w:val="ru-RU"/>
        </w:rPr>
      </w:pPr>
    </w:p>
    <w:p w:rsidR="00090050" w:rsidRPr="00090050" w:rsidRDefault="00090050" w:rsidP="00090050">
      <w:pPr>
        <w:spacing w:after="0" w:line="0" w:lineRule="atLeast"/>
        <w:rPr>
          <w:rFonts w:ascii="Cambria" w:eastAsia="Cambria" w:hAnsi="Cambria" w:cs="Arial"/>
          <w:szCs w:val="20"/>
          <w:lang w:val="ru-RU"/>
        </w:rPr>
      </w:pPr>
      <w:r w:rsidRPr="00090050">
        <w:rPr>
          <w:rFonts w:ascii="Cambria" w:eastAsia="Cambria" w:hAnsi="Cambria" w:cs="Arial"/>
          <w:szCs w:val="20"/>
        </w:rPr>
        <w:t>LYG</w:t>
      </w:r>
      <w:r w:rsidRPr="00090050">
        <w:rPr>
          <w:rFonts w:ascii="Cambria" w:eastAsia="Cambria" w:hAnsi="Cambria" w:cs="Arial"/>
          <w:szCs w:val="20"/>
          <w:lang w:val="ru-RU"/>
        </w:rPr>
        <w:t xml:space="preserve"> (</w:t>
      </w:r>
      <w:r w:rsidRPr="00090050">
        <w:rPr>
          <w:rFonts w:ascii="Cambria" w:eastAsia="Cambria" w:hAnsi="Cambria" w:cs="Arial"/>
          <w:szCs w:val="20"/>
        </w:rPr>
        <w:t>t</w:t>
      </w:r>
      <w:r w:rsidRPr="00090050">
        <w:rPr>
          <w:rFonts w:ascii="Cambria" w:eastAsia="Cambria" w:hAnsi="Cambria" w:cs="Arial"/>
          <w:szCs w:val="20"/>
          <w:lang w:val="ru-RU"/>
        </w:rPr>
        <w:t xml:space="preserve">) = </w:t>
      </w:r>
      <w:r w:rsidRPr="00090050">
        <w:rPr>
          <w:rFonts w:ascii="Cambria" w:eastAsia="Cambria" w:hAnsi="Cambria" w:cs="Arial"/>
          <w:szCs w:val="20"/>
        </w:rPr>
        <w:t>K</w:t>
      </w:r>
      <w:r w:rsidRPr="00090050">
        <w:rPr>
          <w:rFonts w:ascii="Cambria" w:eastAsia="Cambria" w:hAnsi="Cambria" w:cs="Arial"/>
          <w:szCs w:val="20"/>
          <w:lang w:val="ru-RU"/>
        </w:rPr>
        <w:t xml:space="preserve"> (</w:t>
      </w:r>
      <w:r w:rsidRPr="00090050">
        <w:rPr>
          <w:rFonts w:ascii="Cambria" w:eastAsia="Cambria" w:hAnsi="Cambria" w:cs="Arial"/>
          <w:szCs w:val="20"/>
        </w:rPr>
        <w:t>t</w:t>
      </w:r>
      <w:r w:rsidRPr="00090050">
        <w:rPr>
          <w:rFonts w:ascii="Cambria" w:eastAsia="Cambria" w:hAnsi="Cambria" w:cs="Arial"/>
          <w:szCs w:val="20"/>
          <w:lang w:val="ru-RU"/>
        </w:rPr>
        <w:t>) / 1000,</w:t>
      </w:r>
    </w:p>
    <w:p w:rsidR="00090050" w:rsidRPr="00090050" w:rsidRDefault="00090050" w:rsidP="00090050">
      <w:pPr>
        <w:spacing w:after="0" w:line="89" w:lineRule="exact"/>
        <w:rPr>
          <w:rFonts w:ascii="Times New Roman" w:eastAsia="Times New Roman" w:hAnsi="Times New Roman" w:cs="Arial"/>
          <w:sz w:val="20"/>
          <w:szCs w:val="20"/>
          <w:lang w:val="ru-RU"/>
        </w:rPr>
      </w:pPr>
    </w:p>
    <w:p w:rsidR="00090050" w:rsidRPr="00090050" w:rsidRDefault="00090050" w:rsidP="00090050">
      <w:pPr>
        <w:spacing w:after="0" w:line="0" w:lineRule="atLeast"/>
        <w:rPr>
          <w:rFonts w:ascii="Cambria" w:eastAsia="Cambria" w:hAnsi="Cambria" w:cs="Arial"/>
          <w:szCs w:val="20"/>
          <w:lang w:val="ru-RU"/>
        </w:rPr>
      </w:pPr>
      <w:r w:rsidRPr="00090050">
        <w:rPr>
          <w:rFonts w:ascii="Cambria" w:eastAsia="Cambria" w:hAnsi="Cambria" w:cs="Arial"/>
          <w:szCs w:val="20"/>
          <w:lang w:val="ru-RU"/>
        </w:rPr>
        <w:t xml:space="preserve">де: </w:t>
      </w:r>
      <w:r w:rsidRPr="00090050">
        <w:rPr>
          <w:rFonts w:ascii="Cambria" w:eastAsia="Cambria" w:hAnsi="Cambria" w:cs="Arial"/>
          <w:szCs w:val="20"/>
        </w:rPr>
        <w:t>LYG</w:t>
      </w:r>
      <w:r w:rsidRPr="00090050">
        <w:rPr>
          <w:rFonts w:ascii="Cambria" w:eastAsia="Cambria" w:hAnsi="Cambria" w:cs="Arial"/>
          <w:szCs w:val="20"/>
          <w:lang w:val="ru-RU"/>
        </w:rPr>
        <w:t xml:space="preserve"> (</w:t>
      </w:r>
      <w:r w:rsidRPr="00090050">
        <w:rPr>
          <w:rFonts w:ascii="Cambria" w:eastAsia="Cambria" w:hAnsi="Cambria" w:cs="Arial"/>
          <w:szCs w:val="20"/>
        </w:rPr>
        <w:t>t</w:t>
      </w:r>
      <w:r w:rsidRPr="00090050">
        <w:rPr>
          <w:rFonts w:ascii="Cambria" w:eastAsia="Cambria" w:hAnsi="Cambria" w:cs="Arial"/>
          <w:szCs w:val="20"/>
          <w:lang w:val="ru-RU"/>
        </w:rPr>
        <w:t xml:space="preserve">) – </w:t>
      </w:r>
      <w:r w:rsidRPr="00090050">
        <w:rPr>
          <w:rFonts w:ascii="Cambria" w:eastAsia="Cambria" w:hAnsi="Cambria" w:cs="Arial"/>
          <w:szCs w:val="20"/>
        </w:rPr>
        <w:t>LYG</w:t>
      </w:r>
      <w:r w:rsidRPr="00090050">
        <w:rPr>
          <w:rFonts w:ascii="Cambria" w:eastAsia="Cambria" w:hAnsi="Cambria" w:cs="Arial"/>
          <w:szCs w:val="20"/>
          <w:lang w:val="ru-RU"/>
        </w:rPr>
        <w:t xml:space="preserve"> в рік лікування </w:t>
      </w:r>
      <w:r w:rsidRPr="00090050">
        <w:rPr>
          <w:rFonts w:ascii="Cambria" w:eastAsia="Cambria" w:hAnsi="Cambria" w:cs="Arial"/>
          <w:szCs w:val="20"/>
        </w:rPr>
        <w:t>t</w:t>
      </w:r>
      <w:r w:rsidRPr="00090050">
        <w:rPr>
          <w:rFonts w:ascii="Cambria" w:eastAsia="Cambria" w:hAnsi="Cambria" w:cs="Arial"/>
          <w:szCs w:val="20"/>
          <w:lang w:val="ru-RU"/>
        </w:rPr>
        <w:t>;</w:t>
      </w:r>
    </w:p>
    <w:p w:rsidR="00090050" w:rsidRPr="00090050" w:rsidRDefault="00090050" w:rsidP="00090050">
      <w:pPr>
        <w:spacing w:after="0" w:line="15" w:lineRule="exact"/>
        <w:rPr>
          <w:rFonts w:ascii="Times New Roman" w:eastAsia="Times New Roman" w:hAnsi="Times New Roman" w:cs="Arial"/>
          <w:sz w:val="20"/>
          <w:szCs w:val="20"/>
          <w:lang w:val="ru-RU"/>
        </w:rPr>
      </w:pPr>
    </w:p>
    <w:p w:rsidR="00090050" w:rsidRPr="00090050" w:rsidRDefault="00090050" w:rsidP="00090050">
      <w:pPr>
        <w:spacing w:after="0" w:line="210" w:lineRule="auto"/>
        <w:jc w:val="both"/>
        <w:rPr>
          <w:rFonts w:ascii="Cambria" w:eastAsia="Cambria" w:hAnsi="Cambria" w:cs="Arial"/>
          <w:szCs w:val="20"/>
          <w:lang w:val="ru-RU"/>
        </w:rPr>
      </w:pPr>
      <w:r w:rsidRPr="00090050">
        <w:rPr>
          <w:rFonts w:ascii="Cambria" w:eastAsia="Cambria" w:hAnsi="Cambria" w:cs="Arial"/>
          <w:szCs w:val="20"/>
        </w:rPr>
        <w:t>K</w:t>
      </w:r>
      <w:r w:rsidRPr="00090050">
        <w:rPr>
          <w:rFonts w:ascii="Cambria" w:eastAsia="Cambria" w:hAnsi="Cambria" w:cs="Arial"/>
          <w:szCs w:val="20"/>
          <w:lang w:val="ru-RU"/>
        </w:rPr>
        <w:t xml:space="preserve"> (</w:t>
      </w:r>
      <w:r w:rsidRPr="00090050">
        <w:rPr>
          <w:rFonts w:ascii="Cambria" w:eastAsia="Cambria" w:hAnsi="Cambria" w:cs="Arial"/>
          <w:szCs w:val="20"/>
        </w:rPr>
        <w:t>t</w:t>
      </w:r>
      <w:r w:rsidRPr="00090050">
        <w:rPr>
          <w:rFonts w:ascii="Cambria" w:eastAsia="Cambria" w:hAnsi="Cambria" w:cs="Arial"/>
          <w:szCs w:val="20"/>
          <w:lang w:val="ru-RU"/>
        </w:rPr>
        <w:t xml:space="preserve">) – кількість пацієнток, які вижили, з тих, що входять у модель у рік лікування </w:t>
      </w:r>
      <w:r w:rsidRPr="00090050">
        <w:rPr>
          <w:rFonts w:ascii="Cambria" w:eastAsia="Cambria" w:hAnsi="Cambria" w:cs="Arial"/>
          <w:szCs w:val="20"/>
        </w:rPr>
        <w:t>t</w:t>
      </w:r>
      <w:r w:rsidRPr="00090050">
        <w:rPr>
          <w:rFonts w:ascii="Cambria" w:eastAsia="Cambria" w:hAnsi="Cambria" w:cs="Arial"/>
          <w:szCs w:val="20"/>
          <w:lang w:val="ru-RU"/>
        </w:rPr>
        <w:t>.</w:t>
      </w:r>
    </w:p>
    <w:p w:rsidR="00090050" w:rsidRPr="00090050" w:rsidRDefault="00090050" w:rsidP="00090050">
      <w:pPr>
        <w:spacing w:after="0" w:line="17" w:lineRule="exact"/>
        <w:rPr>
          <w:rFonts w:ascii="Times New Roman" w:eastAsia="Times New Roman" w:hAnsi="Times New Roman" w:cs="Arial"/>
          <w:sz w:val="20"/>
          <w:szCs w:val="20"/>
          <w:lang w:val="ru-RU"/>
        </w:rPr>
      </w:pPr>
    </w:p>
    <w:p w:rsidR="00090050" w:rsidRPr="00090050" w:rsidRDefault="00090050" w:rsidP="00090050">
      <w:pPr>
        <w:spacing w:after="0" w:line="213" w:lineRule="auto"/>
        <w:jc w:val="both"/>
        <w:rPr>
          <w:rFonts w:ascii="Cambria" w:eastAsia="Cambria" w:hAnsi="Cambria" w:cs="Arial"/>
          <w:szCs w:val="20"/>
          <w:lang w:val="ru-RU"/>
        </w:rPr>
      </w:pPr>
      <w:r w:rsidRPr="00090050">
        <w:rPr>
          <w:rFonts w:ascii="Cambria" w:eastAsia="Cambria" w:hAnsi="Cambria" w:cs="Arial"/>
          <w:szCs w:val="20"/>
          <w:lang w:val="ru-RU"/>
        </w:rPr>
        <w:t xml:space="preserve">Кількість умовних пацієнток, які вижили з когорти 1000 пацієнток, які входять у модель у рік лікування </w:t>
      </w:r>
      <w:r w:rsidRPr="00090050">
        <w:rPr>
          <w:rFonts w:ascii="Cambria" w:eastAsia="Cambria" w:hAnsi="Cambria" w:cs="Arial"/>
          <w:szCs w:val="20"/>
        </w:rPr>
        <w:t>t</w:t>
      </w:r>
      <w:r w:rsidRPr="00090050">
        <w:rPr>
          <w:rFonts w:ascii="Cambria" w:eastAsia="Cambria" w:hAnsi="Cambria" w:cs="Arial"/>
          <w:szCs w:val="20"/>
          <w:lang w:val="ru-RU"/>
        </w:rPr>
        <w:t>, розраховували за формулою:</w:t>
      </w:r>
    </w:p>
    <w:p w:rsidR="00090050" w:rsidRPr="00090050" w:rsidRDefault="00090050" w:rsidP="00090050">
      <w:pPr>
        <w:spacing w:after="0" w:line="90" w:lineRule="exact"/>
        <w:rPr>
          <w:rFonts w:ascii="Times New Roman" w:eastAsia="Times New Roman" w:hAnsi="Times New Roman" w:cs="Arial"/>
          <w:sz w:val="20"/>
          <w:szCs w:val="20"/>
          <w:lang w:val="ru-RU"/>
        </w:rPr>
      </w:pPr>
    </w:p>
    <w:p w:rsidR="00090050" w:rsidRPr="00090050" w:rsidRDefault="00090050" w:rsidP="00090050">
      <w:pPr>
        <w:spacing w:after="0" w:line="0" w:lineRule="atLeast"/>
        <w:jc w:val="center"/>
        <w:rPr>
          <w:rFonts w:ascii="Cambria" w:eastAsia="Cambria" w:hAnsi="Cambria" w:cs="Arial"/>
          <w:szCs w:val="20"/>
        </w:rPr>
      </w:pPr>
      <w:r w:rsidRPr="00090050">
        <w:rPr>
          <w:rFonts w:ascii="Cambria" w:eastAsia="Cambria" w:hAnsi="Cambria" w:cs="Arial"/>
          <w:szCs w:val="20"/>
        </w:rPr>
        <w:t>Kt = K1 (t) + K2 (t) + K3 (t) + K4 (t),</w:t>
      </w:r>
    </w:p>
    <w:p w:rsidR="00090050" w:rsidRPr="00090050" w:rsidRDefault="00090050" w:rsidP="00090050">
      <w:pPr>
        <w:spacing w:after="0" w:line="128" w:lineRule="exact"/>
        <w:rPr>
          <w:rFonts w:ascii="Times New Roman" w:eastAsia="Times New Roman" w:hAnsi="Times New Roman" w:cs="Arial"/>
          <w:sz w:val="20"/>
          <w:szCs w:val="20"/>
        </w:rPr>
      </w:pPr>
    </w:p>
    <w:p w:rsidR="00090050" w:rsidRPr="00090050" w:rsidRDefault="00090050" w:rsidP="00090050">
      <w:pPr>
        <w:spacing w:after="0" w:line="210" w:lineRule="auto"/>
        <w:jc w:val="both"/>
        <w:rPr>
          <w:rFonts w:ascii="Cambria" w:eastAsia="Cambria" w:hAnsi="Cambria" w:cs="Arial"/>
          <w:szCs w:val="20"/>
          <w:lang w:val="ru-RU"/>
        </w:rPr>
      </w:pPr>
      <w:r w:rsidRPr="00090050">
        <w:rPr>
          <w:rFonts w:ascii="Cambria" w:eastAsia="Cambria" w:hAnsi="Cambria" w:cs="Arial"/>
          <w:szCs w:val="20"/>
          <w:lang w:val="ru-RU"/>
        </w:rPr>
        <w:t xml:space="preserve">де: </w:t>
      </w:r>
      <w:r w:rsidRPr="00090050">
        <w:rPr>
          <w:rFonts w:ascii="Cambria" w:eastAsia="Cambria" w:hAnsi="Cambria" w:cs="Arial"/>
          <w:szCs w:val="20"/>
        </w:rPr>
        <w:t>K</w:t>
      </w:r>
      <w:r w:rsidRPr="00090050">
        <w:rPr>
          <w:rFonts w:ascii="Cambria" w:eastAsia="Cambria" w:hAnsi="Cambria" w:cs="Arial"/>
          <w:szCs w:val="20"/>
          <w:lang w:val="ru-RU"/>
        </w:rPr>
        <w:t xml:space="preserve"> (</w:t>
      </w:r>
      <w:r w:rsidRPr="00090050">
        <w:rPr>
          <w:rFonts w:ascii="Cambria" w:eastAsia="Cambria" w:hAnsi="Cambria" w:cs="Arial"/>
          <w:szCs w:val="20"/>
        </w:rPr>
        <w:t>t</w:t>
      </w:r>
      <w:r w:rsidRPr="00090050">
        <w:rPr>
          <w:rFonts w:ascii="Cambria" w:eastAsia="Cambria" w:hAnsi="Cambria" w:cs="Arial"/>
          <w:szCs w:val="20"/>
          <w:lang w:val="ru-RU"/>
        </w:rPr>
        <w:t xml:space="preserve">) – кількість пацієнток, які вижили, з тих, які входять у модель у рік лікування </w:t>
      </w:r>
      <w:r w:rsidRPr="00090050">
        <w:rPr>
          <w:rFonts w:ascii="Cambria" w:eastAsia="Cambria" w:hAnsi="Cambria" w:cs="Arial"/>
          <w:szCs w:val="20"/>
        </w:rPr>
        <w:t>t</w:t>
      </w:r>
      <w:r w:rsidRPr="00090050">
        <w:rPr>
          <w:rFonts w:ascii="Cambria" w:eastAsia="Cambria" w:hAnsi="Cambria" w:cs="Arial"/>
          <w:szCs w:val="20"/>
          <w:lang w:val="ru-RU"/>
        </w:rPr>
        <w:t>;</w:t>
      </w:r>
    </w:p>
    <w:p w:rsidR="00090050" w:rsidRPr="00090050" w:rsidRDefault="00090050" w:rsidP="00090050">
      <w:pPr>
        <w:spacing w:after="0" w:line="17" w:lineRule="exact"/>
        <w:rPr>
          <w:rFonts w:ascii="Times New Roman" w:eastAsia="Times New Roman" w:hAnsi="Times New Roman" w:cs="Arial"/>
          <w:sz w:val="20"/>
          <w:szCs w:val="20"/>
          <w:lang w:val="ru-RU"/>
        </w:rPr>
      </w:pPr>
    </w:p>
    <w:p w:rsidR="00090050" w:rsidRPr="00090050" w:rsidRDefault="00090050" w:rsidP="00090050">
      <w:pPr>
        <w:spacing w:after="0" w:line="214" w:lineRule="auto"/>
        <w:jc w:val="both"/>
        <w:rPr>
          <w:rFonts w:ascii="Cambria" w:eastAsia="Cambria" w:hAnsi="Cambria" w:cs="Arial"/>
          <w:szCs w:val="20"/>
          <w:lang w:val="ru-RU"/>
        </w:rPr>
      </w:pPr>
      <w:r w:rsidRPr="00090050">
        <w:rPr>
          <w:rFonts w:ascii="Cambria" w:eastAsia="Cambria" w:hAnsi="Cambria" w:cs="Arial"/>
          <w:szCs w:val="20"/>
        </w:rPr>
        <w:t>K</w:t>
      </w:r>
      <w:r w:rsidRPr="00090050">
        <w:rPr>
          <w:rFonts w:ascii="Cambria" w:eastAsia="Cambria" w:hAnsi="Cambria" w:cs="Arial"/>
          <w:szCs w:val="20"/>
          <w:lang w:val="ru-RU"/>
        </w:rPr>
        <w:t>1 (</w:t>
      </w:r>
      <w:r w:rsidRPr="00090050">
        <w:rPr>
          <w:rFonts w:ascii="Cambria" w:eastAsia="Cambria" w:hAnsi="Cambria" w:cs="Arial"/>
          <w:szCs w:val="20"/>
        </w:rPr>
        <w:t>t</w:t>
      </w:r>
      <w:r w:rsidRPr="00090050">
        <w:rPr>
          <w:rFonts w:ascii="Cambria" w:eastAsia="Cambria" w:hAnsi="Cambria" w:cs="Arial"/>
          <w:szCs w:val="20"/>
          <w:lang w:val="ru-RU"/>
        </w:rPr>
        <w:t xml:space="preserve">), </w:t>
      </w:r>
      <w:r w:rsidRPr="00090050">
        <w:rPr>
          <w:rFonts w:ascii="Cambria" w:eastAsia="Cambria" w:hAnsi="Cambria" w:cs="Arial"/>
          <w:szCs w:val="20"/>
        </w:rPr>
        <w:t>K</w:t>
      </w:r>
      <w:r w:rsidRPr="00090050">
        <w:rPr>
          <w:rFonts w:ascii="Cambria" w:eastAsia="Cambria" w:hAnsi="Cambria" w:cs="Arial"/>
          <w:szCs w:val="20"/>
          <w:lang w:val="ru-RU"/>
        </w:rPr>
        <w:t>2 (</w:t>
      </w:r>
      <w:r w:rsidRPr="00090050">
        <w:rPr>
          <w:rFonts w:ascii="Cambria" w:eastAsia="Cambria" w:hAnsi="Cambria" w:cs="Arial"/>
          <w:szCs w:val="20"/>
        </w:rPr>
        <w:t>t</w:t>
      </w:r>
      <w:r w:rsidRPr="00090050">
        <w:rPr>
          <w:rFonts w:ascii="Cambria" w:eastAsia="Cambria" w:hAnsi="Cambria" w:cs="Arial"/>
          <w:szCs w:val="20"/>
          <w:lang w:val="ru-RU"/>
        </w:rPr>
        <w:t xml:space="preserve">), </w:t>
      </w:r>
      <w:r w:rsidRPr="00090050">
        <w:rPr>
          <w:rFonts w:ascii="Cambria" w:eastAsia="Cambria" w:hAnsi="Cambria" w:cs="Arial"/>
          <w:szCs w:val="20"/>
        </w:rPr>
        <w:t>K</w:t>
      </w:r>
      <w:r w:rsidRPr="00090050">
        <w:rPr>
          <w:rFonts w:ascii="Cambria" w:eastAsia="Cambria" w:hAnsi="Cambria" w:cs="Arial"/>
          <w:szCs w:val="20"/>
          <w:lang w:val="ru-RU"/>
        </w:rPr>
        <w:t>3 (</w:t>
      </w:r>
      <w:r w:rsidRPr="00090050">
        <w:rPr>
          <w:rFonts w:ascii="Cambria" w:eastAsia="Cambria" w:hAnsi="Cambria" w:cs="Arial"/>
          <w:szCs w:val="20"/>
        </w:rPr>
        <w:t>t</w:t>
      </w:r>
      <w:r w:rsidRPr="00090050">
        <w:rPr>
          <w:rFonts w:ascii="Cambria" w:eastAsia="Cambria" w:hAnsi="Cambria" w:cs="Arial"/>
          <w:szCs w:val="20"/>
          <w:lang w:val="ru-RU"/>
        </w:rPr>
        <w:t xml:space="preserve">), </w:t>
      </w:r>
      <w:r w:rsidRPr="00090050">
        <w:rPr>
          <w:rFonts w:ascii="Cambria" w:eastAsia="Cambria" w:hAnsi="Cambria" w:cs="Arial"/>
          <w:szCs w:val="20"/>
        </w:rPr>
        <w:t>K</w:t>
      </w:r>
      <w:r w:rsidRPr="00090050">
        <w:rPr>
          <w:rFonts w:ascii="Cambria" w:eastAsia="Cambria" w:hAnsi="Cambria" w:cs="Arial"/>
          <w:szCs w:val="20"/>
          <w:lang w:val="ru-RU"/>
        </w:rPr>
        <w:t>4 (</w:t>
      </w:r>
      <w:r w:rsidRPr="00090050">
        <w:rPr>
          <w:rFonts w:ascii="Cambria" w:eastAsia="Cambria" w:hAnsi="Cambria" w:cs="Arial"/>
          <w:szCs w:val="20"/>
        </w:rPr>
        <w:t>t</w:t>
      </w:r>
      <w:r w:rsidRPr="00090050">
        <w:rPr>
          <w:rFonts w:ascii="Cambria" w:eastAsia="Cambria" w:hAnsi="Cambria" w:cs="Arial"/>
          <w:szCs w:val="20"/>
          <w:lang w:val="ru-RU"/>
        </w:rPr>
        <w:t xml:space="preserve">) – кількість пацієнток, які вижили в станах «БОЗ», «місцевий рецидив», «регіональний рецидив», «метастаз» у рік ліку-вання </w:t>
      </w:r>
      <w:r w:rsidRPr="00090050">
        <w:rPr>
          <w:rFonts w:ascii="Cambria" w:eastAsia="Cambria" w:hAnsi="Cambria" w:cs="Arial"/>
          <w:szCs w:val="20"/>
        </w:rPr>
        <w:t>t</w:t>
      </w:r>
      <w:r w:rsidRPr="00090050">
        <w:rPr>
          <w:rFonts w:ascii="Cambria" w:eastAsia="Cambria" w:hAnsi="Cambria" w:cs="Arial"/>
          <w:szCs w:val="20"/>
          <w:lang w:val="ru-RU"/>
        </w:rPr>
        <w:t>.</w:t>
      </w:r>
    </w:p>
    <w:p w:rsidR="00090050" w:rsidRPr="00090050" w:rsidRDefault="00090050" w:rsidP="00090050">
      <w:pPr>
        <w:spacing w:after="0" w:line="16" w:lineRule="exact"/>
        <w:rPr>
          <w:rFonts w:ascii="Times New Roman" w:eastAsia="Times New Roman" w:hAnsi="Times New Roman" w:cs="Arial"/>
          <w:sz w:val="20"/>
          <w:szCs w:val="20"/>
          <w:lang w:val="ru-RU"/>
        </w:rPr>
      </w:pPr>
    </w:p>
    <w:p w:rsidR="00090050" w:rsidRPr="00090050" w:rsidRDefault="00090050" w:rsidP="00090050">
      <w:pPr>
        <w:numPr>
          <w:ilvl w:val="0"/>
          <w:numId w:val="2"/>
        </w:numPr>
        <w:tabs>
          <w:tab w:val="left" w:pos="528"/>
        </w:tabs>
        <w:spacing w:after="0" w:line="214" w:lineRule="auto"/>
        <w:jc w:val="both"/>
        <w:rPr>
          <w:rFonts w:ascii="Cambria" w:eastAsia="Cambria" w:hAnsi="Cambria" w:cs="Arial"/>
          <w:szCs w:val="20"/>
          <w:lang w:val="ru-RU"/>
        </w:rPr>
      </w:pPr>
      <w:r w:rsidRPr="00090050">
        <w:rPr>
          <w:rFonts w:ascii="Cambria" w:eastAsia="Cambria" w:hAnsi="Cambria" w:cs="Arial"/>
          <w:szCs w:val="20"/>
          <w:lang w:val="ru-RU"/>
        </w:rPr>
        <w:t xml:space="preserve">якості критерію корисності використову-вали показник якості життя </w:t>
      </w:r>
      <w:r w:rsidRPr="00090050">
        <w:rPr>
          <w:rFonts w:ascii="Cambria" w:eastAsia="Cambria" w:hAnsi="Cambria" w:cs="Arial"/>
          <w:szCs w:val="20"/>
        </w:rPr>
        <w:t>QALY</w:t>
      </w:r>
      <w:r w:rsidRPr="00090050">
        <w:rPr>
          <w:rFonts w:ascii="Cambria" w:eastAsia="Cambria" w:hAnsi="Cambria" w:cs="Arial"/>
          <w:szCs w:val="20"/>
          <w:lang w:val="ru-RU"/>
        </w:rPr>
        <w:t xml:space="preserve"> (</w:t>
      </w:r>
      <w:r w:rsidRPr="00090050">
        <w:rPr>
          <w:rFonts w:ascii="Cambria" w:eastAsia="Cambria" w:hAnsi="Cambria" w:cs="Arial"/>
          <w:szCs w:val="20"/>
        </w:rPr>
        <w:t>quality</w:t>
      </w:r>
      <w:r w:rsidRPr="00090050">
        <w:rPr>
          <w:rFonts w:ascii="Cambria" w:eastAsia="Cambria" w:hAnsi="Cambria" w:cs="Arial"/>
          <w:szCs w:val="20"/>
          <w:lang w:val="ru-RU"/>
        </w:rPr>
        <w:t xml:space="preserve"> </w:t>
      </w:r>
      <w:r w:rsidRPr="00090050">
        <w:rPr>
          <w:rFonts w:ascii="Cambria" w:eastAsia="Cambria" w:hAnsi="Cambria" w:cs="Arial"/>
          <w:szCs w:val="20"/>
        </w:rPr>
        <w:t>ad</w:t>
      </w:r>
      <w:r w:rsidRPr="00090050">
        <w:rPr>
          <w:rFonts w:ascii="Cambria" w:eastAsia="Cambria" w:hAnsi="Cambria" w:cs="Arial"/>
          <w:szCs w:val="20"/>
          <w:lang w:val="ru-RU"/>
        </w:rPr>
        <w:t>-</w:t>
      </w:r>
      <w:r w:rsidRPr="00090050">
        <w:rPr>
          <w:rFonts w:ascii="Cambria" w:eastAsia="Cambria" w:hAnsi="Cambria" w:cs="Arial"/>
          <w:szCs w:val="20"/>
        </w:rPr>
        <w:t>justed</w:t>
      </w:r>
      <w:r w:rsidRPr="00090050">
        <w:rPr>
          <w:rFonts w:ascii="Cambria" w:eastAsia="Cambria" w:hAnsi="Cambria" w:cs="Arial"/>
          <w:szCs w:val="20"/>
          <w:lang w:val="ru-RU"/>
        </w:rPr>
        <w:t xml:space="preserve"> </w:t>
      </w:r>
      <w:r w:rsidRPr="00090050">
        <w:rPr>
          <w:rFonts w:ascii="Cambria" w:eastAsia="Cambria" w:hAnsi="Cambria" w:cs="Arial"/>
          <w:szCs w:val="20"/>
        </w:rPr>
        <w:t>life</w:t>
      </w:r>
      <w:r w:rsidRPr="00090050">
        <w:rPr>
          <w:rFonts w:ascii="Cambria" w:eastAsia="Cambria" w:hAnsi="Cambria" w:cs="Arial"/>
          <w:szCs w:val="20"/>
          <w:lang w:val="ru-RU"/>
        </w:rPr>
        <w:t xml:space="preserve"> </w:t>
      </w:r>
      <w:r w:rsidRPr="00090050">
        <w:rPr>
          <w:rFonts w:ascii="Cambria" w:eastAsia="Cambria" w:hAnsi="Cambria" w:cs="Arial"/>
          <w:szCs w:val="20"/>
        </w:rPr>
        <w:t>years</w:t>
      </w:r>
      <w:r w:rsidRPr="00090050">
        <w:rPr>
          <w:rFonts w:ascii="Cambria" w:eastAsia="Cambria" w:hAnsi="Cambria" w:cs="Arial"/>
          <w:szCs w:val="20"/>
          <w:lang w:val="ru-RU"/>
        </w:rPr>
        <w:t>). Коефіцієнт якості життя паці-єнток у різних станах здоров’я визначався на підставі опублікованих даних [18, 19].</w:t>
      </w:r>
    </w:p>
    <w:p w:rsidR="00090050" w:rsidRPr="00090050" w:rsidRDefault="00090050" w:rsidP="00090050">
      <w:pPr>
        <w:spacing w:after="0" w:line="20" w:lineRule="exact"/>
        <w:rPr>
          <w:rFonts w:ascii="Cambria" w:eastAsia="Cambria" w:hAnsi="Cambria" w:cs="Arial"/>
          <w:szCs w:val="20"/>
          <w:lang w:val="ru-RU"/>
        </w:rPr>
      </w:pPr>
    </w:p>
    <w:p w:rsidR="00090050" w:rsidRPr="00090050" w:rsidRDefault="00090050" w:rsidP="00090050">
      <w:pPr>
        <w:spacing w:after="0" w:line="236" w:lineRule="auto"/>
        <w:jc w:val="both"/>
        <w:rPr>
          <w:rFonts w:ascii="Cambria" w:eastAsia="Cambria" w:hAnsi="Cambria" w:cs="Arial"/>
          <w:sz w:val="20"/>
          <w:szCs w:val="20"/>
          <w:lang w:val="ru-RU"/>
        </w:rPr>
      </w:pPr>
      <w:r w:rsidRPr="00090050">
        <w:rPr>
          <w:rFonts w:ascii="Cambria" w:eastAsia="Cambria" w:hAnsi="Cambria" w:cs="Arial"/>
          <w:sz w:val="20"/>
          <w:szCs w:val="20"/>
          <w:lang w:val="ru-RU"/>
        </w:rPr>
        <w:t>При розрахунках витрат враховували вар-тість прямих медичних витрат, структура яких була визначена відповідно до чинного Протоко-лу [1]. Вартість ЛП визначалась згідно з реєстром МОЗУ станом на 7.08.2019 р. Серед ЛП, що міс-тять тотожну діючу речовину, за допомогою фар-</w:t>
      </w:r>
    </w:p>
    <w:p w:rsidR="00090050" w:rsidRPr="00090050" w:rsidRDefault="00090050" w:rsidP="00090050">
      <w:pPr>
        <w:spacing w:after="0" w:line="270" w:lineRule="exact"/>
        <w:rPr>
          <w:rFonts w:ascii="Times New Roman" w:eastAsia="Times New Roman" w:hAnsi="Times New Roman" w:cs="Arial"/>
          <w:sz w:val="20"/>
          <w:szCs w:val="20"/>
          <w:lang w:val="ru-RU"/>
        </w:rPr>
      </w:pPr>
      <w:r w:rsidRPr="00090050">
        <w:rPr>
          <w:rFonts w:ascii="Cambria" w:eastAsia="Cambria" w:hAnsi="Cambria" w:cs="Arial"/>
          <w:sz w:val="20"/>
          <w:szCs w:val="20"/>
          <w:lang w:val="ru-RU"/>
        </w:rPr>
        <w:br w:type="column"/>
      </w:r>
    </w:p>
    <w:p w:rsidR="00090050" w:rsidRPr="00090050" w:rsidRDefault="00090050" w:rsidP="00090050">
      <w:pPr>
        <w:spacing w:after="0" w:line="227" w:lineRule="auto"/>
        <w:jc w:val="both"/>
        <w:rPr>
          <w:rFonts w:ascii="Cambria" w:eastAsia="Cambria" w:hAnsi="Cambria" w:cs="Arial"/>
          <w:sz w:val="21"/>
          <w:szCs w:val="20"/>
          <w:lang w:val="ru-RU"/>
        </w:rPr>
      </w:pPr>
      <w:r w:rsidRPr="00090050">
        <w:rPr>
          <w:rFonts w:ascii="Cambria" w:eastAsia="Cambria" w:hAnsi="Cambria" w:cs="Arial"/>
          <w:sz w:val="21"/>
          <w:szCs w:val="20"/>
          <w:lang w:val="ru-RU"/>
        </w:rPr>
        <w:t>макоекономічного методу «мінімізації витрат» визначалися найдешевші ліки. Вартість медич-них послуг визначалася як найменша ціна відпо-відних процедур згідно з прейскурантами плат-них медичних послуг, доступних у відкритому доступі [20, 21]. Витрати на корекцію побічних явищ ХТ також брали до уваги. Частота небажа-них побічних явищ, що потребують лікування (ІІІ-</w:t>
      </w:r>
      <w:r w:rsidRPr="00090050">
        <w:rPr>
          <w:rFonts w:ascii="Cambria" w:eastAsia="Cambria" w:hAnsi="Cambria" w:cs="Arial"/>
          <w:sz w:val="21"/>
          <w:szCs w:val="20"/>
        </w:rPr>
        <w:t>IV</w:t>
      </w:r>
      <w:r w:rsidRPr="00090050">
        <w:rPr>
          <w:rFonts w:ascii="Cambria" w:eastAsia="Cambria" w:hAnsi="Cambria" w:cs="Arial"/>
          <w:sz w:val="21"/>
          <w:szCs w:val="20"/>
          <w:lang w:val="ru-RU"/>
        </w:rPr>
        <w:t xml:space="preserve"> ступеня), для альтернативних схем визна-чалась відповідно до опублікованих даних РКД [9, 22]. Відповідно до міжнародних рекоменда-цій при розрахунках загальних витрат засто-совували дисконтування на рівні 3 % щорічно. Аналіз чутливості результатів проведено до змі-ни ціни лікарських препаратів, що входять в аль-тернативні схеми ад’ювантної терапії ранніх ста-дій РМЗ, і до зміни ціни на трастузумаб.</w:t>
      </w:r>
    </w:p>
    <w:p w:rsidR="00090050" w:rsidRPr="00090050" w:rsidRDefault="00090050" w:rsidP="00090050">
      <w:pPr>
        <w:spacing w:after="0" w:line="94" w:lineRule="exact"/>
        <w:rPr>
          <w:rFonts w:ascii="Times New Roman" w:eastAsia="Times New Roman" w:hAnsi="Times New Roman" w:cs="Arial"/>
          <w:sz w:val="20"/>
          <w:szCs w:val="20"/>
          <w:lang w:val="ru-RU"/>
        </w:rPr>
      </w:pPr>
    </w:p>
    <w:p w:rsidR="00090050" w:rsidRPr="00090050" w:rsidRDefault="00090050" w:rsidP="00090050">
      <w:pPr>
        <w:spacing w:after="0" w:line="0" w:lineRule="atLeast"/>
        <w:rPr>
          <w:rFonts w:ascii="Cambria" w:eastAsia="Cambria" w:hAnsi="Cambria" w:cs="Arial"/>
          <w:b/>
          <w:szCs w:val="20"/>
          <w:lang w:val="ru-RU"/>
        </w:rPr>
      </w:pPr>
      <w:r w:rsidRPr="00090050">
        <w:rPr>
          <w:rFonts w:ascii="Cambria" w:eastAsia="Cambria" w:hAnsi="Cambria" w:cs="Arial"/>
          <w:b/>
          <w:szCs w:val="20"/>
          <w:lang w:val="ru-RU"/>
        </w:rPr>
        <w:t>Результати та їх обговорення</w:t>
      </w:r>
    </w:p>
    <w:p w:rsidR="00090050" w:rsidRPr="00090050" w:rsidRDefault="00090050" w:rsidP="00090050">
      <w:pPr>
        <w:spacing w:after="0" w:line="128" w:lineRule="exact"/>
        <w:rPr>
          <w:rFonts w:ascii="Times New Roman" w:eastAsia="Times New Roman" w:hAnsi="Times New Roman" w:cs="Arial"/>
          <w:sz w:val="20"/>
          <w:szCs w:val="20"/>
          <w:lang w:val="ru-RU"/>
        </w:rPr>
      </w:pPr>
    </w:p>
    <w:p w:rsidR="00090050" w:rsidRPr="00090050" w:rsidRDefault="00090050" w:rsidP="00090050">
      <w:pPr>
        <w:spacing w:after="0" w:line="237" w:lineRule="auto"/>
        <w:jc w:val="both"/>
        <w:rPr>
          <w:rFonts w:ascii="Cambria" w:eastAsia="Cambria" w:hAnsi="Cambria" w:cs="Arial"/>
          <w:sz w:val="20"/>
          <w:szCs w:val="20"/>
          <w:lang w:val="ru-RU"/>
        </w:rPr>
      </w:pPr>
      <w:r w:rsidRPr="00090050">
        <w:rPr>
          <w:rFonts w:ascii="Cambria" w:eastAsia="Cambria" w:hAnsi="Cambria" w:cs="Arial"/>
          <w:sz w:val="20"/>
          <w:szCs w:val="20"/>
          <w:lang w:val="ru-RU"/>
        </w:rPr>
        <w:t xml:space="preserve">Результати Марківського моделювання по-казали наступне. Середня очікувана тривалість життя пацієнток з </w:t>
      </w:r>
      <w:r w:rsidRPr="00090050">
        <w:rPr>
          <w:rFonts w:ascii="Cambria" w:eastAsia="Cambria" w:hAnsi="Cambria" w:cs="Arial"/>
          <w:sz w:val="20"/>
          <w:szCs w:val="20"/>
        </w:rPr>
        <w:t>HER</w:t>
      </w:r>
      <w:r w:rsidRPr="00090050">
        <w:rPr>
          <w:rFonts w:ascii="Cambria" w:eastAsia="Cambria" w:hAnsi="Cambria" w:cs="Arial"/>
          <w:sz w:val="20"/>
          <w:szCs w:val="20"/>
          <w:lang w:val="ru-RU"/>
        </w:rPr>
        <w:t xml:space="preserve">2+ РМЗ у групі хворих, які отримують ад’ювантну терапію трастузума-бом, становить 7,32 років у порівнянні з показ-ником 6,43 років у групі стандартної ХТ. Тобто, ад’ювантна терапія трастузумабом забезпечує додатково 0,89 </w:t>
      </w:r>
      <w:r w:rsidRPr="00090050">
        <w:rPr>
          <w:rFonts w:ascii="Cambria" w:eastAsia="Cambria" w:hAnsi="Cambria" w:cs="Arial"/>
          <w:sz w:val="20"/>
          <w:szCs w:val="20"/>
        </w:rPr>
        <w:t>LYG</w:t>
      </w:r>
      <w:r w:rsidRPr="00090050">
        <w:rPr>
          <w:rFonts w:ascii="Cambria" w:eastAsia="Cambria" w:hAnsi="Cambria" w:cs="Arial"/>
          <w:sz w:val="20"/>
          <w:szCs w:val="20"/>
          <w:lang w:val="ru-RU"/>
        </w:rPr>
        <w:t xml:space="preserve">. Впродовж аналізованого пе-ріоду пацієнтки з групи трастузумабу в середньо-му отримують 6,72 </w:t>
      </w:r>
      <w:r w:rsidRPr="00090050">
        <w:rPr>
          <w:rFonts w:ascii="Cambria" w:eastAsia="Cambria" w:hAnsi="Cambria" w:cs="Arial"/>
          <w:sz w:val="20"/>
          <w:szCs w:val="20"/>
        </w:rPr>
        <w:t>QALY</w:t>
      </w:r>
      <w:r w:rsidRPr="00090050">
        <w:rPr>
          <w:rFonts w:ascii="Cambria" w:eastAsia="Cambria" w:hAnsi="Cambria" w:cs="Arial"/>
          <w:sz w:val="20"/>
          <w:szCs w:val="20"/>
          <w:lang w:val="ru-RU"/>
        </w:rPr>
        <w:t xml:space="preserve"> у порівнянні з 5,80 </w:t>
      </w:r>
      <w:r w:rsidRPr="00090050">
        <w:rPr>
          <w:rFonts w:ascii="Cambria" w:eastAsia="Cambria" w:hAnsi="Cambria" w:cs="Arial"/>
          <w:sz w:val="20"/>
          <w:szCs w:val="20"/>
        </w:rPr>
        <w:t>QALY</w:t>
      </w:r>
    </w:p>
    <w:p w:rsidR="00090050" w:rsidRPr="00090050" w:rsidRDefault="00090050" w:rsidP="00090050">
      <w:pPr>
        <w:spacing w:after="0" w:line="25" w:lineRule="exact"/>
        <w:rPr>
          <w:rFonts w:ascii="Times New Roman" w:eastAsia="Times New Roman" w:hAnsi="Times New Roman" w:cs="Arial"/>
          <w:sz w:val="20"/>
          <w:szCs w:val="20"/>
          <w:lang w:val="ru-RU"/>
        </w:rPr>
      </w:pPr>
    </w:p>
    <w:p w:rsidR="00090050" w:rsidRPr="00090050" w:rsidRDefault="00090050" w:rsidP="00090050">
      <w:pPr>
        <w:numPr>
          <w:ilvl w:val="0"/>
          <w:numId w:val="3"/>
        </w:numPr>
        <w:tabs>
          <w:tab w:val="left" w:pos="154"/>
        </w:tabs>
        <w:spacing w:after="0" w:line="220" w:lineRule="auto"/>
        <w:jc w:val="both"/>
        <w:rPr>
          <w:rFonts w:ascii="Cambria" w:eastAsia="Cambria" w:hAnsi="Cambria" w:cs="Arial"/>
          <w:sz w:val="21"/>
          <w:szCs w:val="20"/>
          <w:lang w:val="ru-RU"/>
        </w:rPr>
      </w:pPr>
      <w:r w:rsidRPr="00090050">
        <w:rPr>
          <w:rFonts w:ascii="Cambria" w:eastAsia="Cambria" w:hAnsi="Cambria" w:cs="Arial"/>
          <w:sz w:val="21"/>
          <w:szCs w:val="20"/>
          <w:lang w:val="ru-RU"/>
        </w:rPr>
        <w:t xml:space="preserve">групі стандартної ХТ, тобто ад’ювантна терапія трастузумабом забезпечує додатково 0,92 </w:t>
      </w:r>
      <w:r w:rsidRPr="00090050">
        <w:rPr>
          <w:rFonts w:ascii="Cambria" w:eastAsia="Cambria" w:hAnsi="Cambria" w:cs="Arial"/>
          <w:sz w:val="21"/>
          <w:szCs w:val="20"/>
        </w:rPr>
        <w:t>QALY</w:t>
      </w:r>
      <w:r w:rsidRPr="00090050">
        <w:rPr>
          <w:rFonts w:ascii="Cambria" w:eastAsia="Cambria" w:hAnsi="Cambria" w:cs="Arial"/>
          <w:sz w:val="21"/>
          <w:szCs w:val="20"/>
          <w:lang w:val="ru-RU"/>
        </w:rPr>
        <w:t>.</w:t>
      </w:r>
    </w:p>
    <w:p w:rsidR="00090050" w:rsidRPr="00090050" w:rsidRDefault="00090050" w:rsidP="00090050">
      <w:pPr>
        <w:spacing w:after="0" w:line="16" w:lineRule="exact"/>
        <w:rPr>
          <w:rFonts w:ascii="Cambria" w:eastAsia="Cambria" w:hAnsi="Cambria" w:cs="Arial"/>
          <w:sz w:val="21"/>
          <w:szCs w:val="20"/>
          <w:lang w:val="ru-RU"/>
        </w:rPr>
      </w:pPr>
    </w:p>
    <w:p w:rsidR="00090050" w:rsidRPr="00090050" w:rsidRDefault="00090050" w:rsidP="00090050">
      <w:pPr>
        <w:spacing w:after="0" w:line="238" w:lineRule="auto"/>
        <w:jc w:val="both"/>
        <w:rPr>
          <w:rFonts w:ascii="Cambria" w:eastAsia="Cambria" w:hAnsi="Cambria" w:cs="Arial"/>
          <w:sz w:val="20"/>
          <w:szCs w:val="20"/>
          <w:lang w:val="ru-RU"/>
        </w:rPr>
      </w:pPr>
      <w:r w:rsidRPr="00090050">
        <w:rPr>
          <w:rFonts w:ascii="Cambria" w:eastAsia="Cambria" w:hAnsi="Cambria" w:cs="Arial"/>
          <w:sz w:val="20"/>
          <w:szCs w:val="20"/>
          <w:lang w:val="ru-RU"/>
        </w:rPr>
        <w:t>Позитивна різниця між показниками ефек-тивності (</w:t>
      </w:r>
      <w:r w:rsidRPr="00090050">
        <w:rPr>
          <w:rFonts w:ascii="Cambria" w:eastAsia="Cambria" w:hAnsi="Cambria" w:cs="Arial"/>
          <w:sz w:val="20"/>
          <w:szCs w:val="20"/>
        </w:rPr>
        <w:t>LYG</w:t>
      </w:r>
      <w:r w:rsidRPr="00090050">
        <w:rPr>
          <w:rFonts w:ascii="Cambria" w:eastAsia="Cambria" w:hAnsi="Cambria" w:cs="Arial"/>
          <w:sz w:val="20"/>
          <w:szCs w:val="20"/>
          <w:lang w:val="ru-RU"/>
        </w:rPr>
        <w:t>) та корисності (</w:t>
      </w:r>
      <w:r w:rsidRPr="00090050">
        <w:rPr>
          <w:rFonts w:ascii="Cambria" w:eastAsia="Cambria" w:hAnsi="Cambria" w:cs="Arial"/>
          <w:sz w:val="20"/>
          <w:szCs w:val="20"/>
        </w:rPr>
        <w:t>QALY</w:t>
      </w:r>
      <w:r w:rsidRPr="00090050">
        <w:rPr>
          <w:rFonts w:ascii="Cambria" w:eastAsia="Cambria" w:hAnsi="Cambria" w:cs="Arial"/>
          <w:sz w:val="20"/>
          <w:szCs w:val="20"/>
          <w:lang w:val="ru-RU"/>
        </w:rPr>
        <w:t>) у групі па-цієнток, які отримують ад’ювантну терапію з трастузумабом у порівнянні зі стандартними схе-мами ХТ, пояснюється доведеним позитивним впливом трастузумабу на такий важливий клі-нічний показник, як відповідь пухлини на хіміо-терапію, що супроводжується збільшенням по-казників загальної виживаності (</w:t>
      </w:r>
      <w:r w:rsidRPr="00090050">
        <w:rPr>
          <w:rFonts w:ascii="Cambria" w:eastAsia="Cambria" w:hAnsi="Cambria" w:cs="Arial"/>
          <w:sz w:val="20"/>
          <w:szCs w:val="20"/>
        </w:rPr>
        <w:t>OS</w:t>
      </w:r>
      <w:r w:rsidRPr="00090050">
        <w:rPr>
          <w:rFonts w:ascii="Cambria" w:eastAsia="Cambria" w:hAnsi="Cambria" w:cs="Arial"/>
          <w:sz w:val="20"/>
          <w:szCs w:val="20"/>
          <w:lang w:val="ru-RU"/>
        </w:rPr>
        <w:t>) та вижива-ності без ознак захворювання (</w:t>
      </w:r>
      <w:r w:rsidRPr="00090050">
        <w:rPr>
          <w:rFonts w:ascii="Cambria" w:eastAsia="Cambria" w:hAnsi="Cambria" w:cs="Arial"/>
          <w:sz w:val="20"/>
          <w:szCs w:val="20"/>
        </w:rPr>
        <w:t>DFS</w:t>
      </w:r>
      <w:r w:rsidRPr="00090050">
        <w:rPr>
          <w:rFonts w:ascii="Cambria" w:eastAsia="Cambria" w:hAnsi="Cambria" w:cs="Arial"/>
          <w:sz w:val="20"/>
          <w:szCs w:val="20"/>
          <w:lang w:val="ru-RU"/>
        </w:rPr>
        <w:t>) [4, 9]. Досто-вірно кращі результати щодо гальмування пух-линного процесу безпосередньо після ад’ювант-ної терапії трастузумабом сприяють зменшен-ню ризику рецидивів, метастазів та, відповід-но, зменшують смертність, подовжують трива-лість життя пацієнтів з РМЗ і сприяють підви-щенню її якості.</w:t>
      </w:r>
    </w:p>
    <w:p w:rsidR="00090050" w:rsidRPr="00090050" w:rsidRDefault="00090050" w:rsidP="00090050">
      <w:pPr>
        <w:spacing w:after="0" w:line="25" w:lineRule="exact"/>
        <w:rPr>
          <w:rFonts w:ascii="Cambria" w:eastAsia="Cambria" w:hAnsi="Cambria" w:cs="Arial"/>
          <w:sz w:val="21"/>
          <w:szCs w:val="20"/>
          <w:lang w:val="ru-RU"/>
        </w:rPr>
      </w:pPr>
    </w:p>
    <w:p w:rsidR="00090050" w:rsidRPr="00090050" w:rsidRDefault="00090050" w:rsidP="00090050">
      <w:pPr>
        <w:spacing w:after="0" w:line="236" w:lineRule="auto"/>
        <w:jc w:val="both"/>
        <w:rPr>
          <w:rFonts w:ascii="Cambria" w:eastAsia="Cambria" w:hAnsi="Cambria" w:cs="Arial"/>
          <w:sz w:val="20"/>
          <w:szCs w:val="20"/>
          <w:lang w:val="ru-RU"/>
        </w:rPr>
      </w:pPr>
      <w:r w:rsidRPr="00090050">
        <w:rPr>
          <w:rFonts w:ascii="Cambria" w:eastAsia="Cambria" w:hAnsi="Cambria" w:cs="Arial"/>
          <w:sz w:val="20"/>
          <w:szCs w:val="20"/>
          <w:lang w:val="ru-RU"/>
        </w:rPr>
        <w:t>При розрахунках витрат з урахуванням ча-сового горизонту моделі 10 років загальні витра-тизавесьперіодугрупітрастузумабусклаливсе-редньому 627115,5 грн на одну пацієнтку. В групі стандартної ХТ – 501939,6 грн на одну пацієнтку.</w:t>
      </w:r>
    </w:p>
    <w:p w:rsidR="00090050" w:rsidRPr="00090050" w:rsidRDefault="00090050" w:rsidP="00090050">
      <w:pPr>
        <w:spacing w:after="0" w:line="17" w:lineRule="exact"/>
        <w:rPr>
          <w:rFonts w:ascii="Cambria" w:eastAsia="Cambria" w:hAnsi="Cambria" w:cs="Arial"/>
          <w:sz w:val="21"/>
          <w:szCs w:val="20"/>
          <w:lang w:val="ru-RU"/>
        </w:rPr>
      </w:pPr>
    </w:p>
    <w:p w:rsidR="00090050" w:rsidRPr="00090050" w:rsidRDefault="00090050" w:rsidP="00090050">
      <w:pPr>
        <w:spacing w:after="0" w:line="229" w:lineRule="auto"/>
        <w:jc w:val="both"/>
        <w:rPr>
          <w:rFonts w:ascii="Cambria" w:eastAsia="Cambria" w:hAnsi="Cambria" w:cs="Arial"/>
          <w:sz w:val="21"/>
          <w:szCs w:val="20"/>
          <w:lang w:val="ru-RU"/>
        </w:rPr>
      </w:pPr>
      <w:r w:rsidRPr="00090050">
        <w:rPr>
          <w:rFonts w:ascii="Cambria" w:eastAsia="Cambria" w:hAnsi="Cambria" w:cs="Arial"/>
          <w:sz w:val="21"/>
          <w:szCs w:val="20"/>
          <w:lang w:val="ru-RU"/>
        </w:rPr>
        <w:t>Висока вартість курсу ад’ювантної терапії з використанням трастузумабу в порівнянні зі стандартною ад’ювантною хіміотерапією РМЗ в подальшому компенсується за рахунок суттє-вого зменшення витрат на другу лінію ХТ та під-тримуючу терапію в термінальній стадії захво-рювання. Це пов’язано зі значно меншою кіль-</w:t>
      </w:r>
    </w:p>
    <w:p w:rsidR="00090050" w:rsidRPr="00090050" w:rsidRDefault="00090050" w:rsidP="00090050">
      <w:pPr>
        <w:spacing w:after="0" w:line="229" w:lineRule="auto"/>
        <w:jc w:val="both"/>
        <w:rPr>
          <w:rFonts w:ascii="Cambria" w:eastAsia="Cambria" w:hAnsi="Cambria" w:cs="Arial"/>
          <w:sz w:val="21"/>
          <w:szCs w:val="20"/>
          <w:lang w:val="ru-RU"/>
        </w:rPr>
        <w:sectPr w:rsidR="00090050" w:rsidRPr="00090050">
          <w:type w:val="continuous"/>
          <w:pgSz w:w="11900" w:h="16838"/>
          <w:pgMar w:top="987" w:right="1186" w:bottom="703" w:left="1020" w:header="0" w:footer="0" w:gutter="0"/>
          <w:cols w:num="2" w:space="0" w:equalWidth="0">
            <w:col w:w="4700" w:space="280"/>
            <w:col w:w="4720"/>
          </w:cols>
          <w:docGrid w:linePitch="360"/>
        </w:sectPr>
      </w:pPr>
    </w:p>
    <w:p w:rsidR="00090050" w:rsidRPr="00090050" w:rsidRDefault="00090050" w:rsidP="00090050">
      <w:pPr>
        <w:tabs>
          <w:tab w:val="left" w:pos="2660"/>
          <w:tab w:val="left" w:pos="7420"/>
          <w:tab w:val="left" w:pos="9440"/>
        </w:tabs>
        <w:spacing w:after="0" w:line="0" w:lineRule="atLeast"/>
        <w:rPr>
          <w:rFonts w:ascii="Century Gothic" w:eastAsia="Century Gothic" w:hAnsi="Century Gothic" w:cs="Arial"/>
          <w:sz w:val="19"/>
          <w:szCs w:val="20"/>
        </w:rPr>
      </w:pPr>
      <w:bookmarkStart w:id="4" w:name="page49"/>
      <w:bookmarkEnd w:id="4"/>
      <w:r w:rsidRPr="00090050">
        <w:rPr>
          <w:rFonts w:ascii="Century Gothic" w:eastAsia="Century Gothic" w:hAnsi="Century Gothic" w:cs="Arial"/>
          <w:sz w:val="16"/>
          <w:szCs w:val="20"/>
        </w:rPr>
        <w:lastRenderedPageBreak/>
        <w:t>ISSN 1562-725X (Print)</w:t>
      </w:r>
      <w:r w:rsidRPr="00090050">
        <w:rPr>
          <w:rFonts w:ascii="Times New Roman" w:eastAsia="Times New Roman" w:hAnsi="Times New Roman" w:cs="Arial"/>
          <w:sz w:val="20"/>
          <w:szCs w:val="20"/>
        </w:rPr>
        <w:tab/>
      </w:r>
      <w:r w:rsidRPr="00090050">
        <w:rPr>
          <w:rFonts w:ascii="Century Gothic" w:eastAsia="Century Gothic" w:hAnsi="Century Gothic" w:cs="Arial"/>
          <w:sz w:val="20"/>
          <w:szCs w:val="20"/>
        </w:rPr>
        <w:t>CLINICAL PHARMACY. – 2019. – Vol. 23, No. 4</w:t>
      </w:r>
      <w:r w:rsidRPr="00090050">
        <w:rPr>
          <w:rFonts w:ascii="Times New Roman" w:eastAsia="Times New Roman" w:hAnsi="Times New Roman" w:cs="Arial"/>
          <w:sz w:val="20"/>
          <w:szCs w:val="20"/>
        </w:rPr>
        <w:tab/>
      </w:r>
      <w:r w:rsidRPr="00090050">
        <w:rPr>
          <w:rFonts w:ascii="Century Gothic" w:eastAsia="Century Gothic" w:hAnsi="Century Gothic" w:cs="Arial"/>
          <w:sz w:val="16"/>
          <w:szCs w:val="20"/>
        </w:rPr>
        <w:t>ISSN 2518-1572 (Online)</w:t>
      </w:r>
      <w:r w:rsidRPr="00090050">
        <w:rPr>
          <w:rFonts w:ascii="Times New Roman" w:eastAsia="Times New Roman" w:hAnsi="Times New Roman" w:cs="Arial"/>
          <w:sz w:val="20"/>
          <w:szCs w:val="20"/>
        </w:rPr>
        <w:tab/>
      </w:r>
      <w:r w:rsidRPr="00090050">
        <w:rPr>
          <w:rFonts w:ascii="Century Gothic" w:eastAsia="Century Gothic" w:hAnsi="Century Gothic" w:cs="Arial"/>
          <w:sz w:val="19"/>
          <w:szCs w:val="20"/>
        </w:rPr>
        <w:t>49</w:t>
      </w:r>
    </w:p>
    <w:p w:rsidR="00090050" w:rsidRPr="00090050" w:rsidRDefault="00090050" w:rsidP="00090050">
      <w:pPr>
        <w:spacing w:after="0" w:line="20" w:lineRule="exact"/>
        <w:rPr>
          <w:rFonts w:ascii="Times New Roman" w:eastAsia="Times New Roman" w:hAnsi="Times New Roman" w:cs="Arial"/>
          <w:sz w:val="20"/>
          <w:szCs w:val="20"/>
        </w:rPr>
      </w:pPr>
      <w:r w:rsidRPr="00090050">
        <w:rPr>
          <w:rFonts w:ascii="Century Gothic" w:eastAsia="Century Gothic" w:hAnsi="Century Gothic" w:cs="Arial"/>
          <w:noProof/>
          <w:sz w:val="19"/>
          <w:szCs w:val="20"/>
        </w:rPr>
        <w:drawing>
          <wp:anchor distT="0" distB="0" distL="114300" distR="114300" simplePos="0" relativeHeight="251662336" behindDoc="1" locked="0" layoutInCell="1" allowOverlap="1">
            <wp:simplePos x="0" y="0"/>
            <wp:positionH relativeFrom="column">
              <wp:posOffset>-5080</wp:posOffset>
            </wp:positionH>
            <wp:positionV relativeFrom="paragraph">
              <wp:posOffset>3810</wp:posOffset>
            </wp:positionV>
            <wp:extent cx="6155690" cy="12700"/>
            <wp:effectExtent l="0" t="0" r="0"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5690" cy="12700"/>
                    </a:xfrm>
                    <a:prstGeom prst="rect">
                      <a:avLst/>
                    </a:prstGeom>
                    <a:noFill/>
                  </pic:spPr>
                </pic:pic>
              </a:graphicData>
            </a:graphic>
            <wp14:sizeRelH relativeFrom="page">
              <wp14:pctWidth>0</wp14:pctWidth>
            </wp14:sizeRelH>
            <wp14:sizeRelV relativeFrom="page">
              <wp14:pctHeight>0</wp14:pctHeight>
            </wp14:sizeRelV>
          </wp:anchor>
        </w:drawing>
      </w:r>
    </w:p>
    <w:p w:rsidR="00090050" w:rsidRPr="00090050" w:rsidRDefault="00090050" w:rsidP="00090050">
      <w:pPr>
        <w:spacing w:after="0" w:line="210" w:lineRule="exact"/>
        <w:rPr>
          <w:rFonts w:ascii="Times New Roman" w:eastAsia="Times New Roman" w:hAnsi="Times New Roman" w:cs="Arial"/>
          <w:sz w:val="20"/>
          <w:szCs w:val="20"/>
        </w:rPr>
      </w:pPr>
    </w:p>
    <w:p w:rsidR="00090050" w:rsidRPr="00090050" w:rsidRDefault="00090050" w:rsidP="00090050">
      <w:pPr>
        <w:spacing w:after="0" w:line="0" w:lineRule="atLeast"/>
        <w:rPr>
          <w:rFonts w:ascii="Cambria" w:eastAsia="Cambria" w:hAnsi="Cambria" w:cs="Arial"/>
          <w:sz w:val="21"/>
          <w:szCs w:val="20"/>
          <w:lang w:val="ru-RU"/>
        </w:rPr>
      </w:pPr>
      <w:r w:rsidRPr="00090050">
        <w:rPr>
          <w:rFonts w:ascii="Cambria" w:eastAsia="Cambria" w:hAnsi="Cambria" w:cs="Arial"/>
          <w:sz w:val="21"/>
          <w:szCs w:val="20"/>
          <w:lang w:val="ru-RU"/>
        </w:rPr>
        <w:t>Таблиця 1</w:t>
      </w:r>
    </w:p>
    <w:p w:rsidR="00090050" w:rsidRPr="00090050" w:rsidRDefault="00090050" w:rsidP="00090050">
      <w:pPr>
        <w:spacing w:after="0" w:line="22" w:lineRule="exact"/>
        <w:rPr>
          <w:rFonts w:ascii="Times New Roman" w:eastAsia="Times New Roman" w:hAnsi="Times New Roman" w:cs="Arial"/>
          <w:sz w:val="20"/>
          <w:szCs w:val="20"/>
          <w:lang w:val="ru-RU"/>
        </w:rPr>
      </w:pPr>
    </w:p>
    <w:p w:rsidR="00090050" w:rsidRPr="00090050" w:rsidRDefault="00090050" w:rsidP="00090050">
      <w:pPr>
        <w:spacing w:after="0" w:line="0" w:lineRule="atLeast"/>
        <w:rPr>
          <w:rFonts w:ascii="Cambria" w:eastAsia="Cambria" w:hAnsi="Cambria" w:cs="Arial"/>
          <w:b/>
          <w:szCs w:val="20"/>
          <w:lang w:val="ru-RU"/>
        </w:rPr>
      </w:pPr>
      <w:r w:rsidRPr="00090050">
        <w:rPr>
          <w:rFonts w:ascii="Cambria" w:eastAsia="Cambria" w:hAnsi="Cambria" w:cs="Arial"/>
          <w:b/>
          <w:szCs w:val="20"/>
          <w:lang w:val="ru-RU"/>
        </w:rPr>
        <w:t xml:space="preserve">Середні витрати на лікування пацієнток з </w:t>
      </w:r>
      <w:r w:rsidRPr="00090050">
        <w:rPr>
          <w:rFonts w:ascii="Cambria" w:eastAsia="Cambria" w:hAnsi="Cambria" w:cs="Arial"/>
          <w:b/>
          <w:szCs w:val="20"/>
        </w:rPr>
        <w:t>HER</w:t>
      </w:r>
      <w:r w:rsidRPr="00090050">
        <w:rPr>
          <w:rFonts w:ascii="Cambria" w:eastAsia="Cambria" w:hAnsi="Cambria" w:cs="Arial"/>
          <w:b/>
          <w:szCs w:val="20"/>
          <w:lang w:val="ru-RU"/>
        </w:rPr>
        <w:t>2+ раком молочної залози</w:t>
      </w:r>
    </w:p>
    <w:p w:rsidR="00090050" w:rsidRPr="00090050" w:rsidRDefault="00090050" w:rsidP="00090050">
      <w:pPr>
        <w:spacing w:after="0" w:line="0" w:lineRule="atLeast"/>
        <w:jc w:val="center"/>
        <w:rPr>
          <w:rFonts w:ascii="Cambria" w:eastAsia="Cambria" w:hAnsi="Cambria" w:cs="Arial"/>
          <w:b/>
          <w:szCs w:val="20"/>
        </w:rPr>
      </w:pPr>
      <w:r w:rsidRPr="00090050">
        <w:rPr>
          <w:rFonts w:ascii="Cambria" w:eastAsia="Cambria" w:hAnsi="Cambria" w:cs="Arial"/>
          <w:b/>
          <w:szCs w:val="20"/>
        </w:rPr>
        <w:t>(перспектива 10 років)</w:t>
      </w:r>
    </w:p>
    <w:p w:rsidR="00090050" w:rsidRPr="00090050" w:rsidRDefault="00090050" w:rsidP="00090050">
      <w:pPr>
        <w:spacing w:after="0" w:line="20" w:lineRule="exact"/>
        <w:rPr>
          <w:rFonts w:ascii="Times New Roman" w:eastAsia="Times New Roman" w:hAnsi="Times New Roman" w:cs="Arial"/>
          <w:sz w:val="20"/>
          <w:szCs w:val="20"/>
        </w:rPr>
      </w:pPr>
      <w:r w:rsidRPr="00090050">
        <w:rPr>
          <w:rFonts w:ascii="Cambria" w:eastAsia="Cambria" w:hAnsi="Cambria" w:cs="Arial"/>
          <w:b/>
          <w:noProof/>
          <w:szCs w:val="20"/>
        </w:rPr>
        <w:drawing>
          <wp:anchor distT="0" distB="0" distL="114300" distR="114300" simplePos="0" relativeHeight="251663360" behindDoc="1" locked="0" layoutInCell="1" allowOverlap="1">
            <wp:simplePos x="0" y="0"/>
            <wp:positionH relativeFrom="column">
              <wp:posOffset>-14605</wp:posOffset>
            </wp:positionH>
            <wp:positionV relativeFrom="paragraph">
              <wp:posOffset>46355</wp:posOffset>
            </wp:positionV>
            <wp:extent cx="6174740" cy="40449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4740" cy="404495"/>
                    </a:xfrm>
                    <a:prstGeom prst="rect">
                      <a:avLst/>
                    </a:prstGeom>
                    <a:noFill/>
                  </pic:spPr>
                </pic:pic>
              </a:graphicData>
            </a:graphic>
            <wp14:sizeRelH relativeFrom="page">
              <wp14:pctWidth>0</wp14:pctWidth>
            </wp14:sizeRelH>
            <wp14:sizeRelV relativeFrom="page">
              <wp14:pctHeight>0</wp14:pctHeight>
            </wp14:sizeRelV>
          </wp:anchor>
        </w:drawing>
      </w:r>
    </w:p>
    <w:p w:rsidR="00090050" w:rsidRPr="00090050" w:rsidRDefault="00090050" w:rsidP="00090050">
      <w:pPr>
        <w:spacing w:after="0" w:line="48" w:lineRule="exact"/>
        <w:rPr>
          <w:rFonts w:ascii="Times New Roman" w:eastAsia="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4200"/>
        <w:gridCol w:w="2740"/>
        <w:gridCol w:w="2760"/>
      </w:tblGrid>
      <w:tr w:rsidR="00090050" w:rsidRPr="00090050" w:rsidTr="00BD55AE">
        <w:trPr>
          <w:trHeight w:val="298"/>
        </w:trPr>
        <w:tc>
          <w:tcPr>
            <w:tcW w:w="4200" w:type="dxa"/>
            <w:vMerge w:val="restart"/>
            <w:tcBorders>
              <w:top w:val="single" w:sz="8" w:space="0" w:color="auto"/>
              <w:left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Вид витрат</w:t>
            </w:r>
          </w:p>
        </w:tc>
        <w:tc>
          <w:tcPr>
            <w:tcW w:w="2740" w:type="dxa"/>
            <w:tcBorders>
              <w:top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Ад’ювантна терапія</w:t>
            </w:r>
          </w:p>
        </w:tc>
        <w:tc>
          <w:tcPr>
            <w:tcW w:w="2760" w:type="dxa"/>
            <w:tcBorders>
              <w:top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0"/>
                <w:sz w:val="20"/>
                <w:szCs w:val="20"/>
              </w:rPr>
            </w:pPr>
            <w:r w:rsidRPr="00090050">
              <w:rPr>
                <w:rFonts w:ascii="Arial" w:eastAsia="Arial" w:hAnsi="Arial" w:cs="Arial"/>
                <w:w w:val="90"/>
                <w:sz w:val="20"/>
                <w:szCs w:val="20"/>
              </w:rPr>
              <w:t>Стандартна ад’ювантна</w:t>
            </w:r>
          </w:p>
        </w:tc>
      </w:tr>
      <w:tr w:rsidR="00090050" w:rsidRPr="00090050" w:rsidTr="00BD55AE">
        <w:trPr>
          <w:trHeight w:val="130"/>
        </w:trPr>
        <w:tc>
          <w:tcPr>
            <w:tcW w:w="4200" w:type="dxa"/>
            <w:vMerge/>
            <w:tcBorders>
              <w:left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2740" w:type="dxa"/>
            <w:vMerge w:val="restart"/>
            <w:tcBorders>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2"/>
                <w:sz w:val="20"/>
                <w:szCs w:val="20"/>
              </w:rPr>
            </w:pPr>
            <w:r w:rsidRPr="00090050">
              <w:rPr>
                <w:rFonts w:ascii="Arial" w:eastAsia="Arial" w:hAnsi="Arial" w:cs="Arial"/>
                <w:w w:val="92"/>
                <w:sz w:val="20"/>
                <w:szCs w:val="20"/>
              </w:rPr>
              <w:t>з трастузумабом</w:t>
            </w:r>
          </w:p>
        </w:tc>
        <w:tc>
          <w:tcPr>
            <w:tcW w:w="2760" w:type="dxa"/>
            <w:vMerge w:val="restart"/>
            <w:tcBorders>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4"/>
                <w:sz w:val="20"/>
                <w:szCs w:val="20"/>
              </w:rPr>
            </w:pPr>
            <w:r w:rsidRPr="00090050">
              <w:rPr>
                <w:rFonts w:ascii="Arial" w:eastAsia="Arial" w:hAnsi="Arial" w:cs="Arial"/>
                <w:w w:val="94"/>
                <w:sz w:val="20"/>
                <w:szCs w:val="20"/>
              </w:rPr>
              <w:t>хіміотерапія</w:t>
            </w:r>
          </w:p>
        </w:tc>
      </w:tr>
      <w:tr w:rsidR="00090050" w:rsidRPr="00090050" w:rsidTr="00BD55AE">
        <w:trPr>
          <w:trHeight w:val="110"/>
        </w:trPr>
        <w:tc>
          <w:tcPr>
            <w:tcW w:w="4200" w:type="dxa"/>
            <w:tcBorders>
              <w:left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274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276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r>
      <w:tr w:rsidR="00090050" w:rsidRPr="00090050" w:rsidTr="00BD55AE">
        <w:trPr>
          <w:trHeight w:val="58"/>
        </w:trPr>
        <w:tc>
          <w:tcPr>
            <w:tcW w:w="420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r>
      <w:tr w:rsidR="00090050" w:rsidRPr="00090050" w:rsidTr="00BD55AE">
        <w:trPr>
          <w:trHeight w:val="243"/>
        </w:trPr>
        <w:tc>
          <w:tcPr>
            <w:tcW w:w="4200" w:type="dxa"/>
            <w:tcBorders>
              <w:left w:val="single" w:sz="8" w:space="0" w:color="auto"/>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rPr>
            </w:pPr>
          </w:p>
        </w:tc>
        <w:tc>
          <w:tcPr>
            <w:tcW w:w="2740" w:type="dxa"/>
            <w:tcBorders>
              <w:bottom w:val="single" w:sz="8" w:space="0" w:color="auto"/>
            </w:tcBorders>
            <w:shd w:val="clear" w:color="auto" w:fill="auto"/>
            <w:vAlign w:val="bottom"/>
          </w:tcPr>
          <w:p w:rsidR="00090050" w:rsidRPr="00090050" w:rsidRDefault="00090050" w:rsidP="00090050">
            <w:pPr>
              <w:spacing w:after="0" w:line="0" w:lineRule="atLeast"/>
              <w:ind w:right="1360"/>
              <w:jc w:val="center"/>
              <w:rPr>
                <w:rFonts w:ascii="Arial" w:eastAsia="Arial" w:hAnsi="Arial" w:cs="Arial"/>
                <w:w w:val="97"/>
                <w:sz w:val="20"/>
                <w:szCs w:val="20"/>
              </w:rPr>
            </w:pPr>
            <w:r w:rsidRPr="00090050">
              <w:rPr>
                <w:rFonts w:ascii="Arial" w:eastAsia="Arial" w:hAnsi="Arial" w:cs="Arial"/>
                <w:w w:val="97"/>
                <w:sz w:val="20"/>
                <w:szCs w:val="20"/>
              </w:rPr>
              <w:t>1 рік</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rPr>
            </w:pPr>
          </w:p>
        </w:tc>
      </w:tr>
      <w:tr w:rsidR="00090050" w:rsidRPr="00090050" w:rsidTr="00BD55AE">
        <w:trPr>
          <w:trHeight w:val="243"/>
        </w:trPr>
        <w:tc>
          <w:tcPr>
            <w:tcW w:w="420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Ад’ювантна терапія</w:t>
            </w: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574970,6</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19960,0</w:t>
            </w:r>
          </w:p>
        </w:tc>
      </w:tr>
      <w:tr w:rsidR="00090050" w:rsidRPr="00090050" w:rsidTr="00BD55AE">
        <w:trPr>
          <w:trHeight w:val="222"/>
        </w:trPr>
        <w:tc>
          <w:tcPr>
            <w:tcW w:w="4200" w:type="dxa"/>
            <w:tcBorders>
              <w:left w:val="single" w:sz="8" w:space="0" w:color="auto"/>
              <w:right w:val="single" w:sz="8" w:space="0" w:color="auto"/>
            </w:tcBorders>
            <w:shd w:val="clear" w:color="auto" w:fill="auto"/>
            <w:vAlign w:val="bottom"/>
          </w:tcPr>
          <w:p w:rsidR="00090050" w:rsidRPr="00090050" w:rsidRDefault="00090050" w:rsidP="00090050">
            <w:pPr>
              <w:spacing w:after="0" w:line="222" w:lineRule="exact"/>
              <w:rPr>
                <w:rFonts w:ascii="Arial" w:eastAsia="Arial" w:hAnsi="Arial" w:cs="Arial"/>
                <w:w w:val="98"/>
                <w:sz w:val="20"/>
                <w:szCs w:val="20"/>
                <w:lang w:val="ru-RU"/>
              </w:rPr>
            </w:pPr>
            <w:r w:rsidRPr="00090050">
              <w:rPr>
                <w:rFonts w:ascii="Arial" w:eastAsia="Arial" w:hAnsi="Arial" w:cs="Arial"/>
                <w:w w:val="98"/>
                <w:sz w:val="20"/>
                <w:szCs w:val="20"/>
                <w:lang w:val="ru-RU"/>
              </w:rPr>
              <w:t>Медичні послуги (моніторинг стану пацієнта,</w:t>
            </w:r>
          </w:p>
        </w:tc>
        <w:tc>
          <w:tcPr>
            <w:tcW w:w="2740" w:type="dxa"/>
            <w:vMerge w:val="restart"/>
            <w:tcBorders>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1849,3</w:t>
            </w:r>
          </w:p>
        </w:tc>
        <w:tc>
          <w:tcPr>
            <w:tcW w:w="2760" w:type="dxa"/>
            <w:vMerge w:val="restart"/>
            <w:tcBorders>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737,6</w:t>
            </w:r>
          </w:p>
        </w:tc>
      </w:tr>
      <w:tr w:rsidR="00090050" w:rsidRPr="00090050" w:rsidTr="00BD55AE">
        <w:trPr>
          <w:trHeight w:val="230"/>
        </w:trPr>
        <w:tc>
          <w:tcPr>
            <w:tcW w:w="4200" w:type="dxa"/>
            <w:vMerge w:val="restart"/>
            <w:tcBorders>
              <w:left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госпіталізація)</w:t>
            </w:r>
          </w:p>
        </w:tc>
        <w:tc>
          <w:tcPr>
            <w:tcW w:w="274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276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r>
      <w:tr w:rsidR="00090050" w:rsidRPr="00090050" w:rsidTr="00BD55AE">
        <w:trPr>
          <w:trHeight w:val="111"/>
        </w:trPr>
        <w:tc>
          <w:tcPr>
            <w:tcW w:w="4200" w:type="dxa"/>
            <w:vMerge/>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r>
      <w:tr w:rsidR="00090050" w:rsidRPr="00090050" w:rsidTr="00BD55AE">
        <w:trPr>
          <w:trHeight w:val="243"/>
        </w:trPr>
        <w:tc>
          <w:tcPr>
            <w:tcW w:w="420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Корекція побічної дії ад’ювантної терапії</w:t>
            </w: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2"/>
                <w:sz w:val="20"/>
                <w:szCs w:val="20"/>
              </w:rPr>
            </w:pPr>
            <w:r w:rsidRPr="00090050">
              <w:rPr>
                <w:rFonts w:ascii="Arial" w:eastAsia="Arial" w:hAnsi="Arial" w:cs="Arial"/>
                <w:w w:val="92"/>
                <w:sz w:val="20"/>
                <w:szCs w:val="20"/>
              </w:rPr>
              <w:t>90,8</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463,4</w:t>
            </w:r>
          </w:p>
        </w:tc>
      </w:tr>
      <w:tr w:rsidR="00090050" w:rsidRPr="00090050" w:rsidTr="00BD55AE">
        <w:trPr>
          <w:trHeight w:val="243"/>
        </w:trPr>
        <w:tc>
          <w:tcPr>
            <w:tcW w:w="420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Друга лінія ХТ</w:t>
            </w: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3522,7</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69571,4</w:t>
            </w:r>
          </w:p>
        </w:tc>
      </w:tr>
      <w:tr w:rsidR="00090050" w:rsidRPr="00090050" w:rsidTr="00BD55AE">
        <w:trPr>
          <w:trHeight w:val="243"/>
        </w:trPr>
        <w:tc>
          <w:tcPr>
            <w:tcW w:w="420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Підтримуюча терапія</w:t>
            </w: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87"/>
                <w:sz w:val="20"/>
                <w:szCs w:val="20"/>
              </w:rPr>
            </w:pPr>
            <w:r w:rsidRPr="00090050">
              <w:rPr>
                <w:rFonts w:ascii="Arial" w:eastAsia="Arial" w:hAnsi="Arial" w:cs="Arial"/>
                <w:w w:val="87"/>
                <w:sz w:val="20"/>
                <w:szCs w:val="20"/>
              </w:rPr>
              <w:t>313,8</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406,1</w:t>
            </w:r>
          </w:p>
        </w:tc>
      </w:tr>
      <w:tr w:rsidR="00090050" w:rsidRPr="00090050" w:rsidTr="00BD55AE">
        <w:trPr>
          <w:trHeight w:val="243"/>
        </w:trPr>
        <w:tc>
          <w:tcPr>
            <w:tcW w:w="4200" w:type="dxa"/>
            <w:tcBorders>
              <w:left w:val="single" w:sz="8" w:space="0" w:color="auto"/>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rPr>
            </w:pPr>
          </w:p>
        </w:tc>
        <w:tc>
          <w:tcPr>
            <w:tcW w:w="2740" w:type="dxa"/>
            <w:tcBorders>
              <w:bottom w:val="single" w:sz="8" w:space="0" w:color="auto"/>
            </w:tcBorders>
            <w:shd w:val="clear" w:color="auto" w:fill="auto"/>
            <w:vAlign w:val="bottom"/>
          </w:tcPr>
          <w:p w:rsidR="00090050" w:rsidRPr="00090050" w:rsidRDefault="00090050" w:rsidP="00090050">
            <w:pPr>
              <w:spacing w:after="0" w:line="0" w:lineRule="atLeast"/>
              <w:ind w:right="1360"/>
              <w:jc w:val="center"/>
              <w:rPr>
                <w:rFonts w:ascii="Arial" w:eastAsia="Arial" w:hAnsi="Arial" w:cs="Arial"/>
                <w:w w:val="97"/>
                <w:sz w:val="20"/>
                <w:szCs w:val="20"/>
              </w:rPr>
            </w:pPr>
            <w:r w:rsidRPr="00090050">
              <w:rPr>
                <w:rFonts w:ascii="Arial" w:eastAsia="Arial" w:hAnsi="Arial" w:cs="Arial"/>
                <w:w w:val="97"/>
                <w:sz w:val="20"/>
                <w:szCs w:val="20"/>
              </w:rPr>
              <w:t>2-10 рік</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rPr>
            </w:pPr>
          </w:p>
        </w:tc>
      </w:tr>
      <w:tr w:rsidR="00090050" w:rsidRPr="00090050" w:rsidTr="00BD55AE">
        <w:trPr>
          <w:trHeight w:val="222"/>
        </w:trPr>
        <w:tc>
          <w:tcPr>
            <w:tcW w:w="4200" w:type="dxa"/>
            <w:tcBorders>
              <w:left w:val="single" w:sz="8" w:space="0" w:color="auto"/>
              <w:right w:val="single" w:sz="8" w:space="0" w:color="auto"/>
            </w:tcBorders>
            <w:shd w:val="clear" w:color="auto" w:fill="auto"/>
            <w:vAlign w:val="bottom"/>
          </w:tcPr>
          <w:p w:rsidR="00090050" w:rsidRPr="00090050" w:rsidRDefault="00090050" w:rsidP="00090050">
            <w:pPr>
              <w:spacing w:after="0" w:line="222" w:lineRule="exact"/>
              <w:rPr>
                <w:rFonts w:ascii="Arial" w:eastAsia="Arial" w:hAnsi="Arial" w:cs="Arial"/>
                <w:w w:val="98"/>
                <w:sz w:val="20"/>
                <w:szCs w:val="20"/>
                <w:lang w:val="ru-RU"/>
              </w:rPr>
            </w:pPr>
            <w:r w:rsidRPr="00090050">
              <w:rPr>
                <w:rFonts w:ascii="Arial" w:eastAsia="Arial" w:hAnsi="Arial" w:cs="Arial"/>
                <w:w w:val="98"/>
                <w:sz w:val="20"/>
                <w:szCs w:val="20"/>
                <w:lang w:val="ru-RU"/>
              </w:rPr>
              <w:t>Медичні послуги (моніторинг стану пацієнта,</w:t>
            </w:r>
          </w:p>
        </w:tc>
        <w:tc>
          <w:tcPr>
            <w:tcW w:w="2740" w:type="dxa"/>
            <w:vMerge w:val="restart"/>
            <w:tcBorders>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87"/>
                <w:sz w:val="20"/>
                <w:szCs w:val="20"/>
              </w:rPr>
            </w:pPr>
            <w:r w:rsidRPr="00090050">
              <w:rPr>
                <w:rFonts w:ascii="Arial" w:eastAsia="Arial" w:hAnsi="Arial" w:cs="Arial"/>
                <w:w w:val="87"/>
                <w:sz w:val="20"/>
                <w:szCs w:val="20"/>
              </w:rPr>
              <w:t>514,8</w:t>
            </w:r>
          </w:p>
        </w:tc>
        <w:tc>
          <w:tcPr>
            <w:tcW w:w="276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r>
      <w:tr w:rsidR="00090050" w:rsidRPr="00090050" w:rsidTr="00BD55AE">
        <w:trPr>
          <w:trHeight w:val="130"/>
        </w:trPr>
        <w:tc>
          <w:tcPr>
            <w:tcW w:w="4200" w:type="dxa"/>
            <w:vMerge w:val="restart"/>
            <w:tcBorders>
              <w:left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госпіталізація)</w:t>
            </w:r>
          </w:p>
        </w:tc>
        <w:tc>
          <w:tcPr>
            <w:tcW w:w="274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276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r>
      <w:tr w:rsidR="00090050" w:rsidRPr="00090050" w:rsidTr="00BD55AE">
        <w:trPr>
          <w:trHeight w:val="111"/>
        </w:trPr>
        <w:tc>
          <w:tcPr>
            <w:tcW w:w="4200" w:type="dxa"/>
            <w:vMerge/>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r>
      <w:tr w:rsidR="00090050" w:rsidRPr="00090050" w:rsidTr="00BD55AE">
        <w:trPr>
          <w:trHeight w:val="243"/>
        </w:trPr>
        <w:tc>
          <w:tcPr>
            <w:tcW w:w="420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Друга лінія ХТ</w:t>
            </w: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88"/>
                <w:sz w:val="20"/>
                <w:szCs w:val="20"/>
              </w:rPr>
            </w:pPr>
            <w:r w:rsidRPr="00090050">
              <w:rPr>
                <w:rFonts w:ascii="Arial" w:eastAsia="Arial" w:hAnsi="Arial" w:cs="Arial"/>
                <w:w w:val="88"/>
                <w:sz w:val="20"/>
                <w:szCs w:val="20"/>
              </w:rPr>
              <w:t>35049,7</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397041,1</w:t>
            </w:r>
          </w:p>
        </w:tc>
      </w:tr>
      <w:tr w:rsidR="00090050" w:rsidRPr="00090050" w:rsidTr="00BD55AE">
        <w:trPr>
          <w:trHeight w:val="243"/>
        </w:trPr>
        <w:tc>
          <w:tcPr>
            <w:tcW w:w="420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Підтримуюча терапія</w:t>
            </w: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88"/>
                <w:sz w:val="20"/>
                <w:szCs w:val="20"/>
              </w:rPr>
            </w:pPr>
            <w:r w:rsidRPr="00090050">
              <w:rPr>
                <w:rFonts w:ascii="Arial" w:eastAsia="Arial" w:hAnsi="Arial" w:cs="Arial"/>
                <w:w w:val="88"/>
                <w:sz w:val="20"/>
                <w:szCs w:val="20"/>
              </w:rPr>
              <w:t>10738,3</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rPr>
            </w:pPr>
          </w:p>
        </w:tc>
      </w:tr>
      <w:tr w:rsidR="00090050" w:rsidRPr="00090050" w:rsidTr="00BD55AE">
        <w:trPr>
          <w:trHeight w:val="243"/>
        </w:trPr>
        <w:tc>
          <w:tcPr>
            <w:tcW w:w="420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Корекція побічної дії ХТ</w:t>
            </w: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2"/>
                <w:sz w:val="20"/>
                <w:szCs w:val="20"/>
              </w:rPr>
            </w:pPr>
            <w:r w:rsidRPr="00090050">
              <w:rPr>
                <w:rFonts w:ascii="Arial" w:eastAsia="Arial" w:hAnsi="Arial" w:cs="Arial"/>
                <w:w w:val="92"/>
                <w:sz w:val="20"/>
                <w:szCs w:val="20"/>
              </w:rPr>
              <w:t>65,6</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1"/>
                <w:szCs w:val="20"/>
              </w:rPr>
            </w:pPr>
          </w:p>
        </w:tc>
      </w:tr>
      <w:tr w:rsidR="00090050" w:rsidRPr="00090050" w:rsidTr="00BD55AE">
        <w:trPr>
          <w:trHeight w:val="243"/>
        </w:trPr>
        <w:tc>
          <w:tcPr>
            <w:tcW w:w="420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Загалом</w:t>
            </w:r>
          </w:p>
        </w:tc>
        <w:tc>
          <w:tcPr>
            <w:tcW w:w="27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627115,5</w:t>
            </w:r>
          </w:p>
        </w:tc>
        <w:tc>
          <w:tcPr>
            <w:tcW w:w="27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501939,6</w:t>
            </w:r>
          </w:p>
        </w:tc>
      </w:tr>
    </w:tbl>
    <w:p w:rsidR="00090050" w:rsidRPr="00090050" w:rsidRDefault="00090050" w:rsidP="00090050">
      <w:pPr>
        <w:spacing w:after="0" w:line="125" w:lineRule="exact"/>
        <w:rPr>
          <w:rFonts w:ascii="Times New Roman" w:eastAsia="Times New Roman" w:hAnsi="Times New Roman" w:cs="Arial"/>
          <w:sz w:val="20"/>
          <w:szCs w:val="20"/>
        </w:rPr>
      </w:pPr>
    </w:p>
    <w:tbl>
      <w:tblPr>
        <w:tblW w:w="0" w:type="auto"/>
        <w:tblLayout w:type="fixed"/>
        <w:tblCellMar>
          <w:left w:w="0" w:type="dxa"/>
          <w:right w:w="0" w:type="dxa"/>
        </w:tblCellMar>
        <w:tblLook w:val="0000" w:firstRow="0" w:lastRow="0" w:firstColumn="0" w:lastColumn="0" w:noHBand="0" w:noVBand="0"/>
      </w:tblPr>
      <w:tblGrid>
        <w:gridCol w:w="2220"/>
        <w:gridCol w:w="120"/>
        <w:gridCol w:w="1260"/>
        <w:gridCol w:w="1000"/>
        <w:gridCol w:w="180"/>
        <w:gridCol w:w="840"/>
        <w:gridCol w:w="1020"/>
        <w:gridCol w:w="1020"/>
        <w:gridCol w:w="1020"/>
        <w:gridCol w:w="1020"/>
      </w:tblGrid>
      <w:tr w:rsidR="00090050" w:rsidRPr="00090050" w:rsidTr="00BD55AE">
        <w:trPr>
          <w:trHeight w:val="258"/>
        </w:trPr>
        <w:tc>
          <w:tcPr>
            <w:tcW w:w="22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rPr>
            </w:pPr>
          </w:p>
        </w:tc>
        <w:tc>
          <w:tcPr>
            <w:tcW w:w="1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rPr>
            </w:pPr>
          </w:p>
        </w:tc>
        <w:tc>
          <w:tcPr>
            <w:tcW w:w="12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rPr>
            </w:pPr>
          </w:p>
        </w:tc>
        <w:tc>
          <w:tcPr>
            <w:tcW w:w="100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rPr>
            </w:pP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rPr>
            </w:pPr>
          </w:p>
        </w:tc>
        <w:tc>
          <w:tcPr>
            <w:tcW w:w="84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rPr>
            </w:pP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rPr>
            </w:pP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rPr>
            </w:pP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rPr>
            </w:pPr>
          </w:p>
        </w:tc>
        <w:tc>
          <w:tcPr>
            <w:tcW w:w="1020" w:type="dxa"/>
            <w:shd w:val="clear" w:color="auto" w:fill="auto"/>
            <w:vAlign w:val="bottom"/>
          </w:tcPr>
          <w:p w:rsidR="00090050" w:rsidRPr="00090050" w:rsidRDefault="00090050" w:rsidP="00090050">
            <w:pPr>
              <w:spacing w:after="0" w:line="0" w:lineRule="atLeast"/>
              <w:jc w:val="right"/>
              <w:rPr>
                <w:rFonts w:ascii="Cambria" w:eastAsia="Cambria" w:hAnsi="Cambria" w:cs="Arial"/>
                <w:w w:val="95"/>
                <w:szCs w:val="20"/>
              </w:rPr>
            </w:pPr>
            <w:r w:rsidRPr="00090050">
              <w:rPr>
                <w:rFonts w:ascii="Cambria" w:eastAsia="Cambria" w:hAnsi="Cambria" w:cs="Arial"/>
                <w:w w:val="95"/>
                <w:szCs w:val="20"/>
              </w:rPr>
              <w:t>Таблиця 2</w:t>
            </w:r>
          </w:p>
        </w:tc>
      </w:tr>
      <w:tr w:rsidR="00090050" w:rsidRPr="00090050" w:rsidTr="00BD55AE">
        <w:trPr>
          <w:trHeight w:val="280"/>
        </w:trPr>
        <w:tc>
          <w:tcPr>
            <w:tcW w:w="9700" w:type="dxa"/>
            <w:gridSpan w:val="10"/>
            <w:shd w:val="clear" w:color="auto" w:fill="auto"/>
            <w:vAlign w:val="bottom"/>
          </w:tcPr>
          <w:p w:rsidR="00090050" w:rsidRPr="00090050" w:rsidRDefault="00090050" w:rsidP="00090050">
            <w:pPr>
              <w:spacing w:after="0" w:line="0" w:lineRule="atLeast"/>
              <w:jc w:val="center"/>
              <w:rPr>
                <w:rFonts w:ascii="Cambria" w:eastAsia="Cambria" w:hAnsi="Cambria" w:cs="Arial"/>
                <w:b/>
                <w:w w:val="99"/>
                <w:szCs w:val="20"/>
                <w:lang w:val="ru-RU"/>
              </w:rPr>
            </w:pPr>
            <w:r w:rsidRPr="00090050">
              <w:rPr>
                <w:rFonts w:ascii="Cambria" w:eastAsia="Cambria" w:hAnsi="Cambria" w:cs="Arial"/>
                <w:b/>
                <w:w w:val="99"/>
                <w:szCs w:val="20"/>
                <w:lang w:val="ru-RU"/>
              </w:rPr>
              <w:t>Фармакоекономічні показники при використанні різних схем ад’ювантної терапії</w:t>
            </w:r>
          </w:p>
        </w:tc>
      </w:tr>
      <w:tr w:rsidR="00090050" w:rsidRPr="00090050" w:rsidTr="00BD55AE">
        <w:trPr>
          <w:trHeight w:val="257"/>
        </w:trPr>
        <w:tc>
          <w:tcPr>
            <w:tcW w:w="8680" w:type="dxa"/>
            <w:gridSpan w:val="9"/>
            <w:shd w:val="clear" w:color="auto" w:fill="auto"/>
            <w:vAlign w:val="bottom"/>
          </w:tcPr>
          <w:p w:rsidR="00090050" w:rsidRPr="00090050" w:rsidRDefault="00090050" w:rsidP="00090050">
            <w:pPr>
              <w:spacing w:after="0" w:line="0" w:lineRule="atLeast"/>
              <w:jc w:val="center"/>
              <w:rPr>
                <w:rFonts w:ascii="Cambria" w:eastAsia="Cambria" w:hAnsi="Cambria" w:cs="Arial"/>
                <w:b/>
                <w:w w:val="99"/>
                <w:szCs w:val="20"/>
                <w:lang w:val="ru-RU"/>
              </w:rPr>
            </w:pPr>
            <w:r w:rsidRPr="00090050">
              <w:rPr>
                <w:rFonts w:ascii="Cambria" w:eastAsia="Cambria" w:hAnsi="Cambria" w:cs="Arial"/>
                <w:b/>
                <w:w w:val="99"/>
                <w:szCs w:val="20"/>
                <w:lang w:val="ru-RU"/>
              </w:rPr>
              <w:t xml:space="preserve">у пацієнток з </w:t>
            </w:r>
            <w:r w:rsidRPr="00090050">
              <w:rPr>
                <w:rFonts w:ascii="Cambria" w:eastAsia="Cambria" w:hAnsi="Cambria" w:cs="Arial"/>
                <w:b/>
                <w:w w:val="99"/>
                <w:szCs w:val="20"/>
              </w:rPr>
              <w:t>HER</w:t>
            </w:r>
            <w:r w:rsidRPr="00090050">
              <w:rPr>
                <w:rFonts w:ascii="Cambria" w:eastAsia="Cambria" w:hAnsi="Cambria" w:cs="Arial"/>
                <w:b/>
                <w:w w:val="99"/>
                <w:szCs w:val="20"/>
                <w:lang w:val="ru-RU"/>
              </w:rPr>
              <w:t>2+ раком молочної залози (перспектива 10 років)</w:t>
            </w: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Cs w:val="20"/>
                <w:lang w:val="ru-RU"/>
              </w:rPr>
            </w:pPr>
          </w:p>
        </w:tc>
      </w:tr>
      <w:tr w:rsidR="00090050" w:rsidRPr="00090050" w:rsidTr="00BD55AE">
        <w:trPr>
          <w:trHeight w:val="89"/>
        </w:trPr>
        <w:tc>
          <w:tcPr>
            <w:tcW w:w="22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c>
          <w:tcPr>
            <w:tcW w:w="1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c>
          <w:tcPr>
            <w:tcW w:w="126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c>
          <w:tcPr>
            <w:tcW w:w="100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c>
          <w:tcPr>
            <w:tcW w:w="1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c>
          <w:tcPr>
            <w:tcW w:w="84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c>
          <w:tcPr>
            <w:tcW w:w="10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c>
          <w:tcPr>
            <w:tcW w:w="10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c>
          <w:tcPr>
            <w:tcW w:w="10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c>
          <w:tcPr>
            <w:tcW w:w="10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7"/>
                <w:szCs w:val="20"/>
                <w:lang w:val="ru-RU"/>
              </w:rPr>
            </w:pPr>
          </w:p>
        </w:tc>
      </w:tr>
      <w:tr w:rsidR="00090050" w:rsidRPr="00090050" w:rsidTr="00BD55AE">
        <w:trPr>
          <w:trHeight w:val="278"/>
        </w:trPr>
        <w:tc>
          <w:tcPr>
            <w:tcW w:w="2220" w:type="dxa"/>
            <w:tcBorders>
              <w:left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1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lang w:val="ru-RU"/>
              </w:rPr>
            </w:pPr>
          </w:p>
        </w:tc>
        <w:tc>
          <w:tcPr>
            <w:tcW w:w="1260" w:type="dxa"/>
            <w:tcBorders>
              <w:right w:val="single" w:sz="8" w:space="0" w:color="auto"/>
            </w:tcBorders>
            <w:shd w:val="clear" w:color="auto" w:fill="auto"/>
            <w:vAlign w:val="bottom"/>
          </w:tcPr>
          <w:p w:rsidR="00090050" w:rsidRPr="00090050" w:rsidRDefault="00090050" w:rsidP="00090050">
            <w:pPr>
              <w:spacing w:after="0" w:line="0" w:lineRule="atLeast"/>
              <w:ind w:right="60"/>
              <w:jc w:val="center"/>
              <w:rPr>
                <w:rFonts w:ascii="Arial" w:eastAsia="Arial" w:hAnsi="Arial" w:cs="Arial"/>
                <w:w w:val="93"/>
                <w:sz w:val="20"/>
                <w:szCs w:val="20"/>
              </w:rPr>
            </w:pPr>
            <w:r w:rsidRPr="00090050">
              <w:rPr>
                <w:rFonts w:ascii="Arial" w:eastAsia="Arial" w:hAnsi="Arial" w:cs="Arial"/>
                <w:w w:val="93"/>
                <w:sz w:val="20"/>
                <w:szCs w:val="20"/>
              </w:rPr>
              <w:t>Середні</w:t>
            </w:r>
          </w:p>
        </w:tc>
        <w:tc>
          <w:tcPr>
            <w:tcW w:w="100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rPr>
            </w:pP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rPr>
            </w:pPr>
          </w:p>
        </w:tc>
        <w:tc>
          <w:tcPr>
            <w:tcW w:w="84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4"/>
                <w:szCs w:val="20"/>
              </w:rPr>
            </w:pPr>
          </w:p>
        </w:tc>
      </w:tr>
      <w:tr w:rsidR="00090050" w:rsidRPr="00090050" w:rsidTr="00BD55AE">
        <w:trPr>
          <w:trHeight w:val="220"/>
        </w:trPr>
        <w:tc>
          <w:tcPr>
            <w:tcW w:w="2220" w:type="dxa"/>
            <w:tcBorders>
              <w:left w:val="single" w:sz="8" w:space="0" w:color="auto"/>
              <w:right w:val="single" w:sz="8" w:space="0" w:color="auto"/>
            </w:tcBorders>
            <w:shd w:val="clear" w:color="auto" w:fill="auto"/>
            <w:vAlign w:val="bottom"/>
          </w:tcPr>
          <w:p w:rsidR="00090050" w:rsidRPr="00090050" w:rsidRDefault="00090050" w:rsidP="00090050">
            <w:pPr>
              <w:spacing w:after="0" w:line="220" w:lineRule="exact"/>
              <w:rPr>
                <w:rFonts w:ascii="Arial" w:eastAsia="Arial" w:hAnsi="Arial" w:cs="Arial"/>
                <w:sz w:val="20"/>
                <w:szCs w:val="20"/>
              </w:rPr>
            </w:pPr>
            <w:r w:rsidRPr="00090050">
              <w:rPr>
                <w:rFonts w:ascii="Arial" w:eastAsia="Arial" w:hAnsi="Arial" w:cs="Arial"/>
                <w:sz w:val="20"/>
                <w:szCs w:val="20"/>
              </w:rPr>
              <w:t>Когорта пацієнтів</w:t>
            </w:r>
          </w:p>
        </w:tc>
        <w:tc>
          <w:tcPr>
            <w:tcW w:w="1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c>
          <w:tcPr>
            <w:tcW w:w="1260" w:type="dxa"/>
            <w:tcBorders>
              <w:right w:val="single" w:sz="8" w:space="0" w:color="auto"/>
            </w:tcBorders>
            <w:shd w:val="clear" w:color="auto" w:fill="auto"/>
            <w:vAlign w:val="bottom"/>
          </w:tcPr>
          <w:p w:rsidR="00090050" w:rsidRPr="00090050" w:rsidRDefault="00090050" w:rsidP="00090050">
            <w:pPr>
              <w:spacing w:after="0" w:line="220" w:lineRule="exact"/>
              <w:ind w:right="60"/>
              <w:jc w:val="center"/>
              <w:rPr>
                <w:rFonts w:ascii="Arial" w:eastAsia="Arial" w:hAnsi="Arial" w:cs="Arial"/>
                <w:w w:val="92"/>
                <w:sz w:val="20"/>
                <w:szCs w:val="20"/>
              </w:rPr>
            </w:pPr>
            <w:r w:rsidRPr="00090050">
              <w:rPr>
                <w:rFonts w:ascii="Arial" w:eastAsia="Arial" w:hAnsi="Arial" w:cs="Arial"/>
                <w:w w:val="92"/>
                <w:sz w:val="20"/>
                <w:szCs w:val="20"/>
              </w:rPr>
              <w:t>витрати на</w:t>
            </w:r>
          </w:p>
        </w:tc>
        <w:tc>
          <w:tcPr>
            <w:tcW w:w="1000" w:type="dxa"/>
            <w:tcBorders>
              <w:right w:val="single" w:sz="8" w:space="0" w:color="auto"/>
            </w:tcBorders>
            <w:shd w:val="clear" w:color="auto" w:fill="auto"/>
            <w:vAlign w:val="bottom"/>
          </w:tcPr>
          <w:p w:rsidR="00090050" w:rsidRPr="00090050" w:rsidRDefault="00090050" w:rsidP="00090050">
            <w:pPr>
              <w:spacing w:after="0" w:line="220" w:lineRule="exact"/>
              <w:rPr>
                <w:rFonts w:ascii="Arial" w:eastAsia="Arial" w:hAnsi="Arial" w:cs="Arial"/>
                <w:sz w:val="20"/>
                <w:szCs w:val="20"/>
              </w:rPr>
            </w:pPr>
            <w:r w:rsidRPr="00090050">
              <w:rPr>
                <w:rFonts w:ascii="Arial" w:eastAsia="Arial" w:hAnsi="Arial" w:cs="Arial"/>
                <w:sz w:val="20"/>
                <w:szCs w:val="20"/>
              </w:rPr>
              <w:t>LYG</w:t>
            </w: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c>
          <w:tcPr>
            <w:tcW w:w="840" w:type="dxa"/>
            <w:tcBorders>
              <w:right w:val="single" w:sz="8" w:space="0" w:color="auto"/>
            </w:tcBorders>
            <w:shd w:val="clear" w:color="auto" w:fill="auto"/>
            <w:vAlign w:val="bottom"/>
          </w:tcPr>
          <w:p w:rsidR="00090050" w:rsidRPr="00090050" w:rsidRDefault="00090050" w:rsidP="00090050">
            <w:pPr>
              <w:spacing w:after="0" w:line="220" w:lineRule="exact"/>
              <w:rPr>
                <w:rFonts w:ascii="Arial" w:eastAsia="Arial" w:hAnsi="Arial" w:cs="Arial"/>
                <w:sz w:val="20"/>
                <w:szCs w:val="20"/>
              </w:rPr>
            </w:pPr>
            <w:r w:rsidRPr="00090050">
              <w:rPr>
                <w:rFonts w:ascii="Arial" w:eastAsia="Arial" w:hAnsi="Arial" w:cs="Arial"/>
                <w:sz w:val="20"/>
                <w:szCs w:val="20"/>
              </w:rPr>
              <w:t>QALY</w:t>
            </w:r>
          </w:p>
        </w:tc>
        <w:tc>
          <w:tcPr>
            <w:tcW w:w="1020" w:type="dxa"/>
            <w:tcBorders>
              <w:right w:val="single" w:sz="8" w:space="0" w:color="auto"/>
            </w:tcBorders>
            <w:shd w:val="clear" w:color="auto" w:fill="auto"/>
            <w:vAlign w:val="bottom"/>
          </w:tcPr>
          <w:p w:rsidR="00090050" w:rsidRPr="00090050" w:rsidRDefault="00090050" w:rsidP="00090050">
            <w:pPr>
              <w:spacing w:after="0" w:line="220" w:lineRule="exact"/>
              <w:ind w:right="260"/>
              <w:jc w:val="right"/>
              <w:rPr>
                <w:rFonts w:ascii="Arial" w:eastAsia="Arial" w:hAnsi="Arial" w:cs="Arial"/>
                <w:sz w:val="20"/>
                <w:szCs w:val="20"/>
              </w:rPr>
            </w:pPr>
            <w:r w:rsidRPr="00090050">
              <w:rPr>
                <w:rFonts w:ascii="Arial" w:eastAsia="Arial" w:hAnsi="Arial" w:cs="Arial"/>
                <w:sz w:val="20"/>
                <w:szCs w:val="20"/>
              </w:rPr>
              <w:t>CЕR</w:t>
            </w:r>
          </w:p>
        </w:tc>
        <w:tc>
          <w:tcPr>
            <w:tcW w:w="1020" w:type="dxa"/>
            <w:tcBorders>
              <w:right w:val="single" w:sz="8" w:space="0" w:color="auto"/>
            </w:tcBorders>
            <w:shd w:val="clear" w:color="auto" w:fill="auto"/>
            <w:vAlign w:val="bottom"/>
          </w:tcPr>
          <w:p w:rsidR="00090050" w:rsidRPr="00090050" w:rsidRDefault="00090050" w:rsidP="00090050">
            <w:pPr>
              <w:spacing w:after="0" w:line="220" w:lineRule="exact"/>
              <w:jc w:val="center"/>
              <w:rPr>
                <w:rFonts w:ascii="Arial" w:eastAsia="Arial" w:hAnsi="Arial" w:cs="Arial"/>
                <w:w w:val="82"/>
                <w:sz w:val="20"/>
                <w:szCs w:val="20"/>
              </w:rPr>
            </w:pPr>
            <w:r w:rsidRPr="00090050">
              <w:rPr>
                <w:rFonts w:ascii="Arial" w:eastAsia="Arial" w:hAnsi="Arial" w:cs="Arial"/>
                <w:w w:val="82"/>
                <w:sz w:val="20"/>
                <w:szCs w:val="20"/>
              </w:rPr>
              <w:t>CUR</w:t>
            </w:r>
          </w:p>
        </w:tc>
        <w:tc>
          <w:tcPr>
            <w:tcW w:w="1020" w:type="dxa"/>
            <w:tcBorders>
              <w:right w:val="single" w:sz="8" w:space="0" w:color="auto"/>
            </w:tcBorders>
            <w:shd w:val="clear" w:color="auto" w:fill="auto"/>
            <w:vAlign w:val="bottom"/>
          </w:tcPr>
          <w:p w:rsidR="00090050" w:rsidRPr="00090050" w:rsidRDefault="00090050" w:rsidP="00090050">
            <w:pPr>
              <w:spacing w:after="0" w:line="220" w:lineRule="exact"/>
              <w:jc w:val="center"/>
              <w:rPr>
                <w:rFonts w:ascii="Arial" w:eastAsia="Arial" w:hAnsi="Arial" w:cs="Arial"/>
                <w:w w:val="79"/>
                <w:sz w:val="20"/>
                <w:szCs w:val="20"/>
              </w:rPr>
            </w:pPr>
            <w:r w:rsidRPr="00090050">
              <w:rPr>
                <w:rFonts w:ascii="Arial" w:eastAsia="Arial" w:hAnsi="Arial" w:cs="Arial"/>
                <w:w w:val="79"/>
                <w:sz w:val="20"/>
                <w:szCs w:val="20"/>
              </w:rPr>
              <w:t>ICER</w:t>
            </w:r>
          </w:p>
        </w:tc>
        <w:tc>
          <w:tcPr>
            <w:tcW w:w="1020" w:type="dxa"/>
            <w:tcBorders>
              <w:right w:val="single" w:sz="8" w:space="0" w:color="auto"/>
            </w:tcBorders>
            <w:shd w:val="clear" w:color="auto" w:fill="auto"/>
            <w:vAlign w:val="bottom"/>
          </w:tcPr>
          <w:p w:rsidR="00090050" w:rsidRPr="00090050" w:rsidRDefault="00090050" w:rsidP="00090050">
            <w:pPr>
              <w:spacing w:after="0" w:line="220" w:lineRule="exact"/>
              <w:ind w:right="217"/>
              <w:jc w:val="right"/>
              <w:rPr>
                <w:rFonts w:ascii="Arial" w:eastAsia="Arial" w:hAnsi="Arial" w:cs="Arial"/>
                <w:sz w:val="20"/>
                <w:szCs w:val="20"/>
              </w:rPr>
            </w:pPr>
            <w:r w:rsidRPr="00090050">
              <w:rPr>
                <w:rFonts w:ascii="Arial" w:eastAsia="Arial" w:hAnsi="Arial" w:cs="Arial"/>
                <w:sz w:val="20"/>
                <w:szCs w:val="20"/>
              </w:rPr>
              <w:t>ICUR</w:t>
            </w:r>
          </w:p>
        </w:tc>
      </w:tr>
      <w:tr w:rsidR="00090050" w:rsidRPr="00090050" w:rsidTr="00BD55AE">
        <w:trPr>
          <w:trHeight w:val="240"/>
        </w:trPr>
        <w:tc>
          <w:tcPr>
            <w:tcW w:w="2220" w:type="dxa"/>
            <w:tcBorders>
              <w:left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260" w:type="dxa"/>
            <w:tcBorders>
              <w:right w:val="single" w:sz="8" w:space="0" w:color="auto"/>
            </w:tcBorders>
            <w:shd w:val="clear" w:color="auto" w:fill="auto"/>
            <w:vAlign w:val="bottom"/>
          </w:tcPr>
          <w:p w:rsidR="00090050" w:rsidRPr="00090050" w:rsidRDefault="00090050" w:rsidP="00090050">
            <w:pPr>
              <w:spacing w:after="0" w:line="0" w:lineRule="atLeast"/>
              <w:ind w:right="60"/>
              <w:jc w:val="center"/>
              <w:rPr>
                <w:rFonts w:ascii="Arial" w:eastAsia="Arial" w:hAnsi="Arial" w:cs="Arial"/>
                <w:w w:val="94"/>
                <w:sz w:val="20"/>
                <w:szCs w:val="20"/>
              </w:rPr>
            </w:pPr>
            <w:r w:rsidRPr="00090050">
              <w:rPr>
                <w:rFonts w:ascii="Arial" w:eastAsia="Arial" w:hAnsi="Arial" w:cs="Arial"/>
                <w:w w:val="94"/>
                <w:sz w:val="20"/>
                <w:szCs w:val="20"/>
              </w:rPr>
              <w:t>1 пацієнтку</w:t>
            </w:r>
          </w:p>
        </w:tc>
        <w:tc>
          <w:tcPr>
            <w:tcW w:w="100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84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r>
      <w:tr w:rsidR="00090050" w:rsidRPr="00090050" w:rsidTr="00BD55AE">
        <w:trPr>
          <w:trHeight w:val="58"/>
        </w:trPr>
        <w:tc>
          <w:tcPr>
            <w:tcW w:w="2220" w:type="dxa"/>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1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12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100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1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5"/>
                <w:szCs w:val="20"/>
              </w:rPr>
            </w:pPr>
          </w:p>
        </w:tc>
      </w:tr>
      <w:tr w:rsidR="00090050" w:rsidRPr="00090050" w:rsidTr="00BD55AE">
        <w:trPr>
          <w:trHeight w:val="221"/>
        </w:trPr>
        <w:tc>
          <w:tcPr>
            <w:tcW w:w="2220" w:type="dxa"/>
            <w:tcBorders>
              <w:left w:val="single" w:sz="8" w:space="0" w:color="auto"/>
              <w:right w:val="single" w:sz="8" w:space="0" w:color="auto"/>
            </w:tcBorders>
            <w:shd w:val="clear" w:color="auto" w:fill="auto"/>
            <w:vAlign w:val="bottom"/>
          </w:tcPr>
          <w:p w:rsidR="00090050" w:rsidRPr="00090050" w:rsidRDefault="00090050" w:rsidP="00090050">
            <w:pPr>
              <w:spacing w:after="0" w:line="221" w:lineRule="exact"/>
              <w:rPr>
                <w:rFonts w:ascii="Arial" w:eastAsia="Arial" w:hAnsi="Arial" w:cs="Arial"/>
                <w:sz w:val="20"/>
                <w:szCs w:val="20"/>
              </w:rPr>
            </w:pPr>
            <w:r w:rsidRPr="00090050">
              <w:rPr>
                <w:rFonts w:ascii="Arial" w:eastAsia="Arial" w:hAnsi="Arial" w:cs="Arial"/>
                <w:sz w:val="20"/>
                <w:szCs w:val="20"/>
              </w:rPr>
              <w:t>Ад’ювантна терапія</w:t>
            </w:r>
          </w:p>
        </w:tc>
        <w:tc>
          <w:tcPr>
            <w:tcW w:w="1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c>
          <w:tcPr>
            <w:tcW w:w="1260" w:type="dxa"/>
            <w:vMerge w:val="restart"/>
            <w:tcBorders>
              <w:right w:val="single" w:sz="8" w:space="0" w:color="auto"/>
            </w:tcBorders>
            <w:shd w:val="clear" w:color="auto" w:fill="auto"/>
            <w:vAlign w:val="bottom"/>
          </w:tcPr>
          <w:p w:rsidR="00090050" w:rsidRPr="00090050" w:rsidRDefault="00090050" w:rsidP="00090050">
            <w:pPr>
              <w:spacing w:after="0" w:line="0" w:lineRule="atLeast"/>
              <w:ind w:right="80"/>
              <w:jc w:val="center"/>
              <w:rPr>
                <w:rFonts w:ascii="Arial" w:eastAsia="Arial" w:hAnsi="Arial" w:cs="Arial"/>
                <w:w w:val="91"/>
                <w:sz w:val="20"/>
                <w:szCs w:val="20"/>
              </w:rPr>
            </w:pPr>
            <w:r w:rsidRPr="00090050">
              <w:rPr>
                <w:rFonts w:ascii="Arial" w:eastAsia="Arial" w:hAnsi="Arial" w:cs="Arial"/>
                <w:w w:val="91"/>
                <w:sz w:val="20"/>
                <w:szCs w:val="20"/>
              </w:rPr>
              <w:t>627115,5</w:t>
            </w:r>
          </w:p>
        </w:tc>
        <w:tc>
          <w:tcPr>
            <w:tcW w:w="1000" w:type="dxa"/>
            <w:vMerge w:val="restart"/>
            <w:tcBorders>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7,32</w:t>
            </w: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c>
          <w:tcPr>
            <w:tcW w:w="840" w:type="dxa"/>
            <w:vMerge w:val="restart"/>
            <w:tcBorders>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6,72</w:t>
            </w:r>
          </w:p>
        </w:tc>
        <w:tc>
          <w:tcPr>
            <w:tcW w:w="1020" w:type="dxa"/>
            <w:vMerge w:val="restart"/>
            <w:tcBorders>
              <w:right w:val="single" w:sz="8" w:space="0" w:color="auto"/>
            </w:tcBorders>
            <w:shd w:val="clear" w:color="auto" w:fill="auto"/>
            <w:vAlign w:val="bottom"/>
          </w:tcPr>
          <w:p w:rsidR="00090050" w:rsidRPr="00090050" w:rsidRDefault="00090050" w:rsidP="00090050">
            <w:pPr>
              <w:spacing w:after="0" w:line="0" w:lineRule="atLeast"/>
              <w:ind w:right="100"/>
              <w:jc w:val="right"/>
              <w:rPr>
                <w:rFonts w:ascii="Arial" w:eastAsia="Arial" w:hAnsi="Arial" w:cs="Arial"/>
                <w:sz w:val="20"/>
                <w:szCs w:val="20"/>
              </w:rPr>
            </w:pPr>
            <w:r w:rsidRPr="00090050">
              <w:rPr>
                <w:rFonts w:ascii="Arial" w:eastAsia="Arial" w:hAnsi="Arial" w:cs="Arial"/>
                <w:sz w:val="20"/>
                <w:szCs w:val="20"/>
              </w:rPr>
              <w:t>85635,4</w:t>
            </w:r>
          </w:p>
        </w:tc>
        <w:tc>
          <w:tcPr>
            <w:tcW w:w="1020" w:type="dxa"/>
            <w:vMerge w:val="restart"/>
            <w:tcBorders>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93265,2</w:t>
            </w:r>
          </w:p>
        </w:tc>
        <w:tc>
          <w:tcPr>
            <w:tcW w:w="1020" w:type="dxa"/>
            <w:vMerge w:val="restart"/>
            <w:tcBorders>
              <w:right w:val="single" w:sz="8" w:space="0" w:color="auto"/>
            </w:tcBorders>
            <w:shd w:val="clear" w:color="auto" w:fill="auto"/>
            <w:vAlign w:val="bottom"/>
          </w:tcPr>
          <w:p w:rsidR="00090050" w:rsidRPr="00090050" w:rsidRDefault="00090050" w:rsidP="00090050">
            <w:pPr>
              <w:spacing w:after="0" w:line="0" w:lineRule="atLeast"/>
              <w:ind w:right="40"/>
              <w:jc w:val="right"/>
              <w:rPr>
                <w:rFonts w:ascii="Arial" w:eastAsia="Arial" w:hAnsi="Arial" w:cs="Arial"/>
                <w:sz w:val="20"/>
                <w:szCs w:val="20"/>
              </w:rPr>
            </w:pPr>
            <w:r w:rsidRPr="00090050">
              <w:rPr>
                <w:rFonts w:ascii="Arial" w:eastAsia="Arial" w:hAnsi="Arial" w:cs="Arial"/>
                <w:sz w:val="20"/>
                <w:szCs w:val="20"/>
              </w:rPr>
              <w:t>140833,8</w:t>
            </w:r>
          </w:p>
        </w:tc>
        <w:tc>
          <w:tcPr>
            <w:tcW w:w="1020" w:type="dxa"/>
            <w:vMerge w:val="restart"/>
            <w:tcBorders>
              <w:right w:val="single" w:sz="8" w:space="0" w:color="auto"/>
            </w:tcBorders>
            <w:shd w:val="clear" w:color="auto" w:fill="auto"/>
            <w:vAlign w:val="bottom"/>
          </w:tcPr>
          <w:p w:rsidR="00090050" w:rsidRPr="00090050" w:rsidRDefault="00090050" w:rsidP="00090050">
            <w:pPr>
              <w:spacing w:after="0" w:line="0" w:lineRule="atLeast"/>
              <w:ind w:right="37"/>
              <w:jc w:val="right"/>
              <w:rPr>
                <w:rFonts w:ascii="Arial" w:eastAsia="Arial" w:hAnsi="Arial" w:cs="Arial"/>
                <w:sz w:val="20"/>
                <w:szCs w:val="20"/>
              </w:rPr>
            </w:pPr>
            <w:r w:rsidRPr="00090050">
              <w:rPr>
                <w:rFonts w:ascii="Arial" w:eastAsia="Arial" w:hAnsi="Arial" w:cs="Arial"/>
                <w:sz w:val="20"/>
                <w:szCs w:val="20"/>
              </w:rPr>
              <w:t>136088,8</w:t>
            </w:r>
          </w:p>
        </w:tc>
      </w:tr>
      <w:tr w:rsidR="00090050" w:rsidRPr="00090050" w:rsidTr="00BD55AE">
        <w:trPr>
          <w:trHeight w:val="130"/>
        </w:trPr>
        <w:tc>
          <w:tcPr>
            <w:tcW w:w="2220" w:type="dxa"/>
            <w:vMerge w:val="restart"/>
            <w:tcBorders>
              <w:left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з трастузумабом</w:t>
            </w:r>
          </w:p>
        </w:tc>
        <w:tc>
          <w:tcPr>
            <w:tcW w:w="1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26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0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84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2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2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2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2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r>
      <w:tr w:rsidR="00090050" w:rsidRPr="00090050" w:rsidTr="00BD55AE">
        <w:trPr>
          <w:trHeight w:val="111"/>
        </w:trPr>
        <w:tc>
          <w:tcPr>
            <w:tcW w:w="2220" w:type="dxa"/>
            <w:vMerge/>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2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0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8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r>
      <w:tr w:rsidR="00090050" w:rsidRPr="00090050" w:rsidTr="00BD55AE">
        <w:trPr>
          <w:trHeight w:val="222"/>
        </w:trPr>
        <w:tc>
          <w:tcPr>
            <w:tcW w:w="2220" w:type="dxa"/>
            <w:tcBorders>
              <w:left w:val="single" w:sz="8" w:space="0" w:color="auto"/>
              <w:right w:val="single" w:sz="8" w:space="0" w:color="auto"/>
            </w:tcBorders>
            <w:shd w:val="clear" w:color="auto" w:fill="auto"/>
            <w:vAlign w:val="bottom"/>
          </w:tcPr>
          <w:p w:rsidR="00090050" w:rsidRPr="00090050" w:rsidRDefault="00090050" w:rsidP="00090050">
            <w:pPr>
              <w:spacing w:after="0" w:line="222" w:lineRule="exact"/>
              <w:rPr>
                <w:rFonts w:ascii="Arial" w:eastAsia="Arial" w:hAnsi="Arial" w:cs="Arial"/>
                <w:w w:val="95"/>
                <w:sz w:val="20"/>
                <w:szCs w:val="20"/>
              </w:rPr>
            </w:pPr>
            <w:r w:rsidRPr="00090050">
              <w:rPr>
                <w:rFonts w:ascii="Arial" w:eastAsia="Arial" w:hAnsi="Arial" w:cs="Arial"/>
                <w:w w:val="95"/>
                <w:sz w:val="20"/>
                <w:szCs w:val="20"/>
              </w:rPr>
              <w:t>Стандартна ад’ювантна</w:t>
            </w:r>
          </w:p>
        </w:tc>
        <w:tc>
          <w:tcPr>
            <w:tcW w:w="1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c>
          <w:tcPr>
            <w:tcW w:w="1260" w:type="dxa"/>
            <w:vMerge w:val="restart"/>
            <w:tcBorders>
              <w:right w:val="single" w:sz="8" w:space="0" w:color="auto"/>
            </w:tcBorders>
            <w:shd w:val="clear" w:color="auto" w:fill="auto"/>
            <w:vAlign w:val="bottom"/>
          </w:tcPr>
          <w:p w:rsidR="00090050" w:rsidRPr="00090050" w:rsidRDefault="00090050" w:rsidP="00090050">
            <w:pPr>
              <w:spacing w:after="0" w:line="0" w:lineRule="atLeast"/>
              <w:ind w:right="80"/>
              <w:jc w:val="center"/>
              <w:rPr>
                <w:rFonts w:ascii="Arial" w:eastAsia="Arial" w:hAnsi="Arial" w:cs="Arial"/>
                <w:w w:val="91"/>
                <w:sz w:val="20"/>
                <w:szCs w:val="20"/>
              </w:rPr>
            </w:pPr>
            <w:r w:rsidRPr="00090050">
              <w:rPr>
                <w:rFonts w:ascii="Arial" w:eastAsia="Arial" w:hAnsi="Arial" w:cs="Arial"/>
                <w:w w:val="91"/>
                <w:sz w:val="20"/>
                <w:szCs w:val="20"/>
              </w:rPr>
              <w:t>501939,6</w:t>
            </w:r>
          </w:p>
        </w:tc>
        <w:tc>
          <w:tcPr>
            <w:tcW w:w="1000" w:type="dxa"/>
            <w:vMerge w:val="restart"/>
            <w:tcBorders>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6,43</w:t>
            </w: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c>
          <w:tcPr>
            <w:tcW w:w="840" w:type="dxa"/>
            <w:vMerge w:val="restart"/>
            <w:tcBorders>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5,8</w:t>
            </w:r>
          </w:p>
        </w:tc>
        <w:tc>
          <w:tcPr>
            <w:tcW w:w="1020" w:type="dxa"/>
            <w:vMerge w:val="restart"/>
            <w:tcBorders>
              <w:right w:val="single" w:sz="8" w:space="0" w:color="auto"/>
            </w:tcBorders>
            <w:shd w:val="clear" w:color="auto" w:fill="auto"/>
            <w:vAlign w:val="bottom"/>
          </w:tcPr>
          <w:p w:rsidR="00090050" w:rsidRPr="00090050" w:rsidRDefault="00090050" w:rsidP="00090050">
            <w:pPr>
              <w:spacing w:after="0" w:line="0" w:lineRule="atLeast"/>
              <w:ind w:right="100"/>
              <w:jc w:val="right"/>
              <w:rPr>
                <w:rFonts w:ascii="Arial" w:eastAsia="Arial" w:hAnsi="Arial" w:cs="Arial"/>
                <w:sz w:val="20"/>
                <w:szCs w:val="20"/>
              </w:rPr>
            </w:pPr>
            <w:r w:rsidRPr="00090050">
              <w:rPr>
                <w:rFonts w:ascii="Arial" w:eastAsia="Arial" w:hAnsi="Arial" w:cs="Arial"/>
                <w:sz w:val="20"/>
                <w:szCs w:val="20"/>
              </w:rPr>
              <w:t>78010,4</w:t>
            </w:r>
          </w:p>
        </w:tc>
        <w:tc>
          <w:tcPr>
            <w:tcW w:w="1020" w:type="dxa"/>
            <w:vMerge w:val="restart"/>
            <w:tcBorders>
              <w:right w:val="single" w:sz="8" w:space="0" w:color="auto"/>
            </w:tcBorders>
            <w:shd w:val="clear" w:color="auto" w:fill="auto"/>
            <w:vAlign w:val="bottom"/>
          </w:tcPr>
          <w:p w:rsidR="00090050" w:rsidRPr="00090050" w:rsidRDefault="00090050" w:rsidP="00090050">
            <w:pPr>
              <w:spacing w:after="0" w:line="0" w:lineRule="atLeast"/>
              <w:jc w:val="center"/>
              <w:rPr>
                <w:rFonts w:ascii="Arial" w:eastAsia="Arial" w:hAnsi="Arial" w:cs="Arial"/>
                <w:w w:val="91"/>
                <w:sz w:val="20"/>
                <w:szCs w:val="20"/>
              </w:rPr>
            </w:pPr>
            <w:r w:rsidRPr="00090050">
              <w:rPr>
                <w:rFonts w:ascii="Arial" w:eastAsia="Arial" w:hAnsi="Arial" w:cs="Arial"/>
                <w:w w:val="91"/>
                <w:sz w:val="20"/>
                <w:szCs w:val="20"/>
              </w:rPr>
              <w:t>86478,8</w:t>
            </w: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9"/>
                <w:szCs w:val="20"/>
              </w:rPr>
            </w:pPr>
          </w:p>
        </w:tc>
      </w:tr>
      <w:tr w:rsidR="00090050" w:rsidRPr="00090050" w:rsidTr="00BD55AE">
        <w:trPr>
          <w:trHeight w:val="130"/>
        </w:trPr>
        <w:tc>
          <w:tcPr>
            <w:tcW w:w="2220" w:type="dxa"/>
            <w:vMerge w:val="restart"/>
            <w:tcBorders>
              <w:left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Arial" w:eastAsia="Arial" w:hAnsi="Arial" w:cs="Arial"/>
                <w:sz w:val="20"/>
                <w:szCs w:val="20"/>
              </w:rPr>
            </w:pPr>
            <w:r w:rsidRPr="00090050">
              <w:rPr>
                <w:rFonts w:ascii="Arial" w:eastAsia="Arial" w:hAnsi="Arial" w:cs="Arial"/>
                <w:sz w:val="20"/>
                <w:szCs w:val="20"/>
              </w:rPr>
              <w:t>хіміотерапія</w:t>
            </w:r>
          </w:p>
        </w:tc>
        <w:tc>
          <w:tcPr>
            <w:tcW w:w="1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26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0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84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2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20" w:type="dxa"/>
            <w:vMerge/>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c>
          <w:tcPr>
            <w:tcW w:w="1020" w:type="dxa"/>
            <w:tcBorders>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11"/>
                <w:szCs w:val="20"/>
              </w:rPr>
            </w:pPr>
          </w:p>
        </w:tc>
      </w:tr>
      <w:tr w:rsidR="00090050" w:rsidRPr="00090050" w:rsidTr="00BD55AE">
        <w:trPr>
          <w:trHeight w:val="111"/>
        </w:trPr>
        <w:tc>
          <w:tcPr>
            <w:tcW w:w="2220" w:type="dxa"/>
            <w:vMerge/>
            <w:tcBorders>
              <w:left w:val="single" w:sz="8" w:space="0" w:color="auto"/>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2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26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0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80" w:type="dxa"/>
            <w:tcBorders>
              <w:bottom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84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c>
          <w:tcPr>
            <w:tcW w:w="1020" w:type="dxa"/>
            <w:tcBorders>
              <w:bottom w:val="single" w:sz="8" w:space="0" w:color="auto"/>
              <w:right w:val="single" w:sz="8" w:space="0" w:color="auto"/>
            </w:tcBorders>
            <w:shd w:val="clear" w:color="auto" w:fill="auto"/>
            <w:vAlign w:val="bottom"/>
          </w:tcPr>
          <w:p w:rsidR="00090050" w:rsidRPr="00090050" w:rsidRDefault="00090050" w:rsidP="00090050">
            <w:pPr>
              <w:spacing w:after="0" w:line="0" w:lineRule="atLeast"/>
              <w:rPr>
                <w:rFonts w:ascii="Times New Roman" w:eastAsia="Times New Roman" w:hAnsi="Times New Roman" w:cs="Arial"/>
                <w:sz w:val="9"/>
                <w:szCs w:val="20"/>
              </w:rPr>
            </w:pPr>
          </w:p>
        </w:tc>
      </w:tr>
      <w:tr w:rsidR="00090050" w:rsidRPr="00090050" w:rsidTr="00BD55AE">
        <w:trPr>
          <w:trHeight w:val="449"/>
        </w:trPr>
        <w:tc>
          <w:tcPr>
            <w:tcW w:w="4780" w:type="dxa"/>
            <w:gridSpan w:val="5"/>
            <w:shd w:val="clear" w:color="auto" w:fill="auto"/>
            <w:vAlign w:val="bottom"/>
          </w:tcPr>
          <w:p w:rsidR="00090050" w:rsidRPr="00090050" w:rsidRDefault="00090050" w:rsidP="00090050">
            <w:pPr>
              <w:spacing w:after="0" w:line="0" w:lineRule="atLeast"/>
              <w:ind w:right="80"/>
              <w:jc w:val="right"/>
              <w:rPr>
                <w:rFonts w:ascii="Cambria" w:eastAsia="Cambria" w:hAnsi="Cambria" w:cs="Arial"/>
                <w:w w:val="95"/>
                <w:szCs w:val="20"/>
                <w:lang w:val="ru-RU"/>
              </w:rPr>
            </w:pPr>
            <w:r w:rsidRPr="00090050">
              <w:rPr>
                <w:rFonts w:ascii="Cambria" w:eastAsia="Cambria" w:hAnsi="Cambria" w:cs="Arial"/>
                <w:w w:val="95"/>
                <w:szCs w:val="20"/>
                <w:lang w:val="ru-RU"/>
              </w:rPr>
              <w:t>кістю рецидивів, метастазів та смертей після ви-</w:t>
            </w:r>
          </w:p>
        </w:tc>
        <w:tc>
          <w:tcPr>
            <w:tcW w:w="4920" w:type="dxa"/>
            <w:gridSpan w:val="5"/>
            <w:shd w:val="clear" w:color="auto" w:fill="auto"/>
            <w:vAlign w:val="bottom"/>
          </w:tcPr>
          <w:p w:rsidR="00090050" w:rsidRPr="00090050" w:rsidRDefault="00090050" w:rsidP="00090050">
            <w:pPr>
              <w:spacing w:after="0" w:line="0" w:lineRule="atLeast"/>
              <w:jc w:val="right"/>
              <w:rPr>
                <w:rFonts w:ascii="Cambria" w:eastAsia="Cambria" w:hAnsi="Cambria" w:cs="Arial"/>
                <w:szCs w:val="20"/>
              </w:rPr>
            </w:pPr>
            <w:r w:rsidRPr="00090050">
              <w:rPr>
                <w:rFonts w:ascii="Cambria" w:eastAsia="Cambria" w:hAnsi="Cambria" w:cs="Arial"/>
                <w:szCs w:val="20"/>
              </w:rPr>
              <w:t>Визначені шляхом фармакоекономічного ана-</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4"/>
                <w:szCs w:val="20"/>
                <w:lang w:val="ru-RU"/>
              </w:rPr>
            </w:pPr>
            <w:r w:rsidRPr="00090050">
              <w:rPr>
                <w:rFonts w:ascii="Cambria" w:eastAsia="Cambria" w:hAnsi="Cambria" w:cs="Arial"/>
                <w:w w:val="94"/>
                <w:szCs w:val="20"/>
                <w:lang w:val="ru-RU"/>
              </w:rPr>
              <w:t xml:space="preserve">користання у пацієнток з </w:t>
            </w:r>
            <w:r w:rsidRPr="00090050">
              <w:rPr>
                <w:rFonts w:ascii="Cambria" w:eastAsia="Cambria" w:hAnsi="Cambria" w:cs="Arial"/>
                <w:w w:val="94"/>
                <w:szCs w:val="20"/>
              </w:rPr>
              <w:t>HER</w:t>
            </w:r>
            <w:r w:rsidRPr="00090050">
              <w:rPr>
                <w:rFonts w:ascii="Cambria" w:eastAsia="Cambria" w:hAnsi="Cambria" w:cs="Arial"/>
                <w:w w:val="94"/>
                <w:szCs w:val="20"/>
                <w:lang w:val="ru-RU"/>
              </w:rPr>
              <w:t>2+ РМЗ трастузума-</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 xml:space="preserve">лізу інкрементальні коефіцієнти </w:t>
            </w:r>
            <w:r w:rsidRPr="00090050">
              <w:rPr>
                <w:rFonts w:ascii="Cambria" w:eastAsia="Cambria" w:hAnsi="Cambria" w:cs="Arial"/>
                <w:szCs w:val="20"/>
              </w:rPr>
              <w:t>ICER</w:t>
            </w:r>
            <w:r w:rsidRPr="00090050">
              <w:rPr>
                <w:rFonts w:ascii="Cambria" w:eastAsia="Cambria" w:hAnsi="Cambria" w:cs="Arial"/>
                <w:szCs w:val="20"/>
                <w:lang w:val="ru-RU"/>
              </w:rPr>
              <w:t xml:space="preserve"> (вартість</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9"/>
                <w:szCs w:val="20"/>
                <w:lang w:val="ru-RU"/>
              </w:rPr>
            </w:pPr>
            <w:r w:rsidRPr="00090050">
              <w:rPr>
                <w:rFonts w:ascii="Cambria" w:eastAsia="Cambria" w:hAnsi="Cambria" w:cs="Arial"/>
                <w:w w:val="99"/>
                <w:szCs w:val="20"/>
                <w:lang w:val="ru-RU"/>
              </w:rPr>
              <w:t>бу в порівнянні зі стандартною ХТ. Зменшення</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w w:val="97"/>
                <w:szCs w:val="20"/>
                <w:lang w:val="ru-RU"/>
              </w:rPr>
            </w:pPr>
            <w:r w:rsidRPr="00090050">
              <w:rPr>
                <w:rFonts w:ascii="Cambria" w:eastAsia="Cambria" w:hAnsi="Cambria" w:cs="Arial"/>
                <w:w w:val="97"/>
                <w:szCs w:val="20"/>
                <w:lang w:val="ru-RU"/>
              </w:rPr>
              <w:t xml:space="preserve">1 додаткового року життя) та </w:t>
            </w:r>
            <w:r w:rsidRPr="00090050">
              <w:rPr>
                <w:rFonts w:ascii="Cambria" w:eastAsia="Cambria" w:hAnsi="Cambria" w:cs="Arial"/>
                <w:w w:val="97"/>
                <w:szCs w:val="20"/>
              </w:rPr>
              <w:t>ICUR</w:t>
            </w:r>
            <w:r w:rsidRPr="00090050">
              <w:rPr>
                <w:rFonts w:ascii="Cambria" w:eastAsia="Cambria" w:hAnsi="Cambria" w:cs="Arial"/>
                <w:w w:val="97"/>
                <w:szCs w:val="20"/>
                <w:lang w:val="ru-RU"/>
              </w:rPr>
              <w:t xml:space="preserve"> (вартість 1 до-</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9"/>
                <w:szCs w:val="20"/>
                <w:lang w:val="ru-RU"/>
              </w:rPr>
            </w:pPr>
            <w:r w:rsidRPr="00090050">
              <w:rPr>
                <w:rFonts w:ascii="Cambria" w:eastAsia="Cambria" w:hAnsi="Cambria" w:cs="Arial"/>
                <w:w w:val="99"/>
                <w:szCs w:val="20"/>
                <w:lang w:val="ru-RU"/>
              </w:rPr>
              <w:t>кількості пацієнтів, які потребують другої лінії</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даткового року якісного життя) для ад’ювант-</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9"/>
                <w:szCs w:val="20"/>
                <w:lang w:val="ru-RU"/>
              </w:rPr>
            </w:pPr>
            <w:r w:rsidRPr="00090050">
              <w:rPr>
                <w:rFonts w:ascii="Cambria" w:eastAsia="Cambria" w:hAnsi="Cambria" w:cs="Arial"/>
                <w:w w:val="99"/>
                <w:szCs w:val="20"/>
                <w:lang w:val="ru-RU"/>
              </w:rPr>
              <w:t>ХТ та підтримуючої терапії в термінальній ста-</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ної терапії РМЗ трастузумабом у порівнянні зі</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9"/>
                <w:szCs w:val="20"/>
                <w:lang w:val="ru-RU"/>
              </w:rPr>
            </w:pPr>
            <w:r w:rsidRPr="00090050">
              <w:rPr>
                <w:rFonts w:ascii="Cambria" w:eastAsia="Cambria" w:hAnsi="Cambria" w:cs="Arial"/>
                <w:w w:val="99"/>
                <w:szCs w:val="20"/>
                <w:lang w:val="ru-RU"/>
              </w:rPr>
              <w:t>дії захворювання, сприяє зниженню загальних</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w w:val="99"/>
                <w:szCs w:val="20"/>
                <w:lang w:val="ru-RU"/>
              </w:rPr>
            </w:pPr>
            <w:r w:rsidRPr="00090050">
              <w:rPr>
                <w:rFonts w:ascii="Cambria" w:eastAsia="Cambria" w:hAnsi="Cambria" w:cs="Arial"/>
                <w:w w:val="99"/>
                <w:szCs w:val="20"/>
                <w:lang w:val="ru-RU"/>
              </w:rPr>
              <w:t>стандартними схемами хіміотерапії суттєво мен-</w:t>
            </w:r>
          </w:p>
        </w:tc>
      </w:tr>
      <w:tr w:rsidR="00090050" w:rsidRPr="00090050" w:rsidTr="00BD55AE">
        <w:trPr>
          <w:trHeight w:val="240"/>
        </w:trPr>
        <w:tc>
          <w:tcPr>
            <w:tcW w:w="2340" w:type="dxa"/>
            <w:gridSpan w:val="2"/>
            <w:shd w:val="clear" w:color="auto" w:fill="auto"/>
            <w:vAlign w:val="bottom"/>
          </w:tcPr>
          <w:p w:rsidR="00090050" w:rsidRPr="00090050" w:rsidRDefault="00090050" w:rsidP="00090050">
            <w:pPr>
              <w:spacing w:after="0" w:line="240" w:lineRule="exact"/>
              <w:rPr>
                <w:rFonts w:ascii="Cambria" w:eastAsia="Cambria" w:hAnsi="Cambria" w:cs="Arial"/>
                <w:szCs w:val="20"/>
              </w:rPr>
            </w:pPr>
            <w:r w:rsidRPr="00090050">
              <w:rPr>
                <w:rFonts w:ascii="Cambria" w:eastAsia="Cambria" w:hAnsi="Cambria" w:cs="Arial"/>
                <w:szCs w:val="20"/>
              </w:rPr>
              <w:t>витрат на їх лікування.</w:t>
            </w:r>
          </w:p>
        </w:tc>
        <w:tc>
          <w:tcPr>
            <w:tcW w:w="126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00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ші, ніж умовний поріг «готовності платити» (по-</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szCs w:val="20"/>
              </w:rPr>
            </w:pPr>
            <w:r w:rsidRPr="00090050">
              <w:rPr>
                <w:rFonts w:ascii="Cambria" w:eastAsia="Cambria" w:hAnsi="Cambria" w:cs="Arial"/>
                <w:szCs w:val="20"/>
              </w:rPr>
              <w:t>Результати розрахунків фармакоекономічних</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трійний ВВП на душу населення), який за дани-</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szCs w:val="20"/>
                <w:lang w:val="ru-RU"/>
              </w:rPr>
            </w:pPr>
            <w:r w:rsidRPr="00090050">
              <w:rPr>
                <w:rFonts w:ascii="Cambria" w:eastAsia="Cambria" w:hAnsi="Cambria" w:cs="Arial"/>
                <w:szCs w:val="20"/>
                <w:lang w:val="ru-RU"/>
              </w:rPr>
              <w:t>показників представлені в табл. 2. Як свідчать</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ми Мінфіну України на 2018 р. склав 252576 грн.</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szCs w:val="20"/>
                <w:lang w:val="ru-RU"/>
              </w:rPr>
            </w:pPr>
            <w:r w:rsidRPr="00090050">
              <w:rPr>
                <w:rFonts w:ascii="Cambria" w:eastAsia="Cambria" w:hAnsi="Cambria" w:cs="Arial"/>
                <w:szCs w:val="20"/>
                <w:lang w:val="ru-RU"/>
              </w:rPr>
              <w:t>наведені дані, ад’ювантна терапія пацієнток з</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rPr>
            </w:pPr>
            <w:r w:rsidRPr="00090050">
              <w:rPr>
                <w:rFonts w:ascii="Cambria" w:eastAsia="Cambria" w:hAnsi="Cambria" w:cs="Arial"/>
                <w:szCs w:val="20"/>
              </w:rPr>
              <w:t>Отримані результати підтверджуються дани-</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6"/>
                <w:szCs w:val="20"/>
                <w:lang w:val="ru-RU"/>
              </w:rPr>
            </w:pPr>
            <w:r w:rsidRPr="00090050">
              <w:rPr>
                <w:rFonts w:ascii="Cambria" w:eastAsia="Cambria" w:hAnsi="Cambria" w:cs="Arial"/>
                <w:w w:val="96"/>
                <w:szCs w:val="20"/>
              </w:rPr>
              <w:t>HER</w:t>
            </w:r>
            <w:r w:rsidRPr="00090050">
              <w:rPr>
                <w:rFonts w:ascii="Cambria" w:eastAsia="Cambria" w:hAnsi="Cambria" w:cs="Arial"/>
                <w:w w:val="96"/>
                <w:szCs w:val="20"/>
                <w:lang w:val="ru-RU"/>
              </w:rPr>
              <w:t>2+ РМЗ з використанням трастузумабу (пре-</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ми щодо економічної доцільності використан-</w:t>
            </w:r>
          </w:p>
        </w:tc>
      </w:tr>
      <w:tr w:rsidR="00090050" w:rsidRPr="00090050" w:rsidTr="00BD55AE">
        <w:trPr>
          <w:trHeight w:val="261"/>
        </w:trPr>
        <w:tc>
          <w:tcPr>
            <w:tcW w:w="4780" w:type="dxa"/>
            <w:gridSpan w:val="5"/>
            <w:shd w:val="clear" w:color="auto" w:fill="auto"/>
            <w:vAlign w:val="bottom"/>
          </w:tcPr>
          <w:p w:rsidR="00090050" w:rsidRPr="00090050" w:rsidRDefault="00090050" w:rsidP="00090050">
            <w:pPr>
              <w:spacing w:after="0" w:line="261" w:lineRule="exact"/>
              <w:ind w:right="80"/>
              <w:jc w:val="right"/>
              <w:rPr>
                <w:rFonts w:ascii="Cambria" w:eastAsia="Cambria" w:hAnsi="Cambria" w:cs="Arial"/>
                <w:w w:val="96"/>
                <w:szCs w:val="20"/>
                <w:lang w:val="ru-RU"/>
              </w:rPr>
            </w:pPr>
            <w:r w:rsidRPr="00090050">
              <w:rPr>
                <w:rFonts w:ascii="Cambria" w:eastAsia="Cambria" w:hAnsi="Cambria" w:cs="Arial"/>
                <w:w w:val="96"/>
                <w:szCs w:val="20"/>
                <w:lang w:val="ru-RU"/>
              </w:rPr>
              <w:t>парат Герцептин</w:t>
            </w:r>
            <w:r w:rsidRPr="00090050">
              <w:rPr>
                <w:rFonts w:ascii="Cambria" w:eastAsia="Cambria" w:hAnsi="Cambria" w:cs="Arial"/>
                <w:w w:val="96"/>
                <w:sz w:val="25"/>
                <w:szCs w:val="20"/>
                <w:vertAlign w:val="superscript"/>
                <w:lang w:val="ru-RU"/>
              </w:rPr>
              <w:t>®</w:t>
            </w:r>
            <w:r w:rsidRPr="00090050">
              <w:rPr>
                <w:rFonts w:ascii="Cambria" w:eastAsia="Cambria" w:hAnsi="Cambria" w:cs="Arial"/>
                <w:w w:val="96"/>
                <w:szCs w:val="20"/>
                <w:lang w:val="ru-RU"/>
              </w:rPr>
              <w:t>) у порівнянні зі стандартною</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w w:val="98"/>
                <w:szCs w:val="20"/>
                <w:lang w:val="ru-RU"/>
              </w:rPr>
            </w:pPr>
            <w:r w:rsidRPr="00090050">
              <w:rPr>
                <w:rFonts w:ascii="Cambria" w:eastAsia="Cambria" w:hAnsi="Cambria" w:cs="Arial"/>
                <w:w w:val="98"/>
                <w:szCs w:val="20"/>
                <w:lang w:val="ru-RU"/>
              </w:rPr>
              <w:t>ня трастузумабу в якості ад’ювантної терапії РМЗ</w:t>
            </w:r>
          </w:p>
        </w:tc>
      </w:tr>
      <w:tr w:rsidR="00090050" w:rsidRPr="00090050" w:rsidTr="00BD55AE">
        <w:trPr>
          <w:trHeight w:val="219"/>
        </w:trPr>
        <w:tc>
          <w:tcPr>
            <w:tcW w:w="4780" w:type="dxa"/>
            <w:gridSpan w:val="5"/>
            <w:shd w:val="clear" w:color="auto" w:fill="auto"/>
            <w:vAlign w:val="bottom"/>
          </w:tcPr>
          <w:p w:rsidR="00090050" w:rsidRPr="00090050" w:rsidRDefault="00090050" w:rsidP="00090050">
            <w:pPr>
              <w:spacing w:after="0" w:line="219" w:lineRule="exact"/>
              <w:ind w:right="80"/>
              <w:jc w:val="right"/>
              <w:rPr>
                <w:rFonts w:ascii="Cambria" w:eastAsia="Cambria" w:hAnsi="Cambria" w:cs="Arial"/>
                <w:w w:val="97"/>
                <w:szCs w:val="20"/>
              </w:rPr>
            </w:pPr>
            <w:r w:rsidRPr="00090050">
              <w:rPr>
                <w:rFonts w:ascii="Cambria" w:eastAsia="Cambria" w:hAnsi="Cambria" w:cs="Arial"/>
                <w:w w:val="97"/>
                <w:szCs w:val="20"/>
              </w:rPr>
              <w:t>ад’ювантноюХТпотребуєдодатково125176,0грн</w:t>
            </w:r>
          </w:p>
        </w:tc>
        <w:tc>
          <w:tcPr>
            <w:tcW w:w="4920" w:type="dxa"/>
            <w:gridSpan w:val="5"/>
            <w:shd w:val="clear" w:color="auto" w:fill="auto"/>
            <w:vAlign w:val="bottom"/>
          </w:tcPr>
          <w:p w:rsidR="00090050" w:rsidRPr="00090050" w:rsidRDefault="00090050" w:rsidP="00090050">
            <w:pPr>
              <w:spacing w:after="0" w:line="219" w:lineRule="exact"/>
              <w:jc w:val="right"/>
              <w:rPr>
                <w:rFonts w:ascii="Cambria" w:eastAsia="Cambria" w:hAnsi="Cambria" w:cs="Arial"/>
                <w:szCs w:val="20"/>
                <w:lang w:val="ru-RU"/>
              </w:rPr>
            </w:pPr>
            <w:r w:rsidRPr="00090050">
              <w:rPr>
                <w:rFonts w:ascii="Cambria" w:eastAsia="Cambria" w:hAnsi="Cambria" w:cs="Arial"/>
                <w:szCs w:val="20"/>
                <w:lang w:val="ru-RU"/>
              </w:rPr>
              <w:t>в умовах інших країн – Канади, Фінляндії, Нідер-</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7"/>
                <w:szCs w:val="20"/>
                <w:lang w:val="ru-RU"/>
              </w:rPr>
            </w:pPr>
            <w:r w:rsidRPr="00090050">
              <w:rPr>
                <w:rFonts w:ascii="Cambria" w:eastAsia="Cambria" w:hAnsi="Cambria" w:cs="Arial"/>
                <w:w w:val="97"/>
                <w:szCs w:val="20"/>
                <w:lang w:val="ru-RU"/>
              </w:rPr>
              <w:t xml:space="preserve">та забезпечує додатково 0,89 </w:t>
            </w:r>
            <w:r w:rsidRPr="00090050">
              <w:rPr>
                <w:rFonts w:ascii="Cambria" w:eastAsia="Cambria" w:hAnsi="Cambria" w:cs="Arial"/>
                <w:w w:val="97"/>
                <w:szCs w:val="20"/>
              </w:rPr>
              <w:t>LYG</w:t>
            </w:r>
            <w:r w:rsidRPr="00090050">
              <w:rPr>
                <w:rFonts w:ascii="Cambria" w:eastAsia="Cambria" w:hAnsi="Cambria" w:cs="Arial"/>
                <w:w w:val="97"/>
                <w:szCs w:val="20"/>
                <w:lang w:val="ru-RU"/>
              </w:rPr>
              <w:t xml:space="preserve"> і 0,92 </w:t>
            </w:r>
            <w:r w:rsidRPr="00090050">
              <w:rPr>
                <w:rFonts w:ascii="Cambria" w:eastAsia="Cambria" w:hAnsi="Cambria" w:cs="Arial"/>
                <w:w w:val="97"/>
                <w:szCs w:val="20"/>
              </w:rPr>
              <w:t>QALY</w:t>
            </w:r>
            <w:r w:rsidRPr="00090050">
              <w:rPr>
                <w:rFonts w:ascii="Cambria" w:eastAsia="Cambria" w:hAnsi="Cambria" w:cs="Arial"/>
                <w:w w:val="97"/>
                <w:szCs w:val="20"/>
                <w:lang w:val="ru-RU"/>
              </w:rPr>
              <w:t xml:space="preserve"> на</w:t>
            </w:r>
          </w:p>
        </w:tc>
        <w:tc>
          <w:tcPr>
            <w:tcW w:w="2880" w:type="dxa"/>
            <w:gridSpan w:val="3"/>
            <w:shd w:val="clear" w:color="auto" w:fill="auto"/>
            <w:vAlign w:val="bottom"/>
          </w:tcPr>
          <w:p w:rsidR="00090050" w:rsidRPr="00090050" w:rsidRDefault="00090050" w:rsidP="00090050">
            <w:pPr>
              <w:spacing w:after="0" w:line="240" w:lineRule="exact"/>
              <w:rPr>
                <w:rFonts w:ascii="Cambria" w:eastAsia="Cambria" w:hAnsi="Cambria" w:cs="Arial"/>
                <w:szCs w:val="20"/>
              </w:rPr>
            </w:pPr>
            <w:r w:rsidRPr="00090050">
              <w:rPr>
                <w:rFonts w:ascii="Cambria" w:eastAsia="Cambria" w:hAnsi="Cambria" w:cs="Arial"/>
                <w:szCs w:val="20"/>
              </w:rPr>
              <w:t>ландів, Італії, США [5-8].</w:t>
            </w: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1"/>
                <w:szCs w:val="20"/>
              </w:rPr>
            </w:pPr>
            <w:r w:rsidRPr="00090050">
              <w:rPr>
                <w:rFonts w:ascii="Cambria" w:eastAsia="Cambria" w:hAnsi="Cambria" w:cs="Arial"/>
                <w:w w:val="91"/>
                <w:szCs w:val="20"/>
              </w:rPr>
              <w:t>кожну пацієнтку. Інкрементальні коефіцієнти ICER</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Аналіз чутливості результатів відносно ко-</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3"/>
                <w:szCs w:val="20"/>
                <w:lang w:val="ru-RU"/>
              </w:rPr>
            </w:pPr>
            <w:r w:rsidRPr="00090050">
              <w:rPr>
                <w:rFonts w:ascii="Cambria" w:eastAsia="Cambria" w:hAnsi="Cambria" w:cs="Arial"/>
                <w:w w:val="93"/>
                <w:szCs w:val="20"/>
                <w:lang w:val="ru-RU"/>
              </w:rPr>
              <w:t xml:space="preserve">(вартість 1 додаткового року життя) та </w:t>
            </w:r>
            <w:r w:rsidRPr="00090050">
              <w:rPr>
                <w:rFonts w:ascii="Cambria" w:eastAsia="Cambria" w:hAnsi="Cambria" w:cs="Arial"/>
                <w:w w:val="93"/>
                <w:szCs w:val="20"/>
              </w:rPr>
              <w:t>ICUR</w:t>
            </w:r>
            <w:r w:rsidRPr="00090050">
              <w:rPr>
                <w:rFonts w:ascii="Cambria" w:eastAsia="Cambria" w:hAnsi="Cambria" w:cs="Arial"/>
                <w:w w:val="93"/>
                <w:szCs w:val="20"/>
                <w:lang w:val="ru-RU"/>
              </w:rPr>
              <w:t xml:space="preserve"> (вар-</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ливань ціни на трастзумаб показав, що він не</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8"/>
                <w:szCs w:val="20"/>
                <w:lang w:val="ru-RU"/>
              </w:rPr>
            </w:pPr>
            <w:r w:rsidRPr="00090050">
              <w:rPr>
                <w:rFonts w:ascii="Cambria" w:eastAsia="Cambria" w:hAnsi="Cambria" w:cs="Arial"/>
                <w:w w:val="98"/>
                <w:szCs w:val="20"/>
                <w:lang w:val="ru-RU"/>
              </w:rPr>
              <w:t>тість 1 додаткового року якісного життя) скла-</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перевищує умовну межу «готовність платити»</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8"/>
                <w:szCs w:val="20"/>
                <w:lang w:val="ru-RU"/>
              </w:rPr>
            </w:pPr>
            <w:r w:rsidRPr="00090050">
              <w:rPr>
                <w:rFonts w:ascii="Cambria" w:eastAsia="Cambria" w:hAnsi="Cambria" w:cs="Arial"/>
                <w:w w:val="98"/>
                <w:szCs w:val="20"/>
                <w:lang w:val="ru-RU"/>
              </w:rPr>
              <w:t>дають відповідно 140833,8 грн та 136088,8 грн.</w:t>
            </w:r>
          </w:p>
        </w:tc>
        <w:tc>
          <w:tcPr>
            <w:tcW w:w="3900" w:type="dxa"/>
            <w:gridSpan w:val="4"/>
            <w:shd w:val="clear" w:color="auto" w:fill="auto"/>
            <w:vAlign w:val="bottom"/>
          </w:tcPr>
          <w:p w:rsidR="00090050" w:rsidRPr="00090050" w:rsidRDefault="00090050" w:rsidP="00090050">
            <w:pPr>
              <w:spacing w:after="0" w:line="240" w:lineRule="exact"/>
              <w:rPr>
                <w:rFonts w:ascii="Cambria" w:eastAsia="Cambria" w:hAnsi="Cambria" w:cs="Arial"/>
                <w:szCs w:val="20"/>
                <w:lang w:val="ru-RU"/>
              </w:rPr>
            </w:pPr>
            <w:r w:rsidRPr="00090050">
              <w:rPr>
                <w:rFonts w:ascii="Cambria" w:eastAsia="Cambria" w:hAnsi="Cambria" w:cs="Arial"/>
                <w:szCs w:val="20"/>
                <w:lang w:val="ru-RU"/>
              </w:rPr>
              <w:t>навіть при підвищенні ціни на 30 %.</w:t>
            </w: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szCs w:val="20"/>
                <w:lang w:val="ru-RU"/>
              </w:rPr>
            </w:pPr>
            <w:r w:rsidRPr="00090050">
              <w:rPr>
                <w:rFonts w:ascii="Cambria" w:eastAsia="Cambria" w:hAnsi="Cambria" w:cs="Arial"/>
                <w:szCs w:val="20"/>
                <w:lang w:val="ru-RU"/>
              </w:rPr>
              <w:t>На теперішній час в Україні не визначена сума</w:t>
            </w:r>
          </w:p>
        </w:tc>
        <w:tc>
          <w:tcPr>
            <w:tcW w:w="1860" w:type="dxa"/>
            <w:gridSpan w:val="2"/>
            <w:shd w:val="clear" w:color="auto" w:fill="auto"/>
            <w:vAlign w:val="bottom"/>
          </w:tcPr>
          <w:p w:rsidR="00090050" w:rsidRPr="00090050" w:rsidRDefault="00090050" w:rsidP="00090050">
            <w:pPr>
              <w:spacing w:after="0" w:line="240" w:lineRule="exact"/>
              <w:ind w:right="80"/>
              <w:jc w:val="right"/>
              <w:rPr>
                <w:rFonts w:ascii="Cambria" w:eastAsia="Cambria" w:hAnsi="Cambria" w:cs="Arial"/>
                <w:szCs w:val="20"/>
              </w:rPr>
            </w:pPr>
            <w:r w:rsidRPr="00090050">
              <w:rPr>
                <w:rFonts w:ascii="Cambria" w:eastAsia="Cambria" w:hAnsi="Cambria" w:cs="Arial"/>
                <w:szCs w:val="20"/>
              </w:rPr>
              <w:t>ВИСНОВКИ</w:t>
            </w: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6"/>
                <w:szCs w:val="20"/>
                <w:lang w:val="ru-RU"/>
              </w:rPr>
            </w:pPr>
            <w:r w:rsidRPr="00090050">
              <w:rPr>
                <w:rFonts w:ascii="Cambria" w:eastAsia="Cambria" w:hAnsi="Cambria" w:cs="Arial"/>
                <w:w w:val="96"/>
                <w:szCs w:val="20"/>
                <w:lang w:val="ru-RU"/>
              </w:rPr>
              <w:t>коштів, що складає для суспільства умовний по-</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1. Таргетний препарат трастузумаб є лікарсь-</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szCs w:val="20"/>
                <w:lang w:val="ru-RU"/>
              </w:rPr>
            </w:pPr>
            <w:r w:rsidRPr="00090050">
              <w:rPr>
                <w:rFonts w:ascii="Cambria" w:eastAsia="Cambria" w:hAnsi="Cambria" w:cs="Arial"/>
                <w:szCs w:val="20"/>
                <w:lang w:val="ru-RU"/>
              </w:rPr>
              <w:t>ріг «готовність платити» за нову, більш ефек-</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ким засобом з доведеною ефективністю при ви-</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9"/>
                <w:szCs w:val="20"/>
                <w:lang w:val="ru-RU"/>
              </w:rPr>
            </w:pPr>
            <w:r w:rsidRPr="00090050">
              <w:rPr>
                <w:rFonts w:ascii="Cambria" w:eastAsia="Cambria" w:hAnsi="Cambria" w:cs="Arial"/>
                <w:w w:val="99"/>
                <w:szCs w:val="20"/>
                <w:lang w:val="ru-RU"/>
              </w:rPr>
              <w:t>тивну медичну технологію (більш ефективний</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 xml:space="preserve">користанні в якості ад’ювантної терапії </w:t>
            </w:r>
            <w:r w:rsidRPr="00090050">
              <w:rPr>
                <w:rFonts w:ascii="Cambria" w:eastAsia="Cambria" w:hAnsi="Cambria" w:cs="Arial"/>
                <w:szCs w:val="20"/>
              </w:rPr>
              <w:t>HER</w:t>
            </w:r>
            <w:r w:rsidRPr="00090050">
              <w:rPr>
                <w:rFonts w:ascii="Cambria" w:eastAsia="Cambria" w:hAnsi="Cambria" w:cs="Arial"/>
                <w:szCs w:val="20"/>
                <w:lang w:val="ru-RU"/>
              </w:rPr>
              <w:t>2+</w:t>
            </w: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9"/>
                <w:szCs w:val="20"/>
                <w:lang w:val="ru-RU"/>
              </w:rPr>
            </w:pPr>
            <w:r w:rsidRPr="00090050">
              <w:rPr>
                <w:rFonts w:ascii="Cambria" w:eastAsia="Cambria" w:hAnsi="Cambria" w:cs="Arial"/>
                <w:w w:val="99"/>
                <w:szCs w:val="20"/>
                <w:lang w:val="ru-RU"/>
              </w:rPr>
              <w:t>лікарський препарат). В той же час у більшості</w:t>
            </w:r>
          </w:p>
        </w:tc>
        <w:tc>
          <w:tcPr>
            <w:tcW w:w="2880" w:type="dxa"/>
            <w:gridSpan w:val="3"/>
            <w:shd w:val="clear" w:color="auto" w:fill="auto"/>
            <w:vAlign w:val="bottom"/>
          </w:tcPr>
          <w:p w:rsidR="00090050" w:rsidRPr="00090050" w:rsidRDefault="00090050" w:rsidP="00090050">
            <w:pPr>
              <w:spacing w:after="0" w:line="240" w:lineRule="exact"/>
              <w:rPr>
                <w:rFonts w:ascii="Cambria" w:eastAsia="Cambria" w:hAnsi="Cambria" w:cs="Arial"/>
                <w:szCs w:val="20"/>
              </w:rPr>
            </w:pPr>
            <w:r w:rsidRPr="00090050">
              <w:rPr>
                <w:rFonts w:ascii="Cambria" w:eastAsia="Cambria" w:hAnsi="Cambria" w:cs="Arial"/>
                <w:szCs w:val="20"/>
              </w:rPr>
              <w:t>РМЗ в ранній стадії.</w:t>
            </w: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c>
          <w:tcPr>
            <w:tcW w:w="102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rPr>
            </w:pPr>
          </w:p>
        </w:tc>
      </w:tr>
      <w:tr w:rsidR="00090050" w:rsidRPr="00090050" w:rsidTr="00BD55AE">
        <w:trPr>
          <w:trHeight w:val="240"/>
        </w:trPr>
        <w:tc>
          <w:tcPr>
            <w:tcW w:w="4780" w:type="dxa"/>
            <w:gridSpan w:val="5"/>
            <w:shd w:val="clear" w:color="auto" w:fill="auto"/>
            <w:vAlign w:val="bottom"/>
          </w:tcPr>
          <w:p w:rsidR="00090050" w:rsidRPr="00090050" w:rsidRDefault="00090050" w:rsidP="00090050">
            <w:pPr>
              <w:spacing w:after="0" w:line="240" w:lineRule="exact"/>
              <w:ind w:right="80"/>
              <w:jc w:val="right"/>
              <w:rPr>
                <w:rFonts w:ascii="Cambria" w:eastAsia="Cambria" w:hAnsi="Cambria" w:cs="Arial"/>
                <w:w w:val="98"/>
                <w:szCs w:val="20"/>
                <w:lang w:val="ru-RU"/>
              </w:rPr>
            </w:pPr>
            <w:r w:rsidRPr="00090050">
              <w:rPr>
                <w:rFonts w:ascii="Cambria" w:eastAsia="Cambria" w:hAnsi="Cambria" w:cs="Arial"/>
                <w:w w:val="98"/>
                <w:szCs w:val="20"/>
                <w:lang w:val="ru-RU"/>
              </w:rPr>
              <w:t>країн світу цей поріг визначається у розмірі по-</w:t>
            </w: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 xml:space="preserve">2. Схема ад’ювантної терапії </w:t>
            </w:r>
            <w:r w:rsidRPr="00090050">
              <w:rPr>
                <w:rFonts w:ascii="Cambria" w:eastAsia="Cambria" w:hAnsi="Cambria" w:cs="Arial"/>
                <w:szCs w:val="20"/>
              </w:rPr>
              <w:t>HER</w:t>
            </w:r>
            <w:r w:rsidRPr="00090050">
              <w:rPr>
                <w:rFonts w:ascii="Cambria" w:eastAsia="Cambria" w:hAnsi="Cambria" w:cs="Arial"/>
                <w:szCs w:val="20"/>
                <w:lang w:val="ru-RU"/>
              </w:rPr>
              <w:t>2 + РМЗ з ви-</w:t>
            </w:r>
          </w:p>
        </w:tc>
      </w:tr>
      <w:tr w:rsidR="00090050" w:rsidRPr="00090050" w:rsidTr="00BD55AE">
        <w:trPr>
          <w:trHeight w:val="240"/>
        </w:trPr>
        <w:tc>
          <w:tcPr>
            <w:tcW w:w="3600" w:type="dxa"/>
            <w:gridSpan w:val="3"/>
            <w:shd w:val="clear" w:color="auto" w:fill="auto"/>
            <w:vAlign w:val="bottom"/>
          </w:tcPr>
          <w:p w:rsidR="00090050" w:rsidRPr="00090050" w:rsidRDefault="00090050" w:rsidP="00090050">
            <w:pPr>
              <w:spacing w:after="0" w:line="240" w:lineRule="exact"/>
              <w:rPr>
                <w:rFonts w:ascii="Cambria" w:eastAsia="Cambria" w:hAnsi="Cambria" w:cs="Arial"/>
                <w:szCs w:val="20"/>
                <w:lang w:val="ru-RU"/>
              </w:rPr>
            </w:pPr>
            <w:r w:rsidRPr="00090050">
              <w:rPr>
                <w:rFonts w:ascii="Cambria" w:eastAsia="Cambria" w:hAnsi="Cambria" w:cs="Arial"/>
                <w:szCs w:val="20"/>
                <w:lang w:val="ru-RU"/>
              </w:rPr>
              <w:t>трійного ВВП на душу населення.</w:t>
            </w:r>
          </w:p>
        </w:tc>
        <w:tc>
          <w:tcPr>
            <w:tcW w:w="100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180" w:type="dxa"/>
            <w:shd w:val="clear" w:color="auto" w:fill="auto"/>
            <w:vAlign w:val="bottom"/>
          </w:tcPr>
          <w:p w:rsidR="00090050" w:rsidRPr="00090050" w:rsidRDefault="00090050" w:rsidP="00090050">
            <w:pPr>
              <w:spacing w:after="0" w:line="0" w:lineRule="atLeast"/>
              <w:rPr>
                <w:rFonts w:ascii="Times New Roman" w:eastAsia="Times New Roman" w:hAnsi="Times New Roman" w:cs="Arial"/>
                <w:sz w:val="20"/>
                <w:szCs w:val="20"/>
                <w:lang w:val="ru-RU"/>
              </w:rPr>
            </w:pPr>
          </w:p>
        </w:tc>
        <w:tc>
          <w:tcPr>
            <w:tcW w:w="4920" w:type="dxa"/>
            <w:gridSpan w:val="5"/>
            <w:shd w:val="clear" w:color="auto" w:fill="auto"/>
            <w:vAlign w:val="bottom"/>
          </w:tcPr>
          <w:p w:rsidR="00090050" w:rsidRPr="00090050" w:rsidRDefault="00090050" w:rsidP="00090050">
            <w:pPr>
              <w:spacing w:after="0" w:line="240" w:lineRule="exact"/>
              <w:jc w:val="right"/>
              <w:rPr>
                <w:rFonts w:ascii="Cambria" w:eastAsia="Cambria" w:hAnsi="Cambria" w:cs="Arial"/>
                <w:szCs w:val="20"/>
                <w:lang w:val="ru-RU"/>
              </w:rPr>
            </w:pPr>
            <w:r w:rsidRPr="00090050">
              <w:rPr>
                <w:rFonts w:ascii="Cambria" w:eastAsia="Cambria" w:hAnsi="Cambria" w:cs="Arial"/>
                <w:szCs w:val="20"/>
                <w:lang w:val="ru-RU"/>
              </w:rPr>
              <w:t>користанням трастузумабу у порівнянні зі стан-</w:t>
            </w:r>
          </w:p>
        </w:tc>
      </w:tr>
    </w:tbl>
    <w:p w:rsidR="00090050" w:rsidRPr="00090050" w:rsidRDefault="00090050" w:rsidP="00090050">
      <w:pPr>
        <w:spacing w:after="0" w:line="20" w:lineRule="exact"/>
        <w:rPr>
          <w:rFonts w:ascii="Times New Roman" w:eastAsia="Times New Roman" w:hAnsi="Times New Roman" w:cs="Arial"/>
          <w:sz w:val="20"/>
          <w:szCs w:val="20"/>
          <w:lang w:val="ru-RU"/>
        </w:rPr>
      </w:pPr>
      <w:r w:rsidRPr="00090050">
        <w:rPr>
          <w:rFonts w:ascii="Cambria" w:eastAsia="Cambria" w:hAnsi="Cambria" w:cs="Arial"/>
          <w:noProof/>
          <w:szCs w:val="20"/>
        </w:rPr>
        <w:drawing>
          <wp:anchor distT="0" distB="0" distL="114300" distR="114300" simplePos="0" relativeHeight="251664384" behindDoc="1" locked="0" layoutInCell="1" allowOverlap="1">
            <wp:simplePos x="0" y="0"/>
            <wp:positionH relativeFrom="column">
              <wp:posOffset>-14605</wp:posOffset>
            </wp:positionH>
            <wp:positionV relativeFrom="paragraph">
              <wp:posOffset>-5096510</wp:posOffset>
            </wp:positionV>
            <wp:extent cx="6174740" cy="544195"/>
            <wp:effectExtent l="0" t="0" r="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740" cy="544195"/>
                    </a:xfrm>
                    <a:prstGeom prst="rect">
                      <a:avLst/>
                    </a:prstGeom>
                    <a:noFill/>
                  </pic:spPr>
                </pic:pic>
              </a:graphicData>
            </a:graphic>
            <wp14:sizeRelH relativeFrom="page">
              <wp14:pctWidth>0</wp14:pctWidth>
            </wp14:sizeRelH>
            <wp14:sizeRelV relativeFrom="page">
              <wp14:pctHeight>0</wp14:pctHeight>
            </wp14:sizeRelV>
          </wp:anchor>
        </w:drawing>
      </w:r>
    </w:p>
    <w:p w:rsidR="00090050" w:rsidRPr="00090050" w:rsidRDefault="00090050" w:rsidP="00090050">
      <w:pPr>
        <w:spacing w:after="0" w:line="20" w:lineRule="exact"/>
        <w:rPr>
          <w:rFonts w:ascii="Times New Roman" w:eastAsia="Times New Roman" w:hAnsi="Times New Roman" w:cs="Arial"/>
          <w:sz w:val="20"/>
          <w:szCs w:val="20"/>
          <w:lang w:val="ru-RU"/>
        </w:rPr>
        <w:sectPr w:rsidR="00090050" w:rsidRPr="00090050">
          <w:pgSz w:w="11900" w:h="16838"/>
          <w:pgMar w:top="1028" w:right="1026" w:bottom="671" w:left="1200" w:header="0" w:footer="0" w:gutter="0"/>
          <w:cols w:space="0" w:equalWidth="0">
            <w:col w:w="9680"/>
          </w:cols>
          <w:docGrid w:linePitch="360"/>
        </w:sectPr>
      </w:pPr>
    </w:p>
    <w:tbl>
      <w:tblPr>
        <w:tblW w:w="0" w:type="auto"/>
        <w:tblLayout w:type="fixed"/>
        <w:tblCellMar>
          <w:left w:w="0" w:type="dxa"/>
          <w:right w:w="0" w:type="dxa"/>
        </w:tblCellMar>
        <w:tblLook w:val="0000" w:firstRow="0" w:lastRow="0" w:firstColumn="0" w:lastColumn="0" w:noHBand="0" w:noVBand="0"/>
      </w:tblPr>
      <w:tblGrid>
        <w:gridCol w:w="2560"/>
        <w:gridCol w:w="2280"/>
        <w:gridCol w:w="2580"/>
        <w:gridCol w:w="2280"/>
      </w:tblGrid>
      <w:tr w:rsidR="00090050" w:rsidRPr="00090050" w:rsidTr="00BD55AE">
        <w:trPr>
          <w:trHeight w:val="265"/>
        </w:trPr>
        <w:tc>
          <w:tcPr>
            <w:tcW w:w="2560" w:type="dxa"/>
            <w:tcBorders>
              <w:bottom w:val="single" w:sz="8" w:space="0" w:color="auto"/>
            </w:tcBorders>
            <w:shd w:val="clear" w:color="auto" w:fill="auto"/>
            <w:vAlign w:val="bottom"/>
          </w:tcPr>
          <w:p w:rsidR="00090050" w:rsidRPr="00090050" w:rsidRDefault="00090050" w:rsidP="00090050">
            <w:pPr>
              <w:spacing w:after="0" w:line="0" w:lineRule="atLeast"/>
              <w:rPr>
                <w:rFonts w:ascii="Century Gothic" w:eastAsia="Century Gothic" w:hAnsi="Century Gothic" w:cs="Arial"/>
                <w:sz w:val="16"/>
                <w:szCs w:val="20"/>
              </w:rPr>
            </w:pPr>
            <w:bookmarkStart w:id="5" w:name="page50"/>
            <w:bookmarkEnd w:id="5"/>
            <w:r w:rsidRPr="00090050">
              <w:rPr>
                <w:rFonts w:ascii="Century Gothic" w:eastAsia="Century Gothic" w:hAnsi="Century Gothic" w:cs="Arial"/>
                <w:sz w:val="20"/>
                <w:szCs w:val="20"/>
              </w:rPr>
              <w:lastRenderedPageBreak/>
              <w:t xml:space="preserve">50  </w:t>
            </w:r>
            <w:r w:rsidRPr="00090050">
              <w:rPr>
                <w:rFonts w:ascii="Century Gothic" w:eastAsia="Century Gothic" w:hAnsi="Century Gothic" w:cs="Arial"/>
                <w:sz w:val="16"/>
                <w:szCs w:val="20"/>
              </w:rPr>
              <w:t>ISSN 2518-1572 (Online)</w:t>
            </w:r>
          </w:p>
        </w:tc>
        <w:tc>
          <w:tcPr>
            <w:tcW w:w="4860" w:type="dxa"/>
            <w:gridSpan w:val="2"/>
            <w:tcBorders>
              <w:bottom w:val="single" w:sz="8" w:space="0" w:color="auto"/>
            </w:tcBorders>
            <w:shd w:val="clear" w:color="auto" w:fill="auto"/>
            <w:vAlign w:val="bottom"/>
          </w:tcPr>
          <w:p w:rsidR="00090050" w:rsidRPr="00090050" w:rsidRDefault="00090050" w:rsidP="00090050">
            <w:pPr>
              <w:spacing w:after="0" w:line="0" w:lineRule="atLeast"/>
              <w:rPr>
                <w:rFonts w:ascii="Century Gothic" w:eastAsia="Century Gothic" w:hAnsi="Century Gothic" w:cs="Arial"/>
                <w:sz w:val="20"/>
                <w:szCs w:val="20"/>
              </w:rPr>
            </w:pPr>
            <w:r w:rsidRPr="00090050">
              <w:rPr>
                <w:rFonts w:ascii="Century Gothic" w:eastAsia="Century Gothic" w:hAnsi="Century Gothic" w:cs="Arial"/>
                <w:sz w:val="20"/>
                <w:szCs w:val="20"/>
              </w:rPr>
              <w:t>КЛІНІЧНА ФАРМАЦІЯ. – 2019. – Т. 23, № 4</w:t>
            </w:r>
          </w:p>
        </w:tc>
        <w:tc>
          <w:tcPr>
            <w:tcW w:w="2280" w:type="dxa"/>
            <w:tcBorders>
              <w:bottom w:val="single" w:sz="8" w:space="0" w:color="auto"/>
            </w:tcBorders>
            <w:shd w:val="clear" w:color="auto" w:fill="auto"/>
            <w:vAlign w:val="bottom"/>
          </w:tcPr>
          <w:p w:rsidR="00090050" w:rsidRPr="00090050" w:rsidRDefault="00090050" w:rsidP="00090050">
            <w:pPr>
              <w:spacing w:after="0" w:line="0" w:lineRule="atLeast"/>
              <w:rPr>
                <w:rFonts w:ascii="Century Gothic" w:eastAsia="Century Gothic" w:hAnsi="Century Gothic" w:cs="Arial"/>
                <w:w w:val="98"/>
                <w:sz w:val="16"/>
                <w:szCs w:val="20"/>
              </w:rPr>
            </w:pPr>
            <w:r w:rsidRPr="00090050">
              <w:rPr>
                <w:rFonts w:ascii="Century Gothic" w:eastAsia="Century Gothic" w:hAnsi="Century Gothic" w:cs="Arial"/>
                <w:w w:val="98"/>
                <w:sz w:val="16"/>
                <w:szCs w:val="20"/>
              </w:rPr>
              <w:t>ISSN 1562-725X (Print)</w:t>
            </w:r>
          </w:p>
        </w:tc>
      </w:tr>
      <w:tr w:rsidR="00090050" w:rsidRPr="00090050" w:rsidTr="00BD55AE">
        <w:trPr>
          <w:trHeight w:val="450"/>
        </w:trPr>
        <w:tc>
          <w:tcPr>
            <w:tcW w:w="4840" w:type="dxa"/>
            <w:gridSpan w:val="2"/>
            <w:shd w:val="clear" w:color="auto" w:fill="auto"/>
            <w:vAlign w:val="bottom"/>
          </w:tcPr>
          <w:p w:rsidR="00090050" w:rsidRPr="00090050" w:rsidRDefault="00090050" w:rsidP="00090050">
            <w:pPr>
              <w:spacing w:after="0" w:line="0" w:lineRule="atLeast"/>
              <w:ind w:right="40"/>
              <w:jc w:val="right"/>
              <w:rPr>
                <w:rFonts w:ascii="Cambria" w:eastAsia="Cambria" w:hAnsi="Cambria" w:cs="Arial"/>
                <w:w w:val="97"/>
                <w:szCs w:val="20"/>
                <w:lang w:val="ru-RU"/>
              </w:rPr>
            </w:pPr>
            <w:r w:rsidRPr="00090050">
              <w:rPr>
                <w:rFonts w:ascii="Cambria" w:eastAsia="Cambria" w:hAnsi="Cambria" w:cs="Arial"/>
                <w:w w:val="97"/>
                <w:szCs w:val="20"/>
                <w:lang w:val="ru-RU"/>
              </w:rPr>
              <w:t xml:space="preserve">дартною схемою ад’ювантної терапії </w:t>
            </w:r>
            <w:r w:rsidRPr="00090050">
              <w:rPr>
                <w:rFonts w:ascii="Cambria" w:eastAsia="Cambria" w:hAnsi="Cambria" w:cs="Arial"/>
                <w:w w:val="97"/>
                <w:szCs w:val="20"/>
              </w:rPr>
              <w:t>HER</w:t>
            </w:r>
            <w:r w:rsidRPr="00090050">
              <w:rPr>
                <w:rFonts w:ascii="Cambria" w:eastAsia="Cambria" w:hAnsi="Cambria" w:cs="Arial"/>
                <w:w w:val="97"/>
                <w:szCs w:val="20"/>
                <w:lang w:val="ru-RU"/>
              </w:rPr>
              <w:t>2 + по-</w:t>
            </w:r>
          </w:p>
        </w:tc>
        <w:tc>
          <w:tcPr>
            <w:tcW w:w="4860" w:type="dxa"/>
            <w:gridSpan w:val="2"/>
            <w:shd w:val="clear" w:color="auto" w:fill="auto"/>
            <w:vAlign w:val="bottom"/>
          </w:tcPr>
          <w:p w:rsidR="00090050" w:rsidRPr="00090050" w:rsidRDefault="00090050" w:rsidP="00090050">
            <w:pPr>
              <w:spacing w:after="0" w:line="0" w:lineRule="atLeast"/>
              <w:rPr>
                <w:rFonts w:ascii="Cambria" w:eastAsia="Cambria" w:hAnsi="Cambria" w:cs="Arial"/>
                <w:w w:val="97"/>
                <w:szCs w:val="20"/>
                <w:lang w:val="ru-RU"/>
              </w:rPr>
            </w:pPr>
            <w:r w:rsidRPr="00090050">
              <w:rPr>
                <w:rFonts w:ascii="Cambria" w:eastAsia="Cambria" w:hAnsi="Cambria" w:cs="Arial"/>
                <w:w w:val="97"/>
                <w:szCs w:val="20"/>
                <w:lang w:val="ru-RU"/>
              </w:rPr>
              <w:t>методами «витрати-ефективність» та «витрати-</w:t>
            </w:r>
          </w:p>
        </w:tc>
      </w:tr>
      <w:tr w:rsidR="00090050" w:rsidRPr="00090050" w:rsidTr="00BD55AE">
        <w:trPr>
          <w:trHeight w:val="240"/>
        </w:trPr>
        <w:tc>
          <w:tcPr>
            <w:tcW w:w="4840" w:type="dxa"/>
            <w:gridSpan w:val="2"/>
            <w:shd w:val="clear" w:color="auto" w:fill="auto"/>
            <w:vAlign w:val="bottom"/>
          </w:tcPr>
          <w:p w:rsidR="00090050" w:rsidRPr="00090050" w:rsidRDefault="00090050" w:rsidP="00090050">
            <w:pPr>
              <w:spacing w:after="0" w:line="240" w:lineRule="exact"/>
              <w:ind w:right="40"/>
              <w:jc w:val="right"/>
              <w:rPr>
                <w:rFonts w:ascii="Cambria" w:eastAsia="Cambria" w:hAnsi="Cambria" w:cs="Arial"/>
                <w:szCs w:val="20"/>
                <w:lang w:val="ru-RU"/>
              </w:rPr>
            </w:pPr>
            <w:r w:rsidRPr="00090050">
              <w:rPr>
                <w:rFonts w:ascii="Cambria" w:eastAsia="Cambria" w:hAnsi="Cambria" w:cs="Arial"/>
                <w:szCs w:val="20"/>
                <w:lang w:val="ru-RU"/>
              </w:rPr>
              <w:t>требує більших витрат, що в той же час дозво-</w:t>
            </w:r>
          </w:p>
        </w:tc>
        <w:tc>
          <w:tcPr>
            <w:tcW w:w="4860" w:type="dxa"/>
            <w:gridSpan w:val="2"/>
            <w:shd w:val="clear" w:color="auto" w:fill="auto"/>
            <w:vAlign w:val="bottom"/>
          </w:tcPr>
          <w:p w:rsidR="00090050" w:rsidRPr="00090050" w:rsidRDefault="00090050" w:rsidP="00090050">
            <w:pPr>
              <w:spacing w:after="0" w:line="240" w:lineRule="exact"/>
              <w:rPr>
                <w:rFonts w:ascii="Cambria" w:eastAsia="Cambria" w:hAnsi="Cambria" w:cs="Arial"/>
                <w:szCs w:val="20"/>
              </w:rPr>
            </w:pPr>
            <w:r w:rsidRPr="00090050">
              <w:rPr>
                <w:rFonts w:ascii="Cambria" w:eastAsia="Cambria" w:hAnsi="Cambria" w:cs="Arial"/>
                <w:szCs w:val="20"/>
              </w:rPr>
              <w:t>корисність» дозволяє вважати використання</w:t>
            </w:r>
          </w:p>
        </w:tc>
      </w:tr>
      <w:tr w:rsidR="00090050" w:rsidRPr="00090050" w:rsidTr="00BD55AE">
        <w:trPr>
          <w:trHeight w:val="261"/>
        </w:trPr>
        <w:tc>
          <w:tcPr>
            <w:tcW w:w="4840" w:type="dxa"/>
            <w:gridSpan w:val="2"/>
            <w:shd w:val="clear" w:color="auto" w:fill="auto"/>
            <w:vAlign w:val="bottom"/>
          </w:tcPr>
          <w:p w:rsidR="00090050" w:rsidRPr="00090050" w:rsidRDefault="00090050" w:rsidP="00090050">
            <w:pPr>
              <w:spacing w:after="0" w:line="240" w:lineRule="exact"/>
              <w:ind w:right="40"/>
              <w:jc w:val="right"/>
              <w:rPr>
                <w:rFonts w:ascii="Cambria" w:eastAsia="Cambria" w:hAnsi="Cambria" w:cs="Arial"/>
                <w:w w:val="99"/>
                <w:szCs w:val="20"/>
                <w:lang w:val="ru-RU"/>
              </w:rPr>
            </w:pPr>
            <w:r w:rsidRPr="00090050">
              <w:rPr>
                <w:rFonts w:ascii="Cambria" w:eastAsia="Cambria" w:hAnsi="Cambria" w:cs="Arial"/>
                <w:w w:val="99"/>
                <w:szCs w:val="20"/>
                <w:lang w:val="ru-RU"/>
              </w:rPr>
              <w:t>ляє досягти кращих результатів – в перспекти-</w:t>
            </w:r>
          </w:p>
        </w:tc>
        <w:tc>
          <w:tcPr>
            <w:tcW w:w="4860" w:type="dxa"/>
            <w:gridSpan w:val="2"/>
            <w:shd w:val="clear" w:color="auto" w:fill="auto"/>
            <w:vAlign w:val="bottom"/>
          </w:tcPr>
          <w:p w:rsidR="00090050" w:rsidRPr="00090050" w:rsidRDefault="00090050" w:rsidP="00090050">
            <w:pPr>
              <w:spacing w:after="0" w:line="261" w:lineRule="exact"/>
              <w:rPr>
                <w:rFonts w:ascii="Cambria" w:eastAsia="Cambria" w:hAnsi="Cambria" w:cs="Arial"/>
                <w:szCs w:val="20"/>
                <w:lang w:val="ru-RU"/>
              </w:rPr>
            </w:pPr>
            <w:r w:rsidRPr="00090050">
              <w:rPr>
                <w:rFonts w:ascii="Cambria" w:eastAsia="Cambria" w:hAnsi="Cambria" w:cs="Arial"/>
                <w:szCs w:val="20"/>
                <w:lang w:val="ru-RU"/>
              </w:rPr>
              <w:t>трастузумабу (препарат Герцептин</w:t>
            </w:r>
            <w:r w:rsidRPr="00090050">
              <w:rPr>
                <w:rFonts w:ascii="Cambria" w:eastAsia="Cambria" w:hAnsi="Cambria" w:cs="Arial"/>
                <w:sz w:val="25"/>
                <w:szCs w:val="20"/>
                <w:vertAlign w:val="superscript"/>
                <w:lang w:val="ru-RU"/>
              </w:rPr>
              <w:t>®</w:t>
            </w:r>
            <w:r w:rsidRPr="00090050">
              <w:rPr>
                <w:rFonts w:ascii="Cambria" w:eastAsia="Cambria" w:hAnsi="Cambria" w:cs="Arial"/>
                <w:szCs w:val="20"/>
                <w:lang w:val="ru-RU"/>
              </w:rPr>
              <w:t>) в якості</w:t>
            </w:r>
          </w:p>
        </w:tc>
      </w:tr>
      <w:tr w:rsidR="00090050" w:rsidRPr="00090050" w:rsidTr="00BD55AE">
        <w:trPr>
          <w:trHeight w:val="219"/>
        </w:trPr>
        <w:tc>
          <w:tcPr>
            <w:tcW w:w="4840" w:type="dxa"/>
            <w:gridSpan w:val="2"/>
            <w:shd w:val="clear" w:color="auto" w:fill="auto"/>
            <w:vAlign w:val="bottom"/>
          </w:tcPr>
          <w:p w:rsidR="00090050" w:rsidRPr="00090050" w:rsidRDefault="00090050" w:rsidP="00090050">
            <w:pPr>
              <w:spacing w:after="0" w:line="219" w:lineRule="exact"/>
              <w:ind w:right="40"/>
              <w:jc w:val="right"/>
              <w:rPr>
                <w:rFonts w:ascii="Cambria" w:eastAsia="Cambria" w:hAnsi="Cambria" w:cs="Arial"/>
                <w:w w:val="99"/>
                <w:szCs w:val="20"/>
                <w:lang w:val="ru-RU"/>
              </w:rPr>
            </w:pPr>
            <w:r w:rsidRPr="00090050">
              <w:rPr>
                <w:rFonts w:ascii="Cambria" w:eastAsia="Cambria" w:hAnsi="Cambria" w:cs="Arial"/>
                <w:w w:val="99"/>
                <w:szCs w:val="20"/>
                <w:lang w:val="ru-RU"/>
              </w:rPr>
              <w:t>ві 10 років забезпечує в середньому додатково</w:t>
            </w:r>
          </w:p>
        </w:tc>
        <w:tc>
          <w:tcPr>
            <w:tcW w:w="4860" w:type="dxa"/>
            <w:gridSpan w:val="2"/>
            <w:shd w:val="clear" w:color="auto" w:fill="auto"/>
            <w:vAlign w:val="bottom"/>
          </w:tcPr>
          <w:p w:rsidR="00090050" w:rsidRPr="00090050" w:rsidRDefault="00090050" w:rsidP="00090050">
            <w:pPr>
              <w:spacing w:after="0" w:line="219" w:lineRule="exact"/>
              <w:rPr>
                <w:rFonts w:ascii="Cambria" w:eastAsia="Cambria" w:hAnsi="Cambria" w:cs="Arial"/>
                <w:szCs w:val="20"/>
                <w:lang w:val="ru-RU"/>
              </w:rPr>
            </w:pPr>
            <w:r w:rsidRPr="00090050">
              <w:rPr>
                <w:rFonts w:ascii="Cambria" w:eastAsia="Cambria" w:hAnsi="Cambria" w:cs="Arial"/>
                <w:szCs w:val="20"/>
                <w:lang w:val="ru-RU"/>
              </w:rPr>
              <w:t xml:space="preserve">ад’ювантної терапії </w:t>
            </w:r>
            <w:r w:rsidRPr="00090050">
              <w:rPr>
                <w:rFonts w:ascii="Cambria" w:eastAsia="Cambria" w:hAnsi="Cambria" w:cs="Arial"/>
                <w:szCs w:val="20"/>
              </w:rPr>
              <w:t>HER</w:t>
            </w:r>
            <w:r w:rsidRPr="00090050">
              <w:rPr>
                <w:rFonts w:ascii="Cambria" w:eastAsia="Cambria" w:hAnsi="Cambria" w:cs="Arial"/>
                <w:szCs w:val="20"/>
                <w:lang w:val="ru-RU"/>
              </w:rPr>
              <w:t>2 + РМЗ в ранній стадії</w:t>
            </w:r>
          </w:p>
        </w:tc>
      </w:tr>
      <w:tr w:rsidR="00090050" w:rsidRPr="00090050" w:rsidTr="00BD55AE">
        <w:trPr>
          <w:trHeight w:val="240"/>
        </w:trPr>
        <w:tc>
          <w:tcPr>
            <w:tcW w:w="4840" w:type="dxa"/>
            <w:gridSpan w:val="2"/>
            <w:shd w:val="clear" w:color="auto" w:fill="auto"/>
            <w:vAlign w:val="bottom"/>
          </w:tcPr>
          <w:p w:rsidR="00090050" w:rsidRPr="00090050" w:rsidRDefault="00090050" w:rsidP="00090050">
            <w:pPr>
              <w:spacing w:after="0" w:line="240" w:lineRule="exact"/>
              <w:rPr>
                <w:rFonts w:ascii="Cambria" w:eastAsia="Cambria" w:hAnsi="Cambria" w:cs="Arial"/>
                <w:szCs w:val="20"/>
              </w:rPr>
            </w:pPr>
            <w:r w:rsidRPr="00090050">
              <w:rPr>
                <w:rFonts w:ascii="Cambria" w:eastAsia="Cambria" w:hAnsi="Cambria" w:cs="Arial"/>
                <w:szCs w:val="20"/>
              </w:rPr>
              <w:t>0,89 років життя та 0,92 QALY.</w:t>
            </w:r>
          </w:p>
        </w:tc>
        <w:tc>
          <w:tcPr>
            <w:tcW w:w="4860" w:type="dxa"/>
            <w:gridSpan w:val="2"/>
            <w:shd w:val="clear" w:color="auto" w:fill="auto"/>
            <w:vAlign w:val="bottom"/>
          </w:tcPr>
          <w:p w:rsidR="00090050" w:rsidRPr="00090050" w:rsidRDefault="00090050" w:rsidP="00090050">
            <w:pPr>
              <w:spacing w:after="0" w:line="240" w:lineRule="exact"/>
              <w:rPr>
                <w:rFonts w:ascii="Cambria" w:eastAsia="Cambria" w:hAnsi="Cambria" w:cs="Arial"/>
                <w:szCs w:val="20"/>
              </w:rPr>
            </w:pPr>
            <w:r w:rsidRPr="00090050">
              <w:rPr>
                <w:rFonts w:ascii="Cambria" w:eastAsia="Cambria" w:hAnsi="Cambria" w:cs="Arial"/>
                <w:szCs w:val="20"/>
              </w:rPr>
              <w:t>економічно доцільною медичною технологією</w:t>
            </w:r>
          </w:p>
        </w:tc>
      </w:tr>
      <w:tr w:rsidR="00090050" w:rsidRPr="00090050" w:rsidTr="00BD55AE">
        <w:trPr>
          <w:trHeight w:val="223"/>
        </w:trPr>
        <w:tc>
          <w:tcPr>
            <w:tcW w:w="4840" w:type="dxa"/>
            <w:gridSpan w:val="2"/>
            <w:shd w:val="clear" w:color="auto" w:fill="auto"/>
            <w:vAlign w:val="bottom"/>
          </w:tcPr>
          <w:p w:rsidR="00090050" w:rsidRPr="00090050" w:rsidRDefault="00090050" w:rsidP="00090050">
            <w:pPr>
              <w:spacing w:after="0" w:line="223" w:lineRule="exact"/>
              <w:ind w:right="40"/>
              <w:jc w:val="right"/>
              <w:rPr>
                <w:rFonts w:ascii="Cambria" w:eastAsia="Cambria" w:hAnsi="Cambria" w:cs="Arial"/>
                <w:szCs w:val="20"/>
                <w:lang w:val="ru-RU"/>
              </w:rPr>
            </w:pPr>
            <w:r w:rsidRPr="00090050">
              <w:rPr>
                <w:rFonts w:ascii="Cambria" w:eastAsia="Cambria" w:hAnsi="Cambria" w:cs="Arial"/>
                <w:szCs w:val="20"/>
                <w:lang w:val="ru-RU"/>
              </w:rPr>
              <w:t>3. Фармакоекономічний аналіз на ґрунті мо-</w:t>
            </w:r>
          </w:p>
        </w:tc>
        <w:tc>
          <w:tcPr>
            <w:tcW w:w="4860" w:type="dxa"/>
            <w:gridSpan w:val="2"/>
            <w:shd w:val="clear" w:color="auto" w:fill="auto"/>
            <w:vAlign w:val="bottom"/>
          </w:tcPr>
          <w:p w:rsidR="00090050" w:rsidRPr="00090050" w:rsidRDefault="00090050" w:rsidP="00090050">
            <w:pPr>
              <w:spacing w:after="0" w:line="223" w:lineRule="exact"/>
              <w:rPr>
                <w:rFonts w:ascii="Cambria" w:eastAsia="Cambria" w:hAnsi="Cambria" w:cs="Arial"/>
                <w:szCs w:val="20"/>
                <w:lang w:val="ru-RU"/>
              </w:rPr>
            </w:pPr>
            <w:r w:rsidRPr="00090050">
              <w:rPr>
                <w:rFonts w:ascii="Cambria" w:eastAsia="Cambria" w:hAnsi="Cambria" w:cs="Arial"/>
                <w:szCs w:val="20"/>
                <w:lang w:val="ru-RU"/>
              </w:rPr>
              <w:t>в чинних умовах охорони здоров’я України.</w:t>
            </w:r>
          </w:p>
        </w:tc>
      </w:tr>
      <w:tr w:rsidR="00090050" w:rsidRPr="00090050" w:rsidTr="00BD55AE">
        <w:trPr>
          <w:trHeight w:val="257"/>
        </w:trPr>
        <w:tc>
          <w:tcPr>
            <w:tcW w:w="4840" w:type="dxa"/>
            <w:gridSpan w:val="2"/>
            <w:shd w:val="clear" w:color="auto" w:fill="auto"/>
            <w:vAlign w:val="bottom"/>
          </w:tcPr>
          <w:p w:rsidR="00090050" w:rsidRPr="00090050" w:rsidRDefault="00090050" w:rsidP="00090050">
            <w:pPr>
              <w:spacing w:after="0" w:line="0" w:lineRule="atLeast"/>
              <w:ind w:right="40"/>
              <w:jc w:val="right"/>
              <w:rPr>
                <w:rFonts w:ascii="Cambria" w:eastAsia="Cambria" w:hAnsi="Cambria" w:cs="Arial"/>
                <w:w w:val="98"/>
                <w:szCs w:val="20"/>
                <w:lang w:val="ru-RU"/>
              </w:rPr>
            </w:pPr>
            <w:r w:rsidRPr="00090050">
              <w:rPr>
                <w:rFonts w:ascii="Cambria" w:eastAsia="Cambria" w:hAnsi="Cambria" w:cs="Arial"/>
                <w:w w:val="98"/>
                <w:szCs w:val="20"/>
                <w:lang w:val="ru-RU"/>
              </w:rPr>
              <w:t>делювання за методом Маркова та розрахунків</w:t>
            </w:r>
          </w:p>
        </w:tc>
        <w:tc>
          <w:tcPr>
            <w:tcW w:w="4860" w:type="dxa"/>
            <w:gridSpan w:val="2"/>
            <w:shd w:val="clear" w:color="auto" w:fill="auto"/>
            <w:vAlign w:val="bottom"/>
          </w:tcPr>
          <w:p w:rsidR="00090050" w:rsidRPr="00090050" w:rsidRDefault="00090050" w:rsidP="00090050">
            <w:pPr>
              <w:spacing w:after="0" w:line="0" w:lineRule="atLeast"/>
              <w:rPr>
                <w:rFonts w:ascii="Cambria" w:eastAsia="Cambria" w:hAnsi="Cambria" w:cs="Arial"/>
                <w:szCs w:val="20"/>
              </w:rPr>
            </w:pPr>
            <w:r w:rsidRPr="00090050">
              <w:rPr>
                <w:rFonts w:ascii="Cambria" w:eastAsia="Cambria" w:hAnsi="Cambria" w:cs="Arial"/>
                <w:b/>
                <w:szCs w:val="20"/>
              </w:rPr>
              <w:t xml:space="preserve">Конфлікт інтересів: </w:t>
            </w:r>
            <w:r w:rsidRPr="00090050">
              <w:rPr>
                <w:rFonts w:ascii="Cambria" w:eastAsia="Cambria" w:hAnsi="Cambria" w:cs="Arial"/>
                <w:szCs w:val="20"/>
              </w:rPr>
              <w:t>відсутній.</w:t>
            </w:r>
          </w:p>
        </w:tc>
      </w:tr>
    </w:tbl>
    <w:p w:rsidR="00090050" w:rsidRPr="00090050" w:rsidRDefault="00090050" w:rsidP="00090050">
      <w:pPr>
        <w:spacing w:after="0" w:line="176" w:lineRule="exact"/>
        <w:rPr>
          <w:rFonts w:ascii="Times New Roman" w:eastAsia="Times New Roman" w:hAnsi="Times New Roman" w:cs="Arial"/>
          <w:sz w:val="20"/>
          <w:szCs w:val="20"/>
        </w:rPr>
      </w:pPr>
    </w:p>
    <w:p w:rsidR="00090050" w:rsidRPr="00090050" w:rsidRDefault="00090050" w:rsidP="00090050">
      <w:pPr>
        <w:spacing w:after="0" w:line="0" w:lineRule="atLeast"/>
        <w:rPr>
          <w:rFonts w:ascii="Cambria" w:eastAsia="Cambria" w:hAnsi="Cambria" w:cs="Arial"/>
          <w:b/>
          <w:szCs w:val="20"/>
        </w:rPr>
      </w:pPr>
      <w:r w:rsidRPr="00090050">
        <w:rPr>
          <w:rFonts w:ascii="Cambria" w:eastAsia="Cambria" w:hAnsi="Cambria" w:cs="Arial"/>
          <w:b/>
          <w:szCs w:val="20"/>
        </w:rPr>
        <w:t>Перелік використаних джерел інформації</w:t>
      </w:r>
    </w:p>
    <w:p w:rsidR="00090050" w:rsidRPr="00090050" w:rsidRDefault="00090050" w:rsidP="00090050">
      <w:pPr>
        <w:spacing w:after="0" w:line="125" w:lineRule="exact"/>
        <w:rPr>
          <w:rFonts w:ascii="Times New Roman" w:eastAsia="Times New Roman" w:hAnsi="Times New Roman" w:cs="Arial"/>
          <w:sz w:val="20"/>
          <w:szCs w:val="20"/>
        </w:rPr>
      </w:pPr>
    </w:p>
    <w:p w:rsidR="00090050" w:rsidRPr="00090050" w:rsidRDefault="00090050" w:rsidP="00090050">
      <w:pPr>
        <w:numPr>
          <w:ilvl w:val="0"/>
          <w:numId w:val="4"/>
        </w:numPr>
        <w:tabs>
          <w:tab w:val="left" w:pos="280"/>
        </w:tabs>
        <w:spacing w:after="0" w:line="227" w:lineRule="auto"/>
        <w:jc w:val="both"/>
        <w:rPr>
          <w:rFonts w:ascii="Cambria" w:eastAsia="Cambria" w:hAnsi="Cambria" w:cs="Arial"/>
          <w:sz w:val="17"/>
          <w:szCs w:val="20"/>
          <w:lang w:val="ru-RU"/>
        </w:rPr>
      </w:pPr>
      <w:r w:rsidRPr="00090050">
        <w:rPr>
          <w:rFonts w:ascii="Cambria" w:eastAsia="Cambria" w:hAnsi="Cambria" w:cs="Arial"/>
          <w:sz w:val="17"/>
          <w:szCs w:val="20"/>
        </w:rPr>
        <w:t xml:space="preserve">Уніфікований клінічний протокол первинної, вторинної (спеціалізованої), третинної (високоспеціалізованої) медичної допомоги. </w:t>
      </w:r>
      <w:r w:rsidRPr="00090050">
        <w:rPr>
          <w:rFonts w:ascii="Cambria" w:eastAsia="Cambria" w:hAnsi="Cambria" w:cs="Arial"/>
          <w:sz w:val="17"/>
          <w:szCs w:val="20"/>
          <w:lang w:val="ru-RU"/>
        </w:rPr>
        <w:t>Рак молочної залози. Затверджено Наказом Міністерства охорони здоров’я України № 396 від 30.06.2015.</w:t>
      </w:r>
    </w:p>
    <w:p w:rsidR="00090050" w:rsidRPr="00090050" w:rsidRDefault="00090050" w:rsidP="00090050">
      <w:pPr>
        <w:spacing w:after="0" w:line="40" w:lineRule="exact"/>
        <w:rPr>
          <w:rFonts w:ascii="Cambria" w:eastAsia="Cambria" w:hAnsi="Cambria" w:cs="Arial"/>
          <w:sz w:val="17"/>
          <w:szCs w:val="20"/>
          <w:lang w:val="ru-RU"/>
        </w:rPr>
      </w:pPr>
    </w:p>
    <w:p w:rsidR="00090050" w:rsidRPr="00090050" w:rsidRDefault="00090050" w:rsidP="00090050">
      <w:pPr>
        <w:numPr>
          <w:ilvl w:val="0"/>
          <w:numId w:val="4"/>
        </w:numPr>
        <w:tabs>
          <w:tab w:val="left" w:pos="280"/>
        </w:tabs>
        <w:spacing w:after="0" w:line="214" w:lineRule="auto"/>
        <w:rPr>
          <w:rFonts w:ascii="Cambria" w:eastAsia="Cambria" w:hAnsi="Cambria" w:cs="Arial"/>
          <w:sz w:val="18"/>
          <w:szCs w:val="20"/>
          <w:lang w:val="ru-RU"/>
        </w:rPr>
      </w:pPr>
      <w:r w:rsidRPr="00090050">
        <w:rPr>
          <w:rFonts w:ascii="Cambria" w:eastAsia="Cambria" w:hAnsi="Cambria" w:cs="Arial"/>
          <w:sz w:val="18"/>
          <w:szCs w:val="20"/>
          <w:lang w:val="ru-RU"/>
        </w:rPr>
        <w:t xml:space="preserve">Герцептин. Інструкція для медичного застосування. Наказ МОЗУ № 685 від 07.07.2016 р. [Електронний ресурс]. – Режим доступу : </w:t>
      </w:r>
      <w:r w:rsidRPr="00090050">
        <w:rPr>
          <w:rFonts w:ascii="Cambria" w:eastAsia="Cambria" w:hAnsi="Cambria" w:cs="Arial"/>
          <w:sz w:val="18"/>
          <w:szCs w:val="20"/>
        </w:rPr>
        <w:t>http</w:t>
      </w:r>
      <w:r w:rsidRPr="00090050">
        <w:rPr>
          <w:rFonts w:ascii="Cambria" w:eastAsia="Cambria" w:hAnsi="Cambria" w:cs="Arial"/>
          <w:sz w:val="18"/>
          <w:szCs w:val="20"/>
          <w:lang w:val="ru-RU"/>
        </w:rPr>
        <w:t>://</w:t>
      </w:r>
      <w:r w:rsidRPr="00090050">
        <w:rPr>
          <w:rFonts w:ascii="Cambria" w:eastAsia="Cambria" w:hAnsi="Cambria" w:cs="Arial"/>
          <w:sz w:val="18"/>
          <w:szCs w:val="20"/>
        </w:rPr>
        <w:t>mozdocs</w:t>
      </w:r>
      <w:r w:rsidRPr="00090050">
        <w:rPr>
          <w:rFonts w:ascii="Cambria" w:eastAsia="Cambria" w:hAnsi="Cambria" w:cs="Arial"/>
          <w:sz w:val="18"/>
          <w:szCs w:val="20"/>
          <w:lang w:val="ru-RU"/>
        </w:rPr>
        <w:t>.</w:t>
      </w:r>
      <w:r w:rsidRPr="00090050">
        <w:rPr>
          <w:rFonts w:ascii="Cambria" w:eastAsia="Cambria" w:hAnsi="Cambria" w:cs="Arial"/>
          <w:sz w:val="18"/>
          <w:szCs w:val="20"/>
        </w:rPr>
        <w:t>kiev</w:t>
      </w:r>
      <w:r w:rsidRPr="00090050">
        <w:rPr>
          <w:rFonts w:ascii="Cambria" w:eastAsia="Cambria" w:hAnsi="Cambria" w:cs="Arial"/>
          <w:sz w:val="18"/>
          <w:szCs w:val="20"/>
          <w:lang w:val="ru-RU"/>
        </w:rPr>
        <w:t>.</w:t>
      </w:r>
      <w:r w:rsidRPr="00090050">
        <w:rPr>
          <w:rFonts w:ascii="Cambria" w:eastAsia="Cambria" w:hAnsi="Cambria" w:cs="Arial"/>
          <w:sz w:val="18"/>
          <w:szCs w:val="20"/>
        </w:rPr>
        <w:t>ua</w:t>
      </w:r>
    </w:p>
    <w:p w:rsidR="00090050" w:rsidRPr="00090050" w:rsidRDefault="00090050" w:rsidP="00090050">
      <w:pPr>
        <w:spacing w:after="0" w:line="40" w:lineRule="exact"/>
        <w:rPr>
          <w:rFonts w:ascii="Cambria" w:eastAsia="Cambria" w:hAnsi="Cambria" w:cs="Arial"/>
          <w:sz w:val="18"/>
          <w:szCs w:val="20"/>
          <w:lang w:val="ru-RU"/>
        </w:rPr>
      </w:pPr>
    </w:p>
    <w:p w:rsidR="00090050" w:rsidRPr="00090050" w:rsidRDefault="00090050" w:rsidP="00090050">
      <w:pPr>
        <w:numPr>
          <w:ilvl w:val="0"/>
          <w:numId w:val="4"/>
        </w:numPr>
        <w:tabs>
          <w:tab w:val="left" w:pos="280"/>
        </w:tabs>
        <w:spacing w:after="0" w:line="219" w:lineRule="auto"/>
        <w:jc w:val="both"/>
        <w:rPr>
          <w:rFonts w:ascii="Cambria" w:eastAsia="Cambria" w:hAnsi="Cambria" w:cs="Arial"/>
          <w:sz w:val="18"/>
          <w:szCs w:val="20"/>
          <w:lang w:val="ru-RU"/>
        </w:rPr>
      </w:pPr>
      <w:r w:rsidRPr="00090050">
        <w:rPr>
          <w:rFonts w:ascii="Cambria" w:eastAsia="Cambria" w:hAnsi="Cambria" w:cs="Arial"/>
          <w:sz w:val="18"/>
          <w:szCs w:val="20"/>
          <w:lang w:val="ru-RU"/>
        </w:rPr>
        <w:t xml:space="preserve">Клинические и фармакоэкономические аспекты неоадъювантной терапии </w:t>
      </w:r>
      <w:r w:rsidRPr="00090050">
        <w:rPr>
          <w:rFonts w:ascii="Cambria" w:eastAsia="Cambria" w:hAnsi="Cambria" w:cs="Arial"/>
          <w:sz w:val="18"/>
          <w:szCs w:val="20"/>
        </w:rPr>
        <w:t>HER</w:t>
      </w:r>
      <w:r w:rsidRPr="00090050">
        <w:rPr>
          <w:rFonts w:ascii="Cambria" w:eastAsia="Cambria" w:hAnsi="Cambria" w:cs="Arial"/>
          <w:sz w:val="18"/>
          <w:szCs w:val="20"/>
          <w:lang w:val="ru-RU"/>
        </w:rPr>
        <w:t xml:space="preserve">2-позитивного рака молочной железы / В. А. Косторов, Т. Ю. Семиглазова, А. В. Павлыш и др. // Медицинский совет. – 2018. – № 10. – С. 140–146. </w:t>
      </w:r>
      <w:r w:rsidRPr="00090050">
        <w:rPr>
          <w:rFonts w:ascii="Cambria" w:eastAsia="Cambria" w:hAnsi="Cambria" w:cs="Arial"/>
          <w:sz w:val="18"/>
          <w:szCs w:val="20"/>
        </w:rPr>
        <w:t>https</w:t>
      </w:r>
      <w:r w:rsidRPr="00090050">
        <w:rPr>
          <w:rFonts w:ascii="Cambria" w:eastAsia="Cambria" w:hAnsi="Cambria" w:cs="Arial"/>
          <w:sz w:val="18"/>
          <w:szCs w:val="20"/>
          <w:lang w:val="ru-RU"/>
        </w:rPr>
        <w:t>://</w:t>
      </w:r>
      <w:r w:rsidRPr="00090050">
        <w:rPr>
          <w:rFonts w:ascii="Cambria" w:eastAsia="Cambria" w:hAnsi="Cambria" w:cs="Arial"/>
          <w:sz w:val="18"/>
          <w:szCs w:val="20"/>
        </w:rPr>
        <w:t>doi</w:t>
      </w:r>
      <w:r w:rsidRPr="00090050">
        <w:rPr>
          <w:rFonts w:ascii="Cambria" w:eastAsia="Cambria" w:hAnsi="Cambria" w:cs="Arial"/>
          <w:sz w:val="18"/>
          <w:szCs w:val="20"/>
          <w:lang w:val="ru-RU"/>
        </w:rPr>
        <w:t>.</w:t>
      </w:r>
      <w:r w:rsidRPr="00090050">
        <w:rPr>
          <w:rFonts w:ascii="Cambria" w:eastAsia="Cambria" w:hAnsi="Cambria" w:cs="Arial"/>
          <w:sz w:val="18"/>
          <w:szCs w:val="20"/>
        </w:rPr>
        <w:t>org</w:t>
      </w:r>
      <w:r w:rsidRPr="00090050">
        <w:rPr>
          <w:rFonts w:ascii="Cambria" w:eastAsia="Cambria" w:hAnsi="Cambria" w:cs="Arial"/>
          <w:sz w:val="18"/>
          <w:szCs w:val="20"/>
          <w:lang w:val="ru-RU"/>
        </w:rPr>
        <w:t>/10.21518/2079-701</w:t>
      </w:r>
      <w:r w:rsidRPr="00090050">
        <w:rPr>
          <w:rFonts w:ascii="Cambria" w:eastAsia="Cambria" w:hAnsi="Cambria" w:cs="Arial"/>
          <w:sz w:val="18"/>
          <w:szCs w:val="20"/>
        </w:rPr>
        <w:t>X</w:t>
      </w:r>
      <w:r w:rsidRPr="00090050">
        <w:rPr>
          <w:rFonts w:ascii="Cambria" w:eastAsia="Cambria" w:hAnsi="Cambria" w:cs="Arial"/>
          <w:sz w:val="18"/>
          <w:szCs w:val="20"/>
          <w:lang w:val="ru-RU"/>
        </w:rPr>
        <w:t>-2018-10-140-145</w:t>
      </w:r>
    </w:p>
    <w:p w:rsidR="00090050" w:rsidRPr="00090050" w:rsidRDefault="00090050" w:rsidP="00090050">
      <w:pPr>
        <w:spacing w:after="0" w:line="39" w:lineRule="exact"/>
        <w:rPr>
          <w:rFonts w:ascii="Cambria" w:eastAsia="Cambria" w:hAnsi="Cambria" w:cs="Arial"/>
          <w:sz w:val="18"/>
          <w:szCs w:val="20"/>
          <w:lang w:val="ru-RU"/>
        </w:rPr>
      </w:pPr>
    </w:p>
    <w:p w:rsidR="00090050" w:rsidRPr="00090050" w:rsidRDefault="00090050" w:rsidP="00090050">
      <w:pPr>
        <w:numPr>
          <w:ilvl w:val="0"/>
          <w:numId w:val="4"/>
        </w:numPr>
        <w:tabs>
          <w:tab w:val="left" w:pos="280"/>
        </w:tabs>
        <w:spacing w:after="0" w:line="214" w:lineRule="auto"/>
        <w:jc w:val="both"/>
        <w:rPr>
          <w:rFonts w:ascii="Cambria" w:eastAsia="Cambria" w:hAnsi="Cambria" w:cs="Arial"/>
          <w:sz w:val="18"/>
          <w:szCs w:val="20"/>
        </w:rPr>
      </w:pPr>
      <w:r w:rsidRPr="00090050">
        <w:rPr>
          <w:rFonts w:ascii="Cambria" w:eastAsia="Cambria" w:hAnsi="Cambria" w:cs="Arial"/>
          <w:sz w:val="18"/>
          <w:szCs w:val="20"/>
        </w:rPr>
        <w:t>11 years’ follow-up of trastuzumab after adjuvant chemotherapy in HER2-positive early breast cancer: final analysis of the HERceptin Adjuvant (HERA) trial / D. Cameron, M. Piccart-Gebhart, R. Gelbe et al. // Lancet. – 2017. – Vol. 389 (1005). –</w:t>
      </w:r>
    </w:p>
    <w:p w:rsidR="00090050" w:rsidRPr="00090050" w:rsidRDefault="00090050" w:rsidP="00090050">
      <w:pPr>
        <w:spacing w:after="0" w:line="1" w:lineRule="exact"/>
        <w:rPr>
          <w:rFonts w:ascii="Cambria" w:eastAsia="Cambria" w:hAnsi="Cambria" w:cs="Arial"/>
          <w:sz w:val="18"/>
          <w:szCs w:val="20"/>
        </w:rPr>
      </w:pPr>
    </w:p>
    <w:p w:rsidR="00090050" w:rsidRPr="00090050" w:rsidRDefault="00090050" w:rsidP="00090050">
      <w:pPr>
        <w:numPr>
          <w:ilvl w:val="1"/>
          <w:numId w:val="4"/>
        </w:numPr>
        <w:tabs>
          <w:tab w:val="left" w:pos="440"/>
        </w:tabs>
        <w:spacing w:after="0" w:line="227" w:lineRule="auto"/>
        <w:rPr>
          <w:rFonts w:ascii="Cambria" w:eastAsia="Cambria" w:hAnsi="Cambria" w:cs="Arial"/>
          <w:sz w:val="18"/>
          <w:szCs w:val="20"/>
        </w:rPr>
      </w:pPr>
      <w:r w:rsidRPr="00090050">
        <w:rPr>
          <w:rFonts w:ascii="Cambria" w:eastAsia="Cambria" w:hAnsi="Cambria" w:cs="Arial"/>
          <w:sz w:val="18"/>
          <w:szCs w:val="20"/>
        </w:rPr>
        <w:t>1185–1205. https://doi.org/10.1016/s0140-6736(16)32616-2</w:t>
      </w:r>
    </w:p>
    <w:p w:rsidR="00090050" w:rsidRPr="00090050" w:rsidRDefault="00090050" w:rsidP="00090050">
      <w:pPr>
        <w:spacing w:after="0" w:line="39" w:lineRule="exact"/>
        <w:rPr>
          <w:rFonts w:ascii="Cambria" w:eastAsia="Cambria" w:hAnsi="Cambria" w:cs="Arial"/>
          <w:sz w:val="18"/>
          <w:szCs w:val="20"/>
        </w:rPr>
      </w:pPr>
    </w:p>
    <w:p w:rsidR="00090050" w:rsidRPr="00090050" w:rsidRDefault="00090050" w:rsidP="00090050">
      <w:pPr>
        <w:numPr>
          <w:ilvl w:val="0"/>
          <w:numId w:val="4"/>
        </w:numPr>
        <w:tabs>
          <w:tab w:val="left" w:pos="280"/>
        </w:tabs>
        <w:spacing w:after="0" w:line="219" w:lineRule="auto"/>
        <w:jc w:val="both"/>
        <w:rPr>
          <w:rFonts w:ascii="Cambria" w:eastAsia="Cambria" w:hAnsi="Cambria" w:cs="Arial"/>
          <w:sz w:val="18"/>
          <w:szCs w:val="20"/>
        </w:rPr>
      </w:pPr>
      <w:r w:rsidRPr="00090050">
        <w:rPr>
          <w:rFonts w:ascii="Cambria" w:eastAsia="Cambria" w:hAnsi="Cambria" w:cs="Arial"/>
          <w:sz w:val="18"/>
          <w:szCs w:val="20"/>
        </w:rPr>
        <w:t>Cost and cost-effectiveness of adjuvant trastuzumab in the real world setting: A study of the Southeast Netherlands Breast Cancer Consortium / S. C. Seferina, L. T. Ramaekers, M. de Boer et al. // Oncotarget. – 2017. – Vol. 8. – № 45. – P. 79223–79233. https://doi.org/10.18632/oncotarget.16985</w:t>
      </w:r>
    </w:p>
    <w:p w:rsidR="00090050" w:rsidRPr="00090050" w:rsidRDefault="00090050" w:rsidP="00090050">
      <w:pPr>
        <w:spacing w:after="0" w:line="39" w:lineRule="exact"/>
        <w:rPr>
          <w:rFonts w:ascii="Cambria" w:eastAsia="Cambria" w:hAnsi="Cambria" w:cs="Arial"/>
          <w:sz w:val="18"/>
          <w:szCs w:val="20"/>
        </w:rPr>
      </w:pPr>
    </w:p>
    <w:p w:rsidR="00090050" w:rsidRPr="00090050" w:rsidRDefault="00090050" w:rsidP="00090050">
      <w:pPr>
        <w:numPr>
          <w:ilvl w:val="0"/>
          <w:numId w:val="4"/>
        </w:numPr>
        <w:tabs>
          <w:tab w:val="left" w:pos="280"/>
        </w:tabs>
        <w:spacing w:after="0" w:line="219" w:lineRule="auto"/>
        <w:jc w:val="both"/>
        <w:rPr>
          <w:rFonts w:ascii="Cambria" w:eastAsia="Cambria" w:hAnsi="Cambria" w:cs="Arial"/>
          <w:sz w:val="18"/>
          <w:szCs w:val="20"/>
        </w:rPr>
      </w:pPr>
      <w:r w:rsidRPr="00090050">
        <w:rPr>
          <w:rFonts w:ascii="Cambria" w:eastAsia="Cambria" w:hAnsi="Cambria" w:cs="Arial"/>
          <w:sz w:val="18"/>
          <w:szCs w:val="20"/>
        </w:rPr>
        <w:t>Liberato, N. Cost Effectiveness of Adjuvant Trastuzumab in Human Epidermal Growth Factor Receptor 2–Positive Breast Cancer / N. Liberato, M. Marchetti, G. Barosi // J. Clin. Oncol. – 2007. – Vol. 25, № 6. – P. 625–633. https://doi.org/10.1200/ jco.2006.06.4220</w:t>
      </w:r>
    </w:p>
    <w:p w:rsidR="00090050" w:rsidRPr="00090050" w:rsidRDefault="00090050" w:rsidP="00090050">
      <w:pPr>
        <w:spacing w:after="0" w:line="39" w:lineRule="exact"/>
        <w:rPr>
          <w:rFonts w:ascii="Cambria" w:eastAsia="Cambria" w:hAnsi="Cambria" w:cs="Arial"/>
          <w:sz w:val="18"/>
          <w:szCs w:val="20"/>
        </w:rPr>
      </w:pPr>
    </w:p>
    <w:p w:rsidR="00090050" w:rsidRPr="00090050" w:rsidRDefault="00090050" w:rsidP="00090050">
      <w:pPr>
        <w:numPr>
          <w:ilvl w:val="0"/>
          <w:numId w:val="4"/>
        </w:numPr>
        <w:tabs>
          <w:tab w:val="left" w:pos="280"/>
        </w:tabs>
        <w:spacing w:after="0" w:line="219" w:lineRule="auto"/>
        <w:jc w:val="both"/>
        <w:rPr>
          <w:rFonts w:ascii="Cambria" w:eastAsia="Cambria" w:hAnsi="Cambria" w:cs="Arial"/>
          <w:sz w:val="18"/>
          <w:szCs w:val="20"/>
        </w:rPr>
      </w:pPr>
      <w:r w:rsidRPr="00090050">
        <w:rPr>
          <w:rFonts w:ascii="Cambria" w:eastAsia="Cambria" w:hAnsi="Cambria" w:cs="Arial"/>
          <w:sz w:val="18"/>
          <w:szCs w:val="20"/>
        </w:rPr>
        <w:t>Purmonen, T. Short-course adjuvant trastuzumab therapy in early stage breast cancer in Finland : cost-effectiveness and value of information analysis based on the 5-year follow-up results of the FinHer Trial / T. Purmonen, E. Pänkäläinen, J. Tu-runen // Acta Oncol. – 2011. – Vol. 50, № 3. – P. 344–352. https://doi.org/10.3109/0284186x.2011.553841</w:t>
      </w:r>
    </w:p>
    <w:p w:rsidR="00090050" w:rsidRPr="00090050" w:rsidRDefault="00090050" w:rsidP="00090050">
      <w:pPr>
        <w:spacing w:after="0" w:line="18" w:lineRule="exact"/>
        <w:rPr>
          <w:rFonts w:ascii="Cambria" w:eastAsia="Cambria" w:hAnsi="Cambria" w:cs="Arial"/>
          <w:sz w:val="18"/>
          <w:szCs w:val="20"/>
        </w:rPr>
      </w:pPr>
    </w:p>
    <w:p w:rsidR="00090050" w:rsidRPr="00090050" w:rsidRDefault="00090050" w:rsidP="00090050">
      <w:pPr>
        <w:numPr>
          <w:ilvl w:val="0"/>
          <w:numId w:val="4"/>
        </w:numPr>
        <w:tabs>
          <w:tab w:val="left" w:pos="280"/>
        </w:tabs>
        <w:spacing w:after="0" w:line="0" w:lineRule="atLeast"/>
        <w:rPr>
          <w:rFonts w:ascii="Cambria" w:eastAsia="Cambria" w:hAnsi="Cambria" w:cs="Arial"/>
          <w:sz w:val="17"/>
          <w:szCs w:val="20"/>
        </w:rPr>
      </w:pPr>
      <w:r w:rsidRPr="00090050">
        <w:rPr>
          <w:rFonts w:ascii="Cambria" w:eastAsia="Cambria" w:hAnsi="Cambria" w:cs="Arial"/>
          <w:sz w:val="17"/>
          <w:szCs w:val="20"/>
        </w:rPr>
        <w:t>Assessing the real-world cost-effectiveness of adjuvant trastuzumab in HER-2/neu positive breast cancer / L. Hedden, S. ORelli,</w:t>
      </w:r>
    </w:p>
    <w:p w:rsidR="00090050" w:rsidRPr="00090050" w:rsidRDefault="00090050" w:rsidP="00090050">
      <w:pPr>
        <w:numPr>
          <w:ilvl w:val="1"/>
          <w:numId w:val="5"/>
        </w:numPr>
        <w:tabs>
          <w:tab w:val="left" w:pos="460"/>
        </w:tabs>
        <w:spacing w:after="0" w:line="227" w:lineRule="auto"/>
        <w:rPr>
          <w:rFonts w:ascii="Cambria" w:eastAsia="Cambria" w:hAnsi="Cambria" w:cs="Arial"/>
          <w:sz w:val="18"/>
          <w:szCs w:val="20"/>
        </w:rPr>
      </w:pPr>
      <w:r w:rsidRPr="00090050">
        <w:rPr>
          <w:rFonts w:ascii="Cambria" w:eastAsia="Cambria" w:hAnsi="Cambria" w:cs="Arial"/>
          <w:sz w:val="18"/>
          <w:szCs w:val="20"/>
        </w:rPr>
        <w:t>Lonhrisch et al. // Oncologist. – 2012. – Vol. 17, № 2. – P. 164–171. https://doi.org/10.1634/theoncologist.2011-0379</w:t>
      </w:r>
    </w:p>
    <w:p w:rsidR="00090050" w:rsidRPr="00090050" w:rsidRDefault="00090050" w:rsidP="00090050">
      <w:pPr>
        <w:spacing w:after="0" w:line="39" w:lineRule="exact"/>
        <w:rPr>
          <w:rFonts w:ascii="Cambria" w:eastAsia="Cambria" w:hAnsi="Cambria" w:cs="Arial"/>
          <w:sz w:val="18"/>
          <w:szCs w:val="20"/>
        </w:rPr>
      </w:pPr>
    </w:p>
    <w:p w:rsidR="00090050" w:rsidRPr="00090050" w:rsidRDefault="00090050" w:rsidP="00090050">
      <w:pPr>
        <w:numPr>
          <w:ilvl w:val="0"/>
          <w:numId w:val="6"/>
        </w:numPr>
        <w:tabs>
          <w:tab w:val="left" w:pos="280"/>
        </w:tabs>
        <w:spacing w:after="0" w:line="214" w:lineRule="auto"/>
        <w:rPr>
          <w:rFonts w:ascii="Cambria" w:eastAsia="Cambria" w:hAnsi="Cambria" w:cs="Arial"/>
          <w:sz w:val="18"/>
          <w:szCs w:val="20"/>
        </w:rPr>
      </w:pPr>
      <w:r w:rsidRPr="00090050">
        <w:rPr>
          <w:rFonts w:ascii="Cambria" w:eastAsia="Cambria" w:hAnsi="Cambria" w:cs="Arial"/>
          <w:sz w:val="18"/>
          <w:szCs w:val="20"/>
        </w:rPr>
        <w:t>Trastuzumab after adjuvant chemotherapy in HER2-positive breast cancer / M. Piccart-Gebhart, M. Procter, B. Leyland-Jones et al. // N. Engl. J. Med. – 2005. – Vol. 353. – P.1659–1672. https://doi.org/10.1056/nejmoa052306</w:t>
      </w:r>
    </w:p>
    <w:p w:rsidR="00090050" w:rsidRPr="00090050" w:rsidRDefault="00090050" w:rsidP="00090050">
      <w:pPr>
        <w:spacing w:after="0" w:line="40" w:lineRule="exact"/>
        <w:rPr>
          <w:rFonts w:ascii="Cambria" w:eastAsia="Cambria" w:hAnsi="Cambria" w:cs="Arial"/>
          <w:sz w:val="18"/>
          <w:szCs w:val="20"/>
        </w:rPr>
      </w:pPr>
    </w:p>
    <w:p w:rsidR="00090050" w:rsidRPr="00090050" w:rsidRDefault="00090050" w:rsidP="00090050">
      <w:pPr>
        <w:numPr>
          <w:ilvl w:val="0"/>
          <w:numId w:val="6"/>
        </w:numPr>
        <w:tabs>
          <w:tab w:val="left" w:pos="280"/>
        </w:tabs>
        <w:spacing w:after="0" w:line="227" w:lineRule="auto"/>
        <w:rPr>
          <w:rFonts w:ascii="Cambria" w:eastAsia="Cambria" w:hAnsi="Cambria" w:cs="Arial"/>
          <w:sz w:val="17"/>
          <w:szCs w:val="20"/>
        </w:rPr>
      </w:pPr>
      <w:r w:rsidRPr="00090050">
        <w:rPr>
          <w:rFonts w:ascii="Cambria" w:eastAsia="Cambria" w:hAnsi="Cambria" w:cs="Arial"/>
          <w:sz w:val="17"/>
          <w:szCs w:val="20"/>
        </w:rPr>
        <w:t>NICE. Guide to the methods of technology appraisal 2013 (PMG9). [Електронний ресурс]. – Режим доступу : https://www. nice.org.uk/process/pmg9/resources/guide-to-the-methods-of-technology-appraisal-2013-pdf-2007975843781</w:t>
      </w:r>
    </w:p>
    <w:p w:rsidR="00090050" w:rsidRPr="00090050" w:rsidRDefault="00090050" w:rsidP="00090050">
      <w:pPr>
        <w:spacing w:after="0" w:line="7" w:lineRule="exact"/>
        <w:rPr>
          <w:rFonts w:ascii="Cambria" w:eastAsia="Cambria" w:hAnsi="Cambria" w:cs="Arial"/>
          <w:sz w:val="17"/>
          <w:szCs w:val="20"/>
        </w:rPr>
      </w:pPr>
    </w:p>
    <w:p w:rsidR="00090050" w:rsidRPr="00090050" w:rsidRDefault="00090050" w:rsidP="00090050">
      <w:pPr>
        <w:numPr>
          <w:ilvl w:val="0"/>
          <w:numId w:val="6"/>
        </w:numPr>
        <w:tabs>
          <w:tab w:val="left" w:pos="280"/>
        </w:tabs>
        <w:spacing w:after="0" w:line="0" w:lineRule="atLeast"/>
        <w:rPr>
          <w:rFonts w:ascii="Cambria" w:eastAsia="Cambria" w:hAnsi="Cambria" w:cs="Arial"/>
          <w:sz w:val="18"/>
          <w:szCs w:val="20"/>
        </w:rPr>
      </w:pPr>
      <w:r w:rsidRPr="00090050">
        <w:rPr>
          <w:rFonts w:ascii="Cambria" w:eastAsia="Cambria" w:hAnsi="Cambria" w:cs="Arial"/>
          <w:sz w:val="18"/>
          <w:szCs w:val="20"/>
        </w:rPr>
        <w:t>Lidgren, M. Health Economics of Breast Cancer / M. Lidgren. – Stockholm, 2007. – 78 p.</w:t>
      </w:r>
    </w:p>
    <w:p w:rsidR="00090050" w:rsidRPr="00090050" w:rsidRDefault="00090050" w:rsidP="00090050">
      <w:pPr>
        <w:spacing w:after="0" w:line="17" w:lineRule="exact"/>
        <w:rPr>
          <w:rFonts w:ascii="Cambria" w:eastAsia="Cambria" w:hAnsi="Cambria" w:cs="Arial"/>
          <w:sz w:val="18"/>
          <w:szCs w:val="20"/>
        </w:rPr>
      </w:pPr>
    </w:p>
    <w:p w:rsidR="00090050" w:rsidRPr="00090050" w:rsidRDefault="00090050" w:rsidP="00090050">
      <w:pPr>
        <w:numPr>
          <w:ilvl w:val="0"/>
          <w:numId w:val="6"/>
        </w:numPr>
        <w:tabs>
          <w:tab w:val="left" w:pos="280"/>
        </w:tabs>
        <w:spacing w:after="0" w:line="0" w:lineRule="atLeast"/>
        <w:rPr>
          <w:rFonts w:ascii="Cambria" w:eastAsia="Cambria" w:hAnsi="Cambria" w:cs="Arial"/>
          <w:sz w:val="17"/>
          <w:szCs w:val="20"/>
        </w:rPr>
      </w:pPr>
      <w:r w:rsidRPr="00090050">
        <w:rPr>
          <w:rFonts w:ascii="Cambria" w:eastAsia="Cambria" w:hAnsi="Cambria" w:cs="Arial"/>
          <w:sz w:val="17"/>
          <w:szCs w:val="20"/>
        </w:rPr>
        <w:t>Cost-effectiveness of HER2 testing and 1-year adjuvant trastuzumab therapy for early breast cancer / M. Ligren, B. Jonsson,</w:t>
      </w:r>
    </w:p>
    <w:p w:rsidR="00090050" w:rsidRPr="00090050" w:rsidRDefault="00090050" w:rsidP="00090050">
      <w:pPr>
        <w:numPr>
          <w:ilvl w:val="1"/>
          <w:numId w:val="6"/>
        </w:numPr>
        <w:tabs>
          <w:tab w:val="left" w:pos="460"/>
        </w:tabs>
        <w:spacing w:after="0" w:line="227" w:lineRule="auto"/>
        <w:rPr>
          <w:rFonts w:ascii="Cambria" w:eastAsia="Cambria" w:hAnsi="Cambria" w:cs="Arial"/>
          <w:sz w:val="18"/>
          <w:szCs w:val="20"/>
        </w:rPr>
      </w:pPr>
      <w:r w:rsidRPr="00090050">
        <w:rPr>
          <w:rFonts w:ascii="Cambria" w:eastAsia="Cambria" w:hAnsi="Cambria" w:cs="Arial"/>
          <w:sz w:val="18"/>
          <w:szCs w:val="20"/>
        </w:rPr>
        <w:t>Rehnberg et al. // Annals of Oncol. – 2008. – Vol. 19 (3). – P. 487–495. https://doi.org/10.1093/annonc/mdm488</w:t>
      </w:r>
    </w:p>
    <w:p w:rsidR="00090050" w:rsidRPr="00090050" w:rsidRDefault="00090050" w:rsidP="00090050">
      <w:pPr>
        <w:spacing w:after="0" w:line="39" w:lineRule="exact"/>
        <w:rPr>
          <w:rFonts w:ascii="Cambria" w:eastAsia="Cambria" w:hAnsi="Cambria" w:cs="Arial"/>
          <w:sz w:val="18"/>
          <w:szCs w:val="20"/>
        </w:rPr>
      </w:pPr>
    </w:p>
    <w:p w:rsidR="00090050" w:rsidRPr="00090050" w:rsidRDefault="00090050" w:rsidP="00090050">
      <w:pPr>
        <w:numPr>
          <w:ilvl w:val="0"/>
          <w:numId w:val="6"/>
        </w:numPr>
        <w:tabs>
          <w:tab w:val="left" w:pos="280"/>
        </w:tabs>
        <w:spacing w:after="0" w:line="219" w:lineRule="auto"/>
        <w:jc w:val="both"/>
        <w:rPr>
          <w:rFonts w:ascii="Cambria" w:eastAsia="Cambria" w:hAnsi="Cambria" w:cs="Arial"/>
          <w:sz w:val="18"/>
          <w:szCs w:val="20"/>
        </w:rPr>
      </w:pPr>
      <w:r w:rsidRPr="00090050">
        <w:rPr>
          <w:rFonts w:ascii="Cambria" w:eastAsia="Cambria" w:hAnsi="Cambria" w:cs="Arial"/>
          <w:sz w:val="18"/>
          <w:szCs w:val="20"/>
        </w:rPr>
        <w:t>Supportive and palliative care for metastatic breast cancer : Resource allocations in low- and middle-income countries. A Breast Health Global Initiative 2013 consensus statementq / J. Cleary, H. Ddungu, S. R. Distelhorst et al. // The Breast. – 2013. – Vol. 22. – P. 616–627. https://doi.org/10.1016/j.breast.2013.07.052</w:t>
      </w:r>
    </w:p>
    <w:p w:rsidR="00090050" w:rsidRPr="00090050" w:rsidRDefault="00090050" w:rsidP="00090050">
      <w:pPr>
        <w:spacing w:after="0" w:line="39" w:lineRule="exact"/>
        <w:rPr>
          <w:rFonts w:ascii="Cambria" w:eastAsia="Cambria" w:hAnsi="Cambria" w:cs="Arial"/>
          <w:sz w:val="18"/>
          <w:szCs w:val="20"/>
        </w:rPr>
      </w:pPr>
    </w:p>
    <w:p w:rsidR="00090050" w:rsidRPr="00090050" w:rsidRDefault="00090050" w:rsidP="00090050">
      <w:pPr>
        <w:numPr>
          <w:ilvl w:val="0"/>
          <w:numId w:val="6"/>
        </w:numPr>
        <w:tabs>
          <w:tab w:val="left" w:pos="280"/>
        </w:tabs>
        <w:spacing w:after="0" w:line="219" w:lineRule="auto"/>
        <w:jc w:val="both"/>
        <w:rPr>
          <w:rFonts w:ascii="Cambria" w:eastAsia="Cambria" w:hAnsi="Cambria" w:cs="Arial"/>
          <w:sz w:val="18"/>
          <w:szCs w:val="20"/>
        </w:rPr>
      </w:pPr>
      <w:r w:rsidRPr="00090050">
        <w:rPr>
          <w:rFonts w:ascii="Cambria" w:eastAsia="Cambria" w:hAnsi="Cambria" w:cs="Arial"/>
          <w:sz w:val="18"/>
          <w:szCs w:val="20"/>
        </w:rPr>
        <w:t>Prospective Cost-Effectiveness Analysis of Cetuximab in Metastatic Colorectal Cancer : Evaluation of National Cancer Insti-tute of Canada Clinical Trials Group CO.17 Trial / N. Mittmann, H. Au, D. Tu et al. // J. Natl. Cancer. Inst. – 2009. – Vol. 101, Is. 17. – P. 1182–1192. https://doi.org/10.1093/jnci/djp232</w:t>
      </w:r>
    </w:p>
    <w:p w:rsidR="00090050" w:rsidRPr="00090050" w:rsidRDefault="00090050" w:rsidP="00090050">
      <w:pPr>
        <w:spacing w:after="0" w:line="39" w:lineRule="exact"/>
        <w:rPr>
          <w:rFonts w:ascii="Cambria" w:eastAsia="Cambria" w:hAnsi="Cambria" w:cs="Arial"/>
          <w:sz w:val="18"/>
          <w:szCs w:val="20"/>
        </w:rPr>
      </w:pPr>
    </w:p>
    <w:p w:rsidR="00090050" w:rsidRPr="00090050" w:rsidRDefault="00090050" w:rsidP="00090050">
      <w:pPr>
        <w:numPr>
          <w:ilvl w:val="0"/>
          <w:numId w:val="6"/>
        </w:numPr>
        <w:tabs>
          <w:tab w:val="left" w:pos="280"/>
        </w:tabs>
        <w:spacing w:after="0" w:line="219" w:lineRule="auto"/>
        <w:jc w:val="both"/>
        <w:rPr>
          <w:rFonts w:ascii="Cambria" w:eastAsia="Cambria" w:hAnsi="Cambria" w:cs="Arial"/>
          <w:sz w:val="18"/>
          <w:szCs w:val="20"/>
        </w:rPr>
      </w:pPr>
      <w:r w:rsidRPr="00090050">
        <w:rPr>
          <w:rFonts w:ascii="Cambria" w:eastAsia="Cambria" w:hAnsi="Cambria" w:cs="Arial"/>
          <w:sz w:val="18"/>
          <w:szCs w:val="20"/>
        </w:rPr>
        <w:t>Effects of radiotherapy and of differences in the extent of surgery for early breast cancer on local recurrence and 15-year survival : an overview of the randomised trials / M. Clarke, R. Collin, S. Darby et al. // Lancet. – 2005. – Vol. 366. – P. 2087–2106. https://doi.org/10.1016/s0140-6736(05)67887-7</w:t>
      </w:r>
    </w:p>
    <w:p w:rsidR="00090050" w:rsidRPr="00090050" w:rsidRDefault="00090050" w:rsidP="00090050">
      <w:pPr>
        <w:spacing w:after="0" w:line="39" w:lineRule="exact"/>
        <w:rPr>
          <w:rFonts w:ascii="Cambria" w:eastAsia="Cambria" w:hAnsi="Cambria" w:cs="Arial"/>
          <w:sz w:val="18"/>
          <w:szCs w:val="20"/>
        </w:rPr>
      </w:pPr>
    </w:p>
    <w:p w:rsidR="00090050" w:rsidRPr="00090050" w:rsidRDefault="00090050" w:rsidP="00090050">
      <w:pPr>
        <w:numPr>
          <w:ilvl w:val="0"/>
          <w:numId w:val="6"/>
        </w:numPr>
        <w:tabs>
          <w:tab w:val="left" w:pos="280"/>
        </w:tabs>
        <w:spacing w:after="0" w:line="219" w:lineRule="auto"/>
        <w:jc w:val="both"/>
        <w:rPr>
          <w:rFonts w:ascii="Cambria" w:eastAsia="Cambria" w:hAnsi="Cambria" w:cs="Arial"/>
          <w:sz w:val="18"/>
          <w:szCs w:val="20"/>
        </w:rPr>
      </w:pPr>
      <w:r w:rsidRPr="00090050">
        <w:rPr>
          <w:rFonts w:ascii="Cambria" w:eastAsia="Cambria" w:hAnsi="Cambria" w:cs="Arial"/>
          <w:sz w:val="18"/>
          <w:szCs w:val="20"/>
        </w:rPr>
        <w:t>Cost-effectiveness of trastuzumab in the adjuvant treatment of early breast cancer : a model-based analysis of the HERA and FinHer Trial / K. J. Dedes, T. D. Szucs, P. Imesch et al. // Annals of Oncol. – 2007. – Vol. 18. – P. 1493–1499. https://doi. org/10.1093/annonc/mdm185</w:t>
      </w:r>
    </w:p>
    <w:p w:rsidR="00090050" w:rsidRPr="00090050" w:rsidRDefault="00090050" w:rsidP="00090050">
      <w:pPr>
        <w:spacing w:after="0" w:line="39" w:lineRule="exact"/>
        <w:rPr>
          <w:rFonts w:ascii="Cambria" w:eastAsia="Cambria" w:hAnsi="Cambria" w:cs="Arial"/>
          <w:sz w:val="18"/>
          <w:szCs w:val="20"/>
        </w:rPr>
      </w:pPr>
    </w:p>
    <w:p w:rsidR="00090050" w:rsidRPr="00090050" w:rsidRDefault="00090050" w:rsidP="00090050">
      <w:pPr>
        <w:numPr>
          <w:ilvl w:val="0"/>
          <w:numId w:val="6"/>
        </w:numPr>
        <w:tabs>
          <w:tab w:val="left" w:pos="280"/>
        </w:tabs>
        <w:spacing w:after="0" w:line="214" w:lineRule="auto"/>
        <w:rPr>
          <w:rFonts w:ascii="Cambria" w:eastAsia="Cambria" w:hAnsi="Cambria" w:cs="Arial"/>
          <w:sz w:val="18"/>
          <w:szCs w:val="20"/>
        </w:rPr>
      </w:pPr>
      <w:r w:rsidRPr="00090050">
        <w:rPr>
          <w:rFonts w:ascii="Cambria" w:eastAsia="Cambria" w:hAnsi="Cambria" w:cs="Arial"/>
          <w:sz w:val="18"/>
          <w:szCs w:val="20"/>
          <w:lang w:val="ru-RU"/>
        </w:rPr>
        <w:t xml:space="preserve">Фармакоекономіка: навч. посібник для студ. вищ. навч. закл. / за ред. проф. </w:t>
      </w:r>
      <w:r w:rsidRPr="00090050">
        <w:rPr>
          <w:rFonts w:ascii="Cambria" w:eastAsia="Cambria" w:hAnsi="Cambria" w:cs="Arial"/>
          <w:sz w:val="18"/>
          <w:szCs w:val="20"/>
        </w:rPr>
        <w:t>Л. В. Яковлєвої. – Вінниця : Нова книга, 2009. – 208 с.</w:t>
      </w:r>
    </w:p>
    <w:p w:rsidR="00090050" w:rsidRPr="00090050" w:rsidRDefault="00090050" w:rsidP="00090050">
      <w:pPr>
        <w:spacing w:after="0" w:line="7" w:lineRule="exact"/>
        <w:rPr>
          <w:rFonts w:ascii="Cambria" w:eastAsia="Cambria" w:hAnsi="Cambria" w:cs="Arial"/>
          <w:sz w:val="18"/>
          <w:szCs w:val="20"/>
        </w:rPr>
      </w:pPr>
    </w:p>
    <w:p w:rsidR="00090050" w:rsidRPr="00090050" w:rsidRDefault="00090050" w:rsidP="00090050">
      <w:pPr>
        <w:numPr>
          <w:ilvl w:val="0"/>
          <w:numId w:val="6"/>
        </w:numPr>
        <w:tabs>
          <w:tab w:val="left" w:pos="280"/>
        </w:tabs>
        <w:spacing w:after="0" w:line="0" w:lineRule="atLeast"/>
        <w:rPr>
          <w:rFonts w:ascii="Cambria" w:eastAsia="Cambria" w:hAnsi="Cambria" w:cs="Arial"/>
          <w:sz w:val="18"/>
          <w:szCs w:val="20"/>
        </w:rPr>
      </w:pPr>
      <w:r w:rsidRPr="00090050">
        <w:rPr>
          <w:rFonts w:ascii="Cambria" w:eastAsia="Cambria" w:hAnsi="Cambria" w:cs="Arial"/>
          <w:sz w:val="18"/>
          <w:szCs w:val="20"/>
        </w:rPr>
        <w:t>Cost-utility analysis for advanced breast cancer therapy in Germany : results of the fulvestrant sequencing model / M. Lux,</w:t>
      </w:r>
    </w:p>
    <w:p w:rsidR="00090050" w:rsidRPr="00090050" w:rsidRDefault="00090050" w:rsidP="00090050">
      <w:pPr>
        <w:spacing w:after="0" w:line="21" w:lineRule="exact"/>
        <w:rPr>
          <w:rFonts w:ascii="Cambria" w:eastAsia="Cambria" w:hAnsi="Cambria" w:cs="Arial"/>
          <w:sz w:val="18"/>
          <w:szCs w:val="20"/>
        </w:rPr>
      </w:pPr>
    </w:p>
    <w:p w:rsidR="00090050" w:rsidRPr="00090050" w:rsidRDefault="00090050" w:rsidP="00090050">
      <w:pPr>
        <w:numPr>
          <w:ilvl w:val="1"/>
          <w:numId w:val="7"/>
        </w:numPr>
        <w:tabs>
          <w:tab w:val="left" w:pos="510"/>
        </w:tabs>
        <w:spacing w:after="0" w:line="214" w:lineRule="auto"/>
        <w:rPr>
          <w:rFonts w:ascii="Cambria" w:eastAsia="Cambria" w:hAnsi="Cambria" w:cs="Arial"/>
          <w:sz w:val="18"/>
          <w:szCs w:val="20"/>
        </w:rPr>
      </w:pPr>
      <w:r w:rsidRPr="00090050">
        <w:rPr>
          <w:rFonts w:ascii="Cambria" w:eastAsia="Cambria" w:hAnsi="Cambria" w:cs="Arial"/>
          <w:sz w:val="18"/>
          <w:szCs w:val="20"/>
        </w:rPr>
        <w:t>Hartmann, C. Jackisch et al. // Breast Cancer Res. and Treatment. – Springer Verlag, 2009. – Vol. 117 (2). – P. 305–317. https://doi.org/10.1007/s10549-008-0294-9</w:t>
      </w:r>
    </w:p>
    <w:p w:rsidR="00090050" w:rsidRPr="00090050" w:rsidRDefault="00090050" w:rsidP="00090050">
      <w:pPr>
        <w:spacing w:after="0" w:line="7" w:lineRule="exact"/>
        <w:rPr>
          <w:rFonts w:ascii="Cambria" w:eastAsia="Cambria" w:hAnsi="Cambria" w:cs="Arial"/>
          <w:sz w:val="18"/>
          <w:szCs w:val="20"/>
        </w:rPr>
      </w:pPr>
    </w:p>
    <w:p w:rsidR="00090050" w:rsidRPr="00090050" w:rsidRDefault="00090050" w:rsidP="00090050">
      <w:pPr>
        <w:numPr>
          <w:ilvl w:val="0"/>
          <w:numId w:val="8"/>
        </w:numPr>
        <w:tabs>
          <w:tab w:val="left" w:pos="280"/>
        </w:tabs>
        <w:spacing w:after="0" w:line="0" w:lineRule="atLeast"/>
        <w:rPr>
          <w:rFonts w:ascii="Cambria" w:eastAsia="Cambria" w:hAnsi="Cambria" w:cs="Arial"/>
          <w:sz w:val="18"/>
          <w:szCs w:val="20"/>
        </w:rPr>
      </w:pPr>
      <w:r w:rsidRPr="00090050">
        <w:rPr>
          <w:rFonts w:ascii="Cambria" w:eastAsia="Cambria" w:hAnsi="Cambria" w:cs="Arial"/>
          <w:sz w:val="18"/>
          <w:szCs w:val="20"/>
        </w:rPr>
        <w:t>Cost-Effectiveness Analysis of Trastuzumab in the Adjuvant Treatment for Early Breast Cancer / A. Aboutorabi, M. Hadian,</w:t>
      </w:r>
    </w:p>
    <w:p w:rsidR="00090050" w:rsidRPr="00090050" w:rsidRDefault="00090050" w:rsidP="00090050">
      <w:pPr>
        <w:numPr>
          <w:ilvl w:val="1"/>
          <w:numId w:val="8"/>
        </w:numPr>
        <w:tabs>
          <w:tab w:val="left" w:pos="480"/>
        </w:tabs>
        <w:spacing w:after="0" w:line="227" w:lineRule="auto"/>
        <w:rPr>
          <w:rFonts w:ascii="Cambria" w:eastAsia="Cambria" w:hAnsi="Cambria" w:cs="Arial"/>
          <w:sz w:val="18"/>
          <w:szCs w:val="20"/>
        </w:rPr>
      </w:pPr>
      <w:r w:rsidRPr="00090050">
        <w:rPr>
          <w:rFonts w:ascii="Cambria" w:eastAsia="Cambria" w:hAnsi="Cambria" w:cs="Arial"/>
          <w:sz w:val="18"/>
          <w:szCs w:val="20"/>
        </w:rPr>
        <w:t>Ghaderi et al. // Global J. of Health Sci. – 2015. – Vol. 7, № 1. – Р. 98–106. https://doi.org/10.5539/gjhs.v7n1p98</w:t>
      </w:r>
    </w:p>
    <w:p w:rsidR="00090050" w:rsidRPr="00090050" w:rsidRDefault="00090050" w:rsidP="00090050">
      <w:pPr>
        <w:spacing w:after="0" w:line="6" w:lineRule="exact"/>
        <w:rPr>
          <w:rFonts w:ascii="Cambria" w:eastAsia="Cambria" w:hAnsi="Cambria" w:cs="Arial"/>
          <w:sz w:val="18"/>
          <w:szCs w:val="20"/>
        </w:rPr>
      </w:pPr>
    </w:p>
    <w:p w:rsidR="00090050" w:rsidRPr="00090050" w:rsidRDefault="00090050" w:rsidP="00090050">
      <w:pPr>
        <w:numPr>
          <w:ilvl w:val="0"/>
          <w:numId w:val="8"/>
        </w:numPr>
        <w:tabs>
          <w:tab w:val="left" w:pos="280"/>
        </w:tabs>
        <w:spacing w:after="0" w:line="0" w:lineRule="atLeast"/>
        <w:rPr>
          <w:rFonts w:ascii="Cambria" w:eastAsia="Cambria" w:hAnsi="Cambria" w:cs="Arial"/>
          <w:sz w:val="18"/>
          <w:szCs w:val="20"/>
          <w:lang w:val="ru-RU"/>
        </w:rPr>
      </w:pPr>
      <w:r w:rsidRPr="00090050">
        <w:rPr>
          <w:rFonts w:ascii="Cambria" w:eastAsia="Cambria" w:hAnsi="Cambria" w:cs="Arial"/>
          <w:sz w:val="18"/>
          <w:szCs w:val="20"/>
          <w:lang w:val="ru-RU"/>
        </w:rPr>
        <w:t xml:space="preserve">Прейскурант на медицинские услуги. [Електронний ресурс]. – Режим доступу : </w:t>
      </w:r>
      <w:r w:rsidRPr="00090050">
        <w:rPr>
          <w:rFonts w:ascii="Cambria" w:eastAsia="Cambria" w:hAnsi="Cambria" w:cs="Arial"/>
          <w:sz w:val="18"/>
          <w:szCs w:val="20"/>
        </w:rPr>
        <w:t>http</w:t>
      </w:r>
      <w:r w:rsidRPr="00090050">
        <w:rPr>
          <w:rFonts w:ascii="Cambria" w:eastAsia="Cambria" w:hAnsi="Cambria" w:cs="Arial"/>
          <w:sz w:val="18"/>
          <w:szCs w:val="20"/>
          <w:lang w:val="ru-RU"/>
        </w:rPr>
        <w:t>://</w:t>
      </w:r>
      <w:r w:rsidRPr="00090050">
        <w:rPr>
          <w:rFonts w:ascii="Cambria" w:eastAsia="Cambria" w:hAnsi="Cambria" w:cs="Arial"/>
          <w:sz w:val="18"/>
          <w:szCs w:val="20"/>
        </w:rPr>
        <w:t>med</w:t>
      </w:r>
      <w:r w:rsidRPr="00090050">
        <w:rPr>
          <w:rFonts w:ascii="Cambria" w:eastAsia="Cambria" w:hAnsi="Cambria" w:cs="Arial"/>
          <w:sz w:val="18"/>
          <w:szCs w:val="20"/>
          <w:lang w:val="ru-RU"/>
        </w:rPr>
        <w:t>.</w:t>
      </w:r>
      <w:r w:rsidRPr="00090050">
        <w:rPr>
          <w:rFonts w:ascii="Cambria" w:eastAsia="Cambria" w:hAnsi="Cambria" w:cs="Arial"/>
          <w:sz w:val="18"/>
          <w:szCs w:val="20"/>
        </w:rPr>
        <w:t>interpipe</w:t>
      </w:r>
      <w:r w:rsidRPr="00090050">
        <w:rPr>
          <w:rFonts w:ascii="Cambria" w:eastAsia="Cambria" w:hAnsi="Cambria" w:cs="Arial"/>
          <w:sz w:val="18"/>
          <w:szCs w:val="20"/>
          <w:lang w:val="ru-RU"/>
        </w:rPr>
        <w:t>.</w:t>
      </w:r>
      <w:r w:rsidRPr="00090050">
        <w:rPr>
          <w:rFonts w:ascii="Cambria" w:eastAsia="Cambria" w:hAnsi="Cambria" w:cs="Arial"/>
          <w:sz w:val="18"/>
          <w:szCs w:val="20"/>
        </w:rPr>
        <w:t>biz</w:t>
      </w:r>
      <w:r w:rsidRPr="00090050">
        <w:rPr>
          <w:rFonts w:ascii="Cambria" w:eastAsia="Cambria" w:hAnsi="Cambria" w:cs="Arial"/>
          <w:sz w:val="18"/>
          <w:szCs w:val="20"/>
          <w:lang w:val="ru-RU"/>
        </w:rPr>
        <w:t>/</w:t>
      </w:r>
      <w:r w:rsidRPr="00090050">
        <w:rPr>
          <w:rFonts w:ascii="Cambria" w:eastAsia="Cambria" w:hAnsi="Cambria" w:cs="Arial"/>
          <w:sz w:val="18"/>
          <w:szCs w:val="20"/>
        </w:rPr>
        <w:t>price</w:t>
      </w:r>
    </w:p>
    <w:p w:rsidR="00090050" w:rsidRPr="00090050" w:rsidRDefault="00090050" w:rsidP="00090050">
      <w:pPr>
        <w:spacing w:after="0" w:line="5" w:lineRule="exact"/>
        <w:rPr>
          <w:rFonts w:ascii="Cambria" w:eastAsia="Cambria" w:hAnsi="Cambria" w:cs="Arial"/>
          <w:sz w:val="18"/>
          <w:szCs w:val="20"/>
          <w:lang w:val="ru-RU"/>
        </w:rPr>
      </w:pPr>
    </w:p>
    <w:p w:rsidR="00090050" w:rsidRPr="00090050" w:rsidRDefault="00090050" w:rsidP="00090050">
      <w:pPr>
        <w:numPr>
          <w:ilvl w:val="0"/>
          <w:numId w:val="8"/>
        </w:numPr>
        <w:tabs>
          <w:tab w:val="left" w:pos="280"/>
        </w:tabs>
        <w:spacing w:after="0" w:line="0" w:lineRule="atLeast"/>
        <w:rPr>
          <w:rFonts w:ascii="Cambria" w:eastAsia="Cambria" w:hAnsi="Cambria" w:cs="Arial"/>
          <w:sz w:val="18"/>
          <w:szCs w:val="20"/>
          <w:lang w:val="ru-RU"/>
        </w:rPr>
      </w:pPr>
      <w:r w:rsidRPr="00090050">
        <w:rPr>
          <w:rFonts w:ascii="Cambria" w:eastAsia="Cambria" w:hAnsi="Cambria" w:cs="Arial"/>
          <w:sz w:val="18"/>
          <w:szCs w:val="20"/>
          <w:lang w:val="ru-RU"/>
        </w:rPr>
        <w:t xml:space="preserve">Прейскурант на медицинские услуги. [Електронний ресурс]. – Режим доступу : </w:t>
      </w:r>
      <w:r w:rsidRPr="00090050">
        <w:rPr>
          <w:rFonts w:ascii="Cambria" w:eastAsia="Cambria" w:hAnsi="Cambria" w:cs="Arial"/>
          <w:sz w:val="18"/>
          <w:szCs w:val="20"/>
        </w:rPr>
        <w:t>http</w:t>
      </w:r>
      <w:r w:rsidRPr="00090050">
        <w:rPr>
          <w:rFonts w:ascii="Cambria" w:eastAsia="Cambria" w:hAnsi="Cambria" w:cs="Arial"/>
          <w:sz w:val="18"/>
          <w:szCs w:val="20"/>
          <w:lang w:val="ru-RU"/>
        </w:rPr>
        <w:t>://</w:t>
      </w:r>
      <w:r w:rsidRPr="00090050">
        <w:rPr>
          <w:rFonts w:ascii="Cambria" w:eastAsia="Cambria" w:hAnsi="Cambria" w:cs="Arial"/>
          <w:sz w:val="18"/>
          <w:szCs w:val="20"/>
        </w:rPr>
        <w:t>zds</w:t>
      </w:r>
      <w:r w:rsidRPr="00090050">
        <w:rPr>
          <w:rFonts w:ascii="Cambria" w:eastAsia="Cambria" w:hAnsi="Cambria" w:cs="Arial"/>
          <w:sz w:val="18"/>
          <w:szCs w:val="20"/>
          <w:lang w:val="ru-RU"/>
        </w:rPr>
        <w:t>.</w:t>
      </w:r>
      <w:r w:rsidRPr="00090050">
        <w:rPr>
          <w:rFonts w:ascii="Cambria" w:eastAsia="Cambria" w:hAnsi="Cambria" w:cs="Arial"/>
          <w:sz w:val="18"/>
          <w:szCs w:val="20"/>
        </w:rPr>
        <w:t>com</w:t>
      </w:r>
      <w:r w:rsidRPr="00090050">
        <w:rPr>
          <w:rFonts w:ascii="Cambria" w:eastAsia="Cambria" w:hAnsi="Cambria" w:cs="Arial"/>
          <w:sz w:val="18"/>
          <w:szCs w:val="20"/>
          <w:lang w:val="ru-RU"/>
        </w:rPr>
        <w:t>.</w:t>
      </w:r>
      <w:r w:rsidRPr="00090050">
        <w:rPr>
          <w:rFonts w:ascii="Cambria" w:eastAsia="Cambria" w:hAnsi="Cambria" w:cs="Arial"/>
          <w:sz w:val="18"/>
          <w:szCs w:val="20"/>
        </w:rPr>
        <w:t>ua</w:t>
      </w:r>
      <w:r w:rsidRPr="00090050">
        <w:rPr>
          <w:rFonts w:ascii="Cambria" w:eastAsia="Cambria" w:hAnsi="Cambria" w:cs="Arial"/>
          <w:sz w:val="18"/>
          <w:szCs w:val="20"/>
          <w:lang w:val="ru-RU"/>
        </w:rPr>
        <w:t>/</w:t>
      </w:r>
      <w:r w:rsidRPr="00090050">
        <w:rPr>
          <w:rFonts w:ascii="Cambria" w:eastAsia="Cambria" w:hAnsi="Cambria" w:cs="Arial"/>
          <w:sz w:val="18"/>
          <w:szCs w:val="20"/>
        </w:rPr>
        <w:t>medicine</w:t>
      </w:r>
      <w:r w:rsidRPr="00090050">
        <w:rPr>
          <w:rFonts w:ascii="Cambria" w:eastAsia="Cambria" w:hAnsi="Cambria" w:cs="Arial"/>
          <w:sz w:val="18"/>
          <w:szCs w:val="20"/>
          <w:lang w:val="ru-RU"/>
        </w:rPr>
        <w:t>/</w:t>
      </w:r>
      <w:r w:rsidRPr="00090050">
        <w:rPr>
          <w:rFonts w:ascii="Cambria" w:eastAsia="Cambria" w:hAnsi="Cambria" w:cs="Arial"/>
          <w:sz w:val="18"/>
          <w:szCs w:val="20"/>
        </w:rPr>
        <w:t>prices</w:t>
      </w:r>
    </w:p>
    <w:p w:rsidR="00090050" w:rsidRPr="00090050" w:rsidRDefault="00090050" w:rsidP="00090050">
      <w:pPr>
        <w:spacing w:after="0" w:line="38" w:lineRule="exact"/>
        <w:rPr>
          <w:rFonts w:ascii="Cambria" w:eastAsia="Cambria" w:hAnsi="Cambria" w:cs="Arial"/>
          <w:sz w:val="18"/>
          <w:szCs w:val="20"/>
          <w:lang w:val="ru-RU"/>
        </w:rPr>
      </w:pPr>
    </w:p>
    <w:p w:rsidR="00090050" w:rsidRPr="00090050" w:rsidRDefault="00090050" w:rsidP="00090050">
      <w:pPr>
        <w:numPr>
          <w:ilvl w:val="0"/>
          <w:numId w:val="8"/>
        </w:numPr>
        <w:tabs>
          <w:tab w:val="left" w:pos="280"/>
        </w:tabs>
        <w:spacing w:after="0" w:line="214" w:lineRule="auto"/>
        <w:rPr>
          <w:rFonts w:ascii="Cambria" w:eastAsia="Cambria" w:hAnsi="Cambria" w:cs="Arial"/>
          <w:sz w:val="18"/>
          <w:szCs w:val="20"/>
        </w:rPr>
      </w:pPr>
      <w:r w:rsidRPr="00090050">
        <w:rPr>
          <w:rFonts w:ascii="Cambria" w:eastAsia="Cambria" w:hAnsi="Cambria" w:cs="Arial"/>
          <w:sz w:val="18"/>
          <w:szCs w:val="20"/>
        </w:rPr>
        <w:t>Gianni, L. Tolerability in patients receiving trastuzumab with or without chemotherapy / L. Gianni // Annals of Oncol. – 2001. – Vol. 12 (Suppl. 1). – P. 63–68. https://doi.org/10.1093/annonc/12.suppl_1.s63</w:t>
      </w:r>
    </w:p>
    <w:p w:rsidR="00090050" w:rsidRPr="00090050" w:rsidRDefault="00090050" w:rsidP="00090050">
      <w:pPr>
        <w:spacing w:after="0" w:line="148" w:lineRule="exact"/>
        <w:rPr>
          <w:rFonts w:ascii="Times New Roman" w:eastAsia="Times New Roman" w:hAnsi="Times New Roman" w:cs="Arial"/>
          <w:sz w:val="20"/>
          <w:szCs w:val="20"/>
        </w:rPr>
      </w:pPr>
    </w:p>
    <w:p w:rsidR="00090050" w:rsidRPr="00090050" w:rsidRDefault="00090050" w:rsidP="00090050">
      <w:pPr>
        <w:spacing w:after="0" w:line="0" w:lineRule="atLeast"/>
        <w:rPr>
          <w:rFonts w:ascii="Cambria" w:eastAsia="Cambria" w:hAnsi="Cambria" w:cs="Arial"/>
          <w:b/>
          <w:szCs w:val="20"/>
        </w:rPr>
      </w:pPr>
      <w:r w:rsidRPr="00090050">
        <w:rPr>
          <w:rFonts w:ascii="Cambria" w:eastAsia="Cambria" w:hAnsi="Cambria" w:cs="Arial"/>
          <w:b/>
          <w:szCs w:val="20"/>
        </w:rPr>
        <w:t>References</w:t>
      </w:r>
    </w:p>
    <w:p w:rsidR="00090050" w:rsidRPr="00090050" w:rsidRDefault="00090050" w:rsidP="00090050">
      <w:pPr>
        <w:spacing w:after="0" w:line="94" w:lineRule="exact"/>
        <w:rPr>
          <w:rFonts w:ascii="Times New Roman" w:eastAsia="Times New Roman" w:hAnsi="Times New Roman" w:cs="Arial"/>
          <w:sz w:val="20"/>
          <w:szCs w:val="20"/>
        </w:rPr>
      </w:pPr>
    </w:p>
    <w:p w:rsidR="00090050" w:rsidRPr="00090050" w:rsidRDefault="00090050" w:rsidP="00090050">
      <w:pPr>
        <w:numPr>
          <w:ilvl w:val="0"/>
          <w:numId w:val="9"/>
        </w:numPr>
        <w:tabs>
          <w:tab w:val="left" w:pos="280"/>
        </w:tabs>
        <w:spacing w:after="0" w:line="252" w:lineRule="auto"/>
        <w:rPr>
          <w:rFonts w:ascii="Cambria" w:eastAsia="Cambria" w:hAnsi="Cambria" w:cs="Arial"/>
          <w:i/>
          <w:sz w:val="17"/>
          <w:szCs w:val="20"/>
        </w:rPr>
      </w:pPr>
      <w:r w:rsidRPr="00090050">
        <w:rPr>
          <w:rFonts w:ascii="Cambria" w:eastAsia="Cambria" w:hAnsi="Cambria" w:cs="Arial"/>
          <w:i/>
          <w:sz w:val="17"/>
          <w:szCs w:val="20"/>
        </w:rPr>
        <w:t xml:space="preserve">Rak molochnoi zalozy. Zatverdzheno Nakazom Ministerstva okhorony zdorovia Ukrainy № 396 vid 30.06.2015. </w:t>
      </w:r>
      <w:r w:rsidRPr="00090050">
        <w:rPr>
          <w:rFonts w:ascii="Cambria" w:eastAsia="Cambria" w:hAnsi="Cambria" w:cs="Arial"/>
          <w:sz w:val="17"/>
          <w:szCs w:val="20"/>
        </w:rPr>
        <w:t>(2015). Unifiko-vanyi klinichnyi protokol pervynnoi, vtorynnoi (spetsializovanoi), tretynnoi (vysokospetsializovanoi) medychnoi dopomohy.</w:t>
      </w:r>
    </w:p>
    <w:p w:rsidR="00090050" w:rsidRPr="00090050" w:rsidRDefault="00090050" w:rsidP="00090050">
      <w:pPr>
        <w:spacing w:after="0" w:line="9" w:lineRule="exact"/>
        <w:rPr>
          <w:rFonts w:ascii="Cambria" w:eastAsia="Cambria" w:hAnsi="Cambria" w:cs="Arial"/>
          <w:i/>
          <w:sz w:val="17"/>
          <w:szCs w:val="20"/>
        </w:rPr>
      </w:pPr>
    </w:p>
    <w:p w:rsidR="00090050" w:rsidRPr="00090050" w:rsidRDefault="00090050" w:rsidP="00090050">
      <w:pPr>
        <w:numPr>
          <w:ilvl w:val="0"/>
          <w:numId w:val="9"/>
        </w:numPr>
        <w:tabs>
          <w:tab w:val="left" w:pos="280"/>
        </w:tabs>
        <w:spacing w:after="0" w:line="232" w:lineRule="auto"/>
        <w:rPr>
          <w:rFonts w:ascii="Cambria" w:eastAsia="Cambria" w:hAnsi="Cambria" w:cs="Arial"/>
          <w:i/>
          <w:sz w:val="18"/>
          <w:szCs w:val="20"/>
        </w:rPr>
      </w:pPr>
      <w:r w:rsidRPr="00090050">
        <w:rPr>
          <w:rFonts w:ascii="Cambria" w:eastAsia="Cambria" w:hAnsi="Cambria" w:cs="Arial"/>
          <w:i/>
          <w:sz w:val="18"/>
          <w:szCs w:val="20"/>
        </w:rPr>
        <w:t xml:space="preserve">Hertseptin. Instruktsiia dlia medychnoho zastosuvannia. Nakaz MOZU № 685 vid 07.07.2016 r. </w:t>
      </w:r>
      <w:r w:rsidRPr="00090050">
        <w:rPr>
          <w:rFonts w:ascii="Cambria" w:eastAsia="Cambria" w:hAnsi="Cambria" w:cs="Arial"/>
          <w:sz w:val="18"/>
          <w:szCs w:val="20"/>
        </w:rPr>
        <w:t>(2016). Available at: http://</w:t>
      </w:r>
      <w:r w:rsidRPr="00090050">
        <w:rPr>
          <w:rFonts w:ascii="Cambria" w:eastAsia="Cambria" w:hAnsi="Cambria" w:cs="Arial"/>
          <w:i/>
          <w:sz w:val="18"/>
          <w:szCs w:val="20"/>
        </w:rPr>
        <w:t xml:space="preserve"> </w:t>
      </w:r>
      <w:r w:rsidRPr="00090050">
        <w:rPr>
          <w:rFonts w:ascii="Cambria" w:eastAsia="Cambria" w:hAnsi="Cambria" w:cs="Arial"/>
          <w:sz w:val="18"/>
          <w:szCs w:val="20"/>
        </w:rPr>
        <w:t>mozdocs.kiev.ua</w:t>
      </w:r>
    </w:p>
    <w:p w:rsidR="00090050" w:rsidRPr="00090050" w:rsidRDefault="00090050" w:rsidP="00090050">
      <w:pPr>
        <w:tabs>
          <w:tab w:val="left" w:pos="280"/>
        </w:tabs>
        <w:spacing w:after="0" w:line="232" w:lineRule="auto"/>
        <w:rPr>
          <w:rFonts w:ascii="Cambria" w:eastAsia="Cambria" w:hAnsi="Cambria" w:cs="Arial"/>
          <w:i/>
          <w:sz w:val="18"/>
          <w:szCs w:val="20"/>
        </w:rPr>
        <w:sectPr w:rsidR="00090050" w:rsidRPr="00090050">
          <w:pgSz w:w="11900" w:h="16838"/>
          <w:pgMar w:top="1015" w:right="1186" w:bottom="654" w:left="1020" w:header="0" w:footer="0" w:gutter="0"/>
          <w:cols w:space="0" w:equalWidth="0">
            <w:col w:w="9700"/>
          </w:cols>
          <w:docGrid w:linePitch="360"/>
        </w:sectPr>
      </w:pPr>
    </w:p>
    <w:p w:rsidR="00090050" w:rsidRPr="00090050" w:rsidRDefault="00090050" w:rsidP="00090050">
      <w:pPr>
        <w:tabs>
          <w:tab w:val="left" w:pos="2669"/>
          <w:tab w:val="left" w:pos="7429"/>
          <w:tab w:val="left" w:pos="9449"/>
        </w:tabs>
        <w:spacing w:after="0" w:line="0" w:lineRule="atLeast"/>
        <w:rPr>
          <w:rFonts w:ascii="Century Gothic" w:eastAsia="Century Gothic" w:hAnsi="Century Gothic" w:cs="Arial"/>
          <w:sz w:val="19"/>
          <w:szCs w:val="20"/>
        </w:rPr>
      </w:pPr>
      <w:bookmarkStart w:id="6" w:name="page51"/>
      <w:bookmarkEnd w:id="6"/>
      <w:r w:rsidRPr="00090050">
        <w:rPr>
          <w:rFonts w:ascii="Century Gothic" w:eastAsia="Century Gothic" w:hAnsi="Century Gothic" w:cs="Arial"/>
          <w:sz w:val="16"/>
          <w:szCs w:val="20"/>
        </w:rPr>
        <w:lastRenderedPageBreak/>
        <w:t>ISSN 1562-725X (Print)</w:t>
      </w:r>
      <w:r w:rsidRPr="00090050">
        <w:rPr>
          <w:rFonts w:ascii="Times New Roman" w:eastAsia="Times New Roman" w:hAnsi="Times New Roman" w:cs="Arial"/>
          <w:sz w:val="20"/>
          <w:szCs w:val="20"/>
        </w:rPr>
        <w:tab/>
      </w:r>
      <w:r w:rsidRPr="00090050">
        <w:rPr>
          <w:rFonts w:ascii="Century Gothic" w:eastAsia="Century Gothic" w:hAnsi="Century Gothic" w:cs="Arial"/>
          <w:sz w:val="20"/>
          <w:szCs w:val="20"/>
        </w:rPr>
        <w:t>CLINICAL PHARMACY. – 2019. – Vol. 23, No. 4</w:t>
      </w:r>
      <w:r w:rsidRPr="00090050">
        <w:rPr>
          <w:rFonts w:ascii="Times New Roman" w:eastAsia="Times New Roman" w:hAnsi="Times New Roman" w:cs="Arial"/>
          <w:sz w:val="20"/>
          <w:szCs w:val="20"/>
        </w:rPr>
        <w:tab/>
      </w:r>
      <w:r w:rsidRPr="00090050">
        <w:rPr>
          <w:rFonts w:ascii="Century Gothic" w:eastAsia="Century Gothic" w:hAnsi="Century Gothic" w:cs="Arial"/>
          <w:sz w:val="16"/>
          <w:szCs w:val="20"/>
        </w:rPr>
        <w:t>ISSN 2518-1572 (Online)</w:t>
      </w:r>
      <w:r w:rsidRPr="00090050">
        <w:rPr>
          <w:rFonts w:ascii="Times New Roman" w:eastAsia="Times New Roman" w:hAnsi="Times New Roman" w:cs="Arial"/>
          <w:sz w:val="20"/>
          <w:szCs w:val="20"/>
        </w:rPr>
        <w:tab/>
      </w:r>
      <w:r w:rsidRPr="00090050">
        <w:rPr>
          <w:rFonts w:ascii="Century Gothic" w:eastAsia="Century Gothic" w:hAnsi="Century Gothic" w:cs="Arial"/>
          <w:sz w:val="19"/>
          <w:szCs w:val="20"/>
        </w:rPr>
        <w:t>51</w:t>
      </w:r>
    </w:p>
    <w:p w:rsidR="00090050" w:rsidRPr="00090050" w:rsidRDefault="00090050" w:rsidP="00090050">
      <w:pPr>
        <w:spacing w:after="0" w:line="20" w:lineRule="exact"/>
        <w:rPr>
          <w:rFonts w:ascii="Times New Roman" w:eastAsia="Times New Roman" w:hAnsi="Times New Roman" w:cs="Arial"/>
          <w:sz w:val="20"/>
          <w:szCs w:val="20"/>
        </w:rPr>
      </w:pPr>
      <w:r w:rsidRPr="00090050">
        <w:rPr>
          <w:rFonts w:ascii="Century Gothic" w:eastAsia="Century Gothic" w:hAnsi="Century Gothic" w:cs="Arial"/>
          <w:noProof/>
          <w:sz w:val="19"/>
          <w:szCs w:val="20"/>
        </w:rPr>
        <w:drawing>
          <wp:anchor distT="0" distB="0" distL="114300" distR="114300" simplePos="0" relativeHeight="251665408" behindDoc="1" locked="0" layoutInCell="1" allowOverlap="1">
            <wp:simplePos x="0" y="0"/>
            <wp:positionH relativeFrom="column">
              <wp:posOffset>0</wp:posOffset>
            </wp:positionH>
            <wp:positionV relativeFrom="paragraph">
              <wp:posOffset>3810</wp:posOffset>
            </wp:positionV>
            <wp:extent cx="6155690" cy="12700"/>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5690" cy="12700"/>
                    </a:xfrm>
                    <a:prstGeom prst="rect">
                      <a:avLst/>
                    </a:prstGeom>
                    <a:noFill/>
                  </pic:spPr>
                </pic:pic>
              </a:graphicData>
            </a:graphic>
            <wp14:sizeRelH relativeFrom="page">
              <wp14:pctWidth>0</wp14:pctWidth>
            </wp14:sizeRelH>
            <wp14:sizeRelV relativeFrom="page">
              <wp14:pctHeight>0</wp14:pctHeight>
            </wp14:sizeRelV>
          </wp:anchor>
        </w:drawing>
      </w:r>
    </w:p>
    <w:p w:rsidR="00090050" w:rsidRPr="00090050" w:rsidRDefault="00090050" w:rsidP="00090050">
      <w:pPr>
        <w:spacing w:after="0" w:line="237" w:lineRule="exact"/>
        <w:rPr>
          <w:rFonts w:ascii="Times New Roman" w:eastAsia="Times New Roman" w:hAnsi="Times New Roman" w:cs="Arial"/>
          <w:sz w:val="20"/>
          <w:szCs w:val="20"/>
        </w:rPr>
      </w:pPr>
    </w:p>
    <w:p w:rsidR="00090050" w:rsidRPr="00090050" w:rsidRDefault="00090050" w:rsidP="00090050">
      <w:pPr>
        <w:numPr>
          <w:ilvl w:val="0"/>
          <w:numId w:val="10"/>
        </w:numPr>
        <w:tabs>
          <w:tab w:val="left" w:pos="289"/>
        </w:tabs>
        <w:spacing w:after="0" w:line="214" w:lineRule="auto"/>
        <w:rPr>
          <w:rFonts w:ascii="Cambria" w:eastAsia="Cambria" w:hAnsi="Cambria" w:cs="Arial"/>
          <w:sz w:val="18"/>
          <w:szCs w:val="20"/>
        </w:rPr>
      </w:pPr>
      <w:r w:rsidRPr="00090050">
        <w:rPr>
          <w:rFonts w:ascii="Cambria" w:eastAsia="Cambria" w:hAnsi="Cambria" w:cs="Arial"/>
          <w:sz w:val="18"/>
          <w:szCs w:val="20"/>
        </w:rPr>
        <w:t xml:space="preserve">Kostorov, V. A., Semiglazova, T. Y., &amp; Pavlysh, A. V. (2018). Clinical end pharmacoeconomic aspects of neoadjuvant therapy of breast cancer. </w:t>
      </w:r>
      <w:r w:rsidRPr="00090050">
        <w:rPr>
          <w:rFonts w:ascii="Cambria" w:eastAsia="Cambria" w:hAnsi="Cambria" w:cs="Arial"/>
          <w:i/>
          <w:sz w:val="18"/>
          <w:szCs w:val="20"/>
        </w:rPr>
        <w:t>Medical Council, (10),</w:t>
      </w:r>
      <w:r w:rsidRPr="00090050">
        <w:rPr>
          <w:rFonts w:ascii="Cambria" w:eastAsia="Cambria" w:hAnsi="Cambria" w:cs="Arial"/>
          <w:sz w:val="18"/>
          <w:szCs w:val="20"/>
        </w:rPr>
        <w:t xml:space="preserve"> 140–145. https://doi.org/10.21518/2079-701x-2018-10-140-145</w:t>
      </w:r>
    </w:p>
    <w:p w:rsidR="00090050" w:rsidRPr="00090050" w:rsidRDefault="00090050" w:rsidP="00090050">
      <w:pPr>
        <w:spacing w:after="0" w:line="52"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19" w:lineRule="auto"/>
        <w:jc w:val="both"/>
        <w:rPr>
          <w:rFonts w:ascii="Cambria" w:eastAsia="Cambria" w:hAnsi="Cambria" w:cs="Arial"/>
          <w:sz w:val="18"/>
          <w:szCs w:val="20"/>
        </w:rPr>
      </w:pPr>
      <w:r w:rsidRPr="00090050">
        <w:rPr>
          <w:rFonts w:ascii="Cambria" w:eastAsia="Cambria" w:hAnsi="Cambria" w:cs="Arial"/>
          <w:sz w:val="18"/>
          <w:szCs w:val="20"/>
        </w:rPr>
        <w:t xml:space="preserve">Cameron, D., Piccart-Gebhart, M., Gelbe, R., Procter, M., Goldhirsch, A., Azambuja, de E., … Baselga, J. (2017). 11 years’ follow-up of trastuzumab after adjuvant chemotherapy in HER2-positive early breast cancer: final analysis of the HERceptin Adju-vant (HERA) trial. </w:t>
      </w:r>
      <w:r w:rsidRPr="00090050">
        <w:rPr>
          <w:rFonts w:ascii="Cambria" w:eastAsia="Cambria" w:hAnsi="Cambria" w:cs="Arial"/>
          <w:i/>
          <w:sz w:val="18"/>
          <w:szCs w:val="20"/>
        </w:rPr>
        <w:t>Lancet, 389(10075),</w:t>
      </w:r>
      <w:r w:rsidRPr="00090050">
        <w:rPr>
          <w:rFonts w:ascii="Cambria" w:eastAsia="Cambria" w:hAnsi="Cambria" w:cs="Arial"/>
          <w:sz w:val="18"/>
          <w:szCs w:val="20"/>
        </w:rPr>
        <w:t xml:space="preserve"> 1195–1205. https://doi.org/10.1016/s0140-6736(16)32616-2</w:t>
      </w:r>
    </w:p>
    <w:p w:rsidR="00090050" w:rsidRPr="00090050" w:rsidRDefault="00090050" w:rsidP="00090050">
      <w:pPr>
        <w:spacing w:after="0" w:line="50"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19" w:lineRule="auto"/>
        <w:jc w:val="both"/>
        <w:rPr>
          <w:rFonts w:ascii="Cambria" w:eastAsia="Cambria" w:hAnsi="Cambria" w:cs="Arial"/>
          <w:sz w:val="18"/>
          <w:szCs w:val="20"/>
        </w:rPr>
      </w:pPr>
      <w:r w:rsidRPr="00090050">
        <w:rPr>
          <w:rFonts w:ascii="Cambria" w:eastAsia="Cambria" w:hAnsi="Cambria" w:cs="Arial"/>
          <w:sz w:val="18"/>
          <w:szCs w:val="20"/>
        </w:rPr>
        <w:t xml:space="preserve">Seferina, S. C., Ramaekers, B. L. T., de Boer, M., Dercksen, M. W., Berkmortel, F. van den, van Kampen, R. J. W., … Joore, M. A. (2017). Cost and cost-effectiveness of adjuvant trastuzumab in the real world setting: A study of the Southeast Netherlands Breast Cancer Consortium. </w:t>
      </w:r>
      <w:r w:rsidRPr="00090050">
        <w:rPr>
          <w:rFonts w:ascii="Cambria" w:eastAsia="Cambria" w:hAnsi="Cambria" w:cs="Arial"/>
          <w:i/>
          <w:sz w:val="18"/>
          <w:szCs w:val="20"/>
        </w:rPr>
        <w:t>Oncotarget, 8(45).</w:t>
      </w:r>
      <w:r w:rsidRPr="00090050">
        <w:rPr>
          <w:rFonts w:ascii="Cambria" w:eastAsia="Cambria" w:hAnsi="Cambria" w:cs="Arial"/>
          <w:sz w:val="18"/>
          <w:szCs w:val="20"/>
        </w:rPr>
        <w:t xml:space="preserve"> https://doi.org/10.18632/oncotarget.16985</w:t>
      </w:r>
    </w:p>
    <w:p w:rsidR="00090050" w:rsidRPr="00090050" w:rsidRDefault="00090050" w:rsidP="00090050">
      <w:pPr>
        <w:spacing w:after="0" w:line="50"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27" w:lineRule="auto"/>
        <w:jc w:val="both"/>
        <w:rPr>
          <w:rFonts w:ascii="Cambria" w:eastAsia="Cambria" w:hAnsi="Cambria" w:cs="Arial"/>
          <w:sz w:val="17"/>
          <w:szCs w:val="20"/>
        </w:rPr>
      </w:pPr>
      <w:r w:rsidRPr="00090050">
        <w:rPr>
          <w:rFonts w:ascii="Cambria" w:eastAsia="Cambria" w:hAnsi="Cambria" w:cs="Arial"/>
          <w:sz w:val="17"/>
          <w:szCs w:val="20"/>
        </w:rPr>
        <w:t xml:space="preserve">Liberato, N. L., Marchetti, M., &amp; Barosi, G. (2007). Cost Effectiveness of Adjuvant Trastuzumab in Human Epidermal Growth Factor Receptor 2–Positive Breast Cancer. </w:t>
      </w:r>
      <w:r w:rsidRPr="00090050">
        <w:rPr>
          <w:rFonts w:ascii="Cambria" w:eastAsia="Cambria" w:hAnsi="Cambria" w:cs="Arial"/>
          <w:i/>
          <w:sz w:val="17"/>
          <w:szCs w:val="20"/>
        </w:rPr>
        <w:t>Journal of Clinical Oncology, 25(6),</w:t>
      </w:r>
      <w:r w:rsidRPr="00090050">
        <w:rPr>
          <w:rFonts w:ascii="Cambria" w:eastAsia="Cambria" w:hAnsi="Cambria" w:cs="Arial"/>
          <w:sz w:val="17"/>
          <w:szCs w:val="20"/>
        </w:rPr>
        <w:t xml:space="preserve"> 625–633. https://doi.org/10.1200/jco.2006.06.4220</w:t>
      </w:r>
    </w:p>
    <w:p w:rsidR="00090050" w:rsidRPr="00090050" w:rsidRDefault="00090050" w:rsidP="00090050">
      <w:pPr>
        <w:spacing w:after="0" w:line="51" w:lineRule="exact"/>
        <w:rPr>
          <w:rFonts w:ascii="Cambria" w:eastAsia="Cambria" w:hAnsi="Cambria" w:cs="Arial"/>
          <w:sz w:val="17"/>
          <w:szCs w:val="20"/>
        </w:rPr>
      </w:pPr>
    </w:p>
    <w:p w:rsidR="00090050" w:rsidRPr="00090050" w:rsidRDefault="00090050" w:rsidP="00090050">
      <w:pPr>
        <w:numPr>
          <w:ilvl w:val="0"/>
          <w:numId w:val="10"/>
        </w:numPr>
        <w:tabs>
          <w:tab w:val="left" w:pos="289"/>
        </w:tabs>
        <w:spacing w:after="0" w:line="232" w:lineRule="auto"/>
        <w:jc w:val="both"/>
        <w:rPr>
          <w:rFonts w:ascii="Cambria" w:eastAsia="Cambria" w:hAnsi="Cambria" w:cs="Arial"/>
          <w:sz w:val="17"/>
          <w:szCs w:val="20"/>
        </w:rPr>
      </w:pPr>
      <w:r w:rsidRPr="00090050">
        <w:rPr>
          <w:rFonts w:ascii="Cambria" w:eastAsia="Cambria" w:hAnsi="Cambria" w:cs="Arial"/>
          <w:sz w:val="17"/>
          <w:szCs w:val="20"/>
        </w:rPr>
        <w:t xml:space="preserve">Purmonen, T. T., Pänkäläinen, E., Turunen, J. H. O., Asseburg, C., &amp; Martikainen, J. A. (2011). Short-course adjuvant trastuzum-ab therapy in early stage breast cancer in Finland: Cost-effectiveness and value of information analysis based on the 5-year follow-up results of the FinHer Trial. </w:t>
      </w:r>
      <w:r w:rsidRPr="00090050">
        <w:rPr>
          <w:rFonts w:ascii="Cambria" w:eastAsia="Cambria" w:hAnsi="Cambria" w:cs="Arial"/>
          <w:i/>
          <w:sz w:val="17"/>
          <w:szCs w:val="20"/>
        </w:rPr>
        <w:t>Acta Oncologica, 50(3),</w:t>
      </w:r>
      <w:r w:rsidRPr="00090050">
        <w:rPr>
          <w:rFonts w:ascii="Cambria" w:eastAsia="Cambria" w:hAnsi="Cambria" w:cs="Arial"/>
          <w:sz w:val="17"/>
          <w:szCs w:val="20"/>
        </w:rPr>
        <w:t xml:space="preserve"> 344–352. https://doi.org/10.3109/0284186x.2011.553841</w:t>
      </w:r>
    </w:p>
    <w:p w:rsidR="00090050" w:rsidRPr="00090050" w:rsidRDefault="00090050" w:rsidP="00090050">
      <w:pPr>
        <w:spacing w:after="0" w:line="50" w:lineRule="exact"/>
        <w:rPr>
          <w:rFonts w:ascii="Cambria" w:eastAsia="Cambria" w:hAnsi="Cambria" w:cs="Arial"/>
          <w:sz w:val="17"/>
          <w:szCs w:val="20"/>
        </w:rPr>
      </w:pPr>
    </w:p>
    <w:p w:rsidR="00090050" w:rsidRPr="00090050" w:rsidRDefault="00090050" w:rsidP="00090050">
      <w:pPr>
        <w:numPr>
          <w:ilvl w:val="0"/>
          <w:numId w:val="10"/>
        </w:numPr>
        <w:tabs>
          <w:tab w:val="left" w:pos="289"/>
        </w:tabs>
        <w:spacing w:after="0" w:line="219" w:lineRule="auto"/>
        <w:jc w:val="both"/>
        <w:rPr>
          <w:rFonts w:ascii="Cambria" w:eastAsia="Cambria" w:hAnsi="Cambria" w:cs="Arial"/>
          <w:sz w:val="18"/>
          <w:szCs w:val="20"/>
        </w:rPr>
      </w:pPr>
      <w:r w:rsidRPr="00090050">
        <w:rPr>
          <w:rFonts w:ascii="Cambria" w:eastAsia="Cambria" w:hAnsi="Cambria" w:cs="Arial"/>
          <w:sz w:val="18"/>
          <w:szCs w:val="20"/>
        </w:rPr>
        <w:t xml:space="preserve">Hedden, L., O’Reilly, S., Lohrisch, C., Chia, S., Speers, C., Kovacic, L., … Peacock, S. (2012). Assessing the Real-World Cost-Effectiveness of Adjuvant Trastuzumab in HER-2/neu Positive Breast Cancer. </w:t>
      </w:r>
      <w:r w:rsidRPr="00090050">
        <w:rPr>
          <w:rFonts w:ascii="Cambria" w:eastAsia="Cambria" w:hAnsi="Cambria" w:cs="Arial"/>
          <w:i/>
          <w:sz w:val="18"/>
          <w:szCs w:val="20"/>
        </w:rPr>
        <w:t>The Oncologist, 17(2),</w:t>
      </w:r>
      <w:r w:rsidRPr="00090050">
        <w:rPr>
          <w:rFonts w:ascii="Cambria" w:eastAsia="Cambria" w:hAnsi="Cambria" w:cs="Arial"/>
          <w:sz w:val="18"/>
          <w:szCs w:val="20"/>
        </w:rPr>
        <w:t xml:space="preserve"> 164–171. https://doi. org/10.1634/theoncologist.2011-0379</w:t>
      </w:r>
    </w:p>
    <w:p w:rsidR="00090050" w:rsidRPr="00090050" w:rsidRDefault="00090050" w:rsidP="00090050">
      <w:pPr>
        <w:spacing w:after="0" w:line="50"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19" w:lineRule="auto"/>
        <w:jc w:val="both"/>
        <w:rPr>
          <w:rFonts w:ascii="Cambria" w:eastAsia="Cambria" w:hAnsi="Cambria" w:cs="Arial"/>
          <w:sz w:val="18"/>
          <w:szCs w:val="20"/>
        </w:rPr>
      </w:pPr>
      <w:r w:rsidRPr="00090050">
        <w:rPr>
          <w:rFonts w:ascii="Cambria" w:eastAsia="Cambria" w:hAnsi="Cambria" w:cs="Arial"/>
          <w:sz w:val="18"/>
          <w:szCs w:val="20"/>
        </w:rPr>
        <w:t xml:space="preserve">Piccart-Gebhart, M. J., Procter, M., Leyland-Jones, B., Goldhirsch, A., Untch, M., Smith, I., … Gelber, R. D. (2005). Trastuzumab after Adjuvant Chemotherapy in HER2-Positive Breast Cancer. </w:t>
      </w:r>
      <w:r w:rsidRPr="00090050">
        <w:rPr>
          <w:rFonts w:ascii="Cambria" w:eastAsia="Cambria" w:hAnsi="Cambria" w:cs="Arial"/>
          <w:i/>
          <w:sz w:val="18"/>
          <w:szCs w:val="20"/>
        </w:rPr>
        <w:t>New England Journal of Medicine, 353(16),</w:t>
      </w:r>
      <w:r w:rsidRPr="00090050">
        <w:rPr>
          <w:rFonts w:ascii="Cambria" w:eastAsia="Cambria" w:hAnsi="Cambria" w:cs="Arial"/>
          <w:sz w:val="18"/>
          <w:szCs w:val="20"/>
        </w:rPr>
        <w:t xml:space="preserve"> 1659–1672. htt-ps://doi.org/10.1056/nejmoa052306</w:t>
      </w:r>
    </w:p>
    <w:p w:rsidR="00090050" w:rsidRPr="00090050" w:rsidRDefault="00090050" w:rsidP="00090050">
      <w:pPr>
        <w:spacing w:after="0" w:line="19"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32" w:lineRule="auto"/>
        <w:rPr>
          <w:rFonts w:ascii="Cambria" w:eastAsia="Cambria" w:hAnsi="Cambria" w:cs="Arial"/>
          <w:i/>
          <w:sz w:val="18"/>
          <w:szCs w:val="20"/>
        </w:rPr>
      </w:pPr>
      <w:r w:rsidRPr="00090050">
        <w:rPr>
          <w:rFonts w:ascii="Cambria" w:eastAsia="Cambria" w:hAnsi="Cambria" w:cs="Arial"/>
          <w:i/>
          <w:sz w:val="18"/>
          <w:szCs w:val="20"/>
        </w:rPr>
        <w:t xml:space="preserve">NICE. Guide to the methods of technology appraisal 2013 (PMG9). </w:t>
      </w:r>
      <w:r w:rsidRPr="00090050">
        <w:rPr>
          <w:rFonts w:ascii="Cambria" w:eastAsia="Cambria" w:hAnsi="Cambria" w:cs="Arial"/>
          <w:sz w:val="18"/>
          <w:szCs w:val="20"/>
        </w:rPr>
        <w:t>(2013). Available at: https://www.nice.org.uk/process/</w:t>
      </w:r>
      <w:r w:rsidRPr="00090050">
        <w:rPr>
          <w:rFonts w:ascii="Cambria" w:eastAsia="Cambria" w:hAnsi="Cambria" w:cs="Arial"/>
          <w:i/>
          <w:sz w:val="18"/>
          <w:szCs w:val="20"/>
        </w:rPr>
        <w:t xml:space="preserve"> </w:t>
      </w:r>
      <w:r w:rsidRPr="00090050">
        <w:rPr>
          <w:rFonts w:ascii="Cambria" w:eastAsia="Cambria" w:hAnsi="Cambria" w:cs="Arial"/>
          <w:sz w:val="18"/>
          <w:szCs w:val="20"/>
        </w:rPr>
        <w:t>pmg9/resources/guide-to-the-methods-of-technology-appraisal-2013-pdf-2007975843781</w:t>
      </w:r>
    </w:p>
    <w:p w:rsidR="00090050" w:rsidRPr="00090050" w:rsidRDefault="00090050" w:rsidP="00090050">
      <w:pPr>
        <w:spacing w:after="0" w:line="18" w:lineRule="exact"/>
        <w:rPr>
          <w:rFonts w:ascii="Cambria" w:eastAsia="Cambria" w:hAnsi="Cambria" w:cs="Arial"/>
          <w:i/>
          <w:sz w:val="18"/>
          <w:szCs w:val="20"/>
        </w:rPr>
      </w:pPr>
    </w:p>
    <w:p w:rsidR="00090050" w:rsidRPr="00090050" w:rsidRDefault="00090050" w:rsidP="00090050">
      <w:pPr>
        <w:numPr>
          <w:ilvl w:val="0"/>
          <w:numId w:val="10"/>
        </w:numPr>
        <w:tabs>
          <w:tab w:val="left" w:pos="289"/>
        </w:tabs>
        <w:spacing w:after="0" w:line="0" w:lineRule="atLeast"/>
        <w:rPr>
          <w:rFonts w:ascii="Cambria" w:eastAsia="Cambria" w:hAnsi="Cambria" w:cs="Arial"/>
          <w:sz w:val="18"/>
          <w:szCs w:val="20"/>
        </w:rPr>
      </w:pPr>
      <w:r w:rsidRPr="00090050">
        <w:rPr>
          <w:rFonts w:ascii="Cambria" w:eastAsia="Cambria" w:hAnsi="Cambria" w:cs="Arial"/>
          <w:sz w:val="18"/>
          <w:szCs w:val="20"/>
        </w:rPr>
        <w:t xml:space="preserve">Lidgren, M. (2007). </w:t>
      </w:r>
      <w:r w:rsidRPr="00090050">
        <w:rPr>
          <w:rFonts w:ascii="Cambria" w:eastAsia="Cambria" w:hAnsi="Cambria" w:cs="Arial"/>
          <w:i/>
          <w:sz w:val="18"/>
          <w:szCs w:val="20"/>
        </w:rPr>
        <w:t>Health Economics of Breast Cancer.</w:t>
      </w:r>
      <w:r w:rsidRPr="00090050">
        <w:rPr>
          <w:rFonts w:ascii="Cambria" w:eastAsia="Cambria" w:hAnsi="Cambria" w:cs="Arial"/>
          <w:sz w:val="18"/>
          <w:szCs w:val="20"/>
        </w:rPr>
        <w:t xml:space="preserve"> Stockholm, 78.</w:t>
      </w:r>
    </w:p>
    <w:p w:rsidR="00090050" w:rsidRPr="00090050" w:rsidRDefault="00090050" w:rsidP="00090050">
      <w:pPr>
        <w:spacing w:after="0" w:line="50"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27" w:lineRule="auto"/>
        <w:rPr>
          <w:rFonts w:ascii="Cambria" w:eastAsia="Cambria" w:hAnsi="Cambria" w:cs="Arial"/>
          <w:sz w:val="17"/>
          <w:szCs w:val="20"/>
        </w:rPr>
      </w:pPr>
      <w:r w:rsidRPr="00090050">
        <w:rPr>
          <w:rFonts w:ascii="Cambria" w:eastAsia="Cambria" w:hAnsi="Cambria" w:cs="Arial"/>
          <w:sz w:val="17"/>
          <w:szCs w:val="20"/>
        </w:rPr>
        <w:t xml:space="preserve">Ligren, M., Jonsson, B., Rehnberg, C., Willking, N., Bergh, J. (2008). Cost-effectiveness of HER2 testing and 1-year adjuvant trastuzumab therapy for early breast cancer. </w:t>
      </w:r>
      <w:r w:rsidRPr="00090050">
        <w:rPr>
          <w:rFonts w:ascii="Cambria" w:eastAsia="Cambria" w:hAnsi="Cambria" w:cs="Arial"/>
          <w:i/>
          <w:sz w:val="17"/>
          <w:szCs w:val="20"/>
        </w:rPr>
        <w:t>Annals of Oncology, 19(3),</w:t>
      </w:r>
      <w:r w:rsidRPr="00090050">
        <w:rPr>
          <w:rFonts w:ascii="Cambria" w:eastAsia="Cambria" w:hAnsi="Cambria" w:cs="Arial"/>
          <w:sz w:val="17"/>
          <w:szCs w:val="20"/>
        </w:rPr>
        <w:t xml:space="preserve"> 487–495. https://doi.org/10.1093/annonc/mdm488</w:t>
      </w:r>
    </w:p>
    <w:p w:rsidR="00090050" w:rsidRPr="00090050" w:rsidRDefault="00090050" w:rsidP="00090050">
      <w:pPr>
        <w:spacing w:after="0" w:line="51" w:lineRule="exact"/>
        <w:rPr>
          <w:rFonts w:ascii="Cambria" w:eastAsia="Cambria" w:hAnsi="Cambria" w:cs="Arial"/>
          <w:sz w:val="17"/>
          <w:szCs w:val="20"/>
        </w:rPr>
      </w:pPr>
    </w:p>
    <w:p w:rsidR="00090050" w:rsidRPr="00090050" w:rsidRDefault="00090050" w:rsidP="00090050">
      <w:pPr>
        <w:numPr>
          <w:ilvl w:val="0"/>
          <w:numId w:val="10"/>
        </w:numPr>
        <w:tabs>
          <w:tab w:val="left" w:pos="289"/>
        </w:tabs>
        <w:spacing w:after="0" w:line="232" w:lineRule="auto"/>
        <w:jc w:val="both"/>
        <w:rPr>
          <w:rFonts w:ascii="Cambria" w:eastAsia="Cambria" w:hAnsi="Cambria" w:cs="Arial"/>
          <w:sz w:val="17"/>
          <w:szCs w:val="20"/>
        </w:rPr>
      </w:pPr>
      <w:r w:rsidRPr="00090050">
        <w:rPr>
          <w:rFonts w:ascii="Cambria" w:eastAsia="Cambria" w:hAnsi="Cambria" w:cs="Arial"/>
          <w:sz w:val="17"/>
          <w:szCs w:val="20"/>
        </w:rPr>
        <w:t xml:space="preserve">Cleary, J., Ddungu, H., Distelhorst, S. R., Ripamonti, C., Rodin, G. M., Bushnaq, M. A., … Anderson, B. O. (2013). Supportive and palliative care for metastatic breast cancer: Resource allocations in low- and middle-income countries. A Breast Health Global Initiative 2013 consensus statement. </w:t>
      </w:r>
      <w:r w:rsidRPr="00090050">
        <w:rPr>
          <w:rFonts w:ascii="Cambria" w:eastAsia="Cambria" w:hAnsi="Cambria" w:cs="Arial"/>
          <w:i/>
          <w:sz w:val="17"/>
          <w:szCs w:val="20"/>
        </w:rPr>
        <w:t>The Breast, 22(5),</w:t>
      </w:r>
      <w:r w:rsidRPr="00090050">
        <w:rPr>
          <w:rFonts w:ascii="Cambria" w:eastAsia="Cambria" w:hAnsi="Cambria" w:cs="Arial"/>
          <w:sz w:val="17"/>
          <w:szCs w:val="20"/>
        </w:rPr>
        <w:t xml:space="preserve"> 616–627. https://doi.org/10.1016/j.breast.2013.07.052</w:t>
      </w:r>
    </w:p>
    <w:p w:rsidR="00090050" w:rsidRPr="00090050" w:rsidRDefault="00090050" w:rsidP="00090050">
      <w:pPr>
        <w:spacing w:after="0" w:line="50" w:lineRule="exact"/>
        <w:rPr>
          <w:rFonts w:ascii="Cambria" w:eastAsia="Cambria" w:hAnsi="Cambria" w:cs="Arial"/>
          <w:sz w:val="17"/>
          <w:szCs w:val="20"/>
        </w:rPr>
      </w:pPr>
    </w:p>
    <w:p w:rsidR="00090050" w:rsidRPr="00090050" w:rsidRDefault="00090050" w:rsidP="00090050">
      <w:pPr>
        <w:numPr>
          <w:ilvl w:val="0"/>
          <w:numId w:val="10"/>
        </w:numPr>
        <w:tabs>
          <w:tab w:val="left" w:pos="289"/>
        </w:tabs>
        <w:spacing w:after="0" w:line="219" w:lineRule="auto"/>
        <w:jc w:val="both"/>
        <w:rPr>
          <w:rFonts w:ascii="Cambria" w:eastAsia="Cambria" w:hAnsi="Cambria" w:cs="Arial"/>
          <w:sz w:val="18"/>
          <w:szCs w:val="20"/>
        </w:rPr>
      </w:pPr>
      <w:r w:rsidRPr="00090050">
        <w:rPr>
          <w:rFonts w:ascii="Cambria" w:eastAsia="Cambria" w:hAnsi="Cambria" w:cs="Arial"/>
          <w:sz w:val="18"/>
          <w:szCs w:val="20"/>
        </w:rPr>
        <w:t xml:space="preserve">Mittmann, N., Au, H.-J., Tu, D., O’Callaghan, C. J., Isogai, P. K., … Karapetis, C. S. (2009). Prospective Cost-Effectiveness Analysis of Cetuximab in Metastatic Colorectal Cancer: Evaluation of National Cancer Institute of Canada Clinical Trials Group CO.17 </w:t>
      </w:r>
      <w:r w:rsidRPr="00090050">
        <w:rPr>
          <w:rFonts w:ascii="Cambria" w:eastAsia="Cambria" w:hAnsi="Cambria" w:cs="Arial"/>
          <w:i/>
          <w:sz w:val="18"/>
          <w:szCs w:val="20"/>
        </w:rPr>
        <w:t xml:space="preserve">Trial. JNCI Journal of the National Cancer Institute, 101(17), </w:t>
      </w:r>
      <w:r w:rsidRPr="00090050">
        <w:rPr>
          <w:rFonts w:ascii="Cambria" w:eastAsia="Cambria" w:hAnsi="Cambria" w:cs="Arial"/>
          <w:sz w:val="18"/>
          <w:szCs w:val="20"/>
        </w:rPr>
        <w:t>1182–1192. https://doi.org/10.1093/jnci/djp232</w:t>
      </w:r>
    </w:p>
    <w:p w:rsidR="00090050" w:rsidRPr="00090050" w:rsidRDefault="00090050" w:rsidP="00090050">
      <w:pPr>
        <w:spacing w:after="0" w:line="50"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19" w:lineRule="auto"/>
        <w:jc w:val="both"/>
        <w:rPr>
          <w:rFonts w:ascii="Cambria" w:eastAsia="Cambria" w:hAnsi="Cambria" w:cs="Arial"/>
          <w:sz w:val="18"/>
          <w:szCs w:val="20"/>
        </w:rPr>
      </w:pPr>
      <w:r w:rsidRPr="00090050">
        <w:rPr>
          <w:rFonts w:ascii="Cambria" w:eastAsia="Cambria" w:hAnsi="Cambria" w:cs="Arial"/>
          <w:sz w:val="18"/>
          <w:szCs w:val="20"/>
        </w:rPr>
        <w:t xml:space="preserve">Effects of radiotherapy and of differences in the extent of surgery for early breast cancer on local recurrence and 15-year survival: an overview of the randomised trials. (2005). </w:t>
      </w:r>
      <w:r w:rsidRPr="00090050">
        <w:rPr>
          <w:rFonts w:ascii="Cambria" w:eastAsia="Cambria" w:hAnsi="Cambria" w:cs="Arial"/>
          <w:i/>
          <w:sz w:val="18"/>
          <w:szCs w:val="20"/>
        </w:rPr>
        <w:t>The Lancet, 366(9503),</w:t>
      </w:r>
      <w:r w:rsidRPr="00090050">
        <w:rPr>
          <w:rFonts w:ascii="Cambria" w:eastAsia="Cambria" w:hAnsi="Cambria" w:cs="Arial"/>
          <w:sz w:val="18"/>
          <w:szCs w:val="20"/>
        </w:rPr>
        <w:t xml:space="preserve"> 2087–2106. https://doi.org/10.1016/s0140-6736(05)67887-7</w:t>
      </w:r>
    </w:p>
    <w:p w:rsidR="00090050" w:rsidRPr="00090050" w:rsidRDefault="00090050" w:rsidP="00090050">
      <w:pPr>
        <w:spacing w:after="0" w:line="50"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19" w:lineRule="auto"/>
        <w:jc w:val="both"/>
        <w:rPr>
          <w:rFonts w:ascii="Cambria" w:eastAsia="Cambria" w:hAnsi="Cambria" w:cs="Arial"/>
          <w:sz w:val="18"/>
          <w:szCs w:val="20"/>
        </w:rPr>
      </w:pPr>
      <w:r w:rsidRPr="00090050">
        <w:rPr>
          <w:rFonts w:ascii="Cambria" w:eastAsia="Cambria" w:hAnsi="Cambria" w:cs="Arial"/>
          <w:sz w:val="18"/>
          <w:szCs w:val="20"/>
        </w:rPr>
        <w:t xml:space="preserve">Dedes, K., Szucs, T., Imesch, P., Fedier, A., Fehr, M., &amp; Fink, D. (2007). Cost-effectiveness of trastuzumab in the adjuvant treat-ment of early breast cancer: a model-based analysis of the HERA and FinHer trial. </w:t>
      </w:r>
      <w:r w:rsidRPr="00090050">
        <w:rPr>
          <w:rFonts w:ascii="Cambria" w:eastAsia="Cambria" w:hAnsi="Cambria" w:cs="Arial"/>
          <w:i/>
          <w:sz w:val="18"/>
          <w:szCs w:val="20"/>
        </w:rPr>
        <w:t>Annals of Oncology, 18(9),</w:t>
      </w:r>
      <w:r w:rsidRPr="00090050">
        <w:rPr>
          <w:rFonts w:ascii="Cambria" w:eastAsia="Cambria" w:hAnsi="Cambria" w:cs="Arial"/>
          <w:sz w:val="18"/>
          <w:szCs w:val="20"/>
        </w:rPr>
        <w:t xml:space="preserve"> 1493–1499. https://doi.org/10.1093/annonc/mdm185</w:t>
      </w:r>
    </w:p>
    <w:p w:rsidR="00090050" w:rsidRPr="00090050" w:rsidRDefault="00090050" w:rsidP="00090050">
      <w:pPr>
        <w:spacing w:after="0" w:line="19"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32" w:lineRule="auto"/>
        <w:rPr>
          <w:rFonts w:ascii="Cambria" w:eastAsia="Cambria" w:hAnsi="Cambria" w:cs="Arial"/>
          <w:sz w:val="18"/>
          <w:szCs w:val="20"/>
        </w:rPr>
      </w:pPr>
      <w:r w:rsidRPr="00090050">
        <w:rPr>
          <w:rFonts w:ascii="Cambria" w:eastAsia="Cambria" w:hAnsi="Cambria" w:cs="Arial"/>
          <w:sz w:val="18"/>
          <w:szCs w:val="20"/>
        </w:rPr>
        <w:t xml:space="preserve">Yakovlievoi, L. V. (2009). </w:t>
      </w:r>
      <w:r w:rsidRPr="00090050">
        <w:rPr>
          <w:rFonts w:ascii="Cambria" w:eastAsia="Cambria" w:hAnsi="Cambria" w:cs="Arial"/>
          <w:i/>
          <w:sz w:val="18"/>
          <w:szCs w:val="20"/>
        </w:rPr>
        <w:t>Farmakoekonomika. Navchalnyi posibnyk dlia studentiv vyshchykh navchal-nykh zakladiv</w:t>
      </w:r>
      <w:r w:rsidRPr="00090050">
        <w:rPr>
          <w:rFonts w:ascii="Cambria" w:eastAsia="Cambria" w:hAnsi="Cambria" w:cs="Arial"/>
          <w:sz w:val="18"/>
          <w:szCs w:val="20"/>
        </w:rPr>
        <w:t>. Vinnytsia: Nova knyha, 208.</w:t>
      </w:r>
    </w:p>
    <w:p w:rsidR="00090050" w:rsidRPr="00090050" w:rsidRDefault="00090050" w:rsidP="00090050">
      <w:pPr>
        <w:spacing w:after="0" w:line="51"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19" w:lineRule="auto"/>
        <w:jc w:val="both"/>
        <w:rPr>
          <w:rFonts w:ascii="Cambria" w:eastAsia="Cambria" w:hAnsi="Cambria" w:cs="Arial"/>
          <w:sz w:val="18"/>
          <w:szCs w:val="20"/>
        </w:rPr>
      </w:pPr>
      <w:r w:rsidRPr="00090050">
        <w:rPr>
          <w:rFonts w:ascii="Cambria" w:eastAsia="Cambria" w:hAnsi="Cambria" w:cs="Arial"/>
          <w:sz w:val="18"/>
          <w:szCs w:val="20"/>
        </w:rPr>
        <w:t>Lux, M. P., Hartmann, M., Jackisch, C., Raab, G., Schneeweiß, A., Possinger, K., … Harbeck, N. (2009). Cost-utility analysis for advanced breast cancer therapy in Germany: results of the fulvestrant sequencing model</w:t>
      </w:r>
      <w:r w:rsidRPr="00090050">
        <w:rPr>
          <w:rFonts w:ascii="Cambria" w:eastAsia="Cambria" w:hAnsi="Cambria" w:cs="Arial"/>
          <w:i/>
          <w:sz w:val="18"/>
          <w:szCs w:val="20"/>
        </w:rPr>
        <w:t xml:space="preserve">. Breast Cancer Research and Treat-ment, 117(2), </w:t>
      </w:r>
      <w:r w:rsidRPr="00090050">
        <w:rPr>
          <w:rFonts w:ascii="Cambria" w:eastAsia="Cambria" w:hAnsi="Cambria" w:cs="Arial"/>
          <w:sz w:val="18"/>
          <w:szCs w:val="20"/>
        </w:rPr>
        <w:t>305–317. https://doi.org/10.1007/s10549-008-0294-9</w:t>
      </w:r>
    </w:p>
    <w:p w:rsidR="00090050" w:rsidRPr="00090050" w:rsidRDefault="00090050" w:rsidP="00090050">
      <w:pPr>
        <w:spacing w:after="0" w:line="50" w:lineRule="exact"/>
        <w:rPr>
          <w:rFonts w:ascii="Cambria" w:eastAsia="Cambria" w:hAnsi="Cambria" w:cs="Arial"/>
          <w:sz w:val="18"/>
          <w:szCs w:val="20"/>
        </w:rPr>
      </w:pPr>
    </w:p>
    <w:p w:rsidR="00090050" w:rsidRPr="00090050" w:rsidRDefault="00090050" w:rsidP="00090050">
      <w:pPr>
        <w:numPr>
          <w:ilvl w:val="0"/>
          <w:numId w:val="10"/>
        </w:numPr>
        <w:tabs>
          <w:tab w:val="left" w:pos="289"/>
        </w:tabs>
        <w:spacing w:after="0" w:line="243" w:lineRule="auto"/>
        <w:rPr>
          <w:rFonts w:ascii="Cambria" w:eastAsia="Cambria" w:hAnsi="Cambria" w:cs="Arial"/>
          <w:sz w:val="16"/>
          <w:szCs w:val="20"/>
        </w:rPr>
      </w:pPr>
      <w:r w:rsidRPr="00090050">
        <w:rPr>
          <w:rFonts w:ascii="Cambria" w:eastAsia="Cambria" w:hAnsi="Cambria" w:cs="Arial"/>
          <w:sz w:val="16"/>
          <w:szCs w:val="20"/>
        </w:rPr>
        <w:t xml:space="preserve">Aboutorabi, A., Hadian, M., Ghaderi, H., Salehi, M., &amp; Ghiasipour, M. (2014). Cost-Effectiveness Analysis of Trastuzumab in the Adju-vant Treatment for Early Breast Cancer. </w:t>
      </w:r>
      <w:r w:rsidRPr="00090050">
        <w:rPr>
          <w:rFonts w:ascii="Cambria" w:eastAsia="Cambria" w:hAnsi="Cambria" w:cs="Arial"/>
          <w:i/>
          <w:sz w:val="16"/>
          <w:szCs w:val="20"/>
        </w:rPr>
        <w:t>Global Journal of Health Science, 7(1),</w:t>
      </w:r>
      <w:r w:rsidRPr="00090050">
        <w:rPr>
          <w:rFonts w:ascii="Cambria" w:eastAsia="Cambria" w:hAnsi="Cambria" w:cs="Arial"/>
          <w:sz w:val="16"/>
          <w:szCs w:val="20"/>
        </w:rPr>
        <w:t xml:space="preserve"> 98–106. https://doi.org/10.5539/gjhs.v7n1p98</w:t>
      </w:r>
    </w:p>
    <w:p w:rsidR="00090050" w:rsidRPr="00090050" w:rsidRDefault="00090050" w:rsidP="00090050">
      <w:pPr>
        <w:spacing w:after="0" w:line="15" w:lineRule="exact"/>
        <w:rPr>
          <w:rFonts w:ascii="Cambria" w:eastAsia="Cambria" w:hAnsi="Cambria" w:cs="Arial"/>
          <w:sz w:val="16"/>
          <w:szCs w:val="20"/>
        </w:rPr>
      </w:pPr>
    </w:p>
    <w:p w:rsidR="00090050" w:rsidRPr="00090050" w:rsidRDefault="00090050" w:rsidP="00090050">
      <w:pPr>
        <w:numPr>
          <w:ilvl w:val="0"/>
          <w:numId w:val="10"/>
        </w:numPr>
        <w:tabs>
          <w:tab w:val="left" w:pos="289"/>
        </w:tabs>
        <w:spacing w:after="0" w:line="0" w:lineRule="atLeast"/>
        <w:rPr>
          <w:rFonts w:ascii="Cambria" w:eastAsia="Cambria" w:hAnsi="Cambria" w:cs="Arial"/>
          <w:i/>
          <w:sz w:val="18"/>
          <w:szCs w:val="20"/>
        </w:rPr>
      </w:pPr>
      <w:r w:rsidRPr="00090050">
        <w:rPr>
          <w:rFonts w:ascii="Cambria" w:eastAsia="Cambria" w:hAnsi="Cambria" w:cs="Arial"/>
          <w:i/>
          <w:sz w:val="18"/>
          <w:szCs w:val="20"/>
        </w:rPr>
        <w:t xml:space="preserve">Preiskurant na meditcinskie uslugi. </w:t>
      </w:r>
      <w:r w:rsidRPr="00090050">
        <w:rPr>
          <w:rFonts w:ascii="Cambria" w:eastAsia="Cambria" w:hAnsi="Cambria" w:cs="Arial"/>
          <w:sz w:val="18"/>
          <w:szCs w:val="20"/>
        </w:rPr>
        <w:t>(n.d.). Available at: http://med.interpipe.biz/price</w:t>
      </w:r>
    </w:p>
    <w:p w:rsidR="00090050" w:rsidRPr="00090050" w:rsidRDefault="00090050" w:rsidP="00090050">
      <w:pPr>
        <w:spacing w:after="0" w:line="17" w:lineRule="exact"/>
        <w:rPr>
          <w:rFonts w:ascii="Cambria" w:eastAsia="Cambria" w:hAnsi="Cambria" w:cs="Arial"/>
          <w:i/>
          <w:sz w:val="18"/>
          <w:szCs w:val="20"/>
        </w:rPr>
      </w:pPr>
    </w:p>
    <w:p w:rsidR="00090050" w:rsidRPr="00090050" w:rsidRDefault="00090050" w:rsidP="00090050">
      <w:pPr>
        <w:numPr>
          <w:ilvl w:val="0"/>
          <w:numId w:val="10"/>
        </w:numPr>
        <w:tabs>
          <w:tab w:val="left" w:pos="289"/>
        </w:tabs>
        <w:spacing w:after="0" w:line="0" w:lineRule="atLeast"/>
        <w:rPr>
          <w:rFonts w:ascii="Cambria" w:eastAsia="Cambria" w:hAnsi="Cambria" w:cs="Arial"/>
          <w:i/>
          <w:sz w:val="18"/>
          <w:szCs w:val="20"/>
        </w:rPr>
      </w:pPr>
      <w:r w:rsidRPr="00090050">
        <w:rPr>
          <w:rFonts w:ascii="Cambria" w:eastAsia="Cambria" w:hAnsi="Cambria" w:cs="Arial"/>
          <w:i/>
          <w:sz w:val="18"/>
          <w:szCs w:val="20"/>
        </w:rPr>
        <w:t xml:space="preserve">Preiskurant na meditcinskie uslugi. </w:t>
      </w:r>
      <w:r w:rsidRPr="00090050">
        <w:rPr>
          <w:rFonts w:ascii="Cambria" w:eastAsia="Cambria" w:hAnsi="Cambria" w:cs="Arial"/>
          <w:sz w:val="18"/>
          <w:szCs w:val="20"/>
        </w:rPr>
        <w:t>(n.d.). Available at: http://zds.com.ua/medicine/prices</w:t>
      </w:r>
    </w:p>
    <w:p w:rsidR="00090050" w:rsidRPr="00090050" w:rsidRDefault="00090050" w:rsidP="00090050">
      <w:pPr>
        <w:spacing w:after="0" w:line="19" w:lineRule="exact"/>
        <w:rPr>
          <w:rFonts w:ascii="Cambria" w:eastAsia="Cambria" w:hAnsi="Cambria" w:cs="Arial"/>
          <w:i/>
          <w:sz w:val="18"/>
          <w:szCs w:val="20"/>
        </w:rPr>
      </w:pPr>
    </w:p>
    <w:p w:rsidR="00090050" w:rsidRPr="00090050" w:rsidRDefault="00090050" w:rsidP="00090050">
      <w:pPr>
        <w:numPr>
          <w:ilvl w:val="0"/>
          <w:numId w:val="10"/>
        </w:numPr>
        <w:tabs>
          <w:tab w:val="left" w:pos="289"/>
        </w:tabs>
        <w:spacing w:after="0" w:line="232" w:lineRule="auto"/>
        <w:rPr>
          <w:rFonts w:ascii="Cambria" w:eastAsia="Cambria" w:hAnsi="Cambria" w:cs="Arial"/>
          <w:sz w:val="18"/>
          <w:szCs w:val="20"/>
        </w:rPr>
      </w:pPr>
      <w:r w:rsidRPr="00090050">
        <w:rPr>
          <w:rFonts w:ascii="Cambria" w:eastAsia="Cambria" w:hAnsi="Cambria" w:cs="Arial"/>
          <w:sz w:val="18"/>
          <w:szCs w:val="20"/>
        </w:rPr>
        <w:t xml:space="preserve">Gianni, L. (2001). Tolerability in patients receiving trastuzumab with or without chemotherapy. </w:t>
      </w:r>
      <w:r w:rsidRPr="00090050">
        <w:rPr>
          <w:rFonts w:ascii="Cambria" w:eastAsia="Cambria" w:hAnsi="Cambria" w:cs="Arial"/>
          <w:i/>
          <w:sz w:val="18"/>
          <w:szCs w:val="20"/>
        </w:rPr>
        <w:t>Annals of Oncology, 12(suppl 1),</w:t>
      </w:r>
      <w:r w:rsidRPr="00090050">
        <w:rPr>
          <w:rFonts w:ascii="Cambria" w:eastAsia="Cambria" w:hAnsi="Cambria" w:cs="Arial"/>
          <w:sz w:val="18"/>
          <w:szCs w:val="20"/>
        </w:rPr>
        <w:t xml:space="preserve"> S63–S68. https://doi.org/10.1093/annonc/12.suppl_1.s63</w:t>
      </w:r>
    </w:p>
    <w:p w:rsidR="00090050" w:rsidRPr="00090050" w:rsidRDefault="00090050" w:rsidP="00090050">
      <w:pPr>
        <w:spacing w:after="0" w:line="20" w:lineRule="exact"/>
        <w:rPr>
          <w:rFonts w:ascii="Times New Roman" w:eastAsia="Times New Roman" w:hAnsi="Times New Roman" w:cs="Arial"/>
          <w:sz w:val="20"/>
          <w:szCs w:val="20"/>
        </w:rPr>
      </w:pPr>
      <w:r w:rsidRPr="00090050">
        <w:rPr>
          <w:rFonts w:ascii="Cambria" w:eastAsia="Cambria" w:hAnsi="Cambria" w:cs="Arial"/>
          <w:noProof/>
          <w:sz w:val="18"/>
          <w:szCs w:val="20"/>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138430</wp:posOffset>
                </wp:positionV>
                <wp:extent cx="2555875" cy="0"/>
                <wp:effectExtent l="13335" t="9525" r="1206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B4FA" id="Прямая соединительная линия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20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" strokeweight="1pt"/>
            </w:pict>
          </mc:Fallback>
        </mc:AlternateContent>
      </w:r>
    </w:p>
    <w:p w:rsidR="00090050" w:rsidRPr="00090050" w:rsidRDefault="00090050" w:rsidP="00090050">
      <w:pPr>
        <w:spacing w:after="0" w:line="228" w:lineRule="exact"/>
        <w:rPr>
          <w:rFonts w:ascii="Times New Roman" w:eastAsia="Times New Roman" w:hAnsi="Times New Roman" w:cs="Arial"/>
          <w:sz w:val="20"/>
          <w:szCs w:val="20"/>
        </w:rPr>
      </w:pPr>
    </w:p>
    <w:p w:rsidR="00090050" w:rsidRPr="00090050" w:rsidRDefault="00090050" w:rsidP="00090050">
      <w:pPr>
        <w:spacing w:after="0" w:line="0" w:lineRule="atLeast"/>
        <w:rPr>
          <w:rFonts w:ascii="Cambria" w:eastAsia="Cambria" w:hAnsi="Cambria" w:cs="Arial"/>
          <w:i/>
          <w:sz w:val="16"/>
          <w:szCs w:val="20"/>
          <w:lang w:val="ru-RU"/>
        </w:rPr>
      </w:pPr>
      <w:r w:rsidRPr="00090050">
        <w:rPr>
          <w:rFonts w:ascii="Cambria" w:eastAsia="Cambria" w:hAnsi="Cambria" w:cs="Arial"/>
          <w:i/>
          <w:sz w:val="16"/>
          <w:szCs w:val="20"/>
          <w:lang w:val="ru-RU"/>
        </w:rPr>
        <w:t xml:space="preserve">Відомості про авторів </w:t>
      </w:r>
      <w:r w:rsidRPr="00090050">
        <w:rPr>
          <w:rFonts w:ascii="Cambria" w:eastAsia="Cambria" w:hAnsi="Cambria" w:cs="Arial"/>
          <w:sz w:val="16"/>
          <w:szCs w:val="20"/>
          <w:lang w:val="ru-RU"/>
        </w:rPr>
        <w:t>/</w:t>
      </w:r>
      <w:r w:rsidRPr="00090050">
        <w:rPr>
          <w:rFonts w:ascii="Cambria" w:eastAsia="Cambria" w:hAnsi="Cambria" w:cs="Arial"/>
          <w:i/>
          <w:sz w:val="16"/>
          <w:szCs w:val="20"/>
          <w:lang w:val="ru-RU"/>
        </w:rPr>
        <w:t xml:space="preserve"> </w:t>
      </w:r>
      <w:r w:rsidRPr="00090050">
        <w:rPr>
          <w:rFonts w:ascii="Cambria" w:eastAsia="Cambria" w:hAnsi="Cambria" w:cs="Arial"/>
          <w:i/>
          <w:sz w:val="16"/>
          <w:szCs w:val="20"/>
        </w:rPr>
        <w:t>Information</w:t>
      </w:r>
      <w:r w:rsidRPr="00090050">
        <w:rPr>
          <w:rFonts w:ascii="Cambria" w:eastAsia="Cambria" w:hAnsi="Cambria" w:cs="Arial"/>
          <w:i/>
          <w:sz w:val="16"/>
          <w:szCs w:val="20"/>
          <w:lang w:val="ru-RU"/>
        </w:rPr>
        <w:t xml:space="preserve"> </w:t>
      </w:r>
      <w:r w:rsidRPr="00090050">
        <w:rPr>
          <w:rFonts w:ascii="Cambria" w:eastAsia="Cambria" w:hAnsi="Cambria" w:cs="Arial"/>
          <w:i/>
          <w:sz w:val="16"/>
          <w:szCs w:val="20"/>
        </w:rPr>
        <w:t>about</w:t>
      </w:r>
      <w:r w:rsidRPr="00090050">
        <w:rPr>
          <w:rFonts w:ascii="Cambria" w:eastAsia="Cambria" w:hAnsi="Cambria" w:cs="Arial"/>
          <w:i/>
          <w:sz w:val="16"/>
          <w:szCs w:val="20"/>
          <w:lang w:val="ru-RU"/>
        </w:rPr>
        <w:t xml:space="preserve"> </w:t>
      </w:r>
      <w:r w:rsidRPr="00090050">
        <w:rPr>
          <w:rFonts w:ascii="Cambria" w:eastAsia="Cambria" w:hAnsi="Cambria" w:cs="Arial"/>
          <w:i/>
          <w:sz w:val="16"/>
          <w:szCs w:val="20"/>
        </w:rPr>
        <w:t>authors</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w:t>
      </w:r>
      <w:r w:rsidRPr="00090050">
        <w:rPr>
          <w:rFonts w:ascii="Cambria" w:eastAsia="Cambria" w:hAnsi="Cambria" w:cs="Arial"/>
          <w:i/>
          <w:sz w:val="16"/>
          <w:szCs w:val="20"/>
          <w:lang w:val="ru-RU"/>
        </w:rPr>
        <w:t xml:space="preserve"> Информация об авторах</w:t>
      </w:r>
    </w:p>
    <w:p w:rsidR="00090050" w:rsidRPr="00090050" w:rsidRDefault="00090050" w:rsidP="00090050">
      <w:pPr>
        <w:spacing w:after="0" w:line="230" w:lineRule="auto"/>
        <w:ind w:right="740"/>
        <w:rPr>
          <w:rFonts w:ascii="Cambria" w:eastAsia="Cambria" w:hAnsi="Cambria" w:cs="Arial"/>
          <w:sz w:val="16"/>
          <w:szCs w:val="20"/>
        </w:rPr>
      </w:pPr>
      <w:r w:rsidRPr="00090050">
        <w:rPr>
          <w:rFonts w:ascii="Cambria" w:eastAsia="Cambria" w:hAnsi="Cambria" w:cs="Arial"/>
          <w:b/>
          <w:i/>
          <w:sz w:val="16"/>
          <w:szCs w:val="20"/>
          <w:lang w:val="ru-RU"/>
        </w:rPr>
        <w:t>Бездітко Н. В.</w:t>
      </w:r>
      <w:r w:rsidRPr="00090050">
        <w:rPr>
          <w:rFonts w:ascii="Cambria" w:eastAsia="Cambria" w:hAnsi="Cambria" w:cs="Arial"/>
          <w:sz w:val="16"/>
          <w:szCs w:val="20"/>
          <w:lang w:val="ru-RU"/>
        </w:rPr>
        <w:t>,</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доктор медичних наук,</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професор кафедри фармакоекономіки,</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Національний фармацевтичний університет</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w:t>
      </w:r>
      <w:r w:rsidRPr="00090050">
        <w:rPr>
          <w:rFonts w:ascii="Cambria" w:eastAsia="Cambria" w:hAnsi="Cambria" w:cs="Arial"/>
          <w:sz w:val="16"/>
          <w:szCs w:val="20"/>
        </w:rPr>
        <w:t>https</w:t>
      </w:r>
      <w:r w:rsidRPr="00090050">
        <w:rPr>
          <w:rFonts w:ascii="Cambria" w:eastAsia="Cambria" w:hAnsi="Cambria" w:cs="Arial"/>
          <w:sz w:val="16"/>
          <w:szCs w:val="20"/>
          <w:lang w:val="ru-RU"/>
        </w:rPr>
        <w:t>://</w:t>
      </w:r>
      <w:r w:rsidRPr="00090050">
        <w:rPr>
          <w:rFonts w:ascii="Cambria" w:eastAsia="Cambria" w:hAnsi="Cambria" w:cs="Arial"/>
          <w:sz w:val="16"/>
          <w:szCs w:val="20"/>
        </w:rPr>
        <w:t>orcid</w:t>
      </w:r>
      <w:r w:rsidRPr="00090050">
        <w:rPr>
          <w:rFonts w:ascii="Cambria" w:eastAsia="Cambria" w:hAnsi="Cambria" w:cs="Arial"/>
          <w:sz w:val="16"/>
          <w:szCs w:val="20"/>
          <w:lang w:val="ru-RU"/>
        </w:rPr>
        <w:t>.</w:t>
      </w:r>
      <w:r w:rsidRPr="00090050">
        <w:rPr>
          <w:rFonts w:ascii="Cambria" w:eastAsia="Cambria" w:hAnsi="Cambria" w:cs="Arial"/>
          <w:sz w:val="16"/>
          <w:szCs w:val="20"/>
        </w:rPr>
        <w:t>org</w:t>
      </w:r>
      <w:r w:rsidRPr="00090050">
        <w:rPr>
          <w:rFonts w:ascii="Cambria" w:eastAsia="Cambria" w:hAnsi="Cambria" w:cs="Arial"/>
          <w:sz w:val="16"/>
          <w:szCs w:val="20"/>
          <w:lang w:val="ru-RU"/>
        </w:rPr>
        <w:t xml:space="preserve">/0000-0003-0274-2203). </w:t>
      </w:r>
      <w:r w:rsidRPr="00090050">
        <w:rPr>
          <w:rFonts w:ascii="Cambria" w:eastAsia="Cambria" w:hAnsi="Cambria" w:cs="Arial"/>
          <w:sz w:val="16"/>
          <w:szCs w:val="20"/>
        </w:rPr>
        <w:t>Е-mаіl: ph-econom@nuph.edu.ua</w:t>
      </w:r>
    </w:p>
    <w:p w:rsidR="00090050" w:rsidRPr="00090050" w:rsidRDefault="00090050" w:rsidP="00090050">
      <w:pPr>
        <w:spacing w:after="0" w:line="230" w:lineRule="auto"/>
        <w:ind w:right="860"/>
        <w:rPr>
          <w:rFonts w:ascii="Cambria" w:eastAsia="Cambria" w:hAnsi="Cambria" w:cs="Arial"/>
          <w:sz w:val="16"/>
          <w:szCs w:val="20"/>
          <w:lang w:val="ru-RU"/>
        </w:rPr>
      </w:pPr>
      <w:r w:rsidRPr="00090050">
        <w:rPr>
          <w:rFonts w:ascii="Cambria" w:eastAsia="Cambria" w:hAnsi="Cambria" w:cs="Arial"/>
          <w:b/>
          <w:i/>
          <w:sz w:val="16"/>
          <w:szCs w:val="20"/>
        </w:rPr>
        <w:t>Bezdetko N. V.</w:t>
      </w:r>
      <w:r w:rsidRPr="00090050">
        <w:rPr>
          <w:rFonts w:ascii="Cambria" w:eastAsia="Cambria" w:hAnsi="Cambria" w:cs="Arial"/>
          <w:sz w:val="16"/>
          <w:szCs w:val="20"/>
        </w:rPr>
        <w:t>, Doctor of Medicine (Dr. habil.), professor of the Pharmacoeconomics Department, National University of Pharmacy</w:t>
      </w:r>
      <w:r w:rsidRPr="00090050">
        <w:rPr>
          <w:rFonts w:ascii="Cambria" w:eastAsia="Cambria" w:hAnsi="Cambria" w:cs="Arial"/>
          <w:b/>
          <w:i/>
          <w:sz w:val="16"/>
          <w:szCs w:val="20"/>
        </w:rPr>
        <w:t xml:space="preserve"> </w:t>
      </w:r>
      <w:r w:rsidRPr="00090050">
        <w:rPr>
          <w:rFonts w:ascii="Cambria" w:eastAsia="Cambria" w:hAnsi="Cambria" w:cs="Arial"/>
          <w:sz w:val="16"/>
          <w:szCs w:val="20"/>
        </w:rPr>
        <w:t xml:space="preserve">(https://orcid.org/0000-0003-0274-2203). </w:t>
      </w:r>
      <w:r w:rsidRPr="00090050">
        <w:rPr>
          <w:rFonts w:ascii="Times New Roman" w:eastAsia="Times New Roman" w:hAnsi="Times New Roman" w:cs="Arial"/>
          <w:sz w:val="16"/>
          <w:szCs w:val="20"/>
        </w:rPr>
        <w:t>E</w:t>
      </w:r>
      <w:r w:rsidRPr="00090050">
        <w:rPr>
          <w:rFonts w:ascii="Times New Roman" w:eastAsia="Times New Roman" w:hAnsi="Times New Roman" w:cs="Arial"/>
          <w:sz w:val="16"/>
          <w:szCs w:val="20"/>
          <w:lang w:val="ru-RU"/>
        </w:rPr>
        <w:t>-</w:t>
      </w:r>
      <w:r w:rsidRPr="00090050">
        <w:rPr>
          <w:rFonts w:ascii="Times New Roman" w:eastAsia="Times New Roman" w:hAnsi="Times New Roman" w:cs="Arial"/>
          <w:sz w:val="16"/>
          <w:szCs w:val="20"/>
        </w:rPr>
        <w:t>mail</w:t>
      </w:r>
      <w:r w:rsidRPr="00090050">
        <w:rPr>
          <w:rFonts w:ascii="Times New Roman" w:eastAsia="Times New Roman" w:hAnsi="Times New Roman" w:cs="Arial"/>
          <w:sz w:val="16"/>
          <w:szCs w:val="20"/>
          <w:lang w:val="ru-RU"/>
        </w:rPr>
        <w:t>:</w:t>
      </w:r>
      <w:r w:rsidRPr="00090050">
        <w:rPr>
          <w:rFonts w:ascii="Cambria" w:eastAsia="Cambria" w:hAnsi="Cambria" w:cs="Arial"/>
          <w:sz w:val="16"/>
          <w:szCs w:val="20"/>
          <w:lang w:val="ru-RU"/>
        </w:rPr>
        <w:t xml:space="preserve"> </w:t>
      </w:r>
      <w:r w:rsidRPr="00090050">
        <w:rPr>
          <w:rFonts w:ascii="Cambria" w:eastAsia="Cambria" w:hAnsi="Cambria" w:cs="Arial"/>
          <w:sz w:val="16"/>
          <w:szCs w:val="20"/>
        </w:rPr>
        <w:t>ph</w:t>
      </w:r>
      <w:r w:rsidRPr="00090050">
        <w:rPr>
          <w:rFonts w:ascii="Cambria" w:eastAsia="Cambria" w:hAnsi="Cambria" w:cs="Arial"/>
          <w:sz w:val="16"/>
          <w:szCs w:val="20"/>
          <w:lang w:val="ru-RU"/>
        </w:rPr>
        <w:t>-</w:t>
      </w:r>
      <w:r w:rsidRPr="00090050">
        <w:rPr>
          <w:rFonts w:ascii="Cambria" w:eastAsia="Cambria" w:hAnsi="Cambria" w:cs="Arial"/>
          <w:sz w:val="16"/>
          <w:szCs w:val="20"/>
        </w:rPr>
        <w:t>econom</w:t>
      </w:r>
      <w:r w:rsidRPr="00090050">
        <w:rPr>
          <w:rFonts w:ascii="Cambria" w:eastAsia="Cambria" w:hAnsi="Cambria" w:cs="Arial"/>
          <w:sz w:val="16"/>
          <w:szCs w:val="20"/>
          <w:lang w:val="ru-RU"/>
        </w:rPr>
        <w:t>@</w:t>
      </w:r>
      <w:r w:rsidRPr="00090050">
        <w:rPr>
          <w:rFonts w:ascii="Cambria" w:eastAsia="Cambria" w:hAnsi="Cambria" w:cs="Arial"/>
          <w:sz w:val="16"/>
          <w:szCs w:val="20"/>
        </w:rPr>
        <w:t>nuph</w:t>
      </w:r>
      <w:r w:rsidRPr="00090050">
        <w:rPr>
          <w:rFonts w:ascii="Cambria" w:eastAsia="Cambria" w:hAnsi="Cambria" w:cs="Arial"/>
          <w:sz w:val="16"/>
          <w:szCs w:val="20"/>
          <w:lang w:val="ru-RU"/>
        </w:rPr>
        <w:t>.</w:t>
      </w:r>
      <w:r w:rsidRPr="00090050">
        <w:rPr>
          <w:rFonts w:ascii="Cambria" w:eastAsia="Cambria" w:hAnsi="Cambria" w:cs="Arial"/>
          <w:sz w:val="16"/>
          <w:szCs w:val="20"/>
        </w:rPr>
        <w:t>edu</w:t>
      </w:r>
      <w:r w:rsidRPr="00090050">
        <w:rPr>
          <w:rFonts w:ascii="Cambria" w:eastAsia="Cambria" w:hAnsi="Cambria" w:cs="Arial"/>
          <w:sz w:val="16"/>
          <w:szCs w:val="20"/>
          <w:lang w:val="ru-RU"/>
        </w:rPr>
        <w:t>.</w:t>
      </w:r>
      <w:r w:rsidRPr="00090050">
        <w:rPr>
          <w:rFonts w:ascii="Cambria" w:eastAsia="Cambria" w:hAnsi="Cambria" w:cs="Arial"/>
          <w:sz w:val="16"/>
          <w:szCs w:val="20"/>
        </w:rPr>
        <w:t>ua</w:t>
      </w:r>
    </w:p>
    <w:p w:rsidR="00090050" w:rsidRPr="00090050" w:rsidRDefault="00090050" w:rsidP="00090050">
      <w:pPr>
        <w:spacing w:after="0" w:line="230" w:lineRule="auto"/>
        <w:ind w:right="40"/>
        <w:rPr>
          <w:rFonts w:ascii="Cambria" w:eastAsia="Cambria" w:hAnsi="Cambria" w:cs="Arial"/>
          <w:sz w:val="16"/>
          <w:szCs w:val="20"/>
          <w:lang w:val="ru-RU"/>
        </w:rPr>
      </w:pPr>
      <w:r w:rsidRPr="00090050">
        <w:rPr>
          <w:rFonts w:ascii="Cambria" w:eastAsia="Cambria" w:hAnsi="Cambria" w:cs="Arial"/>
          <w:b/>
          <w:i/>
          <w:sz w:val="16"/>
          <w:szCs w:val="20"/>
          <w:lang w:val="ru-RU"/>
        </w:rPr>
        <w:t>Бездетко Н. В.</w:t>
      </w:r>
      <w:r w:rsidRPr="00090050">
        <w:rPr>
          <w:rFonts w:ascii="Cambria" w:eastAsia="Cambria" w:hAnsi="Cambria" w:cs="Arial"/>
          <w:sz w:val="16"/>
          <w:szCs w:val="20"/>
          <w:lang w:val="ru-RU"/>
        </w:rPr>
        <w:t>,</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доктор медицинских наук,</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профессор кафедры фармакоэкономики,</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Национальный фармацевтический университет</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w:t>
      </w:r>
      <w:r w:rsidRPr="00090050">
        <w:rPr>
          <w:rFonts w:ascii="Cambria" w:eastAsia="Cambria" w:hAnsi="Cambria" w:cs="Arial"/>
          <w:sz w:val="16"/>
          <w:szCs w:val="20"/>
        </w:rPr>
        <w:t>https</w:t>
      </w:r>
      <w:r w:rsidRPr="00090050">
        <w:rPr>
          <w:rFonts w:ascii="Cambria" w:eastAsia="Cambria" w:hAnsi="Cambria" w:cs="Arial"/>
          <w:sz w:val="16"/>
          <w:szCs w:val="20"/>
          <w:lang w:val="ru-RU"/>
        </w:rPr>
        <w:t>://</w:t>
      </w:r>
      <w:r w:rsidRPr="00090050">
        <w:rPr>
          <w:rFonts w:ascii="Cambria" w:eastAsia="Cambria" w:hAnsi="Cambria" w:cs="Arial"/>
          <w:sz w:val="16"/>
          <w:szCs w:val="20"/>
        </w:rPr>
        <w:t>orcid</w:t>
      </w:r>
      <w:r w:rsidRPr="00090050">
        <w:rPr>
          <w:rFonts w:ascii="Cambria" w:eastAsia="Cambria" w:hAnsi="Cambria" w:cs="Arial"/>
          <w:sz w:val="16"/>
          <w:szCs w:val="20"/>
          <w:lang w:val="ru-RU"/>
        </w:rPr>
        <w:t>.</w:t>
      </w:r>
      <w:r w:rsidRPr="00090050">
        <w:rPr>
          <w:rFonts w:ascii="Cambria" w:eastAsia="Cambria" w:hAnsi="Cambria" w:cs="Arial"/>
          <w:sz w:val="16"/>
          <w:szCs w:val="20"/>
        </w:rPr>
        <w:t>org</w:t>
      </w:r>
      <w:r w:rsidRPr="00090050">
        <w:rPr>
          <w:rFonts w:ascii="Cambria" w:eastAsia="Cambria" w:hAnsi="Cambria" w:cs="Arial"/>
          <w:sz w:val="16"/>
          <w:szCs w:val="20"/>
          <w:lang w:val="ru-RU"/>
        </w:rPr>
        <w:t xml:space="preserve">/0000-0003-0274-2203) </w:t>
      </w:r>
      <w:r w:rsidRPr="00090050">
        <w:rPr>
          <w:rFonts w:ascii="Times New Roman" w:eastAsia="Times New Roman" w:hAnsi="Times New Roman" w:cs="Arial"/>
          <w:sz w:val="16"/>
          <w:szCs w:val="20"/>
        </w:rPr>
        <w:t>E</w:t>
      </w:r>
      <w:r w:rsidRPr="00090050">
        <w:rPr>
          <w:rFonts w:ascii="Times New Roman" w:eastAsia="Times New Roman" w:hAnsi="Times New Roman" w:cs="Arial"/>
          <w:sz w:val="16"/>
          <w:szCs w:val="20"/>
          <w:lang w:val="ru-RU"/>
        </w:rPr>
        <w:t>-</w:t>
      </w:r>
      <w:r w:rsidRPr="00090050">
        <w:rPr>
          <w:rFonts w:ascii="Times New Roman" w:eastAsia="Times New Roman" w:hAnsi="Times New Roman" w:cs="Arial"/>
          <w:sz w:val="16"/>
          <w:szCs w:val="20"/>
        </w:rPr>
        <w:t>mail</w:t>
      </w:r>
      <w:r w:rsidRPr="00090050">
        <w:rPr>
          <w:rFonts w:ascii="Times New Roman" w:eastAsia="Times New Roman" w:hAnsi="Times New Roman" w:cs="Arial"/>
          <w:sz w:val="16"/>
          <w:szCs w:val="20"/>
          <w:lang w:val="ru-RU"/>
        </w:rPr>
        <w:t>:</w:t>
      </w:r>
      <w:r w:rsidRPr="00090050">
        <w:rPr>
          <w:rFonts w:ascii="Cambria" w:eastAsia="Cambria" w:hAnsi="Cambria" w:cs="Arial"/>
          <w:sz w:val="16"/>
          <w:szCs w:val="20"/>
          <w:lang w:val="ru-RU"/>
        </w:rPr>
        <w:t xml:space="preserve"> </w:t>
      </w:r>
      <w:r w:rsidRPr="00090050">
        <w:rPr>
          <w:rFonts w:ascii="Cambria" w:eastAsia="Cambria" w:hAnsi="Cambria" w:cs="Arial"/>
          <w:sz w:val="16"/>
          <w:szCs w:val="20"/>
        </w:rPr>
        <w:t>ph</w:t>
      </w:r>
      <w:r w:rsidRPr="00090050">
        <w:rPr>
          <w:rFonts w:ascii="Cambria" w:eastAsia="Cambria" w:hAnsi="Cambria" w:cs="Arial"/>
          <w:sz w:val="16"/>
          <w:szCs w:val="20"/>
          <w:lang w:val="ru-RU"/>
        </w:rPr>
        <w:t>-</w:t>
      </w:r>
      <w:r w:rsidRPr="00090050">
        <w:rPr>
          <w:rFonts w:ascii="Cambria" w:eastAsia="Cambria" w:hAnsi="Cambria" w:cs="Arial"/>
          <w:sz w:val="16"/>
          <w:szCs w:val="20"/>
        </w:rPr>
        <w:t>econom</w:t>
      </w:r>
      <w:r w:rsidRPr="00090050">
        <w:rPr>
          <w:rFonts w:ascii="Cambria" w:eastAsia="Cambria" w:hAnsi="Cambria" w:cs="Arial"/>
          <w:sz w:val="16"/>
          <w:szCs w:val="20"/>
          <w:lang w:val="ru-RU"/>
        </w:rPr>
        <w:t>@</w:t>
      </w:r>
      <w:r w:rsidRPr="00090050">
        <w:rPr>
          <w:rFonts w:ascii="Cambria" w:eastAsia="Cambria" w:hAnsi="Cambria" w:cs="Arial"/>
          <w:sz w:val="16"/>
          <w:szCs w:val="20"/>
        </w:rPr>
        <w:t>nuph</w:t>
      </w:r>
      <w:r w:rsidRPr="00090050">
        <w:rPr>
          <w:rFonts w:ascii="Cambria" w:eastAsia="Cambria" w:hAnsi="Cambria" w:cs="Arial"/>
          <w:sz w:val="16"/>
          <w:szCs w:val="20"/>
          <w:lang w:val="ru-RU"/>
        </w:rPr>
        <w:t>.</w:t>
      </w:r>
      <w:r w:rsidRPr="00090050">
        <w:rPr>
          <w:rFonts w:ascii="Cambria" w:eastAsia="Cambria" w:hAnsi="Cambria" w:cs="Arial"/>
          <w:sz w:val="16"/>
          <w:szCs w:val="20"/>
        </w:rPr>
        <w:t>edu</w:t>
      </w:r>
      <w:r w:rsidRPr="00090050">
        <w:rPr>
          <w:rFonts w:ascii="Cambria" w:eastAsia="Cambria" w:hAnsi="Cambria" w:cs="Arial"/>
          <w:sz w:val="16"/>
          <w:szCs w:val="20"/>
          <w:lang w:val="ru-RU"/>
        </w:rPr>
        <w:t>.</w:t>
      </w:r>
      <w:r w:rsidRPr="00090050">
        <w:rPr>
          <w:rFonts w:ascii="Cambria" w:eastAsia="Cambria" w:hAnsi="Cambria" w:cs="Arial"/>
          <w:sz w:val="16"/>
          <w:szCs w:val="20"/>
        </w:rPr>
        <w:t>ua</w:t>
      </w:r>
    </w:p>
    <w:p w:rsidR="00090050" w:rsidRPr="00090050" w:rsidRDefault="00090050" w:rsidP="00090050">
      <w:pPr>
        <w:spacing w:after="0" w:line="230" w:lineRule="auto"/>
        <w:ind w:right="460"/>
        <w:rPr>
          <w:rFonts w:ascii="Cambria" w:eastAsia="Cambria" w:hAnsi="Cambria" w:cs="Arial"/>
          <w:sz w:val="16"/>
          <w:szCs w:val="20"/>
        </w:rPr>
      </w:pPr>
      <w:r w:rsidRPr="00090050">
        <w:rPr>
          <w:rFonts w:ascii="Cambria" w:eastAsia="Cambria" w:hAnsi="Cambria" w:cs="Arial"/>
          <w:b/>
          <w:i/>
          <w:sz w:val="16"/>
          <w:szCs w:val="20"/>
          <w:lang w:val="ru-RU"/>
        </w:rPr>
        <w:t>Мужичук О. В.</w:t>
      </w:r>
      <w:r w:rsidRPr="00090050">
        <w:rPr>
          <w:rFonts w:ascii="Cambria" w:eastAsia="Cambria" w:hAnsi="Cambria" w:cs="Arial"/>
          <w:sz w:val="16"/>
          <w:szCs w:val="20"/>
          <w:lang w:val="ru-RU"/>
        </w:rPr>
        <w:t>,</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доктор медичних наук,</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доцент,</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професор кафедри онкології,</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Харківський національний медичний університет</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w:t>
      </w:r>
      <w:r w:rsidRPr="00090050">
        <w:rPr>
          <w:rFonts w:ascii="Cambria" w:eastAsia="Cambria" w:hAnsi="Cambria" w:cs="Arial"/>
          <w:sz w:val="16"/>
          <w:szCs w:val="20"/>
        </w:rPr>
        <w:t>https</w:t>
      </w:r>
      <w:r w:rsidRPr="00090050">
        <w:rPr>
          <w:rFonts w:ascii="Cambria" w:eastAsia="Cambria" w:hAnsi="Cambria" w:cs="Arial"/>
          <w:sz w:val="16"/>
          <w:szCs w:val="20"/>
          <w:lang w:val="ru-RU"/>
        </w:rPr>
        <w:t>://</w:t>
      </w:r>
      <w:r w:rsidRPr="00090050">
        <w:rPr>
          <w:rFonts w:ascii="Cambria" w:eastAsia="Cambria" w:hAnsi="Cambria" w:cs="Arial"/>
          <w:sz w:val="16"/>
          <w:szCs w:val="20"/>
        </w:rPr>
        <w:t>orcid</w:t>
      </w:r>
      <w:r w:rsidRPr="00090050">
        <w:rPr>
          <w:rFonts w:ascii="Cambria" w:eastAsia="Cambria" w:hAnsi="Cambria" w:cs="Arial"/>
          <w:sz w:val="16"/>
          <w:szCs w:val="20"/>
          <w:lang w:val="ru-RU"/>
        </w:rPr>
        <w:t>.</w:t>
      </w:r>
      <w:r w:rsidRPr="00090050">
        <w:rPr>
          <w:rFonts w:ascii="Cambria" w:eastAsia="Cambria" w:hAnsi="Cambria" w:cs="Arial"/>
          <w:sz w:val="16"/>
          <w:szCs w:val="20"/>
        </w:rPr>
        <w:t>org</w:t>
      </w:r>
      <w:r w:rsidRPr="00090050">
        <w:rPr>
          <w:rFonts w:ascii="Cambria" w:eastAsia="Cambria" w:hAnsi="Cambria" w:cs="Arial"/>
          <w:sz w:val="16"/>
          <w:szCs w:val="20"/>
          <w:lang w:val="ru-RU"/>
        </w:rPr>
        <w:t>/</w:t>
      </w:r>
      <w:r w:rsidRPr="00090050">
        <w:rPr>
          <w:rFonts w:ascii="Cambria" w:eastAsia="Cambria" w:hAnsi="Cambria" w:cs="Arial"/>
          <w:sz w:val="16"/>
          <w:szCs w:val="20"/>
        </w:rPr>
        <w:t>orcid</w:t>
      </w:r>
      <w:r w:rsidRPr="00090050">
        <w:rPr>
          <w:rFonts w:ascii="Cambria" w:eastAsia="Cambria" w:hAnsi="Cambria" w:cs="Arial"/>
          <w:sz w:val="16"/>
          <w:szCs w:val="20"/>
          <w:lang w:val="ru-RU"/>
        </w:rPr>
        <w:t>.</w:t>
      </w:r>
      <w:r w:rsidRPr="00090050">
        <w:rPr>
          <w:rFonts w:ascii="Cambria" w:eastAsia="Cambria" w:hAnsi="Cambria" w:cs="Arial"/>
          <w:sz w:val="16"/>
          <w:szCs w:val="20"/>
        </w:rPr>
        <w:t>org</w:t>
      </w:r>
      <w:r w:rsidRPr="00090050">
        <w:rPr>
          <w:rFonts w:ascii="Cambria" w:eastAsia="Cambria" w:hAnsi="Cambria" w:cs="Arial"/>
          <w:sz w:val="16"/>
          <w:szCs w:val="20"/>
          <w:lang w:val="ru-RU"/>
        </w:rPr>
        <w:t xml:space="preserve">/0000-0002-7571-2606). </w:t>
      </w:r>
      <w:r w:rsidRPr="00090050">
        <w:rPr>
          <w:rFonts w:ascii="Cambria" w:eastAsia="Cambria" w:hAnsi="Cambria" w:cs="Arial"/>
          <w:sz w:val="16"/>
          <w:szCs w:val="20"/>
        </w:rPr>
        <w:t>E-mail: alexmuzhychuk@gmail.com</w:t>
      </w:r>
    </w:p>
    <w:p w:rsidR="00090050" w:rsidRPr="00090050" w:rsidRDefault="00090050" w:rsidP="00090050">
      <w:pPr>
        <w:spacing w:after="0" w:line="230" w:lineRule="auto"/>
        <w:ind w:right="580"/>
        <w:rPr>
          <w:rFonts w:ascii="Cambria" w:eastAsia="Cambria" w:hAnsi="Cambria" w:cs="Arial"/>
          <w:sz w:val="16"/>
          <w:szCs w:val="20"/>
          <w:lang w:val="ru-RU"/>
        </w:rPr>
      </w:pPr>
      <w:r w:rsidRPr="00090050">
        <w:rPr>
          <w:rFonts w:ascii="Cambria" w:eastAsia="Cambria" w:hAnsi="Cambria" w:cs="Arial"/>
          <w:b/>
          <w:i/>
          <w:sz w:val="16"/>
          <w:szCs w:val="20"/>
        </w:rPr>
        <w:t>Muzhychuk O. V.</w:t>
      </w:r>
      <w:r w:rsidRPr="00090050">
        <w:rPr>
          <w:rFonts w:ascii="Cambria" w:eastAsia="Cambria" w:hAnsi="Cambria" w:cs="Arial"/>
          <w:sz w:val="16"/>
          <w:szCs w:val="20"/>
        </w:rPr>
        <w:t>, Doctor of Medicine (Dr. habil.), associate professor, professor of the Oncology Department, Kharkiv National Medical</w:t>
      </w:r>
      <w:r w:rsidRPr="00090050">
        <w:rPr>
          <w:rFonts w:ascii="Cambria" w:eastAsia="Cambria" w:hAnsi="Cambria" w:cs="Arial"/>
          <w:b/>
          <w:i/>
          <w:sz w:val="16"/>
          <w:szCs w:val="20"/>
        </w:rPr>
        <w:t xml:space="preserve"> </w:t>
      </w:r>
      <w:r w:rsidRPr="00090050">
        <w:rPr>
          <w:rFonts w:ascii="Cambria" w:eastAsia="Cambria" w:hAnsi="Cambria" w:cs="Arial"/>
          <w:sz w:val="16"/>
          <w:szCs w:val="20"/>
        </w:rPr>
        <w:t xml:space="preserve">University (https://orcid.org/0000-0002-7571-2606). </w:t>
      </w:r>
      <w:r w:rsidRPr="00090050">
        <w:rPr>
          <w:rFonts w:ascii="Times New Roman" w:eastAsia="Times New Roman" w:hAnsi="Times New Roman" w:cs="Arial"/>
          <w:sz w:val="16"/>
          <w:szCs w:val="20"/>
        </w:rPr>
        <w:t>E</w:t>
      </w:r>
      <w:r w:rsidRPr="00090050">
        <w:rPr>
          <w:rFonts w:ascii="Times New Roman" w:eastAsia="Times New Roman" w:hAnsi="Times New Roman" w:cs="Arial"/>
          <w:sz w:val="16"/>
          <w:szCs w:val="20"/>
          <w:lang w:val="ru-RU"/>
        </w:rPr>
        <w:t>-</w:t>
      </w:r>
      <w:r w:rsidRPr="00090050">
        <w:rPr>
          <w:rFonts w:ascii="Times New Roman" w:eastAsia="Times New Roman" w:hAnsi="Times New Roman" w:cs="Arial"/>
          <w:sz w:val="16"/>
          <w:szCs w:val="20"/>
        </w:rPr>
        <w:t>mail</w:t>
      </w:r>
      <w:r w:rsidRPr="00090050">
        <w:rPr>
          <w:rFonts w:ascii="Times New Roman" w:eastAsia="Times New Roman" w:hAnsi="Times New Roman" w:cs="Arial"/>
          <w:sz w:val="16"/>
          <w:szCs w:val="20"/>
          <w:lang w:val="ru-RU"/>
        </w:rPr>
        <w:t>:</w:t>
      </w:r>
      <w:r w:rsidRPr="00090050">
        <w:rPr>
          <w:rFonts w:ascii="Cambria" w:eastAsia="Cambria" w:hAnsi="Cambria" w:cs="Arial"/>
          <w:sz w:val="16"/>
          <w:szCs w:val="20"/>
          <w:lang w:val="ru-RU"/>
        </w:rPr>
        <w:t xml:space="preserve"> </w:t>
      </w:r>
      <w:r w:rsidRPr="00090050">
        <w:rPr>
          <w:rFonts w:ascii="Cambria" w:eastAsia="Cambria" w:hAnsi="Cambria" w:cs="Arial"/>
          <w:sz w:val="16"/>
          <w:szCs w:val="20"/>
        </w:rPr>
        <w:t>alexmuzhychuk</w:t>
      </w:r>
      <w:r w:rsidRPr="00090050">
        <w:rPr>
          <w:rFonts w:ascii="Cambria" w:eastAsia="Cambria" w:hAnsi="Cambria" w:cs="Arial"/>
          <w:sz w:val="16"/>
          <w:szCs w:val="20"/>
          <w:lang w:val="ru-RU"/>
        </w:rPr>
        <w:t>@</w:t>
      </w:r>
      <w:r w:rsidRPr="00090050">
        <w:rPr>
          <w:rFonts w:ascii="Cambria" w:eastAsia="Cambria" w:hAnsi="Cambria" w:cs="Arial"/>
          <w:sz w:val="16"/>
          <w:szCs w:val="20"/>
        </w:rPr>
        <w:t>gmail</w:t>
      </w:r>
      <w:r w:rsidRPr="00090050">
        <w:rPr>
          <w:rFonts w:ascii="Cambria" w:eastAsia="Cambria" w:hAnsi="Cambria" w:cs="Arial"/>
          <w:sz w:val="16"/>
          <w:szCs w:val="20"/>
          <w:lang w:val="ru-RU"/>
        </w:rPr>
        <w:t>.</w:t>
      </w:r>
      <w:r w:rsidRPr="00090050">
        <w:rPr>
          <w:rFonts w:ascii="Cambria" w:eastAsia="Cambria" w:hAnsi="Cambria" w:cs="Arial"/>
          <w:sz w:val="16"/>
          <w:szCs w:val="20"/>
        </w:rPr>
        <w:t>com</w:t>
      </w:r>
    </w:p>
    <w:p w:rsidR="00090050" w:rsidRPr="00090050" w:rsidRDefault="00090050" w:rsidP="00090050">
      <w:pPr>
        <w:spacing w:after="0" w:line="219" w:lineRule="auto"/>
        <w:rPr>
          <w:rFonts w:ascii="Cambria" w:eastAsia="Cambria" w:hAnsi="Cambria" w:cs="Arial"/>
          <w:sz w:val="16"/>
          <w:szCs w:val="20"/>
          <w:lang w:val="ru-RU"/>
        </w:rPr>
      </w:pPr>
      <w:r w:rsidRPr="00090050">
        <w:rPr>
          <w:rFonts w:ascii="Cambria" w:eastAsia="Cambria" w:hAnsi="Cambria" w:cs="Arial"/>
          <w:b/>
          <w:i/>
          <w:sz w:val="16"/>
          <w:szCs w:val="20"/>
          <w:lang w:val="ru-RU"/>
        </w:rPr>
        <w:t>Мужичук А. В.</w:t>
      </w:r>
      <w:r w:rsidRPr="00090050">
        <w:rPr>
          <w:rFonts w:ascii="Cambria" w:eastAsia="Cambria" w:hAnsi="Cambria" w:cs="Arial"/>
          <w:sz w:val="16"/>
          <w:szCs w:val="20"/>
          <w:lang w:val="ru-RU"/>
        </w:rPr>
        <w:t>,</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доктор медицинских наук,</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доцент,</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профессор кафедры онкологии,</w:t>
      </w:r>
      <w:r w:rsidRPr="00090050">
        <w:rPr>
          <w:rFonts w:ascii="Cambria" w:eastAsia="Cambria" w:hAnsi="Cambria" w:cs="Arial"/>
          <w:b/>
          <w:i/>
          <w:sz w:val="16"/>
          <w:szCs w:val="20"/>
          <w:lang w:val="ru-RU"/>
        </w:rPr>
        <w:t xml:space="preserve"> </w:t>
      </w:r>
      <w:r w:rsidRPr="00090050">
        <w:rPr>
          <w:rFonts w:ascii="Cambria" w:eastAsia="Cambria" w:hAnsi="Cambria" w:cs="Arial"/>
          <w:sz w:val="16"/>
          <w:szCs w:val="20"/>
          <w:lang w:val="ru-RU"/>
        </w:rPr>
        <w:t>Харьковский национальный медицинский</w:t>
      </w:r>
    </w:p>
    <w:p w:rsidR="00090050" w:rsidRPr="00090050" w:rsidRDefault="00090050" w:rsidP="00090050">
      <w:pPr>
        <w:spacing w:after="0" w:line="0" w:lineRule="atLeast"/>
        <w:rPr>
          <w:rFonts w:ascii="Cambria" w:eastAsia="Cambria" w:hAnsi="Cambria" w:cs="Arial"/>
          <w:sz w:val="16"/>
          <w:szCs w:val="20"/>
          <w:lang w:val="ru-RU"/>
        </w:rPr>
      </w:pPr>
      <w:r w:rsidRPr="00090050">
        <w:rPr>
          <w:rFonts w:ascii="Cambria" w:eastAsia="Cambria" w:hAnsi="Cambria" w:cs="Arial"/>
          <w:sz w:val="16"/>
          <w:szCs w:val="20"/>
          <w:lang w:val="ru-RU"/>
        </w:rPr>
        <w:t>университет (</w:t>
      </w:r>
      <w:r w:rsidRPr="00090050">
        <w:rPr>
          <w:rFonts w:ascii="Cambria" w:eastAsia="Cambria" w:hAnsi="Cambria" w:cs="Arial"/>
          <w:sz w:val="16"/>
          <w:szCs w:val="20"/>
        </w:rPr>
        <w:t>https</w:t>
      </w:r>
      <w:r w:rsidRPr="00090050">
        <w:rPr>
          <w:rFonts w:ascii="Cambria" w:eastAsia="Cambria" w:hAnsi="Cambria" w:cs="Arial"/>
          <w:sz w:val="16"/>
          <w:szCs w:val="20"/>
          <w:lang w:val="ru-RU"/>
        </w:rPr>
        <w:t>://</w:t>
      </w:r>
      <w:r w:rsidRPr="00090050">
        <w:rPr>
          <w:rFonts w:ascii="Cambria" w:eastAsia="Cambria" w:hAnsi="Cambria" w:cs="Arial"/>
          <w:sz w:val="16"/>
          <w:szCs w:val="20"/>
        </w:rPr>
        <w:t>orcid</w:t>
      </w:r>
      <w:r w:rsidRPr="00090050">
        <w:rPr>
          <w:rFonts w:ascii="Cambria" w:eastAsia="Cambria" w:hAnsi="Cambria" w:cs="Arial"/>
          <w:sz w:val="16"/>
          <w:szCs w:val="20"/>
          <w:lang w:val="ru-RU"/>
        </w:rPr>
        <w:t>.</w:t>
      </w:r>
      <w:r w:rsidRPr="00090050">
        <w:rPr>
          <w:rFonts w:ascii="Cambria" w:eastAsia="Cambria" w:hAnsi="Cambria" w:cs="Arial"/>
          <w:sz w:val="16"/>
          <w:szCs w:val="20"/>
        </w:rPr>
        <w:t>org</w:t>
      </w:r>
      <w:r w:rsidRPr="00090050">
        <w:rPr>
          <w:rFonts w:ascii="Cambria" w:eastAsia="Cambria" w:hAnsi="Cambria" w:cs="Arial"/>
          <w:sz w:val="16"/>
          <w:szCs w:val="20"/>
          <w:lang w:val="ru-RU"/>
        </w:rPr>
        <w:t xml:space="preserve">/0000-0002-7571-2606). </w:t>
      </w:r>
      <w:r w:rsidRPr="00090050">
        <w:rPr>
          <w:rFonts w:ascii="Times New Roman" w:eastAsia="Times New Roman" w:hAnsi="Times New Roman" w:cs="Arial"/>
          <w:sz w:val="16"/>
          <w:szCs w:val="20"/>
        </w:rPr>
        <w:t>E</w:t>
      </w:r>
      <w:r w:rsidRPr="00090050">
        <w:rPr>
          <w:rFonts w:ascii="Times New Roman" w:eastAsia="Times New Roman" w:hAnsi="Times New Roman" w:cs="Arial"/>
          <w:sz w:val="16"/>
          <w:szCs w:val="20"/>
          <w:lang w:val="ru-RU"/>
        </w:rPr>
        <w:t>-</w:t>
      </w:r>
      <w:r w:rsidRPr="00090050">
        <w:rPr>
          <w:rFonts w:ascii="Times New Roman" w:eastAsia="Times New Roman" w:hAnsi="Times New Roman" w:cs="Arial"/>
          <w:sz w:val="16"/>
          <w:szCs w:val="20"/>
        </w:rPr>
        <w:t>mail</w:t>
      </w:r>
      <w:r w:rsidRPr="00090050">
        <w:rPr>
          <w:rFonts w:ascii="Times New Roman" w:eastAsia="Times New Roman" w:hAnsi="Times New Roman" w:cs="Arial"/>
          <w:sz w:val="16"/>
          <w:szCs w:val="20"/>
          <w:lang w:val="ru-RU"/>
        </w:rPr>
        <w:t>:</w:t>
      </w:r>
      <w:r w:rsidRPr="00090050">
        <w:rPr>
          <w:rFonts w:ascii="Cambria" w:eastAsia="Cambria" w:hAnsi="Cambria" w:cs="Arial"/>
          <w:sz w:val="16"/>
          <w:szCs w:val="20"/>
          <w:lang w:val="ru-RU"/>
        </w:rPr>
        <w:t xml:space="preserve"> </w:t>
      </w:r>
      <w:r w:rsidRPr="00090050">
        <w:rPr>
          <w:rFonts w:ascii="Cambria" w:eastAsia="Cambria" w:hAnsi="Cambria" w:cs="Arial"/>
          <w:sz w:val="16"/>
          <w:szCs w:val="20"/>
        </w:rPr>
        <w:t>alexmuzhychuk</w:t>
      </w:r>
      <w:r w:rsidRPr="00090050">
        <w:rPr>
          <w:rFonts w:ascii="Cambria" w:eastAsia="Cambria" w:hAnsi="Cambria" w:cs="Arial"/>
          <w:sz w:val="16"/>
          <w:szCs w:val="20"/>
          <w:lang w:val="ru-RU"/>
        </w:rPr>
        <w:t>@</w:t>
      </w:r>
      <w:r w:rsidRPr="00090050">
        <w:rPr>
          <w:rFonts w:ascii="Cambria" w:eastAsia="Cambria" w:hAnsi="Cambria" w:cs="Arial"/>
          <w:sz w:val="16"/>
          <w:szCs w:val="20"/>
        </w:rPr>
        <w:t>gmail</w:t>
      </w:r>
      <w:r w:rsidRPr="00090050">
        <w:rPr>
          <w:rFonts w:ascii="Cambria" w:eastAsia="Cambria" w:hAnsi="Cambria" w:cs="Arial"/>
          <w:sz w:val="16"/>
          <w:szCs w:val="20"/>
          <w:lang w:val="ru-RU"/>
        </w:rPr>
        <w:t>.</w:t>
      </w:r>
      <w:r w:rsidRPr="00090050">
        <w:rPr>
          <w:rFonts w:ascii="Cambria" w:eastAsia="Cambria" w:hAnsi="Cambria" w:cs="Arial"/>
          <w:sz w:val="16"/>
          <w:szCs w:val="20"/>
        </w:rPr>
        <w:t>com</w:t>
      </w:r>
    </w:p>
    <w:p w:rsidR="00090050" w:rsidRPr="00090050" w:rsidRDefault="00090050" w:rsidP="00090050">
      <w:pPr>
        <w:spacing w:after="0" w:line="0" w:lineRule="atLeast"/>
        <w:rPr>
          <w:rFonts w:ascii="Cambria" w:eastAsia="Cambria" w:hAnsi="Cambria" w:cs="Arial"/>
          <w:sz w:val="16"/>
          <w:szCs w:val="20"/>
        </w:rPr>
      </w:pPr>
      <w:r w:rsidRPr="00090050">
        <w:rPr>
          <w:rFonts w:ascii="Cambria" w:eastAsia="Cambria" w:hAnsi="Cambria" w:cs="Arial"/>
          <w:i/>
          <w:sz w:val="16"/>
          <w:szCs w:val="20"/>
          <w:lang w:val="ru-RU"/>
        </w:rPr>
        <w:t xml:space="preserve">Адреса для листування: </w:t>
      </w:r>
      <w:r w:rsidRPr="00090050">
        <w:rPr>
          <w:rFonts w:ascii="Cambria" w:eastAsia="Cambria" w:hAnsi="Cambria" w:cs="Arial"/>
          <w:sz w:val="16"/>
          <w:szCs w:val="20"/>
          <w:lang w:val="ru-RU"/>
        </w:rPr>
        <w:t>61168,</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м.</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Харків,</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вул.</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Валентинівська, 4,</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кафедра фармакоекономіки НФаУ.</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 xml:space="preserve">Тел. </w:t>
      </w:r>
      <w:r w:rsidRPr="00090050">
        <w:rPr>
          <w:rFonts w:ascii="Cambria" w:eastAsia="Cambria" w:hAnsi="Cambria" w:cs="Arial"/>
          <w:sz w:val="16"/>
          <w:szCs w:val="20"/>
        </w:rPr>
        <w:t>+38(0572) 65-88-95.</w:t>
      </w:r>
    </w:p>
    <w:p w:rsidR="00090050" w:rsidRPr="00090050" w:rsidRDefault="00090050" w:rsidP="00090050">
      <w:pPr>
        <w:spacing w:after="0" w:line="222" w:lineRule="auto"/>
        <w:rPr>
          <w:rFonts w:ascii="Cambria" w:eastAsia="Cambria" w:hAnsi="Cambria" w:cs="Arial"/>
          <w:sz w:val="16"/>
          <w:szCs w:val="20"/>
        </w:rPr>
      </w:pPr>
      <w:r w:rsidRPr="00090050">
        <w:rPr>
          <w:rFonts w:ascii="Cambria" w:eastAsia="Cambria" w:hAnsi="Cambria" w:cs="Arial"/>
          <w:sz w:val="16"/>
          <w:szCs w:val="20"/>
        </w:rPr>
        <w:t>E-mail: ph-econom@nuph.edu.ua</w:t>
      </w:r>
    </w:p>
    <w:p w:rsidR="00090050" w:rsidRPr="00090050" w:rsidRDefault="00090050" w:rsidP="00090050">
      <w:pPr>
        <w:spacing w:after="0" w:line="238" w:lineRule="auto"/>
        <w:rPr>
          <w:rFonts w:ascii="Cambria" w:eastAsia="Cambria" w:hAnsi="Cambria" w:cs="Arial"/>
          <w:sz w:val="16"/>
          <w:szCs w:val="20"/>
        </w:rPr>
      </w:pPr>
      <w:r w:rsidRPr="00090050">
        <w:rPr>
          <w:rFonts w:ascii="Cambria" w:eastAsia="Cambria" w:hAnsi="Cambria" w:cs="Arial"/>
          <w:i/>
          <w:sz w:val="16"/>
          <w:szCs w:val="20"/>
        </w:rPr>
        <w:t xml:space="preserve">Mailing address: </w:t>
      </w:r>
      <w:r w:rsidRPr="00090050">
        <w:rPr>
          <w:rFonts w:ascii="Cambria" w:eastAsia="Cambria" w:hAnsi="Cambria" w:cs="Arial"/>
          <w:sz w:val="16"/>
          <w:szCs w:val="20"/>
        </w:rPr>
        <w:t>4, Valentynivska str, Kharkiv, 61168, Ukraine, Pharmacoeconomics Department, National University of Pharmacy.</w:t>
      </w:r>
    </w:p>
    <w:p w:rsidR="00090050" w:rsidRPr="00090050" w:rsidRDefault="00090050" w:rsidP="00090050">
      <w:pPr>
        <w:spacing w:after="0" w:line="223" w:lineRule="auto"/>
        <w:rPr>
          <w:rFonts w:ascii="Cambria" w:eastAsia="Cambria" w:hAnsi="Cambria" w:cs="Arial"/>
          <w:sz w:val="16"/>
          <w:szCs w:val="20"/>
        </w:rPr>
      </w:pPr>
      <w:r w:rsidRPr="00090050">
        <w:rPr>
          <w:rFonts w:ascii="Cambria" w:eastAsia="Cambria" w:hAnsi="Cambria" w:cs="Arial"/>
          <w:sz w:val="16"/>
          <w:szCs w:val="20"/>
        </w:rPr>
        <w:t>Tel. +38(0572) 65-88-95. E-mail: ph-econom@nuph.edu.ua</w:t>
      </w:r>
    </w:p>
    <w:p w:rsidR="00090050" w:rsidRPr="00090050" w:rsidRDefault="00090050" w:rsidP="00090050">
      <w:pPr>
        <w:spacing w:after="0" w:line="238" w:lineRule="auto"/>
        <w:rPr>
          <w:rFonts w:ascii="Cambria" w:eastAsia="Cambria" w:hAnsi="Cambria" w:cs="Arial"/>
          <w:sz w:val="16"/>
          <w:szCs w:val="20"/>
          <w:lang w:val="ru-RU"/>
        </w:rPr>
      </w:pPr>
      <w:r w:rsidRPr="00090050">
        <w:rPr>
          <w:rFonts w:ascii="Cambria" w:eastAsia="Cambria" w:hAnsi="Cambria" w:cs="Arial"/>
          <w:i/>
          <w:sz w:val="16"/>
          <w:szCs w:val="20"/>
          <w:lang w:val="ru-RU"/>
        </w:rPr>
        <w:t xml:space="preserve">Адрес для переписки: </w:t>
      </w:r>
      <w:r w:rsidRPr="00090050">
        <w:rPr>
          <w:rFonts w:ascii="Cambria" w:eastAsia="Cambria" w:hAnsi="Cambria" w:cs="Arial"/>
          <w:sz w:val="16"/>
          <w:szCs w:val="20"/>
          <w:lang w:val="ru-RU"/>
        </w:rPr>
        <w:t>61168,</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г.</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Харьков,</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ул.</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Валентиновская, 4,</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кафедра фармакоэкономики НФаУ.</w:t>
      </w:r>
      <w:r w:rsidRPr="00090050">
        <w:rPr>
          <w:rFonts w:ascii="Cambria" w:eastAsia="Cambria" w:hAnsi="Cambria" w:cs="Arial"/>
          <w:i/>
          <w:sz w:val="16"/>
          <w:szCs w:val="20"/>
          <w:lang w:val="ru-RU"/>
        </w:rPr>
        <w:t xml:space="preserve"> </w:t>
      </w:r>
      <w:r w:rsidRPr="00090050">
        <w:rPr>
          <w:rFonts w:ascii="Cambria" w:eastAsia="Cambria" w:hAnsi="Cambria" w:cs="Arial"/>
          <w:sz w:val="16"/>
          <w:szCs w:val="20"/>
          <w:lang w:val="ru-RU"/>
        </w:rPr>
        <w:t>Тел. +38(0572) 65-88-95.</w:t>
      </w:r>
    </w:p>
    <w:p w:rsidR="00090050" w:rsidRPr="00090050" w:rsidRDefault="00090050" w:rsidP="00090050">
      <w:pPr>
        <w:spacing w:after="0" w:line="230" w:lineRule="auto"/>
        <w:rPr>
          <w:rFonts w:ascii="Cambria" w:eastAsia="Cambria" w:hAnsi="Cambria" w:cs="Arial"/>
          <w:sz w:val="16"/>
          <w:szCs w:val="20"/>
          <w:lang w:val="ru-RU"/>
        </w:rPr>
      </w:pPr>
      <w:r w:rsidRPr="00090050">
        <w:rPr>
          <w:rFonts w:ascii="Cambria" w:eastAsia="Cambria" w:hAnsi="Cambria" w:cs="Arial"/>
          <w:sz w:val="16"/>
          <w:szCs w:val="20"/>
        </w:rPr>
        <w:t>E</w:t>
      </w:r>
      <w:r w:rsidRPr="00090050">
        <w:rPr>
          <w:rFonts w:ascii="Cambria" w:eastAsia="Cambria" w:hAnsi="Cambria" w:cs="Arial"/>
          <w:sz w:val="16"/>
          <w:szCs w:val="20"/>
          <w:lang w:val="ru-RU"/>
        </w:rPr>
        <w:t>-</w:t>
      </w:r>
      <w:r w:rsidRPr="00090050">
        <w:rPr>
          <w:rFonts w:ascii="Cambria" w:eastAsia="Cambria" w:hAnsi="Cambria" w:cs="Arial"/>
          <w:sz w:val="16"/>
          <w:szCs w:val="20"/>
        </w:rPr>
        <w:t>mail</w:t>
      </w:r>
      <w:r w:rsidRPr="00090050">
        <w:rPr>
          <w:rFonts w:ascii="Cambria" w:eastAsia="Cambria" w:hAnsi="Cambria" w:cs="Arial"/>
          <w:sz w:val="16"/>
          <w:szCs w:val="20"/>
          <w:lang w:val="ru-RU"/>
        </w:rPr>
        <w:t xml:space="preserve">: </w:t>
      </w:r>
      <w:r w:rsidRPr="00090050">
        <w:rPr>
          <w:rFonts w:ascii="Cambria" w:eastAsia="Cambria" w:hAnsi="Cambria" w:cs="Arial"/>
          <w:sz w:val="16"/>
          <w:szCs w:val="20"/>
        </w:rPr>
        <w:t>ph</w:t>
      </w:r>
      <w:r w:rsidRPr="00090050">
        <w:rPr>
          <w:rFonts w:ascii="Cambria" w:eastAsia="Cambria" w:hAnsi="Cambria" w:cs="Arial"/>
          <w:sz w:val="16"/>
          <w:szCs w:val="20"/>
          <w:lang w:val="ru-RU"/>
        </w:rPr>
        <w:t>-</w:t>
      </w:r>
      <w:r w:rsidRPr="00090050">
        <w:rPr>
          <w:rFonts w:ascii="Cambria" w:eastAsia="Cambria" w:hAnsi="Cambria" w:cs="Arial"/>
          <w:sz w:val="16"/>
          <w:szCs w:val="20"/>
        </w:rPr>
        <w:t>econom</w:t>
      </w:r>
      <w:r w:rsidRPr="00090050">
        <w:rPr>
          <w:rFonts w:ascii="Cambria" w:eastAsia="Cambria" w:hAnsi="Cambria" w:cs="Arial"/>
          <w:sz w:val="16"/>
          <w:szCs w:val="20"/>
          <w:lang w:val="ru-RU"/>
        </w:rPr>
        <w:t>@</w:t>
      </w:r>
      <w:r w:rsidRPr="00090050">
        <w:rPr>
          <w:rFonts w:ascii="Cambria" w:eastAsia="Cambria" w:hAnsi="Cambria" w:cs="Arial"/>
          <w:sz w:val="16"/>
          <w:szCs w:val="20"/>
        </w:rPr>
        <w:t>nuph</w:t>
      </w:r>
      <w:r w:rsidRPr="00090050">
        <w:rPr>
          <w:rFonts w:ascii="Cambria" w:eastAsia="Cambria" w:hAnsi="Cambria" w:cs="Arial"/>
          <w:sz w:val="16"/>
          <w:szCs w:val="20"/>
          <w:lang w:val="ru-RU"/>
        </w:rPr>
        <w:t>.</w:t>
      </w:r>
      <w:r w:rsidRPr="00090050">
        <w:rPr>
          <w:rFonts w:ascii="Cambria" w:eastAsia="Cambria" w:hAnsi="Cambria" w:cs="Arial"/>
          <w:sz w:val="16"/>
          <w:szCs w:val="20"/>
        </w:rPr>
        <w:t>edu</w:t>
      </w:r>
      <w:r w:rsidRPr="00090050">
        <w:rPr>
          <w:rFonts w:ascii="Cambria" w:eastAsia="Cambria" w:hAnsi="Cambria" w:cs="Arial"/>
          <w:sz w:val="16"/>
          <w:szCs w:val="20"/>
          <w:lang w:val="ru-RU"/>
        </w:rPr>
        <w:t>.</w:t>
      </w:r>
      <w:r w:rsidRPr="00090050">
        <w:rPr>
          <w:rFonts w:ascii="Cambria" w:eastAsia="Cambria" w:hAnsi="Cambria" w:cs="Arial"/>
          <w:sz w:val="16"/>
          <w:szCs w:val="20"/>
        </w:rPr>
        <w:t>ua</w:t>
      </w:r>
    </w:p>
    <w:p w:rsidR="00090050" w:rsidRPr="00090050" w:rsidRDefault="00090050" w:rsidP="00090050">
      <w:pPr>
        <w:spacing w:after="0" w:line="20" w:lineRule="exact"/>
        <w:rPr>
          <w:rFonts w:ascii="Times New Roman" w:eastAsia="Times New Roman" w:hAnsi="Times New Roman" w:cs="Arial"/>
          <w:sz w:val="20"/>
          <w:szCs w:val="20"/>
          <w:lang w:val="ru-RU"/>
        </w:rPr>
      </w:pPr>
      <w:r w:rsidRPr="00090050">
        <w:rPr>
          <w:rFonts w:ascii="Cambria" w:eastAsia="Cambria" w:hAnsi="Cambria" w:cs="Arial"/>
          <w:noProof/>
          <w:sz w:val="16"/>
          <w:szCs w:val="20"/>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122555</wp:posOffset>
                </wp:positionV>
                <wp:extent cx="2555875" cy="0"/>
                <wp:effectExtent l="13335" t="15240" r="1206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ACD4" id="Прямая соединительная линия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201.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" strokeweight="1pt"/>
            </w:pict>
          </mc:Fallback>
        </mc:AlternateContent>
      </w:r>
    </w:p>
    <w:p w:rsidR="00090050" w:rsidRPr="00090050" w:rsidRDefault="00090050" w:rsidP="00090050">
      <w:pPr>
        <w:spacing w:after="0" w:line="20" w:lineRule="exact"/>
        <w:rPr>
          <w:rFonts w:ascii="Times New Roman" w:eastAsia="Times New Roman" w:hAnsi="Times New Roman" w:cs="Arial"/>
          <w:sz w:val="20"/>
          <w:szCs w:val="20"/>
          <w:lang w:val="ru-RU"/>
        </w:rPr>
        <w:sectPr w:rsidR="00090050" w:rsidRPr="00090050">
          <w:pgSz w:w="11900" w:h="16838"/>
          <w:pgMar w:top="1028" w:right="1026" w:bottom="708" w:left="1191" w:header="0" w:footer="0" w:gutter="0"/>
          <w:cols w:space="0" w:equalWidth="0">
            <w:col w:w="9689"/>
          </w:cols>
          <w:docGrid w:linePitch="360"/>
        </w:sectPr>
      </w:pPr>
    </w:p>
    <w:p w:rsidR="00090050" w:rsidRPr="00090050" w:rsidRDefault="00090050" w:rsidP="00090050">
      <w:pPr>
        <w:spacing w:after="0" w:line="261" w:lineRule="exact"/>
        <w:rPr>
          <w:rFonts w:ascii="Times New Roman" w:eastAsia="Times New Roman" w:hAnsi="Times New Roman" w:cs="Arial"/>
          <w:sz w:val="20"/>
          <w:szCs w:val="20"/>
          <w:lang w:val="ru-RU"/>
        </w:rPr>
      </w:pPr>
    </w:p>
    <w:p w:rsidR="00090050" w:rsidRPr="00090050" w:rsidRDefault="00090050" w:rsidP="00090050">
      <w:pPr>
        <w:spacing w:after="0" w:line="0" w:lineRule="atLeast"/>
        <w:rPr>
          <w:rFonts w:ascii="Cambria" w:eastAsia="Cambria" w:hAnsi="Cambria" w:cs="Arial"/>
          <w:sz w:val="15"/>
          <w:szCs w:val="20"/>
          <w:lang w:val="ru-RU"/>
        </w:rPr>
      </w:pPr>
      <w:r w:rsidRPr="00090050">
        <w:rPr>
          <w:rFonts w:ascii="Cambria" w:eastAsia="Cambria" w:hAnsi="Cambria" w:cs="Arial"/>
          <w:sz w:val="15"/>
          <w:szCs w:val="20"/>
          <w:lang w:val="ru-RU"/>
        </w:rPr>
        <w:t>Надійшла до редакції 17.09.2019 р.</w:t>
      </w:r>
    </w:p>
    <w:p w:rsidR="006F2A66" w:rsidRPr="00090050" w:rsidRDefault="006F2A66">
      <w:pPr>
        <w:rPr>
          <w:lang w:val="ru-RU"/>
        </w:rPr>
      </w:pPr>
    </w:p>
    <w:sectPr w:rsidR="006F2A66" w:rsidRPr="000900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hybridMultilevel"/>
    <w:tmpl w:val="12E685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70C6A52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E"/>
    <w:multiLevelType w:val="hybridMultilevel"/>
    <w:tmpl w:val="520EEDD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374A3FE6"/>
    <w:lvl w:ilvl="0" w:tplc="FFFFFFFF">
      <w:start w:val="1"/>
      <w:numFmt w:val="decimal"/>
      <w:lvlText w:val="%1."/>
      <w:lvlJc w:val="left"/>
    </w:lvl>
    <w:lvl w:ilvl="1" w:tplc="FFFFFFFF">
      <w:start w:val="16"/>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0"/>
    <w:multiLevelType w:val="hybridMultilevel"/>
    <w:tmpl w:val="4F4EF004"/>
    <w:lvl w:ilvl="0" w:tplc="FFFFFFFF">
      <w:start w:val="1"/>
      <w:numFmt w:val="decimal"/>
      <w:lvlText w:val="%1"/>
      <w:lvlJc w:val="left"/>
    </w:lvl>
    <w:lvl w:ilvl="1" w:tplc="FFFFFFFF">
      <w:start w:val="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1"/>
    <w:multiLevelType w:val="hybridMultilevel"/>
    <w:tmpl w:val="23F9C13C"/>
    <w:lvl w:ilvl="0" w:tplc="FFFFFFFF">
      <w:start w:val="9"/>
      <w:numFmt w:val="decimal"/>
      <w:lvlText w:val="%1."/>
      <w:lvlJc w:val="left"/>
    </w:lvl>
    <w:lvl w:ilvl="1" w:tplc="FFFFFFFF">
      <w:start w:val="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2"/>
    <w:multiLevelType w:val="hybridMultilevel"/>
    <w:tmpl w:val="649BB77C"/>
    <w:lvl w:ilvl="0" w:tplc="FFFFFFFF">
      <w:start w:val="1"/>
      <w:numFmt w:val="decimal"/>
      <w:lvlText w:val="%1"/>
      <w:lvlJc w:val="left"/>
    </w:lvl>
    <w:lvl w:ilvl="1" w:tplc="FFFFFFFF">
      <w:start w:val="1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3"/>
    <w:multiLevelType w:val="hybridMultilevel"/>
    <w:tmpl w:val="275AC794"/>
    <w:lvl w:ilvl="0" w:tplc="FFFFFFFF">
      <w:start w:val="19"/>
      <w:numFmt w:val="decimal"/>
      <w:lvlText w:val="%1."/>
      <w:lvlJc w:val="left"/>
    </w:lvl>
    <w:lvl w:ilvl="1" w:tplc="FFFFFFFF">
      <w:start w:val="8"/>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4"/>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5"/>
    <w:multiLevelType w:val="hybridMultilevel"/>
    <w:tmpl w:val="1CF10FD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50"/>
    <w:rsid w:val="00090050"/>
    <w:rsid w:val="00091F6F"/>
    <w:rsid w:val="000F37A6"/>
    <w:rsid w:val="003C2956"/>
    <w:rsid w:val="00620A7C"/>
    <w:rsid w:val="006F2A66"/>
    <w:rsid w:val="0086480C"/>
    <w:rsid w:val="00E056F5"/>
    <w:rsid w:val="00EC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58EF6-9A42-4D72-BF3A-E8204828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5562</Words>
  <Characters>31708</Characters>
  <Application>Microsoft Office Word</Application>
  <DocSecurity>0</DocSecurity>
  <Lines>264</Lines>
  <Paragraphs>74</Paragraphs>
  <ScaleCrop>false</ScaleCrop>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dc:description/>
  <cp:lastModifiedBy>Standard User</cp:lastModifiedBy>
  <cp:revision>1</cp:revision>
  <dcterms:created xsi:type="dcterms:W3CDTF">2019-12-06T09:42:00Z</dcterms:created>
  <dcterms:modified xsi:type="dcterms:W3CDTF">2019-12-06T09:43:00Z</dcterms:modified>
</cp:coreProperties>
</file>