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>УДК: 616-092.9-099:543.395:615.32:612.015.11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264">
        <w:rPr>
          <w:rFonts w:ascii="Times New Roman" w:eastAsia="Calibri" w:hAnsi="Times New Roman" w:cs="Times New Roman"/>
          <w:b/>
          <w:sz w:val="28"/>
          <w:szCs w:val="28"/>
        </w:rPr>
        <w:t>ВЛИЯНИЕ НУТРИТИВНОГО ФИТОКОМПЛЕКСА НА ОКСИДАНТНО-АНТИОКСИДАНТНЫЕ ПРОЦЕССЫ ПРИ ВОЗДЕЙСТВИИ КСЕНОБИОТИКОВ НА ОРГАНИЗМ ЖИВОТНЫХ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Кучерявченко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>Shevtsova_marina@ukr.net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ab/>
        <w:t xml:space="preserve">Целью исследования явилось изучение длительного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влияния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эпоксидсодержащих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олигоэфиров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на состояние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процессов, перекисное окисление липидов и антиоксидантную систему в условиях применения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комплекса. Установлено, что длительное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воздействие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в дозе 1/100 ДЛ50 стимулирует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ПОЛ и антиоксидантную систему в начальные сроки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токсификации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вплоть до 40-х суток перорального поступления в организм. В последующие сроки наблюдения, на фоне продолжающейся активации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 и ПОЛ, наблюдалось существенное ингибирование антиоксидантной системы. Дополнительное использование антиоксидантного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 значительно подавляло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ПОЛ и стимулировало систему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защиты, что сопровождалось стабилизацией биологических мембран и модуляцией взаимодействия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оксидантно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-антиоксидантного гомеостаза. Полученные данные свидетельствуют о достаточно высокой антиоксидантной активности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комплекса, который может быть использован как профилактическое антиоксидантное средство в условиях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стресса.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Ключевые слова: ксенобиотики, мембранная патология, антиоксиданты,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ab/>
        <w:t xml:space="preserve">Введение. Сегодня перед человечеством остро стоит большой круг вопросов, которые тесно сопряжены с химическим и физическим загрязнением окружающей среды, формированием многих экологически обусловленных заболеваний и патологических состояний. В настоящее время главное место заняли злокачественные новообразования, ишемическая болезнь сердца, гипертония, язвенная болезнь желудка и двенадцатиперстной кишки, психические болезни, сахарный диабет, псориаз и др. При всем разнообразии этих, так называемых, эндогенных болезней в их этиологии и патогенезе имеются общие черты, сопровождающиеся развитием мембранной патологии. Индукторами формирования мембранной патологии могут быть разнообразные физические (ультрафиолетовое излучение, электромагнитное волновое воздействие, шум, вибрация и др.), химические вещества экзогенного и эндогенного происхождения и биологические факторы инфекционной и неинфекционной природы, которые индуцируют образование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стресса.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Целью работы являлось изучение длительного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влияния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эпоксидсодержащих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олигоэфиров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на состояние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процессов, перекисное окисление липидов и антиоксидантную систему в условиях применения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фито комплекса.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Материалы и методы исследования.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Выбор группы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эпоксидсодержащих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олигоэфиров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был обоснован большими объемами их производства, широким контактом с населением в производственных условиях и в быту, а также необходимостью обоснования патофизиологических механизмов развития структурно-метаболических нарушений, составления прогноза потенциальной опасности для человека, окружающей среды и разработки способов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коррекции в условиях длительного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воздействия на организм.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 работе был использован наиболее токсичный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эпоксидсодержащий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олигоэфир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имеющий товарное название –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303, молекулярной массы 300 и представляющий собой вязкую жидкость на основе трехатомного спирта глицерина (химическое название –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триглицидиловый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эфир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полиоксипропилентриола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– Л-303).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На основании параметров острой токсичности данный ксенобиотик относится к малотоксичным соединениям (IV класс опасности), обладающим слабыми кумулятивными свойствами.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 условиях длительного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воздействия использовалась 1/100 ДЛ50.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Опыты проводились на половозрелых белых крысах популяции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Вистар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массой 180-190 г, которые подвергались ежедневному пероральному воздействию водными растворами ксенобиотика. Вводились водные растворы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внутрижелудочно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 помощью металлического зонда утром натощак. Продолжительность подострого воздействия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олигоэфира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составляла 60 суток. При постановке эксперимента руководствовались правилами гуманного отношения к животным и требованиями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,Европейской конвенции о защите позвоночных животных, которые используются в научном эксперименте”. – Страсбург, 1986 г. Программа исследования предусматривала изучение влияния ксенобиотика на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перекисное окисление липидов (ПОЛ), белков и систему антиоксидантной защиты в условиях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поддержки опытных животных и без таковой, сравнивая результаты с группой контрольных крыс. В первую группу были включены животные (60 </w:t>
      </w:r>
      <w:proofErr w:type="spellStart"/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), которые подвергались затравке Л-303 в 1/100 ДЛ50. Во вторую группу входили животные дополнительно получавшие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 (60 </w:t>
      </w:r>
      <w:proofErr w:type="spellStart"/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). Третья группа –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интактные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крысы, служили контролем (30 </w:t>
      </w:r>
      <w:proofErr w:type="spellStart"/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). Все животные находились на стандартном рационе вивария, в котором белки обеспечивали 18 %, жиры – 26 %, углеводы – 56 % энергетической ценности. Вторая группа белых крыс, получала в качестве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 дополнительно к рациону </w:t>
      </w: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1500 МЕ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4,5 мг токоферола, по 15 мг метионина,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глутаминовой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лимонной и аскорбиновой кислот, 15 мг зеленого чая и 75 мг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фосфатидного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концентрата в сутки на животное [1, 2, 3]. Наблюдение за состоянием животных велось на 10-е, 20-е, 30-е, 40-е, 50-е и 60-е сутки эксперимента. В каждой опытной и контрольной группе насчитывалось по 10 животных.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Изучение гомеостатической функции организма осуществлялось по наиболее информативным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критериально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-значимым показателям, характеризующим состояние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процессов, ПОЛ и антиоксидантной системы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токсифицированных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животных, которые позволяют судить о наличии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стресса.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Об относительном уровне вторичных продуктов перекисного окисления липидов судили по накоплению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малонового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диальдегида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(МДА), который определяли по цветной реакции с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тиобарбитуровой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кислотой [4].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Диеновые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конъюгаты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(ДК) определяли спектрофотометрическим методом, который основан на характерном их поглощении в ультрафиолетовой области спектра 233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[5]. Активность фермента  каталазы оценивали по скорости реакции утилизации Н2О2 из инкубационной среды в цветной реакции с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молибдатом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аммония, основанной на способности перекиси водорода образовывать стойкий окрашенный комплекс с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молибдатом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аммония [6]. Активность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фермента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глутатионпероксидазы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(ГПО) изучали по убыли субстрата – восстановленного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глутатиона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-SH) в цветной реакции на сульфгидрильные группы с реактивом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Эллмана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при 412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[7].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Супероксиддисмутаза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(СОД) исследовалась по степени торможения реакции спонтанного окисления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кверцетина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сывороткой крови [8]. Сывороточная оксидаза –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церулоплазмин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(ЦП) определялся по методу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Равина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 модификации Мошкова К.А. [9]. Полученные результаты обрабатывались методами вариационной статистики с оценкой достоверности по Стьюденту-Фишеру.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Результаты исследования  и их обсуждение.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Изучение содержания МДА в сыворотке крови опытных животных выявило повышение его уровня на 33,01 %; 74,04 %; 131,68 %; 190,07 % и 212,02 %, соответственно на 20-е, 30-е, 40-е, 50-е и 60-е сутки опыта. Содержание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малонового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диальдегида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на 10-е сутки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токсификации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животных достоверно не отличалось от уровня группы сравнения (табл. 1.). Диеновые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конъюгаты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повышались на 25,1 %; 33,01 %; 74,04 %; 131,68 %; 190,07 % и 212,02 % в динамике наблюдения, по сравнению с контрольной группой. Исследования показывают, что увеличение содержания МДА и ДК могут указывать на активацию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 и перекисного окисления липидов, которые сопряжены с накоплением активных форм кислорода, что неизбежно в условиях длительного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воздействия способно привести к развитию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стресса и молекулярно-мембранной патологии [1, 2, 3]. Этим процессам в организме препятствует система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защиты.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Исследования выявили повышение активности фермента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защиты – каталазы на 80,95 %; 116,66 %; 144,04 %; 189,52 %, соответственно на 10-е, 20-е, 30-е и 40-е сутки наблюдения. В последующие сроки активность каталазы снижалась на 50 % и 65,96 %, что свидетельствует о срыве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защиты к окончанию подострого опыта у животных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токсифицированных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(табл. 1). Сходную динамику активности имела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глутатионпероксидаза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: на 10-е, 20-е, 30-е и 40-е сутки ее активность была повышена на 51,04 %; 116,86 %; 142,38 %; 173,88 %, а на 50-е и 60-е сутки снижена на 38,06 % и 53,74 % по сравнению с контролем. Иную динамику активности имел фермент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супероксиддисмутаза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которая была повышена во все сроки динамического наблюдения. Ее активность на 10-е, 20-е, 30-е, 40-е, 50-е и 60-е сутки наблюдения увеличивалась, соответственно на 100 %; 166,87 %; 201,87 %; 231,25 %; 241,25 % и 251,87 %. Сходную динамику активности с СОД имела сывороточная оксидаза –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церулоплазмин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. Уровни активности ЦП повышались на 50,43 %; 71,74 %; 92,60 %; 143,47 %; 157,39 % </w:t>
      </w: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176,08 %, соответственно на 10-е, 20-е, 30-е, 40-е, 50-е и 60-е сутки (табл. 1).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Результаты исследования показывают, что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в дозе 1/100 ДЛ50 стимулирует как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так и перекисное окисление липидов, которые к окончанию подострого опыта приводят к истощению ферментативной системы антиоксидантной защиты. Полученные результаты дают основание судить о том, что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в дозе 1/100 ДЛ50 стимулирует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ПОЛ, которые при длительной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токсификации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организма приводят к ингибированию системы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защиты, что сопровождается срывом защитно-компенсаторных механизмов обеспечения гомеостатической функции организма.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Результаты изучения влияния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дозы 1/100 ДЛ50 на состояние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процессов, ПОЛ, систему антиоксидантной защиты в условиях применения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 выявили динамические изменения всех исследуемых параметров. Вместе с тем следует отметить, что пероральное применение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 приводило к менее выраженным нарушениям уровней системно-антисистемного взаимодействия у животных подвергавшихся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токсификации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ксенобиотиками. Изменения уровней мониторинговых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критериально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-значимых показателей, характеризующих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ПОЛ, антиоксидантную активность и иммунологическую выраженность наступали в более поздние сроки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воздействия (табл. 2).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Изучение мониторинговых показателей оценки состояния ПОЛ, выявило во все сроки наблюдения, увеличение уровней ДК и МДА. Однако на 60-е сутки подострого опыта их содержание во второй группе животных было меньшим на 49,85 % и 41,93 % по сравнению с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крысами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не получавшими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>комплекс, что свидетельствует об ингибировании процессов перекисного окисления липидов.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Изучение состояния ферментативной антиоксидантной системы, обнаружило повышение активности каталазы на  10-е, 20-е, 30-е, 40-е, 50-е сутки наблюдения и снижение данного показателя только на 60-е сутки опыта на 20,96 %, тогда как у первой группы наблюдения этот показатель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снижался на 65,96 % и активация продолжалась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до 40 суток.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Глутатионпероксидаза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у крыс второй группы была повышена на 10-е, 20-е, 30-е, 40-е, 50-е сутки и снижена на 60-е сутки на 20,30 %, тогда как у первой группы животных этот показатель снижался на 53,74 %.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Супероксиддисмутаза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 все сроки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токсификации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повышалась: 10-е, 20-е, 30-е, 40-е, 50-е и 60-е сутки, соответственно на 50 %; 60 %; 64,37 %; 68,75 %; 77,50 % и 93,75 %. Сравнение данного параметра у животных первой и второй групп показало, что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 снижает активность СОД на 60-е сутки опыта на 44,94 %. Сходная динамика активности отмечалась и для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церулоплазмина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. Уровни его активности на 10-е, 20-е, 30-е, 40-е, 50-е и 60-е сутки повышались, соответственно на 28,69 %; 3913 %; 49,56 %; 58,69 %; 63,47 % и 80,43 % при использовании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комплекса, тогда как у первой группы крыс этот показатель в установленные сроки повышался на 50,43 %; 71,74 %; 92,60 %; 143,47 %; 157,39 % и 176,08 %. Исследования обнаружили на 60-е сутки наблюдения у второй группы экспериментальных животных снижение активности ЦП по сравнению с первой группой на 95,65 %.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Результаты исследования свидетельствуют о том, что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 значительно ингибирует развитие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процессов, существенно подавляет перекисное окисление липидов на фоне активации ферментативной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неферментативной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антиоксидантной защиты. Это нашло подтверждение в сбалансированном кооперативном взаимодействии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оксидантно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-антиоксидантных процессов, менее выраженном повреждении </w:t>
      </w: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лейкоцитов и базофилов, что указывает на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свойства исследуемого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комплекса. Вместе с тем результаты исследования показали, что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нутритивный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 усиливает защитно-приспособительные механизмы, продляет время наступления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снижает повреждающее действие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на мембраны.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Таким образом, длительное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субтоксическое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воздействие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в дозе 1/100 ДЛ50 стимулирует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ПОЛ и антиоксидантную систему в начальные сроки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токсификации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вплоть до 40-х суток перорального поступления в организм. В последующие сроки наблюдения, на фоне продолжающейся активации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процессов и ПОЛ, наблюдалось существенное ингибирование антиоксидантной системы на 50-е и 60-е сутки опыта. Дополнительное использование антиоксидантного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 значительно подавляло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свободнорадикальные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процессы, ПОЛ и в меньшей мере систему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защиты, сопровождалось стабилизацией биологических мембран и модуляцией взаимодействия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оксидантно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-антиоксидантного гомеостаза.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Вывод. Эти данные позволяют заключить о достаточно высокой антиоксидантной активности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нутритивного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комплекса, который может быть использован как профилактическое антиоксидантное средство в условиях развития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стресса.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1. Powers S.K., Nelson W. B., Hudson M. B. Exercise-induced oxidative stress in humans: cause and consequences. // Free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Radic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Biol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Med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. - 2011. -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Vol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>. 51, № 5. - Р. 942-950.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2. Гудков С.В.,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Бусков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В.И., Куликов А.В.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Биоантиоксиданты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>. // Альманах клинической медицины. – 2014. - № 31. – С. 61-65.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3. Курашвили В.А.,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Майлэм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Л. Новые возможности предотвращения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стресса. // Журнал натуральной медицины. – 2001. - № 1. – С. 7-14.</w:t>
      </w:r>
      <w:r w:rsidRPr="00AE6264">
        <w:rPr>
          <w:rFonts w:ascii="Times New Roman" w:eastAsia="Calibri" w:hAnsi="Times New Roman" w:cs="Times New Roman"/>
          <w:sz w:val="28"/>
          <w:szCs w:val="28"/>
        </w:rPr>
        <w:tab/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4. Федорова Т.К., Коршунова Т.С.,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Ларская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Э.Т. Реакция с ТБК для определения МДА крови методом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флюорометрии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>. // Лабораторное дело. – 1983. - № 3. – С. 25-28.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5. Гаврилов Б.В.,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Мишкорудная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М.И. СФ – метрическое определение содержания ГПЛ в плазме крови. // Лабораторное дело. - 1983. - № 3. – С. 33-36.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>6. Дубинина Е.Е., Ефимова Л.Ф., Сафронова Л.Н. Методы определения активности каталазы. // Лабораторное дело. - 1988. - № 8. – С. 16-19.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Меин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В.М. Простой и специфический метод определения активности ГПО в эритроцитах. // Лабораторное дело. - 1986. - № 2. – С. 724-727.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8. Костюк В.А. Простой и чувствительный метод определения активности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супероксиддисмутазы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основанный на реакции окисления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кверцитина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>. // Вопросы мед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>имии. – 1990. – Т. 36, - № 2. – С. 28-35.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9. Мошков К.А. Определение ферментативной активности и иммунореактивности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церулоплазмина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 сыворотке крови человека. // Лабораторное дело. - 1985. - № 7. – С. 390-395.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Северин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С.Е., Соловьева Т.А. Практикум по биохимии. – Москва: МГУ, 1989. – 509 с.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lastRenderedPageBreak/>
        <w:t>Резюме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Вплив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нутрітивного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фитокомплексу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оксидантно-антиоксидантні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процеси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при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дії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ксенобіотикі</w:t>
      </w:r>
      <w:proofErr w:type="gram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організм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</w:rPr>
        <w:t>тварин</w:t>
      </w:r>
      <w:proofErr w:type="spellEnd"/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Кучерявченко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М.О.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E6264">
        <w:rPr>
          <w:rFonts w:ascii="Times New Roman" w:eastAsia="Calibri" w:hAnsi="Times New Roman" w:cs="Times New Roman"/>
          <w:sz w:val="28"/>
          <w:szCs w:val="28"/>
        </w:rPr>
        <w:tab/>
        <w:t xml:space="preserve">Метою </w:t>
      </w:r>
      <w:proofErr w:type="spellStart"/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>ідження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тривалого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епоксидвмісних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олігоефірів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на стан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вільнорадикальних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процесів,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перекисне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окислення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ліпідів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антиоксидантну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систему в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застосування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нутрітивного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комплексу.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Тривалий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субтоксичний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вплив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Лапроксиду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Л-303 у 1/100 ДЛ50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стимулює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вільно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радикальні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процеси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ПОЛ і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антиоксидантну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систему на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початкових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строках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токсифікації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і до 40-х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діб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перорального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надходження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організму. В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наступні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терміни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спостереження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тлі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триваючої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активації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вільнорадикальних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процесів і ПОЛ,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спостерігалось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суттє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інг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>ібування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антиоксидантної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Додаткове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антиоксидантного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нутрітивного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 комплексу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значно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пригні</w:t>
      </w:r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чувало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>ільнорадикальні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процеси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ПОЛ і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стимулювало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систему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супроводжувалось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стабілізацією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біологічних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мембран і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модуляцією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оксидантно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-антиоксидантного гомеостазу.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Отримані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данні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6264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AE6264">
        <w:rPr>
          <w:rFonts w:ascii="Times New Roman" w:eastAsia="Calibri" w:hAnsi="Times New Roman" w:cs="Times New Roman"/>
          <w:sz w:val="28"/>
          <w:szCs w:val="28"/>
        </w:rPr>
        <w:t>ідчать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достатньо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високу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антиоксидантну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активність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антирадикального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антиперекисного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мембранопротекторного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нутрітивного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комплексу,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використовуватись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профілактичний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антиоксидантний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засіб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стресу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Ключові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слова: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ксенобіотика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мембранна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антиоксиданти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</w:rPr>
        <w:t>нутрітивний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</w:rPr>
        <w:t xml:space="preserve"> комплекс.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Summary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E626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Influence of a nutritive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phytocomplex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on oxidant-antioxidant processes under the influence of </w:t>
      </w:r>
      <w:proofErr w:type="spellStart"/>
      <w:r w:rsidRPr="00AE62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xenobiotics</w:t>
      </w:r>
      <w:proofErr w:type="spellEnd"/>
      <w:r w:rsidRPr="00AE626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on animal organism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Kucheriavchenko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aim of this research was to study prolonged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subtoxic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effect of epoxide-containing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oligo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-ethers on free radical processes, lipid peroxidation and anti-oxidant system in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antioxidative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antiradical membrane protective nutrition complex employment. Prolonged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subtoxic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exposure to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Laproxide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L-303 in the dosage of 1/100 DL50 induces free radical processes, lipid peroxidation and anti-oxidant system at initial stages of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toxification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up to the 40th day of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peroral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administration. At later stages secondary to persistent activation of free radical processes and lipid peroxidation, antioxidant system was found to be significantly inhibited. Additional administration of antioxidant nutritional complex resulted in a profound suppression of free radical processes, lipid peroxidation and to a lesser extent the system of antiradical and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antioxidative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protection, which was accompanied by stabilization of biologic membranes and modulation of oxidant-antioxidant homeostasis relationship. The data obtained in the study are indicative of a rather high activity of antiradical,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antioxidative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membrane protective nutritional complex, which can be employed as a preventive antioxidant means.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Key words: </w:t>
      </w:r>
      <w:proofErr w:type="spellStart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xenobiotics</w:t>
      </w:r>
      <w:proofErr w:type="spellEnd"/>
      <w:r w:rsidRPr="00AE6264">
        <w:rPr>
          <w:rFonts w:ascii="Times New Roman" w:eastAsia="Calibri" w:hAnsi="Times New Roman" w:cs="Times New Roman"/>
          <w:sz w:val="28"/>
          <w:szCs w:val="28"/>
          <w:lang w:val="en-US"/>
        </w:rPr>
        <w:t>, membrane pathology, antioxidants, nutritional complex.</w:t>
      </w:r>
    </w:p>
    <w:p w:rsidR="00AE6264" w:rsidRPr="00AE6264" w:rsidRDefault="00AE6264" w:rsidP="00AE6264">
      <w:pPr>
        <w:tabs>
          <w:tab w:val="num" w:pos="-284"/>
        </w:tabs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6200D" w:rsidRPr="00AE6264" w:rsidRDefault="0056200D">
      <w:pPr>
        <w:rPr>
          <w:lang w:val="en-US"/>
        </w:rPr>
      </w:pPr>
      <w:bookmarkStart w:id="0" w:name="_GoBack"/>
      <w:bookmarkEnd w:id="0"/>
    </w:p>
    <w:sectPr w:rsidR="0056200D" w:rsidRPr="00AE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34"/>
    <w:rsid w:val="0056200D"/>
    <w:rsid w:val="00AE4A34"/>
    <w:rsid w:val="00A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2019-11-19T10:11:00Z</dcterms:created>
  <dcterms:modified xsi:type="dcterms:W3CDTF">2019-11-19T10:12:00Z</dcterms:modified>
</cp:coreProperties>
</file>