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УДК: 616.8-092.9:543.39</w:t>
      </w:r>
    </w:p>
    <w:p w:rsidR="00972CA0" w:rsidRPr="00972CA0" w:rsidRDefault="00972CA0" w:rsidP="00972CA0">
      <w:pPr>
        <w:spacing w:after="16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2C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РЕАЛІЗАЦІЯ НЕЙРОМЕДІАТОРНИХ ЕФЕКТІВ ЧЕРЕЗ ЦИКЛАЗНИЙ КАСКАД І СИСТЕМУ ,,ВТОРИННИХ МЕСЕНДЖЕРІВ” В УМОВАХ ТРИВАЛОГО СУБТОКСИЧНОГО ВПЛИВУ ЛАПРОКСИДУ</w:t>
      </w:r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Кучерявченко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</w:t>
      </w:r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Pr="00972CA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Shevtsova</w:t>
        </w:r>
        <w:r w:rsidRPr="00972CA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ru-RU"/>
          </w:rPr>
          <w:t>_</w:t>
        </w:r>
        <w:r w:rsidRPr="00972CA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marina</w:t>
        </w:r>
        <w:r w:rsidRPr="00972CA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ru-RU"/>
          </w:rPr>
          <w:t>@</w:t>
        </w:r>
        <w:r w:rsidRPr="00972CA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ukr</w:t>
        </w:r>
        <w:r w:rsidRPr="00972CA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ru-RU"/>
          </w:rPr>
          <w:t>.</w:t>
        </w:r>
        <w:r w:rsidRPr="00972CA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net</w:t>
        </w:r>
      </w:hyperlink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Резюме / 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роботі було вивчено вплив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(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тригліцидиловий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ефір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поліоксипропілентріола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1/100 і 1/1000 ДЛ50 на параметри рецепторного зв'язування і внутрішньоклітинний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медіаторний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ціклазной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каскад в умовах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субтоксичної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тривалої дії на організм теплокровних тварин. Встановлено, що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лапроксиду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в 1/100 ДЛ50 властиві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мембранотропні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ефекти, про що свідчить зниження в головному мозку і печінки активності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аденілатциклази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вмісту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підвищення активності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гуанілатциклази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Таким чином, можна зробити висновок, що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лапроксід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в 1/100 ДЛ50 здійснює глибоку перебудову систем регуляції внутрішньоклітинного метаболізму, порушуючи кінетичні характеристики параметрів рецепторного зв'язування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радіолігандів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тлі пригнічення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аденілатциклазного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активації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гуанілатциклазного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медіаторного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каскаду. У 1/1000 ДЛ50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впливав на системи регуляції внутрішньоклітинного метаболізму.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Ключові слова: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ксенобіотики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медіаторний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каскад, гомеостаз,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мембранотропна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дія.</w:t>
      </w:r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нейромедиаторных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эффектов через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циклазный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каскад и систему</w:t>
      </w:r>
      <w:proofErr w:type="gram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,вторичных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мессенджеров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” в условиях длительного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субтоксического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воздействия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лапроксида</w:t>
      </w:r>
      <w:proofErr w:type="spellEnd"/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Кучерявченко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Харьковский национальный медицинский университет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было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изучено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влияние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(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триглицидиловый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єфир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полиоксипропилентриола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1/100 и 1/1000 ДЛ50 на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параметры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рецепторного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связывания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внутриклеточный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медиаторный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циклазный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каскад в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условиях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субтоксического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длительного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действия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организм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теплокровных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животных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Установлено,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лапроксиду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в 1/100 ДЛ50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свойственны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мембранотропные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эффекты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чем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свидетельствует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снижение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головном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мозге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печени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активности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аденилатциклазы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содержания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и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повышение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активности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гуанилатциклазы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Таким образом,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сделать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вывод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в 1/100 ДЛ50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осуществляет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глубокую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перестройку систем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регуляции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внутриклеточного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метаболизма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нарушая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кинетические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характеристики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параметров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рецепторного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связывания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радиолигандов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угнетения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аденилатциклазного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активации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гуанилатциклазного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медиаторного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каскада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1/1000 ДЛ50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влиял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системы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регуляции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внутриклеточного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метаболизма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Ключевые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слова: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ксенобиотики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медиаторный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каскад, гомеостаз,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мембранотропное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действие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Realization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neurotransmitter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effects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through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cyclase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cascade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and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system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“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secondary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messengers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”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under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conditions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prolonged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subtoxic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effects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laproxide</w:t>
      </w:r>
      <w:proofErr w:type="spellEnd"/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Kucheriavchenko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M.</w:t>
      </w:r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Kharkov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National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Medical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University</w:t>
      </w:r>
      <w:proofErr w:type="spellEnd"/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article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deals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with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study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impact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exerted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laproxide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L-303 (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triglycidyl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polyoxipropylentriol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ether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1/100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1/1000 LD50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receptor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bonding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indices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intracellular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mediator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cyclase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cascade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settings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subtoxic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continuous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exposure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body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homoeothermic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animals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Laproxide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L-303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1/100 LD50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shown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exert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membranotropic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effects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which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indicated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reduction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adenylate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cyclase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activity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cAMP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contents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well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increase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guanylate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cyclase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cGMP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activity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liver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assessment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glutamate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guanylate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cyclase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mediator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cascade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metabolic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system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liver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showed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increase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both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glutamate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guanylate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cyclase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mediator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cascade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while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glutamate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found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decreasing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settings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guanylate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cyclase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mediator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cascade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increase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Therefore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it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possible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conclude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that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laproxide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L-303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1/100 LD50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responsible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profound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reconstruction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intracellular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metabolism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regulation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systems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interfering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with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kinetic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characteristics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radioligand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receptor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bonding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indices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settings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inhibition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adenyle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cyclase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activation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guanylate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cyclase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mediator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cascade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1/1000 LD50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laproxide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not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found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have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effect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intracellular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metabolism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regulation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systems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Keywords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Xenobiotics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mediator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cascade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homeostasis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membranotropic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effect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основі формування багатьох патологічних станів і хвороб лежить порушення метаболічних процесів, як результат зриву адаптаційно-пристосувальних реакцій спрямованих на збереження гомеостазу. При цьому, велика роль у підтримці сталості внутрішнього середовища організму належить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гіпоталамо-гіпофізарно-наднирковій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системі і, поєднаній з нею,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симпато-адреналовій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системі, які відіграють провідну роль у забезпеченні захисно-пристосувальних реакцій в умовах впливу несприятливих факторів. Відомо, що реалізація нейрон-гуморальних стимулів здійснюється через рецепторний ланцюг і вторинні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медіаторні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системи: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аденілатциклаза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(АЦ) → циклічний-3',5'-аденозинмонофосфат (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→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цАМФ-залежна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протеїнкіназа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(ПК) → синтез та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фосфорилювання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білків, а також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гуанілатциклаза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(ГЦ) → циклічний-3',5'-гуанозинмонофосфат (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→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цГМФ-залежна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протеїнкіназа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→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фосфорилювання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синтез білків, які змінюють внутрішньоклітинний метаболізм і приймають участь у формуванні та забезпеченні гомеостатичної функції організму [1, 2, 3]. </w:t>
      </w:r>
    </w:p>
    <w:p w:rsidR="00972CA0" w:rsidRPr="00972CA0" w:rsidRDefault="00972CA0" w:rsidP="00972CA0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Зростаючі об’єми виробництва хімічної продукції, нових груп і класів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ксенобіотиків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створюють реальну загрозу здоров’ю населення. У зв’язку з цим, актуальним є вивчення патофізіологічних механізмів формування структурно-метаболічних порушень в організмі, що виникають внаслідок 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тривалого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субтоксичного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впливу хімічних сполук та патогенетичне обґрунтування принципів ранньої діагностики і корекції порушення гомеостатичної функції.</w:t>
      </w:r>
    </w:p>
    <w:p w:rsidR="00972CA0" w:rsidRPr="00972CA0" w:rsidRDefault="00972CA0" w:rsidP="00972CA0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Враховуючи вищенаведене, метою роботи було дослідження впливу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на реалізацію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нейромедіаторних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ефектів через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циклазний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каскад і систему ,,вторинних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месенджерів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в умовах тривалого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субтоксичного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надходження до організму даного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ксенобіотика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CA0" w:rsidRPr="00972CA0" w:rsidRDefault="00972CA0" w:rsidP="00972CA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2C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Матеріали та методи дослідження. 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дослідження передбачала вивчення впливу нового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ксенобіотика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молекулярною масою 303 (Л-303), що має хімічну назву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тригліцидиловий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ефір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поліоксипропілентріола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біогенні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моноаміни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попередники, систему ГАМК /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глутамат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параметри рецепторного зв’язування і внутрішньоклітинний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медіаторний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циклазний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каскад в умовах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субтоксичної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тривалої дії на організм теплокровних тварин.</w:t>
      </w:r>
    </w:p>
    <w:p w:rsidR="00972CA0" w:rsidRPr="00972CA0" w:rsidRDefault="00972CA0" w:rsidP="00972CA0">
      <w:pPr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За результатами гострого експерименту Л-303 відноситься до малотоксичних речовин.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Середньолетальна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доза (ДЛ</w:t>
      </w:r>
      <w:r w:rsidRPr="00972CA0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50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для даного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ксенобіотика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встановлена на рівні 5,75 г/кг маси тіла тварини. 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Експерименти виконувались на статевозрілих білих щурах масою 180 – </w:t>
      </w:r>
      <w:smartTag w:uri="urn:schemas-microsoft-com:office:smarttags" w:element="metricconverter">
        <w:smartTagPr>
          <w:attr w:name="ProductID" w:val="200 г"/>
        </w:smartTagPr>
        <w:r w:rsidRPr="00972CA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200 г</w:t>
        </w:r>
      </w:smartTag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яким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перорально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протязі 45 діб натщесерце вводилась металевим зондом речовина у вигляді водних розчинів у дозах 1/100 и 1/1000 ДЛ</w:t>
      </w:r>
      <w:r w:rsidRPr="00972CA0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50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Всі етапи наукового експерименту виконувались у відповідності до правил гуманного ставлення до тварин і вимог ,,Європейської конвенції захисту хребетних тварин, що використовуються у науковому експерименті. – Страсбург, 1986.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Вміст циклічних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нуклеотидів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у мембранах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синаптосом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мозку 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мікросомах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гепатоцитів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печінки визначався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радіоімунним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методом за допомогою наборів реактивів фірми ,,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Amersham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Великобританія [2, 4]. Активність у головному мозку і печінці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аденілат-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гуанілатциклази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оцінювалось по накопиченню продуктів ферментативної реакції –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Вміст білка визначався по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Лоурі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[2, 5]. Активність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фосфодіестерази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(ФДЕ) визначалась по кількості неорганічного фосфату, який утворюється в реакції гідролізу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Поглинання іонів Са2+ мембранами клітин печінки і головного мозку досліджувалось радіоізотопним методом [2, 6].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отриманих даних підлягали статистичному опрацюванню з використанням критерію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Стьюдента-Фішера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досліджень та їх обговорення.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Велика роль в підтримці гомеостазу належить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нейротрансміттерам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Відомий тісний зв'язок між вмістом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нейромедіаторів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циклічними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нуклеотидами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Виходячи із цього, суттєвий інтерес мало вивчення вмісту в органах і тканинах під впливом Л-303 ,,вторинних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месенджерів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”. Відомо, що будь який гормон,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нейромедіатор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токсин, метаболіт обміну речовин впливає на клітину через систему циклічних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нуклеотидів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впливає на механізми забезпечення процесів адаптації і гомеостазу. Внутрішньоклітинні медіатори оперативно реагують на підвищення вимог, що полягає в необхідності більш інтенсивного функціонування органів, систем або цілісного організму. Циклічні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нуклеотиди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виступають у якості ланцюга мобілізації внутрішніх резервів – перебудови метаболізму на новий більш високий рівень функціонування. Підвищення вмісту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найбільш рання ознака стрес-реакції клітини. Тому, надмірна активація системи циклічних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нуклеотидів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часто призводить до розвитку патологічних процесів. Вплив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на циклічні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нуклеотиди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характеризувався динамічними змінами активності поєднаних систем: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аденілатциклаза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гуанілатциклаза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різних органах і тканинах. Так,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в 1/100 ДЛ</w:t>
      </w:r>
      <w:r w:rsidRPr="00972CA0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50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знижував у головному мозку та печінці активність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аденілатциклази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вмісту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підвищував у цих органах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гуанілатциклазу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Фосфодіестразна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активність підвищувалась на фоні зростання інтенсивності поглинання іонів </w:t>
      </w:r>
      <w:r w:rsidRPr="00972CA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45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</w:t>
      </w:r>
      <w:r w:rsidRPr="00972CA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2+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мембранними фракціями клітин печінки і головного мозку (табл.). </w:t>
      </w:r>
    </w:p>
    <w:p w:rsidR="00972CA0" w:rsidRPr="00972CA0" w:rsidRDefault="00972CA0" w:rsidP="00972CA0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2CA0" w:rsidRPr="00972CA0" w:rsidRDefault="00972CA0" w:rsidP="00972CA0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2CA0" w:rsidRPr="00972CA0" w:rsidRDefault="00972CA0" w:rsidP="00972CA0">
      <w:pPr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Таблиця</w:t>
      </w:r>
    </w:p>
    <w:p w:rsidR="00972CA0" w:rsidRPr="00972CA0" w:rsidRDefault="00972CA0" w:rsidP="00972CA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Вплив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лапроксида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Л-303 на внутрішньоклітинний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медіаторний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циклазний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каскад і систему ,,вторинних </w:t>
      </w:r>
      <w:proofErr w:type="spellStart"/>
      <w:r w:rsidRPr="00972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месенджерів</w:t>
      </w:r>
      <w:proofErr w:type="spellEnd"/>
      <w:r w:rsidRPr="0097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1618"/>
        <w:gridCol w:w="1626"/>
        <w:gridCol w:w="1619"/>
      </w:tblGrid>
      <w:tr w:rsidR="00972CA0" w:rsidRPr="00972CA0" w:rsidTr="004B340D">
        <w:trPr>
          <w:trHeight w:val="158"/>
        </w:trPr>
        <w:tc>
          <w:tcPr>
            <w:tcW w:w="4927" w:type="dxa"/>
            <w:vMerge w:val="restart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Показники, органи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  <w:t>50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</w:tr>
      <w:tr w:rsidR="00972CA0" w:rsidRPr="00972CA0" w:rsidTr="004B340D">
        <w:trPr>
          <w:trHeight w:val="157"/>
        </w:trPr>
        <w:tc>
          <w:tcPr>
            <w:tcW w:w="4927" w:type="dxa"/>
            <w:vMerge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1/100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1/1000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АЦ – головний мозок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нмоль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цАМФ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мг білка ∙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+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ізопротеринол</w:t>
            </w:r>
            <w:proofErr w:type="spellEnd"/>
          </w:p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+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NaF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8,4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0,57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1,45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0,11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1,76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0,14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3,2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0,26*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0,73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0,08*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0,82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0,09*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7,9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0,63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1,47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0,15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1,65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0,18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АЦ – печінка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нмоль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цАМФ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мг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белка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∙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+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ізопротеринол</w:t>
            </w:r>
            <w:proofErr w:type="spellEnd"/>
          </w:p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+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NaF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2,4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0,17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2,8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0,24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4,3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0,28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1,33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0,16*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0,76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0,08*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2,65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0,24*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0,24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2,7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0,22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4,4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0,35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Поглинання 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45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2+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мембранами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гепатоцитів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імп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∙ мг білка) </w:t>
            </w:r>
          </w:p>
          <w:p w:rsidR="00972CA0" w:rsidRPr="00972CA0" w:rsidRDefault="00972CA0" w:rsidP="00972CA0">
            <w:pPr>
              <w:numPr>
                <w:ilvl w:val="0"/>
                <w:numId w:val="1"/>
              </w:num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базальне</w:t>
            </w:r>
          </w:p>
          <w:p w:rsidR="00972CA0" w:rsidRPr="00972CA0" w:rsidRDefault="00972CA0" w:rsidP="00972CA0">
            <w:pPr>
              <w:numPr>
                <w:ilvl w:val="0"/>
                <w:numId w:val="1"/>
              </w:num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+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-стимульоване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5794,3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42,7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7264,8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57,3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9838,4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67,2*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12417,6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73,8*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6815,6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57,4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7310,5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65,8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Поглинання 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45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2+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мембранами клітин головного мозку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імп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∙ мг білка) </w:t>
            </w:r>
          </w:p>
          <w:p w:rsidR="00972CA0" w:rsidRPr="00972CA0" w:rsidRDefault="00972CA0" w:rsidP="00972CA0">
            <w:pPr>
              <w:numPr>
                <w:ilvl w:val="0"/>
                <w:numId w:val="1"/>
              </w:num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Базальне</w:t>
            </w:r>
          </w:p>
          <w:p w:rsidR="00972CA0" w:rsidRPr="00972CA0" w:rsidRDefault="00972CA0" w:rsidP="00972CA0">
            <w:pPr>
              <w:numPr>
                <w:ilvl w:val="0"/>
                <w:numId w:val="1"/>
              </w:num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+</w:t>
            </w: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-стимульоване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9430,7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48,6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15927,4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78,5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12580,4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67,3*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20787,4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88,6*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9385,6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52,7</w:t>
            </w:r>
          </w:p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16102,3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96,8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АЦ – кора головного мозку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нмоль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цАМФ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мг білка ∙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112,5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6,7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72,3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5,8*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107,4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8,6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цАМФ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кора головного мозку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фмоль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мг тканини)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480,6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9,3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236,7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8,4*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495,3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12,7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ГЦ – кора головного мозку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нмоль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цГМФ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мг білка ∙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0,77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2,43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0,17*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0,81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0,09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цГМФ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кора головного мозку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фмоль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мг тканини)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54,3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2,75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85,6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4,13*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52,6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3,65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ФДЕ – головний мозок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фмоль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мг білка ∙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4,30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8,7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0,62*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4,53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0,46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ГЦ – печінка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нмоль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цГМФ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мг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белка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∙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5,4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0,48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12,6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1,14*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6,10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0,57</w:t>
            </w:r>
          </w:p>
        </w:tc>
      </w:tr>
      <w:tr w:rsidR="00972CA0" w:rsidRPr="00972CA0" w:rsidTr="004B340D">
        <w:tc>
          <w:tcPr>
            <w:tcW w:w="4927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ГЦ – головний мозок (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нмоль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цГМФ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мг білка ∙ </w:t>
            </w:r>
            <w:proofErr w:type="spellStart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хв</w:t>
            </w:r>
            <w:proofErr w:type="spellEnd"/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0,23</w:t>
            </w:r>
          </w:p>
        </w:tc>
        <w:tc>
          <w:tcPr>
            <w:tcW w:w="1642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7,6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0,65*</w:t>
            </w:r>
          </w:p>
        </w:tc>
        <w:tc>
          <w:tcPr>
            <w:tcW w:w="1643" w:type="dxa"/>
            <w:shd w:val="clear" w:color="auto" w:fill="auto"/>
          </w:tcPr>
          <w:p w:rsidR="00972CA0" w:rsidRPr="00972CA0" w:rsidRDefault="00972CA0" w:rsidP="00972C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C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3,8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±</w:t>
            </w:r>
            <w:r w:rsidRPr="00972C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0,34</w:t>
            </w:r>
          </w:p>
        </w:tc>
      </w:tr>
    </w:tbl>
    <w:p w:rsidR="00972CA0" w:rsidRPr="00972CA0" w:rsidRDefault="00972CA0" w:rsidP="00972CA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Примітка: * - різниця </w:t>
      </w:r>
      <w:proofErr w:type="spellStart"/>
      <w:r w:rsidRPr="00972C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вирогідна</w:t>
      </w:r>
      <w:proofErr w:type="spellEnd"/>
      <w:r w:rsidRPr="00972C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р&lt;0,05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вказує, що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впливає на внутрішньоклітинні метаболічні процеси через систему пригнічення АЦ →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активації ГЦ →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цГМФ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свідчить про значну напругу відновлювальних синтезів, як реакції на суттєві структурно-функціональні зміни у клітинному апараті. Результати дослідження дають змогу судити, що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Лапроксиду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властиві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мембранотропні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ефекти, які поєднані з підвищенням швидкості старіння 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організму. У дозі 1/1000 ДЛ</w:t>
      </w:r>
      <w:r w:rsidRPr="00972CA0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50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тригліцидиловий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ефір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поліоксипропілентріолу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впливає на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нейромедіаторний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обмін,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циклазний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каскад, систему ,,вторинних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месенджерів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і внутріклітинний метаболізм.</w:t>
      </w:r>
    </w:p>
    <w:p w:rsidR="00972CA0" w:rsidRPr="00972CA0" w:rsidRDefault="00972CA0" w:rsidP="00972CA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C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Висновок.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 чином,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Л-303 у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субтоксичній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дозі 1/100 ДЛ</w:t>
      </w:r>
      <w:r w:rsidRPr="00972CA0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50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тривалому надходженні пероральним шляхом до організму здійснює глибоку перебудову систем регуляції внутрішньоклітинного метаболізму, порушуючи кінетичні характеристики параметрів рецепторного зв’язування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радіолігандів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фоні пригнічення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аденілатциклазного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активації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гуанілатциклазного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медіаторного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каскаду, що віддзеркалює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мембранотропну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дію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ксенобіотика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значну напругу адаптаційно-пристосувальних механізмів спрямованих на забезпечення гомеостатичної функції організму. В 1/1000 ДЛ</w:t>
      </w:r>
      <w:r w:rsidRPr="00972CA0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50</w:t>
      </w:r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лапроксид</w:t>
      </w:r>
      <w:proofErr w:type="spellEnd"/>
      <w:r w:rsidRPr="0097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впливає на системи регуляції внутрішньоклітинного метаболізму.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2C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Глозман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Ж.М.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Нейропсихологическая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качественная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количественная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оценка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данных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Ж.М.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Глозман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Москва: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Смысл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, 2012. – 264с.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Таганович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А.Д.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Патологическая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биохимия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А.Д.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Таганович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Э.И.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Олецкий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И.Л.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Котович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Москва :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Бином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, 2013. – 448 с.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Endo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Y.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Rapid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simple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determination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histamine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poliamines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Y.Endo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Y. А.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Ogura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//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Japan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Pharmacol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. – 1975. – №25. – P.610-612.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Slabo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G.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Modified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screening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method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repid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simultaneous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determination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dopamine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noradrenalin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serotonin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brain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region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G.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Slabo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G.L.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Kovacs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G.A.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Telegdy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//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Acta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Physiol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1983. –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Vol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. 61, №1-2. – P.51-57.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Cormana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E.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Purification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GABA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on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small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columns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Dowex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50W: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Combination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with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Method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Separation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Biogenic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Amines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E.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Cormana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C.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Vomes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V.Trolin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//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Acta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Pharm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et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toxic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. – 1980. - №46. – P.235-240.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Bernt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E.,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Bergmeyer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H.U.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Methoden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der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ensymatischen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analyze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E.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Bernt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H.U.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Bergmeyer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Berlin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uk-UA"/>
        </w:rPr>
        <w:t>, 1970. –Bd.3 – S.1659-1665.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72C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References</w:t>
      </w:r>
      <w:proofErr w:type="spellEnd"/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Glozman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G.M. 2012, ‹‹Neuropsychological diagnostics: qualitative and quantitative evaluation of data››, Moscow: Meaning, 2012, p. 264 (in Russian).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Taganovich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A.D.,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Oletskiy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E.I.,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Kotovich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I.L. 2013, ‹‹</w:t>
      </w:r>
      <w:r w:rsidRPr="00972CA0">
        <w:rPr>
          <w:rFonts w:ascii="Calibri" w:eastAsia="Calibri" w:hAnsi="Calibri" w:cs="Times New Roman"/>
          <w:lang w:val="en-US"/>
        </w:rPr>
        <w:t xml:space="preserve"> </w:t>
      </w: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Pathological biochemistry››,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Moskow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Binom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, p. 448 (in Russian).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3. Endo Y.,</w:t>
      </w:r>
      <w:r w:rsidRPr="00972CA0">
        <w:rPr>
          <w:rFonts w:ascii="Calibri" w:eastAsia="Calibri" w:hAnsi="Calibri" w:cs="Times New Roman"/>
          <w:lang w:val="en-US"/>
        </w:rPr>
        <w:t xml:space="preserve"> </w:t>
      </w: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Ogura</w:t>
      </w:r>
      <w:r w:rsidRPr="00972CA0">
        <w:rPr>
          <w:rFonts w:ascii="Calibri" w:eastAsia="Calibri" w:hAnsi="Calibri" w:cs="Times New Roman"/>
          <w:lang w:val="en-US"/>
        </w:rPr>
        <w:t xml:space="preserve"> </w:t>
      </w: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Y.А. 1975,</w:t>
      </w:r>
      <w:r w:rsidRPr="00972CA0">
        <w:rPr>
          <w:rFonts w:ascii="Calibri" w:eastAsia="Calibri" w:hAnsi="Calibri" w:cs="Times New Roman"/>
          <w:lang w:val="en-US"/>
        </w:rPr>
        <w:t xml:space="preserve"> </w:t>
      </w: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‹‹Rapid and simple determination of histamine and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poliamines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››, Japan J.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Pharmacol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, №25, pp.610-612.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Slabo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G., Kovacs G.L.,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Telegdy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G.A. 1983, ‹‹Modified screening method for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repid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simultaneous determination of dopamine, noradrenalin and serotonin in the brain region››,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Acta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Physiol., Vol. 61, №1-2, pp. 51-57.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Cormana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Vomes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C.,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Trolin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 1980, ‹‹Purification of GABA on small columns of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Dowex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50W: Combination with a Method for Separation of Biogenic Amines››,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Acta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Pharm. et toxic., №46, pp. 235-240.</w:t>
      </w:r>
    </w:p>
    <w:p w:rsidR="00972CA0" w:rsidRPr="00972CA0" w:rsidRDefault="00972CA0" w:rsidP="00972CA0">
      <w:pPr>
        <w:spacing w:after="16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Bernt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Bergmeyer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H.U. 1970, ‹‹</w:t>
      </w:r>
      <w:r w:rsidRPr="00972CA0">
        <w:rPr>
          <w:rFonts w:ascii="Calibri" w:eastAsia="Calibri" w:hAnsi="Calibri" w:cs="Times New Roman"/>
          <w:lang w:val="en-US"/>
        </w:rPr>
        <w:t xml:space="preserve"> </w:t>
      </w:r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Methods of </w:t>
      </w:r>
      <w:proofErr w:type="spellStart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>ensymatic</w:t>
      </w:r>
      <w:proofErr w:type="spellEnd"/>
      <w:r w:rsidRPr="00972C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analysis ››, Berlin, Vol. 3, pp.1659-1665.</w:t>
      </w:r>
    </w:p>
    <w:p w:rsidR="0056200D" w:rsidRPr="00972CA0" w:rsidRDefault="0056200D">
      <w:pPr>
        <w:rPr>
          <w:lang w:val="en-US"/>
        </w:rPr>
      </w:pPr>
      <w:bookmarkStart w:id="0" w:name="_GoBack"/>
      <w:bookmarkEnd w:id="0"/>
    </w:p>
    <w:sectPr w:rsidR="0056200D" w:rsidRPr="0097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5AA8"/>
    <w:multiLevelType w:val="hybridMultilevel"/>
    <w:tmpl w:val="793C5694"/>
    <w:lvl w:ilvl="0" w:tplc="334C7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4B"/>
    <w:rsid w:val="0056200D"/>
    <w:rsid w:val="0069014B"/>
    <w:rsid w:val="009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tsova_marin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11906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2019-11-19T09:55:00Z</dcterms:created>
  <dcterms:modified xsi:type="dcterms:W3CDTF">2019-11-19T09:56:00Z</dcterms:modified>
</cp:coreProperties>
</file>