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1A" w:rsidRPr="0048461A" w:rsidRDefault="0048461A" w:rsidP="0048461A">
      <w:pPr>
        <w:tabs>
          <w:tab w:val="left" w:pos="1080"/>
          <w:tab w:val="left" w:pos="4140"/>
        </w:tabs>
        <w:ind w:firstLine="900"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УДК 618.3-002+615.276+615.33 </w:t>
      </w:r>
    </w:p>
    <w:p w:rsidR="0048461A" w:rsidRPr="0048461A" w:rsidRDefault="0048461A" w:rsidP="0048461A">
      <w:pPr>
        <w:widowControl w:val="0"/>
        <w:shd w:val="clear" w:color="auto" w:fill="FFFFFF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84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ПРИНЦИПИ ДІАГНОСТИКИ І ТЕРАПІЇ ГЕНІТАЛЬНИХ ІНФЕКЦІЙ</w:t>
      </w:r>
    </w:p>
    <w:p w:rsidR="0048461A" w:rsidRPr="0048461A" w:rsidRDefault="0048461A" w:rsidP="0048461A">
      <w:pPr>
        <w:widowControl w:val="0"/>
        <w:shd w:val="clear" w:color="auto" w:fill="FFFFFF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84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Кузьміна І.Ю.</w:t>
      </w:r>
    </w:p>
    <w:p w:rsidR="0048461A" w:rsidRPr="0048461A" w:rsidRDefault="0048461A" w:rsidP="0048461A">
      <w:pPr>
        <w:widowControl w:val="0"/>
        <w:shd w:val="clear" w:color="auto" w:fill="FFFFFF"/>
        <w:ind w:firstLine="72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4846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Харківський національний медичний університет, м Харків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Ключові слова:</w:t>
      </w:r>
      <w:r w:rsidRPr="00484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геніальні інфекції, клініко лабораторна діагностика, комплексна терапія.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Інфекції нижнього відділу статевих шляхів - одна з найбільш поширених гінекологічних патологій [1]. Актуальність даної проблеми полягає в тому, що поширення інфекцій, що передаються статевим шляхом (ІПСШ), впливають на репродуктивну функцію жінок, погіршують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перинатальні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наслідки у їх потомства, а також є причиною поширення збудників інфекції при статевих контактах [2]. Крім цього, ІПСШ тягнуть за собою важкі наслідки для здоров'я жінки. У 60% випадків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генітальні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інфекції є причиною запальних захворювань органів малого таза. Найбільш частими їх наслідками також є безпліддя і позаматкова вагітність [3].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ІПСШ викликають також різноманітну акушерську патологію, таку, як звичне не виношування, загиблу вагітність, передчасні пологи, внаслідок передчасного злиття  навколоплідної рідини, післяпологовий ендометрит,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хоріоамніонит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плацентит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внутрішньоутробне інфікування, вади розвитку та загибель плода, невдачі при спробах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ектракорпорального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запліднення і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т.п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 [4].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Епідеміологічні дослідження останніх років показали, що більшість випадків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вульвовагінітів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асоційовано з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полімікробними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процесами, етіологічними факторами яких є асоціація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патогенів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притаманними тільки їй біологічними властивостями [5]. Ці асоціації сприяють кращій адаптації збудника, підсилюють патогенність і стійкість до антибіотиків, що ускладнює лікування [6].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Метою дослідження було вивчення клініко - лабораторної ефективності застосування комплексної діагностики і терапії ІПСШ різної етіології. 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МАТЕРІАЛ І МЕТОДИ ДОСЛІДЖЕННЯ.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Проведено обстеження та лікування 75 жінок з ІПСШ різної етіології у віці 18-45 років. 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Тривалість захворювання склала від 3 до 7 років з частими реци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softHyphen/>
        <w:t xml:space="preserve">дивами, особливо в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осінньо-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весняний період. Пацієнтки, в основному, не відрізнялися за соматичною, гінекологічною захворюваністю та акушерському анамнезу. Всім жінкам, що спостерігався, проводилося комплексне обстеження, яке включало вивчення анамнезу, клінічного обстеження, мікроскопічне дослідження мазків і бактеріологічний посів виділень з піхви і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цервікального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каналу, кількісне визначення умовно - патогенної,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патогенної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і нормальної мікрофлори методом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полімеразної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ланцюгової реакції (ПЛР),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pH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-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метрію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вагінального слизу, РВ, ВІЛ інфекцію.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Культуральний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метод є високо специфічним для виявлення статевих інфекцій і полягає в дослідженні за допомогою спеціальних поживних 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lastRenderedPageBreak/>
        <w:t xml:space="preserve">середовищ матеріалу, що отримано з піхви або уретри. Після цього проводили диференціацію збудників і визначали їх чутливість до антибіотиків.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Склад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анаеробної мікрофлори оцінювали відповідно за мето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дичними рекомендаціями ( </w:t>
      </w:r>
      <w:proofErr w:type="spellStart"/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Кочеровец</w:t>
      </w:r>
      <w:proofErr w:type="spellEnd"/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В.И. и </w:t>
      </w:r>
      <w:proofErr w:type="spellStart"/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соавт</w:t>
      </w:r>
      <w:proofErr w:type="spellEnd"/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.,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2017) [7]. 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Ідентифікацію мікрофлори з піхви та церві кального каналу  проводили за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культуральними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морфологічними  властивос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тями. Після підрахування колоній одержані дані пе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рераховували в десятинні логарифми від кількості мікробних клітин.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66,0% жінок скаржилися на періодичний біль внизу живота та у крижах, на по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softHyphen/>
        <w:t xml:space="preserve">стійний біль - 34,0% хворих та виділення із статевих шляхів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 не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приємним запахом. 15,0% хворих відчували біль під час менструації. 36,0% - свербіж та пекучість у зовнішніх статевих органів та піхві. 28,0% пацієнток скаржились на відсутність настання вагітності, у  13,0% хворих спостерігалось порушен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ня менструальної функції. 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Лише  48,0% жінок проводили раніше курси про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тизапальної терапії, з позитивним ефектом. У 78,0% жінок досліджуваної групи хронічний дво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бічний сальпінгіт поєднувався з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злуковим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процесом органів малого тазу, у 8,0% - з синдромом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полікістозних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яєчників, у 6,0% - був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ендоцервіцит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у 18.0%-  діагностовано ерозія шийки матки.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 гінекологічному обстеженні у 74,0% жінок спостерігалось збільшені болючі придатки матки, 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тяжистість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ділянці маткових труб, різка болючість при зсуву тіла матки в той, чи інший бік, ущільнені крижово-маткові зв’язки.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Оцінка біоценозу піхви у жінок з ІПСШ свідчила про суттєві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дисбіотичні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мікроекології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Асоціації різних видів умовно-патогенної мікрофлори виявлено у 75,0% хворих. 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складу асоціацій входили стафілококи, стрептококи,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ентеробактерії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коринебактерії,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псевдомонади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тощо. Крім цього, висівались мікроорганізми, з патогенною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властивостю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гемолітичний стафілокок, золотистий стафілокок, кишкова паличка з гемолітич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ними властивостями. Концентрація виділе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ної умовно-патогенної мікрофлори у обстежених хворих до лікування досягла діагностичного рівня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lg4,4- Ig5,1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КУО/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x-none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жінок з бактеріальною етіологією патогенний стафілокок у вигляді чистої культури виявили у 12,0% хворих, в асоціації з стрептококом -у 7,0%, з кишковою паличкою - у 10,0%, з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кандидозною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флорою – у 18% пацієнток . Гемолітичний епідермальний стафілокок був виділений у вигляді монокультури у 21,0% хворих, разом із стрептоко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ком -у 25,0%, з кишковою паличкою-у 11,0%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.Негативне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значення має зниження показників контамінації піхви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лактобацилами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Відсутність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лак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тобацил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зареєстровано у 55,0%, що має негативне значення та високий ризик  розвитку  грибкової патології. 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лікування ІПСШ застосовували певні принципи: одночасне лікування супутніх захворювань (при змішаній інфекції); проводили комплексне лікування, що включає всі види терапії (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етіотропне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патогенетичне, симптоматичне); лікування здійснювали з урахуванням статі,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віку хворого, клінічної форми, тяжкості патологічного процесу, наявності ускладнень; одночасно проводили лікування статевим партнерам хворих пацієнток [8].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Лікування хворих ІПСШ є головним елементом так званої вторинної профілактики, тому що вона спрямована на попередження поширення захворювання, тоді як первинна - тільки на його ліквідацію. 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Всі хворі одержали традиційну комплексну про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тизапальну терапію з використанням антибіотика четвертого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поколінння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фторхінолонового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раду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Гатифлоксацин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 базового антибакте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ріального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препарату,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додаванням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засібу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антимікотичної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дії -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Флуконазалу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150 мг одноразово на добу.  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Фармакологічний потенціал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Гатифлоксацину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обумовлений здатністю блокувати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ДНК-гідразу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порушувати властивості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топоізомерази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IV, крім цього, компоненти препарату пригнічують поділ хромосомної ДНК і розподілі клітин збудника інфекції.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Гатифлоксацин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активний по відношенню до чутливих збудників всередині фагоцитів та підтримує, таким чином, імунну систему людини.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Гатифлоксацин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посилює хемотаксис і фагоцитарну функцію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поліморфноядерних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нейтрофілів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стимулює про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дукцію інтерлейкіна-2 Т-клітинами та інтерлейкіна-1 моноцитами/макрофагами, а також продукцію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гама-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інтерфероната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надає інший різноманітний імуномоделюючий вплив [9].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ерапія проводилась з вико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ристанням препаратів десенсибілізуючої дії, вітаміно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терапії та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гепатопротекторів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Пацієнтки приймали пре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парат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Гатифлоксацин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400 мг (1 таблетка) через кожні 24 годин, призначали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пробіотик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Біфіформ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Плюс. Одночасно з антимікробним засобом з метою профілактики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дизбіотичних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ускладнень та посилен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ня протизапального ефекту призначається препарат -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пробіотик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Біфіформ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Плюс призначався по 4 капсули на день за два прийоми на протязі всього періоду ліку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вання, сумісно з  вагінальними свічками з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Кетоконазолом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ніч. 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uk-UA"/>
        </w:rPr>
      </w:pP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Біфіформ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Плюс </w:t>
      </w:r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нормалізує </w:t>
      </w:r>
      <w:proofErr w:type="spellStart"/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мікробіоценоз</w:t>
      </w:r>
      <w:proofErr w:type="spellEnd"/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кишечника</w:t>
      </w:r>
      <w:proofErr w:type="spellEnd"/>
      <w:r w:rsidRPr="0048461A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, стимулює корекцію функціональних порушень травного тракту, підвищує неспецифічну резистентність організму.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Завдяки оболонці на кап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сулі препарат проходить неушкодженим через шлу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нок, досягає тонкого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кишечника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де переходить у ве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гетативні форми. Він звільняє ензими, які спри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чиняють кисле середовище та роблять неможливим розвиток патогенних бактерій.</w:t>
      </w:r>
    </w:p>
    <w:p w:rsidR="0048461A" w:rsidRPr="0048461A" w:rsidRDefault="0048461A" w:rsidP="0048461A">
      <w:pPr>
        <w:widowControl w:val="0"/>
        <w:spacing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 w:eastAsia="uk-UA"/>
        </w:rPr>
      </w:pPr>
    </w:p>
    <w:p w:rsidR="0048461A" w:rsidRPr="0048461A" w:rsidRDefault="0048461A" w:rsidP="0048461A">
      <w:pPr>
        <w:widowControl w:val="0"/>
        <w:spacing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 w:eastAsia="uk-UA"/>
        </w:rPr>
      </w:pPr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 w:eastAsia="uk-UA"/>
        </w:rPr>
        <w:t>РЕЗУЛЬТАТИ ТА ЇХ ОБГОВОРЕННЯ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Оцінка ефективності проведеної терапії здійсню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валась через 3 тижні та через 2 місяці після лікування, за результатами клінічних досліджень (результатів бактеріологічного та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бактеріоскопічного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аналізів та відсутності рецидиву зах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ворювання). На основі клінічної картини стану пацієнток після закін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чення курсу терапії запальних процесів гені талій виявлено, що у жінок з бактеріальним інфіку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ванням зменшився в цілому спектр виділеної умов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но-патогенної мікрофлори.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Частота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вияву двох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трьохкомпонентних асоці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ацій знизилась від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72,0% до 20,0%. До складу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асоці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ацій з меншою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частотою входили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гемолітичні фор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 кокової мікрофлори, анаеробні бактерії та кишкова паличка.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цілому концентрація коків та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ентеробактерій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знизились до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Ig3.0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-3,6 КУО/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мл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наближалась до по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казників, що присутні у здорових жінок. Під впливом лікування зменшились показники вияву грибів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Candida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albicans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Частота їх висіву знизилась від 46.0% до8,0%, а кількість не досягла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концент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рації-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Ig3.3 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КУО/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мл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підставі  результатів оцінки ефективності запропонованого комплек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су терапії ІПСШ, слід констатувати, що під його впливом поліпшилась динаміка контамінації статевих шляхів жінок нормальною мікрофлорою, нормалізувались показники висіву умовно-патогенної мікрофлори та грибів 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Candida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albicans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М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ікробіологічна санація та клінічне одужання зареє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стровано у 98,0%  хворих із геніальною інфекцією, що приймали розроблений терапевтичний комплекс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</w:p>
    <w:p w:rsidR="0048461A" w:rsidRPr="0048461A" w:rsidRDefault="0048461A" w:rsidP="0048461A">
      <w:pPr>
        <w:widowControl w:val="0"/>
        <w:spacing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 w:eastAsia="uk-UA"/>
        </w:rPr>
      </w:pPr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 w:eastAsia="uk-UA"/>
        </w:rPr>
        <w:t>ВИСНОВКИ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Таким чином, проведені нами дослідження свідчать про високу ефективність комплексної про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тизапальної терапії ІПСШ з використанням антибіотика ІV покоління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фторхінолонового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ряду,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антимікотичної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рапії препаратом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Флуконазол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пробіотика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Біфіформ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Плюс в комплексному лікуванні хронічних запальних процесів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геніталій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фоні ИПСЩ. Про це свідчить значне по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кращення клінічної картини захворювання, знижен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ня, за даними клінічного та бактеріологічного аналі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зу, обсіменіння статевих шляхів мікрофлорою, за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довільні віддалені результати лікування.  Це дозволяє рекомендувати широке використання даної терапії в практичній охороні здоров’я.</w:t>
      </w:r>
    </w:p>
    <w:p w:rsidR="0048461A" w:rsidRPr="0048461A" w:rsidRDefault="0048461A" w:rsidP="0048461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61A" w:rsidRPr="0048461A" w:rsidRDefault="0048461A" w:rsidP="0048461A">
      <w:pPr>
        <w:widowControl w:val="0"/>
        <w:spacing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 w:eastAsia="uk-UA"/>
        </w:rPr>
      </w:pPr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 w:eastAsia="uk-UA"/>
        </w:rPr>
        <w:t>ЛІТЕРАТУРА</w:t>
      </w:r>
    </w:p>
    <w:p w:rsidR="0048461A" w:rsidRPr="0048461A" w:rsidRDefault="0048461A" w:rsidP="0048461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Козлова В. И.,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Пухнер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Ф.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Вирусные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хламидийные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микоплазменные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заболе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484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вания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гениталий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. —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СПб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:, Ольга, 2015. - 312 с.</w:t>
      </w:r>
    </w:p>
    <w:p w:rsidR="0048461A" w:rsidRPr="0048461A" w:rsidRDefault="0048461A" w:rsidP="0048461A">
      <w:pPr>
        <w:widowControl w:val="0"/>
        <w:tabs>
          <w:tab w:val="left" w:pos="765"/>
        </w:tabs>
        <w:spacing w:line="240" w:lineRule="auto"/>
        <w:ind w:firstLine="720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</w:pPr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Рациональная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фармакотерапия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заболеваний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кожи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инфекций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передаваемых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половым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путем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руко</w:t>
      </w:r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softHyphen/>
        <w:t>водство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практикующих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врачей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 / А. А.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Кубанова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, В. И.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Кисина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, Л А.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Блатун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 xml:space="preserve">, А. М. Вавилов и др. - М.: </w:t>
      </w:r>
      <w:proofErr w:type="spellStart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Литтерра</w:t>
      </w:r>
      <w:proofErr w:type="spellEnd"/>
      <w:r w:rsidRPr="0048461A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shd w:val="clear" w:color="auto" w:fill="FFFFFF"/>
          <w:lang w:val="uk-UA"/>
        </w:rPr>
        <w:t>, 2005 - С. 579 - 585.</w:t>
      </w:r>
    </w:p>
    <w:p w:rsidR="0048461A" w:rsidRPr="0048461A" w:rsidRDefault="0048461A" w:rsidP="0048461A">
      <w:pPr>
        <w:widowControl w:val="0"/>
        <w:tabs>
          <w:tab w:val="left" w:pos="562"/>
        </w:tabs>
        <w:spacing w:line="240" w:lineRule="auto"/>
        <w:ind w:firstLine="720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3. 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Липова 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Е. В.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Возможные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причины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рецидивов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урогенитального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кандидоза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генитального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герпеса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клинико-лабораторное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обследование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комбинирован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softHyphen/>
        <w:t>ная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терапия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/ Е. В. 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Липова, 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Р. С.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Хрзаян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//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Вестник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дер</w:t>
      </w:r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softHyphen/>
        <w:t>матологии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 xml:space="preserve"> 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венерологии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val="uk-UA" w:eastAsia="ru-RU"/>
        </w:rPr>
        <w:t>. -2007. -№ 1,—С. 50-54.</w:t>
      </w:r>
    </w:p>
    <w:p w:rsidR="0048461A" w:rsidRPr="0048461A" w:rsidRDefault="0048461A" w:rsidP="0048461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Луценко С.В.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Молекулярные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механизмы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ангиогенеза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физиологических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патологических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процессах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молекулярную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медицину /С.В. Луценко. С.М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Киселев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Н.Б Фельдман и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М. А 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Пальцева.-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М.: Медицина. 2014.- С 446-495.</w:t>
      </w:r>
    </w:p>
    <w:p w:rsidR="0048461A" w:rsidRPr="0048461A" w:rsidRDefault="0048461A" w:rsidP="004846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5.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Рыбалкин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С.Б..,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Мирзабаева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А.К. 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Альтернативные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подходы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к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терапии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урогенитальных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заболеваний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. 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СПб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, 2011.- 453 с.</w:t>
      </w:r>
    </w:p>
    <w:p w:rsidR="0048461A" w:rsidRPr="0048461A" w:rsidRDefault="0048461A" w:rsidP="004846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lastRenderedPageBreak/>
        <w:t xml:space="preserve">6.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Гинекология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—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национальное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руководство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/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Под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ред. В. И. Кулакова, Г. М.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Савельевой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И. Б.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Манухина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— М.: ГЭОТАР-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2016. — 1088 с.</w:t>
      </w:r>
    </w:p>
    <w:p w:rsidR="0048461A" w:rsidRPr="0048461A" w:rsidRDefault="0048461A" w:rsidP="0048461A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7.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Кочеровец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В.И.,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Петраков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А.А., Пономарева Т.Р. 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етодические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рекомендации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 </w:t>
      </w:r>
      <w:proofErr w:type="spellStart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микробиологической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диагностике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заболеваний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вызванных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неспорообразующими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анаэробными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бактериями</w:t>
      </w:r>
      <w:proofErr w:type="spellEnd"/>
      <w:r w:rsidRPr="004846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Москва, 2017, -25с.</w:t>
      </w:r>
    </w:p>
    <w:p w:rsidR="0048461A" w:rsidRPr="0048461A" w:rsidRDefault="0048461A" w:rsidP="0048461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Martinez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M.A.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Microbiological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diagnosis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sexually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transmitted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infections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(STI). -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Part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1: Non-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viral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STI //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Rev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Chilena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Infectol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- 2009. -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26. - № 6. - Р. 529-539. </w:t>
      </w:r>
    </w:p>
    <w:p w:rsidR="0048461A" w:rsidRPr="0048461A" w:rsidRDefault="0048461A" w:rsidP="0048461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MahmudN.U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Hossain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M.A.,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Nahar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K.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Seroprevalence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genital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Chlamydia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trachomatis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infection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women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reproductive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age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Mymensingh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J. - 2011. -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20. - № 2. - Р. 187-191. </w:t>
      </w:r>
    </w:p>
    <w:p w:rsidR="0048461A" w:rsidRPr="0048461A" w:rsidRDefault="0048461A" w:rsidP="0048461A">
      <w:pPr>
        <w:spacing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Реферат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ПРИНЦИПЫ ДИАГНОСТИКИ И ТЕРАПИИ ГЕНИТАЛЬНЫХ ИНФЕКЦИЙ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Кузьм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И.Ю.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Проведены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исследования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эффективности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использования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комплексной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противовоспалительной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ИППП с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использованием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антибиотика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IV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поколения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фторхинолонового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антимикотической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пробиотиков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комплексном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лечении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хронических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воспалительных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процессов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гени талий.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Это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подтверждается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значительным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улучшением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клинической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картины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заболевания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снижением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данным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клинического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бактериологического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обсеменения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половых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путей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микрофлорой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удовлетворительные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отдаленные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результаты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лечения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Это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позволяет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рекомендовать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широкое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использование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данной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практическом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здравоохранении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461A" w:rsidRPr="0048461A" w:rsidRDefault="0048461A" w:rsidP="0048461A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Ключевые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слова: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гениальные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инфекции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клинико-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лабораторная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диагностика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комплексная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терапия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461A" w:rsidRPr="0048461A" w:rsidRDefault="0048461A" w:rsidP="004846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8461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S</w:t>
      </w: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ummary</w:t>
      </w:r>
      <w:proofErr w:type="spellEnd"/>
    </w:p>
    <w:p w:rsidR="0048461A" w:rsidRPr="0048461A" w:rsidRDefault="0048461A" w:rsidP="004846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PRINCIPLES OF DIAGNOSTICS AND THERAPY OF GENITAL INFECTIONS</w:t>
      </w:r>
    </w:p>
    <w:p w:rsidR="0048461A" w:rsidRPr="0048461A" w:rsidRDefault="0048461A" w:rsidP="004846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Kuzmina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I.Yu</w:t>
      </w:r>
      <w:proofErr w:type="spellEnd"/>
      <w:r w:rsidRPr="00484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461A" w:rsidRPr="0048461A" w:rsidRDefault="0048461A" w:rsidP="0048461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Studies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have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been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carried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out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effectiveness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using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complex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anti-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inflammatory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therapy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sexually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transmitted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infections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(STI)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using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IV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generation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fluoroquinolone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antibiotic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antimycotic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therapy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probiotics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complex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treatment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chronic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inflammatory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processes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genitalia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This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confirmed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significant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improvement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clinical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picture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disease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a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decrease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according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clinical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bacteriological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analysis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seeding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genital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tract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with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microflora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satisfactory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long-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term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results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treatment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This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allows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recommend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wide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application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this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therapy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medical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practice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461A" w:rsidRPr="0048461A" w:rsidRDefault="0048461A" w:rsidP="0048461A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46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Key</w:t>
      </w:r>
      <w:proofErr w:type="spellEnd"/>
      <w:r w:rsidRPr="004846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words</w:t>
      </w:r>
      <w:proofErr w:type="spellEnd"/>
      <w:r w:rsidRPr="004846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genius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infections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clinical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laboratory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diagnostics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complex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therapy</w:t>
      </w:r>
      <w:proofErr w:type="spellEnd"/>
      <w:r w:rsidRPr="00484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200D" w:rsidRPr="0048461A" w:rsidRDefault="0056200D">
      <w:pPr>
        <w:rPr>
          <w:lang w:val="uk-UA"/>
        </w:rPr>
      </w:pPr>
      <w:bookmarkStart w:id="0" w:name="_GoBack"/>
      <w:bookmarkEnd w:id="0"/>
    </w:p>
    <w:sectPr w:rsidR="0056200D" w:rsidRPr="0048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A8"/>
    <w:rsid w:val="0048461A"/>
    <w:rsid w:val="0056200D"/>
    <w:rsid w:val="00C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2019-11-15T08:30:00Z</dcterms:created>
  <dcterms:modified xsi:type="dcterms:W3CDTF">2019-11-15T08:30:00Z</dcterms:modified>
</cp:coreProperties>
</file>