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D9" w:rsidRDefault="00AC3AD9" w:rsidP="00AC3A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МЕТОДІВ МОТИВАЦІЙНИХ КОНЦЕПЦІЙ </w:t>
      </w:r>
      <w:r w:rsidRPr="00CA2D00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навчальної дiяльностi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СТУДЕНТІВ-МЕДИКІВ НА КАФЕДРІ ПАТОЛОГІЧНОЇ ФІЗІОЛОГІЇ ім. Д.О. АЛЬПЕРНА</w:t>
      </w:r>
    </w:p>
    <w:p w:rsidR="00AC3AD9" w:rsidRPr="00146B98" w:rsidRDefault="00AC3AD9" w:rsidP="00AC3AD9">
      <w:pPr>
        <w:pStyle w:val="1literatur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DF18DF">
        <w:rPr>
          <w:sz w:val="28"/>
          <w:szCs w:val="28"/>
          <w:lang w:val="uk-UA"/>
        </w:rPr>
        <w:t>Н.А. Шутова</w:t>
      </w:r>
      <w:r>
        <w:rPr>
          <w:sz w:val="28"/>
          <w:szCs w:val="28"/>
          <w:lang w:val="uk-UA"/>
        </w:rPr>
        <w:t xml:space="preserve">, </w:t>
      </w:r>
      <w:r w:rsidRPr="00DF18DF">
        <w:rPr>
          <w:sz w:val="28"/>
          <w:szCs w:val="28"/>
          <w:lang w:val="uk-UA"/>
        </w:rPr>
        <w:t>О.В. Н</w:t>
      </w:r>
      <w:r w:rsidRPr="00100E22">
        <w:rPr>
          <w:sz w:val="28"/>
          <w:szCs w:val="28"/>
          <w:lang w:val="uk-UA"/>
        </w:rPr>
        <w:t>і</w:t>
      </w:r>
      <w:r w:rsidRPr="00DF18DF">
        <w:rPr>
          <w:sz w:val="28"/>
          <w:szCs w:val="28"/>
          <w:lang w:val="uk-UA"/>
        </w:rPr>
        <w:t>кола</w:t>
      </w:r>
      <w:r w:rsidRPr="00100E22">
        <w:rPr>
          <w:sz w:val="28"/>
          <w:szCs w:val="28"/>
          <w:lang w:val="uk-UA"/>
        </w:rPr>
        <w:t>є</w:t>
      </w:r>
      <w:r w:rsidRPr="00DF18DF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,</w:t>
      </w:r>
      <w:r w:rsidRPr="00DF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І.Ю. Кузьміна, О.В. Морозов</w:t>
      </w:r>
    </w:p>
    <w:p w:rsidR="00AC3AD9" w:rsidRDefault="00AC3AD9" w:rsidP="00AC3AD9">
      <w:pPr>
        <w:pStyle w:val="1literatur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100E22">
        <w:rPr>
          <w:sz w:val="28"/>
          <w:szCs w:val="28"/>
          <w:lang w:val="uk-UA"/>
        </w:rPr>
        <w:t>Харківський національний медичний університет</w:t>
      </w:r>
      <w:r>
        <w:rPr>
          <w:sz w:val="28"/>
          <w:szCs w:val="28"/>
          <w:lang w:val="uk-UA"/>
        </w:rPr>
        <w:t>, м. Харків</w:t>
      </w:r>
    </w:p>
    <w:p w:rsidR="00AC3AD9" w:rsidRDefault="00AC3AD9" w:rsidP="00AC3A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 навчальний процес вимагає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постiйного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оскiльки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вiдбувається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змiна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прiоритетiв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соцiальних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цiнностей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науково-технiчний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прогрес все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усвiдомлюється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засiб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такого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рiвня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виробництва, який в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найбiльшiй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мiрi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вiдповiдає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задоволенню потреб людини, що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постiйно</w:t>
      </w:r>
      <w:proofErr w:type="spellEnd"/>
      <w:r w:rsidRPr="00D62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7D1">
        <w:rPr>
          <w:rFonts w:ascii="Times New Roman" w:hAnsi="Times New Roman" w:cs="Times New Roman"/>
          <w:sz w:val="28"/>
          <w:szCs w:val="28"/>
          <w:lang w:val="uk-UA"/>
        </w:rPr>
        <w:t>пiдвищуються</w:t>
      </w:r>
      <w:proofErr w:type="spellEnd"/>
      <w:r w:rsidRPr="00D627D1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. </w:t>
      </w:r>
      <w:proofErr w:type="spellStart"/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Останнiм</w:t>
      </w:r>
      <w:proofErr w:type="spellEnd"/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часом багатьма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науково-педагогічними працівниками </w:t>
      </w:r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висловлюється думка, що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студентів 3 та 4 курсів, які ще 2-3 роки тому вступали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великою мотивацією та бажанням отримати знання, зникає зацікавленість у навчанні. Багато джерел вказують на те, що ця позиція </w:t>
      </w:r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ується саме </w:t>
      </w:r>
      <w:proofErr w:type="spellStart"/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</w:t>
      </w:r>
      <w:proofErr w:type="spellEnd"/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року </w:t>
      </w:r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у ВНЗ.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важливе питання виявляють і в </w:t>
      </w:r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професiйної</w:t>
      </w:r>
      <w:proofErr w:type="spellEnd"/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медичної </w:t>
      </w:r>
      <w:proofErr w:type="spellStart"/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освiти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є </w:t>
      </w:r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простором </w:t>
      </w:r>
      <w:proofErr w:type="spellStart"/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пiдготовки</w:t>
      </w:r>
      <w:proofErr w:type="spellEnd"/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медичних </w:t>
      </w:r>
      <w:proofErr w:type="spellStart"/>
      <w:r w:rsidRPr="00D6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кадрiв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професiйно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адаптованих та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соцiа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орiєнтованих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лiкарів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мотивованих на надання медичної допомоги людям,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будуть </w:t>
      </w:r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тiльки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своїй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вузькiй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спецiальностi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й в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цiлому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галузi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 охорони здоров'я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3AD9" w:rsidRDefault="00AC3AD9" w:rsidP="00AC3A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Аналiз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наукових джерел з питань п</w:t>
      </w:r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ідвищення мотивації студентів до навчання </w:t>
      </w:r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дозволив виявити, що є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додатковi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резерви в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удосконалюваннi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органiзацiї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змiсту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освiти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медичному ВНЗ з урахуванням сучасних вимог до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фахiвця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Цей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аналiз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показав, що дана проблема не розгл</w:t>
      </w:r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янута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належній мірі</w:t>
      </w:r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контекстi</w:t>
      </w:r>
      <w:proofErr w:type="spellEnd"/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протирiч</w:t>
      </w:r>
      <w:proofErr w:type="spellEnd"/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мiж</w:t>
      </w:r>
      <w:proofErr w:type="spellEnd"/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підвищенням </w:t>
      </w:r>
      <w:proofErr w:type="spellStart"/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державою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освітніх</w:t>
      </w:r>
      <w:proofErr w:type="spellEnd"/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стандартів до професійних </w:t>
      </w:r>
      <w:proofErr w:type="spellStart"/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компетенцій</w:t>
      </w:r>
      <w:proofErr w:type="spellEnd"/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випускників,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адаптованих </w:t>
      </w:r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взаємодії із </w:t>
      </w:r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новими вимогами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соцiуму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</w:t>
      </w:r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сформованими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традицiйними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формами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органiзацiї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освiтнього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</w:t>
      </w:r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медичних ВНЗ. Виникає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необхiднiст</w:t>
      </w:r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proofErr w:type="spellEnd"/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детального вивчення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впровадження нових,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нетрадицiйних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педагогiчних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пiдходiв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спрямованих на </w:t>
      </w:r>
      <w:proofErr w:type="spellStart"/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підвишення</w:t>
      </w:r>
      <w:proofErr w:type="spellEnd"/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мотивації </w:t>
      </w:r>
      <w:r w:rsidRPr="00B41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студентів-медиків до отримання знань, що в свою чергу призведе до </w:t>
      </w:r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професiйної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мобiльностi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адаптованостi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майбутнiх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лiкарiв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професiйної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дiяльностi</w:t>
      </w:r>
      <w:proofErr w:type="spellEnd"/>
      <w:r w:rsidRPr="00A6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[1]</w:t>
      </w:r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3AD9" w:rsidRPr="00CA2D00" w:rsidRDefault="00AC3AD9" w:rsidP="00AC3A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A56">
        <w:rPr>
          <w:rFonts w:ascii="Times New Roman" w:hAnsi="Times New Roman" w:cs="Times New Roman"/>
          <w:sz w:val="28"/>
          <w:szCs w:val="28"/>
          <w:lang w:val="uk-UA"/>
        </w:rPr>
        <w:t xml:space="preserve">Мета.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6180D">
        <w:rPr>
          <w:rFonts w:ascii="Times New Roman" w:hAnsi="Times New Roman" w:cs="Times New Roman"/>
          <w:sz w:val="28"/>
          <w:szCs w:val="28"/>
          <w:lang w:val="uk-UA"/>
        </w:rPr>
        <w:t xml:space="preserve">ивчити найбільш </w:t>
      </w:r>
      <w:r w:rsidRPr="00A6180D">
        <w:rPr>
          <w:rFonts w:ascii="Times New Roman" w:eastAsia="Calibri" w:hAnsi="Times New Roman" w:cs="Times New Roman"/>
          <w:sz w:val="28"/>
          <w:szCs w:val="28"/>
          <w:lang w:val="uk-UA"/>
        </w:rPr>
        <w:t>популярні форми викладання навчального матеріалу та методів перевірк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ступеню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</w:t>
      </w:r>
      <w:r w:rsidRPr="00A6180D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A6180D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proofErr w:type="spellEnd"/>
      <w:r w:rsidRPr="00A618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студентом </w:t>
      </w:r>
      <w:r w:rsidRPr="00A6180D">
        <w:rPr>
          <w:rFonts w:ascii="Times New Roman" w:hAnsi="Times New Roman" w:cs="Times New Roman"/>
          <w:sz w:val="28"/>
          <w:szCs w:val="28"/>
          <w:lang w:val="uk-UA"/>
        </w:rPr>
        <w:t>на сучасному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80D">
        <w:rPr>
          <w:rFonts w:ascii="Times New Roman" w:eastAsia="Calibri" w:hAnsi="Times New Roman" w:cs="Times New Roman"/>
          <w:sz w:val="28"/>
          <w:szCs w:val="28"/>
          <w:lang w:val="uk-UA"/>
        </w:rPr>
        <w:t>серед студентів-медиків.</w:t>
      </w:r>
    </w:p>
    <w:p w:rsidR="00AC3AD9" w:rsidRPr="00CA2D00" w:rsidRDefault="00AC3AD9" w:rsidP="00AC3A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A56">
        <w:rPr>
          <w:rFonts w:ascii="Times New Roman" w:hAnsi="Times New Roman" w:cs="Times New Roman"/>
          <w:sz w:val="28"/>
          <w:szCs w:val="28"/>
          <w:lang w:val="uk-UA" w:eastAsia="ru-RU"/>
        </w:rPr>
        <w:t>Результати дослідження.</w:t>
      </w:r>
      <w:r w:rsidRPr="00CE2F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>Дослiдно-експериментальна</w:t>
      </w:r>
      <w:proofErr w:type="spellEnd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tooltip="работа" w:history="1">
        <w:r w:rsidRPr="00E57C11">
          <w:rPr>
            <w:rFonts w:ascii="Times New Roman" w:hAnsi="Times New Roman" w:cs="Times New Roman"/>
            <w:sz w:val="28"/>
            <w:szCs w:val="28"/>
            <w:lang w:val="uk-UA" w:eastAsia="ru-RU"/>
          </w:rPr>
          <w:t>робота</w:t>
        </w:r>
      </w:hyperlink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проводилася на </w:t>
      </w:r>
      <w:proofErr w:type="spellStart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>базi</w:t>
      </w:r>
      <w:proofErr w:type="spellEnd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>Харкiвського</w:t>
      </w:r>
      <w:proofErr w:type="spellEnd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>нацiонального</w:t>
      </w:r>
      <w:proofErr w:type="spellEnd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медичного </w:t>
      </w:r>
      <w:proofErr w:type="spellStart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>унiверситету</w:t>
      </w:r>
      <w:proofErr w:type="spellEnd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півтора року. У дослідженні взяло участь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 студентів, яких було поділено на 2 групи – контрольну і експериментальну. «Популярність методу навчання» було виражено через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показники загальної успішності студентів в обох групах. Основними параметрами показнику успішності стала динаміка зацікавленості та мотивація до навчання.</w:t>
      </w:r>
    </w:p>
    <w:p w:rsidR="00AC3AD9" w:rsidRDefault="00AC3AD9" w:rsidP="00AC3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>конс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татувальному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етапі у студентів обох груп</w:t>
      </w:r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було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порівняно </w:t>
      </w:r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загальні підсумки успішності за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 та 2</w:t>
      </w:r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навчання,виявлено </w:t>
      </w:r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рівні професійної спрямованості (за анкетою Л. </w:t>
      </w:r>
      <w:proofErr w:type="spellStart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>Йоваши</w:t>
      </w:r>
      <w:proofErr w:type="spellEnd"/>
      <w:r w:rsidRPr="00E57C11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проведено анкетування та визначені пріоритетні форми отримання знань студентами. </w:t>
      </w:r>
    </w:p>
    <w:p w:rsidR="00AC3AD9" w:rsidRPr="00CE2FE5" w:rsidRDefault="00AC3AD9" w:rsidP="00AC3A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формувальному етапі в експериментальних групах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активiзацiї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навчальної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дiяльностi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студентів </w:t>
      </w:r>
      <w:r w:rsidRPr="000D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ряду із загальноприйнятими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впроваджено наступні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іноваційні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 навчання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проблемна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лекцiя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лекцiя-дiалог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навчальна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дискусiя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семiнари-диспути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практичнi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 з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працюванням практичних навичок й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умiнь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рiшення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ситуацiйних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студентiв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рольовi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дiловi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iгри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груповий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соцiально-психологiчний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тренiнг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метод проектування, метод альтернативного вибору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Головний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акцент був зроблений на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закрiпленн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теоретичних знань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практичних навичок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ходi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обничої практики, та підготовці студентів 3 курсу до складання ліцензійного іспиту Крок-1.</w:t>
      </w:r>
    </w:p>
    <w:p w:rsidR="00AC3AD9" w:rsidRPr="00CA2D00" w:rsidRDefault="00AC3AD9" w:rsidP="00AC3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показують, що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адаптацiя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студентiв-медикiв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йбутньої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професiйної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дiяльностi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сформована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тихiйно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в 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рамках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 курсу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освiтнього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ВНЗ зацікавленість отримання знань студентами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достовірно знижена. Відображенням цього є показники загальної успішності студентів дослідної групи, що є відображенням зниження мотивації до навчання, та зниження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зацікавленності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 спонукало педагогічний колектив кафедри 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ити 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психолого-педагогiчних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якості експерименту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процес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професiйної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фхівця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сприятиме підвищенню мотиваційних концепцій і рівню</w:t>
      </w:r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адаптації студентів до майбутньої професійної діяльності.</w:t>
      </w:r>
    </w:p>
    <w:p w:rsidR="00AC3AD9" w:rsidRPr="00CF5E7A" w:rsidRDefault="00AC3AD9" w:rsidP="00AC3A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Дані усереднених показників </w:t>
      </w:r>
      <w:proofErr w:type="spellStart"/>
      <w:r w:rsidRPr="00CF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сформованостi</w:t>
      </w:r>
      <w:proofErr w:type="spellEnd"/>
      <w:r w:rsidRPr="00CF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F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професiйної</w:t>
      </w:r>
      <w:proofErr w:type="spellEnd"/>
      <w:r w:rsidRPr="00CF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F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спрямованостi</w:t>
      </w:r>
      <w:proofErr w:type="spellEnd"/>
      <w:r w:rsidRPr="00CF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F5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студентiв-медикiв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контрольної та дослідної груп відображені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діагарамі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</w:p>
    <w:p w:rsidR="00AC3AD9" w:rsidRDefault="00AC3AD9" w:rsidP="00AC3A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FC1F5EF" wp14:editId="0F04A30D">
            <wp:extent cx="4147266" cy="1635617"/>
            <wp:effectExtent l="19050" t="0" r="5634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3AD9" w:rsidRPr="00B505D7" w:rsidRDefault="00AC3AD9" w:rsidP="00AC3AD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Діаграма 1. Результати контрольного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зрiзу</w:t>
      </w:r>
      <w:proofErr w:type="spellEnd"/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сформованостi</w:t>
      </w:r>
      <w:proofErr w:type="spellEnd"/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професiйної</w:t>
      </w:r>
      <w:proofErr w:type="spellEnd"/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спрямованостi</w:t>
      </w:r>
      <w:proofErr w:type="spellEnd"/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студентiв-медикiв</w:t>
      </w:r>
      <w:proofErr w:type="spellEnd"/>
    </w:p>
    <w:p w:rsidR="00AC3AD9" w:rsidRPr="00C343F4" w:rsidRDefault="00AC3AD9" w:rsidP="00AC3A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Найбiльшi</w:t>
      </w:r>
      <w:proofErr w:type="spellEnd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змiни</w:t>
      </w:r>
      <w:proofErr w:type="spellEnd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вiдбулися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експериментальнiй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було випр</w:t>
      </w:r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психолого-педагогiчних</w:t>
      </w:r>
      <w:proofErr w:type="spellEnd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методів –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рiшення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ситуацiйних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завдань,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рольовi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дiловi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iгри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груповий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соцiально-психологiчний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тренiнг</w:t>
      </w:r>
      <w:proofErr w:type="spellEnd"/>
      <w:r w:rsidRPr="00CA2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метод проектування,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також сприяли підвищенню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оптимiзацiї</w:t>
      </w:r>
      <w:proofErr w:type="spellEnd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адаптацiї</w:t>
      </w:r>
      <w:proofErr w:type="spellEnd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студентiв</w:t>
      </w:r>
      <w:proofErr w:type="spellEnd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професiйної</w:t>
      </w:r>
      <w:proofErr w:type="spellEnd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дiяльностi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Отримані дані свідчать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рiв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</w:t>
      </w:r>
      <w:proofErr w:type="spellEnd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професiйної</w:t>
      </w:r>
      <w:proofErr w:type="spellEnd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спрямованостi</w:t>
      </w:r>
      <w:proofErr w:type="spellEnd"/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44,4%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порiвняннi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початковими показниками</w:t>
      </w:r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діаграма 2</w:t>
      </w:r>
      <w:r w:rsidRPr="00C3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C3AD9" w:rsidRPr="00C343F4" w:rsidRDefault="00AC3AD9" w:rsidP="00AC3A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43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EFD94D" wp14:editId="6F7045EC">
            <wp:extent cx="4192341" cy="2170090"/>
            <wp:effectExtent l="1905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3AD9" w:rsidRDefault="00AC3AD9" w:rsidP="00AC3AD9">
      <w:pPr>
        <w:spacing w:after="0" w:line="240" w:lineRule="auto"/>
        <w:ind w:right="282" w:firstLine="72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Діаграма 2.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Порiвняльнi</w:t>
      </w:r>
      <w:proofErr w:type="spellEnd"/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данi</w:t>
      </w:r>
      <w:proofErr w:type="spellEnd"/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рiвнiв</w:t>
      </w:r>
      <w:proofErr w:type="spellEnd"/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професiйної</w:t>
      </w:r>
      <w:proofErr w:type="spellEnd"/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спрямованостi</w:t>
      </w:r>
      <w:proofErr w:type="spellEnd"/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студентiв</w:t>
      </w:r>
      <w:proofErr w:type="spellEnd"/>
      <w:r w:rsidRPr="00B505D7">
        <w:rPr>
          <w:rFonts w:ascii="Times New Roman" w:eastAsia="Times New Roman" w:hAnsi="Times New Roman" w:cs="Times New Roman"/>
          <w:lang w:val="uk-UA" w:eastAsia="ru-RU"/>
        </w:rPr>
        <w:t xml:space="preserve"> на </w:t>
      </w:r>
      <w:proofErr w:type="spellStart"/>
      <w:r w:rsidRPr="00B505D7">
        <w:rPr>
          <w:rFonts w:ascii="Times New Roman" w:eastAsia="Times New Roman" w:hAnsi="Times New Roman" w:cs="Times New Roman"/>
          <w:lang w:val="uk-UA" w:eastAsia="ru-RU"/>
        </w:rPr>
        <w:t>констатувальному</w:t>
      </w:r>
      <w:proofErr w:type="spellEnd"/>
    </w:p>
    <w:p w:rsidR="00AC3AD9" w:rsidRPr="00B505D7" w:rsidRDefault="00AC3AD9" w:rsidP="00AC3AD9">
      <w:pPr>
        <w:spacing w:after="0" w:line="240" w:lineRule="auto"/>
        <w:ind w:right="282" w:firstLine="72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505D7">
        <w:rPr>
          <w:rFonts w:ascii="Times New Roman" w:eastAsia="Times New Roman" w:hAnsi="Times New Roman" w:cs="Times New Roman"/>
          <w:lang w:val="uk-UA" w:eastAsia="ru-RU"/>
        </w:rPr>
        <w:t>й контрольному етапах експерименту</w:t>
      </w:r>
    </w:p>
    <w:p w:rsidR="00AC3AD9" w:rsidRPr="00C343F4" w:rsidRDefault="00AC3AD9" w:rsidP="00AC3A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3AD9" w:rsidRPr="00B61C7B" w:rsidRDefault="00AC3AD9" w:rsidP="00AC3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лено методику «чергування» класичних методів навчання із методами, запропонованими за останні роки переформування навчання у ВНЗ.</w:t>
      </w:r>
    </w:p>
    <w:p w:rsidR="00AC3AD9" w:rsidRDefault="00AC3AD9" w:rsidP="00AC3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Отримані результати дають можлив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зробити наступні висновки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етрадицiйн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новітні методи навчання разом із традиційними повинні бути </w:t>
      </w:r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взаємозалежн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ими і містити в собі наступні </w:t>
      </w:r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компоненти: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цільовий,</w:t>
      </w:r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процесуально-змiстов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результативно-оцiночний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3AD9" w:rsidRPr="00B41FE6" w:rsidRDefault="00AC3AD9" w:rsidP="00AC3AD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Залучення методики «чергування» в загальний учбовий процес на тлі використання інших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педагогiчних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пiдходiв</w:t>
      </w:r>
      <w:proofErr w:type="spellEnd"/>
      <w:r w:rsidRPr="00C70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підвищить мотивацію отримання професійних навичок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сприятиме </w:t>
      </w:r>
      <w:proofErr w:type="spellStart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адаптацiї</w:t>
      </w:r>
      <w:proofErr w:type="spellEnd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студентiв-медикiв</w:t>
      </w:r>
      <w:proofErr w:type="spellEnd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майбутньої </w:t>
      </w:r>
      <w:proofErr w:type="spellStart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професiйної</w:t>
      </w:r>
      <w:proofErr w:type="spellEnd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дiяльностi</w:t>
      </w:r>
      <w:proofErr w:type="spellEnd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вже </w:t>
      </w:r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процесi</w:t>
      </w:r>
      <w:proofErr w:type="spellEnd"/>
      <w:r w:rsidRPr="00B61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3AD9" w:rsidRPr="00B41FE6" w:rsidRDefault="00AC3AD9" w:rsidP="00AC3AD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активної підготовки студентів на теоретичних кафедрах залежить їх підготовка до наступного етапу – навчання в клініці. Теоретичний матеріал, який студент отримує у різних форматах: лекція, практичне заняття, розбір ситуаційних задач, та ін. перево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дять розуміння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студента на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сприйняття навчальної інформації 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кл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іці. Для 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повного розуміння </w:t>
      </w:r>
      <w:proofErr w:type="spellStart"/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симуляційних</w:t>
      </w:r>
      <w:proofErr w:type="spellEnd"/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методів навчання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студента готують 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безпосередньо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навчальному 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медичн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базі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теоретичних кафедр, тим самим,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допомагаю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чи, </w:t>
      </w:r>
      <w:r w:rsidRPr="00C00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C00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C00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ним</w:t>
      </w:r>
      <w:r w:rsidRPr="00C00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кафедр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підготовці спеціалістів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початкових е</w:t>
      </w:r>
      <w:r w:rsidRPr="00C00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тапах кл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C00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C00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ної</w:t>
      </w:r>
      <w:r w:rsidRPr="00C00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</w:t>
      </w:r>
      <w:r w:rsidRPr="00B41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світи</w:t>
      </w:r>
      <w:r w:rsidRPr="00C00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C3AD9" w:rsidRDefault="00AC3AD9" w:rsidP="00AC3AD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1F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C3AD9" w:rsidRPr="00FE4D4C" w:rsidRDefault="00AC3AD9" w:rsidP="00AC3AD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</w:t>
      </w:r>
      <w:proofErr w:type="spellStart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Муравьев</w:t>
      </w:r>
      <w:proofErr w:type="spellEnd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К.А. </w:t>
      </w:r>
      <w:proofErr w:type="spellStart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Ходжаян</w:t>
      </w:r>
      <w:proofErr w:type="spellEnd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А.Б., </w:t>
      </w:r>
      <w:proofErr w:type="spellStart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Рой</w:t>
      </w:r>
      <w:proofErr w:type="spellEnd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</w:t>
      </w:r>
      <w:proofErr w:type="spellStart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Симуляционное</w:t>
      </w:r>
      <w:proofErr w:type="spellEnd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обучение</w:t>
      </w:r>
      <w:proofErr w:type="spellEnd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медицинском</w:t>
      </w:r>
      <w:proofErr w:type="spellEnd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образовании</w:t>
      </w:r>
      <w:proofErr w:type="spellEnd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переломный</w:t>
      </w:r>
      <w:proofErr w:type="spellEnd"/>
      <w:r w:rsidRPr="00FE4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момент // </w:t>
      </w:r>
      <w:proofErr w:type="spellStart"/>
      <w:r w:rsidRPr="00FE4D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Фундаментальные</w:t>
      </w:r>
      <w:proofErr w:type="spellEnd"/>
      <w:r w:rsidRPr="00FE4D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E4D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исследования</w:t>
      </w:r>
      <w:proofErr w:type="spellEnd"/>
      <w:r w:rsidRPr="00FE4D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2011. –</w:t>
      </w:r>
      <w:r w:rsidRPr="00FE4D4C">
        <w:rPr>
          <w:rFonts w:ascii="Times New Roman" w:hAnsi="Times New Roman" w:cs="Times New Roman"/>
          <w:sz w:val="28"/>
          <w:szCs w:val="28"/>
          <w:lang w:val="uk-UA"/>
        </w:rPr>
        <w:t>№ 10 (</w:t>
      </w:r>
      <w:proofErr w:type="spellStart"/>
      <w:r w:rsidRPr="00FE4D4C"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 w:rsidRPr="00FE4D4C">
        <w:rPr>
          <w:rFonts w:ascii="Times New Roman" w:hAnsi="Times New Roman" w:cs="Times New Roman"/>
          <w:sz w:val="28"/>
          <w:szCs w:val="28"/>
          <w:lang w:val="uk-UA"/>
        </w:rPr>
        <w:t xml:space="preserve"> 3)– С. 534-537.</w:t>
      </w:r>
    </w:p>
    <w:p w:rsidR="00AC3AD9" w:rsidRPr="005B1243" w:rsidRDefault="00AC3AD9" w:rsidP="00AC3AD9">
      <w:pPr>
        <w:shd w:val="clear" w:color="auto" w:fill="FFFFFF"/>
        <w:tabs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Ягупов</w:t>
      </w:r>
      <w:proofErr w:type="spellEnd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</w:t>
      </w:r>
      <w:proofErr w:type="spellStart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Педагогiка</w:t>
      </w:r>
      <w:proofErr w:type="spellEnd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[</w:t>
      </w:r>
      <w:proofErr w:type="spellStart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посiб</w:t>
      </w:r>
      <w:proofErr w:type="spellEnd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.] / В.В. </w:t>
      </w:r>
      <w:proofErr w:type="spellStart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Ягупов</w:t>
      </w:r>
      <w:proofErr w:type="spellEnd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Либiдь</w:t>
      </w:r>
      <w:proofErr w:type="spellEnd"/>
      <w:r w:rsidRPr="005B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560 с.</w:t>
      </w:r>
    </w:p>
    <w:p w:rsidR="00AC3AD9" w:rsidRPr="00FE4D4C" w:rsidRDefault="00AC3AD9" w:rsidP="00AC3AD9">
      <w:pPr>
        <w:pStyle w:val="Style3"/>
        <w:widowControl/>
        <w:tabs>
          <w:tab w:val="left" w:pos="1260"/>
          <w:tab w:val="left" w:pos="1378"/>
        </w:tabs>
        <w:spacing w:line="360" w:lineRule="auto"/>
        <w:ind w:right="-32" w:firstLine="720"/>
        <w:rPr>
          <w:rStyle w:val="FontStyle24"/>
          <w:rFonts w:eastAsiaTheme="majorEastAsia"/>
          <w:sz w:val="28"/>
          <w:szCs w:val="28"/>
        </w:rPr>
      </w:pPr>
      <w:r>
        <w:rPr>
          <w:rStyle w:val="FontStyle24"/>
          <w:rFonts w:eastAsiaTheme="majorEastAsia"/>
          <w:sz w:val="28"/>
          <w:szCs w:val="28"/>
          <w:lang w:val="uk-UA"/>
        </w:rPr>
        <w:t xml:space="preserve">3. </w:t>
      </w:r>
      <w:r w:rsidRPr="00FE4D4C">
        <w:rPr>
          <w:rStyle w:val="FontStyle24"/>
          <w:rFonts w:eastAsiaTheme="majorEastAsia"/>
          <w:sz w:val="28"/>
          <w:szCs w:val="28"/>
        </w:rPr>
        <w:t xml:space="preserve">Сидоренко Е.В. Методы математической обработки в психологии / Е.В. Сидоренко. </w:t>
      </w:r>
      <w:r w:rsidRPr="00FE4D4C">
        <w:rPr>
          <w:sz w:val="28"/>
          <w:szCs w:val="28"/>
        </w:rPr>
        <w:t>–</w:t>
      </w:r>
      <w:r w:rsidRPr="00FE4D4C">
        <w:rPr>
          <w:rStyle w:val="FontStyle24"/>
          <w:rFonts w:eastAsiaTheme="majorEastAsia"/>
          <w:sz w:val="28"/>
          <w:szCs w:val="28"/>
        </w:rPr>
        <w:t xml:space="preserve"> СПб: ООО «Речь», 2007. </w:t>
      </w:r>
      <w:r w:rsidRPr="00FE4D4C">
        <w:rPr>
          <w:sz w:val="28"/>
          <w:szCs w:val="28"/>
        </w:rPr>
        <w:t>–</w:t>
      </w:r>
      <w:r w:rsidRPr="00FE4D4C">
        <w:rPr>
          <w:rStyle w:val="FontStyle24"/>
          <w:rFonts w:eastAsiaTheme="majorEastAsia"/>
          <w:sz w:val="28"/>
          <w:szCs w:val="28"/>
        </w:rPr>
        <w:t xml:space="preserve"> 350 с.</w:t>
      </w:r>
    </w:p>
    <w:p w:rsidR="00AC3AD9" w:rsidRPr="00FE4D4C" w:rsidRDefault="00AC3AD9" w:rsidP="00AC3AD9">
      <w:pPr>
        <w:pStyle w:val="Style3"/>
        <w:widowControl/>
        <w:tabs>
          <w:tab w:val="left" w:pos="1260"/>
          <w:tab w:val="left" w:pos="1382"/>
        </w:tabs>
        <w:spacing w:line="360" w:lineRule="auto"/>
        <w:ind w:right="-32" w:firstLine="720"/>
        <w:rPr>
          <w:rStyle w:val="FontStyle24"/>
          <w:rFonts w:eastAsiaTheme="majorEastAsia"/>
          <w:sz w:val="28"/>
          <w:szCs w:val="28"/>
        </w:rPr>
      </w:pPr>
      <w:r>
        <w:rPr>
          <w:rStyle w:val="FontStyle24"/>
          <w:rFonts w:eastAsiaTheme="majorEastAsia"/>
          <w:sz w:val="28"/>
          <w:szCs w:val="28"/>
          <w:lang w:val="uk-UA"/>
        </w:rPr>
        <w:t xml:space="preserve">4. </w:t>
      </w:r>
      <w:r w:rsidRPr="00FE4D4C">
        <w:rPr>
          <w:rStyle w:val="FontStyle24"/>
          <w:rFonts w:eastAsiaTheme="majorEastAsia"/>
          <w:sz w:val="28"/>
          <w:szCs w:val="28"/>
        </w:rPr>
        <w:t xml:space="preserve">Педагогика профессионального образования / В.А. </w:t>
      </w:r>
      <w:proofErr w:type="spellStart"/>
      <w:r w:rsidRPr="00FE4D4C">
        <w:rPr>
          <w:rStyle w:val="FontStyle24"/>
          <w:rFonts w:eastAsiaTheme="majorEastAsia"/>
          <w:sz w:val="28"/>
          <w:szCs w:val="28"/>
        </w:rPr>
        <w:t>Сластенин</w:t>
      </w:r>
      <w:proofErr w:type="spellEnd"/>
      <w:r w:rsidRPr="00FE4D4C">
        <w:rPr>
          <w:rStyle w:val="FontStyle24"/>
          <w:rFonts w:eastAsiaTheme="majorEastAsia"/>
          <w:sz w:val="28"/>
          <w:szCs w:val="28"/>
        </w:rPr>
        <w:t xml:space="preserve">, </w:t>
      </w:r>
      <w:proofErr w:type="spellStart"/>
      <w:r w:rsidRPr="00FE4D4C">
        <w:rPr>
          <w:rStyle w:val="FontStyle24"/>
          <w:rFonts w:eastAsiaTheme="majorEastAsia"/>
          <w:sz w:val="28"/>
          <w:szCs w:val="28"/>
        </w:rPr>
        <w:t>Е.П.Белозерцев</w:t>
      </w:r>
      <w:proofErr w:type="spellEnd"/>
      <w:r w:rsidRPr="00FE4D4C">
        <w:rPr>
          <w:rStyle w:val="FontStyle24"/>
          <w:rFonts w:eastAsiaTheme="majorEastAsia"/>
          <w:sz w:val="28"/>
          <w:szCs w:val="28"/>
        </w:rPr>
        <w:t xml:space="preserve">, А.Д. </w:t>
      </w:r>
      <w:proofErr w:type="spellStart"/>
      <w:r w:rsidRPr="00FE4D4C">
        <w:rPr>
          <w:rStyle w:val="FontStyle24"/>
          <w:rFonts w:eastAsiaTheme="majorEastAsia"/>
          <w:sz w:val="28"/>
          <w:szCs w:val="28"/>
        </w:rPr>
        <w:t>Гонеев</w:t>
      </w:r>
      <w:proofErr w:type="spellEnd"/>
      <w:r w:rsidRPr="00FE4D4C">
        <w:rPr>
          <w:rStyle w:val="FontStyle24"/>
          <w:rFonts w:eastAsiaTheme="majorEastAsia"/>
          <w:sz w:val="28"/>
          <w:szCs w:val="28"/>
        </w:rPr>
        <w:t xml:space="preserve">, А.Г. Пашков. </w:t>
      </w:r>
      <w:r w:rsidRPr="00FE4D4C">
        <w:rPr>
          <w:sz w:val="28"/>
          <w:szCs w:val="28"/>
        </w:rPr>
        <w:t>–</w:t>
      </w:r>
      <w:r w:rsidRPr="00FE4D4C">
        <w:rPr>
          <w:rStyle w:val="FontStyle24"/>
          <w:rFonts w:eastAsiaTheme="majorEastAsia"/>
          <w:sz w:val="28"/>
          <w:szCs w:val="28"/>
        </w:rPr>
        <w:t xml:space="preserve"> М.: Академия, 2008. </w:t>
      </w:r>
      <w:r w:rsidRPr="00FE4D4C">
        <w:rPr>
          <w:sz w:val="28"/>
          <w:szCs w:val="28"/>
        </w:rPr>
        <w:t xml:space="preserve">– </w:t>
      </w:r>
      <w:r w:rsidRPr="00FE4D4C">
        <w:rPr>
          <w:rStyle w:val="FontStyle24"/>
          <w:rFonts w:eastAsiaTheme="majorEastAsia"/>
          <w:sz w:val="28"/>
          <w:szCs w:val="28"/>
        </w:rPr>
        <w:t>368 с.</w:t>
      </w:r>
    </w:p>
    <w:p w:rsidR="00AC3AD9" w:rsidRDefault="00AC3AD9" w:rsidP="00AC3AD9">
      <w:pPr>
        <w:pStyle w:val="Style3"/>
        <w:widowControl/>
        <w:tabs>
          <w:tab w:val="left" w:pos="1260"/>
          <w:tab w:val="left" w:pos="1382"/>
        </w:tabs>
        <w:spacing w:line="360" w:lineRule="auto"/>
        <w:ind w:right="-32" w:firstLine="720"/>
        <w:rPr>
          <w:rStyle w:val="FontStyle24"/>
          <w:rFonts w:eastAsiaTheme="majorEastAsia"/>
          <w:sz w:val="28"/>
          <w:szCs w:val="28"/>
          <w:lang w:val="uk-UA"/>
        </w:rPr>
      </w:pPr>
      <w:r>
        <w:rPr>
          <w:rStyle w:val="FontStyle24"/>
          <w:rFonts w:eastAsiaTheme="majorEastAsia"/>
          <w:sz w:val="28"/>
          <w:szCs w:val="28"/>
          <w:lang w:val="uk-UA"/>
        </w:rPr>
        <w:t xml:space="preserve">5. </w:t>
      </w:r>
      <w:r w:rsidRPr="00FE4D4C">
        <w:rPr>
          <w:rStyle w:val="FontStyle24"/>
          <w:rFonts w:eastAsiaTheme="majorEastAsia"/>
          <w:sz w:val="28"/>
          <w:szCs w:val="28"/>
        </w:rPr>
        <w:t xml:space="preserve">Педагогика в медицине : [учебное пособие для студентов </w:t>
      </w:r>
      <w:proofErr w:type="spellStart"/>
      <w:r w:rsidRPr="00FE4D4C">
        <w:rPr>
          <w:rStyle w:val="FontStyle24"/>
          <w:rFonts w:eastAsiaTheme="majorEastAsia"/>
          <w:sz w:val="28"/>
          <w:szCs w:val="28"/>
        </w:rPr>
        <w:t>высш</w:t>
      </w:r>
      <w:proofErr w:type="spellEnd"/>
      <w:r w:rsidRPr="00FE4D4C">
        <w:rPr>
          <w:rStyle w:val="FontStyle24"/>
          <w:rFonts w:eastAsiaTheme="majorEastAsia"/>
          <w:sz w:val="28"/>
          <w:szCs w:val="28"/>
        </w:rPr>
        <w:t>. мед</w:t>
      </w:r>
      <w:proofErr w:type="gramStart"/>
      <w:r w:rsidRPr="00FE4D4C">
        <w:rPr>
          <w:rStyle w:val="FontStyle24"/>
          <w:rFonts w:eastAsiaTheme="majorEastAsia"/>
          <w:sz w:val="28"/>
          <w:szCs w:val="28"/>
        </w:rPr>
        <w:t>.</w:t>
      </w:r>
      <w:proofErr w:type="gramEnd"/>
      <w:r>
        <w:rPr>
          <w:rStyle w:val="FontStyle24"/>
          <w:rFonts w:eastAsiaTheme="majorEastAsia"/>
          <w:sz w:val="28"/>
          <w:szCs w:val="28"/>
        </w:rPr>
        <w:t xml:space="preserve"> </w:t>
      </w:r>
      <w:proofErr w:type="gramStart"/>
      <w:r w:rsidRPr="00FE4D4C">
        <w:rPr>
          <w:rStyle w:val="FontStyle24"/>
          <w:rFonts w:eastAsiaTheme="majorEastAsia"/>
          <w:sz w:val="28"/>
          <w:szCs w:val="28"/>
        </w:rPr>
        <w:t>у</w:t>
      </w:r>
      <w:proofErr w:type="gramEnd"/>
      <w:r w:rsidRPr="00FE4D4C">
        <w:rPr>
          <w:rStyle w:val="FontStyle24"/>
          <w:rFonts w:eastAsiaTheme="majorEastAsia"/>
          <w:sz w:val="28"/>
          <w:szCs w:val="28"/>
        </w:rPr>
        <w:t xml:space="preserve">ч. заведений] / Н.В. Кудрявая; Е.М. </w:t>
      </w:r>
      <w:proofErr w:type="spellStart"/>
      <w:r w:rsidRPr="00FE4D4C">
        <w:rPr>
          <w:rStyle w:val="FontStyle24"/>
          <w:rFonts w:eastAsiaTheme="majorEastAsia"/>
          <w:sz w:val="28"/>
          <w:szCs w:val="28"/>
        </w:rPr>
        <w:t>Уколова</w:t>
      </w:r>
      <w:proofErr w:type="spellEnd"/>
      <w:r w:rsidRPr="00FE4D4C">
        <w:rPr>
          <w:rStyle w:val="FontStyle24"/>
          <w:rFonts w:eastAsiaTheme="majorEastAsia"/>
          <w:sz w:val="28"/>
          <w:szCs w:val="28"/>
        </w:rPr>
        <w:t xml:space="preserve">, </w:t>
      </w:r>
      <w:proofErr w:type="spellStart"/>
      <w:r w:rsidRPr="00FE4D4C">
        <w:rPr>
          <w:rStyle w:val="FontStyle24"/>
          <w:rFonts w:eastAsiaTheme="majorEastAsia"/>
          <w:sz w:val="28"/>
          <w:szCs w:val="28"/>
        </w:rPr>
        <w:t>Н.Б.Смирнова</w:t>
      </w:r>
      <w:proofErr w:type="spellEnd"/>
      <w:r w:rsidRPr="00FE4D4C">
        <w:rPr>
          <w:rStyle w:val="FontStyle24"/>
          <w:rFonts w:eastAsiaTheme="majorEastAsia"/>
          <w:sz w:val="28"/>
          <w:szCs w:val="28"/>
        </w:rPr>
        <w:t xml:space="preserve"> [и др.]; под ред. Н.В. Кудрявой. </w:t>
      </w:r>
      <w:r w:rsidRPr="00FE4D4C">
        <w:rPr>
          <w:sz w:val="28"/>
          <w:szCs w:val="28"/>
        </w:rPr>
        <w:t xml:space="preserve">– </w:t>
      </w:r>
      <w:r w:rsidRPr="00FE4D4C">
        <w:rPr>
          <w:rStyle w:val="FontStyle24"/>
          <w:rFonts w:eastAsiaTheme="majorEastAsia"/>
          <w:sz w:val="28"/>
          <w:szCs w:val="28"/>
        </w:rPr>
        <w:t xml:space="preserve">М.: Издательский центр «Академия», 2006. </w:t>
      </w:r>
      <w:r w:rsidRPr="00FE4D4C">
        <w:rPr>
          <w:sz w:val="28"/>
          <w:szCs w:val="28"/>
        </w:rPr>
        <w:t>–</w:t>
      </w:r>
      <w:r w:rsidRPr="00FE4D4C">
        <w:rPr>
          <w:rStyle w:val="FontStyle24"/>
          <w:rFonts w:eastAsiaTheme="majorEastAsia"/>
          <w:sz w:val="28"/>
          <w:szCs w:val="28"/>
        </w:rPr>
        <w:t xml:space="preserve"> 320 с.</w:t>
      </w:r>
    </w:p>
    <w:p w:rsidR="00AC3AD9" w:rsidRPr="005819AB" w:rsidRDefault="00AC3AD9" w:rsidP="00AC3AD9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19AB">
        <w:rPr>
          <w:rFonts w:ascii="Times New Roman" w:hAnsi="Times New Roman" w:cs="Times New Roman"/>
          <w:sz w:val="28"/>
          <w:szCs w:val="28"/>
        </w:rPr>
        <w:t xml:space="preserve">Новиков С.П. Применение новых информационных технологий в образовательном процессе / С.П. Новиков // Педагогика. – 2003. – №9. – </w:t>
      </w:r>
      <w:r>
        <w:rPr>
          <w:rFonts w:ascii="Times New Roman" w:hAnsi="Times New Roman" w:cs="Times New Roman"/>
          <w:sz w:val="28"/>
          <w:szCs w:val="28"/>
        </w:rPr>
        <w:t xml:space="preserve">С. 32 </w:t>
      </w:r>
      <w:r w:rsidRPr="005819AB">
        <w:rPr>
          <w:rFonts w:ascii="Times New Roman" w:hAnsi="Times New Roman" w:cs="Times New Roman"/>
          <w:sz w:val="28"/>
          <w:szCs w:val="28"/>
        </w:rPr>
        <w:t>– 38.</w:t>
      </w:r>
    </w:p>
    <w:p w:rsidR="0056200D" w:rsidRDefault="0056200D">
      <w:bookmarkStart w:id="0" w:name="_GoBack"/>
      <w:bookmarkEnd w:id="0"/>
    </w:p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C"/>
    <w:rsid w:val="0056200D"/>
    <w:rsid w:val="006E7DFC"/>
    <w:rsid w:val="00A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D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literatura">
    <w:name w:val="1literatura"/>
    <w:basedOn w:val="a"/>
    <w:rsid w:val="00A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AC3AD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AC3AD9"/>
    <w:pPr>
      <w:widowControl w:val="0"/>
      <w:autoSpaceDE w:val="0"/>
      <w:autoSpaceDN w:val="0"/>
      <w:adjustRightInd w:val="0"/>
      <w:spacing w:after="0" w:line="440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D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literatura">
    <w:name w:val="1literatura"/>
    <w:basedOn w:val="a"/>
    <w:rsid w:val="00A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AC3AD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AC3AD9"/>
    <w:pPr>
      <w:widowControl w:val="0"/>
      <w:autoSpaceDE w:val="0"/>
      <w:autoSpaceDN w:val="0"/>
      <w:adjustRightInd w:val="0"/>
      <w:spacing w:after="0" w:line="440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musicschool2.ru/maler-rabota-v-ve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rgey\Desktop\&#1050;&#1085;&#1080;&#1075;&#1072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rgey\Desktop\&#1050;&#1085;&#1080;&#1075;&#1072;1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Лист1!$B$117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rgbClr val="7030A0"/>
              </a:solidFill>
            </a:ln>
          </c:spPr>
          <c:invertIfNegative val="0"/>
          <c:cat>
            <c:strRef>
              <c:f>Лист1!$A$118:$A$119</c:f>
              <c:strCache>
                <c:ptCount val="2"/>
                <c:pt idx="0">
                  <c:v>Контрольна група</c:v>
                </c:pt>
                <c:pt idx="1">
                  <c:v>Експерементальна група</c:v>
                </c:pt>
              </c:strCache>
            </c:strRef>
          </c:cat>
          <c:val>
            <c:numRef>
              <c:f>Лист1!$B$118:$B$119</c:f>
              <c:numCache>
                <c:formatCode>General</c:formatCode>
                <c:ptCount val="2"/>
                <c:pt idx="0">
                  <c:v>10.7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Лист1!$C$117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Лист1!$A$118:$A$119</c:f>
              <c:strCache>
                <c:ptCount val="2"/>
                <c:pt idx="0">
                  <c:v>Контрольна група</c:v>
                </c:pt>
                <c:pt idx="1">
                  <c:v>Експерементальна група</c:v>
                </c:pt>
              </c:strCache>
            </c:strRef>
          </c:cat>
          <c:val>
            <c:numRef>
              <c:f>Лист1!$C$118:$C$119</c:f>
              <c:numCache>
                <c:formatCode>General</c:formatCode>
                <c:ptCount val="2"/>
                <c:pt idx="0">
                  <c:v>71.400000000000006</c:v>
                </c:pt>
                <c:pt idx="1">
                  <c:v>55.6</c:v>
                </c:pt>
              </c:numCache>
            </c:numRef>
          </c:val>
        </c:ser>
        <c:ser>
          <c:idx val="2"/>
          <c:order val="2"/>
          <c:tx>
            <c:strRef>
              <c:f>Лист1!$D$117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Лист1!$A$118:$A$119</c:f>
              <c:strCache>
                <c:ptCount val="2"/>
                <c:pt idx="0">
                  <c:v>Контрольна група</c:v>
                </c:pt>
                <c:pt idx="1">
                  <c:v>Експерементальна група</c:v>
                </c:pt>
              </c:strCache>
            </c:strRef>
          </c:cat>
          <c:val>
            <c:numRef>
              <c:f>Лист1!$D$118:$D$119</c:f>
              <c:numCache>
                <c:formatCode>General</c:formatCode>
                <c:ptCount val="2"/>
                <c:pt idx="0">
                  <c:v>17.899999999999999</c:v>
                </c:pt>
                <c:pt idx="1">
                  <c:v>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137280"/>
        <c:axId val="231138816"/>
        <c:axId val="0"/>
      </c:bar3DChart>
      <c:catAx>
        <c:axId val="23113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1138816"/>
        <c:crosses val="autoZero"/>
        <c:auto val="1"/>
        <c:lblAlgn val="ctr"/>
        <c:lblOffset val="100"/>
        <c:noMultiLvlLbl val="0"/>
      </c:catAx>
      <c:valAx>
        <c:axId val="231138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113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28622221542709E-2"/>
          <c:y val="6.3620068420036369E-2"/>
          <c:w val="0.76488625050016334"/>
          <c:h val="0.20501965527668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Лист1!$C$136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rgbClr val="7030A0"/>
              </a:solidFill>
            </a:ln>
          </c:spPr>
          <c:invertIfNegative val="0"/>
          <c:cat>
            <c:multiLvlStrRef>
              <c:f>Лист1!$A$137:$B$140</c:f>
              <c:multiLvlStrCache>
                <c:ptCount val="4"/>
                <c:lvl>
                  <c:pt idx="0">
                    <c:v>Контрольна група</c:v>
                  </c:pt>
                  <c:pt idx="1">
                    <c:v>Експерементальна група</c:v>
                  </c:pt>
                  <c:pt idx="2">
                    <c:v>Контрольна група</c:v>
                  </c:pt>
                  <c:pt idx="3">
                    <c:v>Експерементальна група</c:v>
                  </c:pt>
                </c:lvl>
                <c:lvl>
                  <c:pt idx="0">
                    <c:v> Констатуючий етап</c:v>
                  </c:pt>
                  <c:pt idx="2">
                    <c:v>Контрольний етап</c:v>
                  </c:pt>
                </c:lvl>
              </c:multiLvlStrCache>
            </c:multiLvlStrRef>
          </c:cat>
          <c:val>
            <c:numRef>
              <c:f>Лист1!$C$137:$C$140</c:f>
              <c:numCache>
                <c:formatCode>General</c:formatCode>
                <c:ptCount val="4"/>
                <c:pt idx="0">
                  <c:v>21.4</c:v>
                </c:pt>
                <c:pt idx="1">
                  <c:v>25.9</c:v>
                </c:pt>
                <c:pt idx="2">
                  <c:v>10.7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Лист1!$D$136</c:f>
              <c:strCache>
                <c:ptCount val="1"/>
                <c:pt idx="0">
                  <c:v>Средній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multiLvlStrRef>
              <c:f>Лист1!$A$137:$B$140</c:f>
              <c:multiLvlStrCache>
                <c:ptCount val="4"/>
                <c:lvl>
                  <c:pt idx="0">
                    <c:v>Контрольна група</c:v>
                  </c:pt>
                  <c:pt idx="1">
                    <c:v>Експерементальна група</c:v>
                  </c:pt>
                  <c:pt idx="2">
                    <c:v>Контрольна група</c:v>
                  </c:pt>
                  <c:pt idx="3">
                    <c:v>Експерементальна група</c:v>
                  </c:pt>
                </c:lvl>
                <c:lvl>
                  <c:pt idx="0">
                    <c:v> Констатуючий етап</c:v>
                  </c:pt>
                  <c:pt idx="2">
                    <c:v>Контрольний етап</c:v>
                  </c:pt>
                </c:lvl>
              </c:multiLvlStrCache>
            </c:multiLvlStrRef>
          </c:cat>
          <c:val>
            <c:numRef>
              <c:f>Лист1!$D$137:$D$140</c:f>
              <c:numCache>
                <c:formatCode>General</c:formatCode>
                <c:ptCount val="4"/>
                <c:pt idx="0">
                  <c:v>71.400000000000006</c:v>
                </c:pt>
                <c:pt idx="1">
                  <c:v>66.7</c:v>
                </c:pt>
                <c:pt idx="2">
                  <c:v>71.400000000000006</c:v>
                </c:pt>
                <c:pt idx="3">
                  <c:v>51.9</c:v>
                </c:pt>
              </c:numCache>
            </c:numRef>
          </c:val>
        </c:ser>
        <c:ser>
          <c:idx val="2"/>
          <c:order val="2"/>
          <c:tx>
            <c:strRef>
              <c:f>Лист1!$E$136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multiLvlStrRef>
              <c:f>Лист1!$A$137:$B$140</c:f>
              <c:multiLvlStrCache>
                <c:ptCount val="4"/>
                <c:lvl>
                  <c:pt idx="0">
                    <c:v>Контрольна група</c:v>
                  </c:pt>
                  <c:pt idx="1">
                    <c:v>Експерементальна група</c:v>
                  </c:pt>
                  <c:pt idx="2">
                    <c:v>Контрольна група</c:v>
                  </c:pt>
                  <c:pt idx="3">
                    <c:v>Експерементальна група</c:v>
                  </c:pt>
                </c:lvl>
                <c:lvl>
                  <c:pt idx="0">
                    <c:v> Констатуючий етап</c:v>
                  </c:pt>
                  <c:pt idx="2">
                    <c:v>Контрольний етап</c:v>
                  </c:pt>
                </c:lvl>
              </c:multiLvlStrCache>
            </c:multiLvlStrRef>
          </c:cat>
          <c:val>
            <c:numRef>
              <c:f>Лист1!$E$137:$E$140</c:f>
              <c:numCache>
                <c:formatCode>General</c:formatCode>
                <c:ptCount val="4"/>
                <c:pt idx="0">
                  <c:v>7.1</c:v>
                </c:pt>
                <c:pt idx="1">
                  <c:v>7.4</c:v>
                </c:pt>
                <c:pt idx="2">
                  <c:v>17.899999999999999</c:v>
                </c:pt>
                <c:pt idx="3">
                  <c:v>48.1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920192"/>
        <c:axId val="214921984"/>
        <c:axId val="0"/>
      </c:bar3DChart>
      <c:catAx>
        <c:axId val="21492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4921984"/>
        <c:crosses val="autoZero"/>
        <c:auto val="1"/>
        <c:lblAlgn val="ctr"/>
        <c:lblOffset val="100"/>
        <c:noMultiLvlLbl val="0"/>
      </c:catAx>
      <c:valAx>
        <c:axId val="214921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50" baseline="0"/>
            </a:pPr>
            <a:endParaRPr lang="ru-RU"/>
          </a:p>
        </c:txPr>
        <c:crossAx val="21492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2019-11-14T12:33:00Z</dcterms:created>
  <dcterms:modified xsi:type="dcterms:W3CDTF">2019-11-14T12:33:00Z</dcterms:modified>
</cp:coreProperties>
</file>