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A6" w:rsidRPr="005C5AAD" w:rsidRDefault="001E5085" w:rsidP="005C5AAD">
      <w:pPr>
        <w:pStyle w:val="2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C5AAD">
        <w:rPr>
          <w:rFonts w:ascii="Times New Roman" w:hAnsi="Times New Roman" w:cs="Times New Roman"/>
          <w:sz w:val="28"/>
          <w:szCs w:val="28"/>
        </w:rPr>
        <w:t>EP18.25</w:t>
      </w:r>
    </w:p>
    <w:p w:rsidR="00AB6CA6" w:rsidRPr="005C5AAD" w:rsidRDefault="001E5085" w:rsidP="005C5AAD">
      <w:pPr>
        <w:pStyle w:val="2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C5AAD">
        <w:rPr>
          <w:rFonts w:ascii="Times New Roman" w:hAnsi="Times New Roman" w:cs="Times New Roman"/>
          <w:sz w:val="28"/>
          <w:szCs w:val="28"/>
        </w:rPr>
        <w:t xml:space="preserve">Fetal condition and </w:t>
      </w:r>
      <w:r w:rsidRPr="005C5AAD">
        <w:rPr>
          <w:rFonts w:ascii="Times New Roman" w:hAnsi="Times New Roman" w:cs="Times New Roman"/>
          <w:sz w:val="28"/>
          <w:szCs w:val="28"/>
        </w:rPr>
        <w:t>pregnancy outcomes at pre-</w:t>
      </w:r>
      <w:proofErr w:type="spellStart"/>
      <w:r w:rsidRPr="005C5AAD">
        <w:rPr>
          <w:rFonts w:ascii="Times New Roman" w:hAnsi="Times New Roman" w:cs="Times New Roman"/>
          <w:sz w:val="28"/>
          <w:szCs w:val="28"/>
        </w:rPr>
        <w:t>eclampsia</w:t>
      </w:r>
      <w:proofErr w:type="spellEnd"/>
    </w:p>
    <w:p w:rsidR="00AB6CA6" w:rsidRPr="005C5AAD" w:rsidRDefault="005C5AAD" w:rsidP="005C5AAD">
      <w:pPr>
        <w:pStyle w:val="20"/>
        <w:shd w:val="clear" w:color="auto" w:fill="auto"/>
        <w:tabs>
          <w:tab w:val="left" w:pos="174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I. </w:t>
      </w:r>
      <w:r w:rsidR="001E5085" w:rsidRPr="005C5AAD">
        <w:rPr>
          <w:rStyle w:val="11"/>
          <w:rFonts w:ascii="Times New Roman" w:hAnsi="Times New Roman" w:cs="Times New Roman"/>
          <w:sz w:val="28"/>
          <w:szCs w:val="28"/>
        </w:rPr>
        <w:t>Vasylieva</w:t>
      </w:r>
      <w:r w:rsidR="001E5085" w:rsidRPr="005C5AAD">
        <w:rPr>
          <w:rStyle w:val="11"/>
          <w:rFonts w:ascii="Times New Roman" w:hAnsi="Times New Roman" w:cs="Times New Roman"/>
          <w:sz w:val="28"/>
          <w:szCs w:val="28"/>
          <w:vertAlign w:val="superscript"/>
        </w:rPr>
        <w:t>1</w:t>
      </w:r>
      <w:r w:rsidR="001E5085" w:rsidRPr="005C5AAD">
        <w:rPr>
          <w:rFonts w:ascii="Times New Roman" w:hAnsi="Times New Roman" w:cs="Times New Roman"/>
          <w:sz w:val="28"/>
          <w:szCs w:val="28"/>
        </w:rPr>
        <w:t>, O. Gryshchenko</w:t>
      </w:r>
      <w:r w:rsidR="001E5085" w:rsidRPr="005C5A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E5085" w:rsidRPr="005C5AAD">
        <w:rPr>
          <w:rFonts w:ascii="Times New Roman" w:hAnsi="Times New Roman" w:cs="Times New Roman"/>
          <w:sz w:val="28"/>
          <w:szCs w:val="28"/>
        </w:rPr>
        <w:t>, L. Vygivska</w:t>
      </w:r>
      <w:r w:rsidR="001E5085" w:rsidRPr="005C5AA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B6CA6" w:rsidRPr="005C5AAD" w:rsidRDefault="001E5085" w:rsidP="005C5AAD">
      <w:pPr>
        <w:pStyle w:val="22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AAD">
        <w:rPr>
          <w:rStyle w:val="23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C5AAD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Pr="005C5AAD">
        <w:rPr>
          <w:rFonts w:ascii="Times New Roman" w:hAnsi="Times New Roman" w:cs="Times New Roman"/>
          <w:sz w:val="28"/>
          <w:szCs w:val="28"/>
        </w:rPr>
        <w:t xml:space="preserve">School of Medicine, V.N. </w:t>
      </w:r>
      <w:proofErr w:type="spellStart"/>
      <w:r w:rsidRPr="005C5AAD">
        <w:rPr>
          <w:rFonts w:ascii="Times New Roman" w:hAnsi="Times New Roman" w:cs="Times New Roman"/>
          <w:sz w:val="28"/>
          <w:szCs w:val="28"/>
        </w:rPr>
        <w:t>Karazin</w:t>
      </w:r>
      <w:proofErr w:type="spellEnd"/>
      <w:r w:rsidRPr="005C5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AAD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5C5AAD">
        <w:rPr>
          <w:rFonts w:ascii="Times New Roman" w:hAnsi="Times New Roman" w:cs="Times New Roman"/>
          <w:sz w:val="28"/>
          <w:szCs w:val="28"/>
        </w:rPr>
        <w:t xml:space="preserve"> National University, </w:t>
      </w:r>
      <w:proofErr w:type="spellStart"/>
      <w:r w:rsidRPr="005C5AAD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5C5AAD">
        <w:rPr>
          <w:rFonts w:ascii="Times New Roman" w:hAnsi="Times New Roman" w:cs="Times New Roman"/>
          <w:sz w:val="28"/>
          <w:szCs w:val="28"/>
        </w:rPr>
        <w:t xml:space="preserve">, Ukraine; </w:t>
      </w:r>
      <w:r w:rsidRPr="005C5A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C5AAD">
        <w:rPr>
          <w:rFonts w:ascii="Times New Roman" w:hAnsi="Times New Roman" w:cs="Times New Roman"/>
          <w:sz w:val="28"/>
          <w:szCs w:val="28"/>
        </w:rPr>
        <w:t xml:space="preserve">Kharkiv National Medical University, </w:t>
      </w:r>
      <w:proofErr w:type="spellStart"/>
      <w:r w:rsidRPr="005C5AAD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5C5AAD">
        <w:rPr>
          <w:rFonts w:ascii="Times New Roman" w:hAnsi="Times New Roman" w:cs="Times New Roman"/>
          <w:sz w:val="28"/>
          <w:szCs w:val="28"/>
        </w:rPr>
        <w:t>, Ukraine</w:t>
      </w:r>
    </w:p>
    <w:p w:rsidR="005C5AAD" w:rsidRDefault="001E5085" w:rsidP="005C5AAD">
      <w:pPr>
        <w:pStyle w:val="20"/>
        <w:shd w:val="clear" w:color="auto" w:fill="auto"/>
        <w:tabs>
          <w:tab w:val="left" w:pos="14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AAD">
        <w:rPr>
          <w:rFonts w:ascii="Times New Roman" w:hAnsi="Times New Roman" w:cs="Times New Roman"/>
          <w:b/>
          <w:sz w:val="28"/>
          <w:szCs w:val="28"/>
        </w:rPr>
        <w:t>Objectives</w:t>
      </w:r>
      <w:r w:rsidRPr="005C5AAD">
        <w:rPr>
          <w:rFonts w:ascii="Times New Roman" w:hAnsi="Times New Roman" w:cs="Times New Roman"/>
          <w:sz w:val="28"/>
          <w:szCs w:val="28"/>
        </w:rPr>
        <w:t>: To evaluate a fetal biometric</w:t>
      </w:r>
      <w:r w:rsidRPr="005C5AAD">
        <w:rPr>
          <w:rFonts w:ascii="Times New Roman" w:hAnsi="Times New Roman" w:cs="Times New Roman"/>
          <w:sz w:val="28"/>
          <w:szCs w:val="28"/>
        </w:rPr>
        <w:t xml:space="preserve"> parameters and Doppler indicators in the umbilical artery during pregnancy with pre-</w:t>
      </w:r>
      <w:proofErr w:type="spellStart"/>
      <w:r w:rsidRPr="005C5AAD">
        <w:rPr>
          <w:rFonts w:ascii="Times New Roman" w:hAnsi="Times New Roman" w:cs="Times New Roman"/>
          <w:sz w:val="28"/>
          <w:szCs w:val="28"/>
        </w:rPr>
        <w:t>eclampsia</w:t>
      </w:r>
      <w:proofErr w:type="spellEnd"/>
      <w:r w:rsidRPr="005C5AAD">
        <w:rPr>
          <w:rFonts w:ascii="Times New Roman" w:hAnsi="Times New Roman" w:cs="Times New Roman"/>
          <w:sz w:val="28"/>
          <w:szCs w:val="28"/>
        </w:rPr>
        <w:t xml:space="preserve"> and compare them with postnatal outcomes. </w:t>
      </w:r>
    </w:p>
    <w:p w:rsidR="00AB6CA6" w:rsidRPr="005C5AAD" w:rsidRDefault="001E5085" w:rsidP="005C5AAD">
      <w:pPr>
        <w:pStyle w:val="20"/>
        <w:shd w:val="clear" w:color="auto" w:fill="auto"/>
        <w:tabs>
          <w:tab w:val="left" w:pos="14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AAD">
        <w:rPr>
          <w:rFonts w:ascii="Times New Roman" w:hAnsi="Times New Roman" w:cs="Times New Roman"/>
          <w:b/>
          <w:sz w:val="28"/>
          <w:szCs w:val="28"/>
        </w:rPr>
        <w:t>Methods</w:t>
      </w:r>
      <w:r w:rsidRPr="005C5AAD">
        <w:rPr>
          <w:rFonts w:ascii="Times New Roman" w:hAnsi="Times New Roman" w:cs="Times New Roman"/>
          <w:sz w:val="28"/>
          <w:szCs w:val="28"/>
        </w:rPr>
        <w:t>: Total examined 67 single pregnancies wi</w:t>
      </w:r>
      <w:r w:rsidR="005C5AAD">
        <w:rPr>
          <w:rFonts w:ascii="Times New Roman" w:hAnsi="Times New Roman" w:cs="Times New Roman"/>
          <w:sz w:val="28"/>
          <w:szCs w:val="28"/>
        </w:rPr>
        <w:t>th pre-</w:t>
      </w:r>
      <w:proofErr w:type="spellStart"/>
      <w:r w:rsidR="005C5AAD">
        <w:rPr>
          <w:rFonts w:ascii="Times New Roman" w:hAnsi="Times New Roman" w:cs="Times New Roman"/>
          <w:sz w:val="28"/>
          <w:szCs w:val="28"/>
        </w:rPr>
        <w:t>eclampsia</w:t>
      </w:r>
      <w:proofErr w:type="spellEnd"/>
      <w:r w:rsidR="005C5AAD">
        <w:rPr>
          <w:rFonts w:ascii="Times New Roman" w:hAnsi="Times New Roman" w:cs="Times New Roman"/>
          <w:sz w:val="28"/>
          <w:szCs w:val="28"/>
        </w:rPr>
        <w:t xml:space="preserve">. There were 38 </w:t>
      </w:r>
      <w:r w:rsidRPr="005C5AAD">
        <w:rPr>
          <w:rFonts w:ascii="Times New Roman" w:hAnsi="Times New Roman" w:cs="Times New Roman"/>
          <w:sz w:val="28"/>
          <w:szCs w:val="28"/>
        </w:rPr>
        <w:t>(56</w:t>
      </w:r>
      <w:proofErr w:type="gramStart"/>
      <w:r w:rsidRPr="005C5AAD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5C5AAD">
        <w:rPr>
          <w:rFonts w:ascii="Times New Roman" w:hAnsi="Times New Roman" w:cs="Times New Roman"/>
          <w:sz w:val="28"/>
          <w:szCs w:val="28"/>
        </w:rPr>
        <w:t>%) pregnant women with moderate</w:t>
      </w:r>
      <w:r w:rsidR="005C5AAD">
        <w:rPr>
          <w:rFonts w:ascii="Times New Roman" w:hAnsi="Times New Roman" w:cs="Times New Roman"/>
          <w:sz w:val="28"/>
          <w:szCs w:val="28"/>
        </w:rPr>
        <w:t xml:space="preserve"> </w:t>
      </w:r>
      <w:r w:rsidRPr="005C5AAD">
        <w:rPr>
          <w:rFonts w:ascii="Times New Roman" w:hAnsi="Times New Roman" w:cs="Times New Roman"/>
          <w:sz w:val="28"/>
          <w:szCs w:val="28"/>
        </w:rPr>
        <w:t>pr</w:t>
      </w:r>
      <w:r w:rsidRPr="005C5AA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C5AAD">
        <w:rPr>
          <w:rFonts w:ascii="Times New Roman" w:hAnsi="Times New Roman" w:cs="Times New Roman"/>
          <w:sz w:val="28"/>
          <w:szCs w:val="28"/>
        </w:rPr>
        <w:t>eclampsia</w:t>
      </w:r>
      <w:proofErr w:type="spellEnd"/>
      <w:r w:rsidRPr="005C5AAD">
        <w:rPr>
          <w:rFonts w:ascii="Times New Roman" w:hAnsi="Times New Roman" w:cs="Times New Roman"/>
          <w:sz w:val="28"/>
          <w:szCs w:val="28"/>
        </w:rPr>
        <w:t xml:space="preserve"> and 29 (42,3%) pregnant women with severe pre-</w:t>
      </w:r>
      <w:proofErr w:type="spellStart"/>
      <w:r w:rsidRPr="005C5AAD">
        <w:rPr>
          <w:rFonts w:ascii="Times New Roman" w:hAnsi="Times New Roman" w:cs="Times New Roman"/>
          <w:sz w:val="28"/>
          <w:szCs w:val="28"/>
        </w:rPr>
        <w:t>eclampsia</w:t>
      </w:r>
      <w:proofErr w:type="spellEnd"/>
      <w:r w:rsidRPr="005C5AAD">
        <w:rPr>
          <w:rFonts w:ascii="Times New Roman" w:hAnsi="Times New Roman" w:cs="Times New Roman"/>
          <w:sz w:val="28"/>
          <w:szCs w:val="28"/>
        </w:rPr>
        <w:t>. We spent a fetal ultrasound for calculation of fetal weight (</w:t>
      </w:r>
      <w:proofErr w:type="spellStart"/>
      <w:r w:rsidRPr="005C5AAD">
        <w:rPr>
          <w:rFonts w:ascii="Times New Roman" w:hAnsi="Times New Roman" w:cs="Times New Roman"/>
          <w:sz w:val="28"/>
          <w:szCs w:val="28"/>
        </w:rPr>
        <w:t>Hadlock</w:t>
      </w:r>
      <w:proofErr w:type="spellEnd"/>
      <w:r w:rsidRPr="005C5AAD">
        <w:rPr>
          <w:rFonts w:ascii="Times New Roman" w:hAnsi="Times New Roman" w:cs="Times New Roman"/>
          <w:sz w:val="28"/>
          <w:szCs w:val="28"/>
        </w:rPr>
        <w:t>). Fetal growth retardation (FGR) was diagnosed if the estimated fetal weight was below the 5th percentile or below the</w:t>
      </w:r>
      <w:r w:rsidRPr="005C5AAD">
        <w:rPr>
          <w:rFonts w:ascii="Times New Roman" w:hAnsi="Times New Roman" w:cs="Times New Roman"/>
          <w:sz w:val="28"/>
          <w:szCs w:val="28"/>
        </w:rPr>
        <w:t xml:space="preserve"> 10th percentile with abnormal blood flow in the umbilical artery. </w:t>
      </w:r>
      <w:proofErr w:type="gramStart"/>
      <w:r w:rsidRPr="005C5AAD">
        <w:rPr>
          <w:rFonts w:ascii="Times New Roman" w:hAnsi="Times New Roman" w:cs="Times New Roman"/>
          <w:sz w:val="28"/>
          <w:szCs w:val="28"/>
        </w:rPr>
        <w:t>Critical blood flow disorders was</w:t>
      </w:r>
      <w:proofErr w:type="gramEnd"/>
      <w:r w:rsidRPr="005C5AAD">
        <w:rPr>
          <w:rFonts w:ascii="Times New Roman" w:hAnsi="Times New Roman" w:cs="Times New Roman"/>
          <w:sz w:val="28"/>
          <w:szCs w:val="28"/>
        </w:rPr>
        <w:t xml:space="preserve"> revealed absent end diastolic flow (AEDF) or reversal of end diastolic flow (REDF) at the umbilical artery Doppler.</w:t>
      </w:r>
    </w:p>
    <w:p w:rsidR="00AB6CA6" w:rsidRPr="005C5AAD" w:rsidRDefault="001E5085" w:rsidP="005C5AA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AAD">
        <w:rPr>
          <w:rFonts w:ascii="Times New Roman" w:hAnsi="Times New Roman" w:cs="Times New Roman"/>
          <w:b/>
          <w:sz w:val="28"/>
          <w:szCs w:val="28"/>
        </w:rPr>
        <w:t>Results:</w:t>
      </w:r>
      <w:r w:rsidRPr="005C5AAD">
        <w:rPr>
          <w:rFonts w:ascii="Times New Roman" w:hAnsi="Times New Roman" w:cs="Times New Roman"/>
          <w:sz w:val="28"/>
          <w:szCs w:val="28"/>
        </w:rPr>
        <w:t xml:space="preserve"> We diagnosed 14 (20</w:t>
      </w:r>
      <w:proofErr w:type="gramStart"/>
      <w:r w:rsidRPr="005C5AAD">
        <w:rPr>
          <w:rFonts w:ascii="Times New Roman" w:hAnsi="Times New Roman" w:cs="Times New Roman"/>
          <w:sz w:val="28"/>
          <w:szCs w:val="28"/>
        </w:rPr>
        <w:t>,89</w:t>
      </w:r>
      <w:proofErr w:type="gramEnd"/>
      <w:r w:rsidRPr="005C5AAD">
        <w:rPr>
          <w:rFonts w:ascii="Times New Roman" w:hAnsi="Times New Roman" w:cs="Times New Roman"/>
          <w:sz w:val="28"/>
          <w:szCs w:val="28"/>
        </w:rPr>
        <w:t>%) cases</w:t>
      </w:r>
      <w:r w:rsidRPr="005C5AAD">
        <w:rPr>
          <w:rFonts w:ascii="Times New Roman" w:hAnsi="Times New Roman" w:cs="Times New Roman"/>
          <w:sz w:val="28"/>
          <w:szCs w:val="28"/>
        </w:rPr>
        <w:t xml:space="preserve"> of FGR, all of which were accompanied by reduction in end diastolic flow (increasing PI UA) or AEDF/ REDF. In patients with moderate pre-</w:t>
      </w:r>
      <w:proofErr w:type="spellStart"/>
      <w:r w:rsidRPr="005C5AAD">
        <w:rPr>
          <w:rFonts w:ascii="Times New Roman" w:hAnsi="Times New Roman" w:cs="Times New Roman"/>
          <w:sz w:val="28"/>
          <w:szCs w:val="28"/>
        </w:rPr>
        <w:t>eclampsia</w:t>
      </w:r>
      <w:proofErr w:type="spellEnd"/>
      <w:r w:rsidRPr="005C5AAD">
        <w:rPr>
          <w:rFonts w:ascii="Times New Roman" w:hAnsi="Times New Roman" w:cs="Times New Roman"/>
          <w:sz w:val="28"/>
          <w:szCs w:val="28"/>
        </w:rPr>
        <w:t xml:space="preserve"> we identified 21% cases of FGR and 14</w:t>
      </w:r>
      <w:proofErr w:type="gramStart"/>
      <w:r w:rsidRPr="005C5AAD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5C5AAD">
        <w:rPr>
          <w:rFonts w:ascii="Times New Roman" w:hAnsi="Times New Roman" w:cs="Times New Roman"/>
          <w:sz w:val="28"/>
          <w:szCs w:val="28"/>
        </w:rPr>
        <w:t xml:space="preserve">% cases AEDF/ REDF without FGR. All these patients were operated on </w:t>
      </w:r>
      <w:r w:rsidRPr="005C5AAD">
        <w:rPr>
          <w:rStyle w:val="65pt"/>
          <w:rFonts w:ascii="Times New Roman" w:hAnsi="Times New Roman" w:cs="Times New Roman"/>
          <w:sz w:val="28"/>
          <w:szCs w:val="28"/>
        </w:rPr>
        <w:t>f</w:t>
      </w:r>
      <w:r w:rsidRPr="005C5AAD">
        <w:rPr>
          <w:rStyle w:val="65pt"/>
          <w:rFonts w:ascii="Times New Roman" w:hAnsi="Times New Roman" w:cs="Times New Roman"/>
          <w:sz w:val="28"/>
          <w:szCs w:val="28"/>
        </w:rPr>
        <w:t xml:space="preserve">or </w:t>
      </w:r>
      <w:r w:rsidRPr="005C5AAD">
        <w:rPr>
          <w:rFonts w:ascii="Times New Roman" w:hAnsi="Times New Roman" w:cs="Times New Roman"/>
          <w:sz w:val="28"/>
          <w:szCs w:val="28"/>
        </w:rPr>
        <w:t>36</w:t>
      </w:r>
      <w:proofErr w:type="gramStart"/>
      <w:r w:rsidRPr="005C5AAD">
        <w:rPr>
          <w:rFonts w:ascii="Times New Roman" w:hAnsi="Times New Roman" w:cs="Times New Roman"/>
          <w:sz w:val="28"/>
          <w:szCs w:val="28"/>
        </w:rPr>
        <w:t>,29</w:t>
      </w:r>
      <w:proofErr w:type="gramEnd"/>
      <w:r w:rsidRPr="005C5AAD">
        <w:rPr>
          <w:rFonts w:ascii="Times New Roman" w:hAnsi="Times New Roman" w:cs="Times New Roman"/>
          <w:sz w:val="28"/>
          <w:szCs w:val="28"/>
        </w:rPr>
        <w:t>±0,48 weeks. No antenatal losses. Early infant mortality up to 3 days was in the 2</w:t>
      </w:r>
      <w:proofErr w:type="gramStart"/>
      <w:r w:rsidRPr="005C5AAD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5C5AAD">
        <w:rPr>
          <w:rFonts w:ascii="Times New Roman" w:hAnsi="Times New Roman" w:cs="Times New Roman"/>
          <w:sz w:val="28"/>
          <w:szCs w:val="28"/>
        </w:rPr>
        <w:t>% and early infant mortality after to 3 days was in 5,2% cases. These were FGR fetuses with AEDF/ REDF. In patients with severe pre-</w:t>
      </w:r>
      <w:proofErr w:type="spellStart"/>
      <w:r w:rsidRPr="005C5AAD">
        <w:rPr>
          <w:rFonts w:ascii="Times New Roman" w:hAnsi="Times New Roman" w:cs="Times New Roman"/>
          <w:sz w:val="28"/>
          <w:szCs w:val="28"/>
        </w:rPr>
        <w:t>eclampsia</w:t>
      </w:r>
      <w:proofErr w:type="spellEnd"/>
      <w:r w:rsidRPr="005C5AAD">
        <w:rPr>
          <w:rFonts w:ascii="Times New Roman" w:hAnsi="Times New Roman" w:cs="Times New Roman"/>
          <w:sz w:val="28"/>
          <w:szCs w:val="28"/>
        </w:rPr>
        <w:t xml:space="preserve"> we identified 20</w:t>
      </w:r>
      <w:proofErr w:type="gramStart"/>
      <w:r w:rsidRPr="005C5AAD">
        <w:rPr>
          <w:rFonts w:ascii="Times New Roman" w:hAnsi="Times New Roman" w:cs="Times New Roman"/>
          <w:sz w:val="28"/>
          <w:szCs w:val="28"/>
        </w:rPr>
        <w:t>,68</w:t>
      </w:r>
      <w:proofErr w:type="gramEnd"/>
      <w:r w:rsidRPr="005C5AAD">
        <w:rPr>
          <w:rFonts w:ascii="Times New Roman" w:hAnsi="Times New Roman" w:cs="Times New Roman"/>
          <w:sz w:val="28"/>
          <w:szCs w:val="28"/>
        </w:rPr>
        <w:t>% c</w:t>
      </w:r>
      <w:r w:rsidRPr="005C5AAD">
        <w:rPr>
          <w:rFonts w:ascii="Times New Roman" w:hAnsi="Times New Roman" w:cs="Times New Roman"/>
          <w:sz w:val="28"/>
          <w:szCs w:val="28"/>
        </w:rPr>
        <w:t>ases AEDF/ REDF with FGR and 3,8% cases AEDF/ REDF without FGR. The term of delivery was 33</w:t>
      </w:r>
      <w:proofErr w:type="gramStart"/>
      <w:r w:rsidRPr="005C5AAD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Pr="005C5AAD">
        <w:rPr>
          <w:rFonts w:ascii="Times New Roman" w:hAnsi="Times New Roman" w:cs="Times New Roman"/>
          <w:sz w:val="28"/>
          <w:szCs w:val="28"/>
        </w:rPr>
        <w:t xml:space="preserve">±0,76 weeks. All cases had delivered by urgent </w:t>
      </w:r>
      <w:r w:rsidRPr="005C5AAD">
        <w:rPr>
          <w:rStyle w:val="65pt"/>
          <w:rFonts w:ascii="Times New Roman" w:hAnsi="Times New Roman" w:cs="Times New Roman"/>
          <w:sz w:val="28"/>
          <w:szCs w:val="28"/>
        </w:rPr>
        <w:t xml:space="preserve">Caesarean </w:t>
      </w:r>
      <w:r w:rsidRPr="005C5AAD">
        <w:rPr>
          <w:rFonts w:ascii="Times New Roman" w:hAnsi="Times New Roman" w:cs="Times New Roman"/>
          <w:sz w:val="28"/>
          <w:szCs w:val="28"/>
        </w:rPr>
        <w:t xml:space="preserve">section. Perinatal loss was 34,48%, of them - antenatal fetal </w:t>
      </w:r>
      <w:r w:rsidRPr="005C5AAD">
        <w:rPr>
          <w:rStyle w:val="65pt"/>
          <w:rFonts w:ascii="Times New Roman" w:hAnsi="Times New Roman" w:cs="Times New Roman"/>
          <w:sz w:val="28"/>
          <w:szCs w:val="28"/>
        </w:rPr>
        <w:t xml:space="preserve">death </w:t>
      </w:r>
      <w:r w:rsidRPr="005C5AAD">
        <w:rPr>
          <w:rFonts w:ascii="Times New Roman" w:hAnsi="Times New Roman" w:cs="Times New Roman"/>
          <w:sz w:val="28"/>
          <w:szCs w:val="28"/>
        </w:rPr>
        <w:t>consist 6,9%, early infant mortality u</w:t>
      </w:r>
      <w:r w:rsidRPr="005C5AAD">
        <w:rPr>
          <w:rFonts w:ascii="Times New Roman" w:hAnsi="Times New Roman" w:cs="Times New Roman"/>
          <w:sz w:val="28"/>
          <w:szCs w:val="28"/>
        </w:rPr>
        <w:t>p to 3 days consist 6,9%,</w:t>
      </w:r>
      <w:r w:rsidRPr="005C5AAD">
        <w:rPr>
          <w:rFonts w:ascii="Times New Roman" w:hAnsi="Times New Roman" w:cs="Times New Roman"/>
          <w:sz w:val="28"/>
          <w:szCs w:val="28"/>
        </w:rPr>
        <w:t xml:space="preserve"> </w:t>
      </w:r>
      <w:r w:rsidR="005C5AAD">
        <w:rPr>
          <w:rFonts w:ascii="Times New Roman" w:hAnsi="Times New Roman" w:cs="Times New Roman"/>
          <w:sz w:val="28"/>
          <w:szCs w:val="28"/>
        </w:rPr>
        <w:t xml:space="preserve">early </w:t>
      </w:r>
      <w:r w:rsidRPr="005C5AAD">
        <w:rPr>
          <w:rFonts w:ascii="Times New Roman" w:hAnsi="Times New Roman" w:cs="Times New Roman"/>
          <w:sz w:val="28"/>
          <w:szCs w:val="28"/>
        </w:rPr>
        <w:t>infant mortality after to 3 days - 20,69%.</w:t>
      </w:r>
    </w:p>
    <w:p w:rsidR="00AB6CA6" w:rsidRPr="005C5AAD" w:rsidRDefault="001E5085" w:rsidP="005C5AAD">
      <w:pPr>
        <w:pStyle w:val="20"/>
        <w:shd w:val="clear" w:color="auto" w:fill="auto"/>
        <w:spacing w:line="360" w:lineRule="auto"/>
        <w:rPr>
          <w:rStyle w:val="65pt0"/>
          <w:rFonts w:ascii="Times New Roman" w:hAnsi="Times New Roman" w:cs="Times New Roman"/>
          <w:sz w:val="28"/>
          <w:szCs w:val="28"/>
          <w:lang w:val="uk-UA"/>
        </w:rPr>
      </w:pPr>
      <w:r w:rsidRPr="005C5AAD">
        <w:rPr>
          <w:rFonts w:ascii="Times New Roman" w:hAnsi="Times New Roman" w:cs="Times New Roman"/>
          <w:b/>
          <w:sz w:val="28"/>
          <w:szCs w:val="28"/>
        </w:rPr>
        <w:t>Conclusions</w:t>
      </w:r>
      <w:r w:rsidRPr="005C5AAD">
        <w:rPr>
          <w:rFonts w:ascii="Times New Roman" w:hAnsi="Times New Roman" w:cs="Times New Roman"/>
          <w:sz w:val="28"/>
          <w:szCs w:val="28"/>
        </w:rPr>
        <w:t xml:space="preserve">: </w:t>
      </w:r>
      <w:r w:rsidRPr="005C5AAD">
        <w:rPr>
          <w:rStyle w:val="65pt0"/>
          <w:rFonts w:ascii="Times New Roman" w:hAnsi="Times New Roman" w:cs="Times New Roman"/>
          <w:sz w:val="28"/>
          <w:szCs w:val="28"/>
        </w:rPr>
        <w:t xml:space="preserve">The </w:t>
      </w:r>
      <w:r w:rsidRPr="005C5AAD">
        <w:rPr>
          <w:rFonts w:ascii="Times New Roman" w:hAnsi="Times New Roman" w:cs="Times New Roman"/>
          <w:sz w:val="28"/>
          <w:szCs w:val="28"/>
        </w:rPr>
        <w:t xml:space="preserve">study of blood flow in the umbilical artery </w:t>
      </w:r>
      <w:r w:rsidRPr="005C5AAD">
        <w:rPr>
          <w:rStyle w:val="65pt0"/>
          <w:rFonts w:ascii="Times New Roman" w:hAnsi="Times New Roman" w:cs="Times New Roman"/>
          <w:sz w:val="28"/>
          <w:szCs w:val="28"/>
        </w:rPr>
        <w:t xml:space="preserve">at </w:t>
      </w:r>
      <w:r w:rsidRPr="005C5AAD">
        <w:rPr>
          <w:rFonts w:ascii="Times New Roman" w:hAnsi="Times New Roman" w:cs="Times New Roman"/>
          <w:sz w:val="28"/>
          <w:szCs w:val="28"/>
        </w:rPr>
        <w:t>pre-</w:t>
      </w:r>
      <w:proofErr w:type="spellStart"/>
      <w:r w:rsidRPr="005C5AAD">
        <w:rPr>
          <w:rFonts w:ascii="Times New Roman" w:hAnsi="Times New Roman" w:cs="Times New Roman"/>
          <w:sz w:val="28"/>
          <w:szCs w:val="28"/>
        </w:rPr>
        <w:t>eclampsia</w:t>
      </w:r>
      <w:proofErr w:type="spellEnd"/>
      <w:r w:rsidRPr="005C5AAD">
        <w:rPr>
          <w:rFonts w:ascii="Times New Roman" w:hAnsi="Times New Roman" w:cs="Times New Roman"/>
          <w:sz w:val="28"/>
          <w:szCs w:val="28"/>
        </w:rPr>
        <w:t xml:space="preserve"> rationally as for fetuses with </w:t>
      </w:r>
      <w:r w:rsidRPr="005C5AAD">
        <w:rPr>
          <w:rStyle w:val="8pt"/>
          <w:rFonts w:ascii="Times New Roman" w:hAnsi="Times New Roman" w:cs="Times New Roman"/>
          <w:sz w:val="28"/>
          <w:szCs w:val="28"/>
        </w:rPr>
        <w:t xml:space="preserve">FGR </w:t>
      </w:r>
      <w:r w:rsidRPr="005C5AAD">
        <w:rPr>
          <w:rFonts w:ascii="Times New Roman" w:hAnsi="Times New Roman" w:cs="Times New Roman"/>
          <w:sz w:val="28"/>
          <w:szCs w:val="28"/>
        </w:rPr>
        <w:t xml:space="preserve">so for </w:t>
      </w:r>
      <w:r w:rsidRPr="005C5AAD">
        <w:rPr>
          <w:rStyle w:val="8pt"/>
          <w:rFonts w:ascii="Times New Roman" w:hAnsi="Times New Roman" w:cs="Times New Roman"/>
          <w:sz w:val="28"/>
          <w:szCs w:val="28"/>
        </w:rPr>
        <w:t xml:space="preserve">non-FGR </w:t>
      </w:r>
      <w:r w:rsidRPr="005C5AAD">
        <w:rPr>
          <w:rFonts w:ascii="Times New Roman" w:hAnsi="Times New Roman" w:cs="Times New Roman"/>
          <w:sz w:val="28"/>
          <w:szCs w:val="28"/>
        </w:rPr>
        <w:t xml:space="preserve">fetuses. Urgent delivery improves perinatal outcomes in </w:t>
      </w:r>
      <w:r w:rsidR="005C5AAD">
        <w:rPr>
          <w:rStyle w:val="8pt"/>
          <w:rFonts w:ascii="Times New Roman" w:hAnsi="Times New Roman" w:cs="Times New Roman"/>
          <w:sz w:val="28"/>
          <w:szCs w:val="28"/>
        </w:rPr>
        <w:t>AEDF</w:t>
      </w:r>
      <w:r w:rsidRPr="005C5AAD">
        <w:rPr>
          <w:rStyle w:val="8pt"/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Pr="005C5AAD">
        <w:rPr>
          <w:rStyle w:val="8pt"/>
          <w:rFonts w:ascii="Times New Roman" w:hAnsi="Times New Roman" w:cs="Times New Roman"/>
          <w:sz w:val="28"/>
          <w:szCs w:val="28"/>
        </w:rPr>
        <w:t xml:space="preserve">REDF </w:t>
      </w:r>
      <w:r w:rsidRPr="005C5AAD">
        <w:rPr>
          <w:rFonts w:ascii="Times New Roman" w:hAnsi="Times New Roman" w:cs="Times New Roman"/>
          <w:sz w:val="28"/>
          <w:szCs w:val="28"/>
        </w:rPr>
        <w:t>at moderate pre-</w:t>
      </w:r>
      <w:proofErr w:type="spellStart"/>
      <w:r w:rsidRPr="005C5AAD">
        <w:rPr>
          <w:rFonts w:ascii="Times New Roman" w:hAnsi="Times New Roman" w:cs="Times New Roman"/>
          <w:sz w:val="28"/>
          <w:szCs w:val="28"/>
        </w:rPr>
        <w:t>eclampsia</w:t>
      </w:r>
      <w:proofErr w:type="spellEnd"/>
      <w:r w:rsidRPr="005C5AAD">
        <w:rPr>
          <w:rFonts w:ascii="Times New Roman" w:hAnsi="Times New Roman" w:cs="Times New Roman"/>
          <w:sz w:val="28"/>
          <w:szCs w:val="28"/>
        </w:rPr>
        <w:t xml:space="preserve">. </w:t>
      </w:r>
      <w:r w:rsidRPr="005C5AAD">
        <w:rPr>
          <w:rStyle w:val="8pt"/>
          <w:rFonts w:ascii="Times New Roman" w:hAnsi="Times New Roman" w:cs="Times New Roman"/>
          <w:sz w:val="28"/>
          <w:szCs w:val="28"/>
        </w:rPr>
        <w:t xml:space="preserve">FGR </w:t>
      </w:r>
      <w:r w:rsidRPr="005C5AAD">
        <w:rPr>
          <w:rFonts w:ascii="Times New Roman" w:hAnsi="Times New Roman" w:cs="Times New Roman"/>
          <w:sz w:val="28"/>
          <w:szCs w:val="28"/>
        </w:rPr>
        <w:t xml:space="preserve">with </w:t>
      </w:r>
      <w:r w:rsidRPr="005C5AAD">
        <w:rPr>
          <w:rStyle w:val="8pt"/>
          <w:rFonts w:ascii="Times New Roman" w:hAnsi="Times New Roman" w:cs="Times New Roman"/>
          <w:sz w:val="28"/>
          <w:szCs w:val="28"/>
        </w:rPr>
        <w:t xml:space="preserve">AEDF/ REDF </w:t>
      </w:r>
      <w:r w:rsidRPr="005C5AAD">
        <w:rPr>
          <w:rFonts w:ascii="Times New Roman" w:hAnsi="Times New Roman" w:cs="Times New Roman"/>
          <w:sz w:val="28"/>
          <w:szCs w:val="28"/>
        </w:rPr>
        <w:t xml:space="preserve">at </w:t>
      </w:r>
      <w:r w:rsidRPr="005C5AAD">
        <w:rPr>
          <w:rStyle w:val="65pt0"/>
          <w:rFonts w:ascii="Times New Roman" w:hAnsi="Times New Roman" w:cs="Times New Roman"/>
          <w:sz w:val="28"/>
          <w:szCs w:val="28"/>
        </w:rPr>
        <w:t xml:space="preserve">severe </w:t>
      </w:r>
      <w:r w:rsidRPr="005C5AAD">
        <w:rPr>
          <w:rFonts w:ascii="Times New Roman" w:hAnsi="Times New Roman" w:cs="Times New Roman"/>
          <w:sz w:val="28"/>
          <w:szCs w:val="28"/>
        </w:rPr>
        <w:t>pre-</w:t>
      </w:r>
      <w:proofErr w:type="spellStart"/>
      <w:r w:rsidRPr="005C5AAD">
        <w:rPr>
          <w:rFonts w:ascii="Times New Roman" w:hAnsi="Times New Roman" w:cs="Times New Roman"/>
          <w:sz w:val="28"/>
          <w:szCs w:val="28"/>
        </w:rPr>
        <w:t>eclampsia</w:t>
      </w:r>
      <w:proofErr w:type="spellEnd"/>
      <w:r w:rsidRPr="005C5AAD">
        <w:rPr>
          <w:rFonts w:ascii="Times New Roman" w:hAnsi="Times New Roman" w:cs="Times New Roman"/>
          <w:sz w:val="28"/>
          <w:szCs w:val="28"/>
        </w:rPr>
        <w:t xml:space="preserve"> had been associated with poor perinatal </w:t>
      </w:r>
      <w:r w:rsidRPr="005C5AAD">
        <w:rPr>
          <w:rStyle w:val="65pt0"/>
          <w:rFonts w:ascii="Times New Roman" w:hAnsi="Times New Roman" w:cs="Times New Roman"/>
          <w:sz w:val="28"/>
          <w:szCs w:val="28"/>
        </w:rPr>
        <w:t>outcomes.</w:t>
      </w:r>
    </w:p>
    <w:p w:rsidR="005C5AAD" w:rsidRPr="005C5AAD" w:rsidRDefault="005C5AAD">
      <w:pPr>
        <w:pStyle w:val="20"/>
        <w:shd w:val="clear" w:color="auto" w:fill="auto"/>
        <w:spacing w:line="360" w:lineRule="auto"/>
        <w:rPr>
          <w:rStyle w:val="65pt0"/>
          <w:rFonts w:ascii="Times New Roman" w:hAnsi="Times New Roman" w:cs="Times New Roman"/>
          <w:sz w:val="28"/>
          <w:szCs w:val="28"/>
          <w:lang w:val="uk-UA"/>
        </w:rPr>
      </w:pPr>
    </w:p>
    <w:sectPr w:rsidR="005C5AAD" w:rsidRPr="005C5AAD" w:rsidSect="005C5AAD">
      <w:type w:val="continuous"/>
      <w:pgSz w:w="11909" w:h="16834"/>
      <w:pgMar w:top="370" w:right="1049" w:bottom="370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85" w:rsidRDefault="001E5085">
      <w:r>
        <w:separator/>
      </w:r>
    </w:p>
  </w:endnote>
  <w:endnote w:type="continuationSeparator" w:id="0">
    <w:p w:rsidR="001E5085" w:rsidRDefault="001E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85" w:rsidRDefault="001E5085"/>
  </w:footnote>
  <w:footnote w:type="continuationSeparator" w:id="0">
    <w:p w:rsidR="001E5085" w:rsidRDefault="001E50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07B9"/>
    <w:multiLevelType w:val="multilevel"/>
    <w:tmpl w:val="FB045008"/>
    <w:lvl w:ilvl="0"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4236FB"/>
    <w:multiLevelType w:val="multilevel"/>
    <w:tmpl w:val="F0FC88E4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B6CA6"/>
    <w:rsid w:val="001E5085"/>
    <w:rsid w:val="005C5AAD"/>
    <w:rsid w:val="00AB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Sylfaen" w:eastAsia="Sylfaen" w:hAnsi="Sylfaen" w:cs="Sylfae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a7">
    <w:name w:val="Основной текст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1"/>
    <w:basedOn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 + Не курсив"/>
    <w:basedOn w:val="2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a8">
    <w:name w:val="Основной текст + Курсив"/>
    <w:basedOn w:val="a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7pt">
    <w:name w:val="Основной текст + 7 pt"/>
    <w:basedOn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65pt">
    <w:name w:val="Основной текст + 6;5 pt"/>
    <w:basedOn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65pt0">
    <w:name w:val="Основной текст + 6;5 pt"/>
    <w:basedOn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8pt">
    <w:name w:val="Основной текст + 8 pt"/>
    <w:basedOn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курсив"/>
    <w:basedOn w:val="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8"/>
      <w:szCs w:val="18"/>
    </w:rPr>
  </w:style>
  <w:style w:type="paragraph" w:customStyle="1" w:styleId="20">
    <w:name w:val="Основной текст2"/>
    <w:basedOn w:val="a"/>
    <w:link w:val="a7"/>
    <w:pPr>
      <w:shd w:val="clear" w:color="auto" w:fill="FFFFFF"/>
      <w:spacing w:line="197" w:lineRule="exact"/>
      <w:jc w:val="both"/>
    </w:pPr>
    <w:rPr>
      <w:rFonts w:ascii="Sylfaen" w:eastAsia="Sylfaen" w:hAnsi="Sylfaen" w:cs="Sylfae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Sylfaen" w:eastAsia="Sylfaen" w:hAnsi="Sylfaen" w:cs="Sylfaen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1885</Characters>
  <Application>Microsoft Office Word</Application>
  <DocSecurity>0</DocSecurity>
  <Lines>15</Lines>
  <Paragraphs>4</Paragraphs>
  <ScaleCrop>false</ScaleCrop>
  <Company>Krokoz™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2019-11-11T11:17:00Z</dcterms:created>
  <dcterms:modified xsi:type="dcterms:W3CDTF">2019-11-11T11:25:00Z</dcterms:modified>
</cp:coreProperties>
</file>